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DC9" w:rsidRPr="000C03D2" w:rsidRDefault="00617172">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0C03D2">
        <w:rPr>
          <w:rFonts w:ascii="Times New Roman" w:hAnsi="Times New Roman" w:cs="Times New Roman"/>
          <w:sz w:val="28"/>
          <w:szCs w:val="24"/>
        </w:rPr>
        <w:t xml:space="preserve"> </w:t>
      </w:r>
    </w:p>
    <w:p w:rsidR="00027DC9" w:rsidRPr="000C03D2" w:rsidRDefault="00027DC9">
      <w:pPr>
        <w:widowControl w:val="0"/>
        <w:autoSpaceDE w:val="0"/>
        <w:autoSpaceDN w:val="0"/>
        <w:adjustRightInd w:val="0"/>
        <w:spacing w:after="0" w:line="240" w:lineRule="auto"/>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center"/>
        <w:rPr>
          <w:rFonts w:ascii="Times New Roman" w:hAnsi="Times New Roman" w:cs="Times New Roman"/>
          <w:b/>
          <w:bCs/>
          <w:sz w:val="28"/>
          <w:szCs w:val="28"/>
        </w:rPr>
      </w:pPr>
      <w:r w:rsidRPr="000C03D2">
        <w:rPr>
          <w:rFonts w:ascii="Times New Roman" w:hAnsi="Times New Roman" w:cs="Times New Roman"/>
          <w:b/>
          <w:bCs/>
          <w:sz w:val="28"/>
          <w:szCs w:val="28"/>
        </w:rPr>
        <w:t xml:space="preserve">TEMAS-SUBTEMAS </w:t>
      </w:r>
    </w:p>
    <w:p w:rsidR="00027DC9" w:rsidRPr="000C03D2" w:rsidRDefault="00027DC9">
      <w:pPr>
        <w:widowControl w:val="0"/>
        <w:autoSpaceDE w:val="0"/>
        <w:autoSpaceDN w:val="0"/>
        <w:adjustRightInd w:val="0"/>
        <w:spacing w:after="0" w:line="240" w:lineRule="auto"/>
        <w:jc w:val="center"/>
        <w:rPr>
          <w:rFonts w:ascii="Times New Roman" w:hAnsi="Times New Roman" w:cs="Times New Roman"/>
          <w:b/>
          <w:bCs/>
          <w:sz w:val="28"/>
          <w:szCs w:val="28"/>
        </w:rPr>
      </w:pPr>
    </w:p>
    <w:p w:rsidR="00027DC9" w:rsidRPr="000C03D2" w:rsidRDefault="00617172">
      <w:pPr>
        <w:widowControl w:val="0"/>
        <w:autoSpaceDE w:val="0"/>
        <w:autoSpaceDN w:val="0"/>
        <w:adjustRightInd w:val="0"/>
        <w:spacing w:after="0" w:line="240" w:lineRule="auto"/>
        <w:jc w:val="center"/>
        <w:rPr>
          <w:rFonts w:ascii="Times New Roman" w:hAnsi="Times New Roman" w:cs="Times New Roman"/>
          <w:sz w:val="28"/>
          <w:szCs w:val="28"/>
        </w:rPr>
      </w:pPr>
      <w:r w:rsidRPr="000C03D2">
        <w:rPr>
          <w:rFonts w:ascii="Times New Roman" w:hAnsi="Times New Roman" w:cs="Times New Roman"/>
          <w:b/>
          <w:bCs/>
          <w:sz w:val="28"/>
          <w:szCs w:val="28"/>
        </w:rPr>
        <w:t xml:space="preserve">Sentencia C-017/26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DESCANSO REMUNERADO</w:t>
      </w:r>
      <w:r w:rsidRPr="000C03D2">
        <w:rPr>
          <w:rFonts w:ascii="Times New Roman" w:hAnsi="Times New Roman" w:cs="Times New Roman"/>
          <w:sz w:val="28"/>
          <w:szCs w:val="28"/>
        </w:rPr>
        <w:t>-Aplica a todas las personas gestantes en casos de aborto, parto prematuro no viable o interrupción voluntaria del embarazo</w:t>
      </w:r>
      <w:r w:rsidRPr="000C03D2">
        <w:rPr>
          <w:rFonts w:ascii="Times New Roman" w:hAnsi="Times New Roman" w:cs="Times New Roman"/>
          <w:b/>
          <w:bCs/>
          <w:sz w:val="28"/>
          <w:szCs w:val="28"/>
        </w:rPr>
        <w:t>/OMISIÓN LEGISLATIVA RELATIVA</w:t>
      </w:r>
      <w:r w:rsidRPr="000C03D2">
        <w:rPr>
          <w:rFonts w:ascii="Times New Roman" w:hAnsi="Times New Roman" w:cs="Times New Roman"/>
          <w:sz w:val="28"/>
          <w:szCs w:val="28"/>
        </w:rPr>
        <w:t>-Configuración</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i/>
          <w:iCs/>
          <w:sz w:val="28"/>
          <w:szCs w:val="28"/>
        </w:rPr>
        <w:t xml:space="preserve">(...) para superar la discriminación normativa generada por dicha omisión se extenderá la prestación de descanso remunerado en caso de aborto a todas las personas gestantes. Como consecuencia lógica de dicho análisis de constitucionalidad, la Sala declarará la exequibilidad de la expresión “la trabajadora” contenida en el artículo 237 del Código Sustantivo del Trabajo, en el entendido de que también aplica a todas las personas gestantes, en los términos de esta sentencia.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DERECHO FUNDAMENTAL A LA IDENTIDAD DE GENERO</w:t>
      </w:r>
      <w:r w:rsidRPr="000C03D2">
        <w:rPr>
          <w:rFonts w:ascii="Times New Roman" w:hAnsi="Times New Roman" w:cs="Times New Roman"/>
          <w:sz w:val="28"/>
          <w:szCs w:val="28"/>
        </w:rPr>
        <w:t xml:space="preserve">-Ámbito de protección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PRINCIPIO DE IGUALDAD</w:t>
      </w:r>
      <w:r w:rsidRPr="000C03D2">
        <w:rPr>
          <w:rFonts w:ascii="Times New Roman" w:hAnsi="Times New Roman" w:cs="Times New Roman"/>
          <w:sz w:val="28"/>
          <w:szCs w:val="28"/>
        </w:rPr>
        <w:t>-Vulneración por exclusión de la protección de los derechos derivados de la gestación a los hombres trans y personas no binarias</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i/>
          <w:iCs/>
          <w:sz w:val="28"/>
          <w:szCs w:val="28"/>
        </w:rPr>
        <w:t>La norma reconoce el descanso remunerado en caso de aborto únicamente para “la trabajadora”, lo que presupone una identidad femenina cisgénero. Sin embargo, existen otras personas gestantes -como hombres trans y personas no binarias- que pueden atravesar las mismas situaciones (aborto espontáneo, interrupción voluntaria del embarazo o parto prematuro no viable). Al no incluirlas, la disposición genera un trato desigual frente a supuestos equivalentes. (...) la exclusión genera una desigualdad negativa que afecta derechos como la no discriminación pues perpetúa patrones de invisibilización y discriminación estructural contra personas trans y no binarias, quienes son sujetos de especial protección constitucional. Este déficit es intolerable, pues impide el acceso a una garantía laboral esencial en condiciones críticas de salud.</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HOMBRES TRANS Y PERSONAS NO BINARIAS</w:t>
      </w:r>
      <w:r w:rsidRPr="000C03D2">
        <w:rPr>
          <w:rFonts w:ascii="Times New Roman" w:hAnsi="Times New Roman" w:cs="Times New Roman"/>
          <w:sz w:val="28"/>
          <w:szCs w:val="28"/>
        </w:rPr>
        <w:t xml:space="preserve">-Derecho al descanso remunerado en caso de aborto, parto prematuro no viable o interrupción voluntaria del embarazo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OMISIÓN LEGISLATIVA RELATIVA</w:t>
      </w:r>
      <w:r w:rsidRPr="000C03D2">
        <w:rPr>
          <w:rFonts w:ascii="Times New Roman" w:hAnsi="Times New Roman" w:cs="Times New Roman"/>
          <w:sz w:val="28"/>
          <w:szCs w:val="28"/>
        </w:rPr>
        <w:t>-Significado y alcance</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i/>
          <w:iCs/>
          <w:sz w:val="28"/>
          <w:szCs w:val="28"/>
        </w:rPr>
        <w:t>Las omisiones relativas se configuran cuando el Legislador, al expedir una regulación o estructurar una institución jurídica, omite incorporar una condición o elemento que, conforme a la Constitución, constituye un requisito esencial para garantizar su armonización con el orden superior. En este escenario, entonces, el órgano legislativo guarda silencio o excluye una previsión normativa indispensable para asegurar la compatibilidad del texto legal con la Carta Política.</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OMISIÓN LEGISLATIVA RELATIVA</w:t>
      </w:r>
      <w:r w:rsidRPr="000C03D2">
        <w:rPr>
          <w:rFonts w:ascii="Times New Roman" w:hAnsi="Times New Roman" w:cs="Times New Roman"/>
          <w:sz w:val="28"/>
          <w:szCs w:val="28"/>
        </w:rPr>
        <w:t xml:space="preserve">-Elementos que la configuran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OMISION LEGISLATIVA RELATIVA POR VIOLACION DEL PRINCIPIO DE IGUALDAD</w:t>
      </w:r>
      <w:r w:rsidRPr="000C03D2">
        <w:rPr>
          <w:rFonts w:ascii="Times New Roman" w:hAnsi="Times New Roman" w:cs="Times New Roman"/>
          <w:sz w:val="28"/>
          <w:szCs w:val="28"/>
        </w:rPr>
        <w:t xml:space="preserve">-Criterios para determinar la transgresión constitucional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OMISION LEGISLATIVA RELATIVA EN NORMA PRECONSTITUCIONAL</w:t>
      </w:r>
      <w:r w:rsidRPr="000C03D2">
        <w:rPr>
          <w:rFonts w:ascii="Times New Roman" w:hAnsi="Times New Roman" w:cs="Times New Roman"/>
          <w:sz w:val="28"/>
          <w:szCs w:val="28"/>
        </w:rPr>
        <w:t>-Procedencia</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i/>
          <w:iCs/>
          <w:sz w:val="28"/>
          <w:szCs w:val="28"/>
        </w:rPr>
        <w:t xml:space="preserve">Cuando la demanda plantea un cargo por omisión legislativa relativa respecto de una norma anterior a 1991, la Corte ha señalado que la preconstitucionalidad puede explicar la omisión, pero no la justifica frente al nuevo orden constitucional. En este sentido, es preciso reiterar que la existencia de disposiciones previas a la Constitución de 1991 que no desarrollan plenamente los mandatos superiores actuales no exonera al legislador de su deber de adecuarlas al marco constitucional vigente. En otras palabras, la permanencia de normas preconstitucionales que generan un vacío o exclusión contrarios a los principios de igualdad y no discriminación constituye una omisión imputable al legislador, quien ha tenido el deber de actualizar la legislación una vez entra en vigencia de la Constitución de 1991. Visto así, la omisión se vuelve actual y verificable, no por su origen histórico, sino por la inactividad posterior del legislador frente a las exigencias constitucionales.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DERECHO FUNDAMENTAL A LA IDENTIDAD DE GENERO</w:t>
      </w:r>
      <w:r w:rsidRPr="000C03D2">
        <w:rPr>
          <w:rFonts w:ascii="Times New Roman" w:hAnsi="Times New Roman" w:cs="Times New Roman"/>
          <w:sz w:val="28"/>
          <w:szCs w:val="28"/>
        </w:rPr>
        <w:t>-Alcance y contenido</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i/>
          <w:iCs/>
          <w:sz w:val="28"/>
          <w:szCs w:val="28"/>
        </w:rPr>
        <w:t>La Corte ha reconocido la identidad de género como un derecho fundamental innominado, cuya protección se deriva, precisamente, de su conexión con el principio de dignidad humana y los derechos a la igualdad, a la intimidad y al libre desarrollo de la personalidad. Acorde con la jurisprudencia constitucional, es difícil encontrar aspectos más estrechamente relacionados con la definición ontológica de la persona que el género y la inclinación sexual. En esa medida, toda interferencia o direccionamiento sobre la identidad de género de una persona se considera como un grave atentado a su integridad y a su dignidad, pues le priva de la competencia para definir asuntos que solo conciernen a ella.</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PROTECCION DE LAS MANIFESTACIONES DE LA IDENTIDAD DE GENERO</w:t>
      </w:r>
      <w:r w:rsidRPr="000C03D2">
        <w:rPr>
          <w:rFonts w:ascii="Times New Roman" w:hAnsi="Times New Roman" w:cs="Times New Roman"/>
          <w:sz w:val="28"/>
          <w:szCs w:val="28"/>
        </w:rPr>
        <w:t xml:space="preserve">-Desarrollo jurisprudencial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LENGUAJE INCLUSIVO</w:t>
      </w:r>
      <w:r w:rsidRPr="000C03D2">
        <w:rPr>
          <w:rFonts w:ascii="Times New Roman" w:hAnsi="Times New Roman" w:cs="Times New Roman"/>
          <w:sz w:val="28"/>
          <w:szCs w:val="28"/>
        </w:rPr>
        <w:t xml:space="preserve">-Reconocimiento de la diversidad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617172">
      <w:pPr>
        <w:widowControl w:val="0"/>
        <w:autoSpaceDE w:val="0"/>
        <w:autoSpaceDN w:val="0"/>
        <w:adjustRightInd w:val="0"/>
        <w:spacing w:after="0" w:line="240" w:lineRule="auto"/>
        <w:jc w:val="both"/>
        <w:rPr>
          <w:rFonts w:ascii="Times New Roman" w:hAnsi="Times New Roman" w:cs="Times New Roman"/>
          <w:sz w:val="28"/>
          <w:szCs w:val="28"/>
        </w:rPr>
      </w:pPr>
      <w:r w:rsidRPr="000C03D2">
        <w:rPr>
          <w:rFonts w:ascii="Times New Roman" w:hAnsi="Times New Roman" w:cs="Times New Roman"/>
          <w:b/>
          <w:bCs/>
          <w:sz w:val="28"/>
          <w:szCs w:val="28"/>
        </w:rPr>
        <w:t>PRINCIPIO PRO PERSONA</w:t>
      </w:r>
      <w:r w:rsidRPr="000C03D2">
        <w:rPr>
          <w:rFonts w:ascii="Times New Roman" w:hAnsi="Times New Roman" w:cs="Times New Roman"/>
          <w:sz w:val="28"/>
          <w:szCs w:val="28"/>
        </w:rPr>
        <w:t xml:space="preserve">-Aplicación </w:t>
      </w:r>
    </w:p>
    <w:p w:rsidR="00027DC9" w:rsidRPr="000C03D2" w:rsidRDefault="00027DC9">
      <w:pPr>
        <w:widowControl w:val="0"/>
        <w:autoSpaceDE w:val="0"/>
        <w:autoSpaceDN w:val="0"/>
        <w:adjustRightInd w:val="0"/>
        <w:spacing w:after="0" w:line="240" w:lineRule="auto"/>
        <w:jc w:val="both"/>
        <w:rPr>
          <w:rFonts w:ascii="Times New Roman" w:hAnsi="Times New Roman" w:cs="Times New Roman"/>
          <w:sz w:val="28"/>
          <w:szCs w:val="28"/>
        </w:rPr>
      </w:pPr>
    </w:p>
    <w:p w:rsidR="00027DC9" w:rsidRPr="000C03D2" w:rsidRDefault="000C03D2">
      <w:pPr>
        <w:widowControl w:val="0"/>
        <w:autoSpaceDE w:val="0"/>
        <w:autoSpaceDN w:val="0"/>
        <w:adjustRightInd w:val="0"/>
        <w:spacing w:after="0" w:line="240" w:lineRule="auto"/>
        <w:jc w:val="both"/>
        <w:rPr>
          <w:rFonts w:ascii="Times New Roman" w:hAnsi="Times New Roman" w:cs="Times New Roman"/>
          <w:sz w:val="28"/>
        </w:rPr>
      </w:pPr>
      <w:r w:rsidRPr="000C03D2">
        <w:rPr>
          <w:rFonts w:ascii="Times New Roman" w:hAnsi="Times New Roman" w:cs="Times New Roman"/>
          <w:sz w:val="28"/>
          <w:szCs w:val="28"/>
        </w:rPr>
        <w:pict>
          <v:rect id="_x0000_i1025" style="width:0;height:1.5pt" o:hralign="center" o:hrstd="t" o:hr="t" fillcolor="#a0a0a0" stroked="f"/>
        </w:pict>
      </w:r>
    </w:p>
    <w:p w:rsidR="006A725A" w:rsidRPr="000C03D2" w:rsidRDefault="000C03D2" w:rsidP="00A141C2">
      <w:pPr>
        <w:jc w:val="center"/>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REPÚBLICA DE COLOMBIA</w:t>
      </w:r>
    </w:p>
    <w:p w:rsidR="006A725A" w:rsidRPr="000C03D2" w:rsidRDefault="000C03D2" w:rsidP="00A141C2">
      <w:pPr>
        <w:widowControl w:val="0"/>
        <w:autoSpaceDE w:val="0"/>
        <w:autoSpaceDN w:val="0"/>
        <w:adjustRightInd w:val="0"/>
        <w:ind w:right="51"/>
        <w:jc w:val="center"/>
        <w:rPr>
          <w:rFonts w:ascii="Times New Roman" w:eastAsia="Calibri" w:hAnsi="Times New Roman" w:cs="Times New Roman"/>
          <w:color w:val="000000" w:themeColor="text1"/>
          <w:sz w:val="28"/>
          <w:szCs w:val="28"/>
        </w:rPr>
      </w:pPr>
      <w:r w:rsidRPr="000C03D2">
        <w:rPr>
          <w:rFonts w:ascii="Times New Roman" w:hAnsi="Times New Roman" w:cs="Times New Roman"/>
          <w:b/>
          <w:noProof/>
          <w:color w:val="000000" w:themeColor="text1"/>
          <w:sz w:val="28"/>
          <w:szCs w:val="28"/>
        </w:rPr>
        <w:drawing>
          <wp:inline distT="0" distB="0" distL="0" distR="0" wp14:anchorId="66F9D2A8" wp14:editId="191373B7">
            <wp:extent cx="1012190" cy="1012190"/>
            <wp:effectExtent l="0" t="0" r="0" b="0"/>
            <wp:docPr id="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2190" cy="1012190"/>
                    </a:xfrm>
                    <a:prstGeom prst="rect">
                      <a:avLst/>
                    </a:prstGeom>
                    <a:noFill/>
                  </pic:spPr>
                </pic:pic>
              </a:graphicData>
            </a:graphic>
          </wp:inline>
        </w:drawing>
      </w:r>
    </w:p>
    <w:p w:rsidR="006A725A" w:rsidRPr="000C03D2" w:rsidRDefault="000C03D2" w:rsidP="00A141C2">
      <w:pPr>
        <w:widowControl w:val="0"/>
        <w:autoSpaceDE w:val="0"/>
        <w:autoSpaceDN w:val="0"/>
        <w:adjustRightInd w:val="0"/>
        <w:ind w:right="51"/>
        <w:jc w:val="center"/>
        <w:rPr>
          <w:rFonts w:ascii="Times New Roman" w:eastAsia="Calibri" w:hAnsi="Times New Roman" w:cs="Times New Roman"/>
          <w:color w:val="000000" w:themeColor="text1"/>
          <w:sz w:val="28"/>
          <w:szCs w:val="28"/>
        </w:rPr>
      </w:pPr>
    </w:p>
    <w:p w:rsidR="006A725A" w:rsidRPr="000C03D2" w:rsidRDefault="000C03D2" w:rsidP="00A141C2">
      <w:pPr>
        <w:jc w:val="center"/>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CORTE CONSTITUCIONAL</w:t>
      </w:r>
    </w:p>
    <w:p w:rsidR="006A725A" w:rsidRPr="000C03D2" w:rsidRDefault="000C03D2" w:rsidP="00A141C2">
      <w:pPr>
        <w:jc w:val="center"/>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Sala Plena</w:t>
      </w:r>
    </w:p>
    <w:p w:rsidR="006A725A" w:rsidRPr="000C03D2" w:rsidRDefault="000C03D2" w:rsidP="00A141C2">
      <w:pPr>
        <w:jc w:val="center"/>
        <w:rPr>
          <w:rFonts w:ascii="Times New Roman" w:hAnsi="Times New Roman" w:cs="Times New Roman"/>
          <w:b/>
          <w:bCs/>
          <w:color w:val="000000" w:themeColor="text1"/>
          <w:sz w:val="28"/>
          <w:szCs w:val="28"/>
        </w:rPr>
      </w:pPr>
    </w:p>
    <w:p w:rsidR="006A725A" w:rsidRPr="000C03D2" w:rsidRDefault="000C03D2" w:rsidP="00A141C2">
      <w:pPr>
        <w:ind w:right="51"/>
        <w:jc w:val="center"/>
        <w:rPr>
          <w:rFonts w:ascii="Times New Roman" w:hAnsi="Times New Roman" w:cs="Times New Roman"/>
          <w:b/>
          <w:color w:val="000000" w:themeColor="text1"/>
          <w:sz w:val="28"/>
          <w:szCs w:val="28"/>
        </w:rPr>
      </w:pPr>
      <w:r w:rsidRPr="000C03D2">
        <w:rPr>
          <w:rFonts w:ascii="Times New Roman" w:hAnsi="Times New Roman" w:cs="Times New Roman"/>
          <w:b/>
          <w:color w:val="000000" w:themeColor="text1"/>
          <w:sz w:val="28"/>
          <w:szCs w:val="28"/>
        </w:rPr>
        <w:t>SENTENCIA C-</w:t>
      </w:r>
      <w:r w:rsidRPr="000C03D2">
        <w:rPr>
          <w:rFonts w:ascii="Times New Roman" w:hAnsi="Times New Roman" w:cs="Times New Roman"/>
          <w:b/>
          <w:color w:val="000000" w:themeColor="text1"/>
          <w:sz w:val="28"/>
          <w:szCs w:val="28"/>
        </w:rPr>
        <w:t>017</w:t>
      </w:r>
      <w:r w:rsidRPr="000C03D2">
        <w:rPr>
          <w:rFonts w:ascii="Times New Roman" w:hAnsi="Times New Roman" w:cs="Times New Roman"/>
          <w:b/>
          <w:color w:val="000000" w:themeColor="text1"/>
          <w:sz w:val="28"/>
          <w:szCs w:val="28"/>
        </w:rPr>
        <w:t xml:space="preserve"> </w:t>
      </w:r>
      <w:r w:rsidRPr="000C03D2">
        <w:rPr>
          <w:rFonts w:ascii="Times New Roman" w:hAnsi="Times New Roman" w:cs="Times New Roman"/>
          <w:b/>
          <w:color w:val="000000" w:themeColor="text1"/>
          <w:sz w:val="28"/>
          <w:szCs w:val="28"/>
        </w:rPr>
        <w:t>de</w:t>
      </w:r>
      <w:r w:rsidRPr="000C03D2">
        <w:rPr>
          <w:rFonts w:ascii="Times New Roman" w:hAnsi="Times New Roman" w:cs="Times New Roman"/>
          <w:b/>
          <w:color w:val="000000" w:themeColor="text1"/>
          <w:sz w:val="28"/>
          <w:szCs w:val="28"/>
        </w:rPr>
        <w:t xml:space="preserve"> 202</w:t>
      </w:r>
      <w:r w:rsidRPr="000C03D2">
        <w:rPr>
          <w:rFonts w:ascii="Times New Roman" w:hAnsi="Times New Roman" w:cs="Times New Roman"/>
          <w:b/>
          <w:color w:val="000000" w:themeColor="text1"/>
          <w:sz w:val="28"/>
          <w:szCs w:val="28"/>
        </w:rPr>
        <w:t>6</w:t>
      </w:r>
    </w:p>
    <w:p w:rsidR="006A725A" w:rsidRPr="000C03D2" w:rsidRDefault="000C03D2" w:rsidP="00A141C2">
      <w:pPr>
        <w:ind w:right="51"/>
        <w:jc w:val="center"/>
        <w:rPr>
          <w:rFonts w:ascii="Times New Roman" w:hAnsi="Times New Roman" w:cs="Times New Roman"/>
          <w:b/>
          <w:color w:val="000000" w:themeColor="text1"/>
          <w:sz w:val="28"/>
          <w:szCs w:val="28"/>
        </w:rPr>
      </w:pPr>
    </w:p>
    <w:p w:rsidR="006A725A" w:rsidRPr="000C03D2" w:rsidRDefault="000C03D2" w:rsidP="00056B80">
      <w:pPr>
        <w:tabs>
          <w:tab w:val="left" w:pos="8789"/>
        </w:tabs>
        <w:ind w:left="4253" w:right="51"/>
        <w:jc w:val="both"/>
        <w:rPr>
          <w:rFonts w:ascii="Times New Roman" w:hAnsi="Times New Roman" w:cs="Times New Roman"/>
          <w:color w:val="000000" w:themeColor="text1"/>
          <w:sz w:val="28"/>
          <w:szCs w:val="28"/>
        </w:rPr>
      </w:pPr>
      <w:r w:rsidRPr="000C03D2">
        <w:rPr>
          <w:rFonts w:ascii="Times New Roman" w:hAnsi="Times New Roman" w:cs="Times New Roman"/>
          <w:b/>
          <w:bCs/>
          <w:color w:val="000000" w:themeColor="text1"/>
          <w:sz w:val="28"/>
          <w:szCs w:val="28"/>
        </w:rPr>
        <w:t>Expediente:</w:t>
      </w:r>
      <w:r w:rsidRPr="000C03D2">
        <w:rPr>
          <w:rFonts w:ascii="Times New Roman" w:hAnsi="Times New Roman" w:cs="Times New Roman"/>
          <w:color w:val="000000" w:themeColor="text1"/>
          <w:sz w:val="28"/>
          <w:szCs w:val="28"/>
        </w:rPr>
        <w:t xml:space="preserve"> D-</w:t>
      </w:r>
      <w:r w:rsidRPr="000C03D2">
        <w:rPr>
          <w:rFonts w:ascii="Times New Roman" w:hAnsi="Times New Roman" w:cs="Times New Roman"/>
          <w:color w:val="000000" w:themeColor="text1"/>
          <w:sz w:val="28"/>
          <w:szCs w:val="28"/>
        </w:rPr>
        <w:t>16581</w:t>
      </w:r>
    </w:p>
    <w:p w:rsidR="006A725A" w:rsidRPr="000C03D2" w:rsidRDefault="000C03D2" w:rsidP="00056B80">
      <w:pPr>
        <w:ind w:left="4253" w:right="51"/>
        <w:jc w:val="both"/>
        <w:rPr>
          <w:rFonts w:ascii="Times New Roman" w:hAnsi="Times New Roman" w:cs="Times New Roman"/>
          <w:color w:val="000000" w:themeColor="text1"/>
          <w:sz w:val="28"/>
          <w:szCs w:val="28"/>
        </w:rPr>
      </w:pPr>
    </w:p>
    <w:p w:rsidR="006A725A" w:rsidRPr="000C03D2" w:rsidRDefault="000C03D2" w:rsidP="00056B80">
      <w:pPr>
        <w:pBdr>
          <w:top w:val="nil"/>
          <w:left w:val="nil"/>
          <w:bottom w:val="nil"/>
          <w:right w:val="nil"/>
          <w:between w:val="nil"/>
        </w:pBdr>
        <w:ind w:left="4253"/>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D</w:t>
      </w:r>
      <w:r w:rsidRPr="000C03D2">
        <w:rPr>
          <w:rFonts w:ascii="Times New Roman" w:hAnsi="Times New Roman" w:cs="Times New Roman"/>
          <w:color w:val="000000" w:themeColor="text1"/>
          <w:sz w:val="28"/>
          <w:szCs w:val="28"/>
        </w:rPr>
        <w:t>emanda de inconstitucionalidad contra el artículo 237</w:t>
      </w:r>
      <w:r w:rsidRPr="000C03D2">
        <w:rPr>
          <w:rFonts w:ascii="Times New Roman" w:hAnsi="Times New Roman" w:cs="Times New Roman"/>
          <w:color w:val="000000" w:themeColor="text1"/>
          <w:sz w:val="28"/>
          <w:szCs w:val="28"/>
        </w:rPr>
        <w:t xml:space="preserve"> (parcial)</w:t>
      </w:r>
      <w:r w:rsidRPr="000C03D2">
        <w:rPr>
          <w:rFonts w:ascii="Times New Roman" w:hAnsi="Times New Roman" w:cs="Times New Roman"/>
          <w:color w:val="000000" w:themeColor="text1"/>
          <w:sz w:val="28"/>
          <w:szCs w:val="28"/>
        </w:rPr>
        <w:t xml:space="preserve"> del Código Sustantivo del Trabajo.</w:t>
      </w:r>
    </w:p>
    <w:p w:rsidR="006A725A" w:rsidRPr="000C03D2" w:rsidRDefault="000C03D2" w:rsidP="00056B80">
      <w:pPr>
        <w:ind w:left="4253" w:right="51"/>
        <w:jc w:val="both"/>
        <w:rPr>
          <w:rFonts w:ascii="Times New Roman" w:hAnsi="Times New Roman" w:cs="Times New Roman"/>
          <w:color w:val="000000" w:themeColor="text1"/>
          <w:sz w:val="28"/>
          <w:szCs w:val="28"/>
        </w:rPr>
      </w:pPr>
    </w:p>
    <w:p w:rsidR="009779F2" w:rsidRPr="000C03D2" w:rsidRDefault="000C03D2" w:rsidP="00056B80">
      <w:pPr>
        <w:ind w:left="4253" w:right="51"/>
        <w:jc w:val="both"/>
        <w:rPr>
          <w:rFonts w:ascii="Times New Roman" w:hAnsi="Times New Roman" w:cs="Times New Roman"/>
          <w:b/>
          <w:color w:val="000000" w:themeColor="text1"/>
          <w:sz w:val="28"/>
          <w:szCs w:val="28"/>
        </w:rPr>
      </w:pPr>
      <w:r w:rsidRPr="000C03D2">
        <w:rPr>
          <w:rFonts w:ascii="Times New Roman" w:hAnsi="Times New Roman" w:cs="Times New Roman"/>
          <w:b/>
          <w:color w:val="000000" w:themeColor="text1"/>
          <w:sz w:val="28"/>
          <w:szCs w:val="28"/>
        </w:rPr>
        <w:t xml:space="preserve">Magistrado </w:t>
      </w:r>
      <w:r w:rsidRPr="000C03D2">
        <w:rPr>
          <w:rFonts w:ascii="Times New Roman" w:hAnsi="Times New Roman" w:cs="Times New Roman"/>
          <w:b/>
          <w:color w:val="000000" w:themeColor="text1"/>
          <w:sz w:val="28"/>
          <w:szCs w:val="28"/>
        </w:rPr>
        <w:t>P</w:t>
      </w:r>
      <w:r w:rsidRPr="000C03D2">
        <w:rPr>
          <w:rFonts w:ascii="Times New Roman" w:hAnsi="Times New Roman" w:cs="Times New Roman"/>
          <w:b/>
          <w:color w:val="000000" w:themeColor="text1"/>
          <w:sz w:val="28"/>
          <w:szCs w:val="28"/>
        </w:rPr>
        <w:t>onente:</w:t>
      </w:r>
    </w:p>
    <w:p w:rsidR="006A725A" w:rsidRPr="000C03D2" w:rsidRDefault="000C03D2" w:rsidP="00056B80">
      <w:pPr>
        <w:ind w:left="4253" w:right="51"/>
        <w:jc w:val="both"/>
        <w:rPr>
          <w:rFonts w:ascii="Times New Roman" w:hAnsi="Times New Roman" w:cs="Times New Roman"/>
          <w:bCs/>
          <w:color w:val="000000" w:themeColor="text1"/>
          <w:sz w:val="28"/>
          <w:szCs w:val="28"/>
        </w:rPr>
      </w:pPr>
      <w:r w:rsidRPr="000C03D2">
        <w:rPr>
          <w:rFonts w:ascii="Times New Roman" w:hAnsi="Times New Roman" w:cs="Times New Roman"/>
          <w:bCs/>
          <w:color w:val="000000" w:themeColor="text1"/>
          <w:sz w:val="28"/>
          <w:szCs w:val="28"/>
        </w:rPr>
        <w:t>Carlos Camargo Assis</w:t>
      </w:r>
    </w:p>
    <w:p w:rsidR="00026955" w:rsidRPr="000C03D2" w:rsidRDefault="000C03D2" w:rsidP="00BC1B89">
      <w:pPr>
        <w:ind w:right="51"/>
        <w:jc w:val="both"/>
        <w:rPr>
          <w:rFonts w:ascii="Times New Roman" w:hAnsi="Times New Roman" w:cs="Times New Roman"/>
          <w:bCs/>
          <w:color w:val="000000" w:themeColor="text1"/>
          <w:sz w:val="28"/>
          <w:szCs w:val="28"/>
        </w:rPr>
      </w:pPr>
    </w:p>
    <w:p w:rsidR="00026955" w:rsidRPr="000C03D2" w:rsidRDefault="000C03D2" w:rsidP="00BC1B89">
      <w:pPr>
        <w:ind w:right="51"/>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Bogotá, D. C., </w:t>
      </w:r>
      <w:r w:rsidRPr="000C03D2">
        <w:rPr>
          <w:rFonts w:ascii="Times New Roman" w:hAnsi="Times New Roman" w:cs="Times New Roman"/>
          <w:color w:val="000000" w:themeColor="text1"/>
          <w:sz w:val="28"/>
          <w:szCs w:val="28"/>
        </w:rPr>
        <w:t>cinco</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5</w:t>
      </w:r>
      <w:r w:rsidRPr="000C03D2">
        <w:rPr>
          <w:rFonts w:ascii="Times New Roman" w:hAnsi="Times New Roman" w:cs="Times New Roman"/>
          <w:color w:val="000000" w:themeColor="text1"/>
          <w:sz w:val="28"/>
          <w:szCs w:val="28"/>
        </w:rPr>
        <w:t xml:space="preserve">) de </w:t>
      </w:r>
      <w:r w:rsidRPr="000C03D2">
        <w:rPr>
          <w:rFonts w:ascii="Times New Roman" w:hAnsi="Times New Roman" w:cs="Times New Roman"/>
          <w:color w:val="000000" w:themeColor="text1"/>
          <w:sz w:val="28"/>
          <w:szCs w:val="28"/>
        </w:rPr>
        <w:t>febrero</w:t>
      </w:r>
      <w:r w:rsidRPr="000C03D2">
        <w:rPr>
          <w:rFonts w:ascii="Times New Roman" w:hAnsi="Times New Roman" w:cs="Times New Roman"/>
          <w:color w:val="000000" w:themeColor="text1"/>
          <w:sz w:val="28"/>
          <w:szCs w:val="28"/>
        </w:rPr>
        <w:t xml:space="preserve"> de dos mil </w:t>
      </w:r>
      <w:r w:rsidRPr="000C03D2">
        <w:rPr>
          <w:rFonts w:ascii="Times New Roman" w:hAnsi="Times New Roman" w:cs="Times New Roman"/>
          <w:color w:val="000000" w:themeColor="text1"/>
          <w:sz w:val="28"/>
          <w:szCs w:val="28"/>
        </w:rPr>
        <w:t>veintiséis</w:t>
      </w:r>
      <w:r w:rsidRPr="000C03D2">
        <w:rPr>
          <w:rFonts w:ascii="Times New Roman" w:hAnsi="Times New Roman" w:cs="Times New Roman"/>
          <w:color w:val="000000" w:themeColor="text1"/>
          <w:sz w:val="28"/>
          <w:szCs w:val="28"/>
        </w:rPr>
        <w:t xml:space="preserve"> (202</w:t>
      </w:r>
      <w:r w:rsidRPr="000C03D2">
        <w:rPr>
          <w:rFonts w:ascii="Times New Roman" w:hAnsi="Times New Roman" w:cs="Times New Roman"/>
          <w:color w:val="000000" w:themeColor="text1"/>
          <w:sz w:val="28"/>
          <w:szCs w:val="28"/>
        </w:rPr>
        <w:t>6</w:t>
      </w:r>
      <w:r w:rsidRPr="000C03D2">
        <w:rPr>
          <w:rFonts w:ascii="Times New Roman" w:hAnsi="Times New Roman" w:cs="Times New Roman"/>
          <w:color w:val="000000" w:themeColor="text1"/>
          <w:sz w:val="28"/>
          <w:szCs w:val="28"/>
        </w:rPr>
        <w:t>)</w:t>
      </w:r>
    </w:p>
    <w:p w:rsidR="00026955" w:rsidRPr="000C03D2" w:rsidRDefault="000C03D2" w:rsidP="00BC1B89">
      <w:pPr>
        <w:ind w:right="51"/>
        <w:jc w:val="both"/>
        <w:rPr>
          <w:rFonts w:ascii="Times New Roman" w:eastAsia="Calibri" w:hAnsi="Times New Roman" w:cs="Times New Roman"/>
          <w:color w:val="000000" w:themeColor="text1"/>
          <w:sz w:val="28"/>
          <w:szCs w:val="28"/>
        </w:rPr>
      </w:pPr>
    </w:p>
    <w:p w:rsidR="00026955" w:rsidRPr="000C03D2" w:rsidRDefault="000C03D2" w:rsidP="00BC1B89">
      <w:pPr>
        <w:ind w:right="51"/>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La Sala Plena de la Corte Constitucional, en cumplimiento de sus atribuciones constitucionales y de los requisitos y trámites establecidos en el Decreto</w:t>
      </w:r>
      <w:r w:rsidRPr="000C03D2">
        <w:rPr>
          <w:rFonts w:ascii="Times New Roman" w:hAnsi="Times New Roman" w:cs="Times New Roman"/>
          <w:color w:val="000000" w:themeColor="text1"/>
          <w:sz w:val="28"/>
          <w:szCs w:val="28"/>
        </w:rPr>
        <w:t xml:space="preserve"> Ley</w:t>
      </w:r>
      <w:r w:rsidRPr="000C03D2">
        <w:rPr>
          <w:rFonts w:ascii="Times New Roman" w:hAnsi="Times New Roman" w:cs="Times New Roman"/>
          <w:color w:val="000000" w:themeColor="text1"/>
          <w:sz w:val="28"/>
          <w:szCs w:val="28"/>
        </w:rPr>
        <w:t xml:space="preserve"> 2067 de 1991, profiere la siguiente</w:t>
      </w:r>
    </w:p>
    <w:p w:rsidR="00026955" w:rsidRPr="000C03D2" w:rsidRDefault="000C03D2" w:rsidP="00BC1B89">
      <w:pPr>
        <w:ind w:right="51"/>
        <w:jc w:val="both"/>
        <w:rPr>
          <w:rFonts w:ascii="Times New Roman" w:hAnsi="Times New Roman" w:cs="Times New Roman"/>
          <w:bCs/>
          <w:color w:val="000000" w:themeColor="text1"/>
          <w:sz w:val="28"/>
          <w:szCs w:val="28"/>
        </w:rPr>
      </w:pPr>
    </w:p>
    <w:p w:rsidR="00026955" w:rsidRPr="000C03D2" w:rsidRDefault="000C03D2" w:rsidP="00A141C2">
      <w:pPr>
        <w:ind w:right="51"/>
        <w:jc w:val="center"/>
        <w:rPr>
          <w:rFonts w:ascii="Times New Roman" w:hAnsi="Times New Roman" w:cs="Times New Roman"/>
          <w:bCs/>
          <w:color w:val="000000" w:themeColor="text1"/>
          <w:sz w:val="28"/>
          <w:szCs w:val="28"/>
        </w:rPr>
      </w:pPr>
      <w:r w:rsidRPr="000C03D2">
        <w:rPr>
          <w:rFonts w:ascii="Times New Roman" w:hAnsi="Times New Roman" w:cs="Times New Roman"/>
          <w:b/>
          <w:color w:val="000000" w:themeColor="text1"/>
          <w:sz w:val="28"/>
          <w:szCs w:val="28"/>
        </w:rPr>
        <w:t>SENTENCIA</w:t>
      </w:r>
    </w:p>
    <w:p w:rsidR="00026955" w:rsidRPr="000C03D2" w:rsidRDefault="000C03D2" w:rsidP="00A141C2">
      <w:pPr>
        <w:rPr>
          <w:rFonts w:ascii="Times New Roman" w:hAnsi="Times New Roman" w:cs="Times New Roman"/>
          <w:color w:val="000000" w:themeColor="text1"/>
          <w:sz w:val="28"/>
          <w:szCs w:val="28"/>
        </w:rPr>
      </w:pPr>
    </w:p>
    <w:p w:rsidR="00026955" w:rsidRPr="000C03D2" w:rsidRDefault="000C03D2" w:rsidP="00A141C2">
      <w:pPr>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Síntesis de la decisión</w:t>
      </w:r>
    </w:p>
    <w:p w:rsidR="00026955" w:rsidRPr="000C03D2" w:rsidRDefault="000C03D2" w:rsidP="00EC2F75">
      <w:pPr>
        <w:jc w:val="both"/>
        <w:rPr>
          <w:rFonts w:ascii="Times New Roman" w:hAnsi="Times New Roman" w:cs="Times New Roman"/>
          <w:b/>
          <w:bCs/>
          <w:color w:val="000000" w:themeColor="text1"/>
          <w:sz w:val="28"/>
          <w:szCs w:val="28"/>
        </w:rPr>
      </w:pPr>
    </w:p>
    <w:p w:rsidR="00B41BF4" w:rsidRPr="000C03D2" w:rsidRDefault="000C03D2" w:rsidP="00B41BF4">
      <w:pPr>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Varios ciudadanos presentaron demanda de inconstitucionalidad contra</w:t>
      </w:r>
      <w:r w:rsidRPr="000C03D2">
        <w:rPr>
          <w:rFonts w:ascii="Times New Roman" w:hAnsi="Times New Roman" w:cs="Times New Roman"/>
          <w:color w:val="000000" w:themeColor="text1"/>
          <w:sz w:val="28"/>
          <w:szCs w:val="28"/>
        </w:rPr>
        <w:t xml:space="preserve"> la expresión “la trabajadora”</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 xml:space="preserve">contenida en </w:t>
      </w:r>
      <w:r w:rsidRPr="000C03D2">
        <w:rPr>
          <w:rFonts w:ascii="Times New Roman" w:hAnsi="Times New Roman" w:cs="Times New Roman"/>
          <w:color w:val="000000" w:themeColor="text1"/>
          <w:sz w:val="28"/>
          <w:szCs w:val="28"/>
        </w:rPr>
        <w:t xml:space="preserve">el artículo 237 del Código Sustantivo del Trabajo, que regula el descanso remunerado en caso de aborto. Alegaron que la </w:t>
      </w:r>
      <w:r w:rsidRPr="000C03D2">
        <w:rPr>
          <w:rFonts w:ascii="Times New Roman" w:hAnsi="Times New Roman" w:cs="Times New Roman"/>
          <w:color w:val="000000" w:themeColor="text1"/>
          <w:sz w:val="28"/>
          <w:szCs w:val="28"/>
        </w:rPr>
        <w:t>expresión</w:t>
      </w:r>
      <w:r w:rsidRPr="000C03D2">
        <w:rPr>
          <w:rFonts w:ascii="Times New Roman" w:hAnsi="Times New Roman" w:cs="Times New Roman"/>
          <w:color w:val="000000" w:themeColor="text1"/>
          <w:sz w:val="28"/>
          <w:szCs w:val="28"/>
        </w:rPr>
        <w:t xml:space="preserve"> vulnera los derechos a la igualdad y a la identidad de género, pues utiliza la expresión “la trabajadora” </w:t>
      </w:r>
      <w:r w:rsidRPr="000C03D2">
        <w:rPr>
          <w:rFonts w:ascii="Times New Roman" w:hAnsi="Times New Roman" w:cs="Times New Roman"/>
          <w:color w:val="000000" w:themeColor="text1"/>
          <w:sz w:val="28"/>
          <w:szCs w:val="28"/>
        </w:rPr>
        <w:t>excluyendo</w:t>
      </w:r>
      <w:r w:rsidRPr="000C03D2">
        <w:rPr>
          <w:rFonts w:ascii="Times New Roman" w:hAnsi="Times New Roman" w:cs="Times New Roman"/>
          <w:color w:val="000000" w:themeColor="text1"/>
          <w:sz w:val="28"/>
          <w:szCs w:val="28"/>
        </w:rPr>
        <w:t xml:space="preserve"> a </w:t>
      </w:r>
      <w:r w:rsidRPr="000C03D2">
        <w:rPr>
          <w:rFonts w:ascii="Times New Roman" w:hAnsi="Times New Roman" w:cs="Times New Roman"/>
          <w:color w:val="000000" w:themeColor="text1"/>
          <w:sz w:val="28"/>
          <w:szCs w:val="28"/>
        </w:rPr>
        <w:t xml:space="preserve">los </w:t>
      </w:r>
      <w:r w:rsidRPr="000C03D2">
        <w:rPr>
          <w:rFonts w:ascii="Times New Roman" w:hAnsi="Times New Roman" w:cs="Times New Roman"/>
          <w:color w:val="000000" w:themeColor="text1"/>
          <w:sz w:val="28"/>
          <w:szCs w:val="28"/>
        </w:rPr>
        <w:t>hom</w:t>
      </w:r>
      <w:r w:rsidRPr="000C03D2">
        <w:rPr>
          <w:rFonts w:ascii="Times New Roman" w:hAnsi="Times New Roman" w:cs="Times New Roman"/>
          <w:color w:val="000000" w:themeColor="text1"/>
          <w:sz w:val="28"/>
          <w:szCs w:val="28"/>
        </w:rPr>
        <w:t xml:space="preserve">bres trans y </w:t>
      </w:r>
      <w:r w:rsidRPr="000C03D2">
        <w:rPr>
          <w:rFonts w:ascii="Times New Roman" w:hAnsi="Times New Roman" w:cs="Times New Roman"/>
          <w:color w:val="000000" w:themeColor="text1"/>
          <w:sz w:val="28"/>
          <w:szCs w:val="28"/>
        </w:rPr>
        <w:t xml:space="preserve">a las </w:t>
      </w:r>
      <w:r w:rsidRPr="000C03D2">
        <w:rPr>
          <w:rFonts w:ascii="Times New Roman" w:hAnsi="Times New Roman" w:cs="Times New Roman"/>
          <w:color w:val="000000" w:themeColor="text1"/>
          <w:sz w:val="28"/>
          <w:szCs w:val="28"/>
        </w:rPr>
        <w:t xml:space="preserve">personas no binarias </w:t>
      </w:r>
      <w:r w:rsidRPr="000C03D2">
        <w:rPr>
          <w:rFonts w:ascii="Times New Roman" w:hAnsi="Times New Roman" w:cs="Times New Roman"/>
          <w:color w:val="000000" w:themeColor="text1"/>
          <w:sz w:val="28"/>
          <w:szCs w:val="28"/>
        </w:rPr>
        <w:t>gestantes</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A manera de contexto, el descanso remunerado regulado en el artículo 237 del Código Sustantivo de Trabajo se refiere a “en caso de aborto, parto prematuro no viable e interrupción voluntaria del embarazo”.</w:t>
      </w:r>
      <w:r w:rsidRPr="000C03D2">
        <w:rPr>
          <w:rFonts w:ascii="Times New Roman" w:hAnsi="Times New Roman" w:cs="Times New Roman"/>
          <w:color w:val="000000" w:themeColor="text1"/>
          <w:sz w:val="28"/>
          <w:szCs w:val="28"/>
        </w:rPr>
        <w:t xml:space="preserve"> Esto, en armonía con la Sentencia C</w:t>
      </w:r>
      <w:r w:rsidRPr="000C03D2">
        <w:rPr>
          <w:rFonts w:ascii="Times New Roman" w:hAnsi="Times New Roman" w:cs="Times New Roman"/>
          <w:color w:val="000000" w:themeColor="text1"/>
          <w:sz w:val="28"/>
          <w:szCs w:val="28"/>
        </w:rPr>
        <w:noBreakHyphen/>
        <w:t>055 de 2022, cuya interpretación recoge pacíficamente el Decreto 2126 de 2023.</w:t>
      </w:r>
    </w:p>
    <w:p w:rsidR="00746C5D" w:rsidRPr="000C03D2" w:rsidRDefault="000C03D2" w:rsidP="00EC2F75">
      <w:pPr>
        <w:jc w:val="both"/>
        <w:rPr>
          <w:rFonts w:ascii="Times New Roman" w:hAnsi="Times New Roman" w:cs="Times New Roman"/>
          <w:color w:val="000000" w:themeColor="text1"/>
          <w:sz w:val="28"/>
          <w:szCs w:val="28"/>
        </w:rPr>
      </w:pPr>
    </w:p>
    <w:p w:rsidR="00770B77" w:rsidRPr="000C03D2" w:rsidRDefault="000C03D2" w:rsidP="00EC2F75">
      <w:pPr>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El problema jurídico</w:t>
      </w:r>
      <w:r w:rsidRPr="000C03D2">
        <w:rPr>
          <w:rFonts w:ascii="Times New Roman" w:hAnsi="Times New Roman" w:cs="Times New Roman"/>
          <w:color w:val="000000" w:themeColor="text1"/>
          <w:sz w:val="28"/>
          <w:szCs w:val="28"/>
        </w:rPr>
        <w:t xml:space="preserve"> consistió en determinar si </w:t>
      </w:r>
      <w:r w:rsidRPr="000C03D2">
        <w:rPr>
          <w:rFonts w:ascii="Times New Roman" w:hAnsi="Times New Roman" w:cs="Times New Roman"/>
          <w:color w:val="000000" w:themeColor="text1"/>
          <w:sz w:val="28"/>
          <w:szCs w:val="28"/>
        </w:rPr>
        <w:t>¿la expresión “la trabajadora” contenida en el artículo 237 del Código Sustantivo del Traba</w:t>
      </w:r>
      <w:r w:rsidRPr="000C03D2">
        <w:rPr>
          <w:rFonts w:ascii="Times New Roman" w:hAnsi="Times New Roman" w:cs="Times New Roman"/>
          <w:color w:val="000000" w:themeColor="text1"/>
          <w:sz w:val="28"/>
          <w:szCs w:val="28"/>
        </w:rPr>
        <w:t>jo configura una omisión legislativa relativa que desconoce el derecho a la igualdad y a la identidad de género, al establecer que sólo la mujer trabajadora es la beneficiaria del descanso remunerado en caso de aborto, sin considerar a otras personas gesta</w:t>
      </w:r>
      <w:r w:rsidRPr="000C03D2">
        <w:rPr>
          <w:rFonts w:ascii="Times New Roman" w:hAnsi="Times New Roman" w:cs="Times New Roman"/>
          <w:color w:val="000000" w:themeColor="text1"/>
          <w:sz w:val="28"/>
          <w:szCs w:val="28"/>
        </w:rPr>
        <w:t>ntes?</w:t>
      </w:r>
    </w:p>
    <w:p w:rsidR="00770B77" w:rsidRPr="000C03D2" w:rsidRDefault="000C03D2" w:rsidP="00EC2F75">
      <w:pPr>
        <w:pStyle w:val="NormalWeb"/>
        <w:spacing w:before="0" w:beforeAutospacing="0" w:after="0" w:afterAutospacing="0"/>
        <w:jc w:val="both"/>
        <w:rPr>
          <w:rFonts w:ascii="Times New Roman" w:hAnsi="Times New Roman" w:cs="Times New Roman"/>
          <w:color w:val="000000" w:themeColor="text1"/>
          <w:sz w:val="28"/>
          <w:szCs w:val="28"/>
        </w:rPr>
      </w:pPr>
    </w:p>
    <w:p w:rsidR="00770B77" w:rsidRPr="000C03D2" w:rsidRDefault="000C03D2" w:rsidP="00EC2F75">
      <w:pPr>
        <w:pStyle w:val="NormalWeb"/>
        <w:spacing w:before="0" w:beforeAutospacing="0" w:after="0" w:afterAutospacing="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Para resolver el problema jurídico</w:t>
      </w:r>
      <w:r w:rsidRPr="000C03D2">
        <w:rPr>
          <w:rFonts w:ascii="Times New Roman" w:hAnsi="Times New Roman" w:cs="Times New Roman"/>
          <w:color w:val="000000" w:themeColor="text1"/>
          <w:sz w:val="28"/>
          <w:szCs w:val="28"/>
        </w:rPr>
        <w:t xml:space="preserve"> la Sala Plena se apoyó en las sentencias </w:t>
      </w:r>
      <w:r w:rsidRPr="000C03D2">
        <w:rPr>
          <w:rStyle w:val="Textoennegrita"/>
          <w:rFonts w:ascii="Times New Roman" w:eastAsiaTheme="majorEastAsia" w:hAnsi="Times New Roman" w:cs="Times New Roman"/>
          <w:b w:val="0"/>
          <w:bCs w:val="0"/>
          <w:color w:val="000000" w:themeColor="text1"/>
          <w:sz w:val="28"/>
          <w:szCs w:val="28"/>
        </w:rPr>
        <w:t>C-324 de 2023</w:t>
      </w:r>
      <w:r w:rsidRPr="000C03D2">
        <w:rPr>
          <w:rFonts w:ascii="Times New Roman" w:hAnsi="Times New Roman" w:cs="Times New Roman"/>
          <w:color w:val="000000" w:themeColor="text1"/>
          <w:sz w:val="28"/>
          <w:szCs w:val="28"/>
        </w:rPr>
        <w:t xml:space="preserve"> y </w:t>
      </w:r>
      <w:r w:rsidRPr="000C03D2">
        <w:rPr>
          <w:rStyle w:val="Textoennegrita"/>
          <w:rFonts w:ascii="Times New Roman" w:eastAsiaTheme="majorEastAsia" w:hAnsi="Times New Roman" w:cs="Times New Roman"/>
          <w:b w:val="0"/>
          <w:bCs w:val="0"/>
          <w:color w:val="000000" w:themeColor="text1"/>
          <w:sz w:val="28"/>
          <w:szCs w:val="28"/>
        </w:rPr>
        <w:t>C-071 de 2025</w:t>
      </w:r>
      <w:r w:rsidRPr="000C03D2">
        <w:rPr>
          <w:rFonts w:ascii="Times New Roman" w:hAnsi="Times New Roman" w:cs="Times New Roman"/>
          <w:color w:val="000000" w:themeColor="text1"/>
          <w:sz w:val="28"/>
          <w:szCs w:val="28"/>
        </w:rPr>
        <w:t>, que extendieron beneficios laborales relacionados con la maternidad y la lactancia a todas las personas gestantes. La Corte Constitucional con</w:t>
      </w:r>
      <w:r w:rsidRPr="000C03D2">
        <w:rPr>
          <w:rFonts w:ascii="Times New Roman" w:hAnsi="Times New Roman" w:cs="Times New Roman"/>
          <w:color w:val="000000" w:themeColor="text1"/>
          <w:sz w:val="28"/>
          <w:szCs w:val="28"/>
        </w:rPr>
        <w:t xml:space="preserve">cluyó que el artículo 237 del Código Sustantivo del Trabajo </w:t>
      </w:r>
      <w:r w:rsidRPr="000C03D2">
        <w:rPr>
          <w:rFonts w:ascii="Times New Roman" w:hAnsi="Times New Roman" w:cs="Times New Roman"/>
          <w:color w:val="000000" w:themeColor="text1"/>
          <w:sz w:val="28"/>
          <w:szCs w:val="28"/>
        </w:rPr>
        <w:t>configura</w:t>
      </w:r>
      <w:r w:rsidRPr="000C03D2">
        <w:rPr>
          <w:rFonts w:ascii="Times New Roman" w:hAnsi="Times New Roman" w:cs="Times New Roman"/>
          <w:color w:val="000000" w:themeColor="text1"/>
          <w:sz w:val="28"/>
          <w:szCs w:val="28"/>
        </w:rPr>
        <w:t xml:space="preserve"> una </w:t>
      </w:r>
      <w:r w:rsidRPr="000C03D2">
        <w:rPr>
          <w:rStyle w:val="Textoennegrita"/>
          <w:rFonts w:ascii="Times New Roman" w:eastAsiaTheme="majorEastAsia" w:hAnsi="Times New Roman" w:cs="Times New Roman"/>
          <w:b w:val="0"/>
          <w:bCs w:val="0"/>
          <w:color w:val="000000" w:themeColor="text1"/>
          <w:sz w:val="28"/>
          <w:szCs w:val="28"/>
        </w:rPr>
        <w:t>omisión legislativa relativa</w:t>
      </w:r>
      <w:r w:rsidRPr="000C03D2">
        <w:rPr>
          <w:rFonts w:ascii="Times New Roman" w:hAnsi="Times New Roman" w:cs="Times New Roman"/>
          <w:color w:val="000000" w:themeColor="text1"/>
          <w:sz w:val="28"/>
          <w:szCs w:val="28"/>
        </w:rPr>
        <w:t xml:space="preserve">, al excluir de su ámbito de protección a todas las personas </w:t>
      </w:r>
      <w:r w:rsidRPr="000C03D2">
        <w:rPr>
          <w:rFonts w:ascii="Times New Roman" w:hAnsi="Times New Roman" w:cs="Times New Roman"/>
          <w:color w:val="000000" w:themeColor="text1"/>
          <w:sz w:val="28"/>
          <w:szCs w:val="28"/>
        </w:rPr>
        <w:t>gestantes</w:t>
      </w:r>
      <w:r w:rsidRPr="000C03D2">
        <w:rPr>
          <w:rFonts w:ascii="Times New Roman" w:hAnsi="Times New Roman" w:cs="Times New Roman"/>
          <w:color w:val="000000" w:themeColor="text1"/>
          <w:sz w:val="28"/>
          <w:szCs w:val="28"/>
        </w:rPr>
        <w:t xml:space="preserve">, en particular, los hombres trans y las personas no binarias. Esta omisión vulnera </w:t>
      </w:r>
      <w:r w:rsidRPr="000C03D2">
        <w:rPr>
          <w:rFonts w:ascii="Times New Roman" w:hAnsi="Times New Roman" w:cs="Times New Roman"/>
          <w:color w:val="000000" w:themeColor="text1"/>
          <w:sz w:val="28"/>
          <w:szCs w:val="28"/>
        </w:rPr>
        <w:t>los derechos fundamentales a la igualdad y a la identidad de género</w:t>
      </w:r>
      <w:r w:rsidRPr="000C03D2">
        <w:rPr>
          <w:rFonts w:ascii="Times New Roman" w:hAnsi="Times New Roman" w:cs="Times New Roman"/>
          <w:color w:val="000000" w:themeColor="text1"/>
          <w:sz w:val="28"/>
          <w:szCs w:val="28"/>
        </w:rPr>
        <w:t>, tal como se precisa en las</w:t>
      </w:r>
      <w:r w:rsidRPr="000C03D2">
        <w:rPr>
          <w:rFonts w:ascii="Times New Roman" w:hAnsi="Times New Roman" w:cs="Times New Roman"/>
          <w:color w:val="000000" w:themeColor="text1"/>
          <w:sz w:val="28"/>
          <w:szCs w:val="28"/>
        </w:rPr>
        <w:t xml:space="preserve"> razones</w:t>
      </w:r>
      <w:r w:rsidRPr="000C03D2">
        <w:rPr>
          <w:rFonts w:ascii="Times New Roman" w:hAnsi="Times New Roman" w:cs="Times New Roman"/>
          <w:color w:val="000000" w:themeColor="text1"/>
          <w:sz w:val="28"/>
          <w:szCs w:val="28"/>
        </w:rPr>
        <w:t xml:space="preserve"> expuestas a continuación</w:t>
      </w:r>
      <w:r w:rsidRPr="000C03D2">
        <w:rPr>
          <w:rFonts w:ascii="Times New Roman" w:hAnsi="Times New Roman" w:cs="Times New Roman"/>
          <w:color w:val="000000" w:themeColor="text1"/>
          <w:sz w:val="28"/>
          <w:szCs w:val="28"/>
        </w:rPr>
        <w:t>:</w:t>
      </w: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r w:rsidRPr="000C03D2">
        <w:rPr>
          <w:rStyle w:val="Textoennegrita"/>
          <w:rFonts w:ascii="Times New Roman" w:eastAsiaTheme="majorEastAsia" w:hAnsi="Times New Roman" w:cs="Times New Roman"/>
          <w:b w:val="0"/>
          <w:bCs w:val="0"/>
          <w:i/>
          <w:iCs/>
          <w:color w:val="000000" w:themeColor="text1"/>
          <w:sz w:val="28"/>
          <w:szCs w:val="28"/>
        </w:rPr>
        <w:t>Primero</w:t>
      </w:r>
      <w:r w:rsidRPr="000C03D2">
        <w:rPr>
          <w:rStyle w:val="Textoennegrita"/>
          <w:rFonts w:ascii="Times New Roman" w:eastAsiaTheme="majorEastAsia" w:hAnsi="Times New Roman" w:cs="Times New Roman"/>
          <w:b w:val="0"/>
          <w:bCs w:val="0"/>
          <w:color w:val="000000" w:themeColor="text1"/>
          <w:sz w:val="28"/>
          <w:szCs w:val="28"/>
        </w:rPr>
        <w:t>, la Corte evidenció la existencia de casos asimilables excluidos</w:t>
      </w:r>
      <w:r w:rsidRPr="000C03D2">
        <w:rPr>
          <w:rFonts w:ascii="Times New Roman" w:hAnsi="Times New Roman" w:cs="Times New Roman"/>
          <w:color w:val="000000" w:themeColor="text1"/>
          <w:sz w:val="28"/>
          <w:szCs w:val="28"/>
        </w:rPr>
        <w:t xml:space="preserve">. La norma reconoce el descanso remunerado en caso de aborto únicamente para “la trabajadora”, lo que presupone una identidad femenina cisgénero. Sin embargo, existen otras personas </w:t>
      </w:r>
      <w:r w:rsidRPr="000C03D2">
        <w:rPr>
          <w:rFonts w:ascii="Times New Roman" w:hAnsi="Times New Roman" w:cs="Times New Roman"/>
          <w:color w:val="000000" w:themeColor="text1"/>
          <w:sz w:val="28"/>
          <w:szCs w:val="28"/>
        </w:rPr>
        <w:t>gestantes</w:t>
      </w:r>
      <w:r w:rsidRPr="000C03D2">
        <w:rPr>
          <w:rFonts w:ascii="Times New Roman" w:hAnsi="Times New Roman" w:cs="Times New Roman"/>
          <w:color w:val="000000" w:themeColor="text1"/>
          <w:sz w:val="28"/>
          <w:szCs w:val="28"/>
        </w:rPr>
        <w:t xml:space="preserve"> -como hombres trans y personas no binarias- que pueden atravesar</w:t>
      </w:r>
      <w:r w:rsidRPr="000C03D2">
        <w:rPr>
          <w:rFonts w:ascii="Times New Roman" w:hAnsi="Times New Roman" w:cs="Times New Roman"/>
          <w:color w:val="000000" w:themeColor="text1"/>
          <w:sz w:val="28"/>
          <w:szCs w:val="28"/>
        </w:rPr>
        <w:t xml:space="preserve"> las mismas situaciones (aborto espontáneo, interrupción voluntaria del embarazo o parto prematuro no viable). Al no incluirlas, la disposición genera un trato desigual frente a supuestos equivalentes.</w:t>
      </w: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r w:rsidRPr="000C03D2">
        <w:rPr>
          <w:rFonts w:ascii="Times New Roman" w:hAnsi="Times New Roman" w:cs="Times New Roman"/>
          <w:i/>
          <w:iCs/>
          <w:color w:val="000000" w:themeColor="text1"/>
          <w:sz w:val="28"/>
          <w:szCs w:val="28"/>
        </w:rPr>
        <w:t>Segundo</w:t>
      </w:r>
      <w:r w:rsidRPr="000C03D2">
        <w:rPr>
          <w:rFonts w:ascii="Times New Roman" w:hAnsi="Times New Roman" w:cs="Times New Roman"/>
          <w:color w:val="000000" w:themeColor="text1"/>
          <w:sz w:val="28"/>
          <w:szCs w:val="28"/>
        </w:rPr>
        <w:t xml:space="preserve">, la Sala Plena advirtió el </w:t>
      </w:r>
      <w:r w:rsidRPr="000C03D2">
        <w:rPr>
          <w:rStyle w:val="Textoennegrita"/>
          <w:rFonts w:ascii="Times New Roman" w:eastAsiaTheme="majorEastAsia" w:hAnsi="Times New Roman" w:cs="Times New Roman"/>
          <w:b w:val="0"/>
          <w:bCs w:val="0"/>
          <w:color w:val="000000" w:themeColor="text1"/>
          <w:sz w:val="28"/>
          <w:szCs w:val="28"/>
        </w:rPr>
        <w:t xml:space="preserve">incumplimiento de </w:t>
      </w:r>
      <w:r w:rsidRPr="000C03D2">
        <w:rPr>
          <w:rStyle w:val="Textoennegrita"/>
          <w:rFonts w:ascii="Times New Roman" w:eastAsiaTheme="majorEastAsia" w:hAnsi="Times New Roman" w:cs="Times New Roman"/>
          <w:b w:val="0"/>
          <w:bCs w:val="0"/>
          <w:color w:val="000000" w:themeColor="text1"/>
          <w:sz w:val="28"/>
          <w:szCs w:val="28"/>
        </w:rPr>
        <w:t>deberes constitucionales.</w:t>
      </w:r>
      <w:r w:rsidRPr="000C03D2">
        <w:rPr>
          <w:rFonts w:ascii="Times New Roman" w:hAnsi="Times New Roman" w:cs="Times New Roman"/>
          <w:color w:val="000000" w:themeColor="text1"/>
          <w:sz w:val="28"/>
          <w:szCs w:val="28"/>
        </w:rPr>
        <w:t xml:space="preserve"> El legislador omitió un mandato expreso derivado de los artículos 13 y 43 de la Constitución: garantizar la igualdad y la protección integral durante la gestación. Esta exclusión desconoce la prohibición de discriminación por iden</w:t>
      </w:r>
      <w:r w:rsidRPr="000C03D2">
        <w:rPr>
          <w:rFonts w:ascii="Times New Roman" w:hAnsi="Times New Roman" w:cs="Times New Roman"/>
          <w:color w:val="000000" w:themeColor="text1"/>
          <w:sz w:val="28"/>
          <w:szCs w:val="28"/>
        </w:rPr>
        <w:t>tidad de género y el deber de otorgar asistencia especial a todas las personas gestantes, sin distinción.</w:t>
      </w: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r w:rsidRPr="000C03D2">
        <w:rPr>
          <w:rFonts w:ascii="Times New Roman" w:hAnsi="Times New Roman" w:cs="Times New Roman"/>
          <w:i/>
          <w:iCs/>
          <w:color w:val="000000" w:themeColor="text1"/>
          <w:sz w:val="28"/>
          <w:szCs w:val="28"/>
        </w:rPr>
        <w:t>Tercero</w:t>
      </w:r>
      <w:r w:rsidRPr="000C03D2">
        <w:rPr>
          <w:rFonts w:ascii="Times New Roman" w:hAnsi="Times New Roman" w:cs="Times New Roman"/>
          <w:color w:val="000000" w:themeColor="text1"/>
          <w:sz w:val="28"/>
          <w:szCs w:val="28"/>
        </w:rPr>
        <w:t xml:space="preserve">, la Corte verificó que no existe una razón constitucionalmente válida para mantener la exclusión. Para la Sala, si </w:t>
      </w:r>
      <w:r w:rsidRPr="000C03D2">
        <w:rPr>
          <w:rFonts w:ascii="Times New Roman" w:hAnsi="Times New Roman" w:cs="Times New Roman"/>
          <w:color w:val="000000" w:themeColor="text1"/>
          <w:sz w:val="28"/>
          <w:szCs w:val="28"/>
        </w:rPr>
        <w:t>el contenido normativo</w:t>
      </w:r>
      <w:r w:rsidRPr="000C03D2">
        <w:rPr>
          <w:rFonts w:ascii="Times New Roman" w:hAnsi="Times New Roman" w:cs="Times New Roman"/>
          <w:color w:val="000000" w:themeColor="text1"/>
          <w:sz w:val="28"/>
          <w:szCs w:val="28"/>
        </w:rPr>
        <w:t xml:space="preserve"> bus</w:t>
      </w:r>
      <w:r w:rsidRPr="000C03D2">
        <w:rPr>
          <w:rFonts w:ascii="Times New Roman" w:hAnsi="Times New Roman" w:cs="Times New Roman"/>
          <w:color w:val="000000" w:themeColor="text1"/>
          <w:sz w:val="28"/>
          <w:szCs w:val="28"/>
        </w:rPr>
        <w:t xml:space="preserve">ca proteger la recuperación física y psicológica tras un aborto espontáneo, parto no viable o interrupción voluntaria del embarazo, no existe razón válida para negar este beneficio a </w:t>
      </w:r>
      <w:r w:rsidRPr="000C03D2">
        <w:rPr>
          <w:rFonts w:ascii="Times New Roman" w:hAnsi="Times New Roman" w:cs="Times New Roman"/>
          <w:color w:val="000000" w:themeColor="text1"/>
          <w:sz w:val="28"/>
          <w:szCs w:val="28"/>
        </w:rPr>
        <w:t>otras personas gestantes</w:t>
      </w:r>
      <w:r w:rsidRPr="000C03D2">
        <w:rPr>
          <w:rFonts w:ascii="Times New Roman" w:hAnsi="Times New Roman" w:cs="Times New Roman"/>
          <w:color w:val="000000" w:themeColor="text1"/>
          <w:sz w:val="28"/>
          <w:szCs w:val="28"/>
        </w:rPr>
        <w:t>. La distinción, entonces, se basa en una categor</w:t>
      </w:r>
      <w:r w:rsidRPr="000C03D2">
        <w:rPr>
          <w:rFonts w:ascii="Times New Roman" w:hAnsi="Times New Roman" w:cs="Times New Roman"/>
          <w:color w:val="000000" w:themeColor="text1"/>
          <w:sz w:val="28"/>
          <w:szCs w:val="28"/>
        </w:rPr>
        <w:t xml:space="preserve">ía sospechosa relacionada con </w:t>
      </w:r>
      <w:r w:rsidRPr="000C03D2">
        <w:rPr>
          <w:rFonts w:ascii="Times New Roman" w:hAnsi="Times New Roman" w:cs="Times New Roman"/>
          <w:color w:val="000000" w:themeColor="text1"/>
          <w:sz w:val="28"/>
          <w:szCs w:val="28"/>
        </w:rPr>
        <w:t xml:space="preserve">la </w:t>
      </w:r>
      <w:r w:rsidRPr="000C03D2">
        <w:rPr>
          <w:rFonts w:ascii="Times New Roman" w:hAnsi="Times New Roman" w:cs="Times New Roman"/>
          <w:color w:val="000000" w:themeColor="text1"/>
          <w:sz w:val="28"/>
          <w:szCs w:val="28"/>
        </w:rPr>
        <w:t>identidad sexual, sin perseguir un fin constitucional legítimo. A juicio de la Sala</w:t>
      </w:r>
      <w:r w:rsidRPr="000C03D2">
        <w:rPr>
          <w:rFonts w:ascii="Times New Roman" w:hAnsi="Times New Roman" w:cs="Times New Roman"/>
          <w:color w:val="000000" w:themeColor="text1"/>
          <w:sz w:val="28"/>
          <w:szCs w:val="28"/>
        </w:rPr>
        <w:t xml:space="preserve"> Plena</w:t>
      </w:r>
      <w:r w:rsidRPr="000C03D2">
        <w:rPr>
          <w:rFonts w:ascii="Times New Roman" w:hAnsi="Times New Roman" w:cs="Times New Roman"/>
          <w:color w:val="000000" w:themeColor="text1"/>
          <w:sz w:val="28"/>
          <w:szCs w:val="28"/>
        </w:rPr>
        <w:t xml:space="preserve">, en una sociedad plural, el descanso remunerado </w:t>
      </w:r>
      <w:r w:rsidRPr="000C03D2">
        <w:rPr>
          <w:rFonts w:ascii="Times New Roman" w:hAnsi="Times New Roman" w:cs="Times New Roman"/>
          <w:color w:val="000000" w:themeColor="text1"/>
          <w:sz w:val="28"/>
          <w:szCs w:val="28"/>
        </w:rPr>
        <w:t xml:space="preserve">debe </w:t>
      </w:r>
      <w:r w:rsidRPr="000C03D2">
        <w:rPr>
          <w:rFonts w:ascii="Times New Roman" w:hAnsi="Times New Roman" w:cs="Times New Roman"/>
          <w:color w:val="000000" w:themeColor="text1"/>
          <w:sz w:val="28"/>
          <w:szCs w:val="28"/>
        </w:rPr>
        <w:t xml:space="preserve">vincularse a la </w:t>
      </w:r>
      <w:r w:rsidRPr="000C03D2">
        <w:rPr>
          <w:rFonts w:ascii="Times New Roman" w:hAnsi="Times New Roman" w:cs="Times New Roman"/>
          <w:color w:val="000000" w:themeColor="text1"/>
          <w:sz w:val="28"/>
          <w:szCs w:val="28"/>
        </w:rPr>
        <w:t>gestación</w:t>
      </w:r>
      <w:r w:rsidRPr="000C03D2">
        <w:rPr>
          <w:rFonts w:ascii="Times New Roman" w:hAnsi="Times New Roman" w:cs="Times New Roman"/>
          <w:color w:val="000000" w:themeColor="text1"/>
          <w:sz w:val="28"/>
          <w:szCs w:val="28"/>
        </w:rPr>
        <w:t>, no a la identidad de género. Así las cosas, negar dic</w:t>
      </w:r>
      <w:r w:rsidRPr="000C03D2">
        <w:rPr>
          <w:rFonts w:ascii="Times New Roman" w:hAnsi="Times New Roman" w:cs="Times New Roman"/>
          <w:color w:val="000000" w:themeColor="text1"/>
          <w:sz w:val="28"/>
          <w:szCs w:val="28"/>
        </w:rPr>
        <w:t xml:space="preserve">ho descanso vulnera el derecho fundamental a la identidad de género y desconoce el objetivo de la </w:t>
      </w:r>
      <w:r w:rsidRPr="000C03D2">
        <w:rPr>
          <w:rFonts w:ascii="Times New Roman" w:hAnsi="Times New Roman" w:cs="Times New Roman"/>
          <w:color w:val="000000" w:themeColor="text1"/>
          <w:sz w:val="28"/>
          <w:szCs w:val="28"/>
        </w:rPr>
        <w:t>disposición</w:t>
      </w:r>
      <w:r w:rsidRPr="000C03D2">
        <w:rPr>
          <w:rFonts w:ascii="Times New Roman" w:hAnsi="Times New Roman" w:cs="Times New Roman"/>
          <w:color w:val="000000" w:themeColor="text1"/>
          <w:sz w:val="28"/>
          <w:szCs w:val="28"/>
        </w:rPr>
        <w:t>.</w:t>
      </w: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r w:rsidRPr="000C03D2">
        <w:rPr>
          <w:rFonts w:ascii="Times New Roman" w:hAnsi="Times New Roman" w:cs="Times New Roman"/>
          <w:i/>
          <w:iCs/>
          <w:color w:val="000000" w:themeColor="text1"/>
          <w:sz w:val="28"/>
          <w:szCs w:val="28"/>
        </w:rPr>
        <w:t>Cuarto</w:t>
      </w:r>
      <w:r w:rsidRPr="000C03D2">
        <w:rPr>
          <w:rFonts w:ascii="Times New Roman" w:hAnsi="Times New Roman" w:cs="Times New Roman"/>
          <w:color w:val="000000" w:themeColor="text1"/>
          <w:sz w:val="28"/>
          <w:szCs w:val="28"/>
        </w:rPr>
        <w:t xml:space="preserve">, la exclusión genera una desigualdad negativa que afecta derechos como la no discriminación pues perpetúa patrones de invisibilización y </w:t>
      </w:r>
      <w:r w:rsidRPr="000C03D2">
        <w:rPr>
          <w:rFonts w:ascii="Times New Roman" w:hAnsi="Times New Roman" w:cs="Times New Roman"/>
          <w:color w:val="000000" w:themeColor="text1"/>
          <w:sz w:val="28"/>
          <w:szCs w:val="28"/>
        </w:rPr>
        <w:t>discriminación estructural contra personas trans y no binarias, quienes son sujetos de especial protección constitucional. Este déficit es intolerable, pues impide el acceso a una garantía laboral esencial en condiciones críticas de salud.</w:t>
      </w: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p>
    <w:p w:rsidR="00386274"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En atención a lo expuesto, este Tribunal optó por una </w:t>
      </w:r>
      <w:r w:rsidRPr="000C03D2">
        <w:rPr>
          <w:rStyle w:val="Textoennegrita"/>
          <w:rFonts w:ascii="Times New Roman" w:eastAsiaTheme="majorEastAsia" w:hAnsi="Times New Roman" w:cs="Times New Roman"/>
          <w:b w:val="0"/>
          <w:bCs w:val="0"/>
          <w:color w:val="000000" w:themeColor="text1"/>
          <w:sz w:val="28"/>
          <w:szCs w:val="28"/>
        </w:rPr>
        <w:t>sentencia integradora aditiva</w:t>
      </w:r>
      <w:r w:rsidRPr="000C03D2">
        <w:rPr>
          <w:rFonts w:ascii="Times New Roman" w:hAnsi="Times New Roman" w:cs="Times New Roman"/>
          <w:color w:val="000000" w:themeColor="text1"/>
          <w:sz w:val="28"/>
          <w:szCs w:val="28"/>
        </w:rPr>
        <w:t>, declarando la exequibilidad de</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l</w:t>
      </w:r>
      <w:r w:rsidRPr="000C03D2">
        <w:rPr>
          <w:rFonts w:ascii="Times New Roman" w:hAnsi="Times New Roman" w:cs="Times New Roman"/>
          <w:color w:val="000000" w:themeColor="text1"/>
          <w:sz w:val="28"/>
          <w:szCs w:val="28"/>
        </w:rPr>
        <w:t>a expresión la “trabajadora” contenida en el</w:t>
      </w:r>
      <w:r w:rsidRPr="000C03D2">
        <w:rPr>
          <w:rFonts w:ascii="Times New Roman" w:hAnsi="Times New Roman" w:cs="Times New Roman"/>
          <w:color w:val="000000" w:themeColor="text1"/>
          <w:sz w:val="28"/>
          <w:szCs w:val="28"/>
        </w:rPr>
        <w:t xml:space="preserve"> artículo 237 en el entendido de que aplica a todas las personas </w:t>
      </w:r>
      <w:r w:rsidRPr="000C03D2">
        <w:rPr>
          <w:rFonts w:ascii="Times New Roman" w:hAnsi="Times New Roman" w:cs="Times New Roman"/>
          <w:color w:val="000000" w:themeColor="text1"/>
          <w:sz w:val="28"/>
          <w:szCs w:val="28"/>
        </w:rPr>
        <w:t>gestantes</w:t>
      </w:r>
      <w:r w:rsidRPr="000C03D2">
        <w:rPr>
          <w:rFonts w:ascii="Times New Roman" w:hAnsi="Times New Roman" w:cs="Times New Roman"/>
          <w:color w:val="000000" w:themeColor="text1"/>
          <w:sz w:val="28"/>
          <w:szCs w:val="28"/>
        </w:rPr>
        <w:t>, sin importar su ide</w:t>
      </w:r>
      <w:r w:rsidRPr="000C03D2">
        <w:rPr>
          <w:rFonts w:ascii="Times New Roman" w:hAnsi="Times New Roman" w:cs="Times New Roman"/>
          <w:color w:val="000000" w:themeColor="text1"/>
          <w:sz w:val="28"/>
          <w:szCs w:val="28"/>
        </w:rPr>
        <w:t>ntidad de género. Esta solución evita la discriminación y orienta el lenguaje legislativo hacia formas inclusivas.</w:t>
      </w:r>
    </w:p>
    <w:p w:rsidR="00770B77" w:rsidRPr="000C03D2" w:rsidRDefault="000C03D2" w:rsidP="00770B77">
      <w:pPr>
        <w:pStyle w:val="NormalWeb"/>
        <w:spacing w:before="0" w:beforeAutospacing="0" w:after="0" w:afterAutospacing="0"/>
        <w:jc w:val="both"/>
        <w:rPr>
          <w:rFonts w:ascii="Times New Roman" w:hAnsi="Times New Roman" w:cs="Times New Roman"/>
          <w:color w:val="000000" w:themeColor="text1"/>
          <w:sz w:val="28"/>
          <w:szCs w:val="28"/>
        </w:rPr>
      </w:pPr>
    </w:p>
    <w:p w:rsidR="00026955" w:rsidRPr="000C03D2" w:rsidRDefault="000C03D2" w:rsidP="00A141C2">
      <w:pPr>
        <w:pStyle w:val="Ttulo1"/>
        <w:numPr>
          <w:ilvl w:val="0"/>
          <w:numId w:val="1"/>
        </w:numPr>
        <w:tabs>
          <w:tab w:val="num" w:pos="360"/>
        </w:tabs>
        <w:spacing w:before="0" w:after="0"/>
        <w:ind w:left="0" w:firstLine="0"/>
        <w:rPr>
          <w:rStyle w:val="Ttulo1Car"/>
          <w:rFonts w:ascii="Times New Roman" w:hAnsi="Times New Roman" w:cs="Times New Roman"/>
          <w:b/>
          <w:color w:val="000000" w:themeColor="text1"/>
          <w:sz w:val="28"/>
          <w:szCs w:val="28"/>
        </w:rPr>
      </w:pPr>
      <w:r w:rsidRPr="000C03D2">
        <w:rPr>
          <w:rStyle w:val="Ttulo1Car"/>
          <w:rFonts w:ascii="Times New Roman" w:hAnsi="Times New Roman" w:cs="Times New Roman"/>
          <w:b/>
          <w:color w:val="000000" w:themeColor="text1"/>
          <w:sz w:val="28"/>
          <w:szCs w:val="28"/>
        </w:rPr>
        <w:t>ANTECEDENTES</w:t>
      </w:r>
    </w:p>
    <w:p w:rsidR="00026955" w:rsidRPr="000C03D2" w:rsidRDefault="000C03D2" w:rsidP="00A141C2">
      <w:pPr>
        <w:pStyle w:val="Cuerpo"/>
        <w:tabs>
          <w:tab w:val="left" w:pos="567"/>
        </w:tabs>
        <w:ind w:right="-93"/>
        <w:contextualSpacing/>
        <w:jc w:val="both"/>
        <w:rPr>
          <w:rFonts w:cs="Times New Roman"/>
          <w:color w:val="000000" w:themeColor="text1"/>
        </w:rPr>
      </w:pPr>
    </w:p>
    <w:p w:rsidR="00026955" w:rsidRPr="000C03D2" w:rsidRDefault="000C03D2" w:rsidP="00A141C2">
      <w:pPr>
        <w:pStyle w:val="Ttulo2"/>
        <w:numPr>
          <w:ilvl w:val="0"/>
          <w:numId w:val="2"/>
        </w:numPr>
        <w:tabs>
          <w:tab w:val="num" w:pos="360"/>
        </w:tabs>
        <w:spacing w:before="0" w:after="0"/>
        <w:ind w:left="0" w:firstLine="0"/>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Trámite procesal</w:t>
      </w:r>
    </w:p>
    <w:p w:rsidR="00026955" w:rsidRPr="000C03D2" w:rsidRDefault="000C03D2" w:rsidP="00EC2F75">
      <w:pPr>
        <w:tabs>
          <w:tab w:val="left" w:pos="284"/>
        </w:tabs>
        <w:jc w:val="both"/>
        <w:rPr>
          <w:rFonts w:ascii="Times New Roman" w:hAnsi="Times New Roman" w:cs="Times New Roman"/>
          <w:b/>
          <w:bCs/>
          <w:color w:val="000000" w:themeColor="text1"/>
          <w:sz w:val="28"/>
          <w:szCs w:val="28"/>
        </w:rPr>
      </w:pPr>
    </w:p>
    <w:p w:rsidR="00026955" w:rsidRPr="000C03D2" w:rsidRDefault="000C03D2" w:rsidP="00EC2F75">
      <w:pPr>
        <w:numPr>
          <w:ilvl w:val="0"/>
          <w:numId w:val="3"/>
        </w:numPr>
        <w:tabs>
          <w:tab w:val="left" w:pos="284"/>
        </w:tabs>
        <w:ind w:left="0" w:firstLine="0"/>
        <w:jc w:val="both"/>
        <w:rPr>
          <w:rFonts w:ascii="Times New Roman" w:hAnsi="Times New Roman" w:cs="Times New Roman"/>
          <w:bCs/>
          <w:color w:val="000000" w:themeColor="text1"/>
          <w:sz w:val="28"/>
          <w:szCs w:val="28"/>
        </w:rPr>
      </w:pPr>
      <w:r w:rsidRPr="000C03D2">
        <w:rPr>
          <w:rFonts w:ascii="Times New Roman" w:hAnsi="Times New Roman" w:cs="Times New Roman"/>
          <w:color w:val="000000" w:themeColor="text1"/>
          <w:sz w:val="28"/>
          <w:szCs w:val="28"/>
        </w:rPr>
        <w:t xml:space="preserve">El </w:t>
      </w:r>
      <w:r w:rsidRPr="000C03D2">
        <w:rPr>
          <w:rFonts w:ascii="Times New Roman" w:hAnsi="Times New Roman" w:cs="Times New Roman"/>
          <w:color w:val="000000" w:themeColor="text1"/>
          <w:sz w:val="28"/>
          <w:szCs w:val="28"/>
        </w:rPr>
        <w:t>8</w:t>
      </w:r>
      <w:r w:rsidRPr="000C03D2">
        <w:rPr>
          <w:rFonts w:ascii="Times New Roman" w:hAnsi="Times New Roman" w:cs="Times New Roman"/>
          <w:color w:val="000000" w:themeColor="text1"/>
          <w:sz w:val="28"/>
          <w:szCs w:val="28"/>
        </w:rPr>
        <w:t xml:space="preserve"> de </w:t>
      </w:r>
      <w:r w:rsidRPr="000C03D2">
        <w:rPr>
          <w:rFonts w:ascii="Times New Roman" w:hAnsi="Times New Roman" w:cs="Times New Roman"/>
          <w:color w:val="000000" w:themeColor="text1"/>
          <w:sz w:val="28"/>
          <w:szCs w:val="28"/>
        </w:rPr>
        <w:t>mayo</w:t>
      </w:r>
      <w:r w:rsidRPr="000C03D2">
        <w:rPr>
          <w:rFonts w:ascii="Times New Roman" w:hAnsi="Times New Roman" w:cs="Times New Roman"/>
          <w:color w:val="000000" w:themeColor="text1"/>
          <w:sz w:val="28"/>
          <w:szCs w:val="28"/>
        </w:rPr>
        <w:t xml:space="preserve"> de 2025, l</w:t>
      </w:r>
      <w:r w:rsidRPr="000C03D2">
        <w:rPr>
          <w:rFonts w:ascii="Times New Roman" w:hAnsi="Times New Roman" w:cs="Times New Roman"/>
          <w:color w:val="000000" w:themeColor="text1"/>
          <w:sz w:val="28"/>
          <w:szCs w:val="28"/>
        </w:rPr>
        <w:t>os</w:t>
      </w:r>
      <w:r w:rsidRPr="000C03D2">
        <w:rPr>
          <w:rFonts w:ascii="Times New Roman" w:hAnsi="Times New Roman" w:cs="Times New Roman"/>
          <w:color w:val="000000" w:themeColor="text1"/>
          <w:sz w:val="28"/>
          <w:szCs w:val="28"/>
        </w:rPr>
        <w:t xml:space="preserve"> ciudadano</w:t>
      </w:r>
      <w:r w:rsidRPr="000C03D2">
        <w:rPr>
          <w:rFonts w:ascii="Times New Roman" w:hAnsi="Times New Roman" w:cs="Times New Roman"/>
          <w:color w:val="000000" w:themeColor="text1"/>
          <w:sz w:val="28"/>
          <w:szCs w:val="28"/>
        </w:rPr>
        <w:t xml:space="preserve">s Brayan Alexander Chávez Rivera, Francisco Edmundo Paz Obando, Marco </w:t>
      </w:r>
      <w:r w:rsidRPr="000C03D2">
        <w:rPr>
          <w:rFonts w:ascii="Times New Roman" w:hAnsi="Times New Roman" w:cs="Times New Roman"/>
          <w:color w:val="000000" w:themeColor="text1"/>
          <w:sz w:val="28"/>
          <w:szCs w:val="28"/>
        </w:rPr>
        <w:t>Tulio Beltrán, Edwin Ricardo Medias y Lester Henry Suarez Santacruz</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u w:val="single"/>
        </w:rPr>
        <w:t>demandante</w:t>
      </w:r>
      <w:r w:rsidRPr="000C03D2">
        <w:rPr>
          <w:rFonts w:ascii="Times New Roman" w:hAnsi="Times New Roman" w:cs="Times New Roman"/>
          <w:color w:val="000000" w:themeColor="text1"/>
          <w:sz w:val="28"/>
          <w:szCs w:val="28"/>
          <w:u w:val="single"/>
        </w:rPr>
        <w:t>s</w:t>
      </w:r>
      <w:r w:rsidRPr="000C03D2">
        <w:rPr>
          <w:rFonts w:ascii="Times New Roman" w:hAnsi="Times New Roman" w:cs="Times New Roman"/>
          <w:color w:val="000000" w:themeColor="text1"/>
          <w:sz w:val="28"/>
          <w:szCs w:val="28"/>
        </w:rPr>
        <w:t>”) present</w:t>
      </w:r>
      <w:r w:rsidRPr="000C03D2">
        <w:rPr>
          <w:rFonts w:ascii="Times New Roman" w:hAnsi="Times New Roman" w:cs="Times New Roman"/>
          <w:color w:val="000000" w:themeColor="text1"/>
          <w:sz w:val="28"/>
          <w:szCs w:val="28"/>
        </w:rPr>
        <w:t>aron</w:t>
      </w:r>
      <w:r w:rsidRPr="000C03D2">
        <w:rPr>
          <w:rFonts w:ascii="Times New Roman" w:hAnsi="Times New Roman" w:cs="Times New Roman"/>
          <w:color w:val="000000" w:themeColor="text1"/>
          <w:sz w:val="28"/>
          <w:szCs w:val="28"/>
        </w:rPr>
        <w:t xml:space="preserve"> demanda de acción pública de inconstitucionalidad </w:t>
      </w:r>
      <w:r w:rsidRPr="000C03D2">
        <w:rPr>
          <w:rFonts w:ascii="Times New Roman" w:hAnsi="Times New Roman" w:cs="Times New Roman"/>
          <w:color w:val="000000" w:themeColor="text1"/>
          <w:sz w:val="28"/>
          <w:szCs w:val="28"/>
          <w:lang w:val="es-ES"/>
        </w:rPr>
        <w:t xml:space="preserve">en contra del </w:t>
      </w:r>
      <w:r w:rsidRPr="000C03D2">
        <w:rPr>
          <w:rFonts w:ascii="Times New Roman" w:hAnsi="Times New Roman" w:cs="Times New Roman"/>
          <w:color w:val="000000" w:themeColor="text1"/>
          <w:sz w:val="28"/>
          <w:szCs w:val="28"/>
        </w:rPr>
        <w:t xml:space="preserve">artículo </w:t>
      </w:r>
      <w:r w:rsidRPr="000C03D2">
        <w:rPr>
          <w:rFonts w:ascii="Times New Roman" w:hAnsi="Times New Roman" w:cs="Times New Roman"/>
          <w:color w:val="000000" w:themeColor="text1"/>
          <w:sz w:val="28"/>
          <w:szCs w:val="28"/>
        </w:rPr>
        <w:t>237 (parcial) del Código Sustantivo del Trabajo</w:t>
      </w:r>
      <w:r w:rsidRPr="000C03D2">
        <w:rPr>
          <w:rStyle w:val="Refdenotaalpie"/>
          <w:rFonts w:ascii="Times New Roman" w:hAnsi="Times New Roman" w:cs="Times New Roman"/>
          <w:color w:val="000000" w:themeColor="text1"/>
          <w:sz w:val="28"/>
          <w:szCs w:val="28"/>
        </w:rPr>
        <w:footnoteReference w:id="1"/>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lang w:val="es-ES"/>
        </w:rPr>
        <w:t>Los</w:t>
      </w:r>
      <w:r w:rsidRPr="000C03D2">
        <w:rPr>
          <w:rFonts w:ascii="Times New Roman" w:hAnsi="Times New Roman" w:cs="Times New Roman"/>
          <w:color w:val="000000" w:themeColor="text1"/>
          <w:sz w:val="28"/>
          <w:szCs w:val="28"/>
          <w:lang w:val="es-ES"/>
        </w:rPr>
        <w:t xml:space="preserve"> demandante</w:t>
      </w:r>
      <w:r w:rsidRPr="000C03D2">
        <w:rPr>
          <w:rFonts w:ascii="Times New Roman" w:hAnsi="Times New Roman" w:cs="Times New Roman"/>
          <w:color w:val="000000" w:themeColor="text1"/>
          <w:sz w:val="28"/>
          <w:szCs w:val="28"/>
          <w:lang w:val="es-ES"/>
        </w:rPr>
        <w:t>s</w:t>
      </w:r>
      <w:r w:rsidRPr="000C03D2">
        <w:rPr>
          <w:rFonts w:ascii="Times New Roman" w:hAnsi="Times New Roman" w:cs="Times New Roman"/>
          <w:color w:val="000000" w:themeColor="text1"/>
          <w:sz w:val="28"/>
          <w:szCs w:val="28"/>
          <w:lang w:val="es-ES"/>
        </w:rPr>
        <w:t xml:space="preserve"> sostuv</w:t>
      </w:r>
      <w:r w:rsidRPr="000C03D2">
        <w:rPr>
          <w:rFonts w:ascii="Times New Roman" w:hAnsi="Times New Roman" w:cs="Times New Roman"/>
          <w:color w:val="000000" w:themeColor="text1"/>
          <w:sz w:val="28"/>
          <w:szCs w:val="28"/>
          <w:lang w:val="es-ES"/>
        </w:rPr>
        <w:t>ieron</w:t>
      </w:r>
      <w:r w:rsidRPr="000C03D2">
        <w:rPr>
          <w:rFonts w:ascii="Times New Roman" w:hAnsi="Times New Roman" w:cs="Times New Roman"/>
          <w:color w:val="000000" w:themeColor="text1"/>
          <w:sz w:val="28"/>
          <w:szCs w:val="28"/>
          <w:lang w:val="es-ES"/>
        </w:rPr>
        <w:t xml:space="preserve"> que el ar</w:t>
      </w:r>
      <w:r w:rsidRPr="000C03D2">
        <w:rPr>
          <w:rFonts w:ascii="Times New Roman" w:hAnsi="Times New Roman" w:cs="Times New Roman"/>
          <w:color w:val="000000" w:themeColor="text1"/>
          <w:sz w:val="28"/>
          <w:szCs w:val="28"/>
          <w:lang w:val="es-ES"/>
        </w:rPr>
        <w:t xml:space="preserve">tículo demandado contrariaba </w:t>
      </w:r>
      <w:r w:rsidRPr="000C03D2">
        <w:rPr>
          <w:rFonts w:ascii="Times New Roman" w:hAnsi="Times New Roman" w:cs="Times New Roman"/>
          <w:color w:val="000000" w:themeColor="text1"/>
          <w:sz w:val="28"/>
          <w:szCs w:val="28"/>
          <w:lang w:val="es-ES"/>
        </w:rPr>
        <w:t xml:space="preserve">el Preámbulo y los artículos 2, 13, 16 y 53 </w:t>
      </w:r>
      <w:r w:rsidRPr="000C03D2">
        <w:rPr>
          <w:rFonts w:ascii="Times New Roman" w:hAnsi="Times New Roman" w:cs="Times New Roman"/>
          <w:color w:val="000000" w:themeColor="text1"/>
          <w:sz w:val="28"/>
          <w:szCs w:val="28"/>
          <w:lang w:val="es-ES"/>
        </w:rPr>
        <w:t>de la Constitución Política</w:t>
      </w:r>
      <w:r w:rsidRPr="000C03D2">
        <w:rPr>
          <w:rFonts w:ascii="Times New Roman" w:hAnsi="Times New Roman" w:cs="Times New Roman"/>
          <w:color w:val="000000" w:themeColor="text1"/>
          <w:sz w:val="28"/>
          <w:szCs w:val="28"/>
          <w:lang w:val="es-ES"/>
        </w:rPr>
        <w:t>.</w:t>
      </w:r>
      <w:r w:rsidRPr="000C03D2">
        <w:rPr>
          <w:rFonts w:ascii="Times New Roman" w:hAnsi="Times New Roman" w:cs="Times New Roman"/>
          <w:color w:val="000000" w:themeColor="text1"/>
          <w:sz w:val="28"/>
          <w:szCs w:val="28"/>
          <w:lang w:val="es-ES"/>
        </w:rPr>
        <w:t xml:space="preserve"> </w:t>
      </w:r>
      <w:r w:rsidRPr="000C03D2">
        <w:rPr>
          <w:rFonts w:ascii="Times New Roman" w:hAnsi="Times New Roman" w:cs="Times New Roman"/>
          <w:color w:val="000000" w:themeColor="text1"/>
          <w:sz w:val="28"/>
          <w:szCs w:val="28"/>
          <w:lang w:val="es-ES"/>
        </w:rPr>
        <w:t>F</w:t>
      </w:r>
      <w:r w:rsidRPr="000C03D2">
        <w:rPr>
          <w:rFonts w:ascii="Times New Roman" w:hAnsi="Times New Roman" w:cs="Times New Roman"/>
          <w:color w:val="000000" w:themeColor="text1"/>
          <w:sz w:val="28"/>
          <w:szCs w:val="28"/>
          <w:lang w:val="es-ES"/>
        </w:rPr>
        <w:t>ormul</w:t>
      </w:r>
      <w:r w:rsidRPr="000C03D2">
        <w:rPr>
          <w:rFonts w:ascii="Times New Roman" w:hAnsi="Times New Roman" w:cs="Times New Roman"/>
          <w:color w:val="000000" w:themeColor="text1"/>
          <w:sz w:val="28"/>
          <w:szCs w:val="28"/>
          <w:lang w:val="es-ES"/>
        </w:rPr>
        <w:t>aron</w:t>
      </w:r>
      <w:r w:rsidRPr="000C03D2">
        <w:rPr>
          <w:rFonts w:ascii="Times New Roman" w:hAnsi="Times New Roman" w:cs="Times New Roman"/>
          <w:color w:val="000000" w:themeColor="text1"/>
          <w:sz w:val="28"/>
          <w:szCs w:val="28"/>
          <w:lang w:val="es-ES"/>
        </w:rPr>
        <w:t xml:space="preserve"> dos cargos (i) </w:t>
      </w:r>
      <w:r w:rsidRPr="000C03D2">
        <w:rPr>
          <w:rFonts w:ascii="Times New Roman" w:hAnsi="Times New Roman" w:cs="Times New Roman"/>
          <w:color w:val="000000" w:themeColor="text1"/>
          <w:sz w:val="28"/>
          <w:szCs w:val="28"/>
          <w:lang w:val="es-ES"/>
        </w:rPr>
        <w:t xml:space="preserve">el </w:t>
      </w:r>
      <w:r w:rsidRPr="000C03D2">
        <w:rPr>
          <w:rFonts w:ascii="Times New Roman" w:hAnsi="Times New Roman" w:cs="Times New Roman"/>
          <w:color w:val="000000" w:themeColor="text1"/>
          <w:sz w:val="28"/>
          <w:szCs w:val="28"/>
          <w:lang w:val="es-ES"/>
        </w:rPr>
        <w:t xml:space="preserve">desconocimiento del derecho a la igualdad </w:t>
      </w:r>
      <w:r w:rsidRPr="000C03D2">
        <w:rPr>
          <w:rFonts w:ascii="Times New Roman" w:hAnsi="Times New Roman" w:cs="Times New Roman"/>
          <w:color w:val="000000" w:themeColor="text1"/>
          <w:sz w:val="28"/>
          <w:szCs w:val="28"/>
          <w:lang w:val="es-ES"/>
        </w:rPr>
        <w:t xml:space="preserve">y a la identidad de género </w:t>
      </w:r>
      <w:r w:rsidRPr="000C03D2">
        <w:rPr>
          <w:rFonts w:ascii="Times New Roman" w:hAnsi="Times New Roman" w:cs="Times New Roman"/>
          <w:color w:val="000000" w:themeColor="text1"/>
          <w:sz w:val="28"/>
          <w:szCs w:val="28"/>
          <w:lang w:val="es-ES"/>
        </w:rPr>
        <w:t xml:space="preserve">debido a la omisión del legislador de incluir en la norma </w:t>
      </w:r>
      <w:r w:rsidRPr="000C03D2">
        <w:rPr>
          <w:rFonts w:ascii="Times New Roman" w:hAnsi="Times New Roman" w:cs="Times New Roman"/>
          <w:color w:val="000000" w:themeColor="text1"/>
          <w:sz w:val="28"/>
          <w:szCs w:val="28"/>
        </w:rPr>
        <w:t xml:space="preserve">a los hombres transgénero y a las personas no binarias </w:t>
      </w:r>
      <w:r w:rsidRPr="000C03D2">
        <w:rPr>
          <w:rFonts w:ascii="Times New Roman" w:hAnsi="Times New Roman" w:cs="Times New Roman"/>
          <w:color w:val="000000" w:themeColor="text1"/>
          <w:sz w:val="28"/>
          <w:szCs w:val="28"/>
        </w:rPr>
        <w:t>con</w:t>
      </w:r>
      <w:r w:rsidRPr="000C03D2">
        <w:rPr>
          <w:rFonts w:ascii="Times New Roman" w:hAnsi="Times New Roman" w:cs="Times New Roman"/>
          <w:color w:val="000000" w:themeColor="text1"/>
          <w:sz w:val="28"/>
          <w:szCs w:val="28"/>
        </w:rPr>
        <w:t xml:space="preserve"> capacidad de gestación; y (ii) </w:t>
      </w:r>
      <w:r w:rsidRPr="000C03D2">
        <w:rPr>
          <w:rFonts w:ascii="Times New Roman" w:hAnsi="Times New Roman" w:cs="Times New Roman"/>
          <w:color w:val="000000" w:themeColor="text1"/>
          <w:sz w:val="28"/>
          <w:szCs w:val="28"/>
        </w:rPr>
        <w:t xml:space="preserve">el </w:t>
      </w:r>
      <w:r w:rsidRPr="000C03D2">
        <w:rPr>
          <w:rFonts w:ascii="Times New Roman" w:hAnsi="Times New Roman" w:cs="Times New Roman"/>
          <w:color w:val="000000" w:themeColor="text1"/>
          <w:sz w:val="28"/>
          <w:szCs w:val="28"/>
        </w:rPr>
        <w:t>desconocimiento del derecho a la dignidad porque la norma le atribuye al aborto un significado nocivo o t</w:t>
      </w:r>
      <w:r w:rsidRPr="000C03D2">
        <w:rPr>
          <w:rFonts w:ascii="Times New Roman" w:hAnsi="Times New Roman" w:cs="Times New Roman"/>
          <w:color w:val="000000" w:themeColor="text1"/>
          <w:sz w:val="28"/>
          <w:szCs w:val="28"/>
        </w:rPr>
        <w:t>ortuoso.</w:t>
      </w:r>
    </w:p>
    <w:p w:rsidR="00026955" w:rsidRPr="000C03D2" w:rsidRDefault="000C03D2" w:rsidP="00EC2F75">
      <w:pPr>
        <w:tabs>
          <w:tab w:val="left" w:pos="567"/>
        </w:tabs>
        <w:jc w:val="both"/>
        <w:rPr>
          <w:rFonts w:ascii="Times New Roman" w:hAnsi="Times New Roman" w:cs="Times New Roman"/>
          <w:bCs/>
          <w:color w:val="000000" w:themeColor="text1"/>
          <w:sz w:val="28"/>
          <w:szCs w:val="28"/>
        </w:rPr>
      </w:pPr>
    </w:p>
    <w:p w:rsidR="00026955" w:rsidRPr="000C03D2" w:rsidRDefault="000C03D2" w:rsidP="00EC2F75">
      <w:pPr>
        <w:numPr>
          <w:ilvl w:val="0"/>
          <w:numId w:val="3"/>
        </w:numPr>
        <w:tabs>
          <w:tab w:val="left" w:pos="284"/>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El </w:t>
      </w:r>
      <w:bookmarkStart w:id="1" w:name="_Hlk132223246"/>
      <w:r w:rsidRPr="000C03D2">
        <w:rPr>
          <w:rFonts w:ascii="Times New Roman" w:hAnsi="Times New Roman" w:cs="Times New Roman"/>
          <w:bCs/>
          <w:color w:val="000000" w:themeColor="text1"/>
          <w:sz w:val="28"/>
          <w:szCs w:val="28"/>
          <w:lang w:val="es-ES"/>
        </w:rPr>
        <w:t>20</w:t>
      </w:r>
      <w:r w:rsidRPr="000C03D2">
        <w:rPr>
          <w:rFonts w:ascii="Times New Roman" w:hAnsi="Times New Roman" w:cs="Times New Roman"/>
          <w:bCs/>
          <w:color w:val="000000" w:themeColor="text1"/>
          <w:sz w:val="28"/>
          <w:szCs w:val="28"/>
          <w:lang w:val="es-ES"/>
        </w:rPr>
        <w:t xml:space="preserve"> de </w:t>
      </w:r>
      <w:r w:rsidRPr="000C03D2">
        <w:rPr>
          <w:rFonts w:ascii="Times New Roman" w:hAnsi="Times New Roman" w:cs="Times New Roman"/>
          <w:bCs/>
          <w:color w:val="000000" w:themeColor="text1"/>
          <w:sz w:val="28"/>
          <w:szCs w:val="28"/>
          <w:lang w:val="es-ES"/>
        </w:rPr>
        <w:t>junio</w:t>
      </w:r>
      <w:r w:rsidRPr="000C03D2">
        <w:rPr>
          <w:rFonts w:ascii="Times New Roman" w:hAnsi="Times New Roman" w:cs="Times New Roman"/>
          <w:bCs/>
          <w:color w:val="000000" w:themeColor="text1"/>
          <w:sz w:val="28"/>
          <w:szCs w:val="28"/>
          <w:lang w:val="es-ES"/>
        </w:rPr>
        <w:t xml:space="preserve"> de 2025, el magistrado sustanciador inadmitió la demanda por considerar que no cumplía con las exigencias argumentativas </w:t>
      </w:r>
      <w:r w:rsidRPr="000C03D2">
        <w:rPr>
          <w:rFonts w:ascii="Times New Roman" w:hAnsi="Times New Roman" w:cs="Times New Roman"/>
          <w:bCs/>
          <w:color w:val="000000" w:themeColor="text1"/>
          <w:sz w:val="28"/>
          <w:szCs w:val="28"/>
          <w:lang w:val="es-ES"/>
        </w:rPr>
        <w:t>mínimas</w:t>
      </w:r>
      <w:r w:rsidRPr="000C03D2">
        <w:rPr>
          <w:rFonts w:ascii="Times New Roman" w:hAnsi="Times New Roman" w:cs="Times New Roman"/>
          <w:bCs/>
          <w:color w:val="000000" w:themeColor="text1"/>
          <w:sz w:val="28"/>
          <w:szCs w:val="28"/>
          <w:lang w:val="es-ES"/>
        </w:rPr>
        <w:t xml:space="preserve"> de las demandas de inconstitucionalidad</w:t>
      </w:r>
      <w:r w:rsidRPr="000C03D2">
        <w:rPr>
          <w:rStyle w:val="Refdenotaalpie"/>
          <w:rFonts w:ascii="Times New Roman" w:hAnsi="Times New Roman" w:cs="Times New Roman"/>
          <w:color w:val="000000" w:themeColor="text1"/>
          <w:sz w:val="28"/>
          <w:szCs w:val="28"/>
        </w:rPr>
        <w:footnoteReference w:id="2"/>
      </w:r>
      <w:r w:rsidRPr="000C03D2">
        <w:rPr>
          <w:rFonts w:ascii="Times New Roman" w:hAnsi="Times New Roman" w:cs="Times New Roman"/>
          <w:bCs/>
          <w:color w:val="000000" w:themeColor="text1"/>
          <w:sz w:val="28"/>
          <w:szCs w:val="28"/>
          <w:lang w:val="es-ES"/>
        </w:rPr>
        <w:t xml:space="preserve">. </w:t>
      </w:r>
      <w:bookmarkEnd w:id="1"/>
      <w:r w:rsidRPr="000C03D2">
        <w:rPr>
          <w:rFonts w:ascii="Times New Roman" w:hAnsi="Times New Roman" w:cs="Times New Roman"/>
          <w:color w:val="000000" w:themeColor="text1"/>
          <w:sz w:val="28"/>
          <w:szCs w:val="28"/>
        </w:rPr>
        <w:t xml:space="preserve">El </w:t>
      </w:r>
      <w:r w:rsidRPr="000C03D2">
        <w:rPr>
          <w:rFonts w:ascii="Times New Roman" w:hAnsi="Times New Roman" w:cs="Times New Roman"/>
          <w:color w:val="000000" w:themeColor="text1"/>
          <w:sz w:val="28"/>
          <w:szCs w:val="28"/>
        </w:rPr>
        <w:t>1</w:t>
      </w:r>
      <w:r w:rsidRPr="000C03D2">
        <w:rPr>
          <w:rFonts w:ascii="Times New Roman" w:hAnsi="Times New Roman" w:cs="Times New Roman"/>
          <w:color w:val="000000" w:themeColor="text1"/>
          <w:sz w:val="28"/>
          <w:szCs w:val="28"/>
        </w:rPr>
        <w:t xml:space="preserve"> de </w:t>
      </w:r>
      <w:r w:rsidRPr="000C03D2">
        <w:rPr>
          <w:rFonts w:ascii="Times New Roman" w:hAnsi="Times New Roman" w:cs="Times New Roman"/>
          <w:color w:val="000000" w:themeColor="text1"/>
          <w:sz w:val="28"/>
          <w:szCs w:val="28"/>
        </w:rPr>
        <w:t>julio</w:t>
      </w:r>
      <w:r w:rsidRPr="000C03D2">
        <w:rPr>
          <w:rFonts w:ascii="Times New Roman" w:hAnsi="Times New Roman" w:cs="Times New Roman"/>
          <w:color w:val="000000" w:themeColor="text1"/>
          <w:sz w:val="28"/>
          <w:szCs w:val="28"/>
        </w:rPr>
        <w:t xml:space="preserve"> de 2025, dentro del término legal, </w:t>
      </w:r>
      <w:r w:rsidRPr="000C03D2">
        <w:rPr>
          <w:rFonts w:ascii="Times New Roman" w:hAnsi="Times New Roman" w:cs="Times New Roman"/>
          <w:color w:val="000000" w:themeColor="text1"/>
          <w:sz w:val="28"/>
          <w:szCs w:val="28"/>
        </w:rPr>
        <w:t xml:space="preserve">los </w:t>
      </w:r>
      <w:r w:rsidRPr="000C03D2">
        <w:rPr>
          <w:rFonts w:ascii="Times New Roman" w:hAnsi="Times New Roman" w:cs="Times New Roman"/>
          <w:color w:val="000000" w:themeColor="text1"/>
          <w:sz w:val="28"/>
          <w:szCs w:val="28"/>
        </w:rPr>
        <w:t>demandantes</w:t>
      </w:r>
      <w:r w:rsidRPr="000C03D2">
        <w:rPr>
          <w:rFonts w:ascii="Times New Roman" w:hAnsi="Times New Roman" w:cs="Times New Roman"/>
          <w:color w:val="000000" w:themeColor="text1"/>
          <w:sz w:val="28"/>
          <w:szCs w:val="28"/>
        </w:rPr>
        <w:t xml:space="preserve"> present</w:t>
      </w:r>
      <w:r w:rsidRPr="000C03D2">
        <w:rPr>
          <w:rFonts w:ascii="Times New Roman" w:hAnsi="Times New Roman" w:cs="Times New Roman"/>
          <w:color w:val="000000" w:themeColor="text1"/>
          <w:sz w:val="28"/>
          <w:szCs w:val="28"/>
        </w:rPr>
        <w:t>aron</w:t>
      </w:r>
      <w:r w:rsidRPr="000C03D2">
        <w:rPr>
          <w:rFonts w:ascii="Times New Roman" w:hAnsi="Times New Roman" w:cs="Times New Roman"/>
          <w:color w:val="000000" w:themeColor="text1"/>
          <w:sz w:val="28"/>
          <w:szCs w:val="28"/>
        </w:rPr>
        <w:t xml:space="preserve"> escrito de corrección</w:t>
      </w:r>
      <w:r w:rsidRPr="000C03D2">
        <w:rPr>
          <w:rStyle w:val="Refdenotaalpie"/>
          <w:rFonts w:ascii="Times New Roman" w:hAnsi="Times New Roman" w:cs="Times New Roman"/>
          <w:color w:val="000000" w:themeColor="text1"/>
          <w:sz w:val="28"/>
          <w:szCs w:val="28"/>
        </w:rPr>
        <w:footnoteReference w:id="3"/>
      </w:r>
      <w:r w:rsidRPr="000C03D2">
        <w:rPr>
          <w:rFonts w:ascii="Times New Roman" w:hAnsi="Times New Roman" w:cs="Times New Roman"/>
          <w:color w:val="000000" w:themeColor="text1"/>
          <w:sz w:val="28"/>
          <w:szCs w:val="28"/>
        </w:rPr>
        <w:t xml:space="preserve">. </w:t>
      </w:r>
    </w:p>
    <w:p w:rsidR="00026955" w:rsidRPr="000C03D2" w:rsidRDefault="000C03D2" w:rsidP="00EC2F75">
      <w:pPr>
        <w:tabs>
          <w:tab w:val="left" w:pos="567"/>
        </w:tabs>
        <w:jc w:val="both"/>
        <w:rPr>
          <w:rFonts w:ascii="Times New Roman" w:hAnsi="Times New Roman" w:cs="Times New Roman"/>
          <w:color w:val="000000" w:themeColor="text1"/>
          <w:sz w:val="28"/>
          <w:szCs w:val="28"/>
        </w:rPr>
      </w:pPr>
    </w:p>
    <w:p w:rsidR="00026955" w:rsidRPr="000C03D2" w:rsidRDefault="000C03D2" w:rsidP="00EC2F75">
      <w:pPr>
        <w:numPr>
          <w:ilvl w:val="0"/>
          <w:numId w:val="3"/>
        </w:numPr>
        <w:tabs>
          <w:tab w:val="left" w:pos="284"/>
        </w:tabs>
        <w:ind w:left="0" w:firstLine="0"/>
        <w:jc w:val="both"/>
        <w:rPr>
          <w:rFonts w:ascii="Times New Roman" w:hAnsi="Times New Roman" w:cs="Times New Roman"/>
          <w:i/>
          <w:iCs/>
          <w:color w:val="000000" w:themeColor="text1"/>
          <w:sz w:val="28"/>
          <w:szCs w:val="28"/>
          <w:shd w:val="clear" w:color="auto" w:fill="FFFFFF" w:themeFill="background1"/>
        </w:rPr>
      </w:pPr>
      <w:r w:rsidRPr="000C03D2">
        <w:rPr>
          <w:rFonts w:ascii="Times New Roman" w:hAnsi="Times New Roman" w:cs="Times New Roman"/>
          <w:color w:val="000000" w:themeColor="text1"/>
          <w:sz w:val="28"/>
          <w:szCs w:val="28"/>
        </w:rPr>
        <w:t>Por</w:t>
      </w:r>
      <w:r w:rsidRPr="000C03D2">
        <w:rPr>
          <w:rFonts w:ascii="Times New Roman" w:hAnsi="Times New Roman" w:cs="Times New Roman"/>
          <w:color w:val="000000" w:themeColor="text1"/>
          <w:sz w:val="28"/>
          <w:szCs w:val="28"/>
        </w:rPr>
        <w:t xml:space="preserve"> auto de</w:t>
      </w:r>
      <w:r w:rsidRPr="000C03D2">
        <w:rPr>
          <w:rFonts w:ascii="Times New Roman" w:hAnsi="Times New Roman" w:cs="Times New Roman"/>
          <w:color w:val="000000" w:themeColor="text1"/>
          <w:sz w:val="28"/>
          <w:szCs w:val="28"/>
        </w:rPr>
        <w:t>l</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16</w:t>
      </w:r>
      <w:r w:rsidRPr="000C03D2">
        <w:rPr>
          <w:rFonts w:ascii="Times New Roman" w:hAnsi="Times New Roman" w:cs="Times New Roman"/>
          <w:color w:val="000000" w:themeColor="text1"/>
          <w:sz w:val="28"/>
          <w:szCs w:val="28"/>
        </w:rPr>
        <w:t xml:space="preserve"> de </w:t>
      </w:r>
      <w:r w:rsidRPr="000C03D2">
        <w:rPr>
          <w:rFonts w:ascii="Times New Roman" w:hAnsi="Times New Roman" w:cs="Times New Roman"/>
          <w:color w:val="000000" w:themeColor="text1"/>
          <w:sz w:val="28"/>
          <w:szCs w:val="28"/>
        </w:rPr>
        <w:t>julio</w:t>
      </w:r>
      <w:r w:rsidRPr="000C03D2">
        <w:rPr>
          <w:rFonts w:ascii="Times New Roman" w:hAnsi="Times New Roman" w:cs="Times New Roman"/>
          <w:color w:val="000000" w:themeColor="text1"/>
          <w:sz w:val="28"/>
          <w:szCs w:val="28"/>
        </w:rPr>
        <w:t xml:space="preserve"> de 2025, el magistrado sustanciador </w:t>
      </w:r>
      <w:bookmarkStart w:id="2" w:name="_Hlk132227560"/>
      <w:r w:rsidRPr="000C03D2">
        <w:rPr>
          <w:rFonts w:ascii="Times New Roman" w:hAnsi="Times New Roman" w:cs="Times New Roman"/>
          <w:i/>
          <w:color w:val="000000" w:themeColor="text1"/>
          <w:sz w:val="28"/>
          <w:szCs w:val="28"/>
          <w:shd w:val="clear" w:color="auto" w:fill="FFFFFF" w:themeFill="background1"/>
        </w:rPr>
        <w:t>(i)</w:t>
      </w:r>
      <w:r w:rsidRPr="000C03D2">
        <w:rPr>
          <w:rFonts w:ascii="Times New Roman" w:hAnsi="Times New Roman" w:cs="Times New Roman"/>
          <w:color w:val="000000" w:themeColor="text1"/>
          <w:sz w:val="28"/>
          <w:szCs w:val="28"/>
          <w:shd w:val="clear" w:color="auto" w:fill="FFFFFF" w:themeFill="background1"/>
        </w:rPr>
        <w:t xml:space="preserve"> </w:t>
      </w:r>
      <w:bookmarkEnd w:id="2"/>
      <w:r w:rsidRPr="000C03D2">
        <w:rPr>
          <w:rFonts w:ascii="Times New Roman" w:hAnsi="Times New Roman" w:cs="Times New Roman"/>
          <w:color w:val="000000" w:themeColor="text1"/>
          <w:sz w:val="28"/>
          <w:szCs w:val="28"/>
          <w:shd w:val="clear" w:color="auto" w:fill="FFFFFF" w:themeFill="background1"/>
        </w:rPr>
        <w:t xml:space="preserve">admitió el cargo primero de la demanda </w:t>
      </w:r>
      <w:r w:rsidRPr="000C03D2">
        <w:rPr>
          <w:rFonts w:ascii="Times New Roman" w:hAnsi="Times New Roman" w:cs="Times New Roman"/>
          <w:bCs/>
          <w:color w:val="000000" w:themeColor="text1"/>
          <w:sz w:val="28"/>
          <w:szCs w:val="28"/>
          <w:lang w:val="es-ES"/>
        </w:rPr>
        <w:t>relacionado con la posible configuración de una omisión legislativa relativa y la presunta vulneración</w:t>
      </w:r>
      <w:r w:rsidRPr="000C03D2">
        <w:rPr>
          <w:rFonts w:ascii="Times New Roman" w:hAnsi="Times New Roman" w:cs="Times New Roman"/>
          <w:bCs/>
          <w:color w:val="000000" w:themeColor="text1"/>
          <w:sz w:val="28"/>
          <w:szCs w:val="28"/>
          <w:lang w:val="es-ES"/>
        </w:rPr>
        <w:t xml:space="preserve"> de los derechos a la igualdad y a la identidad de género </w:t>
      </w:r>
      <w:r w:rsidRPr="000C03D2">
        <w:rPr>
          <w:rFonts w:ascii="Times New Roman" w:hAnsi="Times New Roman" w:cs="Times New Roman"/>
          <w:color w:val="000000" w:themeColor="text1"/>
          <w:sz w:val="28"/>
          <w:szCs w:val="28"/>
          <w:shd w:val="clear" w:color="auto" w:fill="FFFFFF" w:themeFill="background1"/>
        </w:rPr>
        <w:t xml:space="preserve">(art. </w:t>
      </w:r>
      <w:r w:rsidRPr="000C03D2">
        <w:rPr>
          <w:rFonts w:ascii="Times New Roman" w:hAnsi="Times New Roman" w:cs="Times New Roman"/>
          <w:color w:val="000000" w:themeColor="text1"/>
          <w:sz w:val="28"/>
          <w:szCs w:val="28"/>
          <w:shd w:val="clear" w:color="auto" w:fill="FFFFFF" w:themeFill="background1"/>
        </w:rPr>
        <w:t>13</w:t>
      </w:r>
      <w:r w:rsidRPr="000C03D2">
        <w:rPr>
          <w:rFonts w:ascii="Times New Roman" w:hAnsi="Times New Roman" w:cs="Times New Roman"/>
          <w:color w:val="000000" w:themeColor="text1"/>
          <w:sz w:val="28"/>
          <w:szCs w:val="28"/>
          <w:shd w:val="clear" w:color="auto" w:fill="FFFFFF" w:themeFill="background1"/>
        </w:rPr>
        <w:t xml:space="preserve"> de la C</w:t>
      </w:r>
      <w:r w:rsidRPr="000C03D2">
        <w:rPr>
          <w:rFonts w:ascii="Times New Roman" w:hAnsi="Times New Roman" w:cs="Times New Roman"/>
          <w:color w:val="000000" w:themeColor="text1"/>
          <w:sz w:val="28"/>
          <w:szCs w:val="28"/>
          <w:shd w:val="clear" w:color="auto" w:fill="FFFFFF" w:themeFill="background1"/>
        </w:rPr>
        <w:t>onstitución Política</w:t>
      </w:r>
      <w:r w:rsidRPr="000C03D2">
        <w:rPr>
          <w:rFonts w:ascii="Times New Roman" w:hAnsi="Times New Roman" w:cs="Times New Roman"/>
          <w:color w:val="000000" w:themeColor="text1"/>
          <w:sz w:val="28"/>
          <w:szCs w:val="28"/>
          <w:shd w:val="clear" w:color="auto" w:fill="FFFFFF" w:themeFill="background1"/>
        </w:rPr>
        <w:t>)</w:t>
      </w:r>
      <w:r w:rsidRPr="000C03D2">
        <w:rPr>
          <w:rStyle w:val="Refdenotaalpie"/>
          <w:rFonts w:ascii="Times New Roman" w:hAnsi="Times New Roman" w:cs="Times New Roman"/>
          <w:color w:val="000000" w:themeColor="text1"/>
          <w:sz w:val="28"/>
          <w:szCs w:val="28"/>
          <w:shd w:val="clear" w:color="auto" w:fill="FFFFFF" w:themeFill="background1"/>
        </w:rPr>
        <w:footnoteReference w:id="4"/>
      </w:r>
      <w:r w:rsidRPr="000C03D2">
        <w:rPr>
          <w:rFonts w:ascii="Times New Roman" w:hAnsi="Times New Roman" w:cs="Times New Roman"/>
          <w:color w:val="000000" w:themeColor="text1"/>
          <w:sz w:val="28"/>
          <w:szCs w:val="28"/>
          <w:shd w:val="clear" w:color="auto" w:fill="FFFFFF" w:themeFill="background1"/>
        </w:rPr>
        <w:t xml:space="preserve">; </w:t>
      </w:r>
      <w:r w:rsidRPr="000C03D2">
        <w:rPr>
          <w:rFonts w:ascii="Times New Roman" w:hAnsi="Times New Roman" w:cs="Times New Roman"/>
          <w:i/>
          <w:iCs/>
          <w:color w:val="000000" w:themeColor="text1"/>
          <w:sz w:val="28"/>
          <w:szCs w:val="28"/>
          <w:shd w:val="clear" w:color="auto" w:fill="FFFFFF" w:themeFill="background1"/>
        </w:rPr>
        <w:t xml:space="preserve">(ii) </w:t>
      </w:r>
      <w:r w:rsidRPr="000C03D2">
        <w:rPr>
          <w:rFonts w:ascii="Times New Roman" w:hAnsi="Times New Roman" w:cs="Times New Roman"/>
          <w:color w:val="000000" w:themeColor="text1"/>
          <w:sz w:val="28"/>
          <w:szCs w:val="28"/>
          <w:shd w:val="clear" w:color="auto" w:fill="FFFFFF" w:themeFill="background1"/>
        </w:rPr>
        <w:t xml:space="preserve">rechazó </w:t>
      </w:r>
      <w:r w:rsidRPr="000C03D2">
        <w:rPr>
          <w:rFonts w:ascii="Times New Roman" w:hAnsi="Times New Roman" w:cs="Times New Roman"/>
          <w:color w:val="000000" w:themeColor="text1"/>
          <w:sz w:val="28"/>
          <w:szCs w:val="28"/>
          <w:shd w:val="clear" w:color="auto" w:fill="FFFFFF" w:themeFill="background1"/>
        </w:rPr>
        <w:t xml:space="preserve">el segundo cargo relacionado con </w:t>
      </w:r>
      <w:r w:rsidRPr="000C03D2">
        <w:rPr>
          <w:rFonts w:ascii="Times New Roman" w:hAnsi="Times New Roman" w:cs="Times New Roman"/>
          <w:color w:val="000000" w:themeColor="text1"/>
          <w:sz w:val="28"/>
          <w:szCs w:val="28"/>
        </w:rPr>
        <w:t>la presunta inconstitucionalidad de la expresión “sufrir”</w:t>
      </w:r>
      <w:r w:rsidRPr="000C03D2">
        <w:rPr>
          <w:rStyle w:val="Refdenotaalpie"/>
          <w:rFonts w:ascii="Times New Roman" w:hAnsi="Times New Roman" w:cs="Times New Roman"/>
          <w:color w:val="000000" w:themeColor="text1"/>
          <w:sz w:val="28"/>
          <w:szCs w:val="28"/>
        </w:rPr>
        <w:footnoteReference w:id="5"/>
      </w:r>
      <w:r w:rsidRPr="000C03D2">
        <w:rPr>
          <w:rFonts w:ascii="Times New Roman" w:hAnsi="Times New Roman" w:cs="Times New Roman"/>
          <w:color w:val="000000" w:themeColor="text1"/>
          <w:sz w:val="28"/>
          <w:szCs w:val="28"/>
          <w:shd w:val="clear" w:color="auto" w:fill="FFFFFF" w:themeFill="background1"/>
        </w:rPr>
        <w:t xml:space="preserve">; </w:t>
      </w:r>
      <w:r w:rsidRPr="000C03D2">
        <w:rPr>
          <w:rFonts w:ascii="Times New Roman" w:hAnsi="Times New Roman" w:cs="Times New Roman"/>
          <w:i/>
          <w:iCs/>
          <w:color w:val="000000" w:themeColor="text1"/>
          <w:sz w:val="28"/>
          <w:szCs w:val="28"/>
          <w:shd w:val="clear" w:color="auto" w:fill="FFFFFF" w:themeFill="background1"/>
        </w:rPr>
        <w:t xml:space="preserve">(iii) </w:t>
      </w:r>
      <w:r w:rsidRPr="000C03D2">
        <w:rPr>
          <w:rFonts w:ascii="Times New Roman" w:hAnsi="Times New Roman" w:cs="Times New Roman"/>
          <w:color w:val="000000" w:themeColor="text1"/>
          <w:sz w:val="28"/>
          <w:szCs w:val="28"/>
          <w:shd w:val="clear" w:color="auto" w:fill="FFFFFF" w:themeFill="background1"/>
        </w:rPr>
        <w:t xml:space="preserve">fijó en lista el proceso; </w:t>
      </w:r>
      <w:r w:rsidRPr="000C03D2">
        <w:rPr>
          <w:rFonts w:ascii="Times New Roman" w:hAnsi="Times New Roman" w:cs="Times New Roman"/>
          <w:i/>
          <w:iCs/>
          <w:color w:val="000000" w:themeColor="text1"/>
          <w:sz w:val="28"/>
          <w:szCs w:val="28"/>
          <w:shd w:val="clear" w:color="auto" w:fill="FFFFFF" w:themeFill="background1"/>
        </w:rPr>
        <w:t xml:space="preserve">(iv) </w:t>
      </w:r>
      <w:r w:rsidRPr="000C03D2">
        <w:rPr>
          <w:rFonts w:ascii="Times New Roman" w:hAnsi="Times New Roman" w:cs="Times New Roman"/>
          <w:color w:val="000000" w:themeColor="text1"/>
          <w:sz w:val="28"/>
          <w:szCs w:val="28"/>
          <w:shd w:val="clear" w:color="auto" w:fill="FFFFFF" w:themeFill="background1"/>
        </w:rPr>
        <w:t>corrió traslado</w:t>
      </w:r>
      <w:r w:rsidRPr="000C03D2">
        <w:rPr>
          <w:rFonts w:ascii="Times New Roman" w:hAnsi="Times New Roman" w:cs="Times New Roman"/>
          <w:color w:val="000000" w:themeColor="text1"/>
          <w:sz w:val="28"/>
          <w:szCs w:val="28"/>
          <w:shd w:val="clear" w:color="auto" w:fill="FFFFFF" w:themeFill="background1"/>
        </w:rPr>
        <w:t xml:space="preserve"> al Procurad</w:t>
      </w:r>
      <w:r w:rsidRPr="000C03D2">
        <w:rPr>
          <w:rFonts w:ascii="Times New Roman" w:hAnsi="Times New Roman" w:cs="Times New Roman"/>
          <w:color w:val="000000" w:themeColor="text1"/>
          <w:sz w:val="28"/>
          <w:szCs w:val="28"/>
          <w:shd w:val="clear" w:color="auto" w:fill="FFFFFF" w:themeFill="background1"/>
        </w:rPr>
        <w:t>or</w:t>
      </w:r>
      <w:r w:rsidRPr="000C03D2">
        <w:rPr>
          <w:rFonts w:ascii="Times New Roman" w:hAnsi="Times New Roman" w:cs="Times New Roman"/>
          <w:color w:val="000000" w:themeColor="text1"/>
          <w:sz w:val="28"/>
          <w:szCs w:val="28"/>
          <w:shd w:val="clear" w:color="auto" w:fill="FFFFFF" w:themeFill="background1"/>
        </w:rPr>
        <w:t xml:space="preserve"> General de la Nación;</w:t>
      </w:r>
      <w:r w:rsidRPr="000C03D2">
        <w:rPr>
          <w:rFonts w:ascii="Times New Roman" w:hAnsi="Times New Roman" w:cs="Times New Roman"/>
          <w:i/>
          <w:iCs/>
          <w:color w:val="000000" w:themeColor="text1"/>
          <w:sz w:val="28"/>
          <w:szCs w:val="28"/>
          <w:shd w:val="clear" w:color="auto" w:fill="FFFFFF" w:themeFill="background1"/>
        </w:rPr>
        <w:t xml:space="preserve"> (v)</w:t>
      </w:r>
      <w:r w:rsidRPr="000C03D2">
        <w:rPr>
          <w:rFonts w:ascii="Times New Roman" w:hAnsi="Times New Roman" w:cs="Times New Roman"/>
          <w:color w:val="000000" w:themeColor="text1"/>
          <w:sz w:val="28"/>
          <w:szCs w:val="28"/>
          <w:shd w:val="clear" w:color="auto" w:fill="FFFFFF" w:themeFill="background1"/>
        </w:rPr>
        <w:t xml:space="preserve"> comunicó el inicio del proceso a la Presidencia de la República, al Presidente del Congreso de la República y al Ministerio</w:t>
      </w:r>
      <w:r w:rsidRPr="000C03D2">
        <w:rPr>
          <w:rFonts w:ascii="Times New Roman" w:hAnsi="Times New Roman" w:cs="Times New Roman"/>
          <w:bCs/>
          <w:color w:val="000000" w:themeColor="text1"/>
          <w:sz w:val="28"/>
          <w:szCs w:val="28"/>
          <w:shd w:val="clear" w:color="auto" w:fill="FFFFFF" w:themeFill="background1"/>
          <w:lang w:val="es-ES_tradnl"/>
        </w:rPr>
        <w:t xml:space="preserve"> </w:t>
      </w:r>
      <w:r w:rsidRPr="000C03D2">
        <w:rPr>
          <w:rFonts w:ascii="Times New Roman" w:hAnsi="Times New Roman" w:cs="Times New Roman"/>
          <w:bCs/>
          <w:color w:val="000000" w:themeColor="text1"/>
          <w:sz w:val="28"/>
          <w:szCs w:val="28"/>
          <w:shd w:val="clear" w:color="auto" w:fill="FFFFFF" w:themeFill="background1"/>
          <w:lang w:val="es-ES_tradnl"/>
        </w:rPr>
        <w:t>del Trabajo</w:t>
      </w:r>
      <w:r w:rsidRPr="000C03D2">
        <w:rPr>
          <w:rFonts w:ascii="Times New Roman" w:hAnsi="Times New Roman" w:cs="Times New Roman"/>
          <w:bCs/>
          <w:color w:val="000000" w:themeColor="text1"/>
          <w:sz w:val="28"/>
          <w:szCs w:val="28"/>
          <w:shd w:val="clear" w:color="auto" w:fill="FFFFFF" w:themeFill="background1"/>
          <w:lang w:val="es-ES_tradnl"/>
        </w:rPr>
        <w:t>;</w:t>
      </w:r>
      <w:r w:rsidRPr="000C03D2">
        <w:rPr>
          <w:rFonts w:ascii="Times New Roman" w:hAnsi="Times New Roman" w:cs="Times New Roman"/>
          <w:bCs/>
          <w:color w:val="000000" w:themeColor="text1"/>
          <w:sz w:val="28"/>
          <w:szCs w:val="28"/>
          <w:shd w:val="clear" w:color="auto" w:fill="FFFFFF" w:themeFill="background1"/>
          <w:lang w:val="es-ES_tradnl"/>
        </w:rPr>
        <w:t xml:space="preserve"> por último,</w:t>
      </w:r>
      <w:r w:rsidRPr="000C03D2">
        <w:rPr>
          <w:rFonts w:ascii="Times New Roman" w:hAnsi="Times New Roman" w:cs="Times New Roman"/>
          <w:color w:val="000000" w:themeColor="text1"/>
          <w:sz w:val="28"/>
          <w:szCs w:val="28"/>
          <w:shd w:val="clear" w:color="auto" w:fill="FFFFFF" w:themeFill="background1"/>
        </w:rPr>
        <w:t xml:space="preserve"> </w:t>
      </w:r>
      <w:r w:rsidRPr="000C03D2">
        <w:rPr>
          <w:rFonts w:ascii="Times New Roman" w:hAnsi="Times New Roman" w:cs="Times New Roman"/>
          <w:i/>
          <w:iCs/>
          <w:color w:val="000000" w:themeColor="text1"/>
          <w:sz w:val="28"/>
          <w:szCs w:val="28"/>
          <w:shd w:val="clear" w:color="auto" w:fill="FFFFFF" w:themeFill="background1"/>
        </w:rPr>
        <w:t>(vi)</w:t>
      </w:r>
      <w:r w:rsidRPr="000C03D2">
        <w:rPr>
          <w:rFonts w:ascii="Times New Roman" w:hAnsi="Times New Roman" w:cs="Times New Roman"/>
          <w:color w:val="000000" w:themeColor="text1"/>
          <w:sz w:val="28"/>
          <w:szCs w:val="28"/>
          <w:shd w:val="clear" w:color="auto" w:fill="FFFFFF" w:themeFill="background1"/>
        </w:rPr>
        <w:t xml:space="preserve"> invitó a participar a varias entidades y universidades</w:t>
      </w:r>
      <w:r w:rsidRPr="000C03D2">
        <w:rPr>
          <w:rStyle w:val="Refdenotaalpie"/>
          <w:rFonts w:ascii="Times New Roman" w:hAnsi="Times New Roman" w:cs="Times New Roman"/>
          <w:color w:val="000000" w:themeColor="text1"/>
          <w:sz w:val="28"/>
          <w:szCs w:val="28"/>
          <w:shd w:val="clear" w:color="auto" w:fill="FFFFFF" w:themeFill="background1"/>
        </w:rPr>
        <w:footnoteReference w:id="6"/>
      </w:r>
      <w:r w:rsidRPr="000C03D2">
        <w:rPr>
          <w:rFonts w:ascii="Times New Roman" w:hAnsi="Times New Roman" w:cs="Times New Roman"/>
          <w:color w:val="000000" w:themeColor="text1"/>
          <w:sz w:val="28"/>
          <w:szCs w:val="28"/>
          <w:shd w:val="clear" w:color="auto" w:fill="FFFFFF" w:themeFill="background1"/>
        </w:rPr>
        <w:t>.</w:t>
      </w:r>
    </w:p>
    <w:p w:rsidR="00026955" w:rsidRPr="000C03D2" w:rsidRDefault="000C03D2" w:rsidP="00A141C2">
      <w:pPr>
        <w:pStyle w:val="Prrafodelista"/>
        <w:rPr>
          <w:rFonts w:ascii="Times New Roman" w:hAnsi="Times New Roman" w:cs="Times New Roman"/>
          <w:i/>
          <w:iCs/>
          <w:color w:val="000000" w:themeColor="text1"/>
          <w:szCs w:val="28"/>
          <w:shd w:val="clear" w:color="auto" w:fill="FFFFFF" w:themeFill="background1"/>
        </w:rPr>
      </w:pPr>
    </w:p>
    <w:p w:rsidR="00026955" w:rsidRPr="000C03D2" w:rsidRDefault="000C03D2" w:rsidP="00A141C2">
      <w:pPr>
        <w:pStyle w:val="Ttulo2"/>
        <w:numPr>
          <w:ilvl w:val="0"/>
          <w:numId w:val="2"/>
        </w:numPr>
        <w:tabs>
          <w:tab w:val="num" w:pos="360"/>
        </w:tabs>
        <w:spacing w:before="0" w:after="0"/>
        <w:ind w:left="0" w:firstLine="0"/>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Norma demandada</w:t>
      </w:r>
    </w:p>
    <w:p w:rsidR="0002695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026955" w:rsidRPr="000C03D2" w:rsidRDefault="000C03D2" w:rsidP="00A141C2">
      <w:pPr>
        <w:numPr>
          <w:ilvl w:val="0"/>
          <w:numId w:val="3"/>
        </w:numPr>
        <w:tabs>
          <w:tab w:val="left" w:pos="284"/>
        </w:tabs>
        <w:ind w:left="0" w:firstLine="0"/>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Los demandantes</w:t>
      </w:r>
      <w:r w:rsidRPr="000C03D2">
        <w:rPr>
          <w:rFonts w:ascii="Times New Roman" w:hAnsi="Times New Roman" w:cs="Times New Roman"/>
          <w:color w:val="000000" w:themeColor="text1"/>
          <w:sz w:val="28"/>
          <w:szCs w:val="28"/>
        </w:rPr>
        <w:t xml:space="preserve"> dirige</w:t>
      </w:r>
      <w:r w:rsidRPr="000C03D2">
        <w:rPr>
          <w:rFonts w:ascii="Times New Roman" w:hAnsi="Times New Roman" w:cs="Times New Roman"/>
          <w:color w:val="000000" w:themeColor="text1"/>
          <w:sz w:val="28"/>
          <w:szCs w:val="28"/>
        </w:rPr>
        <w:t>n</w:t>
      </w:r>
      <w:r w:rsidRPr="000C03D2">
        <w:rPr>
          <w:rFonts w:ascii="Times New Roman" w:hAnsi="Times New Roman" w:cs="Times New Roman"/>
          <w:color w:val="000000" w:themeColor="text1"/>
          <w:sz w:val="28"/>
          <w:szCs w:val="28"/>
        </w:rPr>
        <w:t xml:space="preserve"> la demanda contra </w:t>
      </w:r>
      <w:r w:rsidRPr="000C03D2">
        <w:rPr>
          <w:rFonts w:ascii="Times New Roman" w:hAnsi="Times New Roman" w:cs="Times New Roman"/>
          <w:color w:val="000000" w:themeColor="text1"/>
          <w:sz w:val="28"/>
          <w:szCs w:val="28"/>
        </w:rPr>
        <w:t>el artículo 237 (parcial) del Código Sustantivo del Trabajo</w:t>
      </w:r>
      <w:r w:rsidRPr="000C03D2">
        <w:rPr>
          <w:rFonts w:ascii="Times New Roman" w:hAnsi="Times New Roman" w:cs="Times New Roman"/>
          <w:color w:val="000000" w:themeColor="text1"/>
          <w:sz w:val="28"/>
          <w:szCs w:val="28"/>
        </w:rPr>
        <w:t>. Se subraya y resalta en negrilla la expresión demandada:</w:t>
      </w:r>
      <w:r w:rsidRPr="000C03D2">
        <w:rPr>
          <w:rFonts w:ascii="Times New Roman" w:hAnsi="Times New Roman" w:cs="Times New Roman"/>
          <w:color w:val="000000" w:themeColor="text1"/>
          <w:sz w:val="28"/>
          <w:szCs w:val="28"/>
        </w:rPr>
        <w:t xml:space="preserve"> </w:t>
      </w:r>
    </w:p>
    <w:p w:rsidR="00026955" w:rsidRPr="000C03D2" w:rsidRDefault="000C03D2" w:rsidP="00A141C2">
      <w:pPr>
        <w:tabs>
          <w:tab w:val="left" w:pos="567"/>
        </w:tabs>
        <w:rPr>
          <w:rFonts w:ascii="Times New Roman" w:hAnsi="Times New Roman" w:cs="Times New Roman"/>
          <w:color w:val="000000" w:themeColor="text1"/>
          <w:sz w:val="28"/>
          <w:szCs w:val="28"/>
          <w:shd w:val="clear" w:color="auto" w:fill="FFFFFF" w:themeFill="background1"/>
        </w:rPr>
      </w:pPr>
    </w:p>
    <w:p w:rsidR="008B2665" w:rsidRPr="000C03D2" w:rsidRDefault="000C03D2" w:rsidP="00A141C2">
      <w:pPr>
        <w:overflowPunct w:val="0"/>
        <w:adjustRightInd w:val="0"/>
        <w:ind w:left="567" w:right="-40"/>
        <w:jc w:val="center"/>
        <w:textAlignment w:val="baseline"/>
        <w:rPr>
          <w:rFonts w:ascii="Times New Roman" w:hAnsi="Times New Roman" w:cs="Times New Roman"/>
          <w:b/>
          <w:bCs/>
          <w:color w:val="000000" w:themeColor="text1"/>
          <w:sz w:val="28"/>
        </w:rPr>
      </w:pPr>
      <w:r w:rsidRPr="000C03D2">
        <w:rPr>
          <w:rFonts w:ascii="Times New Roman" w:hAnsi="Times New Roman" w:cs="Times New Roman"/>
          <w:b/>
          <w:bCs/>
          <w:color w:val="000000" w:themeColor="text1"/>
          <w:sz w:val="28"/>
        </w:rPr>
        <w:t>“Código Sustantivo del Trabajo</w:t>
      </w:r>
    </w:p>
    <w:p w:rsidR="008B2665" w:rsidRPr="000C03D2" w:rsidRDefault="000C03D2" w:rsidP="00A141C2">
      <w:pPr>
        <w:overflowPunct w:val="0"/>
        <w:adjustRightInd w:val="0"/>
        <w:ind w:left="567" w:right="-40"/>
        <w:jc w:val="center"/>
        <w:textAlignment w:val="baseline"/>
        <w:rPr>
          <w:rFonts w:ascii="Times New Roman" w:hAnsi="Times New Roman" w:cs="Times New Roman"/>
          <w:bCs/>
          <w:color w:val="000000" w:themeColor="text1"/>
          <w:sz w:val="28"/>
        </w:rPr>
      </w:pPr>
    </w:p>
    <w:p w:rsidR="008B2665" w:rsidRPr="000C03D2" w:rsidRDefault="000C03D2" w:rsidP="00A141C2">
      <w:pPr>
        <w:overflowPunct w:val="0"/>
        <w:adjustRightInd w:val="0"/>
        <w:ind w:left="567" w:right="-40"/>
        <w:jc w:val="center"/>
        <w:textAlignment w:val="baseline"/>
        <w:rPr>
          <w:rFonts w:ascii="Times New Roman" w:hAnsi="Times New Roman" w:cs="Times New Roman"/>
          <w:b/>
          <w:color w:val="000000" w:themeColor="text1"/>
          <w:sz w:val="28"/>
        </w:rPr>
      </w:pPr>
      <w:r w:rsidRPr="000C03D2">
        <w:rPr>
          <w:rFonts w:ascii="Times New Roman" w:hAnsi="Times New Roman" w:cs="Times New Roman"/>
          <w:b/>
          <w:color w:val="000000" w:themeColor="text1"/>
          <w:sz w:val="28"/>
        </w:rPr>
        <w:t>Primera Parte (…)</w:t>
      </w:r>
    </w:p>
    <w:p w:rsidR="008B2665" w:rsidRPr="000C03D2" w:rsidRDefault="000C03D2" w:rsidP="00A141C2">
      <w:pPr>
        <w:overflowPunct w:val="0"/>
        <w:adjustRightInd w:val="0"/>
        <w:ind w:left="567" w:right="-40"/>
        <w:jc w:val="center"/>
        <w:textAlignment w:val="baseline"/>
        <w:rPr>
          <w:rFonts w:ascii="Times New Roman" w:hAnsi="Times New Roman" w:cs="Times New Roman"/>
          <w:b/>
          <w:color w:val="000000" w:themeColor="text1"/>
          <w:sz w:val="28"/>
        </w:rPr>
      </w:pPr>
    </w:p>
    <w:p w:rsidR="008B2665" w:rsidRPr="000C03D2" w:rsidRDefault="000C03D2" w:rsidP="00A141C2">
      <w:pPr>
        <w:overflowPunct w:val="0"/>
        <w:adjustRightInd w:val="0"/>
        <w:ind w:left="567" w:right="-40"/>
        <w:jc w:val="center"/>
        <w:textAlignment w:val="baseline"/>
        <w:rPr>
          <w:rFonts w:ascii="Times New Roman" w:hAnsi="Times New Roman" w:cs="Times New Roman"/>
          <w:b/>
          <w:color w:val="000000" w:themeColor="text1"/>
          <w:sz w:val="28"/>
        </w:rPr>
      </w:pPr>
      <w:r w:rsidRPr="000C03D2">
        <w:rPr>
          <w:rFonts w:ascii="Times New Roman" w:hAnsi="Times New Roman" w:cs="Times New Roman"/>
          <w:b/>
          <w:color w:val="000000" w:themeColor="text1"/>
          <w:sz w:val="28"/>
        </w:rPr>
        <w:t>Título VIII (…)</w:t>
      </w:r>
    </w:p>
    <w:p w:rsidR="008B2665" w:rsidRPr="000C03D2" w:rsidRDefault="000C03D2" w:rsidP="00A141C2">
      <w:pPr>
        <w:overflowPunct w:val="0"/>
        <w:adjustRightInd w:val="0"/>
        <w:ind w:left="567" w:right="-40"/>
        <w:jc w:val="center"/>
        <w:textAlignment w:val="baseline"/>
        <w:rPr>
          <w:rFonts w:ascii="Times New Roman" w:hAnsi="Times New Roman" w:cs="Times New Roman"/>
          <w:b/>
          <w:color w:val="000000" w:themeColor="text1"/>
          <w:sz w:val="28"/>
        </w:rPr>
      </w:pPr>
    </w:p>
    <w:p w:rsidR="008B2665" w:rsidRPr="000C03D2" w:rsidRDefault="000C03D2" w:rsidP="00A141C2">
      <w:pPr>
        <w:overflowPunct w:val="0"/>
        <w:adjustRightInd w:val="0"/>
        <w:ind w:left="567" w:right="-40"/>
        <w:jc w:val="center"/>
        <w:textAlignment w:val="baseline"/>
        <w:rPr>
          <w:rFonts w:ascii="Times New Roman" w:hAnsi="Times New Roman" w:cs="Times New Roman"/>
          <w:b/>
          <w:color w:val="000000" w:themeColor="text1"/>
          <w:sz w:val="28"/>
        </w:rPr>
      </w:pPr>
      <w:r w:rsidRPr="000C03D2">
        <w:rPr>
          <w:rFonts w:ascii="Times New Roman" w:hAnsi="Times New Roman" w:cs="Times New Roman"/>
          <w:b/>
          <w:color w:val="000000" w:themeColor="text1"/>
          <w:sz w:val="28"/>
        </w:rPr>
        <w:t xml:space="preserve">Capítulo </w:t>
      </w:r>
      <w:r w:rsidRPr="000C03D2">
        <w:rPr>
          <w:rFonts w:ascii="Times New Roman" w:hAnsi="Times New Roman" w:cs="Times New Roman"/>
          <w:b/>
          <w:color w:val="000000" w:themeColor="text1"/>
          <w:sz w:val="28"/>
        </w:rPr>
        <w:t>V</w:t>
      </w:r>
    </w:p>
    <w:p w:rsidR="008B2665" w:rsidRPr="000C03D2" w:rsidRDefault="000C03D2" w:rsidP="00A141C2">
      <w:pPr>
        <w:overflowPunct w:val="0"/>
        <w:adjustRightInd w:val="0"/>
        <w:ind w:left="567" w:right="-40"/>
        <w:jc w:val="center"/>
        <w:textAlignment w:val="baseline"/>
        <w:rPr>
          <w:rFonts w:ascii="Times New Roman" w:hAnsi="Times New Roman" w:cs="Times New Roman"/>
          <w:b/>
          <w:bCs/>
          <w:color w:val="000000" w:themeColor="text1"/>
          <w:sz w:val="28"/>
        </w:rPr>
      </w:pPr>
      <w:r w:rsidRPr="000C03D2">
        <w:rPr>
          <w:rFonts w:ascii="Times New Roman" w:hAnsi="Times New Roman" w:cs="Times New Roman"/>
          <w:b/>
          <w:bCs/>
          <w:color w:val="000000" w:themeColor="text1"/>
          <w:sz w:val="28"/>
        </w:rPr>
        <w:t>Protección a la maternidad y protección de menores.</w:t>
      </w:r>
    </w:p>
    <w:p w:rsidR="008B2665" w:rsidRPr="000C03D2" w:rsidRDefault="000C03D2" w:rsidP="00A141C2">
      <w:pPr>
        <w:overflowPunct w:val="0"/>
        <w:adjustRightInd w:val="0"/>
        <w:ind w:left="567" w:right="-40"/>
        <w:jc w:val="center"/>
        <w:textAlignment w:val="baseline"/>
        <w:rPr>
          <w:rFonts w:ascii="Times New Roman" w:hAnsi="Times New Roman" w:cs="Times New Roman"/>
          <w:b/>
          <w:bCs/>
          <w:color w:val="000000" w:themeColor="text1"/>
          <w:sz w:val="28"/>
        </w:rPr>
      </w:pPr>
    </w:p>
    <w:p w:rsidR="008B2665" w:rsidRPr="000C03D2" w:rsidRDefault="000C03D2" w:rsidP="00A141C2">
      <w:pPr>
        <w:overflowPunct w:val="0"/>
        <w:adjustRightInd w:val="0"/>
        <w:ind w:left="567" w:right="-40"/>
        <w:jc w:val="center"/>
        <w:textAlignment w:val="baseline"/>
        <w:rPr>
          <w:rFonts w:ascii="Times New Roman" w:hAnsi="Times New Roman" w:cs="Times New Roman"/>
          <w:bCs/>
          <w:color w:val="000000" w:themeColor="text1"/>
          <w:sz w:val="28"/>
        </w:rPr>
      </w:pPr>
      <w:r w:rsidRPr="000C03D2">
        <w:rPr>
          <w:rFonts w:ascii="Times New Roman" w:hAnsi="Times New Roman" w:cs="Times New Roman"/>
          <w:b/>
          <w:bCs/>
          <w:color w:val="000000" w:themeColor="text1"/>
          <w:sz w:val="28"/>
        </w:rPr>
        <w:t>(…)</w:t>
      </w:r>
    </w:p>
    <w:p w:rsidR="008B2665" w:rsidRPr="000C03D2" w:rsidRDefault="000C03D2" w:rsidP="00A141C2">
      <w:pPr>
        <w:overflowPunct w:val="0"/>
        <w:adjustRightInd w:val="0"/>
        <w:ind w:left="567" w:right="-40"/>
        <w:jc w:val="center"/>
        <w:textAlignment w:val="baseline"/>
        <w:rPr>
          <w:rFonts w:ascii="Times New Roman" w:hAnsi="Times New Roman" w:cs="Times New Roman"/>
          <w:color w:val="000000" w:themeColor="text1"/>
          <w:sz w:val="28"/>
        </w:rPr>
      </w:pPr>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bookmarkStart w:id="3" w:name="17"/>
      <w:r w:rsidRPr="000C03D2">
        <w:rPr>
          <w:rFonts w:ascii="Times New Roman" w:hAnsi="Times New Roman" w:cs="Times New Roman"/>
          <w:b/>
          <w:bCs/>
          <w:color w:val="000000" w:themeColor="text1"/>
          <w:sz w:val="28"/>
        </w:rPr>
        <w:t xml:space="preserve">Artículo 237. </w:t>
      </w:r>
      <w:bookmarkEnd w:id="3"/>
      <w:r w:rsidRPr="000C03D2">
        <w:rPr>
          <w:rFonts w:ascii="Times New Roman" w:hAnsi="Times New Roman" w:cs="Times New Roman"/>
          <w:b/>
          <w:bCs/>
          <w:color w:val="000000" w:themeColor="text1"/>
          <w:sz w:val="28"/>
        </w:rPr>
        <w:t>Descanso remunerado en caso de aborto.</w:t>
      </w:r>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p>
    <w:p w:rsidR="008B2665" w:rsidRPr="000C03D2" w:rsidRDefault="000C03D2" w:rsidP="00A141C2">
      <w:pPr>
        <w:tabs>
          <w:tab w:val="left" w:pos="567"/>
        </w:tabs>
        <w:overflowPunct w:val="0"/>
        <w:adjustRightInd w:val="0"/>
        <w:ind w:left="567" w:right="-40"/>
        <w:textAlignment w:val="baseline"/>
        <w:rPr>
          <w:rFonts w:ascii="Times New Roman" w:hAnsi="Times New Roman" w:cs="Times New Roman"/>
          <w:color w:val="000000" w:themeColor="text1"/>
          <w:sz w:val="28"/>
        </w:rPr>
      </w:pPr>
      <w:r w:rsidRPr="000C03D2">
        <w:rPr>
          <w:rFonts w:ascii="Times New Roman" w:hAnsi="Times New Roman" w:cs="Times New Roman"/>
          <w:color w:val="000000" w:themeColor="text1"/>
          <w:sz w:val="28"/>
        </w:rPr>
        <w:t xml:space="preserve">1. </w:t>
      </w:r>
      <w:r w:rsidRPr="000C03D2">
        <w:rPr>
          <w:rFonts w:ascii="Times New Roman" w:hAnsi="Times New Roman" w:cs="Times New Roman"/>
          <w:b/>
          <w:bCs/>
          <w:color w:val="000000" w:themeColor="text1"/>
          <w:sz w:val="28"/>
          <w:u w:val="single"/>
        </w:rPr>
        <w:t>La trabajadora</w:t>
      </w:r>
      <w:r w:rsidRPr="000C03D2">
        <w:rPr>
          <w:rFonts w:ascii="Times New Roman" w:hAnsi="Times New Roman" w:cs="Times New Roman"/>
          <w:color w:val="000000" w:themeColor="text1"/>
          <w:sz w:val="28"/>
        </w:rPr>
        <w:t xml:space="preserve"> que en el curso del embarazo sufra un aborto o parto prematuro no viable, tiene derecho a una licencia de dos o cuatro semanas, remunerada con el salario que devengaba en el momento de iniciarse el descanso. Si el parto es viable, se aplica lo establecido</w:t>
      </w:r>
      <w:r w:rsidRPr="000C03D2">
        <w:rPr>
          <w:rFonts w:ascii="Times New Roman" w:hAnsi="Times New Roman" w:cs="Times New Roman"/>
          <w:color w:val="000000" w:themeColor="text1"/>
          <w:sz w:val="28"/>
        </w:rPr>
        <w:t xml:space="preserve"> en el artículo anterior.</w:t>
      </w:r>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r w:rsidRPr="000C03D2">
        <w:rPr>
          <w:rFonts w:ascii="Times New Roman" w:hAnsi="Times New Roman" w:cs="Times New Roman"/>
          <w:color w:val="000000" w:themeColor="text1"/>
          <w:sz w:val="28"/>
        </w:rPr>
        <w:t xml:space="preserve">2. Para disfrutar de la licencia de que trata este artículo, </w:t>
      </w:r>
      <w:r w:rsidRPr="000C03D2">
        <w:rPr>
          <w:rFonts w:ascii="Times New Roman" w:hAnsi="Times New Roman" w:cs="Times New Roman"/>
          <w:b/>
          <w:bCs/>
          <w:color w:val="000000" w:themeColor="text1"/>
          <w:sz w:val="28"/>
          <w:u w:val="single"/>
        </w:rPr>
        <w:t>la trabajadora</w:t>
      </w:r>
      <w:r w:rsidRPr="000C03D2">
        <w:rPr>
          <w:rFonts w:ascii="Times New Roman" w:hAnsi="Times New Roman" w:cs="Times New Roman"/>
          <w:color w:val="000000" w:themeColor="text1"/>
          <w:sz w:val="28"/>
        </w:rPr>
        <w:t xml:space="preserve"> debe presentar al empleador un certificado médico sobre lo siguiente:</w:t>
      </w:r>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r w:rsidRPr="000C03D2">
        <w:rPr>
          <w:rFonts w:ascii="Times New Roman" w:hAnsi="Times New Roman" w:cs="Times New Roman"/>
          <w:color w:val="000000" w:themeColor="text1"/>
          <w:sz w:val="28"/>
        </w:rPr>
        <w:t xml:space="preserve">a) </w:t>
      </w:r>
      <w:bookmarkStart w:id="4" w:name="OLE_LINK2"/>
      <w:r w:rsidRPr="000C03D2">
        <w:rPr>
          <w:rFonts w:ascii="Times New Roman" w:hAnsi="Times New Roman" w:cs="Times New Roman"/>
          <w:color w:val="000000" w:themeColor="text1"/>
          <w:sz w:val="28"/>
        </w:rPr>
        <w:t xml:space="preserve">La afirmación de que </w:t>
      </w:r>
      <w:r w:rsidRPr="000C03D2">
        <w:rPr>
          <w:rFonts w:ascii="Times New Roman" w:hAnsi="Times New Roman" w:cs="Times New Roman"/>
          <w:b/>
          <w:bCs/>
          <w:color w:val="000000" w:themeColor="text1"/>
          <w:sz w:val="28"/>
          <w:u w:val="single"/>
        </w:rPr>
        <w:t>la trabajadora</w:t>
      </w:r>
      <w:r w:rsidRPr="000C03D2">
        <w:rPr>
          <w:rFonts w:ascii="Times New Roman" w:hAnsi="Times New Roman" w:cs="Times New Roman"/>
          <w:color w:val="000000" w:themeColor="text1"/>
          <w:sz w:val="28"/>
        </w:rPr>
        <w:t xml:space="preserve"> ha sufrido un aborto o par</w:t>
      </w:r>
      <w:r w:rsidRPr="000C03D2">
        <w:rPr>
          <w:rFonts w:ascii="Times New Roman" w:hAnsi="Times New Roman" w:cs="Times New Roman"/>
          <w:color w:val="000000" w:themeColor="text1"/>
          <w:sz w:val="28"/>
        </w:rPr>
        <w:t>t</w:t>
      </w:r>
      <w:r w:rsidRPr="000C03D2">
        <w:rPr>
          <w:rFonts w:ascii="Times New Roman" w:hAnsi="Times New Roman" w:cs="Times New Roman"/>
          <w:color w:val="000000" w:themeColor="text1"/>
          <w:sz w:val="28"/>
        </w:rPr>
        <w:t>o prematuro, ind</w:t>
      </w:r>
      <w:r w:rsidRPr="000C03D2">
        <w:rPr>
          <w:rFonts w:ascii="Times New Roman" w:hAnsi="Times New Roman" w:cs="Times New Roman"/>
          <w:color w:val="000000" w:themeColor="text1"/>
          <w:sz w:val="28"/>
        </w:rPr>
        <w:t>icando el día en que haya tenido lugar, y</w:t>
      </w:r>
      <w:bookmarkEnd w:id="4"/>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p>
    <w:p w:rsidR="008B2665" w:rsidRPr="000C03D2" w:rsidRDefault="000C03D2" w:rsidP="00A141C2">
      <w:pPr>
        <w:overflowPunct w:val="0"/>
        <w:adjustRightInd w:val="0"/>
        <w:ind w:left="567" w:right="-40"/>
        <w:textAlignment w:val="baseline"/>
        <w:rPr>
          <w:rFonts w:ascii="Times New Roman" w:hAnsi="Times New Roman" w:cs="Times New Roman"/>
          <w:color w:val="000000" w:themeColor="text1"/>
          <w:sz w:val="28"/>
        </w:rPr>
      </w:pPr>
      <w:r w:rsidRPr="000C03D2">
        <w:rPr>
          <w:rFonts w:ascii="Times New Roman" w:hAnsi="Times New Roman" w:cs="Times New Roman"/>
          <w:color w:val="000000" w:themeColor="text1"/>
          <w:sz w:val="28"/>
        </w:rPr>
        <w:t xml:space="preserve">b) La indicación del tiempo de reposo que necesita </w:t>
      </w:r>
      <w:r w:rsidRPr="000C03D2">
        <w:rPr>
          <w:rFonts w:ascii="Times New Roman" w:hAnsi="Times New Roman" w:cs="Times New Roman"/>
          <w:b/>
          <w:bCs/>
          <w:color w:val="000000" w:themeColor="text1"/>
          <w:sz w:val="28"/>
          <w:u w:val="single"/>
        </w:rPr>
        <w:t>la trabajadora</w:t>
      </w:r>
      <w:r w:rsidRPr="000C03D2">
        <w:rPr>
          <w:rFonts w:ascii="Times New Roman" w:hAnsi="Times New Roman" w:cs="Times New Roman"/>
          <w:color w:val="000000" w:themeColor="text1"/>
          <w:sz w:val="28"/>
        </w:rPr>
        <w:t>”.</w:t>
      </w:r>
    </w:p>
    <w:p w:rsidR="0082172A"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026955" w:rsidRPr="000C03D2" w:rsidRDefault="000C03D2" w:rsidP="006B1B16">
      <w:pPr>
        <w:pStyle w:val="Ttulo2"/>
        <w:numPr>
          <w:ilvl w:val="0"/>
          <w:numId w:val="2"/>
        </w:numPr>
        <w:tabs>
          <w:tab w:val="num" w:pos="360"/>
          <w:tab w:val="left" w:pos="567"/>
        </w:tabs>
        <w:spacing w:before="0" w:after="0"/>
        <w:ind w:left="0" w:firstLine="0"/>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 xml:space="preserve">La demanda </w:t>
      </w:r>
    </w:p>
    <w:p w:rsidR="00D8239C" w:rsidRPr="000C03D2" w:rsidRDefault="000C03D2" w:rsidP="00D8239C">
      <w:pPr>
        <w:rPr>
          <w:rFonts w:ascii="Times New Roman" w:hAnsi="Times New Roman" w:cs="Times New Roman"/>
          <w:color w:val="000000" w:themeColor="text1"/>
          <w:sz w:val="28"/>
        </w:rPr>
      </w:pPr>
    </w:p>
    <w:p w:rsidR="00654DA9" w:rsidRPr="000C03D2" w:rsidRDefault="000C03D2" w:rsidP="00DF6D08">
      <w:pPr>
        <w:numPr>
          <w:ilvl w:val="0"/>
          <w:numId w:val="3"/>
        </w:numPr>
        <w:tabs>
          <w:tab w:val="left" w:pos="284"/>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Acorde con la demanda</w:t>
      </w:r>
      <w:r w:rsidRPr="000C03D2">
        <w:rPr>
          <w:rFonts w:ascii="Times New Roman" w:hAnsi="Times New Roman" w:cs="Times New Roman"/>
          <w:color w:val="000000" w:themeColor="text1"/>
          <w:sz w:val="28"/>
          <w:szCs w:val="28"/>
        </w:rPr>
        <w:t>,</w:t>
      </w:r>
      <w:r w:rsidRPr="000C03D2">
        <w:rPr>
          <w:rFonts w:ascii="Times New Roman" w:hAnsi="Times New Roman" w:cs="Times New Roman"/>
          <w:i/>
          <w:iCs/>
          <w:color w:val="000000" w:themeColor="text1"/>
          <w:sz w:val="28"/>
          <w:szCs w:val="28"/>
        </w:rPr>
        <w:t xml:space="preserve"> </w:t>
      </w:r>
      <w:r w:rsidRPr="000C03D2">
        <w:rPr>
          <w:rFonts w:ascii="Times New Roman" w:hAnsi="Times New Roman" w:cs="Times New Roman"/>
          <w:color w:val="000000" w:themeColor="text1"/>
          <w:sz w:val="28"/>
          <w:szCs w:val="28"/>
        </w:rPr>
        <w:t xml:space="preserve">la expresión “la trabajadora” </w:t>
      </w:r>
      <w:r w:rsidRPr="000C03D2">
        <w:rPr>
          <w:rFonts w:ascii="Times New Roman" w:hAnsi="Times New Roman" w:cs="Times New Roman"/>
          <w:color w:val="000000" w:themeColor="text1"/>
          <w:sz w:val="28"/>
          <w:szCs w:val="28"/>
        </w:rPr>
        <w:t>contenida en el artículo acusado desconoce el derecho a la igualdad</w:t>
      </w:r>
      <w:r w:rsidRPr="000C03D2">
        <w:rPr>
          <w:rFonts w:ascii="Times New Roman" w:hAnsi="Times New Roman" w:cs="Times New Roman"/>
          <w:color w:val="000000" w:themeColor="text1"/>
          <w:sz w:val="28"/>
          <w:szCs w:val="28"/>
        </w:rPr>
        <w:t xml:space="preserve"> y a la identidad de género</w:t>
      </w:r>
      <w:r w:rsidRPr="000C03D2">
        <w:rPr>
          <w:rFonts w:ascii="Times New Roman" w:hAnsi="Times New Roman" w:cs="Times New Roman"/>
          <w:color w:val="000000" w:themeColor="text1"/>
          <w:sz w:val="28"/>
          <w:szCs w:val="28"/>
        </w:rPr>
        <w:t xml:space="preserve">, como consecuencia de una omisión legislativa relativa. </w:t>
      </w:r>
      <w:r w:rsidRPr="000C03D2">
        <w:rPr>
          <w:rFonts w:ascii="Times New Roman" w:hAnsi="Times New Roman" w:cs="Times New Roman"/>
          <w:color w:val="000000" w:themeColor="text1"/>
          <w:sz w:val="28"/>
          <w:szCs w:val="28"/>
        </w:rPr>
        <w:t xml:space="preserve">Indicaron que </w:t>
      </w:r>
      <w:r w:rsidRPr="000C03D2">
        <w:rPr>
          <w:rFonts w:ascii="Times New Roman" w:hAnsi="Times New Roman" w:cs="Times New Roman"/>
          <w:color w:val="000000" w:themeColor="text1"/>
          <w:sz w:val="28"/>
          <w:szCs w:val="28"/>
        </w:rPr>
        <w:t xml:space="preserve">la expresión acusada genera una discriminación hacia las personas no binarias y los hombres transgénero. Esto, al no incluirlos dentro del supuesto normativo </w:t>
      </w:r>
      <w:r w:rsidRPr="000C03D2">
        <w:rPr>
          <w:rFonts w:ascii="Times New Roman" w:hAnsi="Times New Roman" w:cs="Times New Roman"/>
          <w:color w:val="000000" w:themeColor="text1"/>
          <w:sz w:val="28"/>
          <w:szCs w:val="28"/>
        </w:rPr>
        <w:t>que permite acceder al descanso remunerado en caso de aborto pese a tener capacidad gestante. Plantearon</w:t>
      </w:r>
      <w:r w:rsidRPr="000C03D2">
        <w:rPr>
          <w:rFonts w:ascii="Times New Roman" w:hAnsi="Times New Roman" w:cs="Times New Roman"/>
          <w:color w:val="000000" w:themeColor="text1"/>
          <w:sz w:val="28"/>
          <w:szCs w:val="28"/>
        </w:rPr>
        <w:t xml:space="preserve"> que la expresión “la trabajadora” representa un panorama de discriminación “toda vez que acudiendo al tenor literal de la expresión, solo se contemplar</w:t>
      </w:r>
      <w:r w:rsidRPr="000C03D2">
        <w:rPr>
          <w:rFonts w:ascii="Times New Roman" w:hAnsi="Times New Roman" w:cs="Times New Roman"/>
          <w:color w:val="000000" w:themeColor="text1"/>
          <w:sz w:val="28"/>
          <w:szCs w:val="28"/>
        </w:rPr>
        <w:t>ían como fuente de protección a las mujeres cisgénero”</w:t>
      </w:r>
      <w:r w:rsidRPr="000C03D2">
        <w:rPr>
          <w:rStyle w:val="Refdenotaalpie"/>
          <w:rFonts w:ascii="Times New Roman" w:hAnsi="Times New Roman" w:cs="Times New Roman"/>
          <w:color w:val="000000" w:themeColor="text1"/>
          <w:sz w:val="28"/>
          <w:szCs w:val="28"/>
        </w:rPr>
        <w:footnoteReference w:id="7"/>
      </w:r>
      <w:r w:rsidRPr="000C03D2">
        <w:rPr>
          <w:rFonts w:ascii="Times New Roman" w:hAnsi="Times New Roman" w:cs="Times New Roman"/>
          <w:color w:val="000000" w:themeColor="text1"/>
          <w:sz w:val="28"/>
          <w:szCs w:val="28"/>
        </w:rPr>
        <w:t xml:space="preserve">. </w:t>
      </w:r>
    </w:p>
    <w:p w:rsidR="00654DA9" w:rsidRPr="000C03D2" w:rsidRDefault="000C03D2" w:rsidP="00DF6D08">
      <w:pPr>
        <w:tabs>
          <w:tab w:val="left" w:pos="284"/>
          <w:tab w:val="left" w:pos="567"/>
        </w:tabs>
        <w:jc w:val="both"/>
        <w:rPr>
          <w:rFonts w:ascii="Times New Roman" w:hAnsi="Times New Roman" w:cs="Times New Roman"/>
          <w:color w:val="000000" w:themeColor="text1"/>
          <w:sz w:val="28"/>
          <w:szCs w:val="28"/>
        </w:rPr>
      </w:pPr>
    </w:p>
    <w:p w:rsidR="00E072F9" w:rsidRPr="000C03D2" w:rsidRDefault="000C03D2" w:rsidP="00DF6D08">
      <w:pPr>
        <w:numPr>
          <w:ilvl w:val="0"/>
          <w:numId w:val="3"/>
        </w:numPr>
        <w:tabs>
          <w:tab w:val="left" w:pos="284"/>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Argumentaron que el </w:t>
      </w:r>
      <w:r w:rsidRPr="000C03D2">
        <w:rPr>
          <w:rFonts w:ascii="Times New Roman" w:hAnsi="Times New Roman" w:cs="Times New Roman"/>
          <w:color w:val="000000" w:themeColor="text1"/>
          <w:sz w:val="28"/>
          <w:szCs w:val="28"/>
        </w:rPr>
        <w:t xml:space="preserve">Legislador omitió un </w:t>
      </w:r>
      <w:r w:rsidRPr="000C03D2">
        <w:rPr>
          <w:rFonts w:ascii="Times New Roman" w:hAnsi="Times New Roman" w:cs="Times New Roman"/>
          <w:color w:val="000000" w:themeColor="text1"/>
          <w:sz w:val="28"/>
          <w:szCs w:val="28"/>
        </w:rPr>
        <w:t xml:space="preserve">deber específico impuesto directamente por el Constituyente </w:t>
      </w:r>
      <w:r w:rsidRPr="000C03D2">
        <w:rPr>
          <w:rFonts w:ascii="Times New Roman" w:hAnsi="Times New Roman" w:cs="Times New Roman"/>
          <w:color w:val="000000" w:themeColor="text1"/>
          <w:sz w:val="28"/>
          <w:szCs w:val="28"/>
        </w:rPr>
        <w:t xml:space="preserve">y establecido en </w:t>
      </w:r>
      <w:r w:rsidRPr="000C03D2">
        <w:rPr>
          <w:rFonts w:ascii="Times New Roman" w:hAnsi="Times New Roman" w:cs="Times New Roman"/>
          <w:color w:val="000000" w:themeColor="text1"/>
          <w:sz w:val="28"/>
          <w:szCs w:val="28"/>
        </w:rPr>
        <w:t xml:space="preserve">el artículo 13 de la Constitución. Según los accionantes, </w:t>
      </w:r>
      <w:r w:rsidRPr="000C03D2">
        <w:rPr>
          <w:rFonts w:ascii="Times New Roman" w:hAnsi="Times New Roman" w:cs="Times New Roman"/>
          <w:color w:val="000000" w:themeColor="text1"/>
          <w:sz w:val="28"/>
          <w:szCs w:val="28"/>
        </w:rPr>
        <w:t>la expresión “la trab</w:t>
      </w:r>
      <w:r w:rsidRPr="000C03D2">
        <w:rPr>
          <w:rFonts w:ascii="Times New Roman" w:hAnsi="Times New Roman" w:cs="Times New Roman"/>
          <w:color w:val="000000" w:themeColor="text1"/>
          <w:sz w:val="28"/>
          <w:szCs w:val="28"/>
        </w:rPr>
        <w:t xml:space="preserve">ajadora” </w:t>
      </w:r>
      <w:r w:rsidRPr="000C03D2">
        <w:rPr>
          <w:rFonts w:ascii="Times New Roman" w:hAnsi="Times New Roman" w:cs="Times New Roman"/>
          <w:color w:val="000000" w:themeColor="text1"/>
          <w:sz w:val="28"/>
          <w:szCs w:val="28"/>
        </w:rPr>
        <w:t xml:space="preserve">vulnera el derecho a la igualdad porque no incluye sujetos asimilables al </w:t>
      </w:r>
      <w:r w:rsidRPr="000C03D2">
        <w:rPr>
          <w:rFonts w:ascii="Times New Roman" w:hAnsi="Times New Roman" w:cs="Times New Roman"/>
          <w:color w:val="000000" w:themeColor="text1"/>
          <w:sz w:val="28"/>
          <w:szCs w:val="28"/>
        </w:rPr>
        <w:t>supuesto</w:t>
      </w:r>
      <w:r w:rsidRPr="000C03D2">
        <w:rPr>
          <w:rFonts w:ascii="Times New Roman" w:hAnsi="Times New Roman" w:cs="Times New Roman"/>
          <w:color w:val="000000" w:themeColor="text1"/>
          <w:sz w:val="28"/>
          <w:szCs w:val="28"/>
        </w:rPr>
        <w:t xml:space="preserve"> contenido en la norma, esto es, a los hombres transgénero y las personas no binarias que, al igual que las mujeres cisgénero, tienen capacidad de gestación. </w:t>
      </w:r>
    </w:p>
    <w:p w:rsidR="00E072F9" w:rsidRPr="000C03D2" w:rsidRDefault="000C03D2" w:rsidP="00DF6D08">
      <w:pPr>
        <w:pStyle w:val="Prrafodelista"/>
        <w:tabs>
          <w:tab w:val="left" w:pos="284"/>
        </w:tabs>
        <w:rPr>
          <w:rFonts w:ascii="Times New Roman" w:eastAsia="Times New Roman" w:hAnsi="Times New Roman" w:cs="Times New Roman"/>
          <w:color w:val="000000" w:themeColor="text1"/>
          <w:szCs w:val="28"/>
        </w:rPr>
      </w:pPr>
    </w:p>
    <w:p w:rsidR="004F06F1" w:rsidRPr="000C03D2" w:rsidRDefault="000C03D2" w:rsidP="00DF6D08">
      <w:pPr>
        <w:numPr>
          <w:ilvl w:val="0"/>
          <w:numId w:val="3"/>
        </w:numPr>
        <w:tabs>
          <w:tab w:val="left" w:pos="284"/>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Expus</w:t>
      </w:r>
      <w:r w:rsidRPr="000C03D2">
        <w:rPr>
          <w:rFonts w:ascii="Times New Roman" w:hAnsi="Times New Roman" w:cs="Times New Roman"/>
          <w:color w:val="000000" w:themeColor="text1"/>
          <w:sz w:val="28"/>
          <w:szCs w:val="28"/>
        </w:rPr>
        <w:t xml:space="preserve">ieron </w:t>
      </w:r>
      <w:r w:rsidRPr="000C03D2">
        <w:rPr>
          <w:rFonts w:ascii="Times New Roman" w:hAnsi="Times New Roman" w:cs="Times New Roman"/>
          <w:color w:val="000000" w:themeColor="text1"/>
          <w:sz w:val="28"/>
          <w:szCs w:val="28"/>
        </w:rPr>
        <w:t>que</w:t>
      </w:r>
      <w:r w:rsidRPr="000C03D2">
        <w:rPr>
          <w:rFonts w:ascii="Times New Roman" w:hAnsi="Times New Roman" w:cs="Times New Roman"/>
          <w:color w:val="000000" w:themeColor="text1"/>
          <w:sz w:val="28"/>
          <w:szCs w:val="28"/>
        </w:rPr>
        <w:t>,</w:t>
      </w:r>
      <w:r w:rsidRPr="000C03D2">
        <w:rPr>
          <w:rFonts w:ascii="Times New Roman" w:hAnsi="Times New Roman" w:cs="Times New Roman"/>
          <w:color w:val="000000" w:themeColor="text1"/>
          <w:sz w:val="28"/>
          <w:szCs w:val="28"/>
        </w:rPr>
        <w:t xml:space="preserve"> a la luz del ordenamiento jurídico actual</w:t>
      </w:r>
      <w:r w:rsidRPr="000C03D2">
        <w:rPr>
          <w:rFonts w:ascii="Times New Roman" w:hAnsi="Times New Roman" w:cs="Times New Roman"/>
          <w:color w:val="000000" w:themeColor="text1"/>
          <w:sz w:val="28"/>
          <w:szCs w:val="28"/>
        </w:rPr>
        <w:t>,</w:t>
      </w:r>
      <w:r w:rsidRPr="000C03D2">
        <w:rPr>
          <w:rFonts w:ascii="Times New Roman" w:hAnsi="Times New Roman" w:cs="Times New Roman"/>
          <w:color w:val="000000" w:themeColor="text1"/>
          <w:sz w:val="28"/>
          <w:szCs w:val="28"/>
        </w:rPr>
        <w:t xml:space="preserve"> no hay razón suficiente para mantener dicho trato diferenciado, el cual es desproporcionado y arbitrario. Al respecto señalaron que, si bien existe un marco normativo que reconoce ciertas garantías diri</w:t>
      </w:r>
      <w:r w:rsidRPr="000C03D2">
        <w:rPr>
          <w:rFonts w:ascii="Times New Roman" w:hAnsi="Times New Roman" w:cs="Times New Roman"/>
          <w:color w:val="000000" w:themeColor="text1"/>
          <w:sz w:val="28"/>
          <w:szCs w:val="28"/>
        </w:rPr>
        <w:t>gidas a una población históricamente vulnerada, aquel resulta insuficiente para dar cumplimiento pleno a las obligaciones constitucionales, porque la disposición acusada no contempla medidas que aseguren el reconocimiento y la protección de los derechos de</w:t>
      </w:r>
      <w:r w:rsidRPr="000C03D2">
        <w:rPr>
          <w:rFonts w:ascii="Times New Roman" w:hAnsi="Times New Roman" w:cs="Times New Roman"/>
          <w:color w:val="000000" w:themeColor="text1"/>
          <w:sz w:val="28"/>
          <w:szCs w:val="28"/>
        </w:rPr>
        <w:t xml:space="preserve"> hombres transgénero y personas no binarias con capacidad gestante. </w:t>
      </w:r>
    </w:p>
    <w:p w:rsidR="004F06F1" w:rsidRPr="000C03D2" w:rsidRDefault="000C03D2" w:rsidP="00DF6D08">
      <w:pPr>
        <w:pStyle w:val="Prrafodelista"/>
        <w:tabs>
          <w:tab w:val="left" w:pos="284"/>
          <w:tab w:val="left" w:pos="426"/>
        </w:tabs>
        <w:rPr>
          <w:rFonts w:ascii="Times New Roman" w:hAnsi="Times New Roman" w:cs="Times New Roman"/>
          <w:color w:val="000000" w:themeColor="text1"/>
          <w:szCs w:val="28"/>
        </w:rPr>
      </w:pPr>
    </w:p>
    <w:p w:rsidR="004F06F1" w:rsidRPr="000C03D2" w:rsidRDefault="000C03D2" w:rsidP="00DF6D08">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Los demandantes se refirieron a la Sentencia C-324 de 2023 mediante la cual la Corte </w:t>
      </w:r>
      <w:r w:rsidRPr="000C03D2">
        <w:rPr>
          <w:rFonts w:ascii="Times New Roman" w:hAnsi="Times New Roman" w:cs="Times New Roman"/>
          <w:color w:val="000000" w:themeColor="text1"/>
          <w:sz w:val="28"/>
          <w:szCs w:val="28"/>
        </w:rPr>
        <w:t>reconoció</w:t>
      </w:r>
      <w:r w:rsidRPr="000C03D2">
        <w:rPr>
          <w:rFonts w:ascii="Times New Roman" w:hAnsi="Times New Roman" w:cs="Times New Roman"/>
          <w:color w:val="000000" w:themeColor="text1"/>
          <w:sz w:val="28"/>
          <w:szCs w:val="28"/>
        </w:rPr>
        <w:t xml:space="preserve"> -a los hombres transgénero y personas no binarias- el derecho a la licencia de maternidad a</w:t>
      </w:r>
      <w:r w:rsidRPr="000C03D2">
        <w:rPr>
          <w:rFonts w:ascii="Times New Roman" w:hAnsi="Times New Roman" w:cs="Times New Roman"/>
          <w:color w:val="000000" w:themeColor="text1"/>
          <w:sz w:val="28"/>
          <w:szCs w:val="28"/>
        </w:rPr>
        <w:t>l considerar que su exclusión de la licencia en la época del parto genera desigualdades negativas y perpetúa en su contra un patrón de invisibilización. En aquella decisión se reconoció que los hombres transgénero y las personas no binarias experimentan pr</w:t>
      </w:r>
      <w:r w:rsidRPr="000C03D2">
        <w:rPr>
          <w:rFonts w:ascii="Times New Roman" w:hAnsi="Times New Roman" w:cs="Times New Roman"/>
          <w:color w:val="000000" w:themeColor="text1"/>
          <w:sz w:val="28"/>
          <w:szCs w:val="28"/>
        </w:rPr>
        <w:t xml:space="preserve">ocesos de gestación que los ubica en una situación de igualdad respecto de la garantía prevista, en ese caso, en el artículo 236 del </w:t>
      </w:r>
      <w:r w:rsidRPr="000C03D2">
        <w:rPr>
          <w:rFonts w:ascii="Times New Roman" w:hAnsi="Times New Roman" w:cs="Times New Roman"/>
          <w:color w:val="000000" w:themeColor="text1"/>
          <w:sz w:val="28"/>
          <w:szCs w:val="28"/>
        </w:rPr>
        <w:t>Código Sustantivo del Trabajo -</w:t>
      </w:r>
      <w:r w:rsidRPr="000C03D2">
        <w:rPr>
          <w:rFonts w:ascii="Times New Roman" w:hAnsi="Times New Roman" w:cs="Times New Roman"/>
          <w:color w:val="000000" w:themeColor="text1"/>
          <w:sz w:val="28"/>
          <w:szCs w:val="28"/>
        </w:rPr>
        <w:t>CST</w:t>
      </w:r>
      <w:r w:rsidRPr="000C03D2">
        <w:rPr>
          <w:rFonts w:ascii="Times New Roman" w:hAnsi="Times New Roman" w:cs="Times New Roman"/>
          <w:color w:val="000000" w:themeColor="text1"/>
          <w:sz w:val="28"/>
          <w:szCs w:val="28"/>
        </w:rPr>
        <w:t>-</w:t>
      </w:r>
      <w:r w:rsidRPr="000C03D2">
        <w:rPr>
          <w:rFonts w:ascii="Times New Roman" w:hAnsi="Times New Roman" w:cs="Times New Roman"/>
          <w:color w:val="000000" w:themeColor="text1"/>
          <w:sz w:val="28"/>
          <w:szCs w:val="28"/>
        </w:rPr>
        <w:t xml:space="preserve">. </w:t>
      </w:r>
    </w:p>
    <w:p w:rsidR="004F06F1" w:rsidRPr="000C03D2" w:rsidRDefault="000C03D2" w:rsidP="00DF6D08">
      <w:pPr>
        <w:pStyle w:val="Prrafodelista"/>
        <w:tabs>
          <w:tab w:val="left" w:pos="426"/>
        </w:tabs>
        <w:rPr>
          <w:rFonts w:ascii="Times New Roman" w:eastAsia="Times New Roman" w:hAnsi="Times New Roman" w:cs="Times New Roman"/>
          <w:color w:val="000000" w:themeColor="text1"/>
          <w:szCs w:val="28"/>
        </w:rPr>
      </w:pPr>
    </w:p>
    <w:p w:rsidR="004F06F1" w:rsidRPr="000C03D2" w:rsidRDefault="000C03D2" w:rsidP="00DF6D08">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A</w:t>
      </w:r>
      <w:r w:rsidRPr="000C03D2">
        <w:rPr>
          <w:rFonts w:ascii="Times New Roman" w:hAnsi="Times New Roman" w:cs="Times New Roman"/>
          <w:color w:val="000000" w:themeColor="text1"/>
          <w:sz w:val="28"/>
          <w:szCs w:val="28"/>
        </w:rPr>
        <w:t xml:space="preserve"> juicio de los actores, se requiere integrar </w:t>
      </w:r>
      <w:r w:rsidRPr="000C03D2">
        <w:rPr>
          <w:rFonts w:ascii="Times New Roman" w:hAnsi="Times New Roman" w:cs="Times New Roman"/>
          <w:color w:val="000000" w:themeColor="text1"/>
          <w:sz w:val="28"/>
          <w:szCs w:val="28"/>
        </w:rPr>
        <w:t>la expresión</w:t>
      </w:r>
      <w:r w:rsidRPr="000C03D2">
        <w:rPr>
          <w:rFonts w:ascii="Times New Roman" w:hAnsi="Times New Roman" w:cs="Times New Roman"/>
          <w:color w:val="000000" w:themeColor="text1"/>
          <w:sz w:val="28"/>
          <w:szCs w:val="28"/>
        </w:rPr>
        <w:t xml:space="preserve"> acusada a las necesidades actuales de la sociedad y a las concepciones de protección </w:t>
      </w:r>
      <w:r w:rsidRPr="000C03D2">
        <w:rPr>
          <w:rFonts w:ascii="Times New Roman" w:hAnsi="Times New Roman" w:cs="Times New Roman"/>
          <w:color w:val="000000" w:themeColor="text1"/>
          <w:sz w:val="28"/>
          <w:szCs w:val="28"/>
        </w:rPr>
        <w:t>para</w:t>
      </w:r>
      <w:r w:rsidRPr="000C03D2">
        <w:rPr>
          <w:rFonts w:ascii="Times New Roman" w:hAnsi="Times New Roman" w:cs="Times New Roman"/>
          <w:color w:val="000000" w:themeColor="text1"/>
          <w:sz w:val="28"/>
          <w:szCs w:val="28"/>
        </w:rPr>
        <w:t xml:space="preserve"> grupos poblacionales históricamente discriminados.</w:t>
      </w:r>
    </w:p>
    <w:p w:rsidR="004F06F1" w:rsidRPr="000C03D2" w:rsidRDefault="000C03D2" w:rsidP="00DF6D08">
      <w:pPr>
        <w:pStyle w:val="Prrafodelista"/>
        <w:tabs>
          <w:tab w:val="left" w:pos="426"/>
        </w:tabs>
        <w:rPr>
          <w:rFonts w:ascii="Times New Roman" w:eastAsia="Times New Roman" w:hAnsi="Times New Roman" w:cs="Times New Roman"/>
          <w:color w:val="000000" w:themeColor="text1"/>
          <w:szCs w:val="28"/>
        </w:rPr>
      </w:pPr>
    </w:p>
    <w:p w:rsidR="00026A1E" w:rsidRPr="000C03D2" w:rsidRDefault="000C03D2" w:rsidP="00DF6D08">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Por otra parte, l</w:t>
      </w:r>
      <w:r w:rsidRPr="000C03D2">
        <w:rPr>
          <w:rFonts w:ascii="Times New Roman" w:hAnsi="Times New Roman" w:cs="Times New Roman"/>
          <w:color w:val="000000" w:themeColor="text1"/>
          <w:sz w:val="28"/>
          <w:szCs w:val="28"/>
        </w:rPr>
        <w:t xml:space="preserve">os accionantes indicaron que la omisión </w:t>
      </w:r>
      <w:r w:rsidRPr="000C03D2">
        <w:rPr>
          <w:rFonts w:ascii="Times New Roman" w:hAnsi="Times New Roman" w:cs="Times New Roman"/>
          <w:color w:val="000000" w:themeColor="text1"/>
          <w:sz w:val="28"/>
          <w:szCs w:val="28"/>
        </w:rPr>
        <w:t>identificada</w:t>
      </w:r>
      <w:r w:rsidRPr="000C03D2">
        <w:rPr>
          <w:rFonts w:ascii="Times New Roman" w:hAnsi="Times New Roman" w:cs="Times New Roman"/>
          <w:color w:val="000000" w:themeColor="text1"/>
          <w:sz w:val="28"/>
          <w:szCs w:val="28"/>
        </w:rPr>
        <w:t xml:space="preserve"> afecta </w:t>
      </w:r>
      <w:r w:rsidRPr="000C03D2">
        <w:rPr>
          <w:rFonts w:ascii="Times New Roman" w:hAnsi="Times New Roman" w:cs="Times New Roman"/>
          <w:color w:val="000000" w:themeColor="text1"/>
          <w:sz w:val="28"/>
          <w:szCs w:val="28"/>
        </w:rPr>
        <w:t xml:space="preserve">el derecho a la igualdad y a la </w:t>
      </w:r>
      <w:r w:rsidRPr="000C03D2">
        <w:rPr>
          <w:rFonts w:ascii="Times New Roman" w:hAnsi="Times New Roman" w:cs="Times New Roman"/>
          <w:color w:val="000000" w:themeColor="text1"/>
          <w:sz w:val="28"/>
          <w:szCs w:val="28"/>
        </w:rPr>
        <w:t>identidad de género de</w:t>
      </w:r>
      <w:r w:rsidRPr="000C03D2">
        <w:rPr>
          <w:rFonts w:ascii="Times New Roman" w:hAnsi="Times New Roman" w:cs="Times New Roman"/>
          <w:color w:val="000000" w:themeColor="text1"/>
          <w:sz w:val="28"/>
          <w:szCs w:val="28"/>
        </w:rPr>
        <w:t xml:space="preserve"> las personas no binarias y de los hombres transgénero. Sostuvieron que la expresión demandada desconoce la identidad de género porque, al contener referencias propias de una identidad femenina cisgénero, genera una situación de discr</w:t>
      </w:r>
      <w:r w:rsidRPr="000C03D2">
        <w:rPr>
          <w:rFonts w:ascii="Times New Roman" w:hAnsi="Times New Roman" w:cs="Times New Roman"/>
          <w:color w:val="000000" w:themeColor="text1"/>
          <w:sz w:val="28"/>
          <w:szCs w:val="28"/>
        </w:rPr>
        <w:t>iminación al obviar otras identidades que pueden representar las mismas circunstancias en torno a la gestación y la maternidad. Adicionalmente, como ya se mencionó, vulnera el derecho a la igualdad de las personas que, pese a estar en igualdad de condicion</w:t>
      </w:r>
      <w:r w:rsidRPr="000C03D2">
        <w:rPr>
          <w:rFonts w:ascii="Times New Roman" w:hAnsi="Times New Roman" w:cs="Times New Roman"/>
          <w:color w:val="000000" w:themeColor="text1"/>
          <w:sz w:val="28"/>
          <w:szCs w:val="28"/>
        </w:rPr>
        <w:t xml:space="preserve">es, reciben un trato diferente en razón de su </w:t>
      </w:r>
      <w:r w:rsidRPr="000C03D2">
        <w:rPr>
          <w:rFonts w:ascii="Times New Roman" w:hAnsi="Times New Roman" w:cs="Times New Roman"/>
          <w:color w:val="000000" w:themeColor="text1"/>
          <w:sz w:val="28"/>
          <w:szCs w:val="28"/>
        </w:rPr>
        <w:t>identidad</w:t>
      </w:r>
      <w:r w:rsidRPr="000C03D2">
        <w:rPr>
          <w:rFonts w:ascii="Times New Roman" w:hAnsi="Times New Roman" w:cs="Times New Roman"/>
          <w:color w:val="000000" w:themeColor="text1"/>
          <w:sz w:val="28"/>
          <w:szCs w:val="28"/>
        </w:rPr>
        <w:t xml:space="preserve">. </w:t>
      </w:r>
    </w:p>
    <w:p w:rsidR="00026A1E" w:rsidRPr="000C03D2" w:rsidRDefault="000C03D2" w:rsidP="00DF6D08">
      <w:pPr>
        <w:pStyle w:val="Prrafodelista"/>
        <w:tabs>
          <w:tab w:val="left" w:pos="426"/>
        </w:tabs>
        <w:rPr>
          <w:rFonts w:ascii="Times New Roman" w:eastAsia="Times New Roman" w:hAnsi="Times New Roman" w:cs="Times New Roman"/>
          <w:color w:val="000000" w:themeColor="text1"/>
          <w:szCs w:val="28"/>
        </w:rPr>
      </w:pPr>
    </w:p>
    <w:p w:rsidR="00C106E5" w:rsidRPr="000C03D2" w:rsidRDefault="000C03D2" w:rsidP="00DF6D08">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Con sustento en lo anterior, solicitaron que se declare la inexequibilidad de la expresi</w:t>
      </w:r>
      <w:r w:rsidRPr="000C03D2">
        <w:rPr>
          <w:rFonts w:ascii="Times New Roman" w:hAnsi="Times New Roman" w:cs="Times New Roman"/>
          <w:color w:val="000000" w:themeColor="text1"/>
          <w:sz w:val="28"/>
          <w:szCs w:val="28"/>
        </w:rPr>
        <w:t>ó</w:t>
      </w:r>
      <w:r w:rsidRPr="000C03D2">
        <w:rPr>
          <w:rFonts w:ascii="Times New Roman" w:hAnsi="Times New Roman" w:cs="Times New Roman"/>
          <w:color w:val="000000" w:themeColor="text1"/>
          <w:sz w:val="28"/>
          <w:szCs w:val="28"/>
        </w:rPr>
        <w:t>n “la trabajadora” prevista en el artículo 237 del Código Sustantivo del Trabajo. De forma subsidiaria, pidi</w:t>
      </w:r>
      <w:r w:rsidRPr="000C03D2">
        <w:rPr>
          <w:rFonts w:ascii="Times New Roman" w:hAnsi="Times New Roman" w:cs="Times New Roman"/>
          <w:color w:val="000000" w:themeColor="text1"/>
          <w:sz w:val="28"/>
          <w:szCs w:val="28"/>
        </w:rPr>
        <w:t xml:space="preserve">eron que se declare la exequibilidad </w:t>
      </w:r>
      <w:r w:rsidRPr="000C03D2">
        <w:rPr>
          <w:rFonts w:ascii="Times New Roman" w:hAnsi="Times New Roman" w:cs="Times New Roman"/>
          <w:color w:val="000000" w:themeColor="text1"/>
          <w:sz w:val="28"/>
          <w:szCs w:val="28"/>
        </w:rPr>
        <w:t xml:space="preserve">condicionada </w:t>
      </w:r>
      <w:r w:rsidRPr="000C03D2">
        <w:rPr>
          <w:rFonts w:ascii="Times New Roman" w:hAnsi="Times New Roman" w:cs="Times New Roman"/>
          <w:color w:val="000000" w:themeColor="text1"/>
          <w:sz w:val="28"/>
          <w:szCs w:val="28"/>
        </w:rPr>
        <w:t>de</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la expresi</w:t>
      </w:r>
      <w:r w:rsidRPr="000C03D2">
        <w:rPr>
          <w:rFonts w:ascii="Times New Roman" w:hAnsi="Times New Roman" w:cs="Times New Roman"/>
          <w:color w:val="000000" w:themeColor="text1"/>
          <w:sz w:val="28"/>
          <w:szCs w:val="28"/>
        </w:rPr>
        <w:t>ó</w:t>
      </w:r>
      <w:r w:rsidRPr="000C03D2">
        <w:rPr>
          <w:rFonts w:ascii="Times New Roman" w:hAnsi="Times New Roman" w:cs="Times New Roman"/>
          <w:color w:val="000000" w:themeColor="text1"/>
          <w:sz w:val="28"/>
          <w:szCs w:val="28"/>
        </w:rPr>
        <w:t>n “en el entendido de que deberá darse una interpretación extensiva del término, entendiéndose también dicha expresión para hombres transgénero y personas no binarias</w:t>
      </w:r>
      <w:r w:rsidRPr="000C03D2">
        <w:rPr>
          <w:rFonts w:ascii="Times New Roman" w:hAnsi="Times New Roman" w:cs="Times New Roman"/>
          <w:color w:val="000000" w:themeColor="text1"/>
          <w:sz w:val="28"/>
          <w:szCs w:val="28"/>
        </w:rPr>
        <w:t>”.</w:t>
      </w:r>
    </w:p>
    <w:p w:rsidR="00026955" w:rsidRPr="000C03D2" w:rsidRDefault="000C03D2" w:rsidP="00A141C2">
      <w:pPr>
        <w:tabs>
          <w:tab w:val="left" w:pos="426"/>
          <w:tab w:val="left" w:pos="567"/>
        </w:tabs>
        <w:rPr>
          <w:rFonts w:ascii="Times New Roman" w:hAnsi="Times New Roman" w:cs="Times New Roman"/>
          <w:i/>
          <w:iCs/>
          <w:color w:val="000000" w:themeColor="text1"/>
          <w:sz w:val="28"/>
          <w:szCs w:val="28"/>
          <w:shd w:val="clear" w:color="auto" w:fill="FFFFFF" w:themeFill="background1"/>
        </w:rPr>
      </w:pPr>
    </w:p>
    <w:p w:rsidR="00026955" w:rsidRPr="000C03D2" w:rsidRDefault="000C03D2" w:rsidP="00A141C2">
      <w:pPr>
        <w:pStyle w:val="Ttulo2"/>
        <w:numPr>
          <w:ilvl w:val="0"/>
          <w:numId w:val="2"/>
        </w:numPr>
        <w:tabs>
          <w:tab w:val="num" w:pos="360"/>
        </w:tabs>
        <w:spacing w:before="0" w:after="0"/>
        <w:ind w:left="0" w:firstLine="0"/>
        <w:rPr>
          <w:rFonts w:ascii="Times New Roman" w:hAnsi="Times New Roman" w:cs="Times New Roman"/>
          <w:b/>
          <w:bCs/>
          <w:color w:val="000000" w:themeColor="text1"/>
          <w:sz w:val="28"/>
          <w:szCs w:val="28"/>
        </w:rPr>
      </w:pPr>
      <w:r w:rsidRPr="000C03D2">
        <w:rPr>
          <w:rFonts w:ascii="Times New Roman" w:hAnsi="Times New Roman" w:cs="Times New Roman"/>
          <w:b/>
          <w:bCs/>
          <w:color w:val="000000" w:themeColor="text1"/>
          <w:sz w:val="28"/>
          <w:szCs w:val="28"/>
        </w:rPr>
        <w:t>Intervenciones</w:t>
      </w:r>
    </w:p>
    <w:p w:rsidR="00026955" w:rsidRPr="000C03D2" w:rsidRDefault="000C03D2" w:rsidP="00A141C2">
      <w:pPr>
        <w:tabs>
          <w:tab w:val="left" w:pos="426"/>
          <w:tab w:val="left" w:pos="567"/>
        </w:tabs>
        <w:rPr>
          <w:rFonts w:ascii="Times New Roman" w:hAnsi="Times New Roman" w:cs="Times New Roman"/>
          <w:i/>
          <w:iCs/>
          <w:color w:val="000000" w:themeColor="text1"/>
          <w:sz w:val="28"/>
          <w:szCs w:val="28"/>
          <w:shd w:val="clear" w:color="auto" w:fill="FFFFFF" w:themeFill="background1"/>
        </w:rPr>
      </w:pPr>
    </w:p>
    <w:p w:rsidR="00026955" w:rsidRPr="000C03D2" w:rsidRDefault="000C03D2" w:rsidP="00DF6D08">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La </w:t>
      </w:r>
      <w:r w:rsidRPr="000C03D2">
        <w:rPr>
          <w:rFonts w:ascii="Times New Roman" w:hAnsi="Times New Roman" w:cs="Times New Roman"/>
          <w:color w:val="000000" w:themeColor="text1"/>
          <w:sz w:val="28"/>
          <w:szCs w:val="28"/>
        </w:rPr>
        <w:t>Corte Constitucional recibió</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una</w:t>
      </w:r>
      <w:r w:rsidRPr="000C03D2">
        <w:rPr>
          <w:rFonts w:ascii="Times New Roman" w:hAnsi="Times New Roman" w:cs="Times New Roman"/>
          <w:color w:val="000000" w:themeColor="text1"/>
          <w:sz w:val="28"/>
          <w:szCs w:val="28"/>
        </w:rPr>
        <w:t xml:space="preserve"> intervenci</w:t>
      </w:r>
      <w:r w:rsidRPr="000C03D2">
        <w:rPr>
          <w:rFonts w:ascii="Times New Roman" w:hAnsi="Times New Roman" w:cs="Times New Roman"/>
          <w:color w:val="000000" w:themeColor="text1"/>
          <w:sz w:val="28"/>
          <w:szCs w:val="28"/>
        </w:rPr>
        <w:t>ó</w:t>
      </w:r>
      <w:r w:rsidRPr="000C03D2">
        <w:rPr>
          <w:rFonts w:ascii="Times New Roman" w:hAnsi="Times New Roman" w:cs="Times New Roman"/>
          <w:color w:val="000000" w:themeColor="text1"/>
          <w:sz w:val="28"/>
          <w:szCs w:val="28"/>
        </w:rPr>
        <w:t>n</w:t>
      </w:r>
      <w:r w:rsidRPr="000C03D2">
        <w:rPr>
          <w:rFonts w:ascii="Times New Roman" w:hAnsi="Times New Roman" w:cs="Times New Roman"/>
          <w:color w:val="000000" w:themeColor="text1"/>
          <w:sz w:val="28"/>
          <w:szCs w:val="28"/>
        </w:rPr>
        <w:t xml:space="preserve"> y </w:t>
      </w:r>
      <w:r w:rsidRPr="000C03D2">
        <w:rPr>
          <w:rFonts w:ascii="Times New Roman" w:hAnsi="Times New Roman" w:cs="Times New Roman"/>
          <w:color w:val="000000" w:themeColor="text1"/>
          <w:sz w:val="28"/>
          <w:szCs w:val="28"/>
        </w:rPr>
        <w:t>cinco</w:t>
      </w:r>
      <w:r w:rsidRPr="000C03D2">
        <w:rPr>
          <w:rFonts w:ascii="Times New Roman" w:hAnsi="Times New Roman" w:cs="Times New Roman"/>
          <w:color w:val="000000" w:themeColor="text1"/>
          <w:sz w:val="28"/>
          <w:szCs w:val="28"/>
        </w:rPr>
        <w:t xml:space="preserve"> concepto</w:t>
      </w:r>
      <w:r w:rsidRPr="000C03D2">
        <w:rPr>
          <w:rFonts w:ascii="Times New Roman" w:hAnsi="Times New Roman" w:cs="Times New Roman"/>
          <w:color w:val="000000" w:themeColor="text1"/>
          <w:sz w:val="28"/>
          <w:szCs w:val="28"/>
        </w:rPr>
        <w:t>s</w:t>
      </w:r>
      <w:r w:rsidRPr="000C03D2">
        <w:rPr>
          <w:rFonts w:ascii="Times New Roman" w:hAnsi="Times New Roman" w:cs="Times New Roman"/>
          <w:color w:val="000000" w:themeColor="text1"/>
          <w:sz w:val="28"/>
          <w:szCs w:val="28"/>
        </w:rPr>
        <w:t xml:space="preserve"> técnico</w:t>
      </w:r>
      <w:r w:rsidRPr="000C03D2">
        <w:rPr>
          <w:rFonts w:ascii="Times New Roman" w:hAnsi="Times New Roman" w:cs="Times New Roman"/>
          <w:color w:val="000000" w:themeColor="text1"/>
          <w:sz w:val="28"/>
          <w:szCs w:val="28"/>
        </w:rPr>
        <w:t>s</w:t>
      </w:r>
      <w:r w:rsidRPr="000C03D2">
        <w:rPr>
          <w:rFonts w:ascii="Times New Roman" w:hAnsi="Times New Roman" w:cs="Times New Roman"/>
          <w:color w:val="000000" w:themeColor="text1"/>
          <w:sz w:val="28"/>
          <w:szCs w:val="28"/>
        </w:rPr>
        <w:t xml:space="preserve"> especializado</w:t>
      </w:r>
      <w:r w:rsidRPr="000C03D2">
        <w:rPr>
          <w:rFonts w:ascii="Times New Roman" w:hAnsi="Times New Roman" w:cs="Times New Roman"/>
          <w:color w:val="000000" w:themeColor="text1"/>
          <w:sz w:val="28"/>
          <w:szCs w:val="28"/>
        </w:rPr>
        <w:t>s</w:t>
      </w:r>
      <w:r w:rsidRPr="000C03D2">
        <w:rPr>
          <w:rFonts w:ascii="Times New Roman" w:hAnsi="Times New Roman" w:cs="Times New Roman"/>
          <w:color w:val="000000" w:themeColor="text1"/>
          <w:sz w:val="28"/>
          <w:szCs w:val="28"/>
        </w:rPr>
        <w:t>, presentad</w:t>
      </w:r>
      <w:r w:rsidRPr="000C03D2">
        <w:rPr>
          <w:rFonts w:ascii="Times New Roman" w:hAnsi="Times New Roman" w:cs="Times New Roman"/>
          <w:color w:val="000000" w:themeColor="text1"/>
          <w:sz w:val="28"/>
          <w:szCs w:val="28"/>
        </w:rPr>
        <w:t>o</w:t>
      </w:r>
      <w:r w:rsidRPr="000C03D2">
        <w:rPr>
          <w:rFonts w:ascii="Times New Roman" w:hAnsi="Times New Roman" w:cs="Times New Roman"/>
          <w:color w:val="000000" w:themeColor="text1"/>
          <w:sz w:val="28"/>
          <w:szCs w:val="28"/>
        </w:rPr>
        <w:t xml:space="preserve">s por distintas entidades públicas, universidades, instituciones académicas, fundaciones y asociaciones. La siguiente tabla sintetiza las solicitudes de los </w:t>
      </w:r>
      <w:r w:rsidRPr="000C03D2">
        <w:rPr>
          <w:rFonts w:ascii="Times New Roman" w:hAnsi="Times New Roman" w:cs="Times New Roman"/>
          <w:color w:val="000000" w:themeColor="text1"/>
          <w:sz w:val="28"/>
          <w:szCs w:val="28"/>
        </w:rPr>
        <w:t xml:space="preserve">intervinientes: </w:t>
      </w:r>
    </w:p>
    <w:p w:rsidR="001106C7" w:rsidRPr="000C03D2" w:rsidRDefault="000C03D2" w:rsidP="00872354">
      <w:pPr>
        <w:tabs>
          <w:tab w:val="left" w:pos="426"/>
          <w:tab w:val="left" w:pos="567"/>
        </w:tabs>
        <w:jc w:val="center"/>
        <w:rPr>
          <w:rFonts w:ascii="Times New Roman" w:hAnsi="Times New Roman" w:cs="Times New Roman"/>
          <w:i/>
          <w:iCs/>
          <w:color w:val="000000" w:themeColor="text1"/>
          <w:sz w:val="28"/>
          <w:szCs w:val="20"/>
          <w:shd w:val="clear" w:color="auto" w:fill="FFFFFF" w:themeFill="background1"/>
        </w:rPr>
      </w:pPr>
      <w:r w:rsidRPr="000C03D2">
        <w:rPr>
          <w:rFonts w:ascii="Times New Roman" w:hAnsi="Times New Roman" w:cs="Times New Roman"/>
          <w:i/>
          <w:iCs/>
          <w:color w:val="000000" w:themeColor="text1"/>
          <w:sz w:val="28"/>
          <w:szCs w:val="20"/>
          <w:shd w:val="clear" w:color="auto" w:fill="FFFFFF" w:themeFill="background1"/>
        </w:rPr>
        <w:t>Tabla 1. Intervenciones.</w:t>
      </w:r>
    </w:p>
    <w:tbl>
      <w:tblPr>
        <w:tblStyle w:val="Tablaconcuadrcula"/>
        <w:tblW w:w="8926" w:type="dxa"/>
        <w:tblLook w:val="04A0" w:firstRow="1" w:lastRow="0" w:firstColumn="1" w:lastColumn="0" w:noHBand="0" w:noVBand="1"/>
      </w:tblPr>
      <w:tblGrid>
        <w:gridCol w:w="3114"/>
        <w:gridCol w:w="5812"/>
      </w:tblGrid>
      <w:tr w:rsidR="001B21F2" w:rsidRPr="000C03D2" w:rsidTr="00374406">
        <w:tc>
          <w:tcPr>
            <w:tcW w:w="8926" w:type="dxa"/>
            <w:gridSpan w:val="2"/>
            <w:shd w:val="clear" w:color="auto" w:fill="E2EFD9" w:themeFill="accent6" w:themeFillTint="33"/>
          </w:tcPr>
          <w:p w:rsidR="00026955" w:rsidRPr="000C03D2" w:rsidRDefault="000C03D2" w:rsidP="00A141C2">
            <w:pPr>
              <w:pStyle w:val="Prrafodelista"/>
              <w:ind w:left="0"/>
              <w:jc w:val="center"/>
              <w:rPr>
                <w:rFonts w:ascii="Times New Roman" w:hAnsi="Times New Roman" w:cs="Times New Roman"/>
                <w:b/>
                <w:bCs/>
                <w:color w:val="000000" w:themeColor="text1"/>
                <w:szCs w:val="24"/>
              </w:rPr>
            </w:pPr>
            <w:r w:rsidRPr="000C03D2">
              <w:rPr>
                <w:rFonts w:ascii="Times New Roman" w:hAnsi="Times New Roman" w:cs="Times New Roman"/>
                <w:b/>
                <w:bCs/>
                <w:color w:val="000000" w:themeColor="text1"/>
                <w:szCs w:val="24"/>
              </w:rPr>
              <w:t>Intervenciones</w:t>
            </w:r>
          </w:p>
        </w:tc>
      </w:tr>
      <w:tr w:rsidR="001B21F2" w:rsidRPr="000C03D2" w:rsidTr="00634C5E">
        <w:tc>
          <w:tcPr>
            <w:tcW w:w="3114" w:type="dxa"/>
            <w:shd w:val="clear" w:color="auto" w:fill="EAEDF1" w:themeFill="text2" w:themeFillTint="1A"/>
          </w:tcPr>
          <w:p w:rsidR="00026955" w:rsidRPr="000C03D2" w:rsidRDefault="000C03D2" w:rsidP="00A141C2">
            <w:pPr>
              <w:pStyle w:val="Prrafodelista"/>
              <w:ind w:left="0"/>
              <w:jc w:val="center"/>
              <w:rPr>
                <w:rFonts w:ascii="Times New Roman" w:hAnsi="Times New Roman" w:cs="Times New Roman"/>
                <w:b/>
                <w:bCs/>
                <w:color w:val="000000" w:themeColor="text1"/>
                <w:szCs w:val="24"/>
              </w:rPr>
            </w:pPr>
            <w:r w:rsidRPr="000C03D2">
              <w:rPr>
                <w:rFonts w:ascii="Times New Roman" w:hAnsi="Times New Roman" w:cs="Times New Roman"/>
                <w:b/>
                <w:bCs/>
                <w:color w:val="000000" w:themeColor="text1"/>
                <w:szCs w:val="24"/>
              </w:rPr>
              <w:t>Interviniente</w:t>
            </w:r>
            <w:r w:rsidRPr="000C03D2">
              <w:rPr>
                <w:rStyle w:val="Refdenotaalpie"/>
                <w:rFonts w:ascii="Times New Roman" w:hAnsi="Times New Roman" w:cs="Times New Roman"/>
                <w:color w:val="000000" w:themeColor="text1"/>
                <w:szCs w:val="24"/>
              </w:rPr>
              <w:footnoteReference w:id="8"/>
            </w:r>
          </w:p>
        </w:tc>
        <w:tc>
          <w:tcPr>
            <w:tcW w:w="5812" w:type="dxa"/>
            <w:shd w:val="clear" w:color="auto" w:fill="EAEDF1" w:themeFill="text2" w:themeFillTint="1A"/>
          </w:tcPr>
          <w:p w:rsidR="00026955" w:rsidRPr="000C03D2" w:rsidRDefault="000C03D2" w:rsidP="00A141C2">
            <w:pPr>
              <w:pStyle w:val="Prrafodelista"/>
              <w:ind w:left="0"/>
              <w:jc w:val="center"/>
              <w:rPr>
                <w:rFonts w:ascii="Times New Roman" w:hAnsi="Times New Roman" w:cs="Times New Roman"/>
                <w:b/>
                <w:bCs/>
                <w:color w:val="000000" w:themeColor="text1"/>
                <w:szCs w:val="24"/>
              </w:rPr>
            </w:pPr>
            <w:r w:rsidRPr="000C03D2">
              <w:rPr>
                <w:rFonts w:ascii="Times New Roman" w:hAnsi="Times New Roman" w:cs="Times New Roman"/>
                <w:b/>
                <w:bCs/>
                <w:color w:val="000000" w:themeColor="text1"/>
                <w:szCs w:val="24"/>
              </w:rPr>
              <w:t>Solicitud</w:t>
            </w:r>
          </w:p>
        </w:tc>
      </w:tr>
      <w:tr w:rsidR="001B21F2" w:rsidRPr="000C03D2" w:rsidTr="000A226F">
        <w:tc>
          <w:tcPr>
            <w:tcW w:w="3114" w:type="dxa"/>
            <w:vAlign w:val="center"/>
          </w:tcPr>
          <w:p w:rsidR="00026955" w:rsidRPr="000C03D2" w:rsidRDefault="000C03D2" w:rsidP="00A141C2">
            <w:pPr>
              <w:pStyle w:val="Prrafodelista"/>
              <w:ind w:left="0"/>
              <w:jc w:val="center"/>
              <w:rPr>
                <w:rFonts w:ascii="Times New Roman" w:hAnsi="Times New Roman" w:cs="Times New Roman"/>
                <w:color w:val="000000" w:themeColor="text1"/>
                <w:szCs w:val="24"/>
              </w:rPr>
            </w:pPr>
            <w:r w:rsidRPr="000C03D2">
              <w:rPr>
                <w:rFonts w:ascii="Times New Roman" w:hAnsi="Times New Roman" w:cs="Times New Roman"/>
                <w:color w:val="000000" w:themeColor="text1"/>
                <w:szCs w:val="24"/>
                <w:lang w:eastAsia="es-CO"/>
              </w:rPr>
              <w:t>Universidad CESMAG</w:t>
            </w:r>
            <w:r w:rsidRPr="000C03D2">
              <w:rPr>
                <w:rStyle w:val="Refdenotaalpie"/>
                <w:rFonts w:ascii="Times New Roman" w:hAnsi="Times New Roman" w:cs="Times New Roman"/>
                <w:color w:val="000000" w:themeColor="text1"/>
                <w:szCs w:val="24"/>
                <w:lang w:eastAsia="es-CO"/>
              </w:rPr>
              <w:footnoteReference w:id="9"/>
            </w:r>
          </w:p>
        </w:tc>
        <w:tc>
          <w:tcPr>
            <w:tcW w:w="5812" w:type="dxa"/>
          </w:tcPr>
          <w:p w:rsidR="00DC7754" w:rsidRPr="000C03D2" w:rsidRDefault="000C03D2" w:rsidP="001912CD">
            <w:pPr>
              <w:jc w:val="both"/>
              <w:rPr>
                <w:rFonts w:ascii="Times New Roman" w:hAnsi="Times New Roman" w:cs="Times New Roman"/>
                <w:color w:val="000000" w:themeColor="text1"/>
                <w:sz w:val="28"/>
                <w:szCs w:val="24"/>
              </w:rPr>
            </w:pPr>
            <w:r w:rsidRPr="000C03D2">
              <w:rPr>
                <w:rFonts w:ascii="Times New Roman" w:hAnsi="Times New Roman" w:cs="Times New Roman"/>
                <w:color w:val="000000" w:themeColor="text1"/>
                <w:sz w:val="28"/>
                <w:szCs w:val="24"/>
              </w:rPr>
              <w:t>Exequibilidad</w:t>
            </w:r>
            <w:r w:rsidRPr="000C03D2">
              <w:rPr>
                <w:rFonts w:ascii="Times New Roman" w:hAnsi="Times New Roman" w:cs="Times New Roman"/>
                <w:color w:val="000000" w:themeColor="text1"/>
                <w:sz w:val="28"/>
                <w:szCs w:val="24"/>
              </w:rPr>
              <w:t xml:space="preserve"> condicionada bajo el entendido de que la licencia o descanso remunerado en caso de aborto es plenamente extensible a los hombres transgénero y a las personas no binarias con capacidad de gestación y que cumplan con lo pedido en el supuesto de hecho de la </w:t>
            </w:r>
            <w:r w:rsidRPr="000C03D2">
              <w:rPr>
                <w:rFonts w:ascii="Times New Roman" w:hAnsi="Times New Roman" w:cs="Times New Roman"/>
                <w:color w:val="000000" w:themeColor="text1"/>
                <w:sz w:val="28"/>
                <w:szCs w:val="24"/>
              </w:rPr>
              <w:t>norma controvertida.</w:t>
            </w:r>
          </w:p>
        </w:tc>
      </w:tr>
      <w:tr w:rsidR="001B21F2" w:rsidRPr="000C03D2" w:rsidTr="00634C5E">
        <w:tc>
          <w:tcPr>
            <w:tcW w:w="8926" w:type="dxa"/>
            <w:gridSpan w:val="2"/>
            <w:shd w:val="clear" w:color="auto" w:fill="EAEDF1" w:themeFill="text2" w:themeFillTint="1A"/>
            <w:vAlign w:val="center"/>
          </w:tcPr>
          <w:p w:rsidR="003C1A54" w:rsidRPr="000C03D2" w:rsidRDefault="000C03D2" w:rsidP="00A141C2">
            <w:pPr>
              <w:pStyle w:val="Prrafodelista"/>
              <w:ind w:left="0"/>
              <w:jc w:val="center"/>
              <w:rPr>
                <w:rFonts w:ascii="Times New Roman" w:hAnsi="Times New Roman" w:cs="Times New Roman"/>
                <w:b/>
                <w:bCs/>
                <w:color w:val="000000" w:themeColor="text1"/>
                <w:szCs w:val="24"/>
              </w:rPr>
            </w:pPr>
            <w:r w:rsidRPr="000C03D2">
              <w:rPr>
                <w:rFonts w:ascii="Times New Roman" w:hAnsi="Times New Roman" w:cs="Times New Roman"/>
                <w:b/>
                <w:bCs/>
                <w:color w:val="000000" w:themeColor="text1"/>
                <w:szCs w:val="24"/>
                <w:lang w:eastAsia="es-CO"/>
              </w:rPr>
              <w:t>Concepto</w:t>
            </w:r>
            <w:r w:rsidRPr="000C03D2">
              <w:rPr>
                <w:rFonts w:ascii="Times New Roman" w:hAnsi="Times New Roman" w:cs="Times New Roman"/>
                <w:b/>
                <w:bCs/>
                <w:color w:val="000000" w:themeColor="text1"/>
                <w:szCs w:val="24"/>
                <w:lang w:eastAsia="es-CO"/>
              </w:rPr>
              <w:t>s</w:t>
            </w:r>
            <w:r w:rsidRPr="000C03D2">
              <w:rPr>
                <w:rFonts w:ascii="Times New Roman" w:hAnsi="Times New Roman" w:cs="Times New Roman"/>
                <w:b/>
                <w:bCs/>
                <w:color w:val="000000" w:themeColor="text1"/>
                <w:szCs w:val="24"/>
                <w:lang w:eastAsia="es-CO"/>
              </w:rPr>
              <w:t xml:space="preserve"> técnico</w:t>
            </w:r>
            <w:r w:rsidRPr="000C03D2">
              <w:rPr>
                <w:rFonts w:ascii="Times New Roman" w:hAnsi="Times New Roman" w:cs="Times New Roman"/>
                <w:b/>
                <w:bCs/>
                <w:color w:val="000000" w:themeColor="text1"/>
                <w:szCs w:val="24"/>
                <w:lang w:eastAsia="es-CO"/>
              </w:rPr>
              <w:t>s</w:t>
            </w:r>
            <w:r w:rsidRPr="000C03D2">
              <w:rPr>
                <w:rFonts w:ascii="Times New Roman" w:hAnsi="Times New Roman" w:cs="Times New Roman"/>
                <w:b/>
                <w:bCs/>
                <w:color w:val="000000" w:themeColor="text1"/>
                <w:szCs w:val="24"/>
                <w:lang w:eastAsia="es-CO"/>
              </w:rPr>
              <w:t xml:space="preserve"> especializado</w:t>
            </w:r>
            <w:r w:rsidRPr="000C03D2">
              <w:rPr>
                <w:rFonts w:ascii="Times New Roman" w:hAnsi="Times New Roman" w:cs="Times New Roman"/>
                <w:b/>
                <w:bCs/>
                <w:color w:val="000000" w:themeColor="text1"/>
                <w:szCs w:val="24"/>
                <w:lang w:eastAsia="es-CO"/>
              </w:rPr>
              <w:t>s</w:t>
            </w:r>
            <w:r w:rsidRPr="000C03D2">
              <w:rPr>
                <w:rStyle w:val="Refdenotaalpie"/>
                <w:rFonts w:ascii="Times New Roman" w:hAnsi="Times New Roman" w:cs="Times New Roman"/>
                <w:color w:val="000000" w:themeColor="text1"/>
                <w:szCs w:val="24"/>
                <w:lang w:eastAsia="es-CO"/>
              </w:rPr>
              <w:footnoteReference w:id="10"/>
            </w:r>
          </w:p>
        </w:tc>
      </w:tr>
      <w:tr w:rsidR="001B21F2" w:rsidRPr="000C03D2" w:rsidTr="000A226F">
        <w:tc>
          <w:tcPr>
            <w:tcW w:w="3114" w:type="dxa"/>
            <w:vAlign w:val="center"/>
          </w:tcPr>
          <w:p w:rsidR="00026955" w:rsidRPr="000C03D2" w:rsidRDefault="000C03D2" w:rsidP="00A141C2">
            <w:pPr>
              <w:pStyle w:val="Prrafodelista"/>
              <w:ind w:left="0"/>
              <w:jc w:val="center"/>
              <w:rPr>
                <w:rFonts w:ascii="Times New Roman" w:hAnsi="Times New Roman" w:cs="Times New Roman"/>
                <w:color w:val="000000" w:themeColor="text1"/>
                <w:szCs w:val="24"/>
              </w:rPr>
            </w:pPr>
            <w:r w:rsidRPr="000C03D2">
              <w:rPr>
                <w:rFonts w:ascii="Times New Roman" w:hAnsi="Times New Roman" w:cs="Times New Roman"/>
                <w:color w:val="000000" w:themeColor="text1"/>
                <w:szCs w:val="24"/>
              </w:rPr>
              <w:t>Ministerio de la Igualdad y Equidad</w:t>
            </w:r>
            <w:r w:rsidRPr="000C03D2">
              <w:rPr>
                <w:rStyle w:val="Refdenotaalpie"/>
                <w:rFonts w:ascii="Times New Roman" w:hAnsi="Times New Roman" w:cs="Times New Roman"/>
                <w:color w:val="000000" w:themeColor="text1"/>
                <w:szCs w:val="24"/>
              </w:rPr>
              <w:footnoteReference w:id="11"/>
            </w:r>
          </w:p>
        </w:tc>
        <w:tc>
          <w:tcPr>
            <w:tcW w:w="5812" w:type="dxa"/>
          </w:tcPr>
          <w:p w:rsidR="00026955" w:rsidRPr="000C03D2" w:rsidRDefault="000C03D2" w:rsidP="001912CD">
            <w:pPr>
              <w:jc w:val="both"/>
              <w:rPr>
                <w:rFonts w:ascii="Times New Roman" w:hAnsi="Times New Roman" w:cs="Times New Roman"/>
                <w:color w:val="000000" w:themeColor="text1"/>
                <w:sz w:val="28"/>
                <w:szCs w:val="24"/>
              </w:rPr>
            </w:pPr>
            <w:r w:rsidRPr="000C03D2">
              <w:rPr>
                <w:rFonts w:ascii="Times New Roman" w:hAnsi="Times New Roman" w:cs="Times New Roman"/>
                <w:color w:val="000000" w:themeColor="text1"/>
                <w:sz w:val="28"/>
                <w:szCs w:val="24"/>
              </w:rPr>
              <w:t>Adoptar una decisión que, a la luz de los principios de igualdad, enfoque de género, enfoque interseccional y enfoque de cuidado, garantice la inclusión de todas</w:t>
            </w:r>
            <w:r w:rsidRPr="000C03D2">
              <w:rPr>
                <w:rFonts w:ascii="Times New Roman" w:hAnsi="Times New Roman" w:cs="Times New Roman"/>
                <w:color w:val="000000" w:themeColor="text1"/>
                <w:sz w:val="28"/>
                <w:szCs w:val="24"/>
              </w:rPr>
              <w:t xml:space="preserve"> las personas gestantes</w:t>
            </w:r>
            <w:r w:rsidRPr="000C03D2">
              <w:rPr>
                <w:rFonts w:ascii="Times New Roman" w:hAnsi="Times New Roman" w:cs="Times New Roman"/>
                <w:color w:val="000000" w:themeColor="text1"/>
                <w:sz w:val="28"/>
                <w:szCs w:val="24"/>
              </w:rPr>
              <w:t>,</w:t>
            </w:r>
            <w:r w:rsidRPr="000C03D2">
              <w:rPr>
                <w:rFonts w:ascii="Times New Roman" w:hAnsi="Times New Roman" w:cs="Times New Roman"/>
                <w:color w:val="000000" w:themeColor="text1"/>
                <w:sz w:val="28"/>
                <w:szCs w:val="24"/>
              </w:rPr>
              <w:t xml:space="preserve"> en especial de las personas no binarias y transgénero.</w:t>
            </w:r>
          </w:p>
        </w:tc>
      </w:tr>
      <w:tr w:rsidR="001B21F2" w:rsidRPr="000C03D2" w:rsidTr="000A226F">
        <w:tc>
          <w:tcPr>
            <w:tcW w:w="3114" w:type="dxa"/>
            <w:vAlign w:val="center"/>
          </w:tcPr>
          <w:p w:rsidR="00047439" w:rsidRPr="000C03D2" w:rsidRDefault="000C03D2" w:rsidP="00047439">
            <w:pPr>
              <w:pStyle w:val="Prrafodelista"/>
              <w:ind w:left="0"/>
              <w:jc w:val="center"/>
              <w:rPr>
                <w:rFonts w:ascii="Times New Roman" w:hAnsi="Times New Roman" w:cs="Times New Roman"/>
                <w:color w:val="000000" w:themeColor="text1"/>
                <w:szCs w:val="24"/>
              </w:rPr>
            </w:pPr>
            <w:r w:rsidRPr="000C03D2">
              <w:rPr>
                <w:rFonts w:ascii="Times New Roman" w:hAnsi="Times New Roman" w:cs="Times New Roman"/>
                <w:color w:val="000000" w:themeColor="text1"/>
                <w:szCs w:val="24"/>
                <w:lang w:eastAsia="es-CO"/>
              </w:rPr>
              <w:t>Colombia Diversa y Programa de Acción por la Igualdad y la Inclusión Social – PAIIS del Consultorio Jurídico de la Facultad de Derecho de la Universidad de los Andes</w:t>
            </w:r>
            <w:r w:rsidRPr="000C03D2">
              <w:rPr>
                <w:rStyle w:val="Refdenotaalpie"/>
                <w:rFonts w:ascii="Times New Roman" w:hAnsi="Times New Roman" w:cs="Times New Roman"/>
                <w:color w:val="000000" w:themeColor="text1"/>
                <w:szCs w:val="24"/>
                <w:lang w:eastAsia="es-CO"/>
              </w:rPr>
              <w:footnoteReference w:id="12"/>
            </w:r>
          </w:p>
        </w:tc>
        <w:tc>
          <w:tcPr>
            <w:tcW w:w="5812" w:type="dxa"/>
          </w:tcPr>
          <w:p w:rsidR="00047439" w:rsidRPr="000C03D2" w:rsidRDefault="000C03D2" w:rsidP="001912CD">
            <w:pPr>
              <w:jc w:val="both"/>
              <w:rPr>
                <w:rFonts w:ascii="Times New Roman" w:hAnsi="Times New Roman" w:cs="Times New Roman"/>
                <w:color w:val="000000" w:themeColor="text1"/>
                <w:sz w:val="28"/>
                <w:szCs w:val="24"/>
              </w:rPr>
            </w:pPr>
            <w:r w:rsidRPr="000C03D2">
              <w:rPr>
                <w:rFonts w:ascii="Times New Roman" w:hAnsi="Times New Roman" w:cs="Times New Roman"/>
                <w:color w:val="000000" w:themeColor="text1"/>
                <w:sz w:val="28"/>
                <w:szCs w:val="24"/>
              </w:rPr>
              <w:t>Exequibilidad condicionada “en el entendido de que los hombres trans y personas no binarias con capacidad de gestar, vinculades laboralmente, deben ser reconocides como titulares del derecho al descanso remunerado en caso de aborto o parto prematuro no via</w:t>
            </w:r>
            <w:r w:rsidRPr="000C03D2">
              <w:rPr>
                <w:rFonts w:ascii="Times New Roman" w:hAnsi="Times New Roman" w:cs="Times New Roman"/>
                <w:color w:val="000000" w:themeColor="text1"/>
                <w:sz w:val="28"/>
                <w:szCs w:val="24"/>
              </w:rPr>
              <w:t>ble, en condiciones de igualdad”.</w:t>
            </w:r>
          </w:p>
        </w:tc>
      </w:tr>
      <w:tr w:rsidR="001B21F2" w:rsidRPr="000C03D2" w:rsidTr="000A226F">
        <w:tc>
          <w:tcPr>
            <w:tcW w:w="3114" w:type="dxa"/>
            <w:vAlign w:val="center"/>
          </w:tcPr>
          <w:p w:rsidR="00047439" w:rsidRPr="000C03D2" w:rsidRDefault="000C03D2" w:rsidP="00047439">
            <w:pPr>
              <w:pStyle w:val="Prrafodelista"/>
              <w:ind w:left="0"/>
              <w:jc w:val="center"/>
              <w:rPr>
                <w:rFonts w:ascii="Times New Roman" w:hAnsi="Times New Roman" w:cs="Times New Roman"/>
                <w:color w:val="000000" w:themeColor="text1"/>
                <w:szCs w:val="24"/>
                <w:lang w:eastAsia="es-CO"/>
              </w:rPr>
            </w:pPr>
            <w:r w:rsidRPr="000C03D2">
              <w:rPr>
                <w:rFonts w:ascii="Times New Roman" w:hAnsi="Times New Roman" w:cs="Times New Roman"/>
                <w:color w:val="000000" w:themeColor="text1"/>
                <w:szCs w:val="24"/>
                <w:lang w:eastAsia="es-CO"/>
              </w:rPr>
              <w:t>Temblores ONG</w:t>
            </w:r>
            <w:r w:rsidRPr="000C03D2">
              <w:rPr>
                <w:rStyle w:val="Refdenotaalpie"/>
                <w:rFonts w:ascii="Times New Roman" w:hAnsi="Times New Roman" w:cs="Times New Roman"/>
                <w:color w:val="000000" w:themeColor="text1"/>
                <w:szCs w:val="24"/>
                <w:lang w:eastAsia="es-CO"/>
              </w:rPr>
              <w:footnoteReference w:id="13"/>
            </w:r>
          </w:p>
        </w:tc>
        <w:tc>
          <w:tcPr>
            <w:tcW w:w="5812" w:type="dxa"/>
          </w:tcPr>
          <w:p w:rsidR="00047439" w:rsidRPr="000C03D2" w:rsidRDefault="000C03D2" w:rsidP="001912CD">
            <w:pPr>
              <w:jc w:val="both"/>
              <w:rPr>
                <w:rFonts w:ascii="Times New Roman" w:hAnsi="Times New Roman" w:cs="Times New Roman"/>
                <w:color w:val="000000" w:themeColor="text1"/>
                <w:sz w:val="28"/>
                <w:szCs w:val="24"/>
              </w:rPr>
            </w:pPr>
            <w:r w:rsidRPr="000C03D2">
              <w:rPr>
                <w:rFonts w:ascii="Times New Roman" w:hAnsi="Times New Roman" w:cs="Times New Roman"/>
                <w:color w:val="000000" w:themeColor="text1"/>
                <w:sz w:val="28"/>
                <w:szCs w:val="24"/>
              </w:rPr>
              <w:t>Exequibilidad condicionada en el entendido de que debe incluir también a hombres trans, personas transmasculinas y personas no binarias con capacidad de gestar.</w:t>
            </w:r>
          </w:p>
        </w:tc>
      </w:tr>
      <w:tr w:rsidR="001B21F2" w:rsidRPr="000C03D2" w:rsidTr="000A226F">
        <w:tc>
          <w:tcPr>
            <w:tcW w:w="3114" w:type="dxa"/>
            <w:vAlign w:val="center"/>
          </w:tcPr>
          <w:p w:rsidR="00047439" w:rsidRPr="000C03D2" w:rsidRDefault="000C03D2" w:rsidP="00047439">
            <w:pPr>
              <w:pStyle w:val="Prrafodelista"/>
              <w:ind w:left="0"/>
              <w:jc w:val="center"/>
              <w:rPr>
                <w:rFonts w:ascii="Times New Roman" w:hAnsi="Times New Roman" w:cs="Times New Roman"/>
                <w:color w:val="000000" w:themeColor="text1"/>
                <w:szCs w:val="24"/>
                <w:lang w:eastAsia="es-CO"/>
              </w:rPr>
            </w:pPr>
            <w:r w:rsidRPr="000C03D2">
              <w:rPr>
                <w:rFonts w:ascii="Times New Roman" w:hAnsi="Times New Roman" w:cs="Times New Roman"/>
                <w:color w:val="000000" w:themeColor="text1"/>
                <w:szCs w:val="24"/>
                <w:lang w:eastAsia="es-CO"/>
              </w:rPr>
              <w:t>Universidad Libre</w:t>
            </w:r>
            <w:r w:rsidRPr="000C03D2">
              <w:rPr>
                <w:rStyle w:val="Refdenotaalpie"/>
                <w:rFonts w:ascii="Times New Roman" w:hAnsi="Times New Roman" w:cs="Times New Roman"/>
                <w:color w:val="000000" w:themeColor="text1"/>
                <w:szCs w:val="24"/>
                <w:lang w:eastAsia="es-CO"/>
              </w:rPr>
              <w:footnoteReference w:id="14"/>
            </w:r>
          </w:p>
        </w:tc>
        <w:tc>
          <w:tcPr>
            <w:tcW w:w="5812" w:type="dxa"/>
          </w:tcPr>
          <w:p w:rsidR="00047439" w:rsidRPr="000C03D2" w:rsidRDefault="000C03D2" w:rsidP="0057129C">
            <w:pPr>
              <w:jc w:val="both"/>
              <w:rPr>
                <w:rFonts w:ascii="Times New Roman" w:hAnsi="Times New Roman" w:cs="Times New Roman"/>
                <w:color w:val="000000" w:themeColor="text1"/>
                <w:sz w:val="28"/>
                <w:szCs w:val="24"/>
              </w:rPr>
            </w:pPr>
            <w:r w:rsidRPr="000C03D2">
              <w:rPr>
                <w:rFonts w:ascii="Times New Roman" w:hAnsi="Times New Roman" w:cs="Times New Roman"/>
                <w:color w:val="000000" w:themeColor="text1"/>
                <w:sz w:val="28"/>
                <w:szCs w:val="24"/>
              </w:rPr>
              <w:t xml:space="preserve">Exequibilidad </w:t>
            </w:r>
            <w:r w:rsidRPr="000C03D2">
              <w:rPr>
                <w:rFonts w:ascii="Times New Roman" w:hAnsi="Times New Roman" w:cs="Times New Roman"/>
                <w:color w:val="000000" w:themeColor="text1"/>
                <w:sz w:val="28"/>
                <w:szCs w:val="24"/>
              </w:rPr>
              <w:t>condicionada en el entendido de que el descanso remunerado en caso de aborto también es aplicable a todas las personas gestantes, sin importar su identidad o expresión de género.</w:t>
            </w:r>
          </w:p>
        </w:tc>
      </w:tr>
      <w:tr w:rsidR="00047439" w:rsidRPr="000C03D2" w:rsidTr="000A226F">
        <w:tc>
          <w:tcPr>
            <w:tcW w:w="3114" w:type="dxa"/>
            <w:vAlign w:val="center"/>
          </w:tcPr>
          <w:p w:rsidR="00047439" w:rsidRPr="000C03D2" w:rsidRDefault="000C03D2" w:rsidP="00047439">
            <w:pPr>
              <w:pStyle w:val="Prrafodelista"/>
              <w:ind w:left="0"/>
              <w:jc w:val="center"/>
              <w:rPr>
                <w:rFonts w:ascii="Times New Roman" w:hAnsi="Times New Roman" w:cs="Times New Roman"/>
                <w:color w:val="000000" w:themeColor="text1"/>
                <w:szCs w:val="24"/>
                <w:lang w:eastAsia="es-CO"/>
              </w:rPr>
            </w:pPr>
            <w:r w:rsidRPr="000C03D2">
              <w:rPr>
                <w:rFonts w:ascii="Times New Roman" w:hAnsi="Times New Roman" w:cs="Times New Roman"/>
                <w:color w:val="000000" w:themeColor="text1"/>
                <w:szCs w:val="24"/>
                <w:lang w:eastAsia="es-CO"/>
              </w:rPr>
              <w:t>Secretaría Distrital de la Mujer</w:t>
            </w:r>
            <w:r w:rsidRPr="000C03D2">
              <w:rPr>
                <w:rStyle w:val="Refdenotaalpie"/>
                <w:rFonts w:ascii="Times New Roman" w:hAnsi="Times New Roman" w:cs="Times New Roman"/>
                <w:color w:val="000000" w:themeColor="text1"/>
                <w:szCs w:val="24"/>
                <w:lang w:eastAsia="es-CO"/>
              </w:rPr>
              <w:footnoteReference w:id="15"/>
            </w:r>
          </w:p>
        </w:tc>
        <w:tc>
          <w:tcPr>
            <w:tcW w:w="5812" w:type="dxa"/>
          </w:tcPr>
          <w:p w:rsidR="00047439" w:rsidRPr="000C03D2" w:rsidRDefault="000C03D2" w:rsidP="0057129C">
            <w:pPr>
              <w:jc w:val="both"/>
              <w:rPr>
                <w:rFonts w:ascii="Times New Roman" w:hAnsi="Times New Roman" w:cs="Times New Roman"/>
                <w:color w:val="000000" w:themeColor="text1"/>
                <w:sz w:val="28"/>
                <w:szCs w:val="24"/>
              </w:rPr>
            </w:pPr>
            <w:r w:rsidRPr="000C03D2">
              <w:rPr>
                <w:rFonts w:ascii="Times New Roman" w:hAnsi="Times New Roman" w:cs="Times New Roman"/>
                <w:color w:val="000000" w:themeColor="text1"/>
                <w:sz w:val="28"/>
                <w:szCs w:val="24"/>
              </w:rPr>
              <w:t>Exequibilidad condicionada bajo el entendi</w:t>
            </w:r>
            <w:r w:rsidRPr="000C03D2">
              <w:rPr>
                <w:rFonts w:ascii="Times New Roman" w:hAnsi="Times New Roman" w:cs="Times New Roman"/>
                <w:color w:val="000000" w:themeColor="text1"/>
                <w:sz w:val="28"/>
                <w:szCs w:val="24"/>
              </w:rPr>
              <w:t>do de que su alcance incluye a todas las personas con capacidad de gestar, independientemente de su identidad o expresión de género.</w:t>
            </w:r>
          </w:p>
        </w:tc>
      </w:tr>
    </w:tbl>
    <w:p w:rsidR="00872354" w:rsidRPr="000C03D2" w:rsidRDefault="000C03D2" w:rsidP="00A141C2">
      <w:pPr>
        <w:tabs>
          <w:tab w:val="left" w:pos="426"/>
          <w:tab w:val="left" w:pos="567"/>
        </w:tabs>
        <w:rPr>
          <w:rFonts w:ascii="Times New Roman" w:hAnsi="Times New Roman" w:cs="Times New Roman"/>
          <w:i/>
          <w:iCs/>
          <w:color w:val="000000" w:themeColor="text1"/>
          <w:sz w:val="28"/>
          <w:szCs w:val="28"/>
          <w:shd w:val="clear" w:color="auto" w:fill="FFFFFF" w:themeFill="background1"/>
        </w:rPr>
      </w:pPr>
    </w:p>
    <w:p w:rsidR="000A4D7D"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Todas las intervenciones coinciden en solicitar la declaratoria de exequibilidad condicionada de la</w:t>
      </w:r>
      <w:r w:rsidRPr="000C03D2">
        <w:rPr>
          <w:rFonts w:ascii="Times New Roman" w:hAnsi="Times New Roman" w:cs="Times New Roman"/>
          <w:color w:val="000000" w:themeColor="text1"/>
          <w:sz w:val="28"/>
          <w:szCs w:val="28"/>
        </w:rPr>
        <w:t xml:space="preserve"> disposición</w:t>
      </w:r>
      <w:r w:rsidRPr="000C03D2">
        <w:rPr>
          <w:rFonts w:ascii="Times New Roman" w:hAnsi="Times New Roman" w:cs="Times New Roman"/>
          <w:color w:val="000000" w:themeColor="text1"/>
          <w:sz w:val="28"/>
          <w:szCs w:val="28"/>
        </w:rPr>
        <w:t xml:space="preserve"> acusada bajo el entendido de que la expresión “la trabajadora” debe interpretarse en un sentido amplio e inclusivo, que cobije </w:t>
      </w:r>
      <w:r w:rsidRPr="000C03D2">
        <w:rPr>
          <w:rFonts w:ascii="Times New Roman" w:hAnsi="Times New Roman" w:cs="Times New Roman"/>
          <w:color w:val="000000" w:themeColor="text1"/>
          <w:sz w:val="28"/>
          <w:szCs w:val="28"/>
        </w:rPr>
        <w:t>a todas las personas</w:t>
      </w:r>
      <w:r w:rsidRPr="000C03D2">
        <w:rPr>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gestantes</w:t>
      </w:r>
      <w:r w:rsidRPr="000C03D2">
        <w:rPr>
          <w:rFonts w:ascii="Times New Roman" w:hAnsi="Times New Roman" w:cs="Times New Roman"/>
          <w:color w:val="000000" w:themeColor="text1"/>
          <w:sz w:val="28"/>
          <w:szCs w:val="28"/>
        </w:rPr>
        <w:t>.</w:t>
      </w:r>
    </w:p>
    <w:p w:rsidR="000A4D7D" w:rsidRPr="000C03D2" w:rsidRDefault="000C03D2" w:rsidP="000713BC">
      <w:pPr>
        <w:tabs>
          <w:tab w:val="left" w:pos="426"/>
          <w:tab w:val="left" w:pos="567"/>
        </w:tabs>
        <w:jc w:val="both"/>
        <w:rPr>
          <w:rFonts w:ascii="Times New Roman" w:hAnsi="Times New Roman" w:cs="Times New Roman"/>
          <w:color w:val="000000" w:themeColor="text1"/>
          <w:sz w:val="28"/>
          <w:szCs w:val="28"/>
        </w:rPr>
      </w:pPr>
    </w:p>
    <w:p w:rsidR="00C6239C"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Las </w:t>
      </w:r>
      <w:r w:rsidRPr="000C03D2">
        <w:rPr>
          <w:rFonts w:ascii="Times New Roman" w:hAnsi="Times New Roman" w:cs="Times New Roman"/>
          <w:color w:val="000000" w:themeColor="text1"/>
          <w:sz w:val="28"/>
          <w:szCs w:val="28"/>
        </w:rPr>
        <w:t>intervenciones</w:t>
      </w:r>
      <w:r w:rsidRPr="000C03D2">
        <w:rPr>
          <w:rFonts w:ascii="Times New Roman" w:hAnsi="Times New Roman" w:cs="Times New Roman"/>
          <w:color w:val="000000" w:themeColor="text1"/>
          <w:sz w:val="28"/>
          <w:szCs w:val="28"/>
        </w:rPr>
        <w:t xml:space="preserve"> sostienen que la redacción actual del artículo 237 del CST incurre en una om</w:t>
      </w:r>
      <w:r w:rsidRPr="000C03D2">
        <w:rPr>
          <w:rFonts w:ascii="Times New Roman" w:hAnsi="Times New Roman" w:cs="Times New Roman"/>
          <w:color w:val="000000" w:themeColor="text1"/>
          <w:sz w:val="28"/>
          <w:szCs w:val="28"/>
        </w:rPr>
        <w:t xml:space="preserve">isión legislativa relativa al excluir de su ámbito de protección a </w:t>
      </w:r>
      <w:r w:rsidRPr="000C03D2">
        <w:rPr>
          <w:rFonts w:ascii="Times New Roman" w:hAnsi="Times New Roman" w:cs="Times New Roman"/>
          <w:color w:val="000000" w:themeColor="text1"/>
          <w:sz w:val="28"/>
          <w:szCs w:val="28"/>
        </w:rPr>
        <w:t>personas</w:t>
      </w:r>
      <w:r w:rsidRPr="000C03D2">
        <w:rPr>
          <w:rFonts w:ascii="Times New Roman" w:hAnsi="Times New Roman" w:cs="Times New Roman"/>
          <w:color w:val="000000" w:themeColor="text1"/>
          <w:sz w:val="28"/>
          <w:szCs w:val="28"/>
        </w:rPr>
        <w:t xml:space="preserve"> que, pese a no identificarse como mujeres cisgénero, se encuentran en una situación fáctica asimilable: la </w:t>
      </w:r>
      <w:r w:rsidRPr="000C03D2">
        <w:rPr>
          <w:rFonts w:ascii="Times New Roman" w:hAnsi="Times New Roman" w:cs="Times New Roman"/>
          <w:color w:val="000000" w:themeColor="text1"/>
          <w:sz w:val="28"/>
          <w:szCs w:val="28"/>
        </w:rPr>
        <w:t>gestación</w:t>
      </w:r>
      <w:r w:rsidRPr="000C03D2">
        <w:rPr>
          <w:rFonts w:ascii="Times New Roman" w:hAnsi="Times New Roman" w:cs="Times New Roman"/>
          <w:color w:val="000000" w:themeColor="text1"/>
          <w:sz w:val="28"/>
          <w:szCs w:val="28"/>
        </w:rPr>
        <w:t xml:space="preserve"> y, por ende, de experimentar un aborto o un parto prematuro no viable. Esta exclusión, afirman, vulnera los derechos fundamentales a la igualdad, a la identidad de género, al libre desarrollo de la personalidad, a la seguridad social y a la salud de las p</w:t>
      </w:r>
      <w:r w:rsidRPr="000C03D2">
        <w:rPr>
          <w:rFonts w:ascii="Times New Roman" w:hAnsi="Times New Roman" w:cs="Times New Roman"/>
          <w:color w:val="000000" w:themeColor="text1"/>
          <w:sz w:val="28"/>
          <w:szCs w:val="28"/>
        </w:rPr>
        <w:t>ersonas trans y no binarias</w:t>
      </w:r>
      <w:r w:rsidRPr="000C03D2">
        <w:rPr>
          <w:rFonts w:ascii="Times New Roman" w:hAnsi="Times New Roman" w:cs="Times New Roman"/>
          <w:color w:val="000000" w:themeColor="text1"/>
          <w:sz w:val="28"/>
          <w:szCs w:val="28"/>
        </w:rPr>
        <w:t>.</w:t>
      </w:r>
    </w:p>
    <w:p w:rsidR="00C6239C" w:rsidRPr="000C03D2" w:rsidRDefault="000C03D2" w:rsidP="000713BC">
      <w:pPr>
        <w:pStyle w:val="Prrafodelista"/>
        <w:tabs>
          <w:tab w:val="left" w:pos="426"/>
        </w:tabs>
        <w:rPr>
          <w:rFonts w:ascii="Times New Roman" w:hAnsi="Times New Roman" w:cs="Times New Roman"/>
          <w:color w:val="000000" w:themeColor="text1"/>
          <w:szCs w:val="28"/>
        </w:rPr>
      </w:pPr>
    </w:p>
    <w:p w:rsidR="00124AFE"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Destacan</w:t>
      </w:r>
      <w:r w:rsidRPr="000C03D2">
        <w:rPr>
          <w:rFonts w:ascii="Times New Roman" w:hAnsi="Times New Roman" w:cs="Times New Roman"/>
          <w:color w:val="000000" w:themeColor="text1"/>
          <w:sz w:val="28"/>
          <w:szCs w:val="28"/>
        </w:rPr>
        <w:t xml:space="preserve"> que la Corte Constitucional ha reconocido a las personas con orientaciones sexuales e identidades de género diversas como sujetos de especial protección constitucional, en virtud de la discriminación histórica y estru</w:t>
      </w:r>
      <w:r w:rsidRPr="000C03D2">
        <w:rPr>
          <w:rFonts w:ascii="Times New Roman" w:hAnsi="Times New Roman" w:cs="Times New Roman"/>
          <w:color w:val="000000" w:themeColor="text1"/>
          <w:sz w:val="28"/>
          <w:szCs w:val="28"/>
        </w:rPr>
        <w:t>ctural que han enfrentado. En ese sentido, la literalidad de la expresión “la trabajadora” constituye una categoría sospechosa de discriminación, al fundarse en un criterio de género binario que desconoce la pluralidad de identidades existentes en la socie</w:t>
      </w:r>
      <w:r w:rsidRPr="000C03D2">
        <w:rPr>
          <w:rFonts w:ascii="Times New Roman" w:hAnsi="Times New Roman" w:cs="Times New Roman"/>
          <w:color w:val="000000" w:themeColor="text1"/>
          <w:sz w:val="28"/>
          <w:szCs w:val="28"/>
        </w:rPr>
        <w:t>dad colombiana.</w:t>
      </w:r>
    </w:p>
    <w:p w:rsidR="00124AFE" w:rsidRPr="000C03D2" w:rsidRDefault="000C03D2" w:rsidP="000713BC">
      <w:pPr>
        <w:pStyle w:val="Prrafodelista"/>
        <w:tabs>
          <w:tab w:val="left" w:pos="426"/>
        </w:tabs>
        <w:rPr>
          <w:rFonts w:ascii="Times New Roman" w:hAnsi="Times New Roman" w:cs="Times New Roman"/>
          <w:color w:val="000000" w:themeColor="text1"/>
          <w:szCs w:val="28"/>
        </w:rPr>
      </w:pPr>
    </w:p>
    <w:p w:rsidR="00124AFE"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En particular, resalta</w:t>
      </w:r>
      <w:r w:rsidRPr="000C03D2">
        <w:rPr>
          <w:rFonts w:ascii="Times New Roman" w:hAnsi="Times New Roman" w:cs="Times New Roman"/>
          <w:color w:val="000000" w:themeColor="text1"/>
          <w:sz w:val="28"/>
          <w:szCs w:val="28"/>
        </w:rPr>
        <w:t>n</w:t>
      </w:r>
      <w:r w:rsidRPr="000C03D2">
        <w:rPr>
          <w:rFonts w:ascii="Times New Roman" w:hAnsi="Times New Roman" w:cs="Times New Roman"/>
          <w:color w:val="000000" w:themeColor="text1"/>
          <w:sz w:val="28"/>
          <w:szCs w:val="28"/>
        </w:rPr>
        <w:t xml:space="preserve"> la aplicabilidad del precedente sentado en la Sentencia C-324 de 2023, en la cual la Corte declaró la exequibilidad condicionada del artículo 236 del CST, en el entendido de que las expresiones “trabajadora”, “madre</w:t>
      </w:r>
      <w:r w:rsidRPr="000C03D2">
        <w:rPr>
          <w:rFonts w:ascii="Times New Roman" w:hAnsi="Times New Roman" w:cs="Times New Roman"/>
          <w:color w:val="000000" w:themeColor="text1"/>
          <w:sz w:val="28"/>
          <w:szCs w:val="28"/>
        </w:rPr>
        <w:t xml:space="preserve">” y “mujer” comprenden también a hombres trans y personas no binarias con capacidad de gestar. De igual forma, </w:t>
      </w:r>
      <w:r w:rsidRPr="000C03D2">
        <w:rPr>
          <w:rFonts w:ascii="Times New Roman" w:hAnsi="Times New Roman" w:cs="Times New Roman"/>
          <w:color w:val="000000" w:themeColor="text1"/>
          <w:sz w:val="28"/>
          <w:szCs w:val="28"/>
        </w:rPr>
        <w:t>citan</w:t>
      </w:r>
      <w:r w:rsidRPr="000C03D2">
        <w:rPr>
          <w:rFonts w:ascii="Times New Roman" w:hAnsi="Times New Roman" w:cs="Times New Roman"/>
          <w:color w:val="000000" w:themeColor="text1"/>
          <w:sz w:val="28"/>
          <w:szCs w:val="28"/>
        </w:rPr>
        <w:t xml:space="preserve"> la Sentencia C-071 de 2025 que extendió las garantías de protección en la etapa de lactancia a todas las personas gestantes, sin distinción</w:t>
      </w:r>
      <w:r w:rsidRPr="000C03D2">
        <w:rPr>
          <w:rFonts w:ascii="Times New Roman" w:hAnsi="Times New Roman" w:cs="Times New Roman"/>
          <w:color w:val="000000" w:themeColor="text1"/>
          <w:sz w:val="28"/>
          <w:szCs w:val="28"/>
        </w:rPr>
        <w:t xml:space="preserve"> de género</w:t>
      </w:r>
      <w:r w:rsidRPr="000C03D2">
        <w:rPr>
          <w:rFonts w:ascii="Times New Roman" w:hAnsi="Times New Roman" w:cs="Times New Roman"/>
          <w:color w:val="000000" w:themeColor="text1"/>
          <w:sz w:val="28"/>
          <w:szCs w:val="28"/>
        </w:rPr>
        <w:t>.</w:t>
      </w:r>
    </w:p>
    <w:p w:rsidR="00124AFE" w:rsidRPr="000C03D2" w:rsidRDefault="000C03D2" w:rsidP="000713BC">
      <w:pPr>
        <w:pStyle w:val="Prrafodelista"/>
        <w:tabs>
          <w:tab w:val="left" w:pos="426"/>
        </w:tabs>
        <w:rPr>
          <w:rFonts w:ascii="Times New Roman" w:hAnsi="Times New Roman" w:cs="Times New Roman"/>
          <w:color w:val="000000" w:themeColor="text1"/>
          <w:szCs w:val="28"/>
        </w:rPr>
      </w:pPr>
    </w:p>
    <w:p w:rsidR="00124AFE"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Los intervinientes también advierten que el descanso remunerado en caso de aborto, aunque formalmente clasificado como una incapacidad por enfermedad común, cumple una función análoga a la licencia de maternidad, en tanto protege la salud físi</w:t>
      </w:r>
      <w:r w:rsidRPr="000C03D2">
        <w:rPr>
          <w:rFonts w:ascii="Times New Roman" w:hAnsi="Times New Roman" w:cs="Times New Roman"/>
          <w:color w:val="000000" w:themeColor="text1"/>
          <w:sz w:val="28"/>
          <w:szCs w:val="28"/>
        </w:rPr>
        <w:t xml:space="preserve">ca y mental de la persona gestante, garantiza su estabilidad laboral y asegura el reconocimiento económico durante el periodo de recuperación. En consecuencia, sostienen que el tratamiento jurídico de ambas figuras debe armonizarse, extendiendo el alcance </w:t>
      </w:r>
      <w:r w:rsidRPr="000C03D2">
        <w:rPr>
          <w:rFonts w:ascii="Times New Roman" w:hAnsi="Times New Roman" w:cs="Times New Roman"/>
          <w:color w:val="000000" w:themeColor="text1"/>
          <w:sz w:val="28"/>
          <w:szCs w:val="28"/>
        </w:rPr>
        <w:t>del artículo 237 a todas las personas gestantes, sin importar su identidad de género</w:t>
      </w:r>
      <w:r w:rsidRPr="000C03D2">
        <w:rPr>
          <w:rFonts w:ascii="Times New Roman" w:hAnsi="Times New Roman" w:cs="Times New Roman"/>
          <w:color w:val="000000" w:themeColor="text1"/>
          <w:sz w:val="28"/>
          <w:szCs w:val="28"/>
        </w:rPr>
        <w:t>.</w:t>
      </w:r>
    </w:p>
    <w:p w:rsidR="00124AFE" w:rsidRPr="000C03D2" w:rsidRDefault="000C03D2" w:rsidP="000713BC">
      <w:pPr>
        <w:pStyle w:val="Prrafodelista"/>
        <w:tabs>
          <w:tab w:val="left" w:pos="426"/>
        </w:tabs>
        <w:rPr>
          <w:rFonts w:ascii="Times New Roman" w:hAnsi="Times New Roman" w:cs="Times New Roman"/>
          <w:color w:val="000000" w:themeColor="text1"/>
          <w:szCs w:val="28"/>
        </w:rPr>
      </w:pPr>
    </w:p>
    <w:p w:rsidR="00124AFE"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La Secretaría Distrital de la Mujer, en su intervención, enfatiza que el lenguaje normativo debe ser coherente con los principios de igualdad, dignidad humana y no discr</w:t>
      </w:r>
      <w:r w:rsidRPr="000C03D2">
        <w:rPr>
          <w:rFonts w:ascii="Times New Roman" w:hAnsi="Times New Roman" w:cs="Times New Roman"/>
          <w:color w:val="000000" w:themeColor="text1"/>
          <w:sz w:val="28"/>
          <w:szCs w:val="28"/>
        </w:rPr>
        <w:t xml:space="preserve">iminación. La entidad respalda su posición en estándares del Sistema Interamericano y Universal de Derechos Humanos, así como en los Principios de </w:t>
      </w:r>
      <w:r w:rsidRPr="000C03D2">
        <w:rPr>
          <w:rFonts w:ascii="Times New Roman" w:hAnsi="Times New Roman" w:cs="Times New Roman"/>
          <w:i/>
          <w:iCs/>
          <w:color w:val="000000" w:themeColor="text1"/>
          <w:sz w:val="28"/>
          <w:szCs w:val="28"/>
        </w:rPr>
        <w:t>Yogyakarta</w:t>
      </w:r>
      <w:r w:rsidRPr="000C03D2">
        <w:rPr>
          <w:rStyle w:val="Refdenotaalpie"/>
          <w:rFonts w:ascii="Times New Roman" w:hAnsi="Times New Roman" w:cs="Times New Roman"/>
          <w:color w:val="000000" w:themeColor="text1"/>
          <w:sz w:val="28"/>
          <w:szCs w:val="28"/>
        </w:rPr>
        <w:footnoteReference w:id="16"/>
      </w:r>
      <w:r w:rsidRPr="000C03D2">
        <w:rPr>
          <w:rFonts w:ascii="Times New Roman" w:hAnsi="Times New Roman" w:cs="Times New Roman"/>
          <w:color w:val="000000" w:themeColor="text1"/>
          <w:sz w:val="28"/>
          <w:szCs w:val="28"/>
        </w:rPr>
        <w:t xml:space="preserve">, y subraya que el uso de un lenguaje excluyente constituye una barrera normativa que perpetúa la </w:t>
      </w:r>
      <w:r w:rsidRPr="000C03D2">
        <w:rPr>
          <w:rFonts w:ascii="Times New Roman" w:hAnsi="Times New Roman" w:cs="Times New Roman"/>
          <w:color w:val="000000" w:themeColor="text1"/>
          <w:sz w:val="28"/>
          <w:szCs w:val="28"/>
        </w:rPr>
        <w:t>invisibilidad de identidades de género diversas.</w:t>
      </w:r>
    </w:p>
    <w:p w:rsidR="00124AFE" w:rsidRPr="000C03D2" w:rsidRDefault="000C03D2" w:rsidP="000713BC">
      <w:pPr>
        <w:pStyle w:val="Prrafodelista"/>
        <w:tabs>
          <w:tab w:val="left" w:pos="426"/>
        </w:tabs>
        <w:rPr>
          <w:rFonts w:ascii="Times New Roman" w:hAnsi="Times New Roman" w:cs="Times New Roman"/>
          <w:color w:val="000000" w:themeColor="text1"/>
          <w:szCs w:val="28"/>
        </w:rPr>
      </w:pPr>
    </w:p>
    <w:p w:rsidR="00124AFE"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En cuanto al juicio de omisión legislativa relativa, </w:t>
      </w:r>
      <w:r w:rsidRPr="000C03D2">
        <w:rPr>
          <w:rFonts w:ascii="Times New Roman" w:hAnsi="Times New Roman" w:cs="Times New Roman"/>
          <w:color w:val="000000" w:themeColor="text1"/>
          <w:sz w:val="28"/>
          <w:szCs w:val="28"/>
        </w:rPr>
        <w:t>advierten</w:t>
      </w:r>
      <w:r w:rsidRPr="000C03D2">
        <w:rPr>
          <w:rFonts w:ascii="Times New Roman" w:hAnsi="Times New Roman" w:cs="Times New Roman"/>
          <w:color w:val="000000" w:themeColor="text1"/>
          <w:sz w:val="28"/>
          <w:szCs w:val="28"/>
        </w:rPr>
        <w:t xml:space="preserve"> que se cumplen los requisitos establecidos por la jurisprudencia constitucional: (i) la existencia de una norma específica (art. 237 CST); (ii)</w:t>
      </w:r>
      <w:r w:rsidRPr="000C03D2">
        <w:rPr>
          <w:rFonts w:ascii="Times New Roman" w:hAnsi="Times New Roman" w:cs="Times New Roman"/>
          <w:color w:val="000000" w:themeColor="text1"/>
          <w:sz w:val="28"/>
          <w:szCs w:val="28"/>
        </w:rPr>
        <w:t xml:space="preserve"> la exclusión de casos asimilables (hombres trans y personas no binarias con capacidad de gestar); (iii) la ausencia de una justificación constitucional suficiente para dicha exclusión; (iv) la generación de un trato desigual injustificado; y (v) el incump</w:t>
      </w:r>
      <w:r w:rsidRPr="000C03D2">
        <w:rPr>
          <w:rFonts w:ascii="Times New Roman" w:hAnsi="Times New Roman" w:cs="Times New Roman"/>
          <w:color w:val="000000" w:themeColor="text1"/>
          <w:sz w:val="28"/>
          <w:szCs w:val="28"/>
        </w:rPr>
        <w:t>limiento de un deber específico impuesto por el Constituyente al legislador, en virtud del artículo 13 de la Constitución y del bloque de constitucionalidad.</w:t>
      </w:r>
    </w:p>
    <w:p w:rsidR="00124AFE" w:rsidRPr="000C03D2" w:rsidRDefault="000C03D2" w:rsidP="000713BC">
      <w:pPr>
        <w:pStyle w:val="Prrafodelista"/>
        <w:tabs>
          <w:tab w:val="left" w:pos="426"/>
        </w:tabs>
        <w:rPr>
          <w:rFonts w:ascii="Times New Roman" w:hAnsi="Times New Roman" w:cs="Times New Roman"/>
          <w:color w:val="000000" w:themeColor="text1"/>
          <w:szCs w:val="28"/>
        </w:rPr>
      </w:pPr>
    </w:p>
    <w:p w:rsidR="000A4D7D" w:rsidRPr="000C03D2" w:rsidRDefault="000C03D2" w:rsidP="000713BC">
      <w:pPr>
        <w:numPr>
          <w:ilvl w:val="0"/>
          <w:numId w:val="3"/>
        </w:numPr>
        <w:tabs>
          <w:tab w:val="left" w:pos="284"/>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Finalmente, el Observatorio de la Universidad Libre considera pertinente advertir sobre los riesg</w:t>
      </w:r>
      <w:r w:rsidRPr="000C03D2">
        <w:rPr>
          <w:rFonts w:ascii="Times New Roman" w:hAnsi="Times New Roman" w:cs="Times New Roman"/>
          <w:color w:val="000000" w:themeColor="text1"/>
          <w:sz w:val="28"/>
          <w:szCs w:val="28"/>
        </w:rPr>
        <w:t xml:space="preserve">os de una interpretación restrictiva </w:t>
      </w:r>
      <w:r w:rsidRPr="000C03D2">
        <w:rPr>
          <w:rFonts w:ascii="Times New Roman" w:hAnsi="Times New Roman" w:cs="Times New Roman"/>
          <w:color w:val="000000" w:themeColor="text1"/>
          <w:sz w:val="28"/>
          <w:szCs w:val="28"/>
        </w:rPr>
        <w:t>de la norma</w:t>
      </w:r>
      <w:r w:rsidRPr="000C03D2">
        <w:rPr>
          <w:rFonts w:ascii="Times New Roman" w:hAnsi="Times New Roman" w:cs="Times New Roman"/>
          <w:color w:val="000000" w:themeColor="text1"/>
          <w:sz w:val="28"/>
          <w:szCs w:val="28"/>
        </w:rPr>
        <w:t xml:space="preserve">, que podría excluir del ámbito de protección a quienes interrumpen voluntariamente su embarazo. En este sentido, se propone una lectura constitucional del artículo 237 del CST que integre toda forma de </w:t>
      </w:r>
      <w:r w:rsidRPr="000C03D2">
        <w:rPr>
          <w:rFonts w:ascii="Times New Roman" w:hAnsi="Times New Roman" w:cs="Times New Roman"/>
          <w:color w:val="000000" w:themeColor="text1"/>
          <w:sz w:val="28"/>
          <w:szCs w:val="28"/>
        </w:rPr>
        <w:t>interrupción del embarazo, sin distinción entre su origen espontáneo o voluntario, y sin juicios de valor moral o estereotipos de género.</w:t>
      </w:r>
    </w:p>
    <w:p w:rsidR="000A4D7D" w:rsidRPr="000C03D2" w:rsidRDefault="000C03D2" w:rsidP="000713BC">
      <w:pPr>
        <w:tabs>
          <w:tab w:val="left" w:pos="284"/>
          <w:tab w:val="left" w:pos="426"/>
          <w:tab w:val="left" w:pos="567"/>
        </w:tabs>
        <w:jc w:val="both"/>
        <w:rPr>
          <w:rFonts w:ascii="Times New Roman" w:hAnsi="Times New Roman" w:cs="Times New Roman"/>
          <w:i/>
          <w:iCs/>
          <w:color w:val="000000" w:themeColor="text1"/>
          <w:sz w:val="28"/>
          <w:szCs w:val="28"/>
          <w:shd w:val="clear" w:color="auto" w:fill="FFFFFF" w:themeFill="background1"/>
        </w:rPr>
      </w:pPr>
    </w:p>
    <w:p w:rsidR="00026955" w:rsidRPr="000C03D2" w:rsidRDefault="000C03D2" w:rsidP="000713BC">
      <w:pPr>
        <w:pStyle w:val="Prrafodelista"/>
        <w:widowControl w:val="0"/>
        <w:numPr>
          <w:ilvl w:val="0"/>
          <w:numId w:val="2"/>
        </w:numPr>
        <w:tabs>
          <w:tab w:val="left" w:pos="284"/>
        </w:tabs>
        <w:ind w:left="0" w:firstLine="0"/>
        <w:rPr>
          <w:rFonts w:ascii="Times New Roman" w:hAnsi="Times New Roman" w:cs="Times New Roman"/>
          <w:b/>
          <w:bCs/>
          <w:color w:val="000000" w:themeColor="text1"/>
          <w:szCs w:val="28"/>
        </w:rPr>
      </w:pPr>
      <w:r w:rsidRPr="000C03D2">
        <w:rPr>
          <w:rFonts w:ascii="Times New Roman" w:hAnsi="Times New Roman" w:cs="Times New Roman"/>
          <w:b/>
          <w:bCs/>
          <w:color w:val="000000" w:themeColor="text1"/>
          <w:szCs w:val="28"/>
        </w:rPr>
        <w:t>Concepto del Procurad</w:t>
      </w:r>
      <w:r w:rsidRPr="000C03D2">
        <w:rPr>
          <w:rFonts w:ascii="Times New Roman" w:hAnsi="Times New Roman" w:cs="Times New Roman"/>
          <w:b/>
          <w:bCs/>
          <w:color w:val="000000" w:themeColor="text1"/>
          <w:szCs w:val="28"/>
        </w:rPr>
        <w:t>o</w:t>
      </w:r>
      <w:r w:rsidRPr="000C03D2">
        <w:rPr>
          <w:rFonts w:ascii="Times New Roman" w:hAnsi="Times New Roman" w:cs="Times New Roman"/>
          <w:b/>
          <w:bCs/>
          <w:color w:val="000000" w:themeColor="text1"/>
          <w:szCs w:val="28"/>
        </w:rPr>
        <w:t>r General de la Nación</w:t>
      </w:r>
      <w:r w:rsidRPr="000C03D2">
        <w:rPr>
          <w:rStyle w:val="Refdenotaalpie"/>
          <w:rFonts w:ascii="Times New Roman" w:hAnsi="Times New Roman" w:cs="Times New Roman"/>
          <w:color w:val="000000" w:themeColor="text1"/>
          <w:szCs w:val="28"/>
        </w:rPr>
        <w:footnoteReference w:id="17"/>
      </w:r>
    </w:p>
    <w:p w:rsidR="00026955" w:rsidRPr="000C03D2" w:rsidRDefault="000C03D2" w:rsidP="000713BC">
      <w:pPr>
        <w:tabs>
          <w:tab w:val="left" w:pos="284"/>
          <w:tab w:val="left" w:pos="426"/>
          <w:tab w:val="left" w:pos="567"/>
        </w:tabs>
        <w:jc w:val="both"/>
        <w:rPr>
          <w:rFonts w:ascii="Times New Roman" w:hAnsi="Times New Roman" w:cs="Times New Roman"/>
          <w:i/>
          <w:iCs/>
          <w:color w:val="000000" w:themeColor="text1"/>
          <w:sz w:val="28"/>
          <w:szCs w:val="28"/>
          <w:shd w:val="clear" w:color="auto" w:fill="FFFFFF" w:themeFill="background1"/>
        </w:rPr>
      </w:pPr>
    </w:p>
    <w:p w:rsidR="00E10D31" w:rsidRPr="000C03D2" w:rsidRDefault="000C03D2" w:rsidP="000713BC">
      <w:pPr>
        <w:numPr>
          <w:ilvl w:val="0"/>
          <w:numId w:val="3"/>
        </w:numPr>
        <w:tabs>
          <w:tab w:val="left" w:pos="284"/>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lang w:eastAsia="es-ES"/>
        </w:rPr>
        <w:t xml:space="preserve">El </w:t>
      </w:r>
      <w:r w:rsidRPr="000C03D2">
        <w:rPr>
          <w:rFonts w:ascii="Times New Roman" w:hAnsi="Times New Roman" w:cs="Times New Roman"/>
          <w:color w:val="000000" w:themeColor="text1"/>
          <w:sz w:val="28"/>
          <w:szCs w:val="28"/>
          <w:lang w:eastAsia="es-ES"/>
        </w:rPr>
        <w:t>4</w:t>
      </w:r>
      <w:r w:rsidRPr="000C03D2">
        <w:rPr>
          <w:rFonts w:ascii="Times New Roman" w:hAnsi="Times New Roman" w:cs="Times New Roman"/>
          <w:color w:val="000000" w:themeColor="text1"/>
          <w:sz w:val="28"/>
          <w:szCs w:val="28"/>
          <w:lang w:eastAsia="es-ES"/>
        </w:rPr>
        <w:t xml:space="preserve"> de </w:t>
      </w:r>
      <w:r w:rsidRPr="000C03D2">
        <w:rPr>
          <w:rFonts w:ascii="Times New Roman" w:hAnsi="Times New Roman" w:cs="Times New Roman"/>
          <w:color w:val="000000" w:themeColor="text1"/>
          <w:sz w:val="28"/>
          <w:szCs w:val="28"/>
          <w:lang w:eastAsia="es-ES"/>
        </w:rPr>
        <w:t>septiembre</w:t>
      </w:r>
      <w:r w:rsidRPr="000C03D2">
        <w:rPr>
          <w:rFonts w:ascii="Times New Roman" w:hAnsi="Times New Roman" w:cs="Times New Roman"/>
          <w:color w:val="000000" w:themeColor="text1"/>
          <w:sz w:val="28"/>
          <w:szCs w:val="28"/>
          <w:lang w:eastAsia="es-ES"/>
        </w:rPr>
        <w:t xml:space="preserve"> de 2025, el procurador general de la Nación presentó concepto en el que </w:t>
      </w:r>
      <w:r w:rsidRPr="000C03D2">
        <w:rPr>
          <w:rFonts w:ascii="Times New Roman" w:hAnsi="Times New Roman" w:cs="Times New Roman"/>
          <w:color w:val="000000" w:themeColor="text1"/>
          <w:sz w:val="28"/>
          <w:szCs w:val="28"/>
          <w:lang w:eastAsia="es-ES"/>
        </w:rPr>
        <w:t xml:space="preserve">solicitó </w:t>
      </w:r>
      <w:r w:rsidRPr="000C03D2">
        <w:rPr>
          <w:rFonts w:ascii="Times New Roman" w:hAnsi="Times New Roman" w:cs="Times New Roman"/>
          <w:color w:val="000000" w:themeColor="text1"/>
          <w:sz w:val="28"/>
          <w:szCs w:val="28"/>
        </w:rPr>
        <w:t>declarar la</w:t>
      </w:r>
      <w:r w:rsidRPr="000C03D2">
        <w:rPr>
          <w:rStyle w:val="apple-converted-space"/>
          <w:rFonts w:ascii="Times New Roman" w:hAnsi="Times New Roman" w:cs="Times New Roman"/>
          <w:color w:val="000000" w:themeColor="text1"/>
          <w:sz w:val="28"/>
          <w:szCs w:val="28"/>
        </w:rPr>
        <w:t xml:space="preserve"> </w:t>
      </w:r>
      <w:r w:rsidRPr="000C03D2">
        <w:rPr>
          <w:rStyle w:val="Textoennegrita"/>
          <w:rFonts w:ascii="Times New Roman" w:hAnsi="Times New Roman" w:cs="Times New Roman"/>
          <w:b w:val="0"/>
          <w:bCs w:val="0"/>
          <w:color w:val="000000" w:themeColor="text1"/>
          <w:sz w:val="28"/>
          <w:szCs w:val="28"/>
        </w:rPr>
        <w:t>exequibilidad condicionada</w:t>
      </w:r>
      <w:r w:rsidRPr="000C03D2">
        <w:rPr>
          <w:rStyle w:val="apple-converted-space"/>
          <w:rFonts w:ascii="Times New Roman" w:hAnsi="Times New Roman" w:cs="Times New Roman"/>
          <w:color w:val="000000" w:themeColor="text1"/>
          <w:sz w:val="28"/>
          <w:szCs w:val="28"/>
        </w:rPr>
        <w:t xml:space="preserve"> </w:t>
      </w:r>
      <w:r w:rsidRPr="000C03D2">
        <w:rPr>
          <w:rFonts w:ascii="Times New Roman" w:hAnsi="Times New Roman" w:cs="Times New Roman"/>
          <w:color w:val="000000" w:themeColor="text1"/>
          <w:sz w:val="28"/>
          <w:szCs w:val="28"/>
        </w:rPr>
        <w:t>de la expresión “la trabajadora” contenida en el artículo 237 del Código Sustantivo del Trabajo, bajo el entendido de que</w:t>
      </w:r>
      <w:r w:rsidRPr="000C03D2">
        <w:rPr>
          <w:rStyle w:val="apple-converted-space"/>
          <w:rFonts w:ascii="Times New Roman" w:hAnsi="Times New Roman" w:cs="Times New Roman"/>
          <w:color w:val="000000" w:themeColor="text1"/>
          <w:sz w:val="28"/>
          <w:szCs w:val="28"/>
        </w:rPr>
        <w:t xml:space="preserve"> </w:t>
      </w:r>
      <w:r w:rsidRPr="000C03D2">
        <w:rPr>
          <w:rStyle w:val="Textoennegrita"/>
          <w:rFonts w:ascii="Times New Roman" w:hAnsi="Times New Roman" w:cs="Times New Roman"/>
          <w:b w:val="0"/>
          <w:bCs w:val="0"/>
          <w:color w:val="000000" w:themeColor="text1"/>
          <w:sz w:val="28"/>
          <w:szCs w:val="28"/>
        </w:rPr>
        <w:t xml:space="preserve">incluye a </w:t>
      </w:r>
      <w:r w:rsidRPr="000C03D2">
        <w:rPr>
          <w:rStyle w:val="Textoennegrita"/>
          <w:rFonts w:ascii="Times New Roman" w:hAnsi="Times New Roman" w:cs="Times New Roman"/>
          <w:b w:val="0"/>
          <w:bCs w:val="0"/>
          <w:color w:val="000000" w:themeColor="text1"/>
          <w:sz w:val="28"/>
          <w:szCs w:val="28"/>
        </w:rPr>
        <w:t>todas las personas con capacidad de gestación</w:t>
      </w:r>
      <w:r w:rsidRPr="000C03D2">
        <w:rPr>
          <w:rFonts w:ascii="Times New Roman" w:hAnsi="Times New Roman" w:cs="Times New Roman"/>
          <w:color w:val="000000" w:themeColor="text1"/>
          <w:sz w:val="28"/>
          <w:szCs w:val="28"/>
        </w:rPr>
        <w:t>, garantizando así el acceso igualitario al descanso remunerado en caso de aborto.</w:t>
      </w:r>
    </w:p>
    <w:p w:rsidR="00E10D31" w:rsidRPr="000C03D2" w:rsidRDefault="000C03D2" w:rsidP="000713BC">
      <w:pPr>
        <w:tabs>
          <w:tab w:val="left" w:pos="284"/>
          <w:tab w:val="left" w:pos="426"/>
          <w:tab w:val="left" w:pos="567"/>
        </w:tabs>
        <w:jc w:val="both"/>
        <w:rPr>
          <w:rFonts w:ascii="Times New Roman" w:hAnsi="Times New Roman" w:cs="Times New Roman"/>
          <w:color w:val="000000" w:themeColor="text1"/>
          <w:sz w:val="28"/>
          <w:szCs w:val="28"/>
        </w:rPr>
      </w:pPr>
    </w:p>
    <w:p w:rsidR="00864181" w:rsidRPr="000C03D2" w:rsidRDefault="000C03D2" w:rsidP="000713BC">
      <w:pPr>
        <w:numPr>
          <w:ilvl w:val="0"/>
          <w:numId w:val="3"/>
        </w:numPr>
        <w:tabs>
          <w:tab w:val="left" w:pos="284"/>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Desde la perspectiva del Ministerio Público, la norma acusada incurre en una discriminación indirecta al utilizar un lenguaje q</w:t>
      </w:r>
      <w:r w:rsidRPr="000C03D2">
        <w:rPr>
          <w:rFonts w:ascii="Times New Roman" w:hAnsi="Times New Roman" w:cs="Times New Roman"/>
          <w:color w:val="000000" w:themeColor="text1"/>
          <w:sz w:val="28"/>
          <w:szCs w:val="28"/>
        </w:rPr>
        <w:t>ue presupone una identidad de género específica como condición para acceder a un derecho laboral. Esta redacción invisibiliza a otros sujetos gestantes que, por no identificarse como mujeres cisgénero, quedan excluidos del ámbito de protección previsto por</w:t>
      </w:r>
      <w:r w:rsidRPr="000C03D2">
        <w:rPr>
          <w:rFonts w:ascii="Times New Roman" w:hAnsi="Times New Roman" w:cs="Times New Roman"/>
          <w:color w:val="000000" w:themeColor="text1"/>
          <w:sz w:val="28"/>
          <w:szCs w:val="28"/>
        </w:rPr>
        <w:t xml:space="preserve"> el legislador. La Procuraduría General de la Nación </w:t>
      </w:r>
      <w:r w:rsidRPr="000C03D2">
        <w:rPr>
          <w:rFonts w:ascii="Times New Roman" w:hAnsi="Times New Roman" w:cs="Times New Roman"/>
          <w:color w:val="000000" w:themeColor="text1"/>
          <w:sz w:val="28"/>
          <w:szCs w:val="28"/>
        </w:rPr>
        <w:t xml:space="preserve">-PGN- </w:t>
      </w:r>
      <w:r w:rsidRPr="000C03D2">
        <w:rPr>
          <w:rFonts w:ascii="Times New Roman" w:hAnsi="Times New Roman" w:cs="Times New Roman"/>
          <w:color w:val="000000" w:themeColor="text1"/>
          <w:sz w:val="28"/>
          <w:szCs w:val="28"/>
        </w:rPr>
        <w:t>advirtió</w:t>
      </w:r>
      <w:r w:rsidRPr="000C03D2">
        <w:rPr>
          <w:rFonts w:ascii="Times New Roman" w:hAnsi="Times New Roman" w:cs="Times New Roman"/>
          <w:color w:val="000000" w:themeColor="text1"/>
          <w:sz w:val="28"/>
          <w:szCs w:val="28"/>
        </w:rPr>
        <w:t xml:space="preserve"> que esta exclusión carece de justificación constitucional y desconoce el mandato de no discriminación consagrado en los artículos 13 y 43 de la Carta Política, así como en instrumentos int</w:t>
      </w:r>
      <w:r w:rsidRPr="000C03D2">
        <w:rPr>
          <w:rFonts w:ascii="Times New Roman" w:hAnsi="Times New Roman" w:cs="Times New Roman"/>
          <w:color w:val="000000" w:themeColor="text1"/>
          <w:sz w:val="28"/>
          <w:szCs w:val="28"/>
        </w:rPr>
        <w:t>ernacionales que integran el bloque de constitucionalidad.</w:t>
      </w:r>
    </w:p>
    <w:p w:rsidR="00864181" w:rsidRPr="000C03D2" w:rsidRDefault="000C03D2" w:rsidP="000713BC">
      <w:pPr>
        <w:pStyle w:val="Prrafodelista"/>
        <w:tabs>
          <w:tab w:val="left" w:pos="426"/>
        </w:tabs>
        <w:rPr>
          <w:rFonts w:ascii="Times New Roman" w:hAnsi="Times New Roman" w:cs="Times New Roman"/>
          <w:color w:val="000000" w:themeColor="text1"/>
          <w:szCs w:val="28"/>
        </w:rPr>
      </w:pPr>
    </w:p>
    <w:p w:rsidR="0047770A"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En su concepto, la PGN reconoc</w:t>
      </w:r>
      <w:r w:rsidRPr="000C03D2">
        <w:rPr>
          <w:rFonts w:ascii="Times New Roman" w:hAnsi="Times New Roman" w:cs="Times New Roman"/>
          <w:color w:val="000000" w:themeColor="text1"/>
          <w:sz w:val="28"/>
          <w:szCs w:val="28"/>
        </w:rPr>
        <w:t>ió</w:t>
      </w:r>
      <w:r w:rsidRPr="000C03D2">
        <w:rPr>
          <w:rFonts w:ascii="Times New Roman" w:hAnsi="Times New Roman" w:cs="Times New Roman"/>
          <w:color w:val="000000" w:themeColor="text1"/>
          <w:sz w:val="28"/>
          <w:szCs w:val="28"/>
        </w:rPr>
        <w:t xml:space="preserve"> que l</w:t>
      </w:r>
      <w:r w:rsidRPr="000C03D2">
        <w:rPr>
          <w:rFonts w:ascii="Times New Roman" w:hAnsi="Times New Roman" w:cs="Times New Roman"/>
          <w:color w:val="000000" w:themeColor="text1"/>
          <w:sz w:val="28"/>
          <w:szCs w:val="28"/>
        </w:rPr>
        <w:t>a Corte Constitucional ha sido clara en reconocer que la identidad de género constituye un derecho fundamental innominado, derivado de la dignidad humana y de</w:t>
      </w:r>
      <w:r w:rsidRPr="000C03D2">
        <w:rPr>
          <w:rFonts w:ascii="Times New Roman" w:hAnsi="Times New Roman" w:cs="Times New Roman"/>
          <w:color w:val="000000" w:themeColor="text1"/>
          <w:sz w:val="28"/>
          <w:szCs w:val="28"/>
        </w:rPr>
        <w:t>l libre desarrollo de la personalidad. En ese sentido, el lenguaje normativo debe reflejar una comprensión amplia e inclusiva de las realidades sociales, especialmente cuando se trata de grupos históricamente marginados. La protección reforzada a la person</w:t>
      </w:r>
      <w:r w:rsidRPr="000C03D2">
        <w:rPr>
          <w:rFonts w:ascii="Times New Roman" w:hAnsi="Times New Roman" w:cs="Times New Roman"/>
          <w:color w:val="000000" w:themeColor="text1"/>
          <w:sz w:val="28"/>
          <w:szCs w:val="28"/>
        </w:rPr>
        <w:t>a gestante, independientemente de su identidad de género, es una exigencia constitucional que no puede ser desconocida por el legislador.</w:t>
      </w:r>
    </w:p>
    <w:p w:rsidR="00683CB2" w:rsidRPr="000C03D2" w:rsidRDefault="000C03D2" w:rsidP="000713BC">
      <w:pPr>
        <w:pStyle w:val="Prrafodelista"/>
        <w:tabs>
          <w:tab w:val="left" w:pos="426"/>
        </w:tabs>
        <w:rPr>
          <w:rFonts w:ascii="Times New Roman" w:hAnsi="Times New Roman" w:cs="Times New Roman"/>
          <w:color w:val="000000" w:themeColor="text1"/>
          <w:szCs w:val="28"/>
        </w:rPr>
      </w:pPr>
    </w:p>
    <w:p w:rsidR="0047770A" w:rsidRPr="000C03D2" w:rsidRDefault="000C03D2" w:rsidP="000713BC">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Por lo anterior, el Ministerio Público solicit</w:t>
      </w:r>
      <w:r w:rsidRPr="000C03D2">
        <w:rPr>
          <w:rFonts w:ascii="Times New Roman" w:hAnsi="Times New Roman" w:cs="Times New Roman"/>
          <w:color w:val="000000" w:themeColor="text1"/>
          <w:sz w:val="28"/>
          <w:szCs w:val="28"/>
        </w:rPr>
        <w:t>ó</w:t>
      </w:r>
      <w:r w:rsidRPr="000C03D2">
        <w:rPr>
          <w:rFonts w:ascii="Times New Roman" w:hAnsi="Times New Roman" w:cs="Times New Roman"/>
          <w:color w:val="000000" w:themeColor="text1"/>
          <w:sz w:val="28"/>
          <w:szCs w:val="28"/>
        </w:rPr>
        <w:t xml:space="preserve"> a la Corte Constitucional declarar la exequibilidad condicionada de l</w:t>
      </w:r>
      <w:r w:rsidRPr="000C03D2">
        <w:rPr>
          <w:rFonts w:ascii="Times New Roman" w:hAnsi="Times New Roman" w:cs="Times New Roman"/>
          <w:color w:val="000000" w:themeColor="text1"/>
          <w:sz w:val="28"/>
          <w:szCs w:val="28"/>
        </w:rPr>
        <w:t>a expresión “la trabajadora”, bajo el entendido de que esta incluye a todas las personas con capacidad de gestación. Esta interpretación</w:t>
      </w:r>
      <w:r w:rsidRPr="000C03D2">
        <w:rPr>
          <w:rFonts w:ascii="Times New Roman" w:hAnsi="Times New Roman" w:cs="Times New Roman"/>
          <w:color w:val="000000" w:themeColor="text1"/>
          <w:sz w:val="28"/>
          <w:szCs w:val="28"/>
        </w:rPr>
        <w:t>, en su concepto,</w:t>
      </w:r>
      <w:r w:rsidRPr="000C03D2">
        <w:rPr>
          <w:rFonts w:ascii="Times New Roman" w:hAnsi="Times New Roman" w:cs="Times New Roman"/>
          <w:color w:val="000000" w:themeColor="text1"/>
          <w:sz w:val="28"/>
          <w:szCs w:val="28"/>
        </w:rPr>
        <w:t xml:space="preserve"> garantiza la aplicación del principio de igualdad y evita que el lenguaje legal se convierta en una ba</w:t>
      </w:r>
      <w:r w:rsidRPr="000C03D2">
        <w:rPr>
          <w:rFonts w:ascii="Times New Roman" w:hAnsi="Times New Roman" w:cs="Times New Roman"/>
          <w:color w:val="000000" w:themeColor="text1"/>
          <w:sz w:val="28"/>
          <w:szCs w:val="28"/>
        </w:rPr>
        <w:t xml:space="preserve">rrera para el ejercicio efectivo de los derechos laborales y reproductivos de personas trans y no binarias. </w:t>
      </w:r>
    </w:p>
    <w:p w:rsidR="002D3C85" w:rsidRPr="000C03D2" w:rsidRDefault="000C03D2" w:rsidP="00A141C2">
      <w:pPr>
        <w:tabs>
          <w:tab w:val="left" w:pos="567"/>
        </w:tabs>
        <w:rPr>
          <w:rFonts w:ascii="Times New Roman" w:hAnsi="Times New Roman" w:cs="Times New Roman"/>
          <w:color w:val="000000" w:themeColor="text1"/>
          <w:sz w:val="28"/>
          <w:szCs w:val="28"/>
        </w:rPr>
      </w:pPr>
    </w:p>
    <w:p w:rsidR="00FF68D9" w:rsidRPr="000C03D2" w:rsidRDefault="000C03D2" w:rsidP="00A141C2">
      <w:pPr>
        <w:pStyle w:val="Ttulo1"/>
        <w:numPr>
          <w:ilvl w:val="0"/>
          <w:numId w:val="1"/>
        </w:numPr>
        <w:tabs>
          <w:tab w:val="num" w:pos="360"/>
        </w:tabs>
        <w:spacing w:before="0" w:after="0"/>
        <w:ind w:left="0" w:firstLine="0"/>
        <w:rPr>
          <w:rStyle w:val="Ttulo1Car"/>
          <w:rFonts w:ascii="Times New Roman" w:hAnsi="Times New Roman" w:cs="Times New Roman"/>
          <w:b/>
          <w:color w:val="000000" w:themeColor="text1"/>
          <w:sz w:val="28"/>
          <w:szCs w:val="28"/>
        </w:rPr>
      </w:pPr>
      <w:r w:rsidRPr="000C03D2">
        <w:rPr>
          <w:rStyle w:val="Ttulo1Car"/>
          <w:rFonts w:ascii="Times New Roman" w:hAnsi="Times New Roman" w:cs="Times New Roman"/>
          <w:b/>
          <w:color w:val="000000" w:themeColor="text1"/>
          <w:sz w:val="28"/>
          <w:szCs w:val="28"/>
        </w:rPr>
        <w:t xml:space="preserve"> CONSIDERACIONES</w:t>
      </w:r>
    </w:p>
    <w:p w:rsidR="00FF68D9" w:rsidRPr="000C03D2" w:rsidRDefault="000C03D2" w:rsidP="00A141C2">
      <w:pPr>
        <w:tabs>
          <w:tab w:val="left" w:pos="426"/>
        </w:tabs>
        <w:rPr>
          <w:rFonts w:ascii="Times New Roman" w:hAnsi="Times New Roman" w:cs="Times New Roman"/>
          <w:color w:val="000000" w:themeColor="text1"/>
          <w:sz w:val="28"/>
        </w:rPr>
      </w:pPr>
    </w:p>
    <w:p w:rsidR="00FF68D9" w:rsidRPr="000C03D2" w:rsidRDefault="000C03D2" w:rsidP="00A141C2">
      <w:pPr>
        <w:pStyle w:val="Prrafodelista"/>
        <w:widowControl w:val="0"/>
        <w:numPr>
          <w:ilvl w:val="0"/>
          <w:numId w:val="4"/>
        </w:numPr>
        <w:tabs>
          <w:tab w:val="left" w:pos="426"/>
        </w:tabs>
        <w:ind w:left="0" w:firstLine="0"/>
        <w:rPr>
          <w:rFonts w:ascii="Times New Roman" w:hAnsi="Times New Roman" w:cs="Times New Roman"/>
          <w:b/>
          <w:bCs/>
          <w:color w:val="000000" w:themeColor="text1"/>
        </w:rPr>
      </w:pPr>
      <w:r w:rsidRPr="000C03D2">
        <w:rPr>
          <w:rFonts w:ascii="Times New Roman" w:hAnsi="Times New Roman" w:cs="Times New Roman"/>
          <w:b/>
          <w:bCs/>
          <w:color w:val="000000" w:themeColor="text1"/>
        </w:rPr>
        <w:t>Competencia</w:t>
      </w:r>
    </w:p>
    <w:p w:rsidR="00026955" w:rsidRPr="000C03D2" w:rsidRDefault="000C03D2" w:rsidP="00A141C2">
      <w:pPr>
        <w:tabs>
          <w:tab w:val="left" w:pos="426"/>
          <w:tab w:val="left" w:pos="567"/>
        </w:tabs>
        <w:rPr>
          <w:rFonts w:ascii="Times New Roman" w:hAnsi="Times New Roman" w:cs="Times New Roman"/>
          <w:i/>
          <w:iCs/>
          <w:color w:val="000000" w:themeColor="text1"/>
          <w:sz w:val="28"/>
          <w:szCs w:val="28"/>
          <w:shd w:val="clear" w:color="auto" w:fill="FFFFFF" w:themeFill="background1"/>
        </w:rPr>
      </w:pPr>
    </w:p>
    <w:p w:rsidR="00FF68D9" w:rsidRPr="000C03D2" w:rsidRDefault="000C03D2" w:rsidP="008020EE">
      <w:pPr>
        <w:numPr>
          <w:ilvl w:val="0"/>
          <w:numId w:val="3"/>
        </w:numPr>
        <w:tabs>
          <w:tab w:val="left" w:pos="426"/>
          <w:tab w:val="left" w:pos="567"/>
        </w:tabs>
        <w:ind w:left="0" w:firstLine="0"/>
        <w:jc w:val="both"/>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La Corte Constitucional es competente para adelantar el control de constitucionalidad de la presente demanda, de </w:t>
      </w:r>
      <w:r w:rsidRPr="000C03D2">
        <w:rPr>
          <w:rFonts w:ascii="Times New Roman" w:hAnsi="Times New Roman" w:cs="Times New Roman"/>
          <w:color w:val="000000" w:themeColor="text1"/>
          <w:sz w:val="28"/>
          <w:szCs w:val="28"/>
        </w:rPr>
        <w:t>conformidad con lo dispuesto por el numeral 4 del artículo 241 de la Constitución.</w:t>
      </w:r>
    </w:p>
    <w:p w:rsidR="00FF68D9" w:rsidRPr="000C03D2" w:rsidRDefault="000C03D2" w:rsidP="00A141C2">
      <w:pPr>
        <w:tabs>
          <w:tab w:val="left" w:pos="426"/>
          <w:tab w:val="left" w:pos="567"/>
        </w:tabs>
        <w:rPr>
          <w:rFonts w:ascii="Times New Roman" w:hAnsi="Times New Roman" w:cs="Times New Roman"/>
          <w:color w:val="000000" w:themeColor="text1"/>
          <w:sz w:val="28"/>
        </w:rPr>
      </w:pPr>
    </w:p>
    <w:p w:rsidR="00FF68D9" w:rsidRPr="000C03D2" w:rsidRDefault="000C03D2" w:rsidP="00A141C2">
      <w:pPr>
        <w:pStyle w:val="Prrafodelista"/>
        <w:widowControl w:val="0"/>
        <w:numPr>
          <w:ilvl w:val="0"/>
          <w:numId w:val="4"/>
        </w:numPr>
        <w:tabs>
          <w:tab w:val="left" w:pos="426"/>
        </w:tabs>
        <w:ind w:left="0" w:firstLine="0"/>
        <w:rPr>
          <w:rFonts w:ascii="Times New Roman" w:hAnsi="Times New Roman" w:cs="Times New Roman"/>
          <w:b/>
          <w:bCs/>
          <w:color w:val="000000" w:themeColor="text1"/>
        </w:rPr>
      </w:pPr>
      <w:r w:rsidRPr="000C03D2">
        <w:rPr>
          <w:rFonts w:ascii="Times New Roman" w:hAnsi="Times New Roman" w:cs="Times New Roman"/>
          <w:b/>
          <w:bCs/>
          <w:color w:val="000000" w:themeColor="text1"/>
        </w:rPr>
        <w:t>Delimitación del asunto, p</w:t>
      </w:r>
      <w:r w:rsidRPr="000C03D2">
        <w:rPr>
          <w:rFonts w:ascii="Times New Roman" w:hAnsi="Times New Roman" w:cs="Times New Roman"/>
          <w:b/>
          <w:bCs/>
          <w:color w:val="000000" w:themeColor="text1"/>
        </w:rPr>
        <w:t>roblema jurídico y metodología</w:t>
      </w:r>
    </w:p>
    <w:p w:rsidR="00FF68D9" w:rsidRPr="000C03D2" w:rsidRDefault="000C03D2" w:rsidP="00A141C2">
      <w:pPr>
        <w:tabs>
          <w:tab w:val="left" w:pos="426"/>
          <w:tab w:val="left" w:pos="567"/>
        </w:tabs>
        <w:rPr>
          <w:rFonts w:ascii="Times New Roman" w:hAnsi="Times New Roman" w:cs="Times New Roman"/>
          <w:color w:val="000000" w:themeColor="text1"/>
          <w:sz w:val="28"/>
        </w:rPr>
      </w:pPr>
    </w:p>
    <w:p w:rsidR="002F0DFC" w:rsidRPr="000C03D2" w:rsidRDefault="000C03D2" w:rsidP="00A141C2">
      <w:pPr>
        <w:pStyle w:val="Prrafodelista"/>
        <w:numPr>
          <w:ilvl w:val="1"/>
          <w:numId w:val="4"/>
        </w:numPr>
        <w:tabs>
          <w:tab w:val="left" w:pos="426"/>
          <w:tab w:val="left" w:pos="567"/>
        </w:tabs>
        <w:rPr>
          <w:rFonts w:ascii="Times New Roman" w:hAnsi="Times New Roman" w:cs="Times New Roman"/>
          <w:i/>
          <w:iCs/>
          <w:color w:val="000000" w:themeColor="text1"/>
        </w:rPr>
      </w:pPr>
      <w:r w:rsidRPr="000C03D2">
        <w:rPr>
          <w:rFonts w:ascii="Times New Roman" w:hAnsi="Times New Roman" w:cs="Times New Roman"/>
          <w:i/>
          <w:iCs/>
          <w:color w:val="000000" w:themeColor="text1"/>
        </w:rPr>
        <w:t>Delimitación del asunto</w:t>
      </w:r>
      <w:r w:rsidRPr="000C03D2">
        <w:rPr>
          <w:rFonts w:ascii="Times New Roman" w:hAnsi="Times New Roman" w:cs="Times New Roman"/>
          <w:i/>
          <w:iCs/>
          <w:color w:val="000000" w:themeColor="text1"/>
        </w:rPr>
        <w:t>.</w:t>
      </w:r>
    </w:p>
    <w:p w:rsidR="002F0DFC" w:rsidRPr="000C03D2" w:rsidRDefault="000C03D2" w:rsidP="00A141C2">
      <w:pPr>
        <w:pStyle w:val="Prrafodelista"/>
        <w:tabs>
          <w:tab w:val="left" w:pos="426"/>
          <w:tab w:val="left" w:pos="567"/>
        </w:tabs>
        <w:ind w:left="1080"/>
        <w:rPr>
          <w:rFonts w:ascii="Times New Roman" w:hAnsi="Times New Roman" w:cs="Times New Roman"/>
          <w:color w:val="000000" w:themeColor="text1"/>
        </w:rPr>
      </w:pPr>
    </w:p>
    <w:p w:rsidR="00F76128" w:rsidRPr="000C03D2" w:rsidRDefault="000C03D2" w:rsidP="00A141C2">
      <w:pPr>
        <w:pStyle w:val="Prrafodelista"/>
        <w:numPr>
          <w:ilvl w:val="0"/>
          <w:numId w:val="3"/>
        </w:numPr>
        <w:tabs>
          <w:tab w:val="left" w:pos="426"/>
        </w:tabs>
        <w:ind w:left="0" w:firstLine="0"/>
        <w:textAlignment w:val="baseline"/>
        <w:rPr>
          <w:rFonts w:ascii="Times New Roman" w:eastAsia="Times New Roman" w:hAnsi="Times New Roman" w:cs="Times New Roman"/>
          <w:color w:val="000000" w:themeColor="text1"/>
          <w:szCs w:val="27"/>
          <w:lang w:eastAsia="es-ES_tradnl"/>
        </w:rPr>
      </w:pPr>
      <w:bookmarkStart w:id="5" w:name="_Hlk149200610"/>
      <w:r w:rsidRPr="000C03D2">
        <w:rPr>
          <w:rFonts w:ascii="Times New Roman" w:eastAsia="Times New Roman" w:hAnsi="Times New Roman" w:cs="Times New Roman"/>
          <w:color w:val="000000" w:themeColor="text1"/>
          <w:szCs w:val="28"/>
          <w:bdr w:val="none" w:sz="0" w:space="0" w:color="auto" w:frame="1"/>
          <w:lang w:eastAsia="es-ES_tradnl"/>
        </w:rPr>
        <w:t>Los demandantes solicita</w:t>
      </w:r>
      <w:r w:rsidRPr="000C03D2">
        <w:rPr>
          <w:rFonts w:ascii="Times New Roman" w:eastAsia="Times New Roman" w:hAnsi="Times New Roman" w:cs="Times New Roman"/>
          <w:color w:val="000000" w:themeColor="text1"/>
          <w:szCs w:val="28"/>
          <w:bdr w:val="none" w:sz="0" w:space="0" w:color="auto" w:frame="1"/>
          <w:lang w:eastAsia="es-ES_tradnl"/>
        </w:rPr>
        <w:t>ron</w:t>
      </w:r>
      <w:r w:rsidRPr="000C03D2">
        <w:rPr>
          <w:rFonts w:ascii="Times New Roman" w:eastAsia="Times New Roman" w:hAnsi="Times New Roman" w:cs="Times New Roman"/>
          <w:color w:val="000000" w:themeColor="text1"/>
          <w:szCs w:val="28"/>
          <w:bdr w:val="none" w:sz="0" w:space="0" w:color="auto" w:frame="1"/>
          <w:lang w:eastAsia="es-ES_tradnl"/>
        </w:rPr>
        <w:t xml:space="preserve"> </w:t>
      </w:r>
      <w:bookmarkEnd w:id="5"/>
      <w:r w:rsidRPr="000C03D2">
        <w:rPr>
          <w:rFonts w:ascii="Times New Roman" w:eastAsia="Times New Roman" w:hAnsi="Times New Roman" w:cs="Times New Roman"/>
          <w:color w:val="000000" w:themeColor="text1"/>
        </w:rPr>
        <w:t xml:space="preserve">que se declare la inexequibilidad de la expresión “la trabajadora” prevista en el artículo 237 del Código Sustantivo del Trabajo. De forma subsidiaria, pidieron que se declare la exequibilidad </w:t>
      </w:r>
      <w:r w:rsidRPr="000C03D2">
        <w:rPr>
          <w:rFonts w:ascii="Times New Roman" w:eastAsia="Times New Roman" w:hAnsi="Times New Roman" w:cs="Times New Roman"/>
          <w:color w:val="000000" w:themeColor="text1"/>
        </w:rPr>
        <w:t xml:space="preserve">condicionada </w:t>
      </w:r>
      <w:r w:rsidRPr="000C03D2">
        <w:rPr>
          <w:rFonts w:ascii="Times New Roman" w:eastAsia="Times New Roman" w:hAnsi="Times New Roman" w:cs="Times New Roman"/>
          <w:color w:val="000000" w:themeColor="text1"/>
        </w:rPr>
        <w:t>de la expresión “en el entendido de que deberá dar</w:t>
      </w:r>
      <w:r w:rsidRPr="000C03D2">
        <w:rPr>
          <w:rFonts w:ascii="Times New Roman" w:eastAsia="Times New Roman" w:hAnsi="Times New Roman" w:cs="Times New Roman"/>
          <w:color w:val="000000" w:themeColor="text1"/>
        </w:rPr>
        <w:t xml:space="preserve">se una interpretación extensiva del término, entendiéndose también dicha expresión para hombres transgénero y personas no binarias”. </w:t>
      </w:r>
      <w:r w:rsidRPr="000C03D2">
        <w:rPr>
          <w:rFonts w:ascii="Times New Roman" w:hAnsi="Times New Roman" w:cs="Times New Roman"/>
          <w:color w:val="000000" w:themeColor="text1"/>
          <w:szCs w:val="28"/>
        </w:rPr>
        <w:t>Acorde con la demanda</w:t>
      </w:r>
      <w:r w:rsidRPr="000C03D2">
        <w:rPr>
          <w:rFonts w:ascii="Times New Roman" w:eastAsia="Times New Roman" w:hAnsi="Times New Roman" w:cs="Times New Roman"/>
          <w:i/>
          <w:iCs/>
          <w:color w:val="000000" w:themeColor="text1"/>
        </w:rPr>
        <w:t xml:space="preserve"> </w:t>
      </w:r>
      <w:r w:rsidRPr="000C03D2">
        <w:rPr>
          <w:rFonts w:ascii="Times New Roman" w:eastAsia="Times New Roman" w:hAnsi="Times New Roman" w:cs="Times New Roman"/>
          <w:color w:val="000000" w:themeColor="text1"/>
        </w:rPr>
        <w:t>la expresión “la trabajadora” contenida en el artículo acusado desconoce el derecho a la igualdad y a</w:t>
      </w:r>
      <w:r w:rsidRPr="000C03D2">
        <w:rPr>
          <w:rFonts w:ascii="Times New Roman" w:eastAsia="Times New Roman" w:hAnsi="Times New Roman" w:cs="Times New Roman"/>
          <w:color w:val="000000" w:themeColor="text1"/>
        </w:rPr>
        <w:t xml:space="preserve"> la identidad de género, como consecuencia de una omisión legislativa relativa.</w:t>
      </w:r>
      <w:r w:rsidRPr="000C03D2">
        <w:rPr>
          <w:rFonts w:ascii="Times New Roman" w:eastAsia="Times New Roman" w:hAnsi="Times New Roman" w:cs="Times New Roman"/>
          <w:color w:val="000000" w:themeColor="text1"/>
          <w:szCs w:val="27"/>
          <w:lang w:eastAsia="es-ES_tradnl"/>
        </w:rPr>
        <w:t xml:space="preserve"> T</w:t>
      </w:r>
      <w:r w:rsidRPr="000C03D2">
        <w:rPr>
          <w:rFonts w:ascii="Times New Roman" w:eastAsia="Times New Roman" w:hAnsi="Times New Roman" w:cs="Times New Roman"/>
          <w:color w:val="000000" w:themeColor="text1"/>
          <w:szCs w:val="28"/>
          <w:lang w:eastAsia="es-ES_tradnl"/>
        </w:rPr>
        <w:t>od</w:t>
      </w:r>
      <w:r w:rsidRPr="000C03D2">
        <w:rPr>
          <w:rFonts w:ascii="Times New Roman" w:eastAsia="Times New Roman" w:hAnsi="Times New Roman" w:cs="Times New Roman"/>
          <w:color w:val="000000" w:themeColor="text1"/>
          <w:szCs w:val="28"/>
          <w:lang w:eastAsia="es-ES_tradnl"/>
        </w:rPr>
        <w:t>a</w:t>
      </w:r>
      <w:r w:rsidRPr="000C03D2">
        <w:rPr>
          <w:rFonts w:ascii="Times New Roman" w:eastAsia="Times New Roman" w:hAnsi="Times New Roman" w:cs="Times New Roman"/>
          <w:color w:val="000000" w:themeColor="text1"/>
          <w:szCs w:val="28"/>
          <w:lang w:eastAsia="es-ES_tradnl"/>
        </w:rPr>
        <w:t>s l</w:t>
      </w:r>
      <w:r w:rsidRPr="000C03D2">
        <w:rPr>
          <w:rFonts w:ascii="Times New Roman" w:eastAsia="Times New Roman" w:hAnsi="Times New Roman" w:cs="Times New Roman"/>
          <w:color w:val="000000" w:themeColor="text1"/>
          <w:szCs w:val="28"/>
          <w:lang w:eastAsia="es-ES_tradnl"/>
        </w:rPr>
        <w:t>a</w:t>
      </w:r>
      <w:r w:rsidRPr="000C03D2">
        <w:rPr>
          <w:rFonts w:ascii="Times New Roman" w:eastAsia="Times New Roman" w:hAnsi="Times New Roman" w:cs="Times New Roman"/>
          <w:color w:val="000000" w:themeColor="text1"/>
          <w:szCs w:val="28"/>
          <w:lang w:eastAsia="es-ES_tradnl"/>
        </w:rPr>
        <w:t xml:space="preserve">s </w:t>
      </w:r>
      <w:r w:rsidRPr="000C03D2">
        <w:rPr>
          <w:rFonts w:ascii="Times New Roman" w:eastAsia="Times New Roman" w:hAnsi="Times New Roman" w:cs="Times New Roman"/>
          <w:color w:val="000000" w:themeColor="text1"/>
          <w:szCs w:val="28"/>
          <w:lang w:eastAsia="es-ES_tradnl"/>
        </w:rPr>
        <w:t>intervenciones</w:t>
      </w:r>
      <w:r w:rsidRPr="000C03D2">
        <w:rPr>
          <w:rFonts w:ascii="Times New Roman" w:eastAsia="Times New Roman" w:hAnsi="Times New Roman" w:cs="Times New Roman"/>
          <w:color w:val="000000" w:themeColor="text1"/>
          <w:szCs w:val="28"/>
          <w:lang w:eastAsia="es-ES_tradnl"/>
        </w:rPr>
        <w:t xml:space="preserve"> solicitaron la exequibilidad condicionada de la </w:t>
      </w:r>
      <w:r w:rsidRPr="000C03D2">
        <w:rPr>
          <w:rFonts w:ascii="Times New Roman" w:eastAsia="Times New Roman" w:hAnsi="Times New Roman" w:cs="Times New Roman"/>
          <w:color w:val="000000" w:themeColor="text1"/>
          <w:szCs w:val="28"/>
          <w:lang w:eastAsia="es-ES_tradnl"/>
        </w:rPr>
        <w:t>expresión</w:t>
      </w:r>
      <w:r w:rsidRPr="000C03D2">
        <w:rPr>
          <w:rFonts w:ascii="Times New Roman" w:eastAsia="Times New Roman" w:hAnsi="Times New Roman" w:cs="Times New Roman"/>
          <w:color w:val="000000" w:themeColor="text1"/>
          <w:szCs w:val="28"/>
          <w:lang w:eastAsia="es-ES_tradnl"/>
        </w:rPr>
        <w:t xml:space="preserve"> para extender la protección a otras personas </w:t>
      </w:r>
      <w:r w:rsidRPr="000C03D2">
        <w:rPr>
          <w:rFonts w:ascii="Times New Roman" w:eastAsia="Times New Roman" w:hAnsi="Times New Roman" w:cs="Times New Roman"/>
          <w:color w:val="000000" w:themeColor="text1"/>
          <w:szCs w:val="28"/>
          <w:lang w:eastAsia="es-ES_tradnl"/>
        </w:rPr>
        <w:t>gestantes</w:t>
      </w:r>
      <w:r w:rsidRPr="000C03D2">
        <w:rPr>
          <w:rFonts w:ascii="Times New Roman" w:eastAsia="Times New Roman" w:hAnsi="Times New Roman" w:cs="Times New Roman"/>
          <w:color w:val="000000" w:themeColor="text1"/>
          <w:szCs w:val="28"/>
          <w:lang w:eastAsia="es-ES_tradnl"/>
        </w:rPr>
        <w:t>.</w:t>
      </w:r>
    </w:p>
    <w:p w:rsidR="00F76128" w:rsidRPr="000C03D2" w:rsidRDefault="000C03D2" w:rsidP="00A141C2">
      <w:pPr>
        <w:pStyle w:val="Prrafodelista"/>
        <w:rPr>
          <w:rFonts w:ascii="Times New Roman" w:eastAsia="Times New Roman" w:hAnsi="Times New Roman" w:cs="Times New Roman"/>
          <w:color w:val="000000" w:themeColor="text1"/>
          <w:szCs w:val="28"/>
          <w:lang w:eastAsia="es-ES_tradnl"/>
        </w:rPr>
      </w:pPr>
    </w:p>
    <w:p w:rsidR="002F0DFC" w:rsidRPr="000C03D2" w:rsidRDefault="000C03D2" w:rsidP="00A141C2">
      <w:pPr>
        <w:pStyle w:val="Prrafodelista"/>
        <w:numPr>
          <w:ilvl w:val="0"/>
          <w:numId w:val="3"/>
        </w:numPr>
        <w:ind w:left="0" w:firstLine="0"/>
        <w:textAlignment w:val="baseline"/>
        <w:rPr>
          <w:rFonts w:ascii="Times New Roman" w:eastAsia="Times New Roman" w:hAnsi="Times New Roman" w:cs="Times New Roman"/>
          <w:color w:val="000000" w:themeColor="text1"/>
          <w:szCs w:val="27"/>
          <w:lang w:eastAsia="es-ES_tradnl"/>
        </w:rPr>
      </w:pPr>
      <w:r w:rsidRPr="000C03D2">
        <w:rPr>
          <w:rFonts w:ascii="Times New Roman" w:eastAsia="Times New Roman" w:hAnsi="Times New Roman" w:cs="Times New Roman"/>
          <w:color w:val="000000" w:themeColor="text1"/>
          <w:szCs w:val="28"/>
          <w:lang w:eastAsia="es-ES_tradnl"/>
        </w:rPr>
        <w:t xml:space="preserve">Conforme con lo anterior, </w:t>
      </w:r>
      <w:r w:rsidRPr="000C03D2">
        <w:rPr>
          <w:rFonts w:ascii="Times New Roman" w:eastAsia="Times New Roman" w:hAnsi="Times New Roman" w:cs="Times New Roman"/>
          <w:color w:val="000000" w:themeColor="text1"/>
          <w:szCs w:val="28"/>
          <w:lang w:eastAsia="es-ES_tradnl"/>
        </w:rPr>
        <w:t xml:space="preserve">para la </w:t>
      </w:r>
      <w:r w:rsidRPr="000C03D2">
        <w:rPr>
          <w:rFonts w:ascii="Times New Roman" w:eastAsia="Times New Roman" w:hAnsi="Times New Roman" w:cs="Times New Roman"/>
          <w:color w:val="000000" w:themeColor="text1"/>
          <w:szCs w:val="28"/>
          <w:lang w:eastAsia="es-ES_tradnl"/>
        </w:rPr>
        <w:t>Sala</w:t>
      </w:r>
      <w:r w:rsidRPr="000C03D2">
        <w:rPr>
          <w:rFonts w:ascii="Times New Roman" w:eastAsia="Times New Roman" w:hAnsi="Times New Roman" w:cs="Times New Roman"/>
          <w:color w:val="000000" w:themeColor="text1"/>
          <w:szCs w:val="28"/>
          <w:lang w:eastAsia="es-ES_tradnl"/>
        </w:rPr>
        <w:t xml:space="preserve"> Plena</w:t>
      </w:r>
      <w:r w:rsidRPr="000C03D2">
        <w:rPr>
          <w:rFonts w:ascii="Times New Roman" w:eastAsia="Times New Roman" w:hAnsi="Times New Roman" w:cs="Times New Roman"/>
          <w:color w:val="000000" w:themeColor="text1"/>
          <w:szCs w:val="28"/>
          <w:lang w:eastAsia="es-ES_tradnl"/>
        </w:rPr>
        <w:t xml:space="preserve"> el fundamento del reproche es la configuración de una omisión legislativa relativa</w:t>
      </w:r>
      <w:r w:rsidRPr="000C03D2">
        <w:rPr>
          <w:rFonts w:ascii="Times New Roman" w:eastAsia="Times New Roman" w:hAnsi="Times New Roman" w:cs="Times New Roman"/>
          <w:color w:val="000000" w:themeColor="text1"/>
          <w:szCs w:val="28"/>
          <w:lang w:eastAsia="es-ES_tradnl"/>
        </w:rPr>
        <w:t xml:space="preserve"> vinculada a la </w:t>
      </w:r>
      <w:r w:rsidRPr="000C03D2">
        <w:rPr>
          <w:rFonts w:ascii="Times New Roman" w:eastAsia="Times New Roman" w:hAnsi="Times New Roman" w:cs="Times New Roman"/>
          <w:color w:val="000000" w:themeColor="text1"/>
          <w:szCs w:val="28"/>
          <w:lang w:eastAsia="es-ES_tradnl"/>
        </w:rPr>
        <w:t>expresión “</w:t>
      </w:r>
      <w:r w:rsidRPr="000C03D2">
        <w:rPr>
          <w:rFonts w:ascii="Times New Roman" w:eastAsia="Times New Roman" w:hAnsi="Times New Roman" w:cs="Times New Roman"/>
          <w:color w:val="000000" w:themeColor="text1"/>
          <w:szCs w:val="28"/>
          <w:lang w:eastAsia="es-ES_tradnl"/>
        </w:rPr>
        <w:t xml:space="preserve">la </w:t>
      </w:r>
      <w:r w:rsidRPr="000C03D2">
        <w:rPr>
          <w:rFonts w:ascii="Times New Roman" w:eastAsia="Times New Roman" w:hAnsi="Times New Roman" w:cs="Times New Roman"/>
          <w:color w:val="000000" w:themeColor="text1"/>
          <w:szCs w:val="28"/>
          <w:lang w:eastAsia="es-ES_tradnl"/>
        </w:rPr>
        <w:t>trabajadora” al excluir d</w:t>
      </w:r>
      <w:r w:rsidRPr="000C03D2">
        <w:rPr>
          <w:rFonts w:ascii="Times New Roman" w:eastAsia="Times New Roman" w:hAnsi="Times New Roman" w:cs="Times New Roman"/>
          <w:color w:val="000000" w:themeColor="text1"/>
          <w:szCs w:val="28"/>
          <w:lang w:eastAsia="es-ES_tradnl"/>
        </w:rPr>
        <w:t xml:space="preserve">el </w:t>
      </w:r>
      <w:r w:rsidRPr="000C03D2">
        <w:rPr>
          <w:rFonts w:ascii="Times New Roman" w:eastAsia="Times New Roman" w:hAnsi="Times New Roman" w:cs="Times New Roman"/>
          <w:color w:val="000000" w:themeColor="text1"/>
          <w:szCs w:val="28"/>
          <w:lang w:eastAsia="es-ES_tradnl"/>
        </w:rPr>
        <w:t xml:space="preserve">disfrute de la licencia en caso </w:t>
      </w:r>
      <w:r w:rsidRPr="000C03D2">
        <w:rPr>
          <w:rFonts w:ascii="Times New Roman" w:eastAsia="Times New Roman" w:hAnsi="Times New Roman" w:cs="Times New Roman"/>
          <w:color w:val="000000" w:themeColor="text1"/>
          <w:szCs w:val="28"/>
          <w:lang w:eastAsia="es-ES_tradnl"/>
        </w:rPr>
        <w:t xml:space="preserve">de aborto o parto prematuro no viable de personas </w:t>
      </w:r>
      <w:r w:rsidRPr="000C03D2">
        <w:rPr>
          <w:rFonts w:ascii="Times New Roman" w:eastAsia="Times New Roman" w:hAnsi="Times New Roman" w:cs="Times New Roman"/>
          <w:color w:val="000000" w:themeColor="text1"/>
          <w:szCs w:val="28"/>
          <w:lang w:eastAsia="es-ES_tradnl"/>
        </w:rPr>
        <w:t xml:space="preserve">que no se identifican </w:t>
      </w:r>
      <w:r w:rsidRPr="000C03D2">
        <w:rPr>
          <w:rFonts w:ascii="Times New Roman" w:eastAsia="Times New Roman" w:hAnsi="Times New Roman" w:cs="Times New Roman"/>
          <w:color w:val="000000" w:themeColor="text1"/>
          <w:szCs w:val="28"/>
          <w:lang w:eastAsia="es-ES_tradnl"/>
        </w:rPr>
        <w:t>como mujeres, específicamente los hombres trans y las personas no binarias.</w:t>
      </w:r>
    </w:p>
    <w:p w:rsidR="00266098" w:rsidRPr="000C03D2" w:rsidRDefault="000C03D2" w:rsidP="00DC4115">
      <w:pPr>
        <w:rPr>
          <w:rFonts w:ascii="Times New Roman" w:hAnsi="Times New Roman" w:cs="Times New Roman"/>
          <w:color w:val="000000" w:themeColor="text1"/>
          <w:sz w:val="28"/>
          <w:szCs w:val="28"/>
        </w:rPr>
      </w:pPr>
    </w:p>
    <w:p w:rsidR="00F81B56" w:rsidRPr="000C03D2" w:rsidRDefault="000C03D2" w:rsidP="00A141C2">
      <w:pPr>
        <w:pStyle w:val="Prrafodelista"/>
        <w:numPr>
          <w:ilvl w:val="1"/>
          <w:numId w:val="4"/>
        </w:numPr>
        <w:tabs>
          <w:tab w:val="left" w:pos="426"/>
        </w:tabs>
        <w:textAlignment w:val="baseline"/>
        <w:rPr>
          <w:rFonts w:ascii="Times New Roman" w:eastAsia="Times New Roman" w:hAnsi="Times New Roman" w:cs="Times New Roman"/>
          <w:color w:val="000000" w:themeColor="text1"/>
          <w:szCs w:val="27"/>
          <w:lang w:eastAsia="es-ES_tradnl"/>
        </w:rPr>
      </w:pPr>
      <w:r w:rsidRPr="000C03D2">
        <w:rPr>
          <w:rFonts w:ascii="Times New Roman" w:eastAsia="Times New Roman" w:hAnsi="Times New Roman" w:cs="Times New Roman"/>
          <w:i/>
          <w:iCs/>
          <w:color w:val="000000" w:themeColor="text1"/>
          <w:szCs w:val="28"/>
          <w:lang w:eastAsia="es-ES_tradnl"/>
        </w:rPr>
        <w:t>Problema jurídico a resolver</w:t>
      </w:r>
      <w:r w:rsidRPr="000C03D2">
        <w:rPr>
          <w:rFonts w:ascii="Times New Roman" w:eastAsia="Times New Roman" w:hAnsi="Times New Roman" w:cs="Times New Roman"/>
          <w:color w:val="000000" w:themeColor="text1"/>
          <w:szCs w:val="28"/>
          <w:lang w:eastAsia="es-ES_tradnl"/>
        </w:rPr>
        <w:t>.</w:t>
      </w:r>
    </w:p>
    <w:p w:rsidR="00683CB2" w:rsidRPr="000C03D2" w:rsidRDefault="000C03D2" w:rsidP="00A141C2">
      <w:pPr>
        <w:rPr>
          <w:rFonts w:ascii="Times New Roman" w:hAnsi="Times New Roman" w:cs="Times New Roman"/>
          <w:i/>
          <w:iCs/>
          <w:color w:val="000000" w:themeColor="text1"/>
          <w:sz w:val="28"/>
          <w:szCs w:val="28"/>
        </w:rPr>
      </w:pPr>
    </w:p>
    <w:p w:rsidR="00550B82" w:rsidRPr="000C03D2" w:rsidRDefault="000C03D2" w:rsidP="00A141C2">
      <w:pPr>
        <w:pStyle w:val="Prrafodelista"/>
        <w:numPr>
          <w:ilvl w:val="0"/>
          <w:numId w:val="3"/>
        </w:numPr>
        <w:ind w:left="0" w:firstLine="0"/>
        <w:textAlignment w:val="baseline"/>
        <w:rPr>
          <w:rFonts w:ascii="Times New Roman" w:eastAsia="Times New Roman" w:hAnsi="Times New Roman" w:cs="Times New Roman"/>
          <w:color w:val="000000" w:themeColor="text1"/>
          <w:szCs w:val="27"/>
          <w:lang w:eastAsia="es-ES_tradnl"/>
        </w:rPr>
      </w:pPr>
      <w:r w:rsidRPr="000C03D2">
        <w:rPr>
          <w:rFonts w:ascii="Times New Roman" w:eastAsia="Times New Roman" w:hAnsi="Times New Roman" w:cs="Times New Roman"/>
          <w:color w:val="000000" w:themeColor="text1"/>
          <w:szCs w:val="28"/>
          <w:lang w:eastAsia="es-ES_tradnl"/>
        </w:rPr>
        <w:t>E</w:t>
      </w:r>
      <w:r w:rsidRPr="000C03D2">
        <w:rPr>
          <w:rFonts w:ascii="Times New Roman" w:eastAsia="Times New Roman" w:hAnsi="Times New Roman" w:cs="Times New Roman"/>
          <w:color w:val="000000" w:themeColor="text1"/>
          <w:szCs w:val="28"/>
          <w:lang w:eastAsia="es-ES_tradnl"/>
        </w:rPr>
        <w:t xml:space="preserve">l problema jurídico que debe resolver la Corte es el siguiente: </w:t>
      </w:r>
      <w:r w:rsidRPr="000C03D2">
        <w:rPr>
          <w:rFonts w:ascii="Times New Roman" w:eastAsia="Times New Roman" w:hAnsi="Times New Roman" w:cs="Times New Roman"/>
          <w:color w:val="000000" w:themeColor="text1"/>
          <w:szCs w:val="28"/>
          <w:lang w:eastAsia="es-ES_tradnl"/>
        </w:rPr>
        <w:t xml:space="preserve">¿la expresión “la trabajadora” contenida en el artículo 237 del Código Sustantivo </w:t>
      </w:r>
      <w:r w:rsidRPr="000C03D2">
        <w:rPr>
          <w:rFonts w:ascii="Times New Roman" w:eastAsia="Times New Roman" w:hAnsi="Times New Roman" w:cs="Times New Roman"/>
          <w:color w:val="000000" w:themeColor="text1"/>
          <w:szCs w:val="28"/>
          <w:lang w:eastAsia="es-ES_tradnl"/>
        </w:rPr>
        <w:t>del Trabajo configura una omisión legislativa relativa que desconoce el derecho a la igualdad</w:t>
      </w:r>
      <w:r w:rsidRPr="000C03D2">
        <w:rPr>
          <w:rFonts w:ascii="Times New Roman" w:eastAsia="Times New Roman" w:hAnsi="Times New Roman" w:cs="Times New Roman"/>
          <w:color w:val="000000" w:themeColor="text1"/>
          <w:szCs w:val="28"/>
          <w:lang w:eastAsia="es-ES_tradnl"/>
        </w:rPr>
        <w:t xml:space="preserve"> y a la identidad de género</w:t>
      </w:r>
      <w:r w:rsidRPr="000C03D2">
        <w:rPr>
          <w:rFonts w:ascii="Times New Roman" w:eastAsia="Times New Roman" w:hAnsi="Times New Roman" w:cs="Times New Roman"/>
          <w:color w:val="000000" w:themeColor="text1"/>
          <w:szCs w:val="28"/>
          <w:lang w:eastAsia="es-ES_tradnl"/>
        </w:rPr>
        <w:t>, al establecer que sólo la mujer trabajadora es la beneficiaria del descanso remunerado en caso de aborto, sin considerar a otras perso</w:t>
      </w:r>
      <w:r w:rsidRPr="000C03D2">
        <w:rPr>
          <w:rFonts w:ascii="Times New Roman" w:eastAsia="Times New Roman" w:hAnsi="Times New Roman" w:cs="Times New Roman"/>
          <w:color w:val="000000" w:themeColor="text1"/>
          <w:szCs w:val="28"/>
          <w:lang w:eastAsia="es-ES_tradnl"/>
        </w:rPr>
        <w:t>nas gestantes?</w:t>
      </w:r>
    </w:p>
    <w:p w:rsidR="00550B82" w:rsidRPr="000C03D2" w:rsidRDefault="000C03D2" w:rsidP="00A141C2">
      <w:pPr>
        <w:rPr>
          <w:rFonts w:ascii="Times New Roman" w:hAnsi="Times New Roman" w:cs="Times New Roman"/>
          <w:color w:val="000000" w:themeColor="text1"/>
          <w:sz w:val="28"/>
          <w:szCs w:val="28"/>
        </w:rPr>
      </w:pPr>
    </w:p>
    <w:p w:rsidR="00D93579" w:rsidRPr="000C03D2" w:rsidRDefault="000C03D2" w:rsidP="00A141C2">
      <w:pPr>
        <w:pStyle w:val="Prrafodelista"/>
        <w:numPr>
          <w:ilvl w:val="1"/>
          <w:numId w:val="4"/>
        </w:numPr>
        <w:rPr>
          <w:rFonts w:ascii="Times New Roman" w:hAnsi="Times New Roman" w:cs="Times New Roman"/>
          <w:i/>
          <w:iCs/>
          <w:color w:val="000000" w:themeColor="text1"/>
        </w:rPr>
      </w:pPr>
      <w:r w:rsidRPr="000C03D2">
        <w:rPr>
          <w:rFonts w:ascii="Times New Roman" w:hAnsi="Times New Roman" w:cs="Times New Roman"/>
          <w:i/>
          <w:iCs/>
          <w:color w:val="000000" w:themeColor="text1"/>
        </w:rPr>
        <w:t>Metodología de la decisión</w:t>
      </w:r>
    </w:p>
    <w:p w:rsidR="00D93579" w:rsidRPr="000C03D2" w:rsidRDefault="000C03D2" w:rsidP="0018150A">
      <w:pPr>
        <w:rPr>
          <w:rFonts w:ascii="Times New Roman" w:hAnsi="Times New Roman" w:cs="Times New Roman"/>
          <w:color w:val="000000" w:themeColor="text1"/>
          <w:sz w:val="28"/>
          <w:szCs w:val="28"/>
        </w:rPr>
      </w:pPr>
    </w:p>
    <w:p w:rsidR="00855F78" w:rsidRPr="000C03D2" w:rsidRDefault="000C03D2" w:rsidP="0018150A">
      <w:pPr>
        <w:pStyle w:val="Prrafodelista"/>
        <w:numPr>
          <w:ilvl w:val="0"/>
          <w:numId w:val="3"/>
        </w:numPr>
        <w:ind w:left="0" w:firstLine="0"/>
        <w:rPr>
          <w:rFonts w:ascii="Times New Roman" w:eastAsia="Times New Roman" w:hAnsi="Times New Roman" w:cs="Times New Roman"/>
          <w:color w:val="000000" w:themeColor="text1"/>
          <w:szCs w:val="28"/>
          <w:lang w:eastAsia="es-ES_tradnl"/>
        </w:rPr>
      </w:pPr>
      <w:r w:rsidRPr="000C03D2">
        <w:rPr>
          <w:rFonts w:ascii="Times New Roman" w:eastAsia="Times New Roman" w:hAnsi="Times New Roman" w:cs="Times New Roman"/>
          <w:color w:val="000000" w:themeColor="text1"/>
          <w:szCs w:val="28"/>
          <w:lang w:eastAsia="es-ES_tradnl"/>
        </w:rPr>
        <w:t xml:space="preserve">En </w:t>
      </w:r>
      <w:r w:rsidRPr="000C03D2">
        <w:rPr>
          <w:rFonts w:ascii="Times New Roman" w:eastAsia="Times New Roman" w:hAnsi="Times New Roman" w:cs="Times New Roman"/>
          <w:color w:val="000000" w:themeColor="text1"/>
          <w:szCs w:val="28"/>
          <w:lang w:eastAsia="es-ES_tradnl"/>
        </w:rPr>
        <w:t xml:space="preserve">el auto admisorio se determinó que </w:t>
      </w:r>
      <w:r w:rsidRPr="000C03D2">
        <w:rPr>
          <w:rFonts w:ascii="Times New Roman" w:hAnsi="Times New Roman" w:cs="Times New Roman"/>
          <w:color w:val="000000" w:themeColor="text1"/>
        </w:rPr>
        <w:t xml:space="preserve">los accionantes aportaron los elementos necesarios para proponer </w:t>
      </w:r>
      <w:r w:rsidRPr="000C03D2">
        <w:rPr>
          <w:rFonts w:ascii="Times New Roman" w:hAnsi="Times New Roman" w:cs="Times New Roman"/>
          <w:i/>
          <w:iCs/>
          <w:color w:val="000000" w:themeColor="text1"/>
        </w:rPr>
        <w:t>un cargo</w:t>
      </w:r>
      <w:r w:rsidRPr="000C03D2">
        <w:rPr>
          <w:rFonts w:ascii="Times New Roman" w:hAnsi="Times New Roman" w:cs="Times New Roman"/>
          <w:color w:val="000000" w:themeColor="text1"/>
        </w:rPr>
        <w:t xml:space="preserve"> por omisión legislativa relativa y </w:t>
      </w:r>
      <w:r w:rsidRPr="000C03D2">
        <w:rPr>
          <w:rFonts w:ascii="Times New Roman" w:hAnsi="Times New Roman" w:cs="Times New Roman"/>
          <w:color w:val="000000" w:themeColor="text1"/>
        </w:rPr>
        <w:t xml:space="preserve">por </w:t>
      </w:r>
      <w:r w:rsidRPr="000C03D2">
        <w:rPr>
          <w:rFonts w:ascii="Times New Roman" w:hAnsi="Times New Roman" w:cs="Times New Roman"/>
          <w:color w:val="000000" w:themeColor="text1"/>
        </w:rPr>
        <w:t xml:space="preserve">la presunta vulneración de los derechos a la igualdad y a la </w:t>
      </w:r>
      <w:r w:rsidRPr="000C03D2">
        <w:rPr>
          <w:rFonts w:ascii="Times New Roman" w:hAnsi="Times New Roman" w:cs="Times New Roman"/>
          <w:color w:val="000000" w:themeColor="text1"/>
        </w:rPr>
        <w:t>identidad de género</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D</w:t>
      </w:r>
      <w:r w:rsidRPr="000C03D2">
        <w:rPr>
          <w:rFonts w:ascii="Times New Roman" w:eastAsia="Times New Roman" w:hAnsi="Times New Roman" w:cs="Times New Roman"/>
          <w:color w:val="000000" w:themeColor="text1"/>
          <w:szCs w:val="28"/>
          <w:lang w:eastAsia="es-ES_tradnl"/>
        </w:rPr>
        <w:t xml:space="preserve">ada la estrecha y esencial </w:t>
      </w:r>
      <w:r w:rsidRPr="000C03D2">
        <w:rPr>
          <w:rFonts w:ascii="Times New Roman" w:eastAsia="Times New Roman" w:hAnsi="Times New Roman" w:cs="Times New Roman"/>
          <w:color w:val="000000" w:themeColor="text1"/>
          <w:szCs w:val="28"/>
          <w:lang w:eastAsia="es-ES_tradnl"/>
        </w:rPr>
        <w:t xml:space="preserve">relación </w:t>
      </w:r>
      <w:r w:rsidRPr="000C03D2">
        <w:rPr>
          <w:rFonts w:ascii="Times New Roman" w:eastAsia="Times New Roman" w:hAnsi="Times New Roman" w:cs="Times New Roman"/>
          <w:color w:val="000000" w:themeColor="text1"/>
          <w:szCs w:val="28"/>
          <w:lang w:eastAsia="es-ES_tradnl"/>
        </w:rPr>
        <w:t xml:space="preserve">entre </w:t>
      </w:r>
      <w:r w:rsidRPr="000C03D2">
        <w:rPr>
          <w:rFonts w:ascii="Times New Roman" w:eastAsia="Times New Roman" w:hAnsi="Times New Roman" w:cs="Times New Roman"/>
          <w:color w:val="000000" w:themeColor="text1"/>
          <w:szCs w:val="28"/>
          <w:lang w:eastAsia="es-ES_tradnl"/>
        </w:rPr>
        <w:t>las vulneraciones planteadas por los demandantes</w:t>
      </w:r>
      <w:r w:rsidRPr="000C03D2">
        <w:rPr>
          <w:rFonts w:ascii="Times New Roman" w:eastAsia="Times New Roman" w:hAnsi="Times New Roman" w:cs="Times New Roman"/>
          <w:color w:val="000000" w:themeColor="text1"/>
          <w:szCs w:val="28"/>
          <w:lang w:eastAsia="es-ES_tradnl"/>
        </w:rPr>
        <w:t xml:space="preserve">, la </w:t>
      </w:r>
      <w:r w:rsidRPr="000C03D2">
        <w:rPr>
          <w:rFonts w:ascii="Times New Roman" w:eastAsia="Times New Roman" w:hAnsi="Times New Roman" w:cs="Times New Roman"/>
          <w:color w:val="000000" w:themeColor="text1"/>
          <w:szCs w:val="28"/>
          <w:lang w:eastAsia="es-ES_tradnl"/>
        </w:rPr>
        <w:t xml:space="preserve">Sala Plena considera que, en efecto, la </w:t>
      </w:r>
      <w:r w:rsidRPr="000C03D2">
        <w:rPr>
          <w:rFonts w:ascii="Times New Roman" w:eastAsia="Times New Roman" w:hAnsi="Times New Roman" w:cs="Times New Roman"/>
          <w:color w:val="000000" w:themeColor="text1"/>
          <w:szCs w:val="28"/>
          <w:lang w:eastAsia="es-ES_tradnl"/>
        </w:rPr>
        <w:t xml:space="preserve">metodología para examinar la constitucionalidad de las expresiones acusadas debe ser integral y </w:t>
      </w:r>
      <w:r w:rsidRPr="000C03D2">
        <w:rPr>
          <w:rFonts w:ascii="Times New Roman" w:eastAsia="Times New Roman" w:hAnsi="Times New Roman" w:cs="Times New Roman"/>
          <w:color w:val="000000" w:themeColor="text1"/>
          <w:szCs w:val="28"/>
          <w:lang w:eastAsia="es-ES_tradnl"/>
        </w:rPr>
        <w:t>conjunta, comprendiéndolos en forma integrada</w:t>
      </w:r>
      <w:r w:rsidRPr="000C03D2">
        <w:rPr>
          <w:rStyle w:val="Refdenotaalpie"/>
          <w:rFonts w:ascii="Times New Roman" w:eastAsia="Times New Roman" w:hAnsi="Times New Roman" w:cs="Times New Roman"/>
          <w:color w:val="000000" w:themeColor="text1"/>
          <w:szCs w:val="28"/>
          <w:lang w:eastAsia="es-ES_tradnl"/>
        </w:rPr>
        <w:footnoteReference w:id="18"/>
      </w:r>
      <w:r w:rsidRPr="000C03D2">
        <w:rPr>
          <w:rFonts w:ascii="Times New Roman" w:eastAsia="Times New Roman" w:hAnsi="Times New Roman" w:cs="Times New Roman"/>
          <w:color w:val="000000" w:themeColor="text1"/>
          <w:szCs w:val="28"/>
          <w:lang w:eastAsia="es-ES_tradnl"/>
        </w:rPr>
        <w:t xml:space="preserve">. </w:t>
      </w:r>
    </w:p>
    <w:p w:rsidR="00855F78" w:rsidRPr="000C03D2" w:rsidRDefault="000C03D2" w:rsidP="00A141C2">
      <w:pPr>
        <w:pStyle w:val="Prrafodelista"/>
        <w:tabs>
          <w:tab w:val="left" w:pos="426"/>
        </w:tabs>
        <w:ind w:left="0"/>
        <w:rPr>
          <w:rFonts w:ascii="Times New Roman" w:eastAsia="Times New Roman" w:hAnsi="Times New Roman" w:cs="Times New Roman"/>
          <w:color w:val="000000" w:themeColor="text1"/>
          <w:szCs w:val="28"/>
          <w:lang w:eastAsia="es-ES_tradnl"/>
        </w:rPr>
      </w:pPr>
    </w:p>
    <w:p w:rsidR="003522EE" w:rsidRPr="000C03D2" w:rsidRDefault="000C03D2" w:rsidP="00A141C2">
      <w:pPr>
        <w:pStyle w:val="Prrafodelista"/>
        <w:numPr>
          <w:ilvl w:val="0"/>
          <w:numId w:val="3"/>
        </w:numPr>
        <w:ind w:left="0" w:firstLine="0"/>
        <w:textAlignment w:val="baseline"/>
        <w:rPr>
          <w:rFonts w:ascii="Times New Roman" w:eastAsia="Times New Roman" w:hAnsi="Times New Roman" w:cs="Times New Roman"/>
          <w:color w:val="000000" w:themeColor="text1"/>
          <w:szCs w:val="27"/>
          <w:lang w:eastAsia="es-ES_tradnl"/>
        </w:rPr>
      </w:pPr>
      <w:r w:rsidRPr="000C03D2">
        <w:rPr>
          <w:rFonts w:ascii="Times New Roman" w:eastAsia="Times New Roman" w:hAnsi="Times New Roman" w:cs="Times New Roman"/>
          <w:color w:val="000000" w:themeColor="text1"/>
          <w:szCs w:val="28"/>
          <w:lang w:eastAsia="es-ES_tradnl"/>
        </w:rPr>
        <w:t>En consecuencia, con el fin de</w:t>
      </w:r>
      <w:r w:rsidRPr="000C03D2">
        <w:rPr>
          <w:rFonts w:ascii="Times New Roman" w:eastAsia="Times New Roman" w:hAnsi="Times New Roman" w:cs="Times New Roman"/>
          <w:color w:val="000000" w:themeColor="text1"/>
          <w:szCs w:val="28"/>
          <w:lang w:eastAsia="es-ES_tradnl"/>
        </w:rPr>
        <w:t xml:space="preserve"> resolver el problema jurídico, la Corte abordará los siguientes temas: </w:t>
      </w:r>
      <w:r w:rsidRPr="000C03D2">
        <w:rPr>
          <w:rFonts w:ascii="Times New Roman" w:eastAsia="Times New Roman" w:hAnsi="Times New Roman" w:cs="Times New Roman"/>
          <w:i/>
          <w:iCs/>
          <w:color w:val="000000" w:themeColor="text1"/>
          <w:szCs w:val="28"/>
          <w:lang w:eastAsia="es-ES_tradnl"/>
        </w:rPr>
        <w:t>(i)</w:t>
      </w:r>
      <w:r w:rsidRPr="000C03D2">
        <w:rPr>
          <w:rFonts w:ascii="Times New Roman" w:eastAsia="Times New Roman" w:hAnsi="Times New Roman" w:cs="Times New Roman"/>
          <w:color w:val="000000" w:themeColor="text1"/>
          <w:szCs w:val="28"/>
          <w:lang w:eastAsia="es-ES_tradnl"/>
        </w:rPr>
        <w:t xml:space="preserve"> las reglas jurisprudenciales relacionadas con la omisión legislativa relativa, </w:t>
      </w:r>
      <w:r w:rsidRPr="000C03D2">
        <w:rPr>
          <w:rFonts w:ascii="Times New Roman" w:eastAsia="Times New Roman" w:hAnsi="Times New Roman" w:cs="Times New Roman"/>
          <w:i/>
          <w:iCs/>
          <w:color w:val="000000" w:themeColor="text1"/>
          <w:szCs w:val="28"/>
          <w:lang w:eastAsia="es-ES_tradnl"/>
        </w:rPr>
        <w:t>(ii)</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la protección co</w:t>
      </w:r>
      <w:r w:rsidRPr="000C03D2">
        <w:rPr>
          <w:rFonts w:ascii="Times New Roman" w:eastAsia="Times New Roman" w:hAnsi="Times New Roman" w:cs="Times New Roman"/>
          <w:color w:val="000000" w:themeColor="text1"/>
          <w:szCs w:val="28"/>
          <w:lang w:eastAsia="es-ES_tradnl"/>
        </w:rPr>
        <w:t>nstitucional a la identidad de género;</w:t>
      </w:r>
      <w:r w:rsidRPr="000C03D2">
        <w:rPr>
          <w:rFonts w:ascii="Times New Roman" w:eastAsia="Times New Roman" w:hAnsi="Times New Roman" w:cs="Times New Roman"/>
          <w:color w:val="000000" w:themeColor="text1"/>
          <w:szCs w:val="28"/>
          <w:lang w:eastAsia="es-ES_tradnl"/>
        </w:rPr>
        <w:t xml:space="preserve"> y</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i/>
          <w:iCs/>
          <w:color w:val="000000" w:themeColor="text1"/>
          <w:szCs w:val="28"/>
          <w:lang w:eastAsia="es-ES_tradnl"/>
        </w:rPr>
        <w:t>(iii)</w:t>
      </w:r>
      <w:r w:rsidRPr="000C03D2">
        <w:rPr>
          <w:rFonts w:ascii="Times New Roman" w:eastAsia="Times New Roman" w:hAnsi="Times New Roman" w:cs="Times New Roman"/>
          <w:color w:val="000000" w:themeColor="text1"/>
          <w:szCs w:val="28"/>
          <w:lang w:eastAsia="es-ES_tradnl"/>
        </w:rPr>
        <w:t xml:space="preserve"> el alcance de las sentencias C-324 de 2023 y C-071 de 2025</w:t>
      </w:r>
      <w:r w:rsidRPr="000C03D2">
        <w:rPr>
          <w:rFonts w:ascii="Times New Roman" w:eastAsia="Times New Roman" w:hAnsi="Times New Roman" w:cs="Times New Roman"/>
          <w:color w:val="000000" w:themeColor="text1"/>
          <w:szCs w:val="28"/>
          <w:lang w:eastAsia="es-ES_tradnl"/>
        </w:rPr>
        <w:t>. Finalmente,</w:t>
      </w:r>
      <w:r w:rsidRPr="000C03D2">
        <w:rPr>
          <w:rFonts w:ascii="Times New Roman" w:eastAsia="Times New Roman" w:hAnsi="Times New Roman" w:cs="Times New Roman"/>
          <w:i/>
          <w:iCs/>
          <w:color w:val="000000" w:themeColor="text1"/>
          <w:szCs w:val="28"/>
          <w:lang w:eastAsia="es-ES_tradnl"/>
        </w:rPr>
        <w:t xml:space="preserve"> (</w:t>
      </w:r>
      <w:r w:rsidRPr="000C03D2">
        <w:rPr>
          <w:rFonts w:ascii="Times New Roman" w:eastAsia="Times New Roman" w:hAnsi="Times New Roman" w:cs="Times New Roman"/>
          <w:i/>
          <w:iCs/>
          <w:color w:val="000000" w:themeColor="text1"/>
          <w:szCs w:val="28"/>
          <w:lang w:eastAsia="es-ES_tradnl"/>
        </w:rPr>
        <w:t>i</w:t>
      </w:r>
      <w:r w:rsidRPr="000C03D2">
        <w:rPr>
          <w:rFonts w:ascii="Times New Roman" w:eastAsia="Times New Roman" w:hAnsi="Times New Roman" w:cs="Times New Roman"/>
          <w:i/>
          <w:iCs/>
          <w:color w:val="000000" w:themeColor="text1"/>
          <w:szCs w:val="28"/>
          <w:lang w:eastAsia="es-ES_tradnl"/>
        </w:rPr>
        <w:t>v</w:t>
      </w:r>
      <w:r w:rsidRPr="000C03D2">
        <w:rPr>
          <w:rFonts w:ascii="Times New Roman" w:eastAsia="Times New Roman" w:hAnsi="Times New Roman" w:cs="Times New Roman"/>
          <w:i/>
          <w:iCs/>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se</w:t>
      </w:r>
      <w:r w:rsidRPr="000C03D2">
        <w:rPr>
          <w:rFonts w:ascii="Times New Roman" w:eastAsia="Times New Roman" w:hAnsi="Times New Roman" w:cs="Times New Roman"/>
          <w:color w:val="000000" w:themeColor="text1"/>
          <w:szCs w:val="28"/>
          <w:lang w:eastAsia="es-ES_tradnl"/>
        </w:rPr>
        <w:t xml:space="preserve"> precisará</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 xml:space="preserve">la </w:t>
      </w:r>
      <w:r w:rsidRPr="000C03D2">
        <w:rPr>
          <w:rFonts w:ascii="Times New Roman" w:eastAsia="Times New Roman" w:hAnsi="Times New Roman" w:cs="Times New Roman"/>
          <w:color w:val="000000" w:themeColor="text1"/>
          <w:szCs w:val="28"/>
          <w:lang w:eastAsia="es-ES_tradnl"/>
        </w:rPr>
        <w:t>solución</w:t>
      </w:r>
      <w:r w:rsidRPr="000C03D2">
        <w:rPr>
          <w:rFonts w:ascii="Times New Roman" w:eastAsia="Times New Roman" w:hAnsi="Times New Roman" w:cs="Times New Roman"/>
          <w:color w:val="000000" w:themeColor="text1"/>
          <w:szCs w:val="28"/>
          <w:lang w:eastAsia="es-ES_tradnl"/>
        </w:rPr>
        <w:t xml:space="preserve"> al </w:t>
      </w:r>
      <w:r w:rsidRPr="000C03D2">
        <w:rPr>
          <w:rFonts w:ascii="Times New Roman" w:eastAsia="Times New Roman" w:hAnsi="Times New Roman" w:cs="Times New Roman"/>
          <w:color w:val="000000" w:themeColor="text1"/>
          <w:szCs w:val="28"/>
          <w:lang w:eastAsia="es-ES_tradnl"/>
        </w:rPr>
        <w:t>problema jurídico planteado</w:t>
      </w:r>
      <w:r w:rsidRPr="000C03D2">
        <w:rPr>
          <w:rFonts w:ascii="Times New Roman" w:eastAsia="Times New Roman" w:hAnsi="Times New Roman" w:cs="Times New Roman"/>
          <w:color w:val="000000" w:themeColor="text1"/>
          <w:szCs w:val="28"/>
          <w:lang w:eastAsia="es-ES_tradnl"/>
        </w:rPr>
        <w:t>.</w:t>
      </w:r>
    </w:p>
    <w:p w:rsidR="00FF68D9" w:rsidRPr="000C03D2" w:rsidRDefault="000C03D2" w:rsidP="00A141C2">
      <w:pPr>
        <w:tabs>
          <w:tab w:val="left" w:pos="426"/>
          <w:tab w:val="left" w:pos="567"/>
        </w:tabs>
        <w:rPr>
          <w:rFonts w:ascii="Times New Roman" w:hAnsi="Times New Roman" w:cs="Times New Roman"/>
          <w:color w:val="000000" w:themeColor="text1"/>
          <w:sz w:val="28"/>
        </w:rPr>
      </w:pPr>
    </w:p>
    <w:p w:rsidR="00284FFC" w:rsidRPr="000C03D2" w:rsidRDefault="000C03D2" w:rsidP="00A141C2">
      <w:pPr>
        <w:pStyle w:val="Prrafodelista"/>
        <w:widowControl w:val="0"/>
        <w:numPr>
          <w:ilvl w:val="0"/>
          <w:numId w:val="4"/>
        </w:numPr>
        <w:tabs>
          <w:tab w:val="left" w:pos="426"/>
        </w:tabs>
        <w:rPr>
          <w:rFonts w:ascii="Times New Roman" w:hAnsi="Times New Roman" w:cs="Times New Roman"/>
          <w:b/>
          <w:bCs/>
          <w:color w:val="000000" w:themeColor="text1"/>
        </w:rPr>
      </w:pPr>
      <w:r w:rsidRPr="000C03D2">
        <w:rPr>
          <w:rFonts w:ascii="Times New Roman" w:hAnsi="Times New Roman" w:cs="Times New Roman"/>
          <w:b/>
          <w:color w:val="000000" w:themeColor="text1"/>
          <w:szCs w:val="28"/>
        </w:rPr>
        <w:t>La omisión legislativa relativa. Reiteración de jurisprudencia</w:t>
      </w:r>
      <w:r w:rsidRPr="000C03D2">
        <w:rPr>
          <w:rFonts w:ascii="Times New Roman" w:hAnsi="Times New Roman" w:cs="Times New Roman"/>
          <w:bCs/>
          <w:iCs/>
          <w:color w:val="000000" w:themeColor="text1"/>
          <w:szCs w:val="28"/>
          <w:vertAlign w:val="superscript"/>
        </w:rPr>
        <w:footnoteReference w:id="19"/>
      </w:r>
    </w:p>
    <w:p w:rsidR="00284FFC" w:rsidRPr="000C03D2" w:rsidRDefault="000C03D2" w:rsidP="00A141C2">
      <w:pPr>
        <w:tabs>
          <w:tab w:val="left" w:pos="426"/>
        </w:tabs>
        <w:rPr>
          <w:rFonts w:ascii="Times New Roman" w:hAnsi="Times New Roman" w:cs="Times New Roman"/>
          <w:color w:val="000000" w:themeColor="text1"/>
          <w:sz w:val="28"/>
          <w:szCs w:val="28"/>
        </w:rPr>
      </w:pPr>
    </w:p>
    <w:p w:rsidR="00771218"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rPr>
      </w:pPr>
      <w:r w:rsidRPr="000C03D2">
        <w:rPr>
          <w:rFonts w:ascii="Times New Roman" w:hAnsi="Times New Roman" w:cs="Times New Roman"/>
          <w:color w:val="000000" w:themeColor="text1"/>
        </w:rPr>
        <w:t xml:space="preserve">La Corte </w:t>
      </w:r>
      <w:r w:rsidRPr="000C03D2">
        <w:rPr>
          <w:rFonts w:ascii="Times New Roman" w:hAnsi="Times New Roman" w:cs="Times New Roman"/>
          <w:color w:val="000000" w:themeColor="text1"/>
        </w:rPr>
        <w:t>Constitucional ha reiterado que las omisiones legislativas se presentan cuando el legislador incumple un deber de acción expresamente establecido por la Constitución</w:t>
      </w:r>
      <w:r w:rsidRPr="000C03D2">
        <w:rPr>
          <w:rFonts w:ascii="Times New Roman" w:hAnsi="Times New Roman" w:cs="Times New Roman"/>
          <w:iCs/>
          <w:color w:val="000000" w:themeColor="text1"/>
          <w:szCs w:val="28"/>
          <w:vertAlign w:val="superscript"/>
        </w:rPr>
        <w:footnoteReference w:id="20"/>
      </w:r>
      <w:r w:rsidRPr="000C03D2">
        <w:rPr>
          <w:rFonts w:ascii="Times New Roman" w:hAnsi="Times New Roman" w:cs="Times New Roman"/>
          <w:color w:val="000000" w:themeColor="text1"/>
        </w:rPr>
        <w:t>. Estas omisiones pueden clasificarse en absolutas o relativas. Las omisiones absolutas se</w:t>
      </w:r>
      <w:r w:rsidRPr="000C03D2">
        <w:rPr>
          <w:rFonts w:ascii="Times New Roman" w:hAnsi="Times New Roman" w:cs="Times New Roman"/>
          <w:color w:val="000000" w:themeColor="text1"/>
        </w:rPr>
        <w:t xml:space="preserve"> caracterizan por la ausencia total de regulación normativa</w:t>
      </w:r>
      <w:r w:rsidRPr="000C03D2">
        <w:rPr>
          <w:rFonts w:ascii="Times New Roman" w:hAnsi="Times New Roman" w:cs="Times New Roman"/>
          <w:color w:val="000000" w:themeColor="text1"/>
        </w:rPr>
        <w:t xml:space="preserve"> de un área de la vida social, económica o política que requiere de regulación</w:t>
      </w:r>
      <w:r w:rsidRPr="000C03D2">
        <w:rPr>
          <w:rFonts w:ascii="Times New Roman" w:hAnsi="Times New Roman" w:cs="Times New Roman"/>
          <w:iCs/>
          <w:color w:val="000000" w:themeColor="text1"/>
          <w:szCs w:val="28"/>
          <w:vertAlign w:val="superscript"/>
        </w:rPr>
        <w:footnoteReference w:id="21"/>
      </w:r>
      <w:r w:rsidRPr="000C03D2">
        <w:rPr>
          <w:rFonts w:ascii="Times New Roman" w:hAnsi="Times New Roman" w:cs="Times New Roman"/>
          <w:color w:val="000000" w:themeColor="text1"/>
        </w:rPr>
        <w:t>. En este caso, al no existir un texto jurídico que pueda ser confrontado con la Constitución, la Corte no tiene compe</w:t>
      </w:r>
      <w:r w:rsidRPr="000C03D2">
        <w:rPr>
          <w:rFonts w:ascii="Times New Roman" w:hAnsi="Times New Roman" w:cs="Times New Roman"/>
          <w:color w:val="000000" w:themeColor="text1"/>
        </w:rPr>
        <w:t>tencia para pronunciarse</w:t>
      </w:r>
      <w:r w:rsidRPr="000C03D2">
        <w:rPr>
          <w:rFonts w:ascii="Times New Roman" w:hAnsi="Times New Roman" w:cs="Times New Roman"/>
          <w:iCs/>
          <w:color w:val="000000" w:themeColor="text1"/>
          <w:szCs w:val="28"/>
          <w:vertAlign w:val="superscript"/>
        </w:rPr>
        <w:footnoteReference w:id="22"/>
      </w:r>
      <w:r w:rsidRPr="000C03D2">
        <w:rPr>
          <w:rFonts w:ascii="Times New Roman" w:hAnsi="Times New Roman" w:cs="Times New Roman"/>
          <w:color w:val="000000" w:themeColor="text1"/>
        </w:rPr>
        <w:t>.</w:t>
      </w:r>
    </w:p>
    <w:p w:rsidR="00771218" w:rsidRPr="000C03D2" w:rsidRDefault="000C03D2" w:rsidP="00A141C2">
      <w:pPr>
        <w:pStyle w:val="Prrafodelista"/>
        <w:tabs>
          <w:tab w:val="left" w:pos="426"/>
        </w:tabs>
        <w:ind w:left="0"/>
        <w:rPr>
          <w:rFonts w:ascii="Times New Roman" w:hAnsi="Times New Roman" w:cs="Times New Roman"/>
          <w:color w:val="000000" w:themeColor="text1"/>
          <w:szCs w:val="28"/>
        </w:rPr>
      </w:pPr>
    </w:p>
    <w:p w:rsidR="0022078B"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rPr>
      </w:pPr>
      <w:r w:rsidRPr="000C03D2">
        <w:rPr>
          <w:rFonts w:ascii="Times New Roman" w:hAnsi="Times New Roman" w:cs="Times New Roman"/>
          <w:color w:val="000000" w:themeColor="text1"/>
        </w:rPr>
        <w:t xml:space="preserve">Las omisiones relativas se configuran cuando el Legislador, al expedir una regulación o estructurar una institución jurídica, omite incorporar una condición o elemento que, conforme a la Constitución, constituye un requisito </w:t>
      </w:r>
      <w:r w:rsidRPr="000C03D2">
        <w:rPr>
          <w:rFonts w:ascii="Times New Roman" w:hAnsi="Times New Roman" w:cs="Times New Roman"/>
          <w:color w:val="000000" w:themeColor="text1"/>
        </w:rPr>
        <w:t>esencial para garantizar su armonización con el orden superior</w:t>
      </w:r>
      <w:r w:rsidRPr="000C03D2">
        <w:rPr>
          <w:rFonts w:ascii="Times New Roman" w:hAnsi="Times New Roman" w:cs="Times New Roman"/>
          <w:iCs/>
          <w:color w:val="000000" w:themeColor="text1"/>
          <w:szCs w:val="28"/>
          <w:vertAlign w:val="superscript"/>
        </w:rPr>
        <w:footnoteReference w:id="23"/>
      </w:r>
      <w:r w:rsidRPr="000C03D2">
        <w:rPr>
          <w:rFonts w:ascii="Times New Roman" w:hAnsi="Times New Roman" w:cs="Times New Roman"/>
          <w:color w:val="000000" w:themeColor="text1"/>
        </w:rPr>
        <w:t>. En este escenario, entonces, el órgano legislativo guarda silencio o excluye una previsión normativa indispensable para asegurar la compatibilidad del texto legal con la Carta Política</w:t>
      </w:r>
      <w:r w:rsidRPr="000C03D2">
        <w:rPr>
          <w:rFonts w:ascii="Times New Roman" w:hAnsi="Times New Roman" w:cs="Times New Roman"/>
          <w:iCs/>
          <w:color w:val="000000" w:themeColor="text1"/>
          <w:szCs w:val="28"/>
          <w:vertAlign w:val="superscript"/>
        </w:rPr>
        <w:footnoteReference w:id="24"/>
      </w:r>
      <w:r w:rsidRPr="000C03D2">
        <w:rPr>
          <w:rFonts w:ascii="Times New Roman" w:hAnsi="Times New Roman" w:cs="Times New Roman"/>
          <w:color w:val="000000" w:themeColor="text1"/>
        </w:rPr>
        <w:t>. A di</w:t>
      </w:r>
      <w:r w:rsidRPr="000C03D2">
        <w:rPr>
          <w:rFonts w:ascii="Times New Roman" w:hAnsi="Times New Roman" w:cs="Times New Roman"/>
          <w:color w:val="000000" w:themeColor="text1"/>
        </w:rPr>
        <w:t>ferencia de las omisiones absolutas, esta clase de omisiones puede ser objeto de control por parte de esta Corporación</w:t>
      </w:r>
      <w:r w:rsidRPr="000C03D2">
        <w:rPr>
          <w:rFonts w:ascii="Times New Roman" w:hAnsi="Times New Roman" w:cs="Times New Roman"/>
          <w:color w:val="000000" w:themeColor="text1"/>
        </w:rPr>
        <w:t xml:space="preserve"> en cumplimiento de sus competencias de control abstracto </w:t>
      </w:r>
      <w:r w:rsidRPr="000C03D2">
        <w:rPr>
          <w:rFonts w:ascii="Times New Roman" w:hAnsi="Times New Roman" w:cs="Times New Roman"/>
          <w:color w:val="000000" w:themeColor="text1"/>
        </w:rPr>
        <w:t>de constitucionalidad</w:t>
      </w:r>
      <w:r w:rsidRPr="000C03D2">
        <w:rPr>
          <w:rFonts w:ascii="Times New Roman" w:hAnsi="Times New Roman" w:cs="Times New Roman"/>
          <w:color w:val="000000" w:themeColor="text1"/>
        </w:rPr>
        <w:t>.</w:t>
      </w:r>
    </w:p>
    <w:p w:rsidR="00062BDE" w:rsidRPr="000C03D2" w:rsidRDefault="000C03D2" w:rsidP="00A141C2">
      <w:pPr>
        <w:pStyle w:val="Prrafodelista"/>
        <w:rPr>
          <w:rFonts w:ascii="Times New Roman" w:hAnsi="Times New Roman" w:cs="Times New Roman"/>
          <w:color w:val="000000" w:themeColor="text1"/>
          <w:szCs w:val="28"/>
        </w:rPr>
      </w:pPr>
    </w:p>
    <w:p w:rsidR="00DE4DD1"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4"/>
          <w:lang w:val="es-ES_tradnl"/>
          <w14:ligatures w14:val="standardContextual"/>
        </w:rPr>
      </w:pPr>
      <w:r w:rsidRPr="000C03D2">
        <w:rPr>
          <w:rFonts w:ascii="Times New Roman" w:hAnsi="Times New Roman" w:cs="Times New Roman"/>
          <w:color w:val="000000" w:themeColor="text1"/>
          <w:szCs w:val="28"/>
        </w:rPr>
        <w:t xml:space="preserve">Una consideración merece el estudio de omisiones </w:t>
      </w:r>
      <w:r w:rsidRPr="000C03D2">
        <w:rPr>
          <w:rFonts w:ascii="Times New Roman" w:hAnsi="Times New Roman" w:cs="Times New Roman"/>
          <w:color w:val="000000" w:themeColor="text1"/>
          <w:szCs w:val="28"/>
        </w:rPr>
        <w:t>legislativas relativas de norma</w:t>
      </w:r>
      <w:r w:rsidRPr="000C03D2">
        <w:rPr>
          <w:rFonts w:ascii="Times New Roman" w:hAnsi="Times New Roman" w:cs="Times New Roman"/>
          <w:color w:val="000000" w:themeColor="text1"/>
          <w:szCs w:val="28"/>
        </w:rPr>
        <w:t>s</w:t>
      </w:r>
      <w:r w:rsidRPr="000C03D2">
        <w:rPr>
          <w:rFonts w:ascii="Times New Roman" w:hAnsi="Times New Roman" w:cs="Times New Roman"/>
          <w:color w:val="000000" w:themeColor="text1"/>
          <w:szCs w:val="28"/>
        </w:rPr>
        <w:t xml:space="preserve"> preconstitucionales. Recientemente, en la Sentencia C-428 de 2025 la Sala Plena recordó que está facultada para resolver las demandas de inconstitucionalidad que los ciudadanos interpongan contra cualquier disposición con r</w:t>
      </w:r>
      <w:r w:rsidRPr="000C03D2">
        <w:rPr>
          <w:rFonts w:ascii="Times New Roman" w:hAnsi="Times New Roman" w:cs="Times New Roman"/>
          <w:color w:val="000000" w:themeColor="text1"/>
          <w:szCs w:val="28"/>
        </w:rPr>
        <w:t>ango y fuerza de ley, incluyendo aquellas que fueron expedidas antes de la Constitución de 1991, siempre que continúen vigentes o, aun derogadas, sigan generando efectos jurídicos.</w:t>
      </w:r>
    </w:p>
    <w:p w:rsidR="00DE4DD1" w:rsidRPr="000C03D2" w:rsidRDefault="000C03D2" w:rsidP="00A141C2">
      <w:pPr>
        <w:pStyle w:val="Prrafodelista"/>
        <w:rPr>
          <w:rFonts w:ascii="Times New Roman" w:hAnsi="Times New Roman" w:cs="Times New Roman"/>
          <w:color w:val="000000" w:themeColor="text1"/>
          <w:szCs w:val="28"/>
        </w:rPr>
      </w:pPr>
    </w:p>
    <w:p w:rsidR="00062BDE"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4"/>
          <w:lang w:val="es-ES_tradnl"/>
          <w14:ligatures w14:val="standardContextual"/>
        </w:rPr>
      </w:pPr>
      <w:r w:rsidRPr="000C03D2">
        <w:rPr>
          <w:rFonts w:ascii="Times New Roman" w:hAnsi="Times New Roman" w:cs="Times New Roman"/>
          <w:color w:val="000000" w:themeColor="text1"/>
          <w:szCs w:val="28"/>
        </w:rPr>
        <w:t xml:space="preserve">Cuando </w:t>
      </w:r>
      <w:r w:rsidRPr="000C03D2">
        <w:rPr>
          <w:rFonts w:ascii="Times New Roman" w:hAnsi="Times New Roman" w:cs="Times New Roman"/>
          <w:color w:val="000000" w:themeColor="text1"/>
          <w:szCs w:val="28"/>
        </w:rPr>
        <w:t>la demanda plantea un cargo por omisión legislativa relativa respec</w:t>
      </w:r>
      <w:r w:rsidRPr="000C03D2">
        <w:rPr>
          <w:rFonts w:ascii="Times New Roman" w:hAnsi="Times New Roman" w:cs="Times New Roman"/>
          <w:color w:val="000000" w:themeColor="text1"/>
          <w:szCs w:val="28"/>
        </w:rPr>
        <w:t xml:space="preserve">to de una norma anterior a 1991, </w:t>
      </w:r>
      <w:r w:rsidRPr="000C03D2">
        <w:rPr>
          <w:rFonts w:ascii="Times New Roman" w:hAnsi="Times New Roman" w:cs="Times New Roman"/>
          <w:color w:val="000000" w:themeColor="text1"/>
          <w:szCs w:val="28"/>
        </w:rPr>
        <w:t>la Corte ha señalado que</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la preconstitucionalidad puede explicar la omisión, pero no la justifica frente al nuevo orden constitucional</w:t>
      </w:r>
      <w:r w:rsidRPr="000C03D2">
        <w:rPr>
          <w:rFonts w:ascii="Times New Roman" w:hAnsi="Times New Roman" w:cs="Times New Roman"/>
          <w:color w:val="000000" w:themeColor="text1"/>
          <w:szCs w:val="28"/>
        </w:rPr>
        <w:t>”</w:t>
      </w:r>
      <w:r w:rsidRPr="000C03D2">
        <w:rPr>
          <w:rStyle w:val="Refdenotaalpie"/>
          <w:rFonts w:ascii="Times New Roman" w:hAnsi="Times New Roman" w:cs="Times New Roman"/>
          <w:color w:val="000000" w:themeColor="text1"/>
          <w:szCs w:val="28"/>
        </w:rPr>
        <w:footnoteReference w:id="25"/>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En este sentido, es preciso reiterar que </w:t>
      </w:r>
      <w:r w:rsidRPr="000C03D2">
        <w:rPr>
          <w:rFonts w:ascii="Times New Roman" w:hAnsi="Times New Roman" w:cs="Times New Roman"/>
          <w:color w:val="000000" w:themeColor="text1"/>
          <w:szCs w:val="28"/>
        </w:rPr>
        <w:t>la existencia de disposiciones previas a la</w:t>
      </w:r>
      <w:r w:rsidRPr="000C03D2">
        <w:rPr>
          <w:rFonts w:ascii="Times New Roman" w:hAnsi="Times New Roman" w:cs="Times New Roman"/>
          <w:color w:val="000000" w:themeColor="text1"/>
          <w:szCs w:val="28"/>
        </w:rPr>
        <w:t xml:space="preserve"> Constitución de 1991 que no desarrollan plenamente los mandatos superiores actuales no exonera al legislador de su deber de adecuarlas al marco constitucional vigente</w:t>
      </w:r>
      <w:r w:rsidRPr="000C03D2">
        <w:rPr>
          <w:rStyle w:val="Refdenotaalpie"/>
          <w:rFonts w:ascii="Times New Roman" w:hAnsi="Times New Roman" w:cs="Times New Roman"/>
          <w:color w:val="000000" w:themeColor="text1"/>
          <w:szCs w:val="28"/>
        </w:rPr>
        <w:footnoteReference w:id="26"/>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En otras palabras, la </w:t>
      </w:r>
      <w:r w:rsidRPr="000C03D2">
        <w:rPr>
          <w:rFonts w:ascii="Times New Roman" w:hAnsi="Times New Roman" w:cs="Times New Roman"/>
          <w:color w:val="000000" w:themeColor="text1"/>
          <w:szCs w:val="28"/>
        </w:rPr>
        <w:t>permanencia de normas preconstitucionales que generan un vacío o</w:t>
      </w:r>
      <w:r w:rsidRPr="000C03D2">
        <w:rPr>
          <w:rFonts w:ascii="Times New Roman" w:hAnsi="Times New Roman" w:cs="Times New Roman"/>
          <w:color w:val="000000" w:themeColor="text1"/>
          <w:szCs w:val="28"/>
        </w:rPr>
        <w:t xml:space="preserve"> exclusión contrarios a los principios de igualdad y no discriminación constituye una omisión imputable al legislador, quien ha tenido el deber de actualizar la legislación </w:t>
      </w:r>
      <w:r w:rsidRPr="000C03D2">
        <w:rPr>
          <w:rFonts w:ascii="Times New Roman" w:hAnsi="Times New Roman" w:cs="Times New Roman"/>
          <w:color w:val="000000" w:themeColor="text1"/>
          <w:szCs w:val="28"/>
        </w:rPr>
        <w:t>una vez entra en</w:t>
      </w:r>
      <w:r w:rsidRPr="000C03D2">
        <w:rPr>
          <w:rFonts w:ascii="Times New Roman" w:hAnsi="Times New Roman" w:cs="Times New Roman"/>
          <w:color w:val="000000" w:themeColor="text1"/>
          <w:szCs w:val="28"/>
        </w:rPr>
        <w:t xml:space="preserve"> vigencia de la C</w:t>
      </w:r>
      <w:r w:rsidRPr="000C03D2">
        <w:rPr>
          <w:rFonts w:ascii="Times New Roman" w:hAnsi="Times New Roman" w:cs="Times New Roman"/>
          <w:color w:val="000000" w:themeColor="text1"/>
          <w:szCs w:val="28"/>
        </w:rPr>
        <w:t>onstitución de 1991</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Visto así</w:t>
      </w:r>
      <w:r w:rsidRPr="000C03D2">
        <w:rPr>
          <w:rFonts w:ascii="Times New Roman" w:hAnsi="Times New Roman" w:cs="Times New Roman"/>
          <w:color w:val="000000" w:themeColor="text1"/>
          <w:szCs w:val="28"/>
        </w:rPr>
        <w:t>, la omisión se vuel</w:t>
      </w:r>
      <w:r w:rsidRPr="000C03D2">
        <w:rPr>
          <w:rFonts w:ascii="Times New Roman" w:hAnsi="Times New Roman" w:cs="Times New Roman"/>
          <w:color w:val="000000" w:themeColor="text1"/>
          <w:szCs w:val="28"/>
        </w:rPr>
        <w:t>ve actual y verificable, no por su origen histórico, sino por la inactividad posterior del legislador frente a las exigencias constitucionales.</w:t>
      </w:r>
    </w:p>
    <w:p w:rsidR="0022078B" w:rsidRPr="000C03D2" w:rsidRDefault="000C03D2" w:rsidP="00A141C2">
      <w:pPr>
        <w:rPr>
          <w:rFonts w:ascii="Times New Roman" w:hAnsi="Times New Roman" w:cs="Times New Roman"/>
          <w:iCs/>
          <w:color w:val="000000" w:themeColor="text1"/>
          <w:sz w:val="28"/>
          <w:szCs w:val="28"/>
        </w:rPr>
      </w:pPr>
    </w:p>
    <w:p w:rsidR="00284FFC"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rPr>
      </w:pPr>
      <w:r w:rsidRPr="000C03D2">
        <w:rPr>
          <w:rFonts w:ascii="Times New Roman" w:hAnsi="Times New Roman" w:cs="Times New Roman"/>
          <w:iCs/>
          <w:color w:val="000000" w:themeColor="text1"/>
          <w:szCs w:val="28"/>
        </w:rPr>
        <w:t>La jurisprudencia constitucional</w:t>
      </w:r>
      <w:r w:rsidRPr="000C03D2">
        <w:rPr>
          <w:rFonts w:ascii="Times New Roman" w:hAnsi="Times New Roman" w:cs="Times New Roman"/>
          <w:iCs/>
          <w:color w:val="000000" w:themeColor="text1"/>
          <w:szCs w:val="28"/>
          <w:vertAlign w:val="superscript"/>
        </w:rPr>
        <w:footnoteReference w:id="27"/>
      </w:r>
      <w:r w:rsidRPr="000C03D2">
        <w:rPr>
          <w:rFonts w:ascii="Times New Roman" w:hAnsi="Times New Roman" w:cs="Times New Roman"/>
          <w:iCs/>
          <w:color w:val="000000" w:themeColor="text1"/>
          <w:szCs w:val="28"/>
        </w:rPr>
        <w:t xml:space="preserve"> ha señalado que una omisión legislativa relativa se configura cuando:</w:t>
      </w:r>
    </w:p>
    <w:p w:rsidR="00284FFC" w:rsidRPr="000C03D2" w:rsidRDefault="000C03D2" w:rsidP="00A141C2">
      <w:pPr>
        <w:tabs>
          <w:tab w:val="left" w:pos="993"/>
        </w:tabs>
        <w:ind w:left="426"/>
        <w:rPr>
          <w:rFonts w:ascii="Times New Roman" w:hAnsi="Times New Roman" w:cs="Times New Roman"/>
          <w:iCs/>
          <w:color w:val="000000" w:themeColor="text1"/>
          <w:sz w:val="28"/>
          <w:szCs w:val="28"/>
        </w:rPr>
      </w:pPr>
    </w:p>
    <w:p w:rsidR="00284FFC" w:rsidRPr="000C03D2" w:rsidRDefault="000C03D2" w:rsidP="00A141C2">
      <w:pPr>
        <w:pStyle w:val="Prrafodelista"/>
        <w:numPr>
          <w:ilvl w:val="0"/>
          <w:numId w:val="5"/>
        </w:numPr>
        <w:tabs>
          <w:tab w:val="left" w:pos="567"/>
          <w:tab w:val="left" w:pos="993"/>
        </w:tabs>
        <w:ind w:left="426" w:firstLine="0"/>
        <w:rPr>
          <w:rFonts w:ascii="Times New Roman" w:hAnsi="Times New Roman" w:cs="Times New Roman"/>
          <w:iCs/>
          <w:color w:val="000000" w:themeColor="text1"/>
          <w:szCs w:val="24"/>
        </w:rPr>
      </w:pPr>
      <w:bookmarkStart w:id="6" w:name="_Hlk142058829"/>
      <w:r w:rsidRPr="000C03D2">
        <w:rPr>
          <w:rFonts w:ascii="Times New Roman" w:hAnsi="Times New Roman" w:cs="Times New Roman"/>
          <w:iCs/>
          <w:color w:val="000000" w:themeColor="text1"/>
          <w:szCs w:val="24"/>
        </w:rPr>
        <w:t>Exista</w:t>
      </w:r>
      <w:r w:rsidRPr="000C03D2">
        <w:rPr>
          <w:rFonts w:ascii="Times New Roman" w:hAnsi="Times New Roman" w:cs="Times New Roman"/>
          <w:iCs/>
          <w:color w:val="000000" w:themeColor="text1"/>
          <w:szCs w:val="24"/>
        </w:rPr>
        <w:t xml:space="preserve"> una norma sobre la cual se predique necesariamente el cargo y que “(a) excluya de sus consecuencias jurídicas aquellos casos equivalentes o asimilables o, en su defecto, (b) que no incluya determinado elemento o ingrediente normativo”.</w:t>
      </w:r>
    </w:p>
    <w:p w:rsidR="00284FFC" w:rsidRPr="000C03D2" w:rsidRDefault="000C03D2" w:rsidP="00A141C2">
      <w:pPr>
        <w:pStyle w:val="Prrafodelista"/>
        <w:tabs>
          <w:tab w:val="left" w:pos="426"/>
          <w:tab w:val="left" w:pos="993"/>
        </w:tabs>
        <w:ind w:left="426"/>
        <w:rPr>
          <w:rFonts w:ascii="Times New Roman" w:hAnsi="Times New Roman" w:cs="Times New Roman"/>
          <w:iCs/>
          <w:color w:val="000000" w:themeColor="text1"/>
          <w:szCs w:val="24"/>
        </w:rPr>
      </w:pPr>
    </w:p>
    <w:p w:rsidR="00284FFC" w:rsidRPr="000C03D2" w:rsidRDefault="000C03D2" w:rsidP="00A141C2">
      <w:pPr>
        <w:pStyle w:val="Prrafodelista"/>
        <w:numPr>
          <w:ilvl w:val="0"/>
          <w:numId w:val="5"/>
        </w:numPr>
        <w:tabs>
          <w:tab w:val="left" w:pos="567"/>
          <w:tab w:val="left" w:pos="993"/>
        </w:tabs>
        <w:ind w:left="426" w:firstLine="0"/>
        <w:rPr>
          <w:rFonts w:ascii="Times New Roman" w:hAnsi="Times New Roman" w:cs="Times New Roman"/>
          <w:iCs/>
          <w:color w:val="000000" w:themeColor="text1"/>
          <w:szCs w:val="24"/>
        </w:rPr>
      </w:pPr>
      <w:r w:rsidRPr="000C03D2">
        <w:rPr>
          <w:rFonts w:ascii="Times New Roman" w:hAnsi="Times New Roman" w:cs="Times New Roman"/>
          <w:iCs/>
          <w:color w:val="000000" w:themeColor="text1"/>
          <w:szCs w:val="24"/>
        </w:rPr>
        <w:t>Exista un deber es</w:t>
      </w:r>
      <w:r w:rsidRPr="000C03D2">
        <w:rPr>
          <w:rFonts w:ascii="Times New Roman" w:hAnsi="Times New Roman" w:cs="Times New Roman"/>
          <w:iCs/>
          <w:color w:val="000000" w:themeColor="text1"/>
          <w:szCs w:val="24"/>
        </w:rPr>
        <w:t>pecífico impuesto directamente por el constituyente al Congreso que resulta omitido, pues se constata que este (a) excluyó un caso equivalente o asimilable o (b) dejó de incluir un elemento o ingrediente normativo. Ciertamente, como lo resaltó la Sentencia</w:t>
      </w:r>
      <w:r w:rsidRPr="000C03D2">
        <w:rPr>
          <w:rFonts w:ascii="Times New Roman" w:hAnsi="Times New Roman" w:cs="Times New Roman"/>
          <w:iCs/>
          <w:color w:val="000000" w:themeColor="text1"/>
          <w:szCs w:val="24"/>
        </w:rPr>
        <w:t xml:space="preserve"> C-083 de 2018, solo se configura tal fenómeno cuando el legislador incumple una concreta “obligación de hacer” prevista en la Constitución.</w:t>
      </w:r>
    </w:p>
    <w:p w:rsidR="00284FFC" w:rsidRPr="000C03D2" w:rsidRDefault="000C03D2" w:rsidP="00A141C2">
      <w:pPr>
        <w:tabs>
          <w:tab w:val="left" w:pos="993"/>
        </w:tabs>
        <w:ind w:left="426"/>
        <w:rPr>
          <w:rFonts w:ascii="Times New Roman" w:hAnsi="Times New Roman" w:cs="Times New Roman"/>
          <w:iCs/>
          <w:color w:val="000000" w:themeColor="text1"/>
          <w:sz w:val="28"/>
        </w:rPr>
      </w:pPr>
    </w:p>
    <w:p w:rsidR="00284FFC" w:rsidRPr="000C03D2" w:rsidRDefault="000C03D2" w:rsidP="00A141C2">
      <w:pPr>
        <w:pStyle w:val="Prrafodelista"/>
        <w:numPr>
          <w:ilvl w:val="0"/>
          <w:numId w:val="5"/>
        </w:numPr>
        <w:tabs>
          <w:tab w:val="left" w:pos="567"/>
          <w:tab w:val="left" w:pos="993"/>
        </w:tabs>
        <w:ind w:left="426" w:firstLine="0"/>
        <w:rPr>
          <w:rFonts w:ascii="Times New Roman" w:hAnsi="Times New Roman" w:cs="Times New Roman"/>
          <w:iCs/>
          <w:color w:val="000000" w:themeColor="text1"/>
          <w:szCs w:val="24"/>
        </w:rPr>
      </w:pPr>
      <w:r w:rsidRPr="000C03D2">
        <w:rPr>
          <w:rFonts w:ascii="Times New Roman" w:hAnsi="Times New Roman" w:cs="Times New Roman"/>
          <w:iCs/>
          <w:color w:val="000000" w:themeColor="text1"/>
          <w:szCs w:val="24"/>
        </w:rPr>
        <w:t>La exclusión tácita o expresa de los casos o ingredientes carezca de una razón suficiente. Esto último supone veri</w:t>
      </w:r>
      <w:r w:rsidRPr="000C03D2">
        <w:rPr>
          <w:rFonts w:ascii="Times New Roman" w:hAnsi="Times New Roman" w:cs="Times New Roman"/>
          <w:iCs/>
          <w:color w:val="000000" w:themeColor="text1"/>
          <w:szCs w:val="24"/>
        </w:rPr>
        <w:t>ficar si el legislador “contó con una razón suficiente para omitir algún elemento al momento de proferir la norma”. En este estadio del análisis, la Corte debe definir si la omisión es producto de un ejercicio caprichoso o si, por el contrario, existen arg</w:t>
      </w:r>
      <w:r w:rsidRPr="000C03D2">
        <w:rPr>
          <w:rFonts w:ascii="Times New Roman" w:hAnsi="Times New Roman" w:cs="Times New Roman"/>
          <w:iCs/>
          <w:color w:val="000000" w:themeColor="text1"/>
          <w:szCs w:val="24"/>
        </w:rPr>
        <w:t>umentos claros y precisos para obviar el aspecto que los demandantes echan de menos.</w:t>
      </w:r>
    </w:p>
    <w:p w:rsidR="00284FFC" w:rsidRPr="000C03D2" w:rsidRDefault="000C03D2" w:rsidP="00A141C2">
      <w:pPr>
        <w:pStyle w:val="Prrafodelista"/>
        <w:tabs>
          <w:tab w:val="left" w:pos="993"/>
        </w:tabs>
        <w:ind w:left="426"/>
        <w:rPr>
          <w:rFonts w:ascii="Times New Roman" w:hAnsi="Times New Roman" w:cs="Times New Roman"/>
          <w:iCs/>
          <w:color w:val="000000" w:themeColor="text1"/>
          <w:szCs w:val="24"/>
        </w:rPr>
      </w:pPr>
    </w:p>
    <w:p w:rsidR="00284FFC" w:rsidRPr="000C03D2" w:rsidRDefault="000C03D2" w:rsidP="00A141C2">
      <w:pPr>
        <w:pStyle w:val="Prrafodelista"/>
        <w:numPr>
          <w:ilvl w:val="0"/>
          <w:numId w:val="5"/>
        </w:numPr>
        <w:tabs>
          <w:tab w:val="left" w:pos="567"/>
          <w:tab w:val="left" w:pos="993"/>
        </w:tabs>
        <w:ind w:left="426" w:firstLine="0"/>
        <w:rPr>
          <w:rFonts w:ascii="Times New Roman" w:hAnsi="Times New Roman" w:cs="Times New Roman"/>
          <w:iCs/>
          <w:color w:val="000000" w:themeColor="text1"/>
          <w:szCs w:val="24"/>
        </w:rPr>
      </w:pPr>
      <w:r w:rsidRPr="000C03D2">
        <w:rPr>
          <w:rFonts w:ascii="Times New Roman" w:hAnsi="Times New Roman" w:cs="Times New Roman"/>
          <w:iCs/>
          <w:color w:val="000000" w:themeColor="text1"/>
          <w:szCs w:val="24"/>
        </w:rPr>
        <w:t>La falta de justificación y objetividad de la exclusión genere una desigualdad negativa frente a los que se encuentran amparados por las consecuencias de la norma.</w:t>
      </w:r>
      <w:bookmarkEnd w:id="6"/>
    </w:p>
    <w:p w:rsidR="00284FFC" w:rsidRPr="000C03D2" w:rsidRDefault="000C03D2" w:rsidP="00A141C2">
      <w:pPr>
        <w:pStyle w:val="Prrafodelista"/>
        <w:tabs>
          <w:tab w:val="left" w:pos="426"/>
        </w:tabs>
        <w:ind w:left="0" w:right="48"/>
        <w:rPr>
          <w:rFonts w:ascii="Times New Roman" w:hAnsi="Times New Roman" w:cs="Times New Roman"/>
          <w:iCs/>
          <w:color w:val="000000" w:themeColor="text1"/>
          <w:szCs w:val="28"/>
        </w:rPr>
      </w:pPr>
    </w:p>
    <w:p w:rsidR="00284FFC"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rPr>
      </w:pPr>
      <w:r w:rsidRPr="000C03D2">
        <w:rPr>
          <w:rFonts w:ascii="Times New Roman" w:hAnsi="Times New Roman" w:cs="Times New Roman"/>
          <w:iCs/>
          <w:color w:val="000000" w:themeColor="text1"/>
          <w:szCs w:val="28"/>
        </w:rPr>
        <w:t xml:space="preserve">Con </w:t>
      </w:r>
      <w:r w:rsidRPr="000C03D2">
        <w:rPr>
          <w:rFonts w:ascii="Times New Roman" w:hAnsi="Times New Roman" w:cs="Times New Roman"/>
          <w:iCs/>
          <w:color w:val="000000" w:themeColor="text1"/>
          <w:szCs w:val="28"/>
        </w:rPr>
        <w:t>relación al último presupuesto, es necesario aclarar que</w:t>
      </w:r>
      <w:r w:rsidRPr="000C03D2">
        <w:rPr>
          <w:rFonts w:ascii="Times New Roman" w:hAnsi="Times New Roman" w:cs="Times New Roman"/>
          <w:iCs/>
          <w:color w:val="000000" w:themeColor="text1"/>
          <w:szCs w:val="28"/>
        </w:rPr>
        <w:t xml:space="preserve"> es aplicable sólo en aquellos casos en los que se afecte el principio de igualdad</w:t>
      </w:r>
      <w:r w:rsidRPr="000C03D2">
        <w:rPr>
          <w:rFonts w:ascii="Times New Roman" w:hAnsi="Times New Roman" w:cs="Times New Roman"/>
          <w:iCs/>
          <w:color w:val="000000" w:themeColor="text1"/>
          <w:szCs w:val="28"/>
          <w:vertAlign w:val="superscript"/>
        </w:rPr>
        <w:footnoteReference w:id="28"/>
      </w:r>
      <w:r w:rsidRPr="000C03D2">
        <w:rPr>
          <w:rFonts w:ascii="Times New Roman" w:hAnsi="Times New Roman" w:cs="Times New Roman"/>
          <w:iCs/>
          <w:color w:val="000000" w:themeColor="text1"/>
          <w:szCs w:val="28"/>
        </w:rPr>
        <w:t xml:space="preserve">, esto es, </w:t>
      </w:r>
      <w:r w:rsidRPr="000C03D2">
        <w:rPr>
          <w:rFonts w:ascii="Times New Roman" w:hAnsi="Times New Roman" w:cs="Times New Roman"/>
          <w:iCs/>
          <w:color w:val="000000" w:themeColor="text1"/>
          <w:szCs w:val="28"/>
        </w:rPr>
        <w:t xml:space="preserve">“cuando la norma incompleta se evidencia discriminatoria al no contemplar todas las situaciones idénticas </w:t>
      </w:r>
      <w:r w:rsidRPr="000C03D2">
        <w:rPr>
          <w:rFonts w:ascii="Times New Roman" w:hAnsi="Times New Roman" w:cs="Times New Roman"/>
          <w:iCs/>
          <w:color w:val="000000" w:themeColor="text1"/>
          <w:szCs w:val="28"/>
        </w:rPr>
        <w:t>a la regulada, o, (…) cuando no se extiende un determinado régimen legal a una hipótesis material semejante a la que termina por ser única beneficiaria del mismo”</w:t>
      </w:r>
      <w:r w:rsidRPr="000C03D2">
        <w:rPr>
          <w:rFonts w:ascii="Times New Roman" w:hAnsi="Times New Roman" w:cs="Times New Roman"/>
          <w:iCs/>
          <w:color w:val="000000" w:themeColor="text1"/>
          <w:szCs w:val="28"/>
          <w:vertAlign w:val="superscript"/>
        </w:rPr>
        <w:footnoteReference w:id="29"/>
      </w:r>
      <w:r w:rsidRPr="000C03D2">
        <w:rPr>
          <w:rFonts w:ascii="Times New Roman" w:hAnsi="Times New Roman" w:cs="Times New Roman"/>
          <w:iCs/>
          <w:color w:val="000000" w:themeColor="text1"/>
          <w:szCs w:val="28"/>
        </w:rPr>
        <w:t>.</w:t>
      </w:r>
      <w:r w:rsidRPr="000C03D2">
        <w:rPr>
          <w:rFonts w:ascii="Times New Roman" w:hAnsi="Times New Roman" w:cs="Times New Roman"/>
          <w:color w:val="000000" w:themeColor="text1"/>
          <w:szCs w:val="28"/>
        </w:rPr>
        <w:t xml:space="preserve"> </w:t>
      </w:r>
      <w:r w:rsidRPr="000C03D2">
        <w:rPr>
          <w:rFonts w:ascii="Times New Roman" w:hAnsi="Times New Roman" w:cs="Times New Roman"/>
          <w:iCs/>
          <w:color w:val="000000" w:themeColor="text1"/>
          <w:szCs w:val="28"/>
        </w:rPr>
        <w:t>Acorde con</w:t>
      </w:r>
      <w:r w:rsidRPr="000C03D2">
        <w:rPr>
          <w:rFonts w:ascii="Times New Roman" w:hAnsi="Times New Roman" w:cs="Times New Roman"/>
          <w:iCs/>
          <w:color w:val="000000" w:themeColor="text1"/>
          <w:szCs w:val="28"/>
        </w:rPr>
        <w:t xml:space="preserve"> la jurisprudencia constitucional </w:t>
      </w:r>
      <w:r w:rsidRPr="000C03D2">
        <w:rPr>
          <w:rFonts w:ascii="Times New Roman" w:hAnsi="Times New Roman" w:cs="Times New Roman"/>
          <w:iCs/>
          <w:color w:val="000000" w:themeColor="text1"/>
          <w:szCs w:val="28"/>
        </w:rPr>
        <w:t>con el fin de</w:t>
      </w:r>
      <w:r w:rsidRPr="000C03D2">
        <w:rPr>
          <w:rFonts w:ascii="Times New Roman" w:hAnsi="Times New Roman" w:cs="Times New Roman"/>
          <w:iCs/>
          <w:color w:val="000000" w:themeColor="text1"/>
          <w:szCs w:val="28"/>
        </w:rPr>
        <w:t xml:space="preserve"> constatar la concurrencia de este</w:t>
      </w:r>
      <w:r w:rsidRPr="000C03D2">
        <w:rPr>
          <w:rFonts w:ascii="Times New Roman" w:hAnsi="Times New Roman" w:cs="Times New Roman"/>
          <w:iCs/>
          <w:color w:val="000000" w:themeColor="text1"/>
          <w:szCs w:val="28"/>
        </w:rPr>
        <w:t xml:space="preserve"> último presupuesto, es necesario verificar la razonabilidad de la diferencia de trato</w:t>
      </w:r>
      <w:r w:rsidRPr="000C03D2">
        <w:rPr>
          <w:rFonts w:ascii="Times New Roman" w:hAnsi="Times New Roman" w:cs="Times New Roman"/>
          <w:iCs/>
          <w:color w:val="000000" w:themeColor="text1"/>
          <w:szCs w:val="28"/>
          <w:vertAlign w:val="superscript"/>
        </w:rPr>
        <w:footnoteReference w:id="30"/>
      </w:r>
      <w:r w:rsidRPr="000C03D2">
        <w:rPr>
          <w:rFonts w:ascii="Times New Roman" w:hAnsi="Times New Roman" w:cs="Times New Roman"/>
          <w:iCs/>
          <w:color w:val="000000" w:themeColor="text1"/>
          <w:szCs w:val="28"/>
        </w:rPr>
        <w:t xml:space="preserve"> a partir de la valoración de dos cuestiones:</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lang w:val="es-ES"/>
        </w:rPr>
        <w:t>“(</w:t>
      </w:r>
      <w:r w:rsidRPr="000C03D2">
        <w:rPr>
          <w:rFonts w:ascii="Times New Roman" w:hAnsi="Times New Roman" w:cs="Times New Roman"/>
          <w:iCs/>
          <w:color w:val="000000" w:themeColor="text1"/>
          <w:szCs w:val="28"/>
          <w:lang w:val="es-ES_tradnl"/>
        </w:rPr>
        <w:t xml:space="preserve">a) si los supuestos de hecho en que se encuentran los sujetos excluidos del contenido normativo son asimilables a </w:t>
      </w:r>
      <w:r w:rsidRPr="000C03D2">
        <w:rPr>
          <w:rFonts w:ascii="Times New Roman" w:hAnsi="Times New Roman" w:cs="Times New Roman"/>
          <w:iCs/>
          <w:color w:val="000000" w:themeColor="text1"/>
          <w:szCs w:val="28"/>
          <w:lang w:val="es-ES_tradnl"/>
        </w:rPr>
        <w:t>aquellos en que se hallan quienes sí fueron incluidos, y (b) si adoptar ese tratamiento distinto deviene necesario y proporcionado con miras a obtener un fin legítimo”</w:t>
      </w:r>
      <w:r w:rsidRPr="000C03D2">
        <w:rPr>
          <w:rFonts w:ascii="Times New Roman" w:hAnsi="Times New Roman" w:cs="Times New Roman"/>
          <w:iCs/>
          <w:color w:val="000000" w:themeColor="text1"/>
          <w:szCs w:val="28"/>
          <w:vertAlign w:val="superscript"/>
          <w:lang w:val="es-ES"/>
        </w:rPr>
        <w:footnoteReference w:id="31"/>
      </w:r>
      <w:r w:rsidRPr="000C03D2">
        <w:rPr>
          <w:rFonts w:ascii="Times New Roman" w:hAnsi="Times New Roman" w:cs="Times New Roman"/>
          <w:iCs/>
          <w:color w:val="000000" w:themeColor="text1"/>
          <w:szCs w:val="28"/>
          <w:lang w:val="es-ES"/>
        </w:rPr>
        <w:t>.</w:t>
      </w:r>
    </w:p>
    <w:p w:rsidR="00284FFC" w:rsidRPr="000C03D2" w:rsidRDefault="000C03D2" w:rsidP="00A141C2">
      <w:pPr>
        <w:pStyle w:val="Prrafodelista"/>
        <w:tabs>
          <w:tab w:val="left" w:pos="426"/>
        </w:tabs>
        <w:ind w:left="0"/>
        <w:rPr>
          <w:rFonts w:ascii="Times New Roman" w:hAnsi="Times New Roman" w:cs="Times New Roman"/>
          <w:color w:val="000000" w:themeColor="text1"/>
          <w:szCs w:val="28"/>
        </w:rPr>
      </w:pPr>
    </w:p>
    <w:p w:rsidR="00284FFC"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rPr>
      </w:pPr>
      <w:r w:rsidRPr="000C03D2">
        <w:rPr>
          <w:rFonts w:ascii="Times New Roman" w:hAnsi="Times New Roman" w:cs="Times New Roman"/>
          <w:iCs/>
          <w:color w:val="000000" w:themeColor="text1"/>
          <w:szCs w:val="28"/>
        </w:rPr>
        <w:t>Una vez se concluya que, en efecto, se configuró la omisión legislativa relativa</w:t>
      </w:r>
      <w:r w:rsidRPr="000C03D2">
        <w:rPr>
          <w:rFonts w:ascii="Times New Roman" w:hAnsi="Times New Roman" w:cs="Times New Roman"/>
          <w:iCs/>
          <w:color w:val="000000" w:themeColor="text1"/>
          <w:szCs w:val="28"/>
        </w:rPr>
        <w:t>, por</w:t>
      </w:r>
      <w:r w:rsidRPr="000C03D2">
        <w:rPr>
          <w:rFonts w:ascii="Times New Roman" w:hAnsi="Times New Roman" w:cs="Times New Roman"/>
          <w:iCs/>
          <w:color w:val="000000" w:themeColor="text1"/>
          <w:szCs w:val="28"/>
        </w:rPr>
        <w:t xml:space="preserve"> regla general, </w:t>
      </w:r>
      <w:r w:rsidRPr="000C03D2">
        <w:rPr>
          <w:rFonts w:ascii="Times New Roman" w:hAnsi="Times New Roman" w:cs="Times New Roman"/>
          <w:iCs/>
          <w:color w:val="000000" w:themeColor="text1"/>
          <w:szCs w:val="28"/>
        </w:rPr>
        <w:t>se debe</w:t>
      </w:r>
      <w:r w:rsidRPr="000C03D2">
        <w:rPr>
          <w:rFonts w:ascii="Times New Roman" w:hAnsi="Times New Roman" w:cs="Times New Roman"/>
          <w:iCs/>
          <w:color w:val="000000" w:themeColor="text1"/>
          <w:szCs w:val="28"/>
        </w:rPr>
        <w:t xml:space="preserve"> adoptar una</w:t>
      </w:r>
      <w:r w:rsidRPr="000C03D2">
        <w:rPr>
          <w:rFonts w:ascii="Times New Roman" w:hAnsi="Times New Roman" w:cs="Times New Roman"/>
          <w:iCs/>
          <w:color w:val="000000" w:themeColor="text1"/>
          <w:szCs w:val="28"/>
        </w:rPr>
        <w:t xml:space="preserve"> sentencia en la que</w:t>
      </w:r>
      <w:r w:rsidRPr="000C03D2">
        <w:rPr>
          <w:rFonts w:ascii="Times New Roman" w:hAnsi="Times New Roman" w:cs="Times New Roman"/>
          <w:iCs/>
          <w:color w:val="000000" w:themeColor="text1"/>
          <w:szCs w:val="28"/>
        </w:rPr>
        <w:t xml:space="preserve"> la Corte</w:t>
      </w:r>
      <w:r w:rsidRPr="000C03D2">
        <w:rPr>
          <w:rFonts w:ascii="Times New Roman" w:hAnsi="Times New Roman" w:cs="Times New Roman"/>
          <w:iCs/>
          <w:color w:val="000000" w:themeColor="text1"/>
          <w:szCs w:val="28"/>
        </w:rPr>
        <w:t xml:space="preserve"> “extienda las consecuencias de la norma a los supuestos excluidos de manera injustificada, es decir, (…) una sentencia integradora tipo aditiva, que mantenga en el ordenamiento el contenido q</w:t>
      </w:r>
      <w:r w:rsidRPr="000C03D2">
        <w:rPr>
          <w:rFonts w:ascii="Times New Roman" w:hAnsi="Times New Roman" w:cs="Times New Roman"/>
          <w:iCs/>
          <w:color w:val="000000" w:themeColor="text1"/>
          <w:szCs w:val="28"/>
        </w:rPr>
        <w:t>ue, en sí mismo, no resulta contrario a la Carta, pero incorporando al mismo aquel aspecto omitido, sin el cual la disposición es incompatible con la Constitución”</w:t>
      </w:r>
      <w:r w:rsidRPr="000C03D2">
        <w:rPr>
          <w:rFonts w:ascii="Times New Roman" w:hAnsi="Times New Roman" w:cs="Times New Roman"/>
          <w:iCs/>
          <w:color w:val="000000" w:themeColor="text1"/>
          <w:szCs w:val="28"/>
          <w:vertAlign w:val="superscript"/>
        </w:rPr>
        <w:footnoteReference w:id="32"/>
      </w:r>
      <w:r w:rsidRPr="000C03D2">
        <w:rPr>
          <w:rFonts w:ascii="Times New Roman" w:hAnsi="Times New Roman" w:cs="Times New Roman"/>
          <w:iCs/>
          <w:color w:val="000000" w:themeColor="text1"/>
          <w:szCs w:val="28"/>
        </w:rPr>
        <w:t xml:space="preserve">. En caso de que tal solución no sea admisible </w:t>
      </w:r>
      <w:r w:rsidRPr="000C03D2">
        <w:rPr>
          <w:rFonts w:ascii="Times New Roman" w:hAnsi="Times New Roman" w:cs="Times New Roman"/>
          <w:iCs/>
          <w:color w:val="000000" w:themeColor="text1"/>
          <w:szCs w:val="28"/>
        </w:rPr>
        <w:t>debido a</w:t>
      </w:r>
      <w:r w:rsidRPr="000C03D2">
        <w:rPr>
          <w:rFonts w:ascii="Times New Roman" w:hAnsi="Times New Roman" w:cs="Times New Roman"/>
          <w:iCs/>
          <w:color w:val="000000" w:themeColor="text1"/>
          <w:szCs w:val="28"/>
        </w:rPr>
        <w:t xml:space="preserve"> la redacción o la coherencia de la d</w:t>
      </w:r>
      <w:r w:rsidRPr="000C03D2">
        <w:rPr>
          <w:rFonts w:ascii="Times New Roman" w:hAnsi="Times New Roman" w:cs="Times New Roman"/>
          <w:iCs/>
          <w:color w:val="000000" w:themeColor="text1"/>
          <w:szCs w:val="28"/>
        </w:rPr>
        <w:t>isposición,</w:t>
      </w:r>
      <w:r w:rsidRPr="000C03D2">
        <w:rPr>
          <w:rFonts w:ascii="Times New Roman" w:hAnsi="Times New Roman" w:cs="Times New Roman"/>
          <w:iCs/>
          <w:color w:val="000000" w:themeColor="text1"/>
          <w:szCs w:val="28"/>
        </w:rPr>
        <w:t xml:space="preserve"> por ejemplo, cuando</w:t>
      </w:r>
      <w:r w:rsidRPr="000C03D2">
        <w:rPr>
          <w:rFonts w:ascii="Times New Roman" w:hAnsi="Times New Roman" w:cs="Times New Roman"/>
          <w:iCs/>
          <w:color w:val="000000" w:themeColor="text1"/>
          <w:szCs w:val="28"/>
        </w:rPr>
        <w:t xml:space="preserve"> la disposición está sujeta a la exclusión del ingrediente que se echa de menos, </w:t>
      </w:r>
      <w:r w:rsidRPr="000C03D2">
        <w:rPr>
          <w:rFonts w:ascii="Times New Roman" w:hAnsi="Times New Roman" w:cs="Times New Roman"/>
          <w:iCs/>
          <w:color w:val="000000" w:themeColor="text1"/>
          <w:szCs w:val="28"/>
        </w:rPr>
        <w:t>lo pertinente será</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 xml:space="preserve">declarar la </w:t>
      </w:r>
      <w:r w:rsidRPr="000C03D2">
        <w:rPr>
          <w:rFonts w:ascii="Times New Roman" w:hAnsi="Times New Roman" w:cs="Times New Roman"/>
          <w:iCs/>
          <w:color w:val="000000" w:themeColor="text1"/>
          <w:szCs w:val="28"/>
        </w:rPr>
        <w:t xml:space="preserve">inexequibilidad </w:t>
      </w:r>
      <w:r w:rsidRPr="000C03D2">
        <w:rPr>
          <w:rFonts w:ascii="Times New Roman" w:hAnsi="Times New Roman" w:cs="Times New Roman"/>
          <w:iCs/>
          <w:color w:val="000000" w:themeColor="text1"/>
          <w:szCs w:val="28"/>
        </w:rPr>
        <w:t>de la norma acusada</w:t>
      </w:r>
      <w:r w:rsidRPr="000C03D2">
        <w:rPr>
          <w:rFonts w:ascii="Times New Roman" w:hAnsi="Times New Roman" w:cs="Times New Roman"/>
          <w:iCs/>
          <w:color w:val="000000" w:themeColor="text1"/>
          <w:szCs w:val="28"/>
          <w:vertAlign w:val="superscript"/>
        </w:rPr>
        <w:footnoteReference w:id="33"/>
      </w:r>
      <w:r w:rsidRPr="000C03D2">
        <w:rPr>
          <w:rFonts w:ascii="Times New Roman" w:hAnsi="Times New Roman" w:cs="Times New Roman"/>
          <w:iCs/>
          <w:color w:val="000000" w:themeColor="text1"/>
          <w:szCs w:val="28"/>
        </w:rPr>
        <w:t>.</w:t>
      </w:r>
    </w:p>
    <w:p w:rsidR="00284FFC" w:rsidRPr="000C03D2" w:rsidRDefault="000C03D2" w:rsidP="00A141C2">
      <w:pPr>
        <w:tabs>
          <w:tab w:val="left" w:pos="567"/>
        </w:tabs>
        <w:rPr>
          <w:rFonts w:ascii="Times New Roman" w:hAnsi="Times New Roman" w:cs="Times New Roman"/>
          <w:color w:val="000000" w:themeColor="text1"/>
          <w:sz w:val="28"/>
        </w:rPr>
      </w:pPr>
    </w:p>
    <w:p w:rsidR="001B21F2" w:rsidRPr="000C03D2" w:rsidRDefault="000C03D2" w:rsidP="00A141C2">
      <w:pPr>
        <w:tabs>
          <w:tab w:val="left" w:pos="567"/>
        </w:tabs>
        <w:rPr>
          <w:rFonts w:ascii="Times New Roman" w:hAnsi="Times New Roman" w:cs="Times New Roman"/>
          <w:color w:val="000000" w:themeColor="text1"/>
          <w:sz w:val="28"/>
        </w:rPr>
      </w:pPr>
    </w:p>
    <w:p w:rsidR="001B21F2" w:rsidRPr="000C03D2" w:rsidRDefault="000C03D2" w:rsidP="00A141C2">
      <w:pPr>
        <w:tabs>
          <w:tab w:val="left" w:pos="567"/>
        </w:tabs>
        <w:rPr>
          <w:rFonts w:ascii="Times New Roman" w:hAnsi="Times New Roman" w:cs="Times New Roman"/>
          <w:color w:val="000000" w:themeColor="text1"/>
          <w:sz w:val="28"/>
        </w:rPr>
      </w:pPr>
    </w:p>
    <w:p w:rsidR="001B21F2" w:rsidRPr="000C03D2" w:rsidRDefault="000C03D2" w:rsidP="00A141C2">
      <w:pPr>
        <w:tabs>
          <w:tab w:val="left" w:pos="567"/>
        </w:tabs>
        <w:rPr>
          <w:rFonts w:ascii="Times New Roman" w:hAnsi="Times New Roman" w:cs="Times New Roman"/>
          <w:color w:val="000000" w:themeColor="text1"/>
          <w:sz w:val="28"/>
        </w:rPr>
      </w:pPr>
    </w:p>
    <w:p w:rsidR="00284FFC" w:rsidRPr="000C03D2" w:rsidRDefault="000C03D2" w:rsidP="00A141C2">
      <w:pPr>
        <w:pStyle w:val="Prrafodelista"/>
        <w:widowControl w:val="0"/>
        <w:numPr>
          <w:ilvl w:val="0"/>
          <w:numId w:val="4"/>
        </w:numPr>
        <w:tabs>
          <w:tab w:val="left" w:pos="426"/>
        </w:tabs>
        <w:rPr>
          <w:rFonts w:ascii="Times New Roman" w:hAnsi="Times New Roman" w:cs="Times New Roman"/>
          <w:b/>
          <w:color w:val="000000" w:themeColor="text1"/>
          <w:szCs w:val="28"/>
        </w:rPr>
      </w:pPr>
      <w:r w:rsidRPr="000C03D2">
        <w:rPr>
          <w:rFonts w:ascii="Times New Roman" w:hAnsi="Times New Roman" w:cs="Times New Roman"/>
          <w:b/>
          <w:color w:val="000000" w:themeColor="text1"/>
          <w:szCs w:val="28"/>
        </w:rPr>
        <w:t>El derecho</w:t>
      </w:r>
      <w:r w:rsidRPr="000C03D2">
        <w:rPr>
          <w:rFonts w:ascii="Times New Roman" w:hAnsi="Times New Roman" w:cs="Times New Roman"/>
          <w:b/>
          <w:color w:val="000000" w:themeColor="text1"/>
          <w:szCs w:val="28"/>
        </w:rPr>
        <w:t xml:space="preserve"> a la identidad de género</w:t>
      </w:r>
      <w:r w:rsidRPr="000C03D2">
        <w:rPr>
          <w:rStyle w:val="Refdenotaalpie"/>
          <w:rFonts w:ascii="Times New Roman" w:hAnsi="Times New Roman" w:cs="Times New Roman"/>
          <w:color w:val="000000" w:themeColor="text1"/>
          <w:szCs w:val="28"/>
        </w:rPr>
        <w:footnoteReference w:id="34"/>
      </w:r>
      <w:r w:rsidRPr="000C03D2">
        <w:rPr>
          <w:rFonts w:ascii="Times New Roman" w:hAnsi="Times New Roman" w:cs="Times New Roman"/>
          <w:color w:val="000000" w:themeColor="text1"/>
          <w:szCs w:val="28"/>
        </w:rPr>
        <w:t xml:space="preserve"> </w:t>
      </w:r>
    </w:p>
    <w:p w:rsidR="00284FFC" w:rsidRPr="000C03D2" w:rsidRDefault="000C03D2" w:rsidP="00A141C2">
      <w:pPr>
        <w:pStyle w:val="Prrafodelista"/>
        <w:widowControl w:val="0"/>
        <w:tabs>
          <w:tab w:val="left" w:pos="426"/>
        </w:tabs>
        <w:ind w:left="0"/>
        <w:rPr>
          <w:rFonts w:ascii="Times New Roman" w:hAnsi="Times New Roman" w:cs="Times New Roman"/>
          <w:color w:val="000000" w:themeColor="text1"/>
          <w:szCs w:val="28"/>
        </w:rPr>
      </w:pPr>
    </w:p>
    <w:p w:rsidR="00073225" w:rsidRPr="000C03D2" w:rsidRDefault="000C03D2" w:rsidP="00A141C2">
      <w:pPr>
        <w:pStyle w:val="Prrafodelista"/>
        <w:numPr>
          <w:ilvl w:val="0"/>
          <w:numId w:val="3"/>
        </w:numPr>
        <w:tabs>
          <w:tab w:val="left" w:pos="426"/>
          <w:tab w:val="left" w:pos="720"/>
        </w:tabs>
        <w:ind w:left="0" w:firstLine="0"/>
        <w:rPr>
          <w:rFonts w:ascii="Times New Roman" w:hAnsi="Times New Roman" w:cs="Times New Roman"/>
          <w:color w:val="000000" w:themeColor="text1"/>
        </w:rPr>
      </w:pPr>
      <w:r w:rsidRPr="000C03D2">
        <w:rPr>
          <w:rFonts w:ascii="Times New Roman" w:hAnsi="Times New Roman" w:cs="Times New Roman"/>
          <w:color w:val="000000" w:themeColor="text1"/>
        </w:rPr>
        <w:t xml:space="preserve">La Corte ha reconocido la </w:t>
      </w:r>
      <w:r w:rsidRPr="000C03D2">
        <w:rPr>
          <w:rFonts w:ascii="Times New Roman" w:hAnsi="Times New Roman" w:cs="Times New Roman"/>
          <w:color w:val="000000" w:themeColor="text1"/>
        </w:rPr>
        <w:t>identidad de género “como un derecho fundamental innominado, cuya protección se deriva, precisamente, de su conexión con el principio de dignidad humana y los derechos a la igualdad, a la intimidad y al libre desarrollo de la personalidad”</w:t>
      </w:r>
      <w:r w:rsidRPr="000C03D2">
        <w:rPr>
          <w:rStyle w:val="Refdenotaalpie"/>
          <w:rFonts w:ascii="Times New Roman" w:hAnsi="Times New Roman" w:cs="Times New Roman"/>
          <w:color w:val="000000" w:themeColor="text1"/>
        </w:rPr>
        <w:footnoteReference w:id="35"/>
      </w:r>
      <w:r w:rsidRPr="000C03D2">
        <w:rPr>
          <w:rFonts w:ascii="Times New Roman" w:hAnsi="Times New Roman" w:cs="Times New Roman"/>
          <w:color w:val="000000" w:themeColor="text1"/>
        </w:rPr>
        <w:t xml:space="preserve">. Acorde con la </w:t>
      </w:r>
      <w:r w:rsidRPr="000C03D2">
        <w:rPr>
          <w:rFonts w:ascii="Times New Roman" w:hAnsi="Times New Roman" w:cs="Times New Roman"/>
          <w:color w:val="000000" w:themeColor="text1"/>
        </w:rPr>
        <w:t xml:space="preserve">jurisprudencia </w:t>
      </w:r>
      <w:r w:rsidRPr="000C03D2">
        <w:rPr>
          <w:rFonts w:ascii="Times New Roman" w:hAnsi="Times New Roman" w:cs="Times New Roman"/>
          <w:color w:val="000000" w:themeColor="text1"/>
          <w:szCs w:val="28"/>
        </w:rPr>
        <w:t>constitucional, “e</w:t>
      </w:r>
      <w:r w:rsidRPr="000C03D2">
        <w:rPr>
          <w:rFonts w:ascii="Times New Roman" w:hAnsi="Times New Roman" w:cs="Times New Roman"/>
          <w:color w:val="000000" w:themeColor="text1"/>
          <w:szCs w:val="28"/>
          <w:shd w:val="clear" w:color="auto" w:fill="FFFFFF"/>
        </w:rPr>
        <w:t>s difícil encontrar aspectos más estrechamente relacionados con la definición ontológica de la persona que el género y la inclinación sexual. En esa medida, toda interferencia o direccionamiento sobre la identidad de género</w:t>
      </w:r>
      <w:r w:rsidRPr="000C03D2">
        <w:rPr>
          <w:rFonts w:ascii="Times New Roman" w:hAnsi="Times New Roman" w:cs="Times New Roman"/>
          <w:color w:val="000000" w:themeColor="text1"/>
          <w:szCs w:val="28"/>
          <w:shd w:val="clear" w:color="auto" w:fill="FFFFFF"/>
        </w:rPr>
        <w:t xml:space="preserve"> de un</w:t>
      </w:r>
      <w:r w:rsidRPr="000C03D2">
        <w:rPr>
          <w:rFonts w:ascii="Times New Roman" w:hAnsi="Times New Roman" w:cs="Times New Roman"/>
          <w:color w:val="000000" w:themeColor="text1"/>
          <w:szCs w:val="28"/>
          <w:shd w:val="clear" w:color="auto" w:fill="FFFFFF"/>
        </w:rPr>
        <w:t>a</w:t>
      </w:r>
      <w:r w:rsidRPr="000C03D2">
        <w:rPr>
          <w:rFonts w:ascii="Times New Roman" w:hAnsi="Times New Roman" w:cs="Times New Roman"/>
          <w:color w:val="000000" w:themeColor="text1"/>
          <w:szCs w:val="28"/>
          <w:shd w:val="clear" w:color="auto" w:fill="FFFFFF"/>
        </w:rPr>
        <w:t xml:space="preserve"> persona se considera como un grave atentado a su integridad y a su dignidad, pues le priva de la competencia para definir asuntos que solo conciernen a ella”</w:t>
      </w:r>
      <w:r w:rsidRPr="000C03D2">
        <w:rPr>
          <w:rStyle w:val="Refdenotaalpie"/>
          <w:rFonts w:ascii="Times New Roman" w:hAnsi="Times New Roman" w:cs="Times New Roman"/>
          <w:color w:val="000000" w:themeColor="text1"/>
          <w:szCs w:val="28"/>
          <w:shd w:val="clear" w:color="auto" w:fill="FFFFFF"/>
        </w:rPr>
        <w:footnoteReference w:id="36"/>
      </w:r>
      <w:r w:rsidRPr="000C03D2">
        <w:rPr>
          <w:rFonts w:ascii="Times New Roman" w:hAnsi="Times New Roman" w:cs="Times New Roman"/>
          <w:color w:val="000000" w:themeColor="text1"/>
          <w:szCs w:val="28"/>
          <w:shd w:val="clear" w:color="auto" w:fill="FFFFFF"/>
        </w:rPr>
        <w:t>.</w:t>
      </w:r>
    </w:p>
    <w:p w:rsidR="00073225" w:rsidRPr="000C03D2" w:rsidRDefault="000C03D2" w:rsidP="00A141C2">
      <w:pPr>
        <w:pStyle w:val="Prrafodelista"/>
        <w:tabs>
          <w:tab w:val="left" w:pos="426"/>
          <w:tab w:val="left" w:pos="720"/>
        </w:tabs>
        <w:ind w:left="0"/>
        <w:rPr>
          <w:rFonts w:ascii="Times New Roman" w:hAnsi="Times New Roman" w:cs="Times New Roman"/>
          <w:color w:val="000000" w:themeColor="text1"/>
        </w:rPr>
      </w:pPr>
    </w:p>
    <w:p w:rsidR="00123304" w:rsidRPr="000C03D2" w:rsidRDefault="000C03D2" w:rsidP="00A141C2">
      <w:pPr>
        <w:pStyle w:val="Prrafodelista"/>
        <w:numPr>
          <w:ilvl w:val="0"/>
          <w:numId w:val="3"/>
        </w:numPr>
        <w:tabs>
          <w:tab w:val="left" w:pos="426"/>
          <w:tab w:val="left" w:pos="720"/>
        </w:tabs>
        <w:ind w:left="0" w:firstLine="0"/>
        <w:rPr>
          <w:rFonts w:ascii="Times New Roman" w:hAnsi="Times New Roman" w:cs="Times New Roman"/>
          <w:color w:val="000000" w:themeColor="text1"/>
        </w:rPr>
      </w:pPr>
      <w:r w:rsidRPr="000C03D2">
        <w:rPr>
          <w:rFonts w:ascii="Times New Roman" w:hAnsi="Times New Roman" w:cs="Times New Roman"/>
          <w:color w:val="000000" w:themeColor="text1"/>
          <w:szCs w:val="27"/>
          <w:shd w:val="clear" w:color="auto" w:fill="FFFFFF"/>
        </w:rPr>
        <w:t xml:space="preserve">Es </w:t>
      </w:r>
      <w:r w:rsidRPr="000C03D2">
        <w:rPr>
          <w:rFonts w:ascii="Times New Roman" w:hAnsi="Times New Roman" w:cs="Times New Roman"/>
          <w:color w:val="000000" w:themeColor="text1"/>
          <w:szCs w:val="27"/>
          <w:shd w:val="clear" w:color="auto" w:fill="FFFFFF"/>
        </w:rPr>
        <w:t>por</w:t>
      </w:r>
      <w:r w:rsidRPr="000C03D2">
        <w:rPr>
          <w:rFonts w:ascii="Times New Roman" w:hAnsi="Times New Roman" w:cs="Times New Roman"/>
          <w:color w:val="000000" w:themeColor="text1"/>
          <w:szCs w:val="27"/>
          <w:shd w:val="clear" w:color="auto" w:fill="FFFFFF"/>
        </w:rPr>
        <w:t xml:space="preserve"> esta razón que</w:t>
      </w:r>
      <w:r w:rsidRPr="000C03D2">
        <w:rPr>
          <w:rFonts w:ascii="Times New Roman" w:hAnsi="Times New Roman" w:cs="Times New Roman"/>
          <w:color w:val="000000" w:themeColor="text1"/>
          <w:szCs w:val="27"/>
          <w:shd w:val="clear" w:color="auto" w:fill="FFFFFF"/>
        </w:rPr>
        <w:t xml:space="preserve"> en l</w:t>
      </w:r>
      <w:r w:rsidRPr="000C03D2">
        <w:rPr>
          <w:rFonts w:ascii="Times New Roman" w:hAnsi="Times New Roman" w:cs="Times New Roman"/>
          <w:color w:val="000000" w:themeColor="text1"/>
        </w:rPr>
        <w:t>a Sentencia SU-440 de 2021 la Corte definió el derecho fundamental a la identidad de género como aquel que “le asiste a toda persona de (i) construir y desarrollar su vivencia de género, de manera autónoma, privada y libre de injerencias y (ii) reivindicar</w:t>
      </w:r>
      <w:r w:rsidRPr="000C03D2">
        <w:rPr>
          <w:rFonts w:ascii="Times New Roman" w:hAnsi="Times New Roman" w:cs="Times New Roman"/>
          <w:color w:val="000000" w:themeColor="text1"/>
        </w:rPr>
        <w:t xml:space="preserve"> para sí la categoría identitaria que </w:t>
      </w:r>
      <w:r w:rsidRPr="000C03D2">
        <w:rPr>
          <w:rFonts w:ascii="Times New Roman" w:hAnsi="Times New Roman" w:cs="Times New Roman"/>
          <w:color w:val="000000" w:themeColor="text1"/>
          <w:szCs w:val="28"/>
        </w:rPr>
        <w:t xml:space="preserve">mejor represente su manera de concebir la expresión de tal identidad”. </w:t>
      </w:r>
      <w:r w:rsidRPr="000C03D2">
        <w:rPr>
          <w:rFonts w:ascii="Times New Roman" w:hAnsi="Times New Roman" w:cs="Times New Roman"/>
          <w:color w:val="000000" w:themeColor="text1"/>
          <w:szCs w:val="28"/>
          <w:shd w:val="clear" w:color="auto" w:fill="FFFFFF"/>
        </w:rPr>
        <w:t>Además, indicó que el ámbito de protección de este derecho está compuesto por la facultad de desarrollar la identidad de género de forma libre y au</w:t>
      </w:r>
      <w:r w:rsidRPr="000C03D2">
        <w:rPr>
          <w:rFonts w:ascii="Times New Roman" w:hAnsi="Times New Roman" w:cs="Times New Roman"/>
          <w:color w:val="000000" w:themeColor="text1"/>
          <w:szCs w:val="28"/>
          <w:shd w:val="clear" w:color="auto" w:fill="FFFFFF"/>
        </w:rPr>
        <w:t>tónoma, el derecho a la expresión del género (esto es, la forma en que esa identidad se proyecta exteriormente) y la prohibición de discriminación en razón de la identidad de género</w:t>
      </w:r>
      <w:r w:rsidRPr="000C03D2">
        <w:rPr>
          <w:rStyle w:val="Refdenotaalpie"/>
          <w:rFonts w:ascii="Times New Roman" w:hAnsi="Times New Roman" w:cs="Times New Roman"/>
          <w:color w:val="000000" w:themeColor="text1"/>
          <w:szCs w:val="28"/>
          <w:shd w:val="clear" w:color="auto" w:fill="FFFFFF"/>
        </w:rPr>
        <w:footnoteReference w:id="37"/>
      </w:r>
      <w:r w:rsidRPr="000C03D2">
        <w:rPr>
          <w:rFonts w:ascii="Times New Roman" w:hAnsi="Times New Roman" w:cs="Times New Roman"/>
          <w:color w:val="000000" w:themeColor="text1"/>
          <w:szCs w:val="28"/>
          <w:shd w:val="clear" w:color="auto" w:fill="FFFFFF"/>
        </w:rPr>
        <w:t>.</w:t>
      </w:r>
    </w:p>
    <w:p w:rsidR="009530D3" w:rsidRPr="000C03D2" w:rsidRDefault="000C03D2" w:rsidP="00A141C2">
      <w:pPr>
        <w:pStyle w:val="Prrafodelista"/>
        <w:rPr>
          <w:rFonts w:ascii="Times New Roman" w:hAnsi="Times New Roman" w:cs="Times New Roman"/>
          <w:color w:val="000000" w:themeColor="text1"/>
        </w:rPr>
      </w:pPr>
    </w:p>
    <w:p w:rsidR="009530D3" w:rsidRPr="000C03D2" w:rsidRDefault="000C03D2" w:rsidP="00A141C2">
      <w:pPr>
        <w:pStyle w:val="Prrafodelista"/>
        <w:numPr>
          <w:ilvl w:val="0"/>
          <w:numId w:val="3"/>
        </w:numPr>
        <w:tabs>
          <w:tab w:val="left" w:pos="426"/>
        </w:tabs>
        <w:ind w:left="0" w:firstLine="0"/>
        <w:rPr>
          <w:rFonts w:ascii="Times New Roman" w:hAnsi="Times New Roman" w:cs="Times New Roman"/>
          <w:iCs/>
          <w:color w:val="000000" w:themeColor="text1"/>
          <w:szCs w:val="28"/>
        </w:rPr>
      </w:pPr>
      <w:r w:rsidRPr="000C03D2">
        <w:rPr>
          <w:rFonts w:ascii="Times New Roman" w:hAnsi="Times New Roman" w:cs="Times New Roman"/>
          <w:color w:val="000000" w:themeColor="text1"/>
          <w:szCs w:val="28"/>
        </w:rPr>
        <w:t>En consecuencia</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el ámbito de protecció</w:t>
      </w:r>
      <w:bookmarkStart w:id="7" w:name="_ftnref120"/>
      <w:r w:rsidRPr="000C03D2">
        <w:rPr>
          <w:rFonts w:ascii="Times New Roman" w:hAnsi="Times New Roman" w:cs="Times New Roman"/>
          <w:color w:val="000000" w:themeColor="text1"/>
          <w:szCs w:val="28"/>
        </w:rPr>
        <w:t>n</w:t>
      </w:r>
      <w:bookmarkEnd w:id="7"/>
      <w:r w:rsidRPr="000C03D2">
        <w:rPr>
          <w:rFonts w:ascii="Times New Roman" w:hAnsi="Times New Roman" w:cs="Times New Roman"/>
          <w:color w:val="000000" w:themeColor="text1"/>
          <w:szCs w:val="28"/>
        </w:rPr>
        <w:t xml:space="preserve"> en este escenario consta, al menos, de tres posiciones jurídicas o garantías </w:t>
      </w:r>
      <w:r w:rsidRPr="000C03D2">
        <w:rPr>
          <w:rFonts w:ascii="Times New Roman" w:hAnsi="Times New Roman" w:cs="Times New Roman"/>
          <w:i/>
          <w:iCs/>
          <w:color w:val="000000" w:themeColor="text1"/>
          <w:szCs w:val="28"/>
        </w:rPr>
        <w:t>iusfundamentales</w:t>
      </w:r>
      <w:bookmarkStart w:id="8" w:name="_ftnref121"/>
      <w:r w:rsidRPr="000C03D2">
        <w:rPr>
          <w:rFonts w:ascii="Times New Roman" w:hAnsi="Times New Roman" w:cs="Times New Roman"/>
          <w:color w:val="000000" w:themeColor="text1"/>
          <w:vertAlign w:val="superscript"/>
        </w:rPr>
        <w:footnoteReference w:id="38"/>
      </w:r>
      <w:bookmarkEnd w:id="8"/>
      <w:r w:rsidRPr="000C03D2">
        <w:rPr>
          <w:rFonts w:ascii="Times New Roman" w:hAnsi="Times New Roman" w:cs="Times New Roman"/>
          <w:color w:val="000000" w:themeColor="text1"/>
          <w:szCs w:val="28"/>
        </w:rPr>
        <w:t>: </w:t>
      </w:r>
      <w:r w:rsidRPr="000C03D2">
        <w:rPr>
          <w:rFonts w:ascii="Times New Roman" w:hAnsi="Times New Roman" w:cs="Times New Roman"/>
          <w:i/>
          <w:iCs/>
          <w:color w:val="000000" w:themeColor="text1"/>
          <w:szCs w:val="28"/>
        </w:rPr>
        <w:t>(i)</w:t>
      </w:r>
      <w:r w:rsidRPr="000C03D2">
        <w:rPr>
          <w:rFonts w:ascii="Times New Roman" w:hAnsi="Times New Roman" w:cs="Times New Roman"/>
          <w:color w:val="000000" w:themeColor="text1"/>
          <w:szCs w:val="28"/>
        </w:rPr>
        <w:t> la facultad de desarrollar la identidad de forma libre y autónoma, </w:t>
      </w:r>
      <w:r w:rsidRPr="000C03D2">
        <w:rPr>
          <w:rFonts w:ascii="Times New Roman" w:hAnsi="Times New Roman" w:cs="Times New Roman"/>
          <w:i/>
          <w:iCs/>
          <w:color w:val="000000" w:themeColor="text1"/>
          <w:szCs w:val="28"/>
        </w:rPr>
        <w:t>(ii)</w:t>
      </w:r>
      <w:r w:rsidRPr="000C03D2">
        <w:rPr>
          <w:rFonts w:ascii="Times New Roman" w:hAnsi="Times New Roman" w:cs="Times New Roman"/>
          <w:color w:val="000000" w:themeColor="text1"/>
          <w:szCs w:val="28"/>
        </w:rPr>
        <w:t> el derecho a la expresión de dicha identidad y </w:t>
      </w:r>
      <w:r w:rsidRPr="000C03D2">
        <w:rPr>
          <w:rFonts w:ascii="Times New Roman" w:hAnsi="Times New Roman" w:cs="Times New Roman"/>
          <w:i/>
          <w:iCs/>
          <w:color w:val="000000" w:themeColor="text1"/>
          <w:szCs w:val="28"/>
        </w:rPr>
        <w:t>(i</w:t>
      </w:r>
      <w:r w:rsidRPr="000C03D2">
        <w:rPr>
          <w:rFonts w:ascii="Times New Roman" w:hAnsi="Times New Roman" w:cs="Times New Roman"/>
          <w:i/>
          <w:iCs/>
          <w:color w:val="000000" w:themeColor="text1"/>
          <w:szCs w:val="28"/>
        </w:rPr>
        <w:t>i</w:t>
      </w:r>
      <w:r w:rsidRPr="000C03D2">
        <w:rPr>
          <w:rFonts w:ascii="Times New Roman" w:hAnsi="Times New Roman" w:cs="Times New Roman"/>
          <w:i/>
          <w:iCs/>
          <w:color w:val="000000" w:themeColor="text1"/>
          <w:szCs w:val="28"/>
        </w:rPr>
        <w:t>i)</w:t>
      </w:r>
      <w:r w:rsidRPr="000C03D2">
        <w:rPr>
          <w:rFonts w:ascii="Times New Roman" w:hAnsi="Times New Roman" w:cs="Times New Roman"/>
          <w:color w:val="000000" w:themeColor="text1"/>
          <w:szCs w:val="28"/>
        </w:rPr>
        <w:t> la prohibición de discriminaci</w:t>
      </w:r>
      <w:r w:rsidRPr="000C03D2">
        <w:rPr>
          <w:rFonts w:ascii="Times New Roman" w:hAnsi="Times New Roman" w:cs="Times New Roman"/>
          <w:color w:val="000000" w:themeColor="text1"/>
          <w:szCs w:val="28"/>
        </w:rPr>
        <w:t xml:space="preserve">ón basada en la </w:t>
      </w:r>
      <w:bookmarkStart w:id="9" w:name="_ftnref122"/>
      <w:r w:rsidRPr="000C03D2">
        <w:rPr>
          <w:rFonts w:ascii="Times New Roman" w:hAnsi="Times New Roman" w:cs="Times New Roman"/>
          <w:color w:val="000000" w:themeColor="text1"/>
          <w:szCs w:val="28"/>
        </w:rPr>
        <w:t>misma</w:t>
      </w:r>
      <w:r w:rsidRPr="000C03D2">
        <w:rPr>
          <w:rFonts w:ascii="Times New Roman" w:hAnsi="Times New Roman" w:cs="Times New Roman"/>
          <w:color w:val="000000" w:themeColor="text1"/>
          <w:vertAlign w:val="superscript"/>
        </w:rPr>
        <w:footnoteReference w:id="39"/>
      </w:r>
      <w:bookmarkEnd w:id="9"/>
      <w:r w:rsidRPr="000C03D2">
        <w:rPr>
          <w:rFonts w:ascii="Times New Roman" w:hAnsi="Times New Roman" w:cs="Times New Roman"/>
          <w:color w:val="000000" w:themeColor="text1"/>
          <w:szCs w:val="28"/>
        </w:rPr>
        <w:t>, e</w:t>
      </w:r>
      <w:r w:rsidRPr="000C03D2">
        <w:rPr>
          <w:rFonts w:ascii="Times New Roman" w:hAnsi="Times New Roman" w:cs="Times New Roman"/>
          <w:color w:val="000000" w:themeColor="text1"/>
          <w:szCs w:val="28"/>
        </w:rPr>
        <w:t>stas tres garantías fueron sintetizadas en la Sentencia C-071 de 2025 así:</w:t>
      </w:r>
    </w:p>
    <w:p w:rsidR="009530D3" w:rsidRPr="000C03D2" w:rsidRDefault="000C03D2" w:rsidP="00A141C2">
      <w:pPr>
        <w:rPr>
          <w:rFonts w:ascii="Times New Roman" w:hAnsi="Times New Roman" w:cs="Times New Roman"/>
          <w:iCs/>
          <w:color w:val="000000" w:themeColor="text1"/>
          <w:sz w:val="28"/>
          <w:szCs w:val="28"/>
        </w:rPr>
      </w:pPr>
    </w:p>
    <w:p w:rsidR="009530D3" w:rsidRPr="000C03D2" w:rsidRDefault="000C03D2" w:rsidP="0057129C">
      <w:pPr>
        <w:ind w:left="284"/>
        <w:jc w:val="both"/>
        <w:rPr>
          <w:rFonts w:ascii="Times New Roman" w:hAnsi="Times New Roman" w:cs="Times New Roman"/>
          <w:i/>
          <w:iCs/>
          <w:color w:val="000000" w:themeColor="text1"/>
          <w:sz w:val="28"/>
        </w:rPr>
      </w:pPr>
      <w:r w:rsidRPr="000C03D2">
        <w:rPr>
          <w:rFonts w:ascii="Times New Roman" w:hAnsi="Times New Roman" w:cs="Times New Roman"/>
          <w:iCs/>
          <w:color w:val="000000" w:themeColor="text1"/>
          <w:sz w:val="28"/>
        </w:rPr>
        <w:t>(i) El desarrollo libre y autónomo de la identidad</w:t>
      </w:r>
      <w:r w:rsidRPr="000C03D2">
        <w:rPr>
          <w:rFonts w:ascii="Times New Roman" w:hAnsi="Times New Roman" w:cs="Times New Roman"/>
          <w:color w:val="000000" w:themeColor="text1"/>
          <w:sz w:val="28"/>
        </w:rPr>
        <w:t>. Este es un elemento “constitutivo y constituyente</w:t>
      </w:r>
      <w:bookmarkStart w:id="10" w:name="_ftnref123"/>
      <w:r w:rsidRPr="000C03D2">
        <w:rPr>
          <w:rFonts w:ascii="Times New Roman" w:hAnsi="Times New Roman" w:cs="Times New Roman"/>
          <w:color w:val="000000" w:themeColor="text1"/>
          <w:sz w:val="28"/>
        </w:rPr>
        <w:t>”</w:t>
      </w:r>
      <w:r w:rsidRPr="000C03D2">
        <w:rPr>
          <w:rFonts w:ascii="Times New Roman" w:hAnsi="Times New Roman" w:cs="Times New Roman"/>
          <w:color w:val="000000" w:themeColor="text1"/>
          <w:sz w:val="28"/>
          <w:vertAlign w:val="superscript"/>
        </w:rPr>
        <w:footnoteReference w:id="40"/>
      </w:r>
      <w:bookmarkEnd w:id="10"/>
      <w:r w:rsidRPr="000C03D2">
        <w:rPr>
          <w:rFonts w:ascii="Times New Roman" w:hAnsi="Times New Roman" w:cs="Times New Roman"/>
          <w:color w:val="000000" w:themeColor="text1"/>
          <w:sz w:val="28"/>
        </w:rPr>
        <w:t xml:space="preserve"> de la definición del plan de vida de las personas</w:t>
      </w:r>
      <w:bookmarkStart w:id="11" w:name="_ftnref124"/>
      <w:r w:rsidRPr="000C03D2">
        <w:rPr>
          <w:rFonts w:ascii="Times New Roman" w:hAnsi="Times New Roman" w:cs="Times New Roman"/>
          <w:color w:val="000000" w:themeColor="text1"/>
          <w:sz w:val="28"/>
          <w:vertAlign w:val="superscript"/>
        </w:rPr>
        <w:footnoteReference w:id="41"/>
      </w:r>
      <w:bookmarkEnd w:id="11"/>
      <w:r w:rsidRPr="000C03D2">
        <w:rPr>
          <w:rFonts w:ascii="Times New Roman" w:hAnsi="Times New Roman" w:cs="Times New Roman"/>
          <w:color w:val="000000" w:themeColor="text1"/>
          <w:sz w:val="28"/>
        </w:rPr>
        <w:t>.</w:t>
      </w:r>
      <w:r w:rsidRPr="000C03D2">
        <w:rPr>
          <w:rFonts w:ascii="Times New Roman" w:hAnsi="Times New Roman" w:cs="Times New Roman"/>
          <w:color w:val="000000" w:themeColor="text1"/>
          <w:sz w:val="28"/>
        </w:rPr>
        <w:t xml:space="preserve"> En tales términos, la facultad de construir y desarrollar de manera autónoma dicha identidad es una manifestación esencial de la libertad que reconoce la individualidad del ser humano</w:t>
      </w:r>
      <w:bookmarkStart w:id="12" w:name="_ftnref126"/>
      <w:r w:rsidRPr="000C03D2">
        <w:rPr>
          <w:rFonts w:ascii="Times New Roman" w:hAnsi="Times New Roman" w:cs="Times New Roman"/>
          <w:color w:val="000000" w:themeColor="text1"/>
          <w:sz w:val="28"/>
          <w:vertAlign w:val="superscript"/>
        </w:rPr>
        <w:footnoteReference w:id="42"/>
      </w:r>
      <w:bookmarkEnd w:id="12"/>
      <w:r w:rsidRPr="000C03D2">
        <w:rPr>
          <w:rFonts w:ascii="Times New Roman" w:hAnsi="Times New Roman" w:cs="Times New Roman"/>
          <w:color w:val="000000" w:themeColor="text1"/>
          <w:sz w:val="28"/>
        </w:rPr>
        <w:t xml:space="preserve"> como sujeto moral con capacidad plena para autodeterminarse, autoposee</w:t>
      </w:r>
      <w:r w:rsidRPr="000C03D2">
        <w:rPr>
          <w:rFonts w:ascii="Times New Roman" w:hAnsi="Times New Roman" w:cs="Times New Roman"/>
          <w:color w:val="000000" w:themeColor="text1"/>
          <w:sz w:val="28"/>
        </w:rPr>
        <w:t>rse y autogobernarse</w:t>
      </w:r>
      <w:bookmarkStart w:id="13" w:name="_ftnref127"/>
      <w:r w:rsidRPr="000C03D2">
        <w:rPr>
          <w:rFonts w:ascii="Times New Roman" w:hAnsi="Times New Roman" w:cs="Times New Roman"/>
          <w:color w:val="000000" w:themeColor="text1"/>
          <w:sz w:val="28"/>
        </w:rPr>
        <w:t>,</w:t>
      </w:r>
      <w:r w:rsidRPr="000C03D2">
        <w:rPr>
          <w:rFonts w:ascii="Times New Roman" w:hAnsi="Times New Roman" w:cs="Times New Roman"/>
          <w:color w:val="000000" w:themeColor="text1"/>
          <w:sz w:val="28"/>
          <w:vertAlign w:val="superscript"/>
        </w:rPr>
        <w:footnoteReference w:id="43"/>
      </w:r>
      <w:bookmarkEnd w:id="13"/>
      <w:r w:rsidRPr="000C03D2">
        <w:rPr>
          <w:rFonts w:ascii="Times New Roman" w:hAnsi="Times New Roman" w:cs="Times New Roman"/>
          <w:color w:val="000000" w:themeColor="text1"/>
          <w:sz w:val="28"/>
        </w:rPr>
        <w:t xml:space="preserve"> conforme a sus propios intereses y convicciones</w:t>
      </w:r>
      <w:bookmarkStart w:id="14" w:name="_ftnref128"/>
      <w:r w:rsidRPr="000C03D2">
        <w:rPr>
          <w:rFonts w:ascii="Times New Roman" w:hAnsi="Times New Roman" w:cs="Times New Roman"/>
          <w:color w:val="000000" w:themeColor="text1"/>
          <w:sz w:val="28"/>
          <w:vertAlign w:val="superscript"/>
        </w:rPr>
        <w:footnoteReference w:id="44"/>
      </w:r>
      <w:bookmarkEnd w:id="14"/>
      <w:r w:rsidRPr="000C03D2">
        <w:rPr>
          <w:rFonts w:ascii="Times New Roman" w:hAnsi="Times New Roman" w:cs="Times New Roman"/>
          <w:color w:val="000000" w:themeColor="text1"/>
          <w:sz w:val="28"/>
        </w:rPr>
        <w:t xml:space="preserve"> y sin que implique la afectación de derechos de terceros. Asimismo, está directamente relacionada con el derecho a la intimidad, dado que su construcción y desarrollo tiene una natural</w:t>
      </w:r>
      <w:r w:rsidRPr="000C03D2">
        <w:rPr>
          <w:rFonts w:ascii="Times New Roman" w:hAnsi="Times New Roman" w:cs="Times New Roman"/>
          <w:color w:val="000000" w:themeColor="text1"/>
          <w:sz w:val="28"/>
        </w:rPr>
        <w:t xml:space="preserve">eza profundamente </w:t>
      </w:r>
      <w:bookmarkStart w:id="15" w:name="_ftnref129"/>
      <w:r w:rsidRPr="000C03D2">
        <w:rPr>
          <w:rFonts w:ascii="Times New Roman" w:hAnsi="Times New Roman" w:cs="Times New Roman"/>
          <w:color w:val="000000" w:themeColor="text1"/>
          <w:sz w:val="28"/>
        </w:rPr>
        <w:t>definitoria del ser</w:t>
      </w:r>
      <w:r w:rsidRPr="000C03D2">
        <w:rPr>
          <w:rFonts w:ascii="Times New Roman" w:hAnsi="Times New Roman" w:cs="Times New Roman"/>
          <w:color w:val="000000" w:themeColor="text1"/>
          <w:sz w:val="28"/>
          <w:vertAlign w:val="superscript"/>
        </w:rPr>
        <w:footnoteReference w:id="45"/>
      </w:r>
      <w:bookmarkEnd w:id="15"/>
      <w:r w:rsidRPr="000C03D2">
        <w:rPr>
          <w:rFonts w:ascii="Times New Roman" w:hAnsi="Times New Roman" w:cs="Times New Roman"/>
          <w:color w:val="000000" w:themeColor="text1"/>
          <w:sz w:val="28"/>
        </w:rPr>
        <w:t xml:space="preserve"> y es un aspecto que forma parte de la vida privada de </w:t>
      </w:r>
      <w:bookmarkStart w:id="16" w:name="_ftnref130"/>
      <w:r w:rsidRPr="000C03D2">
        <w:rPr>
          <w:rFonts w:ascii="Times New Roman" w:hAnsi="Times New Roman" w:cs="Times New Roman"/>
          <w:color w:val="000000" w:themeColor="text1"/>
          <w:sz w:val="28"/>
        </w:rPr>
        <w:t>las personas</w:t>
      </w:r>
      <w:r w:rsidRPr="000C03D2">
        <w:rPr>
          <w:rFonts w:ascii="Times New Roman" w:hAnsi="Times New Roman" w:cs="Times New Roman"/>
          <w:color w:val="000000" w:themeColor="text1"/>
          <w:sz w:val="28"/>
          <w:vertAlign w:val="superscript"/>
        </w:rPr>
        <w:footnoteReference w:id="46"/>
      </w:r>
      <w:bookmarkEnd w:id="16"/>
      <w:r w:rsidRPr="000C03D2">
        <w:rPr>
          <w:rFonts w:ascii="Times New Roman" w:hAnsi="Times New Roman" w:cs="Times New Roman"/>
          <w:color w:val="000000" w:themeColor="text1"/>
          <w:sz w:val="28"/>
        </w:rPr>
        <w:t>. Por esta razón, la Constitución prohíbe la imposición de barreras al reconocimiento y desarrollo de dichas experiencias de vida, lo cual implica, de</w:t>
      </w:r>
      <w:r w:rsidRPr="000C03D2">
        <w:rPr>
          <w:rFonts w:ascii="Times New Roman" w:hAnsi="Times New Roman" w:cs="Times New Roman"/>
          <w:color w:val="000000" w:themeColor="text1"/>
          <w:sz w:val="28"/>
        </w:rPr>
        <w:t xml:space="preserve"> un lado, que no es un objetivo social legítimo que al individuo se le impongan cargas derivadas de ideas preconcebidas sobre los roles</w:t>
      </w:r>
      <w:bookmarkStart w:id="17" w:name="_ftnref132"/>
      <w:r w:rsidRPr="000C03D2">
        <w:rPr>
          <w:rFonts w:ascii="Times New Roman" w:hAnsi="Times New Roman" w:cs="Times New Roman"/>
          <w:color w:val="000000" w:themeColor="text1"/>
          <w:sz w:val="28"/>
        </w:rPr>
        <w:t xml:space="preserve"> de género</w:t>
      </w:r>
      <w:r w:rsidRPr="000C03D2">
        <w:rPr>
          <w:rFonts w:ascii="Times New Roman" w:hAnsi="Times New Roman" w:cs="Times New Roman"/>
          <w:color w:val="000000" w:themeColor="text1"/>
          <w:sz w:val="28"/>
          <w:vertAlign w:val="superscript"/>
        </w:rPr>
        <w:footnoteReference w:id="47"/>
      </w:r>
      <w:bookmarkEnd w:id="17"/>
      <w:r w:rsidRPr="000C03D2">
        <w:rPr>
          <w:rFonts w:ascii="Times New Roman" w:hAnsi="Times New Roman" w:cs="Times New Roman"/>
          <w:color w:val="000000" w:themeColor="text1"/>
          <w:sz w:val="28"/>
        </w:rPr>
        <w:t xml:space="preserve">. De otro, que el Estado y los particulares deben abstenerse de llevar a cabo cualquier acción que interfiera </w:t>
      </w:r>
      <w:r w:rsidRPr="000C03D2">
        <w:rPr>
          <w:rFonts w:ascii="Times New Roman" w:hAnsi="Times New Roman" w:cs="Times New Roman"/>
          <w:color w:val="000000" w:themeColor="text1"/>
          <w:sz w:val="28"/>
        </w:rPr>
        <w:t>o direccione</w:t>
      </w:r>
      <w:bookmarkStart w:id="18" w:name="_ftnref133"/>
      <w:r w:rsidRPr="000C03D2">
        <w:rPr>
          <w:rFonts w:ascii="Times New Roman" w:hAnsi="Times New Roman" w:cs="Times New Roman"/>
          <w:color w:val="000000" w:themeColor="text1"/>
          <w:sz w:val="28"/>
          <w:vertAlign w:val="superscript"/>
        </w:rPr>
        <w:footnoteReference w:id="48"/>
      </w:r>
      <w:bookmarkEnd w:id="18"/>
      <w:r w:rsidRPr="000C03D2">
        <w:rPr>
          <w:rFonts w:ascii="Times New Roman" w:hAnsi="Times New Roman" w:cs="Times New Roman"/>
          <w:color w:val="000000" w:themeColor="text1"/>
          <w:sz w:val="28"/>
        </w:rPr>
        <w:t xml:space="preserve"> la definición personal, privada y libre de dicha identidad</w:t>
      </w:r>
      <w:r w:rsidRPr="000C03D2">
        <w:rPr>
          <w:rFonts w:ascii="Times New Roman" w:hAnsi="Times New Roman" w:cs="Times New Roman"/>
          <w:color w:val="000000" w:themeColor="text1"/>
          <w:sz w:val="28"/>
          <w:vertAlign w:val="superscript"/>
        </w:rPr>
        <w:footnoteReference w:id="49"/>
      </w:r>
      <w:r w:rsidRPr="000C03D2">
        <w:rPr>
          <w:rFonts w:ascii="Times New Roman" w:hAnsi="Times New Roman" w:cs="Times New Roman"/>
          <w:color w:val="000000" w:themeColor="text1"/>
          <w:sz w:val="28"/>
        </w:rPr>
        <w:t>.</w:t>
      </w:r>
    </w:p>
    <w:p w:rsidR="009530D3" w:rsidRPr="000C03D2" w:rsidRDefault="000C03D2" w:rsidP="0057129C">
      <w:pPr>
        <w:tabs>
          <w:tab w:val="left" w:pos="426"/>
        </w:tabs>
        <w:ind w:left="284" w:right="48"/>
        <w:jc w:val="both"/>
        <w:rPr>
          <w:rFonts w:ascii="Times New Roman" w:hAnsi="Times New Roman" w:cs="Times New Roman"/>
          <w:color w:val="000000" w:themeColor="text1"/>
          <w:sz w:val="28"/>
        </w:rPr>
      </w:pPr>
    </w:p>
    <w:p w:rsidR="009530D3" w:rsidRPr="000C03D2" w:rsidRDefault="000C03D2" w:rsidP="0057129C">
      <w:pPr>
        <w:tabs>
          <w:tab w:val="left" w:pos="426"/>
        </w:tabs>
        <w:ind w:left="284" w:right="48"/>
        <w:jc w:val="both"/>
        <w:rPr>
          <w:rFonts w:ascii="Times New Roman" w:hAnsi="Times New Roman" w:cs="Times New Roman"/>
          <w:color w:val="000000" w:themeColor="text1"/>
          <w:sz w:val="28"/>
        </w:rPr>
      </w:pPr>
      <w:r w:rsidRPr="000C03D2">
        <w:rPr>
          <w:rFonts w:ascii="Times New Roman" w:hAnsi="Times New Roman" w:cs="Times New Roman"/>
          <w:iCs/>
          <w:color w:val="000000" w:themeColor="text1"/>
          <w:sz w:val="28"/>
        </w:rPr>
        <w:t>(ii) El derecho a la expresión de la identidad</w:t>
      </w:r>
      <w:r w:rsidRPr="000C03D2">
        <w:rPr>
          <w:rFonts w:ascii="Times New Roman" w:hAnsi="Times New Roman" w:cs="Times New Roman"/>
          <w:color w:val="000000" w:themeColor="text1"/>
          <w:sz w:val="28"/>
          <w:vertAlign w:val="superscript"/>
        </w:rPr>
        <w:footnoteReference w:id="50"/>
      </w:r>
      <w:r w:rsidRPr="000C03D2">
        <w:rPr>
          <w:rFonts w:ascii="Times New Roman" w:hAnsi="Times New Roman" w:cs="Times New Roman"/>
          <w:i/>
          <w:iCs/>
          <w:color w:val="000000" w:themeColor="text1"/>
          <w:sz w:val="28"/>
        </w:rPr>
        <w:t>.</w:t>
      </w:r>
      <w:r w:rsidRPr="000C03D2">
        <w:rPr>
          <w:rFonts w:ascii="Times New Roman" w:hAnsi="Times New Roman" w:cs="Times New Roman"/>
          <w:color w:val="000000" w:themeColor="text1"/>
          <w:sz w:val="28"/>
        </w:rPr>
        <w:t xml:space="preserve"> La Constitución protege la expresión de la identidad</w:t>
      </w:r>
      <w:r w:rsidRPr="000C03D2">
        <w:rPr>
          <w:rFonts w:ascii="Times New Roman" w:hAnsi="Times New Roman" w:cs="Times New Roman"/>
          <w:color w:val="000000" w:themeColor="text1"/>
          <w:sz w:val="28"/>
          <w:vertAlign w:val="superscript"/>
        </w:rPr>
        <w:footnoteReference w:id="51"/>
      </w:r>
      <w:r w:rsidRPr="000C03D2">
        <w:rPr>
          <w:rFonts w:ascii="Times New Roman" w:hAnsi="Times New Roman" w:cs="Times New Roman"/>
          <w:color w:val="000000" w:themeColor="text1"/>
          <w:sz w:val="28"/>
        </w:rPr>
        <w:t>, esto es, la manera en que cada individuo se proyecta en la sociedad</w:t>
      </w:r>
      <w:bookmarkStart w:id="19" w:name="_ftnref137"/>
      <w:r w:rsidRPr="000C03D2">
        <w:rPr>
          <w:rFonts w:ascii="Times New Roman" w:hAnsi="Times New Roman" w:cs="Times New Roman"/>
          <w:color w:val="000000" w:themeColor="text1"/>
          <w:sz w:val="28"/>
          <w:vertAlign w:val="superscript"/>
        </w:rPr>
        <w:footnoteReference w:id="52"/>
      </w:r>
      <w:bookmarkEnd w:id="19"/>
      <w:r w:rsidRPr="000C03D2">
        <w:rPr>
          <w:rFonts w:ascii="Times New Roman" w:hAnsi="Times New Roman" w:cs="Times New Roman"/>
          <w:color w:val="000000" w:themeColor="text1"/>
          <w:sz w:val="28"/>
        </w:rPr>
        <w:t>, la cua</w:t>
      </w:r>
      <w:r w:rsidRPr="000C03D2">
        <w:rPr>
          <w:rFonts w:ascii="Times New Roman" w:hAnsi="Times New Roman" w:cs="Times New Roman"/>
          <w:color w:val="000000" w:themeColor="text1"/>
          <w:sz w:val="28"/>
        </w:rPr>
        <w:t xml:space="preserve">l puede o no corresponder </w:t>
      </w:r>
      <w:bookmarkStart w:id="20" w:name="_ftnref138"/>
      <w:r w:rsidRPr="000C03D2">
        <w:rPr>
          <w:rFonts w:ascii="Times New Roman" w:hAnsi="Times New Roman" w:cs="Times New Roman"/>
          <w:color w:val="000000" w:themeColor="text1"/>
          <w:sz w:val="28"/>
        </w:rPr>
        <w:t>con el sexo asignado al momento del nacimiento</w:t>
      </w:r>
      <w:r w:rsidRPr="000C03D2">
        <w:rPr>
          <w:rFonts w:ascii="Times New Roman" w:hAnsi="Times New Roman" w:cs="Times New Roman"/>
          <w:color w:val="000000" w:themeColor="text1"/>
          <w:sz w:val="28"/>
          <w:vertAlign w:val="superscript"/>
        </w:rPr>
        <w:footnoteReference w:id="53"/>
      </w:r>
      <w:bookmarkEnd w:id="20"/>
      <w:r w:rsidRPr="000C03D2">
        <w:rPr>
          <w:rFonts w:ascii="Times New Roman" w:hAnsi="Times New Roman" w:cs="Times New Roman"/>
          <w:color w:val="000000" w:themeColor="text1"/>
          <w:sz w:val="28"/>
        </w:rPr>
        <w:t>. Esta garantía no sólo salvaguarda la construcción identitaria de las personas y su vivencia íntima y personal, sino también comprende la facultad de cada persona de “proyectarse lib</w:t>
      </w:r>
      <w:r w:rsidRPr="000C03D2">
        <w:rPr>
          <w:rFonts w:ascii="Times New Roman" w:hAnsi="Times New Roman" w:cs="Times New Roman"/>
          <w:color w:val="000000" w:themeColor="text1"/>
          <w:sz w:val="28"/>
        </w:rPr>
        <w:t>remente hacia los demás”</w:t>
      </w:r>
      <w:r w:rsidRPr="000C03D2">
        <w:rPr>
          <w:rFonts w:ascii="Times New Roman" w:hAnsi="Times New Roman" w:cs="Times New Roman"/>
          <w:color w:val="000000" w:themeColor="text1"/>
          <w:sz w:val="28"/>
          <w:vertAlign w:val="superscript"/>
        </w:rPr>
        <w:footnoteReference w:id="54"/>
      </w:r>
      <w:r w:rsidRPr="000C03D2">
        <w:rPr>
          <w:rFonts w:ascii="Times New Roman" w:hAnsi="Times New Roman" w:cs="Times New Roman"/>
          <w:color w:val="000000" w:themeColor="text1"/>
          <w:sz w:val="28"/>
        </w:rPr>
        <w:t>, mediante expresiones sociales tales como la vestimenta, el modo de hablar, los modales y las formas de interacción social</w:t>
      </w:r>
      <w:bookmarkStart w:id="21" w:name="_ftnref140"/>
      <w:r w:rsidRPr="000C03D2">
        <w:rPr>
          <w:rFonts w:ascii="Times New Roman" w:hAnsi="Times New Roman" w:cs="Times New Roman"/>
          <w:color w:val="000000" w:themeColor="text1"/>
          <w:sz w:val="28"/>
          <w:vertAlign w:val="superscript"/>
        </w:rPr>
        <w:footnoteReference w:id="55"/>
      </w:r>
      <w:bookmarkEnd w:id="21"/>
      <w:r w:rsidRPr="000C03D2">
        <w:rPr>
          <w:rFonts w:ascii="Times New Roman" w:hAnsi="Times New Roman" w:cs="Times New Roman"/>
          <w:color w:val="000000" w:themeColor="text1"/>
          <w:sz w:val="28"/>
        </w:rPr>
        <w:t>. En tales términos, la manifestación pública de la identidad “no puede ser objeto de invisibilización o re</w:t>
      </w:r>
      <w:r w:rsidRPr="000C03D2">
        <w:rPr>
          <w:rFonts w:ascii="Times New Roman" w:hAnsi="Times New Roman" w:cs="Times New Roman"/>
          <w:color w:val="000000" w:themeColor="text1"/>
          <w:sz w:val="28"/>
        </w:rPr>
        <w:t>proche</w:t>
      </w:r>
      <w:bookmarkStart w:id="22" w:name="_ftnref141"/>
      <w:r w:rsidRPr="000C03D2">
        <w:rPr>
          <w:rFonts w:ascii="Times New Roman" w:hAnsi="Times New Roman" w:cs="Times New Roman"/>
          <w:color w:val="000000" w:themeColor="text1"/>
          <w:sz w:val="28"/>
        </w:rPr>
        <w:t>”</w:t>
      </w:r>
      <w:r w:rsidRPr="000C03D2">
        <w:rPr>
          <w:rFonts w:ascii="Times New Roman" w:hAnsi="Times New Roman" w:cs="Times New Roman"/>
          <w:color w:val="000000" w:themeColor="text1"/>
          <w:sz w:val="28"/>
          <w:vertAlign w:val="superscript"/>
        </w:rPr>
        <w:footnoteReference w:id="56"/>
      </w:r>
      <w:bookmarkEnd w:id="22"/>
      <w:r w:rsidRPr="000C03D2">
        <w:rPr>
          <w:rFonts w:ascii="Times New Roman" w:hAnsi="Times New Roman" w:cs="Times New Roman"/>
          <w:color w:val="000000" w:themeColor="text1"/>
          <w:sz w:val="28"/>
        </w:rPr>
        <w:t>. De igual forma, impone a la sociedad y al Estado el deber de responder a esa concepción autorreferente de la persona</w:t>
      </w:r>
      <w:r w:rsidRPr="000C03D2">
        <w:rPr>
          <w:rFonts w:ascii="Times New Roman" w:hAnsi="Times New Roman" w:cs="Times New Roman"/>
          <w:color w:val="000000" w:themeColor="text1"/>
          <w:sz w:val="28"/>
          <w:vertAlign w:val="superscript"/>
        </w:rPr>
        <w:footnoteReference w:id="57"/>
      </w:r>
      <w:r w:rsidRPr="000C03D2">
        <w:rPr>
          <w:rFonts w:ascii="Times New Roman" w:hAnsi="Times New Roman" w:cs="Times New Roman"/>
          <w:color w:val="000000" w:themeColor="text1"/>
          <w:sz w:val="28"/>
        </w:rPr>
        <w:t> y tratarla de un modo congruente y respetuoso de la visión que tiene de sí misma</w:t>
      </w:r>
      <w:r w:rsidRPr="000C03D2">
        <w:rPr>
          <w:rFonts w:ascii="Times New Roman" w:hAnsi="Times New Roman" w:cs="Times New Roman"/>
          <w:color w:val="000000" w:themeColor="text1"/>
          <w:sz w:val="28"/>
          <w:vertAlign w:val="superscript"/>
        </w:rPr>
        <w:footnoteReference w:id="58"/>
      </w:r>
      <w:r w:rsidRPr="000C03D2">
        <w:rPr>
          <w:rFonts w:ascii="Times New Roman" w:hAnsi="Times New Roman" w:cs="Times New Roman"/>
          <w:color w:val="000000" w:themeColor="text1"/>
          <w:sz w:val="28"/>
        </w:rPr>
        <w:t>.</w:t>
      </w:r>
    </w:p>
    <w:p w:rsidR="009530D3" w:rsidRPr="000C03D2" w:rsidRDefault="000C03D2" w:rsidP="0057129C">
      <w:pPr>
        <w:tabs>
          <w:tab w:val="left" w:pos="426"/>
        </w:tabs>
        <w:ind w:left="284" w:right="48"/>
        <w:jc w:val="both"/>
        <w:rPr>
          <w:rFonts w:ascii="Times New Roman" w:hAnsi="Times New Roman" w:cs="Times New Roman"/>
          <w:color w:val="000000" w:themeColor="text1"/>
          <w:sz w:val="28"/>
        </w:rPr>
      </w:pPr>
    </w:p>
    <w:p w:rsidR="009530D3" w:rsidRPr="000C03D2" w:rsidRDefault="000C03D2" w:rsidP="0057129C">
      <w:pPr>
        <w:tabs>
          <w:tab w:val="left" w:pos="426"/>
        </w:tabs>
        <w:ind w:left="284" w:right="48"/>
        <w:jc w:val="both"/>
        <w:rPr>
          <w:rFonts w:ascii="Times New Roman" w:hAnsi="Times New Roman" w:cs="Times New Roman"/>
          <w:color w:val="000000" w:themeColor="text1"/>
          <w:sz w:val="28"/>
          <w:shd w:val="clear" w:color="auto" w:fill="FFFFFF"/>
        </w:rPr>
      </w:pPr>
      <w:r w:rsidRPr="000C03D2">
        <w:rPr>
          <w:rFonts w:ascii="Times New Roman" w:hAnsi="Times New Roman" w:cs="Times New Roman"/>
          <w:iCs/>
          <w:color w:val="000000" w:themeColor="text1"/>
          <w:sz w:val="28"/>
        </w:rPr>
        <w:t xml:space="preserve">(iii) Prohibición de discriminación. </w:t>
      </w:r>
      <w:r w:rsidRPr="000C03D2">
        <w:rPr>
          <w:rFonts w:ascii="Times New Roman" w:hAnsi="Times New Roman" w:cs="Times New Roman"/>
          <w:color w:val="000000" w:themeColor="text1"/>
          <w:sz w:val="28"/>
          <w:shd w:val="clear" w:color="auto" w:fill="FFFFFF"/>
        </w:rPr>
        <w:t>Dicha p</w:t>
      </w:r>
      <w:r w:rsidRPr="000C03D2">
        <w:rPr>
          <w:rFonts w:ascii="Times New Roman" w:hAnsi="Times New Roman" w:cs="Times New Roman"/>
          <w:color w:val="000000" w:themeColor="text1"/>
          <w:sz w:val="28"/>
          <w:shd w:val="clear" w:color="auto" w:fill="FFFFFF"/>
        </w:rPr>
        <w:t>rotección cualificada supone, entre otros factores, que el Estado tiene un “deber cualificado de conducta</w:t>
      </w:r>
      <w:bookmarkStart w:id="23" w:name="_ftnref198"/>
      <w:r w:rsidRPr="000C03D2">
        <w:rPr>
          <w:rFonts w:ascii="Times New Roman" w:hAnsi="Times New Roman" w:cs="Times New Roman"/>
          <w:color w:val="000000" w:themeColor="text1"/>
          <w:sz w:val="28"/>
          <w:shd w:val="clear" w:color="auto" w:fill="FFFFFF"/>
        </w:rPr>
        <w:t>”</w:t>
      </w:r>
      <w:r w:rsidRPr="000C03D2">
        <w:rPr>
          <w:rFonts w:ascii="Times New Roman" w:hAnsi="Times New Roman" w:cs="Times New Roman"/>
          <w:color w:val="000000" w:themeColor="text1"/>
          <w:sz w:val="28"/>
          <w:shd w:val="clear" w:color="auto" w:fill="FFFFFF"/>
          <w:vertAlign w:val="superscript"/>
        </w:rPr>
        <w:footnoteReference w:id="59"/>
      </w:r>
      <w:bookmarkEnd w:id="23"/>
      <w:r w:rsidRPr="000C03D2">
        <w:rPr>
          <w:rFonts w:ascii="Times New Roman" w:hAnsi="Times New Roman" w:cs="Times New Roman"/>
          <w:color w:val="000000" w:themeColor="text1"/>
          <w:sz w:val="28"/>
          <w:shd w:val="clear" w:color="auto" w:fill="FFFFFF"/>
        </w:rPr>
        <w:t xml:space="preserve"> que le impone adoptar medidas afirmativas encaminadas a (a) erradicar las leyes y prácticas discriminatorias que afecten jurídicamente</w:t>
      </w:r>
      <w:r w:rsidRPr="000C03D2">
        <w:rPr>
          <w:rFonts w:ascii="Times New Roman" w:hAnsi="Times New Roman" w:cs="Times New Roman"/>
          <w:i/>
          <w:iCs/>
          <w:color w:val="000000" w:themeColor="text1"/>
          <w:sz w:val="28"/>
          <w:shd w:val="clear" w:color="auto" w:fill="FFFFFF"/>
        </w:rPr>
        <w:t xml:space="preserve"> </w:t>
      </w:r>
      <w:r w:rsidRPr="000C03D2">
        <w:rPr>
          <w:rFonts w:ascii="Times New Roman" w:hAnsi="Times New Roman" w:cs="Times New Roman"/>
          <w:color w:val="000000" w:themeColor="text1"/>
          <w:sz w:val="28"/>
          <w:shd w:val="clear" w:color="auto" w:fill="FFFFFF"/>
        </w:rPr>
        <w:t>o de facto</w:t>
      </w:r>
      <w:bookmarkStart w:id="24" w:name="_ftnref199"/>
      <w:r w:rsidRPr="000C03D2">
        <w:rPr>
          <w:rFonts w:ascii="Times New Roman" w:hAnsi="Times New Roman" w:cs="Times New Roman"/>
          <w:color w:val="000000" w:themeColor="text1"/>
          <w:sz w:val="28"/>
          <w:shd w:val="clear" w:color="auto" w:fill="FFFFFF"/>
          <w:vertAlign w:val="superscript"/>
        </w:rPr>
        <w:footnoteReference w:id="60"/>
      </w:r>
      <w:bookmarkEnd w:id="24"/>
      <w:r w:rsidRPr="000C03D2">
        <w:rPr>
          <w:rFonts w:ascii="Times New Roman" w:hAnsi="Times New Roman" w:cs="Times New Roman"/>
          <w:color w:val="000000" w:themeColor="text1"/>
          <w:sz w:val="28"/>
          <w:shd w:val="clear" w:color="auto" w:fill="FFFFFF"/>
        </w:rPr>
        <w:t xml:space="preserve"> e</w:t>
      </w:r>
      <w:r w:rsidRPr="000C03D2">
        <w:rPr>
          <w:rFonts w:ascii="Times New Roman" w:hAnsi="Times New Roman" w:cs="Times New Roman"/>
          <w:color w:val="000000" w:themeColor="text1"/>
          <w:sz w:val="28"/>
          <w:shd w:val="clear" w:color="auto" w:fill="FFFFFF"/>
        </w:rPr>
        <w:t xml:space="preserve">l desarrollo autónomo de otras formas de identidad. En tal sentido, el Estado debe proteger estas de conformidad con el principio de igualdad en todas las dimensiones; (b) fomentar la libre expresión de las identidades en los ámbitos sociales, académicos, </w:t>
      </w:r>
      <w:r w:rsidRPr="000C03D2">
        <w:rPr>
          <w:rFonts w:ascii="Times New Roman" w:hAnsi="Times New Roman" w:cs="Times New Roman"/>
          <w:color w:val="000000" w:themeColor="text1"/>
          <w:sz w:val="28"/>
          <w:shd w:val="clear" w:color="auto" w:fill="FFFFFF"/>
        </w:rPr>
        <w:t>laborales, gubernamentales y culturales; (c) transformar los patrones de menosprecio y violencia física y simbólica que han operado en contra de poblaciones discriminadas a lo largo de la historia</w:t>
      </w:r>
      <w:r w:rsidRPr="000C03D2">
        <w:rPr>
          <w:rFonts w:ascii="Times New Roman" w:hAnsi="Times New Roman" w:cs="Times New Roman"/>
          <w:color w:val="000000" w:themeColor="text1"/>
          <w:sz w:val="28"/>
          <w:shd w:val="clear" w:color="auto" w:fill="FFFFFF"/>
          <w:vertAlign w:val="superscript"/>
        </w:rPr>
        <w:footnoteReference w:id="61"/>
      </w:r>
      <w:r w:rsidRPr="000C03D2">
        <w:rPr>
          <w:rFonts w:ascii="Times New Roman" w:hAnsi="Times New Roman" w:cs="Times New Roman"/>
          <w:color w:val="000000" w:themeColor="text1"/>
          <w:sz w:val="28"/>
          <w:shd w:val="clear" w:color="auto" w:fill="FFFFFF"/>
        </w:rPr>
        <w:t xml:space="preserve"> y (d) asegurar que estas personas sean titulares de los mismos derechos y puedan ejercerlos en igualdad de condiciones</w:t>
      </w:r>
      <w:r w:rsidRPr="000C03D2">
        <w:rPr>
          <w:rFonts w:ascii="Times New Roman" w:hAnsi="Times New Roman" w:cs="Times New Roman"/>
          <w:color w:val="000000" w:themeColor="text1"/>
          <w:sz w:val="28"/>
          <w:shd w:val="clear" w:color="auto" w:fill="FFFFFF"/>
          <w:vertAlign w:val="superscript"/>
        </w:rPr>
        <w:footnoteReference w:id="62"/>
      </w:r>
      <w:r w:rsidRPr="000C03D2">
        <w:rPr>
          <w:rFonts w:ascii="Times New Roman" w:hAnsi="Times New Roman" w:cs="Times New Roman"/>
          <w:color w:val="000000" w:themeColor="text1"/>
          <w:sz w:val="28"/>
          <w:shd w:val="clear" w:color="auto" w:fill="FFFFFF"/>
        </w:rPr>
        <w:t>.</w:t>
      </w:r>
    </w:p>
    <w:p w:rsidR="00073225" w:rsidRPr="000C03D2" w:rsidRDefault="000C03D2" w:rsidP="00A141C2">
      <w:pPr>
        <w:pStyle w:val="Prrafodelista"/>
        <w:tabs>
          <w:tab w:val="left" w:pos="426"/>
          <w:tab w:val="left" w:pos="720"/>
        </w:tabs>
        <w:ind w:left="0"/>
        <w:rPr>
          <w:rFonts w:ascii="Times New Roman" w:hAnsi="Times New Roman" w:cs="Times New Roman"/>
          <w:color w:val="000000" w:themeColor="text1"/>
        </w:rPr>
      </w:pPr>
    </w:p>
    <w:p w:rsidR="00AA3E63" w:rsidRPr="000C03D2" w:rsidRDefault="000C03D2" w:rsidP="00A141C2">
      <w:pPr>
        <w:pStyle w:val="Prrafodelista"/>
        <w:numPr>
          <w:ilvl w:val="0"/>
          <w:numId w:val="3"/>
        </w:numPr>
        <w:tabs>
          <w:tab w:val="left" w:pos="426"/>
          <w:tab w:val="left" w:pos="720"/>
        </w:tabs>
        <w:ind w:left="0" w:firstLine="0"/>
        <w:rPr>
          <w:rFonts w:ascii="Times New Roman" w:hAnsi="Times New Roman" w:cs="Times New Roman"/>
          <w:color w:val="000000" w:themeColor="text1"/>
        </w:rPr>
      </w:pPr>
      <w:r w:rsidRPr="000C03D2">
        <w:rPr>
          <w:rFonts w:ascii="Times New Roman" w:hAnsi="Times New Roman" w:cs="Times New Roman"/>
          <w:color w:val="000000" w:themeColor="text1"/>
        </w:rPr>
        <w:t>El Sistema Interamericano de Derechos Humanos</w:t>
      </w:r>
      <w:r w:rsidRPr="000C03D2">
        <w:rPr>
          <w:rFonts w:ascii="Times New Roman" w:hAnsi="Times New Roman" w:cs="Times New Roman"/>
          <w:color w:val="000000" w:themeColor="text1"/>
          <w:vertAlign w:val="superscript"/>
        </w:rPr>
        <w:footnoteReference w:id="63"/>
      </w:r>
      <w:r w:rsidRPr="000C03D2">
        <w:rPr>
          <w:rFonts w:ascii="Times New Roman" w:hAnsi="Times New Roman" w:cs="Times New Roman"/>
          <w:color w:val="000000" w:themeColor="text1"/>
        </w:rPr>
        <w:t xml:space="preserve"> ha identificado, de manera progresiva, </w:t>
      </w:r>
      <w:r w:rsidRPr="000C03D2">
        <w:rPr>
          <w:rFonts w:ascii="Times New Roman" w:hAnsi="Times New Roman" w:cs="Times New Roman"/>
          <w:color w:val="000000" w:themeColor="text1"/>
        </w:rPr>
        <w:t>varios</w:t>
      </w:r>
      <w:r w:rsidRPr="000C03D2">
        <w:rPr>
          <w:rFonts w:ascii="Times New Roman" w:hAnsi="Times New Roman" w:cs="Times New Roman"/>
          <w:color w:val="000000" w:themeColor="text1"/>
        </w:rPr>
        <w:t xml:space="preserve"> estándares de protección en materia del </w:t>
      </w:r>
      <w:r w:rsidRPr="000C03D2">
        <w:rPr>
          <w:rFonts w:ascii="Times New Roman" w:hAnsi="Times New Roman" w:cs="Times New Roman"/>
          <w:color w:val="000000" w:themeColor="text1"/>
        </w:rPr>
        <w:t>reconocimiento de la identidad de género</w:t>
      </w:r>
      <w:r w:rsidRPr="000C03D2">
        <w:rPr>
          <w:rStyle w:val="Refdenotaalpie"/>
          <w:rFonts w:ascii="Times New Roman" w:hAnsi="Times New Roman" w:cs="Times New Roman"/>
          <w:color w:val="000000" w:themeColor="text1"/>
        </w:rPr>
        <w:footnoteReference w:id="64"/>
      </w:r>
      <w:r w:rsidRPr="000C03D2">
        <w:rPr>
          <w:rFonts w:ascii="Times New Roman" w:hAnsi="Times New Roman" w:cs="Times New Roman"/>
          <w:color w:val="000000" w:themeColor="text1"/>
        </w:rPr>
        <w:t xml:space="preserve">. </w:t>
      </w:r>
    </w:p>
    <w:p w:rsidR="00AA3E63" w:rsidRPr="000C03D2" w:rsidRDefault="000C03D2" w:rsidP="00A141C2">
      <w:pPr>
        <w:pStyle w:val="Prrafodelista"/>
        <w:rPr>
          <w:rFonts w:ascii="Times New Roman" w:hAnsi="Times New Roman" w:cs="Times New Roman"/>
          <w:color w:val="000000" w:themeColor="text1"/>
        </w:rPr>
      </w:pPr>
    </w:p>
    <w:p w:rsidR="00AA3E63" w:rsidRPr="000C03D2" w:rsidRDefault="000C03D2" w:rsidP="00A141C2">
      <w:pPr>
        <w:pStyle w:val="Prrafodelista"/>
        <w:numPr>
          <w:ilvl w:val="0"/>
          <w:numId w:val="3"/>
        </w:numPr>
        <w:tabs>
          <w:tab w:val="left" w:pos="426"/>
          <w:tab w:val="left" w:pos="720"/>
        </w:tabs>
        <w:ind w:left="0" w:firstLine="0"/>
        <w:rPr>
          <w:rFonts w:ascii="Times New Roman" w:hAnsi="Times New Roman" w:cs="Times New Roman"/>
          <w:color w:val="000000" w:themeColor="text1"/>
        </w:rPr>
      </w:pPr>
      <w:r w:rsidRPr="000C03D2">
        <w:rPr>
          <w:rFonts w:ascii="Times New Roman" w:hAnsi="Times New Roman" w:cs="Times New Roman"/>
          <w:color w:val="000000" w:themeColor="text1"/>
        </w:rPr>
        <w:t xml:space="preserve">En esta materia la Corte </w:t>
      </w:r>
      <w:r w:rsidRPr="000C03D2">
        <w:rPr>
          <w:rFonts w:ascii="Times New Roman" w:hAnsi="Times New Roman" w:cs="Times New Roman"/>
          <w:color w:val="000000" w:themeColor="text1"/>
        </w:rPr>
        <w:t xml:space="preserve">Constitucional </w:t>
      </w:r>
      <w:r w:rsidRPr="000C03D2">
        <w:rPr>
          <w:rFonts w:ascii="Times New Roman" w:hAnsi="Times New Roman" w:cs="Times New Roman"/>
          <w:color w:val="000000" w:themeColor="text1"/>
        </w:rPr>
        <w:t xml:space="preserve">ha establecido, entre otros, </w:t>
      </w:r>
      <w:r w:rsidRPr="000C03D2">
        <w:rPr>
          <w:rFonts w:ascii="Times New Roman" w:hAnsi="Times New Roman" w:cs="Times New Roman"/>
          <w:color w:val="000000" w:themeColor="text1"/>
        </w:rPr>
        <w:t>dos estándares</w:t>
      </w:r>
      <w:r w:rsidRPr="000C03D2">
        <w:rPr>
          <w:rFonts w:ascii="Times New Roman" w:hAnsi="Times New Roman" w:cs="Times New Roman"/>
          <w:color w:val="000000" w:themeColor="text1"/>
        </w:rPr>
        <w:t xml:space="preserve"> de especial relevancia en esta oportunidad</w:t>
      </w:r>
      <w:r w:rsidRPr="000C03D2">
        <w:rPr>
          <w:rFonts w:ascii="Times New Roman" w:hAnsi="Times New Roman" w:cs="Times New Roman"/>
          <w:color w:val="000000" w:themeColor="text1"/>
        </w:rPr>
        <w:t xml:space="preserve">. </w:t>
      </w:r>
      <w:r w:rsidRPr="000C03D2">
        <w:rPr>
          <w:rFonts w:ascii="Times New Roman" w:hAnsi="Times New Roman" w:cs="Times New Roman"/>
          <w:i/>
          <w:iCs/>
          <w:color w:val="000000" w:themeColor="text1"/>
        </w:rPr>
        <w:t>Primero</w:t>
      </w:r>
      <w:r w:rsidRPr="000C03D2">
        <w:rPr>
          <w:rFonts w:ascii="Times New Roman" w:hAnsi="Times New Roman" w:cs="Times New Roman"/>
          <w:color w:val="000000" w:themeColor="text1"/>
        </w:rPr>
        <w:t>, la garantía que tienen las personas de recibir un trato digno acorde con l</w:t>
      </w:r>
      <w:r w:rsidRPr="000C03D2">
        <w:rPr>
          <w:rFonts w:ascii="Times New Roman" w:hAnsi="Times New Roman" w:cs="Times New Roman"/>
          <w:color w:val="000000" w:themeColor="text1"/>
        </w:rPr>
        <w:t>a identidad autopercibida, de acuerdo con la cual, de la manifestación de la persona sobre su identidad de género se deriva el deber que tienen la sociedad y el Estado de tratarle conforme a dicha declaración</w:t>
      </w:r>
      <w:r w:rsidRPr="000C03D2">
        <w:rPr>
          <w:rStyle w:val="Refdenotaalpie"/>
          <w:rFonts w:ascii="Times New Roman" w:hAnsi="Times New Roman" w:cs="Times New Roman"/>
          <w:color w:val="000000" w:themeColor="text1"/>
        </w:rPr>
        <w:footnoteReference w:id="65"/>
      </w:r>
      <w:r w:rsidRPr="000C03D2">
        <w:rPr>
          <w:rFonts w:ascii="Times New Roman" w:hAnsi="Times New Roman" w:cs="Times New Roman"/>
          <w:color w:val="000000" w:themeColor="text1"/>
        </w:rPr>
        <w:t xml:space="preserve">. </w:t>
      </w:r>
      <w:r w:rsidRPr="000C03D2">
        <w:rPr>
          <w:rFonts w:ascii="Times New Roman" w:hAnsi="Times New Roman" w:cs="Times New Roman"/>
          <w:i/>
          <w:iCs/>
          <w:color w:val="000000" w:themeColor="text1"/>
        </w:rPr>
        <w:t>Segundo</w:t>
      </w:r>
      <w:r w:rsidRPr="000C03D2">
        <w:rPr>
          <w:rFonts w:ascii="Times New Roman" w:hAnsi="Times New Roman" w:cs="Times New Roman"/>
          <w:color w:val="000000" w:themeColor="text1"/>
        </w:rPr>
        <w:t>, el reconocimiento de la identidad de</w:t>
      </w:r>
      <w:r w:rsidRPr="000C03D2">
        <w:rPr>
          <w:rFonts w:ascii="Times New Roman" w:hAnsi="Times New Roman" w:cs="Times New Roman"/>
          <w:color w:val="000000" w:themeColor="text1"/>
        </w:rPr>
        <w:t xml:space="preserve"> género permite a las personas el ejercicio de sus otros derechos, bien sea en ámbitos laborales, sociales, educativos. Ello por cuanto, la expresión del género conforme a la autopercepción constituye un ejercicio de los derechos a la dignidad humana, a la</w:t>
      </w:r>
      <w:r w:rsidRPr="000C03D2">
        <w:rPr>
          <w:rFonts w:ascii="Times New Roman" w:hAnsi="Times New Roman" w:cs="Times New Roman"/>
          <w:color w:val="000000" w:themeColor="text1"/>
        </w:rPr>
        <w:t xml:space="preserve"> igualdad, a la intimidad y a la libertad, es decir, se trata de derechos íntimamente relacionados con el significado y alcance que el propio titular de los derechos le da el </w:t>
      </w:r>
      <w:r w:rsidRPr="000C03D2">
        <w:rPr>
          <w:rFonts w:ascii="Times New Roman" w:hAnsi="Times New Roman" w:cs="Times New Roman"/>
          <w:i/>
          <w:iCs/>
          <w:color w:val="000000" w:themeColor="text1"/>
        </w:rPr>
        <w:t>ser persona</w:t>
      </w:r>
      <w:r w:rsidRPr="000C03D2">
        <w:rPr>
          <w:rStyle w:val="Refdenotaalpie"/>
          <w:rFonts w:ascii="Times New Roman" w:hAnsi="Times New Roman" w:cs="Times New Roman"/>
          <w:i/>
          <w:iCs/>
          <w:color w:val="000000" w:themeColor="text1"/>
        </w:rPr>
        <w:footnoteReference w:id="66"/>
      </w:r>
      <w:r w:rsidRPr="000C03D2">
        <w:rPr>
          <w:rFonts w:ascii="Times New Roman" w:hAnsi="Times New Roman" w:cs="Times New Roman"/>
          <w:color w:val="000000" w:themeColor="text1"/>
        </w:rPr>
        <w:t>.</w:t>
      </w:r>
    </w:p>
    <w:p w:rsidR="00073225" w:rsidRPr="000C03D2" w:rsidRDefault="000C03D2" w:rsidP="00A141C2">
      <w:pPr>
        <w:pStyle w:val="Prrafodelista"/>
        <w:tabs>
          <w:tab w:val="left" w:pos="426"/>
        </w:tabs>
        <w:ind w:left="0"/>
        <w:rPr>
          <w:rFonts w:ascii="Times New Roman" w:hAnsi="Times New Roman" w:cs="Times New Roman"/>
          <w:iCs/>
          <w:color w:val="000000" w:themeColor="text1"/>
          <w:szCs w:val="28"/>
        </w:rPr>
      </w:pPr>
    </w:p>
    <w:p w:rsidR="008C05D4" w:rsidRPr="000C03D2" w:rsidRDefault="000C03D2" w:rsidP="008C05D4">
      <w:pPr>
        <w:pStyle w:val="Prrafodelista"/>
        <w:numPr>
          <w:ilvl w:val="0"/>
          <w:numId w:val="3"/>
        </w:numPr>
        <w:tabs>
          <w:tab w:val="left" w:pos="426"/>
        </w:tabs>
        <w:ind w:left="0" w:firstLine="0"/>
        <w:rPr>
          <w:rFonts w:ascii="Times New Roman" w:hAnsi="Times New Roman" w:cs="Times New Roman"/>
          <w:iCs/>
          <w:color w:val="000000" w:themeColor="text1"/>
          <w:szCs w:val="28"/>
        </w:rPr>
      </w:pPr>
      <w:r w:rsidRPr="000C03D2">
        <w:rPr>
          <w:rFonts w:ascii="Times New Roman" w:hAnsi="Times New Roman" w:cs="Times New Roman"/>
          <w:color w:val="000000" w:themeColor="text1"/>
          <w:szCs w:val="28"/>
        </w:rPr>
        <w:t xml:space="preserve">Recientemente, en la Sentencia C-071 de 2025 la Corte </w:t>
      </w:r>
      <w:r w:rsidRPr="000C03D2">
        <w:rPr>
          <w:rFonts w:ascii="Times New Roman" w:hAnsi="Times New Roman" w:cs="Times New Roman"/>
          <w:color w:val="000000" w:themeColor="text1"/>
          <w:szCs w:val="28"/>
        </w:rPr>
        <w:t>Constitucional reconoció que las distintas experiencias de vida amparadas por el derecho al libre desarrollo de la personalidad y la dignidad humana dan lugar a nuevos paradigmas. Generalmente, se trata de identidades que no siguen los patrones normativos,</w:t>
      </w:r>
      <w:r w:rsidRPr="000C03D2">
        <w:rPr>
          <w:rFonts w:ascii="Times New Roman" w:hAnsi="Times New Roman" w:cs="Times New Roman"/>
          <w:color w:val="000000" w:themeColor="text1"/>
          <w:szCs w:val="28"/>
        </w:rPr>
        <w:t xml:space="preserve"> entre las cuales se incluyen las masculinidades trans y la identidad no binaria, conceptos mencionados en la demanda objeto de análisis.</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En dicha oportunidad la Sala Plena p</w:t>
      </w:r>
      <w:r w:rsidRPr="000C03D2">
        <w:rPr>
          <w:rFonts w:ascii="Times New Roman" w:hAnsi="Times New Roman" w:cs="Times New Roman"/>
          <w:iCs/>
          <w:color w:val="000000" w:themeColor="text1"/>
          <w:szCs w:val="28"/>
        </w:rPr>
        <w:t xml:space="preserve">recisó que </w:t>
      </w:r>
      <w:r w:rsidRPr="000C03D2">
        <w:rPr>
          <w:rFonts w:ascii="Times New Roman" w:hAnsi="Times New Roman" w:cs="Times New Roman"/>
          <w:color w:val="000000" w:themeColor="text1"/>
          <w:szCs w:val="28"/>
        </w:rPr>
        <w:t>l</w:t>
      </w:r>
      <w:r w:rsidRPr="000C03D2">
        <w:rPr>
          <w:rFonts w:ascii="Times New Roman" w:hAnsi="Times New Roman" w:cs="Times New Roman"/>
          <w:color w:val="000000" w:themeColor="text1"/>
          <w:szCs w:val="28"/>
        </w:rPr>
        <w:t>as</w:t>
      </w:r>
      <w:r w:rsidRPr="000C03D2">
        <w:rPr>
          <w:rFonts w:ascii="Times New Roman" w:hAnsi="Times New Roman" w:cs="Times New Roman"/>
          <w:color w:val="000000" w:themeColor="text1"/>
          <w:szCs w:val="28"/>
        </w:rPr>
        <w:t xml:space="preserve"> masculinidades trans </w:t>
      </w:r>
      <w:r w:rsidRPr="000C03D2">
        <w:rPr>
          <w:rFonts w:ascii="Times New Roman" w:hAnsi="Times New Roman" w:cs="Times New Roman"/>
          <w:color w:val="000000" w:themeColor="text1"/>
          <w:szCs w:val="28"/>
        </w:rPr>
        <w:t>son</w:t>
      </w:r>
      <w:r w:rsidRPr="000C03D2">
        <w:rPr>
          <w:rFonts w:ascii="Times New Roman" w:hAnsi="Times New Roman" w:cs="Times New Roman"/>
          <w:color w:val="000000" w:themeColor="text1"/>
          <w:szCs w:val="28"/>
        </w:rPr>
        <w:t xml:space="preserve"> aquellas cuyo sexo asignado al nacer es fe</w:t>
      </w:r>
      <w:r w:rsidRPr="000C03D2">
        <w:rPr>
          <w:rFonts w:ascii="Times New Roman" w:hAnsi="Times New Roman" w:cs="Times New Roman"/>
          <w:color w:val="000000" w:themeColor="text1"/>
          <w:szCs w:val="28"/>
        </w:rPr>
        <w:t>menino/mujer, pero su identidad corresponde al ámbito de lo social y culturalmente construido, concebido y leído como masculino</w:t>
      </w:r>
      <w:r w:rsidRPr="000C03D2">
        <w:rPr>
          <w:rStyle w:val="Refdenotaalpie"/>
          <w:rFonts w:ascii="Times New Roman" w:hAnsi="Times New Roman" w:cs="Times New Roman"/>
          <w:color w:val="000000" w:themeColor="text1"/>
          <w:szCs w:val="28"/>
        </w:rPr>
        <w:footnoteReference w:id="67"/>
      </w:r>
      <w:r w:rsidRPr="000C03D2">
        <w:rPr>
          <w:rFonts w:ascii="Times New Roman" w:hAnsi="Times New Roman" w:cs="Times New Roman"/>
          <w:color w:val="000000" w:themeColor="text1"/>
          <w:szCs w:val="28"/>
        </w:rPr>
        <w:t xml:space="preserve">. </w:t>
      </w:r>
    </w:p>
    <w:p w:rsidR="008C05D4" w:rsidRPr="000C03D2" w:rsidRDefault="000C03D2" w:rsidP="008C05D4">
      <w:pPr>
        <w:pStyle w:val="Prrafodelista"/>
        <w:rPr>
          <w:rFonts w:ascii="Times New Roman" w:hAnsi="Times New Roman" w:cs="Times New Roman"/>
          <w:color w:val="000000" w:themeColor="text1"/>
          <w:szCs w:val="28"/>
        </w:rPr>
      </w:pPr>
    </w:p>
    <w:p w:rsidR="00EF46BE" w:rsidRPr="000C03D2" w:rsidRDefault="000C03D2" w:rsidP="00A141C2">
      <w:pPr>
        <w:pStyle w:val="Prrafodelista"/>
        <w:numPr>
          <w:ilvl w:val="0"/>
          <w:numId w:val="3"/>
        </w:numPr>
        <w:tabs>
          <w:tab w:val="left" w:pos="426"/>
        </w:tabs>
        <w:ind w:left="0" w:firstLine="0"/>
        <w:rPr>
          <w:rFonts w:ascii="Times New Roman" w:hAnsi="Times New Roman" w:cs="Times New Roman"/>
          <w:iCs/>
          <w:color w:val="000000" w:themeColor="text1"/>
          <w:szCs w:val="28"/>
        </w:rPr>
      </w:pPr>
      <w:r w:rsidRPr="000C03D2">
        <w:rPr>
          <w:rFonts w:ascii="Times New Roman" w:hAnsi="Times New Roman" w:cs="Times New Roman"/>
          <w:color w:val="000000" w:themeColor="text1"/>
          <w:szCs w:val="28"/>
        </w:rPr>
        <w:t>Con relación a l</w:t>
      </w:r>
      <w:r w:rsidRPr="000C03D2">
        <w:rPr>
          <w:rFonts w:ascii="Times New Roman" w:hAnsi="Times New Roman" w:cs="Times New Roman"/>
          <w:color w:val="000000" w:themeColor="text1"/>
          <w:szCs w:val="28"/>
        </w:rPr>
        <w:t>a identidad no binaria</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en la Sentencia T-401 de 2025, la Corte </w:t>
      </w:r>
      <w:r w:rsidRPr="000C03D2">
        <w:rPr>
          <w:rFonts w:ascii="Times New Roman" w:hAnsi="Times New Roman" w:cs="Times New Roman"/>
          <w:color w:val="000000" w:themeColor="text1"/>
          <w:szCs w:val="28"/>
        </w:rPr>
        <w:t>sostuvo</w:t>
      </w:r>
      <w:r w:rsidRPr="000C03D2">
        <w:rPr>
          <w:rFonts w:ascii="Times New Roman" w:hAnsi="Times New Roman" w:cs="Times New Roman"/>
          <w:color w:val="000000" w:themeColor="text1"/>
          <w:szCs w:val="28"/>
        </w:rPr>
        <w:t xml:space="preserve"> que</w:t>
      </w:r>
      <w:r w:rsidRPr="000C03D2">
        <w:rPr>
          <w:rFonts w:ascii="Times New Roman" w:hAnsi="Times New Roman" w:cs="Times New Roman"/>
          <w:color w:val="000000" w:themeColor="text1"/>
          <w:spacing w:val="5"/>
          <w:szCs w:val="28"/>
        </w:rPr>
        <w:t xml:space="preserve"> el término “no binario” “</w:t>
      </w:r>
      <w:r w:rsidRPr="000C03D2">
        <w:rPr>
          <w:rFonts w:ascii="Times New Roman" w:hAnsi="Times New Roman" w:cs="Times New Roman"/>
          <w:color w:val="000000" w:themeColor="text1"/>
          <w:spacing w:val="5"/>
          <w:szCs w:val="28"/>
          <w:shd w:val="clear" w:color="auto" w:fill="FFFFFF"/>
        </w:rPr>
        <w:t xml:space="preserve">es </w:t>
      </w:r>
      <w:r w:rsidRPr="000C03D2">
        <w:rPr>
          <w:rFonts w:ascii="Times New Roman" w:hAnsi="Times New Roman" w:cs="Times New Roman"/>
          <w:color w:val="000000" w:themeColor="text1"/>
          <w:spacing w:val="5"/>
          <w:szCs w:val="28"/>
          <w:shd w:val="clear" w:color="auto" w:fill="FFFFFF"/>
        </w:rPr>
        <w:t>usado por aquellas personas cuyas identidades de género están excluidas de la concepción binaria, socialmente dominante; esto es: femenino y masculino (…)”</w:t>
      </w:r>
      <w:r w:rsidRPr="000C03D2">
        <w:rPr>
          <w:rStyle w:val="Refdenotaalpie"/>
          <w:rFonts w:ascii="Times New Roman" w:hAnsi="Times New Roman" w:cs="Times New Roman"/>
          <w:color w:val="000000" w:themeColor="text1"/>
          <w:spacing w:val="5"/>
          <w:szCs w:val="28"/>
          <w:shd w:val="clear" w:color="auto" w:fill="FFFFFF"/>
        </w:rPr>
        <w:footnoteReference w:id="68"/>
      </w:r>
      <w:r w:rsidRPr="000C03D2">
        <w:rPr>
          <w:rFonts w:ascii="Times New Roman" w:hAnsi="Times New Roman" w:cs="Times New Roman"/>
          <w:color w:val="000000" w:themeColor="text1"/>
          <w:spacing w:val="5"/>
          <w:szCs w:val="28"/>
        </w:rPr>
        <w:t xml:space="preserve">. </w:t>
      </w:r>
      <w:r w:rsidRPr="000C03D2">
        <w:rPr>
          <w:rFonts w:ascii="Times New Roman" w:hAnsi="Times New Roman" w:cs="Times New Roman"/>
          <w:color w:val="000000" w:themeColor="text1"/>
          <w:spacing w:val="5"/>
          <w:szCs w:val="28"/>
        </w:rPr>
        <w:t xml:space="preserve">Adicionalmente, </w:t>
      </w:r>
      <w:r w:rsidRPr="000C03D2">
        <w:rPr>
          <w:rFonts w:ascii="Times New Roman" w:hAnsi="Times New Roman" w:cs="Times New Roman"/>
          <w:color w:val="000000" w:themeColor="text1"/>
          <w:spacing w:val="5"/>
          <w:szCs w:val="28"/>
        </w:rPr>
        <w:t xml:space="preserve">en </w:t>
      </w:r>
      <w:r w:rsidRPr="000C03D2">
        <w:rPr>
          <w:rFonts w:ascii="Times New Roman" w:hAnsi="Times New Roman" w:cs="Times New Roman"/>
          <w:color w:val="000000" w:themeColor="text1"/>
          <w:spacing w:val="5"/>
          <w:szCs w:val="28"/>
        </w:rPr>
        <w:t>dicha providencia precisó que</w:t>
      </w:r>
      <w:r w:rsidRPr="000C03D2">
        <w:rPr>
          <w:rFonts w:ascii="Times New Roman" w:hAnsi="Times New Roman" w:cs="Times New Roman"/>
          <w:color w:val="000000" w:themeColor="text1"/>
          <w:spacing w:val="5"/>
          <w:szCs w:val="28"/>
        </w:rPr>
        <w:t xml:space="preserve"> los estudios contemporáneos han entendido que no </w:t>
      </w:r>
      <w:r w:rsidRPr="000C03D2">
        <w:rPr>
          <w:rFonts w:ascii="Times New Roman" w:hAnsi="Times New Roman" w:cs="Times New Roman"/>
          <w:color w:val="000000" w:themeColor="text1"/>
          <w:spacing w:val="5"/>
          <w:szCs w:val="28"/>
        </w:rPr>
        <w:t>es adecuado entender lo “no binario” como una categoría unívoca y singular sobre la autopercepción y la identidad de género, pues lo “no binario” abarca una serie de identidades complejas que</w:t>
      </w:r>
      <w:r w:rsidRPr="000C03D2">
        <w:rPr>
          <w:rFonts w:ascii="Times New Roman" w:hAnsi="Times New Roman" w:cs="Times New Roman"/>
          <w:color w:val="000000" w:themeColor="text1"/>
          <w:spacing w:val="5"/>
          <w:szCs w:val="28"/>
        </w:rPr>
        <w:t>,</w:t>
      </w:r>
      <w:r w:rsidRPr="000C03D2">
        <w:rPr>
          <w:rFonts w:ascii="Times New Roman" w:hAnsi="Times New Roman" w:cs="Times New Roman"/>
          <w:color w:val="000000" w:themeColor="text1"/>
          <w:spacing w:val="5"/>
          <w:szCs w:val="28"/>
        </w:rPr>
        <w:t xml:space="preserve"> a la vez, comprenden y excluyen características de lo tradicion</w:t>
      </w:r>
      <w:r w:rsidRPr="000C03D2">
        <w:rPr>
          <w:rFonts w:ascii="Times New Roman" w:hAnsi="Times New Roman" w:cs="Times New Roman"/>
          <w:color w:val="000000" w:themeColor="text1"/>
          <w:spacing w:val="5"/>
          <w:szCs w:val="28"/>
        </w:rPr>
        <w:t xml:space="preserve">almente “binario”, y añaden a sus atributos elementos no reconocidos por lo “normativamente binario”. </w:t>
      </w:r>
    </w:p>
    <w:p w:rsidR="00EF46BE" w:rsidRPr="000C03D2" w:rsidRDefault="000C03D2" w:rsidP="00EF46BE">
      <w:pPr>
        <w:pStyle w:val="Prrafodelista"/>
        <w:rPr>
          <w:rFonts w:ascii="Times New Roman" w:hAnsi="Times New Roman" w:cs="Times New Roman"/>
          <w:color w:val="000000" w:themeColor="text1"/>
          <w:spacing w:val="5"/>
          <w:szCs w:val="28"/>
        </w:rPr>
      </w:pPr>
    </w:p>
    <w:p w:rsidR="00284FFC" w:rsidRPr="000C03D2" w:rsidRDefault="000C03D2" w:rsidP="00A141C2">
      <w:pPr>
        <w:pStyle w:val="Prrafodelista"/>
        <w:numPr>
          <w:ilvl w:val="0"/>
          <w:numId w:val="3"/>
        </w:numPr>
        <w:tabs>
          <w:tab w:val="left" w:pos="426"/>
        </w:tabs>
        <w:ind w:left="0" w:firstLine="0"/>
        <w:rPr>
          <w:rFonts w:ascii="Times New Roman" w:hAnsi="Times New Roman" w:cs="Times New Roman"/>
          <w:iCs/>
          <w:color w:val="000000" w:themeColor="text1"/>
          <w:szCs w:val="28"/>
        </w:rPr>
      </w:pPr>
      <w:r w:rsidRPr="000C03D2">
        <w:rPr>
          <w:rFonts w:ascii="Times New Roman" w:hAnsi="Times New Roman" w:cs="Times New Roman"/>
          <w:color w:val="000000" w:themeColor="text1"/>
          <w:spacing w:val="5"/>
          <w:szCs w:val="28"/>
        </w:rPr>
        <w:t xml:space="preserve">En </w:t>
      </w:r>
      <w:r w:rsidRPr="000C03D2">
        <w:rPr>
          <w:rFonts w:ascii="Times New Roman" w:hAnsi="Times New Roman" w:cs="Times New Roman"/>
          <w:color w:val="000000" w:themeColor="text1"/>
          <w:spacing w:val="5"/>
          <w:szCs w:val="28"/>
        </w:rPr>
        <w:t>consonancia con lo anterior</w:t>
      </w:r>
      <w:r w:rsidRPr="000C03D2">
        <w:rPr>
          <w:rFonts w:ascii="Times New Roman" w:hAnsi="Times New Roman" w:cs="Times New Roman"/>
          <w:color w:val="000000" w:themeColor="text1"/>
          <w:spacing w:val="5"/>
          <w:szCs w:val="28"/>
        </w:rPr>
        <w:t>,</w:t>
      </w:r>
      <w:r w:rsidRPr="000C03D2">
        <w:rPr>
          <w:rFonts w:ascii="Times New Roman" w:hAnsi="Times New Roman" w:cs="Times New Roman"/>
          <w:color w:val="000000" w:themeColor="text1"/>
          <w:spacing w:val="5"/>
          <w:szCs w:val="28"/>
        </w:rPr>
        <w:t xml:space="preserve"> la Sala Plena reiter</w:t>
      </w:r>
      <w:r w:rsidRPr="000C03D2">
        <w:rPr>
          <w:rFonts w:ascii="Times New Roman" w:hAnsi="Times New Roman" w:cs="Times New Roman"/>
          <w:color w:val="000000" w:themeColor="text1"/>
          <w:spacing w:val="5"/>
          <w:szCs w:val="28"/>
        </w:rPr>
        <w:t>ó</w:t>
      </w:r>
      <w:r w:rsidRPr="000C03D2">
        <w:rPr>
          <w:rFonts w:ascii="Times New Roman" w:hAnsi="Times New Roman" w:cs="Times New Roman"/>
          <w:color w:val="000000" w:themeColor="text1"/>
          <w:spacing w:val="5"/>
          <w:szCs w:val="28"/>
        </w:rPr>
        <w:t xml:space="preserve"> que “</w:t>
      </w:r>
      <w:r w:rsidRPr="000C03D2">
        <w:rPr>
          <w:rFonts w:ascii="Times New Roman" w:hAnsi="Times New Roman" w:cs="Times New Roman"/>
          <w:color w:val="000000" w:themeColor="text1"/>
          <w:spacing w:val="5"/>
          <w:szCs w:val="28"/>
        </w:rPr>
        <w:t xml:space="preserve">las personas y los derechos de quienes se auto-perciben por medio de estas nuevas </w:t>
      </w:r>
      <w:r w:rsidRPr="000C03D2">
        <w:rPr>
          <w:rFonts w:ascii="Times New Roman" w:hAnsi="Times New Roman" w:cs="Times New Roman"/>
          <w:color w:val="000000" w:themeColor="text1"/>
          <w:spacing w:val="5"/>
          <w:szCs w:val="28"/>
        </w:rPr>
        <w:t>identidades, deben ser protegidas por el juez constitucional, en tanto se reconoce que todas estas son expresiones de la identidad de género, el ejercicio del libre desarrollo de la personalidad y la igualdad. Esta identificación comprende, sin duda alguna</w:t>
      </w:r>
      <w:r w:rsidRPr="000C03D2">
        <w:rPr>
          <w:rFonts w:ascii="Times New Roman" w:hAnsi="Times New Roman" w:cs="Times New Roman"/>
          <w:color w:val="000000" w:themeColor="text1"/>
          <w:spacing w:val="5"/>
          <w:szCs w:val="28"/>
        </w:rPr>
        <w:t xml:space="preserve"> la materialización de la identidad de género como un derecho constitucionalmente protegid</w:t>
      </w:r>
      <w:r w:rsidRPr="000C03D2">
        <w:rPr>
          <w:rFonts w:ascii="Times New Roman" w:hAnsi="Times New Roman" w:cs="Times New Roman"/>
          <w:color w:val="000000" w:themeColor="text1"/>
          <w:spacing w:val="5"/>
          <w:szCs w:val="28"/>
        </w:rPr>
        <w:t>o”</w:t>
      </w:r>
      <w:r w:rsidRPr="000C03D2">
        <w:rPr>
          <w:rStyle w:val="Refdenotaalpie"/>
          <w:rFonts w:ascii="Times New Roman" w:hAnsi="Times New Roman" w:cs="Times New Roman"/>
          <w:color w:val="000000" w:themeColor="text1"/>
          <w:spacing w:val="5"/>
          <w:szCs w:val="28"/>
        </w:rPr>
        <w:footnoteReference w:id="69"/>
      </w:r>
      <w:r w:rsidRPr="000C03D2">
        <w:rPr>
          <w:rFonts w:ascii="Times New Roman" w:hAnsi="Times New Roman" w:cs="Times New Roman"/>
          <w:color w:val="000000" w:themeColor="text1"/>
          <w:spacing w:val="5"/>
          <w:szCs w:val="28"/>
        </w:rPr>
        <w:t>.</w:t>
      </w:r>
    </w:p>
    <w:p w:rsidR="00EF46BE" w:rsidRPr="000C03D2" w:rsidRDefault="000C03D2" w:rsidP="00EF46BE">
      <w:pPr>
        <w:pStyle w:val="Prrafodelista"/>
        <w:tabs>
          <w:tab w:val="left" w:pos="426"/>
        </w:tabs>
        <w:ind w:left="0"/>
        <w:rPr>
          <w:rFonts w:ascii="Times New Roman" w:hAnsi="Times New Roman" w:cs="Times New Roman"/>
          <w:iCs/>
          <w:color w:val="000000" w:themeColor="text1"/>
          <w:szCs w:val="28"/>
        </w:rPr>
      </w:pPr>
    </w:p>
    <w:p w:rsidR="00284FFC" w:rsidRPr="000C03D2" w:rsidRDefault="000C03D2" w:rsidP="00A141C2">
      <w:pPr>
        <w:pStyle w:val="Prrafodelista"/>
        <w:numPr>
          <w:ilvl w:val="0"/>
          <w:numId w:val="3"/>
        </w:numPr>
        <w:tabs>
          <w:tab w:val="left" w:pos="426"/>
        </w:tabs>
        <w:ind w:left="0" w:firstLine="0"/>
        <w:rPr>
          <w:rFonts w:ascii="Times New Roman" w:hAnsi="Times New Roman" w:cs="Times New Roman"/>
          <w:iCs/>
          <w:color w:val="000000" w:themeColor="text1"/>
          <w:szCs w:val="28"/>
        </w:rPr>
      </w:pPr>
      <w:r w:rsidRPr="000C03D2">
        <w:rPr>
          <w:rFonts w:ascii="Times New Roman" w:hAnsi="Times New Roman" w:cs="Times New Roman"/>
          <w:color w:val="000000" w:themeColor="text1"/>
          <w:szCs w:val="28"/>
        </w:rPr>
        <w:t>En síntesis</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el derecho a la identidad de género,</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al amparar las </w:t>
      </w:r>
      <w:r w:rsidRPr="000C03D2">
        <w:rPr>
          <w:rFonts w:ascii="Times New Roman" w:hAnsi="Times New Roman" w:cs="Times New Roman"/>
          <w:color w:val="000000" w:themeColor="text1"/>
          <w:szCs w:val="28"/>
        </w:rPr>
        <w:t>decisiones personales</w:t>
      </w:r>
      <w:r w:rsidRPr="000C03D2">
        <w:rPr>
          <w:rFonts w:ascii="Times New Roman" w:hAnsi="Times New Roman" w:cs="Times New Roman"/>
          <w:color w:val="000000" w:themeColor="text1"/>
          <w:szCs w:val="28"/>
        </w:rPr>
        <w:t xml:space="preserve"> relativas a</w:t>
      </w:r>
      <w:r w:rsidRPr="000C03D2">
        <w:rPr>
          <w:rFonts w:ascii="Times New Roman" w:hAnsi="Times New Roman" w:cs="Times New Roman"/>
          <w:color w:val="000000" w:themeColor="text1"/>
          <w:szCs w:val="28"/>
        </w:rPr>
        <w:t xml:space="preserve"> la definición de la individualidad, está íntimamente relacionado con el trato especial que merece toda persona por el hecho de serlo, así como con la autonomía individual y con la posibilidad de establecer un proyecto de vida propio</w:t>
      </w:r>
      <w:bookmarkStart w:id="25" w:name="_ftnref135"/>
      <w:bookmarkStart w:id="26" w:name="_ftnref65"/>
      <w:bookmarkEnd w:id="25"/>
      <w:r w:rsidRPr="000C03D2">
        <w:rPr>
          <w:rFonts w:ascii="Times New Roman" w:hAnsi="Times New Roman" w:cs="Times New Roman"/>
          <w:color w:val="000000" w:themeColor="text1"/>
          <w:vertAlign w:val="superscript"/>
        </w:rPr>
        <w:footnoteReference w:id="70"/>
      </w:r>
      <w:bookmarkEnd w:id="26"/>
      <w:r w:rsidRPr="000C03D2">
        <w:rPr>
          <w:rFonts w:ascii="Times New Roman" w:hAnsi="Times New Roman" w:cs="Times New Roman"/>
          <w:color w:val="000000" w:themeColor="text1"/>
          <w:szCs w:val="28"/>
        </w:rPr>
        <w:t>. Dicha protección con</w:t>
      </w:r>
      <w:r w:rsidRPr="000C03D2">
        <w:rPr>
          <w:rFonts w:ascii="Times New Roman" w:hAnsi="Times New Roman" w:cs="Times New Roman"/>
          <w:color w:val="000000" w:themeColor="text1"/>
          <w:szCs w:val="28"/>
        </w:rPr>
        <w:t>templa la facultad del individuo de definirse a sí mismo, en función de su cuerpo, vivencias y experiencias en cuanto a su identidad y reconocimiento. De igual forma, impone a la sociedad y al Estado el deber de responder a esa concepción autorreferente de</w:t>
      </w:r>
      <w:r w:rsidRPr="000C03D2">
        <w:rPr>
          <w:rFonts w:ascii="Times New Roman" w:hAnsi="Times New Roman" w:cs="Times New Roman"/>
          <w:color w:val="000000" w:themeColor="text1"/>
          <w:szCs w:val="28"/>
        </w:rPr>
        <w:t xml:space="preserve"> la persona</w:t>
      </w:r>
      <w:bookmarkStart w:id="27" w:name="_ftnref211"/>
      <w:bookmarkStart w:id="28" w:name="_ftnref60"/>
      <w:bookmarkEnd w:id="27"/>
      <w:r w:rsidRPr="000C03D2">
        <w:rPr>
          <w:rFonts w:ascii="Times New Roman" w:hAnsi="Times New Roman" w:cs="Times New Roman"/>
          <w:color w:val="000000" w:themeColor="text1"/>
          <w:vertAlign w:val="superscript"/>
        </w:rPr>
        <w:footnoteReference w:id="71"/>
      </w:r>
      <w:bookmarkEnd w:id="28"/>
      <w:r w:rsidRPr="000C03D2">
        <w:rPr>
          <w:rFonts w:ascii="Times New Roman" w:hAnsi="Times New Roman" w:cs="Times New Roman"/>
          <w:color w:val="000000" w:themeColor="text1"/>
          <w:szCs w:val="28"/>
        </w:rPr>
        <w:t>, para tratar al individuo de un modo congruente y respetuoso de la visión que tiene de sí.</w:t>
      </w:r>
    </w:p>
    <w:p w:rsidR="00284FFC" w:rsidRPr="000C03D2" w:rsidRDefault="000C03D2" w:rsidP="00A141C2">
      <w:pPr>
        <w:pStyle w:val="Prrafodelista"/>
        <w:rPr>
          <w:rFonts w:ascii="Times New Roman" w:hAnsi="Times New Roman" w:cs="Times New Roman"/>
          <w:color w:val="000000" w:themeColor="text1"/>
          <w:szCs w:val="28"/>
        </w:rPr>
      </w:pPr>
    </w:p>
    <w:p w:rsidR="00284FFC" w:rsidRPr="000C03D2" w:rsidRDefault="000C03D2" w:rsidP="00A141C2">
      <w:pPr>
        <w:pStyle w:val="Prrafodelista"/>
        <w:numPr>
          <w:ilvl w:val="1"/>
          <w:numId w:val="4"/>
        </w:numPr>
        <w:rPr>
          <w:rFonts w:ascii="Times New Roman" w:hAnsi="Times New Roman" w:cs="Times New Roman"/>
          <w:color w:val="000000" w:themeColor="text1"/>
          <w:szCs w:val="28"/>
        </w:rPr>
      </w:pPr>
      <w:r w:rsidRPr="000C03D2">
        <w:rPr>
          <w:rFonts w:ascii="Times New Roman" w:hAnsi="Times New Roman" w:cs="Times New Roman"/>
          <w:i/>
          <w:iCs/>
          <w:color w:val="000000" w:themeColor="text1"/>
          <w:szCs w:val="28"/>
        </w:rPr>
        <w:t>La Sentencia C-324 de 2023</w:t>
      </w:r>
    </w:p>
    <w:p w:rsidR="00705006" w:rsidRPr="000C03D2" w:rsidRDefault="000C03D2" w:rsidP="00A141C2">
      <w:pPr>
        <w:rPr>
          <w:rFonts w:ascii="Times New Roman" w:hAnsi="Times New Roman" w:cs="Times New Roman"/>
          <w:color w:val="000000" w:themeColor="text1"/>
          <w:sz w:val="28"/>
          <w:szCs w:val="28"/>
          <w:shd w:val="clear" w:color="auto" w:fill="FFFFFF"/>
        </w:rPr>
      </w:pPr>
    </w:p>
    <w:p w:rsidR="00DF4805"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shd w:val="clear" w:color="auto" w:fill="FFFFFF"/>
        </w:rPr>
      </w:pPr>
      <w:r w:rsidRPr="000C03D2">
        <w:rPr>
          <w:rFonts w:ascii="Times New Roman" w:hAnsi="Times New Roman" w:cs="Times New Roman"/>
          <w:color w:val="000000" w:themeColor="text1"/>
          <w:szCs w:val="28"/>
          <w:shd w:val="clear" w:color="auto" w:fill="FFFFFF"/>
        </w:rPr>
        <w:t>L</w:t>
      </w:r>
      <w:r w:rsidRPr="000C03D2">
        <w:rPr>
          <w:rFonts w:ascii="Times New Roman" w:hAnsi="Times New Roman" w:cs="Times New Roman"/>
          <w:color w:val="000000" w:themeColor="text1"/>
          <w:szCs w:val="28"/>
          <w:shd w:val="clear" w:color="auto" w:fill="FFFFFF"/>
        </w:rPr>
        <w:t>a Sentencia C-324 de 2023 constituye</w:t>
      </w:r>
      <w:r w:rsidRPr="000C03D2">
        <w:rPr>
          <w:rFonts w:ascii="Times New Roman" w:hAnsi="Times New Roman" w:cs="Times New Roman"/>
          <w:color w:val="000000" w:themeColor="text1"/>
          <w:szCs w:val="28"/>
          <w:shd w:val="clear" w:color="auto" w:fill="FFFFFF"/>
        </w:rPr>
        <w:t xml:space="preserve"> un</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precedente</w:t>
      </w:r>
      <w:r w:rsidRPr="000C03D2">
        <w:rPr>
          <w:rStyle w:val="Refdenotaalpie"/>
          <w:rFonts w:ascii="Times New Roman" w:hAnsi="Times New Roman" w:cs="Times New Roman"/>
          <w:color w:val="000000" w:themeColor="text1"/>
          <w:szCs w:val="28"/>
          <w:shd w:val="clear" w:color="auto" w:fill="FFFFFF"/>
        </w:rPr>
        <w:footnoteReference w:id="72"/>
      </w:r>
      <w:r w:rsidRPr="000C03D2">
        <w:rPr>
          <w:rFonts w:ascii="Times New Roman" w:hAnsi="Times New Roman" w:cs="Times New Roman"/>
          <w:color w:val="000000" w:themeColor="text1"/>
          <w:szCs w:val="28"/>
          <w:shd w:val="clear" w:color="auto" w:fill="FFFFFF"/>
        </w:rPr>
        <w:t xml:space="preserve"> para el caso bajo estudio.</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 xml:space="preserve">En dicha providencia judicial </w:t>
      </w:r>
      <w:r w:rsidRPr="000C03D2">
        <w:rPr>
          <w:rFonts w:ascii="Times New Roman" w:hAnsi="Times New Roman" w:cs="Times New Roman"/>
          <w:color w:val="000000" w:themeColor="text1"/>
        </w:rPr>
        <w:t>l</w:t>
      </w:r>
      <w:r w:rsidRPr="000C03D2">
        <w:rPr>
          <w:rFonts w:ascii="Times New Roman" w:hAnsi="Times New Roman" w:cs="Times New Roman"/>
          <w:color w:val="000000" w:themeColor="text1"/>
        </w:rPr>
        <w:t xml:space="preserve">a Corte </w:t>
      </w:r>
      <w:r w:rsidRPr="000C03D2">
        <w:rPr>
          <w:rFonts w:ascii="Times New Roman" w:hAnsi="Times New Roman" w:cs="Times New Roman"/>
          <w:color w:val="000000" w:themeColor="text1"/>
        </w:rPr>
        <w:t>examinó si el artículo 236 del Código Sustantivo del Trabajo</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licencia de maternidad</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modificado por el artículo 2° de la Ley 2114 de 2021, </w:t>
      </w:r>
      <w:r w:rsidRPr="000C03D2">
        <w:rPr>
          <w:rFonts w:ascii="Times New Roman" w:hAnsi="Times New Roman" w:cs="Times New Roman"/>
          <w:color w:val="000000" w:themeColor="text1"/>
        </w:rPr>
        <w:t>configuraba una</w:t>
      </w:r>
      <w:r w:rsidRPr="000C03D2">
        <w:rPr>
          <w:rFonts w:ascii="Times New Roman" w:hAnsi="Times New Roman" w:cs="Times New Roman"/>
          <w:color w:val="000000" w:themeColor="text1"/>
        </w:rPr>
        <w:t xml:space="preserve"> omisión legislativa relativa que vulnerara los derechos a la igualdad y a la seguridad social al ut</w:t>
      </w:r>
      <w:r w:rsidRPr="000C03D2">
        <w:rPr>
          <w:rFonts w:ascii="Times New Roman" w:hAnsi="Times New Roman" w:cs="Times New Roman"/>
          <w:color w:val="000000" w:themeColor="text1"/>
        </w:rPr>
        <w:t>ilizar expresiones como “mujer”, “trabajadora” y “madre”, reconociendo como titulares de las licencias en la época del parto únicamente a las mujeres, sin contemplar explícitamente a hombres trans ni a personas no binarias.</w:t>
      </w:r>
    </w:p>
    <w:p w:rsidR="00DF4805" w:rsidRPr="000C03D2" w:rsidRDefault="000C03D2" w:rsidP="00A141C2">
      <w:pPr>
        <w:pStyle w:val="Prrafodelista"/>
        <w:tabs>
          <w:tab w:val="left" w:pos="426"/>
        </w:tabs>
        <w:ind w:left="0"/>
        <w:rPr>
          <w:rFonts w:ascii="Times New Roman" w:hAnsi="Times New Roman" w:cs="Times New Roman"/>
          <w:color w:val="000000" w:themeColor="text1"/>
          <w:szCs w:val="28"/>
          <w:shd w:val="clear" w:color="auto" w:fill="FFFFFF"/>
        </w:rPr>
      </w:pPr>
    </w:p>
    <w:p w:rsidR="00DF4805"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shd w:val="clear" w:color="auto" w:fill="FFFFFF"/>
        </w:rPr>
      </w:pPr>
      <w:r w:rsidRPr="000C03D2">
        <w:rPr>
          <w:rFonts w:ascii="Times New Roman" w:hAnsi="Times New Roman" w:cs="Times New Roman"/>
          <w:color w:val="000000" w:themeColor="text1"/>
        </w:rPr>
        <w:t>Con el fin de resolver el asunt</w:t>
      </w:r>
      <w:r w:rsidRPr="000C03D2">
        <w:rPr>
          <w:rFonts w:ascii="Times New Roman" w:hAnsi="Times New Roman" w:cs="Times New Roman"/>
          <w:color w:val="000000" w:themeColor="text1"/>
        </w:rPr>
        <w:t>o, la Corte explicó la protección constitucional del libre desarrollo de la personalidad y la dignidad humana, así como su relación con las experiencias de género. Señaló que estas garantías implican la libertad de definir la identidad sin interferencias d</w:t>
      </w:r>
      <w:r w:rsidRPr="000C03D2">
        <w:rPr>
          <w:rFonts w:ascii="Times New Roman" w:hAnsi="Times New Roman" w:cs="Times New Roman"/>
          <w:color w:val="000000" w:themeColor="text1"/>
        </w:rPr>
        <w:t xml:space="preserve">el Estado o de particulares, además de la prohibición de discriminación por identidad de género. La Sala Plena reiteró que cualquier trato diferenciado que afecte el ejercicio de otros derechos fundamentales por esta razón es, en principio, contrario a la </w:t>
      </w:r>
      <w:r w:rsidRPr="000C03D2">
        <w:rPr>
          <w:rFonts w:ascii="Times New Roman" w:hAnsi="Times New Roman" w:cs="Times New Roman"/>
          <w:color w:val="000000" w:themeColor="text1"/>
        </w:rPr>
        <w:t>Constitución</w:t>
      </w:r>
      <w:r w:rsidRPr="000C03D2">
        <w:rPr>
          <w:rFonts w:ascii="Times New Roman" w:hAnsi="Times New Roman" w:cs="Times New Roman"/>
          <w:color w:val="000000" w:themeColor="text1"/>
          <w:szCs w:val="28"/>
          <w:shd w:val="clear" w:color="auto" w:fill="FFFFFF"/>
        </w:rPr>
        <w:t>.</w:t>
      </w:r>
    </w:p>
    <w:p w:rsidR="00DF4805" w:rsidRPr="000C03D2" w:rsidRDefault="000C03D2" w:rsidP="00A141C2">
      <w:pPr>
        <w:pStyle w:val="Prrafodelista"/>
        <w:rPr>
          <w:rFonts w:ascii="Times New Roman" w:hAnsi="Times New Roman" w:cs="Times New Roman"/>
          <w:color w:val="000000" w:themeColor="text1"/>
        </w:rPr>
      </w:pPr>
    </w:p>
    <w:p w:rsidR="006068C6"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shd w:val="clear" w:color="auto" w:fill="FFFFFF"/>
        </w:rPr>
      </w:pPr>
      <w:r w:rsidRPr="000C03D2">
        <w:rPr>
          <w:rFonts w:ascii="Times New Roman" w:hAnsi="Times New Roman" w:cs="Times New Roman"/>
          <w:color w:val="000000" w:themeColor="text1"/>
        </w:rPr>
        <w:t>Asimismo, la Corte reconoció que, debido a la discriminación estructural y la invisibilización histórica, los hombres trans y las personas no binarias son sujetos de especial protección constitucional. Esto exige al Estado eliminar normas</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prácticas discriminatorias</w:t>
      </w:r>
      <w:r w:rsidRPr="000C03D2">
        <w:rPr>
          <w:rFonts w:ascii="Times New Roman" w:hAnsi="Times New Roman" w:cs="Times New Roman"/>
          <w:color w:val="000000" w:themeColor="text1"/>
        </w:rPr>
        <w:t>, implementar acciones afirmativas</w:t>
      </w:r>
      <w:r w:rsidRPr="000C03D2">
        <w:rPr>
          <w:rFonts w:ascii="Times New Roman" w:hAnsi="Times New Roman" w:cs="Times New Roman"/>
          <w:color w:val="000000" w:themeColor="text1"/>
        </w:rPr>
        <w:t xml:space="preserve"> y garantizar que estas personas gocen de los mismos derechos en condiciones de igualdad</w:t>
      </w:r>
      <w:r w:rsidRPr="000C03D2">
        <w:rPr>
          <w:rFonts w:ascii="Times New Roman" w:hAnsi="Times New Roman" w:cs="Times New Roman"/>
          <w:color w:val="000000" w:themeColor="text1"/>
        </w:rPr>
        <w:t>.</w:t>
      </w:r>
    </w:p>
    <w:p w:rsidR="006068C6" w:rsidRPr="000C03D2" w:rsidRDefault="000C03D2" w:rsidP="00A141C2">
      <w:pPr>
        <w:pStyle w:val="Prrafodelista"/>
        <w:rPr>
          <w:rFonts w:ascii="Times New Roman" w:hAnsi="Times New Roman" w:cs="Times New Roman"/>
          <w:color w:val="000000" w:themeColor="text1"/>
        </w:rPr>
      </w:pPr>
    </w:p>
    <w:p w:rsidR="00DF4805"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rPr>
      </w:pPr>
      <w:r w:rsidRPr="000C03D2">
        <w:rPr>
          <w:rFonts w:ascii="Times New Roman" w:hAnsi="Times New Roman" w:cs="Times New Roman"/>
          <w:color w:val="000000" w:themeColor="text1"/>
        </w:rPr>
        <w:t xml:space="preserve">Luego </w:t>
      </w:r>
      <w:r w:rsidRPr="000C03D2">
        <w:rPr>
          <w:rFonts w:ascii="Times New Roman" w:hAnsi="Times New Roman" w:cs="Times New Roman"/>
          <w:color w:val="000000" w:themeColor="text1"/>
        </w:rPr>
        <w:t xml:space="preserve">de exponer </w:t>
      </w:r>
      <w:r w:rsidRPr="000C03D2">
        <w:rPr>
          <w:rFonts w:ascii="Times New Roman" w:hAnsi="Times New Roman" w:cs="Times New Roman"/>
          <w:color w:val="000000" w:themeColor="text1"/>
        </w:rPr>
        <w:t>los fundamentos constitucionales de la licencia en la época del parto</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la Sala </w:t>
      </w:r>
      <w:r w:rsidRPr="000C03D2">
        <w:rPr>
          <w:rFonts w:ascii="Times New Roman" w:hAnsi="Times New Roman" w:cs="Times New Roman"/>
          <w:color w:val="000000" w:themeColor="text1"/>
          <w:szCs w:val="28"/>
          <w:lang w:val="es-ES"/>
        </w:rPr>
        <w:t>determin</w:t>
      </w:r>
      <w:r w:rsidRPr="000C03D2">
        <w:rPr>
          <w:rFonts w:ascii="Times New Roman" w:hAnsi="Times New Roman" w:cs="Times New Roman"/>
          <w:color w:val="000000" w:themeColor="text1"/>
          <w:szCs w:val="28"/>
          <w:lang w:val="es-ES"/>
        </w:rPr>
        <w:t xml:space="preserve">ó que al no incluir en la regulación de las licencias en la época del parto a otras personas que no se identifican como mujeres pero que ejercen un rol parental equivalente (como los hombres trans o las personas no binarias), el legislador incurrió en una </w:t>
      </w:r>
      <w:r w:rsidRPr="000C03D2">
        <w:rPr>
          <w:rFonts w:ascii="Times New Roman" w:hAnsi="Times New Roman" w:cs="Times New Roman"/>
          <w:color w:val="000000" w:themeColor="text1"/>
          <w:szCs w:val="28"/>
          <w:lang w:val="es-ES"/>
        </w:rPr>
        <w:t>omisión legislativa relativa</w:t>
      </w:r>
      <w:r w:rsidRPr="000C03D2">
        <w:rPr>
          <w:rFonts w:ascii="Times New Roman" w:hAnsi="Times New Roman" w:cs="Times New Roman"/>
          <w:color w:val="000000" w:themeColor="text1"/>
          <w:szCs w:val="28"/>
          <w:lang w:val="es-ES"/>
        </w:rPr>
        <w:t xml:space="preserve">. </w:t>
      </w:r>
      <w:r w:rsidRPr="000C03D2">
        <w:rPr>
          <w:rFonts w:ascii="Times New Roman" w:hAnsi="Times New Roman" w:cs="Times New Roman"/>
          <w:color w:val="000000" w:themeColor="text1"/>
        </w:rPr>
        <w:t>Esta exclusión</w:t>
      </w:r>
      <w:r w:rsidRPr="000C03D2">
        <w:rPr>
          <w:rFonts w:ascii="Times New Roman" w:hAnsi="Times New Roman" w:cs="Times New Roman"/>
          <w:color w:val="000000" w:themeColor="text1"/>
        </w:rPr>
        <w:t>, para la Corte,</w:t>
      </w:r>
      <w:r w:rsidRPr="000C03D2">
        <w:rPr>
          <w:rFonts w:ascii="Times New Roman" w:hAnsi="Times New Roman" w:cs="Times New Roman"/>
          <w:color w:val="000000" w:themeColor="text1"/>
        </w:rPr>
        <w:t xml:space="preserve"> constituy</w:t>
      </w:r>
      <w:r w:rsidRPr="000C03D2">
        <w:rPr>
          <w:rFonts w:ascii="Times New Roman" w:hAnsi="Times New Roman" w:cs="Times New Roman"/>
          <w:color w:val="000000" w:themeColor="text1"/>
        </w:rPr>
        <w:t>ó</w:t>
      </w:r>
      <w:r w:rsidRPr="000C03D2">
        <w:rPr>
          <w:rFonts w:ascii="Times New Roman" w:hAnsi="Times New Roman" w:cs="Times New Roman"/>
          <w:color w:val="000000" w:themeColor="text1"/>
        </w:rPr>
        <w:t xml:space="preserve"> un trato discriminatorio que desconoc</w:t>
      </w:r>
      <w:r w:rsidRPr="000C03D2">
        <w:rPr>
          <w:rFonts w:ascii="Times New Roman" w:hAnsi="Times New Roman" w:cs="Times New Roman"/>
          <w:color w:val="000000" w:themeColor="text1"/>
        </w:rPr>
        <w:t>ía</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el derecho a la igualdad</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así como</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la garantía de </w:t>
      </w:r>
      <w:r w:rsidRPr="000C03D2">
        <w:rPr>
          <w:rFonts w:ascii="Times New Roman" w:hAnsi="Times New Roman" w:cs="Times New Roman"/>
          <w:color w:val="000000" w:themeColor="text1"/>
        </w:rPr>
        <w:t>la universalidad y la no discriminación en el sistema de seguridad social. En consecuencia, l</w:t>
      </w:r>
      <w:r w:rsidRPr="000C03D2">
        <w:rPr>
          <w:rFonts w:ascii="Times New Roman" w:hAnsi="Times New Roman" w:cs="Times New Roman"/>
          <w:color w:val="000000" w:themeColor="text1"/>
        </w:rPr>
        <w:t>a Sala adoptó una sentencia integradora aditiva y declaró exequibles las expresiones cuestionadas, bajo el entendido de que las licencias por parto también aplican a hombres trans y personas no binarias, conforme a lo dispuesto en la sentencia.</w:t>
      </w:r>
    </w:p>
    <w:p w:rsidR="00DF4805" w:rsidRPr="000C03D2" w:rsidRDefault="000C03D2" w:rsidP="00A141C2">
      <w:pPr>
        <w:pStyle w:val="Prrafodelista"/>
        <w:tabs>
          <w:tab w:val="left" w:pos="426"/>
        </w:tabs>
        <w:ind w:left="0"/>
        <w:rPr>
          <w:rFonts w:ascii="Times New Roman" w:hAnsi="Times New Roman" w:cs="Times New Roman"/>
          <w:color w:val="000000" w:themeColor="text1"/>
          <w:szCs w:val="28"/>
          <w:shd w:val="clear" w:color="auto" w:fill="FFFFFF"/>
        </w:rPr>
      </w:pPr>
    </w:p>
    <w:p w:rsidR="00DF4805" w:rsidRPr="000C03D2" w:rsidRDefault="000C03D2" w:rsidP="00A141C2">
      <w:pPr>
        <w:pStyle w:val="Prrafodelista"/>
        <w:numPr>
          <w:ilvl w:val="1"/>
          <w:numId w:val="4"/>
        </w:numPr>
        <w:tabs>
          <w:tab w:val="left" w:pos="426"/>
        </w:tabs>
        <w:rPr>
          <w:rFonts w:ascii="Times New Roman" w:hAnsi="Times New Roman" w:cs="Times New Roman"/>
          <w:color w:val="000000" w:themeColor="text1"/>
          <w:szCs w:val="28"/>
          <w:shd w:val="clear" w:color="auto" w:fill="FFFFFF"/>
        </w:rPr>
      </w:pPr>
      <w:r w:rsidRPr="000C03D2">
        <w:rPr>
          <w:rFonts w:ascii="Times New Roman" w:hAnsi="Times New Roman" w:cs="Times New Roman"/>
          <w:i/>
          <w:iCs/>
          <w:color w:val="000000" w:themeColor="text1"/>
          <w:szCs w:val="28"/>
          <w:shd w:val="clear" w:color="auto" w:fill="FFFFFF"/>
        </w:rPr>
        <w:t>La Sentenc</w:t>
      </w:r>
      <w:r w:rsidRPr="000C03D2">
        <w:rPr>
          <w:rFonts w:ascii="Times New Roman" w:hAnsi="Times New Roman" w:cs="Times New Roman"/>
          <w:i/>
          <w:iCs/>
          <w:color w:val="000000" w:themeColor="text1"/>
          <w:szCs w:val="28"/>
          <w:shd w:val="clear" w:color="auto" w:fill="FFFFFF"/>
        </w:rPr>
        <w:t>ia C-071 de 2025</w:t>
      </w:r>
      <w:r w:rsidRPr="000C03D2">
        <w:rPr>
          <w:rFonts w:ascii="Times New Roman" w:hAnsi="Times New Roman" w:cs="Times New Roman"/>
          <w:color w:val="000000" w:themeColor="text1"/>
          <w:szCs w:val="28"/>
          <w:shd w:val="clear" w:color="auto" w:fill="FFFFFF"/>
        </w:rPr>
        <w:t xml:space="preserve"> </w:t>
      </w:r>
    </w:p>
    <w:p w:rsidR="006A7A56" w:rsidRPr="000C03D2" w:rsidRDefault="000C03D2" w:rsidP="00A141C2">
      <w:pPr>
        <w:pStyle w:val="Prrafodelista"/>
        <w:tabs>
          <w:tab w:val="left" w:pos="426"/>
        </w:tabs>
        <w:ind w:left="0"/>
        <w:rPr>
          <w:rFonts w:ascii="Times New Roman" w:hAnsi="Times New Roman" w:cs="Times New Roman"/>
          <w:color w:val="000000" w:themeColor="text1"/>
          <w:szCs w:val="28"/>
          <w:shd w:val="clear" w:color="auto" w:fill="FFFFFF"/>
        </w:rPr>
      </w:pPr>
    </w:p>
    <w:p w:rsidR="00D17727" w:rsidRPr="000C03D2" w:rsidRDefault="000C03D2" w:rsidP="00A141C2">
      <w:pPr>
        <w:pStyle w:val="NormalWeb"/>
        <w:numPr>
          <w:ilvl w:val="0"/>
          <w:numId w:val="3"/>
        </w:numPr>
        <w:tabs>
          <w:tab w:val="left" w:pos="426"/>
        </w:tabs>
        <w:spacing w:before="0" w:beforeAutospacing="0" w:after="0" w:afterAutospacing="0"/>
        <w:ind w:left="0" w:firstLine="0"/>
        <w:jc w:val="both"/>
        <w:rPr>
          <w:rFonts w:ascii="Times New Roman" w:eastAsiaTheme="minorHAnsi" w:hAnsi="Times New Roman" w:cs="Times New Roman"/>
          <w:color w:val="000000" w:themeColor="text1"/>
          <w:sz w:val="28"/>
          <w:lang w:eastAsia="en-US"/>
        </w:rPr>
      </w:pPr>
      <w:r w:rsidRPr="000C03D2">
        <w:rPr>
          <w:rFonts w:ascii="Times New Roman" w:eastAsiaTheme="minorHAnsi" w:hAnsi="Times New Roman" w:cs="Times New Roman"/>
          <w:color w:val="000000" w:themeColor="text1"/>
          <w:sz w:val="28"/>
          <w:lang w:eastAsia="en-US"/>
        </w:rPr>
        <w:t xml:space="preserve">En esta </w:t>
      </w:r>
      <w:r w:rsidRPr="000C03D2">
        <w:rPr>
          <w:rFonts w:ascii="Times New Roman" w:eastAsiaTheme="minorHAnsi" w:hAnsi="Times New Roman" w:cs="Times New Roman"/>
          <w:color w:val="000000" w:themeColor="text1"/>
          <w:sz w:val="28"/>
          <w:lang w:eastAsia="en-US"/>
        </w:rPr>
        <w:t>providencia judicial</w:t>
      </w:r>
      <w:r w:rsidRPr="000C03D2">
        <w:rPr>
          <w:rFonts w:ascii="Times New Roman" w:eastAsiaTheme="minorHAnsi" w:hAnsi="Times New Roman" w:cs="Times New Roman"/>
          <w:color w:val="000000" w:themeColor="text1"/>
          <w:sz w:val="28"/>
          <w:lang w:eastAsia="en-US"/>
        </w:rPr>
        <w:t>, l</w:t>
      </w:r>
      <w:r w:rsidRPr="000C03D2">
        <w:rPr>
          <w:rFonts w:ascii="Times New Roman" w:eastAsiaTheme="minorHAnsi" w:hAnsi="Times New Roman" w:cs="Times New Roman"/>
          <w:color w:val="000000" w:themeColor="text1"/>
          <w:sz w:val="28"/>
          <w:lang w:eastAsia="en-US"/>
        </w:rPr>
        <w:t>a Corte Constitucional estudió una demanda contra las expresiones “mujer”, “madre” y “trabajadora” incluidas en la Ley 2306 de 2023 y en el Código Sustantivo del Trabajo</w:t>
      </w:r>
      <w:r w:rsidRPr="000C03D2">
        <w:rPr>
          <w:rFonts w:ascii="Times New Roman" w:eastAsiaTheme="minorHAnsi" w:hAnsi="Times New Roman" w:cs="Times New Roman"/>
          <w:color w:val="000000" w:themeColor="text1"/>
          <w:sz w:val="28"/>
          <w:lang w:eastAsia="en-US"/>
        </w:rPr>
        <w:t xml:space="preserve"> (salas de lactancia)</w:t>
      </w:r>
      <w:r w:rsidRPr="000C03D2">
        <w:rPr>
          <w:rFonts w:ascii="Times New Roman" w:eastAsiaTheme="minorHAnsi" w:hAnsi="Times New Roman" w:cs="Times New Roman"/>
          <w:color w:val="000000" w:themeColor="text1"/>
          <w:sz w:val="28"/>
          <w:lang w:eastAsia="en-US"/>
        </w:rPr>
        <w:t xml:space="preserve">, por presunta </w:t>
      </w:r>
      <w:r w:rsidRPr="000C03D2">
        <w:rPr>
          <w:rFonts w:ascii="Times New Roman" w:eastAsiaTheme="minorHAnsi" w:hAnsi="Times New Roman" w:cs="Times New Roman"/>
          <w:color w:val="000000" w:themeColor="text1"/>
          <w:sz w:val="28"/>
          <w:lang w:eastAsia="en-US"/>
        </w:rPr>
        <w:t>vulneración de los artículos 13 y 43 de la Constitución. Los demandantes alegaron que existía una omisión legislativa relativa, ya que las normas no contemplaban a hombres trans ni personas no binarias en etapa de lactancia, lo que generaba un trato discri</w:t>
      </w:r>
      <w:r w:rsidRPr="000C03D2">
        <w:rPr>
          <w:rFonts w:ascii="Times New Roman" w:eastAsiaTheme="minorHAnsi" w:hAnsi="Times New Roman" w:cs="Times New Roman"/>
          <w:color w:val="000000" w:themeColor="text1"/>
          <w:sz w:val="28"/>
          <w:lang w:eastAsia="en-US"/>
        </w:rPr>
        <w:t>minatorio basado en identidad de género y vulneraba el principio de igualdad.</w:t>
      </w:r>
      <w:r w:rsidRPr="000C03D2">
        <w:rPr>
          <w:rFonts w:ascii="Times New Roman" w:eastAsiaTheme="minorHAnsi" w:hAnsi="Times New Roman" w:cs="Times New Roman"/>
          <w:color w:val="000000" w:themeColor="text1"/>
          <w:sz w:val="28"/>
          <w:lang w:eastAsia="en-US"/>
        </w:rPr>
        <w:t xml:space="preserve"> </w:t>
      </w:r>
      <w:r w:rsidRPr="000C03D2">
        <w:rPr>
          <w:rFonts w:ascii="Times New Roman" w:eastAsiaTheme="minorHAnsi" w:hAnsi="Times New Roman" w:cs="Times New Roman"/>
          <w:color w:val="000000" w:themeColor="text1"/>
          <w:sz w:val="28"/>
          <w:lang w:eastAsia="en-US"/>
        </w:rPr>
        <w:t>Argumentaron que el trato diferenciado no cumplía con los criterios de idoneidad, necesidad ni proporcionalidad, dado que estos grupos también podían experimentar procesos de lac</w:t>
      </w:r>
      <w:r w:rsidRPr="000C03D2">
        <w:rPr>
          <w:rFonts w:ascii="Times New Roman" w:eastAsiaTheme="minorHAnsi" w:hAnsi="Times New Roman" w:cs="Times New Roman"/>
          <w:color w:val="000000" w:themeColor="text1"/>
          <w:sz w:val="28"/>
          <w:lang w:eastAsia="en-US"/>
        </w:rPr>
        <w:t>tancia.</w:t>
      </w:r>
    </w:p>
    <w:p w:rsidR="00D17727" w:rsidRPr="000C03D2" w:rsidRDefault="000C03D2" w:rsidP="00A141C2">
      <w:pPr>
        <w:pStyle w:val="NormalWeb"/>
        <w:tabs>
          <w:tab w:val="left" w:pos="426"/>
        </w:tabs>
        <w:spacing w:before="0" w:beforeAutospacing="0" w:after="0" w:afterAutospacing="0"/>
        <w:jc w:val="both"/>
        <w:rPr>
          <w:rFonts w:ascii="Times New Roman" w:eastAsiaTheme="minorHAnsi" w:hAnsi="Times New Roman" w:cs="Times New Roman"/>
          <w:color w:val="000000" w:themeColor="text1"/>
          <w:sz w:val="28"/>
          <w:lang w:eastAsia="en-US"/>
        </w:rPr>
      </w:pPr>
    </w:p>
    <w:p w:rsidR="00D17727" w:rsidRPr="000C03D2" w:rsidRDefault="000C03D2" w:rsidP="00A141C2">
      <w:pPr>
        <w:pStyle w:val="NormalWeb"/>
        <w:numPr>
          <w:ilvl w:val="0"/>
          <w:numId w:val="3"/>
        </w:numPr>
        <w:tabs>
          <w:tab w:val="left" w:pos="426"/>
        </w:tabs>
        <w:spacing w:before="0" w:beforeAutospacing="0" w:after="0" w:afterAutospacing="0"/>
        <w:ind w:left="0" w:firstLine="0"/>
        <w:jc w:val="both"/>
        <w:rPr>
          <w:rFonts w:ascii="Times New Roman" w:eastAsiaTheme="minorHAnsi" w:hAnsi="Times New Roman" w:cs="Times New Roman"/>
          <w:color w:val="000000" w:themeColor="text1"/>
          <w:sz w:val="28"/>
          <w:lang w:eastAsia="en-US"/>
        </w:rPr>
      </w:pPr>
      <w:r w:rsidRPr="000C03D2">
        <w:rPr>
          <w:rFonts w:ascii="Times New Roman" w:eastAsiaTheme="minorHAnsi" w:hAnsi="Times New Roman" w:cs="Times New Roman"/>
          <w:color w:val="000000" w:themeColor="text1"/>
          <w:sz w:val="28"/>
          <w:lang w:eastAsia="en-US"/>
        </w:rPr>
        <w:t>Una vez admitida la demanda, l</w:t>
      </w:r>
      <w:r w:rsidRPr="000C03D2">
        <w:rPr>
          <w:rFonts w:ascii="Times New Roman" w:eastAsiaTheme="minorHAnsi" w:hAnsi="Times New Roman" w:cs="Times New Roman"/>
          <w:color w:val="000000" w:themeColor="text1"/>
          <w:sz w:val="28"/>
          <w:lang w:eastAsia="en-US"/>
        </w:rPr>
        <w:t xml:space="preserve">a Corte se preguntó </w:t>
      </w:r>
      <w:r w:rsidRPr="000C03D2">
        <w:rPr>
          <w:rFonts w:ascii="Times New Roman" w:eastAsiaTheme="minorHAnsi" w:hAnsi="Times New Roman" w:cs="Times New Roman"/>
          <w:color w:val="000000" w:themeColor="text1"/>
          <w:sz w:val="28"/>
          <w:lang w:eastAsia="en-US"/>
        </w:rPr>
        <w:t>si dichas normas incurrían en omisión legislativa al referirse únicamente a mujeres, excluyendo explícitamente a hombres trans y personas no binarias. Para resolverlo, la Corte analizó</w:t>
      </w:r>
      <w:r w:rsidRPr="000C03D2">
        <w:rPr>
          <w:rFonts w:ascii="Times New Roman" w:eastAsiaTheme="minorHAnsi" w:hAnsi="Times New Roman" w:cs="Times New Roman"/>
          <w:color w:val="000000" w:themeColor="text1"/>
          <w:sz w:val="28"/>
          <w:lang w:eastAsia="en-US"/>
        </w:rPr>
        <w:t xml:space="preserve"> </w:t>
      </w:r>
      <w:r w:rsidRPr="000C03D2">
        <w:rPr>
          <w:rFonts w:ascii="Times New Roman" w:eastAsiaTheme="minorHAnsi" w:hAnsi="Times New Roman" w:cs="Times New Roman"/>
          <w:color w:val="000000" w:themeColor="text1"/>
          <w:sz w:val="28"/>
          <w:lang w:eastAsia="en-US"/>
        </w:rPr>
        <w:t>(i) las regl</w:t>
      </w:r>
      <w:r w:rsidRPr="000C03D2">
        <w:rPr>
          <w:rFonts w:ascii="Times New Roman" w:eastAsiaTheme="minorHAnsi" w:hAnsi="Times New Roman" w:cs="Times New Roman"/>
          <w:color w:val="000000" w:themeColor="text1"/>
          <w:sz w:val="28"/>
          <w:lang w:eastAsia="en-US"/>
        </w:rPr>
        <w:t>as sobre omisiones legislativas</w:t>
      </w:r>
      <w:r w:rsidRPr="000C03D2">
        <w:rPr>
          <w:rFonts w:ascii="Times New Roman" w:eastAsiaTheme="minorHAnsi" w:hAnsi="Times New Roman" w:cs="Times New Roman"/>
          <w:color w:val="000000" w:themeColor="text1"/>
          <w:sz w:val="28"/>
          <w:lang w:eastAsia="en-US"/>
        </w:rPr>
        <w:t>;</w:t>
      </w:r>
      <w:r w:rsidRPr="000C03D2">
        <w:rPr>
          <w:rFonts w:ascii="Times New Roman" w:eastAsiaTheme="minorHAnsi" w:hAnsi="Times New Roman" w:cs="Times New Roman"/>
          <w:color w:val="000000" w:themeColor="text1"/>
          <w:sz w:val="28"/>
          <w:lang w:eastAsia="en-US"/>
        </w:rPr>
        <w:t xml:space="preserve"> </w:t>
      </w:r>
      <w:r w:rsidRPr="000C03D2">
        <w:rPr>
          <w:rFonts w:ascii="Times New Roman" w:eastAsiaTheme="minorHAnsi" w:hAnsi="Times New Roman" w:cs="Times New Roman"/>
          <w:color w:val="000000" w:themeColor="text1"/>
          <w:sz w:val="28"/>
          <w:lang w:eastAsia="en-US"/>
        </w:rPr>
        <w:t>(ii) la protección constitucional de la lactancia y los derechos de mujeres y niños</w:t>
      </w:r>
      <w:r w:rsidRPr="000C03D2">
        <w:rPr>
          <w:rFonts w:ascii="Times New Roman" w:eastAsiaTheme="minorHAnsi" w:hAnsi="Times New Roman" w:cs="Times New Roman"/>
          <w:color w:val="000000" w:themeColor="text1"/>
          <w:sz w:val="28"/>
          <w:lang w:eastAsia="en-US"/>
        </w:rPr>
        <w:t>;</w:t>
      </w:r>
      <w:r w:rsidRPr="000C03D2">
        <w:rPr>
          <w:rFonts w:ascii="Times New Roman" w:eastAsiaTheme="minorHAnsi" w:hAnsi="Times New Roman" w:cs="Times New Roman"/>
          <w:color w:val="000000" w:themeColor="text1"/>
          <w:sz w:val="28"/>
          <w:lang w:eastAsia="en-US"/>
        </w:rPr>
        <w:t xml:space="preserve"> y </w:t>
      </w:r>
      <w:r w:rsidRPr="000C03D2">
        <w:rPr>
          <w:rFonts w:ascii="Times New Roman" w:eastAsiaTheme="minorHAnsi" w:hAnsi="Times New Roman" w:cs="Times New Roman"/>
          <w:color w:val="000000" w:themeColor="text1"/>
          <w:sz w:val="28"/>
          <w:lang w:eastAsia="en-US"/>
        </w:rPr>
        <w:t>(iii) los derechos al libre desarrollo de la personalidad y la dignidad humana, así como el alcance de la Sentencia C-324 de 2023.</w:t>
      </w:r>
    </w:p>
    <w:p w:rsidR="00D17727" w:rsidRPr="000C03D2" w:rsidRDefault="000C03D2" w:rsidP="00A141C2">
      <w:pPr>
        <w:pStyle w:val="Prrafodelista"/>
        <w:tabs>
          <w:tab w:val="left" w:pos="426"/>
        </w:tabs>
        <w:rPr>
          <w:rFonts w:ascii="Times New Roman" w:hAnsi="Times New Roman" w:cs="Times New Roman"/>
          <w:color w:val="000000" w:themeColor="text1"/>
        </w:rPr>
      </w:pPr>
    </w:p>
    <w:p w:rsidR="00D214DB" w:rsidRPr="000C03D2" w:rsidRDefault="000C03D2" w:rsidP="00A141C2">
      <w:pPr>
        <w:pStyle w:val="NormalWeb"/>
        <w:numPr>
          <w:ilvl w:val="0"/>
          <w:numId w:val="3"/>
        </w:numPr>
        <w:tabs>
          <w:tab w:val="left" w:pos="426"/>
        </w:tabs>
        <w:spacing w:before="0" w:beforeAutospacing="0" w:after="0" w:afterAutospacing="0"/>
        <w:ind w:left="0" w:firstLine="0"/>
        <w:jc w:val="both"/>
        <w:rPr>
          <w:rFonts w:ascii="Times New Roman" w:eastAsiaTheme="minorHAnsi" w:hAnsi="Times New Roman" w:cs="Times New Roman"/>
          <w:color w:val="000000" w:themeColor="text1"/>
          <w:sz w:val="28"/>
          <w:lang w:eastAsia="en-US"/>
        </w:rPr>
      </w:pPr>
      <w:r w:rsidRPr="000C03D2">
        <w:rPr>
          <w:rFonts w:ascii="Times New Roman" w:eastAsiaTheme="minorHAnsi" w:hAnsi="Times New Roman" w:cs="Times New Roman"/>
          <w:color w:val="000000" w:themeColor="text1"/>
          <w:sz w:val="28"/>
          <w:lang w:eastAsia="en-US"/>
        </w:rPr>
        <w:t xml:space="preserve">Al </w:t>
      </w:r>
      <w:r w:rsidRPr="000C03D2">
        <w:rPr>
          <w:rFonts w:ascii="Times New Roman" w:eastAsiaTheme="minorHAnsi" w:hAnsi="Times New Roman" w:cs="Times New Roman"/>
          <w:color w:val="000000" w:themeColor="text1"/>
          <w:sz w:val="28"/>
          <w:lang w:eastAsia="en-US"/>
        </w:rPr>
        <w:t>resolver el caso concreto, la Sala Plena evidenció la existencia de una omisión legislativa</w:t>
      </w:r>
      <w:r w:rsidRPr="000C03D2">
        <w:rPr>
          <w:rFonts w:ascii="Times New Roman" w:eastAsiaTheme="minorHAnsi" w:hAnsi="Times New Roman" w:cs="Times New Roman"/>
          <w:color w:val="000000" w:themeColor="text1"/>
          <w:sz w:val="28"/>
          <w:lang w:eastAsia="en-US"/>
        </w:rPr>
        <w:t xml:space="preserve"> relativa</w:t>
      </w:r>
      <w:r w:rsidRPr="000C03D2">
        <w:rPr>
          <w:rFonts w:ascii="Times New Roman" w:eastAsiaTheme="minorHAnsi" w:hAnsi="Times New Roman" w:cs="Times New Roman"/>
          <w:color w:val="000000" w:themeColor="text1"/>
          <w:sz w:val="28"/>
          <w:lang w:eastAsia="en-US"/>
        </w:rPr>
        <w:t xml:space="preserve">. En consecuencia, </w:t>
      </w:r>
      <w:r w:rsidRPr="000C03D2">
        <w:rPr>
          <w:rFonts w:ascii="Times New Roman" w:eastAsiaTheme="minorHAnsi" w:hAnsi="Times New Roman" w:cs="Times New Roman"/>
          <w:color w:val="000000" w:themeColor="text1"/>
          <w:sz w:val="28"/>
          <w:lang w:eastAsia="en-US"/>
        </w:rPr>
        <w:t>l</w:t>
      </w:r>
      <w:r w:rsidRPr="000C03D2">
        <w:rPr>
          <w:rFonts w:ascii="Times New Roman" w:eastAsiaTheme="minorHAnsi" w:hAnsi="Times New Roman" w:cs="Times New Roman"/>
          <w:color w:val="000000" w:themeColor="text1"/>
          <w:sz w:val="28"/>
          <w:lang w:eastAsia="en-US"/>
        </w:rPr>
        <w:t>a Corte declaró la exequibilidad condicionada de las expresiones “mujer”, “mujeres”, “madre”, “madres”, “trabajadora” y “trabajadoras” c</w:t>
      </w:r>
      <w:r w:rsidRPr="000C03D2">
        <w:rPr>
          <w:rFonts w:ascii="Times New Roman" w:eastAsiaTheme="minorHAnsi" w:hAnsi="Times New Roman" w:cs="Times New Roman"/>
          <w:color w:val="000000" w:themeColor="text1"/>
          <w:sz w:val="28"/>
          <w:lang w:eastAsia="en-US"/>
        </w:rPr>
        <w:t>ontenidas en dichas disposiciones, en el entendido de que las normas aplicaban a todas las personas en etapa de lactancia. Señaló que los vocablos utilizados no eran neutros y, por tanto, no podían extenderse automáticamente a otras personas que también la</w:t>
      </w:r>
      <w:r w:rsidRPr="000C03D2">
        <w:rPr>
          <w:rFonts w:ascii="Times New Roman" w:eastAsiaTheme="minorHAnsi" w:hAnsi="Times New Roman" w:cs="Times New Roman"/>
          <w:color w:val="000000" w:themeColor="text1"/>
          <w:sz w:val="28"/>
          <w:lang w:eastAsia="en-US"/>
        </w:rPr>
        <w:t>ctaban y cumplían funciones de cuidado, lo que evidenciaba una exclusión injustificada.</w:t>
      </w:r>
    </w:p>
    <w:p w:rsidR="00D214DB" w:rsidRPr="000C03D2" w:rsidRDefault="000C03D2" w:rsidP="00A141C2">
      <w:pPr>
        <w:pStyle w:val="Prrafodelista"/>
        <w:tabs>
          <w:tab w:val="left" w:pos="426"/>
        </w:tabs>
        <w:rPr>
          <w:rFonts w:ascii="Times New Roman" w:hAnsi="Times New Roman" w:cs="Times New Roman"/>
          <w:color w:val="000000" w:themeColor="text1"/>
        </w:rPr>
      </w:pPr>
    </w:p>
    <w:p w:rsidR="007B5917" w:rsidRPr="000C03D2" w:rsidRDefault="000C03D2" w:rsidP="00A141C2">
      <w:pPr>
        <w:pStyle w:val="NormalWeb"/>
        <w:numPr>
          <w:ilvl w:val="0"/>
          <w:numId w:val="3"/>
        </w:numPr>
        <w:tabs>
          <w:tab w:val="left" w:pos="426"/>
        </w:tabs>
        <w:spacing w:before="0" w:beforeAutospacing="0" w:after="0" w:afterAutospacing="0"/>
        <w:ind w:left="0" w:firstLine="0"/>
        <w:jc w:val="both"/>
        <w:rPr>
          <w:rFonts w:ascii="Times New Roman" w:eastAsiaTheme="minorHAnsi" w:hAnsi="Times New Roman" w:cs="Times New Roman"/>
          <w:color w:val="000000" w:themeColor="text1"/>
          <w:sz w:val="28"/>
          <w:lang w:eastAsia="en-US"/>
        </w:rPr>
      </w:pPr>
      <w:r w:rsidRPr="000C03D2">
        <w:rPr>
          <w:rFonts w:ascii="Times New Roman" w:eastAsiaTheme="minorHAnsi" w:hAnsi="Times New Roman" w:cs="Times New Roman"/>
          <w:color w:val="000000" w:themeColor="text1"/>
          <w:sz w:val="28"/>
          <w:lang w:eastAsia="en-US"/>
        </w:rPr>
        <w:t>Esta exclusión vulneraba deberes constitucionales impuestos al legislador, como los mandatos de igualdad, la protección de las personas gestantes antes y después del p</w:t>
      </w:r>
      <w:r w:rsidRPr="000C03D2">
        <w:rPr>
          <w:rFonts w:ascii="Times New Roman" w:eastAsiaTheme="minorHAnsi" w:hAnsi="Times New Roman" w:cs="Times New Roman"/>
          <w:color w:val="000000" w:themeColor="text1"/>
          <w:sz w:val="28"/>
          <w:lang w:eastAsia="en-US"/>
        </w:rPr>
        <w:t xml:space="preserve">arto, la prevalencia de los derechos de los niños y niñas, la protección de la familia y el principio </w:t>
      </w:r>
      <w:r w:rsidRPr="000C03D2">
        <w:rPr>
          <w:rFonts w:ascii="Times New Roman" w:eastAsiaTheme="minorHAnsi" w:hAnsi="Times New Roman" w:cs="Times New Roman"/>
          <w:i/>
          <w:iCs/>
          <w:color w:val="000000" w:themeColor="text1"/>
          <w:sz w:val="28"/>
          <w:lang w:eastAsia="en-US"/>
        </w:rPr>
        <w:t>pro persona</w:t>
      </w:r>
      <w:r w:rsidRPr="000C03D2">
        <w:rPr>
          <w:rFonts w:ascii="Times New Roman" w:eastAsiaTheme="minorHAnsi" w:hAnsi="Times New Roman" w:cs="Times New Roman"/>
          <w:color w:val="000000" w:themeColor="text1"/>
          <w:sz w:val="28"/>
          <w:lang w:eastAsia="en-US"/>
        </w:rPr>
        <w:t>. La Corte advirtió que la interpretación debía ser dialógica y evolutiva, orientada a expandir la protección de derechos sin desconocer avance</w:t>
      </w:r>
      <w:r w:rsidRPr="000C03D2">
        <w:rPr>
          <w:rFonts w:ascii="Times New Roman" w:eastAsiaTheme="minorHAnsi" w:hAnsi="Times New Roman" w:cs="Times New Roman"/>
          <w:color w:val="000000" w:themeColor="text1"/>
          <w:sz w:val="28"/>
          <w:lang w:eastAsia="en-US"/>
        </w:rPr>
        <w:t>s previos, y destacó que la exclusión afectaba los derechos de los niños y niñas, cuya garantía no dependía de la identidad de género de sus cuidadores.</w:t>
      </w:r>
    </w:p>
    <w:p w:rsidR="007B5917" w:rsidRPr="000C03D2" w:rsidRDefault="000C03D2" w:rsidP="00A141C2">
      <w:pPr>
        <w:pStyle w:val="Prrafodelista"/>
        <w:tabs>
          <w:tab w:val="left" w:pos="426"/>
        </w:tabs>
        <w:rPr>
          <w:rFonts w:ascii="Times New Roman" w:hAnsi="Times New Roman" w:cs="Times New Roman"/>
          <w:color w:val="000000" w:themeColor="text1"/>
        </w:rPr>
      </w:pPr>
    </w:p>
    <w:p w:rsidR="007B5917" w:rsidRPr="000C03D2" w:rsidRDefault="000C03D2" w:rsidP="00A141C2">
      <w:pPr>
        <w:pStyle w:val="NormalWeb"/>
        <w:numPr>
          <w:ilvl w:val="0"/>
          <w:numId w:val="3"/>
        </w:numPr>
        <w:tabs>
          <w:tab w:val="left" w:pos="426"/>
        </w:tabs>
        <w:spacing w:before="0" w:beforeAutospacing="0" w:after="0" w:afterAutospacing="0"/>
        <w:ind w:left="0" w:firstLine="0"/>
        <w:jc w:val="both"/>
        <w:rPr>
          <w:rFonts w:ascii="Times New Roman" w:eastAsiaTheme="minorHAnsi" w:hAnsi="Times New Roman" w:cs="Times New Roman"/>
          <w:color w:val="000000" w:themeColor="text1"/>
          <w:sz w:val="28"/>
          <w:lang w:eastAsia="en-US"/>
        </w:rPr>
      </w:pPr>
      <w:r w:rsidRPr="000C03D2">
        <w:rPr>
          <w:rFonts w:ascii="Times New Roman" w:eastAsiaTheme="minorHAnsi" w:hAnsi="Times New Roman" w:cs="Times New Roman"/>
          <w:color w:val="000000" w:themeColor="text1"/>
          <w:sz w:val="28"/>
          <w:lang w:eastAsia="en-US"/>
        </w:rPr>
        <w:t xml:space="preserve">Asimismo, concluyó que la exclusión carecía de justificación suficiente, pues el hecho protegido </w:t>
      </w:r>
      <w:r w:rsidRPr="000C03D2">
        <w:rPr>
          <w:rFonts w:ascii="Times New Roman" w:eastAsiaTheme="minorHAnsi" w:hAnsi="Times New Roman" w:cs="Times New Roman"/>
          <w:color w:val="000000" w:themeColor="text1"/>
          <w:sz w:val="28"/>
          <w:lang w:eastAsia="en-US"/>
        </w:rPr>
        <w:t>-</w:t>
      </w:r>
      <w:r w:rsidRPr="000C03D2">
        <w:rPr>
          <w:rFonts w:ascii="Times New Roman" w:eastAsiaTheme="minorHAnsi" w:hAnsi="Times New Roman" w:cs="Times New Roman"/>
          <w:color w:val="000000" w:themeColor="text1"/>
          <w:sz w:val="28"/>
          <w:lang w:eastAsia="en-US"/>
        </w:rPr>
        <w:t xml:space="preserve">la </w:t>
      </w:r>
      <w:r w:rsidRPr="000C03D2">
        <w:rPr>
          <w:rFonts w:ascii="Times New Roman" w:eastAsiaTheme="minorHAnsi" w:hAnsi="Times New Roman" w:cs="Times New Roman"/>
          <w:color w:val="000000" w:themeColor="text1"/>
          <w:sz w:val="28"/>
          <w:lang w:eastAsia="en-US"/>
        </w:rPr>
        <w:t>lactancia</w:t>
      </w:r>
      <w:r w:rsidRPr="000C03D2">
        <w:rPr>
          <w:rFonts w:ascii="Times New Roman" w:eastAsiaTheme="minorHAnsi" w:hAnsi="Times New Roman" w:cs="Times New Roman"/>
          <w:color w:val="000000" w:themeColor="text1"/>
          <w:sz w:val="28"/>
          <w:lang w:eastAsia="en-US"/>
        </w:rPr>
        <w:t>-</w:t>
      </w:r>
      <w:r w:rsidRPr="000C03D2">
        <w:rPr>
          <w:rFonts w:ascii="Times New Roman" w:eastAsiaTheme="minorHAnsi" w:hAnsi="Times New Roman" w:cs="Times New Roman"/>
          <w:color w:val="000000" w:themeColor="text1"/>
          <w:sz w:val="28"/>
          <w:lang w:eastAsia="en-US"/>
        </w:rPr>
        <w:t xml:space="preserve"> era biológico y extensible a otras personas. </w:t>
      </w:r>
      <w:r w:rsidRPr="000C03D2">
        <w:rPr>
          <w:rFonts w:ascii="Times New Roman" w:eastAsiaTheme="minorHAnsi" w:hAnsi="Times New Roman" w:cs="Times New Roman"/>
          <w:color w:val="000000" w:themeColor="text1"/>
          <w:sz w:val="28"/>
          <w:lang w:eastAsia="en-US"/>
        </w:rPr>
        <w:t>Pese a ello, e</w:t>
      </w:r>
      <w:r w:rsidRPr="000C03D2">
        <w:rPr>
          <w:rFonts w:ascii="Times New Roman" w:eastAsiaTheme="minorHAnsi" w:hAnsi="Times New Roman" w:cs="Times New Roman"/>
          <w:color w:val="000000" w:themeColor="text1"/>
          <w:sz w:val="28"/>
          <w:lang w:eastAsia="en-US"/>
        </w:rPr>
        <w:t xml:space="preserve">l legislador no explicó la exclusión, utilizó un lenguaje que solo contemplaba a mujeres y no consideró otras experiencias de vida, a pesar de que la jurisprudencia ya había avanzado en </w:t>
      </w:r>
      <w:r w:rsidRPr="000C03D2">
        <w:rPr>
          <w:rFonts w:ascii="Times New Roman" w:eastAsiaTheme="minorHAnsi" w:hAnsi="Times New Roman" w:cs="Times New Roman"/>
          <w:color w:val="000000" w:themeColor="text1"/>
          <w:sz w:val="28"/>
          <w:lang w:eastAsia="en-US"/>
        </w:rPr>
        <w:t>la protección de estos derechos. Tampoco era válido alegar efectos fiscales para negar la extensión de beneficios.</w:t>
      </w:r>
    </w:p>
    <w:p w:rsidR="007B5917" w:rsidRPr="000C03D2" w:rsidRDefault="000C03D2" w:rsidP="00A141C2">
      <w:pPr>
        <w:pStyle w:val="Prrafodelista"/>
        <w:tabs>
          <w:tab w:val="left" w:pos="426"/>
        </w:tabs>
        <w:rPr>
          <w:rFonts w:ascii="Times New Roman" w:hAnsi="Times New Roman" w:cs="Times New Roman"/>
          <w:color w:val="000000" w:themeColor="text1"/>
        </w:rPr>
      </w:pPr>
    </w:p>
    <w:p w:rsidR="00D17727" w:rsidRPr="000C03D2" w:rsidRDefault="000C03D2" w:rsidP="00A141C2">
      <w:pPr>
        <w:pStyle w:val="NormalWeb"/>
        <w:numPr>
          <w:ilvl w:val="0"/>
          <w:numId w:val="3"/>
        </w:numPr>
        <w:tabs>
          <w:tab w:val="left" w:pos="426"/>
        </w:tabs>
        <w:spacing w:before="0" w:beforeAutospacing="0" w:after="0" w:afterAutospacing="0"/>
        <w:ind w:left="0" w:firstLine="0"/>
        <w:jc w:val="both"/>
        <w:rPr>
          <w:rFonts w:ascii="Times New Roman" w:eastAsiaTheme="minorHAnsi" w:hAnsi="Times New Roman" w:cs="Times New Roman"/>
          <w:color w:val="000000" w:themeColor="text1"/>
          <w:sz w:val="28"/>
          <w:lang w:eastAsia="en-US"/>
        </w:rPr>
      </w:pPr>
      <w:r w:rsidRPr="000C03D2">
        <w:rPr>
          <w:rFonts w:ascii="Times New Roman" w:eastAsiaTheme="minorHAnsi" w:hAnsi="Times New Roman" w:cs="Times New Roman"/>
          <w:color w:val="000000" w:themeColor="text1"/>
          <w:sz w:val="28"/>
          <w:lang w:eastAsia="en-US"/>
        </w:rPr>
        <w:t xml:space="preserve">Finalmente, la Corte determinó que la exclusión generaba una desigualdad negativa, vulneraba el principio de igualdad y producía un déficit </w:t>
      </w:r>
      <w:r w:rsidRPr="000C03D2">
        <w:rPr>
          <w:rFonts w:ascii="Times New Roman" w:eastAsiaTheme="minorHAnsi" w:hAnsi="Times New Roman" w:cs="Times New Roman"/>
          <w:color w:val="000000" w:themeColor="text1"/>
          <w:sz w:val="28"/>
          <w:lang w:eastAsia="en-US"/>
        </w:rPr>
        <w:t>de protección constitucional intolerable, al impedir que un grupo poblacional ejerciera la lactancia y el cuidado infantil en condiciones de dignidad y seguridad.</w:t>
      </w:r>
    </w:p>
    <w:p w:rsidR="00081A2E" w:rsidRPr="000C03D2" w:rsidRDefault="000C03D2" w:rsidP="00E253D3">
      <w:pPr>
        <w:rPr>
          <w:rFonts w:ascii="Times New Roman" w:hAnsi="Times New Roman" w:cs="Times New Roman"/>
          <w:color w:val="000000" w:themeColor="text1"/>
          <w:sz w:val="28"/>
          <w:szCs w:val="28"/>
        </w:rPr>
      </w:pPr>
    </w:p>
    <w:p w:rsidR="00081A2E" w:rsidRPr="000C03D2" w:rsidRDefault="000C03D2" w:rsidP="00081A2E">
      <w:pPr>
        <w:pStyle w:val="Prrafodelista"/>
        <w:numPr>
          <w:ilvl w:val="1"/>
          <w:numId w:val="4"/>
        </w:numPr>
        <w:tabs>
          <w:tab w:val="left" w:pos="426"/>
        </w:tabs>
        <w:rPr>
          <w:rFonts w:ascii="Times New Roman" w:hAnsi="Times New Roman" w:cs="Times New Roman"/>
          <w:i/>
          <w:iCs/>
          <w:color w:val="000000" w:themeColor="text1"/>
          <w:szCs w:val="28"/>
        </w:rPr>
      </w:pPr>
      <w:r w:rsidRPr="000C03D2">
        <w:rPr>
          <w:rFonts w:ascii="Times New Roman" w:hAnsi="Times New Roman" w:cs="Times New Roman"/>
          <w:i/>
          <w:iCs/>
          <w:color w:val="000000" w:themeColor="text1"/>
          <w:szCs w:val="28"/>
        </w:rPr>
        <w:t>La Sentencia C-409 de 2025</w:t>
      </w:r>
    </w:p>
    <w:p w:rsidR="00AC6B50" w:rsidRPr="000C03D2" w:rsidRDefault="000C03D2" w:rsidP="002E1681">
      <w:pPr>
        <w:pStyle w:val="Prrafodelista"/>
        <w:widowControl w:val="0"/>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rPr>
          <w:rFonts w:ascii="Times New Roman" w:hAnsi="Times New Roman" w:cs="Times New Roman"/>
          <w:b/>
          <w:bCs/>
          <w:color w:val="000000" w:themeColor="text1"/>
          <w:lang w:val="es-ES_tradnl"/>
        </w:rPr>
      </w:pPr>
    </w:p>
    <w:p w:rsidR="00081A2E" w:rsidRPr="000C03D2" w:rsidRDefault="000C03D2" w:rsidP="002E1681">
      <w:pPr>
        <w:pStyle w:val="Prrafodelista"/>
        <w:numPr>
          <w:ilvl w:val="0"/>
          <w:numId w:val="3"/>
        </w:numPr>
        <w:ind w:left="0" w:firstLine="0"/>
        <w:rPr>
          <w:rFonts w:ascii="Times New Roman" w:eastAsia="Times New Roman" w:hAnsi="Times New Roman" w:cs="Times New Roman"/>
          <w:color w:val="000000" w:themeColor="text1"/>
          <w:szCs w:val="28"/>
          <w:lang w:eastAsia="es-ES_tradnl"/>
        </w:rPr>
      </w:pPr>
      <w:r w:rsidRPr="000C03D2">
        <w:rPr>
          <w:rFonts w:ascii="Times New Roman" w:eastAsia="Times New Roman" w:hAnsi="Times New Roman" w:cs="Times New Roman"/>
          <w:color w:val="000000" w:themeColor="text1"/>
          <w:szCs w:val="28"/>
          <w:lang w:eastAsia="es-ES_tradnl"/>
        </w:rPr>
        <w:t xml:space="preserve">Recientemente, en la Sentencia </w:t>
      </w:r>
      <w:r w:rsidRPr="000C03D2">
        <w:rPr>
          <w:rFonts w:ascii="Times New Roman" w:eastAsia="Times New Roman" w:hAnsi="Times New Roman" w:cs="Times New Roman"/>
          <w:color w:val="000000" w:themeColor="text1"/>
          <w:szCs w:val="28"/>
          <w:lang w:eastAsia="es-ES_tradnl"/>
        </w:rPr>
        <w:t>C-409 de 2025 la Corte declaró la</w:t>
      </w:r>
      <w:r w:rsidRPr="000C03D2">
        <w:rPr>
          <w:rFonts w:ascii="Times New Roman" w:eastAsia="Times New Roman" w:hAnsi="Times New Roman" w:cs="Times New Roman"/>
          <w:color w:val="000000" w:themeColor="text1"/>
          <w:szCs w:val="28"/>
          <w:lang w:eastAsia="es-ES_tradnl"/>
        </w:rPr>
        <w:t xml:space="preserve"> constitucionalidad del Convenio 183 de la OIT, sobre la protección a la maternidad, en el entendido de que algunas disposiciones que hacen referencia a la “mujeres”, “mujeres” y “madre” aplican a todas las personas gestantes y en etapa de lactancia</w:t>
      </w:r>
      <w:r w:rsidRPr="000C03D2">
        <w:rPr>
          <w:rFonts w:ascii="Times New Roman" w:eastAsia="Times New Roman" w:hAnsi="Times New Roman" w:cs="Times New Roman"/>
          <w:color w:val="000000" w:themeColor="text1"/>
          <w:szCs w:val="28"/>
          <w:lang w:eastAsia="es-ES_tradnl"/>
        </w:rPr>
        <w:t>.</w:t>
      </w:r>
    </w:p>
    <w:p w:rsidR="00E253D3" w:rsidRPr="000C03D2" w:rsidRDefault="000C03D2" w:rsidP="00E253D3">
      <w:pPr>
        <w:pStyle w:val="Prrafodelista"/>
        <w:ind w:left="0"/>
        <w:rPr>
          <w:rFonts w:ascii="Times New Roman" w:eastAsia="Times New Roman" w:hAnsi="Times New Roman" w:cs="Times New Roman"/>
          <w:color w:val="000000" w:themeColor="text1"/>
          <w:szCs w:val="28"/>
          <w:lang w:eastAsia="es-ES_tradnl"/>
        </w:rPr>
      </w:pPr>
    </w:p>
    <w:p w:rsidR="003C42FC" w:rsidRPr="000C03D2" w:rsidRDefault="000C03D2" w:rsidP="003C42FC">
      <w:pPr>
        <w:pStyle w:val="Prrafodelista"/>
        <w:numPr>
          <w:ilvl w:val="0"/>
          <w:numId w:val="3"/>
        </w:numPr>
        <w:ind w:left="0" w:firstLine="0"/>
        <w:rPr>
          <w:rFonts w:ascii="Times New Roman" w:eastAsia="Times New Roman" w:hAnsi="Times New Roman" w:cs="Times New Roman"/>
          <w:color w:val="000000" w:themeColor="text1"/>
          <w:szCs w:val="28"/>
          <w:lang w:eastAsia="es-ES_tradnl"/>
        </w:rPr>
      </w:pPr>
      <w:r w:rsidRPr="000C03D2">
        <w:rPr>
          <w:rFonts w:ascii="Times New Roman" w:hAnsi="Times New Roman" w:cs="Times New Roman"/>
          <w:color w:val="000000" w:themeColor="text1"/>
          <w:szCs w:val="28"/>
        </w:rPr>
        <w:t xml:space="preserve">En </w:t>
      </w:r>
      <w:r w:rsidRPr="000C03D2">
        <w:rPr>
          <w:rFonts w:ascii="Times New Roman" w:hAnsi="Times New Roman" w:cs="Times New Roman"/>
          <w:color w:val="000000" w:themeColor="text1"/>
          <w:szCs w:val="28"/>
        </w:rPr>
        <w:t>esta decisión la Corte consideró que “las disposiciones incluidas en el Convenio estaban conformes con la Constitución en tanto desarrollaban derechos y garantías centrales del ordenamiento constitucional, como la protección del trabajo en condiciones dign</w:t>
      </w:r>
      <w:r w:rsidRPr="000C03D2">
        <w:rPr>
          <w:rFonts w:ascii="Times New Roman" w:hAnsi="Times New Roman" w:cs="Times New Roman"/>
          <w:color w:val="000000" w:themeColor="text1"/>
          <w:szCs w:val="28"/>
        </w:rPr>
        <w:t>as y justas, </w:t>
      </w:r>
      <w:r w:rsidRPr="000C03D2">
        <w:rPr>
          <w:rStyle w:val="Textoennegrita"/>
          <w:rFonts w:ascii="Times New Roman" w:eastAsiaTheme="majorEastAsia" w:hAnsi="Times New Roman" w:cs="Times New Roman"/>
          <w:color w:val="000000" w:themeColor="text1"/>
          <w:szCs w:val="28"/>
        </w:rPr>
        <w:t>la protección de la maternidad</w:t>
      </w:r>
      <w:r w:rsidRPr="000C03D2">
        <w:rPr>
          <w:rFonts w:ascii="Times New Roman" w:hAnsi="Times New Roman" w:cs="Times New Roman"/>
          <w:color w:val="000000" w:themeColor="text1"/>
          <w:szCs w:val="28"/>
        </w:rPr>
        <w:t>, el principio de </w:t>
      </w:r>
      <w:r w:rsidRPr="000C03D2">
        <w:rPr>
          <w:rStyle w:val="Textoennegrita"/>
          <w:rFonts w:ascii="Times New Roman" w:eastAsiaTheme="majorEastAsia" w:hAnsi="Times New Roman" w:cs="Times New Roman"/>
          <w:color w:val="000000" w:themeColor="text1"/>
          <w:szCs w:val="28"/>
        </w:rPr>
        <w:t>universalidad</w:t>
      </w:r>
      <w:r w:rsidRPr="000C03D2">
        <w:rPr>
          <w:rFonts w:ascii="Times New Roman" w:hAnsi="Times New Roman" w:cs="Times New Roman"/>
          <w:color w:val="000000" w:themeColor="text1"/>
          <w:szCs w:val="28"/>
        </w:rPr>
        <w:t> de la seguridad social, los derechos a la salud y a la vida, entre otros”</w:t>
      </w:r>
      <w:r w:rsidRPr="000C03D2">
        <w:rPr>
          <w:rStyle w:val="Refdenotaalpie"/>
          <w:rFonts w:ascii="Times New Roman" w:hAnsi="Times New Roman" w:cs="Times New Roman"/>
          <w:color w:val="000000" w:themeColor="text1"/>
          <w:szCs w:val="28"/>
        </w:rPr>
        <w:footnoteReference w:id="73"/>
      </w:r>
      <w:r w:rsidRPr="000C03D2">
        <w:rPr>
          <w:rFonts w:ascii="Times New Roman" w:hAnsi="Times New Roman" w:cs="Times New Roman"/>
          <w:color w:val="000000" w:themeColor="text1"/>
          <w:szCs w:val="28"/>
        </w:rPr>
        <w:t>.</w:t>
      </w:r>
    </w:p>
    <w:p w:rsidR="003C42FC" w:rsidRPr="000C03D2" w:rsidRDefault="000C03D2" w:rsidP="003C42FC">
      <w:pPr>
        <w:pStyle w:val="Prrafodelista"/>
        <w:ind w:left="0"/>
        <w:rPr>
          <w:rFonts w:ascii="Times New Roman" w:eastAsia="Times New Roman" w:hAnsi="Times New Roman" w:cs="Times New Roman"/>
          <w:color w:val="000000" w:themeColor="text1"/>
          <w:szCs w:val="28"/>
          <w:lang w:eastAsia="es-ES_tradnl"/>
        </w:rPr>
      </w:pPr>
    </w:p>
    <w:p w:rsidR="003C42FC" w:rsidRPr="000C03D2" w:rsidRDefault="000C03D2" w:rsidP="003C42FC">
      <w:pPr>
        <w:pStyle w:val="Prrafodelista"/>
        <w:numPr>
          <w:ilvl w:val="0"/>
          <w:numId w:val="3"/>
        </w:numPr>
        <w:ind w:left="0" w:firstLine="0"/>
        <w:rPr>
          <w:rFonts w:ascii="Times New Roman" w:eastAsia="Times New Roman" w:hAnsi="Times New Roman" w:cs="Times New Roman"/>
          <w:color w:val="000000" w:themeColor="text1"/>
          <w:szCs w:val="28"/>
          <w:lang w:eastAsia="es-ES_tradnl"/>
        </w:rPr>
      </w:pPr>
      <w:r w:rsidRPr="000C03D2">
        <w:rPr>
          <w:rFonts w:ascii="Times New Roman" w:hAnsi="Times New Roman" w:cs="Times New Roman"/>
          <w:color w:val="000000" w:themeColor="text1"/>
          <w:szCs w:val="28"/>
        </w:rPr>
        <w:t>Sin embargo, la Sala Plena advirtió que limitar la regulación al</w:t>
      </w:r>
      <w:r w:rsidRPr="000C03D2">
        <w:rPr>
          <w:rFonts w:ascii="Times New Roman" w:hAnsi="Times New Roman" w:cs="Times New Roman"/>
          <w:color w:val="000000" w:themeColor="text1"/>
          <w:szCs w:val="28"/>
        </w:rPr>
        <w:t xml:space="preserve"> término “mujer”</w:t>
      </w:r>
      <w:r w:rsidRPr="000C03D2">
        <w:rPr>
          <w:rFonts w:ascii="Times New Roman" w:hAnsi="Times New Roman" w:cs="Times New Roman"/>
          <w:color w:val="000000" w:themeColor="text1"/>
          <w:szCs w:val="28"/>
        </w:rPr>
        <w:t xml:space="preserve"> generaría</w:t>
      </w:r>
      <w:r w:rsidRPr="000C03D2">
        <w:rPr>
          <w:rFonts w:ascii="Times New Roman" w:hAnsi="Times New Roman" w:cs="Times New Roman"/>
          <w:color w:val="000000" w:themeColor="text1"/>
          <w:szCs w:val="28"/>
        </w:rPr>
        <w:t xml:space="preserve"> un problema d</w:t>
      </w:r>
      <w:r w:rsidRPr="000C03D2">
        <w:rPr>
          <w:rFonts w:ascii="Times New Roman" w:hAnsi="Times New Roman" w:cs="Times New Roman"/>
          <w:color w:val="000000" w:themeColor="text1"/>
          <w:szCs w:val="28"/>
        </w:rPr>
        <w:t xml:space="preserve">e constitucionalidad </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al afectar derechos de aquellas personas que sin identificarse en la categoría de mujer </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como los hombres trans y las personas no binarias- tienen la capacidad bilógica de gestar y lactar</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En concreto, la Corte consideró que dicha ex</w:t>
      </w:r>
      <w:r w:rsidRPr="000C03D2">
        <w:rPr>
          <w:rFonts w:ascii="Times New Roman" w:hAnsi="Times New Roman" w:cs="Times New Roman"/>
          <w:color w:val="000000" w:themeColor="text1"/>
          <w:szCs w:val="28"/>
        </w:rPr>
        <w:t>clusión desconoce</w:t>
      </w:r>
      <w:r w:rsidRPr="000C03D2">
        <w:rPr>
          <w:rFonts w:ascii="Times New Roman" w:hAnsi="Times New Roman" w:cs="Times New Roman"/>
          <w:color w:val="000000" w:themeColor="text1"/>
          <w:szCs w:val="28"/>
        </w:rPr>
        <w:t>ría</w:t>
      </w:r>
      <w:r w:rsidRPr="000C03D2">
        <w:rPr>
          <w:rFonts w:ascii="Times New Roman" w:hAnsi="Times New Roman" w:cs="Times New Roman"/>
          <w:color w:val="000000" w:themeColor="text1"/>
          <w:szCs w:val="28"/>
        </w:rPr>
        <w:t xml:space="preserve"> los derechos a la</w:t>
      </w:r>
      <w:r w:rsidRPr="000C03D2">
        <w:rPr>
          <w:rFonts w:ascii="Times New Roman" w:hAnsi="Times New Roman" w:cs="Times New Roman"/>
          <w:color w:val="000000" w:themeColor="text1"/>
          <w:szCs w:val="28"/>
        </w:rPr>
        <w:t xml:space="preserve"> identidad de género, </w:t>
      </w:r>
      <w:r w:rsidRPr="000C03D2">
        <w:rPr>
          <w:rFonts w:ascii="Times New Roman" w:hAnsi="Times New Roman" w:cs="Times New Roman"/>
          <w:color w:val="000000" w:themeColor="text1"/>
          <w:szCs w:val="28"/>
        </w:rPr>
        <w:t xml:space="preserve">a </w:t>
      </w:r>
      <w:r w:rsidRPr="000C03D2">
        <w:rPr>
          <w:rFonts w:ascii="Times New Roman" w:hAnsi="Times New Roman" w:cs="Times New Roman"/>
          <w:color w:val="000000" w:themeColor="text1"/>
          <w:szCs w:val="28"/>
        </w:rPr>
        <w:t xml:space="preserve">la igualdad y la protección reforzada que debe brindar el Estado a la persona durante el embarazo y después del parto, </w:t>
      </w:r>
      <w:r w:rsidRPr="000C03D2">
        <w:rPr>
          <w:rFonts w:ascii="Times New Roman" w:hAnsi="Times New Roman" w:cs="Times New Roman"/>
          <w:color w:val="000000" w:themeColor="text1"/>
          <w:szCs w:val="28"/>
        </w:rPr>
        <w:t>así como el</w:t>
      </w:r>
      <w:r w:rsidRPr="000C03D2">
        <w:rPr>
          <w:rFonts w:ascii="Times New Roman" w:hAnsi="Times New Roman" w:cs="Times New Roman"/>
          <w:color w:val="000000" w:themeColor="text1"/>
          <w:szCs w:val="28"/>
        </w:rPr>
        <w:t xml:space="preserve"> derecho al cuidado y el principio del interés superior de los n</w:t>
      </w:r>
      <w:r w:rsidRPr="000C03D2">
        <w:rPr>
          <w:rFonts w:ascii="Times New Roman" w:hAnsi="Times New Roman" w:cs="Times New Roman"/>
          <w:color w:val="000000" w:themeColor="text1"/>
          <w:szCs w:val="28"/>
        </w:rPr>
        <w:t>iños y niñas.</w:t>
      </w:r>
      <w:r w:rsidRPr="000C03D2">
        <w:rPr>
          <w:rFonts w:ascii="Times New Roman" w:hAnsi="Times New Roman" w:cs="Times New Roman"/>
          <w:color w:val="000000" w:themeColor="text1"/>
          <w:szCs w:val="28"/>
        </w:rPr>
        <w:t xml:space="preserve"> Debido a ello, condicionó las expresiones en los términos ya expuestos. </w:t>
      </w:r>
    </w:p>
    <w:p w:rsidR="00081A2E" w:rsidRPr="000C03D2" w:rsidRDefault="000C03D2" w:rsidP="00A141C2">
      <w:pPr>
        <w:pStyle w:val="Prrafodelista"/>
        <w:widowControl w:val="0"/>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rPr>
          <w:rFonts w:ascii="Times New Roman" w:hAnsi="Times New Roman" w:cs="Times New Roman"/>
          <w:b/>
          <w:bCs/>
          <w:color w:val="000000" w:themeColor="text1"/>
          <w:lang w:val="es-ES_tradnl"/>
        </w:rPr>
      </w:pPr>
    </w:p>
    <w:p w:rsidR="00B73395" w:rsidRPr="000C03D2" w:rsidRDefault="000C03D2" w:rsidP="00B73395">
      <w:pPr>
        <w:pStyle w:val="Prrafodelista"/>
        <w:widowControl w:val="0"/>
        <w:numPr>
          <w:ilvl w:val="1"/>
          <w:numId w:val="4"/>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9"/>
        <w:rPr>
          <w:rFonts w:ascii="Times New Roman" w:hAnsi="Times New Roman" w:cs="Times New Roman"/>
          <w:i/>
          <w:iCs/>
          <w:color w:val="000000" w:themeColor="text1"/>
          <w:lang w:val="es-ES_tradnl"/>
        </w:rPr>
      </w:pPr>
      <w:r w:rsidRPr="000C03D2">
        <w:rPr>
          <w:rFonts w:ascii="Times New Roman" w:hAnsi="Times New Roman" w:cs="Times New Roman"/>
          <w:i/>
          <w:iCs/>
          <w:color w:val="000000" w:themeColor="text1"/>
          <w:lang w:val="es-ES_tradnl"/>
        </w:rPr>
        <w:t xml:space="preserve">Avances normativos en el reconocimiento de la diversidad en uso de lenguaje inclusivo </w:t>
      </w:r>
    </w:p>
    <w:p w:rsidR="00B73395" w:rsidRPr="000C03D2" w:rsidRDefault="000C03D2" w:rsidP="00B73395">
      <w:pPr>
        <w:pStyle w:val="Prrafodelista"/>
        <w:widowControl w:val="0"/>
        <w:tabs>
          <w:tab w:val="left" w:pos="426"/>
        </w:tabs>
        <w:ind w:left="0"/>
        <w:rPr>
          <w:rFonts w:ascii="Times New Roman" w:hAnsi="Times New Roman" w:cs="Times New Roman"/>
          <w:color w:val="000000" w:themeColor="text1"/>
        </w:rPr>
      </w:pPr>
    </w:p>
    <w:p w:rsidR="00B73395" w:rsidRPr="000C03D2" w:rsidRDefault="000C03D2" w:rsidP="00B73395">
      <w:pPr>
        <w:pStyle w:val="Prrafodelista"/>
        <w:widowControl w:val="0"/>
        <w:numPr>
          <w:ilvl w:val="0"/>
          <w:numId w:val="3"/>
        </w:numPr>
        <w:tabs>
          <w:tab w:val="left" w:pos="567"/>
          <w:tab w:val="left" w:pos="709"/>
        </w:tabs>
        <w:ind w:left="0" w:firstLine="0"/>
        <w:rPr>
          <w:rFonts w:ascii="Times New Roman" w:hAnsi="Times New Roman" w:cs="Times New Roman"/>
          <w:color w:val="000000" w:themeColor="text1"/>
        </w:rPr>
      </w:pPr>
      <w:r w:rsidRPr="000C03D2">
        <w:rPr>
          <w:rFonts w:ascii="Times New Roman" w:hAnsi="Times New Roman" w:cs="Times New Roman"/>
          <w:color w:val="000000" w:themeColor="text1"/>
        </w:rPr>
        <w:t>La Sala Plena reconoce que el Congreso de la República y el Gobierno nacional han expedido normas en las que se reconoce la diversidad en materia de embarazo, mediante el uso de lenguaje inclusivo, lo cual evidencia un avance en el derecho positivo paralel</w:t>
      </w:r>
      <w:r w:rsidRPr="000C03D2">
        <w:rPr>
          <w:rFonts w:ascii="Times New Roman" w:hAnsi="Times New Roman" w:cs="Times New Roman"/>
          <w:color w:val="000000" w:themeColor="text1"/>
        </w:rPr>
        <w:t xml:space="preserve">o a </w:t>
      </w:r>
      <w:r w:rsidRPr="000C03D2">
        <w:rPr>
          <w:rFonts w:ascii="Times New Roman" w:hAnsi="Times New Roman" w:cs="Times New Roman"/>
          <w:color w:val="000000" w:themeColor="text1"/>
        </w:rPr>
        <w:t>los pronunciamientos</w:t>
      </w:r>
      <w:r w:rsidRPr="000C03D2">
        <w:rPr>
          <w:rFonts w:ascii="Times New Roman" w:hAnsi="Times New Roman" w:cs="Times New Roman"/>
          <w:color w:val="000000" w:themeColor="text1"/>
        </w:rPr>
        <w:t xml:space="preserve"> de esta corporación.</w:t>
      </w:r>
    </w:p>
    <w:p w:rsidR="00B73395" w:rsidRPr="000C03D2" w:rsidRDefault="000C03D2" w:rsidP="00B73395">
      <w:pPr>
        <w:pStyle w:val="Prrafodelista"/>
        <w:widowControl w:val="0"/>
        <w:tabs>
          <w:tab w:val="left" w:pos="567"/>
          <w:tab w:val="left" w:pos="709"/>
        </w:tabs>
        <w:ind w:left="0"/>
        <w:rPr>
          <w:rFonts w:ascii="Times New Roman" w:hAnsi="Times New Roman" w:cs="Times New Roman"/>
          <w:color w:val="000000" w:themeColor="text1"/>
        </w:rPr>
      </w:pPr>
    </w:p>
    <w:p w:rsidR="00B73395" w:rsidRPr="000C03D2" w:rsidRDefault="000C03D2" w:rsidP="00C374CA">
      <w:pPr>
        <w:pStyle w:val="Prrafodelista"/>
        <w:widowControl w:val="0"/>
        <w:numPr>
          <w:ilvl w:val="0"/>
          <w:numId w:val="3"/>
        </w:numPr>
        <w:tabs>
          <w:tab w:val="left" w:pos="567"/>
          <w:tab w:val="left" w:pos="709"/>
        </w:tabs>
        <w:ind w:left="0" w:firstLine="0"/>
        <w:rPr>
          <w:rFonts w:ascii="Times New Roman" w:hAnsi="Times New Roman" w:cs="Times New Roman"/>
          <w:color w:val="000000" w:themeColor="text1"/>
          <w:szCs w:val="28"/>
        </w:rPr>
      </w:pPr>
      <w:r w:rsidRPr="000C03D2">
        <w:rPr>
          <w:rFonts w:ascii="Times New Roman" w:eastAsia="Times New Roman" w:hAnsi="Times New Roman" w:cs="Times New Roman"/>
          <w:color w:val="000000" w:themeColor="text1"/>
          <w:szCs w:val="28"/>
          <w:lang w:eastAsia="es-ES_tradnl"/>
        </w:rPr>
        <w:t xml:space="preserve">Así, por ejemplo, en </w:t>
      </w:r>
      <w:r w:rsidRPr="000C03D2">
        <w:rPr>
          <w:rFonts w:ascii="Times New Roman" w:eastAsia="Times New Roman" w:hAnsi="Times New Roman" w:cs="Times New Roman"/>
          <w:color w:val="000000" w:themeColor="text1"/>
          <w:szCs w:val="28"/>
          <w:lang w:eastAsia="es-ES_tradnl"/>
        </w:rPr>
        <w:t xml:space="preserve">la Ley 2310 de 2023, </w:t>
      </w:r>
      <w:r w:rsidRPr="000C03D2">
        <w:rPr>
          <w:rFonts w:ascii="Times New Roman" w:eastAsia="Times New Roman" w:hAnsi="Times New Roman" w:cs="Times New Roman"/>
          <w:color w:val="000000" w:themeColor="text1"/>
          <w:szCs w:val="28"/>
          <w:lang w:eastAsia="es-ES_tradnl"/>
        </w:rPr>
        <w:t>que</w:t>
      </w:r>
      <w:r w:rsidRPr="000C03D2">
        <w:rPr>
          <w:rFonts w:ascii="Times New Roman" w:eastAsia="Times New Roman" w:hAnsi="Times New Roman" w:cs="Times New Roman"/>
          <w:color w:val="000000" w:themeColor="text1"/>
          <w:szCs w:val="28"/>
          <w:lang w:eastAsia="es-ES_tradnl"/>
        </w:rPr>
        <w:t xml:space="preserve"> regula los “casos</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de duelo por pérdida gestacional o perinatal”, se acude al término de “persona gestante” para evitar</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discriminaciones lingüísticas</w:t>
      </w:r>
      <w:r w:rsidRPr="000C03D2">
        <w:rPr>
          <w:rFonts w:ascii="Times New Roman" w:eastAsia="Times New Roman" w:hAnsi="Times New Roman" w:cs="Times New Roman"/>
          <w:color w:val="000000" w:themeColor="text1"/>
          <w:szCs w:val="28"/>
          <w:lang w:eastAsia="es-ES_tradnl"/>
        </w:rPr>
        <w:t>. Además,</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 xml:space="preserve">en el numeral 6 del artículo 2 </w:t>
      </w:r>
      <w:r w:rsidRPr="000C03D2">
        <w:rPr>
          <w:rFonts w:ascii="Times New Roman" w:eastAsia="Times New Roman" w:hAnsi="Times New Roman" w:cs="Times New Roman"/>
          <w:color w:val="000000" w:themeColor="text1"/>
          <w:szCs w:val="28"/>
          <w:lang w:eastAsia="es-ES_tradnl"/>
        </w:rPr>
        <w:t>se refiere</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a</w:t>
      </w:r>
      <w:r w:rsidRPr="000C03D2">
        <w:rPr>
          <w:rFonts w:ascii="Times New Roman" w:eastAsia="Times New Roman" w:hAnsi="Times New Roman" w:cs="Times New Roman"/>
          <w:color w:val="000000" w:themeColor="text1"/>
          <w:szCs w:val="28"/>
          <w:lang w:eastAsia="es-ES_tradnl"/>
        </w:rPr>
        <w:t>l principio de “diversidad y no</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discriminación”, el cual exige que:</w:t>
      </w:r>
    </w:p>
    <w:p w:rsidR="00C374CA" w:rsidRPr="000C03D2" w:rsidRDefault="000C03D2" w:rsidP="00B73395">
      <w:pPr>
        <w:rPr>
          <w:rFonts w:ascii="Times New Roman" w:hAnsi="Times New Roman" w:cs="Times New Roman"/>
          <w:i/>
          <w:iCs/>
          <w:color w:val="000000" w:themeColor="text1"/>
          <w:sz w:val="28"/>
          <w:szCs w:val="18"/>
        </w:rPr>
      </w:pPr>
    </w:p>
    <w:p w:rsidR="00B73395" w:rsidRPr="000C03D2" w:rsidRDefault="000C03D2" w:rsidP="00DD2B5B">
      <w:pPr>
        <w:ind w:left="426"/>
        <w:jc w:val="both"/>
        <w:rPr>
          <w:rFonts w:ascii="Times New Roman" w:hAnsi="Times New Roman" w:cs="Times New Roman"/>
          <w:color w:val="000000" w:themeColor="text1"/>
          <w:sz w:val="28"/>
        </w:rPr>
      </w:pPr>
      <w:r w:rsidRPr="000C03D2">
        <w:rPr>
          <w:rFonts w:ascii="Times New Roman" w:hAnsi="Times New Roman" w:cs="Times New Roman"/>
          <w:color w:val="000000" w:themeColor="text1"/>
          <w:sz w:val="28"/>
        </w:rPr>
        <w:t>“Toda mujer o persona gestante en duelo por pérdida gestacional o perinatal, en el marco del</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 xml:space="preserve">ejercicio de sus derechos, debe ser reconocida en </w:t>
      </w:r>
      <w:r w:rsidRPr="000C03D2">
        <w:rPr>
          <w:rFonts w:ascii="Times New Roman" w:hAnsi="Times New Roman" w:cs="Times New Roman"/>
          <w:color w:val="000000" w:themeColor="text1"/>
          <w:sz w:val="28"/>
        </w:rPr>
        <w:t>su diversidad y</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garantizarse el acceso a sus</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derechos en igualdad de condiciones. Por lo tanto, ninguna mujer o persona gestante podrá ser</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discriminada o limitada en sus derechos por motivos de pertenencia étnica, condición</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 xml:space="preserve">socioeconómica, sexo, identidad </w:t>
      </w:r>
      <w:r w:rsidRPr="000C03D2">
        <w:rPr>
          <w:rFonts w:ascii="Times New Roman" w:hAnsi="Times New Roman" w:cs="Times New Roman"/>
          <w:color w:val="000000" w:themeColor="text1"/>
          <w:sz w:val="28"/>
        </w:rPr>
        <w:t>de género, orientación sexual, religiosa, o de cualquier índole.</w:t>
      </w:r>
    </w:p>
    <w:p w:rsidR="00C374CA" w:rsidRPr="000C03D2" w:rsidRDefault="000C03D2" w:rsidP="00C374CA">
      <w:pPr>
        <w:ind w:left="426"/>
        <w:jc w:val="both"/>
        <w:rPr>
          <w:rFonts w:ascii="Times New Roman" w:hAnsi="Times New Roman" w:cs="Times New Roman"/>
          <w:color w:val="000000" w:themeColor="text1"/>
          <w:sz w:val="28"/>
        </w:rPr>
      </w:pPr>
    </w:p>
    <w:p w:rsidR="00B73395" w:rsidRPr="000C03D2" w:rsidRDefault="000C03D2" w:rsidP="00C374CA">
      <w:pPr>
        <w:ind w:left="426"/>
        <w:jc w:val="both"/>
        <w:rPr>
          <w:rFonts w:ascii="Times New Roman" w:hAnsi="Times New Roman" w:cs="Times New Roman"/>
          <w:color w:val="000000" w:themeColor="text1"/>
          <w:sz w:val="28"/>
        </w:rPr>
      </w:pPr>
      <w:r w:rsidRPr="000C03D2">
        <w:rPr>
          <w:rFonts w:ascii="Times New Roman" w:hAnsi="Times New Roman" w:cs="Times New Roman"/>
          <w:color w:val="000000" w:themeColor="text1"/>
          <w:sz w:val="28"/>
        </w:rPr>
        <w:t>En cualquier caso, en virtud de esta disposición se deberán respetar los derechos de las personas</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con identidad diversa, como las personas trans o personas no binarias. En caso que la famili</w:t>
      </w:r>
      <w:r w:rsidRPr="000C03D2">
        <w:rPr>
          <w:rFonts w:ascii="Times New Roman" w:hAnsi="Times New Roman" w:cs="Times New Roman"/>
          <w:color w:val="000000" w:themeColor="text1"/>
          <w:sz w:val="28"/>
        </w:rPr>
        <w:t>a</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requiera atención para el duelo por pérdida gestacional o perinatal, se respetarán los mismos</w:t>
      </w:r>
      <w:r w:rsidRPr="000C03D2">
        <w:rPr>
          <w:rFonts w:ascii="Times New Roman" w:hAnsi="Times New Roman" w:cs="Times New Roman"/>
          <w:color w:val="000000" w:themeColor="text1"/>
          <w:sz w:val="28"/>
        </w:rPr>
        <w:t xml:space="preserve"> </w:t>
      </w:r>
      <w:r w:rsidRPr="000C03D2">
        <w:rPr>
          <w:rFonts w:ascii="Times New Roman" w:hAnsi="Times New Roman" w:cs="Times New Roman"/>
          <w:color w:val="000000" w:themeColor="text1"/>
          <w:sz w:val="28"/>
        </w:rPr>
        <w:t>derechos”.</w:t>
      </w:r>
    </w:p>
    <w:p w:rsidR="00C374CA" w:rsidRPr="000C03D2" w:rsidRDefault="000C03D2" w:rsidP="00D10752">
      <w:pPr>
        <w:jc w:val="both"/>
        <w:rPr>
          <w:rFonts w:ascii="Times New Roman" w:hAnsi="Times New Roman" w:cs="Times New Roman"/>
          <w:color w:val="000000" w:themeColor="text1"/>
          <w:sz w:val="28"/>
          <w:szCs w:val="28"/>
        </w:rPr>
      </w:pPr>
    </w:p>
    <w:p w:rsidR="00D10752" w:rsidRPr="000C03D2" w:rsidRDefault="000C03D2" w:rsidP="00D10752">
      <w:pPr>
        <w:pStyle w:val="Prrafodelista"/>
        <w:numPr>
          <w:ilvl w:val="0"/>
          <w:numId w:val="3"/>
        </w:numPr>
        <w:ind w:left="0" w:firstLine="0"/>
        <w:rPr>
          <w:rFonts w:ascii="Times New Roman" w:eastAsia="Times New Roman" w:hAnsi="Times New Roman" w:cs="Times New Roman"/>
          <w:color w:val="000000" w:themeColor="text1"/>
          <w:szCs w:val="28"/>
          <w:lang w:eastAsia="es-ES_tradnl"/>
        </w:rPr>
      </w:pPr>
      <w:r w:rsidRPr="000C03D2">
        <w:rPr>
          <w:rFonts w:ascii="Times New Roman" w:eastAsia="Times New Roman" w:hAnsi="Times New Roman" w:cs="Times New Roman"/>
          <w:color w:val="000000" w:themeColor="text1"/>
          <w:szCs w:val="28"/>
          <w:lang w:eastAsia="es-ES_tradnl"/>
        </w:rPr>
        <w:t xml:space="preserve">Igualmente, </w:t>
      </w:r>
      <w:r w:rsidRPr="000C03D2">
        <w:rPr>
          <w:rFonts w:ascii="Times New Roman" w:eastAsia="Times New Roman" w:hAnsi="Times New Roman" w:cs="Times New Roman"/>
          <w:color w:val="000000" w:themeColor="text1"/>
          <w:szCs w:val="28"/>
          <w:lang w:eastAsia="es-ES_tradnl"/>
        </w:rPr>
        <w:t>es importante mencionar el</w:t>
      </w:r>
      <w:r w:rsidRPr="000C03D2">
        <w:rPr>
          <w:rFonts w:ascii="Times New Roman" w:eastAsia="Times New Roman" w:hAnsi="Times New Roman" w:cs="Times New Roman"/>
          <w:color w:val="000000" w:themeColor="text1"/>
          <w:szCs w:val="28"/>
          <w:lang w:eastAsia="es-ES_tradnl"/>
        </w:rPr>
        <w:t xml:space="preserve"> “lineamiento técnico para la atención integral y el cuidado de</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la salud mental de la mujer o persona gestante</w:t>
      </w:r>
      <w:r w:rsidRPr="000C03D2">
        <w:rPr>
          <w:rFonts w:ascii="Times New Roman" w:eastAsia="Times New Roman" w:hAnsi="Times New Roman" w:cs="Times New Roman"/>
          <w:color w:val="000000" w:themeColor="text1"/>
          <w:szCs w:val="28"/>
          <w:lang w:eastAsia="es-ES_tradnl"/>
        </w:rPr>
        <w:t>, sus familias y comunidades en casos de duelo por</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pérdida gestacional o perinatal”, expedido por el Ministerio de Salud y Protección Social en</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cumplimiento de la Ley 2310 de 2023, en el cual también se utiliza lenguaje incluyente.</w:t>
      </w:r>
    </w:p>
    <w:p w:rsidR="00D10752" w:rsidRPr="000C03D2" w:rsidRDefault="000C03D2" w:rsidP="00D10752">
      <w:pPr>
        <w:pStyle w:val="Prrafodelista"/>
        <w:ind w:left="0"/>
        <w:rPr>
          <w:rFonts w:ascii="Times New Roman" w:eastAsia="Times New Roman" w:hAnsi="Times New Roman" w:cs="Times New Roman"/>
          <w:color w:val="000000" w:themeColor="text1"/>
          <w:szCs w:val="28"/>
          <w:lang w:eastAsia="es-ES_tradnl"/>
        </w:rPr>
      </w:pPr>
    </w:p>
    <w:p w:rsidR="00B73395" w:rsidRPr="000C03D2" w:rsidRDefault="000C03D2" w:rsidP="00D10752">
      <w:pPr>
        <w:pStyle w:val="Prrafodelista"/>
        <w:numPr>
          <w:ilvl w:val="0"/>
          <w:numId w:val="3"/>
        </w:numPr>
        <w:ind w:left="0" w:firstLine="0"/>
        <w:rPr>
          <w:rFonts w:ascii="Times New Roman" w:eastAsia="Times New Roman" w:hAnsi="Times New Roman" w:cs="Times New Roman"/>
          <w:color w:val="000000" w:themeColor="text1"/>
          <w:szCs w:val="28"/>
          <w:lang w:eastAsia="es-ES_tradnl"/>
        </w:rPr>
      </w:pPr>
      <w:r w:rsidRPr="000C03D2">
        <w:rPr>
          <w:rFonts w:ascii="Times New Roman" w:eastAsia="Times New Roman" w:hAnsi="Times New Roman" w:cs="Times New Roman"/>
          <w:color w:val="000000" w:themeColor="text1"/>
          <w:szCs w:val="28"/>
          <w:lang w:eastAsia="es-ES_tradnl"/>
        </w:rPr>
        <w:t>Así mismo, la Resolució</w:t>
      </w:r>
      <w:r w:rsidRPr="000C03D2">
        <w:rPr>
          <w:rFonts w:ascii="Times New Roman" w:eastAsia="Times New Roman" w:hAnsi="Times New Roman" w:cs="Times New Roman"/>
          <w:color w:val="000000" w:themeColor="text1"/>
          <w:szCs w:val="28"/>
          <w:lang w:eastAsia="es-ES_tradnl"/>
        </w:rPr>
        <w:t>n 051 de 2023 del mismo Ministerio “por medio del cual se adopta</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la regulación única para la atención integral en salud frente a la Interrupción Voluntaria del</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 xml:space="preserve">Embarazo (IVE)”, cuyo artículo 6 emplea el término “personas gestantes”, indicando que “incluye </w:t>
      </w:r>
      <w:r w:rsidRPr="000C03D2">
        <w:rPr>
          <w:rFonts w:ascii="Times New Roman" w:eastAsia="Times New Roman" w:hAnsi="Times New Roman" w:cs="Times New Roman"/>
          <w:color w:val="000000" w:themeColor="text1"/>
          <w:szCs w:val="28"/>
          <w:lang w:eastAsia="es-ES_tradnl"/>
        </w:rPr>
        <w:t>a</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toda persona con capacidad biológica de quedar en embarazo y atravesar el proceso de gestación, lo</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que abarca hombres transgénero, transmasculinidades, personas no binarias o personas</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 xml:space="preserve">intersexuales, sin excluir otras identidades de género con las cuales </w:t>
      </w:r>
      <w:r w:rsidRPr="000C03D2">
        <w:rPr>
          <w:rFonts w:ascii="Times New Roman" w:eastAsia="Times New Roman" w:hAnsi="Times New Roman" w:cs="Times New Roman"/>
          <w:color w:val="000000" w:themeColor="text1"/>
          <w:szCs w:val="28"/>
          <w:lang w:eastAsia="es-ES_tradnl"/>
        </w:rPr>
        <w:t>la persona se autoreconozca”.</w:t>
      </w:r>
    </w:p>
    <w:p w:rsidR="00B73395" w:rsidRPr="000C03D2" w:rsidRDefault="000C03D2" w:rsidP="00D10752">
      <w:pPr>
        <w:pStyle w:val="Prrafodelista"/>
        <w:widowControl w:val="0"/>
        <w:tabs>
          <w:tab w:val="left" w:pos="426"/>
        </w:tabs>
        <w:ind w:left="0"/>
        <w:rPr>
          <w:rFonts w:ascii="Times New Roman" w:hAnsi="Times New Roman" w:cs="Times New Roman"/>
          <w:b/>
          <w:bCs/>
          <w:color w:val="000000" w:themeColor="text1"/>
          <w:szCs w:val="28"/>
        </w:rPr>
      </w:pPr>
    </w:p>
    <w:p w:rsidR="00FF68D9" w:rsidRPr="000C03D2" w:rsidRDefault="000C03D2" w:rsidP="00A141C2">
      <w:pPr>
        <w:pStyle w:val="Prrafodelista"/>
        <w:widowControl w:val="0"/>
        <w:numPr>
          <w:ilvl w:val="0"/>
          <w:numId w:val="4"/>
        </w:numPr>
        <w:tabs>
          <w:tab w:val="left" w:pos="426"/>
        </w:tabs>
        <w:ind w:left="0" w:firstLine="0"/>
        <w:rPr>
          <w:rFonts w:ascii="Times New Roman" w:hAnsi="Times New Roman" w:cs="Times New Roman"/>
          <w:b/>
          <w:bCs/>
          <w:color w:val="000000" w:themeColor="text1"/>
        </w:rPr>
      </w:pPr>
      <w:r w:rsidRPr="000C03D2">
        <w:rPr>
          <w:rFonts w:ascii="Times New Roman" w:hAnsi="Times New Roman" w:cs="Times New Roman"/>
          <w:b/>
          <w:bCs/>
          <w:color w:val="000000" w:themeColor="text1"/>
        </w:rPr>
        <w:t>Examen de constitucionalidad de</w:t>
      </w:r>
      <w:r w:rsidRPr="000C03D2">
        <w:rPr>
          <w:rFonts w:ascii="Times New Roman" w:hAnsi="Times New Roman" w:cs="Times New Roman"/>
          <w:b/>
          <w:bCs/>
          <w:color w:val="000000" w:themeColor="text1"/>
        </w:rPr>
        <w:t>l artículo 237 del CST</w:t>
      </w:r>
    </w:p>
    <w:p w:rsidR="00FF68D9" w:rsidRPr="000C03D2" w:rsidRDefault="000C03D2" w:rsidP="00A141C2">
      <w:pPr>
        <w:widowControl w:val="0"/>
        <w:tabs>
          <w:tab w:val="left" w:pos="426"/>
        </w:tabs>
        <w:rPr>
          <w:rFonts w:ascii="Times New Roman" w:hAnsi="Times New Roman" w:cs="Times New Roman"/>
          <w:b/>
          <w:bCs/>
          <w:color w:val="000000" w:themeColor="text1"/>
          <w:sz w:val="28"/>
        </w:rPr>
      </w:pPr>
      <w:bookmarkStart w:id="29" w:name="_Ref190810180"/>
    </w:p>
    <w:p w:rsidR="00CA2F31" w:rsidRPr="000C03D2" w:rsidRDefault="000C03D2" w:rsidP="002023B7">
      <w:pPr>
        <w:pStyle w:val="Prrafodelista"/>
        <w:widowControl w:val="0"/>
        <w:numPr>
          <w:ilvl w:val="1"/>
          <w:numId w:val="4"/>
        </w:numPr>
        <w:rPr>
          <w:rFonts w:ascii="Times New Roman" w:hAnsi="Times New Roman" w:cs="Times New Roman"/>
          <w:i/>
          <w:iCs/>
          <w:color w:val="000000" w:themeColor="text1"/>
        </w:rPr>
      </w:pPr>
      <w:r w:rsidRPr="000C03D2">
        <w:rPr>
          <w:rFonts w:ascii="Times New Roman" w:hAnsi="Times New Roman" w:cs="Times New Roman"/>
          <w:i/>
          <w:iCs/>
          <w:color w:val="000000" w:themeColor="text1"/>
        </w:rPr>
        <w:t>El descanso remunerado en caso de aborto</w:t>
      </w:r>
    </w:p>
    <w:p w:rsidR="00CA2F31" w:rsidRPr="000C03D2" w:rsidRDefault="000C03D2" w:rsidP="00A141C2">
      <w:pPr>
        <w:widowControl w:val="0"/>
        <w:rPr>
          <w:rFonts w:ascii="Times New Roman" w:hAnsi="Times New Roman" w:cs="Times New Roman"/>
          <w:b/>
          <w:bCs/>
          <w:color w:val="000000" w:themeColor="text1"/>
          <w:sz w:val="28"/>
        </w:rPr>
      </w:pPr>
    </w:p>
    <w:p w:rsidR="00CA2F31" w:rsidRPr="000C03D2" w:rsidRDefault="000C03D2" w:rsidP="007A0586">
      <w:pPr>
        <w:pStyle w:val="Prrafodelista"/>
        <w:numPr>
          <w:ilvl w:val="0"/>
          <w:numId w:val="3"/>
        </w:numPr>
        <w:tabs>
          <w:tab w:val="left" w:pos="426"/>
        </w:tabs>
        <w:ind w:left="0" w:right="49" w:firstLine="0"/>
        <w:rPr>
          <w:rFonts w:ascii="Times New Roman" w:hAnsi="Times New Roman" w:cs="Times New Roman"/>
          <w:color w:val="000000" w:themeColor="text1"/>
          <w:szCs w:val="28"/>
        </w:rPr>
      </w:pPr>
      <w:r w:rsidRPr="000C03D2">
        <w:rPr>
          <w:rFonts w:ascii="Times New Roman" w:eastAsia="Times New Roman" w:hAnsi="Times New Roman" w:cs="Times New Roman"/>
          <w:color w:val="000000" w:themeColor="text1"/>
        </w:rPr>
        <w:t>El artículo</w:t>
      </w:r>
      <w:r w:rsidRPr="000C03D2">
        <w:rPr>
          <w:rFonts w:ascii="Times New Roman" w:hAnsi="Times New Roman" w:cs="Times New Roman"/>
          <w:color w:val="000000" w:themeColor="text1"/>
          <w:szCs w:val="28"/>
        </w:rPr>
        <w:t xml:space="preserve"> 237 de Código Sustantivo del Trabajo</w:t>
      </w:r>
      <w:r w:rsidRPr="000C03D2">
        <w:rPr>
          <w:rFonts w:ascii="Times New Roman" w:hAnsi="Times New Roman" w:cs="Times New Roman"/>
          <w:iCs/>
          <w:color w:val="000000" w:themeColor="text1"/>
          <w:szCs w:val="28"/>
        </w:rPr>
        <w:t xml:space="preserve"> regula el descanso remunerado en caso de aborto. Acorde con la disposición, la trabajadora que, durante el embarazo sufra un aborto o un parto prematuro no viable tiene derecho a una licencia remunerada de entre dos (2) y cuatro (4) semanas, según lo dete</w:t>
      </w:r>
      <w:r w:rsidRPr="000C03D2">
        <w:rPr>
          <w:rFonts w:ascii="Times New Roman" w:hAnsi="Times New Roman" w:cs="Times New Roman"/>
          <w:iCs/>
          <w:color w:val="000000" w:themeColor="text1"/>
          <w:szCs w:val="28"/>
        </w:rPr>
        <w:t>rmine el médico tratante, pagada con el salario que devengaba al inicio del descanso. La norma aclara que</w:t>
      </w:r>
      <w:r w:rsidRPr="000C03D2">
        <w:rPr>
          <w:rFonts w:ascii="Times New Roman" w:hAnsi="Times New Roman" w:cs="Times New Roman"/>
          <w:iCs/>
          <w:color w:val="000000" w:themeColor="text1"/>
          <w:szCs w:val="28"/>
        </w:rPr>
        <w:t>,</w:t>
      </w:r>
      <w:r w:rsidRPr="000C03D2">
        <w:rPr>
          <w:rFonts w:ascii="Times New Roman" w:hAnsi="Times New Roman" w:cs="Times New Roman"/>
          <w:iCs/>
          <w:color w:val="000000" w:themeColor="text1"/>
          <w:szCs w:val="28"/>
        </w:rPr>
        <w:t xml:space="preserve"> si el parto resulta viable, se aplican las reglas de la licencia de maternidad ordinaria previstas en el artículo 236. Para acceder a esta licencia e</w:t>
      </w:r>
      <w:r w:rsidRPr="000C03D2">
        <w:rPr>
          <w:rFonts w:ascii="Times New Roman" w:hAnsi="Times New Roman" w:cs="Times New Roman"/>
          <w:iCs/>
          <w:color w:val="000000" w:themeColor="text1"/>
          <w:szCs w:val="28"/>
        </w:rPr>
        <w:t>special, la trabajadora debe presentar al empleador un certificado médico que cumpla dos requisitos: primero, confirmar que se produjo un aborto o parto prematuro, indicando la fecha del hecho; segundo, señalar el tiempo de reposo necesario para la recuper</w:t>
      </w:r>
      <w:r w:rsidRPr="000C03D2">
        <w:rPr>
          <w:rFonts w:ascii="Times New Roman" w:hAnsi="Times New Roman" w:cs="Times New Roman"/>
          <w:iCs/>
          <w:color w:val="000000" w:themeColor="text1"/>
          <w:szCs w:val="28"/>
        </w:rPr>
        <w:t xml:space="preserve">ación. </w:t>
      </w:r>
    </w:p>
    <w:p w:rsidR="007A0586" w:rsidRPr="000C03D2" w:rsidRDefault="000C03D2" w:rsidP="007A0586">
      <w:pPr>
        <w:pStyle w:val="Prrafodelista"/>
        <w:tabs>
          <w:tab w:val="left" w:pos="426"/>
        </w:tabs>
        <w:ind w:left="0" w:right="49"/>
        <w:rPr>
          <w:rFonts w:ascii="Times New Roman" w:hAnsi="Times New Roman" w:cs="Times New Roman"/>
          <w:color w:val="000000" w:themeColor="text1"/>
          <w:szCs w:val="28"/>
        </w:rPr>
      </w:pPr>
    </w:p>
    <w:p w:rsidR="007A0586" w:rsidRPr="000C03D2" w:rsidRDefault="000C03D2" w:rsidP="007A0586">
      <w:pPr>
        <w:pStyle w:val="Prrafodelista"/>
        <w:numPr>
          <w:ilvl w:val="0"/>
          <w:numId w:val="3"/>
        </w:numPr>
        <w:tabs>
          <w:tab w:val="left" w:pos="426"/>
        </w:tabs>
        <w:ind w:left="0" w:right="49"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Con el fin de precisar el contexto normativo en el que se inscribe la disposición, es necesario referirse al Decreto 2126 de 2023</w:t>
      </w:r>
      <w:r w:rsidRPr="000C03D2">
        <w:rPr>
          <w:rStyle w:val="Refdenotaalpie"/>
          <w:rFonts w:ascii="Times New Roman" w:hAnsi="Times New Roman" w:cs="Times New Roman"/>
          <w:color w:val="000000" w:themeColor="text1"/>
          <w:szCs w:val="28"/>
        </w:rPr>
        <w:footnoteReference w:id="74"/>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donde</w:t>
      </w:r>
      <w:r w:rsidRPr="000C03D2">
        <w:rPr>
          <w:rFonts w:ascii="Times New Roman" w:hAnsi="Times New Roman" w:cs="Times New Roman"/>
          <w:color w:val="000000" w:themeColor="text1"/>
          <w:szCs w:val="28"/>
        </w:rPr>
        <w:t xml:space="preserve"> se define la “licencia por </w:t>
      </w:r>
      <w:r w:rsidRPr="000C03D2">
        <w:rPr>
          <w:rFonts w:ascii="Times New Roman" w:hAnsi="Times New Roman" w:cs="Times New Roman"/>
          <w:color w:val="000000" w:themeColor="text1"/>
          <w:szCs w:val="28"/>
        </w:rPr>
        <w:t xml:space="preserve">aborto espontáneo, interrupción voluntaria del embarazo o parto prematuro no </w:t>
      </w:r>
      <w:r w:rsidRPr="000C03D2">
        <w:rPr>
          <w:rFonts w:ascii="Times New Roman" w:hAnsi="Times New Roman" w:cs="Times New Roman"/>
          <w:color w:val="000000" w:themeColor="text1"/>
          <w:szCs w:val="28"/>
        </w:rPr>
        <w:t>viable”, como</w:t>
      </w:r>
      <w:r w:rsidRPr="000C03D2">
        <w:rPr>
          <w:rFonts w:ascii="Times New Roman" w:hAnsi="Times New Roman" w:cs="Times New Roman"/>
          <w:color w:val="000000" w:themeColor="text1"/>
          <w:szCs w:val="28"/>
        </w:rPr>
        <w:t xml:space="preserve"> una</w:t>
      </w:r>
      <w:r w:rsidRPr="000C03D2">
        <w:rPr>
          <w:rFonts w:ascii="Times New Roman" w:hAnsi="Times New Roman" w:cs="Times New Roman"/>
          <w:color w:val="000000" w:themeColor="text1"/>
          <w:szCs w:val="28"/>
        </w:rPr>
        <w:t xml:space="preserve"> “garantía que se otorga a las cotizantes gestantes que en el curso del embarazo sufran un aborto espontáneo, parto prematuro no viable, o se practiquen una interrupción voluntaria del embarazo, y que corresponde a 2 o 4 semanas, conforme </w:t>
      </w:r>
      <w:r w:rsidRPr="000C03D2">
        <w:rPr>
          <w:rFonts w:ascii="Times New Roman" w:hAnsi="Times New Roman" w:cs="Times New Roman"/>
          <w:color w:val="000000" w:themeColor="text1"/>
          <w:szCs w:val="28"/>
        </w:rPr>
        <w:t>el criterio del médico tratante, atendiendo a lo señalado en el artículo 237 del Código Sustantivo del Trabajo”</w:t>
      </w:r>
      <w:r w:rsidRPr="000C03D2">
        <w:rPr>
          <w:rStyle w:val="Refdenotaalpie"/>
          <w:rFonts w:ascii="Times New Roman" w:hAnsi="Times New Roman" w:cs="Times New Roman"/>
          <w:color w:val="000000" w:themeColor="text1"/>
          <w:szCs w:val="28"/>
        </w:rPr>
        <w:footnoteReference w:id="75"/>
      </w:r>
      <w:r w:rsidRPr="000C03D2">
        <w:rPr>
          <w:rFonts w:ascii="Times New Roman" w:hAnsi="Times New Roman" w:cs="Times New Roman"/>
          <w:color w:val="000000" w:themeColor="text1"/>
          <w:szCs w:val="28"/>
        </w:rPr>
        <w:t>.</w:t>
      </w:r>
    </w:p>
    <w:p w:rsidR="00CA2F31" w:rsidRPr="000C03D2" w:rsidRDefault="000C03D2" w:rsidP="00A141C2">
      <w:pPr>
        <w:widowControl w:val="0"/>
        <w:tabs>
          <w:tab w:val="left" w:pos="426"/>
        </w:tabs>
        <w:ind w:right="49"/>
        <w:rPr>
          <w:rFonts w:ascii="Times New Roman" w:hAnsi="Times New Roman" w:cs="Times New Roman"/>
          <w:b/>
          <w:bCs/>
          <w:color w:val="000000" w:themeColor="text1"/>
          <w:sz w:val="28"/>
          <w:szCs w:val="28"/>
        </w:rPr>
      </w:pPr>
    </w:p>
    <w:p w:rsidR="00CA2F31" w:rsidRPr="000C03D2" w:rsidRDefault="000C03D2" w:rsidP="00A141C2">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lang w:val="es-ES_tradnl"/>
          <w14:ligatures w14:val="standardContextual"/>
        </w:rPr>
        <w:t xml:space="preserve">Acorde con el concepto del procurador general de la Nación, el descanso remunerado </w:t>
      </w:r>
      <w:r w:rsidRPr="000C03D2">
        <w:rPr>
          <w:rFonts w:ascii="Times New Roman" w:hAnsi="Times New Roman" w:cs="Times New Roman"/>
          <w:color w:val="000000" w:themeColor="text1"/>
          <w:szCs w:val="28"/>
          <w:lang w:val="es-ES_tradnl"/>
          <w14:ligatures w14:val="standardContextual"/>
        </w:rPr>
        <w:t>reglado</w:t>
      </w:r>
      <w:r w:rsidRPr="000C03D2">
        <w:rPr>
          <w:rFonts w:ascii="Times New Roman" w:hAnsi="Times New Roman" w:cs="Times New Roman"/>
          <w:color w:val="000000" w:themeColor="text1"/>
          <w:szCs w:val="28"/>
          <w:lang w:val="es-ES_tradnl"/>
          <w14:ligatures w14:val="standardContextual"/>
        </w:rPr>
        <w:t xml:space="preserve"> en el artículo 237 “cumple con la finalidad de pro</w:t>
      </w:r>
      <w:r w:rsidRPr="000C03D2">
        <w:rPr>
          <w:rFonts w:ascii="Times New Roman" w:hAnsi="Times New Roman" w:cs="Times New Roman"/>
          <w:color w:val="000000" w:themeColor="text1"/>
          <w:szCs w:val="28"/>
          <w:lang w:val="es-ES_tradnl"/>
          <w14:ligatures w14:val="standardContextual"/>
        </w:rPr>
        <w:t>teger la salud de quien lo atraviesa [el aborto] y lograr su pronta recuperación física y psicológica que le permita retornar a sus actividades cotidianas”, al margen de si se trata de un aborto espontáneo, inducido o voluntario. E</w:t>
      </w:r>
      <w:r w:rsidRPr="000C03D2">
        <w:rPr>
          <w:rFonts w:ascii="Times New Roman" w:hAnsi="Times New Roman" w:cs="Times New Roman"/>
          <w:color w:val="000000" w:themeColor="text1"/>
          <w:szCs w:val="28"/>
          <w:lang w:val="es-ES_tradnl"/>
          <w14:ligatures w14:val="standardContextual"/>
        </w:rPr>
        <w:t xml:space="preserve">sto obedece a </w:t>
      </w:r>
      <w:r w:rsidRPr="000C03D2">
        <w:rPr>
          <w:rFonts w:ascii="Times New Roman" w:hAnsi="Times New Roman" w:cs="Times New Roman"/>
          <w:color w:val="000000" w:themeColor="text1"/>
          <w:szCs w:val="28"/>
          <w:lang w:val="es-ES_tradnl"/>
          <w14:ligatures w14:val="standardContextual"/>
        </w:rPr>
        <w:t>que,</w:t>
      </w:r>
      <w:r w:rsidRPr="000C03D2">
        <w:rPr>
          <w:rFonts w:ascii="Times New Roman" w:hAnsi="Times New Roman" w:cs="Times New Roman"/>
          <w:color w:val="000000" w:themeColor="text1"/>
          <w:szCs w:val="28"/>
          <w:lang w:val="es-ES_tradnl"/>
          <w14:ligatures w14:val="standardContextual"/>
        </w:rPr>
        <w:t xml:space="preserve"> </w:t>
      </w:r>
      <w:r w:rsidRPr="000C03D2">
        <w:rPr>
          <w:rFonts w:ascii="Times New Roman" w:hAnsi="Times New Roman" w:cs="Times New Roman"/>
          <w:color w:val="000000" w:themeColor="text1"/>
          <w:szCs w:val="28"/>
          <w:lang w:val="es-ES_tradnl"/>
          <w14:ligatures w14:val="standardContextual"/>
        </w:rPr>
        <w:t xml:space="preserve">de </w:t>
      </w:r>
      <w:r w:rsidRPr="000C03D2">
        <w:rPr>
          <w:rFonts w:ascii="Times New Roman" w:hAnsi="Times New Roman" w:cs="Times New Roman"/>
          <w:color w:val="000000" w:themeColor="text1"/>
          <w:szCs w:val="28"/>
          <w:lang w:val="es-ES_tradnl"/>
          <w14:ligatures w14:val="standardContextual"/>
        </w:rPr>
        <w:t>acuerdo con la literatura médica, las consecuencias físicas de un aborto tanto a corto como a largo plazo “requiere evidentemente reposo para lograr la recuperación física</w:t>
      </w:r>
      <w:r w:rsidRPr="000C03D2">
        <w:rPr>
          <w:rStyle w:val="Refdenotaalpie"/>
          <w:rFonts w:ascii="Times New Roman" w:hAnsi="Times New Roman" w:cs="Times New Roman"/>
          <w:color w:val="000000" w:themeColor="text1"/>
          <w:szCs w:val="28"/>
          <w:lang w:val="es-ES_tradnl"/>
          <w14:ligatures w14:val="standardContextual"/>
        </w:rPr>
        <w:footnoteReference w:id="76"/>
      </w:r>
      <w:r w:rsidRPr="000C03D2">
        <w:rPr>
          <w:rFonts w:ascii="Times New Roman" w:hAnsi="Times New Roman" w:cs="Times New Roman"/>
          <w:color w:val="000000" w:themeColor="text1"/>
          <w:szCs w:val="28"/>
          <w:lang w:val="es-ES_tradnl"/>
          <w14:ligatures w14:val="standardContextual"/>
        </w:rPr>
        <w:t>”. Esto sumado a las “implicaciones psicológicas para la persona gestante</w:t>
      </w:r>
      <w:r w:rsidRPr="000C03D2">
        <w:rPr>
          <w:rStyle w:val="Refdenotaalpie"/>
          <w:rFonts w:ascii="Times New Roman" w:hAnsi="Times New Roman" w:cs="Times New Roman"/>
          <w:color w:val="000000" w:themeColor="text1"/>
          <w:szCs w:val="28"/>
          <w:lang w:val="es-ES_tradnl"/>
          <w14:ligatures w14:val="standardContextual"/>
        </w:rPr>
        <w:footnoteReference w:id="77"/>
      </w:r>
      <w:r w:rsidRPr="000C03D2">
        <w:rPr>
          <w:rFonts w:ascii="Times New Roman" w:hAnsi="Times New Roman" w:cs="Times New Roman"/>
          <w:color w:val="000000" w:themeColor="text1"/>
          <w:szCs w:val="28"/>
          <w:lang w:val="es-ES_tradnl"/>
          <w14:ligatures w14:val="standardContextual"/>
        </w:rPr>
        <w:t xml:space="preserve">”. </w:t>
      </w:r>
    </w:p>
    <w:p w:rsidR="00CA2F31" w:rsidRPr="000C03D2" w:rsidRDefault="000C03D2" w:rsidP="00A141C2">
      <w:pPr>
        <w:tabs>
          <w:tab w:val="left" w:pos="426"/>
        </w:tabs>
        <w:rPr>
          <w:rFonts w:ascii="Times New Roman" w:hAnsi="Times New Roman" w:cs="Times New Roman"/>
          <w:color w:val="000000" w:themeColor="text1"/>
          <w:sz w:val="28"/>
          <w:szCs w:val="28"/>
          <w:lang w:val="es-ES_tradnl"/>
          <w14:ligatures w14:val="standardContextual"/>
        </w:rPr>
      </w:pPr>
    </w:p>
    <w:p w:rsidR="00CA2F31" w:rsidRPr="000C03D2" w:rsidRDefault="000C03D2" w:rsidP="00A141C2">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lang w:val="es-ES_tradnl"/>
          <w14:ligatures w14:val="standardContextual"/>
        </w:rPr>
        <w:t>La Se</w:t>
      </w:r>
      <w:r w:rsidRPr="000C03D2">
        <w:rPr>
          <w:rFonts w:ascii="Times New Roman" w:hAnsi="Times New Roman" w:cs="Times New Roman"/>
          <w:color w:val="000000" w:themeColor="text1"/>
          <w:szCs w:val="28"/>
          <w:lang w:val="es-ES_tradnl"/>
          <w14:ligatures w14:val="standardContextual"/>
        </w:rPr>
        <w:t>cretar</w:t>
      </w:r>
      <w:r w:rsidRPr="000C03D2">
        <w:rPr>
          <w:rFonts w:ascii="Times New Roman" w:hAnsi="Times New Roman" w:cs="Times New Roman"/>
          <w:color w:val="000000" w:themeColor="text1"/>
          <w:szCs w:val="28"/>
          <w:lang w:val="es-ES_tradnl"/>
          <w14:ligatures w14:val="standardContextual"/>
        </w:rPr>
        <w:t>í</w:t>
      </w:r>
      <w:r w:rsidRPr="000C03D2">
        <w:rPr>
          <w:rFonts w:ascii="Times New Roman" w:hAnsi="Times New Roman" w:cs="Times New Roman"/>
          <w:color w:val="000000" w:themeColor="text1"/>
          <w:szCs w:val="28"/>
          <w:lang w:val="es-ES_tradnl"/>
          <w14:ligatures w14:val="standardContextual"/>
        </w:rPr>
        <w:t>a de la Mujer de Bogotá</w:t>
      </w:r>
      <w:r w:rsidRPr="000C03D2">
        <w:rPr>
          <w:rFonts w:ascii="Times New Roman" w:hAnsi="Times New Roman" w:cs="Times New Roman"/>
          <w:color w:val="000000" w:themeColor="text1"/>
          <w:szCs w:val="28"/>
          <w:lang w:val="es-ES_tradnl"/>
          <w14:ligatures w14:val="standardContextual"/>
        </w:rPr>
        <w:t>, en su intervención,</w:t>
      </w:r>
      <w:r w:rsidRPr="000C03D2">
        <w:rPr>
          <w:rFonts w:ascii="Times New Roman" w:hAnsi="Times New Roman" w:cs="Times New Roman"/>
          <w:color w:val="000000" w:themeColor="text1"/>
          <w:szCs w:val="28"/>
          <w:lang w:val="es-ES_tradnl"/>
          <w14:ligatures w14:val="standardContextual"/>
        </w:rPr>
        <w:t xml:space="preserve"> también se refirió al contenido normativo del artículo 237. Según la intervención, la licencia por aborto “tiene como finalidad reconocer el impacto físico, mental y emocional de estas situaciones en la v</w:t>
      </w:r>
      <w:r w:rsidRPr="000C03D2">
        <w:rPr>
          <w:rFonts w:ascii="Times New Roman" w:hAnsi="Times New Roman" w:cs="Times New Roman"/>
          <w:color w:val="000000" w:themeColor="text1"/>
          <w:szCs w:val="28"/>
          <w:lang w:val="es-ES_tradnl"/>
          <w14:ligatures w14:val="standardContextual"/>
        </w:rPr>
        <w:t>ida de las personas gestantes, y garantizar un tiempo de recuperación compatible con sus derechos a la salud, al trabajo digno y a la protección reproductiva. Su justificación radica en el deber estatal de garantizar condiciones laborales acordes con la di</w:t>
      </w:r>
      <w:r w:rsidRPr="000C03D2">
        <w:rPr>
          <w:rFonts w:ascii="Times New Roman" w:hAnsi="Times New Roman" w:cs="Times New Roman"/>
          <w:color w:val="000000" w:themeColor="text1"/>
          <w:szCs w:val="28"/>
          <w:lang w:val="es-ES_tradnl"/>
          <w14:ligatures w14:val="standardContextual"/>
        </w:rPr>
        <w:t>gnidad humana y los principios de igualdad sustantiva”.</w:t>
      </w:r>
    </w:p>
    <w:p w:rsidR="00CA2F31" w:rsidRPr="000C03D2" w:rsidRDefault="000C03D2" w:rsidP="00A141C2">
      <w:pPr>
        <w:pStyle w:val="Prrafodelista"/>
        <w:tabs>
          <w:tab w:val="left" w:pos="426"/>
        </w:tabs>
        <w:rPr>
          <w:rFonts w:ascii="Times New Roman" w:hAnsi="Times New Roman" w:cs="Times New Roman"/>
          <w:color w:val="000000" w:themeColor="text1"/>
          <w:szCs w:val="28"/>
          <w:lang w:val="es-ES_tradnl"/>
          <w14:ligatures w14:val="standardContextual"/>
        </w:rPr>
      </w:pPr>
    </w:p>
    <w:p w:rsidR="00CA2F31" w:rsidRPr="000C03D2" w:rsidRDefault="000C03D2" w:rsidP="00A141C2">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lang w:val="es-ES_tradnl"/>
          <w14:ligatures w14:val="standardContextual"/>
        </w:rPr>
        <w:t>Visto así, la garantía prevista en la norma demandada protege a la persona gestante para que se recupere de las consecuencias del procedimiento, independientemente de la forma en que se produjo y rec</w:t>
      </w:r>
      <w:r w:rsidRPr="000C03D2">
        <w:rPr>
          <w:rFonts w:ascii="Times New Roman" w:hAnsi="Times New Roman" w:cs="Times New Roman"/>
          <w:color w:val="000000" w:themeColor="text1"/>
          <w:szCs w:val="28"/>
          <w:lang w:val="es-ES_tradnl"/>
          <w14:ligatures w14:val="standardContextual"/>
        </w:rPr>
        <w:t>onoce los impactos asociados a la pérdida</w:t>
      </w:r>
      <w:r w:rsidRPr="000C03D2">
        <w:rPr>
          <w:rStyle w:val="Refdenotaalpie"/>
          <w:rFonts w:ascii="Times New Roman" w:hAnsi="Times New Roman" w:cs="Times New Roman"/>
          <w:color w:val="000000" w:themeColor="text1"/>
          <w:szCs w:val="28"/>
          <w:lang w:val="es-ES_tradnl"/>
          <w14:ligatures w14:val="standardContextual"/>
        </w:rPr>
        <w:footnoteReference w:id="78"/>
      </w:r>
      <w:r w:rsidRPr="000C03D2">
        <w:rPr>
          <w:rFonts w:ascii="Times New Roman" w:hAnsi="Times New Roman" w:cs="Times New Roman"/>
          <w:color w:val="000000" w:themeColor="text1"/>
          <w:szCs w:val="28"/>
          <w:lang w:val="es-ES_tradnl"/>
          <w14:ligatures w14:val="standardContextual"/>
        </w:rPr>
        <w:t>. En efecto, sin importar el tipo de aborto que se produzca, sea este espont</w:t>
      </w:r>
      <w:r w:rsidRPr="000C03D2">
        <w:rPr>
          <w:rFonts w:ascii="Times New Roman" w:hAnsi="Times New Roman" w:cs="Times New Roman"/>
          <w:color w:val="000000" w:themeColor="text1"/>
          <w:szCs w:val="28"/>
          <w:lang w:val="es-ES_tradnl"/>
          <w14:ligatures w14:val="standardContextual"/>
        </w:rPr>
        <w:t>á</w:t>
      </w:r>
      <w:r w:rsidRPr="000C03D2">
        <w:rPr>
          <w:rFonts w:ascii="Times New Roman" w:hAnsi="Times New Roman" w:cs="Times New Roman"/>
          <w:color w:val="000000" w:themeColor="text1"/>
          <w:szCs w:val="28"/>
          <w:lang w:val="es-ES_tradnl"/>
          <w14:ligatures w14:val="standardContextual"/>
        </w:rPr>
        <w:t>neo o voluntario, se impacta, de una u otra forma, en la salud de la persona gestante y, en consecuencia, es necesario activar un período</w:t>
      </w:r>
      <w:r w:rsidRPr="000C03D2">
        <w:rPr>
          <w:rFonts w:ascii="Times New Roman" w:hAnsi="Times New Roman" w:cs="Times New Roman"/>
          <w:color w:val="000000" w:themeColor="text1"/>
          <w:szCs w:val="28"/>
          <w:lang w:val="es-ES_tradnl"/>
          <w14:ligatures w14:val="standardContextual"/>
        </w:rPr>
        <w:t xml:space="preserve"> de tiempo para descansar y emprender la recuperación. Dicho de otro modo, con independencia de la técnica utilizada, el aborto no deja de ser un procedimiento quirúrgico o químico, que podría generar riesgos para la salud física o mental de las personas g</w:t>
      </w:r>
      <w:r w:rsidRPr="000C03D2">
        <w:rPr>
          <w:rFonts w:ascii="Times New Roman" w:hAnsi="Times New Roman" w:cs="Times New Roman"/>
          <w:color w:val="000000" w:themeColor="text1"/>
          <w:szCs w:val="28"/>
          <w:lang w:val="es-ES_tradnl"/>
          <w14:ligatures w14:val="standardContextual"/>
        </w:rPr>
        <w:t>estantes</w:t>
      </w:r>
      <w:r w:rsidRPr="000C03D2">
        <w:rPr>
          <w:rFonts w:ascii="Times New Roman" w:hAnsi="Times New Roman" w:cs="Times New Roman"/>
          <w:color w:val="000000" w:themeColor="text1"/>
          <w:szCs w:val="28"/>
          <w:lang w:val="es-ES_tradnl"/>
          <w14:ligatures w14:val="standardContextual"/>
        </w:rPr>
        <w:t>, por ello, quienes estén en dicha situación son beneficiarias de un descanso remunerado</w:t>
      </w:r>
      <w:r w:rsidRPr="000C03D2">
        <w:rPr>
          <w:rFonts w:ascii="Times New Roman" w:hAnsi="Times New Roman" w:cs="Times New Roman"/>
          <w:color w:val="000000" w:themeColor="text1"/>
          <w:szCs w:val="28"/>
          <w:lang w:val="es-ES_tradnl"/>
          <w14:ligatures w14:val="standardContextual"/>
        </w:rPr>
        <w:t xml:space="preserve">. </w:t>
      </w:r>
    </w:p>
    <w:p w:rsidR="00952CB4" w:rsidRPr="000C03D2" w:rsidRDefault="000C03D2" w:rsidP="00952CB4">
      <w:pPr>
        <w:rPr>
          <w:rFonts w:ascii="Times New Roman" w:hAnsi="Times New Roman" w:cs="Times New Roman"/>
          <w:color w:val="000000" w:themeColor="text1"/>
          <w:sz w:val="28"/>
          <w:szCs w:val="28"/>
          <w:lang w:val="es-ES_tradnl"/>
          <w14:ligatures w14:val="standardContextual"/>
        </w:rPr>
      </w:pPr>
    </w:p>
    <w:p w:rsidR="0005428D" w:rsidRPr="000C03D2" w:rsidRDefault="000C03D2" w:rsidP="0005428D">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rPr>
      </w:pPr>
      <w:r w:rsidRPr="000C03D2">
        <w:rPr>
          <w:rFonts w:ascii="Times New Roman" w:hAnsi="Times New Roman" w:cs="Times New Roman"/>
          <w:color w:val="000000" w:themeColor="text1"/>
          <w:szCs w:val="28"/>
        </w:rPr>
        <w:t xml:space="preserve">En este punto, vale la pena hacer referencia a los conceptos presentados por la Secretaría Distrital de la Mujer y por el Ministerio de la Igualdad en la </w:t>
      </w:r>
      <w:r w:rsidRPr="000C03D2">
        <w:rPr>
          <w:rFonts w:ascii="Times New Roman" w:hAnsi="Times New Roman" w:cs="Times New Roman"/>
          <w:color w:val="000000" w:themeColor="text1"/>
          <w:szCs w:val="28"/>
        </w:rPr>
        <w:t>cuales se invocó la Sentencia C-055 de 2022</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El Ministerio de la </w:t>
      </w:r>
      <w:r w:rsidRPr="000C03D2">
        <w:rPr>
          <w:rFonts w:ascii="Times New Roman" w:hAnsi="Times New Roman" w:cs="Times New Roman"/>
          <w:color w:val="000000" w:themeColor="text1"/>
          <w:szCs w:val="28"/>
        </w:rPr>
        <w:t>Igualdad</w:t>
      </w:r>
      <w:r w:rsidRPr="000C03D2">
        <w:rPr>
          <w:rFonts w:ascii="Times New Roman" w:hAnsi="Times New Roman" w:cs="Times New Roman"/>
          <w:color w:val="000000" w:themeColor="text1"/>
          <w:szCs w:val="28"/>
        </w:rPr>
        <w:t xml:space="preserve"> señaló</w:t>
      </w:r>
      <w:r w:rsidRPr="000C03D2">
        <w:rPr>
          <w:rFonts w:ascii="Times New Roman" w:hAnsi="Times New Roman" w:cs="Times New Roman"/>
          <w:color w:val="000000" w:themeColor="text1"/>
          <w:szCs w:val="28"/>
        </w:rPr>
        <w:t xml:space="preserve"> que en dicha oportunidad, y a manera de </w:t>
      </w:r>
      <w:r w:rsidRPr="000C03D2">
        <w:rPr>
          <w:rFonts w:ascii="Times New Roman" w:hAnsi="Times New Roman" w:cs="Times New Roman"/>
          <w:i/>
          <w:iCs/>
          <w:color w:val="000000" w:themeColor="text1"/>
          <w:szCs w:val="28"/>
        </w:rPr>
        <w:t>ratio</w:t>
      </w:r>
      <w:r w:rsidRPr="000C03D2">
        <w:rPr>
          <w:rFonts w:ascii="Times New Roman" w:hAnsi="Times New Roman" w:cs="Times New Roman"/>
          <w:color w:val="000000" w:themeColor="text1"/>
          <w:szCs w:val="28"/>
        </w:rPr>
        <w:t>, la Corte “reconoció a las personas gestantes como sujetos titulares del derecho a la interrupción voluntaria del embarazo (IVE)</w:t>
      </w:r>
      <w:r w:rsidRPr="000C03D2">
        <w:rPr>
          <w:rFonts w:ascii="Times New Roman" w:hAnsi="Times New Roman" w:cs="Times New Roman"/>
          <w:color w:val="000000" w:themeColor="text1"/>
          <w:szCs w:val="28"/>
        </w:rPr>
        <w:t>, sin exigir un reconocimiento binario”</w:t>
      </w:r>
      <w:r w:rsidRPr="000C03D2">
        <w:rPr>
          <w:rStyle w:val="Refdenotaalpie"/>
          <w:rFonts w:ascii="Times New Roman" w:hAnsi="Times New Roman" w:cs="Times New Roman"/>
          <w:color w:val="000000" w:themeColor="text1"/>
          <w:szCs w:val="24"/>
        </w:rPr>
        <w:t xml:space="preserve"> </w:t>
      </w:r>
      <w:r w:rsidRPr="000C03D2">
        <w:rPr>
          <w:rStyle w:val="Refdenotaalpie"/>
          <w:rFonts w:ascii="Times New Roman" w:hAnsi="Times New Roman" w:cs="Times New Roman"/>
          <w:color w:val="000000" w:themeColor="text1"/>
          <w:szCs w:val="24"/>
        </w:rPr>
        <w:footnoteReference w:id="79"/>
      </w:r>
      <w:r w:rsidRPr="000C03D2">
        <w:rPr>
          <w:rFonts w:ascii="Times New Roman" w:hAnsi="Times New Roman" w:cs="Times New Roman"/>
          <w:color w:val="000000" w:themeColor="text1"/>
          <w:szCs w:val="28"/>
        </w:rPr>
        <w:t>. En términos análogos se pronunció la Secretaría Distrital de la Mujer, entidad que aseguró que “en la Sentencia C-055 de 2022, [la Corte] empleó expresamente el término ‘personas gestantes’ al referirse a los suje</w:t>
      </w:r>
      <w:r w:rsidRPr="000C03D2">
        <w:rPr>
          <w:rFonts w:ascii="Times New Roman" w:hAnsi="Times New Roman" w:cs="Times New Roman"/>
          <w:color w:val="000000" w:themeColor="text1"/>
          <w:szCs w:val="28"/>
        </w:rPr>
        <w:t>tos de protección en el marco del derecho a la interrupción voluntaria del embarazo”</w:t>
      </w:r>
      <w:r w:rsidRPr="000C03D2">
        <w:rPr>
          <w:rStyle w:val="Refdenotaalpie"/>
          <w:rFonts w:ascii="Times New Roman" w:eastAsia="Times New Roman" w:hAnsi="Times New Roman" w:cs="Times New Roman"/>
          <w:color w:val="000000" w:themeColor="text1"/>
          <w:szCs w:val="24"/>
          <w:lang w:eastAsia="es-CO"/>
        </w:rPr>
        <w:t xml:space="preserve"> </w:t>
      </w:r>
      <w:r w:rsidRPr="000C03D2">
        <w:rPr>
          <w:rStyle w:val="Refdenotaalpie"/>
          <w:rFonts w:ascii="Times New Roman" w:eastAsia="Times New Roman" w:hAnsi="Times New Roman" w:cs="Times New Roman"/>
          <w:color w:val="000000" w:themeColor="text1"/>
          <w:szCs w:val="24"/>
          <w:lang w:eastAsia="es-CO"/>
        </w:rPr>
        <w:footnoteReference w:id="80"/>
      </w:r>
      <w:r w:rsidRPr="000C03D2">
        <w:rPr>
          <w:rFonts w:ascii="Times New Roman" w:hAnsi="Times New Roman" w:cs="Times New Roman"/>
          <w:color w:val="000000" w:themeColor="text1"/>
          <w:szCs w:val="28"/>
        </w:rPr>
        <w:t>.</w:t>
      </w:r>
    </w:p>
    <w:p w:rsidR="0005428D" w:rsidRPr="000C03D2" w:rsidRDefault="000C03D2" w:rsidP="0005428D">
      <w:pPr>
        <w:pStyle w:val="Prrafodelista"/>
        <w:rPr>
          <w:rFonts w:ascii="Times New Roman" w:hAnsi="Times New Roman" w:cs="Times New Roman"/>
          <w:color w:val="000000" w:themeColor="text1"/>
          <w:szCs w:val="28"/>
          <w:lang w:val="es-ES_tradnl"/>
          <w14:ligatures w14:val="standardContextual"/>
        </w:rPr>
      </w:pPr>
    </w:p>
    <w:p w:rsidR="00524D76" w:rsidRPr="000C03D2" w:rsidRDefault="000C03D2" w:rsidP="00C47335">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lang w:val="es-ES_tradnl"/>
          <w14:ligatures w14:val="standardContextual"/>
        </w:rPr>
        <w:t>A partir de lo expuesto</w:t>
      </w:r>
      <w:r w:rsidRPr="000C03D2">
        <w:rPr>
          <w:rFonts w:ascii="Times New Roman" w:hAnsi="Times New Roman" w:cs="Times New Roman"/>
          <w:color w:val="000000" w:themeColor="text1"/>
          <w:szCs w:val="28"/>
          <w:lang w:val="es-ES_tradnl"/>
          <w14:ligatures w14:val="standardContextual"/>
        </w:rPr>
        <w:t>, es importante referir lo d</w:t>
      </w:r>
      <w:r w:rsidRPr="000C03D2">
        <w:rPr>
          <w:rFonts w:ascii="Times New Roman" w:hAnsi="Times New Roman" w:cs="Times New Roman"/>
          <w:color w:val="000000" w:themeColor="text1"/>
          <w:szCs w:val="28"/>
          <w:lang w:val="es-ES_tradnl"/>
          <w14:ligatures w14:val="standardContextual"/>
        </w:rPr>
        <w:t>ecidido</w:t>
      </w:r>
      <w:r w:rsidRPr="000C03D2">
        <w:rPr>
          <w:rFonts w:ascii="Times New Roman" w:hAnsi="Times New Roman" w:cs="Times New Roman"/>
          <w:color w:val="000000" w:themeColor="text1"/>
          <w:szCs w:val="28"/>
          <w:lang w:val="es-ES_tradnl"/>
          <w14:ligatures w14:val="standardContextual"/>
        </w:rPr>
        <w:t xml:space="preserve"> </w:t>
      </w:r>
      <w:r w:rsidRPr="000C03D2">
        <w:rPr>
          <w:rFonts w:ascii="Times New Roman" w:hAnsi="Times New Roman" w:cs="Times New Roman"/>
          <w:color w:val="000000" w:themeColor="text1"/>
          <w:szCs w:val="28"/>
          <w:lang w:val="es-ES_tradnl"/>
          <w14:ligatures w14:val="standardContextual"/>
        </w:rPr>
        <w:t>por</w:t>
      </w:r>
      <w:r w:rsidRPr="000C03D2">
        <w:rPr>
          <w:rFonts w:ascii="Times New Roman" w:hAnsi="Times New Roman" w:cs="Times New Roman"/>
          <w:color w:val="000000" w:themeColor="text1"/>
          <w:szCs w:val="28"/>
          <w:lang w:val="es-ES_tradnl"/>
          <w14:ligatures w14:val="standardContextual"/>
        </w:rPr>
        <w:t xml:space="preserve"> la Corte Constitucional en la Sentencia C-055 de 2022.</w:t>
      </w:r>
      <w:r w:rsidRPr="000C03D2">
        <w:rPr>
          <w:rFonts w:ascii="Times New Roman" w:hAnsi="Times New Roman" w:cs="Times New Roman"/>
          <w:color w:val="000000" w:themeColor="text1"/>
          <w:szCs w:val="28"/>
          <w:lang w:val="es-ES_tradnl"/>
          <w14:ligatures w14:val="standardContextual"/>
        </w:rPr>
        <w:t xml:space="preserve"> En esa oportunidad, </w:t>
      </w:r>
      <w:r w:rsidRPr="000C03D2">
        <w:rPr>
          <w:rFonts w:ascii="Times New Roman" w:hAnsi="Times New Roman" w:cs="Times New Roman"/>
          <w:color w:val="000000" w:themeColor="text1"/>
        </w:rPr>
        <w:t xml:space="preserve">la </w:t>
      </w:r>
      <w:r w:rsidRPr="000C03D2">
        <w:rPr>
          <w:rFonts w:ascii="Times New Roman" w:hAnsi="Times New Roman" w:cs="Times New Roman"/>
          <w:color w:val="000000" w:themeColor="text1"/>
        </w:rPr>
        <w:t>Sala Plena</w:t>
      </w:r>
      <w:r w:rsidRPr="000C03D2">
        <w:rPr>
          <w:rFonts w:ascii="Times New Roman" w:hAnsi="Times New Roman" w:cs="Times New Roman"/>
          <w:color w:val="000000" w:themeColor="text1"/>
        </w:rPr>
        <w:t xml:space="preserve"> identificó una tensión entre dos bloques de garantías: </w:t>
      </w:r>
      <w:r w:rsidRPr="000C03D2">
        <w:rPr>
          <w:rFonts w:ascii="Times New Roman" w:hAnsi="Times New Roman" w:cs="Times New Roman"/>
          <w:color w:val="000000" w:themeColor="text1"/>
        </w:rPr>
        <w:t>(i)</w:t>
      </w:r>
      <w:r w:rsidRPr="000C03D2">
        <w:rPr>
          <w:rFonts w:ascii="Times New Roman" w:hAnsi="Times New Roman" w:cs="Times New Roman"/>
          <w:color w:val="000000" w:themeColor="text1"/>
        </w:rPr>
        <w:t xml:space="preserve"> la protección de la vida en gestación, que constituye una finalidad imperiosa del artículo 122 del Código Penal, incluso después del condicionamiento introducido por la Sentencia C-355 de 2006; y </w:t>
      </w:r>
      <w:r w:rsidRPr="000C03D2">
        <w:rPr>
          <w:rFonts w:ascii="Times New Roman" w:hAnsi="Times New Roman" w:cs="Times New Roman"/>
          <w:color w:val="000000" w:themeColor="text1"/>
        </w:rPr>
        <w:t>(ii)</w:t>
      </w:r>
      <w:r w:rsidRPr="000C03D2">
        <w:rPr>
          <w:rFonts w:ascii="Times New Roman" w:hAnsi="Times New Roman" w:cs="Times New Roman"/>
          <w:color w:val="000000" w:themeColor="text1"/>
        </w:rPr>
        <w:t xml:space="preserve"> los derechos fundamentales de </w:t>
      </w:r>
      <w:r w:rsidRPr="000C03D2">
        <w:rPr>
          <w:rFonts w:ascii="Times New Roman" w:hAnsi="Times New Roman" w:cs="Times New Roman"/>
          <w:i/>
          <w:iCs/>
          <w:color w:val="000000" w:themeColor="text1"/>
        </w:rPr>
        <w:t>las mujeres y personas gestantes</w:t>
      </w:r>
      <w:r w:rsidRPr="000C03D2">
        <w:rPr>
          <w:rFonts w:ascii="Times New Roman" w:hAnsi="Times New Roman" w:cs="Times New Roman"/>
          <w:color w:val="000000" w:themeColor="text1"/>
        </w:rPr>
        <w:t xml:space="preserve">, como la salud, los derechos reproductivos, la igualdad </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especialmente en contextos de vulnerabilidad o migración irregular</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y la libertad de conciencia.</w:t>
      </w:r>
    </w:p>
    <w:p w:rsidR="00524D76" w:rsidRPr="000C03D2" w:rsidRDefault="000C03D2" w:rsidP="00524D76">
      <w:pPr>
        <w:pStyle w:val="Prrafodelista"/>
        <w:rPr>
          <w:rFonts w:ascii="Times New Roman" w:hAnsi="Times New Roman" w:cs="Times New Roman"/>
          <w:color w:val="000000" w:themeColor="text1"/>
        </w:rPr>
      </w:pPr>
    </w:p>
    <w:p w:rsidR="00EF301E" w:rsidRPr="000C03D2" w:rsidRDefault="000C03D2" w:rsidP="003C23D3">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7"/>
          <w:shd w:val="clear" w:color="auto" w:fill="FFFFFF"/>
        </w:rPr>
      </w:pPr>
      <w:r w:rsidRPr="000C03D2">
        <w:rPr>
          <w:rFonts w:ascii="Times New Roman" w:hAnsi="Times New Roman" w:cs="Times New Roman"/>
          <w:color w:val="000000" w:themeColor="text1"/>
        </w:rPr>
        <w:t>La Corte sostuvo que no e</w:t>
      </w:r>
      <w:r w:rsidRPr="000C03D2">
        <w:rPr>
          <w:rFonts w:ascii="Times New Roman" w:hAnsi="Times New Roman" w:cs="Times New Roman"/>
          <w:color w:val="000000" w:themeColor="text1"/>
        </w:rPr>
        <w:t>ra</w:t>
      </w:r>
      <w:r w:rsidRPr="000C03D2">
        <w:rPr>
          <w:rFonts w:ascii="Times New Roman" w:hAnsi="Times New Roman" w:cs="Times New Roman"/>
          <w:color w:val="000000" w:themeColor="text1"/>
        </w:rPr>
        <w:t xml:space="preserve"> posib</w:t>
      </w:r>
      <w:r w:rsidRPr="000C03D2">
        <w:rPr>
          <w:rFonts w:ascii="Times New Roman" w:hAnsi="Times New Roman" w:cs="Times New Roman"/>
          <w:color w:val="000000" w:themeColor="text1"/>
        </w:rPr>
        <w:t xml:space="preserve">le resolver esa </w:t>
      </w:r>
      <w:r w:rsidRPr="000C03D2">
        <w:rPr>
          <w:rFonts w:ascii="Times New Roman" w:hAnsi="Times New Roman" w:cs="Times New Roman"/>
          <w:color w:val="000000" w:themeColor="text1"/>
        </w:rPr>
        <w:t>colisión</w:t>
      </w:r>
      <w:r w:rsidRPr="000C03D2">
        <w:rPr>
          <w:rFonts w:ascii="Times New Roman" w:hAnsi="Times New Roman" w:cs="Times New Roman"/>
          <w:color w:val="000000" w:themeColor="text1"/>
        </w:rPr>
        <w:t xml:space="preserve"> privilegiando una garantía sobre otra, pues ello implicaría sacrificar derechos fundamentales.</w:t>
      </w:r>
      <w:r w:rsidRPr="000C03D2">
        <w:rPr>
          <w:rFonts w:ascii="Times New Roman" w:hAnsi="Times New Roman" w:cs="Times New Roman"/>
          <w:color w:val="000000" w:themeColor="text1"/>
        </w:rPr>
        <w:t xml:space="preserve"> Con el fin de </w:t>
      </w:r>
      <w:r w:rsidRPr="000C03D2">
        <w:rPr>
          <w:rFonts w:ascii="Times New Roman" w:hAnsi="Times New Roman" w:cs="Times New Roman"/>
          <w:color w:val="000000" w:themeColor="text1"/>
        </w:rPr>
        <w:t>alcanzar este equilibrio, la Corte buscó un punto óptimo en el término de gestación que, en abstracto, prote</w:t>
      </w:r>
      <w:r w:rsidRPr="000C03D2">
        <w:rPr>
          <w:rFonts w:ascii="Times New Roman" w:hAnsi="Times New Roman" w:cs="Times New Roman"/>
          <w:color w:val="000000" w:themeColor="text1"/>
        </w:rPr>
        <w:t>giera</w:t>
      </w:r>
      <w:r w:rsidRPr="000C03D2">
        <w:rPr>
          <w:rFonts w:ascii="Times New Roman" w:hAnsi="Times New Roman" w:cs="Times New Roman"/>
          <w:color w:val="000000" w:themeColor="text1"/>
        </w:rPr>
        <w:t xml:space="preserve"> la vida en formación y, al mismo tiempo, garanti</w:t>
      </w:r>
      <w:r w:rsidRPr="000C03D2">
        <w:rPr>
          <w:rFonts w:ascii="Times New Roman" w:hAnsi="Times New Roman" w:cs="Times New Roman"/>
          <w:color w:val="000000" w:themeColor="text1"/>
        </w:rPr>
        <w:t>zara</w:t>
      </w:r>
      <w:r w:rsidRPr="000C03D2">
        <w:rPr>
          <w:rFonts w:ascii="Times New Roman" w:hAnsi="Times New Roman" w:cs="Times New Roman"/>
          <w:color w:val="000000" w:themeColor="text1"/>
        </w:rPr>
        <w:t xml:space="preserve"> la dignidad y los derechos de las </w:t>
      </w:r>
      <w:r w:rsidRPr="000C03D2">
        <w:rPr>
          <w:rFonts w:ascii="Times New Roman" w:hAnsi="Times New Roman" w:cs="Times New Roman"/>
          <w:i/>
          <w:iCs/>
          <w:color w:val="000000" w:themeColor="text1"/>
        </w:rPr>
        <w:t>personas gestantes</w:t>
      </w:r>
      <w:r w:rsidRPr="000C03D2">
        <w:rPr>
          <w:rFonts w:ascii="Times New Roman" w:hAnsi="Times New Roman" w:cs="Times New Roman"/>
          <w:color w:val="000000" w:themeColor="text1"/>
        </w:rPr>
        <w:t>. Este análisis se apoyó en tres elementos</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i/>
          <w:iCs/>
          <w:color w:val="000000" w:themeColor="text1"/>
        </w:rPr>
        <w:t>P</w:t>
      </w:r>
      <w:r w:rsidRPr="000C03D2">
        <w:rPr>
          <w:rFonts w:ascii="Times New Roman" w:hAnsi="Times New Roman" w:cs="Times New Roman"/>
          <w:i/>
          <w:iCs/>
          <w:color w:val="000000" w:themeColor="text1"/>
        </w:rPr>
        <w:t>rimero</w:t>
      </w:r>
      <w:r w:rsidRPr="000C03D2">
        <w:rPr>
          <w:rFonts w:ascii="Times New Roman" w:hAnsi="Times New Roman" w:cs="Times New Roman"/>
          <w:color w:val="000000" w:themeColor="text1"/>
        </w:rPr>
        <w:t>, las hipótesis extremas de afectación de la dignidad reconocidas en la Sentencia C-355 de 2006</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i/>
          <w:iCs/>
          <w:color w:val="000000" w:themeColor="text1"/>
        </w:rPr>
        <w:t>S</w:t>
      </w:r>
      <w:r w:rsidRPr="000C03D2">
        <w:rPr>
          <w:rFonts w:ascii="Times New Roman" w:hAnsi="Times New Roman" w:cs="Times New Roman"/>
          <w:i/>
          <w:iCs/>
          <w:color w:val="000000" w:themeColor="text1"/>
        </w:rPr>
        <w:t>e</w:t>
      </w:r>
      <w:r w:rsidRPr="000C03D2">
        <w:rPr>
          <w:rFonts w:ascii="Times New Roman" w:hAnsi="Times New Roman" w:cs="Times New Roman"/>
          <w:i/>
          <w:iCs/>
          <w:color w:val="000000" w:themeColor="text1"/>
        </w:rPr>
        <w:t>gundo</w:t>
      </w:r>
      <w:r w:rsidRPr="000C03D2">
        <w:rPr>
          <w:rFonts w:ascii="Times New Roman" w:hAnsi="Times New Roman" w:cs="Times New Roman"/>
          <w:color w:val="000000" w:themeColor="text1"/>
        </w:rPr>
        <w:t xml:space="preserve">, el concepto de autonomía, que marca el momento en que la vida en formación rompe su dependencia de la </w:t>
      </w:r>
      <w:r w:rsidRPr="000C03D2">
        <w:rPr>
          <w:rFonts w:ascii="Times New Roman" w:hAnsi="Times New Roman" w:cs="Times New Roman"/>
          <w:i/>
          <w:iCs/>
          <w:color w:val="000000" w:themeColor="text1"/>
        </w:rPr>
        <w:t>persona gestante</w:t>
      </w:r>
      <w:r w:rsidRPr="000C03D2">
        <w:rPr>
          <w:rFonts w:ascii="Times New Roman" w:hAnsi="Times New Roman" w:cs="Times New Roman"/>
          <w:color w:val="000000" w:themeColor="text1"/>
        </w:rPr>
        <w:t>, justificando una protección penal reforzada</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i/>
          <w:iCs/>
          <w:color w:val="000000" w:themeColor="text1"/>
        </w:rPr>
        <w:t>T</w:t>
      </w:r>
      <w:r w:rsidRPr="000C03D2">
        <w:rPr>
          <w:rFonts w:ascii="Times New Roman" w:hAnsi="Times New Roman" w:cs="Times New Roman"/>
          <w:i/>
          <w:iCs/>
          <w:color w:val="000000" w:themeColor="text1"/>
        </w:rPr>
        <w:t>ercero</w:t>
      </w:r>
      <w:r w:rsidRPr="000C03D2">
        <w:rPr>
          <w:rFonts w:ascii="Times New Roman" w:hAnsi="Times New Roman" w:cs="Times New Roman"/>
          <w:color w:val="000000" w:themeColor="text1"/>
        </w:rPr>
        <w:t>, la necesidad de promover un diálogo democrático para diseñar políticas públ</w:t>
      </w:r>
      <w:r w:rsidRPr="000C03D2">
        <w:rPr>
          <w:rFonts w:ascii="Times New Roman" w:hAnsi="Times New Roman" w:cs="Times New Roman"/>
          <w:color w:val="000000" w:themeColor="text1"/>
        </w:rPr>
        <w:t>icas integrales que reduzcan las barreras al ejercicio de derechos reproductivos y protejan gradualmente la vida en gestación</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p>
    <w:p w:rsidR="00EF301E" w:rsidRPr="000C03D2" w:rsidRDefault="000C03D2" w:rsidP="00EF301E">
      <w:pPr>
        <w:pStyle w:val="Prrafodelista"/>
        <w:rPr>
          <w:rFonts w:ascii="Times New Roman" w:hAnsi="Times New Roman" w:cs="Times New Roman"/>
          <w:color w:val="000000" w:themeColor="text1"/>
        </w:rPr>
      </w:pPr>
    </w:p>
    <w:p w:rsidR="003C23D3" w:rsidRPr="000C03D2" w:rsidRDefault="000C03D2" w:rsidP="003C23D3">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7"/>
          <w:shd w:val="clear" w:color="auto" w:fill="FFFFFF"/>
        </w:rPr>
      </w:pPr>
      <w:r w:rsidRPr="000C03D2">
        <w:rPr>
          <w:rFonts w:ascii="Times New Roman" w:hAnsi="Times New Roman" w:cs="Times New Roman"/>
          <w:color w:val="000000" w:themeColor="text1"/>
        </w:rPr>
        <w:t>A partir de lo anterior</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 xml:space="preserve">resolvió que </w:t>
      </w:r>
      <w:r w:rsidRPr="000C03D2">
        <w:rPr>
          <w:rFonts w:ascii="Times New Roman" w:hAnsi="Times New Roman" w:cs="Times New Roman"/>
          <w:color w:val="000000" w:themeColor="text1"/>
          <w:szCs w:val="27"/>
          <w:shd w:val="clear" w:color="auto" w:fill="FFFFFF"/>
        </w:rPr>
        <w:t xml:space="preserve">la conducta de abortar solo será punible cuando se realice después de la vigésimo cuarta </w:t>
      </w:r>
      <w:r w:rsidRPr="000C03D2">
        <w:rPr>
          <w:rFonts w:ascii="Times New Roman" w:hAnsi="Times New Roman" w:cs="Times New Roman"/>
          <w:color w:val="000000" w:themeColor="text1"/>
          <w:szCs w:val="27"/>
          <w:shd w:val="clear" w:color="auto" w:fill="FFFFFF"/>
        </w:rPr>
        <w:t xml:space="preserve">(24) semana de gestación y, en todo caso, este límite temporal no será aplicable a los tres supuestos en los que la Sentencia C-355 de 2006 dispuso que no se incurre en delito de aborto, esto es, (i) </w:t>
      </w:r>
      <w:r w:rsidRPr="000C03D2">
        <w:rPr>
          <w:rFonts w:ascii="Times New Roman" w:hAnsi="Times New Roman" w:cs="Times New Roman"/>
          <w:color w:val="000000" w:themeColor="text1"/>
          <w:szCs w:val="27"/>
          <w:shd w:val="clear" w:color="auto" w:fill="FFFFFF"/>
        </w:rPr>
        <w:t>c</w:t>
      </w:r>
      <w:r w:rsidRPr="000C03D2">
        <w:rPr>
          <w:rFonts w:ascii="Times New Roman" w:hAnsi="Times New Roman" w:cs="Times New Roman"/>
          <w:color w:val="000000" w:themeColor="text1"/>
          <w:szCs w:val="27"/>
          <w:shd w:val="clear" w:color="auto" w:fill="FFFFFF"/>
        </w:rPr>
        <w:t xml:space="preserve">uando la continuación del embarazo constituya peligro para la vida o la salud de la </w:t>
      </w:r>
      <w:r w:rsidRPr="000C03D2">
        <w:rPr>
          <w:rFonts w:ascii="Times New Roman" w:hAnsi="Times New Roman" w:cs="Times New Roman"/>
          <w:color w:val="000000" w:themeColor="text1"/>
          <w:szCs w:val="27"/>
          <w:shd w:val="clear" w:color="auto" w:fill="FFFFFF"/>
        </w:rPr>
        <w:t>persona gestante</w:t>
      </w:r>
      <w:r w:rsidRPr="000C03D2">
        <w:rPr>
          <w:rFonts w:ascii="Times New Roman" w:hAnsi="Times New Roman" w:cs="Times New Roman"/>
          <w:color w:val="000000" w:themeColor="text1"/>
          <w:szCs w:val="27"/>
          <w:shd w:val="clear" w:color="auto" w:fill="FFFFFF"/>
        </w:rPr>
        <w:t xml:space="preserve">, certificada por un médico; (ii) </w:t>
      </w:r>
      <w:r w:rsidRPr="000C03D2">
        <w:rPr>
          <w:rFonts w:ascii="Times New Roman" w:hAnsi="Times New Roman" w:cs="Times New Roman"/>
          <w:color w:val="000000" w:themeColor="text1"/>
          <w:szCs w:val="27"/>
          <w:shd w:val="clear" w:color="auto" w:fill="FFFFFF"/>
        </w:rPr>
        <w:t>c</w:t>
      </w:r>
      <w:r w:rsidRPr="000C03D2">
        <w:rPr>
          <w:rFonts w:ascii="Times New Roman" w:hAnsi="Times New Roman" w:cs="Times New Roman"/>
          <w:color w:val="000000" w:themeColor="text1"/>
          <w:szCs w:val="27"/>
          <w:shd w:val="clear" w:color="auto" w:fill="FFFFFF"/>
        </w:rPr>
        <w:t xml:space="preserve">uando exista grave malformación del feto que haga inviable su vida, certificada por un médico; y, (iii) </w:t>
      </w:r>
      <w:r w:rsidRPr="000C03D2">
        <w:rPr>
          <w:rFonts w:ascii="Times New Roman" w:hAnsi="Times New Roman" w:cs="Times New Roman"/>
          <w:color w:val="000000" w:themeColor="text1"/>
          <w:szCs w:val="27"/>
          <w:shd w:val="clear" w:color="auto" w:fill="FFFFFF"/>
        </w:rPr>
        <w:t>c</w:t>
      </w:r>
      <w:r w:rsidRPr="000C03D2">
        <w:rPr>
          <w:rFonts w:ascii="Times New Roman" w:hAnsi="Times New Roman" w:cs="Times New Roman"/>
          <w:color w:val="000000" w:themeColor="text1"/>
          <w:szCs w:val="27"/>
          <w:shd w:val="clear" w:color="auto" w:fill="FFFFFF"/>
        </w:rPr>
        <w:t>uando el embaraz</w:t>
      </w:r>
      <w:r w:rsidRPr="000C03D2">
        <w:rPr>
          <w:rFonts w:ascii="Times New Roman" w:hAnsi="Times New Roman" w:cs="Times New Roman"/>
          <w:color w:val="000000" w:themeColor="text1"/>
          <w:szCs w:val="27"/>
          <w:shd w:val="clear" w:color="auto" w:fill="FFFFFF"/>
        </w:rPr>
        <w:t>o sea el resultado de una conducta, debidamente denunciada, constitutiva de acceso carnal o acto sexual sin consentimiento, abusivo o de inseminación artificial o transferencia de óvulo fecundado no consentidas, o de incesto”.</w:t>
      </w:r>
    </w:p>
    <w:p w:rsidR="00952CB4" w:rsidRPr="000C03D2" w:rsidRDefault="000C03D2" w:rsidP="0005428D">
      <w:pPr>
        <w:rPr>
          <w:rFonts w:ascii="Times New Roman" w:hAnsi="Times New Roman" w:cs="Times New Roman"/>
          <w:color w:val="000000" w:themeColor="text1"/>
          <w:sz w:val="28"/>
        </w:rPr>
      </w:pPr>
    </w:p>
    <w:p w:rsidR="00ED4127" w:rsidRPr="000C03D2" w:rsidRDefault="000C03D2" w:rsidP="0005428D">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rPr>
      </w:pPr>
      <w:r w:rsidRPr="000C03D2">
        <w:rPr>
          <w:rFonts w:ascii="Times New Roman" w:hAnsi="Times New Roman" w:cs="Times New Roman"/>
          <w:color w:val="000000" w:themeColor="text1"/>
        </w:rPr>
        <w:t>Además, l</w:t>
      </w:r>
      <w:r w:rsidRPr="000C03D2">
        <w:rPr>
          <w:rFonts w:ascii="Times New Roman" w:hAnsi="Times New Roman" w:cs="Times New Roman"/>
          <w:color w:val="000000" w:themeColor="text1"/>
        </w:rPr>
        <w:t>a Corte re</w:t>
      </w:r>
      <w:r w:rsidRPr="000C03D2">
        <w:rPr>
          <w:rFonts w:ascii="Times New Roman" w:hAnsi="Times New Roman" w:cs="Times New Roman"/>
          <w:color w:val="000000" w:themeColor="text1"/>
        </w:rPr>
        <w:t>calcó</w:t>
      </w:r>
      <w:r w:rsidRPr="000C03D2">
        <w:rPr>
          <w:rFonts w:ascii="Times New Roman" w:hAnsi="Times New Roman" w:cs="Times New Roman"/>
          <w:color w:val="000000" w:themeColor="text1"/>
        </w:rPr>
        <w:t xml:space="preserve"> que</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 xml:space="preserve">le </w:t>
      </w:r>
      <w:r w:rsidRPr="000C03D2">
        <w:rPr>
          <w:rFonts w:ascii="Times New Roman" w:hAnsi="Times New Roman" w:cs="Times New Roman"/>
          <w:color w:val="000000" w:themeColor="text1"/>
        </w:rPr>
        <w:t xml:space="preserve">corresponde al </w:t>
      </w:r>
      <w:r w:rsidRPr="000C03D2">
        <w:rPr>
          <w:rFonts w:ascii="Times New Roman" w:hAnsi="Times New Roman" w:cs="Times New Roman"/>
          <w:color w:val="000000" w:themeColor="text1"/>
        </w:rPr>
        <w:t>l</w:t>
      </w:r>
      <w:r w:rsidRPr="000C03D2">
        <w:rPr>
          <w:rFonts w:ascii="Times New Roman" w:hAnsi="Times New Roman" w:cs="Times New Roman"/>
          <w:color w:val="000000" w:themeColor="text1"/>
        </w:rPr>
        <w:t xml:space="preserve">egislador </w:t>
      </w:r>
      <w:r w:rsidRPr="000C03D2">
        <w:rPr>
          <w:rFonts w:ascii="Times New Roman" w:hAnsi="Times New Roman" w:cs="Times New Roman"/>
          <w:color w:val="000000" w:themeColor="text1"/>
        </w:rPr>
        <w:t xml:space="preserve">y al Gobierno Nacional </w:t>
      </w:r>
      <w:r w:rsidRPr="000C03D2">
        <w:rPr>
          <w:rFonts w:ascii="Times New Roman" w:hAnsi="Times New Roman" w:cs="Times New Roman"/>
          <w:color w:val="000000" w:themeColor="text1"/>
        </w:rPr>
        <w:t xml:space="preserve">definir las medidas más adecuadas para proteger los bienes jurídicos en tensión, que pueden ser de carácter penal o social, como garantizar cuidados médicos, alimentación o ingresos para </w:t>
      </w:r>
      <w:r w:rsidRPr="000C03D2">
        <w:rPr>
          <w:rFonts w:ascii="Times New Roman" w:hAnsi="Times New Roman" w:cs="Times New Roman"/>
          <w:i/>
          <w:iCs/>
          <w:color w:val="000000" w:themeColor="text1"/>
        </w:rPr>
        <w:t>las personas</w:t>
      </w:r>
      <w:r w:rsidRPr="000C03D2">
        <w:rPr>
          <w:rFonts w:ascii="Times New Roman" w:hAnsi="Times New Roman" w:cs="Times New Roman"/>
          <w:i/>
          <w:iCs/>
          <w:color w:val="000000" w:themeColor="text1"/>
        </w:rPr>
        <w:t xml:space="preserve"> emb</w:t>
      </w:r>
      <w:r w:rsidRPr="000C03D2">
        <w:rPr>
          <w:rFonts w:ascii="Times New Roman" w:hAnsi="Times New Roman" w:cs="Times New Roman"/>
          <w:i/>
          <w:iCs/>
          <w:color w:val="000000" w:themeColor="text1"/>
        </w:rPr>
        <w:t>arazadas</w:t>
      </w:r>
      <w:r w:rsidRPr="000C03D2">
        <w:rPr>
          <w:rFonts w:ascii="Times New Roman" w:hAnsi="Times New Roman" w:cs="Times New Roman"/>
          <w:color w:val="000000" w:themeColor="text1"/>
        </w:rPr>
        <w:t xml:space="preserve"> que se encuentra</w:t>
      </w:r>
      <w:r w:rsidRPr="000C03D2">
        <w:rPr>
          <w:rFonts w:ascii="Times New Roman" w:hAnsi="Times New Roman" w:cs="Times New Roman"/>
          <w:color w:val="000000" w:themeColor="text1"/>
        </w:rPr>
        <w:t>n</w:t>
      </w:r>
      <w:r w:rsidRPr="000C03D2">
        <w:rPr>
          <w:rFonts w:ascii="Times New Roman" w:hAnsi="Times New Roman" w:cs="Times New Roman"/>
          <w:color w:val="000000" w:themeColor="text1"/>
        </w:rPr>
        <w:t xml:space="preserve"> en la</w:t>
      </w:r>
      <w:r w:rsidRPr="000C03D2">
        <w:rPr>
          <w:rFonts w:ascii="Times New Roman" w:hAnsi="Times New Roman" w:cs="Times New Roman"/>
          <w:color w:val="000000" w:themeColor="text1"/>
        </w:rPr>
        <w:t>s</w:t>
      </w:r>
      <w:r w:rsidRPr="000C03D2">
        <w:rPr>
          <w:rFonts w:ascii="Times New Roman" w:hAnsi="Times New Roman" w:cs="Times New Roman"/>
          <w:color w:val="000000" w:themeColor="text1"/>
        </w:rPr>
        <w:t xml:space="preserve"> hipótesis despenalizada</w:t>
      </w:r>
      <w:r w:rsidRPr="000C03D2">
        <w:rPr>
          <w:rFonts w:ascii="Times New Roman" w:hAnsi="Times New Roman" w:cs="Times New Roman"/>
          <w:color w:val="000000" w:themeColor="text1"/>
        </w:rPr>
        <w:t>s</w:t>
      </w:r>
      <w:r w:rsidRPr="000C03D2">
        <w:rPr>
          <w:rFonts w:ascii="Times New Roman" w:hAnsi="Times New Roman" w:cs="Times New Roman"/>
          <w:color w:val="000000" w:themeColor="text1"/>
        </w:rPr>
        <w:t xml:space="preserve"> -24 semanas de gestación</w:t>
      </w:r>
      <w:r w:rsidRPr="000C03D2">
        <w:rPr>
          <w:rFonts w:ascii="Times New Roman" w:hAnsi="Times New Roman" w:cs="Times New Roman"/>
          <w:color w:val="000000" w:themeColor="text1"/>
        </w:rPr>
        <w:t xml:space="preserve"> y las causales de la Sentencia C-355 de 2006</w:t>
      </w:r>
      <w:r w:rsidRPr="000C03D2">
        <w:rPr>
          <w:rFonts w:ascii="Times New Roman" w:hAnsi="Times New Roman" w:cs="Times New Roman"/>
          <w:color w:val="000000" w:themeColor="text1"/>
        </w:rPr>
        <w:t>-</w:t>
      </w:r>
      <w:r w:rsidRPr="000C03D2">
        <w:rPr>
          <w:rStyle w:val="Refdenotaalpie"/>
          <w:rFonts w:ascii="Times New Roman" w:hAnsi="Times New Roman" w:cs="Times New Roman"/>
          <w:color w:val="000000" w:themeColor="text1"/>
        </w:rPr>
        <w:footnoteReference w:id="81"/>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Precisamente</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uno de los fundamentos del Decreto 2126 de 2023 es la Sentencia C-055 de 2022 </w:t>
      </w:r>
      <w:r w:rsidRPr="000C03D2">
        <w:rPr>
          <w:rFonts w:ascii="Times New Roman" w:hAnsi="Times New Roman" w:cs="Times New Roman"/>
          <w:color w:val="000000" w:themeColor="text1"/>
        </w:rPr>
        <w:t xml:space="preserve">y la necesidad de garantizar el derecho al mínimo vital, a la salud y a la vida digna durante los periodos en los cuales </w:t>
      </w:r>
      <w:r w:rsidRPr="000C03D2">
        <w:rPr>
          <w:rFonts w:ascii="Times New Roman" w:hAnsi="Times New Roman" w:cs="Times New Roman"/>
          <w:i/>
          <w:iCs/>
          <w:color w:val="000000" w:themeColor="text1"/>
        </w:rPr>
        <w:t>la persona</w:t>
      </w:r>
      <w:r w:rsidRPr="000C03D2">
        <w:rPr>
          <w:rFonts w:ascii="Times New Roman" w:hAnsi="Times New Roman" w:cs="Times New Roman"/>
          <w:color w:val="000000" w:themeColor="text1"/>
        </w:rPr>
        <w:t xml:space="preserve"> no se encuentra en condiciones de salud adecuadas para realizar labores que le permiten obtener un salario, </w:t>
      </w:r>
      <w:r w:rsidRPr="000C03D2">
        <w:rPr>
          <w:rFonts w:ascii="Times New Roman" w:hAnsi="Times New Roman" w:cs="Times New Roman"/>
          <w:color w:val="000000" w:themeColor="text1"/>
        </w:rPr>
        <w:t>entre ellos</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cua</w:t>
      </w:r>
      <w:r w:rsidRPr="000C03D2">
        <w:rPr>
          <w:rFonts w:ascii="Times New Roman" w:hAnsi="Times New Roman" w:cs="Times New Roman"/>
          <w:color w:val="000000" w:themeColor="text1"/>
        </w:rPr>
        <w:t xml:space="preserve">ndo se encuentra en alguna de las </w:t>
      </w:r>
      <w:r w:rsidRPr="000C03D2">
        <w:rPr>
          <w:rFonts w:ascii="Times New Roman" w:hAnsi="Times New Roman" w:cs="Times New Roman"/>
          <w:color w:val="000000" w:themeColor="text1"/>
        </w:rPr>
        <w:t xml:space="preserve">siguientes </w:t>
      </w:r>
      <w:r w:rsidRPr="000C03D2">
        <w:rPr>
          <w:rFonts w:ascii="Times New Roman" w:hAnsi="Times New Roman" w:cs="Times New Roman"/>
          <w:color w:val="000000" w:themeColor="text1"/>
        </w:rPr>
        <w:t>hipótesis: aborto espontáneo, interrupción voluntaria del embarazo o parto no viable.</w:t>
      </w:r>
      <w:r w:rsidRPr="000C03D2">
        <w:rPr>
          <w:rFonts w:ascii="Times New Roman" w:hAnsi="Times New Roman" w:cs="Times New Roman"/>
          <w:color w:val="000000" w:themeColor="text1"/>
        </w:rPr>
        <w:t> </w:t>
      </w:r>
    </w:p>
    <w:p w:rsidR="003B5AFF" w:rsidRPr="000C03D2" w:rsidRDefault="000C03D2" w:rsidP="003B5AFF">
      <w:pPr>
        <w:pStyle w:val="Prrafodelista"/>
        <w:rPr>
          <w:rFonts w:ascii="Times New Roman" w:hAnsi="Times New Roman" w:cs="Times New Roman"/>
          <w:color w:val="000000" w:themeColor="text1"/>
        </w:rPr>
      </w:pPr>
    </w:p>
    <w:p w:rsidR="004B6F84" w:rsidRPr="000C03D2" w:rsidRDefault="000C03D2" w:rsidP="004B6F84">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rPr>
      </w:pPr>
      <w:r w:rsidRPr="000C03D2">
        <w:rPr>
          <w:rFonts w:ascii="Times New Roman" w:hAnsi="Times New Roman" w:cs="Times New Roman"/>
          <w:color w:val="000000" w:themeColor="text1"/>
        </w:rPr>
        <w:t xml:space="preserve">En el derecho comparado, vale la pena hacer referencia al caso de </w:t>
      </w:r>
      <w:r w:rsidRPr="000C03D2">
        <w:rPr>
          <w:rFonts w:ascii="Times New Roman" w:hAnsi="Times New Roman" w:cs="Times New Roman"/>
          <w:color w:val="000000" w:themeColor="text1"/>
        </w:rPr>
        <w:t>España</w:t>
      </w:r>
      <w:r w:rsidRPr="000C03D2">
        <w:rPr>
          <w:rFonts w:ascii="Times New Roman" w:hAnsi="Times New Roman" w:cs="Times New Roman"/>
          <w:color w:val="000000" w:themeColor="text1"/>
        </w:rPr>
        <w:t xml:space="preserve">. Mediante la Ley Orgánica 1/2023, del 28 de febrero de 2023, </w:t>
      </w:r>
      <w:r w:rsidRPr="000C03D2">
        <w:rPr>
          <w:rFonts w:ascii="Times New Roman" w:hAnsi="Times New Roman" w:cs="Times New Roman"/>
          <w:color w:val="000000" w:themeColor="text1"/>
        </w:rPr>
        <w:t xml:space="preserve">el </w:t>
      </w:r>
      <w:r w:rsidRPr="000C03D2">
        <w:rPr>
          <w:rFonts w:ascii="Times New Roman" w:hAnsi="Times New Roman" w:cs="Times New Roman"/>
          <w:color w:val="000000" w:themeColor="text1"/>
        </w:rPr>
        <w:t>l</w:t>
      </w:r>
      <w:r w:rsidRPr="000C03D2">
        <w:rPr>
          <w:rFonts w:ascii="Times New Roman" w:hAnsi="Times New Roman" w:cs="Times New Roman"/>
          <w:color w:val="000000" w:themeColor="text1"/>
        </w:rPr>
        <w:t>egislador modificó la ley de seguridad social con el fin de establecer como una situación especial de incapacidad temporal por contingencias comunes la relacionada con la interrupción del em</w:t>
      </w:r>
      <w:r w:rsidRPr="000C03D2">
        <w:rPr>
          <w:rFonts w:ascii="Times New Roman" w:hAnsi="Times New Roman" w:cs="Times New Roman"/>
          <w:color w:val="000000" w:themeColor="text1"/>
        </w:rPr>
        <w:t>barazo, voluntaria o no, mientras la persona reciba asistencia sanitaria por el Servicio Público de Salud y esté impedida para el trabajo</w:t>
      </w:r>
      <w:r w:rsidRPr="000C03D2">
        <w:rPr>
          <w:rStyle w:val="Refdenotaalpie"/>
          <w:rFonts w:ascii="Times New Roman" w:hAnsi="Times New Roman" w:cs="Times New Roman"/>
          <w:color w:val="000000" w:themeColor="text1"/>
        </w:rPr>
        <w:footnoteReference w:id="82"/>
      </w:r>
      <w:r w:rsidRPr="000C03D2">
        <w:rPr>
          <w:rFonts w:ascii="Times New Roman" w:hAnsi="Times New Roman" w:cs="Times New Roman"/>
          <w:color w:val="000000" w:themeColor="text1"/>
        </w:rPr>
        <w:t>.</w:t>
      </w:r>
    </w:p>
    <w:p w:rsidR="00CA2F31" w:rsidRPr="000C03D2" w:rsidRDefault="000C03D2" w:rsidP="004814D8">
      <w:pPr>
        <w:tabs>
          <w:tab w:val="left" w:pos="426"/>
        </w:tabs>
        <w:rPr>
          <w:rFonts w:ascii="Times New Roman" w:hAnsi="Times New Roman" w:cs="Times New Roman"/>
          <w:color w:val="000000" w:themeColor="text1"/>
          <w:sz w:val="28"/>
          <w:szCs w:val="28"/>
          <w:lang w:val="es-ES_tradnl"/>
          <w14:ligatures w14:val="standardContextual"/>
        </w:rPr>
      </w:pPr>
    </w:p>
    <w:p w:rsidR="007D39AF" w:rsidRPr="000C03D2" w:rsidRDefault="000C03D2" w:rsidP="007D39AF">
      <w:pPr>
        <w:pStyle w:val="Prrafodelista"/>
        <w:widowControl w:val="0"/>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b/>
          <w:bCs/>
          <w:color w:val="000000" w:themeColor="text1"/>
          <w:lang w:val="es-ES_tradnl"/>
        </w:rPr>
      </w:pPr>
      <w:r w:rsidRPr="000C03D2">
        <w:rPr>
          <w:rFonts w:ascii="Times New Roman" w:hAnsi="Times New Roman" w:cs="Times New Roman"/>
          <w:color w:val="000000" w:themeColor="text1"/>
          <w:szCs w:val="28"/>
          <w:lang w:val="es-ES_tradnl"/>
          <w14:ligatures w14:val="standardContextual"/>
        </w:rPr>
        <w:t xml:space="preserve">En </w:t>
      </w:r>
      <w:r w:rsidRPr="000C03D2">
        <w:rPr>
          <w:rFonts w:ascii="Times New Roman" w:hAnsi="Times New Roman" w:cs="Times New Roman"/>
          <w:color w:val="000000" w:themeColor="text1"/>
          <w:szCs w:val="28"/>
          <w:lang w:val="es-ES_tradnl"/>
          <w14:ligatures w14:val="standardContextual"/>
        </w:rPr>
        <w:t>síntesis</w:t>
      </w:r>
      <w:r w:rsidRPr="000C03D2">
        <w:rPr>
          <w:rFonts w:ascii="Times New Roman" w:hAnsi="Times New Roman" w:cs="Times New Roman"/>
          <w:color w:val="000000" w:themeColor="text1"/>
          <w:szCs w:val="28"/>
          <w:lang w:val="es-ES_tradnl"/>
          <w14:ligatures w14:val="standardContextual"/>
        </w:rPr>
        <w:t xml:space="preserve">, para efectos de analizar la inconstitucionalidad </w:t>
      </w:r>
      <w:r w:rsidRPr="000C03D2">
        <w:rPr>
          <w:rFonts w:ascii="Times New Roman" w:hAnsi="Times New Roman" w:cs="Times New Roman"/>
          <w:color w:val="000000" w:themeColor="text1"/>
          <w:szCs w:val="28"/>
          <w:lang w:val="es-ES_tradnl"/>
          <w14:ligatures w14:val="standardContextual"/>
        </w:rPr>
        <w:t>del enunciado normativo examinado</w:t>
      </w:r>
      <w:r w:rsidRPr="000C03D2">
        <w:rPr>
          <w:rFonts w:ascii="Times New Roman" w:hAnsi="Times New Roman" w:cs="Times New Roman"/>
          <w:color w:val="000000" w:themeColor="text1"/>
          <w:szCs w:val="28"/>
          <w:lang w:val="es-ES_tradnl"/>
          <w14:ligatures w14:val="standardContextual"/>
        </w:rPr>
        <w:t xml:space="preserve"> la Sala Plena acudirá a una lectura amplia, incluyente y conforme a la Constitución del artículo 237 del Código Sustantivo del Trabajo, entendiendo que integra dentro de su ámbito de protección el aborto espontáneo, el parto prematuro no viable y la inter</w:t>
      </w:r>
      <w:r w:rsidRPr="000C03D2">
        <w:rPr>
          <w:rFonts w:ascii="Times New Roman" w:hAnsi="Times New Roman" w:cs="Times New Roman"/>
          <w:color w:val="000000" w:themeColor="text1"/>
          <w:szCs w:val="28"/>
          <w:lang w:val="es-ES_tradnl"/>
          <w14:ligatures w14:val="standardContextual"/>
        </w:rPr>
        <w:t>rupción voluntaria del embarazo</w:t>
      </w:r>
      <w:r w:rsidRPr="000C03D2">
        <w:rPr>
          <w:rFonts w:ascii="Times New Roman" w:hAnsi="Times New Roman" w:cs="Times New Roman"/>
          <w:color w:val="000000" w:themeColor="text1"/>
          <w:szCs w:val="28"/>
          <w:lang w:val="es-ES_tradnl"/>
          <w14:ligatures w14:val="standardContextual"/>
        </w:rPr>
        <w:t xml:space="preserve"> -en los términos de lo dispuesto en la Sentencia C-055 de 2022-</w:t>
      </w:r>
      <w:r w:rsidRPr="000C03D2">
        <w:rPr>
          <w:rFonts w:ascii="Times New Roman" w:hAnsi="Times New Roman" w:cs="Times New Roman"/>
          <w:color w:val="000000" w:themeColor="text1"/>
          <w:szCs w:val="28"/>
          <w:lang w:val="es-ES_tradnl"/>
          <w14:ligatures w14:val="standardContextual"/>
        </w:rPr>
        <w:t xml:space="preserve">. </w:t>
      </w:r>
      <w:r w:rsidRPr="000C03D2">
        <w:rPr>
          <w:rFonts w:ascii="Times New Roman" w:hAnsi="Times New Roman" w:cs="Times New Roman"/>
          <w:color w:val="000000" w:themeColor="text1"/>
          <w:szCs w:val="28"/>
          <w:lang w:val="es-ES_tradnl"/>
          <w14:ligatures w14:val="standardContextual"/>
        </w:rPr>
        <w:t xml:space="preserve">Esa última decisión, a juicio de la Sala Plena, </w:t>
      </w:r>
      <w:r w:rsidRPr="000C03D2">
        <w:rPr>
          <w:rFonts w:ascii="Times New Roman" w:hAnsi="Times New Roman" w:cs="Times New Roman"/>
          <w:color w:val="000000" w:themeColor="text1"/>
          <w:szCs w:val="28"/>
        </w:rPr>
        <w:t>revela el interés de la jurisprudencia por reconocer que la IVE es un derecho sexual y reproductivo en cabeza d</w:t>
      </w:r>
      <w:r w:rsidRPr="000C03D2">
        <w:rPr>
          <w:rFonts w:ascii="Times New Roman" w:hAnsi="Times New Roman" w:cs="Times New Roman"/>
          <w:color w:val="000000" w:themeColor="text1"/>
          <w:szCs w:val="28"/>
        </w:rPr>
        <w:t>e todas las personas gestantes, independientemente de su identidad de género.</w:t>
      </w:r>
    </w:p>
    <w:p w:rsidR="007D39AF" w:rsidRPr="000C03D2" w:rsidRDefault="000C03D2" w:rsidP="00A141C2">
      <w:pPr>
        <w:pStyle w:val="Prrafodelista"/>
        <w:widowControl w:val="0"/>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rPr>
          <w:rFonts w:ascii="Times New Roman" w:hAnsi="Times New Roman" w:cs="Times New Roman"/>
          <w:b/>
          <w:bCs/>
          <w:color w:val="000000" w:themeColor="text1"/>
          <w:lang w:val="es-ES_tradnl"/>
        </w:rPr>
      </w:pPr>
    </w:p>
    <w:p w:rsidR="00AC0994" w:rsidRPr="000C03D2" w:rsidRDefault="000C03D2" w:rsidP="002023B7">
      <w:pPr>
        <w:pStyle w:val="Prrafodelista"/>
        <w:widowControl w:val="0"/>
        <w:numPr>
          <w:ilvl w:val="1"/>
          <w:numId w:val="4"/>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9"/>
        <w:rPr>
          <w:rFonts w:ascii="Times New Roman" w:eastAsia="Times New Roman" w:hAnsi="Times New Roman" w:cs="Times New Roman"/>
          <w:i/>
          <w:iCs/>
          <w:color w:val="000000" w:themeColor="text1"/>
          <w:szCs w:val="28"/>
          <w:lang w:eastAsia="es-ES_tradnl"/>
        </w:rPr>
      </w:pPr>
      <w:r w:rsidRPr="000C03D2">
        <w:rPr>
          <w:rFonts w:ascii="Times New Roman" w:eastAsia="Times New Roman" w:hAnsi="Times New Roman" w:cs="Times New Roman"/>
          <w:i/>
          <w:iCs/>
          <w:color w:val="000000" w:themeColor="text1"/>
          <w:szCs w:val="28"/>
          <w:lang w:eastAsia="es-ES_tradnl"/>
        </w:rPr>
        <w:t xml:space="preserve">El legislador incurrió en una omisión legislativa relativa al no incluir como beneficiarias de la norma demandada a las personas </w:t>
      </w:r>
      <w:r w:rsidRPr="000C03D2">
        <w:rPr>
          <w:rFonts w:ascii="Times New Roman" w:eastAsia="Times New Roman" w:hAnsi="Times New Roman" w:cs="Times New Roman"/>
          <w:i/>
          <w:iCs/>
          <w:color w:val="000000" w:themeColor="text1"/>
          <w:szCs w:val="28"/>
          <w:lang w:eastAsia="es-ES_tradnl"/>
        </w:rPr>
        <w:t xml:space="preserve">gestantes </w:t>
      </w:r>
      <w:r w:rsidRPr="000C03D2">
        <w:rPr>
          <w:rFonts w:ascii="Times New Roman" w:eastAsia="Times New Roman" w:hAnsi="Times New Roman" w:cs="Times New Roman"/>
          <w:i/>
          <w:iCs/>
          <w:color w:val="000000" w:themeColor="text1"/>
          <w:szCs w:val="28"/>
          <w:lang w:eastAsia="es-ES_tradnl"/>
        </w:rPr>
        <w:t>que tienen vivencias de la identidad d</w:t>
      </w:r>
      <w:r w:rsidRPr="000C03D2">
        <w:rPr>
          <w:rFonts w:ascii="Times New Roman" w:eastAsia="Times New Roman" w:hAnsi="Times New Roman" w:cs="Times New Roman"/>
          <w:i/>
          <w:iCs/>
          <w:color w:val="000000" w:themeColor="text1"/>
          <w:szCs w:val="28"/>
          <w:lang w:eastAsia="es-ES_tradnl"/>
        </w:rPr>
        <w:t>e género diversas</w:t>
      </w:r>
    </w:p>
    <w:p w:rsidR="00AC0994" w:rsidRPr="000C03D2" w:rsidRDefault="000C03D2" w:rsidP="00A141C2">
      <w:pPr>
        <w:pStyle w:val="Prrafodelista"/>
        <w:widowControl w:val="0"/>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rPr>
          <w:rFonts w:ascii="Times New Roman" w:hAnsi="Times New Roman" w:cs="Times New Roman"/>
          <w:b/>
          <w:bCs/>
          <w:color w:val="000000" w:themeColor="text1"/>
          <w:lang w:val="es-ES_tradnl"/>
        </w:rPr>
      </w:pPr>
    </w:p>
    <w:p w:rsidR="00590393" w:rsidRPr="000C03D2" w:rsidRDefault="000C03D2" w:rsidP="00A141C2">
      <w:pPr>
        <w:pStyle w:val="Prrafodelista"/>
        <w:numPr>
          <w:ilvl w:val="0"/>
          <w:numId w:val="3"/>
        </w:numPr>
        <w:tabs>
          <w:tab w:val="left" w:pos="426"/>
        </w:tabs>
        <w:ind w:left="0" w:firstLine="0"/>
        <w:textAlignment w:val="baseline"/>
        <w:rPr>
          <w:rFonts w:ascii="Times New Roman" w:eastAsia="Times New Roman" w:hAnsi="Times New Roman" w:cs="Times New Roman"/>
          <w:color w:val="000000" w:themeColor="text1"/>
          <w:szCs w:val="27"/>
          <w:lang w:eastAsia="es-ES_tradnl"/>
        </w:rPr>
      </w:pPr>
      <w:r w:rsidRPr="000C03D2">
        <w:rPr>
          <w:rFonts w:ascii="Times New Roman" w:eastAsia="Times New Roman" w:hAnsi="Times New Roman" w:cs="Times New Roman"/>
          <w:color w:val="000000" w:themeColor="text1"/>
          <w:szCs w:val="28"/>
          <w:lang w:val="es-ES_tradnl" w:eastAsia="es-ES_tradnl"/>
        </w:rPr>
        <w:t>L</w:t>
      </w:r>
      <w:r w:rsidRPr="000C03D2">
        <w:rPr>
          <w:rFonts w:ascii="Times New Roman" w:eastAsia="Times New Roman" w:hAnsi="Times New Roman" w:cs="Times New Roman"/>
          <w:color w:val="000000" w:themeColor="text1"/>
          <w:szCs w:val="28"/>
          <w:lang w:eastAsia="es-ES_tradnl"/>
        </w:rPr>
        <w:t xml:space="preserve">a Sala </w:t>
      </w:r>
      <w:r w:rsidRPr="000C03D2">
        <w:rPr>
          <w:rFonts w:ascii="Times New Roman" w:eastAsia="Times New Roman" w:hAnsi="Times New Roman" w:cs="Times New Roman"/>
          <w:color w:val="000000" w:themeColor="text1"/>
          <w:szCs w:val="28"/>
          <w:lang w:eastAsia="es-ES_tradnl"/>
        </w:rPr>
        <w:t>concluirá</w:t>
      </w:r>
      <w:r w:rsidRPr="000C03D2">
        <w:rPr>
          <w:rFonts w:ascii="Times New Roman" w:eastAsia="Times New Roman" w:hAnsi="Times New Roman" w:cs="Times New Roman"/>
          <w:color w:val="000000" w:themeColor="text1"/>
          <w:szCs w:val="28"/>
          <w:lang w:eastAsia="es-ES_tradnl"/>
        </w:rPr>
        <w:t xml:space="preserve"> que </w:t>
      </w:r>
      <w:r w:rsidRPr="000C03D2">
        <w:rPr>
          <w:rFonts w:ascii="Times New Roman" w:eastAsia="Times New Roman" w:hAnsi="Times New Roman" w:cs="Times New Roman"/>
          <w:color w:val="000000" w:themeColor="text1"/>
          <w:szCs w:val="28"/>
          <w:lang w:eastAsia="es-ES_tradnl"/>
        </w:rPr>
        <w:t xml:space="preserve">sí </w:t>
      </w:r>
      <w:r w:rsidRPr="000C03D2">
        <w:rPr>
          <w:rFonts w:ascii="Times New Roman" w:eastAsia="Times New Roman" w:hAnsi="Times New Roman" w:cs="Times New Roman"/>
          <w:color w:val="000000" w:themeColor="text1"/>
          <w:szCs w:val="28"/>
          <w:lang w:eastAsia="es-ES_tradnl"/>
        </w:rPr>
        <w:t>se configur</w:t>
      </w:r>
      <w:r w:rsidRPr="000C03D2">
        <w:rPr>
          <w:rFonts w:ascii="Times New Roman" w:eastAsia="Times New Roman" w:hAnsi="Times New Roman" w:cs="Times New Roman"/>
          <w:color w:val="000000" w:themeColor="text1"/>
          <w:szCs w:val="28"/>
          <w:lang w:eastAsia="es-ES_tradnl"/>
        </w:rPr>
        <w:t>ó</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una</w:t>
      </w:r>
      <w:r w:rsidRPr="000C03D2">
        <w:rPr>
          <w:rFonts w:ascii="Times New Roman" w:eastAsia="Times New Roman" w:hAnsi="Times New Roman" w:cs="Times New Roman"/>
          <w:color w:val="000000" w:themeColor="text1"/>
          <w:szCs w:val="28"/>
          <w:lang w:eastAsia="es-ES_tradnl"/>
        </w:rPr>
        <w:t xml:space="preserve"> omisión legislativa relativa que desconoce el derecho a la igualdad </w:t>
      </w:r>
      <w:r w:rsidRPr="000C03D2">
        <w:rPr>
          <w:rFonts w:ascii="Times New Roman" w:eastAsia="Times New Roman" w:hAnsi="Times New Roman" w:cs="Times New Roman"/>
          <w:color w:val="000000" w:themeColor="text1"/>
          <w:szCs w:val="28"/>
          <w:lang w:eastAsia="es-ES_tradnl"/>
        </w:rPr>
        <w:t xml:space="preserve">y a la identidad de género </w:t>
      </w:r>
      <w:r w:rsidRPr="000C03D2">
        <w:rPr>
          <w:rFonts w:ascii="Times New Roman" w:eastAsia="Times New Roman" w:hAnsi="Times New Roman" w:cs="Times New Roman"/>
          <w:color w:val="000000" w:themeColor="text1"/>
          <w:szCs w:val="28"/>
          <w:lang w:eastAsia="es-ES_tradnl"/>
        </w:rPr>
        <w:t xml:space="preserve">alegada por los demandantes porque </w:t>
      </w:r>
      <w:r w:rsidRPr="000C03D2">
        <w:rPr>
          <w:rFonts w:ascii="Times New Roman" w:eastAsia="Times New Roman" w:hAnsi="Times New Roman" w:cs="Times New Roman"/>
          <w:color w:val="000000" w:themeColor="text1"/>
          <w:szCs w:val="28"/>
          <w:lang w:eastAsia="es-ES_tradnl"/>
        </w:rPr>
        <w:t xml:space="preserve">el legislador omitió incluir como beneficiarias de la norma demandada a las personas </w:t>
      </w:r>
      <w:r w:rsidRPr="000C03D2">
        <w:rPr>
          <w:rFonts w:ascii="Times New Roman" w:eastAsia="Times New Roman" w:hAnsi="Times New Roman" w:cs="Times New Roman"/>
          <w:color w:val="000000" w:themeColor="text1"/>
          <w:szCs w:val="28"/>
          <w:lang w:eastAsia="es-ES_tradnl"/>
        </w:rPr>
        <w:t xml:space="preserve">gestantes </w:t>
      </w:r>
      <w:r w:rsidRPr="000C03D2">
        <w:rPr>
          <w:rFonts w:ascii="Times New Roman" w:eastAsia="Times New Roman" w:hAnsi="Times New Roman" w:cs="Times New Roman"/>
          <w:color w:val="000000" w:themeColor="text1"/>
          <w:szCs w:val="28"/>
          <w:lang w:eastAsia="es-ES_tradnl"/>
        </w:rPr>
        <w:t>que tienen vivencias de la identidad de género diversas</w:t>
      </w:r>
      <w:r w:rsidRPr="000C03D2">
        <w:rPr>
          <w:rFonts w:ascii="Times New Roman" w:eastAsia="Times New Roman" w:hAnsi="Times New Roman" w:cs="Times New Roman"/>
          <w:color w:val="000000" w:themeColor="text1"/>
          <w:szCs w:val="28"/>
          <w:lang w:eastAsia="es-ES_tradnl"/>
        </w:rPr>
        <w:t xml:space="preserve"> </w:t>
      </w:r>
      <w:r w:rsidRPr="000C03D2">
        <w:rPr>
          <w:rFonts w:ascii="Times New Roman" w:eastAsia="Times New Roman" w:hAnsi="Times New Roman" w:cs="Times New Roman"/>
          <w:color w:val="000000" w:themeColor="text1"/>
          <w:szCs w:val="28"/>
          <w:lang w:eastAsia="es-ES_tradnl"/>
        </w:rPr>
        <w:t>y que están en un</w:t>
      </w:r>
      <w:r w:rsidRPr="000C03D2">
        <w:rPr>
          <w:rFonts w:ascii="Times New Roman" w:eastAsia="Times New Roman" w:hAnsi="Times New Roman" w:cs="Times New Roman"/>
          <w:color w:val="000000" w:themeColor="text1"/>
          <w:szCs w:val="28"/>
          <w:lang w:eastAsia="es-ES_tradnl"/>
        </w:rPr>
        <w:t>a</w:t>
      </w:r>
      <w:r w:rsidRPr="000C03D2">
        <w:rPr>
          <w:rFonts w:ascii="Times New Roman" w:eastAsia="Times New Roman" w:hAnsi="Times New Roman" w:cs="Times New Roman"/>
          <w:color w:val="000000" w:themeColor="text1"/>
          <w:szCs w:val="28"/>
          <w:lang w:eastAsia="es-ES_tradnl"/>
        </w:rPr>
        <w:t xml:space="preserve"> situación similar a quienes se identifican como mujeres. </w:t>
      </w:r>
      <w:r w:rsidRPr="000C03D2">
        <w:rPr>
          <w:rFonts w:ascii="Times New Roman" w:eastAsia="Times New Roman" w:hAnsi="Times New Roman" w:cs="Times New Roman"/>
          <w:color w:val="000000" w:themeColor="text1"/>
          <w:szCs w:val="28"/>
          <w:lang w:eastAsia="es-ES_tradnl"/>
        </w:rPr>
        <w:t xml:space="preserve">A continuación, </w:t>
      </w:r>
      <w:r w:rsidRPr="000C03D2">
        <w:rPr>
          <w:rFonts w:ascii="Times New Roman" w:eastAsia="Times New Roman" w:hAnsi="Times New Roman" w:cs="Times New Roman"/>
          <w:color w:val="000000" w:themeColor="text1"/>
          <w:szCs w:val="28"/>
          <w:lang w:eastAsia="es-ES_tradnl"/>
        </w:rPr>
        <w:t xml:space="preserve">se fundamenta esta conclusión. </w:t>
      </w:r>
    </w:p>
    <w:p w:rsidR="009B71E1" w:rsidRPr="000C03D2" w:rsidRDefault="000C03D2" w:rsidP="004B21EE">
      <w:pPr>
        <w:widowControl w:val="0"/>
        <w:ind w:left="284"/>
        <w:rPr>
          <w:rFonts w:ascii="Times New Roman" w:hAnsi="Times New Roman" w:cs="Times New Roman"/>
          <w:b/>
          <w:bCs/>
          <w:color w:val="000000" w:themeColor="text1"/>
          <w:sz w:val="28"/>
        </w:rPr>
      </w:pPr>
    </w:p>
    <w:p w:rsidR="00771145" w:rsidRPr="000C03D2" w:rsidRDefault="000C03D2" w:rsidP="004B21EE">
      <w:pPr>
        <w:pStyle w:val="Prrafodelista"/>
        <w:widowControl w:val="0"/>
        <w:numPr>
          <w:ilvl w:val="0"/>
          <w:numId w:val="6"/>
        </w:numPr>
        <w:ind w:left="284" w:firstLine="0"/>
        <w:rPr>
          <w:rFonts w:ascii="Times New Roman" w:hAnsi="Times New Roman" w:cs="Times New Roman"/>
          <w:b/>
          <w:bCs/>
          <w:color w:val="000000" w:themeColor="text1"/>
          <w:szCs w:val="28"/>
        </w:rPr>
      </w:pPr>
      <w:r w:rsidRPr="000C03D2">
        <w:rPr>
          <w:rFonts w:ascii="Times New Roman" w:hAnsi="Times New Roman" w:cs="Times New Roman"/>
          <w:b/>
          <w:bCs/>
          <w:color w:val="000000" w:themeColor="text1"/>
          <w:szCs w:val="28"/>
        </w:rPr>
        <w:t>La omisión se predica de</w:t>
      </w:r>
      <w:r w:rsidRPr="000C03D2">
        <w:rPr>
          <w:rFonts w:ascii="Times New Roman" w:hAnsi="Times New Roman" w:cs="Times New Roman"/>
          <w:b/>
          <w:bCs/>
          <w:color w:val="000000" w:themeColor="text1"/>
          <w:szCs w:val="28"/>
        </w:rPr>
        <w:t xml:space="preserve">l artículo 237 del </w:t>
      </w:r>
      <w:r w:rsidRPr="000C03D2">
        <w:rPr>
          <w:rFonts w:ascii="Times New Roman" w:hAnsi="Times New Roman" w:cs="Times New Roman"/>
          <w:b/>
          <w:bCs/>
          <w:color w:val="000000" w:themeColor="text1"/>
          <w:szCs w:val="28"/>
        </w:rPr>
        <w:t>C</w:t>
      </w:r>
      <w:r w:rsidRPr="000C03D2">
        <w:rPr>
          <w:rFonts w:ascii="Times New Roman" w:hAnsi="Times New Roman" w:cs="Times New Roman"/>
          <w:b/>
          <w:bCs/>
          <w:color w:val="000000" w:themeColor="text1"/>
          <w:szCs w:val="28"/>
        </w:rPr>
        <w:t xml:space="preserve">ódigo Sustantivo del Trabajo </w:t>
      </w:r>
      <w:r w:rsidRPr="000C03D2">
        <w:rPr>
          <w:rFonts w:ascii="Times New Roman" w:hAnsi="Times New Roman" w:cs="Times New Roman"/>
          <w:b/>
          <w:bCs/>
          <w:color w:val="000000" w:themeColor="text1"/>
          <w:szCs w:val="28"/>
        </w:rPr>
        <w:t>el</w:t>
      </w:r>
      <w:r w:rsidRPr="000C03D2">
        <w:rPr>
          <w:rFonts w:ascii="Times New Roman" w:hAnsi="Times New Roman" w:cs="Times New Roman"/>
          <w:b/>
          <w:bCs/>
          <w:color w:val="000000" w:themeColor="text1"/>
          <w:szCs w:val="28"/>
        </w:rPr>
        <w:t xml:space="preserve"> cual excluye de sus consecuencias jurídicas a otras personas </w:t>
      </w:r>
      <w:r w:rsidRPr="000C03D2">
        <w:rPr>
          <w:rFonts w:ascii="Times New Roman" w:hAnsi="Times New Roman" w:cs="Times New Roman"/>
          <w:b/>
          <w:bCs/>
          <w:color w:val="000000" w:themeColor="text1"/>
          <w:szCs w:val="28"/>
        </w:rPr>
        <w:t>gestantes</w:t>
      </w:r>
    </w:p>
    <w:p w:rsidR="00AC2AF2" w:rsidRPr="000C03D2" w:rsidRDefault="000C03D2" w:rsidP="004B21EE">
      <w:pPr>
        <w:widowControl w:val="0"/>
        <w:ind w:left="284"/>
        <w:rPr>
          <w:rFonts w:ascii="Times New Roman" w:hAnsi="Times New Roman" w:cs="Times New Roman"/>
          <w:b/>
          <w:bCs/>
          <w:color w:val="000000" w:themeColor="text1"/>
          <w:sz w:val="28"/>
          <w:szCs w:val="28"/>
        </w:rPr>
      </w:pPr>
    </w:p>
    <w:p w:rsidR="00B544A1" w:rsidRPr="000C03D2" w:rsidRDefault="000C03D2" w:rsidP="00A141C2">
      <w:pPr>
        <w:pStyle w:val="Prrafodelista"/>
        <w:numPr>
          <w:ilvl w:val="0"/>
          <w:numId w:val="3"/>
        </w:numPr>
        <w:tabs>
          <w:tab w:val="left" w:pos="426"/>
        </w:tabs>
        <w:ind w:left="0" w:right="49"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 xml:space="preserve">El </w:t>
      </w:r>
      <w:r w:rsidRPr="000C03D2">
        <w:rPr>
          <w:rFonts w:ascii="Times New Roman" w:eastAsia="Times New Roman" w:hAnsi="Times New Roman" w:cs="Times New Roman"/>
          <w:color w:val="000000" w:themeColor="text1"/>
        </w:rPr>
        <w:t>artículo</w:t>
      </w:r>
      <w:r w:rsidRPr="000C03D2">
        <w:rPr>
          <w:rFonts w:ascii="Times New Roman" w:hAnsi="Times New Roman" w:cs="Times New Roman"/>
          <w:color w:val="000000" w:themeColor="text1"/>
          <w:szCs w:val="28"/>
        </w:rPr>
        <w:t xml:space="preserve"> 237 de</w:t>
      </w:r>
      <w:r w:rsidRPr="000C03D2">
        <w:rPr>
          <w:rFonts w:ascii="Times New Roman" w:hAnsi="Times New Roman" w:cs="Times New Roman"/>
          <w:color w:val="000000" w:themeColor="text1"/>
          <w:szCs w:val="28"/>
        </w:rPr>
        <w:t>l</w:t>
      </w:r>
      <w:r w:rsidRPr="000C03D2">
        <w:rPr>
          <w:rFonts w:ascii="Times New Roman" w:hAnsi="Times New Roman" w:cs="Times New Roman"/>
          <w:color w:val="000000" w:themeColor="text1"/>
          <w:szCs w:val="28"/>
        </w:rPr>
        <w:t xml:space="preserve"> Código Sustantivo del Trabajo</w:t>
      </w:r>
      <w:r w:rsidRPr="000C03D2">
        <w:rPr>
          <w:rFonts w:ascii="Times New Roman" w:hAnsi="Times New Roman" w:cs="Times New Roman"/>
          <w:iCs/>
          <w:color w:val="000000" w:themeColor="text1"/>
          <w:szCs w:val="28"/>
        </w:rPr>
        <w:t>, como ya se explicó,</w:t>
      </w:r>
      <w:r w:rsidRPr="000C03D2">
        <w:rPr>
          <w:rFonts w:ascii="Times New Roman" w:hAnsi="Times New Roman" w:cs="Times New Roman"/>
          <w:iCs/>
          <w:color w:val="000000" w:themeColor="text1"/>
          <w:szCs w:val="28"/>
        </w:rPr>
        <w:t xml:space="preserve"> regula el </w:t>
      </w:r>
      <w:r w:rsidRPr="000C03D2">
        <w:rPr>
          <w:rFonts w:ascii="Times New Roman" w:hAnsi="Times New Roman" w:cs="Times New Roman"/>
          <w:iCs/>
          <w:color w:val="000000" w:themeColor="text1"/>
          <w:szCs w:val="28"/>
        </w:rPr>
        <w:t>descanso remunerado en caso de aborto</w:t>
      </w:r>
      <w:r w:rsidRPr="000C03D2">
        <w:rPr>
          <w:rFonts w:ascii="Times New Roman" w:hAnsi="Times New Roman" w:cs="Times New Roman"/>
          <w:iCs/>
          <w:color w:val="000000" w:themeColor="text1"/>
          <w:szCs w:val="28"/>
        </w:rPr>
        <w:t>,</w:t>
      </w:r>
      <w:r w:rsidRPr="000C03D2">
        <w:rPr>
          <w:rFonts w:ascii="Times New Roman" w:hAnsi="Times New Roman" w:cs="Times New Roman"/>
          <w:iCs/>
          <w:color w:val="000000" w:themeColor="text1"/>
          <w:szCs w:val="28"/>
        </w:rPr>
        <w:t xml:space="preserve"> parto no viable</w:t>
      </w:r>
      <w:r w:rsidRPr="000C03D2">
        <w:rPr>
          <w:rFonts w:ascii="Times New Roman" w:hAnsi="Times New Roman" w:cs="Times New Roman"/>
          <w:iCs/>
          <w:color w:val="000000" w:themeColor="text1"/>
          <w:szCs w:val="28"/>
        </w:rPr>
        <w:t xml:space="preserve"> o interrupción voluntaria del embarazo</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color w:val="000000" w:themeColor="text1"/>
          <w:szCs w:val="28"/>
          <w:lang w:val="es-ES_tradnl"/>
          <w14:ligatures w14:val="standardContextual"/>
        </w:rPr>
        <w:t xml:space="preserve">-en adelante </w:t>
      </w:r>
      <w:r w:rsidRPr="000C03D2">
        <w:rPr>
          <w:rFonts w:ascii="Times New Roman" w:hAnsi="Times New Roman" w:cs="Times New Roman"/>
          <w:color w:val="000000" w:themeColor="text1"/>
          <w:szCs w:val="28"/>
          <w:lang w:val="es-ES_tradnl"/>
          <w14:ligatures w14:val="standardContextual"/>
        </w:rPr>
        <w:t xml:space="preserve">la Sala </w:t>
      </w:r>
      <w:r w:rsidRPr="000C03D2">
        <w:rPr>
          <w:rFonts w:ascii="Times New Roman" w:hAnsi="Times New Roman" w:cs="Times New Roman"/>
          <w:color w:val="000000" w:themeColor="text1"/>
          <w:szCs w:val="28"/>
          <w:lang w:val="es-ES_tradnl"/>
          <w14:ligatures w14:val="standardContextual"/>
        </w:rPr>
        <w:t>se referirá a</w:t>
      </w:r>
      <w:r w:rsidRPr="000C03D2">
        <w:rPr>
          <w:rFonts w:ascii="Times New Roman" w:hAnsi="Times New Roman" w:cs="Times New Roman"/>
          <w:color w:val="000000" w:themeColor="text1"/>
          <w:szCs w:val="28"/>
          <w:lang w:val="es-ES_tradnl"/>
          <w14:ligatures w14:val="standardContextual"/>
        </w:rPr>
        <w:t>l</w:t>
      </w:r>
      <w:r w:rsidRPr="000C03D2">
        <w:rPr>
          <w:rFonts w:ascii="Times New Roman" w:hAnsi="Times New Roman" w:cs="Times New Roman"/>
          <w:color w:val="000000" w:themeColor="text1"/>
          <w:szCs w:val="28"/>
          <w:lang w:val="es-ES_tradnl"/>
          <w14:ligatures w14:val="standardContextual"/>
        </w:rPr>
        <w:t xml:space="preserve"> descanso remunerado en caso de aborto</w:t>
      </w:r>
      <w:r w:rsidRPr="000C03D2">
        <w:rPr>
          <w:rFonts w:ascii="Times New Roman" w:hAnsi="Times New Roman" w:cs="Times New Roman"/>
          <w:color w:val="000000" w:themeColor="text1"/>
          <w:szCs w:val="28"/>
          <w:lang w:val="es-ES_tradnl"/>
          <w14:ligatures w14:val="standardContextual"/>
        </w:rPr>
        <w:t xml:space="preserve"> para referirse a las tres hipótesis</w:t>
      </w:r>
      <w:r w:rsidRPr="000C03D2">
        <w:rPr>
          <w:rStyle w:val="Refdenotaalpie"/>
          <w:rFonts w:ascii="Times New Roman" w:hAnsi="Times New Roman" w:cs="Times New Roman"/>
          <w:color w:val="000000" w:themeColor="text1"/>
          <w:szCs w:val="28"/>
          <w:lang w:val="es-ES_tradnl"/>
          <w14:ligatures w14:val="standardContextual"/>
        </w:rPr>
        <w:footnoteReference w:id="83"/>
      </w:r>
      <w:r w:rsidRPr="000C03D2">
        <w:rPr>
          <w:rFonts w:ascii="Times New Roman" w:hAnsi="Times New Roman" w:cs="Times New Roman"/>
          <w:color w:val="000000" w:themeColor="text1"/>
          <w:szCs w:val="28"/>
          <w:lang w:val="es-ES_tradnl"/>
          <w14:ligatures w14:val="standardContextual"/>
        </w:rPr>
        <w:t>-</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 xml:space="preserve">Acorde con la disposición, la trabajadora </w:t>
      </w:r>
      <w:r w:rsidRPr="000C03D2">
        <w:rPr>
          <w:rFonts w:ascii="Times New Roman" w:hAnsi="Times New Roman" w:cs="Times New Roman"/>
          <w:iCs/>
          <w:color w:val="000000" w:themeColor="text1"/>
          <w:szCs w:val="28"/>
        </w:rPr>
        <w:t>que se encuentre en una de las situaciones referidas</w:t>
      </w:r>
      <w:r w:rsidRPr="000C03D2">
        <w:rPr>
          <w:rFonts w:ascii="Times New Roman" w:hAnsi="Times New Roman" w:cs="Times New Roman"/>
          <w:iCs/>
          <w:color w:val="000000" w:themeColor="text1"/>
          <w:szCs w:val="28"/>
        </w:rPr>
        <w:t xml:space="preserve"> tiene derecho a una licencia remunerada de entre dos (2) y cuatro (4) semanas, según lo determine el médico tratante, pagada con el salario que devengaba al inic</w:t>
      </w:r>
      <w:r w:rsidRPr="000C03D2">
        <w:rPr>
          <w:rFonts w:ascii="Times New Roman" w:hAnsi="Times New Roman" w:cs="Times New Roman"/>
          <w:iCs/>
          <w:color w:val="000000" w:themeColor="text1"/>
          <w:szCs w:val="28"/>
        </w:rPr>
        <w:t>io del descanso</w:t>
      </w:r>
      <w:r w:rsidRPr="000C03D2">
        <w:rPr>
          <w:rFonts w:ascii="Times New Roman" w:hAnsi="Times New Roman" w:cs="Times New Roman"/>
          <w:iCs/>
          <w:color w:val="000000" w:themeColor="text1"/>
          <w:szCs w:val="28"/>
        </w:rPr>
        <w:t>.</w:t>
      </w:r>
      <w:r w:rsidRPr="000C03D2">
        <w:rPr>
          <w:rFonts w:ascii="Times New Roman" w:hAnsi="Times New Roman" w:cs="Times New Roman"/>
          <w:iCs/>
          <w:color w:val="000000" w:themeColor="text1"/>
          <w:szCs w:val="28"/>
        </w:rPr>
        <w:t xml:space="preserve"> La norma aclara que si el parto resulta viable, se aplican las reglas de la licencia de maternidad ordinaria previstas en el artículo </w:t>
      </w:r>
      <w:r w:rsidRPr="000C03D2">
        <w:rPr>
          <w:rFonts w:ascii="Times New Roman" w:hAnsi="Times New Roman" w:cs="Times New Roman"/>
          <w:iCs/>
          <w:color w:val="000000" w:themeColor="text1"/>
          <w:szCs w:val="28"/>
        </w:rPr>
        <w:t>236</w:t>
      </w:r>
      <w:r w:rsidRPr="000C03D2">
        <w:rPr>
          <w:rFonts w:ascii="Times New Roman" w:hAnsi="Times New Roman" w:cs="Times New Roman"/>
          <w:iCs/>
          <w:color w:val="000000" w:themeColor="text1"/>
          <w:szCs w:val="28"/>
        </w:rPr>
        <w:t>. Para acceder a esta licencia especial, la trabajadora debe presentar al empleador un certificado méd</w:t>
      </w:r>
      <w:r w:rsidRPr="000C03D2">
        <w:rPr>
          <w:rFonts w:ascii="Times New Roman" w:hAnsi="Times New Roman" w:cs="Times New Roman"/>
          <w:iCs/>
          <w:color w:val="000000" w:themeColor="text1"/>
          <w:szCs w:val="28"/>
        </w:rPr>
        <w:t xml:space="preserve">ico que cumpla dos requisitos: primero, confirmar que se produjo un aborto o parto prematuro, indicando la fecha del hecho; segundo, señalar el tiempo de reposo necesario para la recuperación. </w:t>
      </w:r>
    </w:p>
    <w:p w:rsidR="00B544A1" w:rsidRPr="000C03D2" w:rsidRDefault="000C03D2" w:rsidP="00A141C2">
      <w:pPr>
        <w:pStyle w:val="Prrafodelista"/>
        <w:tabs>
          <w:tab w:val="left" w:pos="426"/>
        </w:tabs>
        <w:ind w:left="0" w:right="49"/>
        <w:rPr>
          <w:rFonts w:ascii="Times New Roman" w:hAnsi="Times New Roman" w:cs="Times New Roman"/>
          <w:color w:val="000000" w:themeColor="text1"/>
          <w:szCs w:val="28"/>
        </w:rPr>
      </w:pPr>
    </w:p>
    <w:p w:rsidR="009B1F00" w:rsidRPr="000C03D2" w:rsidRDefault="000C03D2" w:rsidP="00A141C2">
      <w:pPr>
        <w:pStyle w:val="Prrafodelista"/>
        <w:numPr>
          <w:ilvl w:val="0"/>
          <w:numId w:val="3"/>
        </w:numPr>
        <w:tabs>
          <w:tab w:val="left" w:pos="426"/>
        </w:tabs>
        <w:ind w:left="0" w:right="49" w:firstLine="0"/>
        <w:rPr>
          <w:rFonts w:ascii="Times New Roman" w:hAnsi="Times New Roman" w:cs="Times New Roman"/>
          <w:color w:val="000000" w:themeColor="text1"/>
          <w:szCs w:val="28"/>
        </w:rPr>
      </w:pPr>
      <w:r w:rsidRPr="000C03D2">
        <w:rPr>
          <w:rFonts w:ascii="Times New Roman" w:hAnsi="Times New Roman" w:cs="Times New Roman"/>
          <w:iCs/>
          <w:color w:val="000000" w:themeColor="text1"/>
          <w:szCs w:val="28"/>
        </w:rPr>
        <w:t>Por su parte,</w:t>
      </w:r>
      <w:r w:rsidRPr="000C03D2">
        <w:rPr>
          <w:rFonts w:ascii="Times New Roman" w:hAnsi="Times New Roman" w:cs="Times New Roman"/>
          <w:iCs/>
          <w:color w:val="000000" w:themeColor="text1"/>
          <w:szCs w:val="28"/>
        </w:rPr>
        <w:t xml:space="preserve"> en </w:t>
      </w:r>
      <w:r w:rsidRPr="000C03D2">
        <w:rPr>
          <w:rFonts w:ascii="Times New Roman" w:hAnsi="Times New Roman" w:cs="Times New Roman"/>
          <w:iCs/>
          <w:color w:val="000000" w:themeColor="text1"/>
          <w:szCs w:val="28"/>
        </w:rPr>
        <w:t>la demanda</w:t>
      </w:r>
      <w:r w:rsidRPr="000C03D2">
        <w:rPr>
          <w:rFonts w:ascii="Times New Roman" w:hAnsi="Times New Roman" w:cs="Times New Roman"/>
          <w:iCs/>
          <w:color w:val="000000" w:themeColor="text1"/>
          <w:szCs w:val="28"/>
        </w:rPr>
        <w:t xml:space="preserve"> se</w:t>
      </w:r>
      <w:r w:rsidRPr="000C03D2">
        <w:rPr>
          <w:rFonts w:ascii="Times New Roman" w:hAnsi="Times New Roman" w:cs="Times New Roman"/>
          <w:iCs/>
          <w:color w:val="000000" w:themeColor="text1"/>
          <w:szCs w:val="28"/>
        </w:rPr>
        <w:t xml:space="preserve"> reprocha</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la omisión de</w:t>
      </w:r>
      <w:r w:rsidRPr="000C03D2">
        <w:rPr>
          <w:rFonts w:ascii="Times New Roman" w:hAnsi="Times New Roman" w:cs="Times New Roman"/>
          <w:iCs/>
          <w:color w:val="000000" w:themeColor="text1"/>
          <w:szCs w:val="28"/>
        </w:rPr>
        <w:t xml:space="preserve"> incluir expresamente</w:t>
      </w:r>
      <w:r w:rsidRPr="000C03D2">
        <w:rPr>
          <w:rFonts w:ascii="Times New Roman" w:hAnsi="Times New Roman" w:cs="Times New Roman"/>
          <w:iCs/>
          <w:color w:val="000000" w:themeColor="text1"/>
          <w:szCs w:val="28"/>
        </w:rPr>
        <w:t xml:space="preserve"> a otras personas</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gestantes</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 xml:space="preserve">como beneficiarias </w:t>
      </w:r>
      <w:r w:rsidRPr="000C03D2">
        <w:rPr>
          <w:rFonts w:ascii="Times New Roman" w:hAnsi="Times New Roman" w:cs="Times New Roman"/>
          <w:iCs/>
          <w:color w:val="000000" w:themeColor="text1"/>
          <w:szCs w:val="28"/>
        </w:rPr>
        <w:t>-</w:t>
      </w:r>
      <w:r w:rsidRPr="000C03D2">
        <w:rPr>
          <w:rFonts w:ascii="Times New Roman" w:hAnsi="Times New Roman" w:cs="Times New Roman"/>
          <w:iCs/>
          <w:color w:val="000000" w:themeColor="text1"/>
          <w:szCs w:val="28"/>
        </w:rPr>
        <w:t>hombres trans y personas no binarias</w:t>
      </w:r>
      <w:r w:rsidRPr="000C03D2">
        <w:rPr>
          <w:rFonts w:ascii="Times New Roman" w:hAnsi="Times New Roman" w:cs="Times New Roman"/>
          <w:iCs/>
          <w:color w:val="000000" w:themeColor="text1"/>
          <w:szCs w:val="28"/>
        </w:rPr>
        <w:t>-</w:t>
      </w:r>
      <w:r w:rsidRPr="000C03D2">
        <w:rPr>
          <w:rFonts w:ascii="Times New Roman" w:hAnsi="Times New Roman" w:cs="Times New Roman"/>
          <w:iCs/>
          <w:color w:val="000000" w:themeColor="text1"/>
          <w:szCs w:val="28"/>
        </w:rPr>
        <w:t xml:space="preserve">. En ese sentido, la omisión alegada es de carácter relativo, por cuanto no se cuestiona la completa inactividad del legislador. </w:t>
      </w:r>
    </w:p>
    <w:p w:rsidR="00A344D2" w:rsidRPr="000C03D2" w:rsidRDefault="000C03D2" w:rsidP="00A344D2">
      <w:pPr>
        <w:pStyle w:val="Prrafodelista"/>
        <w:rPr>
          <w:rFonts w:ascii="Times New Roman" w:hAnsi="Times New Roman" w:cs="Times New Roman"/>
          <w:color w:val="000000" w:themeColor="text1"/>
          <w:szCs w:val="28"/>
        </w:rPr>
      </w:pPr>
    </w:p>
    <w:p w:rsidR="00A344D2" w:rsidRPr="000C03D2" w:rsidRDefault="000C03D2" w:rsidP="00A344D2">
      <w:pPr>
        <w:pStyle w:val="Prrafodelista"/>
        <w:numPr>
          <w:ilvl w:val="0"/>
          <w:numId w:val="3"/>
        </w:numPr>
        <w:tabs>
          <w:tab w:val="left" w:pos="426"/>
        </w:tabs>
        <w:ind w:left="0" w:right="49" w:firstLine="0"/>
        <w:rPr>
          <w:rFonts w:ascii="Times New Roman" w:hAnsi="Times New Roman" w:cs="Times New Roman"/>
          <w:color w:val="000000" w:themeColor="text1"/>
          <w:lang w:eastAsia="es-MX"/>
        </w:rPr>
      </w:pPr>
      <w:r w:rsidRPr="000C03D2">
        <w:rPr>
          <w:rFonts w:ascii="Times New Roman" w:hAnsi="Times New Roman" w:cs="Times New Roman"/>
          <w:color w:val="000000" w:themeColor="text1"/>
          <w:szCs w:val="28"/>
        </w:rPr>
        <w:t>Para la Corte, e</w:t>
      </w:r>
      <w:r w:rsidRPr="000C03D2">
        <w:rPr>
          <w:rFonts w:ascii="Times New Roman" w:hAnsi="Times New Roman" w:cs="Times New Roman"/>
          <w:color w:val="000000" w:themeColor="text1"/>
          <w:szCs w:val="28"/>
        </w:rPr>
        <w:t>l a</w:t>
      </w:r>
      <w:r w:rsidRPr="000C03D2">
        <w:rPr>
          <w:rFonts w:ascii="Times New Roman" w:hAnsi="Times New Roman" w:cs="Times New Roman"/>
          <w:color w:val="000000" w:themeColor="text1"/>
          <w:szCs w:val="28"/>
        </w:rPr>
        <w:t xml:space="preserve">rtículo 237 </w:t>
      </w:r>
      <w:r w:rsidRPr="000C03D2">
        <w:rPr>
          <w:rFonts w:ascii="Times New Roman" w:hAnsi="Times New Roman" w:cs="Times New Roman"/>
          <w:color w:val="000000" w:themeColor="text1"/>
          <w:lang w:val="es-ES"/>
        </w:rPr>
        <w:t>c</w:t>
      </w:r>
      <w:r w:rsidRPr="000C03D2">
        <w:rPr>
          <w:rFonts w:ascii="Times New Roman" w:hAnsi="Times New Roman" w:cs="Times New Roman"/>
          <w:color w:val="000000" w:themeColor="text1"/>
          <w:lang w:val="es-ES"/>
        </w:rPr>
        <w:t xml:space="preserve">rea un beneficio para un grupo poblacional específico: las mujeres </w:t>
      </w:r>
      <w:r w:rsidRPr="000C03D2">
        <w:rPr>
          <w:rFonts w:ascii="Times New Roman" w:hAnsi="Times New Roman" w:cs="Times New Roman"/>
          <w:i/>
          <w:iCs/>
          <w:color w:val="000000" w:themeColor="text1"/>
          <w:lang w:val="es-ES"/>
        </w:rPr>
        <w:t>cisgénero.</w:t>
      </w:r>
      <w:r w:rsidRPr="000C03D2">
        <w:rPr>
          <w:rFonts w:ascii="Times New Roman" w:hAnsi="Times New Roman" w:cs="Times New Roman"/>
          <w:color w:val="000000" w:themeColor="text1"/>
          <w:lang w:val="es-ES"/>
        </w:rPr>
        <w:t xml:space="preserve"> En ello no hay, en principio, problema constitucional alguno. Sin embargo, al crear este beneficio, indirectamente desconoce que los hombres </w:t>
      </w:r>
      <w:r w:rsidRPr="000C03D2">
        <w:rPr>
          <w:rFonts w:ascii="Times New Roman" w:hAnsi="Times New Roman" w:cs="Times New Roman"/>
          <w:i/>
          <w:iCs/>
          <w:color w:val="000000" w:themeColor="text1"/>
          <w:lang w:val="es-ES"/>
        </w:rPr>
        <w:t>trans</w:t>
      </w:r>
      <w:r w:rsidRPr="000C03D2">
        <w:rPr>
          <w:rFonts w:ascii="Times New Roman" w:hAnsi="Times New Roman" w:cs="Times New Roman"/>
          <w:color w:val="000000" w:themeColor="text1"/>
          <w:lang w:val="es-ES"/>
        </w:rPr>
        <w:t xml:space="preserve"> o las personas no </w:t>
      </w:r>
      <w:r w:rsidRPr="000C03D2">
        <w:rPr>
          <w:rFonts w:ascii="Times New Roman" w:hAnsi="Times New Roman" w:cs="Times New Roman"/>
          <w:color w:val="000000" w:themeColor="text1"/>
          <w:lang w:val="es-ES"/>
        </w:rPr>
        <w:t xml:space="preserve">binarias también deberían tener el derecho al descanso remunerado en caso de aborto. </w:t>
      </w:r>
      <w:r w:rsidRPr="000C03D2">
        <w:rPr>
          <w:rFonts w:ascii="Times New Roman" w:hAnsi="Times New Roman" w:cs="Times New Roman"/>
          <w:color w:val="000000" w:themeColor="text1"/>
          <w:lang w:val="es-ES"/>
        </w:rPr>
        <w:t>Si bien es posible sostener que</w:t>
      </w:r>
      <w:r w:rsidRPr="000C03D2">
        <w:rPr>
          <w:rFonts w:ascii="Times New Roman" w:hAnsi="Times New Roman" w:cs="Times New Roman"/>
          <w:color w:val="000000" w:themeColor="text1"/>
          <w:lang w:val="es-ES"/>
        </w:rPr>
        <w:t xml:space="preserve">, </w:t>
      </w:r>
      <w:r w:rsidRPr="000C03D2">
        <w:rPr>
          <w:rFonts w:ascii="Times New Roman" w:hAnsi="Times New Roman" w:cs="Times New Roman"/>
          <w:i/>
          <w:iCs/>
          <w:color w:val="000000" w:themeColor="text1"/>
          <w:lang w:val="es-ES"/>
        </w:rPr>
        <w:t>prima facie</w:t>
      </w:r>
      <w:r w:rsidRPr="000C03D2">
        <w:rPr>
          <w:rFonts w:ascii="Times New Roman" w:hAnsi="Times New Roman" w:cs="Times New Roman"/>
          <w:color w:val="000000" w:themeColor="text1"/>
          <w:lang w:val="es-ES"/>
        </w:rPr>
        <w:t>,</w:t>
      </w:r>
      <w:r w:rsidRPr="000C03D2">
        <w:rPr>
          <w:rFonts w:ascii="Times New Roman" w:hAnsi="Times New Roman" w:cs="Times New Roman"/>
          <w:color w:val="000000" w:themeColor="text1"/>
          <w:lang w:val="es-ES"/>
        </w:rPr>
        <w:t xml:space="preserve"> el legislador </w:t>
      </w:r>
      <w:r w:rsidRPr="000C03D2">
        <w:rPr>
          <w:rFonts w:ascii="Times New Roman" w:hAnsi="Times New Roman" w:cs="Times New Roman"/>
          <w:color w:val="000000" w:themeColor="text1"/>
          <w:lang w:val="es-ES"/>
        </w:rPr>
        <w:t>no</w:t>
      </w:r>
      <w:r w:rsidRPr="000C03D2">
        <w:rPr>
          <w:rFonts w:ascii="Times New Roman" w:hAnsi="Times New Roman" w:cs="Times New Roman"/>
          <w:color w:val="000000" w:themeColor="text1"/>
          <w:lang w:val="es-ES"/>
        </w:rPr>
        <w:t xml:space="preserve"> pretendi</w:t>
      </w:r>
      <w:r w:rsidRPr="000C03D2">
        <w:rPr>
          <w:rFonts w:ascii="Times New Roman" w:hAnsi="Times New Roman" w:cs="Times New Roman"/>
          <w:color w:val="000000" w:themeColor="text1"/>
          <w:lang w:val="es-ES"/>
        </w:rPr>
        <w:t>ó</w:t>
      </w:r>
      <w:r w:rsidRPr="000C03D2">
        <w:rPr>
          <w:rFonts w:ascii="Times New Roman" w:hAnsi="Times New Roman" w:cs="Times New Roman"/>
          <w:color w:val="000000" w:themeColor="text1"/>
          <w:lang w:val="es-ES"/>
        </w:rPr>
        <w:t xml:space="preserve"> establecer un trato desigual entre sujetos que son equiparables en lo relevante</w:t>
      </w:r>
      <w:r w:rsidRPr="000C03D2">
        <w:rPr>
          <w:rFonts w:ascii="Times New Roman" w:hAnsi="Times New Roman" w:cs="Times New Roman"/>
          <w:color w:val="000000" w:themeColor="text1"/>
          <w:lang w:val="es-ES"/>
        </w:rPr>
        <w:t xml:space="preserve">, atendiendo a la </w:t>
      </w:r>
      <w:r w:rsidRPr="000C03D2">
        <w:rPr>
          <w:rFonts w:ascii="Times New Roman" w:hAnsi="Times New Roman" w:cs="Times New Roman"/>
          <w:color w:val="000000" w:themeColor="text1"/>
          <w:lang w:val="es-ES"/>
        </w:rPr>
        <w:t>época en la cual fue emitida la norma</w:t>
      </w:r>
      <w:r w:rsidRPr="000C03D2">
        <w:rPr>
          <w:rFonts w:ascii="Times New Roman" w:hAnsi="Times New Roman" w:cs="Times New Roman"/>
          <w:color w:val="000000" w:themeColor="text1"/>
          <w:lang w:val="es-ES"/>
        </w:rPr>
        <w:t xml:space="preserve">; lo cierto es que </w:t>
      </w:r>
      <w:r w:rsidRPr="000C03D2">
        <w:rPr>
          <w:rFonts w:ascii="Times New Roman" w:hAnsi="Times New Roman" w:cs="Times New Roman"/>
          <w:color w:val="000000" w:themeColor="text1"/>
          <w:szCs w:val="28"/>
        </w:rPr>
        <w:t xml:space="preserve">la </w:t>
      </w:r>
      <w:r w:rsidRPr="000C03D2">
        <w:rPr>
          <w:rFonts w:ascii="Times New Roman" w:hAnsi="Times New Roman" w:cs="Times New Roman"/>
          <w:color w:val="000000" w:themeColor="text1"/>
          <w:szCs w:val="28"/>
        </w:rPr>
        <w:t>disposición</w:t>
      </w:r>
      <w:r w:rsidRPr="000C03D2">
        <w:rPr>
          <w:rFonts w:ascii="Times New Roman" w:hAnsi="Times New Roman" w:cs="Times New Roman"/>
          <w:color w:val="000000" w:themeColor="text1"/>
          <w:szCs w:val="28"/>
        </w:rPr>
        <w:t xml:space="preserve"> acusada sí incurre en una discriminación indirecta al utilizar un lenguaje que presupone una identidad de género específica como condición para acceder a un derecho laboral</w:t>
      </w:r>
      <w:r w:rsidRPr="000C03D2">
        <w:rPr>
          <w:rFonts w:ascii="Times New Roman" w:hAnsi="Times New Roman" w:cs="Times New Roman"/>
          <w:color w:val="000000" w:themeColor="text1"/>
          <w:lang w:val="es-ES"/>
        </w:rPr>
        <w:t>.</w:t>
      </w:r>
      <w:r w:rsidRPr="000C03D2">
        <w:rPr>
          <w:rFonts w:ascii="Times New Roman" w:hAnsi="Times New Roman" w:cs="Times New Roman"/>
          <w:color w:val="000000" w:themeColor="text1"/>
          <w:lang w:val="es-ES"/>
        </w:rPr>
        <w:t xml:space="preserve"> </w:t>
      </w:r>
      <w:r w:rsidRPr="000C03D2">
        <w:rPr>
          <w:rFonts w:ascii="Times New Roman" w:hAnsi="Times New Roman" w:cs="Times New Roman"/>
          <w:color w:val="000000" w:themeColor="text1"/>
          <w:lang w:val="es-ES"/>
        </w:rPr>
        <w:t xml:space="preserve"> </w:t>
      </w:r>
    </w:p>
    <w:p w:rsidR="00A344D2" w:rsidRPr="000C03D2" w:rsidRDefault="000C03D2" w:rsidP="00A141C2">
      <w:pPr>
        <w:pStyle w:val="Prrafodelista"/>
        <w:widowControl w:val="0"/>
        <w:ind w:left="0"/>
        <w:rPr>
          <w:rFonts w:ascii="Times New Roman" w:hAnsi="Times New Roman" w:cs="Times New Roman"/>
          <w:b/>
          <w:bCs/>
          <w:color w:val="000000" w:themeColor="text1"/>
          <w:szCs w:val="28"/>
        </w:rPr>
      </w:pPr>
    </w:p>
    <w:p w:rsidR="007844F1" w:rsidRPr="000C03D2" w:rsidRDefault="000C03D2" w:rsidP="00A141C2">
      <w:pPr>
        <w:pStyle w:val="Prrafodelista"/>
        <w:numPr>
          <w:ilvl w:val="0"/>
          <w:numId w:val="3"/>
        </w:numPr>
        <w:tabs>
          <w:tab w:val="left" w:pos="426"/>
        </w:tabs>
        <w:ind w:left="0" w:right="49" w:firstLine="0"/>
        <w:rPr>
          <w:rFonts w:ascii="Times New Roman" w:hAnsi="Times New Roman" w:cs="Times New Roman"/>
          <w:color w:val="000000" w:themeColor="text1"/>
          <w:lang w:eastAsia="es-MX"/>
        </w:rPr>
      </w:pPr>
      <w:r w:rsidRPr="000C03D2">
        <w:rPr>
          <w:rFonts w:ascii="Times New Roman" w:hAnsi="Times New Roman" w:cs="Times New Roman"/>
          <w:color w:val="000000" w:themeColor="text1"/>
          <w:szCs w:val="28"/>
        </w:rPr>
        <w:t>Tal y co</w:t>
      </w:r>
      <w:r w:rsidRPr="000C03D2">
        <w:rPr>
          <w:rFonts w:ascii="Times New Roman" w:hAnsi="Times New Roman" w:cs="Times New Roman"/>
          <w:color w:val="000000" w:themeColor="text1"/>
          <w:szCs w:val="28"/>
        </w:rPr>
        <w:t xml:space="preserve">mo se advirtió en las sentencias C-324 de 2023 y C-071 de 2025 para la Sala </w:t>
      </w:r>
      <w:r w:rsidRPr="000C03D2">
        <w:rPr>
          <w:rFonts w:ascii="Times New Roman" w:hAnsi="Times New Roman" w:cs="Times New Roman"/>
          <w:color w:val="000000" w:themeColor="text1"/>
          <w:szCs w:val="28"/>
        </w:rPr>
        <w:t xml:space="preserve">el </w:t>
      </w:r>
      <w:r w:rsidRPr="000C03D2">
        <w:rPr>
          <w:rFonts w:ascii="Times New Roman" w:hAnsi="Times New Roman" w:cs="Times New Roman"/>
          <w:color w:val="000000" w:themeColor="text1"/>
          <w:szCs w:val="28"/>
          <w:lang w:val="es-ES_tradnl"/>
          <w14:ligatures w14:val="standardContextual"/>
        </w:rPr>
        <w:t>enunciado normativo estudiado</w:t>
      </w:r>
      <w:r w:rsidRPr="000C03D2">
        <w:rPr>
          <w:rFonts w:ascii="Times New Roman" w:hAnsi="Times New Roman" w:cs="Times New Roman"/>
          <w:color w:val="000000" w:themeColor="text1"/>
          <w:szCs w:val="28"/>
        </w:rPr>
        <w:t xml:space="preserve">, en su literalidad, no </w:t>
      </w:r>
      <w:r w:rsidRPr="000C03D2">
        <w:rPr>
          <w:rFonts w:ascii="Times New Roman" w:hAnsi="Times New Roman" w:cs="Times New Roman"/>
          <w:color w:val="000000" w:themeColor="text1"/>
          <w:szCs w:val="28"/>
        </w:rPr>
        <w:t xml:space="preserve">es </w:t>
      </w:r>
      <w:r w:rsidRPr="000C03D2">
        <w:rPr>
          <w:rFonts w:ascii="Times New Roman" w:hAnsi="Times New Roman" w:cs="Times New Roman"/>
          <w:color w:val="000000" w:themeColor="text1"/>
          <w:szCs w:val="28"/>
        </w:rPr>
        <w:t>neutr</w:t>
      </w:r>
      <w:r w:rsidRPr="000C03D2">
        <w:rPr>
          <w:rFonts w:ascii="Times New Roman" w:hAnsi="Times New Roman" w:cs="Times New Roman"/>
          <w:color w:val="000000" w:themeColor="text1"/>
          <w:szCs w:val="28"/>
        </w:rPr>
        <w:t>o</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pues</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determina </w:t>
      </w:r>
      <w:r w:rsidRPr="000C03D2">
        <w:rPr>
          <w:rFonts w:ascii="Times New Roman" w:hAnsi="Times New Roman" w:cs="Times New Roman"/>
          <w:color w:val="000000" w:themeColor="text1"/>
          <w:szCs w:val="28"/>
        </w:rPr>
        <w:t>como destinatarias de las medidas</w:t>
      </w:r>
      <w:r w:rsidRPr="000C03D2">
        <w:rPr>
          <w:rFonts w:ascii="Times New Roman" w:hAnsi="Times New Roman" w:cs="Times New Roman"/>
          <w:color w:val="000000" w:themeColor="text1"/>
          <w:szCs w:val="28"/>
        </w:rPr>
        <w:t xml:space="preserve"> exclusivamente</w:t>
      </w:r>
      <w:r w:rsidRPr="000C03D2">
        <w:rPr>
          <w:rFonts w:ascii="Times New Roman" w:hAnsi="Times New Roman" w:cs="Times New Roman"/>
          <w:color w:val="000000" w:themeColor="text1"/>
          <w:szCs w:val="28"/>
        </w:rPr>
        <w:t xml:space="preserve"> a las mujeres</w:t>
      </w:r>
      <w:r w:rsidRPr="000C03D2">
        <w:rPr>
          <w:rFonts w:ascii="Times New Roman" w:hAnsi="Times New Roman" w:cs="Times New Roman"/>
          <w:color w:val="000000" w:themeColor="text1"/>
          <w:szCs w:val="28"/>
        </w:rPr>
        <w:t>, al sexo femenino</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En particular,</w:t>
      </w:r>
      <w:r w:rsidRPr="000C03D2">
        <w:rPr>
          <w:rFonts w:ascii="Times New Roman" w:hAnsi="Times New Roman" w:cs="Times New Roman"/>
          <w:color w:val="000000" w:themeColor="text1"/>
          <w:szCs w:val="28"/>
        </w:rPr>
        <w:t xml:space="preserve"> en la Sentencia C-324 de 2023, </w:t>
      </w:r>
      <w:r w:rsidRPr="000C03D2">
        <w:rPr>
          <w:rFonts w:ascii="Times New Roman" w:hAnsi="Times New Roman" w:cs="Times New Roman"/>
          <w:color w:val="000000" w:themeColor="text1"/>
          <w:szCs w:val="28"/>
        </w:rPr>
        <w:t>l</w:t>
      </w:r>
      <w:r w:rsidRPr="000C03D2">
        <w:rPr>
          <w:rFonts w:ascii="Times New Roman" w:hAnsi="Times New Roman" w:cs="Times New Roman"/>
          <w:color w:val="000000" w:themeColor="text1"/>
          <w:szCs w:val="28"/>
        </w:rPr>
        <w:t xml:space="preserve">a Corte sostuvo que las normas al no utilizar un lenguaje neutro para identificar a las personas que tienen derecho a disfrutar de la licencia </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no permite aplicar una hipótesis interpretativa extensiva para derivar de ellas</w:t>
      </w:r>
      <w:r w:rsidRPr="000C03D2">
        <w:rPr>
          <w:rFonts w:ascii="Times New Roman" w:hAnsi="Times New Roman" w:cs="Times New Roman"/>
          <w:color w:val="000000" w:themeColor="text1"/>
        </w:rPr>
        <w:t xml:space="preserve"> que su significado pudiera tener un alcance comprensivo de personas distintas a las mujeres</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A idéntica conclusión llegó la Sala Plena en la Sentencia C-071 de 2025. </w:t>
      </w:r>
    </w:p>
    <w:p w:rsidR="003156D5" w:rsidRPr="000C03D2" w:rsidRDefault="000C03D2" w:rsidP="003156D5">
      <w:pPr>
        <w:pStyle w:val="Prrafodelista"/>
        <w:rPr>
          <w:rFonts w:ascii="Times New Roman" w:hAnsi="Times New Roman" w:cs="Times New Roman"/>
          <w:color w:val="000000" w:themeColor="text1"/>
          <w:lang w:eastAsia="es-MX"/>
        </w:rPr>
      </w:pPr>
    </w:p>
    <w:p w:rsidR="003156D5" w:rsidRPr="000C03D2" w:rsidRDefault="000C03D2" w:rsidP="003156D5">
      <w:pPr>
        <w:pStyle w:val="Prrafodelista"/>
        <w:numPr>
          <w:ilvl w:val="0"/>
          <w:numId w:val="3"/>
        </w:numPr>
        <w:tabs>
          <w:tab w:val="left" w:pos="426"/>
        </w:tabs>
        <w:ind w:left="0" w:right="49" w:firstLine="0"/>
        <w:rPr>
          <w:rFonts w:ascii="Times New Roman" w:hAnsi="Times New Roman" w:cs="Times New Roman"/>
          <w:color w:val="000000" w:themeColor="text1"/>
          <w:szCs w:val="28"/>
          <w:lang w:eastAsia="es-MX"/>
        </w:rPr>
      </w:pPr>
      <w:r w:rsidRPr="000C03D2">
        <w:rPr>
          <w:rFonts w:ascii="Times New Roman" w:hAnsi="Times New Roman" w:cs="Times New Roman"/>
          <w:color w:val="000000" w:themeColor="text1"/>
          <w:szCs w:val="28"/>
        </w:rPr>
        <w:t>Vale la pena precisar que, las normas examinadas en las sentencias C-324 de 2023 y C-071 de 2025 además del término “trabajadora”, incluían los vocablos “mujer” o “madre” y, por ello, resultaba claro inferir que aquella se utilizaba para referirse a la muj</w:t>
      </w:r>
      <w:r w:rsidRPr="000C03D2">
        <w:rPr>
          <w:rFonts w:ascii="Times New Roman" w:hAnsi="Times New Roman" w:cs="Times New Roman"/>
          <w:color w:val="000000" w:themeColor="text1"/>
          <w:szCs w:val="28"/>
        </w:rPr>
        <w:t xml:space="preserve">er cisgénero. En este caso, </w:t>
      </w:r>
      <w:r w:rsidRPr="000C03D2">
        <w:rPr>
          <w:rFonts w:ascii="Times New Roman" w:hAnsi="Times New Roman" w:cs="Times New Roman"/>
          <w:color w:val="000000" w:themeColor="text1"/>
          <w:szCs w:val="28"/>
        </w:rPr>
        <w:t xml:space="preserve">podría sugerirse que </w:t>
      </w:r>
      <w:r w:rsidRPr="000C03D2">
        <w:rPr>
          <w:rFonts w:ascii="Times New Roman" w:hAnsi="Times New Roman" w:cs="Times New Roman"/>
          <w:color w:val="000000" w:themeColor="text1"/>
          <w:szCs w:val="28"/>
        </w:rPr>
        <w:t xml:space="preserve">la expresión “trabajadora” </w:t>
      </w:r>
      <w:r w:rsidRPr="000C03D2">
        <w:rPr>
          <w:rFonts w:ascii="Times New Roman" w:hAnsi="Times New Roman" w:cs="Times New Roman"/>
          <w:color w:val="000000" w:themeColor="text1"/>
          <w:szCs w:val="28"/>
        </w:rPr>
        <w:t>se refiere</w:t>
      </w:r>
      <w:r w:rsidRPr="000C03D2">
        <w:rPr>
          <w:rFonts w:ascii="Times New Roman" w:hAnsi="Times New Roman" w:cs="Times New Roman"/>
          <w:color w:val="000000" w:themeColor="text1"/>
          <w:szCs w:val="28"/>
        </w:rPr>
        <w:t xml:space="preserve"> a la “persona trabajadora”, sin que en este último caso se trate necesariamente de un vocablo discriminatorio, al permitir incluir a </w:t>
      </w:r>
      <w:r w:rsidRPr="000C03D2">
        <w:rPr>
          <w:rFonts w:ascii="Times New Roman" w:hAnsi="Times New Roman" w:cs="Times New Roman"/>
          <w:color w:val="000000" w:themeColor="text1"/>
          <w:szCs w:val="28"/>
        </w:rPr>
        <w:t>todas las personas gestantes</w:t>
      </w:r>
      <w:r w:rsidRPr="000C03D2">
        <w:rPr>
          <w:rFonts w:ascii="Times New Roman" w:hAnsi="Times New Roman" w:cs="Times New Roman"/>
          <w:color w:val="000000" w:themeColor="text1"/>
          <w:szCs w:val="28"/>
        </w:rPr>
        <w:t>.</w:t>
      </w:r>
    </w:p>
    <w:p w:rsidR="009C75D7" w:rsidRPr="000C03D2" w:rsidRDefault="000C03D2" w:rsidP="009C75D7">
      <w:pPr>
        <w:pStyle w:val="Prrafodelista"/>
        <w:rPr>
          <w:rFonts w:ascii="Times New Roman" w:hAnsi="Times New Roman" w:cs="Times New Roman"/>
          <w:color w:val="000000" w:themeColor="text1"/>
          <w:szCs w:val="28"/>
          <w:lang w:eastAsia="es-MX"/>
        </w:rPr>
      </w:pPr>
    </w:p>
    <w:p w:rsidR="009C75D7" w:rsidRPr="000C03D2" w:rsidRDefault="000C03D2" w:rsidP="009C75D7">
      <w:pPr>
        <w:pStyle w:val="Prrafodelista"/>
        <w:numPr>
          <w:ilvl w:val="0"/>
          <w:numId w:val="3"/>
        </w:numPr>
        <w:tabs>
          <w:tab w:val="left" w:pos="426"/>
        </w:tabs>
        <w:ind w:left="0" w:right="49" w:firstLine="0"/>
        <w:rPr>
          <w:rFonts w:ascii="Times New Roman" w:hAnsi="Times New Roman" w:cs="Times New Roman"/>
          <w:color w:val="000000" w:themeColor="text1"/>
          <w:szCs w:val="28"/>
          <w:lang w:eastAsia="es-MX"/>
        </w:rPr>
      </w:pPr>
      <w:r w:rsidRPr="000C03D2">
        <w:rPr>
          <w:rFonts w:ascii="Times New Roman" w:hAnsi="Times New Roman" w:cs="Times New Roman"/>
          <w:color w:val="000000" w:themeColor="text1"/>
          <w:szCs w:val="28"/>
          <w:lang w:eastAsia="es-MX"/>
        </w:rPr>
        <w:t xml:space="preserve">No obstante, </w:t>
      </w:r>
      <w:r w:rsidRPr="000C03D2">
        <w:rPr>
          <w:rFonts w:ascii="Times New Roman" w:hAnsi="Times New Roman" w:cs="Times New Roman"/>
          <w:color w:val="000000" w:themeColor="text1"/>
          <w:szCs w:val="28"/>
          <w:lang w:eastAsia="es-MX"/>
        </w:rPr>
        <w:t xml:space="preserve">a partir </w:t>
      </w:r>
      <w:r w:rsidRPr="000C03D2">
        <w:rPr>
          <w:rFonts w:ascii="Times New Roman" w:hAnsi="Times New Roman" w:cs="Times New Roman"/>
          <w:color w:val="000000" w:themeColor="text1"/>
          <w:szCs w:val="28"/>
        </w:rPr>
        <w:t>del contexto histórico y normativo de la disposición es posible</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inferir que el vocablo no hace referencia a una “persona trabajadora”, sino a una “mujer</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trabajadora”, en una concepción claramente cisgénero, por lo que resulta necesari</w:t>
      </w:r>
      <w:r w:rsidRPr="000C03D2">
        <w:rPr>
          <w:rFonts w:ascii="Times New Roman" w:hAnsi="Times New Roman" w:cs="Times New Roman"/>
          <w:color w:val="000000" w:themeColor="text1"/>
          <w:szCs w:val="28"/>
        </w:rPr>
        <w:t>o un</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condicionamiento para incluir a </w:t>
      </w:r>
      <w:r w:rsidRPr="000C03D2">
        <w:rPr>
          <w:rFonts w:ascii="Times New Roman" w:hAnsi="Times New Roman" w:cs="Times New Roman"/>
          <w:color w:val="000000" w:themeColor="text1"/>
          <w:szCs w:val="28"/>
        </w:rPr>
        <w:t xml:space="preserve">todas las personas gestantes. </w:t>
      </w:r>
      <w:r w:rsidRPr="000C03D2">
        <w:rPr>
          <w:rFonts w:ascii="Times New Roman" w:hAnsi="Times New Roman" w:cs="Times New Roman"/>
          <w:color w:val="000000" w:themeColor="text1"/>
          <w:szCs w:val="28"/>
        </w:rPr>
        <w:t xml:space="preserve">Adicionalmente, </w:t>
      </w:r>
      <w:r w:rsidRPr="000C03D2">
        <w:rPr>
          <w:rFonts w:ascii="Times New Roman" w:hAnsi="Times New Roman" w:cs="Times New Roman"/>
          <w:color w:val="000000" w:themeColor="text1"/>
          <w:szCs w:val="28"/>
        </w:rPr>
        <w:t>es necesario precisar que no se trataría de cualquier persona gestante, sino de aquella</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que tenga una relación de trabajo o sea cotizante al Sistema General de Seguridad Soc</w:t>
      </w:r>
      <w:r w:rsidRPr="000C03D2">
        <w:rPr>
          <w:rFonts w:ascii="Times New Roman" w:hAnsi="Times New Roman" w:cs="Times New Roman"/>
          <w:color w:val="000000" w:themeColor="text1"/>
          <w:szCs w:val="28"/>
        </w:rPr>
        <w:t>ial, pues la</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palabra </w:t>
      </w:r>
      <w:r w:rsidRPr="000C03D2">
        <w:rPr>
          <w:rFonts w:ascii="Times New Roman" w:hAnsi="Times New Roman" w:cs="Times New Roman"/>
          <w:i/>
          <w:iCs/>
          <w:color w:val="000000" w:themeColor="text1"/>
          <w:szCs w:val="28"/>
        </w:rPr>
        <w:t>“trabajadora”</w:t>
      </w:r>
      <w:r w:rsidRPr="000C03D2">
        <w:rPr>
          <w:rFonts w:ascii="Times New Roman" w:hAnsi="Times New Roman" w:cs="Times New Roman"/>
          <w:color w:val="000000" w:themeColor="text1"/>
          <w:szCs w:val="28"/>
        </w:rPr>
        <w:t xml:space="preserve"> alude a dos características: (i) mujer con (ii) vínculo laboral. Esta última</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característica, en la actualidad, no se restringe a las personas empleadas, como en su origen, sino que</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se extiende a todos los cotizantes, incl</w:t>
      </w:r>
      <w:r w:rsidRPr="000C03D2">
        <w:rPr>
          <w:rFonts w:ascii="Times New Roman" w:hAnsi="Times New Roman" w:cs="Times New Roman"/>
          <w:color w:val="000000" w:themeColor="text1"/>
          <w:szCs w:val="28"/>
        </w:rPr>
        <w:t>uyendo independientes.</w:t>
      </w:r>
    </w:p>
    <w:p w:rsidR="003156D5" w:rsidRPr="000C03D2" w:rsidRDefault="000C03D2" w:rsidP="00A141C2">
      <w:pPr>
        <w:pStyle w:val="Prrafodelista"/>
        <w:tabs>
          <w:tab w:val="left" w:pos="426"/>
        </w:tabs>
        <w:ind w:left="0" w:right="49"/>
        <w:rPr>
          <w:rFonts w:ascii="Times New Roman" w:hAnsi="Times New Roman" w:cs="Times New Roman"/>
          <w:color w:val="000000" w:themeColor="text1"/>
          <w:lang w:eastAsia="es-MX"/>
        </w:rPr>
      </w:pPr>
    </w:p>
    <w:p w:rsidR="007844F1" w:rsidRPr="000C03D2" w:rsidRDefault="000C03D2" w:rsidP="00A141C2">
      <w:pPr>
        <w:pStyle w:val="Prrafodelista"/>
        <w:numPr>
          <w:ilvl w:val="0"/>
          <w:numId w:val="3"/>
        </w:numPr>
        <w:tabs>
          <w:tab w:val="left" w:pos="426"/>
        </w:tabs>
        <w:ind w:left="0" w:right="49" w:firstLine="0"/>
        <w:rPr>
          <w:rStyle w:val="apple-converted-space"/>
          <w:rFonts w:ascii="Times New Roman" w:hAnsi="Times New Roman" w:cs="Times New Roman"/>
          <w:color w:val="000000" w:themeColor="text1"/>
          <w:lang w:eastAsia="es-MX"/>
        </w:rPr>
      </w:pPr>
      <w:r w:rsidRPr="000C03D2">
        <w:rPr>
          <w:rFonts w:ascii="Times New Roman" w:hAnsi="Times New Roman" w:cs="Times New Roman"/>
          <w:color w:val="000000" w:themeColor="text1"/>
        </w:rPr>
        <w:t>Aclarado la anterior, e</w:t>
      </w:r>
      <w:r w:rsidRPr="000C03D2">
        <w:rPr>
          <w:rFonts w:ascii="Times New Roman" w:hAnsi="Times New Roman" w:cs="Times New Roman"/>
          <w:color w:val="000000" w:themeColor="text1"/>
        </w:rPr>
        <w:t xml:space="preserve">n este caso la Corte reitera que </w:t>
      </w:r>
      <w:r w:rsidRPr="000C03D2">
        <w:rPr>
          <w:rFonts w:ascii="Times New Roman" w:hAnsi="Times New Roman" w:cs="Times New Roman"/>
          <w:color w:val="000000" w:themeColor="text1"/>
        </w:rPr>
        <w:t xml:space="preserve">otras personas que no se identifican como </w:t>
      </w:r>
      <w:r w:rsidRPr="000C03D2">
        <w:rPr>
          <w:rFonts w:ascii="Times New Roman" w:hAnsi="Times New Roman" w:cs="Times New Roman"/>
          <w:color w:val="000000" w:themeColor="text1"/>
        </w:rPr>
        <w:t>mujer</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 xml:space="preserve">pero </w:t>
      </w:r>
      <w:r w:rsidRPr="000C03D2">
        <w:rPr>
          <w:rFonts w:ascii="Times New Roman" w:hAnsi="Times New Roman" w:cs="Times New Roman"/>
          <w:color w:val="000000" w:themeColor="text1"/>
        </w:rPr>
        <w:t>son gestantes</w:t>
      </w:r>
      <w:r w:rsidRPr="000C03D2">
        <w:rPr>
          <w:rFonts w:ascii="Times New Roman" w:hAnsi="Times New Roman" w:cs="Times New Roman"/>
          <w:color w:val="000000" w:themeColor="text1"/>
        </w:rPr>
        <w:t xml:space="preserve"> y, en consecuencia</w:t>
      </w:r>
      <w:r w:rsidRPr="000C03D2">
        <w:rPr>
          <w:rFonts w:ascii="Times New Roman" w:hAnsi="Times New Roman" w:cs="Times New Roman"/>
          <w:color w:val="000000" w:themeColor="text1"/>
        </w:rPr>
        <w:t>, están</w:t>
      </w:r>
      <w:r w:rsidRPr="000C03D2">
        <w:rPr>
          <w:rFonts w:ascii="Times New Roman" w:hAnsi="Times New Roman" w:cs="Times New Roman"/>
          <w:color w:val="000000" w:themeColor="text1"/>
        </w:rPr>
        <w:t xml:space="preserve"> en la </w:t>
      </w:r>
      <w:r w:rsidRPr="000C03D2">
        <w:rPr>
          <w:rFonts w:ascii="Times New Roman" w:hAnsi="Times New Roman" w:cs="Times New Roman"/>
          <w:color w:val="000000" w:themeColor="text1"/>
        </w:rPr>
        <w:t xml:space="preserve">misma </w:t>
      </w:r>
      <w:r w:rsidRPr="000C03D2">
        <w:rPr>
          <w:rFonts w:ascii="Times New Roman" w:hAnsi="Times New Roman" w:cs="Times New Roman"/>
          <w:color w:val="000000" w:themeColor="text1"/>
        </w:rPr>
        <w:t>situación que la norma regula</w:t>
      </w:r>
      <w:r w:rsidRPr="000C03D2">
        <w:rPr>
          <w:rFonts w:ascii="Times New Roman" w:hAnsi="Times New Roman" w:cs="Times New Roman"/>
          <w:color w:val="000000" w:themeColor="text1"/>
        </w:rPr>
        <w:t xml:space="preserve">, no están incluidas entre las personas titulares de esta prestación. </w:t>
      </w:r>
      <w:r w:rsidRPr="000C03D2">
        <w:rPr>
          <w:rFonts w:ascii="Times New Roman" w:hAnsi="Times New Roman" w:cs="Times New Roman"/>
          <w:color w:val="000000" w:themeColor="text1"/>
        </w:rPr>
        <w:t xml:space="preserve">Ello, </w:t>
      </w:r>
      <w:r w:rsidRPr="000C03D2">
        <w:rPr>
          <w:rFonts w:ascii="Times New Roman" w:hAnsi="Times New Roman" w:cs="Times New Roman"/>
          <w:color w:val="000000" w:themeColor="text1"/>
        </w:rPr>
        <w:t>acorde con la demanda</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restringe la posibilidad jurídica de acceder a</w:t>
      </w:r>
      <w:r w:rsidRPr="000C03D2">
        <w:rPr>
          <w:rFonts w:ascii="Times New Roman" w:hAnsi="Times New Roman" w:cs="Times New Roman"/>
          <w:color w:val="000000" w:themeColor="text1"/>
        </w:rPr>
        <w:t xml:space="preserve"> la licencia</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a</w:t>
      </w:r>
      <w:r w:rsidRPr="000C03D2">
        <w:rPr>
          <w:rFonts w:ascii="Times New Roman" w:hAnsi="Times New Roman" w:cs="Times New Roman"/>
          <w:color w:val="000000" w:themeColor="text1"/>
        </w:rPr>
        <w:t xml:space="preserve"> personas que, sin identificarse con </w:t>
      </w:r>
      <w:r w:rsidRPr="000C03D2">
        <w:rPr>
          <w:rFonts w:ascii="Times New Roman" w:hAnsi="Times New Roman" w:cs="Times New Roman"/>
          <w:color w:val="000000" w:themeColor="text1"/>
        </w:rPr>
        <w:t>esa</w:t>
      </w:r>
      <w:r w:rsidRPr="000C03D2">
        <w:rPr>
          <w:rFonts w:ascii="Times New Roman" w:hAnsi="Times New Roman" w:cs="Times New Roman"/>
          <w:color w:val="000000" w:themeColor="text1"/>
        </w:rPr>
        <w:t xml:space="preserve"> noci</w:t>
      </w:r>
      <w:r w:rsidRPr="000C03D2">
        <w:rPr>
          <w:rFonts w:ascii="Times New Roman" w:hAnsi="Times New Roman" w:cs="Times New Roman"/>
          <w:color w:val="000000" w:themeColor="text1"/>
        </w:rPr>
        <w:t>ó</w:t>
      </w:r>
      <w:r w:rsidRPr="000C03D2">
        <w:rPr>
          <w:rFonts w:ascii="Times New Roman" w:hAnsi="Times New Roman" w:cs="Times New Roman"/>
          <w:color w:val="000000" w:themeColor="text1"/>
        </w:rPr>
        <w:t>n</w:t>
      </w:r>
      <w:r w:rsidRPr="000C03D2">
        <w:rPr>
          <w:rFonts w:ascii="Times New Roman" w:hAnsi="Times New Roman" w:cs="Times New Roman"/>
          <w:color w:val="000000" w:themeColor="text1"/>
        </w:rPr>
        <w:t xml:space="preserve"> femenina</w:t>
      </w:r>
      <w:r w:rsidRPr="000C03D2">
        <w:rPr>
          <w:rFonts w:ascii="Times New Roman" w:hAnsi="Times New Roman" w:cs="Times New Roman"/>
          <w:color w:val="000000" w:themeColor="text1"/>
        </w:rPr>
        <w:t>, tienen la misma capacidad de gestar.</w:t>
      </w:r>
      <w:r w:rsidRPr="000C03D2">
        <w:rPr>
          <w:rStyle w:val="apple-converted-space"/>
          <w:rFonts w:ascii="Times New Roman" w:hAnsi="Times New Roman" w:cs="Times New Roman"/>
          <w:color w:val="000000" w:themeColor="text1"/>
        </w:rPr>
        <w:t> </w:t>
      </w:r>
    </w:p>
    <w:p w:rsidR="00154A2C" w:rsidRPr="000C03D2" w:rsidRDefault="000C03D2" w:rsidP="00A141C2">
      <w:pPr>
        <w:pStyle w:val="Prrafodelista"/>
        <w:rPr>
          <w:rFonts w:ascii="Times New Roman" w:hAnsi="Times New Roman" w:cs="Times New Roman"/>
          <w:color w:val="000000" w:themeColor="text1"/>
          <w:lang w:eastAsia="es-MX"/>
        </w:rPr>
      </w:pPr>
    </w:p>
    <w:p w:rsidR="007844F1" w:rsidRPr="000C03D2" w:rsidRDefault="000C03D2" w:rsidP="00A141C2">
      <w:pPr>
        <w:pStyle w:val="Prrafodelista"/>
        <w:numPr>
          <w:ilvl w:val="0"/>
          <w:numId w:val="3"/>
        </w:numPr>
        <w:tabs>
          <w:tab w:val="left" w:pos="426"/>
        </w:tabs>
        <w:ind w:left="0" w:right="49" w:firstLine="0"/>
        <w:rPr>
          <w:rFonts w:ascii="Times New Roman" w:hAnsi="Times New Roman" w:cs="Times New Roman"/>
          <w:color w:val="000000" w:themeColor="text1"/>
          <w:lang w:val="es-ES_tradnl"/>
          <w14:ligatures w14:val="standardContextual"/>
        </w:rPr>
      </w:pPr>
      <w:r w:rsidRPr="000C03D2">
        <w:rPr>
          <w:rFonts w:ascii="Times New Roman" w:hAnsi="Times New Roman" w:cs="Times New Roman"/>
          <w:color w:val="000000" w:themeColor="text1"/>
          <w:lang w:eastAsia="es-MX"/>
        </w:rPr>
        <w:t>Al resp</w:t>
      </w:r>
      <w:r w:rsidRPr="000C03D2">
        <w:rPr>
          <w:rFonts w:ascii="Times New Roman" w:hAnsi="Times New Roman" w:cs="Times New Roman"/>
          <w:color w:val="000000" w:themeColor="text1"/>
          <w:lang w:eastAsia="es-MX"/>
        </w:rPr>
        <w:t>ecto, el Ministerio de Igualdad y Equidad, en su intervención, manifestó que el uso exclusivo del término “</w:t>
      </w:r>
      <w:r w:rsidRPr="000C03D2">
        <w:rPr>
          <w:rFonts w:ascii="Times New Roman" w:hAnsi="Times New Roman" w:cs="Times New Roman"/>
          <w:color w:val="000000" w:themeColor="text1"/>
          <w:lang w:eastAsia="es-MX"/>
        </w:rPr>
        <w:t xml:space="preserve">la </w:t>
      </w:r>
      <w:r w:rsidRPr="000C03D2">
        <w:rPr>
          <w:rFonts w:ascii="Times New Roman" w:hAnsi="Times New Roman" w:cs="Times New Roman"/>
          <w:color w:val="000000" w:themeColor="text1"/>
          <w:lang w:eastAsia="es-MX"/>
        </w:rPr>
        <w:t xml:space="preserve">trabajadora” configura una expresión de lenguaje binario y excluyente, que no refleja la diversidad de sujetos que pueden atravesar </w:t>
      </w:r>
      <w:r w:rsidRPr="000C03D2">
        <w:rPr>
          <w:rFonts w:ascii="Times New Roman" w:hAnsi="Times New Roman" w:cs="Times New Roman"/>
          <w:color w:val="000000" w:themeColor="text1"/>
          <w:lang w:eastAsia="es-MX"/>
        </w:rPr>
        <w:t>experiencias gestacionales. Este marco normativo</w:t>
      </w:r>
      <w:r w:rsidRPr="000C03D2">
        <w:rPr>
          <w:rFonts w:ascii="Times New Roman" w:hAnsi="Times New Roman" w:cs="Times New Roman"/>
          <w:color w:val="000000" w:themeColor="text1"/>
          <w:lang w:eastAsia="es-MX"/>
        </w:rPr>
        <w:t>, según la intervención,</w:t>
      </w:r>
      <w:r w:rsidRPr="000C03D2">
        <w:rPr>
          <w:rFonts w:ascii="Times New Roman" w:hAnsi="Times New Roman" w:cs="Times New Roman"/>
          <w:color w:val="000000" w:themeColor="text1"/>
          <w:lang w:eastAsia="es-MX"/>
        </w:rPr>
        <w:t xml:space="preserve"> desconoce realidades diferenciadas como la de personas transmasculinas</w:t>
      </w:r>
      <w:r w:rsidRPr="000C03D2">
        <w:rPr>
          <w:rStyle w:val="Refdenotaalpie"/>
          <w:rFonts w:ascii="Times New Roman" w:hAnsi="Times New Roman" w:cs="Times New Roman"/>
          <w:color w:val="000000" w:themeColor="text1"/>
          <w:lang w:eastAsia="es-MX"/>
        </w:rPr>
        <w:footnoteReference w:id="84"/>
      </w:r>
      <w:r w:rsidRPr="000C03D2">
        <w:rPr>
          <w:rFonts w:ascii="Times New Roman" w:hAnsi="Times New Roman" w:cs="Times New Roman"/>
          <w:color w:val="000000" w:themeColor="text1"/>
          <w:lang w:eastAsia="es-MX"/>
        </w:rPr>
        <w:t xml:space="preserve"> o no binarias que también pueden gestar, y que, al no ser reconocidas en la norma, podrían quedar desprotegidas</w:t>
      </w:r>
      <w:r w:rsidRPr="000C03D2">
        <w:rPr>
          <w:rFonts w:ascii="Times New Roman" w:hAnsi="Times New Roman" w:cs="Times New Roman"/>
          <w:color w:val="000000" w:themeColor="text1"/>
          <w:lang w:eastAsia="es-MX"/>
        </w:rPr>
        <w:t xml:space="preserve"> frente a la garantía del descanso laboral en situaciones críticas de salud y bienestar. En igual sentido, el procurador general de la Nación afirmó que la expresión </w:t>
      </w:r>
      <w:r w:rsidRPr="000C03D2">
        <w:rPr>
          <w:rFonts w:ascii="Times New Roman" w:hAnsi="Times New Roman" w:cs="Times New Roman"/>
          <w:color w:val="000000" w:themeColor="text1"/>
          <w:lang w:eastAsia="es-MX"/>
        </w:rPr>
        <w:t>“</w:t>
      </w:r>
      <w:r w:rsidRPr="000C03D2">
        <w:rPr>
          <w:rFonts w:ascii="Times New Roman" w:hAnsi="Times New Roman" w:cs="Times New Roman"/>
          <w:color w:val="000000" w:themeColor="text1"/>
          <w:lang w:eastAsia="es-MX"/>
        </w:rPr>
        <w:t xml:space="preserve">la </w:t>
      </w:r>
      <w:r w:rsidRPr="000C03D2">
        <w:rPr>
          <w:rFonts w:ascii="Times New Roman" w:hAnsi="Times New Roman" w:cs="Times New Roman"/>
          <w:color w:val="000000" w:themeColor="text1"/>
          <w:lang w:eastAsia="es-MX"/>
        </w:rPr>
        <w:t>trabajadora</w:t>
      </w:r>
      <w:r w:rsidRPr="000C03D2">
        <w:rPr>
          <w:rFonts w:ascii="Times New Roman" w:hAnsi="Times New Roman" w:cs="Times New Roman"/>
          <w:color w:val="000000" w:themeColor="text1"/>
          <w:lang w:eastAsia="es-MX"/>
        </w:rPr>
        <w:t>”</w:t>
      </w:r>
      <w:r w:rsidRPr="000C03D2">
        <w:rPr>
          <w:rFonts w:ascii="Times New Roman" w:hAnsi="Times New Roman" w:cs="Times New Roman"/>
          <w:color w:val="000000" w:themeColor="text1"/>
          <w:lang w:eastAsia="es-MX"/>
        </w:rPr>
        <w:t xml:space="preserve"> excluye de este listado a otro grupo de personas </w:t>
      </w:r>
      <w:r w:rsidRPr="000C03D2">
        <w:rPr>
          <w:rFonts w:ascii="Times New Roman" w:hAnsi="Times New Roman" w:cs="Times New Roman"/>
          <w:color w:val="000000" w:themeColor="text1"/>
          <w:lang w:eastAsia="es-MX"/>
        </w:rPr>
        <w:t>gestantes</w:t>
      </w:r>
      <w:r w:rsidRPr="000C03D2">
        <w:rPr>
          <w:rFonts w:ascii="Times New Roman" w:hAnsi="Times New Roman" w:cs="Times New Roman"/>
          <w:color w:val="000000" w:themeColor="text1"/>
          <w:lang w:eastAsia="es-MX"/>
        </w:rPr>
        <w:t xml:space="preserve"> como los hombr</w:t>
      </w:r>
      <w:r w:rsidRPr="000C03D2">
        <w:rPr>
          <w:rFonts w:ascii="Times New Roman" w:hAnsi="Times New Roman" w:cs="Times New Roman"/>
          <w:color w:val="000000" w:themeColor="text1"/>
          <w:lang w:eastAsia="es-MX"/>
        </w:rPr>
        <w:t xml:space="preserve">es trans y personas no binarias, a pesar de que ambos grupos de personas </w:t>
      </w:r>
      <w:r w:rsidRPr="000C03D2">
        <w:rPr>
          <w:rFonts w:ascii="Times New Roman" w:hAnsi="Times New Roman" w:cs="Times New Roman"/>
          <w:color w:val="000000" w:themeColor="text1"/>
          <w:lang w:eastAsia="es-MX"/>
        </w:rPr>
        <w:t>están en la misma situación</w:t>
      </w:r>
      <w:r w:rsidRPr="000C03D2">
        <w:rPr>
          <w:rFonts w:ascii="Times New Roman" w:hAnsi="Times New Roman" w:cs="Times New Roman"/>
          <w:color w:val="000000" w:themeColor="text1"/>
          <w:lang w:eastAsia="es-MX"/>
        </w:rPr>
        <w:t>.</w:t>
      </w:r>
    </w:p>
    <w:p w:rsidR="00663C55" w:rsidRPr="000C03D2" w:rsidRDefault="000C03D2" w:rsidP="00A141C2">
      <w:pPr>
        <w:pStyle w:val="Prrafodelista"/>
        <w:rPr>
          <w:rStyle w:val="apple-converted-space"/>
          <w:rFonts w:ascii="Times New Roman" w:hAnsi="Times New Roman" w:cs="Times New Roman"/>
          <w:color w:val="000000" w:themeColor="text1"/>
        </w:rPr>
      </w:pPr>
    </w:p>
    <w:p w:rsidR="00A344D2" w:rsidRPr="000C03D2" w:rsidRDefault="000C03D2" w:rsidP="00A344D2">
      <w:pPr>
        <w:pStyle w:val="Prrafodelista"/>
        <w:numPr>
          <w:ilvl w:val="0"/>
          <w:numId w:val="3"/>
        </w:numPr>
        <w:tabs>
          <w:tab w:val="left" w:pos="426"/>
        </w:tabs>
        <w:ind w:left="0" w:right="49" w:firstLine="0"/>
        <w:rPr>
          <w:rFonts w:ascii="Times New Roman" w:hAnsi="Times New Roman" w:cs="Times New Roman"/>
          <w:color w:val="000000" w:themeColor="text1"/>
          <w:lang w:eastAsia="es-MX"/>
        </w:rPr>
      </w:pPr>
      <w:r w:rsidRPr="000C03D2">
        <w:rPr>
          <w:rStyle w:val="apple-converted-space"/>
          <w:rFonts w:ascii="Times New Roman" w:hAnsi="Times New Roman" w:cs="Times New Roman"/>
          <w:color w:val="000000" w:themeColor="text1"/>
        </w:rPr>
        <w:t>Es importante mencionar que e</w:t>
      </w:r>
      <w:r w:rsidRPr="000C03D2">
        <w:rPr>
          <w:rStyle w:val="apple-converted-space"/>
          <w:rFonts w:ascii="Times New Roman" w:hAnsi="Times New Roman" w:cs="Times New Roman"/>
          <w:color w:val="000000" w:themeColor="text1"/>
        </w:rPr>
        <w:t>n la</w:t>
      </w:r>
      <w:r w:rsidRPr="000C03D2">
        <w:rPr>
          <w:rStyle w:val="apple-converted-space"/>
          <w:rFonts w:ascii="Times New Roman" w:hAnsi="Times New Roman" w:cs="Times New Roman"/>
          <w:color w:val="000000" w:themeColor="text1"/>
        </w:rPr>
        <w:t>s</w:t>
      </w:r>
      <w:r w:rsidRPr="000C03D2">
        <w:rPr>
          <w:rStyle w:val="apple-converted-space"/>
          <w:rFonts w:ascii="Times New Roman" w:hAnsi="Times New Roman" w:cs="Times New Roman"/>
          <w:color w:val="000000" w:themeColor="text1"/>
        </w:rPr>
        <w:t xml:space="preserve"> </w:t>
      </w:r>
      <w:r w:rsidRPr="000C03D2">
        <w:rPr>
          <w:rStyle w:val="apple-converted-space"/>
          <w:rFonts w:ascii="Times New Roman" w:hAnsi="Times New Roman" w:cs="Times New Roman"/>
          <w:color w:val="000000" w:themeColor="text1"/>
        </w:rPr>
        <w:t>s</w:t>
      </w:r>
      <w:r w:rsidRPr="000C03D2">
        <w:rPr>
          <w:rStyle w:val="apple-converted-space"/>
          <w:rFonts w:ascii="Times New Roman" w:hAnsi="Times New Roman" w:cs="Times New Roman"/>
          <w:color w:val="000000" w:themeColor="text1"/>
        </w:rPr>
        <w:t>entencia</w:t>
      </w:r>
      <w:r w:rsidRPr="000C03D2">
        <w:rPr>
          <w:rStyle w:val="apple-converted-space"/>
          <w:rFonts w:ascii="Times New Roman" w:hAnsi="Times New Roman" w:cs="Times New Roman"/>
          <w:color w:val="000000" w:themeColor="text1"/>
        </w:rPr>
        <w:t xml:space="preserve">s C-324 </w:t>
      </w:r>
      <w:r w:rsidRPr="000C03D2">
        <w:rPr>
          <w:rStyle w:val="apple-converted-space"/>
          <w:rFonts w:ascii="Times New Roman" w:hAnsi="Times New Roman" w:cs="Times New Roman"/>
          <w:color w:val="000000" w:themeColor="text1"/>
        </w:rPr>
        <w:t xml:space="preserve">de 2023 </w:t>
      </w:r>
      <w:r w:rsidRPr="000C03D2">
        <w:rPr>
          <w:rStyle w:val="apple-converted-space"/>
          <w:rFonts w:ascii="Times New Roman" w:hAnsi="Times New Roman" w:cs="Times New Roman"/>
          <w:color w:val="000000" w:themeColor="text1"/>
        </w:rPr>
        <w:t>y</w:t>
      </w:r>
      <w:r w:rsidRPr="000C03D2">
        <w:rPr>
          <w:rStyle w:val="apple-converted-space"/>
          <w:rFonts w:ascii="Times New Roman" w:hAnsi="Times New Roman" w:cs="Times New Roman"/>
          <w:color w:val="000000" w:themeColor="text1"/>
        </w:rPr>
        <w:t xml:space="preserve"> C-071 de 2025 la Sala Plena plante</w:t>
      </w:r>
      <w:r w:rsidRPr="000C03D2">
        <w:rPr>
          <w:rStyle w:val="apple-converted-space"/>
          <w:rFonts w:ascii="Times New Roman" w:hAnsi="Times New Roman" w:cs="Times New Roman"/>
          <w:color w:val="000000" w:themeColor="text1"/>
        </w:rPr>
        <w:t xml:space="preserve">ó </w:t>
      </w:r>
      <w:r w:rsidRPr="000C03D2">
        <w:rPr>
          <w:rStyle w:val="apple-converted-space"/>
          <w:rFonts w:ascii="Times New Roman" w:hAnsi="Times New Roman" w:cs="Times New Roman"/>
          <w:color w:val="000000" w:themeColor="text1"/>
        </w:rPr>
        <w:t>la posibilidad de</w:t>
      </w:r>
      <w:r w:rsidRPr="000C03D2">
        <w:rPr>
          <w:rStyle w:val="apple-converted-space"/>
          <w:rFonts w:ascii="Times New Roman" w:hAnsi="Times New Roman" w:cs="Times New Roman"/>
          <w:color w:val="000000" w:themeColor="text1"/>
        </w:rPr>
        <w:t xml:space="preserve"> entender que la norma</w:t>
      </w:r>
      <w:r w:rsidRPr="000C03D2">
        <w:rPr>
          <w:rStyle w:val="apple-converted-space"/>
          <w:rFonts w:ascii="Times New Roman" w:hAnsi="Times New Roman" w:cs="Times New Roman"/>
          <w:color w:val="000000" w:themeColor="text1"/>
        </w:rPr>
        <w:t xml:space="preserve"> </w:t>
      </w:r>
      <w:r w:rsidRPr="000C03D2">
        <w:rPr>
          <w:rStyle w:val="apple-converted-space"/>
          <w:rFonts w:ascii="Times New Roman" w:hAnsi="Times New Roman" w:cs="Times New Roman"/>
          <w:color w:val="000000" w:themeColor="text1"/>
        </w:rPr>
        <w:t xml:space="preserve">sí permite </w:t>
      </w:r>
      <w:r w:rsidRPr="000C03D2">
        <w:rPr>
          <w:rStyle w:val="apple-converted-space"/>
          <w:rFonts w:ascii="Times New Roman" w:hAnsi="Times New Roman" w:cs="Times New Roman"/>
          <w:color w:val="000000" w:themeColor="text1"/>
        </w:rPr>
        <w:t>reconoce</w:t>
      </w:r>
      <w:r w:rsidRPr="000C03D2">
        <w:rPr>
          <w:rStyle w:val="apple-converted-space"/>
          <w:rFonts w:ascii="Times New Roman" w:hAnsi="Times New Roman" w:cs="Times New Roman"/>
          <w:color w:val="000000" w:themeColor="text1"/>
        </w:rPr>
        <w:t>r</w:t>
      </w:r>
      <w:r w:rsidRPr="000C03D2">
        <w:rPr>
          <w:rStyle w:val="apple-converted-space"/>
          <w:rFonts w:ascii="Times New Roman" w:hAnsi="Times New Roman" w:cs="Times New Roman"/>
          <w:color w:val="000000" w:themeColor="text1"/>
        </w:rPr>
        <w:t xml:space="preserve"> la licencia de maternidad a un hombre transgénero </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para lo cual sería suficiente que se identificara según el sexo que se le asignó al nacer</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Sin embargo, </w:t>
      </w:r>
      <w:r w:rsidRPr="000C03D2">
        <w:rPr>
          <w:rFonts w:ascii="Times New Roman" w:hAnsi="Times New Roman" w:cs="Times New Roman"/>
          <w:color w:val="000000" w:themeColor="text1"/>
        </w:rPr>
        <w:t>la Sala Plena afirmó que “</w:t>
      </w:r>
      <w:r w:rsidRPr="000C03D2">
        <w:rPr>
          <w:rFonts w:ascii="Times New Roman" w:hAnsi="Times New Roman" w:cs="Times New Roman"/>
          <w:color w:val="000000" w:themeColor="text1"/>
        </w:rPr>
        <w:t>esta posibilidad es constitucionalmente inadmisible</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Esta afirm</w:t>
      </w:r>
      <w:r w:rsidRPr="000C03D2">
        <w:rPr>
          <w:rFonts w:ascii="Times New Roman" w:hAnsi="Times New Roman" w:cs="Times New Roman"/>
          <w:color w:val="000000" w:themeColor="text1"/>
        </w:rPr>
        <w:t>ación se fundó en tres razones: (i) la identidad es un derecho fundamental que garantiza el libre desarrollo de la personalidad, la igualdad y la dignidad humana, lo cual impone al Estado la obligación de no interferir en su definición libre y autónoma; (i</w:t>
      </w:r>
      <w:r w:rsidRPr="000C03D2">
        <w:rPr>
          <w:rFonts w:ascii="Times New Roman" w:hAnsi="Times New Roman" w:cs="Times New Roman"/>
          <w:color w:val="000000" w:themeColor="text1"/>
        </w:rPr>
        <w:t xml:space="preserve">i) </w:t>
      </w:r>
      <w:r w:rsidRPr="000C03D2">
        <w:rPr>
          <w:rFonts w:ascii="Times New Roman" w:hAnsi="Times New Roman" w:cs="Times New Roman"/>
          <w:color w:val="000000" w:themeColor="text1"/>
        </w:rPr>
        <w:t>n</w:t>
      </w:r>
      <w:r w:rsidRPr="000C03D2">
        <w:rPr>
          <w:rFonts w:ascii="Times New Roman" w:hAnsi="Times New Roman" w:cs="Times New Roman"/>
          <w:color w:val="000000" w:themeColor="text1"/>
        </w:rPr>
        <w:t xml:space="preserve">egar la licencia de maternidad por no coincidir </w:t>
      </w:r>
      <w:r w:rsidRPr="000C03D2">
        <w:rPr>
          <w:rFonts w:ascii="Times New Roman" w:hAnsi="Times New Roman" w:cs="Times New Roman"/>
          <w:color w:val="000000" w:themeColor="text1"/>
        </w:rPr>
        <w:t xml:space="preserve">con </w:t>
      </w:r>
      <w:r w:rsidRPr="000C03D2">
        <w:rPr>
          <w:rFonts w:ascii="Times New Roman" w:hAnsi="Times New Roman" w:cs="Times New Roman"/>
          <w:color w:val="000000" w:themeColor="text1"/>
        </w:rPr>
        <w:t>la identidad autopercibida con el sexo asignado constituye una forma de discriminación prohibida por la Constitución, pues obliga a asumir una identidad ajena y vulnera la expresión libre de la identi</w:t>
      </w:r>
      <w:r w:rsidRPr="000C03D2">
        <w:rPr>
          <w:rFonts w:ascii="Times New Roman" w:hAnsi="Times New Roman" w:cs="Times New Roman"/>
          <w:color w:val="000000" w:themeColor="text1"/>
        </w:rPr>
        <w:t>dad</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y (iii) l</w:t>
      </w:r>
      <w:r w:rsidRPr="000C03D2">
        <w:rPr>
          <w:rFonts w:ascii="Times New Roman" w:hAnsi="Times New Roman" w:cs="Times New Roman"/>
          <w:color w:val="000000" w:themeColor="text1"/>
        </w:rPr>
        <w:t>a exclusión desconoce el significado esencial del ser, afecta la dignidad y el plan de vida, y menoscaba el derecho a la seguridad social al basarse en categorías de género no reconocidas, contrariando la prohibición de discriminación y el ar</w:t>
      </w:r>
      <w:r w:rsidRPr="000C03D2">
        <w:rPr>
          <w:rFonts w:ascii="Times New Roman" w:hAnsi="Times New Roman" w:cs="Times New Roman"/>
          <w:color w:val="000000" w:themeColor="text1"/>
        </w:rPr>
        <w:t>tículo 48 superior.</w:t>
      </w:r>
    </w:p>
    <w:p w:rsidR="00A344D2" w:rsidRPr="000C03D2" w:rsidRDefault="000C03D2" w:rsidP="00A344D2">
      <w:pPr>
        <w:pStyle w:val="Prrafodelista"/>
        <w:rPr>
          <w:rFonts w:ascii="Times New Roman" w:hAnsi="Times New Roman" w:cs="Times New Roman"/>
          <w:color w:val="000000" w:themeColor="text1"/>
          <w:lang w:eastAsia="es-MX"/>
        </w:rPr>
      </w:pPr>
    </w:p>
    <w:p w:rsidR="00467C2D" w:rsidRPr="000C03D2" w:rsidRDefault="000C03D2" w:rsidP="004B21EE">
      <w:pPr>
        <w:pStyle w:val="Prrafodelista"/>
        <w:numPr>
          <w:ilvl w:val="0"/>
          <w:numId w:val="3"/>
        </w:numPr>
        <w:tabs>
          <w:tab w:val="left" w:pos="426"/>
        </w:tabs>
        <w:ind w:left="0" w:right="49" w:firstLine="0"/>
        <w:rPr>
          <w:rFonts w:ascii="Times New Roman" w:hAnsi="Times New Roman" w:cs="Times New Roman"/>
          <w:color w:val="000000" w:themeColor="text1"/>
          <w:lang w:eastAsia="es-MX"/>
        </w:rPr>
      </w:pPr>
      <w:r w:rsidRPr="000C03D2">
        <w:rPr>
          <w:rFonts w:ascii="Times New Roman" w:hAnsi="Times New Roman" w:cs="Times New Roman"/>
          <w:color w:val="000000" w:themeColor="text1"/>
          <w:lang w:eastAsia="es-MX"/>
        </w:rPr>
        <w:t xml:space="preserve">En síntesis, la Sala concluye que </w:t>
      </w:r>
      <w:r w:rsidRPr="000C03D2">
        <w:rPr>
          <w:rFonts w:ascii="Times New Roman" w:hAnsi="Times New Roman" w:cs="Times New Roman"/>
          <w:color w:val="000000" w:themeColor="text1"/>
          <w:lang w:eastAsia="es-MX"/>
        </w:rPr>
        <w:t xml:space="preserve">el </w:t>
      </w:r>
      <w:r w:rsidRPr="000C03D2">
        <w:rPr>
          <w:rFonts w:ascii="Times New Roman" w:hAnsi="Times New Roman" w:cs="Times New Roman"/>
          <w:color w:val="000000" w:themeColor="text1"/>
          <w:szCs w:val="28"/>
          <w:lang w:val="es-ES_tradnl"/>
          <w14:ligatures w14:val="standardContextual"/>
        </w:rPr>
        <w:t xml:space="preserve">enunciado normativo estudiado </w:t>
      </w:r>
      <w:r w:rsidRPr="000C03D2">
        <w:rPr>
          <w:rFonts w:ascii="Times New Roman" w:hAnsi="Times New Roman" w:cs="Times New Roman"/>
          <w:color w:val="000000" w:themeColor="text1"/>
          <w:lang w:eastAsia="es-MX"/>
        </w:rPr>
        <w:t>excluye de sus consecuencias jurídicas situaciones asimilables</w:t>
      </w:r>
      <w:r w:rsidRPr="000C03D2">
        <w:rPr>
          <w:rFonts w:ascii="Times New Roman" w:hAnsi="Times New Roman" w:cs="Times New Roman"/>
          <w:color w:val="000000" w:themeColor="text1"/>
          <w:lang w:eastAsia="es-MX"/>
        </w:rPr>
        <w:t>. En efecto,</w:t>
      </w:r>
      <w:r w:rsidRPr="000C03D2">
        <w:rPr>
          <w:rFonts w:ascii="Times New Roman" w:hAnsi="Times New Roman" w:cs="Times New Roman"/>
          <w:color w:val="000000" w:themeColor="text1"/>
          <w:lang w:eastAsia="es-MX"/>
        </w:rPr>
        <w:t xml:space="preserve"> el artículo 237 del Código Sustantivo del Trabajo no incluye a </w:t>
      </w:r>
      <w:r w:rsidRPr="000C03D2">
        <w:rPr>
          <w:rFonts w:ascii="Times New Roman" w:hAnsi="Times New Roman" w:cs="Times New Roman"/>
          <w:color w:val="000000" w:themeColor="text1"/>
          <w:lang w:eastAsia="es-MX"/>
        </w:rPr>
        <w:t xml:space="preserve">otras personas </w:t>
      </w:r>
      <w:r w:rsidRPr="000C03D2">
        <w:rPr>
          <w:rFonts w:ascii="Times New Roman" w:hAnsi="Times New Roman" w:cs="Times New Roman"/>
          <w:color w:val="000000" w:themeColor="text1"/>
          <w:lang w:eastAsia="es-MX"/>
        </w:rPr>
        <w:t>gestantes</w:t>
      </w:r>
      <w:r w:rsidRPr="000C03D2">
        <w:rPr>
          <w:rFonts w:ascii="Times New Roman" w:hAnsi="Times New Roman" w:cs="Times New Roman"/>
          <w:color w:val="000000" w:themeColor="text1"/>
          <w:lang w:eastAsia="es-MX"/>
        </w:rPr>
        <w:t xml:space="preserve"> y que, en principio,</w:t>
      </w:r>
      <w:r w:rsidRPr="000C03D2">
        <w:rPr>
          <w:rFonts w:ascii="Times New Roman" w:hAnsi="Times New Roman" w:cs="Times New Roman"/>
          <w:color w:val="000000" w:themeColor="text1"/>
          <w:lang w:eastAsia="es-MX"/>
        </w:rPr>
        <w:t xml:space="preserve"> se encuentran en una situación similar al de </w:t>
      </w:r>
      <w:r w:rsidRPr="000C03D2">
        <w:rPr>
          <w:rFonts w:ascii="Times New Roman" w:hAnsi="Times New Roman" w:cs="Times New Roman"/>
          <w:color w:val="000000" w:themeColor="text1"/>
          <w:lang w:eastAsia="es-MX"/>
        </w:rPr>
        <w:t>la mujer trabajadora</w:t>
      </w:r>
      <w:r w:rsidRPr="000C03D2">
        <w:rPr>
          <w:rFonts w:ascii="Times New Roman" w:hAnsi="Times New Roman" w:cs="Times New Roman"/>
          <w:color w:val="000000" w:themeColor="text1"/>
          <w:lang w:eastAsia="es-MX"/>
        </w:rPr>
        <w:t xml:space="preserve"> dado que también pueden abortar</w:t>
      </w:r>
      <w:r w:rsidRPr="000C03D2">
        <w:rPr>
          <w:rFonts w:ascii="Times New Roman" w:hAnsi="Times New Roman" w:cs="Times New Roman"/>
          <w:color w:val="000000" w:themeColor="text1"/>
          <w:lang w:eastAsia="es-MX"/>
        </w:rPr>
        <w:t>, interrumpir voluntariamente el embarazo -en los términos establecidos en la Sentencia C-055 de 2022-</w:t>
      </w:r>
      <w:r w:rsidRPr="000C03D2">
        <w:rPr>
          <w:rFonts w:ascii="Times New Roman" w:hAnsi="Times New Roman" w:cs="Times New Roman"/>
          <w:color w:val="000000" w:themeColor="text1"/>
          <w:lang w:eastAsia="es-MX"/>
        </w:rPr>
        <w:t xml:space="preserve"> o tener un parto prematuro no viab</w:t>
      </w:r>
      <w:r w:rsidRPr="000C03D2">
        <w:rPr>
          <w:rFonts w:ascii="Times New Roman" w:hAnsi="Times New Roman" w:cs="Times New Roman"/>
          <w:color w:val="000000" w:themeColor="text1"/>
          <w:lang w:eastAsia="es-MX"/>
        </w:rPr>
        <w:t xml:space="preserve">le. </w:t>
      </w:r>
    </w:p>
    <w:p w:rsidR="009B0F71" w:rsidRPr="000C03D2" w:rsidRDefault="000C03D2" w:rsidP="009B0F71">
      <w:pPr>
        <w:pStyle w:val="Prrafodelista"/>
        <w:tabs>
          <w:tab w:val="left" w:pos="426"/>
        </w:tabs>
        <w:ind w:left="0" w:right="49"/>
        <w:rPr>
          <w:rFonts w:ascii="Times New Roman" w:hAnsi="Times New Roman" w:cs="Times New Roman"/>
          <w:color w:val="000000" w:themeColor="text1"/>
          <w:lang w:eastAsia="es-MX"/>
        </w:rPr>
      </w:pPr>
    </w:p>
    <w:p w:rsidR="003F5DFC" w:rsidRPr="000C03D2" w:rsidRDefault="000C03D2" w:rsidP="004B21EE">
      <w:pPr>
        <w:pStyle w:val="Prrafodelista"/>
        <w:numPr>
          <w:ilvl w:val="0"/>
          <w:numId w:val="6"/>
        </w:numPr>
        <w:tabs>
          <w:tab w:val="left" w:pos="567"/>
          <w:tab w:val="left" w:pos="993"/>
        </w:tabs>
        <w:ind w:left="284" w:firstLine="0"/>
        <w:rPr>
          <w:rFonts w:ascii="Times New Roman" w:hAnsi="Times New Roman" w:cs="Times New Roman"/>
          <w:b/>
          <w:bCs/>
          <w:iCs/>
          <w:color w:val="000000" w:themeColor="text1"/>
          <w:szCs w:val="28"/>
        </w:rPr>
      </w:pPr>
      <w:r w:rsidRPr="000C03D2">
        <w:rPr>
          <w:rFonts w:ascii="Times New Roman" w:hAnsi="Times New Roman" w:cs="Times New Roman"/>
          <w:b/>
          <w:bCs/>
          <w:iCs/>
          <w:color w:val="000000" w:themeColor="text1"/>
          <w:szCs w:val="28"/>
        </w:rPr>
        <w:t xml:space="preserve">Existe un deber específico impuesto directamente por el constituyente al Congreso que resultó omitido al excluir </w:t>
      </w:r>
      <w:r w:rsidRPr="000C03D2">
        <w:rPr>
          <w:rFonts w:ascii="Times New Roman" w:hAnsi="Times New Roman" w:cs="Times New Roman"/>
          <w:b/>
          <w:bCs/>
          <w:iCs/>
          <w:color w:val="000000" w:themeColor="text1"/>
          <w:szCs w:val="28"/>
        </w:rPr>
        <w:t>de</w:t>
      </w:r>
      <w:r w:rsidRPr="000C03D2">
        <w:rPr>
          <w:rFonts w:ascii="Times New Roman" w:hAnsi="Times New Roman" w:cs="Times New Roman"/>
          <w:b/>
          <w:bCs/>
          <w:iCs/>
          <w:color w:val="000000" w:themeColor="text1"/>
          <w:szCs w:val="28"/>
        </w:rPr>
        <w:t xml:space="preserve"> las personas beneficiarias del descanso remunerado en caso de aborto o parto no viable a todas </w:t>
      </w:r>
      <w:r w:rsidRPr="000C03D2">
        <w:rPr>
          <w:rFonts w:ascii="Times New Roman" w:hAnsi="Times New Roman" w:cs="Times New Roman"/>
          <w:b/>
          <w:bCs/>
          <w:iCs/>
          <w:color w:val="000000" w:themeColor="text1"/>
          <w:szCs w:val="28"/>
        </w:rPr>
        <w:t>aquellas</w:t>
      </w:r>
      <w:r w:rsidRPr="000C03D2">
        <w:rPr>
          <w:rFonts w:ascii="Times New Roman" w:hAnsi="Times New Roman" w:cs="Times New Roman"/>
          <w:b/>
          <w:bCs/>
          <w:iCs/>
          <w:color w:val="000000" w:themeColor="text1"/>
          <w:szCs w:val="28"/>
        </w:rPr>
        <w:t xml:space="preserve"> </w:t>
      </w:r>
      <w:r w:rsidRPr="000C03D2">
        <w:rPr>
          <w:rFonts w:ascii="Times New Roman" w:hAnsi="Times New Roman" w:cs="Times New Roman"/>
          <w:b/>
          <w:bCs/>
          <w:iCs/>
          <w:color w:val="000000" w:themeColor="text1"/>
          <w:szCs w:val="28"/>
        </w:rPr>
        <w:t>gestantes</w:t>
      </w:r>
      <w:r w:rsidRPr="000C03D2">
        <w:rPr>
          <w:rFonts w:ascii="Times New Roman" w:hAnsi="Times New Roman" w:cs="Times New Roman"/>
          <w:b/>
          <w:bCs/>
          <w:iCs/>
          <w:color w:val="000000" w:themeColor="text1"/>
          <w:szCs w:val="28"/>
        </w:rPr>
        <w:t xml:space="preserve"> </w:t>
      </w:r>
    </w:p>
    <w:p w:rsidR="00DA0DC7" w:rsidRPr="000C03D2" w:rsidRDefault="000C03D2" w:rsidP="00A141C2">
      <w:pPr>
        <w:pStyle w:val="Prrafodelista"/>
        <w:tabs>
          <w:tab w:val="left" w:pos="426"/>
        </w:tabs>
        <w:ind w:left="0" w:right="49"/>
        <w:rPr>
          <w:rFonts w:ascii="Times New Roman" w:hAnsi="Times New Roman" w:cs="Times New Roman"/>
          <w:iCs/>
          <w:color w:val="000000" w:themeColor="text1"/>
          <w:szCs w:val="28"/>
        </w:rPr>
      </w:pPr>
    </w:p>
    <w:p w:rsidR="0076374D"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 xml:space="preserve">Para la Corte, la exclusión de los hombres trans y </w:t>
      </w:r>
      <w:r w:rsidRPr="000C03D2">
        <w:rPr>
          <w:rFonts w:ascii="Times New Roman" w:hAnsi="Times New Roman" w:cs="Times New Roman"/>
          <w:color w:val="000000" w:themeColor="text1"/>
          <w:szCs w:val="28"/>
        </w:rPr>
        <w:t xml:space="preserve">de las </w:t>
      </w:r>
      <w:r w:rsidRPr="000C03D2">
        <w:rPr>
          <w:rFonts w:ascii="Times New Roman" w:hAnsi="Times New Roman" w:cs="Times New Roman"/>
          <w:color w:val="000000" w:themeColor="text1"/>
          <w:szCs w:val="28"/>
        </w:rPr>
        <w:t xml:space="preserve">personas no binarias </w:t>
      </w:r>
      <w:r w:rsidRPr="000C03D2">
        <w:rPr>
          <w:rFonts w:ascii="Times New Roman" w:hAnsi="Times New Roman" w:cs="Times New Roman"/>
          <w:color w:val="000000" w:themeColor="text1"/>
          <w:szCs w:val="28"/>
        </w:rPr>
        <w:t>del</w:t>
      </w:r>
      <w:r w:rsidRPr="000C03D2">
        <w:rPr>
          <w:rFonts w:ascii="Times New Roman" w:hAnsi="Times New Roman" w:cs="Times New Roman"/>
          <w:color w:val="000000" w:themeColor="text1"/>
          <w:szCs w:val="28"/>
        </w:rPr>
        <w:t xml:space="preserve"> descanso remunerado en caso de aborto incumple mandatos impuestos por la Constitución al </w:t>
      </w:r>
      <w:r w:rsidRPr="000C03D2">
        <w:rPr>
          <w:rFonts w:ascii="Times New Roman" w:hAnsi="Times New Roman" w:cs="Times New Roman"/>
          <w:color w:val="000000" w:themeColor="text1"/>
          <w:szCs w:val="28"/>
        </w:rPr>
        <w:t>l</w:t>
      </w:r>
      <w:r w:rsidRPr="000C03D2">
        <w:rPr>
          <w:rFonts w:ascii="Times New Roman" w:hAnsi="Times New Roman" w:cs="Times New Roman"/>
          <w:color w:val="000000" w:themeColor="text1"/>
          <w:szCs w:val="28"/>
        </w:rPr>
        <w:t xml:space="preserve">egislador, en concreto, el principio de igualdad, la prohibición de discriminación </w:t>
      </w:r>
      <w:r w:rsidRPr="000C03D2">
        <w:rPr>
          <w:rFonts w:ascii="Times New Roman" w:hAnsi="Times New Roman" w:cs="Times New Roman"/>
          <w:color w:val="000000" w:themeColor="text1"/>
          <w:szCs w:val="28"/>
        </w:rPr>
        <w:t>y la especial protección de las personas con otras formas de identidad y de vivencias de su identidad de género y de su reconocimiento</w:t>
      </w:r>
      <w:r w:rsidRPr="000C03D2">
        <w:rPr>
          <w:rFonts w:ascii="Times New Roman" w:hAnsi="Times New Roman" w:cs="Times New Roman"/>
          <w:color w:val="000000" w:themeColor="text1"/>
          <w:szCs w:val="28"/>
        </w:rPr>
        <w:t xml:space="preserve"> (artículo 13 C.P.)</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Adicionalmente, desconoce </w:t>
      </w:r>
      <w:r w:rsidRPr="000C03D2">
        <w:rPr>
          <w:rFonts w:ascii="Times New Roman" w:hAnsi="Times New Roman" w:cs="Times New Roman"/>
          <w:color w:val="000000" w:themeColor="text1"/>
          <w:szCs w:val="28"/>
        </w:rPr>
        <w:t>la protección integral a la gestación (</w:t>
      </w:r>
      <w:r w:rsidRPr="000C03D2">
        <w:rPr>
          <w:rFonts w:ascii="Times New Roman" w:hAnsi="Times New Roman" w:cs="Times New Roman"/>
          <w:color w:val="000000" w:themeColor="text1"/>
          <w:szCs w:val="28"/>
        </w:rPr>
        <w:t xml:space="preserve">artículo </w:t>
      </w:r>
      <w:r w:rsidRPr="000C03D2">
        <w:rPr>
          <w:rFonts w:ascii="Times New Roman" w:hAnsi="Times New Roman" w:cs="Times New Roman"/>
          <w:color w:val="000000" w:themeColor="text1"/>
          <w:szCs w:val="28"/>
        </w:rPr>
        <w:t xml:space="preserve">43 </w:t>
      </w:r>
      <w:r w:rsidRPr="000C03D2">
        <w:rPr>
          <w:rFonts w:ascii="Times New Roman" w:hAnsi="Times New Roman" w:cs="Times New Roman"/>
          <w:color w:val="000000" w:themeColor="text1"/>
          <w:szCs w:val="28"/>
        </w:rPr>
        <w:t>C.P.)</w:t>
      </w:r>
      <w:r w:rsidRPr="000C03D2">
        <w:rPr>
          <w:rFonts w:ascii="Times New Roman" w:hAnsi="Times New Roman" w:cs="Times New Roman"/>
          <w:color w:val="000000" w:themeColor="text1"/>
          <w:szCs w:val="28"/>
        </w:rPr>
        <w:t>, según l</w:t>
      </w:r>
      <w:r w:rsidRPr="000C03D2">
        <w:rPr>
          <w:rFonts w:ascii="Times New Roman" w:hAnsi="Times New Roman" w:cs="Times New Roman"/>
          <w:color w:val="000000" w:themeColor="text1"/>
          <w:szCs w:val="28"/>
        </w:rPr>
        <w:t>a</w:t>
      </w:r>
      <w:r w:rsidRPr="000C03D2">
        <w:rPr>
          <w:rFonts w:ascii="Times New Roman" w:hAnsi="Times New Roman" w:cs="Times New Roman"/>
          <w:color w:val="000000" w:themeColor="text1"/>
          <w:szCs w:val="28"/>
        </w:rPr>
        <w:t xml:space="preserve"> cual, se</w:t>
      </w:r>
      <w:r w:rsidRPr="000C03D2">
        <w:rPr>
          <w:rFonts w:ascii="Times New Roman" w:hAnsi="Times New Roman" w:cs="Times New Roman"/>
          <w:color w:val="000000" w:themeColor="text1"/>
          <w:szCs w:val="28"/>
        </w:rPr>
        <w:t xml:space="preserve"> les debe otorgar</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especial asistencia y protección del Estado</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a las personas </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durante el embarazo y después del parto</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De esa manera, </w:t>
      </w:r>
      <w:r w:rsidRPr="000C03D2">
        <w:rPr>
          <w:rFonts w:ascii="Times New Roman" w:hAnsi="Times New Roman" w:cs="Times New Roman"/>
          <w:color w:val="000000" w:themeColor="text1"/>
          <w:szCs w:val="28"/>
        </w:rPr>
        <w:t xml:space="preserve">el </w:t>
      </w:r>
      <w:r w:rsidRPr="000C03D2">
        <w:rPr>
          <w:rFonts w:ascii="Times New Roman" w:hAnsi="Times New Roman" w:cs="Times New Roman"/>
          <w:color w:val="000000" w:themeColor="text1"/>
          <w:szCs w:val="28"/>
          <w:lang w:val="es-ES_tradnl"/>
          <w14:ligatures w14:val="standardContextual"/>
        </w:rPr>
        <w:t xml:space="preserve">enunciado normativo </w:t>
      </w:r>
      <w:r w:rsidRPr="000C03D2">
        <w:rPr>
          <w:rFonts w:ascii="Times New Roman" w:hAnsi="Times New Roman" w:cs="Times New Roman"/>
          <w:color w:val="000000" w:themeColor="text1"/>
          <w:szCs w:val="28"/>
        </w:rPr>
        <w:t>demandad</w:t>
      </w:r>
      <w:r w:rsidRPr="000C03D2">
        <w:rPr>
          <w:rFonts w:ascii="Times New Roman" w:hAnsi="Times New Roman" w:cs="Times New Roman"/>
          <w:color w:val="000000" w:themeColor="text1"/>
          <w:szCs w:val="28"/>
        </w:rPr>
        <w:t>o</w:t>
      </w:r>
      <w:r w:rsidRPr="000C03D2">
        <w:rPr>
          <w:rFonts w:ascii="Times New Roman" w:hAnsi="Times New Roman" w:cs="Times New Roman"/>
          <w:color w:val="000000" w:themeColor="text1"/>
          <w:szCs w:val="28"/>
        </w:rPr>
        <w:t xml:space="preserve"> desconoce el deber de no discriminación por razones de </w:t>
      </w:r>
      <w:r w:rsidRPr="000C03D2">
        <w:rPr>
          <w:rFonts w:ascii="Times New Roman" w:hAnsi="Times New Roman" w:cs="Times New Roman"/>
          <w:color w:val="000000" w:themeColor="text1"/>
          <w:szCs w:val="28"/>
        </w:rPr>
        <w:t>género</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de</w:t>
      </w:r>
      <w:r w:rsidRPr="000C03D2">
        <w:rPr>
          <w:rFonts w:ascii="Times New Roman" w:hAnsi="Times New Roman" w:cs="Times New Roman"/>
          <w:color w:val="000000" w:themeColor="text1"/>
          <w:szCs w:val="28"/>
        </w:rPr>
        <w:t xml:space="preserve"> las personas </w:t>
      </w:r>
      <w:r w:rsidRPr="000C03D2">
        <w:rPr>
          <w:rFonts w:ascii="Times New Roman" w:hAnsi="Times New Roman" w:cs="Times New Roman"/>
          <w:color w:val="000000" w:themeColor="text1"/>
          <w:szCs w:val="28"/>
        </w:rPr>
        <w:t>gestantes</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que no están incluidas expresamente en el artículo 237 del Código Sustantivo del Trabajo</w:t>
      </w:r>
      <w:r w:rsidRPr="000C03D2">
        <w:rPr>
          <w:rFonts w:ascii="Times New Roman" w:hAnsi="Times New Roman" w:cs="Times New Roman"/>
          <w:color w:val="000000" w:themeColor="text1"/>
          <w:szCs w:val="28"/>
        </w:rPr>
        <w:t xml:space="preserve">. </w:t>
      </w:r>
    </w:p>
    <w:p w:rsidR="00CB418C" w:rsidRPr="000C03D2" w:rsidRDefault="000C03D2" w:rsidP="00A141C2">
      <w:pPr>
        <w:rPr>
          <w:rFonts w:ascii="Times New Roman" w:hAnsi="Times New Roman" w:cs="Times New Roman"/>
          <w:color w:val="000000" w:themeColor="text1"/>
          <w:sz w:val="28"/>
        </w:rPr>
      </w:pPr>
    </w:p>
    <w:p w:rsidR="00256938"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 xml:space="preserve">En la Sentencia C-324 de 2023 la Corte Constitucional </w:t>
      </w:r>
      <w:r w:rsidRPr="000C03D2">
        <w:rPr>
          <w:rFonts w:ascii="Times New Roman" w:hAnsi="Times New Roman" w:cs="Times New Roman"/>
          <w:color w:val="000000" w:themeColor="text1"/>
          <w:szCs w:val="28"/>
        </w:rPr>
        <w:t>reconoció</w:t>
      </w:r>
      <w:r w:rsidRPr="000C03D2">
        <w:rPr>
          <w:rFonts w:ascii="Times New Roman" w:hAnsi="Times New Roman" w:cs="Times New Roman"/>
          <w:color w:val="000000" w:themeColor="text1"/>
          <w:szCs w:val="28"/>
        </w:rPr>
        <w:t xml:space="preserve"> que al promulgarse la Constitución de 1991 “no existía el grado de protección y reconocimi</w:t>
      </w:r>
      <w:r w:rsidRPr="000C03D2">
        <w:rPr>
          <w:rFonts w:ascii="Times New Roman" w:hAnsi="Times New Roman" w:cs="Times New Roman"/>
          <w:color w:val="000000" w:themeColor="text1"/>
          <w:szCs w:val="28"/>
        </w:rPr>
        <w:t>ento que actualmente se les otorga a las personas con otras vivencias de su sexualidad y de su identidad de género”</w:t>
      </w:r>
      <w:r w:rsidRPr="000C03D2">
        <w:rPr>
          <w:rFonts w:ascii="Times New Roman" w:hAnsi="Times New Roman" w:cs="Times New Roman"/>
          <w:color w:val="000000" w:themeColor="text1"/>
          <w:szCs w:val="28"/>
          <w:vertAlign w:val="superscript"/>
        </w:rPr>
        <w:footnoteReference w:id="85"/>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No obstante, acorde con las consideraciones previas, e</w:t>
      </w:r>
      <w:r w:rsidRPr="000C03D2">
        <w:rPr>
          <w:rFonts w:ascii="Times New Roman" w:hAnsi="Times New Roman" w:cs="Times New Roman"/>
          <w:color w:val="000000" w:themeColor="text1"/>
        </w:rPr>
        <w:t>n casos de omisión legislativa relativa respecto de normas preconstitucionales, la C</w:t>
      </w:r>
      <w:r w:rsidRPr="000C03D2">
        <w:rPr>
          <w:rFonts w:ascii="Times New Roman" w:hAnsi="Times New Roman" w:cs="Times New Roman"/>
          <w:color w:val="000000" w:themeColor="text1"/>
        </w:rPr>
        <w:t>orte ha señalado que la falta de adecuación al nuevo orden constitucional constituye una omisión imputable al legislador, quien debe actualizar la normativa conforme al principio de igualdad</w:t>
      </w:r>
      <w:r w:rsidRPr="000C03D2">
        <w:rPr>
          <w:rStyle w:val="Refdenotaalpie"/>
          <w:rFonts w:ascii="Times New Roman" w:hAnsi="Times New Roman" w:cs="Times New Roman"/>
          <w:color w:val="000000" w:themeColor="text1"/>
          <w:szCs w:val="28"/>
        </w:rPr>
        <w:footnoteReference w:id="86"/>
      </w:r>
      <w:r w:rsidRPr="000C03D2">
        <w:rPr>
          <w:rFonts w:ascii="Times New Roman" w:hAnsi="Times New Roman" w:cs="Times New Roman"/>
          <w:color w:val="000000" w:themeColor="text1"/>
        </w:rPr>
        <w:t>.</w:t>
      </w:r>
    </w:p>
    <w:p w:rsidR="006C05C6" w:rsidRPr="000C03D2" w:rsidRDefault="000C03D2" w:rsidP="00A141C2">
      <w:pPr>
        <w:rPr>
          <w:rFonts w:ascii="Times New Roman" w:hAnsi="Times New Roman" w:cs="Times New Roman"/>
          <w:color w:val="000000" w:themeColor="text1"/>
          <w:sz w:val="28"/>
        </w:rPr>
      </w:pPr>
    </w:p>
    <w:p w:rsidR="00B63028"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En esta oportunidad, la Sala re</w:t>
      </w:r>
      <w:r w:rsidRPr="000C03D2">
        <w:rPr>
          <w:rFonts w:ascii="Times New Roman" w:hAnsi="Times New Roman" w:cs="Times New Roman"/>
          <w:color w:val="000000" w:themeColor="text1"/>
          <w:szCs w:val="28"/>
        </w:rPr>
        <w:t>itera</w:t>
      </w:r>
      <w:r w:rsidRPr="000C03D2">
        <w:rPr>
          <w:rFonts w:ascii="Times New Roman" w:hAnsi="Times New Roman" w:cs="Times New Roman"/>
          <w:color w:val="000000" w:themeColor="text1"/>
          <w:szCs w:val="28"/>
        </w:rPr>
        <w:t xml:space="preserve"> que la Constitución “</w:t>
      </w:r>
      <w:r w:rsidRPr="000C03D2">
        <w:rPr>
          <w:rFonts w:ascii="Times New Roman" w:hAnsi="Times New Roman" w:cs="Times New Roman"/>
          <w:color w:val="000000" w:themeColor="text1"/>
          <w:szCs w:val="28"/>
          <w:shd w:val="clear" w:color="auto" w:fill="FFFFFF"/>
        </w:rPr>
        <w:t xml:space="preserve">no </w:t>
      </w:r>
      <w:r w:rsidRPr="000C03D2">
        <w:rPr>
          <w:rFonts w:ascii="Times New Roman" w:hAnsi="Times New Roman" w:cs="Times New Roman"/>
          <w:color w:val="000000" w:themeColor="text1"/>
          <w:szCs w:val="28"/>
          <w:shd w:val="clear" w:color="auto" w:fill="FFFFFF"/>
        </w:rPr>
        <w:t>es simplemente una máquina cuya operación está condicionada a la plena observancia de sus instrucciones, pues su texto inicial y sus enmiendas han sido rebasadas por las realidades políticas y sociales que ha tratado de reconfigurar”</w:t>
      </w:r>
      <w:r w:rsidRPr="000C03D2">
        <w:rPr>
          <w:rFonts w:ascii="Times New Roman" w:hAnsi="Times New Roman" w:cs="Times New Roman"/>
          <w:color w:val="000000" w:themeColor="text1"/>
          <w:szCs w:val="28"/>
          <w:shd w:val="clear" w:color="auto" w:fill="FFFFFF"/>
          <w:vertAlign w:val="superscript"/>
        </w:rPr>
        <w:footnoteReference w:id="87"/>
      </w:r>
      <w:r w:rsidRPr="000C03D2">
        <w:rPr>
          <w:rFonts w:ascii="Times New Roman" w:hAnsi="Times New Roman" w:cs="Times New Roman"/>
          <w:color w:val="000000" w:themeColor="text1"/>
          <w:szCs w:val="28"/>
          <w:shd w:val="clear" w:color="auto" w:fill="FFFFFF"/>
        </w:rPr>
        <w:t xml:space="preserve">. Por lo tanto, </w:t>
      </w:r>
      <w:r w:rsidRPr="000C03D2">
        <w:rPr>
          <w:rFonts w:ascii="Times New Roman" w:hAnsi="Times New Roman" w:cs="Times New Roman"/>
          <w:color w:val="000000" w:themeColor="text1"/>
          <w:szCs w:val="28"/>
          <w:shd w:val="clear" w:color="auto" w:fill="FFFFFF"/>
        </w:rPr>
        <w:t>“</w:t>
      </w:r>
      <w:r w:rsidRPr="000C03D2">
        <w:rPr>
          <w:rFonts w:ascii="Times New Roman" w:hAnsi="Times New Roman" w:cs="Times New Roman"/>
          <w:color w:val="000000" w:themeColor="text1"/>
          <w:szCs w:val="28"/>
          <w:shd w:val="clear" w:color="auto" w:fill="FFFFFF"/>
        </w:rPr>
        <w:t>sus c</w:t>
      </w:r>
      <w:r w:rsidRPr="000C03D2">
        <w:rPr>
          <w:rFonts w:ascii="Times New Roman" w:hAnsi="Times New Roman" w:cs="Times New Roman"/>
          <w:color w:val="000000" w:themeColor="text1"/>
          <w:szCs w:val="28"/>
          <w:shd w:val="clear" w:color="auto" w:fill="FFFFFF"/>
        </w:rPr>
        <w:t>ontenidos deben entenderse como un “derecho viviente”</w:t>
      </w:r>
      <w:r w:rsidRPr="000C03D2">
        <w:rPr>
          <w:rFonts w:ascii="Times New Roman" w:hAnsi="Times New Roman" w:cs="Times New Roman"/>
          <w:color w:val="000000" w:themeColor="text1"/>
          <w:szCs w:val="28"/>
          <w:shd w:val="clear" w:color="auto" w:fill="FFFFFF"/>
          <w:vertAlign w:val="superscript"/>
        </w:rPr>
        <w:footnoteReference w:id="88"/>
      </w:r>
      <w:r w:rsidRPr="000C03D2">
        <w:rPr>
          <w:rFonts w:ascii="Times New Roman" w:hAnsi="Times New Roman" w:cs="Times New Roman"/>
          <w:color w:val="000000" w:themeColor="text1"/>
          <w:szCs w:val="28"/>
          <w:shd w:val="clear" w:color="auto" w:fill="FFFFFF"/>
        </w:rPr>
        <w:t xml:space="preserve"> que es “capaz de crecer</w:t>
      </w:r>
      <w:bookmarkStart w:id="30" w:name="_ftnref208"/>
      <w:r w:rsidRPr="000C03D2">
        <w:rPr>
          <w:rFonts w:ascii="Times New Roman" w:hAnsi="Times New Roman" w:cs="Times New Roman"/>
          <w:color w:val="000000" w:themeColor="text1"/>
          <w:szCs w:val="28"/>
          <w:shd w:val="clear" w:color="auto" w:fill="FFFFFF"/>
        </w:rPr>
        <w:t>”</w:t>
      </w:r>
      <w:bookmarkEnd w:id="30"/>
      <w:r w:rsidRPr="000C03D2">
        <w:rPr>
          <w:rFonts w:ascii="Times New Roman" w:hAnsi="Times New Roman" w:cs="Times New Roman"/>
          <w:color w:val="000000" w:themeColor="text1"/>
          <w:szCs w:val="28"/>
          <w:shd w:val="clear" w:color="auto" w:fill="FFFFFF"/>
        </w:rPr>
        <w:t>, dado que dicho texto superior es sensible o receptivo a la evolución de las necesidades sociales y a los ideales de justicia fundamental</w:t>
      </w:r>
      <w:r w:rsidRPr="000C03D2">
        <w:rPr>
          <w:rFonts w:ascii="Times New Roman" w:hAnsi="Times New Roman" w:cs="Times New Roman"/>
          <w:color w:val="000000" w:themeColor="text1"/>
          <w:szCs w:val="28"/>
          <w:shd w:val="clear" w:color="auto" w:fill="FFFFFF"/>
        </w:rPr>
        <w:t>”</w:t>
      </w:r>
      <w:r w:rsidRPr="000C03D2">
        <w:rPr>
          <w:rStyle w:val="Refdenotaalpie"/>
          <w:rFonts w:ascii="Times New Roman" w:hAnsi="Times New Roman" w:cs="Times New Roman"/>
          <w:color w:val="000000" w:themeColor="text1"/>
          <w:szCs w:val="28"/>
          <w:shd w:val="clear" w:color="auto" w:fill="FFFFFF"/>
        </w:rPr>
        <w:footnoteReference w:id="89"/>
      </w:r>
      <w:r w:rsidRPr="000C03D2">
        <w:rPr>
          <w:rFonts w:ascii="Times New Roman" w:hAnsi="Times New Roman" w:cs="Times New Roman"/>
          <w:color w:val="000000" w:themeColor="text1"/>
          <w:szCs w:val="28"/>
          <w:shd w:val="clear" w:color="auto" w:fill="FFFFFF"/>
        </w:rPr>
        <w:t>.</w:t>
      </w:r>
    </w:p>
    <w:p w:rsidR="00B63028" w:rsidRPr="000C03D2" w:rsidRDefault="000C03D2" w:rsidP="00A141C2">
      <w:pPr>
        <w:pStyle w:val="Prrafodelista"/>
        <w:rPr>
          <w:rFonts w:ascii="Times New Roman" w:hAnsi="Times New Roman" w:cs="Times New Roman"/>
          <w:color w:val="000000" w:themeColor="text1"/>
        </w:rPr>
      </w:pPr>
    </w:p>
    <w:p w:rsidR="00B66AE5" w:rsidRPr="000C03D2" w:rsidRDefault="000C03D2" w:rsidP="00986526">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Sobre est</w:t>
      </w:r>
      <w:r w:rsidRPr="000C03D2">
        <w:rPr>
          <w:rFonts w:ascii="Times New Roman" w:hAnsi="Times New Roman" w:cs="Times New Roman"/>
          <w:color w:val="000000" w:themeColor="text1"/>
          <w:szCs w:val="28"/>
        </w:rPr>
        <w:t>e aspecto</w:t>
      </w:r>
      <w:r w:rsidRPr="000C03D2">
        <w:rPr>
          <w:rFonts w:ascii="Times New Roman" w:hAnsi="Times New Roman" w:cs="Times New Roman"/>
          <w:color w:val="000000" w:themeColor="text1"/>
          <w:szCs w:val="28"/>
        </w:rPr>
        <w:t xml:space="preserve">, tanto en la </w:t>
      </w:r>
      <w:r w:rsidRPr="000C03D2">
        <w:rPr>
          <w:rFonts w:ascii="Times New Roman" w:hAnsi="Times New Roman" w:cs="Times New Roman"/>
          <w:color w:val="000000" w:themeColor="text1"/>
          <w:szCs w:val="28"/>
        </w:rPr>
        <w:t>Sentencia C-324 de 2023 como en la Sentencia C-071 de 2025</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la Corte advirtió que una interpretación evolutiva implica un diálogo dinámico entre generaciones, que considere, la vida social y democrática</w:t>
      </w:r>
      <w:r w:rsidRPr="000C03D2">
        <w:rPr>
          <w:rFonts w:ascii="Times New Roman" w:hAnsi="Times New Roman" w:cs="Times New Roman"/>
          <w:color w:val="000000" w:themeColor="text1"/>
          <w:szCs w:val="28"/>
        </w:rPr>
        <w:t xml:space="preserve"> contemporánea</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L</w:t>
      </w:r>
      <w:r w:rsidRPr="000C03D2">
        <w:rPr>
          <w:rFonts w:ascii="Times New Roman" w:hAnsi="Times New Roman" w:cs="Times New Roman"/>
          <w:color w:val="000000" w:themeColor="text1"/>
          <w:szCs w:val="28"/>
        </w:rPr>
        <w:t xml:space="preserve">a Corte </w:t>
      </w:r>
      <w:r w:rsidRPr="000C03D2">
        <w:rPr>
          <w:rFonts w:ascii="Times New Roman" w:hAnsi="Times New Roman" w:cs="Times New Roman"/>
          <w:color w:val="000000" w:themeColor="text1"/>
          <w:szCs w:val="28"/>
        </w:rPr>
        <w:t>precisó</w:t>
      </w:r>
      <w:r w:rsidRPr="000C03D2">
        <w:rPr>
          <w:rFonts w:ascii="Times New Roman" w:hAnsi="Times New Roman" w:cs="Times New Roman"/>
          <w:color w:val="000000" w:themeColor="text1"/>
          <w:szCs w:val="28"/>
        </w:rPr>
        <w:t xml:space="preserve"> que “</w:t>
      </w:r>
      <w:r w:rsidRPr="000C03D2">
        <w:rPr>
          <w:rFonts w:ascii="Times New Roman" w:hAnsi="Times New Roman" w:cs="Times New Roman"/>
          <w:color w:val="000000" w:themeColor="text1"/>
          <w:szCs w:val="28"/>
        </w:rPr>
        <w:t xml:space="preserve">dicho ejercicio </w:t>
      </w:r>
      <w:r w:rsidRPr="000C03D2">
        <w:rPr>
          <w:rFonts w:ascii="Times New Roman" w:hAnsi="Times New Roman" w:cs="Times New Roman"/>
          <w:color w:val="000000" w:themeColor="text1"/>
          <w:szCs w:val="28"/>
        </w:rPr>
        <w:t>dialógico de ninguna manera pretende desconocer conquistas de grupos históricamente discriminados, por el contrario, tiene el fin de continuar por la senda de protección expansiva de los derechos fundamentales</w:t>
      </w:r>
      <w:r w:rsidRPr="000C03D2">
        <w:rPr>
          <w:rStyle w:val="Refdenotaalpie"/>
          <w:rFonts w:ascii="Times New Roman" w:hAnsi="Times New Roman" w:cs="Times New Roman"/>
          <w:color w:val="000000" w:themeColor="text1"/>
          <w:szCs w:val="28"/>
        </w:rPr>
        <w:footnoteReference w:id="90"/>
      </w:r>
      <w:r w:rsidRPr="000C03D2">
        <w:rPr>
          <w:rFonts w:ascii="Times New Roman" w:hAnsi="Times New Roman" w:cs="Times New Roman"/>
          <w:color w:val="000000" w:themeColor="text1"/>
          <w:szCs w:val="28"/>
        </w:rPr>
        <w:t>, lo que necesariamente conlleva a la permanen</w:t>
      </w:r>
      <w:r w:rsidRPr="000C03D2">
        <w:rPr>
          <w:rFonts w:ascii="Times New Roman" w:hAnsi="Times New Roman" w:cs="Times New Roman"/>
          <w:color w:val="000000" w:themeColor="text1"/>
          <w:szCs w:val="28"/>
        </w:rPr>
        <w:t>te revisión de realidades y experiencias que requieren la activación de garantías constitucionales frente a personas que, aunque se encuentran en los mismos supuestos, no son destinatarias de medidas de visibilidad y protección por el Estado y por el orden</w:t>
      </w:r>
      <w:r w:rsidRPr="000C03D2">
        <w:rPr>
          <w:rFonts w:ascii="Times New Roman" w:hAnsi="Times New Roman" w:cs="Times New Roman"/>
          <w:color w:val="000000" w:themeColor="text1"/>
          <w:szCs w:val="28"/>
        </w:rPr>
        <w:t>amiento jurídico</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w:t>
      </w:r>
    </w:p>
    <w:p w:rsidR="00B66AE5" w:rsidRPr="000C03D2" w:rsidRDefault="000C03D2" w:rsidP="00A141C2">
      <w:pPr>
        <w:pStyle w:val="Prrafodelista"/>
        <w:rPr>
          <w:rFonts w:ascii="Times New Roman" w:hAnsi="Times New Roman" w:cs="Times New Roman"/>
          <w:color w:val="000000" w:themeColor="text1"/>
        </w:rPr>
      </w:pPr>
    </w:p>
    <w:p w:rsidR="00F81FF7"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Todo lo anterior está estrechamente relacionado con</w:t>
      </w:r>
      <w:r w:rsidRPr="000C03D2">
        <w:rPr>
          <w:rFonts w:ascii="Times New Roman" w:hAnsi="Times New Roman" w:cs="Times New Roman"/>
          <w:color w:val="000000" w:themeColor="text1"/>
          <w:szCs w:val="28"/>
        </w:rPr>
        <w:t xml:space="preserve"> el principio </w:t>
      </w:r>
      <w:r w:rsidRPr="000C03D2">
        <w:rPr>
          <w:rFonts w:ascii="Times New Roman" w:hAnsi="Times New Roman" w:cs="Times New Roman"/>
          <w:i/>
          <w:color w:val="000000" w:themeColor="text1"/>
          <w:szCs w:val="28"/>
        </w:rPr>
        <w:t>pro persona</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según el cual,</w:t>
      </w:r>
      <w:r w:rsidRPr="000C03D2">
        <w:rPr>
          <w:rFonts w:ascii="Times New Roman" w:hAnsi="Times New Roman" w:cs="Times New Roman"/>
          <w:color w:val="000000" w:themeColor="text1"/>
          <w:szCs w:val="28"/>
        </w:rPr>
        <w:t xml:space="preserve"> el juez debe aplicar la norma o interpretación que resulte más favorable para la protección de los derechos humanos. De esta manera, se debe avanzar en “aquella interpretación que propenda por el respeto de la dignidad humana y consecuentemente por la pro</w:t>
      </w:r>
      <w:r w:rsidRPr="000C03D2">
        <w:rPr>
          <w:rFonts w:ascii="Times New Roman" w:hAnsi="Times New Roman" w:cs="Times New Roman"/>
          <w:color w:val="000000" w:themeColor="text1"/>
          <w:szCs w:val="28"/>
        </w:rPr>
        <w:t>tección, garantía y promoción de los derechos humanos y de los derechos fundamentales consagrados a nivel constitucional”</w:t>
      </w:r>
      <w:r w:rsidRPr="000C03D2">
        <w:rPr>
          <w:rStyle w:val="Refdenotaalpie"/>
          <w:rFonts w:ascii="Times New Roman" w:hAnsi="Times New Roman" w:cs="Times New Roman"/>
          <w:color w:val="000000" w:themeColor="text1"/>
          <w:szCs w:val="28"/>
        </w:rPr>
        <w:footnoteReference w:id="91"/>
      </w:r>
      <w:r w:rsidRPr="000C03D2">
        <w:rPr>
          <w:rFonts w:ascii="Times New Roman" w:hAnsi="Times New Roman" w:cs="Times New Roman"/>
          <w:color w:val="000000" w:themeColor="text1"/>
          <w:szCs w:val="28"/>
        </w:rPr>
        <w:t xml:space="preserve">. </w:t>
      </w:r>
    </w:p>
    <w:p w:rsidR="00F81FF7" w:rsidRPr="000C03D2" w:rsidRDefault="000C03D2" w:rsidP="00A141C2">
      <w:pPr>
        <w:pStyle w:val="Prrafodelista"/>
        <w:rPr>
          <w:rFonts w:ascii="Times New Roman" w:hAnsi="Times New Roman" w:cs="Times New Roman"/>
          <w:color w:val="000000" w:themeColor="text1"/>
        </w:rPr>
      </w:pPr>
    </w:p>
    <w:p w:rsidR="00183D70" w:rsidRPr="000C03D2" w:rsidRDefault="000C03D2" w:rsidP="00183D70">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 xml:space="preserve">A partir de ese ejercicio de garantía evolutiva y expansiva, esta Corte </w:t>
      </w:r>
      <w:r w:rsidRPr="000C03D2">
        <w:rPr>
          <w:rFonts w:ascii="Times New Roman" w:hAnsi="Times New Roman" w:cs="Times New Roman"/>
          <w:color w:val="000000" w:themeColor="text1"/>
          <w:szCs w:val="28"/>
        </w:rPr>
        <w:t>encuentra</w:t>
      </w:r>
      <w:r w:rsidRPr="000C03D2">
        <w:rPr>
          <w:rFonts w:ascii="Times New Roman" w:hAnsi="Times New Roman" w:cs="Times New Roman"/>
          <w:color w:val="000000" w:themeColor="text1"/>
          <w:szCs w:val="28"/>
        </w:rPr>
        <w:t xml:space="preserve"> que existe</w:t>
      </w:r>
      <w:r w:rsidRPr="000C03D2">
        <w:rPr>
          <w:rFonts w:ascii="Times New Roman" w:hAnsi="Times New Roman" w:cs="Times New Roman"/>
          <w:color w:val="000000" w:themeColor="text1"/>
          <w:szCs w:val="28"/>
        </w:rPr>
        <w:t>n</w:t>
      </w:r>
      <w:r w:rsidRPr="000C03D2">
        <w:rPr>
          <w:rFonts w:ascii="Times New Roman" w:hAnsi="Times New Roman" w:cs="Times New Roman"/>
          <w:color w:val="000000" w:themeColor="text1"/>
          <w:szCs w:val="28"/>
        </w:rPr>
        <w:t xml:space="preserve"> personas </w:t>
      </w:r>
      <w:r w:rsidRPr="000C03D2">
        <w:rPr>
          <w:rFonts w:ascii="Times New Roman" w:hAnsi="Times New Roman" w:cs="Times New Roman"/>
          <w:color w:val="000000" w:themeColor="text1"/>
          <w:szCs w:val="28"/>
        </w:rPr>
        <w:t>con diferentes</w:t>
      </w:r>
      <w:r w:rsidRPr="000C03D2">
        <w:rPr>
          <w:rFonts w:ascii="Times New Roman" w:hAnsi="Times New Roman" w:cs="Times New Roman"/>
          <w:color w:val="000000" w:themeColor="text1"/>
          <w:szCs w:val="28"/>
        </w:rPr>
        <w:t xml:space="preserve"> experiencias de vida</w:t>
      </w:r>
      <w:r w:rsidRPr="000C03D2">
        <w:rPr>
          <w:rFonts w:ascii="Times New Roman" w:hAnsi="Times New Roman" w:cs="Times New Roman"/>
          <w:color w:val="000000" w:themeColor="text1"/>
          <w:szCs w:val="28"/>
        </w:rPr>
        <w:t>, que no se identifican como mujeres pero que</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son gestantes</w:t>
      </w:r>
      <w:r w:rsidRPr="000C03D2">
        <w:rPr>
          <w:rFonts w:ascii="Times New Roman" w:hAnsi="Times New Roman" w:cs="Times New Roman"/>
          <w:color w:val="000000" w:themeColor="text1"/>
          <w:szCs w:val="28"/>
        </w:rPr>
        <w:t xml:space="preserve"> y, en consecuencia, </w:t>
      </w:r>
      <w:r w:rsidRPr="000C03D2">
        <w:rPr>
          <w:rFonts w:ascii="Times New Roman" w:hAnsi="Times New Roman" w:cs="Times New Roman"/>
          <w:color w:val="000000" w:themeColor="text1"/>
          <w:szCs w:val="28"/>
        </w:rPr>
        <w:t xml:space="preserve">podrían </w:t>
      </w:r>
      <w:r w:rsidRPr="000C03D2">
        <w:rPr>
          <w:rFonts w:ascii="Times New Roman" w:hAnsi="Times New Roman" w:cs="Times New Roman"/>
          <w:color w:val="000000" w:themeColor="text1"/>
          <w:szCs w:val="28"/>
        </w:rPr>
        <w:t>ubicarse en hipótesis que la norma dispone</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En efecto, el </w:t>
      </w:r>
      <w:r w:rsidRPr="000C03D2">
        <w:rPr>
          <w:rFonts w:ascii="Times New Roman" w:hAnsi="Times New Roman" w:cs="Times New Roman"/>
          <w:color w:val="000000" w:themeColor="text1"/>
          <w:szCs w:val="28"/>
        </w:rPr>
        <w:t>l</w:t>
      </w:r>
      <w:r w:rsidRPr="000C03D2">
        <w:rPr>
          <w:rFonts w:ascii="Times New Roman" w:hAnsi="Times New Roman" w:cs="Times New Roman"/>
          <w:color w:val="000000" w:themeColor="text1"/>
          <w:szCs w:val="28"/>
        </w:rPr>
        <w:t>egislador no consideró la identidad de género diversa como un criterio para establecer m</w:t>
      </w:r>
      <w:r w:rsidRPr="000C03D2">
        <w:rPr>
          <w:rFonts w:ascii="Times New Roman" w:hAnsi="Times New Roman" w:cs="Times New Roman"/>
          <w:color w:val="000000" w:themeColor="text1"/>
          <w:szCs w:val="28"/>
        </w:rPr>
        <w:t xml:space="preserve">edidas diferenciales en la ley que reglamenta el acceso </w:t>
      </w:r>
      <w:r w:rsidRPr="000C03D2">
        <w:rPr>
          <w:rFonts w:ascii="Times New Roman" w:hAnsi="Times New Roman" w:cs="Times New Roman"/>
          <w:color w:val="000000" w:themeColor="text1"/>
          <w:szCs w:val="28"/>
        </w:rPr>
        <w:t>al descanso remunerado</w:t>
      </w:r>
      <w:r w:rsidRPr="000C03D2">
        <w:rPr>
          <w:rFonts w:ascii="Times New Roman" w:hAnsi="Times New Roman" w:cs="Times New Roman"/>
          <w:color w:val="000000" w:themeColor="text1"/>
          <w:szCs w:val="28"/>
        </w:rPr>
        <w:t xml:space="preserve"> en caso de aborto, con lo cual </w:t>
      </w:r>
      <w:r w:rsidRPr="000C03D2">
        <w:rPr>
          <w:rFonts w:ascii="Times New Roman" w:hAnsi="Times New Roman" w:cs="Times New Roman"/>
          <w:color w:val="000000" w:themeColor="text1"/>
          <w:szCs w:val="28"/>
        </w:rPr>
        <w:t>excluyó</w:t>
      </w:r>
      <w:r w:rsidRPr="000C03D2">
        <w:rPr>
          <w:rFonts w:ascii="Times New Roman" w:hAnsi="Times New Roman" w:cs="Times New Roman"/>
          <w:color w:val="000000" w:themeColor="text1"/>
          <w:szCs w:val="28"/>
        </w:rPr>
        <w:t xml:space="preserve"> a </w:t>
      </w:r>
      <w:r w:rsidRPr="000C03D2">
        <w:rPr>
          <w:rFonts w:ascii="Times New Roman" w:hAnsi="Times New Roman" w:cs="Times New Roman"/>
          <w:color w:val="000000" w:themeColor="text1"/>
          <w:szCs w:val="28"/>
        </w:rPr>
        <w:t xml:space="preserve">otras </w:t>
      </w:r>
      <w:r w:rsidRPr="000C03D2">
        <w:rPr>
          <w:rFonts w:ascii="Times New Roman" w:hAnsi="Times New Roman" w:cs="Times New Roman"/>
          <w:color w:val="000000" w:themeColor="text1"/>
          <w:szCs w:val="28"/>
        </w:rPr>
        <w:t xml:space="preserve">personas </w:t>
      </w:r>
      <w:r w:rsidRPr="000C03D2">
        <w:rPr>
          <w:rFonts w:ascii="Times New Roman" w:hAnsi="Times New Roman" w:cs="Times New Roman"/>
          <w:color w:val="000000" w:themeColor="text1"/>
          <w:szCs w:val="28"/>
        </w:rPr>
        <w:t>gestantes</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negándoles la prestación</w:t>
      </w:r>
      <w:r w:rsidRPr="000C03D2">
        <w:rPr>
          <w:rFonts w:ascii="Times New Roman" w:hAnsi="Times New Roman" w:cs="Times New Roman"/>
          <w:color w:val="000000" w:themeColor="text1"/>
          <w:szCs w:val="28"/>
        </w:rPr>
        <w:t xml:space="preserve"> por no ser “mujer”</w:t>
      </w:r>
      <w:r w:rsidRPr="000C03D2">
        <w:rPr>
          <w:rFonts w:ascii="Times New Roman" w:hAnsi="Times New Roman" w:cs="Times New Roman"/>
          <w:color w:val="000000" w:themeColor="text1"/>
          <w:szCs w:val="28"/>
        </w:rPr>
        <w:t xml:space="preserve"> o mejor, por no identificarse con el sexo femenino</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Ello en contravía del deber impuesto directamente por la Constitución al </w:t>
      </w:r>
      <w:r w:rsidRPr="000C03D2">
        <w:rPr>
          <w:rFonts w:ascii="Times New Roman" w:hAnsi="Times New Roman" w:cs="Times New Roman"/>
          <w:color w:val="000000" w:themeColor="text1"/>
          <w:szCs w:val="28"/>
        </w:rPr>
        <w:t>l</w:t>
      </w:r>
      <w:r w:rsidRPr="000C03D2">
        <w:rPr>
          <w:rFonts w:ascii="Times New Roman" w:hAnsi="Times New Roman" w:cs="Times New Roman"/>
          <w:color w:val="000000" w:themeColor="text1"/>
          <w:szCs w:val="28"/>
        </w:rPr>
        <w:t xml:space="preserve">egislador relacionado con </w:t>
      </w:r>
      <w:r w:rsidRPr="000C03D2">
        <w:rPr>
          <w:rFonts w:ascii="Times New Roman" w:hAnsi="Times New Roman" w:cs="Times New Roman"/>
          <w:color w:val="000000" w:themeColor="text1"/>
          <w:szCs w:val="28"/>
        </w:rPr>
        <w:t>el principio de igualdad, la prohibición de discriminación y la especial protección de las personas con otras formas de identidad y de vivencias de su iden</w:t>
      </w:r>
      <w:r w:rsidRPr="000C03D2">
        <w:rPr>
          <w:rFonts w:ascii="Times New Roman" w:hAnsi="Times New Roman" w:cs="Times New Roman"/>
          <w:color w:val="000000" w:themeColor="text1"/>
          <w:szCs w:val="28"/>
        </w:rPr>
        <w:t xml:space="preserve">tidad de género y de su reconocimiento. </w:t>
      </w:r>
    </w:p>
    <w:p w:rsidR="007D6D2F" w:rsidRPr="000C03D2" w:rsidRDefault="000C03D2" w:rsidP="00A141C2">
      <w:pPr>
        <w:pStyle w:val="Prrafodelista"/>
        <w:rPr>
          <w:rFonts w:ascii="Times New Roman" w:eastAsia="Arial Unicode MS" w:hAnsi="Times New Roman" w:cs="Times New Roman"/>
          <w:color w:val="000000" w:themeColor="text1"/>
          <w:szCs w:val="28"/>
          <w:u w:color="000000"/>
          <w:lang w:eastAsia="es-ES"/>
        </w:rPr>
      </w:pPr>
    </w:p>
    <w:p w:rsidR="00BC1AEF"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eastAsia="Arial Unicode MS" w:hAnsi="Times New Roman" w:cs="Times New Roman"/>
          <w:color w:val="000000" w:themeColor="text1"/>
          <w:szCs w:val="28"/>
          <w:u w:color="000000"/>
          <w:lang w:eastAsia="es-ES"/>
        </w:rPr>
        <w:t>En este punto es importante reiterar</w:t>
      </w:r>
      <w:r w:rsidRPr="000C03D2">
        <w:rPr>
          <w:rFonts w:ascii="Times New Roman" w:eastAsia="Arial Unicode MS" w:hAnsi="Times New Roman" w:cs="Times New Roman"/>
          <w:color w:val="000000" w:themeColor="text1"/>
          <w:szCs w:val="28"/>
          <w:u w:color="000000"/>
          <w:lang w:eastAsia="es-ES"/>
        </w:rPr>
        <w:t xml:space="preserve"> que </w:t>
      </w:r>
      <w:r w:rsidRPr="000C03D2">
        <w:rPr>
          <w:rFonts w:ascii="Times New Roman" w:eastAsia="Arial Unicode MS" w:hAnsi="Times New Roman" w:cs="Times New Roman"/>
          <w:color w:val="000000" w:themeColor="text1"/>
          <w:szCs w:val="28"/>
          <w:u w:color="000000"/>
          <w:lang w:eastAsia="es-ES"/>
        </w:rPr>
        <w:t xml:space="preserve">el lenguaje </w:t>
      </w:r>
      <w:r w:rsidRPr="000C03D2">
        <w:rPr>
          <w:rFonts w:ascii="Times New Roman" w:hAnsi="Times New Roman" w:cs="Times New Roman"/>
          <w:iCs/>
          <w:color w:val="000000" w:themeColor="text1"/>
          <w:szCs w:val="28"/>
          <w:shd w:val="clear" w:color="auto" w:fill="FFFFFF"/>
        </w:rPr>
        <w:t>tiene un enorme poder instrumental y simbólico.</w:t>
      </w:r>
      <w:r w:rsidRPr="000C03D2">
        <w:rPr>
          <w:rFonts w:ascii="Times New Roman" w:hAnsi="Times New Roman" w:cs="Times New Roman"/>
          <w:iCs/>
          <w:color w:val="000000" w:themeColor="text1"/>
          <w:szCs w:val="28"/>
          <w:shd w:val="clear" w:color="auto" w:fill="FFFFFF"/>
        </w:rPr>
        <w:t xml:space="preserve"> El lenguaje</w:t>
      </w:r>
      <w:r w:rsidRPr="000C03D2">
        <w:rPr>
          <w:rFonts w:ascii="Times New Roman" w:hAnsi="Times New Roman" w:cs="Times New Roman"/>
          <w:iCs/>
          <w:color w:val="000000" w:themeColor="text1"/>
          <w:szCs w:val="28"/>
          <w:shd w:val="clear" w:color="auto" w:fill="FFFFFF"/>
        </w:rPr>
        <w:t xml:space="preserve"> “puede ser modelador de la realidad o reflejo de la misma, […] constituyéndose así en un factor potencial de inclusión o exclusión social”</w:t>
      </w:r>
      <w:r w:rsidRPr="000C03D2">
        <w:rPr>
          <w:rStyle w:val="Refdenotaalpie"/>
          <w:rFonts w:ascii="Times New Roman" w:hAnsi="Times New Roman" w:cs="Times New Roman"/>
          <w:iCs/>
          <w:color w:val="000000" w:themeColor="text1"/>
          <w:szCs w:val="28"/>
          <w:shd w:val="clear" w:color="auto" w:fill="FFFFFF"/>
        </w:rPr>
        <w:footnoteReference w:id="92"/>
      </w:r>
      <w:r w:rsidRPr="000C03D2">
        <w:rPr>
          <w:rFonts w:ascii="Times New Roman" w:eastAsia="Arial Unicode MS" w:hAnsi="Times New Roman" w:cs="Times New Roman"/>
          <w:color w:val="000000" w:themeColor="text1"/>
          <w:szCs w:val="28"/>
          <w:u w:color="000000"/>
          <w:lang w:val="es-ES_tradnl" w:eastAsia="es-ES"/>
        </w:rPr>
        <w:t>. El lenguaje, para la Corte, “tiene capacidad de crear realidades, deconstruirlas o perpetuarlas, pues la cultura y</w:t>
      </w:r>
      <w:r w:rsidRPr="000C03D2">
        <w:rPr>
          <w:rFonts w:ascii="Times New Roman" w:eastAsia="Arial Unicode MS" w:hAnsi="Times New Roman" w:cs="Times New Roman"/>
          <w:color w:val="000000" w:themeColor="text1"/>
          <w:szCs w:val="28"/>
          <w:u w:color="000000"/>
          <w:lang w:val="es-ES_tradnl" w:eastAsia="es-ES"/>
        </w:rPr>
        <w:t xml:space="preserve"> el poder se moldean, en muchas ocasiones, desde los términos en los que se desarrollan una expresión y los discursos”</w:t>
      </w:r>
      <w:r w:rsidRPr="000C03D2">
        <w:rPr>
          <w:rFonts w:ascii="Times New Roman" w:eastAsia="Arial Unicode MS" w:hAnsi="Times New Roman" w:cs="Times New Roman"/>
          <w:color w:val="000000" w:themeColor="text1"/>
          <w:szCs w:val="28"/>
          <w:u w:color="000000"/>
          <w:vertAlign w:val="superscript"/>
          <w:lang w:val="es-ES_tradnl" w:eastAsia="es-ES"/>
        </w:rPr>
        <w:footnoteReference w:id="93"/>
      </w:r>
      <w:r w:rsidRPr="000C03D2">
        <w:rPr>
          <w:rFonts w:ascii="Times New Roman" w:eastAsia="Arial Unicode MS" w:hAnsi="Times New Roman" w:cs="Times New Roman"/>
          <w:color w:val="000000" w:themeColor="text1"/>
          <w:szCs w:val="28"/>
          <w:u w:color="000000"/>
          <w:lang w:val="es-ES_tradnl" w:eastAsia="es-ES"/>
        </w:rPr>
        <w:t>.</w:t>
      </w:r>
      <w:r w:rsidRPr="000C03D2">
        <w:rPr>
          <w:rFonts w:ascii="Times New Roman" w:eastAsia="Arial Unicode MS" w:hAnsi="Times New Roman" w:cs="Times New Roman"/>
          <w:color w:val="000000" w:themeColor="text1"/>
          <w:szCs w:val="28"/>
          <w:u w:color="000000"/>
          <w:lang w:val="es-ES_tradnl" w:eastAsia="es-ES"/>
        </w:rPr>
        <w:t xml:space="preserve"> En </w:t>
      </w:r>
      <w:r w:rsidRPr="000C03D2">
        <w:rPr>
          <w:rFonts w:ascii="Times New Roman" w:eastAsia="Arial Unicode MS" w:hAnsi="Times New Roman" w:cs="Times New Roman"/>
          <w:color w:val="000000" w:themeColor="text1"/>
          <w:szCs w:val="28"/>
          <w:u w:color="000000"/>
          <w:lang w:val="es-ES_tradnl" w:eastAsia="es-ES"/>
        </w:rPr>
        <w:t>las condiciones advertidas por la jurisprudencia constitucional</w:t>
      </w:r>
      <w:r w:rsidRPr="000C03D2">
        <w:rPr>
          <w:rFonts w:ascii="Times New Roman" w:eastAsia="Arial Unicode MS" w:hAnsi="Times New Roman" w:cs="Times New Roman"/>
          <w:color w:val="000000" w:themeColor="text1"/>
          <w:szCs w:val="28"/>
          <w:u w:color="000000"/>
          <w:lang w:val="es-ES_tradnl" w:eastAsia="es-ES"/>
        </w:rPr>
        <w:t xml:space="preserve">, el </w:t>
      </w:r>
      <w:r w:rsidRPr="000C03D2">
        <w:rPr>
          <w:rFonts w:ascii="Times New Roman" w:eastAsia="Arial Unicode MS" w:hAnsi="Times New Roman" w:cs="Times New Roman"/>
          <w:color w:val="000000" w:themeColor="text1"/>
          <w:szCs w:val="28"/>
          <w:u w:color="000000"/>
          <w:lang w:val="es-ES_tradnl" w:eastAsia="es-ES"/>
        </w:rPr>
        <w:t>l</w:t>
      </w:r>
      <w:r w:rsidRPr="000C03D2">
        <w:rPr>
          <w:rFonts w:ascii="Times New Roman" w:eastAsia="Arial Unicode MS" w:hAnsi="Times New Roman" w:cs="Times New Roman"/>
          <w:color w:val="000000" w:themeColor="text1"/>
          <w:szCs w:val="28"/>
          <w:u w:color="000000"/>
          <w:lang w:val="es-ES_tradnl" w:eastAsia="es-ES"/>
        </w:rPr>
        <w:t>egislador</w:t>
      </w:r>
      <w:r w:rsidRPr="000C03D2">
        <w:rPr>
          <w:rFonts w:ascii="Times New Roman" w:eastAsia="Arial Unicode MS" w:hAnsi="Times New Roman" w:cs="Times New Roman"/>
          <w:color w:val="000000" w:themeColor="text1"/>
          <w:u w:color="000000"/>
          <w:vertAlign w:val="superscript"/>
          <w:lang w:val="es-ES_tradnl" w:eastAsia="es-ES"/>
        </w:rPr>
        <w:footnoteReference w:id="94"/>
      </w:r>
      <w:r w:rsidRPr="000C03D2">
        <w:rPr>
          <w:rFonts w:ascii="Times New Roman" w:eastAsia="Arial Unicode MS" w:hAnsi="Times New Roman" w:cs="Times New Roman"/>
          <w:color w:val="000000" w:themeColor="text1"/>
          <w:szCs w:val="28"/>
          <w:u w:color="000000"/>
          <w:lang w:val="es-ES_tradnl" w:eastAsia="es-ES"/>
        </w:rPr>
        <w:t xml:space="preserve"> tiene la obligación de </w:t>
      </w:r>
      <w:r w:rsidRPr="000C03D2">
        <w:rPr>
          <w:rFonts w:ascii="Times New Roman" w:eastAsia="Arial Unicode MS" w:hAnsi="Times New Roman" w:cs="Times New Roman"/>
          <w:color w:val="000000" w:themeColor="text1"/>
          <w:szCs w:val="28"/>
          <w:u w:color="000000"/>
          <w:lang w:val="es-ES_tradnl" w:eastAsia="es-ES"/>
        </w:rPr>
        <w:t xml:space="preserve">utilizar un lenguaje que se </w:t>
      </w:r>
      <w:r w:rsidRPr="000C03D2">
        <w:rPr>
          <w:rFonts w:ascii="Times New Roman" w:eastAsia="Arial Unicode MS" w:hAnsi="Times New Roman" w:cs="Times New Roman"/>
          <w:color w:val="000000" w:themeColor="text1"/>
          <w:szCs w:val="28"/>
          <w:u w:color="000000"/>
          <w:lang w:val="es-ES_tradnl" w:eastAsia="es-ES"/>
        </w:rPr>
        <w:t>ajuste a la dignidad humana, así como a los principios y valores constitucional</w:t>
      </w:r>
      <w:r w:rsidRPr="000C03D2">
        <w:rPr>
          <w:rFonts w:ascii="Times New Roman" w:eastAsia="Arial Unicode MS" w:hAnsi="Times New Roman" w:cs="Times New Roman"/>
          <w:color w:val="000000" w:themeColor="text1"/>
          <w:szCs w:val="28"/>
          <w:u w:color="000000"/>
          <w:lang w:val="es-ES_tradnl" w:eastAsia="es-ES"/>
        </w:rPr>
        <w:t>es</w:t>
      </w:r>
      <w:r w:rsidRPr="000C03D2">
        <w:rPr>
          <w:rFonts w:ascii="Times New Roman" w:eastAsia="Arial Unicode MS" w:hAnsi="Times New Roman" w:cs="Times New Roman"/>
          <w:color w:val="000000" w:themeColor="text1"/>
          <w:szCs w:val="28"/>
          <w:u w:color="000000"/>
          <w:lang w:val="es-ES_tradnl" w:eastAsia="es-ES"/>
        </w:rPr>
        <w:t xml:space="preserve">. </w:t>
      </w:r>
    </w:p>
    <w:p w:rsidR="009B0F71" w:rsidRPr="000C03D2" w:rsidRDefault="000C03D2" w:rsidP="009B0F71">
      <w:pPr>
        <w:pStyle w:val="Prrafodelista"/>
        <w:rPr>
          <w:rFonts w:ascii="Times New Roman" w:hAnsi="Times New Roman" w:cs="Times New Roman"/>
          <w:color w:val="000000" w:themeColor="text1"/>
          <w:szCs w:val="28"/>
        </w:rPr>
      </w:pPr>
    </w:p>
    <w:p w:rsidR="009B0F71" w:rsidRPr="000C03D2" w:rsidRDefault="000C03D2" w:rsidP="009B0F71">
      <w:pPr>
        <w:pStyle w:val="Prrafodelista"/>
        <w:numPr>
          <w:ilvl w:val="0"/>
          <w:numId w:val="3"/>
        </w:numPr>
        <w:tabs>
          <w:tab w:val="left" w:pos="42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rPr>
      </w:pPr>
      <w:r w:rsidRPr="000C03D2">
        <w:rPr>
          <w:rFonts w:ascii="Times New Roman" w:hAnsi="Times New Roman" w:cs="Times New Roman"/>
          <w:color w:val="000000" w:themeColor="text1"/>
        </w:rPr>
        <w:t>Respecto del uso del lenguaje inclusivo en el derecho comparado, Argentina adecuó el régimen normativo de asignaciones sociales</w:t>
      </w:r>
      <w:r w:rsidRPr="000C03D2">
        <w:rPr>
          <w:rStyle w:val="Refdenotaalpie"/>
          <w:rFonts w:ascii="Times New Roman" w:hAnsi="Times New Roman" w:cs="Times New Roman"/>
          <w:color w:val="000000" w:themeColor="text1"/>
        </w:rPr>
        <w:footnoteReference w:id="95"/>
      </w:r>
      <w:r w:rsidRPr="000C03D2">
        <w:rPr>
          <w:rFonts w:ascii="Times New Roman" w:hAnsi="Times New Roman" w:cs="Times New Roman"/>
          <w:color w:val="000000" w:themeColor="text1"/>
        </w:rPr>
        <w:t xml:space="preserve"> con el fin de precisar que las personas be</w:t>
      </w:r>
      <w:r w:rsidRPr="000C03D2">
        <w:rPr>
          <w:rFonts w:ascii="Times New Roman" w:hAnsi="Times New Roman" w:cs="Times New Roman"/>
          <w:color w:val="000000" w:themeColor="text1"/>
        </w:rPr>
        <w:t>neficiarias de la asignación por embarazo son las personas gestantes. En el caso argentino no hubo una derogación expresa de la expresión ‘mujer embarazada’, se trató de un proceso de actualización normativa y reglamentaria, mediante decretos y resolucione</w:t>
      </w:r>
      <w:r w:rsidRPr="000C03D2">
        <w:rPr>
          <w:rFonts w:ascii="Times New Roman" w:hAnsi="Times New Roman" w:cs="Times New Roman"/>
          <w:color w:val="000000" w:themeColor="text1"/>
        </w:rPr>
        <w:t>s, entre las cuales se encuentra la 1273 de 2024, que incorporó el lenguaje inclusivo. España constituye otro referente en materia de lenguaje inclusivo, la Ley 4/2023</w:t>
      </w:r>
      <w:r w:rsidRPr="000C03D2">
        <w:rPr>
          <w:rStyle w:val="Refdenotaalpie"/>
          <w:rFonts w:ascii="Times New Roman" w:hAnsi="Times New Roman" w:cs="Times New Roman"/>
          <w:color w:val="000000" w:themeColor="text1"/>
        </w:rPr>
        <w:footnoteReference w:id="96"/>
      </w:r>
      <w:r w:rsidRPr="000C03D2">
        <w:rPr>
          <w:rFonts w:ascii="Times New Roman" w:hAnsi="Times New Roman" w:cs="Times New Roman"/>
          <w:color w:val="000000" w:themeColor="text1"/>
        </w:rPr>
        <w:t>, más conocida como Ley Trans y LGBTI, si bien mantiene algunas de las llamadas categorí</w:t>
      </w:r>
      <w:r w:rsidRPr="000C03D2">
        <w:rPr>
          <w:rFonts w:ascii="Times New Roman" w:hAnsi="Times New Roman" w:cs="Times New Roman"/>
          <w:color w:val="000000" w:themeColor="text1"/>
        </w:rPr>
        <w:t>as tradicionales, como lo es la expresión “madre biológica”; la misma Ley aclara que ésta incluye también a personas trans gestantes.</w:t>
      </w:r>
    </w:p>
    <w:p w:rsidR="00BC1AEF" w:rsidRPr="000C03D2" w:rsidRDefault="000C03D2" w:rsidP="00A141C2">
      <w:pPr>
        <w:pStyle w:val="Prrafodelista"/>
        <w:tabs>
          <w:tab w:val="left" w:pos="426"/>
        </w:tabs>
        <w:ind w:left="0" w:right="49"/>
        <w:rPr>
          <w:rFonts w:ascii="Times New Roman" w:hAnsi="Times New Roman" w:cs="Times New Roman"/>
          <w:color w:val="000000" w:themeColor="text1"/>
          <w:szCs w:val="28"/>
        </w:rPr>
      </w:pPr>
    </w:p>
    <w:p w:rsidR="00AC2AF2" w:rsidRPr="000C03D2" w:rsidRDefault="000C03D2" w:rsidP="00A141C2">
      <w:pPr>
        <w:pStyle w:val="Prrafodelista"/>
        <w:numPr>
          <w:ilvl w:val="0"/>
          <w:numId w:val="3"/>
        </w:numPr>
        <w:tabs>
          <w:tab w:val="left" w:pos="426"/>
        </w:tabs>
        <w:ind w:left="0" w:right="49" w:firstLine="0"/>
        <w:rPr>
          <w:rFonts w:ascii="Times New Roman" w:eastAsia="Arial Unicode MS" w:hAnsi="Times New Roman" w:cs="Times New Roman"/>
          <w:color w:val="000000" w:themeColor="text1"/>
          <w:szCs w:val="28"/>
          <w:u w:color="000000"/>
          <w:lang w:val="es-ES_tradnl" w:eastAsia="es-ES"/>
        </w:rPr>
      </w:pPr>
      <w:r w:rsidRPr="000C03D2">
        <w:rPr>
          <w:rFonts w:ascii="Times New Roman" w:eastAsia="Arial Unicode MS" w:hAnsi="Times New Roman" w:cs="Times New Roman"/>
          <w:color w:val="000000" w:themeColor="text1"/>
          <w:szCs w:val="28"/>
          <w:u w:color="000000"/>
          <w:lang w:val="es-ES_tradnl" w:eastAsia="es-ES"/>
        </w:rPr>
        <w:t>A la luz de ese contexto comparativo</w:t>
      </w:r>
      <w:r w:rsidRPr="000C03D2">
        <w:rPr>
          <w:rFonts w:ascii="Times New Roman" w:eastAsia="Arial Unicode MS" w:hAnsi="Times New Roman" w:cs="Times New Roman"/>
          <w:color w:val="000000" w:themeColor="text1"/>
          <w:szCs w:val="28"/>
          <w:u w:color="000000"/>
          <w:lang w:val="es-ES_tradnl" w:eastAsia="es-ES"/>
        </w:rPr>
        <w:t xml:space="preserve">, </w:t>
      </w:r>
      <w:r w:rsidRPr="000C03D2">
        <w:rPr>
          <w:rFonts w:ascii="Times New Roman" w:eastAsia="Arial Unicode MS" w:hAnsi="Times New Roman" w:cs="Times New Roman"/>
          <w:color w:val="000000" w:themeColor="text1"/>
          <w:szCs w:val="28"/>
          <w:u w:color="000000"/>
          <w:lang w:val="es-ES_tradnl" w:eastAsia="es-ES"/>
        </w:rPr>
        <w:t xml:space="preserve">existe un deber de actualizar la regulación vigente a efectos de que este incluya, </w:t>
      </w:r>
      <w:r w:rsidRPr="000C03D2">
        <w:rPr>
          <w:rFonts w:ascii="Times New Roman" w:eastAsia="Arial Unicode MS" w:hAnsi="Times New Roman" w:cs="Times New Roman"/>
          <w:color w:val="000000" w:themeColor="text1"/>
          <w:szCs w:val="28"/>
          <w:u w:color="000000"/>
          <w:lang w:val="es-ES_tradnl" w:eastAsia="es-ES"/>
        </w:rPr>
        <w:t>cuando reconoce prestaciones laborales, las diferentes identidades de género en aquellos casos en los cuales el factor definitorio de la prestación es el sexo</w:t>
      </w:r>
      <w:r w:rsidRPr="000C03D2">
        <w:rPr>
          <w:rFonts w:ascii="Times New Roman" w:eastAsia="Arial Unicode MS" w:hAnsi="Times New Roman" w:cs="Times New Roman"/>
          <w:color w:val="000000" w:themeColor="text1"/>
          <w:szCs w:val="28"/>
          <w:u w:color="000000"/>
          <w:lang w:val="es-ES_tradnl" w:eastAsia="es-ES"/>
        </w:rPr>
        <w:t>.</w:t>
      </w:r>
      <w:r w:rsidRPr="000C03D2">
        <w:rPr>
          <w:rFonts w:ascii="Times New Roman" w:eastAsia="Arial Unicode MS" w:hAnsi="Times New Roman" w:cs="Times New Roman"/>
          <w:color w:val="000000" w:themeColor="text1"/>
          <w:szCs w:val="28"/>
          <w:u w:color="000000"/>
          <w:lang w:val="es-ES_tradnl" w:eastAsia="es-ES"/>
        </w:rPr>
        <w:t xml:space="preserve"> </w:t>
      </w:r>
      <w:r w:rsidRPr="000C03D2">
        <w:rPr>
          <w:rFonts w:ascii="Times New Roman" w:eastAsia="Arial Unicode MS" w:hAnsi="Times New Roman" w:cs="Times New Roman"/>
          <w:color w:val="000000" w:themeColor="text1"/>
          <w:szCs w:val="28"/>
          <w:u w:color="000000"/>
          <w:lang w:val="es-ES_tradnl" w:eastAsia="es-ES"/>
        </w:rPr>
        <w:t xml:space="preserve">En concreto, </w:t>
      </w:r>
      <w:r w:rsidRPr="000C03D2">
        <w:rPr>
          <w:rFonts w:ascii="Times New Roman" w:eastAsia="Arial Unicode MS" w:hAnsi="Times New Roman" w:cs="Times New Roman"/>
          <w:color w:val="000000" w:themeColor="text1"/>
          <w:szCs w:val="28"/>
          <w:u w:color="000000"/>
          <w:lang w:val="es-ES_tradnl" w:eastAsia="es-ES"/>
        </w:rPr>
        <w:t xml:space="preserve">los artículos 13 y 43 de la Constitución le imponen un </w:t>
      </w:r>
      <w:r w:rsidRPr="000C03D2">
        <w:rPr>
          <w:rFonts w:ascii="Times New Roman" w:eastAsia="Arial Unicode MS" w:hAnsi="Times New Roman" w:cs="Times New Roman"/>
          <w:color w:val="000000" w:themeColor="text1"/>
          <w:szCs w:val="28"/>
          <w:u w:color="000000"/>
          <w:lang w:val="es-ES_tradnl" w:eastAsia="es-ES"/>
        </w:rPr>
        <w:t xml:space="preserve">mandato de actuación </w:t>
      </w:r>
      <w:r w:rsidRPr="000C03D2">
        <w:rPr>
          <w:rFonts w:ascii="Times New Roman" w:eastAsia="Arial Unicode MS" w:hAnsi="Times New Roman" w:cs="Times New Roman"/>
          <w:color w:val="000000" w:themeColor="text1"/>
          <w:szCs w:val="28"/>
          <w:u w:color="000000"/>
          <w:lang w:val="es-ES_tradnl" w:eastAsia="es-ES"/>
        </w:rPr>
        <w:t>en el s</w:t>
      </w:r>
      <w:r w:rsidRPr="000C03D2">
        <w:rPr>
          <w:rFonts w:ascii="Times New Roman" w:eastAsia="Arial Unicode MS" w:hAnsi="Times New Roman" w:cs="Times New Roman"/>
          <w:color w:val="000000" w:themeColor="text1"/>
          <w:szCs w:val="28"/>
          <w:u w:color="000000"/>
          <w:lang w:val="es-ES_tradnl" w:eastAsia="es-ES"/>
        </w:rPr>
        <w:t>entido de establecer consecuencias jurídicas</w:t>
      </w:r>
      <w:r w:rsidRPr="000C03D2">
        <w:rPr>
          <w:rFonts w:ascii="Times New Roman" w:eastAsia="Arial Unicode MS" w:hAnsi="Times New Roman" w:cs="Times New Roman"/>
          <w:color w:val="000000" w:themeColor="text1"/>
          <w:szCs w:val="28"/>
          <w:u w:color="000000"/>
          <w:lang w:val="es-ES_tradnl" w:eastAsia="es-ES"/>
        </w:rPr>
        <w:t xml:space="preserve"> equivalentes en estos casos</w:t>
      </w:r>
      <w:r w:rsidRPr="000C03D2">
        <w:rPr>
          <w:rFonts w:ascii="Times New Roman" w:eastAsia="Arial Unicode MS" w:hAnsi="Times New Roman" w:cs="Times New Roman"/>
          <w:color w:val="000000" w:themeColor="text1"/>
          <w:szCs w:val="28"/>
          <w:u w:color="000000"/>
          <w:lang w:val="es-ES_tradnl" w:eastAsia="es-ES"/>
        </w:rPr>
        <w:t>. En ese orden de</w:t>
      </w:r>
      <w:r w:rsidRPr="000C03D2">
        <w:rPr>
          <w:rFonts w:ascii="Times New Roman" w:eastAsia="Arial Unicode MS" w:hAnsi="Times New Roman" w:cs="Times New Roman"/>
          <w:color w:val="000000" w:themeColor="text1"/>
          <w:szCs w:val="28"/>
          <w:u w:color="000000"/>
          <w:lang w:val="es-ES_tradnl" w:eastAsia="es-ES"/>
        </w:rPr>
        <w:t xml:space="preserve"> consideraciones</w:t>
      </w:r>
      <w:r w:rsidRPr="000C03D2">
        <w:rPr>
          <w:rFonts w:ascii="Times New Roman" w:eastAsia="Arial Unicode MS" w:hAnsi="Times New Roman" w:cs="Times New Roman"/>
          <w:color w:val="000000" w:themeColor="text1"/>
          <w:szCs w:val="28"/>
          <w:u w:color="000000"/>
          <w:lang w:val="es-ES_tradnl" w:eastAsia="es-ES"/>
        </w:rPr>
        <w:t>,</w:t>
      </w:r>
      <w:r w:rsidRPr="000C03D2">
        <w:rPr>
          <w:rFonts w:ascii="Times New Roman" w:eastAsia="Arial Unicode MS" w:hAnsi="Times New Roman" w:cs="Times New Roman"/>
          <w:color w:val="000000" w:themeColor="text1"/>
          <w:szCs w:val="28"/>
          <w:u w:color="000000"/>
          <w:lang w:val="es-ES_tradnl" w:eastAsia="es-ES"/>
        </w:rPr>
        <w:t xml:space="preserve"> la Sala </w:t>
      </w:r>
      <w:r w:rsidRPr="000C03D2">
        <w:rPr>
          <w:rFonts w:ascii="Times New Roman" w:eastAsia="Arial Unicode MS" w:hAnsi="Times New Roman" w:cs="Times New Roman"/>
          <w:color w:val="000000" w:themeColor="text1"/>
          <w:szCs w:val="28"/>
          <w:u w:color="000000"/>
          <w:lang w:val="es-ES_tradnl" w:eastAsia="es-ES"/>
        </w:rPr>
        <w:t>P</w:t>
      </w:r>
      <w:r w:rsidRPr="000C03D2">
        <w:rPr>
          <w:rFonts w:ascii="Times New Roman" w:eastAsia="Arial Unicode MS" w:hAnsi="Times New Roman" w:cs="Times New Roman"/>
          <w:color w:val="000000" w:themeColor="text1"/>
          <w:szCs w:val="28"/>
          <w:u w:color="000000"/>
          <w:lang w:val="es-ES_tradnl" w:eastAsia="es-ES"/>
        </w:rPr>
        <w:t>l</w:t>
      </w:r>
      <w:r w:rsidRPr="000C03D2">
        <w:rPr>
          <w:rFonts w:ascii="Times New Roman" w:eastAsia="Arial Unicode MS" w:hAnsi="Times New Roman" w:cs="Times New Roman"/>
          <w:color w:val="000000" w:themeColor="text1"/>
          <w:szCs w:val="28"/>
          <w:u w:color="000000"/>
          <w:lang w:val="es-ES_tradnl" w:eastAsia="es-ES"/>
        </w:rPr>
        <w:t>e</w:t>
      </w:r>
      <w:r w:rsidRPr="000C03D2">
        <w:rPr>
          <w:rFonts w:ascii="Times New Roman" w:eastAsia="Arial Unicode MS" w:hAnsi="Times New Roman" w:cs="Times New Roman"/>
          <w:color w:val="000000" w:themeColor="text1"/>
          <w:szCs w:val="28"/>
          <w:u w:color="000000"/>
          <w:lang w:val="es-ES_tradnl" w:eastAsia="es-ES"/>
        </w:rPr>
        <w:t>na encuentra que</w:t>
      </w:r>
      <w:r w:rsidRPr="000C03D2">
        <w:rPr>
          <w:rFonts w:ascii="Times New Roman" w:eastAsia="Arial Unicode MS" w:hAnsi="Times New Roman" w:cs="Times New Roman"/>
          <w:color w:val="000000" w:themeColor="text1"/>
          <w:szCs w:val="28"/>
          <w:u w:color="000000"/>
          <w:lang w:val="es-ES_tradnl" w:eastAsia="es-ES"/>
        </w:rPr>
        <w:t xml:space="preserve"> los hombres trans y </w:t>
      </w:r>
      <w:r w:rsidRPr="000C03D2">
        <w:rPr>
          <w:rFonts w:ascii="Times New Roman" w:eastAsia="Arial Unicode MS" w:hAnsi="Times New Roman" w:cs="Times New Roman"/>
          <w:color w:val="000000" w:themeColor="text1"/>
          <w:szCs w:val="28"/>
          <w:u w:color="000000"/>
          <w:lang w:val="es-ES_tradnl" w:eastAsia="es-ES"/>
        </w:rPr>
        <w:t xml:space="preserve">las </w:t>
      </w:r>
      <w:r w:rsidRPr="000C03D2">
        <w:rPr>
          <w:rFonts w:ascii="Times New Roman" w:eastAsia="Arial Unicode MS" w:hAnsi="Times New Roman" w:cs="Times New Roman"/>
          <w:color w:val="000000" w:themeColor="text1"/>
          <w:szCs w:val="28"/>
          <w:u w:color="000000"/>
          <w:lang w:val="es-ES_tradnl" w:eastAsia="es-ES"/>
        </w:rPr>
        <w:t>personas no binarias que atraviesan un aborto</w:t>
      </w:r>
      <w:r w:rsidRPr="000C03D2">
        <w:rPr>
          <w:rFonts w:ascii="Times New Roman" w:eastAsia="Arial Unicode MS" w:hAnsi="Times New Roman" w:cs="Times New Roman"/>
          <w:color w:val="000000" w:themeColor="text1"/>
          <w:szCs w:val="28"/>
          <w:u w:color="000000"/>
          <w:lang w:val="es-ES_tradnl" w:eastAsia="es-ES"/>
        </w:rPr>
        <w:t xml:space="preserve">, </w:t>
      </w:r>
      <w:r w:rsidRPr="000C03D2">
        <w:rPr>
          <w:rFonts w:ascii="Times New Roman" w:eastAsia="Arial Unicode MS" w:hAnsi="Times New Roman" w:cs="Times New Roman"/>
          <w:color w:val="000000" w:themeColor="text1"/>
          <w:szCs w:val="28"/>
          <w:u w:color="000000"/>
          <w:lang w:val="es-ES_tradnl" w:eastAsia="es-ES"/>
        </w:rPr>
        <w:t>un parto prematuro no viable</w:t>
      </w:r>
      <w:r w:rsidRPr="000C03D2">
        <w:rPr>
          <w:rFonts w:ascii="Times New Roman" w:eastAsia="Arial Unicode MS" w:hAnsi="Times New Roman" w:cs="Times New Roman"/>
          <w:color w:val="000000" w:themeColor="text1"/>
          <w:szCs w:val="28"/>
          <w:u w:color="000000"/>
          <w:lang w:val="es-ES_tradnl" w:eastAsia="es-ES"/>
        </w:rPr>
        <w:t xml:space="preserve"> o una interrupción vo</w:t>
      </w:r>
      <w:r w:rsidRPr="000C03D2">
        <w:rPr>
          <w:rFonts w:ascii="Times New Roman" w:eastAsia="Arial Unicode MS" w:hAnsi="Times New Roman" w:cs="Times New Roman"/>
          <w:color w:val="000000" w:themeColor="text1"/>
          <w:szCs w:val="28"/>
          <w:u w:color="000000"/>
          <w:lang w:val="es-ES_tradnl" w:eastAsia="es-ES"/>
        </w:rPr>
        <w:t>luntaria del embarazo</w:t>
      </w:r>
      <w:r w:rsidRPr="000C03D2">
        <w:rPr>
          <w:rFonts w:ascii="Times New Roman" w:eastAsia="Arial Unicode MS" w:hAnsi="Times New Roman" w:cs="Times New Roman"/>
          <w:color w:val="000000" w:themeColor="text1"/>
          <w:szCs w:val="28"/>
          <w:u w:color="000000"/>
          <w:lang w:val="es-ES_tradnl" w:eastAsia="es-ES"/>
        </w:rPr>
        <w:t>, están desprotegidos en virtud de una omisión legislativa que los excluye de la norma como</w:t>
      </w:r>
      <w:r w:rsidRPr="000C03D2">
        <w:rPr>
          <w:rFonts w:ascii="Times New Roman" w:eastAsia="Arial Unicode MS" w:hAnsi="Times New Roman" w:cs="Times New Roman"/>
          <w:color w:val="000000" w:themeColor="text1"/>
          <w:szCs w:val="28"/>
          <w:u w:color="000000"/>
          <w:lang w:val="es-ES_tradnl" w:eastAsia="es-ES"/>
        </w:rPr>
        <w:t xml:space="preserve"> </w:t>
      </w:r>
      <w:r w:rsidRPr="000C03D2">
        <w:rPr>
          <w:rFonts w:ascii="Times New Roman" w:eastAsia="Arial Unicode MS" w:hAnsi="Times New Roman" w:cs="Times New Roman"/>
          <w:color w:val="000000" w:themeColor="text1"/>
          <w:szCs w:val="28"/>
          <w:u w:color="000000"/>
          <w:lang w:val="es-ES_tradnl" w:eastAsia="es-ES"/>
        </w:rPr>
        <w:t xml:space="preserve">beneficiarios </w:t>
      </w:r>
      <w:r w:rsidRPr="000C03D2">
        <w:rPr>
          <w:rFonts w:ascii="Times New Roman" w:eastAsia="Arial Unicode MS" w:hAnsi="Times New Roman" w:cs="Times New Roman"/>
          <w:color w:val="000000" w:themeColor="text1"/>
          <w:szCs w:val="28"/>
          <w:u w:color="000000"/>
          <w:lang w:val="es-ES_tradnl" w:eastAsia="es-ES"/>
        </w:rPr>
        <w:t>del descanso remunerado por aborto</w:t>
      </w:r>
      <w:r w:rsidRPr="000C03D2">
        <w:rPr>
          <w:rFonts w:ascii="Times New Roman" w:eastAsia="Arial Unicode MS" w:hAnsi="Times New Roman" w:cs="Times New Roman"/>
          <w:color w:val="000000" w:themeColor="text1"/>
          <w:szCs w:val="28"/>
          <w:u w:color="000000"/>
          <w:lang w:val="es-ES_tradnl" w:eastAsia="es-ES"/>
        </w:rPr>
        <w:t>.</w:t>
      </w:r>
    </w:p>
    <w:p w:rsidR="00AC2AF2" w:rsidRPr="000C03D2" w:rsidRDefault="000C03D2" w:rsidP="00A141C2">
      <w:pPr>
        <w:pStyle w:val="Prrafodelista"/>
        <w:widowControl w:val="0"/>
        <w:ind w:left="1080"/>
        <w:rPr>
          <w:rFonts w:ascii="Times New Roman" w:hAnsi="Times New Roman" w:cs="Times New Roman"/>
          <w:b/>
          <w:bCs/>
          <w:color w:val="000000" w:themeColor="text1"/>
          <w:szCs w:val="28"/>
        </w:rPr>
      </w:pPr>
    </w:p>
    <w:p w:rsidR="00771145" w:rsidRPr="000C03D2" w:rsidRDefault="000C03D2" w:rsidP="00A141C2">
      <w:pPr>
        <w:pStyle w:val="Prrafodelista"/>
        <w:widowControl w:val="0"/>
        <w:numPr>
          <w:ilvl w:val="0"/>
          <w:numId w:val="6"/>
        </w:numPr>
        <w:rPr>
          <w:rFonts w:ascii="Times New Roman" w:hAnsi="Times New Roman" w:cs="Times New Roman"/>
          <w:b/>
          <w:bCs/>
          <w:color w:val="000000" w:themeColor="text1"/>
          <w:szCs w:val="28"/>
        </w:rPr>
      </w:pPr>
      <w:r w:rsidRPr="000C03D2">
        <w:rPr>
          <w:rFonts w:ascii="Times New Roman" w:hAnsi="Times New Roman" w:cs="Times New Roman"/>
          <w:b/>
          <w:bCs/>
          <w:color w:val="000000" w:themeColor="text1"/>
          <w:szCs w:val="28"/>
          <w:shd w:val="clear" w:color="auto" w:fill="FFFFFF"/>
        </w:rPr>
        <w:t>La exclusión identificada carece de justificación suficiente</w:t>
      </w:r>
    </w:p>
    <w:p w:rsidR="00207D5F" w:rsidRPr="000C03D2" w:rsidRDefault="000C03D2" w:rsidP="00A141C2">
      <w:pPr>
        <w:tabs>
          <w:tab w:val="left" w:pos="426"/>
        </w:tabs>
        <w:ind w:right="48"/>
        <w:rPr>
          <w:rFonts w:ascii="Times New Roman" w:hAnsi="Times New Roman" w:cs="Times New Roman"/>
          <w:color w:val="000000" w:themeColor="text1"/>
          <w:sz w:val="28"/>
          <w:szCs w:val="28"/>
        </w:rPr>
      </w:pPr>
    </w:p>
    <w:p w:rsidR="00797A89"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rPr>
        <w:t>El enunciado normativo acusado</w:t>
      </w:r>
      <w:r w:rsidRPr="000C03D2">
        <w:rPr>
          <w:rFonts w:ascii="Times New Roman" w:hAnsi="Times New Roman" w:cs="Times New Roman"/>
          <w:color w:val="000000" w:themeColor="text1"/>
        </w:rPr>
        <w:t xml:space="preserve"> consagra </w:t>
      </w:r>
      <w:r w:rsidRPr="000C03D2">
        <w:rPr>
          <w:rFonts w:ascii="Times New Roman" w:hAnsi="Times New Roman" w:cs="Times New Roman"/>
          <w:color w:val="000000" w:themeColor="text1"/>
        </w:rPr>
        <w:t xml:space="preserve">el descanso remunerado </w:t>
      </w:r>
      <w:r w:rsidRPr="000C03D2">
        <w:rPr>
          <w:rFonts w:ascii="Times New Roman" w:hAnsi="Times New Roman" w:cs="Times New Roman"/>
          <w:color w:val="000000" w:themeColor="text1"/>
        </w:rPr>
        <w:t xml:space="preserve">en caso de aborto </w:t>
      </w:r>
      <w:r w:rsidRPr="000C03D2">
        <w:rPr>
          <w:rFonts w:ascii="Times New Roman" w:hAnsi="Times New Roman" w:cs="Times New Roman"/>
          <w:color w:val="000000" w:themeColor="text1"/>
        </w:rPr>
        <w:t xml:space="preserve">para las </w:t>
      </w:r>
      <w:r w:rsidRPr="000C03D2">
        <w:rPr>
          <w:rFonts w:ascii="Times New Roman" w:hAnsi="Times New Roman" w:cs="Times New Roman"/>
          <w:color w:val="000000" w:themeColor="text1"/>
        </w:rPr>
        <w:t xml:space="preserve">mujeres </w:t>
      </w:r>
      <w:r w:rsidRPr="000C03D2">
        <w:rPr>
          <w:rFonts w:ascii="Times New Roman" w:hAnsi="Times New Roman" w:cs="Times New Roman"/>
          <w:color w:val="000000" w:themeColor="text1"/>
        </w:rPr>
        <w:t>trabajadoras</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 xml:space="preserve">La </w:t>
      </w:r>
      <w:r w:rsidRPr="000C03D2">
        <w:rPr>
          <w:rFonts w:ascii="Times New Roman" w:hAnsi="Times New Roman" w:cs="Times New Roman"/>
          <w:color w:val="000000" w:themeColor="text1"/>
        </w:rPr>
        <w:t>disposición</w:t>
      </w:r>
      <w:r w:rsidRPr="000C03D2">
        <w:rPr>
          <w:rFonts w:ascii="Times New Roman" w:hAnsi="Times New Roman" w:cs="Times New Roman"/>
          <w:color w:val="000000" w:themeColor="text1"/>
        </w:rPr>
        <w:t xml:space="preserve"> excluye de esta prestación a los </w:t>
      </w:r>
      <w:r w:rsidRPr="000C03D2">
        <w:rPr>
          <w:rFonts w:ascii="Times New Roman" w:hAnsi="Times New Roman" w:cs="Times New Roman"/>
          <w:color w:val="000000" w:themeColor="text1"/>
          <w:szCs w:val="28"/>
        </w:rPr>
        <w:t xml:space="preserve">hombres trans y </w:t>
      </w:r>
      <w:r w:rsidRPr="000C03D2">
        <w:rPr>
          <w:rFonts w:ascii="Times New Roman" w:hAnsi="Times New Roman" w:cs="Times New Roman"/>
          <w:color w:val="000000" w:themeColor="text1"/>
          <w:szCs w:val="28"/>
        </w:rPr>
        <w:t xml:space="preserve">a las </w:t>
      </w:r>
      <w:r w:rsidRPr="000C03D2">
        <w:rPr>
          <w:rFonts w:ascii="Times New Roman" w:hAnsi="Times New Roman" w:cs="Times New Roman"/>
          <w:color w:val="000000" w:themeColor="text1"/>
          <w:szCs w:val="28"/>
        </w:rPr>
        <w:t>personas no binarias</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gestantes</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quienes</w:t>
      </w:r>
      <w:r w:rsidRPr="000C03D2">
        <w:rPr>
          <w:rFonts w:ascii="Times New Roman" w:hAnsi="Times New Roman" w:cs="Times New Roman"/>
          <w:color w:val="000000" w:themeColor="text1"/>
        </w:rPr>
        <w:t xml:space="preserve"> no se identifican como mujer. A partir de la jurisprudencia const</w:t>
      </w:r>
      <w:r w:rsidRPr="000C03D2">
        <w:rPr>
          <w:rFonts w:ascii="Times New Roman" w:hAnsi="Times New Roman" w:cs="Times New Roman"/>
          <w:color w:val="000000" w:themeColor="text1"/>
        </w:rPr>
        <w:t>itucional antes explicada y de la interpretación de los mandatos constitucionales relevantes, esta exclusión carece de justificación</w:t>
      </w:r>
      <w:r w:rsidRPr="000C03D2">
        <w:rPr>
          <w:rFonts w:ascii="Times New Roman" w:hAnsi="Times New Roman" w:cs="Times New Roman"/>
          <w:color w:val="000000" w:themeColor="text1"/>
        </w:rPr>
        <w:t>.</w:t>
      </w:r>
    </w:p>
    <w:p w:rsidR="00797A89" w:rsidRPr="000C03D2" w:rsidRDefault="000C03D2" w:rsidP="00A141C2">
      <w:pPr>
        <w:pStyle w:val="Prrafodelista"/>
        <w:tabs>
          <w:tab w:val="left" w:pos="426"/>
        </w:tabs>
        <w:ind w:left="0" w:right="48"/>
        <w:rPr>
          <w:rFonts w:ascii="Times New Roman" w:hAnsi="Times New Roman" w:cs="Times New Roman"/>
          <w:color w:val="000000" w:themeColor="text1"/>
          <w:szCs w:val="28"/>
        </w:rPr>
      </w:pPr>
    </w:p>
    <w:p w:rsidR="00797A89"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rPr>
      </w:pPr>
      <w:r w:rsidRPr="000C03D2">
        <w:rPr>
          <w:rFonts w:ascii="Times New Roman" w:hAnsi="Times New Roman" w:cs="Times New Roman"/>
          <w:color w:val="000000" w:themeColor="text1"/>
        </w:rPr>
        <w:t>El artículo 237 del Código Sustantivo del Trabajo se expidió en el año 1950. Para aquella época, el discurso normativo no</w:t>
      </w:r>
      <w:r w:rsidRPr="000C03D2">
        <w:rPr>
          <w:rFonts w:ascii="Times New Roman" w:hAnsi="Times New Roman" w:cs="Times New Roman"/>
          <w:color w:val="000000" w:themeColor="text1"/>
        </w:rPr>
        <w:t xml:space="preserve"> contemplaba la identidad de género como un componente necesario a tener en cuenta en la configuración de las decisiones legislativas. Sin embargo, a pesar de que para la fecha de creación de dich</w:t>
      </w:r>
      <w:r w:rsidRPr="000C03D2">
        <w:rPr>
          <w:rFonts w:ascii="Times New Roman" w:hAnsi="Times New Roman" w:cs="Times New Roman"/>
          <w:color w:val="000000" w:themeColor="text1"/>
        </w:rPr>
        <w:t>o cuerpo normativo</w:t>
      </w:r>
      <w:r w:rsidRPr="000C03D2">
        <w:rPr>
          <w:rFonts w:ascii="Times New Roman" w:hAnsi="Times New Roman" w:cs="Times New Roman"/>
          <w:color w:val="000000" w:themeColor="text1"/>
        </w:rPr>
        <w:t xml:space="preserve"> no se haya entendido este concepto, </w:t>
      </w:r>
      <w:r w:rsidRPr="000C03D2">
        <w:rPr>
          <w:rFonts w:ascii="Times New Roman" w:hAnsi="Times New Roman" w:cs="Times New Roman"/>
          <w:color w:val="000000" w:themeColor="text1"/>
        </w:rPr>
        <w:t>su</w:t>
      </w:r>
      <w:r w:rsidRPr="000C03D2">
        <w:rPr>
          <w:rFonts w:ascii="Times New Roman" w:hAnsi="Times New Roman" w:cs="Times New Roman"/>
          <w:color w:val="000000" w:themeColor="text1"/>
        </w:rPr>
        <w:t xml:space="preserve"> interpretación actual tampoco permite entender que, desde la literalidad de la disposición demandada, se incluyan aquellos sectores de sexualidades </w:t>
      </w:r>
      <w:r w:rsidRPr="000C03D2">
        <w:rPr>
          <w:rFonts w:ascii="Times New Roman" w:hAnsi="Times New Roman" w:cs="Times New Roman"/>
          <w:color w:val="000000" w:themeColor="text1"/>
        </w:rPr>
        <w:t>distintos</w:t>
      </w:r>
      <w:r w:rsidRPr="000C03D2">
        <w:rPr>
          <w:rFonts w:ascii="Times New Roman" w:hAnsi="Times New Roman" w:cs="Times New Roman"/>
          <w:color w:val="000000" w:themeColor="text1"/>
        </w:rPr>
        <w:t xml:space="preserve"> al patrón heteronormativo. </w:t>
      </w:r>
    </w:p>
    <w:p w:rsidR="00FC65EC" w:rsidRPr="000C03D2" w:rsidRDefault="000C03D2" w:rsidP="00A141C2">
      <w:pPr>
        <w:pStyle w:val="Prrafodelista"/>
        <w:rPr>
          <w:rFonts w:ascii="Times New Roman" w:hAnsi="Times New Roman" w:cs="Times New Roman"/>
          <w:color w:val="000000" w:themeColor="text1"/>
        </w:rPr>
      </w:pPr>
    </w:p>
    <w:p w:rsidR="00797A89"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En ese contexto</w:t>
      </w:r>
      <w:r w:rsidRPr="000C03D2">
        <w:rPr>
          <w:rFonts w:ascii="Times New Roman" w:hAnsi="Times New Roman" w:cs="Times New Roman"/>
          <w:color w:val="000000" w:themeColor="text1"/>
          <w:szCs w:val="28"/>
        </w:rPr>
        <w:t xml:space="preserve">, si el enunciado normativo objeto de estudio otorga </w:t>
      </w:r>
      <w:r w:rsidRPr="000C03D2">
        <w:rPr>
          <w:rFonts w:ascii="Times New Roman" w:hAnsi="Times New Roman" w:cs="Times New Roman"/>
          <w:color w:val="000000" w:themeColor="text1"/>
          <w:szCs w:val="28"/>
        </w:rPr>
        <w:t xml:space="preserve">un descanso remunerado </w:t>
      </w:r>
      <w:r w:rsidRPr="000C03D2">
        <w:rPr>
          <w:rFonts w:ascii="Times New Roman" w:hAnsi="Times New Roman" w:cs="Times New Roman"/>
          <w:color w:val="000000" w:themeColor="text1"/>
          <w:szCs w:val="28"/>
        </w:rPr>
        <w:t>para</w:t>
      </w:r>
      <w:r w:rsidRPr="000C03D2">
        <w:rPr>
          <w:rFonts w:ascii="Times New Roman" w:hAnsi="Times New Roman" w:cs="Times New Roman"/>
          <w:color w:val="000000" w:themeColor="text1"/>
          <w:szCs w:val="28"/>
        </w:rPr>
        <w:t xml:space="preserve"> las mujeres que tuvieron un aborto espontáneo, un parto no viable o una interrupción voluntaria del embarazo, </w:t>
      </w:r>
      <w:r w:rsidRPr="000C03D2">
        <w:rPr>
          <w:rFonts w:ascii="Times New Roman" w:hAnsi="Times New Roman" w:cs="Times New Roman"/>
          <w:color w:val="000000" w:themeColor="text1"/>
          <w:szCs w:val="28"/>
        </w:rPr>
        <w:t xml:space="preserve">con el propósito de </w:t>
      </w:r>
      <w:r w:rsidRPr="000C03D2">
        <w:rPr>
          <w:rFonts w:ascii="Times New Roman" w:hAnsi="Times New Roman" w:cs="Times New Roman"/>
          <w:color w:val="000000" w:themeColor="text1"/>
          <w:szCs w:val="28"/>
          <w:lang w:val="es-ES_tradnl"/>
          <w14:ligatures w14:val="standardContextual"/>
        </w:rPr>
        <w:t>protege</w:t>
      </w:r>
      <w:r w:rsidRPr="000C03D2">
        <w:rPr>
          <w:rFonts w:ascii="Times New Roman" w:hAnsi="Times New Roman" w:cs="Times New Roman"/>
          <w:color w:val="000000" w:themeColor="text1"/>
          <w:szCs w:val="28"/>
          <w:lang w:val="es-ES_tradnl"/>
          <w14:ligatures w14:val="standardContextual"/>
        </w:rPr>
        <w:t>rla</w:t>
      </w:r>
      <w:r w:rsidRPr="000C03D2">
        <w:rPr>
          <w:rFonts w:ascii="Times New Roman" w:hAnsi="Times New Roman" w:cs="Times New Roman"/>
          <w:color w:val="000000" w:themeColor="text1"/>
          <w:szCs w:val="28"/>
          <w:lang w:val="es-ES_tradnl"/>
          <w14:ligatures w14:val="standardContextual"/>
        </w:rPr>
        <w:t xml:space="preserve"> de l</w:t>
      </w:r>
      <w:r w:rsidRPr="000C03D2">
        <w:rPr>
          <w:rFonts w:ascii="Times New Roman" w:hAnsi="Times New Roman" w:cs="Times New Roman"/>
          <w:color w:val="000000" w:themeColor="text1"/>
          <w:szCs w:val="28"/>
          <w:lang w:val="es-ES_tradnl"/>
          <w14:ligatures w14:val="standardContextual"/>
        </w:rPr>
        <w:t>os síntomas</w:t>
      </w:r>
      <w:r w:rsidRPr="000C03D2">
        <w:rPr>
          <w:rFonts w:ascii="Times New Roman" w:hAnsi="Times New Roman" w:cs="Times New Roman"/>
          <w:color w:val="000000" w:themeColor="text1"/>
          <w:szCs w:val="28"/>
          <w:lang w:val="es-ES_tradnl"/>
          <w14:ligatures w14:val="standardContextual"/>
        </w:rPr>
        <w:t xml:space="preserve"> </w:t>
      </w:r>
      <w:r w:rsidRPr="000C03D2">
        <w:rPr>
          <w:rFonts w:ascii="Times New Roman" w:hAnsi="Times New Roman" w:cs="Times New Roman"/>
          <w:color w:val="000000" w:themeColor="text1"/>
          <w:szCs w:val="28"/>
          <w:lang w:val="es-ES_tradnl"/>
          <w14:ligatures w14:val="standardContextual"/>
        </w:rPr>
        <w:t>generados por</w:t>
      </w:r>
      <w:r w:rsidRPr="000C03D2">
        <w:rPr>
          <w:rFonts w:ascii="Times New Roman" w:hAnsi="Times New Roman" w:cs="Times New Roman"/>
          <w:color w:val="000000" w:themeColor="text1"/>
          <w:szCs w:val="28"/>
          <w:lang w:val="es-ES_tradnl"/>
          <w14:ligatures w14:val="standardContextual"/>
        </w:rPr>
        <w:t xml:space="preserve"> el procedimiento, </w:t>
      </w:r>
      <w:r w:rsidRPr="000C03D2">
        <w:rPr>
          <w:rFonts w:ascii="Times New Roman" w:hAnsi="Times New Roman" w:cs="Times New Roman"/>
          <w:color w:val="000000" w:themeColor="text1"/>
          <w:szCs w:val="28"/>
          <w:lang w:val="es-ES_tradnl"/>
          <w14:ligatures w14:val="standardContextual"/>
        </w:rPr>
        <w:t>no es posible encontrar una razón sufic</w:t>
      </w:r>
      <w:r w:rsidRPr="000C03D2">
        <w:rPr>
          <w:rFonts w:ascii="Times New Roman" w:hAnsi="Times New Roman" w:cs="Times New Roman"/>
          <w:color w:val="000000" w:themeColor="text1"/>
          <w:szCs w:val="28"/>
          <w:lang w:val="es-ES_tradnl"/>
          <w14:ligatures w14:val="standardContextual"/>
        </w:rPr>
        <w:t>iente para</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que </w:t>
      </w:r>
      <w:r w:rsidRPr="000C03D2">
        <w:rPr>
          <w:rFonts w:ascii="Times New Roman" w:hAnsi="Times New Roman" w:cs="Times New Roman"/>
          <w:color w:val="000000" w:themeColor="text1"/>
          <w:szCs w:val="28"/>
        </w:rPr>
        <w:t xml:space="preserve">otras personas </w:t>
      </w:r>
      <w:r w:rsidRPr="000C03D2">
        <w:rPr>
          <w:rFonts w:ascii="Times New Roman" w:hAnsi="Times New Roman" w:cs="Times New Roman"/>
          <w:color w:val="000000" w:themeColor="text1"/>
          <w:szCs w:val="28"/>
        </w:rPr>
        <w:t>gestantes</w:t>
      </w:r>
      <w:r w:rsidRPr="000C03D2">
        <w:rPr>
          <w:rFonts w:ascii="Times New Roman" w:hAnsi="Times New Roman" w:cs="Times New Roman"/>
          <w:color w:val="000000" w:themeColor="text1"/>
          <w:szCs w:val="28"/>
        </w:rPr>
        <w:t xml:space="preserve">, como </w:t>
      </w:r>
      <w:r w:rsidRPr="000C03D2">
        <w:rPr>
          <w:rFonts w:ascii="Times New Roman" w:hAnsi="Times New Roman" w:cs="Times New Roman"/>
          <w:color w:val="000000" w:themeColor="text1"/>
          <w:szCs w:val="28"/>
        </w:rPr>
        <w:t>los hombres trans y las personas no binarias,</w:t>
      </w:r>
      <w:r w:rsidRPr="000C03D2">
        <w:rPr>
          <w:rFonts w:ascii="Times New Roman" w:hAnsi="Times New Roman" w:cs="Times New Roman"/>
          <w:color w:val="000000" w:themeColor="text1"/>
          <w:szCs w:val="28"/>
        </w:rPr>
        <w:t xml:space="preserve"> no </w:t>
      </w:r>
      <w:r w:rsidRPr="000C03D2">
        <w:rPr>
          <w:rFonts w:ascii="Times New Roman" w:hAnsi="Times New Roman" w:cs="Times New Roman"/>
          <w:color w:val="000000" w:themeColor="text1"/>
          <w:szCs w:val="28"/>
        </w:rPr>
        <w:t xml:space="preserve">estén </w:t>
      </w:r>
      <w:r w:rsidRPr="000C03D2">
        <w:rPr>
          <w:rFonts w:ascii="Times New Roman" w:hAnsi="Times New Roman" w:cs="Times New Roman"/>
          <w:color w:val="000000" w:themeColor="text1"/>
          <w:szCs w:val="28"/>
        </w:rPr>
        <w:t>incluid</w:t>
      </w:r>
      <w:r w:rsidRPr="000C03D2">
        <w:rPr>
          <w:rFonts w:ascii="Times New Roman" w:hAnsi="Times New Roman" w:cs="Times New Roman"/>
          <w:color w:val="000000" w:themeColor="text1"/>
          <w:szCs w:val="28"/>
        </w:rPr>
        <w:t>a</w:t>
      </w:r>
      <w:r w:rsidRPr="000C03D2">
        <w:rPr>
          <w:rFonts w:ascii="Times New Roman" w:hAnsi="Times New Roman" w:cs="Times New Roman"/>
          <w:color w:val="000000" w:themeColor="text1"/>
          <w:szCs w:val="28"/>
        </w:rPr>
        <w:t>s</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en la disposición</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pues son grupos comparable</w:t>
      </w:r>
      <w:r w:rsidRPr="000C03D2">
        <w:rPr>
          <w:rFonts w:ascii="Times New Roman" w:hAnsi="Times New Roman" w:cs="Times New Roman"/>
          <w:color w:val="000000" w:themeColor="text1"/>
          <w:szCs w:val="28"/>
        </w:rPr>
        <w:t>s</w:t>
      </w:r>
      <w:r w:rsidRPr="000C03D2">
        <w:rPr>
          <w:rFonts w:ascii="Times New Roman" w:hAnsi="Times New Roman" w:cs="Times New Roman"/>
          <w:color w:val="000000" w:themeColor="text1"/>
          <w:szCs w:val="28"/>
        </w:rPr>
        <w:t xml:space="preserve"> en función de </w:t>
      </w:r>
      <w:r w:rsidRPr="000C03D2">
        <w:rPr>
          <w:rFonts w:ascii="Times New Roman" w:hAnsi="Times New Roman" w:cs="Times New Roman"/>
          <w:color w:val="000000" w:themeColor="text1"/>
          <w:szCs w:val="28"/>
        </w:rPr>
        <w:t>la gestación</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La Corte evidencia que la</w:t>
      </w:r>
      <w:r w:rsidRPr="000C03D2">
        <w:rPr>
          <w:rFonts w:ascii="Times New Roman" w:hAnsi="Times New Roman" w:cs="Times New Roman"/>
          <w:color w:val="000000" w:themeColor="text1"/>
          <w:szCs w:val="28"/>
        </w:rPr>
        <w:t xml:space="preserve"> distinción que subyace al silencio del legislador se funda en una categoría sospechosa</w:t>
      </w:r>
      <w:r w:rsidRPr="000C03D2">
        <w:rPr>
          <w:rFonts w:ascii="Times New Roman" w:hAnsi="Times New Roman" w:cs="Times New Roman"/>
          <w:color w:val="000000" w:themeColor="text1"/>
          <w:szCs w:val="28"/>
        </w:rPr>
        <w:t xml:space="preserve"> relativa a la </w:t>
      </w:r>
      <w:r w:rsidRPr="000C03D2">
        <w:rPr>
          <w:rFonts w:ascii="Times New Roman" w:hAnsi="Times New Roman" w:cs="Times New Roman"/>
          <w:color w:val="000000" w:themeColor="text1"/>
          <w:szCs w:val="28"/>
        </w:rPr>
        <w:t>identidad sexual</w:t>
      </w:r>
      <w:r w:rsidRPr="000C03D2">
        <w:rPr>
          <w:rFonts w:ascii="Times New Roman" w:hAnsi="Times New Roman" w:cs="Times New Roman"/>
          <w:color w:val="000000" w:themeColor="text1"/>
          <w:szCs w:val="28"/>
        </w:rPr>
        <w:t xml:space="preserve"> de las personas no incluidas en la norma, que</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de ninguna forma podría considerarse persigue</w:t>
      </w:r>
      <w:r w:rsidRPr="000C03D2">
        <w:rPr>
          <w:rFonts w:ascii="Times New Roman" w:hAnsi="Times New Roman" w:cs="Times New Roman"/>
          <w:color w:val="000000" w:themeColor="text1"/>
          <w:szCs w:val="28"/>
        </w:rPr>
        <w:t xml:space="preserve"> una finalidad constitucionalmente imperiosa</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rPr>
        <w:t>En consecuencia, ni para la fecha de expedición de la norma ni en la actualidad existe razón suficiente para mantener decisiones legislativas que desconocen el criterio de identidad de género en la definición de las personas beneficiarias.</w:t>
      </w:r>
    </w:p>
    <w:p w:rsidR="00B53018" w:rsidRPr="000C03D2" w:rsidRDefault="000C03D2" w:rsidP="00A141C2">
      <w:pPr>
        <w:pStyle w:val="Prrafodelista"/>
        <w:tabs>
          <w:tab w:val="left" w:pos="567"/>
        </w:tabs>
        <w:ind w:left="0" w:right="48"/>
        <w:rPr>
          <w:rFonts w:ascii="Times New Roman" w:hAnsi="Times New Roman" w:cs="Times New Roman"/>
          <w:color w:val="000000" w:themeColor="text1"/>
          <w:szCs w:val="28"/>
          <w:lang w:val="es-ES_tradnl"/>
        </w:rPr>
      </w:pPr>
    </w:p>
    <w:p w:rsidR="0088046C"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rPr>
        <w:t>Ahora bien, com</w:t>
      </w:r>
      <w:r w:rsidRPr="000C03D2">
        <w:rPr>
          <w:rFonts w:ascii="Times New Roman" w:hAnsi="Times New Roman" w:cs="Times New Roman"/>
          <w:color w:val="000000" w:themeColor="text1"/>
        </w:rPr>
        <w:t>o se reconoció en las sentencias C-324 de 2023 y C-071 de 2025</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los preceptos cuestionados responden a la protección constitucional de la mujer y la maternidad, fruto de una intensa evolución global por lograr el reconocimiento de derechos a las mujeres</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No obstante</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el factor definitivo en una sociedad plural y respetuosa de la igualdad indica que</w:t>
      </w:r>
      <w:r w:rsidRPr="000C03D2">
        <w:rPr>
          <w:rFonts w:ascii="Times New Roman" w:hAnsi="Times New Roman" w:cs="Times New Roman"/>
          <w:color w:val="000000" w:themeColor="text1"/>
        </w:rPr>
        <w:t xml:space="preserve"> licencias </w:t>
      </w:r>
      <w:r w:rsidRPr="000C03D2">
        <w:rPr>
          <w:rFonts w:ascii="Times New Roman" w:hAnsi="Times New Roman" w:cs="Times New Roman"/>
          <w:color w:val="000000" w:themeColor="text1"/>
        </w:rPr>
        <w:t xml:space="preserve">como las establecidas en la regulación demandada deben vincularse a </w:t>
      </w:r>
      <w:r w:rsidRPr="000C03D2">
        <w:rPr>
          <w:rFonts w:ascii="Times New Roman" w:hAnsi="Times New Roman" w:cs="Times New Roman"/>
          <w:color w:val="000000" w:themeColor="text1"/>
        </w:rPr>
        <w:t xml:space="preserve">la </w:t>
      </w:r>
      <w:r w:rsidRPr="000C03D2">
        <w:rPr>
          <w:rFonts w:ascii="Times New Roman" w:hAnsi="Times New Roman" w:cs="Times New Roman"/>
          <w:color w:val="000000" w:themeColor="text1"/>
        </w:rPr>
        <w:t>gestación</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Para la Corte en aplicación del principio de igualdad n</w:t>
      </w:r>
      <w:r w:rsidRPr="000C03D2">
        <w:rPr>
          <w:rFonts w:ascii="Times New Roman" w:hAnsi="Times New Roman" w:cs="Times New Roman"/>
          <w:color w:val="000000" w:themeColor="text1"/>
        </w:rPr>
        <w:t>o puede ser d</w:t>
      </w:r>
      <w:r w:rsidRPr="000C03D2">
        <w:rPr>
          <w:rFonts w:ascii="Times New Roman" w:hAnsi="Times New Roman" w:cs="Times New Roman"/>
          <w:color w:val="000000" w:themeColor="text1"/>
        </w:rPr>
        <w:t>e otro modo.</w:t>
      </w:r>
      <w:r w:rsidRPr="000C03D2">
        <w:rPr>
          <w:rFonts w:ascii="Times New Roman" w:hAnsi="Times New Roman" w:cs="Times New Roman"/>
          <w:color w:val="000000" w:themeColor="text1"/>
        </w:rPr>
        <w:t xml:space="preserve"> </w:t>
      </w:r>
    </w:p>
    <w:p w:rsidR="00574BAE" w:rsidRPr="000C03D2" w:rsidRDefault="000C03D2" w:rsidP="00A141C2">
      <w:pPr>
        <w:pStyle w:val="Prrafodelista"/>
        <w:tabs>
          <w:tab w:val="left" w:pos="426"/>
        </w:tabs>
        <w:ind w:left="0" w:right="48"/>
        <w:rPr>
          <w:rFonts w:ascii="Times New Roman" w:hAnsi="Times New Roman" w:cs="Times New Roman"/>
          <w:color w:val="000000" w:themeColor="text1"/>
          <w:szCs w:val="28"/>
        </w:rPr>
      </w:pPr>
    </w:p>
    <w:p w:rsidR="00196EDE" w:rsidRPr="000C03D2" w:rsidRDefault="000C03D2" w:rsidP="00A141C2">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rPr>
        <w:t xml:space="preserve">En el presente caso, </w:t>
      </w:r>
      <w:r w:rsidRPr="000C03D2">
        <w:rPr>
          <w:rFonts w:ascii="Times New Roman" w:hAnsi="Times New Roman" w:cs="Times New Roman"/>
          <w:color w:val="000000" w:themeColor="text1"/>
        </w:rPr>
        <w:t xml:space="preserve">partiendo del hecho de que </w:t>
      </w:r>
      <w:r w:rsidRPr="000C03D2">
        <w:rPr>
          <w:rFonts w:ascii="Times New Roman" w:hAnsi="Times New Roman" w:cs="Times New Roman"/>
          <w:color w:val="000000" w:themeColor="text1"/>
        </w:rPr>
        <w:t xml:space="preserve">las personas </w:t>
      </w:r>
      <w:r w:rsidRPr="000C03D2">
        <w:rPr>
          <w:rFonts w:ascii="Times New Roman" w:hAnsi="Times New Roman" w:cs="Times New Roman"/>
          <w:color w:val="000000" w:themeColor="text1"/>
        </w:rPr>
        <w:t xml:space="preserve">gestantes </w:t>
      </w:r>
      <w:r w:rsidRPr="000C03D2">
        <w:rPr>
          <w:rFonts w:ascii="Times New Roman" w:hAnsi="Times New Roman" w:cs="Times New Roman"/>
          <w:color w:val="000000" w:themeColor="text1"/>
        </w:rPr>
        <w:t xml:space="preserve">con otras identidades y vivencias </w:t>
      </w:r>
      <w:r w:rsidRPr="000C03D2">
        <w:rPr>
          <w:rFonts w:ascii="Times New Roman" w:hAnsi="Times New Roman" w:cs="Times New Roman"/>
          <w:color w:val="000000" w:themeColor="text1"/>
        </w:rPr>
        <w:t>podrían tener</w:t>
      </w:r>
      <w:r w:rsidRPr="000C03D2">
        <w:rPr>
          <w:rFonts w:ascii="Times New Roman" w:hAnsi="Times New Roman" w:cs="Times New Roman"/>
          <w:color w:val="000000" w:themeColor="text1"/>
        </w:rPr>
        <w:t xml:space="preserve"> un aborto espontáneo, un parto no viable o una interrupción voluntaria del embarazo,</w:t>
      </w:r>
      <w:r w:rsidRPr="000C03D2">
        <w:rPr>
          <w:rFonts w:ascii="Times New Roman" w:hAnsi="Times New Roman" w:cs="Times New Roman"/>
          <w:color w:val="000000" w:themeColor="text1"/>
        </w:rPr>
        <w:t xml:space="preserve"> no resulta justificado que estén desp</w:t>
      </w:r>
      <w:r w:rsidRPr="000C03D2">
        <w:rPr>
          <w:rFonts w:ascii="Times New Roman" w:hAnsi="Times New Roman" w:cs="Times New Roman"/>
          <w:color w:val="000000" w:themeColor="text1"/>
        </w:rPr>
        <w:t xml:space="preserve">rovistas </w:t>
      </w:r>
      <w:r w:rsidRPr="000C03D2">
        <w:rPr>
          <w:rFonts w:ascii="Times New Roman" w:hAnsi="Times New Roman" w:cs="Times New Roman"/>
          <w:color w:val="000000" w:themeColor="text1"/>
        </w:rPr>
        <w:t>del descanso remunerado que regula el artículo 237</w:t>
      </w:r>
      <w:r w:rsidRPr="000C03D2">
        <w:rPr>
          <w:rFonts w:ascii="Times New Roman" w:hAnsi="Times New Roman" w:cs="Times New Roman"/>
          <w:color w:val="000000" w:themeColor="text1"/>
        </w:rPr>
        <w:t>.</w:t>
      </w:r>
      <w:r w:rsidRPr="000C03D2">
        <w:rPr>
          <w:rFonts w:ascii="Times New Roman" w:hAnsi="Times New Roman" w:cs="Times New Roman"/>
          <w:color w:val="000000" w:themeColor="text1"/>
        </w:rPr>
        <w:t xml:space="preserve"> A</w:t>
      </w:r>
      <w:r w:rsidRPr="000C03D2">
        <w:rPr>
          <w:rFonts w:ascii="Times New Roman" w:hAnsi="Times New Roman" w:cs="Times New Roman"/>
          <w:color w:val="000000" w:themeColor="text1"/>
        </w:rPr>
        <w:t>ceptar una distinción en tal sentido implicaría desconocer el derecho fundamental innominado a la identidad de género, en tanto el objetivo de la ley es propender por la recuperación física y ps</w:t>
      </w:r>
      <w:r w:rsidRPr="000C03D2">
        <w:rPr>
          <w:rFonts w:ascii="Times New Roman" w:hAnsi="Times New Roman" w:cs="Times New Roman"/>
          <w:color w:val="000000" w:themeColor="text1"/>
        </w:rPr>
        <w:t>icológica de quien ha sufrido un aborto o un parto prematuro no viable.</w:t>
      </w:r>
    </w:p>
    <w:p w:rsidR="004868AD" w:rsidRPr="000C03D2" w:rsidRDefault="000C03D2" w:rsidP="00B53018">
      <w:pPr>
        <w:pStyle w:val="Prrafodelista"/>
        <w:widowControl w:val="0"/>
        <w:tabs>
          <w:tab w:val="left" w:pos="709"/>
          <w:tab w:val="left" w:pos="993"/>
        </w:tabs>
        <w:ind w:left="426"/>
        <w:rPr>
          <w:rFonts w:ascii="Times New Roman" w:hAnsi="Times New Roman" w:cs="Times New Roman"/>
          <w:b/>
          <w:bCs/>
          <w:color w:val="000000" w:themeColor="text1"/>
          <w:szCs w:val="28"/>
        </w:rPr>
      </w:pPr>
    </w:p>
    <w:p w:rsidR="00771145" w:rsidRPr="000C03D2" w:rsidRDefault="000C03D2" w:rsidP="00B53018">
      <w:pPr>
        <w:pStyle w:val="Prrafodelista"/>
        <w:widowControl w:val="0"/>
        <w:numPr>
          <w:ilvl w:val="0"/>
          <w:numId w:val="6"/>
        </w:numPr>
        <w:tabs>
          <w:tab w:val="left" w:pos="709"/>
          <w:tab w:val="left" w:pos="993"/>
        </w:tabs>
        <w:ind w:left="426" w:firstLine="0"/>
        <w:rPr>
          <w:rFonts w:ascii="Times New Roman" w:hAnsi="Times New Roman" w:cs="Times New Roman"/>
          <w:b/>
          <w:bCs/>
          <w:color w:val="000000" w:themeColor="text1"/>
          <w:szCs w:val="28"/>
        </w:rPr>
      </w:pPr>
      <w:r w:rsidRPr="000C03D2">
        <w:rPr>
          <w:rFonts w:ascii="Times New Roman" w:hAnsi="Times New Roman" w:cs="Times New Roman"/>
          <w:b/>
          <w:bCs/>
          <w:color w:val="000000" w:themeColor="text1"/>
          <w:szCs w:val="28"/>
          <w:shd w:val="clear" w:color="auto" w:fill="FFFFFF"/>
        </w:rPr>
        <w:t>La falta de justificación y objetividad de la exclusión genera una desigualdad negativa frente a quienes se benefician con las normas acusadas</w:t>
      </w:r>
    </w:p>
    <w:p w:rsidR="000E41F3" w:rsidRPr="000C03D2" w:rsidRDefault="000C03D2" w:rsidP="003051E2">
      <w:pPr>
        <w:widowControl w:val="0"/>
        <w:ind w:right="49"/>
        <w:rPr>
          <w:rFonts w:ascii="Times New Roman" w:hAnsi="Times New Roman" w:cs="Times New Roman"/>
          <w:b/>
          <w:bCs/>
          <w:color w:val="000000" w:themeColor="text1"/>
          <w:sz w:val="28"/>
          <w:szCs w:val="28"/>
          <w:lang w:val="es-ES_tradnl"/>
        </w:rPr>
      </w:pPr>
    </w:p>
    <w:p w:rsidR="001267CB" w:rsidRPr="000C03D2" w:rsidRDefault="000C03D2" w:rsidP="003051E2">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iCs/>
          <w:color w:val="000000" w:themeColor="text1"/>
          <w:szCs w:val="28"/>
        </w:rPr>
        <w:t xml:space="preserve">Recapitulando, </w:t>
      </w:r>
      <w:r w:rsidRPr="000C03D2">
        <w:rPr>
          <w:rFonts w:ascii="Times New Roman" w:hAnsi="Times New Roman" w:cs="Times New Roman"/>
          <w:color w:val="000000" w:themeColor="text1"/>
          <w:szCs w:val="28"/>
          <w:lang w:val="es-ES_tradnl"/>
          <w14:ligatures w14:val="standardContextual"/>
        </w:rPr>
        <w:t xml:space="preserve">la </w:t>
      </w:r>
      <w:r w:rsidRPr="000C03D2">
        <w:rPr>
          <w:rFonts w:ascii="Times New Roman" w:hAnsi="Times New Roman" w:cs="Times New Roman"/>
          <w:color w:val="000000" w:themeColor="text1"/>
          <w:szCs w:val="28"/>
          <w:lang w:val="es-ES_tradnl"/>
          <w14:ligatures w14:val="standardContextual"/>
        </w:rPr>
        <w:t>expresión</w:t>
      </w:r>
      <w:r w:rsidRPr="000C03D2">
        <w:rPr>
          <w:rFonts w:ascii="Times New Roman" w:hAnsi="Times New Roman" w:cs="Times New Roman"/>
          <w:color w:val="000000" w:themeColor="text1"/>
          <w:szCs w:val="28"/>
          <w:lang w:val="es-ES_tradnl"/>
          <w14:ligatures w14:val="standardContextual"/>
        </w:rPr>
        <w:t xml:space="preserve"> objeto de estudio </w:t>
      </w:r>
      <w:r w:rsidRPr="000C03D2">
        <w:rPr>
          <w:rFonts w:ascii="Times New Roman" w:hAnsi="Times New Roman" w:cs="Times New Roman"/>
          <w:color w:val="000000" w:themeColor="text1"/>
          <w:szCs w:val="28"/>
          <w:lang w:val="es-ES_tradnl"/>
          <w14:ligatures w14:val="standardContextual"/>
        </w:rPr>
        <w:t xml:space="preserve">excluye sujetos enteramente asimilables a quienes sí </w:t>
      </w:r>
      <w:r w:rsidRPr="000C03D2">
        <w:rPr>
          <w:rFonts w:ascii="Times New Roman" w:hAnsi="Times New Roman" w:cs="Times New Roman"/>
          <w:color w:val="000000" w:themeColor="text1"/>
          <w:szCs w:val="28"/>
          <w:lang w:val="es-ES_tradnl"/>
          <w14:ligatures w14:val="standardContextual"/>
        </w:rPr>
        <w:t>tienen derecho al goce de un descanso remunerado en caso de aborto como lo son los hombres trans y personas no binarias, lo que deriva en una desigualdad negativa. Efectivamente, aunqu</w:t>
      </w:r>
      <w:r w:rsidRPr="000C03D2">
        <w:rPr>
          <w:rFonts w:ascii="Times New Roman" w:hAnsi="Times New Roman" w:cs="Times New Roman"/>
          <w:color w:val="000000" w:themeColor="text1"/>
          <w:szCs w:val="28"/>
          <w:lang w:val="es-ES_tradnl"/>
          <w14:ligatures w14:val="standardContextual"/>
        </w:rPr>
        <w:t xml:space="preserve">e </w:t>
      </w:r>
      <w:r w:rsidRPr="000C03D2">
        <w:rPr>
          <w:rFonts w:ascii="Times New Roman" w:hAnsi="Times New Roman" w:cs="Times New Roman"/>
          <w:color w:val="000000" w:themeColor="text1"/>
          <w:szCs w:val="28"/>
          <w:lang w:val="es-ES_tradnl"/>
          <w14:ligatures w14:val="standardContextual"/>
        </w:rPr>
        <w:t xml:space="preserve">son personas gestantes </w:t>
      </w:r>
      <w:r w:rsidRPr="000C03D2">
        <w:rPr>
          <w:rFonts w:ascii="Times New Roman" w:hAnsi="Times New Roman" w:cs="Times New Roman"/>
          <w:color w:val="000000" w:themeColor="text1"/>
          <w:szCs w:val="28"/>
          <w:lang w:val="es-ES_tradnl"/>
          <w14:ligatures w14:val="standardContextual"/>
        </w:rPr>
        <w:t>al igual que las mujeres cisgénero, lo cierto es que debido al lenguaje utilizado en el precepto legal no se encuentran amparados por dicho beneficio.</w:t>
      </w:r>
      <w:r w:rsidRPr="000C03D2">
        <w:rPr>
          <w:rFonts w:ascii="Times New Roman" w:hAnsi="Times New Roman" w:cs="Times New Roman"/>
          <w:color w:val="000000" w:themeColor="text1"/>
          <w:szCs w:val="28"/>
          <w:lang w:val="es-ES_tradnl"/>
          <w14:ligatures w14:val="standardContextual"/>
        </w:rPr>
        <w:t xml:space="preserve"> </w:t>
      </w:r>
      <w:r w:rsidRPr="000C03D2">
        <w:rPr>
          <w:rFonts w:ascii="Times New Roman" w:hAnsi="Times New Roman" w:cs="Times New Roman"/>
          <w:color w:val="000000" w:themeColor="text1"/>
          <w:szCs w:val="28"/>
          <w:lang w:val="es-ES_tradnl"/>
          <w14:ligatures w14:val="standardContextual"/>
        </w:rPr>
        <w:t xml:space="preserve">En concreto, dicha disposición resulta incompleta cuando se trata de </w:t>
      </w:r>
      <w:r w:rsidRPr="000C03D2">
        <w:rPr>
          <w:rFonts w:ascii="Times New Roman" w:hAnsi="Times New Roman" w:cs="Times New Roman"/>
          <w:color w:val="000000" w:themeColor="text1"/>
          <w:szCs w:val="28"/>
          <w:lang w:val="es-ES_tradnl"/>
          <w14:ligatures w14:val="standardContextual"/>
        </w:rPr>
        <w:t xml:space="preserve">otras </w:t>
      </w:r>
      <w:r w:rsidRPr="000C03D2">
        <w:rPr>
          <w:rFonts w:ascii="Times New Roman" w:hAnsi="Times New Roman" w:cs="Times New Roman"/>
          <w:color w:val="000000" w:themeColor="text1"/>
          <w:szCs w:val="28"/>
          <w:lang w:val="es-ES_tradnl"/>
          <w14:ligatures w14:val="standardContextual"/>
        </w:rPr>
        <w:t>perso</w:t>
      </w:r>
      <w:r w:rsidRPr="000C03D2">
        <w:rPr>
          <w:rFonts w:ascii="Times New Roman" w:hAnsi="Times New Roman" w:cs="Times New Roman"/>
          <w:color w:val="000000" w:themeColor="text1"/>
          <w:szCs w:val="28"/>
          <w:lang w:val="es-ES_tradnl"/>
          <w14:ligatures w14:val="standardContextual"/>
        </w:rPr>
        <w:t xml:space="preserve">nas </w:t>
      </w:r>
      <w:r w:rsidRPr="000C03D2">
        <w:rPr>
          <w:rFonts w:ascii="Times New Roman" w:hAnsi="Times New Roman" w:cs="Times New Roman"/>
          <w:color w:val="000000" w:themeColor="text1"/>
          <w:szCs w:val="28"/>
          <w:lang w:val="es-ES_tradnl"/>
          <w14:ligatures w14:val="standardContextual"/>
        </w:rPr>
        <w:t>gestantes</w:t>
      </w:r>
      <w:r w:rsidRPr="000C03D2">
        <w:rPr>
          <w:rFonts w:ascii="Times New Roman" w:hAnsi="Times New Roman" w:cs="Times New Roman"/>
          <w:color w:val="000000" w:themeColor="text1"/>
          <w:szCs w:val="28"/>
          <w:lang w:val="es-ES_tradnl"/>
          <w14:ligatures w14:val="standardContextual"/>
        </w:rPr>
        <w:t>.</w:t>
      </w:r>
    </w:p>
    <w:p w:rsidR="00A347BF" w:rsidRPr="000C03D2" w:rsidRDefault="000C03D2" w:rsidP="00A347BF">
      <w:pPr>
        <w:pStyle w:val="Prrafodelist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rPr>
          <w:rFonts w:ascii="Times New Roman" w:hAnsi="Times New Roman" w:cs="Times New Roman"/>
          <w:color w:val="000000" w:themeColor="text1"/>
          <w:szCs w:val="28"/>
          <w:lang w:val="es-ES_tradnl"/>
          <w14:ligatures w14:val="standardContextual"/>
        </w:rPr>
      </w:pPr>
    </w:p>
    <w:p w:rsidR="00A347BF" w:rsidRPr="000C03D2" w:rsidRDefault="000C03D2" w:rsidP="00A347BF">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lang w:val="es-ES_tradnl"/>
          <w14:ligatures w14:val="standardContextual"/>
        </w:rPr>
        <w:t>La Secretaría Distrital de la Mujer, la Universidad Libre de Colombia y la Universidad CESMAG, coinciden al argumentar que la</w:t>
      </w:r>
      <w:r w:rsidRPr="000C03D2">
        <w:rPr>
          <w:rFonts w:ascii="Times New Roman" w:hAnsi="Times New Roman" w:cs="Times New Roman"/>
          <w:color w:val="000000" w:themeColor="text1"/>
        </w:rPr>
        <w:t xml:space="preserve"> exclusión identificada no responde a criterios de razonabilidad ni proporcionalidad y perpetúa un tratamiento binario y restrictivo, contrario a los mandatos de igualdad sustantiva. En su concepto, la </w:t>
      </w:r>
      <w:r w:rsidRPr="000C03D2">
        <w:rPr>
          <w:rFonts w:ascii="Times New Roman" w:hAnsi="Times New Roman" w:cs="Times New Roman"/>
          <w:color w:val="000000" w:themeColor="text1"/>
        </w:rPr>
        <w:t>ausencia</w:t>
      </w:r>
      <w:r w:rsidRPr="000C03D2">
        <w:rPr>
          <w:rFonts w:ascii="Times New Roman" w:hAnsi="Times New Roman" w:cs="Times New Roman"/>
          <w:color w:val="000000" w:themeColor="text1"/>
        </w:rPr>
        <w:t xml:space="preserve"> de un lenguaje incluyente </w:t>
      </w:r>
      <w:r w:rsidRPr="000C03D2">
        <w:rPr>
          <w:rFonts w:ascii="Times New Roman" w:hAnsi="Times New Roman" w:cs="Times New Roman"/>
          <w:color w:val="000000" w:themeColor="text1"/>
        </w:rPr>
        <w:t xml:space="preserve">es discriminatorio </w:t>
      </w:r>
      <w:r w:rsidRPr="000C03D2">
        <w:rPr>
          <w:rFonts w:ascii="Times New Roman" w:hAnsi="Times New Roman" w:cs="Times New Roman"/>
          <w:color w:val="000000" w:themeColor="text1"/>
        </w:rPr>
        <w:t>porque</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rPr>
        <w:t>niega</w:t>
      </w:r>
      <w:r w:rsidRPr="000C03D2">
        <w:rPr>
          <w:rFonts w:ascii="Times New Roman" w:hAnsi="Times New Roman" w:cs="Times New Roman"/>
          <w:color w:val="000000" w:themeColor="text1"/>
        </w:rPr>
        <w:t xml:space="preserve"> el acceso a una garantía laboral esencial a quienes no se ajustan a la noción tradicional de mujer cisgénero</w:t>
      </w:r>
      <w:r w:rsidRPr="000C03D2">
        <w:rPr>
          <w:rStyle w:val="Refdenotaalpie"/>
          <w:rFonts w:ascii="Times New Roman" w:hAnsi="Times New Roman" w:cs="Times New Roman"/>
          <w:color w:val="000000" w:themeColor="text1"/>
        </w:rPr>
        <w:footnoteReference w:id="97"/>
      </w:r>
      <w:r w:rsidRPr="000C03D2">
        <w:rPr>
          <w:rFonts w:ascii="Times New Roman" w:hAnsi="Times New Roman" w:cs="Times New Roman"/>
          <w:color w:val="000000" w:themeColor="text1"/>
        </w:rPr>
        <w:t>.</w:t>
      </w:r>
    </w:p>
    <w:p w:rsidR="00A347BF" w:rsidRPr="000C03D2" w:rsidRDefault="000C03D2" w:rsidP="00733E42">
      <w:pPr>
        <w:jc w:val="both"/>
        <w:rPr>
          <w:rFonts w:ascii="Times New Roman" w:hAnsi="Times New Roman" w:cs="Times New Roman"/>
          <w:color w:val="000000" w:themeColor="text1"/>
          <w:sz w:val="28"/>
        </w:rPr>
      </w:pPr>
      <w:r w:rsidRPr="000C03D2">
        <w:rPr>
          <w:rFonts w:ascii="Times New Roman" w:hAnsi="Times New Roman" w:cs="Times New Roman"/>
          <w:color w:val="000000" w:themeColor="text1"/>
          <w:sz w:val="28"/>
        </w:rPr>
        <w:t xml:space="preserve"> </w:t>
      </w:r>
    </w:p>
    <w:p w:rsidR="008E6612" w:rsidRPr="000C03D2" w:rsidRDefault="000C03D2" w:rsidP="00A141C2">
      <w:pPr>
        <w:pStyle w:val="Prrafodelista"/>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right="49"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lang w:val="es-ES_tradnl"/>
          <w14:ligatures w14:val="standardContextual"/>
        </w:rPr>
        <w:t xml:space="preserve">Con el fin de valorar la desigualdad negativa, en las sentencias C-324 de 2023 y C-071 de 2025, la Corte </w:t>
      </w:r>
      <w:r w:rsidRPr="000C03D2">
        <w:rPr>
          <w:rFonts w:ascii="Times New Roman" w:hAnsi="Times New Roman" w:cs="Times New Roman"/>
          <w:color w:val="000000" w:themeColor="text1"/>
          <w:szCs w:val="28"/>
          <w:lang w:val="es-ES_tradnl"/>
          <w14:ligatures w14:val="standardContextual"/>
        </w:rPr>
        <w:t xml:space="preserve">se cuestionó si la norma </w:t>
      </w:r>
      <w:r w:rsidRPr="000C03D2">
        <w:rPr>
          <w:rFonts w:ascii="Times New Roman" w:hAnsi="Times New Roman" w:cs="Times New Roman"/>
          <w:color w:val="000000" w:themeColor="text1"/>
          <w:szCs w:val="28"/>
          <w:lang w:val="es-ES_tradnl"/>
          <w14:ligatures w14:val="standardContextual"/>
        </w:rPr>
        <w:t>buscaba un fin legítimo, si el tratamiento desigual era necesario y si el trato diferente era desproporcionado. A continuación, la Sala Plena resolverá las mismas cuestiones en el caso concreto.</w:t>
      </w:r>
      <w:r w:rsidRPr="000C03D2">
        <w:rPr>
          <w:rFonts w:ascii="Times New Roman" w:hAnsi="Times New Roman" w:cs="Times New Roman"/>
          <w:color w:val="000000" w:themeColor="text1"/>
          <w:szCs w:val="28"/>
          <w:lang w:val="es-ES_tradnl"/>
          <w14:ligatures w14:val="standardContextual"/>
        </w:rPr>
        <w:t xml:space="preserve"> </w:t>
      </w:r>
    </w:p>
    <w:p w:rsidR="001267CB" w:rsidRPr="000C03D2" w:rsidRDefault="000C03D2" w:rsidP="00A141C2">
      <w:pPr>
        <w:pStyle w:val="Prrafodelista"/>
        <w:ind w:left="0"/>
        <w:rPr>
          <w:rFonts w:ascii="Times New Roman" w:hAnsi="Times New Roman" w:cs="Times New Roman"/>
          <w:color w:val="000000" w:themeColor="text1"/>
          <w:szCs w:val="28"/>
          <w:shd w:val="clear" w:color="auto" w:fill="FFFFFF"/>
        </w:rPr>
      </w:pPr>
    </w:p>
    <w:p w:rsidR="001267CB"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shd w:val="clear" w:color="auto" w:fill="FFFFFF"/>
        </w:rPr>
      </w:pPr>
      <w:r w:rsidRPr="000C03D2">
        <w:rPr>
          <w:rFonts w:ascii="Times New Roman" w:hAnsi="Times New Roman" w:cs="Times New Roman"/>
          <w:i/>
          <w:iCs/>
          <w:color w:val="000000" w:themeColor="text1"/>
          <w:szCs w:val="28"/>
          <w:shd w:val="clear" w:color="auto" w:fill="FFFFFF"/>
        </w:rPr>
        <w:t xml:space="preserve">La </w:t>
      </w:r>
      <w:r w:rsidRPr="000C03D2">
        <w:rPr>
          <w:rFonts w:ascii="Times New Roman" w:hAnsi="Times New Roman" w:cs="Times New Roman"/>
          <w:i/>
          <w:iCs/>
          <w:color w:val="000000" w:themeColor="text1"/>
          <w:szCs w:val="28"/>
          <w:shd w:val="clear" w:color="auto" w:fill="FFFFFF"/>
        </w:rPr>
        <w:t>expresión</w:t>
      </w:r>
      <w:r w:rsidRPr="000C03D2">
        <w:rPr>
          <w:rFonts w:ascii="Times New Roman" w:hAnsi="Times New Roman" w:cs="Times New Roman"/>
          <w:i/>
          <w:iCs/>
          <w:color w:val="000000" w:themeColor="text1"/>
          <w:szCs w:val="28"/>
          <w:shd w:val="clear" w:color="auto" w:fill="FFFFFF"/>
        </w:rPr>
        <w:t xml:space="preserve"> objeto de revisión</w:t>
      </w:r>
      <w:r w:rsidRPr="000C03D2">
        <w:rPr>
          <w:rFonts w:ascii="Times New Roman" w:hAnsi="Times New Roman" w:cs="Times New Roman"/>
          <w:i/>
          <w:iCs/>
          <w:color w:val="000000" w:themeColor="text1"/>
          <w:szCs w:val="28"/>
          <w:shd w:val="clear" w:color="auto" w:fill="FFFFFF"/>
        </w:rPr>
        <w:t xml:space="preserve"> busca un fin legítimo</w:t>
      </w:r>
      <w:r w:rsidRPr="000C03D2">
        <w:rPr>
          <w:rFonts w:ascii="Times New Roman" w:hAnsi="Times New Roman" w:cs="Times New Roman"/>
          <w:color w:val="000000" w:themeColor="text1"/>
          <w:szCs w:val="28"/>
          <w:shd w:val="clear" w:color="auto" w:fill="FFFFFF"/>
        </w:rPr>
        <w:t xml:space="preserve">. En </w:t>
      </w:r>
      <w:r w:rsidRPr="000C03D2">
        <w:rPr>
          <w:rFonts w:ascii="Times New Roman" w:hAnsi="Times New Roman" w:cs="Times New Roman"/>
          <w:color w:val="000000" w:themeColor="text1"/>
          <w:szCs w:val="28"/>
          <w:shd w:val="clear" w:color="auto" w:fill="FFFFFF"/>
        </w:rPr>
        <w:t>principio</w:t>
      </w:r>
      <w:r w:rsidRPr="000C03D2">
        <w:rPr>
          <w:rFonts w:ascii="Times New Roman" w:hAnsi="Times New Roman" w:cs="Times New Roman"/>
          <w:color w:val="000000" w:themeColor="text1"/>
          <w:szCs w:val="28"/>
          <w:shd w:val="clear" w:color="auto" w:fill="FFFFFF"/>
        </w:rPr>
        <w:t xml:space="preserve">, el hecho de que las mujeres sean las titulares de los derechos y beneficios consagrados en </w:t>
      </w:r>
      <w:r w:rsidRPr="000C03D2">
        <w:rPr>
          <w:rFonts w:ascii="Times New Roman" w:hAnsi="Times New Roman" w:cs="Times New Roman"/>
          <w:color w:val="000000" w:themeColor="text1"/>
          <w:szCs w:val="28"/>
          <w:shd w:val="clear" w:color="auto" w:fill="FFFFFF"/>
        </w:rPr>
        <w:t>caso de aborto</w:t>
      </w:r>
      <w:r w:rsidRPr="000C03D2">
        <w:rPr>
          <w:rFonts w:ascii="Times New Roman" w:hAnsi="Times New Roman" w:cs="Times New Roman"/>
          <w:color w:val="000000" w:themeColor="text1"/>
          <w:szCs w:val="28"/>
          <w:shd w:val="clear" w:color="auto" w:fill="FFFFFF"/>
        </w:rPr>
        <w:t xml:space="preserve">, concreta y materializa mandatos constitucionales relacionados con la protección de la mujer </w:t>
      </w:r>
      <w:r w:rsidRPr="000C03D2">
        <w:rPr>
          <w:rFonts w:ascii="Times New Roman" w:hAnsi="Times New Roman" w:cs="Times New Roman"/>
          <w:color w:val="000000" w:themeColor="text1"/>
          <w:szCs w:val="28"/>
          <w:shd w:val="clear" w:color="auto" w:fill="FFFFFF"/>
        </w:rPr>
        <w:t>gestante</w:t>
      </w:r>
      <w:r w:rsidRPr="000C03D2">
        <w:rPr>
          <w:rFonts w:ascii="Times New Roman" w:hAnsi="Times New Roman" w:cs="Times New Roman"/>
          <w:color w:val="000000" w:themeColor="text1"/>
          <w:szCs w:val="28"/>
          <w:shd w:val="clear" w:color="auto" w:fill="FFFFFF"/>
        </w:rPr>
        <w:t>. Sin embargo, la no inclusión explíci</w:t>
      </w:r>
      <w:r w:rsidRPr="000C03D2">
        <w:rPr>
          <w:rFonts w:ascii="Times New Roman" w:hAnsi="Times New Roman" w:cs="Times New Roman"/>
          <w:color w:val="000000" w:themeColor="text1"/>
          <w:szCs w:val="28"/>
          <w:shd w:val="clear" w:color="auto" w:fill="FFFFFF"/>
        </w:rPr>
        <w:t xml:space="preserve">ta de todas las personas </w:t>
      </w:r>
      <w:r w:rsidRPr="000C03D2">
        <w:rPr>
          <w:rFonts w:ascii="Times New Roman" w:hAnsi="Times New Roman" w:cs="Times New Roman"/>
          <w:color w:val="000000" w:themeColor="text1"/>
          <w:szCs w:val="28"/>
          <w:shd w:val="clear" w:color="auto" w:fill="FFFFFF"/>
        </w:rPr>
        <w:t>gestantes</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que podrían transitar por un</w:t>
      </w:r>
      <w:r w:rsidRPr="000C03D2">
        <w:rPr>
          <w:rFonts w:ascii="Times New Roman" w:hAnsi="Times New Roman" w:cs="Times New Roman"/>
          <w:color w:val="000000" w:themeColor="text1"/>
          <w:szCs w:val="28"/>
          <w:shd w:val="clear" w:color="auto" w:fill="FFFFFF"/>
        </w:rPr>
        <w:t xml:space="preserve"> abort</w:t>
      </w:r>
      <w:r w:rsidRPr="000C03D2">
        <w:rPr>
          <w:rFonts w:ascii="Times New Roman" w:hAnsi="Times New Roman" w:cs="Times New Roman"/>
          <w:color w:val="000000" w:themeColor="text1"/>
          <w:szCs w:val="28"/>
          <w:shd w:val="clear" w:color="auto" w:fill="FFFFFF"/>
        </w:rPr>
        <w:t>o</w:t>
      </w:r>
      <w:r w:rsidRPr="000C03D2">
        <w:rPr>
          <w:rFonts w:ascii="Times New Roman" w:hAnsi="Times New Roman" w:cs="Times New Roman"/>
          <w:color w:val="000000" w:themeColor="text1"/>
          <w:szCs w:val="28"/>
          <w:shd w:val="clear" w:color="auto" w:fill="FFFFFF"/>
        </w:rPr>
        <w:t xml:space="preserve"> de forma espontánea, de interrumpir voluntariamente su embarazo o de tener un parto no viable, </w:t>
      </w:r>
      <w:r w:rsidRPr="000C03D2">
        <w:rPr>
          <w:rFonts w:ascii="Times New Roman" w:hAnsi="Times New Roman" w:cs="Times New Roman"/>
          <w:color w:val="000000" w:themeColor="text1"/>
          <w:szCs w:val="28"/>
          <w:shd w:val="clear" w:color="auto" w:fill="FFFFFF"/>
        </w:rPr>
        <w:t xml:space="preserve">no cumple finalidad constitucional alguna. </w:t>
      </w:r>
    </w:p>
    <w:p w:rsidR="001267CB" w:rsidRPr="000C03D2" w:rsidRDefault="000C03D2" w:rsidP="00A141C2">
      <w:pPr>
        <w:pStyle w:val="Prrafodelista"/>
        <w:rPr>
          <w:rFonts w:ascii="Times New Roman" w:hAnsi="Times New Roman" w:cs="Times New Roman"/>
          <w:color w:val="000000" w:themeColor="text1"/>
          <w:szCs w:val="28"/>
          <w:shd w:val="clear" w:color="auto" w:fill="FFFFFF"/>
        </w:rPr>
      </w:pPr>
    </w:p>
    <w:p w:rsidR="001267CB"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shd w:val="clear" w:color="auto" w:fill="FFFFFF"/>
        </w:rPr>
      </w:pPr>
      <w:r w:rsidRPr="000C03D2">
        <w:rPr>
          <w:rFonts w:ascii="Times New Roman" w:hAnsi="Times New Roman" w:cs="Times New Roman"/>
          <w:color w:val="000000" w:themeColor="text1"/>
          <w:szCs w:val="28"/>
          <w:shd w:val="clear" w:color="auto" w:fill="FFFFFF"/>
        </w:rPr>
        <w:t>La Sala</w:t>
      </w:r>
      <w:r w:rsidRPr="000C03D2">
        <w:rPr>
          <w:rFonts w:ascii="Times New Roman" w:hAnsi="Times New Roman" w:cs="Times New Roman"/>
          <w:color w:val="000000" w:themeColor="text1"/>
          <w:szCs w:val="28"/>
          <w:shd w:val="clear" w:color="auto" w:fill="FFFFFF"/>
        </w:rPr>
        <w:t xml:space="preserve"> Plena</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reitera</w:t>
      </w:r>
      <w:r w:rsidRPr="000C03D2">
        <w:rPr>
          <w:rFonts w:ascii="Times New Roman" w:hAnsi="Times New Roman" w:cs="Times New Roman"/>
          <w:color w:val="000000" w:themeColor="text1"/>
          <w:szCs w:val="28"/>
          <w:shd w:val="clear" w:color="auto" w:fill="FFFFFF"/>
        </w:rPr>
        <w:t xml:space="preserve"> que la protección de la</w:t>
      </w:r>
      <w:r w:rsidRPr="000C03D2">
        <w:rPr>
          <w:rFonts w:ascii="Times New Roman" w:hAnsi="Times New Roman" w:cs="Times New Roman"/>
          <w:color w:val="000000" w:themeColor="text1"/>
          <w:szCs w:val="28"/>
          <w:shd w:val="clear" w:color="auto" w:fill="FFFFFF"/>
        </w:rPr>
        <w:t xml:space="preserve">s mujeres incluida en </w:t>
      </w:r>
      <w:r w:rsidRPr="000C03D2">
        <w:rPr>
          <w:rFonts w:ascii="Times New Roman" w:hAnsi="Times New Roman" w:cs="Times New Roman"/>
          <w:color w:val="000000" w:themeColor="text1"/>
          <w:szCs w:val="28"/>
          <w:shd w:val="clear" w:color="auto" w:fill="FFFFFF"/>
        </w:rPr>
        <w:t>el</w:t>
      </w:r>
      <w:r w:rsidRPr="000C03D2">
        <w:rPr>
          <w:rFonts w:ascii="Times New Roman" w:hAnsi="Times New Roman" w:cs="Times New Roman"/>
          <w:color w:val="000000" w:themeColor="text1"/>
          <w:szCs w:val="28"/>
          <w:shd w:val="clear" w:color="auto" w:fill="FFFFFF"/>
        </w:rPr>
        <w:t xml:space="preserve"> precepto acusado responde a las luchas históricas de aquellas para el reconocimiento de sus derechos. En particular, aquellos relacionados con su autonomía, </w:t>
      </w:r>
      <w:r w:rsidRPr="000C03D2">
        <w:rPr>
          <w:rFonts w:ascii="Times New Roman" w:hAnsi="Times New Roman" w:cs="Times New Roman"/>
          <w:color w:val="000000" w:themeColor="text1"/>
          <w:szCs w:val="28"/>
          <w:shd w:val="clear" w:color="auto" w:fill="FFFFFF"/>
        </w:rPr>
        <w:t>su dignidad y sus derechos sexuales y reproductivos</w:t>
      </w:r>
      <w:r w:rsidRPr="000C03D2">
        <w:rPr>
          <w:rFonts w:ascii="Times New Roman" w:hAnsi="Times New Roman" w:cs="Times New Roman"/>
          <w:color w:val="000000" w:themeColor="text1"/>
          <w:szCs w:val="28"/>
          <w:shd w:val="clear" w:color="auto" w:fill="FFFFFF"/>
        </w:rPr>
        <w:t xml:space="preserve">. Sin embargo, dicho </w:t>
      </w:r>
      <w:r w:rsidRPr="000C03D2">
        <w:rPr>
          <w:rFonts w:ascii="Times New Roman" w:hAnsi="Times New Roman" w:cs="Times New Roman"/>
          <w:color w:val="000000" w:themeColor="text1"/>
          <w:szCs w:val="28"/>
          <w:shd w:val="clear" w:color="auto" w:fill="FFFFFF"/>
        </w:rPr>
        <w:t>aspecto no se desdibuja ni se invisibiliza, si se avanza en la extensión de la protección que consagra la norma a grupos poblacionales que han sufrido otras dinámicas de discriminación y de exclusión social. En consecuencia, dicha exclusión</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desconoce el pr</w:t>
      </w:r>
      <w:r w:rsidRPr="000C03D2">
        <w:rPr>
          <w:rFonts w:ascii="Times New Roman" w:hAnsi="Times New Roman" w:cs="Times New Roman"/>
          <w:color w:val="000000" w:themeColor="text1"/>
          <w:szCs w:val="28"/>
          <w:shd w:val="clear" w:color="auto" w:fill="FFFFFF"/>
        </w:rPr>
        <w:t>incipio de igualdad.</w:t>
      </w:r>
    </w:p>
    <w:p w:rsidR="001267CB" w:rsidRPr="000C03D2" w:rsidRDefault="000C03D2" w:rsidP="00A141C2">
      <w:pPr>
        <w:pStyle w:val="Prrafodelista"/>
        <w:rPr>
          <w:rFonts w:ascii="Times New Roman" w:hAnsi="Times New Roman" w:cs="Times New Roman"/>
          <w:color w:val="000000" w:themeColor="text1"/>
          <w:szCs w:val="28"/>
          <w:shd w:val="clear" w:color="auto" w:fill="FFFFFF"/>
        </w:rPr>
      </w:pPr>
    </w:p>
    <w:p w:rsidR="00236F63" w:rsidRPr="000C03D2" w:rsidRDefault="000C03D2" w:rsidP="00236F63">
      <w:pPr>
        <w:pStyle w:val="Prrafodelista"/>
        <w:numPr>
          <w:ilvl w:val="0"/>
          <w:numId w:val="3"/>
        </w:numPr>
        <w:tabs>
          <w:tab w:val="left" w:pos="426"/>
        </w:tabs>
        <w:ind w:left="0" w:right="48" w:firstLine="0"/>
        <w:rPr>
          <w:rFonts w:ascii="Times New Roman" w:hAnsi="Times New Roman" w:cs="Times New Roman"/>
          <w:color w:val="000000" w:themeColor="text1"/>
          <w:szCs w:val="28"/>
        </w:rPr>
      </w:pPr>
      <w:r w:rsidRPr="000C03D2">
        <w:rPr>
          <w:rFonts w:ascii="Times New Roman" w:hAnsi="Times New Roman" w:cs="Times New Roman"/>
          <w:color w:val="000000" w:themeColor="text1"/>
          <w:szCs w:val="28"/>
        </w:rPr>
        <w:t>En</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los</w:t>
      </w:r>
      <w:r w:rsidRPr="000C03D2">
        <w:rPr>
          <w:rFonts w:ascii="Times New Roman" w:hAnsi="Times New Roman" w:cs="Times New Roman"/>
          <w:color w:val="000000" w:themeColor="text1"/>
          <w:szCs w:val="28"/>
        </w:rPr>
        <w:t xml:space="preserve"> casos en los cuales se suscita un problema de igualdad por la infracción del mandato de trato igual</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la Corte debe preguntarse no por la finalidad que en general persigue la disposición</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sino</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por la finalidad del trato diverso </w:t>
      </w:r>
      <w:r w:rsidRPr="000C03D2">
        <w:rPr>
          <w:rFonts w:ascii="Times New Roman" w:hAnsi="Times New Roman" w:cs="Times New Roman"/>
          <w:color w:val="000000" w:themeColor="text1"/>
          <w:szCs w:val="28"/>
        </w:rPr>
        <w:t>que ella establece. En ese contexto la Corte encuentra que al trato diferente establecido en la disposición acusada no se adscribe</w:t>
      </w:r>
      <w:r w:rsidRPr="000C03D2">
        <w:rPr>
          <w:rFonts w:ascii="Times New Roman" w:hAnsi="Times New Roman" w:cs="Times New Roman"/>
          <w:color w:val="000000" w:themeColor="text1"/>
          <w:szCs w:val="28"/>
        </w:rPr>
        <w:t xml:space="preserve"> a</w:t>
      </w:r>
      <w:r w:rsidRPr="000C03D2">
        <w:rPr>
          <w:rFonts w:ascii="Times New Roman" w:hAnsi="Times New Roman" w:cs="Times New Roman"/>
          <w:color w:val="000000" w:themeColor="text1"/>
          <w:szCs w:val="28"/>
        </w:rPr>
        <w:t xml:space="preserve"> ninguna finalidad constitucionalmente relevante y, por ello, no tiene la aptitud de satisfacer la primera etapa de este exa</w:t>
      </w:r>
      <w:r w:rsidRPr="000C03D2">
        <w:rPr>
          <w:rFonts w:ascii="Times New Roman" w:hAnsi="Times New Roman" w:cs="Times New Roman"/>
          <w:color w:val="000000" w:themeColor="text1"/>
          <w:szCs w:val="28"/>
        </w:rPr>
        <w:t xml:space="preserve">men. </w:t>
      </w:r>
      <w:r w:rsidRPr="000C03D2">
        <w:rPr>
          <w:rFonts w:ascii="Times New Roman" w:hAnsi="Times New Roman" w:cs="Times New Roman"/>
          <w:color w:val="000000" w:themeColor="text1"/>
          <w:szCs w:val="28"/>
        </w:rPr>
        <w:t>Por consiguiente</w:t>
      </w:r>
      <w:r w:rsidRPr="000C03D2">
        <w:rPr>
          <w:rFonts w:ascii="Times New Roman" w:hAnsi="Times New Roman" w:cs="Times New Roman"/>
          <w:color w:val="000000" w:themeColor="text1"/>
          <w:szCs w:val="28"/>
        </w:rPr>
        <w:t>, constituye un trato infundado que se apoya en prejuicios que desconoce</w:t>
      </w:r>
      <w:r w:rsidRPr="000C03D2">
        <w:rPr>
          <w:rFonts w:ascii="Times New Roman" w:hAnsi="Times New Roman" w:cs="Times New Roman"/>
          <w:color w:val="000000" w:themeColor="text1"/>
          <w:szCs w:val="28"/>
        </w:rPr>
        <w:t xml:space="preserve"> el principio de igualdad consagrado en el artículo 13 de</w:t>
      </w:r>
      <w:r w:rsidRPr="000C03D2">
        <w:rPr>
          <w:rFonts w:ascii="Times New Roman" w:hAnsi="Times New Roman" w:cs="Times New Roman"/>
          <w:color w:val="000000" w:themeColor="text1"/>
          <w:szCs w:val="28"/>
        </w:rPr>
        <w:t xml:space="preserve"> la Constitución Política</w:t>
      </w:r>
      <w:r w:rsidRPr="000C03D2">
        <w:rPr>
          <w:rFonts w:ascii="Times New Roman" w:hAnsi="Times New Roman" w:cs="Times New Roman"/>
          <w:color w:val="000000" w:themeColor="text1"/>
          <w:szCs w:val="28"/>
        </w:rPr>
        <w:t>, al tiempo que desconoce el derecho innominado a la identidad de género reconoci</w:t>
      </w:r>
      <w:r w:rsidRPr="000C03D2">
        <w:rPr>
          <w:rFonts w:ascii="Times New Roman" w:hAnsi="Times New Roman" w:cs="Times New Roman"/>
          <w:color w:val="000000" w:themeColor="text1"/>
          <w:szCs w:val="28"/>
        </w:rPr>
        <w:t>do en virtud de lo dispuesto en el artículo 94 Superior</w:t>
      </w:r>
      <w:r w:rsidRPr="000C03D2">
        <w:rPr>
          <w:rFonts w:ascii="Times New Roman" w:hAnsi="Times New Roman" w:cs="Times New Roman"/>
          <w:color w:val="000000" w:themeColor="text1"/>
          <w:szCs w:val="28"/>
        </w:rPr>
        <w:t>.</w:t>
      </w:r>
      <w:r w:rsidRPr="000C03D2">
        <w:rPr>
          <w:rFonts w:ascii="Times New Roman" w:hAnsi="Times New Roman" w:cs="Times New Roman"/>
          <w:color w:val="000000" w:themeColor="text1"/>
          <w:szCs w:val="28"/>
        </w:rPr>
        <w:t xml:space="preserve">  </w:t>
      </w:r>
      <w:r w:rsidRPr="000C03D2">
        <w:rPr>
          <w:rFonts w:ascii="Times New Roman" w:hAnsi="Times New Roman" w:cs="Times New Roman"/>
          <w:color w:val="000000" w:themeColor="text1"/>
          <w:szCs w:val="28"/>
        </w:rPr>
        <w:t xml:space="preserve"> </w:t>
      </w:r>
    </w:p>
    <w:p w:rsidR="00236F63" w:rsidRPr="000C03D2" w:rsidRDefault="000C03D2" w:rsidP="00A141C2">
      <w:pPr>
        <w:pStyle w:val="Prrafodelista"/>
        <w:rPr>
          <w:rFonts w:ascii="Times New Roman" w:hAnsi="Times New Roman" w:cs="Times New Roman"/>
          <w:color w:val="000000" w:themeColor="text1"/>
          <w:szCs w:val="28"/>
          <w:shd w:val="clear" w:color="auto" w:fill="FFFFFF"/>
        </w:rPr>
      </w:pPr>
    </w:p>
    <w:p w:rsidR="001267CB"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shd w:val="clear" w:color="auto" w:fill="FFFFFF"/>
        </w:rPr>
      </w:pPr>
      <w:r w:rsidRPr="000C03D2">
        <w:rPr>
          <w:rFonts w:ascii="Times New Roman" w:hAnsi="Times New Roman" w:cs="Times New Roman"/>
          <w:i/>
          <w:iCs/>
          <w:color w:val="000000" w:themeColor="text1"/>
          <w:szCs w:val="28"/>
          <w:shd w:val="clear" w:color="auto" w:fill="FFFFFF"/>
        </w:rPr>
        <w:t>E</w:t>
      </w:r>
      <w:r w:rsidRPr="000C03D2">
        <w:rPr>
          <w:rFonts w:ascii="Times New Roman" w:hAnsi="Times New Roman" w:cs="Times New Roman"/>
          <w:i/>
          <w:iCs/>
          <w:color w:val="000000" w:themeColor="text1"/>
          <w:szCs w:val="28"/>
          <w:shd w:val="clear" w:color="auto" w:fill="FFFFFF"/>
        </w:rPr>
        <w:t>l tratamiento desigual no es necesario</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El derecho al descanso remunerado en caso de aborto reconocid</w:t>
      </w:r>
      <w:r w:rsidRPr="000C03D2">
        <w:rPr>
          <w:rFonts w:ascii="Times New Roman" w:hAnsi="Times New Roman" w:cs="Times New Roman"/>
          <w:color w:val="000000" w:themeColor="text1"/>
          <w:szCs w:val="28"/>
          <w:shd w:val="clear" w:color="auto" w:fill="FFFFFF"/>
        </w:rPr>
        <w:t>o</w:t>
      </w:r>
      <w:r w:rsidRPr="000C03D2">
        <w:rPr>
          <w:rFonts w:ascii="Times New Roman" w:hAnsi="Times New Roman" w:cs="Times New Roman"/>
          <w:color w:val="000000" w:themeColor="text1"/>
          <w:szCs w:val="28"/>
          <w:shd w:val="clear" w:color="auto" w:fill="FFFFFF"/>
        </w:rPr>
        <w:t xml:space="preserve"> a las trabajadoras</w:t>
      </w:r>
      <w:r w:rsidRPr="000C03D2">
        <w:rPr>
          <w:rFonts w:ascii="Times New Roman" w:hAnsi="Times New Roman" w:cs="Times New Roman"/>
          <w:color w:val="000000" w:themeColor="text1"/>
          <w:szCs w:val="28"/>
          <w:shd w:val="clear" w:color="auto" w:fill="FFFFFF"/>
        </w:rPr>
        <w:t xml:space="preserve"> no está condicionad</w:t>
      </w:r>
      <w:r w:rsidRPr="000C03D2">
        <w:rPr>
          <w:rFonts w:ascii="Times New Roman" w:hAnsi="Times New Roman" w:cs="Times New Roman"/>
          <w:color w:val="000000" w:themeColor="text1"/>
          <w:szCs w:val="28"/>
          <w:shd w:val="clear" w:color="auto" w:fill="FFFFFF"/>
        </w:rPr>
        <w:t>o</w:t>
      </w:r>
      <w:r w:rsidRPr="000C03D2">
        <w:rPr>
          <w:rFonts w:ascii="Times New Roman" w:hAnsi="Times New Roman" w:cs="Times New Roman"/>
          <w:color w:val="000000" w:themeColor="text1"/>
          <w:szCs w:val="28"/>
          <w:shd w:val="clear" w:color="auto" w:fill="FFFFFF"/>
        </w:rPr>
        <w:t xml:space="preserve"> a que otras personas </w:t>
      </w:r>
      <w:r w:rsidRPr="000C03D2">
        <w:rPr>
          <w:rFonts w:ascii="Times New Roman" w:hAnsi="Times New Roman" w:cs="Times New Roman"/>
          <w:color w:val="000000" w:themeColor="text1"/>
          <w:szCs w:val="28"/>
          <w:shd w:val="clear" w:color="auto" w:fill="FFFFFF"/>
        </w:rPr>
        <w:t xml:space="preserve">gestantes </w:t>
      </w:r>
      <w:r w:rsidRPr="000C03D2">
        <w:rPr>
          <w:rFonts w:ascii="Times New Roman" w:hAnsi="Times New Roman" w:cs="Times New Roman"/>
          <w:color w:val="000000" w:themeColor="text1"/>
          <w:szCs w:val="28"/>
          <w:shd w:val="clear" w:color="auto" w:fill="FFFFFF"/>
        </w:rPr>
        <w:t xml:space="preserve">puedan acceder a las medidas analizadas. De igual forma, que todas las personas </w:t>
      </w:r>
      <w:r w:rsidRPr="000C03D2">
        <w:rPr>
          <w:rFonts w:ascii="Times New Roman" w:hAnsi="Times New Roman" w:cs="Times New Roman"/>
          <w:color w:val="000000" w:themeColor="text1"/>
          <w:szCs w:val="28"/>
          <w:shd w:val="clear" w:color="auto" w:fill="FFFFFF"/>
        </w:rPr>
        <w:t>gestantes</w:t>
      </w:r>
      <w:r w:rsidRPr="000C03D2">
        <w:rPr>
          <w:rFonts w:ascii="Times New Roman" w:hAnsi="Times New Roman" w:cs="Times New Roman"/>
          <w:color w:val="000000" w:themeColor="text1"/>
          <w:szCs w:val="28"/>
          <w:shd w:val="clear" w:color="auto" w:fill="FFFFFF"/>
        </w:rPr>
        <w:t xml:space="preserve"> concurran como beneficiarias de dich</w:t>
      </w:r>
      <w:r w:rsidRPr="000C03D2">
        <w:rPr>
          <w:rFonts w:ascii="Times New Roman" w:hAnsi="Times New Roman" w:cs="Times New Roman"/>
          <w:color w:val="000000" w:themeColor="text1"/>
          <w:szCs w:val="28"/>
          <w:shd w:val="clear" w:color="auto" w:fill="FFFFFF"/>
        </w:rPr>
        <w:t>a</w:t>
      </w:r>
      <w:r w:rsidRPr="000C03D2">
        <w:rPr>
          <w:rFonts w:ascii="Times New Roman" w:hAnsi="Times New Roman" w:cs="Times New Roman"/>
          <w:color w:val="000000" w:themeColor="text1"/>
          <w:szCs w:val="28"/>
          <w:shd w:val="clear" w:color="auto" w:fill="FFFFFF"/>
        </w:rPr>
        <w:t xml:space="preserve"> garantía no implica un compromiso o déficit en el goce de dicho postulado para las mujeres. </w:t>
      </w:r>
    </w:p>
    <w:p w:rsidR="001267CB" w:rsidRPr="000C03D2" w:rsidRDefault="000C03D2" w:rsidP="00A141C2">
      <w:pPr>
        <w:rPr>
          <w:rFonts w:ascii="Times New Roman" w:hAnsi="Times New Roman" w:cs="Times New Roman"/>
          <w:color w:val="000000" w:themeColor="text1"/>
          <w:sz w:val="28"/>
          <w:szCs w:val="28"/>
          <w:shd w:val="clear" w:color="auto" w:fill="FFFFFF"/>
        </w:rPr>
      </w:pPr>
    </w:p>
    <w:p w:rsidR="001267CB"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rPr>
      </w:pPr>
      <w:r w:rsidRPr="000C03D2">
        <w:rPr>
          <w:rFonts w:ascii="Times New Roman" w:hAnsi="Times New Roman" w:cs="Times New Roman"/>
          <w:i/>
          <w:iCs/>
          <w:color w:val="000000" w:themeColor="text1"/>
          <w:szCs w:val="28"/>
          <w:shd w:val="clear" w:color="auto" w:fill="FFFFFF"/>
        </w:rPr>
        <w:t>El tratamiento diferente es despro</w:t>
      </w:r>
      <w:r w:rsidRPr="000C03D2">
        <w:rPr>
          <w:rFonts w:ascii="Times New Roman" w:hAnsi="Times New Roman" w:cs="Times New Roman"/>
          <w:i/>
          <w:iCs/>
          <w:color w:val="000000" w:themeColor="text1"/>
          <w:szCs w:val="28"/>
          <w:shd w:val="clear" w:color="auto" w:fill="FFFFFF"/>
        </w:rPr>
        <w:t>porcionado</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L</w:t>
      </w:r>
      <w:r w:rsidRPr="000C03D2">
        <w:rPr>
          <w:rFonts w:ascii="Times New Roman" w:hAnsi="Times New Roman" w:cs="Times New Roman"/>
          <w:color w:val="000000" w:themeColor="text1"/>
          <w:szCs w:val="28"/>
          <w:shd w:val="clear" w:color="auto" w:fill="FFFFFF"/>
        </w:rPr>
        <w:t>a exclusión de personas que tienen experiencias de vida diferente</w:t>
      </w:r>
      <w:r w:rsidRPr="000C03D2">
        <w:rPr>
          <w:rFonts w:ascii="Times New Roman" w:hAnsi="Times New Roman" w:cs="Times New Roman"/>
          <w:color w:val="000000" w:themeColor="text1"/>
          <w:szCs w:val="28"/>
          <w:shd w:val="clear" w:color="auto" w:fill="FFFFFF"/>
        </w:rPr>
        <w:t>s</w:t>
      </w:r>
      <w:r w:rsidRPr="000C03D2">
        <w:rPr>
          <w:rFonts w:ascii="Times New Roman" w:hAnsi="Times New Roman" w:cs="Times New Roman"/>
          <w:color w:val="000000" w:themeColor="text1"/>
          <w:szCs w:val="28"/>
          <w:shd w:val="clear" w:color="auto" w:fill="FFFFFF"/>
        </w:rPr>
        <w:t>, como los hombres trans y las personas no binarias</w:t>
      </w:r>
      <w:r w:rsidRPr="000C03D2">
        <w:rPr>
          <w:rFonts w:ascii="Times New Roman" w:hAnsi="Times New Roman" w:cs="Times New Roman"/>
          <w:color w:val="000000" w:themeColor="text1"/>
          <w:szCs w:val="28"/>
          <w:shd w:val="clear" w:color="auto" w:fill="FFFFFF"/>
        </w:rPr>
        <w:t>, en casos de aborto</w:t>
      </w:r>
      <w:r w:rsidRPr="000C03D2">
        <w:rPr>
          <w:rFonts w:ascii="Times New Roman" w:hAnsi="Times New Roman" w:cs="Times New Roman"/>
          <w:color w:val="000000" w:themeColor="text1"/>
          <w:szCs w:val="28"/>
          <w:shd w:val="clear" w:color="auto" w:fill="FFFFFF"/>
        </w:rPr>
        <w:t>, acentúa las desigualdades negativas que afectan a dicho grupo poblacional. Al respecto, esta Corporación</w:t>
      </w:r>
      <w:r w:rsidRPr="000C03D2">
        <w:rPr>
          <w:rFonts w:ascii="Times New Roman" w:hAnsi="Times New Roman" w:cs="Times New Roman"/>
          <w:color w:val="000000" w:themeColor="text1"/>
          <w:szCs w:val="28"/>
          <w:shd w:val="clear" w:color="auto" w:fill="FFFFFF"/>
        </w:rPr>
        <w:t xml:space="preserve"> en la</w:t>
      </w:r>
      <w:r w:rsidRPr="000C03D2">
        <w:rPr>
          <w:rFonts w:ascii="Times New Roman" w:hAnsi="Times New Roman" w:cs="Times New Roman"/>
          <w:color w:val="000000" w:themeColor="text1"/>
          <w:szCs w:val="28"/>
          <w:shd w:val="clear" w:color="auto" w:fill="FFFFFF"/>
        </w:rPr>
        <w:t>s</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s</w:t>
      </w:r>
      <w:r w:rsidRPr="000C03D2">
        <w:rPr>
          <w:rFonts w:ascii="Times New Roman" w:hAnsi="Times New Roman" w:cs="Times New Roman"/>
          <w:color w:val="000000" w:themeColor="text1"/>
          <w:szCs w:val="28"/>
          <w:shd w:val="clear" w:color="auto" w:fill="FFFFFF"/>
        </w:rPr>
        <w:t>entencia</w:t>
      </w:r>
      <w:r w:rsidRPr="000C03D2">
        <w:rPr>
          <w:rFonts w:ascii="Times New Roman" w:hAnsi="Times New Roman" w:cs="Times New Roman"/>
          <w:color w:val="000000" w:themeColor="text1"/>
          <w:szCs w:val="28"/>
          <w:shd w:val="clear" w:color="auto" w:fill="FFFFFF"/>
        </w:rPr>
        <w:t>s</w:t>
      </w:r>
      <w:r w:rsidRPr="000C03D2">
        <w:rPr>
          <w:rFonts w:ascii="Times New Roman" w:hAnsi="Times New Roman" w:cs="Times New Roman"/>
          <w:color w:val="000000" w:themeColor="text1"/>
          <w:szCs w:val="28"/>
          <w:shd w:val="clear" w:color="auto" w:fill="FFFFFF"/>
        </w:rPr>
        <w:t xml:space="preserve"> C-324 de 2023 </w:t>
      </w:r>
      <w:r w:rsidRPr="000C03D2">
        <w:rPr>
          <w:rFonts w:ascii="Times New Roman" w:hAnsi="Times New Roman" w:cs="Times New Roman"/>
          <w:color w:val="000000" w:themeColor="text1"/>
          <w:szCs w:val="28"/>
          <w:shd w:val="clear" w:color="auto" w:fill="FFFFFF"/>
        </w:rPr>
        <w:t xml:space="preserve">y C-071 de 2025 </w:t>
      </w:r>
      <w:r w:rsidRPr="000C03D2">
        <w:rPr>
          <w:rFonts w:ascii="Times New Roman" w:hAnsi="Times New Roman" w:cs="Times New Roman"/>
          <w:color w:val="000000" w:themeColor="text1"/>
          <w:szCs w:val="28"/>
          <w:shd w:val="clear" w:color="auto" w:fill="FFFFFF"/>
        </w:rPr>
        <w:t xml:space="preserve">afirmó que la falta de reconocimiento de esta población en la asignación de prestaciones derivadas de </w:t>
      </w:r>
      <w:r w:rsidRPr="000C03D2">
        <w:rPr>
          <w:rFonts w:ascii="Times New Roman" w:hAnsi="Times New Roman" w:cs="Times New Roman"/>
          <w:color w:val="000000" w:themeColor="text1"/>
          <w:szCs w:val="28"/>
          <w:shd w:val="clear" w:color="auto" w:fill="FFFFFF"/>
        </w:rPr>
        <w:t>la gestación</w:t>
      </w:r>
      <w:r w:rsidRPr="000C03D2">
        <w:rPr>
          <w:rFonts w:ascii="Times New Roman" w:hAnsi="Times New Roman" w:cs="Times New Roman"/>
          <w:color w:val="000000" w:themeColor="text1"/>
          <w:szCs w:val="28"/>
          <w:shd w:val="clear" w:color="auto" w:fill="FFFFFF"/>
        </w:rPr>
        <w:t>, perpetúa patrones de invisibilización y la consolidación de barreras que impiden la realiza</w:t>
      </w:r>
      <w:r w:rsidRPr="000C03D2">
        <w:rPr>
          <w:rFonts w:ascii="Times New Roman" w:hAnsi="Times New Roman" w:cs="Times New Roman"/>
          <w:color w:val="000000" w:themeColor="text1"/>
          <w:szCs w:val="28"/>
          <w:shd w:val="clear" w:color="auto" w:fill="FFFFFF"/>
        </w:rPr>
        <w:t xml:space="preserve">ción de sus derechos fundamentales. </w:t>
      </w:r>
      <w:r w:rsidRPr="000C03D2">
        <w:rPr>
          <w:rFonts w:ascii="Times New Roman" w:hAnsi="Times New Roman" w:cs="Times New Roman"/>
          <w:color w:val="000000" w:themeColor="text1"/>
          <w:szCs w:val="28"/>
          <w:shd w:val="clear" w:color="auto" w:fill="FFFFFF"/>
        </w:rPr>
        <w:t>Al respecto</w:t>
      </w:r>
      <w:r w:rsidRPr="000C03D2">
        <w:rPr>
          <w:rFonts w:ascii="Times New Roman" w:hAnsi="Times New Roman" w:cs="Times New Roman"/>
          <w:color w:val="000000" w:themeColor="text1"/>
          <w:szCs w:val="28"/>
          <w:shd w:val="clear" w:color="auto" w:fill="FFFFFF"/>
        </w:rPr>
        <w:t>, en la Sentencia C-324 de 2023,</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la Corte</w:t>
      </w:r>
      <w:r w:rsidRPr="000C03D2">
        <w:rPr>
          <w:rFonts w:ascii="Times New Roman" w:hAnsi="Times New Roman" w:cs="Times New Roman"/>
          <w:color w:val="000000" w:themeColor="text1"/>
          <w:szCs w:val="28"/>
          <w:shd w:val="clear" w:color="auto" w:fill="FFFFFF"/>
        </w:rPr>
        <w:t xml:space="preserve"> señaló que “aún existen prácticas discriminatorias frente a este grupo por parte del Estado, el sector privado y la sociedad en general, lo cual atenta contra los prin</w:t>
      </w:r>
      <w:r w:rsidRPr="000C03D2">
        <w:rPr>
          <w:rFonts w:ascii="Times New Roman" w:hAnsi="Times New Roman" w:cs="Times New Roman"/>
          <w:color w:val="000000" w:themeColor="text1"/>
          <w:szCs w:val="28"/>
          <w:shd w:val="clear" w:color="auto" w:fill="FFFFFF"/>
        </w:rPr>
        <w:t>cipios fundantes de un Estado social y pluralista y, en especial, contra la dignidad humana”</w:t>
      </w:r>
      <w:r w:rsidRPr="000C03D2">
        <w:rPr>
          <w:rStyle w:val="Refdenotaalpie"/>
          <w:rFonts w:ascii="Times New Roman" w:hAnsi="Times New Roman" w:cs="Times New Roman"/>
          <w:color w:val="000000" w:themeColor="text1"/>
          <w:szCs w:val="28"/>
          <w:shd w:val="clear" w:color="auto" w:fill="FFFFFF"/>
        </w:rPr>
        <w:footnoteReference w:id="98"/>
      </w:r>
      <w:r w:rsidRPr="000C03D2">
        <w:rPr>
          <w:rFonts w:ascii="Times New Roman" w:hAnsi="Times New Roman" w:cs="Times New Roman"/>
          <w:color w:val="000000" w:themeColor="text1"/>
          <w:szCs w:val="28"/>
          <w:shd w:val="clear" w:color="auto" w:fill="FFFFFF"/>
        </w:rPr>
        <w:t xml:space="preserve">. </w:t>
      </w:r>
    </w:p>
    <w:p w:rsidR="001267CB" w:rsidRPr="000C03D2" w:rsidRDefault="000C03D2" w:rsidP="00A141C2">
      <w:pPr>
        <w:pStyle w:val="Prrafodelista"/>
        <w:tabs>
          <w:tab w:val="left" w:pos="426"/>
        </w:tabs>
        <w:ind w:left="0"/>
        <w:rPr>
          <w:rFonts w:ascii="Times New Roman" w:hAnsi="Times New Roman" w:cs="Times New Roman"/>
          <w:color w:val="000000" w:themeColor="text1"/>
          <w:szCs w:val="28"/>
        </w:rPr>
      </w:pPr>
    </w:p>
    <w:p w:rsidR="008E6612"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rPr>
        <w:t>En idéntica manera</w:t>
      </w:r>
      <w:r w:rsidRPr="000C03D2">
        <w:rPr>
          <w:rFonts w:ascii="Times New Roman" w:hAnsi="Times New Roman" w:cs="Times New Roman"/>
          <w:color w:val="000000" w:themeColor="text1"/>
          <w:szCs w:val="28"/>
        </w:rPr>
        <w:t xml:space="preserve">, la exclusión de dicho colectivo genera un déficit de protección constitucional intolerable, pues impide a las personas </w:t>
      </w:r>
      <w:r w:rsidRPr="000C03D2">
        <w:rPr>
          <w:rFonts w:ascii="Times New Roman" w:hAnsi="Times New Roman" w:cs="Times New Roman"/>
          <w:color w:val="000000" w:themeColor="text1"/>
          <w:szCs w:val="28"/>
        </w:rPr>
        <w:t xml:space="preserve">gestantes que no se </w:t>
      </w:r>
      <w:r w:rsidRPr="000C03D2">
        <w:rPr>
          <w:rFonts w:ascii="Times New Roman" w:hAnsi="Times New Roman" w:cs="Times New Roman"/>
          <w:color w:val="000000" w:themeColor="text1"/>
          <w:szCs w:val="28"/>
        </w:rPr>
        <w:t>identifican como mujeres y</w:t>
      </w:r>
      <w:r w:rsidRPr="000C03D2">
        <w:rPr>
          <w:rFonts w:ascii="Times New Roman" w:hAnsi="Times New Roman" w:cs="Times New Roman"/>
          <w:color w:val="000000" w:themeColor="text1"/>
          <w:szCs w:val="28"/>
          <w:lang w:val="es-ES_tradnl"/>
          <w14:ligatures w14:val="standardContextual"/>
        </w:rPr>
        <w:t xml:space="preserve"> que atraviesan un aborto, o quienes tienen un parto prematuro </w:t>
      </w:r>
      <w:r w:rsidRPr="000C03D2">
        <w:rPr>
          <w:rFonts w:ascii="Times New Roman" w:hAnsi="Times New Roman" w:cs="Times New Roman"/>
          <w:color w:val="000000" w:themeColor="text1"/>
          <w:szCs w:val="28"/>
          <w:lang w:val="es-ES_tradnl"/>
          <w14:ligatures w14:val="standardContextual"/>
        </w:rPr>
        <w:t xml:space="preserve">no viable </w:t>
      </w:r>
      <w:r w:rsidRPr="000C03D2">
        <w:rPr>
          <w:rFonts w:ascii="Times New Roman" w:hAnsi="Times New Roman" w:cs="Times New Roman"/>
          <w:color w:val="000000" w:themeColor="text1"/>
          <w:szCs w:val="28"/>
          <w:lang w:val="es-ES_tradnl"/>
          <w14:ligatures w14:val="standardContextual"/>
        </w:rPr>
        <w:t>tienen necesidades similares, no reciben un descanso remunerado necesario para recuperarse física y mentalmente.</w:t>
      </w:r>
    </w:p>
    <w:p w:rsidR="00036D03" w:rsidRPr="000C03D2" w:rsidRDefault="000C03D2" w:rsidP="00036D03">
      <w:pPr>
        <w:pStyle w:val="Prrafodelista"/>
        <w:rPr>
          <w:rFonts w:ascii="Times New Roman" w:hAnsi="Times New Roman" w:cs="Times New Roman"/>
          <w:color w:val="000000" w:themeColor="text1"/>
          <w:szCs w:val="28"/>
          <w:lang w:val="es-ES_tradnl"/>
          <w14:ligatures w14:val="standardContextual"/>
        </w:rPr>
      </w:pPr>
    </w:p>
    <w:p w:rsidR="00036D03" w:rsidRPr="000C03D2" w:rsidRDefault="000C03D2" w:rsidP="00036D03">
      <w:pPr>
        <w:pStyle w:val="Prrafodelista"/>
        <w:numPr>
          <w:ilvl w:val="0"/>
          <w:numId w:val="3"/>
        </w:numPr>
        <w:tabs>
          <w:tab w:val="left" w:pos="426"/>
        </w:tabs>
        <w:ind w:left="0" w:firstLine="0"/>
        <w:rPr>
          <w:rFonts w:ascii="Times New Roman" w:hAnsi="Times New Roman" w:cs="Times New Roman"/>
          <w:color w:val="000000" w:themeColor="text1"/>
          <w:szCs w:val="28"/>
          <w:lang w:val="es-ES_tradnl"/>
          <w14:ligatures w14:val="standardContextual"/>
        </w:rPr>
      </w:pPr>
      <w:r w:rsidRPr="000C03D2">
        <w:rPr>
          <w:rFonts w:ascii="Times New Roman" w:hAnsi="Times New Roman" w:cs="Times New Roman"/>
          <w:color w:val="000000" w:themeColor="text1"/>
          <w:szCs w:val="28"/>
          <w:lang w:val="es-ES_tradnl"/>
          <w14:ligatures w14:val="standardContextual"/>
        </w:rPr>
        <w:t xml:space="preserve">La Corte reitera que </w:t>
      </w:r>
      <w:r w:rsidRPr="000C03D2">
        <w:rPr>
          <w:rFonts w:ascii="Times New Roman" w:hAnsi="Times New Roman" w:cs="Times New Roman"/>
          <w:color w:val="000000" w:themeColor="text1"/>
          <w:szCs w:val="28"/>
          <w:shd w:val="clear" w:color="auto" w:fill="FFFFFF"/>
        </w:rPr>
        <w:t>la identidad está prot</w:t>
      </w:r>
      <w:r w:rsidRPr="000C03D2">
        <w:rPr>
          <w:rFonts w:ascii="Times New Roman" w:hAnsi="Times New Roman" w:cs="Times New Roman"/>
          <w:color w:val="000000" w:themeColor="text1"/>
          <w:szCs w:val="28"/>
          <w:shd w:val="clear" w:color="auto" w:fill="FFFFFF"/>
        </w:rPr>
        <w:t>egida por la cláusula general de igualdad prevista en el artículo 13 de la Constitución</w:t>
      </w:r>
      <w:r w:rsidRPr="000C03D2">
        <w:rPr>
          <w:rFonts w:ascii="Times New Roman" w:hAnsi="Times New Roman" w:cs="Times New Roman"/>
          <w:color w:val="000000" w:themeColor="text1"/>
          <w:szCs w:val="28"/>
          <w:shd w:val="clear" w:color="auto" w:fill="FFFFFF"/>
          <w:vertAlign w:val="superscript"/>
        </w:rPr>
        <w:footnoteReference w:id="99"/>
      </w:r>
      <w:r w:rsidRPr="000C03D2">
        <w:rPr>
          <w:rFonts w:ascii="Times New Roman" w:hAnsi="Times New Roman" w:cs="Times New Roman"/>
          <w:color w:val="000000" w:themeColor="text1"/>
          <w:szCs w:val="28"/>
          <w:shd w:val="clear" w:color="auto" w:fill="FFFFFF"/>
        </w:rPr>
        <w:t xml:space="preserve"> y constituye un criterio sospechoso de discriminación</w:t>
      </w:r>
      <w:r w:rsidRPr="000C03D2">
        <w:rPr>
          <w:rFonts w:ascii="Times New Roman" w:hAnsi="Times New Roman" w:cs="Times New Roman"/>
          <w:color w:val="000000" w:themeColor="text1"/>
          <w:szCs w:val="28"/>
          <w:shd w:val="clear" w:color="auto" w:fill="FFFFFF"/>
          <w:vertAlign w:val="superscript"/>
        </w:rPr>
        <w:footnoteReference w:id="100"/>
      </w:r>
      <w:r w:rsidRPr="000C03D2">
        <w:rPr>
          <w:rFonts w:ascii="Times New Roman" w:hAnsi="Times New Roman" w:cs="Times New Roman"/>
          <w:color w:val="000000" w:themeColor="text1"/>
          <w:szCs w:val="28"/>
          <w:shd w:val="clear" w:color="auto" w:fill="FFFFFF"/>
        </w:rPr>
        <w:t xml:space="preserve">. Esto también se sustenta en el bloque de constitucionalidad, en concreto, en la </w:t>
      </w:r>
      <w:r w:rsidRPr="000C03D2">
        <w:rPr>
          <w:rFonts w:ascii="Times New Roman" w:hAnsi="Times New Roman" w:cs="Times New Roman"/>
          <w:color w:val="000000" w:themeColor="text1"/>
          <w:szCs w:val="28"/>
        </w:rPr>
        <w:t>cláusula de no discriminación d</w:t>
      </w:r>
      <w:r w:rsidRPr="000C03D2">
        <w:rPr>
          <w:rFonts w:ascii="Times New Roman" w:hAnsi="Times New Roman" w:cs="Times New Roman"/>
          <w:color w:val="000000" w:themeColor="text1"/>
          <w:szCs w:val="28"/>
        </w:rPr>
        <w:t>erivada de los artículos 1°, 2° y 7° de la DUDH</w:t>
      </w:r>
      <w:r w:rsidRPr="000C03D2">
        <w:rPr>
          <w:rFonts w:ascii="Times New Roman" w:hAnsi="Times New Roman" w:cs="Times New Roman"/>
          <w:color w:val="000000" w:themeColor="text1"/>
          <w:szCs w:val="28"/>
          <w:vertAlign w:val="superscript"/>
        </w:rPr>
        <w:footnoteReference w:id="101"/>
      </w:r>
      <w:r w:rsidRPr="000C03D2">
        <w:rPr>
          <w:rFonts w:ascii="Times New Roman" w:hAnsi="Times New Roman" w:cs="Times New Roman"/>
          <w:color w:val="000000" w:themeColor="text1"/>
          <w:szCs w:val="28"/>
        </w:rPr>
        <w:t>, los artículos 2.1 y 26 del PIDCP</w:t>
      </w:r>
      <w:r w:rsidRPr="000C03D2">
        <w:rPr>
          <w:rFonts w:ascii="Times New Roman" w:hAnsi="Times New Roman" w:cs="Times New Roman"/>
          <w:color w:val="000000" w:themeColor="text1"/>
          <w:szCs w:val="28"/>
          <w:vertAlign w:val="superscript"/>
        </w:rPr>
        <w:footnoteReference w:id="102"/>
      </w:r>
      <w:r w:rsidRPr="000C03D2">
        <w:rPr>
          <w:rFonts w:ascii="Times New Roman" w:hAnsi="Times New Roman" w:cs="Times New Roman"/>
          <w:color w:val="000000" w:themeColor="text1"/>
          <w:szCs w:val="28"/>
        </w:rPr>
        <w:t>, el artículo 2.2 del PIDESC</w:t>
      </w:r>
      <w:r w:rsidRPr="000C03D2">
        <w:rPr>
          <w:rFonts w:ascii="Times New Roman" w:hAnsi="Times New Roman" w:cs="Times New Roman"/>
          <w:color w:val="000000" w:themeColor="text1"/>
          <w:szCs w:val="28"/>
          <w:vertAlign w:val="superscript"/>
        </w:rPr>
        <w:footnoteReference w:id="103"/>
      </w:r>
      <w:r w:rsidRPr="000C03D2">
        <w:rPr>
          <w:rFonts w:ascii="Times New Roman" w:hAnsi="Times New Roman" w:cs="Times New Roman"/>
          <w:color w:val="000000" w:themeColor="text1"/>
          <w:szCs w:val="28"/>
        </w:rPr>
        <w:t>, el artículo 2° de la Convención sobre los Derechos del Niño</w:t>
      </w:r>
      <w:r w:rsidRPr="000C03D2">
        <w:rPr>
          <w:rFonts w:ascii="Times New Roman" w:hAnsi="Times New Roman" w:cs="Times New Roman"/>
          <w:color w:val="000000" w:themeColor="text1"/>
          <w:szCs w:val="28"/>
          <w:vertAlign w:val="superscript"/>
        </w:rPr>
        <w:footnoteReference w:id="104"/>
      </w:r>
      <w:r w:rsidRPr="000C03D2">
        <w:rPr>
          <w:rFonts w:ascii="Times New Roman" w:hAnsi="Times New Roman" w:cs="Times New Roman"/>
          <w:color w:val="000000" w:themeColor="text1"/>
          <w:szCs w:val="28"/>
        </w:rPr>
        <w:t>, el artículo 1.1. de la CADH y el artículo 3° del Protocolo Adicional a la Conven</w:t>
      </w:r>
      <w:r w:rsidRPr="000C03D2">
        <w:rPr>
          <w:rFonts w:ascii="Times New Roman" w:hAnsi="Times New Roman" w:cs="Times New Roman"/>
          <w:color w:val="000000" w:themeColor="text1"/>
          <w:szCs w:val="28"/>
        </w:rPr>
        <w:t>ción Americana sobre Derechos Humanos en materia de Derechos Económicos, Sociales y Culturales «Protocolo de San Salvador»</w:t>
      </w:r>
      <w:r w:rsidRPr="000C03D2">
        <w:rPr>
          <w:rFonts w:ascii="Times New Roman" w:hAnsi="Times New Roman" w:cs="Times New Roman"/>
          <w:color w:val="000000" w:themeColor="text1"/>
          <w:szCs w:val="28"/>
          <w:vertAlign w:val="superscript"/>
        </w:rPr>
        <w:footnoteReference w:id="105"/>
      </w:r>
      <w:r w:rsidRPr="000C03D2">
        <w:rPr>
          <w:rFonts w:ascii="Times New Roman" w:hAnsi="Times New Roman" w:cs="Times New Roman"/>
          <w:color w:val="000000" w:themeColor="text1"/>
          <w:szCs w:val="28"/>
        </w:rPr>
        <w:t xml:space="preserve"> que establecen en forma tajante la prohibición de cualquier trato discriminatorio, sustentado en el sexo o en el género y la obligac</w:t>
      </w:r>
      <w:r w:rsidRPr="000C03D2">
        <w:rPr>
          <w:rFonts w:ascii="Times New Roman" w:hAnsi="Times New Roman" w:cs="Times New Roman"/>
          <w:color w:val="000000" w:themeColor="text1"/>
          <w:szCs w:val="28"/>
        </w:rPr>
        <w:t>ión estatal de proteger a todas las personas de la discriminación por razón de la orientación sexual o cualquier otra forma de identidad</w:t>
      </w:r>
      <w:r w:rsidRPr="000C03D2">
        <w:rPr>
          <w:rFonts w:ascii="Times New Roman" w:hAnsi="Times New Roman" w:cs="Times New Roman"/>
          <w:color w:val="000000" w:themeColor="text1"/>
          <w:szCs w:val="28"/>
          <w:vertAlign w:val="superscript"/>
        </w:rPr>
        <w:footnoteReference w:id="106"/>
      </w:r>
      <w:r w:rsidRPr="000C03D2">
        <w:rPr>
          <w:rFonts w:ascii="Times New Roman" w:hAnsi="Times New Roman" w:cs="Times New Roman"/>
          <w:color w:val="000000" w:themeColor="text1"/>
          <w:szCs w:val="28"/>
        </w:rPr>
        <w:t>.</w:t>
      </w:r>
    </w:p>
    <w:p w:rsidR="00036D03" w:rsidRPr="000C03D2" w:rsidRDefault="000C03D2" w:rsidP="00A141C2">
      <w:pPr>
        <w:ind w:right="48"/>
        <w:rPr>
          <w:rFonts w:ascii="Times New Roman" w:hAnsi="Times New Roman" w:cs="Times New Roman"/>
          <w:color w:val="000000" w:themeColor="text1"/>
          <w:sz w:val="28"/>
          <w:szCs w:val="28"/>
        </w:rPr>
      </w:pPr>
    </w:p>
    <w:p w:rsidR="00337B21" w:rsidRPr="000C03D2" w:rsidRDefault="000C03D2" w:rsidP="00A141C2">
      <w:pPr>
        <w:ind w:right="48"/>
        <w:rPr>
          <w:rFonts w:ascii="Times New Roman" w:hAnsi="Times New Roman" w:cs="Times New Roman"/>
          <w:color w:val="000000" w:themeColor="text1"/>
          <w:sz w:val="28"/>
          <w:szCs w:val="28"/>
        </w:rPr>
      </w:pPr>
      <w:r w:rsidRPr="000C03D2">
        <w:rPr>
          <w:rFonts w:ascii="Times New Roman" w:hAnsi="Times New Roman" w:cs="Times New Roman"/>
          <w:b/>
          <w:bCs/>
          <w:i/>
          <w:iCs/>
          <w:color w:val="000000" w:themeColor="text1"/>
          <w:sz w:val="28"/>
          <w:szCs w:val="28"/>
        </w:rPr>
        <w:t>Síntesis del cargo</w:t>
      </w:r>
      <w:r w:rsidRPr="000C03D2">
        <w:rPr>
          <w:rFonts w:ascii="Times New Roman" w:hAnsi="Times New Roman" w:cs="Times New Roman"/>
          <w:color w:val="000000" w:themeColor="text1"/>
          <w:sz w:val="28"/>
          <w:szCs w:val="28"/>
        </w:rPr>
        <w:t xml:space="preserve">: </w:t>
      </w:r>
    </w:p>
    <w:p w:rsidR="00337B21" w:rsidRPr="000C03D2" w:rsidRDefault="000C03D2" w:rsidP="00A141C2">
      <w:pPr>
        <w:ind w:right="48"/>
        <w:rPr>
          <w:rFonts w:ascii="Times New Roman" w:hAnsi="Times New Roman" w:cs="Times New Roman"/>
          <w:color w:val="000000" w:themeColor="text1"/>
          <w:sz w:val="28"/>
          <w:szCs w:val="28"/>
        </w:rPr>
      </w:pPr>
    </w:p>
    <w:p w:rsidR="001267CB" w:rsidRPr="000C03D2" w:rsidRDefault="000C03D2" w:rsidP="00A141C2">
      <w:pPr>
        <w:pStyle w:val="Prrafodelista"/>
        <w:numPr>
          <w:ilvl w:val="0"/>
          <w:numId w:val="3"/>
        </w:numPr>
        <w:tabs>
          <w:tab w:val="left" w:pos="426"/>
        </w:tabs>
        <w:ind w:left="0" w:firstLine="0"/>
        <w:rPr>
          <w:rFonts w:ascii="Times New Roman" w:hAnsi="Times New Roman" w:cs="Times New Roman"/>
          <w:color w:val="000000" w:themeColor="text1"/>
          <w:szCs w:val="28"/>
          <w:shd w:val="clear" w:color="auto" w:fill="FFFFFF"/>
        </w:rPr>
      </w:pPr>
      <w:r w:rsidRPr="000C03D2">
        <w:rPr>
          <w:rFonts w:ascii="Times New Roman" w:hAnsi="Times New Roman" w:cs="Times New Roman"/>
          <w:color w:val="000000" w:themeColor="text1"/>
          <w:szCs w:val="28"/>
          <w:shd w:val="clear" w:color="auto" w:fill="FFFFFF"/>
        </w:rPr>
        <w:t>L</w:t>
      </w:r>
      <w:r w:rsidRPr="000C03D2">
        <w:rPr>
          <w:rFonts w:ascii="Times New Roman" w:hAnsi="Times New Roman" w:cs="Times New Roman"/>
          <w:color w:val="000000" w:themeColor="text1"/>
          <w:szCs w:val="28"/>
          <w:shd w:val="clear" w:color="auto" w:fill="FFFFFF"/>
        </w:rPr>
        <w:t xml:space="preserve">a Corte Constitucional </w:t>
      </w:r>
      <w:r w:rsidRPr="000C03D2">
        <w:rPr>
          <w:rFonts w:ascii="Times New Roman" w:hAnsi="Times New Roman" w:cs="Times New Roman"/>
          <w:color w:val="000000" w:themeColor="text1"/>
          <w:szCs w:val="28"/>
          <w:shd w:val="clear" w:color="auto" w:fill="FFFFFF"/>
        </w:rPr>
        <w:t xml:space="preserve">concluye que, en este asunto, </w:t>
      </w:r>
      <w:r w:rsidRPr="000C03D2">
        <w:rPr>
          <w:rFonts w:ascii="Times New Roman" w:hAnsi="Times New Roman" w:cs="Times New Roman"/>
          <w:color w:val="000000" w:themeColor="text1"/>
          <w:szCs w:val="28"/>
          <w:shd w:val="clear" w:color="auto" w:fill="FFFFFF"/>
        </w:rPr>
        <w:t xml:space="preserve">se satisfacen las condiciones para </w:t>
      </w:r>
      <w:r w:rsidRPr="000C03D2">
        <w:rPr>
          <w:rFonts w:ascii="Times New Roman" w:hAnsi="Times New Roman" w:cs="Times New Roman"/>
          <w:color w:val="000000" w:themeColor="text1"/>
          <w:szCs w:val="28"/>
          <w:shd w:val="clear" w:color="auto" w:fill="FFFFFF"/>
        </w:rPr>
        <w:t>acreditar la configuración de una omisión legislativa relativa, al verificarse que la</w:t>
      </w:r>
      <w:r w:rsidRPr="000C03D2">
        <w:rPr>
          <w:rFonts w:ascii="Times New Roman" w:hAnsi="Times New Roman" w:cs="Times New Roman"/>
          <w:color w:val="000000" w:themeColor="text1"/>
          <w:szCs w:val="28"/>
          <w:shd w:val="clear" w:color="auto" w:fill="FFFFFF"/>
        </w:rPr>
        <w:t xml:space="preserve"> disposición</w:t>
      </w:r>
      <w:r w:rsidRPr="000C03D2">
        <w:rPr>
          <w:rFonts w:ascii="Times New Roman" w:hAnsi="Times New Roman" w:cs="Times New Roman"/>
          <w:color w:val="000000" w:themeColor="text1"/>
          <w:szCs w:val="28"/>
          <w:shd w:val="clear" w:color="auto" w:fill="FFFFFF"/>
        </w:rPr>
        <w:t xml:space="preserve"> demandada excluye de la protección y reconocimiento de derechos derivados </w:t>
      </w:r>
      <w:r w:rsidRPr="000C03D2">
        <w:rPr>
          <w:rFonts w:ascii="Times New Roman" w:hAnsi="Times New Roman" w:cs="Times New Roman"/>
          <w:color w:val="000000" w:themeColor="text1"/>
          <w:szCs w:val="28"/>
          <w:shd w:val="clear" w:color="auto" w:fill="FFFFFF"/>
        </w:rPr>
        <w:t xml:space="preserve">de la gestación </w:t>
      </w:r>
      <w:r w:rsidRPr="000C03D2">
        <w:rPr>
          <w:rFonts w:ascii="Times New Roman" w:hAnsi="Times New Roman" w:cs="Times New Roman"/>
          <w:color w:val="000000" w:themeColor="text1"/>
          <w:szCs w:val="28"/>
          <w:shd w:val="clear" w:color="auto" w:fill="FFFFFF"/>
        </w:rPr>
        <w:t xml:space="preserve">a </w:t>
      </w:r>
      <w:r w:rsidRPr="000C03D2">
        <w:rPr>
          <w:rFonts w:ascii="Times New Roman" w:hAnsi="Times New Roman" w:cs="Times New Roman"/>
          <w:color w:val="000000" w:themeColor="text1"/>
          <w:szCs w:val="28"/>
          <w:shd w:val="clear" w:color="auto" w:fill="FFFFFF"/>
        </w:rPr>
        <w:t xml:space="preserve">los </w:t>
      </w:r>
      <w:r w:rsidRPr="000C03D2">
        <w:rPr>
          <w:rFonts w:ascii="Times New Roman" w:hAnsi="Times New Roman" w:cs="Times New Roman"/>
          <w:color w:val="000000" w:themeColor="text1"/>
          <w:szCs w:val="28"/>
          <w:shd w:val="clear" w:color="auto" w:fill="FFFFFF"/>
        </w:rPr>
        <w:t>hombres trans y personas no binarias quienes están en la posib</w:t>
      </w:r>
      <w:r w:rsidRPr="000C03D2">
        <w:rPr>
          <w:rFonts w:ascii="Times New Roman" w:hAnsi="Times New Roman" w:cs="Times New Roman"/>
          <w:color w:val="000000" w:themeColor="text1"/>
          <w:szCs w:val="28"/>
          <w:shd w:val="clear" w:color="auto" w:fill="FFFFFF"/>
        </w:rPr>
        <w:t xml:space="preserve">ilidad natural y biológica de </w:t>
      </w:r>
      <w:r w:rsidRPr="000C03D2">
        <w:rPr>
          <w:rFonts w:ascii="Times New Roman" w:hAnsi="Times New Roman" w:cs="Times New Roman"/>
          <w:color w:val="000000" w:themeColor="text1"/>
          <w:szCs w:val="28"/>
          <w:shd w:val="clear" w:color="auto" w:fill="FFFFFF"/>
        </w:rPr>
        <w:t xml:space="preserve">gestar y, en consecuencia, </w:t>
      </w:r>
      <w:r w:rsidRPr="000C03D2">
        <w:rPr>
          <w:rFonts w:ascii="Times New Roman" w:hAnsi="Times New Roman" w:cs="Times New Roman"/>
          <w:color w:val="000000" w:themeColor="text1"/>
          <w:szCs w:val="28"/>
          <w:shd w:val="clear" w:color="auto" w:fill="FFFFFF"/>
        </w:rPr>
        <w:t>abortar.</w:t>
      </w:r>
      <w:r w:rsidRPr="000C03D2">
        <w:rPr>
          <w:rFonts w:ascii="Times New Roman" w:hAnsi="Times New Roman" w:cs="Times New Roman"/>
          <w:color w:val="000000" w:themeColor="text1"/>
          <w:szCs w:val="28"/>
          <w:shd w:val="clear" w:color="auto" w:fill="FFFFFF"/>
        </w:rPr>
        <w:t xml:space="preserve"> Lo anterior, </w:t>
      </w:r>
      <w:r w:rsidRPr="000C03D2">
        <w:rPr>
          <w:rFonts w:ascii="Times New Roman" w:hAnsi="Times New Roman" w:cs="Times New Roman"/>
          <w:color w:val="000000" w:themeColor="text1"/>
          <w:szCs w:val="28"/>
          <w:shd w:val="clear" w:color="auto" w:fill="FFFFFF"/>
        </w:rPr>
        <w:t>toda vez que</w:t>
      </w:r>
      <w:r w:rsidRPr="000C03D2">
        <w:rPr>
          <w:rFonts w:ascii="Times New Roman" w:hAnsi="Times New Roman" w:cs="Times New Roman"/>
          <w:color w:val="000000" w:themeColor="text1"/>
          <w:szCs w:val="28"/>
          <w:shd w:val="clear" w:color="auto" w:fill="FFFFFF"/>
        </w:rPr>
        <w:t xml:space="preserve"> para acceder a esas condiciones tendrían que identificarse como mujeres, así ello no se adecúe a su autopercepción. La aludida exclusión incumple además con la prohibición de discriminación al imponer un trato desigual no justificado, que se funda en un c</w:t>
      </w:r>
      <w:r w:rsidRPr="000C03D2">
        <w:rPr>
          <w:rFonts w:ascii="Times New Roman" w:hAnsi="Times New Roman" w:cs="Times New Roman"/>
          <w:color w:val="000000" w:themeColor="text1"/>
          <w:szCs w:val="28"/>
          <w:shd w:val="clear" w:color="auto" w:fill="FFFFFF"/>
        </w:rPr>
        <w:t>riterio sospechoso</w:t>
      </w:r>
      <w:r w:rsidRPr="000C03D2">
        <w:rPr>
          <w:rStyle w:val="Refdenotaalpie"/>
          <w:rFonts w:ascii="Times New Roman" w:hAnsi="Times New Roman" w:cs="Times New Roman"/>
          <w:color w:val="000000" w:themeColor="text1"/>
          <w:szCs w:val="28"/>
          <w:shd w:val="clear" w:color="auto" w:fill="FFFFFF"/>
        </w:rPr>
        <w:footnoteReference w:id="107"/>
      </w:r>
      <w:r w:rsidRPr="000C03D2">
        <w:rPr>
          <w:rFonts w:ascii="Times New Roman" w:hAnsi="Times New Roman" w:cs="Times New Roman"/>
          <w:color w:val="000000" w:themeColor="text1"/>
          <w:szCs w:val="28"/>
          <w:shd w:val="clear" w:color="auto" w:fill="FFFFFF"/>
        </w:rPr>
        <w:t xml:space="preserve">, situación que origina una desigualdad negativa para las personas excluidas. </w:t>
      </w:r>
    </w:p>
    <w:p w:rsidR="007D6D2F" w:rsidRPr="000C03D2" w:rsidRDefault="000C03D2" w:rsidP="00A141C2">
      <w:pPr>
        <w:widowControl w:val="0"/>
        <w:rPr>
          <w:rFonts w:ascii="Times New Roman" w:hAnsi="Times New Roman" w:cs="Times New Roman"/>
          <w:b/>
          <w:bCs/>
          <w:color w:val="000000" w:themeColor="text1"/>
          <w:sz w:val="28"/>
          <w:szCs w:val="28"/>
          <w:lang w:val="es-ES_tradnl"/>
        </w:rPr>
      </w:pPr>
    </w:p>
    <w:p w:rsidR="001B21F2" w:rsidRPr="000C03D2" w:rsidRDefault="000C03D2" w:rsidP="00A141C2">
      <w:pPr>
        <w:widowControl w:val="0"/>
        <w:rPr>
          <w:rFonts w:ascii="Times New Roman" w:hAnsi="Times New Roman" w:cs="Times New Roman"/>
          <w:b/>
          <w:bCs/>
          <w:color w:val="000000" w:themeColor="text1"/>
          <w:sz w:val="28"/>
          <w:szCs w:val="28"/>
          <w:lang w:val="es-ES_tradnl"/>
        </w:rPr>
      </w:pPr>
    </w:p>
    <w:p w:rsidR="001B21F2" w:rsidRPr="000C03D2" w:rsidRDefault="000C03D2" w:rsidP="00A141C2">
      <w:pPr>
        <w:widowControl w:val="0"/>
        <w:rPr>
          <w:rFonts w:ascii="Times New Roman" w:hAnsi="Times New Roman" w:cs="Times New Roman"/>
          <w:b/>
          <w:bCs/>
          <w:color w:val="000000" w:themeColor="text1"/>
          <w:sz w:val="28"/>
          <w:szCs w:val="28"/>
          <w:lang w:val="es-ES_tradnl"/>
        </w:rPr>
      </w:pPr>
    </w:p>
    <w:p w:rsidR="00771145" w:rsidRPr="000C03D2" w:rsidRDefault="000C03D2" w:rsidP="00A141C2">
      <w:pPr>
        <w:pStyle w:val="Prrafodelista"/>
        <w:widowControl w:val="0"/>
        <w:numPr>
          <w:ilvl w:val="0"/>
          <w:numId w:val="4"/>
        </w:numPr>
        <w:rPr>
          <w:rFonts w:ascii="Times New Roman" w:hAnsi="Times New Roman" w:cs="Times New Roman"/>
          <w:b/>
          <w:bCs/>
          <w:color w:val="000000" w:themeColor="text1"/>
          <w:szCs w:val="28"/>
        </w:rPr>
      </w:pPr>
      <w:r w:rsidRPr="000C03D2">
        <w:rPr>
          <w:rFonts w:ascii="Times New Roman" w:hAnsi="Times New Roman" w:cs="Times New Roman"/>
          <w:b/>
          <w:bCs/>
          <w:color w:val="000000" w:themeColor="text1"/>
          <w:szCs w:val="28"/>
        </w:rPr>
        <w:t>Remedio constitucional</w:t>
      </w:r>
    </w:p>
    <w:p w:rsidR="00590393" w:rsidRPr="000C03D2" w:rsidRDefault="000C03D2" w:rsidP="00A141C2">
      <w:pPr>
        <w:widowControl w:val="0"/>
        <w:rPr>
          <w:rFonts w:ascii="Times New Roman" w:hAnsi="Times New Roman" w:cs="Times New Roman"/>
          <w:b/>
          <w:bCs/>
          <w:color w:val="000000" w:themeColor="text1"/>
          <w:sz w:val="28"/>
        </w:rPr>
      </w:pPr>
    </w:p>
    <w:bookmarkEnd w:id="29"/>
    <w:p w:rsidR="00927EDD" w:rsidRPr="000C03D2" w:rsidRDefault="000C03D2" w:rsidP="00A141C2">
      <w:pPr>
        <w:pStyle w:val="Prrafodelista"/>
        <w:numPr>
          <w:ilvl w:val="0"/>
          <w:numId w:val="3"/>
        </w:numPr>
        <w:tabs>
          <w:tab w:val="left" w:pos="567"/>
        </w:tabs>
        <w:ind w:left="0" w:right="48" w:firstLine="0"/>
        <w:rPr>
          <w:rFonts w:ascii="Times New Roman" w:hAnsi="Times New Roman" w:cs="Times New Roman"/>
          <w:color w:val="000000" w:themeColor="text1"/>
        </w:rPr>
      </w:pPr>
      <w:r w:rsidRPr="000C03D2">
        <w:rPr>
          <w:rFonts w:ascii="Times New Roman" w:hAnsi="Times New Roman" w:cs="Times New Roman"/>
          <w:color w:val="000000" w:themeColor="text1"/>
        </w:rPr>
        <w:t xml:space="preserve">Al advertir la configuración de este tratamiento contrario a la Constitución, le corresponde a la Corte determinar el remedio que </w:t>
      </w:r>
      <w:r w:rsidRPr="000C03D2">
        <w:rPr>
          <w:rFonts w:ascii="Times New Roman" w:hAnsi="Times New Roman" w:cs="Times New Roman"/>
          <w:color w:val="000000" w:themeColor="text1"/>
        </w:rPr>
        <w:t>debe adoptar. De acuerdo con la jurisprudencia constitucional, por regla general frente a la ocurrencia de omisiones legislativas relativas con consecuencias en la afectación del principio de igualdad, se ha establecido que puede dictarse una sentencia int</w:t>
      </w:r>
      <w:r w:rsidRPr="000C03D2">
        <w:rPr>
          <w:rFonts w:ascii="Times New Roman" w:hAnsi="Times New Roman" w:cs="Times New Roman"/>
          <w:color w:val="000000" w:themeColor="text1"/>
        </w:rPr>
        <w:t>egradora aditiva que, si bien conserva en el ordenamiento jurídico el contenido demandado, le incorpora el aspecto omitido, de tal manera que la disposición</w:t>
      </w:r>
      <w:r w:rsidRPr="000C03D2">
        <w:rPr>
          <w:rFonts w:ascii="Times New Roman" w:hAnsi="Times New Roman" w:cs="Times New Roman"/>
          <w:color w:val="000000" w:themeColor="text1"/>
        </w:rPr>
        <w:t xml:space="preserve"> al armonizarse</w:t>
      </w:r>
      <w:r w:rsidRPr="000C03D2">
        <w:rPr>
          <w:rFonts w:ascii="Times New Roman" w:hAnsi="Times New Roman" w:cs="Times New Roman"/>
          <w:color w:val="000000" w:themeColor="text1"/>
        </w:rPr>
        <w:t xml:space="preserve"> sea compatible con la Constitución.</w:t>
      </w:r>
    </w:p>
    <w:p w:rsidR="00927EDD" w:rsidRPr="000C03D2" w:rsidRDefault="000C03D2" w:rsidP="00A141C2">
      <w:pPr>
        <w:pStyle w:val="Prrafodelista"/>
        <w:ind w:left="0"/>
        <w:rPr>
          <w:rFonts w:ascii="Times New Roman" w:hAnsi="Times New Roman" w:cs="Times New Roman"/>
          <w:iCs/>
          <w:color w:val="000000" w:themeColor="text1"/>
          <w:szCs w:val="28"/>
        </w:rPr>
      </w:pPr>
    </w:p>
    <w:p w:rsidR="00513798" w:rsidRPr="000C03D2" w:rsidRDefault="000C03D2" w:rsidP="00A141C2">
      <w:pPr>
        <w:pStyle w:val="Prrafodelista"/>
        <w:numPr>
          <w:ilvl w:val="0"/>
          <w:numId w:val="3"/>
        </w:numPr>
        <w:tabs>
          <w:tab w:val="left" w:pos="567"/>
        </w:tabs>
        <w:ind w:left="0" w:right="48" w:firstLine="0"/>
        <w:rPr>
          <w:rFonts w:ascii="Times New Roman" w:hAnsi="Times New Roman" w:cs="Times New Roman"/>
          <w:color w:val="000000" w:themeColor="text1"/>
        </w:rPr>
      </w:pPr>
      <w:r w:rsidRPr="000C03D2">
        <w:rPr>
          <w:rFonts w:ascii="Times New Roman" w:hAnsi="Times New Roman" w:cs="Times New Roman"/>
          <w:color w:val="000000" w:themeColor="text1"/>
          <w:szCs w:val="28"/>
        </w:rPr>
        <w:t>L</w:t>
      </w:r>
      <w:r w:rsidRPr="000C03D2">
        <w:rPr>
          <w:rFonts w:ascii="Times New Roman" w:hAnsi="Times New Roman" w:cs="Times New Roman"/>
          <w:iCs/>
          <w:color w:val="000000" w:themeColor="text1"/>
          <w:szCs w:val="28"/>
        </w:rPr>
        <w:t xml:space="preserve">os demandantes y algunos intervinientes solicitaron la exequibilidad condicionada de la </w:t>
      </w:r>
      <w:r w:rsidRPr="000C03D2">
        <w:rPr>
          <w:rFonts w:ascii="Times New Roman" w:hAnsi="Times New Roman" w:cs="Times New Roman"/>
          <w:iCs/>
          <w:color w:val="000000" w:themeColor="text1"/>
          <w:szCs w:val="28"/>
        </w:rPr>
        <w:t>expresión</w:t>
      </w:r>
      <w:r w:rsidRPr="000C03D2">
        <w:rPr>
          <w:rFonts w:ascii="Times New Roman" w:hAnsi="Times New Roman" w:cs="Times New Roman"/>
          <w:iCs/>
          <w:color w:val="000000" w:themeColor="text1"/>
          <w:szCs w:val="28"/>
        </w:rPr>
        <w:t xml:space="preserve"> para incluir explícitamente a los hombres trans y a las personas no binarias. No obstante,</w:t>
      </w:r>
      <w:r w:rsidRPr="000C03D2">
        <w:rPr>
          <w:rFonts w:ascii="Times New Roman" w:hAnsi="Times New Roman" w:cs="Times New Roman"/>
          <w:iCs/>
          <w:color w:val="000000" w:themeColor="text1"/>
          <w:szCs w:val="28"/>
        </w:rPr>
        <w:t xml:space="preserve"> esa fórmula de modulación no es posible dado que su presupuesto teó</w:t>
      </w:r>
      <w:r w:rsidRPr="000C03D2">
        <w:rPr>
          <w:rFonts w:ascii="Times New Roman" w:hAnsi="Times New Roman" w:cs="Times New Roman"/>
          <w:iCs/>
          <w:color w:val="000000" w:themeColor="text1"/>
          <w:szCs w:val="28"/>
        </w:rPr>
        <w:t>rico es que el enunciado normativo admita diferentes interpretaciones. Sin embargo, no es ese el caso, en tanto la expresión “</w:t>
      </w:r>
      <w:r w:rsidRPr="000C03D2">
        <w:rPr>
          <w:rFonts w:ascii="Times New Roman" w:hAnsi="Times New Roman" w:cs="Times New Roman"/>
          <w:iCs/>
          <w:color w:val="000000" w:themeColor="text1"/>
          <w:szCs w:val="28"/>
        </w:rPr>
        <w:t xml:space="preserve">la </w:t>
      </w:r>
      <w:r w:rsidRPr="000C03D2">
        <w:rPr>
          <w:rFonts w:ascii="Times New Roman" w:hAnsi="Times New Roman" w:cs="Times New Roman"/>
          <w:iCs/>
          <w:color w:val="000000" w:themeColor="text1"/>
          <w:szCs w:val="28"/>
        </w:rPr>
        <w:t xml:space="preserve">trabajadora” no puede interpretarse, por ejemplo, </w:t>
      </w:r>
      <w:r w:rsidRPr="000C03D2">
        <w:rPr>
          <w:rFonts w:ascii="Times New Roman" w:hAnsi="Times New Roman" w:cs="Times New Roman"/>
          <w:iCs/>
          <w:color w:val="000000" w:themeColor="text1"/>
          <w:szCs w:val="28"/>
        </w:rPr>
        <w:t xml:space="preserve">exclusivamente </w:t>
      </w:r>
      <w:r w:rsidRPr="000C03D2">
        <w:rPr>
          <w:rFonts w:ascii="Times New Roman" w:hAnsi="Times New Roman" w:cs="Times New Roman"/>
          <w:iCs/>
          <w:color w:val="000000" w:themeColor="text1"/>
          <w:szCs w:val="28"/>
        </w:rPr>
        <w:t>como persona no binaria. Bajo esa perspectiva es</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necesario acu</w:t>
      </w:r>
      <w:r w:rsidRPr="000C03D2">
        <w:rPr>
          <w:rFonts w:ascii="Times New Roman" w:hAnsi="Times New Roman" w:cs="Times New Roman"/>
          <w:iCs/>
          <w:color w:val="000000" w:themeColor="text1"/>
          <w:szCs w:val="28"/>
        </w:rPr>
        <w:t>dir a una fórmula neutra que garantice que todas las personas que cumplen con el supuesto normativo sean beneficiarias de las medidas</w:t>
      </w:r>
      <w:r w:rsidRPr="000C03D2">
        <w:rPr>
          <w:rStyle w:val="Refdenotaalpie"/>
          <w:rFonts w:ascii="Times New Roman" w:hAnsi="Times New Roman" w:cs="Times New Roman"/>
          <w:iCs/>
          <w:color w:val="000000" w:themeColor="text1"/>
          <w:szCs w:val="28"/>
        </w:rPr>
        <w:footnoteReference w:id="108"/>
      </w:r>
      <w:r w:rsidRPr="000C03D2">
        <w:rPr>
          <w:rFonts w:ascii="Times New Roman" w:hAnsi="Times New Roman" w:cs="Times New Roman"/>
          <w:iCs/>
          <w:color w:val="000000" w:themeColor="text1"/>
          <w:szCs w:val="28"/>
        </w:rPr>
        <w:t>. En efecto, a juicio de la Sala, la inclusión de este enfoque en el remedio constitucional permite: (i) encaminar el leng</w:t>
      </w:r>
      <w:r w:rsidRPr="000C03D2">
        <w:rPr>
          <w:rFonts w:ascii="Times New Roman" w:hAnsi="Times New Roman" w:cs="Times New Roman"/>
          <w:iCs/>
          <w:color w:val="000000" w:themeColor="text1"/>
          <w:szCs w:val="28"/>
        </w:rPr>
        <w:t>uaje jurídico y legislativo al uso de formas comprensivas que respondan a las realidades sociales actuales y (ii) evitar categorizaciones o distinciones que a futuro podrían resultar excluyentes y que el lenguaje reproduzca patrones sexo-genéricos.</w:t>
      </w:r>
    </w:p>
    <w:p w:rsidR="00513798" w:rsidRPr="000C03D2" w:rsidRDefault="000C03D2" w:rsidP="00A141C2">
      <w:pPr>
        <w:pStyle w:val="Prrafodelista"/>
        <w:rPr>
          <w:rFonts w:ascii="Times New Roman" w:hAnsi="Times New Roman" w:cs="Times New Roman"/>
          <w:iCs/>
          <w:color w:val="000000" w:themeColor="text1"/>
          <w:szCs w:val="28"/>
        </w:rPr>
      </w:pPr>
    </w:p>
    <w:p w:rsidR="009C1DA8" w:rsidRPr="000C03D2" w:rsidRDefault="000C03D2" w:rsidP="008A443E">
      <w:pPr>
        <w:pStyle w:val="Prrafodelista"/>
        <w:numPr>
          <w:ilvl w:val="0"/>
          <w:numId w:val="3"/>
        </w:numPr>
        <w:tabs>
          <w:tab w:val="left" w:pos="567"/>
        </w:tabs>
        <w:ind w:left="0" w:right="48" w:firstLine="0"/>
        <w:rPr>
          <w:rFonts w:ascii="Times New Roman" w:hAnsi="Times New Roman" w:cs="Times New Roman"/>
          <w:color w:val="000000" w:themeColor="text1"/>
        </w:rPr>
      </w:pPr>
      <w:r w:rsidRPr="000C03D2">
        <w:rPr>
          <w:rFonts w:ascii="Times New Roman" w:hAnsi="Times New Roman" w:cs="Times New Roman"/>
          <w:iCs/>
          <w:color w:val="000000" w:themeColor="text1"/>
          <w:szCs w:val="28"/>
        </w:rPr>
        <w:t>En vir</w:t>
      </w:r>
      <w:r w:rsidRPr="000C03D2">
        <w:rPr>
          <w:rFonts w:ascii="Times New Roman" w:hAnsi="Times New Roman" w:cs="Times New Roman"/>
          <w:iCs/>
          <w:color w:val="000000" w:themeColor="text1"/>
          <w:szCs w:val="28"/>
        </w:rPr>
        <w:t xml:space="preserve">tud de lo anterior, para superar la discriminación normativa generada por dicha omisión se extenderá </w:t>
      </w:r>
      <w:r w:rsidRPr="000C03D2">
        <w:rPr>
          <w:rFonts w:ascii="Times New Roman" w:hAnsi="Times New Roman" w:cs="Times New Roman"/>
          <w:iCs/>
          <w:color w:val="000000" w:themeColor="text1"/>
          <w:szCs w:val="28"/>
        </w:rPr>
        <w:t xml:space="preserve">la prestación de </w:t>
      </w:r>
      <w:r w:rsidRPr="000C03D2">
        <w:rPr>
          <w:rFonts w:ascii="Times New Roman" w:hAnsi="Times New Roman" w:cs="Times New Roman"/>
          <w:iCs/>
          <w:color w:val="000000" w:themeColor="text1"/>
          <w:szCs w:val="28"/>
        </w:rPr>
        <w:t>descanso remunerado en caso de aborto</w:t>
      </w:r>
      <w:r w:rsidRPr="000C03D2">
        <w:rPr>
          <w:rFonts w:ascii="Times New Roman" w:hAnsi="Times New Roman" w:cs="Times New Roman"/>
          <w:iCs/>
          <w:color w:val="000000" w:themeColor="text1"/>
          <w:szCs w:val="28"/>
        </w:rPr>
        <w:t xml:space="preserve"> a todas las personas </w:t>
      </w:r>
      <w:r w:rsidRPr="000C03D2">
        <w:rPr>
          <w:rFonts w:ascii="Times New Roman" w:hAnsi="Times New Roman" w:cs="Times New Roman"/>
          <w:iCs/>
          <w:color w:val="000000" w:themeColor="text1"/>
          <w:szCs w:val="28"/>
        </w:rPr>
        <w:t>gestantes</w:t>
      </w:r>
      <w:r w:rsidRPr="000C03D2">
        <w:rPr>
          <w:rFonts w:ascii="Times New Roman" w:hAnsi="Times New Roman" w:cs="Times New Roman"/>
          <w:iCs/>
          <w:color w:val="000000" w:themeColor="text1"/>
          <w:szCs w:val="28"/>
        </w:rPr>
        <w:t xml:space="preserve">. </w:t>
      </w:r>
      <w:r w:rsidRPr="000C03D2">
        <w:rPr>
          <w:rFonts w:ascii="Times New Roman" w:hAnsi="Times New Roman" w:cs="Times New Roman"/>
          <w:iCs/>
          <w:color w:val="000000" w:themeColor="text1"/>
          <w:szCs w:val="28"/>
        </w:rPr>
        <w:t>Como consecuencia lógica de dicho análisis de constitucionalidad</w:t>
      </w:r>
      <w:r w:rsidRPr="000C03D2">
        <w:rPr>
          <w:rFonts w:ascii="Times New Roman" w:hAnsi="Times New Roman" w:cs="Times New Roman"/>
          <w:iCs/>
          <w:color w:val="000000" w:themeColor="text1"/>
          <w:szCs w:val="28"/>
        </w:rPr>
        <w:t xml:space="preserve">, la Sala declarará la exequibilidad </w:t>
      </w:r>
      <w:r w:rsidRPr="000C03D2">
        <w:rPr>
          <w:rFonts w:ascii="Times New Roman" w:hAnsi="Times New Roman" w:cs="Times New Roman"/>
          <w:iCs/>
          <w:color w:val="000000" w:themeColor="text1"/>
          <w:szCs w:val="28"/>
        </w:rPr>
        <w:t>d</w:t>
      </w:r>
      <w:r w:rsidRPr="000C03D2">
        <w:rPr>
          <w:rFonts w:ascii="Times New Roman" w:hAnsi="Times New Roman" w:cs="Times New Roman"/>
          <w:color w:val="000000" w:themeColor="text1"/>
          <w:szCs w:val="28"/>
          <w:lang w:val="es-ES"/>
        </w:rPr>
        <w:t>e</w:t>
      </w:r>
      <w:r w:rsidRPr="000C03D2">
        <w:rPr>
          <w:rFonts w:ascii="Times New Roman" w:hAnsi="Times New Roman" w:cs="Times New Roman"/>
          <w:color w:val="000000" w:themeColor="text1"/>
          <w:szCs w:val="28"/>
          <w:lang w:val="es-ES"/>
        </w:rPr>
        <w:t xml:space="preserve"> </w:t>
      </w:r>
      <w:r w:rsidRPr="000C03D2">
        <w:rPr>
          <w:rFonts w:ascii="Times New Roman" w:hAnsi="Times New Roman" w:cs="Times New Roman"/>
          <w:color w:val="000000" w:themeColor="text1"/>
          <w:szCs w:val="28"/>
          <w:lang w:val="es-ES"/>
        </w:rPr>
        <w:t>l</w:t>
      </w:r>
      <w:r w:rsidRPr="000C03D2">
        <w:rPr>
          <w:rFonts w:ascii="Times New Roman" w:hAnsi="Times New Roman" w:cs="Times New Roman"/>
          <w:color w:val="000000" w:themeColor="text1"/>
          <w:szCs w:val="28"/>
          <w:lang w:val="es-ES"/>
        </w:rPr>
        <w:t xml:space="preserve">a expresión </w:t>
      </w:r>
      <w:r w:rsidRPr="000C03D2">
        <w:rPr>
          <w:rFonts w:ascii="Times New Roman" w:hAnsi="Times New Roman" w:cs="Times New Roman"/>
          <w:color w:val="000000" w:themeColor="text1"/>
          <w:szCs w:val="28"/>
          <w:lang w:val="es-ES"/>
        </w:rPr>
        <w:t>“</w:t>
      </w:r>
      <w:r w:rsidRPr="000C03D2">
        <w:rPr>
          <w:rFonts w:ascii="Times New Roman" w:hAnsi="Times New Roman" w:cs="Times New Roman"/>
          <w:color w:val="000000" w:themeColor="text1"/>
          <w:szCs w:val="28"/>
          <w:lang w:val="es-ES"/>
        </w:rPr>
        <w:t>la trabajadora”</w:t>
      </w:r>
      <w:r w:rsidRPr="000C03D2">
        <w:rPr>
          <w:rFonts w:ascii="Times New Roman" w:hAnsi="Times New Roman" w:cs="Times New Roman"/>
          <w:color w:val="000000" w:themeColor="text1"/>
          <w:szCs w:val="28"/>
          <w:lang w:val="es-ES"/>
        </w:rPr>
        <w:t xml:space="preserve"> </w:t>
      </w:r>
      <w:r w:rsidRPr="000C03D2">
        <w:rPr>
          <w:rFonts w:ascii="Times New Roman" w:hAnsi="Times New Roman" w:cs="Times New Roman"/>
          <w:color w:val="000000" w:themeColor="text1"/>
          <w:szCs w:val="28"/>
          <w:lang w:val="es-ES"/>
        </w:rPr>
        <w:t xml:space="preserve">contenida en el </w:t>
      </w:r>
      <w:r w:rsidRPr="000C03D2">
        <w:rPr>
          <w:rFonts w:ascii="Times New Roman" w:hAnsi="Times New Roman" w:cs="Times New Roman"/>
          <w:color w:val="000000" w:themeColor="text1"/>
          <w:szCs w:val="28"/>
          <w:lang w:val="es-ES"/>
        </w:rPr>
        <w:t>artículo 23</w:t>
      </w:r>
      <w:r w:rsidRPr="000C03D2">
        <w:rPr>
          <w:rFonts w:ascii="Times New Roman" w:hAnsi="Times New Roman" w:cs="Times New Roman"/>
          <w:color w:val="000000" w:themeColor="text1"/>
          <w:szCs w:val="28"/>
          <w:lang w:val="es-ES"/>
        </w:rPr>
        <w:t>7</w:t>
      </w:r>
      <w:r w:rsidRPr="000C03D2">
        <w:rPr>
          <w:rFonts w:ascii="Times New Roman" w:hAnsi="Times New Roman" w:cs="Times New Roman"/>
          <w:color w:val="000000" w:themeColor="text1"/>
          <w:szCs w:val="28"/>
          <w:lang w:val="es-ES"/>
        </w:rPr>
        <w:t xml:space="preserve"> del Código Sustantivo del Trabajo</w:t>
      </w:r>
      <w:r w:rsidRPr="000C03D2">
        <w:rPr>
          <w:rFonts w:ascii="Times New Roman" w:hAnsi="Times New Roman" w:cs="Times New Roman"/>
          <w:color w:val="000000" w:themeColor="text1"/>
          <w:szCs w:val="28"/>
        </w:rPr>
        <w:t xml:space="preserve">, en el entendido de que también aplica a todas las personas </w:t>
      </w:r>
      <w:r w:rsidRPr="000C03D2">
        <w:rPr>
          <w:rFonts w:ascii="Times New Roman" w:hAnsi="Times New Roman" w:cs="Times New Roman"/>
          <w:color w:val="000000" w:themeColor="text1"/>
          <w:szCs w:val="28"/>
        </w:rPr>
        <w:t>gestantes</w:t>
      </w:r>
      <w:r w:rsidRPr="000C03D2">
        <w:rPr>
          <w:rFonts w:ascii="Times New Roman" w:hAnsi="Times New Roman" w:cs="Times New Roman"/>
          <w:color w:val="000000" w:themeColor="text1"/>
          <w:szCs w:val="28"/>
        </w:rPr>
        <w:t xml:space="preserve">, en los términos de esta sentencia. </w:t>
      </w:r>
    </w:p>
    <w:p w:rsidR="008A443E" w:rsidRPr="000C03D2" w:rsidRDefault="000C03D2" w:rsidP="00F0276C">
      <w:pPr>
        <w:pStyle w:val="Prrafodelista"/>
        <w:ind w:left="0"/>
        <w:rPr>
          <w:rFonts w:ascii="Times New Roman" w:hAnsi="Times New Roman" w:cs="Times New Roman"/>
          <w:color w:val="000000" w:themeColor="text1"/>
        </w:rPr>
      </w:pPr>
    </w:p>
    <w:p w:rsidR="008A443E" w:rsidRPr="000C03D2" w:rsidRDefault="000C03D2" w:rsidP="00F0276C">
      <w:pPr>
        <w:pStyle w:val="Prrafodelista"/>
        <w:numPr>
          <w:ilvl w:val="0"/>
          <w:numId w:val="3"/>
        </w:numPr>
        <w:shd w:val="clear" w:color="auto" w:fill="FFFFFF"/>
        <w:spacing w:line="289" w:lineRule="atLeast"/>
        <w:ind w:left="0" w:firstLine="0"/>
        <w:textAlignment w:val="baseline"/>
        <w:rPr>
          <w:rFonts w:ascii="Times New Roman" w:hAnsi="Times New Roman" w:cs="Times New Roman"/>
          <w:color w:val="000000" w:themeColor="text1"/>
          <w:szCs w:val="28"/>
          <w:shd w:val="clear" w:color="auto" w:fill="FFFFFF"/>
        </w:rPr>
      </w:pPr>
      <w:r w:rsidRPr="000C03D2">
        <w:rPr>
          <w:rFonts w:ascii="Times New Roman" w:hAnsi="Times New Roman" w:cs="Times New Roman"/>
          <w:color w:val="000000" w:themeColor="text1"/>
          <w:szCs w:val="14"/>
        </w:rPr>
        <w:t> </w:t>
      </w:r>
      <w:r w:rsidRPr="000C03D2">
        <w:rPr>
          <w:rFonts w:ascii="Times New Roman" w:hAnsi="Times New Roman" w:cs="Times New Roman"/>
          <w:color w:val="000000" w:themeColor="text1"/>
          <w:szCs w:val="28"/>
          <w:shd w:val="clear" w:color="auto" w:fill="FFFFFF"/>
        </w:rPr>
        <w:t xml:space="preserve">Finalmente, </w:t>
      </w:r>
      <w:r w:rsidRPr="000C03D2">
        <w:rPr>
          <w:rFonts w:ascii="Times New Roman" w:hAnsi="Times New Roman" w:cs="Times New Roman"/>
          <w:color w:val="000000" w:themeColor="text1"/>
          <w:szCs w:val="28"/>
          <w:shd w:val="clear" w:color="auto" w:fill="FFFFFF"/>
        </w:rPr>
        <w:t>el</w:t>
      </w:r>
      <w:r w:rsidRPr="000C03D2">
        <w:rPr>
          <w:rFonts w:ascii="Times New Roman" w:hAnsi="Times New Roman" w:cs="Times New Roman"/>
          <w:color w:val="000000" w:themeColor="text1"/>
          <w:szCs w:val="28"/>
          <w:shd w:val="clear" w:color="auto" w:fill="FFFFFF"/>
        </w:rPr>
        <w:t xml:space="preserve"> Programa de Acción por la Igualdad y la Inclusión Social – PAIIS del Consultorio Jurídico de la Facultad de Derecho de la Universidad de los Andes</w:t>
      </w:r>
      <w:r w:rsidRPr="000C03D2">
        <w:rPr>
          <w:rFonts w:ascii="Times New Roman" w:hAnsi="Times New Roman" w:cs="Times New Roman"/>
          <w:color w:val="000000" w:themeColor="text1"/>
          <w:szCs w:val="28"/>
          <w:shd w:val="clear" w:color="auto" w:fill="FFFFFF"/>
        </w:rPr>
        <w:t xml:space="preserve"> y Colombia Diversa </w:t>
      </w:r>
      <w:r w:rsidRPr="000C03D2">
        <w:rPr>
          <w:rFonts w:ascii="Times New Roman" w:hAnsi="Times New Roman" w:cs="Times New Roman"/>
          <w:color w:val="000000" w:themeColor="text1"/>
          <w:szCs w:val="28"/>
          <w:shd w:val="clear" w:color="auto" w:fill="FFFFFF"/>
        </w:rPr>
        <w:t xml:space="preserve">en su intervención </w:t>
      </w:r>
      <w:r w:rsidRPr="000C03D2">
        <w:rPr>
          <w:rFonts w:ascii="Times New Roman" w:hAnsi="Times New Roman" w:cs="Times New Roman"/>
          <w:color w:val="000000" w:themeColor="text1"/>
          <w:szCs w:val="28"/>
          <w:shd w:val="clear" w:color="auto" w:fill="FFFFFF"/>
        </w:rPr>
        <w:t xml:space="preserve">conjunta </w:t>
      </w:r>
      <w:r w:rsidRPr="000C03D2">
        <w:rPr>
          <w:rFonts w:ascii="Times New Roman" w:hAnsi="Times New Roman" w:cs="Times New Roman"/>
          <w:color w:val="000000" w:themeColor="text1"/>
          <w:szCs w:val="28"/>
          <w:shd w:val="clear" w:color="auto" w:fill="FFFFFF"/>
        </w:rPr>
        <w:t>solicitaron</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a</w:t>
      </w:r>
      <w:r w:rsidRPr="000C03D2">
        <w:rPr>
          <w:rFonts w:ascii="Times New Roman" w:hAnsi="Times New Roman" w:cs="Times New Roman"/>
          <w:color w:val="000000" w:themeColor="text1"/>
          <w:szCs w:val="28"/>
          <w:shd w:val="clear" w:color="auto" w:fill="FFFFFF"/>
        </w:rPr>
        <w:t xml:space="preserve"> la Corte </w:t>
      </w:r>
      <w:r w:rsidRPr="000C03D2">
        <w:rPr>
          <w:rFonts w:ascii="Times New Roman" w:hAnsi="Times New Roman" w:cs="Times New Roman"/>
          <w:color w:val="000000" w:themeColor="text1"/>
          <w:szCs w:val="28"/>
          <w:shd w:val="clear" w:color="auto" w:fill="FFFFFF"/>
        </w:rPr>
        <w:t>exhortar</w:t>
      </w:r>
      <w:r w:rsidRPr="000C03D2">
        <w:rPr>
          <w:rFonts w:ascii="Times New Roman" w:hAnsi="Times New Roman" w:cs="Times New Roman"/>
          <w:color w:val="000000" w:themeColor="text1"/>
          <w:szCs w:val="28"/>
          <w:shd w:val="clear" w:color="auto" w:fill="FFFFFF"/>
        </w:rPr>
        <w:t xml:space="preserve"> al Ministerio de Salud y Prot</w:t>
      </w:r>
      <w:r w:rsidRPr="000C03D2">
        <w:rPr>
          <w:rFonts w:ascii="Times New Roman" w:hAnsi="Times New Roman" w:cs="Times New Roman"/>
          <w:color w:val="000000" w:themeColor="text1"/>
          <w:szCs w:val="28"/>
          <w:shd w:val="clear" w:color="auto" w:fill="FFFFFF"/>
        </w:rPr>
        <w:t xml:space="preserve">ección Social para que incluya </w:t>
      </w:r>
      <w:r w:rsidRPr="000C03D2">
        <w:rPr>
          <w:rFonts w:ascii="Times New Roman" w:hAnsi="Times New Roman" w:cs="Times New Roman"/>
          <w:color w:val="000000" w:themeColor="text1"/>
          <w:szCs w:val="28"/>
          <w:shd w:val="clear" w:color="auto" w:fill="FFFFFF"/>
        </w:rPr>
        <w:t>“variables diferenciales que permitan recoger datos sobre el estado de acceso de personas trans y algunas personas con género no binario a beneficios de seguridad social en general, y de salud en particular”.</w:t>
      </w:r>
      <w:r w:rsidRPr="000C03D2">
        <w:rPr>
          <w:rFonts w:ascii="Times New Roman" w:hAnsi="Times New Roman" w:cs="Times New Roman"/>
          <w:color w:val="000000" w:themeColor="text1"/>
          <w:szCs w:val="27"/>
        </w:rPr>
        <w:t xml:space="preserve"> </w:t>
      </w:r>
      <w:r w:rsidRPr="000C03D2">
        <w:rPr>
          <w:rFonts w:ascii="Times New Roman" w:hAnsi="Times New Roman" w:cs="Times New Roman"/>
          <w:color w:val="000000" w:themeColor="text1"/>
          <w:szCs w:val="28"/>
          <w:shd w:val="clear" w:color="auto" w:fill="FFFFFF"/>
        </w:rPr>
        <w:t xml:space="preserve">Al respecto, la </w:t>
      </w:r>
      <w:r w:rsidRPr="000C03D2">
        <w:rPr>
          <w:rFonts w:ascii="Times New Roman" w:hAnsi="Times New Roman" w:cs="Times New Roman"/>
          <w:color w:val="000000" w:themeColor="text1"/>
          <w:szCs w:val="28"/>
          <w:shd w:val="clear" w:color="auto" w:fill="FFFFFF"/>
        </w:rPr>
        <w:t>Sala advierte que, en este caso, no es procedente acceder a la solicitud, por cuanto las peticiones no guardan relación con el estudio que realiza la Corte en esta ocasión, esto es, el control abstracto de constitucionalidad de la expresi</w:t>
      </w:r>
      <w:r w:rsidRPr="000C03D2">
        <w:rPr>
          <w:rFonts w:ascii="Times New Roman" w:hAnsi="Times New Roman" w:cs="Times New Roman"/>
          <w:color w:val="000000" w:themeColor="text1"/>
          <w:szCs w:val="28"/>
          <w:shd w:val="clear" w:color="auto" w:fill="FFFFFF"/>
        </w:rPr>
        <w:t>ó</w:t>
      </w:r>
      <w:r w:rsidRPr="000C03D2">
        <w:rPr>
          <w:rFonts w:ascii="Times New Roman" w:hAnsi="Times New Roman" w:cs="Times New Roman"/>
          <w:color w:val="000000" w:themeColor="text1"/>
          <w:szCs w:val="28"/>
          <w:shd w:val="clear" w:color="auto" w:fill="FFFFFF"/>
        </w:rPr>
        <w:t xml:space="preserve">n </w:t>
      </w:r>
      <w:r w:rsidRPr="000C03D2">
        <w:rPr>
          <w:rFonts w:ascii="Times New Roman" w:hAnsi="Times New Roman" w:cs="Times New Roman"/>
          <w:color w:val="000000" w:themeColor="text1"/>
          <w:szCs w:val="28"/>
          <w:shd w:val="clear" w:color="auto" w:fill="FFFFFF"/>
        </w:rPr>
        <w:t>“</w:t>
      </w:r>
      <w:r w:rsidRPr="000C03D2">
        <w:rPr>
          <w:rFonts w:ascii="Times New Roman" w:hAnsi="Times New Roman" w:cs="Times New Roman"/>
          <w:color w:val="000000" w:themeColor="text1"/>
          <w:szCs w:val="28"/>
          <w:shd w:val="clear" w:color="auto" w:fill="FFFFFF"/>
        </w:rPr>
        <w:t>la</w:t>
      </w:r>
      <w:r w:rsidRPr="000C03D2">
        <w:rPr>
          <w:rFonts w:ascii="Times New Roman" w:hAnsi="Times New Roman" w:cs="Times New Roman"/>
          <w:color w:val="000000" w:themeColor="text1"/>
          <w:szCs w:val="28"/>
          <w:shd w:val="clear" w:color="auto" w:fill="FFFFFF"/>
        </w:rPr>
        <w:t xml:space="preserve"> trabajadora</w:t>
      </w:r>
      <w:r w:rsidRPr="000C03D2">
        <w:rPr>
          <w:rFonts w:ascii="Times New Roman" w:hAnsi="Times New Roman" w:cs="Times New Roman"/>
          <w:color w:val="000000" w:themeColor="text1"/>
          <w:szCs w:val="28"/>
          <w:shd w:val="clear" w:color="auto" w:fill="FFFFFF"/>
        </w:rPr>
        <w:t>” prevista en la norma acusada. </w:t>
      </w:r>
      <w:r w:rsidRPr="000C03D2">
        <w:rPr>
          <w:rFonts w:ascii="Times New Roman" w:hAnsi="Times New Roman" w:cs="Times New Roman"/>
          <w:color w:val="000000" w:themeColor="text1"/>
          <w:szCs w:val="28"/>
          <w:shd w:val="clear" w:color="auto" w:fill="FFFFFF"/>
        </w:rPr>
        <w:t xml:space="preserve">Tal como lo planteó la Corte en la Sentencia C-071 de 2025 </w:t>
      </w:r>
      <w:r w:rsidRPr="000C03D2">
        <w:rPr>
          <w:rFonts w:ascii="Times New Roman" w:hAnsi="Times New Roman" w:cs="Times New Roman"/>
          <w:color w:val="000000" w:themeColor="text1"/>
          <w:szCs w:val="28"/>
        </w:rPr>
        <w:t>esta solicitud</w:t>
      </w:r>
      <w:r w:rsidRPr="000C03D2">
        <w:rPr>
          <w:rFonts w:ascii="Times New Roman" w:hAnsi="Times New Roman" w:cs="Times New Roman"/>
          <w:color w:val="000000" w:themeColor="text1"/>
          <w:szCs w:val="28"/>
          <w:shd w:val="clear" w:color="auto" w:fill="FFFFFF"/>
        </w:rPr>
        <w:t xml:space="preserve"> </w:t>
      </w:r>
      <w:r w:rsidRPr="000C03D2">
        <w:rPr>
          <w:rFonts w:ascii="Times New Roman" w:hAnsi="Times New Roman" w:cs="Times New Roman"/>
          <w:color w:val="000000" w:themeColor="text1"/>
          <w:szCs w:val="28"/>
          <w:shd w:val="clear" w:color="auto" w:fill="FFFFFF"/>
        </w:rPr>
        <w:t>“</w:t>
      </w:r>
      <w:r w:rsidRPr="000C03D2">
        <w:rPr>
          <w:rFonts w:ascii="Times New Roman" w:hAnsi="Times New Roman" w:cs="Times New Roman"/>
          <w:color w:val="000000" w:themeColor="text1"/>
          <w:szCs w:val="28"/>
          <w:shd w:val="clear" w:color="auto" w:fill="FFFFFF"/>
        </w:rPr>
        <w:t>tienen que ver con aspectos de control concreto y escenarios de política pública que no se corresponden con la competencia que ejerce esta Corporació</w:t>
      </w:r>
      <w:r w:rsidRPr="000C03D2">
        <w:rPr>
          <w:rFonts w:ascii="Times New Roman" w:hAnsi="Times New Roman" w:cs="Times New Roman"/>
          <w:color w:val="000000" w:themeColor="text1"/>
          <w:szCs w:val="28"/>
          <w:shd w:val="clear" w:color="auto" w:fill="FFFFFF"/>
        </w:rPr>
        <w:t>n en el asunto bajo examen</w:t>
      </w:r>
      <w:r w:rsidRPr="000C03D2">
        <w:rPr>
          <w:rFonts w:ascii="Times New Roman" w:hAnsi="Times New Roman" w:cs="Times New Roman"/>
          <w:color w:val="000000" w:themeColor="text1"/>
          <w:szCs w:val="28"/>
          <w:shd w:val="clear" w:color="auto" w:fill="FFFFFF"/>
        </w:rPr>
        <w:t>”</w:t>
      </w:r>
      <w:r w:rsidRPr="000C03D2">
        <w:rPr>
          <w:rFonts w:ascii="Times New Roman" w:hAnsi="Times New Roman" w:cs="Times New Roman"/>
          <w:color w:val="000000" w:themeColor="text1"/>
          <w:szCs w:val="28"/>
          <w:shd w:val="clear" w:color="auto" w:fill="FFFFFF"/>
        </w:rPr>
        <w:t>.</w:t>
      </w:r>
    </w:p>
    <w:p w:rsidR="00FF68D9"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FF68D9" w:rsidRPr="000C03D2" w:rsidRDefault="000C03D2" w:rsidP="00A141C2">
      <w:pPr>
        <w:pStyle w:val="Ttulo1"/>
        <w:numPr>
          <w:ilvl w:val="0"/>
          <w:numId w:val="1"/>
        </w:numPr>
        <w:tabs>
          <w:tab w:val="num" w:pos="360"/>
        </w:tabs>
        <w:spacing w:before="0" w:after="0"/>
        <w:ind w:left="0" w:firstLine="0"/>
        <w:rPr>
          <w:rStyle w:val="Ttulo1Car"/>
          <w:rFonts w:ascii="Times New Roman" w:hAnsi="Times New Roman" w:cs="Times New Roman"/>
          <w:b/>
          <w:color w:val="000000" w:themeColor="text1"/>
          <w:sz w:val="28"/>
          <w:szCs w:val="28"/>
        </w:rPr>
      </w:pPr>
      <w:r w:rsidRPr="000C03D2">
        <w:rPr>
          <w:rStyle w:val="Ttulo1Car"/>
          <w:rFonts w:ascii="Times New Roman" w:hAnsi="Times New Roman" w:cs="Times New Roman"/>
          <w:b/>
          <w:color w:val="000000" w:themeColor="text1"/>
          <w:sz w:val="28"/>
          <w:szCs w:val="28"/>
        </w:rPr>
        <w:t xml:space="preserve">DECISIÓN </w:t>
      </w:r>
    </w:p>
    <w:p w:rsidR="00FF68D9" w:rsidRPr="000C03D2" w:rsidRDefault="000C03D2" w:rsidP="00A141C2">
      <w:pPr>
        <w:rPr>
          <w:rFonts w:ascii="Times New Roman" w:hAnsi="Times New Roman" w:cs="Times New Roman"/>
          <w:color w:val="000000" w:themeColor="text1"/>
          <w:sz w:val="28"/>
        </w:rPr>
      </w:pPr>
    </w:p>
    <w:p w:rsidR="00FF68D9" w:rsidRPr="000C03D2" w:rsidRDefault="000C03D2" w:rsidP="001B21F2">
      <w:pPr>
        <w:ind w:right="49"/>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La Corte Constitucional de Colombia, administrando justicia en nombre del pueblo y por mandato de la Constitución,</w:t>
      </w:r>
    </w:p>
    <w:p w:rsidR="00FF68D9" w:rsidRPr="000C03D2" w:rsidRDefault="000C03D2" w:rsidP="001B21F2">
      <w:pPr>
        <w:pStyle w:val="Prrafodelista"/>
        <w:ind w:left="0" w:right="49"/>
        <w:rPr>
          <w:rFonts w:ascii="Times New Roman" w:hAnsi="Times New Roman" w:cs="Times New Roman"/>
          <w:color w:val="000000" w:themeColor="text1"/>
        </w:rPr>
      </w:pPr>
      <w:r w:rsidRPr="000C03D2">
        <w:rPr>
          <w:rFonts w:ascii="Times New Roman" w:hAnsi="Times New Roman" w:cs="Times New Roman"/>
          <w:color w:val="000000" w:themeColor="text1"/>
        </w:rPr>
        <w:t> </w:t>
      </w:r>
    </w:p>
    <w:p w:rsidR="001B21F2" w:rsidRPr="000C03D2" w:rsidRDefault="000C03D2" w:rsidP="001B21F2">
      <w:pPr>
        <w:pStyle w:val="Prrafodelista"/>
        <w:ind w:left="0" w:right="49"/>
        <w:rPr>
          <w:rFonts w:ascii="Times New Roman" w:hAnsi="Times New Roman" w:cs="Times New Roman"/>
          <w:color w:val="000000" w:themeColor="text1"/>
        </w:rPr>
      </w:pPr>
    </w:p>
    <w:p w:rsidR="00FF68D9" w:rsidRPr="000C03D2" w:rsidRDefault="000C03D2" w:rsidP="001B21F2">
      <w:pPr>
        <w:pStyle w:val="Prrafodelista"/>
        <w:ind w:left="0" w:right="49"/>
        <w:jc w:val="center"/>
        <w:rPr>
          <w:rFonts w:ascii="Times New Roman" w:hAnsi="Times New Roman" w:cs="Times New Roman"/>
          <w:color w:val="000000" w:themeColor="text1"/>
        </w:rPr>
      </w:pPr>
      <w:r w:rsidRPr="000C03D2">
        <w:rPr>
          <w:rFonts w:ascii="Times New Roman" w:hAnsi="Times New Roman" w:cs="Times New Roman"/>
          <w:b/>
          <w:bCs/>
          <w:color w:val="000000" w:themeColor="text1"/>
        </w:rPr>
        <w:t>RESUELVE:</w:t>
      </w:r>
    </w:p>
    <w:p w:rsidR="00FF68D9" w:rsidRPr="000C03D2" w:rsidRDefault="000C03D2" w:rsidP="001B21F2">
      <w:pPr>
        <w:ind w:right="49"/>
        <w:rPr>
          <w:rFonts w:ascii="Times New Roman" w:hAnsi="Times New Roman" w:cs="Times New Roman"/>
          <w:color w:val="000000" w:themeColor="text1"/>
          <w:sz w:val="28"/>
        </w:rPr>
      </w:pPr>
    </w:p>
    <w:p w:rsidR="00FA3F95" w:rsidRPr="000C03D2" w:rsidRDefault="000C03D2" w:rsidP="001B21F2">
      <w:pPr>
        <w:pStyle w:val="Prrafodelista"/>
        <w:tabs>
          <w:tab w:val="left" w:pos="567"/>
        </w:tabs>
        <w:ind w:left="0" w:right="49"/>
        <w:rPr>
          <w:rFonts w:ascii="Times New Roman" w:hAnsi="Times New Roman" w:cs="Times New Roman"/>
          <w:color w:val="000000" w:themeColor="text1"/>
        </w:rPr>
      </w:pPr>
      <w:r w:rsidRPr="000C03D2">
        <w:rPr>
          <w:rFonts w:ascii="Times New Roman" w:hAnsi="Times New Roman" w:cs="Times New Roman"/>
          <w:b/>
          <w:bCs/>
          <w:color w:val="000000" w:themeColor="text1"/>
        </w:rPr>
        <w:t>ÚNICO.</w:t>
      </w:r>
      <w:r w:rsidRPr="000C03D2">
        <w:rPr>
          <w:rFonts w:ascii="Times New Roman" w:hAnsi="Times New Roman" w:cs="Times New Roman"/>
          <w:color w:val="000000" w:themeColor="text1"/>
        </w:rPr>
        <w:t xml:space="preserve"> </w:t>
      </w:r>
      <w:r w:rsidRPr="000C03D2">
        <w:rPr>
          <w:rFonts w:ascii="Times New Roman" w:hAnsi="Times New Roman" w:cs="Times New Roman"/>
          <w:color w:val="000000" w:themeColor="text1"/>
          <w:szCs w:val="28"/>
        </w:rPr>
        <w:t xml:space="preserve">Declarar </w:t>
      </w:r>
      <w:r w:rsidRPr="000C03D2">
        <w:rPr>
          <w:rFonts w:ascii="Times New Roman" w:hAnsi="Times New Roman" w:cs="Times New Roman"/>
          <w:b/>
          <w:bCs/>
          <w:color w:val="000000" w:themeColor="text1"/>
          <w:szCs w:val="28"/>
        </w:rPr>
        <w:t>EXEQUIBLE</w:t>
      </w:r>
      <w:r w:rsidRPr="000C03D2">
        <w:rPr>
          <w:rFonts w:ascii="Times New Roman" w:hAnsi="Times New Roman" w:cs="Times New Roman"/>
          <w:color w:val="000000" w:themeColor="text1"/>
          <w:szCs w:val="28"/>
        </w:rPr>
        <w:t xml:space="preserve">, por los cargos analizados, la expresión “la trabajadora” </w:t>
      </w:r>
      <w:r w:rsidRPr="000C03D2">
        <w:rPr>
          <w:rFonts w:ascii="Times New Roman" w:hAnsi="Times New Roman" w:cs="Times New Roman"/>
          <w:color w:val="000000" w:themeColor="text1"/>
          <w:szCs w:val="28"/>
        </w:rPr>
        <w:t>contenida en el artículo 237 del Código Sustantivo del Trabajo, en el entendido de que el enunciado normativo también aplica a todas las personas gestantes, en los términos de esta sentencia.</w:t>
      </w:r>
    </w:p>
    <w:p w:rsidR="00FF68D9" w:rsidRPr="000C03D2" w:rsidRDefault="000C03D2" w:rsidP="001B21F2">
      <w:pPr>
        <w:ind w:right="49"/>
        <w:rPr>
          <w:rFonts w:ascii="Times New Roman" w:hAnsi="Times New Roman" w:cs="Times New Roman"/>
          <w:b/>
          <w:bCs/>
          <w:color w:val="000000" w:themeColor="text1"/>
          <w:sz w:val="28"/>
          <w:szCs w:val="28"/>
        </w:rPr>
      </w:pPr>
    </w:p>
    <w:p w:rsidR="00FF68D9" w:rsidRPr="000C03D2" w:rsidRDefault="000C03D2" w:rsidP="001B21F2">
      <w:pPr>
        <w:ind w:right="49"/>
        <w:rPr>
          <w:rFonts w:ascii="Times New Roman" w:hAnsi="Times New Roman" w:cs="Times New Roman"/>
          <w:color w:val="000000" w:themeColor="text1"/>
          <w:sz w:val="28"/>
          <w:szCs w:val="28"/>
        </w:rPr>
      </w:pPr>
      <w:r w:rsidRPr="000C03D2">
        <w:rPr>
          <w:rFonts w:ascii="Times New Roman" w:hAnsi="Times New Roman" w:cs="Times New Roman"/>
          <w:color w:val="000000" w:themeColor="text1"/>
          <w:sz w:val="28"/>
          <w:szCs w:val="28"/>
        </w:rPr>
        <w:t xml:space="preserve">Notifíquese, comuníquese y cúmplase, </w:t>
      </w:r>
    </w:p>
    <w:p w:rsidR="00FF68D9" w:rsidRPr="000C03D2" w:rsidRDefault="000C03D2" w:rsidP="001B21F2">
      <w:pPr>
        <w:tabs>
          <w:tab w:val="left" w:pos="567"/>
        </w:tabs>
        <w:ind w:right="49"/>
        <w:rPr>
          <w:rFonts w:ascii="Times New Roman" w:hAnsi="Times New Roman" w:cs="Times New Roman"/>
          <w:i/>
          <w:iCs/>
          <w:color w:val="000000" w:themeColor="text1"/>
          <w:sz w:val="28"/>
          <w:szCs w:val="28"/>
          <w:shd w:val="clear" w:color="auto" w:fill="FFFFFF" w:themeFill="background1"/>
        </w:rPr>
      </w:pPr>
    </w:p>
    <w:p w:rsidR="004A296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 xml:space="preserve">PAOLA ANDREA MENESES </w:t>
      </w:r>
      <w:r w:rsidRPr="000C03D2">
        <w:rPr>
          <w:rFonts w:ascii="Times New Roman" w:hAnsi="Times New Roman" w:cs="Times New Roman"/>
          <w:iCs/>
          <w:color w:val="000000" w:themeColor="text1"/>
          <w:sz w:val="28"/>
          <w:szCs w:val="28"/>
          <w:shd w:val="clear" w:color="auto" w:fill="FFFFFF" w:themeFill="background1"/>
        </w:rPr>
        <w:t>MOSQUERA</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Presidenta</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NATALIA ÁNGEL CABO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Magistrada</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CARLOS CAMARGO ASSIS</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HECTOR ALFONSO CARVAJAL LONDOÑO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JUAN CARLOS CORTÉS GONZÁLEZ</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LINA MARCELA ESCOBAR MARTÍNEZ</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Magistrada</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VLADIMIR FERNÁNDEZ ANDRADE</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 xml:space="preserve">JORGE ENRIQUE IBÁÑEZ NAJAR </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Con aclaración de voto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MIGUEL POLO ROSERO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Magistrado</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ANDREA LILIANA ROMERO LOPEZ</w:t>
      </w:r>
    </w:p>
    <w:p w:rsidR="00B94945" w:rsidRPr="000C03D2" w:rsidRDefault="000C03D2" w:rsidP="00B94945">
      <w:pPr>
        <w:tabs>
          <w:tab w:val="left" w:pos="567"/>
        </w:tabs>
        <w:jc w:val="center"/>
        <w:rPr>
          <w:rFonts w:ascii="Times New Roman" w:hAnsi="Times New Roman" w:cs="Times New Roman"/>
          <w:iCs/>
          <w:color w:val="000000" w:themeColor="text1"/>
          <w:sz w:val="28"/>
          <w:szCs w:val="28"/>
          <w:shd w:val="clear" w:color="auto" w:fill="FFFFFF" w:themeFill="background1"/>
        </w:rPr>
      </w:pPr>
      <w:r w:rsidRPr="000C03D2">
        <w:rPr>
          <w:rFonts w:ascii="Times New Roman" w:hAnsi="Times New Roman" w:cs="Times New Roman"/>
          <w:iCs/>
          <w:color w:val="000000" w:themeColor="text1"/>
          <w:sz w:val="28"/>
          <w:szCs w:val="28"/>
          <w:shd w:val="clear" w:color="auto" w:fill="FFFFFF" w:themeFill="background1"/>
        </w:rPr>
        <w:t>Secretaria General</w:t>
      </w: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B94945" w:rsidRPr="000C03D2" w:rsidRDefault="000C03D2" w:rsidP="00A141C2">
      <w:pPr>
        <w:tabs>
          <w:tab w:val="left" w:pos="567"/>
        </w:tabs>
        <w:rPr>
          <w:rFonts w:ascii="Times New Roman" w:hAnsi="Times New Roman" w:cs="Times New Roman"/>
          <w:i/>
          <w:iCs/>
          <w:color w:val="000000" w:themeColor="text1"/>
          <w:sz w:val="28"/>
          <w:szCs w:val="28"/>
          <w:shd w:val="clear" w:color="auto" w:fill="FFFFFF" w:themeFill="background1"/>
        </w:rPr>
      </w:pPr>
    </w:p>
    <w:p w:rsidR="005D3FE2" w:rsidRPr="000C03D2" w:rsidRDefault="000C03D2" w:rsidP="006F5D86">
      <w:pPr>
        <w:jc w:val="center"/>
        <w:rPr>
          <w:rFonts w:ascii="Times New Roman" w:hAnsi="Times New Roman" w:cs="Times New Roman"/>
          <w:b/>
          <w:bCs/>
          <w:sz w:val="28"/>
          <w:szCs w:val="28"/>
        </w:rPr>
      </w:pPr>
    </w:p>
    <w:p w:rsidR="005D3FE2" w:rsidRPr="000C03D2" w:rsidRDefault="000C03D2" w:rsidP="006F5D86">
      <w:pPr>
        <w:jc w:val="center"/>
        <w:rPr>
          <w:rFonts w:ascii="Times New Roman" w:hAnsi="Times New Roman" w:cs="Times New Roman"/>
          <w:b/>
          <w:bCs/>
          <w:sz w:val="28"/>
          <w:szCs w:val="28"/>
        </w:rPr>
      </w:pPr>
    </w:p>
    <w:p w:rsidR="000E36B7" w:rsidRPr="000C03D2" w:rsidRDefault="000C03D2" w:rsidP="006F5D86">
      <w:pPr>
        <w:jc w:val="center"/>
        <w:rPr>
          <w:rFonts w:ascii="Times New Roman" w:hAnsi="Times New Roman" w:cs="Times New Roman"/>
          <w:b/>
          <w:bCs/>
          <w:sz w:val="28"/>
          <w:szCs w:val="28"/>
        </w:rPr>
      </w:pPr>
      <w:r w:rsidRPr="000C03D2">
        <w:rPr>
          <w:rFonts w:ascii="Times New Roman" w:hAnsi="Times New Roman" w:cs="Times New Roman"/>
          <w:b/>
          <w:bCs/>
          <w:sz w:val="28"/>
          <w:szCs w:val="28"/>
        </w:rPr>
        <w:t>ACLARACIÓN DE VOTO DEL MAGISTRADO</w:t>
      </w:r>
      <w:r w:rsidRPr="000C03D2">
        <w:rPr>
          <w:rFonts w:ascii="Times New Roman" w:hAnsi="Times New Roman" w:cs="Times New Roman"/>
          <w:b/>
          <w:bCs/>
          <w:sz w:val="28"/>
          <w:szCs w:val="28"/>
        </w:rPr>
        <w:t xml:space="preserve"> </w:t>
      </w:r>
    </w:p>
    <w:p w:rsidR="000E36B7" w:rsidRPr="000C03D2" w:rsidRDefault="000C03D2" w:rsidP="006F5D86">
      <w:pPr>
        <w:jc w:val="center"/>
        <w:rPr>
          <w:rFonts w:ascii="Times New Roman" w:hAnsi="Times New Roman" w:cs="Times New Roman"/>
          <w:b/>
          <w:bCs/>
          <w:sz w:val="28"/>
          <w:szCs w:val="28"/>
        </w:rPr>
      </w:pPr>
      <w:r w:rsidRPr="000C03D2">
        <w:rPr>
          <w:rFonts w:ascii="Times New Roman" w:hAnsi="Times New Roman" w:cs="Times New Roman"/>
          <w:b/>
          <w:bCs/>
          <w:sz w:val="28"/>
          <w:szCs w:val="28"/>
        </w:rPr>
        <w:t>JORGE ENRIQUE IBÁÑEZ NAJAR</w:t>
      </w:r>
    </w:p>
    <w:p w:rsidR="00565EDE" w:rsidRPr="000C03D2" w:rsidRDefault="000C03D2" w:rsidP="006F5D86">
      <w:pPr>
        <w:jc w:val="center"/>
        <w:rPr>
          <w:rFonts w:ascii="Times New Roman" w:hAnsi="Times New Roman" w:cs="Times New Roman"/>
          <w:sz w:val="28"/>
          <w:szCs w:val="28"/>
        </w:rPr>
      </w:pPr>
      <w:r w:rsidRPr="000C03D2">
        <w:rPr>
          <w:rFonts w:ascii="Times New Roman" w:hAnsi="Times New Roman" w:cs="Times New Roman"/>
          <w:b/>
          <w:bCs/>
          <w:sz w:val="28"/>
          <w:szCs w:val="28"/>
        </w:rPr>
        <w:t xml:space="preserve"> </w:t>
      </w:r>
      <w:r w:rsidRPr="000C03D2">
        <w:rPr>
          <w:rFonts w:ascii="Times New Roman" w:hAnsi="Times New Roman" w:cs="Times New Roman"/>
          <w:b/>
          <w:bCs/>
          <w:sz w:val="28"/>
          <w:szCs w:val="28"/>
        </w:rPr>
        <w:t>A LA SENTENCIA C-017</w:t>
      </w:r>
      <w:r w:rsidRPr="000C03D2">
        <w:rPr>
          <w:rFonts w:ascii="Times New Roman" w:hAnsi="Times New Roman" w:cs="Times New Roman"/>
          <w:b/>
          <w:bCs/>
          <w:sz w:val="28"/>
          <w:szCs w:val="28"/>
        </w:rPr>
        <w:t>/</w:t>
      </w:r>
      <w:r w:rsidRPr="000C03D2">
        <w:rPr>
          <w:rFonts w:ascii="Times New Roman" w:hAnsi="Times New Roman" w:cs="Times New Roman"/>
          <w:b/>
          <w:bCs/>
          <w:sz w:val="28"/>
          <w:szCs w:val="28"/>
        </w:rPr>
        <w:t>26</w:t>
      </w:r>
    </w:p>
    <w:p w:rsidR="00565EDE" w:rsidRPr="000C03D2" w:rsidRDefault="000C03D2" w:rsidP="006F5D86">
      <w:pPr>
        <w:rPr>
          <w:rFonts w:ascii="Times New Roman" w:hAnsi="Times New Roman" w:cs="Times New Roman"/>
          <w:sz w:val="28"/>
          <w:szCs w:val="28"/>
        </w:rPr>
      </w:pPr>
    </w:p>
    <w:p w:rsidR="00565EDE" w:rsidRPr="000C03D2" w:rsidRDefault="000C03D2" w:rsidP="006F5D86">
      <w:pPr>
        <w:rPr>
          <w:rFonts w:ascii="Times New Roman" w:hAnsi="Times New Roman" w:cs="Times New Roman"/>
          <w:sz w:val="28"/>
          <w:szCs w:val="28"/>
        </w:rPr>
      </w:pPr>
    </w:p>
    <w:p w:rsidR="00565EDE" w:rsidRPr="000C03D2" w:rsidRDefault="000C03D2" w:rsidP="006F5D86">
      <w:pPr>
        <w:ind w:left="4253"/>
        <w:rPr>
          <w:rFonts w:ascii="Times New Roman" w:hAnsi="Times New Roman" w:cs="Times New Roman"/>
          <w:sz w:val="28"/>
          <w:szCs w:val="28"/>
        </w:rPr>
      </w:pPr>
      <w:r w:rsidRPr="000C03D2">
        <w:rPr>
          <w:rFonts w:ascii="Times New Roman" w:hAnsi="Times New Roman" w:cs="Times New Roman"/>
          <w:sz w:val="28"/>
          <w:szCs w:val="28"/>
        </w:rPr>
        <w:t>Expediente: D-16.581</w:t>
      </w:r>
    </w:p>
    <w:p w:rsidR="000E36B7" w:rsidRPr="000C03D2" w:rsidRDefault="000C03D2" w:rsidP="006F5D86">
      <w:pPr>
        <w:ind w:left="4253"/>
        <w:rPr>
          <w:rFonts w:ascii="Times New Roman" w:hAnsi="Times New Roman" w:cs="Times New Roman"/>
          <w:sz w:val="28"/>
          <w:szCs w:val="28"/>
        </w:rPr>
      </w:pPr>
    </w:p>
    <w:p w:rsidR="00565EDE" w:rsidRPr="000C03D2" w:rsidRDefault="000C03D2" w:rsidP="006F5D86">
      <w:pPr>
        <w:ind w:left="4253"/>
        <w:rPr>
          <w:rFonts w:ascii="Times New Roman" w:hAnsi="Times New Roman" w:cs="Times New Roman"/>
          <w:sz w:val="28"/>
          <w:szCs w:val="28"/>
        </w:rPr>
      </w:pPr>
      <w:r w:rsidRPr="000C03D2">
        <w:rPr>
          <w:rFonts w:ascii="Times New Roman" w:hAnsi="Times New Roman" w:cs="Times New Roman"/>
          <w:sz w:val="28"/>
          <w:szCs w:val="28"/>
        </w:rPr>
        <w:t>Magistrado ponente: Carlos Camargo Assis.</w:t>
      </w:r>
    </w:p>
    <w:p w:rsidR="00565EDE" w:rsidRPr="000C03D2" w:rsidRDefault="000C03D2" w:rsidP="006F5D86">
      <w:pPr>
        <w:rPr>
          <w:rFonts w:ascii="Times New Roman" w:hAnsi="Times New Roman" w:cs="Times New Roman"/>
          <w:sz w:val="28"/>
          <w:szCs w:val="28"/>
        </w:rPr>
      </w:pPr>
    </w:p>
    <w:p w:rsidR="006F5D86" w:rsidRPr="000C03D2" w:rsidRDefault="000C03D2" w:rsidP="006F5D86">
      <w:pPr>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Con el debido respeto por las decisiones adoptadas por la Sala Plena de la Corte Constitucional, si bien comparto la parte resolutiva de la Sentencia C-017 de 2026, presento aclaración de vo</w:t>
      </w:r>
      <w:r w:rsidRPr="000C03D2">
        <w:rPr>
          <w:rFonts w:ascii="Times New Roman" w:hAnsi="Times New Roman" w:cs="Times New Roman"/>
          <w:sz w:val="28"/>
          <w:szCs w:val="28"/>
        </w:rPr>
        <w:t>to en relación con algunas consideraciones de la parte motiva, por las razones que a continuación se exponen.</w:t>
      </w:r>
    </w:p>
    <w:p w:rsidR="006F5D86" w:rsidRPr="000C03D2" w:rsidRDefault="000C03D2" w:rsidP="006F5D86">
      <w:pPr>
        <w:jc w:val="both"/>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 xml:space="preserve">La providencia precitada resolvió la demanda de inconstitucionalidad formulada contra la expresión </w:t>
      </w:r>
      <w:r w:rsidRPr="000C03D2">
        <w:rPr>
          <w:rFonts w:ascii="Times New Roman" w:hAnsi="Times New Roman" w:cs="Times New Roman"/>
          <w:i/>
          <w:iCs/>
          <w:sz w:val="28"/>
          <w:szCs w:val="28"/>
        </w:rPr>
        <w:t>“la trabajadora”</w:t>
      </w:r>
      <w:r w:rsidRPr="000C03D2">
        <w:rPr>
          <w:rFonts w:ascii="Times New Roman" w:hAnsi="Times New Roman" w:cs="Times New Roman"/>
          <w:sz w:val="28"/>
          <w:szCs w:val="28"/>
        </w:rPr>
        <w:t xml:space="preserve"> contenida en el artículo 237 del Código Sustantivo del Trabajo, que regula el descanso remunerado en caso de aborto. La Sala Plena declaró la exequibilidad de dicha expresión, por los cargos analizados, en el entendido de que el enunciado normativo tambié</w:t>
      </w:r>
      <w:r w:rsidRPr="000C03D2">
        <w:rPr>
          <w:rFonts w:ascii="Times New Roman" w:hAnsi="Times New Roman" w:cs="Times New Roman"/>
          <w:sz w:val="28"/>
          <w:szCs w:val="28"/>
        </w:rPr>
        <w:t>n aplica a todas las personas gestantes, en los términos de la sentencia. Acompañé la decisión en cuanto coincido con que la garantía contemplada en la disposición examinada, relacionada con el descanso remunerado en caso de aborto o parto prematuro no via</w:t>
      </w:r>
      <w:r w:rsidRPr="000C03D2">
        <w:rPr>
          <w:rFonts w:ascii="Times New Roman" w:hAnsi="Times New Roman" w:cs="Times New Roman"/>
          <w:sz w:val="28"/>
          <w:szCs w:val="28"/>
        </w:rPr>
        <w:t>ble, debe extenderse a todas las personas con capacidad de gestar, pues no existe razón constitucionalmente admisible para excluir de tal beneficio a los hombres trans o a las personas no binarias gestantes. En esa línea, esta postura resulta consonante co</w:t>
      </w:r>
      <w:r w:rsidRPr="000C03D2">
        <w:rPr>
          <w:rFonts w:ascii="Times New Roman" w:hAnsi="Times New Roman" w:cs="Times New Roman"/>
          <w:sz w:val="28"/>
          <w:szCs w:val="28"/>
        </w:rPr>
        <w:t>n la sostenida en las aclaraciones de voto que suscribí frente a las Sentencias C-324 de 2023</w:t>
      </w:r>
      <w:r w:rsidRPr="000C03D2">
        <w:rPr>
          <w:rFonts w:ascii="Times New Roman" w:hAnsi="Times New Roman" w:cs="Times New Roman"/>
          <w:sz w:val="28"/>
          <w:szCs w:val="28"/>
        </w:rPr>
        <w:t xml:space="preserve"> (licencia de maternidad)</w:t>
      </w:r>
      <w:r w:rsidRPr="000C03D2">
        <w:rPr>
          <w:rFonts w:ascii="Times New Roman" w:hAnsi="Times New Roman" w:cs="Times New Roman"/>
          <w:sz w:val="28"/>
          <w:szCs w:val="28"/>
        </w:rPr>
        <w:t xml:space="preserve"> y C-071 de 2025</w:t>
      </w:r>
      <w:r w:rsidRPr="000C03D2">
        <w:rPr>
          <w:rFonts w:ascii="Times New Roman" w:hAnsi="Times New Roman" w:cs="Times New Roman"/>
          <w:sz w:val="28"/>
          <w:szCs w:val="28"/>
        </w:rPr>
        <w:t xml:space="preserve"> (lactancia).</w:t>
      </w:r>
    </w:p>
    <w:p w:rsidR="006F5D86" w:rsidRPr="000C03D2" w:rsidRDefault="000C03D2" w:rsidP="006F5D86">
      <w:pPr>
        <w:jc w:val="both"/>
        <w:rPr>
          <w:rFonts w:ascii="Times New Roman" w:hAnsi="Times New Roman" w:cs="Times New Roman"/>
          <w:sz w:val="28"/>
          <w:szCs w:val="28"/>
        </w:rPr>
      </w:pPr>
    </w:p>
    <w:p w:rsidR="00524363"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 xml:space="preserve">Previo a desarrollar </w:t>
      </w:r>
      <w:r w:rsidRPr="000C03D2">
        <w:rPr>
          <w:rFonts w:ascii="Times New Roman" w:hAnsi="Times New Roman" w:cs="Times New Roman"/>
          <w:sz w:val="28"/>
          <w:szCs w:val="28"/>
        </w:rPr>
        <w:t>las razones que motivan esta aclaración</w:t>
      </w:r>
      <w:r w:rsidRPr="000C03D2">
        <w:rPr>
          <w:rFonts w:ascii="Times New Roman" w:hAnsi="Times New Roman" w:cs="Times New Roman"/>
          <w:sz w:val="28"/>
          <w:szCs w:val="28"/>
        </w:rPr>
        <w:t xml:space="preserve"> es menester hacer una precisión frente a los s</w:t>
      </w:r>
      <w:r w:rsidRPr="000C03D2">
        <w:rPr>
          <w:rFonts w:ascii="Times New Roman" w:hAnsi="Times New Roman" w:cs="Times New Roman"/>
          <w:sz w:val="28"/>
          <w:szCs w:val="28"/>
        </w:rPr>
        <w:t>ujetos relacionados en la S</w:t>
      </w:r>
      <w:r w:rsidRPr="000C03D2">
        <w:rPr>
          <w:rFonts w:ascii="Times New Roman" w:hAnsi="Times New Roman" w:cs="Times New Roman"/>
          <w:sz w:val="28"/>
          <w:szCs w:val="28"/>
        </w:rPr>
        <w:t xml:space="preserve">entencia </w:t>
      </w:r>
      <w:r w:rsidRPr="000C03D2">
        <w:rPr>
          <w:rFonts w:ascii="Times New Roman" w:hAnsi="Times New Roman" w:cs="Times New Roman"/>
          <w:sz w:val="28"/>
          <w:szCs w:val="28"/>
        </w:rPr>
        <w:t xml:space="preserve">C-017 de 2026 </w:t>
      </w:r>
      <w:r w:rsidRPr="000C03D2">
        <w:rPr>
          <w:rFonts w:ascii="Times New Roman" w:hAnsi="Times New Roman" w:cs="Times New Roman"/>
          <w:sz w:val="28"/>
          <w:szCs w:val="28"/>
        </w:rPr>
        <w:t>y, en particular, las categorías comprendidas dentro de</w:t>
      </w:r>
      <w:r w:rsidRPr="000C03D2">
        <w:rPr>
          <w:rFonts w:ascii="Times New Roman" w:hAnsi="Times New Roman" w:cs="Times New Roman"/>
          <w:sz w:val="28"/>
          <w:szCs w:val="28"/>
        </w:rPr>
        <w:t xml:space="preserve"> su</w:t>
      </w:r>
      <w:r w:rsidRPr="000C03D2">
        <w:rPr>
          <w:rFonts w:ascii="Times New Roman" w:hAnsi="Times New Roman" w:cs="Times New Roman"/>
          <w:sz w:val="28"/>
          <w:szCs w:val="28"/>
        </w:rPr>
        <w:t xml:space="preserve"> condicionamiento. </w:t>
      </w:r>
    </w:p>
    <w:p w:rsidR="00524363" w:rsidRPr="000C03D2" w:rsidRDefault="000C03D2" w:rsidP="006F5D86">
      <w:pPr>
        <w:jc w:val="both"/>
        <w:rPr>
          <w:rFonts w:ascii="Times New Roman" w:hAnsi="Times New Roman" w:cs="Times New Roman"/>
          <w:sz w:val="28"/>
          <w:szCs w:val="28"/>
        </w:rPr>
      </w:pPr>
    </w:p>
    <w:p w:rsidR="006F08E2" w:rsidRPr="000C03D2" w:rsidRDefault="000C03D2" w:rsidP="00524363">
      <w:pPr>
        <w:pStyle w:val="Prrafodelista"/>
        <w:numPr>
          <w:ilvl w:val="0"/>
          <w:numId w:val="7"/>
        </w:numPr>
        <w:rPr>
          <w:rFonts w:ascii="Times New Roman" w:hAnsi="Times New Roman" w:cs="Times New Roman"/>
          <w:szCs w:val="28"/>
        </w:rPr>
      </w:pPr>
      <w:r w:rsidRPr="000C03D2">
        <w:rPr>
          <w:rFonts w:ascii="Times New Roman" w:hAnsi="Times New Roman" w:cs="Times New Roman"/>
          <w:szCs w:val="28"/>
        </w:rPr>
        <w:t xml:space="preserve">Por </w:t>
      </w:r>
      <w:r w:rsidRPr="000C03D2">
        <w:rPr>
          <w:rFonts w:ascii="Times New Roman" w:hAnsi="Times New Roman" w:cs="Times New Roman"/>
          <w:i/>
          <w:iCs/>
          <w:szCs w:val="28"/>
        </w:rPr>
        <w:t>hombre trans</w:t>
      </w:r>
      <w:r w:rsidRPr="000C03D2">
        <w:rPr>
          <w:rFonts w:ascii="Times New Roman" w:hAnsi="Times New Roman" w:cs="Times New Roman"/>
          <w:szCs w:val="28"/>
        </w:rPr>
        <w:t xml:space="preserve"> se entiende, para los efectos del presente pronunciamiento, la persona que, habiendo sido asignada al sexo femenino al nacer, se identifica</w:t>
      </w:r>
      <w:r w:rsidRPr="000C03D2">
        <w:rPr>
          <w:rFonts w:ascii="Times New Roman" w:hAnsi="Times New Roman" w:cs="Times New Roman"/>
          <w:szCs w:val="28"/>
        </w:rPr>
        <w:t>, act</w:t>
      </w:r>
      <w:r w:rsidRPr="000C03D2">
        <w:rPr>
          <w:rFonts w:ascii="Times New Roman" w:hAnsi="Times New Roman" w:cs="Times New Roman"/>
          <w:szCs w:val="28"/>
        </w:rPr>
        <w:t>úa</w:t>
      </w:r>
      <w:r w:rsidRPr="000C03D2">
        <w:rPr>
          <w:rFonts w:ascii="Times New Roman" w:hAnsi="Times New Roman" w:cs="Times New Roman"/>
          <w:szCs w:val="28"/>
        </w:rPr>
        <w:t xml:space="preserve"> y vive como hombre y que conserva la capacidad biológica de gestar, ya sea porque no ha iniciado tratamiento</w:t>
      </w:r>
      <w:r w:rsidRPr="000C03D2">
        <w:rPr>
          <w:rFonts w:ascii="Times New Roman" w:hAnsi="Times New Roman" w:cs="Times New Roman"/>
          <w:szCs w:val="28"/>
        </w:rPr>
        <w:t xml:space="preserve">s hormonales o quirúrgicos que la supriman, ya sea porque ha decidido preservarla pese a estos. </w:t>
      </w:r>
    </w:p>
    <w:p w:rsidR="006F08E2" w:rsidRPr="000C03D2" w:rsidRDefault="000C03D2" w:rsidP="006F08E2">
      <w:pPr>
        <w:pStyle w:val="Prrafodelista"/>
        <w:rPr>
          <w:rFonts w:ascii="Times New Roman" w:hAnsi="Times New Roman" w:cs="Times New Roman"/>
          <w:szCs w:val="28"/>
        </w:rPr>
      </w:pPr>
    </w:p>
    <w:p w:rsidR="006F08E2" w:rsidRPr="000C03D2" w:rsidRDefault="000C03D2" w:rsidP="00524363">
      <w:pPr>
        <w:pStyle w:val="Prrafodelista"/>
        <w:numPr>
          <w:ilvl w:val="0"/>
          <w:numId w:val="7"/>
        </w:numPr>
        <w:rPr>
          <w:rFonts w:ascii="Times New Roman" w:hAnsi="Times New Roman" w:cs="Times New Roman"/>
          <w:szCs w:val="28"/>
        </w:rPr>
      </w:pPr>
      <w:r w:rsidRPr="000C03D2">
        <w:rPr>
          <w:rFonts w:ascii="Times New Roman" w:hAnsi="Times New Roman" w:cs="Times New Roman"/>
          <w:szCs w:val="28"/>
        </w:rPr>
        <w:t xml:space="preserve">Por persona </w:t>
      </w:r>
      <w:r w:rsidRPr="000C03D2">
        <w:rPr>
          <w:rFonts w:ascii="Times New Roman" w:hAnsi="Times New Roman" w:cs="Times New Roman"/>
          <w:i/>
          <w:iCs/>
          <w:szCs w:val="28"/>
        </w:rPr>
        <w:t>no binaria</w:t>
      </w:r>
      <w:r w:rsidRPr="000C03D2">
        <w:rPr>
          <w:rFonts w:ascii="Times New Roman" w:hAnsi="Times New Roman" w:cs="Times New Roman"/>
          <w:szCs w:val="28"/>
        </w:rPr>
        <w:t xml:space="preserve"> se entiende aquella cuya identidad de género no se circunscribe a las categorías binarias hombre o mujer y que, habiendo sido asignada </w:t>
      </w:r>
      <w:r w:rsidRPr="000C03D2">
        <w:rPr>
          <w:rFonts w:ascii="Times New Roman" w:hAnsi="Times New Roman" w:cs="Times New Roman"/>
          <w:szCs w:val="28"/>
        </w:rPr>
        <w:t xml:space="preserve">al sexo femenino al nacer, conserva la capacidad biológica de gestar. </w:t>
      </w:r>
    </w:p>
    <w:p w:rsidR="0000725F" w:rsidRPr="000C03D2" w:rsidRDefault="000C03D2" w:rsidP="0000725F">
      <w:pPr>
        <w:pStyle w:val="Prrafodelista"/>
        <w:rPr>
          <w:rFonts w:ascii="Times New Roman" w:hAnsi="Times New Roman" w:cs="Times New Roman"/>
          <w:szCs w:val="28"/>
        </w:rPr>
      </w:pPr>
    </w:p>
    <w:p w:rsidR="0000725F" w:rsidRPr="000C03D2" w:rsidRDefault="000C03D2" w:rsidP="0000725F">
      <w:pPr>
        <w:pStyle w:val="Prrafodelista"/>
        <w:numPr>
          <w:ilvl w:val="0"/>
          <w:numId w:val="7"/>
        </w:numPr>
        <w:rPr>
          <w:rFonts w:ascii="Times New Roman" w:hAnsi="Times New Roman" w:cs="Times New Roman"/>
          <w:szCs w:val="28"/>
        </w:rPr>
      </w:pPr>
      <w:r w:rsidRPr="000C03D2">
        <w:rPr>
          <w:rFonts w:ascii="Times New Roman" w:hAnsi="Times New Roman" w:cs="Times New Roman"/>
          <w:szCs w:val="28"/>
        </w:rPr>
        <w:t xml:space="preserve">Por </w:t>
      </w:r>
      <w:r w:rsidRPr="000C03D2">
        <w:rPr>
          <w:rFonts w:ascii="Times New Roman" w:hAnsi="Times New Roman" w:cs="Times New Roman"/>
          <w:i/>
          <w:iCs/>
          <w:szCs w:val="28"/>
        </w:rPr>
        <w:t>mujer trans</w:t>
      </w:r>
      <w:r w:rsidRPr="000C03D2">
        <w:rPr>
          <w:rFonts w:ascii="Times New Roman" w:hAnsi="Times New Roman" w:cs="Times New Roman"/>
          <w:szCs w:val="28"/>
        </w:rPr>
        <w:t xml:space="preserve"> se entiende la persona que, habiendo nacido con sexo masculino, se identifica, actúa y vive como mujer. Por regla general no posee capacidad biológica de </w:t>
      </w:r>
      <w:r w:rsidRPr="000C03D2">
        <w:rPr>
          <w:rFonts w:ascii="Times New Roman" w:hAnsi="Times New Roman" w:cs="Times New Roman"/>
          <w:szCs w:val="28"/>
        </w:rPr>
        <w:t>gestar</w:t>
      </w:r>
      <w:r w:rsidRPr="000C03D2">
        <w:rPr>
          <w:rFonts w:ascii="Times New Roman" w:hAnsi="Times New Roman" w:cs="Times New Roman"/>
          <w:szCs w:val="28"/>
        </w:rPr>
        <w:t>.</w:t>
      </w:r>
    </w:p>
    <w:p w:rsidR="0000725F" w:rsidRPr="000C03D2" w:rsidRDefault="000C03D2" w:rsidP="0000725F">
      <w:pPr>
        <w:pStyle w:val="Prrafodelista"/>
        <w:ind w:left="360"/>
        <w:rPr>
          <w:rFonts w:ascii="Times New Roman" w:hAnsi="Times New Roman" w:cs="Times New Roman"/>
          <w:szCs w:val="28"/>
        </w:rPr>
      </w:pPr>
    </w:p>
    <w:p w:rsidR="00500D28" w:rsidRPr="000C03D2" w:rsidRDefault="000C03D2" w:rsidP="006F08E2">
      <w:pPr>
        <w:jc w:val="both"/>
        <w:rPr>
          <w:rFonts w:ascii="Times New Roman" w:hAnsi="Times New Roman" w:cs="Times New Roman"/>
          <w:sz w:val="28"/>
          <w:szCs w:val="28"/>
        </w:rPr>
      </w:pPr>
      <w:r w:rsidRPr="000C03D2">
        <w:rPr>
          <w:rFonts w:ascii="Times New Roman" w:hAnsi="Times New Roman" w:cs="Times New Roman"/>
          <w:sz w:val="28"/>
          <w:szCs w:val="28"/>
        </w:rPr>
        <w:t>La se</w:t>
      </w:r>
      <w:r w:rsidRPr="000C03D2">
        <w:rPr>
          <w:rFonts w:ascii="Times New Roman" w:hAnsi="Times New Roman" w:cs="Times New Roman"/>
          <w:sz w:val="28"/>
          <w:szCs w:val="28"/>
        </w:rPr>
        <w:t xml:space="preserve">ntencia se ocupa, en estricto rigor, de los sujetos comprendidos en </w:t>
      </w:r>
      <w:r w:rsidRPr="000C03D2">
        <w:rPr>
          <w:rFonts w:ascii="Times New Roman" w:hAnsi="Times New Roman" w:cs="Times New Roman"/>
          <w:sz w:val="28"/>
          <w:szCs w:val="28"/>
        </w:rPr>
        <w:t xml:space="preserve">las </w:t>
      </w:r>
      <w:r w:rsidRPr="000C03D2">
        <w:rPr>
          <w:rFonts w:ascii="Times New Roman" w:hAnsi="Times New Roman" w:cs="Times New Roman"/>
          <w:sz w:val="28"/>
          <w:szCs w:val="28"/>
        </w:rPr>
        <w:t xml:space="preserve">dos </w:t>
      </w:r>
      <w:r w:rsidRPr="000C03D2">
        <w:rPr>
          <w:rFonts w:ascii="Times New Roman" w:hAnsi="Times New Roman" w:cs="Times New Roman"/>
          <w:sz w:val="28"/>
          <w:szCs w:val="28"/>
        </w:rPr>
        <w:t xml:space="preserve">primeras </w:t>
      </w:r>
      <w:r w:rsidRPr="000C03D2">
        <w:rPr>
          <w:rFonts w:ascii="Times New Roman" w:hAnsi="Times New Roman" w:cs="Times New Roman"/>
          <w:sz w:val="28"/>
          <w:szCs w:val="28"/>
        </w:rPr>
        <w:t>categorías, en tanto la mujer trans, por regla general, no posee capacidad biológica de gestar derivada del aparato reproductor femenino</w:t>
      </w:r>
      <w:r w:rsidRPr="000C03D2">
        <w:rPr>
          <w:rFonts w:ascii="Times New Roman" w:hAnsi="Times New Roman" w:cs="Times New Roman"/>
          <w:sz w:val="28"/>
          <w:szCs w:val="28"/>
        </w:rPr>
        <w:t xml:space="preserve">, pues si bien existen </w:t>
      </w:r>
      <w:r w:rsidRPr="000C03D2">
        <w:rPr>
          <w:rFonts w:ascii="Times New Roman" w:hAnsi="Times New Roman" w:cs="Times New Roman"/>
          <w:sz w:val="28"/>
          <w:szCs w:val="28"/>
        </w:rPr>
        <w:t xml:space="preserve">desarrollos </w:t>
      </w:r>
      <w:r w:rsidRPr="000C03D2">
        <w:rPr>
          <w:rFonts w:ascii="Times New Roman" w:hAnsi="Times New Roman" w:cs="Times New Roman"/>
          <w:sz w:val="28"/>
          <w:szCs w:val="28"/>
        </w:rPr>
        <w:t>experimentales de trasplante uterino en mujeres trans permanecen, al momento actual, en el campo de la investigación clínica y no constituyen una realidad asistencial extendida. Esta precisión conceptual resulta relevante porque el ámbito subjetivo del con</w:t>
      </w:r>
      <w:r w:rsidRPr="000C03D2">
        <w:rPr>
          <w:rFonts w:ascii="Times New Roman" w:hAnsi="Times New Roman" w:cs="Times New Roman"/>
          <w:sz w:val="28"/>
          <w:szCs w:val="28"/>
        </w:rPr>
        <w:t>dicionamiento se delimita por la capacidad biológica de gestar, y no por la sola identidad de género, lo que permite armonizar la finalidad protectora de la norma con el reconocimiento constitucional de la diversidad de experiencias de vida que pueden conv</w:t>
      </w:r>
      <w:r w:rsidRPr="000C03D2">
        <w:rPr>
          <w:rFonts w:ascii="Times New Roman" w:hAnsi="Times New Roman" w:cs="Times New Roman"/>
          <w:sz w:val="28"/>
          <w:szCs w:val="28"/>
        </w:rPr>
        <w:t>erger en el hecho biológico de la gestación.</w:t>
      </w:r>
    </w:p>
    <w:p w:rsidR="00500D28" w:rsidRPr="000C03D2" w:rsidRDefault="000C03D2" w:rsidP="006F5D86">
      <w:pPr>
        <w:jc w:val="both"/>
        <w:rPr>
          <w:rFonts w:ascii="Times New Roman" w:hAnsi="Times New Roman" w:cs="Times New Roman"/>
          <w:sz w:val="28"/>
          <w:szCs w:val="28"/>
        </w:rPr>
      </w:pPr>
    </w:p>
    <w:p w:rsidR="00500D28" w:rsidRPr="000C03D2" w:rsidRDefault="000C03D2" w:rsidP="006F5D86">
      <w:pPr>
        <w:jc w:val="both"/>
        <w:rPr>
          <w:rFonts w:ascii="Times New Roman" w:hAnsi="Times New Roman" w:cs="Times New Roman"/>
          <w:b/>
          <w:bCs/>
          <w:i/>
          <w:iCs/>
          <w:sz w:val="28"/>
          <w:szCs w:val="28"/>
        </w:rPr>
      </w:pPr>
    </w:p>
    <w:p w:rsidR="00565EDE" w:rsidRPr="000C03D2" w:rsidRDefault="000C03D2" w:rsidP="0021243F">
      <w:pPr>
        <w:pStyle w:val="Prrafodelista"/>
        <w:numPr>
          <w:ilvl w:val="0"/>
          <w:numId w:val="8"/>
        </w:numPr>
        <w:ind w:left="993"/>
        <w:rPr>
          <w:rFonts w:ascii="Times New Roman" w:hAnsi="Times New Roman" w:cs="Times New Roman"/>
          <w:b/>
          <w:bCs/>
          <w:i/>
          <w:iCs/>
          <w:szCs w:val="28"/>
        </w:rPr>
      </w:pPr>
      <w:r w:rsidRPr="000C03D2">
        <w:rPr>
          <w:rFonts w:ascii="Times New Roman" w:hAnsi="Times New Roman" w:cs="Times New Roman"/>
          <w:b/>
          <w:bCs/>
          <w:i/>
          <w:iCs/>
          <w:szCs w:val="28"/>
        </w:rPr>
        <w:t>La discriminación que se predica de la norma es, en estricto sentido, indirecta, y no desdibuja la finalidad protectora con la que el Legislador la concibió en favor de las mujeres trabajadoras</w:t>
      </w:r>
    </w:p>
    <w:p w:rsidR="00A95318" w:rsidRPr="000C03D2" w:rsidRDefault="000C03D2" w:rsidP="00E60A9E">
      <w:pPr>
        <w:ind w:left="708"/>
        <w:jc w:val="both"/>
        <w:rPr>
          <w:rFonts w:ascii="Times New Roman" w:hAnsi="Times New Roman" w:cs="Times New Roman"/>
          <w:b/>
          <w:bCs/>
          <w:i/>
          <w:iCs/>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 xml:space="preserve">En la aclaración de voto que suscribí a la Sentencia C-324 de 2023, advertí que el artículo 236 del Código Sustantivo del Trabajo, al reconocer a las </w:t>
      </w:r>
      <w:r w:rsidRPr="000C03D2">
        <w:rPr>
          <w:rFonts w:ascii="Times New Roman" w:hAnsi="Times New Roman" w:cs="Times New Roman"/>
          <w:i/>
          <w:iCs/>
          <w:sz w:val="28"/>
          <w:szCs w:val="28"/>
        </w:rPr>
        <w:t>“trabajadoras”</w:t>
      </w:r>
      <w:r w:rsidRPr="000C03D2">
        <w:rPr>
          <w:rFonts w:ascii="Times New Roman" w:hAnsi="Times New Roman" w:cs="Times New Roman"/>
          <w:sz w:val="28"/>
          <w:szCs w:val="28"/>
        </w:rPr>
        <w:t xml:space="preserve">, </w:t>
      </w:r>
      <w:r w:rsidRPr="000C03D2">
        <w:rPr>
          <w:rFonts w:ascii="Times New Roman" w:hAnsi="Times New Roman" w:cs="Times New Roman"/>
          <w:i/>
          <w:iCs/>
          <w:sz w:val="28"/>
          <w:szCs w:val="28"/>
        </w:rPr>
        <w:t>“madres”</w:t>
      </w:r>
      <w:r w:rsidRPr="000C03D2">
        <w:rPr>
          <w:rFonts w:ascii="Times New Roman" w:hAnsi="Times New Roman" w:cs="Times New Roman"/>
          <w:sz w:val="28"/>
          <w:szCs w:val="28"/>
        </w:rPr>
        <w:t xml:space="preserve"> o </w:t>
      </w:r>
      <w:r w:rsidRPr="000C03D2">
        <w:rPr>
          <w:rFonts w:ascii="Times New Roman" w:hAnsi="Times New Roman" w:cs="Times New Roman"/>
          <w:i/>
          <w:iCs/>
          <w:sz w:val="28"/>
          <w:szCs w:val="28"/>
        </w:rPr>
        <w:t>“mujeres”</w:t>
      </w:r>
      <w:r w:rsidRPr="000C03D2">
        <w:rPr>
          <w:rFonts w:ascii="Times New Roman" w:hAnsi="Times New Roman" w:cs="Times New Roman"/>
          <w:sz w:val="28"/>
          <w:szCs w:val="28"/>
        </w:rPr>
        <w:t xml:space="preserve"> la licencia de maternidad, no procuraba </w:t>
      </w:r>
      <w:r w:rsidRPr="000C03D2">
        <w:rPr>
          <w:rFonts w:ascii="Times New Roman" w:hAnsi="Times New Roman" w:cs="Times New Roman"/>
          <w:i/>
          <w:iCs/>
          <w:sz w:val="28"/>
          <w:szCs w:val="28"/>
        </w:rPr>
        <w:t>per se</w:t>
      </w:r>
      <w:r w:rsidRPr="000C03D2">
        <w:rPr>
          <w:rFonts w:ascii="Times New Roman" w:hAnsi="Times New Roman" w:cs="Times New Roman"/>
          <w:sz w:val="28"/>
          <w:szCs w:val="28"/>
        </w:rPr>
        <w:t xml:space="preserve"> discriminar a los homb</w:t>
      </w:r>
      <w:r w:rsidRPr="000C03D2">
        <w:rPr>
          <w:rFonts w:ascii="Times New Roman" w:hAnsi="Times New Roman" w:cs="Times New Roman"/>
          <w:sz w:val="28"/>
          <w:szCs w:val="28"/>
        </w:rPr>
        <w:t>res trans o a las personas no binarias por el hecho de no mencionarlos en la regulación. Por el contrario, esa norma, antes que un instrumento de exclusión, era el resultado de décadas de lucha del movimiento feminista en favor de los derechos de las mujer</w:t>
      </w:r>
      <w:r w:rsidRPr="000C03D2">
        <w:rPr>
          <w:rFonts w:ascii="Times New Roman" w:hAnsi="Times New Roman" w:cs="Times New Roman"/>
          <w:sz w:val="28"/>
          <w:szCs w:val="28"/>
        </w:rPr>
        <w:t>es trabajadoras. Una conclusión equivalente cabe aquí.</w:t>
      </w:r>
    </w:p>
    <w:p w:rsidR="00F31526" w:rsidRPr="000C03D2" w:rsidRDefault="000C03D2" w:rsidP="006F5D86">
      <w:pPr>
        <w:jc w:val="both"/>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 xml:space="preserve">El artículo 237 del Código Sustantivo del Trabajo, al consagrar una prestación específica para </w:t>
      </w:r>
      <w:r w:rsidRPr="000C03D2">
        <w:rPr>
          <w:rFonts w:ascii="Times New Roman" w:hAnsi="Times New Roman" w:cs="Times New Roman"/>
          <w:i/>
          <w:iCs/>
          <w:sz w:val="28"/>
          <w:szCs w:val="28"/>
        </w:rPr>
        <w:t>“la trabajadora”</w:t>
      </w:r>
      <w:r w:rsidRPr="000C03D2">
        <w:rPr>
          <w:rFonts w:ascii="Times New Roman" w:hAnsi="Times New Roman" w:cs="Times New Roman"/>
          <w:sz w:val="28"/>
          <w:szCs w:val="28"/>
        </w:rPr>
        <w:t xml:space="preserve"> que sufre un aborto o un parto prematuro no viable, no tuvo como propósito </w:t>
      </w:r>
      <w:r w:rsidRPr="000C03D2">
        <w:rPr>
          <w:rFonts w:ascii="Times New Roman" w:hAnsi="Times New Roman" w:cs="Times New Roman"/>
          <w:i/>
          <w:iCs/>
          <w:sz w:val="28"/>
          <w:szCs w:val="28"/>
        </w:rPr>
        <w:t>prima facie</w:t>
      </w:r>
      <w:r w:rsidRPr="000C03D2">
        <w:rPr>
          <w:rFonts w:ascii="Times New Roman" w:hAnsi="Times New Roman" w:cs="Times New Roman"/>
          <w:sz w:val="28"/>
          <w:szCs w:val="28"/>
        </w:rPr>
        <w:t xml:space="preserve"> e</w:t>
      </w:r>
      <w:r w:rsidRPr="000C03D2">
        <w:rPr>
          <w:rFonts w:ascii="Times New Roman" w:hAnsi="Times New Roman" w:cs="Times New Roman"/>
          <w:sz w:val="28"/>
          <w:szCs w:val="28"/>
        </w:rPr>
        <w:t>stablecer un trato desigual entre sujetos equiparables en lo relevante, sino crear una protección especial dirigida a las mujeres en una circunstancia que, durante mucho tiempo, fue desatendida por el ordenamiento laboral. Considero que la parte motiva deb</w:t>
      </w:r>
      <w:r w:rsidRPr="000C03D2">
        <w:rPr>
          <w:rFonts w:ascii="Times New Roman" w:hAnsi="Times New Roman" w:cs="Times New Roman"/>
          <w:sz w:val="28"/>
          <w:szCs w:val="28"/>
        </w:rPr>
        <w:t>ió, con mayor énfasis, dejar precisado que la eventual discriminación que de la norma se predica no es directa sino indirecta, en la medida en que el efecto excluyente respecto de los hombres trans y las personas no binarias se origina en una redacción apa</w:t>
      </w:r>
      <w:r w:rsidRPr="000C03D2">
        <w:rPr>
          <w:rFonts w:ascii="Times New Roman" w:hAnsi="Times New Roman" w:cs="Times New Roman"/>
          <w:sz w:val="28"/>
          <w:szCs w:val="28"/>
        </w:rPr>
        <w:t>rentemente neutral, gestada en un contexto histórico que no contemplaba estas identidades, y no en una intención deliberada del Legislador de marginarlos del ámbito de protección.</w:t>
      </w:r>
    </w:p>
    <w:p w:rsidR="00F31526" w:rsidRPr="000C03D2" w:rsidRDefault="000C03D2" w:rsidP="006F5D86">
      <w:pPr>
        <w:jc w:val="both"/>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 xml:space="preserve">La precisión no es </w:t>
      </w:r>
      <w:r w:rsidRPr="000C03D2">
        <w:rPr>
          <w:rFonts w:ascii="Times New Roman" w:hAnsi="Times New Roman" w:cs="Times New Roman"/>
          <w:sz w:val="28"/>
          <w:szCs w:val="28"/>
        </w:rPr>
        <w:t>menor</w:t>
      </w:r>
      <w:r w:rsidRPr="000C03D2">
        <w:rPr>
          <w:rFonts w:ascii="Times New Roman" w:hAnsi="Times New Roman" w:cs="Times New Roman"/>
          <w:sz w:val="28"/>
          <w:szCs w:val="28"/>
        </w:rPr>
        <w:t>. De ella depende que la decisión adoptada en esta oportunidad no se lea como una censura a la finalidad protectora de la disposición, sino como una ampliación coherente de su ámbito subjetivo, sin desconocer las luchas históricas de las mujeres que dieron</w:t>
      </w:r>
      <w:r w:rsidRPr="000C03D2">
        <w:rPr>
          <w:rFonts w:ascii="Times New Roman" w:hAnsi="Times New Roman" w:cs="Times New Roman"/>
          <w:sz w:val="28"/>
          <w:szCs w:val="28"/>
        </w:rPr>
        <w:t xml:space="preserve"> lugar a su consagración. Esta Corporación, en línea jurisprudencial consolidada y en armonía con la doctrina del Comité para la Eliminación de la Discriminación contra la Mujer, desarrollada, entre otros instrumentos, en las Recomendaciones Generales No. </w:t>
      </w:r>
      <w:r w:rsidRPr="000C03D2">
        <w:rPr>
          <w:rFonts w:ascii="Times New Roman" w:hAnsi="Times New Roman" w:cs="Times New Roman"/>
          <w:sz w:val="28"/>
          <w:szCs w:val="28"/>
        </w:rPr>
        <w:t>19 de 1992 sobre violencia contra la mujer, No. 25 de 2004 sobre medidas especiales de carácter temporal y No. 28 de 2010 sobre las obligaciones de los Estados Parte bajo el artículo 2 de la Convención, así como en las decisiones del Comité adoptadas en co</w:t>
      </w:r>
      <w:r w:rsidRPr="000C03D2">
        <w:rPr>
          <w:rFonts w:ascii="Times New Roman" w:hAnsi="Times New Roman" w:cs="Times New Roman"/>
          <w:sz w:val="28"/>
          <w:szCs w:val="28"/>
        </w:rPr>
        <w:t>municaciones individuales tramitadas bajo el Protocolo Facultativo, ha precisado que la discriminación indirecta tiene lugar cuando leyes, políticas o prácticas en apariencia neutrales, por su alcance general, producen consecuencias fácticas desiguales par</w:t>
      </w:r>
      <w:r w:rsidRPr="000C03D2">
        <w:rPr>
          <w:rFonts w:ascii="Times New Roman" w:hAnsi="Times New Roman" w:cs="Times New Roman"/>
          <w:sz w:val="28"/>
          <w:szCs w:val="28"/>
        </w:rPr>
        <w:t xml:space="preserve">a algunas personas, lesionando sus derechos fundamentales o limitando su goce. Esa es, precisamente, la categoría que mejor describe lo ocurrido en el caso resuelto, y su debida calificación no es asunto menor, pues de ella depende la corrección dogmática </w:t>
      </w:r>
      <w:r w:rsidRPr="000C03D2">
        <w:rPr>
          <w:rFonts w:ascii="Times New Roman" w:hAnsi="Times New Roman" w:cs="Times New Roman"/>
          <w:sz w:val="28"/>
          <w:szCs w:val="28"/>
        </w:rPr>
        <w:t>de la solución constitucional adoptada.</w:t>
      </w:r>
    </w:p>
    <w:p w:rsidR="00E60A9E" w:rsidRPr="000C03D2" w:rsidRDefault="000C03D2" w:rsidP="006F5D86">
      <w:pPr>
        <w:jc w:val="both"/>
        <w:rPr>
          <w:rFonts w:ascii="Times New Roman" w:hAnsi="Times New Roman" w:cs="Times New Roman"/>
          <w:sz w:val="28"/>
          <w:szCs w:val="28"/>
        </w:rPr>
      </w:pPr>
    </w:p>
    <w:p w:rsidR="00F31526" w:rsidRPr="000C03D2" w:rsidRDefault="000C03D2" w:rsidP="006F5D86">
      <w:pPr>
        <w:jc w:val="both"/>
        <w:rPr>
          <w:rFonts w:ascii="Times New Roman" w:hAnsi="Times New Roman" w:cs="Times New Roman"/>
          <w:sz w:val="28"/>
          <w:szCs w:val="28"/>
        </w:rPr>
      </w:pPr>
    </w:p>
    <w:p w:rsidR="007B4040" w:rsidRPr="000C03D2" w:rsidRDefault="000C03D2" w:rsidP="00CA7794">
      <w:pPr>
        <w:pStyle w:val="Prrafodelista"/>
        <w:numPr>
          <w:ilvl w:val="0"/>
          <w:numId w:val="8"/>
        </w:numPr>
        <w:rPr>
          <w:rFonts w:ascii="Times New Roman" w:hAnsi="Times New Roman" w:cs="Times New Roman"/>
          <w:b/>
          <w:bCs/>
          <w:i/>
          <w:iCs/>
          <w:szCs w:val="28"/>
        </w:rPr>
      </w:pPr>
      <w:r w:rsidRPr="000C03D2">
        <w:rPr>
          <w:rFonts w:ascii="Times New Roman" w:hAnsi="Times New Roman" w:cs="Times New Roman"/>
          <w:b/>
          <w:bCs/>
          <w:i/>
          <w:iCs/>
          <w:szCs w:val="28"/>
        </w:rPr>
        <w:t>La extensión interpretativa del descanso remunerado por aborto opera una transformación estructural del fuero de maternidad y reclama, por su densidad axiológica, deliberación legislativa</w:t>
      </w:r>
    </w:p>
    <w:p w:rsidR="007B4040" w:rsidRPr="000C03D2" w:rsidRDefault="000C03D2" w:rsidP="007B4040">
      <w:pPr>
        <w:jc w:val="both"/>
        <w:rPr>
          <w:rFonts w:ascii="Times New Roman" w:hAnsi="Times New Roman" w:cs="Times New Roman"/>
          <w:b/>
          <w:bCs/>
          <w:i/>
          <w:iCs/>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sz w:val="28"/>
          <w:szCs w:val="28"/>
        </w:rPr>
        <w:t>E</w:t>
      </w:r>
      <w:r w:rsidRPr="000C03D2">
        <w:rPr>
          <w:rFonts w:ascii="Times New Roman" w:hAnsi="Times New Roman" w:cs="Times New Roman"/>
          <w:sz w:val="28"/>
          <w:szCs w:val="28"/>
        </w:rPr>
        <w:t>l contenido de la decisi</w:t>
      </w:r>
      <w:r w:rsidRPr="000C03D2">
        <w:rPr>
          <w:rFonts w:ascii="Times New Roman" w:hAnsi="Times New Roman" w:cs="Times New Roman"/>
          <w:sz w:val="28"/>
          <w:szCs w:val="28"/>
        </w:rPr>
        <w:t xml:space="preserve">ón tiene un alcance estrictamente laboral, su impacto sistémico sobre el conjunto de garantías que la jurisprudencia constitucional ha denominado fuero de maternidad no puede ser eludido. Considero pertinente, por ello, dejar consignada esta consideración </w:t>
      </w:r>
      <w:r w:rsidRPr="000C03D2">
        <w:rPr>
          <w:rFonts w:ascii="Times New Roman" w:hAnsi="Times New Roman" w:cs="Times New Roman"/>
          <w:sz w:val="28"/>
          <w:szCs w:val="28"/>
        </w:rPr>
        <w:t>adicional, que en mi opinión exhibe la mayor densidad dogmática de las observaciones que aquí formulo, y que se inscribe en la línea trazada en las aclaraciones de voto a las Sentencias C-324 de 2023 y C-071 de 2025.</w:t>
      </w:r>
    </w:p>
    <w:p w:rsidR="007B4040" w:rsidRPr="000C03D2" w:rsidRDefault="000C03D2" w:rsidP="007B4040">
      <w:pPr>
        <w:jc w:val="both"/>
        <w:rPr>
          <w:rFonts w:ascii="Times New Roman" w:hAnsi="Times New Roman" w:cs="Times New Roman"/>
          <w:b/>
          <w:bCs/>
          <w:sz w:val="28"/>
          <w:szCs w:val="28"/>
        </w:rPr>
      </w:pPr>
    </w:p>
    <w:p w:rsidR="00026DE8"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sz w:val="28"/>
          <w:szCs w:val="28"/>
        </w:rPr>
        <w:t>La licencia por aborto y por parto pre</w:t>
      </w:r>
      <w:r w:rsidRPr="000C03D2">
        <w:rPr>
          <w:rFonts w:ascii="Times New Roman" w:hAnsi="Times New Roman" w:cs="Times New Roman"/>
          <w:sz w:val="28"/>
          <w:szCs w:val="28"/>
        </w:rPr>
        <w:t>maturo no viable, prevista en el artículo 237 del Código Sustantivo del Trabajo, no es un beneficio laboral aislado. Es una pieza, técnicamente articulada, de un sistema constitucional, internacional y legal de protección que tiene un carácter sexo específ</w:t>
      </w:r>
      <w:r w:rsidRPr="000C03D2">
        <w:rPr>
          <w:rFonts w:ascii="Times New Roman" w:hAnsi="Times New Roman" w:cs="Times New Roman"/>
          <w:sz w:val="28"/>
          <w:szCs w:val="28"/>
        </w:rPr>
        <w:t xml:space="preserve">ico. Ese sistema, denominado por la jurisprudencia fuero de maternidad, se sostiene sobre tres soportes normativos identificables. En el plano constitucional, el artículo 43 dispone que </w:t>
      </w:r>
      <w:r w:rsidRPr="000C03D2">
        <w:rPr>
          <w:rFonts w:ascii="Times New Roman" w:hAnsi="Times New Roman" w:cs="Times New Roman"/>
          <w:sz w:val="28"/>
          <w:szCs w:val="28"/>
        </w:rPr>
        <w:t>“</w:t>
      </w:r>
      <w:r w:rsidRPr="000C03D2">
        <w:rPr>
          <w:rFonts w:ascii="Times New Roman" w:hAnsi="Times New Roman" w:cs="Times New Roman"/>
          <w:sz w:val="28"/>
          <w:szCs w:val="28"/>
        </w:rPr>
        <w:t>durante el embarazo y después del parto [la mujer] gozará de especial</w:t>
      </w:r>
      <w:r w:rsidRPr="000C03D2">
        <w:rPr>
          <w:rFonts w:ascii="Times New Roman" w:hAnsi="Times New Roman" w:cs="Times New Roman"/>
          <w:sz w:val="28"/>
          <w:szCs w:val="28"/>
        </w:rPr>
        <w:t xml:space="preserve"> asistencia y protección del Estado</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y el artículo 53 ordena especial protección </w:t>
      </w:r>
      <w:r w:rsidRPr="000C03D2">
        <w:rPr>
          <w:rFonts w:ascii="Times New Roman" w:hAnsi="Times New Roman" w:cs="Times New Roman"/>
          <w:sz w:val="28"/>
          <w:szCs w:val="28"/>
        </w:rPr>
        <w:t>“</w:t>
      </w:r>
      <w:r w:rsidRPr="000C03D2">
        <w:rPr>
          <w:rFonts w:ascii="Times New Roman" w:hAnsi="Times New Roman" w:cs="Times New Roman"/>
          <w:sz w:val="28"/>
          <w:szCs w:val="28"/>
        </w:rPr>
        <w:t>a la mujer, a la maternidad y al trabajador menor de edad</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Ambos preceptos refieren textualmente a </w:t>
      </w:r>
      <w:r w:rsidRPr="000C03D2">
        <w:rPr>
          <w:rFonts w:ascii="Times New Roman" w:hAnsi="Times New Roman" w:cs="Times New Roman"/>
          <w:sz w:val="28"/>
          <w:szCs w:val="28"/>
        </w:rPr>
        <w:t>“</w:t>
      </w:r>
      <w:r w:rsidRPr="000C03D2">
        <w:rPr>
          <w:rFonts w:ascii="Times New Roman" w:hAnsi="Times New Roman" w:cs="Times New Roman"/>
          <w:sz w:val="28"/>
          <w:szCs w:val="28"/>
        </w:rPr>
        <w:t>la mujer</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y a </w:t>
      </w:r>
      <w:r w:rsidRPr="000C03D2">
        <w:rPr>
          <w:rFonts w:ascii="Times New Roman" w:hAnsi="Times New Roman" w:cs="Times New Roman"/>
          <w:sz w:val="28"/>
          <w:szCs w:val="28"/>
        </w:rPr>
        <w:t>“</w:t>
      </w:r>
      <w:r w:rsidRPr="000C03D2">
        <w:rPr>
          <w:rFonts w:ascii="Times New Roman" w:hAnsi="Times New Roman" w:cs="Times New Roman"/>
          <w:sz w:val="28"/>
          <w:szCs w:val="28"/>
        </w:rPr>
        <w:t>la maternidad</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sin que el constituyente haya empleado fórmulas neutras o de identidad. </w:t>
      </w:r>
    </w:p>
    <w:p w:rsidR="00026DE8" w:rsidRPr="000C03D2" w:rsidRDefault="000C03D2" w:rsidP="007B4040">
      <w:pPr>
        <w:jc w:val="both"/>
        <w:rPr>
          <w:rFonts w:ascii="Times New Roman" w:hAnsi="Times New Roman" w:cs="Times New Roman"/>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sz w:val="28"/>
          <w:szCs w:val="28"/>
        </w:rPr>
        <w:t>En el plano internacional, el Convenio 183 de la Organización Internacional del Trabajo, ratificado por el Estado colombiano mediante la Ley 1468 de 2011, articula el régimen de pr</w:t>
      </w:r>
      <w:r w:rsidRPr="000C03D2">
        <w:rPr>
          <w:rFonts w:ascii="Times New Roman" w:hAnsi="Times New Roman" w:cs="Times New Roman"/>
          <w:sz w:val="28"/>
          <w:szCs w:val="28"/>
        </w:rPr>
        <w:t xml:space="preserve">otección a la maternidad en clave sexo específica: su artículo 1, al definir el ámbito subjetivo, se refiere a </w:t>
      </w:r>
      <w:r w:rsidRPr="000C03D2">
        <w:rPr>
          <w:rFonts w:ascii="Times New Roman" w:hAnsi="Times New Roman" w:cs="Times New Roman"/>
          <w:sz w:val="28"/>
          <w:szCs w:val="28"/>
        </w:rPr>
        <w:t>“</w:t>
      </w:r>
      <w:r w:rsidRPr="000C03D2">
        <w:rPr>
          <w:rFonts w:ascii="Times New Roman" w:hAnsi="Times New Roman" w:cs="Times New Roman"/>
          <w:sz w:val="28"/>
          <w:szCs w:val="28"/>
        </w:rPr>
        <w:t>toda mujer empleada</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su artículo 4 reconoce la licencia de maternidad a </w:t>
      </w:r>
      <w:r w:rsidRPr="000C03D2">
        <w:rPr>
          <w:rFonts w:ascii="Times New Roman" w:hAnsi="Times New Roman" w:cs="Times New Roman"/>
          <w:sz w:val="28"/>
          <w:szCs w:val="28"/>
        </w:rPr>
        <w:t>“</w:t>
      </w:r>
      <w:r w:rsidRPr="000C03D2">
        <w:rPr>
          <w:rFonts w:ascii="Times New Roman" w:hAnsi="Times New Roman" w:cs="Times New Roman"/>
          <w:sz w:val="28"/>
          <w:szCs w:val="28"/>
        </w:rPr>
        <w:t>toda mujer a la que se aplique el presente Convenio</w:t>
      </w:r>
      <w:r w:rsidRPr="000C03D2">
        <w:rPr>
          <w:rFonts w:ascii="Times New Roman" w:hAnsi="Times New Roman" w:cs="Times New Roman"/>
          <w:sz w:val="28"/>
          <w:szCs w:val="28"/>
        </w:rPr>
        <w:t>”</w:t>
      </w:r>
      <w:r w:rsidRPr="000C03D2">
        <w:rPr>
          <w:rFonts w:ascii="Times New Roman" w:hAnsi="Times New Roman" w:cs="Times New Roman"/>
          <w:sz w:val="28"/>
          <w:szCs w:val="28"/>
        </w:rPr>
        <w:t>; y su artículo 10</w:t>
      </w:r>
      <w:r w:rsidRPr="000C03D2">
        <w:rPr>
          <w:rFonts w:ascii="Times New Roman" w:hAnsi="Times New Roman" w:cs="Times New Roman"/>
          <w:sz w:val="28"/>
          <w:szCs w:val="28"/>
        </w:rPr>
        <w:t xml:space="preserve"> dispone que </w:t>
      </w:r>
      <w:r w:rsidRPr="000C03D2">
        <w:rPr>
          <w:rFonts w:ascii="Times New Roman" w:hAnsi="Times New Roman" w:cs="Times New Roman"/>
          <w:sz w:val="28"/>
          <w:szCs w:val="28"/>
        </w:rPr>
        <w:t>“</w:t>
      </w:r>
      <w:r w:rsidRPr="000C03D2">
        <w:rPr>
          <w:rFonts w:ascii="Times New Roman" w:hAnsi="Times New Roman" w:cs="Times New Roman"/>
          <w:sz w:val="28"/>
          <w:szCs w:val="28"/>
        </w:rPr>
        <w:t>la mujer tiene derecho a una o varias interrupciones por día o a una reducción diaria del tiempo de trabajo para la lactancia de su hijo</w:t>
      </w:r>
      <w:r w:rsidRPr="000C03D2">
        <w:rPr>
          <w:rFonts w:ascii="Times New Roman" w:hAnsi="Times New Roman" w:cs="Times New Roman"/>
          <w:sz w:val="28"/>
          <w:szCs w:val="28"/>
        </w:rPr>
        <w:t>”</w:t>
      </w:r>
      <w:r w:rsidRPr="000C03D2">
        <w:rPr>
          <w:rFonts w:ascii="Times New Roman" w:hAnsi="Times New Roman" w:cs="Times New Roman"/>
          <w:sz w:val="28"/>
          <w:szCs w:val="28"/>
        </w:rPr>
        <w:t>. En el plano legal, los artículos 236 a 240A del Código Sustantivo del Trabajo configuran un sistema coh</w:t>
      </w:r>
      <w:r w:rsidRPr="000C03D2">
        <w:rPr>
          <w:rFonts w:ascii="Times New Roman" w:hAnsi="Times New Roman" w:cs="Times New Roman"/>
          <w:sz w:val="28"/>
          <w:szCs w:val="28"/>
        </w:rPr>
        <w:t>erente, en el cual el artículo 237 sobre licencia por aborto opera como un componente integrado.</w:t>
      </w:r>
    </w:p>
    <w:p w:rsidR="00026DE8" w:rsidRPr="000C03D2" w:rsidRDefault="000C03D2" w:rsidP="007B4040">
      <w:pPr>
        <w:jc w:val="both"/>
        <w:rPr>
          <w:rFonts w:ascii="Times New Roman" w:hAnsi="Times New Roman" w:cs="Times New Roman"/>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sz w:val="28"/>
          <w:szCs w:val="28"/>
        </w:rPr>
        <w:t>Sobre esos tres pilares, esta Cor</w:t>
      </w:r>
      <w:r w:rsidRPr="000C03D2">
        <w:rPr>
          <w:rFonts w:ascii="Times New Roman" w:hAnsi="Times New Roman" w:cs="Times New Roman"/>
          <w:sz w:val="28"/>
          <w:szCs w:val="28"/>
        </w:rPr>
        <w:t>te</w:t>
      </w:r>
      <w:r w:rsidRPr="000C03D2">
        <w:rPr>
          <w:rFonts w:ascii="Times New Roman" w:hAnsi="Times New Roman" w:cs="Times New Roman"/>
          <w:sz w:val="28"/>
          <w:szCs w:val="28"/>
        </w:rPr>
        <w:t xml:space="preserve"> ha decantado una línea jurisprudencial consolidada. La Sentencia SU-070 de 2013, providencia de unificación a la cual debe</w:t>
      </w:r>
      <w:r w:rsidRPr="000C03D2">
        <w:rPr>
          <w:rFonts w:ascii="Times New Roman" w:hAnsi="Times New Roman" w:cs="Times New Roman"/>
          <w:sz w:val="28"/>
          <w:szCs w:val="28"/>
        </w:rPr>
        <w:t xml:space="preserve"> especial deferencia el ejercicio del control de constitucionalidad, sostuvo que cuando el empleador conoce el estado de embarazo de la trabajadora, opera una </w:t>
      </w:r>
      <w:r w:rsidRPr="000C03D2">
        <w:rPr>
          <w:rFonts w:ascii="Times New Roman" w:hAnsi="Times New Roman" w:cs="Times New Roman"/>
          <w:sz w:val="28"/>
          <w:szCs w:val="28"/>
        </w:rPr>
        <w:t>“</w:t>
      </w:r>
      <w:r w:rsidRPr="000C03D2">
        <w:rPr>
          <w:rFonts w:ascii="Times New Roman" w:hAnsi="Times New Roman" w:cs="Times New Roman"/>
          <w:sz w:val="28"/>
          <w:szCs w:val="28"/>
        </w:rPr>
        <w:t>protección integral y completa, pues se asume que el despido se basó en el embarazo y por ende e</w:t>
      </w:r>
      <w:r w:rsidRPr="000C03D2">
        <w:rPr>
          <w:rFonts w:ascii="Times New Roman" w:hAnsi="Times New Roman" w:cs="Times New Roman"/>
          <w:sz w:val="28"/>
          <w:szCs w:val="28"/>
        </w:rPr>
        <w:t>n un factor de discriminación en razón del sexo</w:t>
      </w:r>
      <w:r w:rsidRPr="000C03D2">
        <w:rPr>
          <w:rFonts w:ascii="Times New Roman" w:hAnsi="Times New Roman" w:cs="Times New Roman"/>
          <w:sz w:val="28"/>
          <w:szCs w:val="28"/>
        </w:rPr>
        <w:t>”</w:t>
      </w:r>
      <w:r w:rsidRPr="000C03D2">
        <w:rPr>
          <w:rFonts w:ascii="Times New Roman" w:hAnsi="Times New Roman" w:cs="Times New Roman"/>
          <w:sz w:val="28"/>
          <w:szCs w:val="28"/>
        </w:rPr>
        <w:t>. Esta calificación, vale subrayarlo, no es accesoria ni retórica: es la base dogmática del sistema entero. La protección reforzada de la trabajadora gestante se justifica constitucionalmente porque las mujer</w:t>
      </w:r>
      <w:r w:rsidRPr="000C03D2">
        <w:rPr>
          <w:rFonts w:ascii="Times New Roman" w:hAnsi="Times New Roman" w:cs="Times New Roman"/>
          <w:sz w:val="28"/>
          <w:szCs w:val="28"/>
        </w:rPr>
        <w:t>es han sufrido y continúan sufriendo, precisamente en virtud de su sexo, una forma específica y verificable de discriminación laboral asociada a su capacidad reproductiva.</w:t>
      </w:r>
    </w:p>
    <w:p w:rsidR="00026DE8" w:rsidRPr="000C03D2" w:rsidRDefault="000C03D2" w:rsidP="007B4040">
      <w:pPr>
        <w:jc w:val="both"/>
        <w:rPr>
          <w:rFonts w:ascii="Times New Roman" w:hAnsi="Times New Roman" w:cs="Times New Roman"/>
          <w:b/>
          <w:bCs/>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sz w:val="28"/>
          <w:szCs w:val="28"/>
        </w:rPr>
        <w:t>La extensión interpretativa adoptada por la Sala Plena en la presente sentencia, al</w:t>
      </w:r>
      <w:r w:rsidRPr="000C03D2">
        <w:rPr>
          <w:rFonts w:ascii="Times New Roman" w:hAnsi="Times New Roman" w:cs="Times New Roman"/>
          <w:sz w:val="28"/>
          <w:szCs w:val="28"/>
        </w:rPr>
        <w:t xml:space="preserve"> proyectar el ámbito subjetivo del descanso por aborto sobre todas las personas con capacidad de gestar, sin mediación legislativa, opera una transformación estructural del derecho cuya magnitud merece ser advertida en cinco </w:t>
      </w:r>
      <w:r w:rsidRPr="000C03D2">
        <w:rPr>
          <w:rFonts w:ascii="Times New Roman" w:hAnsi="Times New Roman" w:cs="Times New Roman"/>
          <w:sz w:val="28"/>
          <w:szCs w:val="28"/>
        </w:rPr>
        <w:t>aspectos:</w:t>
      </w:r>
    </w:p>
    <w:p w:rsidR="00026DE8" w:rsidRPr="000C03D2" w:rsidRDefault="000C03D2" w:rsidP="007B4040">
      <w:pPr>
        <w:jc w:val="both"/>
        <w:rPr>
          <w:rFonts w:ascii="Times New Roman" w:hAnsi="Times New Roman" w:cs="Times New Roman"/>
          <w:b/>
          <w:bCs/>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b/>
          <w:bCs/>
          <w:sz w:val="28"/>
          <w:szCs w:val="28"/>
        </w:rPr>
        <w:t>Primer</w:t>
      </w:r>
      <w:r w:rsidRPr="000C03D2">
        <w:rPr>
          <w:rFonts w:ascii="Times New Roman" w:hAnsi="Times New Roman" w:cs="Times New Roman"/>
          <w:b/>
          <w:bCs/>
          <w:sz w:val="28"/>
          <w:szCs w:val="28"/>
        </w:rPr>
        <w:t>o</w:t>
      </w:r>
      <w:r w:rsidRPr="000C03D2">
        <w:rPr>
          <w:rFonts w:ascii="Times New Roman" w:hAnsi="Times New Roman" w:cs="Times New Roman"/>
          <w:b/>
          <w:bCs/>
          <w:sz w:val="28"/>
          <w:szCs w:val="28"/>
        </w:rPr>
        <w:t xml:space="preserve">. </w:t>
      </w:r>
      <w:r w:rsidRPr="000C03D2">
        <w:rPr>
          <w:rFonts w:ascii="Times New Roman" w:hAnsi="Times New Roman" w:cs="Times New Roman"/>
          <w:sz w:val="28"/>
          <w:szCs w:val="28"/>
        </w:rPr>
        <w:t>Convierte u</w:t>
      </w:r>
      <w:r w:rsidRPr="000C03D2">
        <w:rPr>
          <w:rFonts w:ascii="Times New Roman" w:hAnsi="Times New Roman" w:cs="Times New Roman"/>
          <w:sz w:val="28"/>
          <w:szCs w:val="28"/>
        </w:rPr>
        <w:t xml:space="preserve">na acción afirmativa </w:t>
      </w:r>
      <w:r w:rsidRPr="000C03D2">
        <w:rPr>
          <w:rFonts w:ascii="Times New Roman" w:hAnsi="Times New Roman" w:cs="Times New Roman"/>
          <w:sz w:val="28"/>
          <w:szCs w:val="28"/>
        </w:rPr>
        <w:t xml:space="preserve">para un </w:t>
      </w:r>
      <w:r w:rsidRPr="000C03D2">
        <w:rPr>
          <w:rFonts w:ascii="Times New Roman" w:hAnsi="Times New Roman" w:cs="Times New Roman"/>
          <w:sz w:val="28"/>
          <w:szCs w:val="28"/>
        </w:rPr>
        <w:t xml:space="preserve">sexo </w:t>
      </w:r>
      <w:r w:rsidRPr="000C03D2">
        <w:rPr>
          <w:rFonts w:ascii="Times New Roman" w:hAnsi="Times New Roman" w:cs="Times New Roman"/>
          <w:sz w:val="28"/>
          <w:szCs w:val="28"/>
        </w:rPr>
        <w:t xml:space="preserve">en </w:t>
      </w:r>
      <w:r w:rsidRPr="000C03D2">
        <w:rPr>
          <w:rFonts w:ascii="Times New Roman" w:hAnsi="Times New Roman" w:cs="Times New Roman"/>
          <w:sz w:val="28"/>
          <w:szCs w:val="28"/>
        </w:rPr>
        <w:t>específic</w:t>
      </w:r>
      <w:r w:rsidRPr="000C03D2">
        <w:rPr>
          <w:rFonts w:ascii="Times New Roman" w:hAnsi="Times New Roman" w:cs="Times New Roman"/>
          <w:sz w:val="28"/>
          <w:szCs w:val="28"/>
        </w:rPr>
        <w:t>o</w:t>
      </w:r>
      <w:r w:rsidRPr="000C03D2">
        <w:rPr>
          <w:rFonts w:ascii="Times New Roman" w:hAnsi="Times New Roman" w:cs="Times New Roman"/>
          <w:sz w:val="28"/>
          <w:szCs w:val="28"/>
        </w:rPr>
        <w:t xml:space="preserve"> en un derecho de base identitario de capacidad biológica abstracta. La naturaleza del derecho muta: del derecho de la mujer trabajadora en función del sexo, pasa a ser el derecho de la persona gestante en fun</w:t>
      </w:r>
      <w:r w:rsidRPr="000C03D2">
        <w:rPr>
          <w:rFonts w:ascii="Times New Roman" w:hAnsi="Times New Roman" w:cs="Times New Roman"/>
          <w:sz w:val="28"/>
          <w:szCs w:val="28"/>
        </w:rPr>
        <w:t>ción de una capacidad biológica desligada de la categoría sexo. Este cambio no es semántico. Conforme con la Sentencia C-371 de 2000, las acciones afirmativas operan sobre grupos históricamente discriminados, no sobre individuos definidos por capacidades b</w:t>
      </w:r>
      <w:r w:rsidRPr="000C03D2">
        <w:rPr>
          <w:rFonts w:ascii="Times New Roman" w:hAnsi="Times New Roman" w:cs="Times New Roman"/>
          <w:sz w:val="28"/>
          <w:szCs w:val="28"/>
        </w:rPr>
        <w:t xml:space="preserve">iológicas en abstracto. La Sentencia C-667 de 2006 reiteró que las mujeres </w:t>
      </w:r>
      <w:r w:rsidRPr="000C03D2">
        <w:rPr>
          <w:rFonts w:ascii="Times New Roman" w:hAnsi="Times New Roman" w:cs="Times New Roman"/>
          <w:sz w:val="28"/>
          <w:szCs w:val="28"/>
        </w:rPr>
        <w:t>“</w:t>
      </w:r>
      <w:r w:rsidRPr="000C03D2">
        <w:rPr>
          <w:rFonts w:ascii="Times New Roman" w:hAnsi="Times New Roman" w:cs="Times New Roman"/>
          <w:sz w:val="28"/>
          <w:szCs w:val="28"/>
        </w:rPr>
        <w:t>son sujetos de especial protección</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y de </w:t>
      </w:r>
      <w:r w:rsidRPr="000C03D2">
        <w:rPr>
          <w:rFonts w:ascii="Times New Roman" w:hAnsi="Times New Roman" w:cs="Times New Roman"/>
          <w:sz w:val="28"/>
          <w:szCs w:val="28"/>
        </w:rPr>
        <w:t>“</w:t>
      </w:r>
      <w:r w:rsidRPr="000C03D2">
        <w:rPr>
          <w:rFonts w:ascii="Times New Roman" w:hAnsi="Times New Roman" w:cs="Times New Roman"/>
          <w:sz w:val="28"/>
          <w:szCs w:val="28"/>
        </w:rPr>
        <w:t>protección reforzada</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y que no se encuentran </w:t>
      </w:r>
      <w:r w:rsidRPr="000C03D2">
        <w:rPr>
          <w:rFonts w:ascii="Times New Roman" w:hAnsi="Times New Roman" w:cs="Times New Roman"/>
          <w:sz w:val="28"/>
          <w:szCs w:val="28"/>
        </w:rPr>
        <w:t>“</w:t>
      </w:r>
      <w:r w:rsidRPr="000C03D2">
        <w:rPr>
          <w:rFonts w:ascii="Times New Roman" w:hAnsi="Times New Roman" w:cs="Times New Roman"/>
          <w:sz w:val="28"/>
          <w:szCs w:val="28"/>
        </w:rPr>
        <w:t>en la misma situación constitucional</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que los hombres, de modo que las acciones afirmativas</w:t>
      </w:r>
      <w:r w:rsidRPr="000C03D2">
        <w:rPr>
          <w:rFonts w:ascii="Times New Roman" w:hAnsi="Times New Roman" w:cs="Times New Roman"/>
          <w:sz w:val="28"/>
          <w:szCs w:val="28"/>
        </w:rPr>
        <w:t xml:space="preserve"> en su favor reconocen una posición categorial específica que la extensión interpretativa diluye.</w:t>
      </w:r>
    </w:p>
    <w:p w:rsidR="00026DE8" w:rsidRPr="000C03D2" w:rsidRDefault="000C03D2" w:rsidP="007B4040">
      <w:pPr>
        <w:jc w:val="both"/>
        <w:rPr>
          <w:rFonts w:ascii="Times New Roman" w:hAnsi="Times New Roman" w:cs="Times New Roman"/>
          <w:b/>
          <w:bCs/>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b/>
          <w:bCs/>
          <w:sz w:val="28"/>
          <w:szCs w:val="28"/>
        </w:rPr>
        <w:t>Segund</w:t>
      </w:r>
      <w:r w:rsidRPr="000C03D2">
        <w:rPr>
          <w:rFonts w:ascii="Times New Roman" w:hAnsi="Times New Roman" w:cs="Times New Roman"/>
          <w:b/>
          <w:bCs/>
          <w:sz w:val="28"/>
          <w:szCs w:val="28"/>
        </w:rPr>
        <w:t>o</w:t>
      </w:r>
      <w:r w:rsidRPr="000C03D2">
        <w:rPr>
          <w:rFonts w:ascii="Times New Roman" w:hAnsi="Times New Roman" w:cs="Times New Roman"/>
          <w:b/>
          <w:bCs/>
          <w:sz w:val="28"/>
          <w:szCs w:val="28"/>
        </w:rPr>
        <w:t xml:space="preserve">. </w:t>
      </w:r>
      <w:r w:rsidRPr="000C03D2">
        <w:rPr>
          <w:rFonts w:ascii="Times New Roman" w:hAnsi="Times New Roman" w:cs="Times New Roman"/>
          <w:sz w:val="28"/>
          <w:szCs w:val="28"/>
        </w:rPr>
        <w:t xml:space="preserve">Desancla la protección de su fundamento constitucional expreso. Los artículos 43 y 53 superiores se refieren textualmente a </w:t>
      </w:r>
      <w:r w:rsidRPr="000C03D2">
        <w:rPr>
          <w:rFonts w:ascii="Times New Roman" w:hAnsi="Times New Roman" w:cs="Times New Roman"/>
          <w:sz w:val="28"/>
          <w:szCs w:val="28"/>
        </w:rPr>
        <w:t>“</w:t>
      </w:r>
      <w:r w:rsidRPr="000C03D2">
        <w:rPr>
          <w:rFonts w:ascii="Times New Roman" w:hAnsi="Times New Roman" w:cs="Times New Roman"/>
          <w:sz w:val="28"/>
          <w:szCs w:val="28"/>
        </w:rPr>
        <w:t>la mujer</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y a </w:t>
      </w:r>
      <w:r w:rsidRPr="000C03D2">
        <w:rPr>
          <w:rFonts w:ascii="Times New Roman" w:hAnsi="Times New Roman" w:cs="Times New Roman"/>
          <w:sz w:val="28"/>
          <w:szCs w:val="28"/>
        </w:rPr>
        <w:t>“</w:t>
      </w:r>
      <w:r w:rsidRPr="000C03D2">
        <w:rPr>
          <w:rFonts w:ascii="Times New Roman" w:hAnsi="Times New Roman" w:cs="Times New Roman"/>
          <w:sz w:val="28"/>
          <w:szCs w:val="28"/>
        </w:rPr>
        <w:t>la mater</w:t>
      </w:r>
      <w:r w:rsidRPr="000C03D2">
        <w:rPr>
          <w:rFonts w:ascii="Times New Roman" w:hAnsi="Times New Roman" w:cs="Times New Roman"/>
          <w:sz w:val="28"/>
          <w:szCs w:val="28"/>
        </w:rPr>
        <w:t>nidad</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no a </w:t>
      </w:r>
      <w:r w:rsidRPr="000C03D2">
        <w:rPr>
          <w:rFonts w:ascii="Times New Roman" w:hAnsi="Times New Roman" w:cs="Times New Roman"/>
          <w:sz w:val="28"/>
          <w:szCs w:val="28"/>
        </w:rPr>
        <w:t>“</w:t>
      </w:r>
      <w:r w:rsidRPr="000C03D2">
        <w:rPr>
          <w:rFonts w:ascii="Times New Roman" w:hAnsi="Times New Roman" w:cs="Times New Roman"/>
          <w:sz w:val="28"/>
          <w:szCs w:val="28"/>
        </w:rPr>
        <w:t>personas gestantes</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La extensión interpretativa, al disociar la protección de su fuente constitucional, deja la garantía sin asidero normativo expreso para los sujetos a quienes se proyecta. Si bien es plausible construir la cobertura por vía del principio </w:t>
      </w:r>
      <w:r w:rsidRPr="000C03D2">
        <w:rPr>
          <w:rFonts w:ascii="Times New Roman" w:hAnsi="Times New Roman" w:cs="Times New Roman"/>
          <w:i/>
          <w:iCs/>
          <w:sz w:val="28"/>
          <w:szCs w:val="28"/>
        </w:rPr>
        <w:t>pro persona</w:t>
      </w:r>
      <w:r w:rsidRPr="000C03D2">
        <w:rPr>
          <w:rFonts w:ascii="Times New Roman" w:hAnsi="Times New Roman" w:cs="Times New Roman"/>
          <w:sz w:val="28"/>
          <w:szCs w:val="28"/>
        </w:rPr>
        <w:t xml:space="preserve"> y del</w:t>
      </w:r>
      <w:r w:rsidRPr="000C03D2">
        <w:rPr>
          <w:rFonts w:ascii="Times New Roman" w:hAnsi="Times New Roman" w:cs="Times New Roman"/>
          <w:sz w:val="28"/>
          <w:szCs w:val="28"/>
        </w:rPr>
        <w:t xml:space="preserve"> libre desarrollo de la personalidad, esa construcción dogmática debió ser realizada por el Legislador, en ejercicio de su libertad de configuración y previa deliberación democrática, y no por el juez constitucional mediante extensión interpretativa de un </w:t>
      </w:r>
      <w:r w:rsidRPr="000C03D2">
        <w:rPr>
          <w:rFonts w:ascii="Times New Roman" w:hAnsi="Times New Roman" w:cs="Times New Roman"/>
          <w:sz w:val="28"/>
          <w:szCs w:val="28"/>
        </w:rPr>
        <w:t>precepto cuyo ámbito subjetivo fue concebido en clave sexo específica.</w:t>
      </w:r>
    </w:p>
    <w:p w:rsidR="00026DE8" w:rsidRPr="000C03D2" w:rsidRDefault="000C03D2" w:rsidP="007B4040">
      <w:pPr>
        <w:jc w:val="both"/>
        <w:rPr>
          <w:rFonts w:ascii="Times New Roman" w:hAnsi="Times New Roman" w:cs="Times New Roman"/>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b/>
          <w:bCs/>
          <w:sz w:val="28"/>
          <w:szCs w:val="28"/>
        </w:rPr>
        <w:t>Tercer</w:t>
      </w:r>
      <w:r w:rsidRPr="000C03D2">
        <w:rPr>
          <w:rFonts w:ascii="Times New Roman" w:hAnsi="Times New Roman" w:cs="Times New Roman"/>
          <w:b/>
          <w:bCs/>
          <w:sz w:val="28"/>
          <w:szCs w:val="28"/>
        </w:rPr>
        <w:t>o</w:t>
      </w:r>
      <w:r w:rsidRPr="000C03D2">
        <w:rPr>
          <w:rFonts w:ascii="Times New Roman" w:hAnsi="Times New Roman" w:cs="Times New Roman"/>
          <w:b/>
          <w:bCs/>
          <w:sz w:val="28"/>
          <w:szCs w:val="28"/>
        </w:rPr>
        <w:t xml:space="preserve">. </w:t>
      </w:r>
      <w:r w:rsidRPr="000C03D2">
        <w:rPr>
          <w:rFonts w:ascii="Times New Roman" w:hAnsi="Times New Roman" w:cs="Times New Roman"/>
          <w:sz w:val="28"/>
          <w:szCs w:val="28"/>
        </w:rPr>
        <w:t xml:space="preserve">Opera una decisión paradigmática que, por su densidad axiológica, excede el ámbito del control judicial. La opción entre un sistema de derechos laborales </w:t>
      </w:r>
      <w:r w:rsidRPr="000C03D2">
        <w:rPr>
          <w:rFonts w:ascii="Times New Roman" w:hAnsi="Times New Roman" w:cs="Times New Roman"/>
          <w:sz w:val="28"/>
          <w:szCs w:val="28"/>
        </w:rPr>
        <w:t>para mujeres</w:t>
      </w:r>
      <w:r w:rsidRPr="000C03D2">
        <w:rPr>
          <w:rFonts w:ascii="Times New Roman" w:hAnsi="Times New Roman" w:cs="Times New Roman"/>
          <w:sz w:val="28"/>
          <w:szCs w:val="28"/>
        </w:rPr>
        <w:t>, anclado</w:t>
      </w:r>
      <w:r w:rsidRPr="000C03D2">
        <w:rPr>
          <w:rFonts w:ascii="Times New Roman" w:hAnsi="Times New Roman" w:cs="Times New Roman"/>
          <w:sz w:val="28"/>
          <w:szCs w:val="28"/>
        </w:rPr>
        <w:t xml:space="preserve"> en la categoría histórica de la mujer trabajadora, y un sistema de derechos basados en la identidad o en capacidades biológicas individualmente consideradas, no es una opción interpretativa entre varias técnicamente equivalentes. Es una decisión paradigmá</w:t>
      </w:r>
      <w:r w:rsidRPr="000C03D2">
        <w:rPr>
          <w:rFonts w:ascii="Times New Roman" w:hAnsi="Times New Roman" w:cs="Times New Roman"/>
          <w:sz w:val="28"/>
          <w:szCs w:val="28"/>
        </w:rPr>
        <w:t xml:space="preserve">tica que afecta </w:t>
      </w:r>
      <w:r w:rsidRPr="000C03D2">
        <w:rPr>
          <w:rFonts w:ascii="Times New Roman" w:hAnsi="Times New Roman" w:cs="Times New Roman"/>
          <w:sz w:val="28"/>
          <w:szCs w:val="28"/>
        </w:rPr>
        <w:t>el diseño</w:t>
      </w:r>
      <w:r w:rsidRPr="000C03D2">
        <w:rPr>
          <w:rFonts w:ascii="Times New Roman" w:hAnsi="Times New Roman" w:cs="Times New Roman"/>
          <w:sz w:val="28"/>
          <w:szCs w:val="28"/>
        </w:rPr>
        <w:t xml:space="preserve"> enter</w:t>
      </w:r>
      <w:r w:rsidRPr="000C03D2">
        <w:rPr>
          <w:rFonts w:ascii="Times New Roman" w:hAnsi="Times New Roman" w:cs="Times New Roman"/>
          <w:sz w:val="28"/>
          <w:szCs w:val="28"/>
        </w:rPr>
        <w:t>o</w:t>
      </w:r>
      <w:r w:rsidRPr="000C03D2">
        <w:rPr>
          <w:rFonts w:ascii="Times New Roman" w:hAnsi="Times New Roman" w:cs="Times New Roman"/>
          <w:sz w:val="28"/>
          <w:szCs w:val="28"/>
        </w:rPr>
        <w:t xml:space="preserve"> de los derechos laborales de las mujeres y que reconfigura </w:t>
      </w:r>
      <w:r w:rsidRPr="000C03D2">
        <w:rPr>
          <w:rFonts w:ascii="Times New Roman" w:hAnsi="Times New Roman" w:cs="Times New Roman"/>
          <w:sz w:val="28"/>
          <w:szCs w:val="28"/>
        </w:rPr>
        <w:t xml:space="preserve">a su </w:t>
      </w:r>
      <w:r w:rsidRPr="000C03D2">
        <w:rPr>
          <w:rFonts w:ascii="Times New Roman" w:hAnsi="Times New Roman" w:cs="Times New Roman"/>
          <w:sz w:val="28"/>
          <w:szCs w:val="28"/>
        </w:rPr>
        <w:t>destinatario constitucional. Esa decisión, por su densidad valorativa, por su impacto sistémico y por las implicaciones presupuestales, sociales y políticas qu</w:t>
      </w:r>
      <w:r w:rsidRPr="000C03D2">
        <w:rPr>
          <w:rFonts w:ascii="Times New Roman" w:hAnsi="Times New Roman" w:cs="Times New Roman"/>
          <w:sz w:val="28"/>
          <w:szCs w:val="28"/>
        </w:rPr>
        <w:t xml:space="preserve">e comporta, corresponde al Congreso de la República en ejercicio de la libertad de configuración legislativa que le confieren los artículos 150 y 53 superiores. La activación de tal cambio paradigmático por vía interpretativa, sin mediación parlamentaria, </w:t>
      </w:r>
      <w:r w:rsidRPr="000C03D2">
        <w:rPr>
          <w:rFonts w:ascii="Times New Roman" w:hAnsi="Times New Roman" w:cs="Times New Roman"/>
          <w:sz w:val="28"/>
          <w:szCs w:val="28"/>
        </w:rPr>
        <w:t>suscita preguntas legítimas sobre la observancia del principio de separación de</w:t>
      </w:r>
      <w:r w:rsidRPr="000C03D2">
        <w:rPr>
          <w:rFonts w:ascii="Times New Roman" w:hAnsi="Times New Roman" w:cs="Times New Roman"/>
          <w:sz w:val="28"/>
          <w:szCs w:val="28"/>
        </w:rPr>
        <w:t>l</w:t>
      </w:r>
      <w:r w:rsidRPr="000C03D2">
        <w:rPr>
          <w:rFonts w:ascii="Times New Roman" w:hAnsi="Times New Roman" w:cs="Times New Roman"/>
          <w:sz w:val="28"/>
          <w:szCs w:val="28"/>
        </w:rPr>
        <w:t xml:space="preserve"> poder consolidado en la jurisprudencia de esta Corporación.</w:t>
      </w:r>
    </w:p>
    <w:p w:rsidR="00026DE8" w:rsidRPr="000C03D2" w:rsidRDefault="000C03D2" w:rsidP="007B4040">
      <w:pPr>
        <w:jc w:val="both"/>
        <w:rPr>
          <w:rFonts w:ascii="Times New Roman" w:hAnsi="Times New Roman" w:cs="Times New Roman"/>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b/>
          <w:bCs/>
          <w:sz w:val="28"/>
          <w:szCs w:val="28"/>
        </w:rPr>
        <w:t>Cuart</w:t>
      </w:r>
      <w:r w:rsidRPr="000C03D2">
        <w:rPr>
          <w:rFonts w:ascii="Times New Roman" w:hAnsi="Times New Roman" w:cs="Times New Roman"/>
          <w:b/>
          <w:bCs/>
          <w:sz w:val="28"/>
          <w:szCs w:val="28"/>
        </w:rPr>
        <w:t>o</w:t>
      </w:r>
      <w:r w:rsidRPr="000C03D2">
        <w:rPr>
          <w:rFonts w:ascii="Times New Roman" w:hAnsi="Times New Roman" w:cs="Times New Roman"/>
          <w:b/>
          <w:bCs/>
          <w:sz w:val="28"/>
          <w:szCs w:val="28"/>
        </w:rPr>
        <w:t xml:space="preserve">. </w:t>
      </w:r>
      <w:r w:rsidRPr="000C03D2">
        <w:rPr>
          <w:rFonts w:ascii="Times New Roman" w:hAnsi="Times New Roman" w:cs="Times New Roman"/>
          <w:sz w:val="28"/>
          <w:szCs w:val="28"/>
        </w:rPr>
        <w:t>Genera incoherencia regulatoria en el sistema más amplio del fuero de maternidad. Este fuero opera como un</w:t>
      </w:r>
      <w:r w:rsidRPr="000C03D2">
        <w:rPr>
          <w:rFonts w:ascii="Times New Roman" w:hAnsi="Times New Roman" w:cs="Times New Roman"/>
          <w:sz w:val="28"/>
          <w:szCs w:val="28"/>
        </w:rPr>
        <w:t xml:space="preserve"> sistema interdependiente compuesto por la licencia de maternidad (artículo 236 del Código Sustantivo del Trabajo), la licencia por aborto (artículo 237), los descansos remunerados por lactancia (artículo 238), la estabilidad laboral reforzada (SU-070 de 2</w:t>
      </w:r>
      <w:r w:rsidRPr="000C03D2">
        <w:rPr>
          <w:rFonts w:ascii="Times New Roman" w:hAnsi="Times New Roman" w:cs="Times New Roman"/>
          <w:sz w:val="28"/>
          <w:szCs w:val="28"/>
        </w:rPr>
        <w:t xml:space="preserve">013), la prohibición de despido por embarazo (artículo 239), entre otras garantías. Extender por vía interpretativa una sola pieza del sistema, sin deliberación legislativa sobre las implicaciones para las restantes piezas, produce asimetrías regulatorias </w:t>
      </w:r>
      <w:r w:rsidRPr="000C03D2">
        <w:rPr>
          <w:rFonts w:ascii="Times New Roman" w:hAnsi="Times New Roman" w:cs="Times New Roman"/>
          <w:sz w:val="28"/>
          <w:szCs w:val="28"/>
        </w:rPr>
        <w:t>que la propia Corte ha intentado armonizar mediante pronunciamientos sucesivos. En tres providencias consecutivas, las Sentencias C-324 de 2023, C-071 de 2025 y la presente C-017 de 2026, esta Sala Plena ha extendido distintos componentes del fuero, en cad</w:t>
      </w:r>
      <w:r w:rsidRPr="000C03D2">
        <w:rPr>
          <w:rFonts w:ascii="Times New Roman" w:hAnsi="Times New Roman" w:cs="Times New Roman"/>
          <w:sz w:val="28"/>
          <w:szCs w:val="28"/>
        </w:rPr>
        <w:t>a caso por la vía interpretativa, y en cada caso sin la deliberación democrática que el rediseño sistémico demanda. La reiteración de esa metodología, en mi opinión, no la consolida</w:t>
      </w:r>
      <w:r w:rsidRPr="000C03D2">
        <w:rPr>
          <w:rFonts w:ascii="Times New Roman" w:hAnsi="Times New Roman" w:cs="Times New Roman"/>
          <w:sz w:val="28"/>
          <w:szCs w:val="28"/>
        </w:rPr>
        <w:t>,</w:t>
      </w:r>
      <w:r w:rsidRPr="000C03D2">
        <w:rPr>
          <w:rFonts w:ascii="Times New Roman" w:hAnsi="Times New Roman" w:cs="Times New Roman"/>
          <w:sz w:val="28"/>
          <w:szCs w:val="28"/>
        </w:rPr>
        <w:t xml:space="preserve"> antes bien, evidencia la urgencia de que sea el Congreso de la República,</w:t>
      </w:r>
      <w:r w:rsidRPr="000C03D2">
        <w:rPr>
          <w:rFonts w:ascii="Times New Roman" w:hAnsi="Times New Roman" w:cs="Times New Roman"/>
          <w:sz w:val="28"/>
          <w:szCs w:val="28"/>
        </w:rPr>
        <w:t xml:space="preserve"> y no el juez constitucional, quien acometa una regulación integral del descanso, la licencia y la protección laboral asociados a la capacidad gestacional y a la lactancia para todas las personas comprendidas en estos supuestos, respetando las particularid</w:t>
      </w:r>
      <w:r w:rsidRPr="000C03D2">
        <w:rPr>
          <w:rFonts w:ascii="Times New Roman" w:hAnsi="Times New Roman" w:cs="Times New Roman"/>
          <w:sz w:val="28"/>
          <w:szCs w:val="28"/>
        </w:rPr>
        <w:t>ades de cada experiencia de vida.</w:t>
      </w:r>
    </w:p>
    <w:p w:rsidR="00026DE8" w:rsidRPr="000C03D2" w:rsidRDefault="000C03D2" w:rsidP="007B4040">
      <w:pPr>
        <w:jc w:val="both"/>
        <w:rPr>
          <w:rFonts w:ascii="Times New Roman" w:hAnsi="Times New Roman" w:cs="Times New Roman"/>
          <w:sz w:val="28"/>
          <w:szCs w:val="28"/>
        </w:rPr>
      </w:pPr>
    </w:p>
    <w:p w:rsidR="007B4040" w:rsidRPr="000C03D2" w:rsidRDefault="000C03D2" w:rsidP="007B4040">
      <w:pPr>
        <w:jc w:val="both"/>
        <w:rPr>
          <w:rFonts w:ascii="Times New Roman" w:hAnsi="Times New Roman" w:cs="Times New Roman"/>
          <w:sz w:val="28"/>
          <w:szCs w:val="28"/>
        </w:rPr>
      </w:pPr>
      <w:r w:rsidRPr="000C03D2">
        <w:rPr>
          <w:rFonts w:ascii="Times New Roman" w:hAnsi="Times New Roman" w:cs="Times New Roman"/>
          <w:b/>
          <w:bCs/>
          <w:sz w:val="28"/>
          <w:szCs w:val="28"/>
        </w:rPr>
        <w:t>Quint</w:t>
      </w:r>
      <w:r w:rsidRPr="000C03D2">
        <w:rPr>
          <w:rFonts w:ascii="Times New Roman" w:hAnsi="Times New Roman" w:cs="Times New Roman"/>
          <w:b/>
          <w:bCs/>
          <w:sz w:val="28"/>
          <w:szCs w:val="28"/>
        </w:rPr>
        <w:t>o</w:t>
      </w:r>
      <w:r w:rsidRPr="000C03D2">
        <w:rPr>
          <w:rFonts w:ascii="Times New Roman" w:hAnsi="Times New Roman" w:cs="Times New Roman"/>
          <w:b/>
          <w:bCs/>
          <w:sz w:val="28"/>
          <w:szCs w:val="28"/>
        </w:rPr>
        <w:t xml:space="preserve">. </w:t>
      </w:r>
      <w:r w:rsidRPr="000C03D2">
        <w:rPr>
          <w:rFonts w:ascii="Times New Roman" w:hAnsi="Times New Roman" w:cs="Times New Roman"/>
          <w:sz w:val="28"/>
          <w:szCs w:val="28"/>
        </w:rPr>
        <w:t>Comporta un riesgo verificable de dilución del capital político y simbólico de las conquistas históricas de las mujeres. Las garantías que hoy componen el fuero de maternidad no son concesiones graciosas del orden</w:t>
      </w:r>
      <w:r w:rsidRPr="000C03D2">
        <w:rPr>
          <w:rFonts w:ascii="Times New Roman" w:hAnsi="Times New Roman" w:cs="Times New Roman"/>
          <w:sz w:val="28"/>
          <w:szCs w:val="28"/>
        </w:rPr>
        <w:t>amiento jurídico, sino el producto de décadas de movilización feminista, sindical y política de las mujeres trabajadoras en Colombia y en el plano internacional. Su conversión silenciosa, por vía interpretativa y sin reconocimiento expreso de su especifici</w:t>
      </w:r>
      <w:r w:rsidRPr="000C03D2">
        <w:rPr>
          <w:rFonts w:ascii="Times New Roman" w:hAnsi="Times New Roman" w:cs="Times New Roman"/>
          <w:sz w:val="28"/>
          <w:szCs w:val="28"/>
        </w:rPr>
        <w:t>dad histórica, opera una invisibilización progresiva del sujeto político mujer trabajadora, precisamente cuando ese sujeto sigue siendo, conforme con las estadísticas oficiales del Departamento Administrativo Nacional de Estadística y con los informes de l</w:t>
      </w:r>
      <w:r w:rsidRPr="000C03D2">
        <w:rPr>
          <w:rFonts w:ascii="Times New Roman" w:hAnsi="Times New Roman" w:cs="Times New Roman"/>
          <w:sz w:val="28"/>
          <w:szCs w:val="28"/>
        </w:rPr>
        <w:t>a Organización Internacional del Trabajo, el que enfrenta la discriminación laboral por maternidad en sus expresiones más severas: brecha salarial de género, mayor desempleo femenino en edad reproductiva, sobrerrepresentación en el trabajo informal durante</w:t>
      </w:r>
      <w:r w:rsidRPr="000C03D2">
        <w:rPr>
          <w:rFonts w:ascii="Times New Roman" w:hAnsi="Times New Roman" w:cs="Times New Roman"/>
          <w:sz w:val="28"/>
          <w:szCs w:val="28"/>
        </w:rPr>
        <w:t xml:space="preserve"> el embarazo y posparto, y penalización profesional asociada a la maternidad. Esta consideración no se opone, en modo alguno, al reconocimiento constitucional de los derechos de los hombres trans y de las personas no binarias con capacidad de gestar; se op</w:t>
      </w:r>
      <w:r w:rsidRPr="000C03D2">
        <w:rPr>
          <w:rFonts w:ascii="Times New Roman" w:hAnsi="Times New Roman" w:cs="Times New Roman"/>
          <w:sz w:val="28"/>
          <w:szCs w:val="28"/>
        </w:rPr>
        <w:t>one al método elegido para reconocerlos, esto es, a la extensión interpretativa que asimila lo que, en estricta</w:t>
      </w:r>
      <w:r w:rsidRPr="000C03D2">
        <w:rPr>
          <w:rFonts w:ascii="Times New Roman" w:hAnsi="Times New Roman" w:cs="Times New Roman"/>
          <w:b/>
          <w:bCs/>
          <w:sz w:val="28"/>
          <w:szCs w:val="28"/>
        </w:rPr>
        <w:t xml:space="preserve"> </w:t>
      </w:r>
      <w:r w:rsidRPr="000C03D2">
        <w:rPr>
          <w:rFonts w:ascii="Times New Roman" w:hAnsi="Times New Roman" w:cs="Times New Roman"/>
          <w:sz w:val="28"/>
          <w:szCs w:val="28"/>
        </w:rPr>
        <w:t>dogmática constitucional, no es asimilable sin transformar la naturaleza misma del derecho.</w:t>
      </w:r>
    </w:p>
    <w:p w:rsidR="00E60A9E" w:rsidRPr="000C03D2" w:rsidRDefault="000C03D2" w:rsidP="006F5D86">
      <w:pPr>
        <w:jc w:val="both"/>
        <w:rPr>
          <w:rFonts w:ascii="Times New Roman" w:hAnsi="Times New Roman" w:cs="Times New Roman"/>
          <w:sz w:val="28"/>
          <w:szCs w:val="28"/>
        </w:rPr>
      </w:pPr>
    </w:p>
    <w:p w:rsidR="00565EDE" w:rsidRPr="000C03D2" w:rsidRDefault="000C03D2" w:rsidP="00CA7794">
      <w:pPr>
        <w:pStyle w:val="Prrafodelista"/>
        <w:numPr>
          <w:ilvl w:val="0"/>
          <w:numId w:val="8"/>
        </w:numPr>
        <w:rPr>
          <w:rFonts w:ascii="Times New Roman" w:hAnsi="Times New Roman" w:cs="Times New Roman"/>
          <w:b/>
          <w:bCs/>
          <w:i/>
          <w:iCs/>
          <w:szCs w:val="28"/>
        </w:rPr>
      </w:pPr>
      <w:r w:rsidRPr="000C03D2">
        <w:rPr>
          <w:rFonts w:ascii="Times New Roman" w:hAnsi="Times New Roman" w:cs="Times New Roman"/>
          <w:b/>
          <w:bCs/>
          <w:i/>
          <w:iCs/>
          <w:szCs w:val="28"/>
        </w:rPr>
        <w:t>La extensión del ámbito subjetivo del descanso remu</w:t>
      </w:r>
      <w:r w:rsidRPr="000C03D2">
        <w:rPr>
          <w:rFonts w:ascii="Times New Roman" w:hAnsi="Times New Roman" w:cs="Times New Roman"/>
          <w:b/>
          <w:bCs/>
          <w:i/>
          <w:iCs/>
          <w:szCs w:val="28"/>
        </w:rPr>
        <w:t>nerado tiene un alcance estrictamente laboral y no redefine la línea jurisprudencial sobre el régimen del aborto en Colombia</w:t>
      </w:r>
    </w:p>
    <w:p w:rsidR="00E60A9E" w:rsidRPr="000C03D2" w:rsidRDefault="000C03D2" w:rsidP="006F5D86">
      <w:pPr>
        <w:jc w:val="both"/>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 xml:space="preserve">Estimo necesario dejar consignado, finalmente, que la decisión adoptada por la Sala Plena tiene un alcance estrictamente laboral, en cuanto extiende a todas las personas con capacidad de gestar el descanso remunerado previsto en el artículo 237 del Código </w:t>
      </w:r>
      <w:r w:rsidRPr="000C03D2">
        <w:rPr>
          <w:rFonts w:ascii="Times New Roman" w:hAnsi="Times New Roman" w:cs="Times New Roman"/>
          <w:sz w:val="28"/>
          <w:szCs w:val="28"/>
        </w:rPr>
        <w:t xml:space="preserve">Sustantivo del Trabajo. La providencia no se ocupa, ni podía ocuparse en sede de control abstracto frente a la expresión </w:t>
      </w:r>
      <w:r w:rsidRPr="000C03D2">
        <w:rPr>
          <w:rFonts w:ascii="Times New Roman" w:hAnsi="Times New Roman" w:cs="Times New Roman"/>
          <w:i/>
          <w:iCs/>
          <w:sz w:val="28"/>
          <w:szCs w:val="28"/>
        </w:rPr>
        <w:t>“la trabajadora”</w:t>
      </w:r>
      <w:r w:rsidRPr="000C03D2">
        <w:rPr>
          <w:rFonts w:ascii="Times New Roman" w:hAnsi="Times New Roman" w:cs="Times New Roman"/>
          <w:sz w:val="28"/>
          <w:szCs w:val="28"/>
        </w:rPr>
        <w:t>, del régimen jurídico del aborto, del estatus jurídico del ser humano en gestación, ni del marco constitucional, penal</w:t>
      </w:r>
      <w:r w:rsidRPr="000C03D2">
        <w:rPr>
          <w:rFonts w:ascii="Times New Roman" w:hAnsi="Times New Roman" w:cs="Times New Roman"/>
          <w:sz w:val="28"/>
          <w:szCs w:val="28"/>
        </w:rPr>
        <w:t xml:space="preserve"> y de salud que regula la interrupción del embarazo en sus distintas modalidades.</w:t>
      </w:r>
    </w:p>
    <w:p w:rsidR="00E60A9E" w:rsidRPr="000C03D2" w:rsidRDefault="000C03D2" w:rsidP="006F5D86">
      <w:pPr>
        <w:jc w:val="both"/>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En esa medida, el contenido de la decisión no debe leerse como una redefinición de la línea jurisprudencial trazada por esta Corporación en las Sentencias C-355 de 2006 y C-</w:t>
      </w:r>
      <w:r w:rsidRPr="000C03D2">
        <w:rPr>
          <w:rFonts w:ascii="Times New Roman" w:hAnsi="Times New Roman" w:cs="Times New Roman"/>
          <w:sz w:val="28"/>
          <w:szCs w:val="28"/>
        </w:rPr>
        <w:t xml:space="preserve">055 de 2022, ni como una alteración del Decreto 2126 de 2023 que regula el reconocimiento y pago de las prestaciones económicas derivadas del proceso gestacional, incluidas las correspondientes a los supuestos cobijados por aquellas. La protección laboral </w:t>
      </w:r>
      <w:r w:rsidRPr="000C03D2">
        <w:rPr>
          <w:rFonts w:ascii="Times New Roman" w:hAnsi="Times New Roman" w:cs="Times New Roman"/>
          <w:sz w:val="28"/>
          <w:szCs w:val="28"/>
        </w:rPr>
        <w:t>que aquí se extiende, fundada en la salud, la dignidad y la igualdad de la persona gestante, opera con independencia del régimen aplicable a cada uno de los supuestos cubiertos por la disposición. Esta precisión preserva la coherencia del ordenamiento y ev</w:t>
      </w:r>
      <w:r w:rsidRPr="000C03D2">
        <w:rPr>
          <w:rFonts w:ascii="Times New Roman" w:hAnsi="Times New Roman" w:cs="Times New Roman"/>
          <w:sz w:val="28"/>
          <w:szCs w:val="28"/>
        </w:rPr>
        <w:t>ita lecturas que excedan el estricto ámbito laboral en el cual se inscribe el pronunciamiento.</w:t>
      </w:r>
    </w:p>
    <w:p w:rsidR="00725D26" w:rsidRPr="000C03D2" w:rsidRDefault="000C03D2" w:rsidP="006F5D86">
      <w:pPr>
        <w:jc w:val="both"/>
        <w:rPr>
          <w:rFonts w:ascii="Times New Roman" w:hAnsi="Times New Roman" w:cs="Times New Roman"/>
          <w:sz w:val="28"/>
          <w:szCs w:val="28"/>
        </w:rPr>
      </w:pPr>
    </w:p>
    <w:p w:rsidR="00D61225"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Las precedentes observaciones, lejos de disentir del propósito tuitivo que orienta la decisión, expresan la convicción de que la motivación de la providencia po</w:t>
      </w:r>
      <w:r w:rsidRPr="000C03D2">
        <w:rPr>
          <w:rFonts w:ascii="Times New Roman" w:hAnsi="Times New Roman" w:cs="Times New Roman"/>
          <w:sz w:val="28"/>
          <w:szCs w:val="28"/>
        </w:rPr>
        <w:t>día y debía haber alcanzado un mayor rigor metodológico, dogmático y argumentativo. El reconocimiento del descanso remunerado en caso de aborto a los hombres trans y a las personas no binarias con capacidad biológica de gestar, propósito constitucionalment</w:t>
      </w:r>
      <w:r w:rsidRPr="000C03D2">
        <w:rPr>
          <w:rFonts w:ascii="Times New Roman" w:hAnsi="Times New Roman" w:cs="Times New Roman"/>
          <w:sz w:val="28"/>
          <w:szCs w:val="28"/>
        </w:rPr>
        <w:t>e sustentado que comparto sin reservas, no se opone, sino que se fortalece, con una motivación técnicamente impecable que delimite con precisión el alcance del fallo, califique correctamente las figuras dogmáticas invocadas, se atenga estrictamente al carg</w:t>
      </w:r>
      <w:r w:rsidRPr="000C03D2">
        <w:rPr>
          <w:rFonts w:ascii="Times New Roman" w:hAnsi="Times New Roman" w:cs="Times New Roman"/>
          <w:sz w:val="28"/>
          <w:szCs w:val="28"/>
        </w:rPr>
        <w:t xml:space="preserve">o admitido y refleje los desarrollos sustantivos de los intervinientes. La presente aclaración, por su tono y extensión, podría leerse como una crítica próxima a la disidencia. </w:t>
      </w:r>
    </w:p>
    <w:p w:rsidR="00D61225" w:rsidRPr="000C03D2" w:rsidRDefault="000C03D2" w:rsidP="006F5D86">
      <w:pPr>
        <w:jc w:val="both"/>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En estos términos, dejo consignada mi aclaración de voto.</w:t>
      </w:r>
    </w:p>
    <w:p w:rsidR="00565EDE" w:rsidRPr="000C03D2" w:rsidRDefault="000C03D2" w:rsidP="006F5D86">
      <w:pPr>
        <w:rPr>
          <w:rFonts w:ascii="Times New Roman" w:hAnsi="Times New Roman" w:cs="Times New Roman"/>
          <w:sz w:val="28"/>
          <w:szCs w:val="28"/>
        </w:rPr>
      </w:pPr>
    </w:p>
    <w:p w:rsidR="00565EDE" w:rsidRPr="000C03D2" w:rsidRDefault="000C03D2" w:rsidP="006F5D86">
      <w:pPr>
        <w:jc w:val="both"/>
        <w:rPr>
          <w:rFonts w:ascii="Times New Roman" w:hAnsi="Times New Roman" w:cs="Times New Roman"/>
          <w:sz w:val="28"/>
          <w:szCs w:val="28"/>
        </w:rPr>
      </w:pPr>
      <w:r w:rsidRPr="000C03D2">
        <w:rPr>
          <w:rFonts w:ascii="Times New Roman" w:hAnsi="Times New Roman" w:cs="Times New Roman"/>
          <w:sz w:val="28"/>
          <w:szCs w:val="28"/>
        </w:rPr>
        <w:t xml:space="preserve">Fecha </w:t>
      </w:r>
      <w:r w:rsidRPr="000C03D2">
        <w:rPr>
          <w:rFonts w:ascii="Times New Roman" w:hAnsi="Times New Roman" w:cs="Times New Roman"/>
          <w:i/>
          <w:iCs/>
          <w:sz w:val="28"/>
          <w:szCs w:val="28"/>
        </w:rPr>
        <w:t>ut supra.</w:t>
      </w:r>
    </w:p>
    <w:p w:rsidR="00565EDE" w:rsidRPr="000C03D2" w:rsidRDefault="000C03D2" w:rsidP="006F5D86">
      <w:pPr>
        <w:rPr>
          <w:rFonts w:ascii="Times New Roman" w:hAnsi="Times New Roman" w:cs="Times New Roman"/>
          <w:sz w:val="28"/>
          <w:szCs w:val="28"/>
        </w:rPr>
      </w:pPr>
    </w:p>
    <w:p w:rsidR="00387670" w:rsidRPr="000C03D2" w:rsidRDefault="000C03D2" w:rsidP="006F5D86">
      <w:pPr>
        <w:jc w:val="center"/>
        <w:rPr>
          <w:rFonts w:ascii="Times New Roman" w:hAnsi="Times New Roman" w:cs="Times New Roman"/>
          <w:b/>
          <w:bCs/>
          <w:sz w:val="28"/>
          <w:szCs w:val="28"/>
        </w:rPr>
      </w:pPr>
    </w:p>
    <w:p w:rsidR="00565EDE" w:rsidRPr="000C03D2" w:rsidRDefault="000C03D2" w:rsidP="006F5D86">
      <w:pPr>
        <w:jc w:val="center"/>
        <w:rPr>
          <w:rFonts w:ascii="Times New Roman" w:hAnsi="Times New Roman" w:cs="Times New Roman"/>
          <w:b/>
          <w:bCs/>
          <w:sz w:val="28"/>
          <w:szCs w:val="28"/>
        </w:rPr>
      </w:pPr>
    </w:p>
    <w:p w:rsidR="004059E0" w:rsidRPr="000C03D2" w:rsidRDefault="000C03D2" w:rsidP="004059E0">
      <w:pPr>
        <w:jc w:val="center"/>
        <w:rPr>
          <w:rFonts w:ascii="Times New Roman" w:hAnsi="Times New Roman" w:cs="Times New Roman"/>
          <w:b/>
          <w:bCs/>
          <w:sz w:val="28"/>
          <w:szCs w:val="28"/>
        </w:rPr>
      </w:pPr>
      <w:r w:rsidRPr="000C03D2">
        <w:rPr>
          <w:rFonts w:ascii="Times New Roman" w:hAnsi="Times New Roman" w:cs="Times New Roman"/>
          <w:b/>
          <w:bCs/>
          <w:sz w:val="28"/>
          <w:szCs w:val="28"/>
        </w:rPr>
        <w:t xml:space="preserve">JORGE ENRIQUE IBÁÑEZ NAJAR </w:t>
      </w:r>
    </w:p>
    <w:p w:rsidR="004059E0" w:rsidRPr="000C03D2" w:rsidRDefault="000C03D2" w:rsidP="004059E0">
      <w:pPr>
        <w:jc w:val="center"/>
        <w:rPr>
          <w:rFonts w:ascii="Times New Roman" w:hAnsi="Times New Roman" w:cs="Times New Roman"/>
          <w:b/>
          <w:bCs/>
          <w:sz w:val="28"/>
          <w:szCs w:val="28"/>
        </w:rPr>
      </w:pPr>
      <w:r w:rsidRPr="000C03D2">
        <w:rPr>
          <w:rFonts w:ascii="Times New Roman" w:hAnsi="Times New Roman" w:cs="Times New Roman"/>
          <w:b/>
          <w:bCs/>
          <w:sz w:val="28"/>
          <w:szCs w:val="28"/>
        </w:rPr>
        <w:t>Magistrado</w:t>
      </w:r>
    </w:p>
    <w:sectPr w:rsidR="004059E0" w:rsidRPr="000C03D2">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C03D2">
      <w:pPr>
        <w:spacing w:after="0" w:line="240" w:lineRule="auto"/>
      </w:pPr>
      <w:r>
        <w:separator/>
      </w:r>
    </w:p>
  </w:endnote>
  <w:endnote w:type="continuationSeparator" w:id="0">
    <w:p w:rsidR="00000000" w:rsidRDefault="000C0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C03D2">
      <w:pPr>
        <w:spacing w:after="0" w:line="240" w:lineRule="auto"/>
      </w:pPr>
      <w:r>
        <w:separator/>
      </w:r>
    </w:p>
  </w:footnote>
  <w:footnote w:type="continuationSeparator" w:id="0">
    <w:p w:rsidR="00000000" w:rsidRDefault="000C03D2">
      <w:pPr>
        <w:spacing w:after="0" w:line="240" w:lineRule="auto"/>
      </w:pPr>
      <w:r>
        <w:continuationSeparator/>
      </w:r>
    </w:p>
  </w:footnote>
  <w:footnote w:id="1">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Disponible: </w:t>
      </w:r>
      <w:hyperlink r:id="rId1" w:history="1">
        <w:r w:rsidRPr="001B21F2">
          <w:rPr>
            <w:rStyle w:val="Hipervnculo"/>
            <w:rFonts w:cs="Times New Roman"/>
            <w:szCs w:val="20"/>
          </w:rPr>
          <w:t>https://www.corteconstitucional.gov.co/secretaria/archivo.php?id=108326</w:t>
        </w:r>
      </w:hyperlink>
      <w:r w:rsidRPr="001B21F2">
        <w:rPr>
          <w:rFonts w:cs="Times New Roman"/>
          <w:szCs w:val="20"/>
        </w:rPr>
        <w:t xml:space="preserve"> </w:t>
      </w:r>
    </w:p>
  </w:footnote>
  <w:footnote w:id="2">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Disponible: </w:t>
      </w:r>
      <w:hyperlink r:id="rId2" w:history="1">
        <w:r w:rsidRPr="001B21F2">
          <w:rPr>
            <w:rStyle w:val="Hipervnculo"/>
            <w:rFonts w:cs="Times New Roman"/>
            <w:szCs w:val="20"/>
          </w:rPr>
          <w:t>https://www.corteconstitucional.gov.co/secretaria/archivo.php?id=113397</w:t>
        </w:r>
      </w:hyperlink>
      <w:r w:rsidRPr="001B21F2">
        <w:rPr>
          <w:rFonts w:cs="Times New Roman"/>
          <w:szCs w:val="20"/>
        </w:rPr>
        <w:t xml:space="preserve"> </w:t>
      </w:r>
    </w:p>
  </w:footnote>
  <w:footnote w:id="3">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Disponible: </w:t>
      </w:r>
      <w:hyperlink r:id="rId3" w:history="1">
        <w:r w:rsidRPr="001B21F2">
          <w:rPr>
            <w:rStyle w:val="Hipervnculo"/>
            <w:rFonts w:cs="Times New Roman"/>
            <w:szCs w:val="20"/>
          </w:rPr>
          <w:t>https://www.corteconstitucional.gov.co/secretaria/archivo.php?id=114120</w:t>
        </w:r>
      </w:hyperlink>
      <w:r w:rsidRPr="001B21F2">
        <w:rPr>
          <w:rFonts w:cs="Times New Roman"/>
          <w:szCs w:val="20"/>
        </w:rPr>
        <w:t xml:space="preserve"> </w:t>
      </w:r>
    </w:p>
  </w:footnote>
  <w:footnote w:id="4">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En el auto de rechazo se especificó que “los demandantes alegaron la vulneración los derechos a la dignidad humana porque las personas no binarias y hombres transgénero no son </w:t>
      </w:r>
      <w:r w:rsidRPr="001B21F2">
        <w:rPr>
          <w:rFonts w:cs="Times New Roman"/>
          <w:szCs w:val="20"/>
        </w:rPr>
        <w:t xml:space="preserve">sujetos de una protección efectiva respecto a su autonomía individual, social, física y psicológica; y al libre desarrollo de la personalidad, porque comporta un impedimento de estas personas a aspiraciones legítimas de protección ante su escogencia libre </w:t>
      </w:r>
      <w:r w:rsidRPr="001B21F2">
        <w:rPr>
          <w:rFonts w:cs="Times New Roman"/>
          <w:szCs w:val="20"/>
        </w:rPr>
        <w:t>y autónoma de vida. Sin embargo, no explicaron razones para justificar la violación de los referidos derechos más allá de los argumentos generales previamente expuestos”.</w:t>
      </w:r>
    </w:p>
  </w:footnote>
  <w:footnote w:id="5">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En el auto de rechazo se advirtió que “no fueron subsanadas las falencias advertida</w:t>
      </w:r>
      <w:r w:rsidRPr="001B21F2">
        <w:rPr>
          <w:rFonts w:cs="Times New Roman"/>
          <w:szCs w:val="20"/>
        </w:rPr>
        <w:t>s en cuanto a la claridad, certeza, pertinencia, especificidad y suficiencia del segundo cargo en tanto los demandantes afirmaron que desistían de este, se rechazará la demanda sobre el particular”.</w:t>
      </w:r>
    </w:p>
  </w:footnote>
  <w:footnote w:id="6">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lang w:val="es-ES_tradnl"/>
        </w:rPr>
        <w:t xml:space="preserve">Disponible: </w:t>
      </w:r>
      <w:hyperlink r:id="rId4" w:history="1">
        <w:r w:rsidRPr="001B21F2">
          <w:rPr>
            <w:rStyle w:val="Hipervnculo"/>
            <w:rFonts w:cs="Times New Roman"/>
            <w:szCs w:val="20"/>
            <w:lang w:val="es-ES_tradnl"/>
          </w:rPr>
          <w:t>https://www.corteconstitucional.gov.co/secretaria/archivo.php?id=117099</w:t>
        </w:r>
      </w:hyperlink>
      <w:r w:rsidRPr="001B21F2">
        <w:rPr>
          <w:rFonts w:cs="Times New Roman"/>
          <w:szCs w:val="20"/>
          <w:lang w:val="es-ES_tradnl"/>
        </w:rPr>
        <w:t xml:space="preserve"> </w:t>
      </w:r>
    </w:p>
  </w:footnote>
  <w:footnote w:id="7">
    <w:p w:rsidR="00E43411" w:rsidRPr="001B21F2" w:rsidRDefault="000C03D2" w:rsidP="001B21F2">
      <w:pPr>
        <w:pStyle w:val="Textonotapie"/>
        <w:rPr>
          <w:rFonts w:cs="Times New Roman"/>
          <w:szCs w:val="20"/>
          <w:lang w:val="pt-BR"/>
        </w:rPr>
      </w:pPr>
      <w:r w:rsidRPr="001B21F2">
        <w:rPr>
          <w:rStyle w:val="Refdenotaalpie"/>
          <w:rFonts w:cs="Times New Roman"/>
          <w:szCs w:val="20"/>
        </w:rPr>
        <w:footnoteRef/>
      </w:r>
      <w:r w:rsidRPr="001B21F2">
        <w:rPr>
          <w:rFonts w:cs="Times New Roman"/>
          <w:szCs w:val="20"/>
          <w:lang w:val="pt-BR"/>
        </w:rPr>
        <w:t xml:space="preserve"> Demanda, p. 6. </w:t>
      </w:r>
    </w:p>
  </w:footnote>
  <w:footnote w:id="8">
    <w:p w:rsidR="00047439"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rPr>
        <w:t>Intervención recibida en virtud de la fijación en lista dispuesta en el artículo 7º del Decreto ley 2067 de 1991.</w:t>
      </w:r>
    </w:p>
  </w:footnote>
  <w:footnote w:id="9">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lang w:val="es-ES_tradnl"/>
        </w:rPr>
        <w:t>Fi</w:t>
      </w:r>
      <w:r w:rsidRPr="001B21F2">
        <w:rPr>
          <w:rFonts w:cs="Times New Roman"/>
          <w:szCs w:val="20"/>
          <w:lang w:val="es-ES_tradnl"/>
        </w:rPr>
        <w:t>rma el documento Adriana Lagos Mora</w:t>
      </w:r>
      <w:r w:rsidRPr="001B21F2">
        <w:rPr>
          <w:rFonts w:cs="Times New Roman"/>
          <w:szCs w:val="20"/>
          <w:lang w:val="es-ES_tradnl"/>
        </w:rPr>
        <w:t>,</w:t>
      </w:r>
      <w:r w:rsidRPr="001B21F2">
        <w:rPr>
          <w:rFonts w:cs="Times New Roman"/>
          <w:szCs w:val="20"/>
          <w:lang w:val="es-ES_tradnl"/>
        </w:rPr>
        <w:t xml:space="preserve"> decana de la Facultad de Ciencias Sociales y Humanas y Directora del Programa de Derecho de la Universidad CESMAG. Disponible: </w:t>
      </w:r>
      <w:hyperlink r:id="rId5" w:history="1">
        <w:r w:rsidRPr="001B21F2">
          <w:rPr>
            <w:rStyle w:val="Hipervnculo"/>
            <w:rFonts w:cs="Times New Roman"/>
            <w:szCs w:val="20"/>
            <w:lang w:val="es-ES_tradnl"/>
          </w:rPr>
          <w:t>https://www.corteconstitucional.gov.co/secretaria/archivo.php?id=119066</w:t>
        </w:r>
      </w:hyperlink>
      <w:r w:rsidRPr="001B21F2">
        <w:rPr>
          <w:rFonts w:cs="Times New Roman"/>
          <w:szCs w:val="20"/>
          <w:lang w:val="es-ES_tradnl"/>
        </w:rPr>
        <w:t xml:space="preserve"> </w:t>
      </w:r>
    </w:p>
  </w:footnote>
  <w:footnote w:id="10">
    <w:p w:rsidR="00DE0BF8"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rPr>
        <w:t xml:space="preserve">Conceptos recibidos en virtud de la invitación dispuesta en el numeral quinto del auto admisorio. </w:t>
      </w:r>
    </w:p>
  </w:footnote>
  <w:footnote w:id="11">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Firma el documento Carolina Jiménez Bellicia, coordinadora del Grupo Gerencia de Defensa Judicial del Departamento Administrativo de la Presidencia de la República y </w:t>
      </w:r>
      <w:r w:rsidRPr="001B21F2">
        <w:rPr>
          <w:rFonts w:cs="Times New Roman"/>
          <w:szCs w:val="20"/>
        </w:rPr>
        <w:t>Efraín</w:t>
      </w:r>
      <w:r w:rsidRPr="001B21F2">
        <w:rPr>
          <w:rFonts w:cs="Times New Roman"/>
          <w:szCs w:val="20"/>
        </w:rPr>
        <w:t xml:space="preserve"> Alberto Becerra Gómez, en calidad de</w:t>
      </w:r>
    </w:p>
    <w:p w:rsidR="00E43411" w:rsidRPr="001B21F2" w:rsidRDefault="000C03D2" w:rsidP="001B21F2">
      <w:pPr>
        <w:pStyle w:val="Textonotapie"/>
        <w:rPr>
          <w:rFonts w:cs="Times New Roman"/>
          <w:szCs w:val="20"/>
          <w:lang w:val="es-ES_tradnl"/>
        </w:rPr>
      </w:pPr>
      <w:r w:rsidRPr="001B21F2">
        <w:rPr>
          <w:rFonts w:cs="Times New Roman"/>
          <w:szCs w:val="20"/>
        </w:rPr>
        <w:t xml:space="preserve">jefe de la Oficina Jurídica. Disponible: </w:t>
      </w:r>
      <w:hyperlink r:id="rId6" w:history="1">
        <w:r w:rsidRPr="001B21F2">
          <w:rPr>
            <w:rStyle w:val="Hipervnculo"/>
            <w:rFonts w:cs="Times New Roman"/>
            <w:szCs w:val="20"/>
          </w:rPr>
          <w:t>https://www.corteconstitucional.gov.co/secretaria/archivo.php?id=119072</w:t>
        </w:r>
      </w:hyperlink>
      <w:r w:rsidRPr="001B21F2">
        <w:rPr>
          <w:rFonts w:cs="Times New Roman"/>
          <w:szCs w:val="20"/>
        </w:rPr>
        <w:t xml:space="preserve"> </w:t>
      </w:r>
    </w:p>
  </w:footnote>
  <w:footnote w:id="12">
    <w:p w:rsidR="00047439"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lang w:val="es-ES_tradnl"/>
        </w:rPr>
        <w:t>Firman el documento Marcela Sánchez Buitrago (Directora Ejecutiva), Beldys Hernández Albarracín (Coordinadora de Incidencia), Marcela Betancourt Lozano (Abogada Litigante) y Cristina Uribe Jaimes (Auxiliar Judicial), en calidad de integrantes de Colombia D</w:t>
      </w:r>
      <w:r w:rsidRPr="001B21F2">
        <w:rPr>
          <w:rFonts w:cs="Times New Roman"/>
          <w:szCs w:val="20"/>
          <w:lang w:val="es-ES_tradnl"/>
        </w:rPr>
        <w:t>iversa, organización no gubernamental dedicada a la defensa de los derechos de lesbianas, gays, bisexuales y personas trans en Colombia, junto con Federico Isaza Piedrahita (Director), Valeria Cabrera Bernal (Asesora Jurídica) y Mariana Torres Benavides (E</w:t>
      </w:r>
      <w:r w:rsidRPr="001B21F2">
        <w:rPr>
          <w:rFonts w:cs="Times New Roman"/>
          <w:szCs w:val="20"/>
          <w:lang w:val="es-ES_tradnl"/>
        </w:rPr>
        <w:t xml:space="preserve">studiante), integrantes del Programa de Acción por la Igualdad y la Inclusión Social – PAIIS del Consultorio Jurídico de la Facultad de Derecho de la Universidad de los Andes. Disponible: </w:t>
      </w:r>
      <w:hyperlink r:id="rId7" w:history="1">
        <w:r w:rsidRPr="001B21F2">
          <w:rPr>
            <w:rStyle w:val="Hipervnculo"/>
            <w:rFonts w:cs="Times New Roman"/>
            <w:szCs w:val="20"/>
            <w:lang w:val="es-ES_tradnl"/>
          </w:rPr>
          <w:t>https://www.corteconstitucional.gov.co/secretaria/archivo.php?id=119064</w:t>
        </w:r>
      </w:hyperlink>
      <w:r w:rsidRPr="001B21F2">
        <w:rPr>
          <w:rFonts w:cs="Times New Roman"/>
          <w:szCs w:val="20"/>
          <w:lang w:val="es-ES_tradnl"/>
        </w:rPr>
        <w:t xml:space="preserve"> </w:t>
      </w:r>
    </w:p>
  </w:footnote>
  <w:footnote w:id="13">
    <w:p w:rsidR="00047439" w:rsidRPr="001B21F2" w:rsidRDefault="000C03D2" w:rsidP="001B21F2">
      <w:pPr>
        <w:pStyle w:val="p1"/>
        <w:jc w:val="both"/>
        <w:rPr>
          <w:rFonts w:ascii="Times New Roman" w:eastAsia="Arial" w:hAnsi="Times New Roman"/>
          <w:kern w:val="2"/>
          <w:sz w:val="20"/>
          <w:szCs w:val="20"/>
          <w:lang w:val="es-ES_tradnl"/>
          <w14:ligatures w14:val="standardContextual"/>
        </w:rPr>
      </w:pPr>
      <w:r w:rsidRPr="001B21F2">
        <w:rPr>
          <w:rStyle w:val="Refdenotaalpie"/>
          <w:rFonts w:ascii="Times New Roman" w:hAnsi="Times New Roman"/>
          <w:sz w:val="20"/>
          <w:szCs w:val="20"/>
        </w:rPr>
        <w:footnoteRef/>
      </w:r>
      <w:r w:rsidRPr="001B21F2">
        <w:rPr>
          <w:rFonts w:ascii="Times New Roman" w:hAnsi="Times New Roman"/>
          <w:sz w:val="20"/>
          <w:szCs w:val="20"/>
        </w:rPr>
        <w:t xml:space="preserve"> </w:t>
      </w:r>
      <w:r w:rsidRPr="001B21F2">
        <w:rPr>
          <w:rFonts w:ascii="Times New Roman" w:eastAsia="Arial" w:hAnsi="Times New Roman"/>
          <w:kern w:val="2"/>
          <w:sz w:val="20"/>
          <w:szCs w:val="20"/>
          <w:lang w:val="es-ES_tradnl"/>
          <w14:ligatures w14:val="standardContextual"/>
        </w:rPr>
        <w:t xml:space="preserve">Firman el documento Daniela Rojas Molina, María Elvira Cabrera, Ana María Páez Méndez y Lila Josefina Arias Concha. Disponible: </w:t>
      </w:r>
      <w:hyperlink r:id="rId8" w:history="1">
        <w:r w:rsidRPr="001B21F2">
          <w:rPr>
            <w:rStyle w:val="Hipervnculo"/>
            <w:rFonts w:ascii="Times New Roman" w:eastAsia="Arial" w:hAnsi="Times New Roman"/>
            <w:kern w:val="2"/>
            <w:sz w:val="20"/>
            <w:szCs w:val="20"/>
            <w:lang w:val="es-ES_tradnl"/>
            <w14:ligatures w14:val="standardContextual"/>
          </w:rPr>
          <w:t>https://www.corteconstitucional.gov.co/secretaria/archivo.php?id=119065</w:t>
        </w:r>
      </w:hyperlink>
      <w:r w:rsidRPr="001B21F2">
        <w:rPr>
          <w:rFonts w:ascii="Times New Roman" w:eastAsia="Arial" w:hAnsi="Times New Roman"/>
          <w:kern w:val="2"/>
          <w:sz w:val="20"/>
          <w:szCs w:val="20"/>
          <w:lang w:val="es-ES_tradnl"/>
          <w14:ligatures w14:val="standardContextual"/>
        </w:rPr>
        <w:t xml:space="preserve"> </w:t>
      </w:r>
    </w:p>
  </w:footnote>
  <w:footnote w:id="14">
    <w:p w:rsidR="00047439"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Firma el documento Jorge Kenneth Burbano Villamarín, director del Observatorio de Intervención Ciudadana Constitucional de la </w:t>
      </w:r>
      <w:r w:rsidRPr="001B21F2">
        <w:rPr>
          <w:rFonts w:cs="Times New Roman"/>
          <w:szCs w:val="20"/>
        </w:rPr>
        <w:t>Facultad de Derecho de la Universidad Libre; Ignacio Perdomo Gómez, director del Observatorio del Trabajo y la Seguridad Social de la Universidad Libre; Kimberly Guzmán Gómez, docente de la Facultad de Derecho de la Universidad Libre de Bogotá y miembro de</w:t>
      </w:r>
      <w:r w:rsidRPr="001B21F2">
        <w:rPr>
          <w:rFonts w:cs="Times New Roman"/>
          <w:szCs w:val="20"/>
        </w:rPr>
        <w:t xml:space="preserve">l Observatorio; María José Morales Ochoa, Laura Valentina Cubillo y María Paula Valencia, estudiantes y miembros del semillero del Observatorio de Intervención Ciudadana Constitucional de la Universidad Libre. Disponible: </w:t>
      </w:r>
      <w:hyperlink r:id="rId9" w:history="1">
        <w:r w:rsidRPr="001B21F2">
          <w:rPr>
            <w:rStyle w:val="Hipervnculo"/>
            <w:rFonts w:cs="Times New Roman"/>
            <w:szCs w:val="20"/>
          </w:rPr>
          <w:t>https://www.corteconstitucional.gov.co/secretaria/archivo.php?id=119067</w:t>
        </w:r>
      </w:hyperlink>
      <w:r w:rsidRPr="001B21F2">
        <w:rPr>
          <w:rFonts w:cs="Times New Roman"/>
          <w:szCs w:val="20"/>
        </w:rPr>
        <w:t xml:space="preserve"> </w:t>
      </w:r>
    </w:p>
  </w:footnote>
  <w:footnote w:id="15">
    <w:p w:rsidR="00047439"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lang w:val="es-ES_tradnl"/>
        </w:rPr>
        <w:t xml:space="preserve">Firma el documento Laura Tami Leal, representante legal de la Secretaría Distrital de la Mujer. Disponible: </w:t>
      </w:r>
      <w:hyperlink r:id="rId10" w:history="1">
        <w:r w:rsidRPr="001B21F2">
          <w:rPr>
            <w:rStyle w:val="Hipervnculo"/>
            <w:rFonts w:cs="Times New Roman"/>
            <w:szCs w:val="20"/>
            <w:lang w:val="es-ES_tradnl"/>
          </w:rPr>
          <w:t>https://www.corteconstitucional.gov.co/secretaria/archivo.php?id=119073</w:t>
        </w:r>
      </w:hyperlink>
      <w:r w:rsidRPr="001B21F2">
        <w:rPr>
          <w:rFonts w:cs="Times New Roman"/>
          <w:szCs w:val="20"/>
          <w:lang w:val="es-ES_tradnl"/>
        </w:rPr>
        <w:t xml:space="preserve"> </w:t>
      </w:r>
    </w:p>
  </w:footnote>
  <w:footnote w:id="16">
    <w:p w:rsidR="00C33DD3" w:rsidRPr="001B21F2" w:rsidRDefault="000C03D2" w:rsidP="001B21F2">
      <w:pPr>
        <w:pStyle w:val="p1"/>
        <w:jc w:val="both"/>
        <w:rPr>
          <w:rFonts w:ascii="Times New Roman" w:hAnsi="Times New Roman"/>
          <w:sz w:val="20"/>
          <w:szCs w:val="20"/>
        </w:rPr>
      </w:pPr>
      <w:r w:rsidRPr="001B21F2">
        <w:rPr>
          <w:rStyle w:val="Refdenotaalpie"/>
          <w:rFonts w:ascii="Times New Roman" w:hAnsi="Times New Roman"/>
          <w:sz w:val="20"/>
          <w:szCs w:val="20"/>
        </w:rPr>
        <w:footnoteRef/>
      </w:r>
      <w:r w:rsidRPr="001B21F2">
        <w:rPr>
          <w:rFonts w:ascii="Times New Roman" w:hAnsi="Times New Roman"/>
          <w:sz w:val="20"/>
          <w:szCs w:val="20"/>
        </w:rPr>
        <w:t xml:space="preserve"> “Principios sobre la aplicación de la legislación internacional de derechos humanos en relación</w:t>
      </w:r>
      <w:r w:rsidRPr="001B21F2">
        <w:rPr>
          <w:rFonts w:ascii="Times New Roman" w:hAnsi="Times New Roman"/>
          <w:sz w:val="20"/>
          <w:szCs w:val="20"/>
        </w:rPr>
        <w:t xml:space="preserve"> con la orientación sexual y la identidad de género”.</w:t>
      </w:r>
      <w:r w:rsidRPr="001B21F2">
        <w:rPr>
          <w:rFonts w:ascii="Times New Roman" w:hAnsi="Times New Roman"/>
          <w:sz w:val="20"/>
          <w:szCs w:val="20"/>
        </w:rPr>
        <w:t xml:space="preserve"> En la Sentencia SU-067 de 2023 la Corte reiteró que “los Principios de Yogyakarta contienen importantes parámetros para establecer el ámbito de protección de la mujer trans en los escenarios laborales. </w:t>
      </w:r>
      <w:r w:rsidRPr="001B21F2">
        <w:rPr>
          <w:rFonts w:ascii="Times New Roman" w:hAnsi="Times New Roman"/>
          <w:sz w:val="20"/>
          <w:szCs w:val="20"/>
        </w:rPr>
        <w:t xml:space="preserve">La Corte ha reconocido la importancia de estos instrumentos de derecho blando a la hora de fijar el alcance de los derechos de las personas transgénero a la libertad de expresión, autonomía y dignidad humana, salud y personalidad jurídica, entre otros. En </w:t>
      </w:r>
      <w:r w:rsidRPr="001B21F2">
        <w:rPr>
          <w:rFonts w:ascii="Times New Roman" w:hAnsi="Times New Roman"/>
          <w:sz w:val="20"/>
          <w:szCs w:val="20"/>
        </w:rPr>
        <w:t>lo que atañe al derecho al trabajo, el Principio 12 dispone que toda persona tiene derecho al trabajo digno y productivo, a condiciones equitativas y satisfactorias de trabajo y a la protección contra el desempleo, sin discriminación por motivos de orienta</w:t>
      </w:r>
      <w:r w:rsidRPr="001B21F2">
        <w:rPr>
          <w:rFonts w:ascii="Times New Roman" w:hAnsi="Times New Roman"/>
          <w:sz w:val="20"/>
          <w:szCs w:val="20"/>
        </w:rPr>
        <w:t>ción sexual o identidad de género. En esa línea, se establece que todos los estados deberían: (i) adoptar todas las medidas necesarias para eliminar la discriminación por motivos de orientación sexual e identidad de género en el empleo público y privado, “</w:t>
      </w:r>
      <w:r w:rsidRPr="001B21F2">
        <w:rPr>
          <w:rFonts w:ascii="Times New Roman" w:hAnsi="Times New Roman"/>
          <w:sz w:val="20"/>
          <w:szCs w:val="20"/>
        </w:rPr>
        <w:t>(…) incluso en lo concerniente a capacitación profesional, contratación, promoción, despido, condiciones de trabajo y remuneración”; y (ii) eliminar tales discriminaciones“(…) a fin de garantizar iguales oportunidades de empleo y superación en todas las ár</w:t>
      </w:r>
      <w:r w:rsidRPr="001B21F2">
        <w:rPr>
          <w:rFonts w:ascii="Times New Roman" w:hAnsi="Times New Roman"/>
          <w:sz w:val="20"/>
          <w:szCs w:val="20"/>
        </w:rPr>
        <w:t>eas del servicio público, incluidos todos los niveles del servicio gubernamental y el empleo en funciones públicas, incluyendo el servicio en la policía y las fuerzas armadas, y proveerán programas apropiados de capacitación y sensibilización a fin de cont</w:t>
      </w:r>
      <w:r w:rsidRPr="001B21F2">
        <w:rPr>
          <w:rFonts w:ascii="Times New Roman" w:hAnsi="Times New Roman"/>
          <w:sz w:val="20"/>
          <w:szCs w:val="20"/>
        </w:rPr>
        <w:t>rarrestar las actitudes discriminatorias”. Nótense las referencias expresas a la capacitación profesional, a la promoción o superación del trabajador y la necesidad de implementar medidas tendientes a la sensibilización contra toda discriminación”.</w:t>
      </w:r>
    </w:p>
  </w:footnote>
  <w:footnote w:id="17">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lang w:val="es-ES_tradnl"/>
        </w:rPr>
        <w:t>Dispo</w:t>
      </w:r>
      <w:r w:rsidRPr="001B21F2">
        <w:rPr>
          <w:rFonts w:cs="Times New Roman"/>
          <w:szCs w:val="20"/>
          <w:lang w:val="es-ES_tradnl"/>
        </w:rPr>
        <w:t xml:space="preserve">nible: </w:t>
      </w:r>
      <w:hyperlink r:id="rId11" w:history="1">
        <w:r w:rsidRPr="001B21F2">
          <w:rPr>
            <w:rStyle w:val="Hipervnculo"/>
            <w:rFonts w:cs="Times New Roman"/>
            <w:szCs w:val="20"/>
            <w:lang w:val="es-ES_tradnl"/>
          </w:rPr>
          <w:t>https://www.corteconstitucional.gov.co/secretaria/archivo.php?id=121615</w:t>
        </w:r>
      </w:hyperlink>
      <w:r w:rsidRPr="001B21F2">
        <w:rPr>
          <w:rFonts w:cs="Times New Roman"/>
          <w:szCs w:val="20"/>
          <w:lang w:val="es-ES_tradnl"/>
        </w:rPr>
        <w:t xml:space="preserve"> </w:t>
      </w:r>
    </w:p>
  </w:footnote>
  <w:footnote w:id="18">
    <w:p w:rsidR="00855F78"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w:t>
      </w:r>
      <w:r w:rsidRPr="001B21F2">
        <w:rPr>
          <w:rFonts w:eastAsia="Times New Roman" w:cs="Times New Roman"/>
          <w:color w:val="000000" w:themeColor="text1"/>
          <w:szCs w:val="20"/>
          <w:lang w:eastAsia="es-ES_tradnl"/>
        </w:rPr>
        <w:t>Lo anterior, acogiendo la metodología utilizada en las sentencias C-324 de 2023 y</w:t>
      </w:r>
      <w:r w:rsidRPr="001B21F2">
        <w:rPr>
          <w:rFonts w:cs="Times New Roman"/>
          <w:color w:val="000000" w:themeColor="text1"/>
          <w:szCs w:val="20"/>
        </w:rPr>
        <w:t xml:space="preserve"> C-071 de 2025</w:t>
      </w:r>
      <w:r w:rsidRPr="001B21F2">
        <w:rPr>
          <w:rFonts w:eastAsia="Times New Roman" w:cs="Times New Roman"/>
          <w:color w:val="000000" w:themeColor="text1"/>
          <w:szCs w:val="20"/>
          <w:lang w:eastAsia="es-ES_tradnl"/>
        </w:rPr>
        <w:t>. </w:t>
      </w:r>
      <w:r w:rsidRPr="001B21F2">
        <w:rPr>
          <w:rFonts w:cs="Times New Roman"/>
          <w:szCs w:val="20"/>
        </w:rPr>
        <w:t xml:space="preserve">En la Sentencia </w:t>
      </w:r>
      <w:r w:rsidRPr="001B21F2">
        <w:rPr>
          <w:rFonts w:cs="Times New Roman"/>
          <w:color w:val="000000" w:themeColor="text1"/>
          <w:szCs w:val="20"/>
        </w:rPr>
        <w:t xml:space="preserve">C-071 de 2025 la Sala indicó que </w:t>
      </w:r>
      <w:r w:rsidRPr="001B21F2">
        <w:rPr>
          <w:rFonts w:cs="Times New Roman"/>
          <w:szCs w:val="20"/>
          <w:shd w:val="clear" w:color="auto" w:fill="FFFFFF"/>
        </w:rPr>
        <w:t>“en aquellos casos en los que se formulan de manera simultánea los cargos por omisión legislativa relativa y por vulneración del mandato de igualdad, la Corte debe emprender, primero, el exam</w:t>
      </w:r>
      <w:r w:rsidRPr="001B21F2">
        <w:rPr>
          <w:rFonts w:cs="Times New Roman"/>
          <w:szCs w:val="20"/>
          <w:shd w:val="clear" w:color="auto" w:fill="FFFFFF"/>
        </w:rPr>
        <w:t>en sobre la existencia de la omisión. Solo si este no prospera, podrá realizar un juicio ordinario de igualdad”.</w:t>
      </w:r>
      <w:r w:rsidRPr="001B21F2">
        <w:rPr>
          <w:rFonts w:cs="Times New Roman"/>
          <w:szCs w:val="20"/>
          <w:shd w:val="clear" w:color="auto" w:fill="FFFFFF"/>
        </w:rPr>
        <w:t xml:space="preserve"> </w:t>
      </w:r>
    </w:p>
  </w:footnote>
  <w:footnote w:id="19">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w:t>
      </w:r>
      <w:r w:rsidRPr="001B21F2">
        <w:rPr>
          <w:rFonts w:cs="Times New Roman"/>
          <w:szCs w:val="20"/>
          <w:lang w:val="es-MX"/>
        </w:rPr>
        <w:t>Esta sección se basa en las consideraciones de la Sentencia C-071 de 2025.</w:t>
      </w:r>
    </w:p>
  </w:footnote>
  <w:footnote w:id="20">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Sentencias </w:t>
      </w:r>
      <w:r w:rsidRPr="001B21F2">
        <w:rPr>
          <w:rFonts w:cs="Times New Roman"/>
          <w:szCs w:val="20"/>
        </w:rPr>
        <w:t xml:space="preserve">C-543 de 1996, C-767 de 2014, </w:t>
      </w:r>
      <w:r w:rsidRPr="001B21F2">
        <w:rPr>
          <w:rFonts w:cs="Times New Roman"/>
          <w:szCs w:val="20"/>
        </w:rPr>
        <w:t xml:space="preserve">C-122 de 2020 y C-324 de 2023. </w:t>
      </w:r>
    </w:p>
  </w:footnote>
  <w:footnote w:id="21">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 C-041 de 2002. </w:t>
      </w:r>
    </w:p>
  </w:footnote>
  <w:footnote w:id="22">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shd w:val="clear" w:color="auto" w:fill="FFFFFF"/>
        </w:rPr>
        <w:t xml:space="preserve">Sentencias C-543 de 1996, C-073 de 1996, C-540 de 1997, C-041 de 2002 y C-122 de 2020. </w:t>
      </w:r>
    </w:p>
  </w:footnote>
  <w:footnote w:id="23">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Sentencias C-543 de 1996, C-767 de 201</w:t>
      </w:r>
      <w:r w:rsidRPr="001B21F2">
        <w:rPr>
          <w:rFonts w:cs="Times New Roman"/>
          <w:szCs w:val="20"/>
        </w:rPr>
        <w:t xml:space="preserve">4, C-122 de 2020, y C-156 de 2022. </w:t>
      </w:r>
    </w:p>
  </w:footnote>
  <w:footnote w:id="24">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 C-189 de 2021. </w:t>
      </w:r>
    </w:p>
  </w:footnote>
  <w:footnote w:id="25">
    <w:p w:rsidR="00DE4DD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 C-428 de 2025. </w:t>
      </w:r>
    </w:p>
  </w:footnote>
  <w:footnote w:id="26">
    <w:p w:rsidR="00EF28D8"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w:t>
      </w:r>
      <w:r w:rsidRPr="001B21F2">
        <w:rPr>
          <w:rFonts w:cs="Times New Roman"/>
          <w:color w:val="000000" w:themeColor="text1"/>
          <w:szCs w:val="20"/>
        </w:rPr>
        <w:t>Sentencia C-600 de 2011.</w:t>
      </w:r>
    </w:p>
  </w:footnote>
  <w:footnote w:id="27">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 C-352 de 2017. </w:t>
      </w:r>
    </w:p>
  </w:footnote>
  <w:footnote w:id="28">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 C-083 de 2018. </w:t>
      </w:r>
    </w:p>
  </w:footnote>
  <w:footnote w:id="29">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Sentencias C-555 de 1994 y C-075 de 2021. </w:t>
      </w:r>
    </w:p>
  </w:footnote>
  <w:footnote w:id="30">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 C-075 de 2021.</w:t>
      </w:r>
    </w:p>
  </w:footnote>
  <w:footnote w:id="31">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Sentencias C-029 de 2009 y C-083 de 2018. </w:t>
      </w:r>
    </w:p>
  </w:footnote>
  <w:footnote w:id="32">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 C-083 de 2018. </w:t>
      </w:r>
    </w:p>
  </w:footnote>
  <w:footnote w:id="33">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En las </w:t>
      </w:r>
      <w:r w:rsidRPr="001B21F2">
        <w:rPr>
          <w:rFonts w:cs="Times New Roman"/>
          <w:szCs w:val="20"/>
          <w:lang w:val="es-MX"/>
        </w:rPr>
        <w:t>sentencias C-110 de 2018, C-122 de 2020 y</w:t>
      </w:r>
      <w:r w:rsidRPr="001B21F2">
        <w:rPr>
          <w:rFonts w:cs="Times New Roman"/>
          <w:szCs w:val="20"/>
        </w:rPr>
        <w:t xml:space="preserve"> </w:t>
      </w:r>
      <w:r w:rsidRPr="001B21F2">
        <w:rPr>
          <w:rFonts w:cs="Times New Roman"/>
          <w:szCs w:val="20"/>
          <w:lang w:val="es-MX"/>
        </w:rPr>
        <w:t xml:space="preserve">C-075 de 2021, la Corte reiteró que </w:t>
      </w:r>
      <w:r w:rsidRPr="001B21F2">
        <w:rPr>
          <w:rFonts w:cs="Times New Roman"/>
          <w:iCs/>
          <w:szCs w:val="20"/>
        </w:rPr>
        <w:t>esta atribución se sustenta en la función de la Corte Constitucional de salvaguardar la integridad del ordenamiento superior.</w:t>
      </w:r>
    </w:p>
  </w:footnote>
  <w:footnote w:id="34">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Capítulo constr</w:t>
      </w:r>
      <w:r w:rsidRPr="001B21F2">
        <w:rPr>
          <w:rFonts w:cs="Times New Roman"/>
          <w:szCs w:val="20"/>
        </w:rPr>
        <w:t xml:space="preserve">uido parcialmente a partir de las consideraciones expuestas en las sentencias </w:t>
      </w:r>
      <w:r w:rsidRPr="001B21F2">
        <w:rPr>
          <w:rFonts w:cs="Times New Roman"/>
          <w:szCs w:val="20"/>
          <w:lang w:val="es-MX"/>
        </w:rPr>
        <w:t xml:space="preserve">Sentencia C-071 de 2025, </w:t>
      </w:r>
      <w:r w:rsidRPr="001B21F2">
        <w:rPr>
          <w:rFonts w:cs="Times New Roman"/>
          <w:szCs w:val="20"/>
        </w:rPr>
        <w:t xml:space="preserve">C-324 de 2023, T-236 de 2023 y T-437 de 2021. </w:t>
      </w:r>
    </w:p>
  </w:footnote>
  <w:footnote w:id="35">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sentencias T-143 de 2018, T-443 de 2020, SU-440 de 2021, T-033 de 2022, C-408 de 2</w:t>
      </w:r>
      <w:r w:rsidRPr="001B21F2">
        <w:rPr>
          <w:rFonts w:cs="Times New Roman"/>
          <w:szCs w:val="20"/>
        </w:rPr>
        <w:t xml:space="preserve">023 y T-236 de 2023. </w:t>
      </w:r>
    </w:p>
  </w:footnote>
  <w:footnote w:id="36">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lang w:val="es-ES_tradnl"/>
        </w:rPr>
        <w:t xml:space="preserve">Corte Constitucional, Sentencia C-408 de 2023. </w:t>
      </w:r>
    </w:p>
  </w:footnote>
  <w:footnote w:id="37">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Desde el año 2015, en la Sentencia T-063, la Corte definió, con base en los </w:t>
      </w:r>
      <w:r w:rsidRPr="001B21F2">
        <w:rPr>
          <w:rFonts w:cs="Times New Roman"/>
          <w:bCs/>
          <w:color w:val="000000" w:themeColor="text1"/>
          <w:szCs w:val="20"/>
        </w:rPr>
        <w:t>Principios de Yogyakarta, el derecho a la identidad de género como aquella que “se refiere a la vivencia interna e individual del género tal como cada persona la siente profundamente, la cual podría corresponder o no con el sexo asignado al momento del nac</w:t>
      </w:r>
      <w:r w:rsidRPr="001B21F2">
        <w:rPr>
          <w:rFonts w:cs="Times New Roman"/>
          <w:bCs/>
          <w:color w:val="000000" w:themeColor="text1"/>
          <w:szCs w:val="20"/>
        </w:rPr>
        <w:t>imiento (pene, vagina, masculino, femenino), incluyendo la vivencia personal del cuerpo (que podría involucrar la modificación de la apariencia o la función corporal a través de procedimientos médicos, quirúrgicos o de otra índole, siempre que la misma sea</w:t>
      </w:r>
      <w:r w:rsidRPr="001B21F2">
        <w:rPr>
          <w:rFonts w:cs="Times New Roman"/>
          <w:bCs/>
          <w:color w:val="000000" w:themeColor="text1"/>
          <w:szCs w:val="20"/>
        </w:rPr>
        <w:t xml:space="preserve"> libremente escogida. Estas modificaciones son conocidas como ‘tránsitos’) y otras expresiones de género, incluyendo la vestimenta, el modo de hablar, los modales, y, en general, diversas formas de externalizar la identidad”. </w:t>
      </w:r>
      <w:r w:rsidRPr="001B21F2">
        <w:rPr>
          <w:rFonts w:cs="Times New Roman"/>
          <w:color w:val="000000" w:themeColor="text1"/>
          <w:szCs w:val="20"/>
        </w:rPr>
        <w:t>La Corte Constitucional ha ado</w:t>
      </w:r>
      <w:r w:rsidRPr="001B21F2">
        <w:rPr>
          <w:rFonts w:cs="Times New Roman"/>
          <w:color w:val="000000" w:themeColor="text1"/>
          <w:szCs w:val="20"/>
        </w:rPr>
        <w:t>ptado esta definición de la identidad de género en</w:t>
      </w:r>
      <w:r w:rsidRPr="001B21F2">
        <w:rPr>
          <w:rFonts w:cs="Times New Roman"/>
          <w:color w:val="000000" w:themeColor="text1"/>
          <w:szCs w:val="20"/>
        </w:rPr>
        <w:t>,</w:t>
      </w:r>
      <w:r w:rsidRPr="001B21F2">
        <w:rPr>
          <w:rFonts w:cs="Times New Roman"/>
          <w:color w:val="000000" w:themeColor="text1"/>
          <w:szCs w:val="20"/>
        </w:rPr>
        <w:t xml:space="preserve"> entre otras, las siguientes decisiones: T-804 de 2014, T-099 de 2015, T-077 de 2016 y T-363 de 2016, C-114 de 2017.</w:t>
      </w:r>
    </w:p>
  </w:footnote>
  <w:footnote w:id="38">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w:t>
      </w:r>
      <w:r w:rsidRPr="001B21F2">
        <w:rPr>
          <w:rFonts w:cs="Times New Roman"/>
          <w:szCs w:val="20"/>
          <w:shd w:val="clear" w:color="auto" w:fill="FFFFFF"/>
        </w:rPr>
        <w:t>La Corte Constitucional ha precisado que en el derecho a la identidad de género concurren los siguientes contenidos: (a) proscribir toda intervención en la autonomía del sujeto en la definición de la identidad y orientación sexual; (b) proteger a las perso</w:t>
      </w:r>
      <w:r w:rsidRPr="001B21F2">
        <w:rPr>
          <w:rFonts w:cs="Times New Roman"/>
          <w:szCs w:val="20"/>
          <w:shd w:val="clear" w:color="auto" w:fill="FFFFFF"/>
        </w:rPr>
        <w:t>nas, particularmente aquellas que pertenecen a minorías de identidad u orientación sexual, de tratamientos discriminatorios injustificados; (c) prohibir toda forma de sanción o restricción que pretenda cuestionar o direccionar la opción de identidad u orie</w:t>
      </w:r>
      <w:r w:rsidRPr="001B21F2">
        <w:rPr>
          <w:rFonts w:cs="Times New Roman"/>
          <w:szCs w:val="20"/>
          <w:shd w:val="clear" w:color="auto" w:fill="FFFFFF"/>
        </w:rPr>
        <w:t xml:space="preserve">ntación sexual del sujeto. Corte Constitucional, Sentencia T-565 de 2013. </w:t>
      </w:r>
    </w:p>
  </w:footnote>
  <w:footnote w:id="39">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Ibidem. </w:t>
      </w:r>
    </w:p>
  </w:footnote>
  <w:footnote w:id="40">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shd w:val="clear" w:color="auto" w:fill="FFFFFF"/>
        </w:rPr>
        <w:t xml:space="preserve"> Corte IDH, Opinión Consultiva OC-24/17, Identidad de género, e igualdad y no discriminación a parejas del mismo sexo, 24 de noviembre de 2017, párr. 98.</w:t>
      </w:r>
    </w:p>
  </w:footnote>
  <w:footnote w:id="41">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w:t>
      </w:r>
      <w:r w:rsidRPr="001B21F2">
        <w:rPr>
          <w:rFonts w:cs="Times New Roman"/>
          <w:szCs w:val="20"/>
        </w:rPr>
        <w:t>ucional, Sentencias T-977 de 2012, T-063 de 2015</w:t>
      </w:r>
      <w:r w:rsidRPr="001B21F2">
        <w:rPr>
          <w:rFonts w:cs="Times New Roman"/>
          <w:szCs w:val="20"/>
        </w:rPr>
        <w:t xml:space="preserve"> </w:t>
      </w:r>
      <w:r w:rsidRPr="001B21F2">
        <w:rPr>
          <w:rFonts w:cs="Times New Roman"/>
          <w:szCs w:val="20"/>
        </w:rPr>
        <w:t xml:space="preserve">y T-447 de 2019. </w:t>
      </w:r>
    </w:p>
  </w:footnote>
  <w:footnote w:id="42">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 T-594 de 1993. </w:t>
      </w:r>
    </w:p>
  </w:footnote>
  <w:footnote w:id="43">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Sentencias SU-337 de 1999, T-063 de 2015</w:t>
      </w:r>
      <w:r w:rsidRPr="001B21F2">
        <w:rPr>
          <w:rFonts w:cs="Times New Roman"/>
          <w:szCs w:val="20"/>
        </w:rPr>
        <w:t xml:space="preserve"> </w:t>
      </w:r>
      <w:r w:rsidRPr="001B21F2">
        <w:rPr>
          <w:rFonts w:cs="Times New Roman"/>
          <w:szCs w:val="20"/>
        </w:rPr>
        <w:t xml:space="preserve">y T-447 de 2019. </w:t>
      </w:r>
    </w:p>
  </w:footnote>
  <w:footnote w:id="44">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Sentencias C-387 de 2014</w:t>
      </w:r>
      <w:r w:rsidRPr="001B21F2">
        <w:rPr>
          <w:rFonts w:cs="Times New Roman"/>
          <w:szCs w:val="20"/>
        </w:rPr>
        <w:t xml:space="preserve"> </w:t>
      </w:r>
      <w:r w:rsidRPr="001B21F2">
        <w:rPr>
          <w:rFonts w:cs="Times New Roman"/>
          <w:szCs w:val="20"/>
        </w:rPr>
        <w:t>y</w:t>
      </w:r>
      <w:r w:rsidRPr="001B21F2">
        <w:rPr>
          <w:rFonts w:cs="Times New Roman"/>
          <w:szCs w:val="20"/>
        </w:rPr>
        <w:t xml:space="preserve"> </w:t>
      </w:r>
      <w:r w:rsidRPr="001B21F2">
        <w:rPr>
          <w:rFonts w:cs="Times New Roman"/>
          <w:szCs w:val="20"/>
        </w:rPr>
        <w:t>C-141</w:t>
      </w:r>
      <w:r w:rsidRPr="001B21F2">
        <w:rPr>
          <w:rFonts w:cs="Times New Roman"/>
          <w:szCs w:val="20"/>
        </w:rPr>
        <w:t xml:space="preserve"> de 2018. </w:t>
      </w:r>
    </w:p>
  </w:footnote>
  <w:footnote w:id="45">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ONU, Experto Independiente sobre la protección contra la violencia y la discriminación por motivos de orientación sexual o identidad de género de la ONU. El derecho de la inclusión. Informe temático del año 2021, A/HRC/47/27, 3 de junio de 202</w:t>
      </w:r>
      <w:r w:rsidRPr="001B21F2">
        <w:rPr>
          <w:rFonts w:cs="Times New Roman"/>
          <w:szCs w:val="20"/>
        </w:rPr>
        <w:t xml:space="preserve">1, párr. 15. Disponible en: </w:t>
      </w:r>
      <w:hyperlink r:id="rId12" w:history="1">
        <w:r w:rsidRPr="001B21F2">
          <w:rPr>
            <w:rStyle w:val="Hipervnculo"/>
            <w:rFonts w:cs="Times New Roman"/>
            <w:szCs w:val="20"/>
          </w:rPr>
          <w:t>https://undocs.org/es/A/HRC/47/27</w:t>
        </w:r>
      </w:hyperlink>
      <w:r w:rsidRPr="001B21F2">
        <w:rPr>
          <w:rFonts w:cs="Times New Roman"/>
          <w:szCs w:val="20"/>
        </w:rPr>
        <w:t>.</w:t>
      </w:r>
    </w:p>
  </w:footnote>
  <w:footnote w:id="46">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Sentencias T-435 de 2002, M.P. Rodrigo Escobar Gil y T-099 de 2015, M.P. Gloria Stella Ortiz Delgado. Ver también Corte IDH, Opinión Consultiva OC-24/17, Identidad de género, e igualdad y no discriminación a parejas del mismo sexo, 2</w:t>
      </w:r>
      <w:r w:rsidRPr="001B21F2">
        <w:rPr>
          <w:rFonts w:cs="Times New Roman"/>
          <w:szCs w:val="20"/>
        </w:rPr>
        <w:t xml:space="preserve">4 de noviembre de 2017; Corte IDH, Caso </w:t>
      </w:r>
      <w:r w:rsidRPr="001B21F2">
        <w:rPr>
          <w:rFonts w:cs="Times New Roman"/>
          <w:iCs/>
          <w:szCs w:val="20"/>
        </w:rPr>
        <w:t>Atala Riffo y niñas Vs. Chile</w:t>
      </w:r>
      <w:r w:rsidRPr="001B21F2">
        <w:rPr>
          <w:rFonts w:cs="Times New Roman"/>
          <w:szCs w:val="20"/>
        </w:rPr>
        <w:t>, sentencia de 24 de febrero de 2012, párr. 136; CIDH. Violencia contra Personas Lesbianas, Gay, Bisexuales, Trans e Intersex en América, 12 de noviembre de 2015, párr. 51; Derechos Human</w:t>
      </w:r>
      <w:r w:rsidRPr="001B21F2">
        <w:rPr>
          <w:rFonts w:cs="Times New Roman"/>
          <w:szCs w:val="20"/>
        </w:rPr>
        <w:t>os e Identidad de Género, issue paper, Thomas Hammarberg, Comisario de Derechos Humanos del Consejo de Europa. Disponible en: </w:t>
      </w:r>
      <w:hyperlink r:id="rId13" w:history="1">
        <w:r w:rsidRPr="001B21F2">
          <w:rPr>
            <w:rStyle w:val="Hipervnculo"/>
            <w:rFonts w:cs="Times New Roman"/>
            <w:szCs w:val="20"/>
          </w:rPr>
          <w:t>https://rm.co</w:t>
        </w:r>
        <w:r w:rsidRPr="001B21F2">
          <w:rPr>
            <w:rStyle w:val="Hipervnculo"/>
            <w:rFonts w:cs="Times New Roman"/>
            <w:szCs w:val="20"/>
          </w:rPr>
          <w:t>e.int/derechos-humanos-e-identidad-de-genero-issue-paper-de-thomas-hammarber/16806da528</w:t>
        </w:r>
      </w:hyperlink>
      <w:r w:rsidRPr="001B21F2">
        <w:rPr>
          <w:rStyle w:val="Hipervnculo"/>
          <w:rFonts w:cs="Times New Roman"/>
          <w:szCs w:val="20"/>
        </w:rPr>
        <w:t>.</w:t>
      </w:r>
    </w:p>
  </w:footnote>
  <w:footnote w:id="47">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 T-447 de 2019. </w:t>
      </w:r>
    </w:p>
  </w:footnote>
  <w:footnote w:id="48">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 T-062 de 2011. </w:t>
      </w:r>
    </w:p>
  </w:footnote>
  <w:footnote w:id="49">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 T-447 de 2019</w:t>
      </w:r>
      <w:r w:rsidRPr="001B21F2">
        <w:rPr>
          <w:rFonts w:cs="Times New Roman"/>
          <w:szCs w:val="20"/>
          <w:lang w:val="es-MX"/>
        </w:rPr>
        <w:t xml:space="preserve">. </w:t>
      </w:r>
    </w:p>
  </w:footnote>
  <w:footnote w:id="50">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w:t>
      </w:r>
      <w:r w:rsidRPr="001B21F2">
        <w:rPr>
          <w:rFonts w:cs="Times New Roman"/>
          <w:szCs w:val="20"/>
        </w:rPr>
        <w:t xml:space="preserve">ional, Sentencias T-565 de 2013 y T-804 de 2014. </w:t>
      </w:r>
    </w:p>
  </w:footnote>
  <w:footnote w:id="51">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Sentencias </w:t>
      </w:r>
      <w:r w:rsidRPr="001B21F2">
        <w:rPr>
          <w:rFonts w:cs="Times New Roman"/>
          <w:szCs w:val="20"/>
        </w:rPr>
        <w:t>T-363 de 2016</w:t>
      </w:r>
      <w:r w:rsidRPr="001B21F2">
        <w:rPr>
          <w:rFonts w:cs="Times New Roman"/>
          <w:szCs w:val="20"/>
        </w:rPr>
        <w:t xml:space="preserve"> </w:t>
      </w:r>
      <w:r w:rsidRPr="001B21F2">
        <w:rPr>
          <w:rFonts w:cs="Times New Roman"/>
          <w:szCs w:val="20"/>
        </w:rPr>
        <w:t xml:space="preserve">y T-030 de 2017. </w:t>
      </w:r>
    </w:p>
  </w:footnote>
  <w:footnote w:id="52">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w:t>
      </w:r>
      <w:r w:rsidRPr="001B21F2">
        <w:rPr>
          <w:rFonts w:cs="Times New Roman"/>
          <w:szCs w:val="20"/>
        </w:rPr>
        <w:t xml:space="preserve"> </w:t>
      </w:r>
      <w:r w:rsidRPr="001B21F2">
        <w:rPr>
          <w:rFonts w:cs="Times New Roman"/>
          <w:szCs w:val="20"/>
        </w:rPr>
        <w:t>Sentencias C-356 de 2019</w:t>
      </w:r>
      <w:r w:rsidRPr="001B21F2">
        <w:rPr>
          <w:rFonts w:cs="Times New Roman"/>
          <w:szCs w:val="20"/>
        </w:rPr>
        <w:t xml:space="preserve"> </w:t>
      </w:r>
      <w:r w:rsidRPr="001B21F2">
        <w:rPr>
          <w:rFonts w:cs="Times New Roman"/>
          <w:szCs w:val="20"/>
        </w:rPr>
        <w:t xml:space="preserve">y T-443 de 2020. </w:t>
      </w:r>
    </w:p>
  </w:footnote>
  <w:footnote w:id="53">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w:t>
      </w:r>
      <w:r w:rsidRPr="001B21F2">
        <w:rPr>
          <w:rFonts w:cs="Times New Roman"/>
          <w:szCs w:val="20"/>
          <w:shd w:val="clear" w:color="auto" w:fill="FFFFFF"/>
        </w:rPr>
        <w:t>Principios de Yogyakarta. Principios sobre la aplicación de la legisla</w:t>
      </w:r>
      <w:r w:rsidRPr="001B21F2">
        <w:rPr>
          <w:rFonts w:cs="Times New Roman"/>
          <w:szCs w:val="20"/>
          <w:shd w:val="clear" w:color="auto" w:fill="FFFFFF"/>
        </w:rPr>
        <w:t>ción internacional de derechos humanos en relación con la orientación sexual y la identidad de género. Preámbulo. 2007.</w:t>
      </w:r>
    </w:p>
  </w:footnote>
  <w:footnote w:id="54">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w:t>
      </w:r>
      <w:r w:rsidRPr="001B21F2">
        <w:rPr>
          <w:rFonts w:cs="Times New Roman"/>
          <w:szCs w:val="20"/>
          <w:shd w:val="clear" w:color="auto" w:fill="FFFFFF"/>
        </w:rPr>
        <w:t>CIDH. Informe sobre Personas Trans y de Género Diverso y sus derechos económicos, sociales, culturales y ambientales, de 7 de agosto d</w:t>
      </w:r>
      <w:r w:rsidRPr="001B21F2">
        <w:rPr>
          <w:rFonts w:cs="Times New Roman"/>
          <w:szCs w:val="20"/>
          <w:shd w:val="clear" w:color="auto" w:fill="FFFFFF"/>
        </w:rPr>
        <w:t>e 2020, párr. 59.</w:t>
      </w:r>
    </w:p>
  </w:footnote>
  <w:footnote w:id="55">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Sentencias T-447 de 2019 y C-356 de 2019. </w:t>
      </w:r>
    </w:p>
  </w:footnote>
  <w:footnote w:id="56">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 T-099 de 2015. </w:t>
      </w:r>
    </w:p>
  </w:footnote>
  <w:footnote w:id="57">
    <w:p w:rsidR="00E43411" w:rsidRPr="001B21F2" w:rsidRDefault="000C03D2" w:rsidP="001B21F2">
      <w:pPr>
        <w:pStyle w:val="Textonotapie"/>
        <w:tabs>
          <w:tab w:val="left" w:pos="4404"/>
        </w:tabs>
        <w:rPr>
          <w:rFonts w:cs="Times New Roman"/>
          <w:szCs w:val="20"/>
        </w:rPr>
      </w:pPr>
      <w:r w:rsidRPr="001B21F2">
        <w:rPr>
          <w:rFonts w:cs="Times New Roman"/>
          <w:szCs w:val="20"/>
          <w:vertAlign w:val="superscript"/>
        </w:rPr>
        <w:footnoteRef/>
      </w:r>
      <w:r w:rsidRPr="001B21F2">
        <w:rPr>
          <w:rFonts w:cs="Times New Roman"/>
          <w:szCs w:val="20"/>
          <w:lang w:val="es-MX"/>
        </w:rPr>
        <w:t xml:space="preserve"> </w:t>
      </w:r>
      <w:r w:rsidRPr="001B21F2">
        <w:rPr>
          <w:rFonts w:cs="Times New Roman"/>
          <w:szCs w:val="20"/>
        </w:rPr>
        <w:t xml:space="preserve">Corte Constitucional, </w:t>
      </w:r>
      <w:r w:rsidRPr="001B21F2">
        <w:rPr>
          <w:rFonts w:cs="Times New Roman"/>
          <w:szCs w:val="20"/>
          <w:lang w:val="es-MX"/>
        </w:rPr>
        <w:t xml:space="preserve">Sentencia T-063 de 2015. </w:t>
      </w:r>
    </w:p>
  </w:footnote>
  <w:footnote w:id="58">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 xml:space="preserve">Sentencia T-033 de 2022. </w:t>
      </w:r>
    </w:p>
  </w:footnote>
  <w:footnote w:id="59">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 T-363 de 2016. </w:t>
      </w:r>
    </w:p>
  </w:footnote>
  <w:footnote w:id="60">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CIDH. Informe sobre Personas Trans y de Género Diverso y sus derechos económicos, sociales, culturales y ambientales, 7 de agosto de 2020, párr. 236.</w:t>
      </w:r>
    </w:p>
  </w:footnote>
  <w:footnote w:id="61">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Sentencias T-141 de 2015 y T-14</w:t>
      </w:r>
      <w:r w:rsidRPr="001B21F2">
        <w:rPr>
          <w:rFonts w:cs="Times New Roman"/>
          <w:szCs w:val="20"/>
        </w:rPr>
        <w:t xml:space="preserve">3 de 2018. </w:t>
      </w:r>
    </w:p>
  </w:footnote>
  <w:footnote w:id="62">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rPr>
        <w:t>s</w:t>
      </w:r>
      <w:r w:rsidRPr="001B21F2">
        <w:rPr>
          <w:rFonts w:cs="Times New Roman"/>
          <w:szCs w:val="20"/>
        </w:rPr>
        <w:t>entencia</w:t>
      </w:r>
      <w:r w:rsidRPr="001B21F2">
        <w:rPr>
          <w:rFonts w:cs="Times New Roman"/>
          <w:szCs w:val="20"/>
        </w:rPr>
        <w:t>s</w:t>
      </w:r>
      <w:r w:rsidRPr="001B21F2">
        <w:rPr>
          <w:rFonts w:cs="Times New Roman"/>
          <w:szCs w:val="20"/>
        </w:rPr>
        <w:t xml:space="preserve"> T-192 de 2020</w:t>
      </w:r>
      <w:r w:rsidRPr="001B21F2">
        <w:rPr>
          <w:rFonts w:cs="Times New Roman"/>
          <w:szCs w:val="20"/>
        </w:rPr>
        <w:t xml:space="preserve"> y T-401 de 2025</w:t>
      </w:r>
      <w:r w:rsidRPr="001B21F2">
        <w:rPr>
          <w:rFonts w:cs="Times New Roman"/>
          <w:szCs w:val="20"/>
        </w:rPr>
        <w:t xml:space="preserve">. </w:t>
      </w:r>
    </w:p>
  </w:footnote>
  <w:footnote w:id="63">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La Convención Americana sobre Derechos Humanos – CADH ha sido considerada por la Corte Constitucional, con fundamento en los artículos 93 y 94 de la Constitución, como parte d</w:t>
      </w:r>
      <w:r w:rsidRPr="001B21F2">
        <w:rPr>
          <w:rFonts w:cs="Times New Roman"/>
          <w:szCs w:val="20"/>
        </w:rPr>
        <w:t>el bloque de constitucionalidad en sentido estricto en las Sentencias C-774 de 2001, C-802 de 2002, C-028 de 2006 y C-452 de 2016. Adicionalmente, la jurisprudencia de las instancias internacionales encargadas de interpretar los tratados internacionales de</w:t>
      </w:r>
      <w:r w:rsidRPr="001B21F2">
        <w:rPr>
          <w:rFonts w:cs="Times New Roman"/>
          <w:szCs w:val="20"/>
        </w:rPr>
        <w:t xml:space="preserve"> derechos humanos ratificados por Colombia constituye un criterio hermenéutico relevante para establecer el sentido de las normas constitucionales sobre derechos fundamentales. Al respecto pueden consultarse las Sentencias C-010 de 2000 y C-146 de 2021. </w:t>
      </w:r>
    </w:p>
  </w:footnote>
  <w:footnote w:id="64">
    <w:p w:rsidR="00E43411" w:rsidRPr="001B21F2" w:rsidRDefault="000C03D2" w:rsidP="001B21F2">
      <w:pPr>
        <w:pStyle w:val="Prrafodelista"/>
        <w:tabs>
          <w:tab w:val="left" w:pos="426"/>
          <w:tab w:val="left" w:pos="720"/>
        </w:tabs>
        <w:ind w:left="0"/>
        <w:rPr>
          <w:rFonts w:cs="Times New Roman"/>
          <w:color w:val="000000" w:themeColor="text1"/>
          <w:sz w:val="20"/>
          <w:szCs w:val="20"/>
        </w:rPr>
      </w:pPr>
      <w:r w:rsidRPr="001B21F2">
        <w:rPr>
          <w:rStyle w:val="Refdenotaalpie"/>
          <w:rFonts w:cs="Times New Roman"/>
          <w:sz w:val="20"/>
          <w:szCs w:val="20"/>
        </w:rPr>
        <w:footnoteRef/>
      </w:r>
      <w:r w:rsidRPr="001B21F2">
        <w:rPr>
          <w:rFonts w:cs="Times New Roman"/>
          <w:sz w:val="20"/>
          <w:szCs w:val="20"/>
        </w:rPr>
        <w:t xml:space="preserve"> </w:t>
      </w:r>
      <w:r w:rsidRPr="001B21F2">
        <w:rPr>
          <w:rFonts w:cs="Times New Roman"/>
          <w:color w:val="000000" w:themeColor="text1"/>
          <w:sz w:val="20"/>
          <w:szCs w:val="20"/>
        </w:rPr>
        <w:t>Sobre la protección internacional, se debe señalar que la prohibición de discriminación también encuentra sustento en el artículo 7º de la Declaración Universal de los Derechos Humanos</w:t>
      </w:r>
      <w:r w:rsidRPr="001B21F2">
        <w:rPr>
          <w:rStyle w:val="Refdenotaalpie"/>
          <w:rFonts w:cs="Times New Roman"/>
          <w:color w:val="000000" w:themeColor="text1"/>
          <w:sz w:val="20"/>
          <w:szCs w:val="20"/>
        </w:rPr>
        <w:footnoteRef/>
      </w:r>
      <w:r w:rsidRPr="001B21F2">
        <w:rPr>
          <w:rFonts w:cs="Times New Roman"/>
          <w:color w:val="000000" w:themeColor="text1"/>
          <w:sz w:val="20"/>
          <w:szCs w:val="20"/>
        </w:rPr>
        <w:t>, el artículo 26 del Pacto Internacional de Derechos Civiles y Polític</w:t>
      </w:r>
      <w:r w:rsidRPr="001B21F2">
        <w:rPr>
          <w:rFonts w:cs="Times New Roman"/>
          <w:color w:val="000000" w:themeColor="text1"/>
          <w:sz w:val="20"/>
          <w:szCs w:val="20"/>
        </w:rPr>
        <w:t>os</w:t>
      </w:r>
      <w:r w:rsidRPr="001B21F2">
        <w:rPr>
          <w:rStyle w:val="Refdenotaalpie"/>
          <w:rFonts w:cs="Times New Roman"/>
          <w:color w:val="000000" w:themeColor="text1"/>
          <w:sz w:val="20"/>
          <w:szCs w:val="20"/>
        </w:rPr>
        <w:footnoteRef/>
      </w:r>
      <w:r w:rsidRPr="001B21F2">
        <w:rPr>
          <w:rFonts w:cs="Times New Roman"/>
          <w:color w:val="000000" w:themeColor="text1"/>
          <w:sz w:val="20"/>
          <w:szCs w:val="20"/>
        </w:rPr>
        <w:t xml:space="preserve"> y el artículo 1.1. de la Convención Americana de Derechos Humanos</w:t>
      </w:r>
      <w:r w:rsidRPr="001B21F2">
        <w:rPr>
          <w:rStyle w:val="Refdenotaalpie"/>
          <w:rFonts w:cs="Times New Roman"/>
          <w:color w:val="000000" w:themeColor="text1"/>
          <w:sz w:val="20"/>
          <w:szCs w:val="20"/>
        </w:rPr>
        <w:footnoteRef/>
      </w:r>
      <w:r w:rsidRPr="001B21F2">
        <w:rPr>
          <w:rFonts w:cs="Times New Roman"/>
          <w:color w:val="000000" w:themeColor="text1"/>
          <w:sz w:val="20"/>
          <w:szCs w:val="20"/>
        </w:rPr>
        <w:t>.</w:t>
      </w:r>
    </w:p>
  </w:footnote>
  <w:footnote w:id="65">
    <w:p w:rsidR="00E43411" w:rsidRPr="001B21F2" w:rsidRDefault="000C03D2" w:rsidP="001B21F2">
      <w:pPr>
        <w:pStyle w:val="NormalWeb"/>
        <w:spacing w:before="0" w:beforeAutospacing="0" w:after="0" w:afterAutospacing="0"/>
        <w:jc w:val="both"/>
        <w:rPr>
          <w:sz w:val="20"/>
          <w:szCs w:val="20"/>
        </w:rPr>
      </w:pPr>
      <w:r w:rsidRPr="001B21F2">
        <w:rPr>
          <w:rStyle w:val="Refdenotaalpie"/>
          <w:sz w:val="20"/>
          <w:szCs w:val="20"/>
        </w:rPr>
        <w:footnoteRef/>
      </w:r>
      <w:r w:rsidRPr="001B21F2">
        <w:rPr>
          <w:sz w:val="20"/>
          <w:szCs w:val="20"/>
        </w:rPr>
        <w:t xml:space="preserve"> </w:t>
      </w:r>
      <w:r w:rsidRPr="001B21F2">
        <w:rPr>
          <w:color w:val="000000" w:themeColor="text1"/>
          <w:sz w:val="20"/>
          <w:szCs w:val="20"/>
        </w:rPr>
        <w:t xml:space="preserve">Informe sobre personas trans y de género diverso y sus derechos económicos, sociales, culturales y ambientales. Comisión Interamericana de Derechos Humanos, págs. 29-30. </w:t>
      </w:r>
      <w:r w:rsidRPr="001B21F2">
        <w:rPr>
          <w:sz w:val="20"/>
          <w:szCs w:val="20"/>
        </w:rPr>
        <w:t>d. Trato dig</w:t>
      </w:r>
      <w:r w:rsidRPr="001B21F2">
        <w:rPr>
          <w:sz w:val="20"/>
          <w:szCs w:val="20"/>
        </w:rPr>
        <w:t>no acorde a la identidad de género autopercibida. “La Comisión desea enfatizar que el derecho al reconocimiento de la propia identidad de género también implica el derecho de toda persona a ser tratada de acuerdo con su identidad autopercibida. En términos</w:t>
      </w:r>
      <w:r w:rsidRPr="001B21F2">
        <w:rPr>
          <w:sz w:val="20"/>
          <w:szCs w:val="20"/>
        </w:rPr>
        <w:t xml:space="preserve"> prácticos, esto significa que ante la sola declaración de que una persona se autopercibe en un género determinado, surge el deber de tratar y referirse a esa persona conforme a dicha identidad. Es importante destacar que este deber ha de ser observado a t</w:t>
      </w:r>
      <w:r w:rsidRPr="001B21F2">
        <w:rPr>
          <w:sz w:val="20"/>
          <w:szCs w:val="20"/>
        </w:rPr>
        <w:t>odo efecto, sin que sea requisito, de manera alguna, que la persona haya rectificado su documentación. || La Comisión identifica como una de las formas más comunes de ejercer violencia verbal, simbólica y psicológica contra personas trans el uso malintenci</w:t>
      </w:r>
      <w:r w:rsidRPr="001B21F2">
        <w:rPr>
          <w:sz w:val="20"/>
          <w:szCs w:val="20"/>
        </w:rPr>
        <w:t>onado o deliberado de pronombres, sustantivos y adjetivos de un género distinto a aquel con el cual se identifica una persona trans para referirse a ella (práctica violenta que en inglés recibe el nombre de misgendering). Este es un tipo de violencia que s</w:t>
      </w:r>
      <w:r w:rsidRPr="001B21F2">
        <w:rPr>
          <w:sz w:val="20"/>
          <w:szCs w:val="20"/>
        </w:rPr>
        <w:t>e ejerce con el fin de humillar y ultrajar a una persona con base en su identidad o expresión de género. Esta forma de violencia ha sido denunciada por numerosas organizaciones de la sociedad civil como una de las principales razones por las que muchas per</w:t>
      </w:r>
      <w:r w:rsidRPr="001B21F2">
        <w:rPr>
          <w:sz w:val="20"/>
          <w:szCs w:val="20"/>
        </w:rPr>
        <w:t>sonas trans sufren humillación y maltrato al intentar acceder a servicios de salud. A su vez, el temor a sufrir esta violencia inhibe a muchas personas de concurrir a centros sanitarios y hospitales, a escuelas o instituciones educativas, a espacios de soc</w:t>
      </w:r>
      <w:r w:rsidRPr="001B21F2">
        <w:rPr>
          <w:sz w:val="20"/>
          <w:szCs w:val="20"/>
        </w:rPr>
        <w:t>ialización, o a cualquier situación en la que pueda quedar expuesta a ella. (…)”</w:t>
      </w:r>
      <w:r w:rsidRPr="001B21F2">
        <w:rPr>
          <w:sz w:val="20"/>
          <w:szCs w:val="20"/>
        </w:rPr>
        <w:t>.</w:t>
      </w:r>
    </w:p>
  </w:footnote>
  <w:footnote w:id="66">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w:t>
      </w:r>
      <w:r w:rsidRPr="001B21F2">
        <w:rPr>
          <w:rFonts w:cs="Times New Roman"/>
          <w:color w:val="000000" w:themeColor="text1"/>
          <w:szCs w:val="20"/>
        </w:rPr>
        <w:t xml:space="preserve">Informe sobre personas trans y de género diverso y sus derechos económicos, sociales, culturales y ambientales. Comisión Interamericana de Derechos Humanos, pág. 30. e. El </w:t>
      </w:r>
      <w:r w:rsidRPr="001B21F2">
        <w:rPr>
          <w:rFonts w:cs="Times New Roman"/>
          <w:color w:val="000000" w:themeColor="text1"/>
          <w:szCs w:val="20"/>
        </w:rPr>
        <w:t>reconocimiento de la identidad de género como requisito para el goce de otros derechos. “El derecho al reconocimiento de la identidad de género resulta uno de los aspectos de mayor trascendencia al momento de analizar el efectivo goce de otros derechos hum</w:t>
      </w:r>
      <w:r w:rsidRPr="001B21F2">
        <w:rPr>
          <w:rFonts w:cs="Times New Roman"/>
          <w:color w:val="000000" w:themeColor="text1"/>
          <w:szCs w:val="20"/>
        </w:rPr>
        <w:t>anos por parte de personas trans y de género diverso. Para los efectos de este análisis, este reconocimiento se refiere tanto al reconocimiento legal (referido sobre todo a la posibilidad de rectificación registral) como al social (referido a la posibilida</w:t>
      </w:r>
      <w:r w:rsidRPr="001B21F2">
        <w:rPr>
          <w:rFonts w:cs="Times New Roman"/>
          <w:color w:val="000000" w:themeColor="text1"/>
          <w:szCs w:val="20"/>
        </w:rPr>
        <w:t>d de vivir una vida libre de violencia y la posibilidad de desarrollar al máximo el potencial personal y sus planes de vida de forma plena).”</w:t>
      </w:r>
    </w:p>
  </w:footnote>
  <w:footnote w:id="67">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rPr>
        <w:t xml:space="preserve">Corte Constitucional, Sentencia C-324 de 2023. </w:t>
      </w:r>
    </w:p>
  </w:footnote>
  <w:footnote w:id="68">
    <w:p w:rsidR="008C05D4"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 T-527 de 2024.</w:t>
      </w:r>
    </w:p>
  </w:footnote>
  <w:footnote w:id="69">
    <w:p w:rsidR="00EF46BE"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w:t>
      </w:r>
      <w:r w:rsidRPr="001B21F2">
        <w:rPr>
          <w:rFonts w:cs="Times New Roman"/>
          <w:szCs w:val="20"/>
        </w:rPr>
        <w:t>ucional, Sentencia T-</w:t>
      </w:r>
      <w:r w:rsidRPr="001B21F2">
        <w:rPr>
          <w:rFonts w:cs="Times New Roman"/>
          <w:szCs w:val="20"/>
        </w:rPr>
        <w:t>401</w:t>
      </w:r>
      <w:r w:rsidRPr="001B21F2">
        <w:rPr>
          <w:rFonts w:cs="Times New Roman"/>
          <w:szCs w:val="20"/>
        </w:rPr>
        <w:t xml:space="preserve"> de 202</w:t>
      </w:r>
      <w:r w:rsidRPr="001B21F2">
        <w:rPr>
          <w:rFonts w:cs="Times New Roman"/>
          <w:szCs w:val="20"/>
        </w:rPr>
        <w:t>5</w:t>
      </w:r>
      <w:r w:rsidRPr="001B21F2">
        <w:rPr>
          <w:rFonts w:cs="Times New Roman"/>
          <w:szCs w:val="20"/>
        </w:rPr>
        <w:t>.</w:t>
      </w:r>
    </w:p>
  </w:footnote>
  <w:footnote w:id="70">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Sentencia T-063 de 2015. </w:t>
      </w:r>
    </w:p>
  </w:footnote>
  <w:footnote w:id="71">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Ibidem. </w:t>
      </w:r>
    </w:p>
  </w:footnote>
  <w:footnote w:id="72">
    <w:p w:rsidR="00E43411" w:rsidRPr="001B21F2" w:rsidRDefault="000C03D2" w:rsidP="001B21F2">
      <w:pPr>
        <w:pStyle w:val="Prrafodelista"/>
        <w:tabs>
          <w:tab w:val="left" w:pos="426"/>
        </w:tabs>
        <w:ind w:left="0"/>
        <w:rPr>
          <w:rFonts w:cs="Times New Roman"/>
          <w:sz w:val="20"/>
          <w:szCs w:val="20"/>
        </w:rPr>
      </w:pPr>
      <w:r w:rsidRPr="001B21F2">
        <w:rPr>
          <w:rStyle w:val="Refdenotaalpie"/>
          <w:rFonts w:cs="Times New Roman"/>
          <w:sz w:val="20"/>
          <w:szCs w:val="20"/>
        </w:rPr>
        <w:footnoteRef/>
      </w:r>
      <w:r w:rsidRPr="001B21F2">
        <w:rPr>
          <w:rFonts w:cs="Times New Roman"/>
          <w:sz w:val="20"/>
          <w:szCs w:val="20"/>
        </w:rPr>
        <w:t xml:space="preserve"> La jurisprudencia constitucional ha diferenciado entre un antecedente relevante y un precedente jurisprudencial de la siguiente manera: “El primero –</w:t>
      </w:r>
      <w:r w:rsidRPr="001B21F2">
        <w:rPr>
          <w:rFonts w:cs="Times New Roman"/>
          <w:bCs/>
          <w:sz w:val="20"/>
          <w:szCs w:val="20"/>
        </w:rPr>
        <w:t>antecedent</w:t>
      </w:r>
      <w:r w:rsidRPr="001B21F2">
        <w:rPr>
          <w:rFonts w:cs="Times New Roman"/>
          <w:bCs/>
          <w:sz w:val="20"/>
          <w:szCs w:val="20"/>
        </w:rPr>
        <w:t>e</w:t>
      </w:r>
      <w:r w:rsidRPr="001B21F2">
        <w:rPr>
          <w:rFonts w:cs="Times New Roman"/>
          <w:sz w:val="20"/>
          <w:szCs w:val="20"/>
        </w:rPr>
        <w:t xml:space="preserve">– se refiere a una decisión de una controversia anterior a la que se estudia, que puede tener o no algunas similitudes desde el punto de vista fáctico, pero lo más importante es que contiene algunos puntos de derecho (v.gr. conceptos, interpretaciones de </w:t>
      </w:r>
      <w:r w:rsidRPr="001B21F2">
        <w:rPr>
          <w:rFonts w:cs="Times New Roman"/>
          <w:sz w:val="20"/>
          <w:szCs w:val="20"/>
        </w:rPr>
        <w:t>preceptos legales, etc.) que guían al juez para resolver el caso objeto de estudio. Por tanto, los antecedentes tienen un carácter</w:t>
      </w:r>
      <w:r w:rsidRPr="001B21F2">
        <w:rPr>
          <w:rStyle w:val="apple-converted-space"/>
          <w:rFonts w:cs="Times New Roman"/>
          <w:sz w:val="20"/>
          <w:szCs w:val="20"/>
        </w:rPr>
        <w:t> </w:t>
      </w:r>
      <w:r w:rsidRPr="001B21F2">
        <w:rPr>
          <w:rFonts w:cs="Times New Roman"/>
          <w:bCs/>
          <w:sz w:val="20"/>
          <w:szCs w:val="20"/>
        </w:rPr>
        <w:t>orientador</w:t>
      </w:r>
      <w:r w:rsidRPr="001B21F2">
        <w:rPr>
          <w:rFonts w:cs="Times New Roman"/>
          <w:sz w:val="20"/>
          <w:szCs w:val="20"/>
        </w:rPr>
        <w:t>, lo que no significa</w:t>
      </w:r>
      <w:r w:rsidRPr="001B21F2">
        <w:rPr>
          <w:rStyle w:val="apple-converted-space"/>
          <w:rFonts w:cs="Times New Roman"/>
          <w:sz w:val="20"/>
          <w:szCs w:val="20"/>
        </w:rPr>
        <w:t> </w:t>
      </w:r>
      <w:r w:rsidRPr="001B21F2">
        <w:rPr>
          <w:rFonts w:cs="Times New Roman"/>
          <w:bCs/>
          <w:sz w:val="20"/>
          <w:szCs w:val="20"/>
        </w:rPr>
        <w:t>(a)</w:t>
      </w:r>
      <w:r w:rsidRPr="001B21F2">
        <w:rPr>
          <w:rStyle w:val="apple-converted-space"/>
          <w:rFonts w:cs="Times New Roman"/>
          <w:bCs/>
          <w:sz w:val="20"/>
          <w:szCs w:val="20"/>
        </w:rPr>
        <w:t> </w:t>
      </w:r>
      <w:r w:rsidRPr="001B21F2">
        <w:rPr>
          <w:rFonts w:cs="Times New Roman"/>
          <w:sz w:val="20"/>
          <w:szCs w:val="20"/>
        </w:rPr>
        <w:t>que no deban ser tenidos en cuenta por el juez a la hora de fallar, y</w:t>
      </w:r>
      <w:r w:rsidRPr="001B21F2">
        <w:rPr>
          <w:rStyle w:val="apple-converted-space"/>
          <w:rFonts w:cs="Times New Roman"/>
          <w:sz w:val="20"/>
          <w:szCs w:val="20"/>
        </w:rPr>
        <w:t> </w:t>
      </w:r>
      <w:r w:rsidRPr="001B21F2">
        <w:rPr>
          <w:rFonts w:cs="Times New Roman"/>
          <w:bCs/>
          <w:sz w:val="20"/>
          <w:szCs w:val="20"/>
        </w:rPr>
        <w:t>(b)</w:t>
      </w:r>
      <w:r w:rsidRPr="001B21F2">
        <w:rPr>
          <w:rStyle w:val="apple-converted-space"/>
          <w:rFonts w:cs="Times New Roman"/>
          <w:bCs/>
          <w:sz w:val="20"/>
          <w:szCs w:val="20"/>
        </w:rPr>
        <w:t> </w:t>
      </w:r>
      <w:r w:rsidRPr="001B21F2">
        <w:rPr>
          <w:rFonts w:cs="Times New Roman"/>
          <w:sz w:val="20"/>
          <w:szCs w:val="20"/>
        </w:rPr>
        <w:t xml:space="preserve">que lo eximan </w:t>
      </w:r>
      <w:r w:rsidRPr="001B21F2">
        <w:rPr>
          <w:rFonts w:cs="Times New Roman"/>
          <w:sz w:val="20"/>
          <w:szCs w:val="20"/>
        </w:rPr>
        <w:t>del deber de argumentar las razones para apartarse, en virtud de los principios de transparencia e igualdad […]. El segundo concepto –</w:t>
      </w:r>
      <w:r w:rsidRPr="001B21F2">
        <w:rPr>
          <w:rFonts w:cs="Times New Roman"/>
          <w:bCs/>
          <w:sz w:val="20"/>
          <w:szCs w:val="20"/>
        </w:rPr>
        <w:t>precedente</w:t>
      </w:r>
      <w:r w:rsidRPr="001B21F2">
        <w:rPr>
          <w:rFonts w:cs="Times New Roman"/>
          <w:sz w:val="20"/>
          <w:szCs w:val="20"/>
        </w:rPr>
        <w:t xml:space="preserve">–, por regla general, es aquella sentencia o conjunto de sentencias que presentan similitudes con un caso nuevo </w:t>
      </w:r>
      <w:r w:rsidRPr="001B21F2">
        <w:rPr>
          <w:rFonts w:cs="Times New Roman"/>
          <w:sz w:val="20"/>
          <w:szCs w:val="20"/>
        </w:rPr>
        <w:t>objeto de escrutinio en materia de</w:t>
      </w:r>
      <w:r w:rsidRPr="001B21F2">
        <w:rPr>
          <w:rStyle w:val="apple-converted-space"/>
          <w:rFonts w:cs="Times New Roman"/>
          <w:sz w:val="20"/>
          <w:szCs w:val="20"/>
        </w:rPr>
        <w:t> </w:t>
      </w:r>
      <w:r w:rsidRPr="001B21F2">
        <w:rPr>
          <w:rFonts w:cs="Times New Roman"/>
          <w:bCs/>
          <w:sz w:val="20"/>
          <w:szCs w:val="20"/>
        </w:rPr>
        <w:t>(i)</w:t>
      </w:r>
      <w:r w:rsidRPr="001B21F2">
        <w:rPr>
          <w:rStyle w:val="apple-converted-space"/>
          <w:rFonts w:cs="Times New Roman"/>
          <w:bCs/>
          <w:sz w:val="20"/>
          <w:szCs w:val="20"/>
        </w:rPr>
        <w:t> </w:t>
      </w:r>
      <w:r w:rsidRPr="001B21F2">
        <w:rPr>
          <w:rFonts w:cs="Times New Roman"/>
          <w:sz w:val="20"/>
          <w:szCs w:val="20"/>
        </w:rPr>
        <w:t>patrones fácticos y</w:t>
      </w:r>
      <w:r w:rsidRPr="001B21F2">
        <w:rPr>
          <w:rStyle w:val="apple-converted-space"/>
          <w:rFonts w:cs="Times New Roman"/>
          <w:sz w:val="20"/>
          <w:szCs w:val="20"/>
        </w:rPr>
        <w:t> </w:t>
      </w:r>
      <w:r w:rsidRPr="001B21F2">
        <w:rPr>
          <w:rFonts w:cs="Times New Roman"/>
          <w:bCs/>
          <w:sz w:val="20"/>
          <w:szCs w:val="20"/>
        </w:rPr>
        <w:t>(ii)</w:t>
      </w:r>
      <w:r w:rsidRPr="001B21F2">
        <w:rPr>
          <w:rStyle w:val="apple-converted-space"/>
          <w:rFonts w:cs="Times New Roman"/>
          <w:bCs/>
          <w:sz w:val="20"/>
          <w:szCs w:val="20"/>
        </w:rPr>
        <w:t> </w:t>
      </w:r>
      <w:r w:rsidRPr="001B21F2">
        <w:rPr>
          <w:rFonts w:cs="Times New Roman"/>
          <w:sz w:val="20"/>
          <w:szCs w:val="20"/>
        </w:rPr>
        <w:t>problemas jurídicos, y en las que en su</w:t>
      </w:r>
      <w:r w:rsidRPr="001B21F2">
        <w:rPr>
          <w:rStyle w:val="apple-converted-space"/>
          <w:rFonts w:cs="Times New Roman"/>
          <w:sz w:val="20"/>
          <w:szCs w:val="20"/>
        </w:rPr>
        <w:t> </w:t>
      </w:r>
      <w:r w:rsidRPr="001B21F2">
        <w:rPr>
          <w:rFonts w:cs="Times New Roman"/>
          <w:bCs/>
          <w:i/>
          <w:iCs/>
          <w:sz w:val="20"/>
          <w:szCs w:val="20"/>
        </w:rPr>
        <w:t>ratio decidendi</w:t>
      </w:r>
      <w:r w:rsidRPr="001B21F2">
        <w:rPr>
          <w:rStyle w:val="apple-converted-space"/>
          <w:rFonts w:cs="Times New Roman"/>
          <w:sz w:val="20"/>
          <w:szCs w:val="20"/>
        </w:rPr>
        <w:t> </w:t>
      </w:r>
      <w:r w:rsidRPr="001B21F2">
        <w:rPr>
          <w:rFonts w:cs="Times New Roman"/>
          <w:sz w:val="20"/>
          <w:szCs w:val="20"/>
        </w:rPr>
        <w:t xml:space="preserve">se ha fijado una regla para resolver la controversia, que sirve también para solucionar el nuevo caso”. Corte Constitucional, Sentencia </w:t>
      </w:r>
      <w:r w:rsidRPr="001B21F2">
        <w:rPr>
          <w:rFonts w:cs="Times New Roman"/>
          <w:sz w:val="20"/>
          <w:szCs w:val="20"/>
        </w:rPr>
        <w:t>T-830 de 2012. Reiterado en la Sentencia T-438 de 2016.</w:t>
      </w:r>
    </w:p>
  </w:footnote>
  <w:footnote w:id="73">
    <w:p w:rsidR="003C42FC"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Extraído del Comunicado de Prensa 42 del 2 de octubre de 2025, Divulgado por página de la Corte Constitucional 2 de octubre de 2025</w:t>
      </w:r>
      <w:r w:rsidRPr="001B21F2">
        <w:rPr>
          <w:rFonts w:cs="Times New Roman"/>
          <w:szCs w:val="20"/>
        </w:rPr>
        <w:t xml:space="preserve">. Disponible en </w:t>
      </w:r>
      <w:hyperlink r:id="rId14" w:history="1">
        <w:r w:rsidRPr="001B21F2">
          <w:rPr>
            <w:rStyle w:val="Hipervnculo"/>
            <w:rFonts w:cs="Times New Roman"/>
            <w:szCs w:val="20"/>
          </w:rPr>
          <w:t>https://www.corteconstitucional.gov.co/comunicados/Comunicado-42-Octubre-2-de-2025</w:t>
        </w:r>
      </w:hyperlink>
      <w:r w:rsidRPr="001B21F2">
        <w:rPr>
          <w:rFonts w:cs="Times New Roman"/>
          <w:szCs w:val="20"/>
        </w:rPr>
        <w:t xml:space="preserve"> </w:t>
      </w:r>
    </w:p>
  </w:footnote>
  <w:footnote w:id="74">
    <w:p w:rsidR="00CA2F3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“Por el cual se sustituyen los capítulos 1, 2, 3 y 4 del Título 3 de la Parte 2 del Libro 2 del Decreto 780 de 2016, en re</w:t>
      </w:r>
      <w:r w:rsidRPr="001B21F2">
        <w:rPr>
          <w:rFonts w:cs="Times New Roman"/>
          <w:szCs w:val="20"/>
        </w:rPr>
        <w:t xml:space="preserve">lación con el reconocimiento y pago de las prestaciones económicas del Sistema General de Seguridad Social en Salud y se dictan otras disposiciones”. </w:t>
      </w:r>
    </w:p>
  </w:footnote>
  <w:footnote w:id="75">
    <w:p w:rsidR="001E2AFD" w:rsidRPr="001B21F2" w:rsidRDefault="000C03D2" w:rsidP="001B21F2">
      <w:pPr>
        <w:pStyle w:val="Prrafodelista"/>
        <w:tabs>
          <w:tab w:val="left" w:pos="426"/>
        </w:tabs>
        <w:ind w:left="0" w:right="49"/>
        <w:rPr>
          <w:rFonts w:cs="Times New Roman"/>
          <w:color w:val="000000" w:themeColor="text1"/>
          <w:sz w:val="20"/>
          <w:szCs w:val="20"/>
        </w:rPr>
      </w:pPr>
      <w:r w:rsidRPr="001B21F2">
        <w:rPr>
          <w:rStyle w:val="Refdenotaalpie"/>
          <w:rFonts w:cs="Times New Roman"/>
          <w:sz w:val="20"/>
          <w:szCs w:val="20"/>
        </w:rPr>
        <w:footnoteRef/>
      </w:r>
      <w:r w:rsidRPr="001B21F2">
        <w:rPr>
          <w:rFonts w:cs="Times New Roman"/>
          <w:sz w:val="20"/>
          <w:szCs w:val="20"/>
        </w:rPr>
        <w:t xml:space="preserve"> </w:t>
      </w:r>
      <w:r w:rsidRPr="001B21F2">
        <w:rPr>
          <w:rFonts w:cs="Times New Roman"/>
          <w:color w:val="000000" w:themeColor="text1"/>
          <w:sz w:val="20"/>
          <w:szCs w:val="20"/>
        </w:rPr>
        <w:t xml:space="preserve">Esta normativa planteó las siguientes definiciones: 1. </w:t>
      </w:r>
      <w:r w:rsidRPr="001B21F2">
        <w:rPr>
          <w:rFonts w:cs="Times New Roman"/>
          <w:b/>
          <w:bCs/>
          <w:color w:val="000000" w:themeColor="text1"/>
          <w:sz w:val="20"/>
          <w:szCs w:val="20"/>
        </w:rPr>
        <w:t>Aborto espontáneo</w:t>
      </w:r>
      <w:r w:rsidRPr="001B21F2">
        <w:rPr>
          <w:rFonts w:cs="Times New Roman"/>
          <w:color w:val="000000" w:themeColor="text1"/>
          <w:sz w:val="20"/>
          <w:szCs w:val="20"/>
        </w:rPr>
        <w:t xml:space="preserve">: interrupción del embarazo por la muerte de feto o embrión, y su expulsión junto con los anexos ovulares, que ocurre antes de la semana 22 de gestación, sin la intervención o inducción mismo. 2. </w:t>
      </w:r>
      <w:r w:rsidRPr="001B21F2">
        <w:rPr>
          <w:rFonts w:cs="Times New Roman"/>
          <w:b/>
          <w:bCs/>
          <w:color w:val="000000" w:themeColor="text1"/>
          <w:sz w:val="20"/>
          <w:szCs w:val="20"/>
        </w:rPr>
        <w:t>Interrupción voluntaria del embarazo</w:t>
      </w:r>
      <w:r w:rsidRPr="001B21F2">
        <w:rPr>
          <w:rFonts w:cs="Times New Roman"/>
          <w:color w:val="000000" w:themeColor="text1"/>
          <w:sz w:val="20"/>
          <w:szCs w:val="20"/>
        </w:rPr>
        <w:t>: interrupción del embar</w:t>
      </w:r>
      <w:r w:rsidRPr="001B21F2">
        <w:rPr>
          <w:rFonts w:cs="Times New Roman"/>
          <w:color w:val="000000" w:themeColor="text1"/>
          <w:sz w:val="20"/>
          <w:szCs w:val="20"/>
        </w:rPr>
        <w:t>azo a través de la atención integral en salud realizada para poner fin al proceso de gestación humana mediante métodos farmacológicos o no farmacológicos, que se adelanta durante primeras veinticuatro (24) semanas de gestación de acuerdo a lo previsto en s</w:t>
      </w:r>
      <w:r w:rsidRPr="001B21F2">
        <w:rPr>
          <w:rFonts w:cs="Times New Roman"/>
          <w:color w:val="000000" w:themeColor="text1"/>
          <w:sz w:val="20"/>
          <w:szCs w:val="20"/>
        </w:rPr>
        <w:t xml:space="preserve">entencia C- 055 de 2022, o límite de edad gestacional, bajo las establecidas en la Sentencia C- 355 de 2006. 3. </w:t>
      </w:r>
      <w:r w:rsidRPr="001B21F2">
        <w:rPr>
          <w:rFonts w:eastAsia="Arial" w:cs="Times New Roman"/>
          <w:b/>
          <w:bCs/>
          <w:color w:val="000000" w:themeColor="text1"/>
          <w:kern w:val="2"/>
          <w:sz w:val="20"/>
          <w:szCs w:val="20"/>
          <w:lang w:eastAsia="es-CO"/>
          <w14:ligatures w14:val="standardContextual"/>
        </w:rPr>
        <w:t>Licencia por aborto espontáneo, interrupción voluntaria del embarazo o parto prematuro no viable</w:t>
      </w:r>
      <w:r w:rsidRPr="001B21F2">
        <w:rPr>
          <w:rFonts w:cs="Times New Roman"/>
          <w:color w:val="000000" w:themeColor="text1"/>
          <w:sz w:val="20"/>
          <w:szCs w:val="20"/>
        </w:rPr>
        <w:t>:</w:t>
      </w:r>
      <w:r w:rsidRPr="001B21F2">
        <w:rPr>
          <w:rFonts w:eastAsia="Arial" w:cs="Times New Roman"/>
          <w:color w:val="000000" w:themeColor="text1"/>
          <w:kern w:val="2"/>
          <w:sz w:val="20"/>
          <w:szCs w:val="20"/>
          <w:lang w:eastAsia="es-CO"/>
          <w14:ligatures w14:val="standardContextual"/>
        </w:rPr>
        <w:t xml:space="preserve"> garantía que se otorga a las cotizantes gestan</w:t>
      </w:r>
      <w:r w:rsidRPr="001B21F2">
        <w:rPr>
          <w:rFonts w:eastAsia="Arial" w:cs="Times New Roman"/>
          <w:color w:val="000000" w:themeColor="text1"/>
          <w:kern w:val="2"/>
          <w:sz w:val="20"/>
          <w:szCs w:val="20"/>
          <w:lang w:eastAsia="es-CO"/>
          <w14:ligatures w14:val="standardContextual"/>
        </w:rPr>
        <w:t>tes que en el curso del embarazo sufran un aborto espontáneo, parto prematuro no viable, o se practiquen una interrupción voluntaria del embarazo, y que corresponde a 2 o 4 semanas, conforme el criterio del médico tratante, atendiendo a lo señalado en el a</w:t>
      </w:r>
      <w:r w:rsidRPr="001B21F2">
        <w:rPr>
          <w:rFonts w:eastAsia="Arial" w:cs="Times New Roman"/>
          <w:color w:val="000000" w:themeColor="text1"/>
          <w:kern w:val="2"/>
          <w:sz w:val="20"/>
          <w:szCs w:val="20"/>
          <w:lang w:eastAsia="es-CO"/>
          <w14:ligatures w14:val="standardContextual"/>
        </w:rPr>
        <w:t>rtículo 237 del Código Sustantivo del Trabajo. </w:t>
      </w:r>
    </w:p>
  </w:footnote>
  <w:footnote w:id="76">
    <w:p w:rsidR="00CA2F31" w:rsidRPr="001B21F2" w:rsidRDefault="000C03D2" w:rsidP="001B21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0"/>
          <w:szCs w:val="20"/>
          <w:lang w:val="es-ES_tradnl"/>
          <w14:ligatures w14:val="standardContextual"/>
        </w:rPr>
      </w:pPr>
      <w:r w:rsidRPr="001B21F2">
        <w:rPr>
          <w:rStyle w:val="Refdenotaalpie"/>
          <w:sz w:val="20"/>
          <w:szCs w:val="20"/>
        </w:rPr>
        <w:footnoteRef/>
      </w:r>
      <w:r w:rsidRPr="001B21F2">
        <w:rPr>
          <w:sz w:val="20"/>
          <w:szCs w:val="20"/>
          <w:lang w:val="en-US"/>
        </w:rPr>
        <w:t xml:space="preserve"> </w:t>
      </w:r>
      <w:r w:rsidRPr="001B21F2">
        <w:rPr>
          <w:sz w:val="20"/>
          <w:szCs w:val="20"/>
          <w:lang w:val="en-US"/>
          <w14:ligatures w14:val="standardContextual"/>
        </w:rPr>
        <w:t xml:space="preserve">Quenby S, Gallos ID, Dhillon-Smith RK, Podesek M, Stephenson MD, Fisher J, et al. Miscarriage matters: the epidemiological, physical, psychological, and economic costs of early pregnancy loss. </w:t>
      </w:r>
      <w:r w:rsidRPr="001B21F2">
        <w:rPr>
          <w:sz w:val="20"/>
          <w:szCs w:val="20"/>
          <w:lang w:val="es-ES_tradnl"/>
          <w14:ligatures w14:val="standardContextual"/>
        </w:rPr>
        <w:t>Lancet (Inter</w:t>
      </w:r>
      <w:r w:rsidRPr="001B21F2">
        <w:rPr>
          <w:sz w:val="20"/>
          <w:szCs w:val="20"/>
          <w:lang w:val="es-ES_tradnl"/>
          <w14:ligatures w14:val="standardContextual"/>
        </w:rPr>
        <w:t xml:space="preserve">net]. 2021;397(10285):1658-67. Disponible para consulta en: </w:t>
      </w:r>
      <w:hyperlink r:id="rId15" w:history="1">
        <w:r w:rsidRPr="001B21F2">
          <w:rPr>
            <w:rStyle w:val="Hipervnculo"/>
            <w:sz w:val="20"/>
            <w:szCs w:val="20"/>
            <w:lang w:val="es-ES_tradnl"/>
            <w14:ligatures w14:val="standardContextual"/>
          </w:rPr>
          <w:t>http://dx.doi.org/10.1016/S0140-6736(21)00682-6</w:t>
        </w:r>
      </w:hyperlink>
      <w:r w:rsidRPr="001B21F2">
        <w:rPr>
          <w:sz w:val="20"/>
          <w:szCs w:val="20"/>
          <w:lang w:val="es-ES_tradnl"/>
          <w14:ligatures w14:val="standardContextual"/>
        </w:rPr>
        <w:t xml:space="preserve"> </w:t>
      </w:r>
    </w:p>
  </w:footnote>
  <w:footnote w:id="77">
    <w:p w:rsidR="00CA2F3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Ibid. </w:t>
      </w:r>
    </w:p>
  </w:footnote>
  <w:footnote w:id="78">
    <w:p w:rsidR="00CA2F3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 T-694 de 2016. </w:t>
      </w:r>
    </w:p>
  </w:footnote>
  <w:footnote w:id="79">
    <w:p w:rsidR="006430DC"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Firma el documento Carolina Jiménez Bellicia, coordinadora del Grupo Gerencia de Defensa Judicial del Departamento Administrativo de la Presidencia de la República y Efraín Alberto Becerra Gómez, en calidad de</w:t>
      </w:r>
    </w:p>
    <w:p w:rsidR="006430DC" w:rsidRPr="001B21F2" w:rsidRDefault="000C03D2" w:rsidP="001B21F2">
      <w:pPr>
        <w:pStyle w:val="Textonotapie"/>
        <w:rPr>
          <w:rFonts w:cs="Times New Roman"/>
          <w:szCs w:val="20"/>
          <w:lang w:val="es-ES_tradnl"/>
        </w:rPr>
      </w:pPr>
      <w:r w:rsidRPr="001B21F2">
        <w:rPr>
          <w:rFonts w:cs="Times New Roman"/>
          <w:szCs w:val="20"/>
        </w:rPr>
        <w:t xml:space="preserve">jefe de la Oficina Jurídica. Disponible: </w:t>
      </w:r>
      <w:hyperlink r:id="rId16" w:history="1">
        <w:r w:rsidRPr="001B21F2">
          <w:rPr>
            <w:rStyle w:val="Hipervnculo"/>
            <w:rFonts w:cs="Times New Roman"/>
            <w:szCs w:val="20"/>
          </w:rPr>
          <w:t>https://www.corteconstitucional.gov.co/secretaria/archivo.php?id=119072</w:t>
        </w:r>
      </w:hyperlink>
      <w:r w:rsidRPr="001B21F2">
        <w:rPr>
          <w:rFonts w:cs="Times New Roman"/>
          <w:szCs w:val="20"/>
        </w:rPr>
        <w:t xml:space="preserve"> </w:t>
      </w:r>
    </w:p>
  </w:footnote>
  <w:footnote w:id="80">
    <w:p w:rsidR="006430DC"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w:t>
      </w:r>
      <w:r w:rsidRPr="001B21F2">
        <w:rPr>
          <w:rFonts w:cs="Times New Roman"/>
          <w:szCs w:val="20"/>
          <w:lang w:val="es-ES_tradnl"/>
        </w:rPr>
        <w:t>Firma el documento Laura Tami Leal, representante legal de la Secretaría Distrital de la Mujer. D</w:t>
      </w:r>
      <w:r w:rsidRPr="001B21F2">
        <w:rPr>
          <w:rFonts w:cs="Times New Roman"/>
          <w:szCs w:val="20"/>
          <w:lang w:val="es-ES_tradnl"/>
        </w:rPr>
        <w:t xml:space="preserve">isponible: </w:t>
      </w:r>
      <w:hyperlink r:id="rId17" w:history="1">
        <w:r w:rsidRPr="001B21F2">
          <w:rPr>
            <w:rStyle w:val="Hipervnculo"/>
            <w:rFonts w:cs="Times New Roman"/>
            <w:szCs w:val="20"/>
            <w:lang w:val="es-ES_tradnl"/>
          </w:rPr>
          <w:t>https://www.corteconstitucional.gov.co/secretaria/archivo.php?id=119073</w:t>
        </w:r>
      </w:hyperlink>
      <w:r w:rsidRPr="001B21F2">
        <w:rPr>
          <w:rFonts w:cs="Times New Roman"/>
          <w:szCs w:val="20"/>
          <w:lang w:val="es-ES_tradnl"/>
        </w:rPr>
        <w:t xml:space="preserve"> </w:t>
      </w:r>
    </w:p>
  </w:footnote>
  <w:footnote w:id="81">
    <w:p w:rsidR="004814D8"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w:t>
      </w:r>
      <w:r w:rsidRPr="001B21F2">
        <w:rPr>
          <w:rFonts w:cs="Times New Roman"/>
          <w:b/>
          <w:bCs/>
          <w:szCs w:val="20"/>
        </w:rPr>
        <w:t>SEGUNDO. EXHORTAR</w:t>
      </w:r>
      <w:r w:rsidRPr="001B21F2">
        <w:rPr>
          <w:rFonts w:cs="Times New Roman"/>
          <w:szCs w:val="20"/>
        </w:rPr>
        <w:t xml:space="preserve"> al Congreso de la República y al Gobierno nacional, para que, sin perjuicio del cumplimiento inmediato de esta sentencia y, en el menor tiempo posible, formulen e implementen una política pública integral –incluidas las medidas legislativas y administrati</w:t>
      </w:r>
      <w:r w:rsidRPr="001B21F2">
        <w:rPr>
          <w:rFonts w:cs="Times New Roman"/>
          <w:szCs w:val="20"/>
        </w:rPr>
        <w:t>vas que se requieran, según el caso–, que evite los amplios márgenes de desprotección para la dignidad y los derechos de las mujeres gestantes, descritos en esta providencia y, a su vez, proteja el bien jurídico de la vida en gestación sin afectar tales ga</w:t>
      </w:r>
      <w:r w:rsidRPr="001B21F2">
        <w:rPr>
          <w:rFonts w:cs="Times New Roman"/>
          <w:szCs w:val="20"/>
        </w:rPr>
        <w:t>rantías, a partir del condicionamiento de que trata el resolutivo anterior. Esta política debe contener, como mínimo, (i) la divulgación clara de las opciones disponibles para la mujer gestante durante y después del embarazo, (ii) la eliminación de cualqui</w:t>
      </w:r>
      <w:r w:rsidRPr="001B21F2">
        <w:rPr>
          <w:rFonts w:cs="Times New Roman"/>
          <w:szCs w:val="20"/>
        </w:rPr>
        <w:t>er obstáculo para el ejercicio de los derechos sexuales y reproductivos que se reconocen en esta sentencia, (iii) la existencia de instrumentos de prevención del embarazo y planificación, (iv) el desarrollo de programas de educación en materia de educación</w:t>
      </w:r>
      <w:r w:rsidRPr="001B21F2">
        <w:rPr>
          <w:rFonts w:cs="Times New Roman"/>
          <w:szCs w:val="20"/>
        </w:rPr>
        <w:t xml:space="preserve"> sexual y reproductiva para todas las personas, (v) medidas de acompañamiento a las madres gestantes que incluyan opciones de adopción, entre otras, y (vi) medidas que garanticen los derechos de los nacidos en circunstancias de gestantes que desearon abort</w:t>
      </w:r>
      <w:r w:rsidRPr="001B21F2">
        <w:rPr>
          <w:rFonts w:cs="Times New Roman"/>
          <w:szCs w:val="20"/>
        </w:rPr>
        <w:t>ar”.</w:t>
      </w:r>
    </w:p>
  </w:footnote>
  <w:footnote w:id="82">
    <w:p w:rsidR="00703C0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El artículo 169.1 de la Ley General de la Seguridad Social establece que: </w:t>
      </w:r>
      <w:r w:rsidRPr="001B21F2">
        <w:rPr>
          <w:rFonts w:cs="Times New Roman"/>
          <w:szCs w:val="20"/>
        </w:rPr>
        <w:t>“</w:t>
      </w:r>
      <w:r w:rsidRPr="001B21F2">
        <w:rPr>
          <w:rFonts w:cs="Times New Roman"/>
          <w:szCs w:val="20"/>
        </w:rPr>
        <w:t>Tendrán la consideración de situaciones especiales de incapacidad temporal por contingencias comunes aquellas en que pueda encontrarse la mujer en caso de menstruación incapa</w:t>
      </w:r>
      <w:r w:rsidRPr="001B21F2">
        <w:rPr>
          <w:rFonts w:cs="Times New Roman"/>
          <w:szCs w:val="20"/>
        </w:rPr>
        <w:t>citante secundaria, así como la debida a la interrupción del embarazo, voluntaria o no, mientras reciba asistencia sanitaria por el Servicio Público de Salud y esté impedida para el trabajo, sin perjuicio de aquellos supuestos en que la interrupción del em</w:t>
      </w:r>
      <w:r w:rsidRPr="001B21F2">
        <w:rPr>
          <w:rFonts w:cs="Times New Roman"/>
          <w:szCs w:val="20"/>
        </w:rPr>
        <w:t>barazo sea debida a accidente de trabajo o enfermedad profesional, en cuyo caso tendrá la consideración de situación de incapacidad temporal por contingencias profesionales</w:t>
      </w:r>
      <w:r w:rsidRPr="001B21F2">
        <w:rPr>
          <w:rFonts w:cs="Times New Roman"/>
          <w:szCs w:val="20"/>
        </w:rPr>
        <w:t>”</w:t>
      </w:r>
      <w:r w:rsidRPr="001B21F2">
        <w:rPr>
          <w:rFonts w:cs="Times New Roman"/>
          <w:szCs w:val="20"/>
        </w:rPr>
        <w:t>.</w:t>
      </w:r>
    </w:p>
  </w:footnote>
  <w:footnote w:id="83">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Adoptando el mismo título previsto en el artículo 237 del Código Sustantivo del</w:t>
      </w:r>
      <w:r w:rsidRPr="001B21F2">
        <w:rPr>
          <w:rFonts w:cs="Times New Roman"/>
          <w:szCs w:val="20"/>
        </w:rPr>
        <w:t xml:space="preserve"> Trabajo. </w:t>
      </w:r>
    </w:p>
  </w:footnote>
  <w:footnote w:id="84">
    <w:p w:rsidR="00832080" w:rsidRPr="001B21F2" w:rsidRDefault="000C03D2" w:rsidP="001B21F2">
      <w:pPr>
        <w:pStyle w:val="Textonotapie"/>
      </w:pPr>
      <w:r w:rsidRPr="001B21F2">
        <w:rPr>
          <w:rStyle w:val="Refdenotaalpie"/>
        </w:rPr>
        <w:footnoteRef/>
      </w:r>
      <w:r w:rsidRPr="001B21F2">
        <w:t xml:space="preserve"> </w:t>
      </w:r>
      <w:r w:rsidRPr="001B21F2">
        <w:rPr>
          <w:color w:val="000000" w:themeColor="text1"/>
        </w:rPr>
        <w:t xml:space="preserve">Personas a </w:t>
      </w:r>
      <w:r w:rsidRPr="001B21F2">
        <w:rPr>
          <w:color w:val="000000" w:themeColor="text1"/>
          <w:lang w:val="es-ES"/>
        </w:rPr>
        <w:t>quienes se les asignó el sexo femenino al nacer, pero cuya identidad de género se alinea con la masculinidad.</w:t>
      </w:r>
    </w:p>
  </w:footnote>
  <w:footnote w:id="85">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 C-324 de 2023. En esa oportunidad la Corte recordó que la jurisprudencia constitucional </w:t>
      </w:r>
      <w:r w:rsidRPr="001B21F2">
        <w:rPr>
          <w:rFonts w:cs="Times New Roman"/>
          <w:szCs w:val="20"/>
        </w:rPr>
        <w:t>“ha garantizado progresivamente los derechos de las personas transgénero en escenarios como los establecimientos carcelarios, el diagnóstico y acceso a los procedimientos médicos de reafirmación de género, la prohibición de discriminación en los ámbitos ed</w:t>
      </w:r>
      <w:r w:rsidRPr="001B21F2">
        <w:rPr>
          <w:rFonts w:cs="Times New Roman"/>
          <w:szCs w:val="20"/>
        </w:rPr>
        <w:t>ucativo y laboral y que reciban un trato acorde a su identidad autopercibida, la modificación de los documentos de identidad, el servicio militar y la pensión de vejez. Por su parte, la Corte ha protegido los derechos de las personas con identidad de géner</w:t>
      </w:r>
      <w:r w:rsidRPr="001B21F2">
        <w:rPr>
          <w:rFonts w:cs="Times New Roman"/>
          <w:szCs w:val="20"/>
        </w:rPr>
        <w:t>o no binario y ha ordenado la modificación del componente sexo en los documentos de identidad mediante la inclusión de un tercer marcador «no binario»”.</w:t>
      </w:r>
    </w:p>
  </w:footnote>
  <w:footnote w:id="86">
    <w:p w:rsidR="008561C7" w:rsidRPr="001B21F2" w:rsidRDefault="000C03D2" w:rsidP="001B21F2">
      <w:pPr>
        <w:pStyle w:val="p1"/>
        <w:jc w:val="both"/>
        <w:rPr>
          <w:rFonts w:ascii="Times New Roman" w:hAnsi="Times New Roman"/>
          <w:sz w:val="20"/>
          <w:szCs w:val="20"/>
        </w:rPr>
      </w:pPr>
      <w:r w:rsidRPr="001B21F2">
        <w:rPr>
          <w:rStyle w:val="Refdenotaalpie"/>
          <w:rFonts w:ascii="Times New Roman" w:hAnsi="Times New Roman"/>
          <w:sz w:val="20"/>
          <w:szCs w:val="20"/>
        </w:rPr>
        <w:footnoteRef/>
      </w:r>
      <w:r w:rsidRPr="001B21F2">
        <w:rPr>
          <w:rFonts w:ascii="Times New Roman" w:hAnsi="Times New Roman"/>
          <w:sz w:val="20"/>
          <w:szCs w:val="20"/>
        </w:rPr>
        <w:t xml:space="preserve"> Corte Constitucional. Sentencias C-600 de 201</w:t>
      </w:r>
      <w:r w:rsidRPr="001B21F2">
        <w:rPr>
          <w:rFonts w:ascii="Times New Roman" w:hAnsi="Times New Roman"/>
          <w:sz w:val="20"/>
          <w:szCs w:val="20"/>
        </w:rPr>
        <w:t>1</w:t>
      </w:r>
      <w:r w:rsidRPr="001B21F2">
        <w:rPr>
          <w:rFonts w:ascii="Times New Roman" w:hAnsi="Times New Roman"/>
          <w:sz w:val="20"/>
          <w:szCs w:val="20"/>
        </w:rPr>
        <w:t>, C-156 de 2022 y C-428 de 2025.</w:t>
      </w:r>
    </w:p>
  </w:footnote>
  <w:footnote w:id="87">
    <w:p w:rsidR="00E43411" w:rsidRPr="001B21F2" w:rsidRDefault="000C03D2" w:rsidP="001B21F2">
      <w:pPr>
        <w:pStyle w:val="Textonotapie"/>
        <w:tabs>
          <w:tab w:val="left" w:pos="4111"/>
        </w:tabs>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Sentencia C-101 de 2018.</w:t>
      </w:r>
    </w:p>
  </w:footnote>
  <w:footnote w:id="88">
    <w:p w:rsidR="00E43411"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Corte Constitucional. </w:t>
      </w:r>
      <w:r w:rsidRPr="001B21F2">
        <w:rPr>
          <w:rFonts w:cs="Times New Roman"/>
          <w:szCs w:val="20"/>
          <w:lang w:val="es-MX"/>
        </w:rPr>
        <w:t>Sentencias C-774 de 2001 y C-100 de 2019.</w:t>
      </w:r>
    </w:p>
  </w:footnote>
  <w:footnote w:id="89">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 C-324 de 2023. </w:t>
      </w:r>
    </w:p>
  </w:footnote>
  <w:footnote w:id="90">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Esta expansión en la protección de los derechos fundamentales fue reconocida por la Corte </w:t>
      </w:r>
      <w:r w:rsidRPr="001B21F2">
        <w:rPr>
          <w:rFonts w:cs="Times New Roman"/>
          <w:szCs w:val="20"/>
        </w:rPr>
        <w:t>Constitucional en relación con las personas con vivencias de género diversas y los derechos relacionados con la gestación, en la Sentencia C-324 de 2023.</w:t>
      </w:r>
    </w:p>
  </w:footnote>
  <w:footnote w:id="91">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 SU-261 de 2021. </w:t>
      </w:r>
    </w:p>
  </w:footnote>
  <w:footnote w:id="92">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 C-080 de 2024. Ta</w:t>
      </w:r>
      <w:r w:rsidRPr="001B21F2">
        <w:rPr>
          <w:rFonts w:cs="Times New Roman"/>
          <w:szCs w:val="20"/>
        </w:rPr>
        <w:t xml:space="preserve">mbién pueden verse las sentencias C-108 de 2023, C-442 de 2021, C-154 de 2022, SU-380 de 2021, C-234 de 2019, C-046A de 2019, entre otras. </w:t>
      </w:r>
    </w:p>
  </w:footnote>
  <w:footnote w:id="93">
    <w:p w:rsidR="00E43411" w:rsidRPr="001B21F2" w:rsidRDefault="000C03D2" w:rsidP="001B21F2">
      <w:pPr>
        <w:pStyle w:val="Textonotapie"/>
        <w:rPr>
          <w:rFonts w:cs="Times New Roman"/>
          <w:szCs w:val="20"/>
        </w:rPr>
      </w:pPr>
      <w:r w:rsidRPr="001B21F2">
        <w:rPr>
          <w:rStyle w:val="Refdenotaalpie"/>
          <w:rFonts w:eastAsia="Arial Unicode MS" w:cs="Times New Roman"/>
          <w:szCs w:val="20"/>
        </w:rPr>
        <w:footnoteRef/>
      </w:r>
      <w:r w:rsidRPr="001B21F2">
        <w:rPr>
          <w:rFonts w:cs="Times New Roman"/>
          <w:szCs w:val="20"/>
        </w:rPr>
        <w:t xml:space="preserve"> Corte Constitucional, Sentencia C-147 de 2017. También puede verse: </w:t>
      </w:r>
      <w:r w:rsidRPr="001B21F2">
        <w:rPr>
          <w:rFonts w:cs="Times New Roman"/>
          <w:noProof/>
          <w:szCs w:val="20"/>
        </w:rPr>
        <w:t xml:space="preserve">Leach, Edmund. </w:t>
      </w:r>
      <w:r w:rsidRPr="001B21F2">
        <w:rPr>
          <w:rFonts w:cs="Times New Roman"/>
          <w:i/>
          <w:iCs/>
          <w:noProof/>
          <w:szCs w:val="20"/>
        </w:rPr>
        <w:t>Cultura y comunicación: la lógi</w:t>
      </w:r>
      <w:r w:rsidRPr="001B21F2">
        <w:rPr>
          <w:rFonts w:cs="Times New Roman"/>
          <w:i/>
          <w:iCs/>
          <w:noProof/>
          <w:szCs w:val="20"/>
        </w:rPr>
        <w:t>ca de la conexión de los símbolos.</w:t>
      </w:r>
      <w:r w:rsidRPr="001B21F2">
        <w:rPr>
          <w:rFonts w:cs="Times New Roman"/>
          <w:noProof/>
          <w:szCs w:val="20"/>
        </w:rPr>
        <w:t xml:space="preserve"> México: Siglo Ventiuno Editores, 1985.</w:t>
      </w:r>
    </w:p>
  </w:footnote>
  <w:footnote w:id="94">
    <w:p w:rsidR="00E4341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Van Dijk, Teun A. El discurso y la reproducción del racismo. Lenguaje en Contexto, Universidad de buenos Aires, 1 (1-2), 1988, pp 132-133. </w:t>
      </w:r>
    </w:p>
  </w:footnote>
  <w:footnote w:id="95">
    <w:p w:rsidR="009B0F71" w:rsidRPr="001B21F2" w:rsidRDefault="000C03D2" w:rsidP="001B21F2">
      <w:pPr>
        <w:jc w:val="both"/>
        <w:rPr>
          <w:rFonts w:eastAsia="Arial"/>
          <w:color w:val="000000"/>
          <w:kern w:val="2"/>
          <w:sz w:val="20"/>
          <w:szCs w:val="20"/>
          <w14:ligatures w14:val="standardContextual"/>
        </w:rPr>
      </w:pPr>
      <w:r w:rsidRPr="001B21F2">
        <w:rPr>
          <w:rStyle w:val="Refdenotaalpie"/>
          <w:sz w:val="20"/>
          <w:szCs w:val="20"/>
        </w:rPr>
        <w:footnoteRef/>
      </w:r>
      <w:r w:rsidRPr="001B21F2">
        <w:rPr>
          <w:rStyle w:val="Refdenotaalpie"/>
          <w:sz w:val="20"/>
          <w:szCs w:val="20"/>
        </w:rPr>
        <w:t xml:space="preserve"> </w:t>
      </w:r>
      <w:r w:rsidRPr="001B21F2">
        <w:rPr>
          <w:rFonts w:eastAsia="Arial"/>
          <w:color w:val="000000"/>
          <w:kern w:val="2"/>
          <w:sz w:val="20"/>
          <w:szCs w:val="20"/>
          <w14:ligatures w14:val="standardContextual"/>
        </w:rPr>
        <w:t>Prestación económica que brinda el gob</w:t>
      </w:r>
      <w:r w:rsidRPr="001B21F2">
        <w:rPr>
          <w:rFonts w:eastAsia="Arial"/>
          <w:color w:val="000000"/>
          <w:kern w:val="2"/>
          <w:sz w:val="20"/>
          <w:szCs w:val="20"/>
          <w14:ligatures w14:val="standardContextual"/>
        </w:rPr>
        <w:t>ierno argentino a ciertas personas para ayudar a cubrir gastos relacionados con el embarazo, la crianza, la educación y situaciones de vulnerabilidad.</w:t>
      </w:r>
    </w:p>
  </w:footnote>
  <w:footnote w:id="96">
    <w:p w:rsidR="009B0F71"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Ley 4/2023, de 28 de febrero, para la igualdad real y efectiva de las personas trans y para la garantía de los derechos de las personas LGTBI, publicada en el BOE el 1 de marzo de 2023. Recuperado de: </w:t>
      </w:r>
      <w:hyperlink r:id="rId18" w:history="1">
        <w:r w:rsidRPr="001B21F2">
          <w:rPr>
            <w:rStyle w:val="Hipervnculo"/>
            <w:rFonts w:cs="Times New Roman"/>
            <w:szCs w:val="20"/>
          </w:rPr>
          <w:t>https://www.boe.es/diario_boe/txt.php?id=BOE-A-2023-5366</w:t>
        </w:r>
      </w:hyperlink>
      <w:r w:rsidRPr="001B21F2">
        <w:rPr>
          <w:rFonts w:cs="Times New Roman"/>
          <w:szCs w:val="20"/>
        </w:rPr>
        <w:t xml:space="preserve"> </w:t>
      </w:r>
    </w:p>
  </w:footnote>
  <w:footnote w:id="97">
    <w:p w:rsidR="00072A7A" w:rsidRPr="001B21F2" w:rsidRDefault="000C03D2" w:rsidP="001B21F2">
      <w:pPr>
        <w:jc w:val="both"/>
        <w:rPr>
          <w:color w:val="000000" w:themeColor="text1"/>
          <w:sz w:val="20"/>
          <w:szCs w:val="20"/>
        </w:rPr>
      </w:pPr>
      <w:r w:rsidRPr="001B21F2">
        <w:rPr>
          <w:rStyle w:val="Refdenotaalpie"/>
          <w:sz w:val="20"/>
          <w:szCs w:val="20"/>
        </w:rPr>
        <w:footnoteRef/>
      </w:r>
      <w:r w:rsidRPr="001B21F2">
        <w:rPr>
          <w:sz w:val="20"/>
          <w:szCs w:val="20"/>
        </w:rPr>
        <w:t xml:space="preserve"> “</w:t>
      </w:r>
      <w:r w:rsidRPr="001B21F2">
        <w:rPr>
          <w:color w:val="000000" w:themeColor="text1"/>
          <w:sz w:val="20"/>
          <w:szCs w:val="20"/>
        </w:rPr>
        <w:t>Estos derechos deben interpretarse conforme a los tratados internacionales sobre derechos humanos que integran el bloque de constitucionalidad por mandato del artículo 93 de la</w:t>
      </w:r>
      <w:r w:rsidRPr="001B21F2">
        <w:rPr>
          <w:color w:val="000000" w:themeColor="text1"/>
          <w:sz w:val="20"/>
          <w:szCs w:val="20"/>
        </w:rPr>
        <w:t xml:space="preserve"> Constitución, los cuales consagran los principios de igualdad y no discriminación, incluyendo expresamente la protección frente a tratos diferenciados por razones de identidad o expresión de género. En este sentido, resultan especialmente relevantes la Co</w:t>
      </w:r>
      <w:r w:rsidRPr="001B21F2">
        <w:rPr>
          <w:color w:val="000000" w:themeColor="text1"/>
          <w:sz w:val="20"/>
          <w:szCs w:val="20"/>
        </w:rPr>
        <w:t>nvención Americana sobre Derechos Humanos, el Pacto Internacional de Derechos Civiles y Políticos, el Pacto Internacional de Derechos Económicos, Sociales y Culturales, la Convención sobre la Eliminación de Todas las Formas de Discriminación contra la Muje</w:t>
      </w:r>
      <w:r w:rsidRPr="001B21F2">
        <w:rPr>
          <w:color w:val="000000" w:themeColor="text1"/>
          <w:sz w:val="20"/>
          <w:szCs w:val="20"/>
        </w:rPr>
        <w:t>r (CEDAW), y la Convención Interamericana para Prevenir, Sancionar y Erradicar la Violencia contra la Mujer (Convención de Belém do Pará), que reconocen la obligación de los Estados de garantizar el acceso efectivo a los derechos de todas las personas, sin</w:t>
      </w:r>
      <w:r w:rsidRPr="001B21F2">
        <w:rPr>
          <w:color w:val="000000" w:themeColor="text1"/>
          <w:sz w:val="20"/>
          <w:szCs w:val="20"/>
        </w:rPr>
        <w:t xml:space="preserve"> discriminación por razones de género o identidad de género”. Intervención Secretaría Distrital de la Mujer, </w:t>
      </w:r>
      <w:r w:rsidRPr="001B21F2">
        <w:rPr>
          <w:color w:val="000000" w:themeColor="text1"/>
          <w:sz w:val="20"/>
          <w:szCs w:val="20"/>
        </w:rPr>
        <w:t xml:space="preserve">disponible </w:t>
      </w:r>
    </w:p>
  </w:footnote>
  <w:footnote w:id="98">
    <w:p w:rsidR="00E43411" w:rsidRPr="001B21F2" w:rsidRDefault="000C03D2" w:rsidP="001B21F2">
      <w:pPr>
        <w:pStyle w:val="Textonotapie"/>
        <w:rPr>
          <w:rFonts w:cs="Times New Roman"/>
          <w:szCs w:val="20"/>
          <w:lang w:val="es-ES_tradnl"/>
        </w:rPr>
      </w:pPr>
      <w:r w:rsidRPr="001B21F2">
        <w:rPr>
          <w:rStyle w:val="Refdenotaalpie"/>
          <w:rFonts w:cs="Times New Roman"/>
          <w:szCs w:val="20"/>
        </w:rPr>
        <w:footnoteRef/>
      </w:r>
      <w:r w:rsidRPr="001B21F2">
        <w:rPr>
          <w:rFonts w:cs="Times New Roman"/>
          <w:szCs w:val="20"/>
        </w:rPr>
        <w:t xml:space="preserve"> Corte Constitucional, </w:t>
      </w:r>
      <w:r w:rsidRPr="001B21F2">
        <w:rPr>
          <w:rFonts w:cs="Times New Roman"/>
          <w:szCs w:val="20"/>
          <w:lang w:val="es-ES_tradnl"/>
        </w:rPr>
        <w:t xml:space="preserve">Sentencia C-324 de 2023. </w:t>
      </w:r>
    </w:p>
  </w:footnote>
  <w:footnote w:id="99">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Sentencias T-314 de 2011, T-478 de 2015 y T-363 de 2016.</w:t>
      </w:r>
    </w:p>
  </w:footnote>
  <w:footnote w:id="100">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Sentencias T-909 de 2011</w:t>
      </w:r>
      <w:r w:rsidRPr="001B21F2">
        <w:rPr>
          <w:rFonts w:cs="Times New Roman"/>
          <w:szCs w:val="20"/>
        </w:rPr>
        <w:t>, T-562 de 2013, T-565 de 2013, T-804 de 2014, T-099 de 2015, T-363 de 2016, T-030 de 2017, T-392 de 2017, T-143 de 2018 y T-335 de 2019.</w:t>
      </w:r>
    </w:p>
  </w:footnote>
  <w:footnote w:id="101">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Artículo 1° de la DUDH: «Todos los seres humanos nacen libres e iguales en dignidad y derechos y, dotados como están</w:t>
      </w:r>
      <w:r w:rsidRPr="001B21F2">
        <w:rPr>
          <w:rFonts w:cs="Times New Roman"/>
          <w:szCs w:val="20"/>
        </w:rPr>
        <w:t xml:space="preserve"> de razón y conciencia, deben comportarse fraternalmente los unos con los otros». Artículo 2° de la DUDH: «Toda persona tiene los derechos y libertades proclamados en esta Declaración, sin distinción alguna de raza, color, sexo, idioma, religión, opinión p</w:t>
      </w:r>
      <w:r w:rsidRPr="001B21F2">
        <w:rPr>
          <w:rFonts w:cs="Times New Roman"/>
          <w:szCs w:val="20"/>
        </w:rPr>
        <w:t>olítica o de cualquier otra índole, origen nacional o social, posición económica, nacimiento o cualquier otra condición.  Además, no se hará distinción alguna fundada en la condición política, jurídica o internacional del país o territorio de cuya jurisdic</w:t>
      </w:r>
      <w:r w:rsidRPr="001B21F2">
        <w:rPr>
          <w:rFonts w:cs="Times New Roman"/>
          <w:szCs w:val="20"/>
        </w:rPr>
        <w:t>ción dependa una persona, tanto si se trata de un país independiente, como de un territorio bajo administración fiduciaria, no autónomo o sometido a cualquier otra limitación de soberanía». Artículo 7° de la DUDH: «Todos son iguales ante la ley y tienen, s</w:t>
      </w:r>
      <w:r w:rsidRPr="001B21F2">
        <w:rPr>
          <w:rFonts w:cs="Times New Roman"/>
          <w:szCs w:val="20"/>
        </w:rPr>
        <w:t xml:space="preserve">in distinción, derecho a igual protección de la ley. Todos tienen derecho a igual protección contra toda discriminación que infrinja esta Declaración y contra toda provocación a tal discriminación». La DUDH ha sido considerada por la Corte Constitucional, </w:t>
      </w:r>
      <w:r w:rsidRPr="001B21F2">
        <w:rPr>
          <w:rFonts w:cs="Times New Roman"/>
          <w:szCs w:val="20"/>
        </w:rPr>
        <w:t>con fundamento en los artículos 93 y 94 de la Constitución, como parte del bloque de constitucionalidad en sentido estricto en Sentencias como la T-568 de 1999, C-504 de 2007 y C-084 de 2016.</w:t>
      </w:r>
    </w:p>
  </w:footnote>
  <w:footnote w:id="102">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w:t>
      </w:r>
      <w:r w:rsidRPr="001B21F2">
        <w:rPr>
          <w:rFonts w:cs="Times New Roman"/>
          <w:szCs w:val="20"/>
          <w:lang w:val="es-MX"/>
        </w:rPr>
        <w:t xml:space="preserve">Artículo 2.1 del PIDCP: «Cada uno de los Estados Partes en el </w:t>
      </w:r>
      <w:r w:rsidRPr="001B21F2">
        <w:rPr>
          <w:rFonts w:cs="Times New Roman"/>
          <w:szCs w:val="20"/>
          <w:lang w:val="es-MX"/>
        </w:rPr>
        <w:t xml:space="preserve">presente Pacto se compromete a respetar y a garantizar a todos los individuos que se encuentren en su territorio y estén sujetos a su jurisdicción los derechos reconocidos en el presente Pacto, sin distinción alguna de raza, color, sexo, idioma, religión, </w:t>
      </w:r>
      <w:r w:rsidRPr="001B21F2">
        <w:rPr>
          <w:rFonts w:cs="Times New Roman"/>
          <w:szCs w:val="20"/>
          <w:lang w:val="es-MX"/>
        </w:rPr>
        <w:t xml:space="preserve">opinión política o de otra índole, origen nacional o social, posición económica, nacimiento o cualquier otra condición social». Artículo 26 del PIDCP: «Todas las personas son iguales ante la ley y tienen derecho sin discriminación a igual protección de la </w:t>
      </w:r>
      <w:r w:rsidRPr="001B21F2">
        <w:rPr>
          <w:rFonts w:cs="Times New Roman"/>
          <w:szCs w:val="20"/>
          <w:lang w:val="es-MX"/>
        </w:rPr>
        <w:t xml:space="preserve">ley. A este respecto, la ley prohibirá toda discriminación y garantizará a todas las personas protección igual y efectiva contra cualquier discriminación por motivos de raza, color, sexo, idioma, religión, opiniones políticas o de cualquier índole, origen </w:t>
      </w:r>
      <w:r w:rsidRPr="001B21F2">
        <w:rPr>
          <w:rFonts w:cs="Times New Roman"/>
          <w:szCs w:val="20"/>
          <w:lang w:val="es-MX"/>
        </w:rPr>
        <w:t xml:space="preserve">nacional o social, posición económica, nacimiento o cualquier otra condición social». </w:t>
      </w:r>
      <w:r w:rsidRPr="001B21F2">
        <w:rPr>
          <w:rFonts w:cs="Times New Roman"/>
          <w:szCs w:val="20"/>
        </w:rPr>
        <w:t xml:space="preserve">El PIDCP fue ratificado por Colombia el 29 de octubre de 1969, previa aprobación mediante la Ley 74 de 1968 y entró en vigor, de acuerdo con las disposiciones del </w:t>
      </w:r>
      <w:r w:rsidRPr="001B21F2">
        <w:rPr>
          <w:rFonts w:cs="Times New Roman"/>
          <w:szCs w:val="20"/>
        </w:rPr>
        <w:t>instrumento, el 23 de marzo de 1976. Se ha considerado, con fundamento en los artículos 93 y 94 de la Constitución, como parte del bloque de constitucionalidad en las Sentencias C-393 de 2007, C-434 de 2010, C-066 de 2022 y T-042 de 2023. Comité de Derecho</w:t>
      </w:r>
      <w:r w:rsidRPr="001B21F2">
        <w:rPr>
          <w:rFonts w:cs="Times New Roman"/>
          <w:szCs w:val="20"/>
        </w:rPr>
        <w:t>s Económicos, Sociales y Culturales (2009). Observación General No. 20 La no discriminación y los derechos económicos, sociales y culturales (artículo 2, párrafo 2 del Pacto Internacional de Derechos Económicos, Sociales y Culturales. E/C.12/GC/20, párr. 3</w:t>
      </w:r>
      <w:r w:rsidRPr="001B21F2">
        <w:rPr>
          <w:rFonts w:cs="Times New Roman"/>
          <w:szCs w:val="20"/>
        </w:rPr>
        <w:t>2: «En “cualquier otra condición social”, tal y como se recoge en el artículo 2.2 del Pacto, se incluye la orientación sexual. Los Estados partes deben cerciorarse de que las preferencias sexuales de una persona no constituyan un obstáculo para hacer reali</w:t>
      </w:r>
      <w:r w:rsidRPr="001B21F2">
        <w:rPr>
          <w:rFonts w:cs="Times New Roman"/>
          <w:szCs w:val="20"/>
        </w:rPr>
        <w:t>dad los derechos que reconoce el Pacto, por ejemplo, a los efectos de acceder a la pensión de viudedad. La identidad de género también se reconoce como motivo prohibido de discriminación. Por ejemplo, los transgénero, los transexuales o los intersexo son v</w:t>
      </w:r>
      <w:r w:rsidRPr="001B21F2">
        <w:rPr>
          <w:rFonts w:cs="Times New Roman"/>
          <w:szCs w:val="20"/>
        </w:rPr>
        <w:t>íctimas frecuentes de graves violaciones de los derechos humanos, como el acoso en las escuelas o en el lugar de trabajo».</w:t>
      </w:r>
    </w:p>
  </w:footnote>
  <w:footnote w:id="103">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Artículo 2.2 del PIDESC: «Los Estados Partes en el presente Pacto se comprometen a garantizar el ejercicio de los derechos que en é</w:t>
      </w:r>
      <w:r w:rsidRPr="001B21F2">
        <w:rPr>
          <w:rFonts w:cs="Times New Roman"/>
          <w:szCs w:val="20"/>
        </w:rPr>
        <w:t>l se enuncian, sin discriminación alguna por motivos de raza, color, sexo, idioma, religión, opinión política o de otra índole, origen nacional o social, posición económica, nacimiento o cualquier otra condición social». El PIDESC fue ratificado por Colomb</w:t>
      </w:r>
      <w:r w:rsidRPr="001B21F2">
        <w:rPr>
          <w:rFonts w:cs="Times New Roman"/>
          <w:szCs w:val="20"/>
        </w:rPr>
        <w:t>ia el 29 de octubre de 1969, previa aprobación mediante la Ley 74 de 1968 y entró en vigor, de acuerdo con las disposiciones del instrumento, el 3 de enero de 1976. Se ha considerado, con fundamento en los artículos 93 y 94 de la Constitución, como parte d</w:t>
      </w:r>
      <w:r w:rsidRPr="001B21F2">
        <w:rPr>
          <w:rFonts w:cs="Times New Roman"/>
          <w:szCs w:val="20"/>
        </w:rPr>
        <w:t>el bloque de constitucionalidad en las Sentencias C-393 de 2007, C-434 de 2010, C-066 de 2022 y T-042 de 2023.</w:t>
      </w:r>
    </w:p>
  </w:footnote>
  <w:footnote w:id="104">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w:t>
      </w:r>
      <w:r w:rsidRPr="001B21F2">
        <w:rPr>
          <w:rFonts w:cs="Times New Roman"/>
          <w:szCs w:val="20"/>
          <w:lang w:val="es-MX"/>
        </w:rPr>
        <w:t>Artículo 2° de la Convención sobre los Derechos del Niño: «1. Los Estados Partes respetarán los derechos enunciados en la presente Convención y</w:t>
      </w:r>
      <w:r w:rsidRPr="001B21F2">
        <w:rPr>
          <w:rFonts w:cs="Times New Roman"/>
          <w:szCs w:val="20"/>
          <w:lang w:val="es-MX"/>
        </w:rPr>
        <w:t xml:space="preserve"> asegurarán su aplicación a cada niño sujeto a su jurisdicción, sin distinción alguna, independientemente de la raza, el color, el sexo, el idioma, la religión, la opinión política o de otra índole, el origen nacional, étnico o social, la posición económic</w:t>
      </w:r>
      <w:r w:rsidRPr="001B21F2">
        <w:rPr>
          <w:rFonts w:cs="Times New Roman"/>
          <w:szCs w:val="20"/>
          <w:lang w:val="es-MX"/>
        </w:rPr>
        <w:t>a, los impedimentos físicos, el nacimiento o cualquier otra condición del niño, de sus padres o de sus representantes legales. 2. Los Estados Partes tomarán todas las medidas apropiadas para garantizar que el niño se vea protegido contra toda forma de disc</w:t>
      </w:r>
      <w:r w:rsidRPr="001B21F2">
        <w:rPr>
          <w:rFonts w:cs="Times New Roman"/>
          <w:szCs w:val="20"/>
          <w:lang w:val="es-MX"/>
        </w:rPr>
        <w:t xml:space="preserve">riminación o castigo por causa de la condición, las actividades, las opiniones expresadas o las creencias de sus padres, o sus tutores o de sus familiares». La Convención sobre los Derechos del Niño </w:t>
      </w:r>
      <w:r w:rsidRPr="001B21F2">
        <w:rPr>
          <w:rFonts w:cs="Times New Roman"/>
          <w:szCs w:val="20"/>
        </w:rPr>
        <w:t xml:space="preserve">Colombia fue aprobada por medio de la Ley 12 de 1991. Se </w:t>
      </w:r>
      <w:r w:rsidRPr="001B21F2">
        <w:rPr>
          <w:rFonts w:cs="Times New Roman"/>
          <w:szCs w:val="20"/>
        </w:rPr>
        <w:t>ha considerado, con fundamento en los artículos 93 y 94 de la Constitución, como parte del bloque de constitucionalidad en la Sentencia C-355 de 2009.</w:t>
      </w:r>
    </w:p>
  </w:footnote>
  <w:footnote w:id="105">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Artículo 3° del Protocolo Adicional a la Convención Americana sobre Derechos Humanos en materia de Dere</w:t>
      </w:r>
      <w:r w:rsidRPr="001B21F2">
        <w:rPr>
          <w:rFonts w:cs="Times New Roman"/>
          <w:szCs w:val="20"/>
        </w:rPr>
        <w:t>chos Económicos, Sociales y Culturales «Protocolo de San Salvador»: «Los Estados partes en el presente Protocolo se comprometen a garantizar el ejercicio de los derechos que en él se enuncian, sin discriminación alguna por motivos de raza, color, sexo, idi</w:t>
      </w:r>
      <w:r w:rsidRPr="001B21F2">
        <w:rPr>
          <w:rFonts w:cs="Times New Roman"/>
          <w:szCs w:val="20"/>
        </w:rPr>
        <w:t>oma, religión, opiniones políticas o de cualquier otra índole, origen nacional o social, posición económica, nacimiento o cualquier otra condición social». El Protocolo de San Salvador fue ratificado por Colombia el 23 de diciembre de 1997, previa aprobaci</w:t>
      </w:r>
      <w:r w:rsidRPr="001B21F2">
        <w:rPr>
          <w:rFonts w:cs="Times New Roman"/>
          <w:szCs w:val="20"/>
        </w:rPr>
        <w:t>ón mediante la Ley 319 de 1996 y entró en vigor, de acuerdo con las disposiciones del instrumento, el 16 de noviembre de 1999. Se ha considerado como parte del bloque de constitucionalidad, con fundamento en los artículos 93 y 94 de la Constitución, en las</w:t>
      </w:r>
      <w:r w:rsidRPr="001B21F2">
        <w:rPr>
          <w:rFonts w:cs="Times New Roman"/>
          <w:szCs w:val="20"/>
        </w:rPr>
        <w:t xml:space="preserve"> Sentencias C-076 de 2006, C-376 de 2010, C-754 de 2015 y C-659 de 2016.</w:t>
      </w:r>
    </w:p>
  </w:footnote>
  <w:footnote w:id="106">
    <w:p w:rsidR="00036D03" w:rsidRPr="001B21F2" w:rsidRDefault="000C03D2" w:rsidP="001B21F2">
      <w:pPr>
        <w:pStyle w:val="Textonotapie"/>
        <w:rPr>
          <w:rFonts w:cs="Times New Roman"/>
          <w:szCs w:val="20"/>
        </w:rPr>
      </w:pPr>
      <w:r w:rsidRPr="001B21F2">
        <w:rPr>
          <w:rFonts w:cs="Times New Roman"/>
          <w:szCs w:val="20"/>
          <w:vertAlign w:val="superscript"/>
        </w:rPr>
        <w:footnoteRef/>
      </w:r>
      <w:r w:rsidRPr="001B21F2">
        <w:rPr>
          <w:rFonts w:cs="Times New Roman"/>
          <w:szCs w:val="20"/>
        </w:rPr>
        <w:t xml:space="preserve"> </w:t>
      </w:r>
      <w:r w:rsidRPr="001B21F2">
        <w:rPr>
          <w:rFonts w:cs="Times New Roman"/>
          <w:szCs w:val="20"/>
          <w:lang w:val="es-MX"/>
        </w:rPr>
        <w:t>Comité de Derechos Humanos (2011). Leyes y prácticas discriminatorias y actos de violencia cometidos contra personas por su orientación sexual e identidad de género. Informe del Alt</w:t>
      </w:r>
      <w:r w:rsidRPr="001B21F2">
        <w:rPr>
          <w:rFonts w:cs="Times New Roman"/>
          <w:szCs w:val="20"/>
          <w:lang w:val="es-MX"/>
        </w:rPr>
        <w:t>o Comisionado de las Naciones Unidas para los Derechos Humanos. A/HRC/19/41.</w:t>
      </w:r>
    </w:p>
  </w:footnote>
  <w:footnote w:id="107">
    <w:p w:rsidR="00B37E98" w:rsidRPr="001B21F2"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S</w:t>
      </w:r>
      <w:r w:rsidRPr="001B21F2">
        <w:rPr>
          <w:rFonts w:cs="Times New Roman"/>
          <w:color w:val="2D2D2D"/>
          <w:szCs w:val="20"/>
          <w:shd w:val="clear" w:color="auto" w:fill="FFFFFF"/>
        </w:rPr>
        <w:t xml:space="preserve">entencias C-371 de 2000 y C-963 de 2003. “Los criterios sospechosos son, en últimas, categorías que ‘i) se fundan en rasgos permanentes de las personas, de las cuales éstas no </w:t>
      </w:r>
      <w:r w:rsidRPr="001B21F2">
        <w:rPr>
          <w:rFonts w:cs="Times New Roman"/>
          <w:color w:val="2D2D2D"/>
          <w:szCs w:val="20"/>
          <w:shd w:val="clear" w:color="auto" w:fill="FFFFFF"/>
        </w:rPr>
        <w:t>pueden prescindir por voluntad propia a riesgo de perder su identidad; (ii) han estado sometidas, históricamente, a patrones de valoración cultural que tienden a menospreciarlas; y, (iii) no constituyen, per se, criterios con base en los cuales sea posible</w:t>
      </w:r>
      <w:r w:rsidRPr="001B21F2">
        <w:rPr>
          <w:rFonts w:cs="Times New Roman"/>
          <w:color w:val="2D2D2D"/>
          <w:szCs w:val="20"/>
          <w:shd w:val="clear" w:color="auto" w:fill="FFFFFF"/>
        </w:rPr>
        <w:t xml:space="preserve"> efectuar una distribución o reparto racional y equitativo de bienes, derechos o cargas sociales. El constituyente consideró, entonces, que cuando se acude a esas características o factores para establecer diferencias en el trato, se presume que se ha incu</w:t>
      </w:r>
      <w:r w:rsidRPr="001B21F2">
        <w:rPr>
          <w:rFonts w:cs="Times New Roman"/>
          <w:color w:val="2D2D2D"/>
          <w:szCs w:val="20"/>
          <w:shd w:val="clear" w:color="auto" w:fill="FFFFFF"/>
        </w:rPr>
        <w:t>rrido en una conducta injusta y arbitraria que viola el derecho a la igualdad’”.</w:t>
      </w:r>
    </w:p>
  </w:footnote>
  <w:footnote w:id="108">
    <w:p w:rsidR="00E43411" w:rsidRPr="00C33DD3" w:rsidRDefault="000C03D2" w:rsidP="001B21F2">
      <w:pPr>
        <w:pStyle w:val="Textonotapie"/>
        <w:rPr>
          <w:rFonts w:cs="Times New Roman"/>
          <w:szCs w:val="20"/>
        </w:rPr>
      </w:pPr>
      <w:r w:rsidRPr="001B21F2">
        <w:rPr>
          <w:rStyle w:val="Refdenotaalpie"/>
          <w:rFonts w:cs="Times New Roman"/>
          <w:szCs w:val="20"/>
        </w:rPr>
        <w:footnoteRef/>
      </w:r>
      <w:r w:rsidRPr="001B21F2">
        <w:rPr>
          <w:rFonts w:cs="Times New Roman"/>
          <w:szCs w:val="20"/>
        </w:rPr>
        <w:t xml:space="preserve"> Corte Constitucional, sentencias C-415 de 2022 y C-071 de 2025.</w:t>
      </w:r>
      <w:r w:rsidRPr="00C33DD3">
        <w:rPr>
          <w:rFonts w:cs="Times New Roman"/>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014EDC"/>
    <w:multiLevelType w:val="hybridMultilevel"/>
    <w:tmpl w:val="651C6796"/>
    <w:lvl w:ilvl="0" w:tplc="D1B8FCE4">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47E84074"/>
    <w:multiLevelType w:val="hybridMultilevel"/>
    <w:tmpl w:val="FFFFFFFF"/>
    <w:lvl w:ilvl="0" w:tplc="546400A4">
      <w:start w:val="1"/>
      <w:numFmt w:val="lowerRoman"/>
      <w:lvlText w:val="(%1)"/>
      <w:lvlJc w:val="left"/>
      <w:pPr>
        <w:ind w:left="720" w:hanging="72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 w15:restartNumberingAfterBreak="0">
    <w:nsid w:val="4859487C"/>
    <w:multiLevelType w:val="hybridMultilevel"/>
    <w:tmpl w:val="A2EE1682"/>
    <w:lvl w:ilvl="0" w:tplc="E9B209AE">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4BC634EE"/>
    <w:multiLevelType w:val="multilevel"/>
    <w:tmpl w:val="5A6A055E"/>
    <w:lvl w:ilvl="0">
      <w:start w:val="1"/>
      <w:numFmt w:val="decimal"/>
      <w:lvlText w:val="%1."/>
      <w:lvlJc w:val="left"/>
      <w:pPr>
        <w:ind w:left="360" w:hanging="360"/>
      </w:pPr>
      <w:rPr>
        <w:rFonts w:ascii="Times New Roman" w:hAnsi="Times New Roman" w:cs="Times New Roman" w:hint="default"/>
        <w:b w:val="0"/>
        <w:i w:val="0"/>
        <w:color w:val="000000"/>
        <w:sz w:val="28"/>
        <w:szCs w:val="28"/>
        <w:vertAlign w:val="baseline"/>
        <w:lang w:val="es-CO"/>
      </w:rPr>
    </w:lvl>
    <w:lvl w:ilvl="1">
      <w:start w:val="1"/>
      <w:numFmt w:val="decimal"/>
      <w:lvlText w:val="%1.%2."/>
      <w:lvlJc w:val="left"/>
      <w:pPr>
        <w:ind w:left="792" w:hanging="432"/>
      </w:pPr>
      <w:rPr>
        <w:rFonts w:cs="Times New Roman"/>
        <w:b w:val="0"/>
        <w:i w:val="0"/>
        <w:color w:val="000000"/>
        <w:sz w:val="28"/>
        <w:szCs w:val="28"/>
        <w:vertAlign w:val="baseline"/>
      </w:rPr>
    </w:lvl>
    <w:lvl w:ilvl="2">
      <w:start w:val="1"/>
      <w:numFmt w:val="decimal"/>
      <w:lvlText w:val="%1.%2.%3."/>
      <w:lvlJc w:val="left"/>
      <w:pPr>
        <w:ind w:left="1224" w:hanging="504"/>
      </w:pPr>
      <w:rPr>
        <w:rFonts w:cs="Times New Roman"/>
        <w:i w:val="0"/>
        <w:vertAlign w:val="baseline"/>
      </w:rPr>
    </w:lvl>
    <w:lvl w:ilvl="3">
      <w:start w:val="1"/>
      <w:numFmt w:val="decimal"/>
      <w:lvlText w:val="%1.%2.%3.%4."/>
      <w:lvlJc w:val="left"/>
      <w:pPr>
        <w:ind w:left="1728" w:hanging="647"/>
      </w:pPr>
      <w:rPr>
        <w:rFonts w:cs="Times New Roman"/>
        <w:i w:val="0"/>
        <w:vertAlign w:val="baseline"/>
      </w:rPr>
    </w:lvl>
    <w:lvl w:ilvl="4">
      <w:start w:val="1"/>
      <w:numFmt w:val="decimal"/>
      <w:lvlText w:val="%1.%2.%3.%4.%5."/>
      <w:lvlJc w:val="left"/>
      <w:pPr>
        <w:ind w:left="2232" w:hanging="792"/>
      </w:pPr>
      <w:rPr>
        <w:rFonts w:cs="Times New Roman"/>
        <w:vertAlign w:val="baseline"/>
      </w:rPr>
    </w:lvl>
    <w:lvl w:ilvl="5">
      <w:start w:val="1"/>
      <w:numFmt w:val="decimal"/>
      <w:lvlText w:val="%1.%2.%3.%4.%5.%6."/>
      <w:lvlJc w:val="left"/>
      <w:pPr>
        <w:ind w:left="2736" w:hanging="935"/>
      </w:pPr>
      <w:rPr>
        <w:rFonts w:cs="Times New Roman"/>
        <w:vertAlign w:val="baseline"/>
      </w:rPr>
    </w:lvl>
    <w:lvl w:ilvl="6">
      <w:start w:val="1"/>
      <w:numFmt w:val="decimal"/>
      <w:lvlText w:val="%1.%2.%3.%4.%5.%6.%7."/>
      <w:lvlJc w:val="left"/>
      <w:pPr>
        <w:ind w:left="3240" w:hanging="1080"/>
      </w:pPr>
      <w:rPr>
        <w:rFonts w:cs="Times New Roman"/>
        <w:vertAlign w:val="baseline"/>
      </w:rPr>
    </w:lvl>
    <w:lvl w:ilvl="7">
      <w:start w:val="1"/>
      <w:numFmt w:val="decimal"/>
      <w:lvlText w:val="%1.%2.%3.%4.%5.%6.%7.%8."/>
      <w:lvlJc w:val="left"/>
      <w:pPr>
        <w:ind w:left="3744" w:hanging="1224"/>
      </w:pPr>
      <w:rPr>
        <w:rFonts w:cs="Times New Roman"/>
        <w:vertAlign w:val="baseline"/>
      </w:rPr>
    </w:lvl>
    <w:lvl w:ilvl="8">
      <w:start w:val="1"/>
      <w:numFmt w:val="decimal"/>
      <w:lvlText w:val="%1.%2.%3.%4.%5.%6.%7.%8.%9."/>
      <w:lvlJc w:val="left"/>
      <w:pPr>
        <w:ind w:left="4320" w:hanging="1440"/>
      </w:pPr>
      <w:rPr>
        <w:rFonts w:cs="Times New Roman"/>
        <w:vertAlign w:val="baseline"/>
      </w:rPr>
    </w:lvl>
  </w:abstractNum>
  <w:abstractNum w:abstractNumId="4" w15:restartNumberingAfterBreak="0">
    <w:nsid w:val="4C687411"/>
    <w:multiLevelType w:val="multilevel"/>
    <w:tmpl w:val="23144090"/>
    <w:lvl w:ilvl="0">
      <w:start w:val="1"/>
      <w:numFmt w:val="decimal"/>
      <w:lvlText w:val="%1."/>
      <w:lvlJc w:val="left"/>
      <w:pPr>
        <w:ind w:left="720" w:hanging="360"/>
      </w:pPr>
      <w:rPr>
        <w:rFonts w:eastAsia="Calibri" w:hint="default"/>
        <w:b/>
        <w:bCs/>
        <w:i w:val="0"/>
      </w:rPr>
    </w:lvl>
    <w:lvl w:ilvl="1">
      <w:start w:val="1"/>
      <w:numFmt w:val="decimal"/>
      <w:isLgl/>
      <w:lvlText w:val="%1.%2."/>
      <w:lvlJc w:val="left"/>
      <w:pPr>
        <w:ind w:left="1080" w:hanging="720"/>
      </w:pPr>
      <w:rPr>
        <w:rFonts w:hint="default"/>
        <w:b/>
        <w:bCs/>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BA93BAD"/>
    <w:multiLevelType w:val="multilevel"/>
    <w:tmpl w:val="43FA2380"/>
    <w:lvl w:ilvl="0">
      <w:start w:val="1"/>
      <w:numFmt w:val="upperRoman"/>
      <w:lvlText w:val="%1."/>
      <w:lvlJc w:val="left"/>
      <w:pPr>
        <w:ind w:left="720" w:hanging="360"/>
      </w:pPr>
      <w:rPr>
        <w:rFonts w:cs="Times New Roman" w:hint="default"/>
        <w:b/>
      </w:rPr>
    </w:lvl>
    <w:lvl w:ilvl="1">
      <w:start w:val="2"/>
      <w:numFmt w:val="decimal"/>
      <w:isLgl/>
      <w:lvlText w:val="%1.%2."/>
      <w:lvlJc w:val="left"/>
      <w:pPr>
        <w:ind w:left="1080" w:hanging="720"/>
      </w:pPr>
      <w:rPr>
        <w:rFonts w:hint="default"/>
        <w:sz w:val="28"/>
      </w:rPr>
    </w:lvl>
    <w:lvl w:ilvl="2">
      <w:start w:val="2"/>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6" w15:restartNumberingAfterBreak="0">
    <w:nsid w:val="799517E9"/>
    <w:multiLevelType w:val="hybridMultilevel"/>
    <w:tmpl w:val="DB2A91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E304BE8"/>
    <w:multiLevelType w:val="multilevel"/>
    <w:tmpl w:val="0764CD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i/>
        <w:i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abstractNumId w:val="5"/>
  </w:num>
  <w:num w:numId="2">
    <w:abstractNumId w:val="4"/>
  </w:num>
  <w:num w:numId="3">
    <w:abstractNumId w:val="3"/>
  </w:num>
  <w:num w:numId="4">
    <w:abstractNumId w:val="7"/>
  </w:num>
  <w:num w:numId="5">
    <w:abstractNumId w:val="1"/>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617172"/>
    <w:rsid w:val="00027DC9"/>
    <w:rsid w:val="000C03D2"/>
    <w:rsid w:val="006171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F413223A-6B00-4120-8437-A26CDA7E8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6A725A"/>
    <w:pPr>
      <w:keepNext/>
      <w:keepLines/>
      <w:spacing w:before="360" w:after="80"/>
      <w:jc w:val="both"/>
      <w:outlineLvl w:val="0"/>
    </w:pPr>
    <w:rPr>
      <w:rFonts w:asciiTheme="majorHAnsi" w:eastAsiaTheme="majorEastAsia" w:hAnsiTheme="majorHAnsi" w:cstheme="majorBidi"/>
      <w:color w:val="2F5496" w:themeColor="accent1" w:themeShade="BF"/>
      <w:sz w:val="40"/>
      <w:szCs w:val="40"/>
      <w:lang w:eastAsia="en-US"/>
    </w:rPr>
  </w:style>
  <w:style w:type="paragraph" w:styleId="Ttulo2">
    <w:name w:val="heading 2"/>
    <w:basedOn w:val="Normal"/>
    <w:next w:val="Normal"/>
    <w:link w:val="Ttulo2Car"/>
    <w:uiPriority w:val="9"/>
    <w:unhideWhenUsed/>
    <w:qFormat/>
    <w:rsid w:val="006A725A"/>
    <w:pPr>
      <w:keepNext/>
      <w:keepLines/>
      <w:spacing w:before="160" w:after="80"/>
      <w:jc w:val="both"/>
      <w:outlineLvl w:val="1"/>
    </w:pPr>
    <w:rPr>
      <w:rFonts w:asciiTheme="majorHAnsi" w:eastAsiaTheme="majorEastAsia" w:hAnsiTheme="majorHAnsi" w:cstheme="majorBidi"/>
      <w:color w:val="2F5496" w:themeColor="accent1" w:themeShade="BF"/>
      <w:sz w:val="32"/>
      <w:szCs w:val="32"/>
      <w:lang w:eastAsia="en-US"/>
    </w:rPr>
  </w:style>
  <w:style w:type="paragraph" w:styleId="Ttulo3">
    <w:name w:val="heading 3"/>
    <w:basedOn w:val="Normal"/>
    <w:next w:val="Normal"/>
    <w:link w:val="Ttulo3Car"/>
    <w:uiPriority w:val="9"/>
    <w:semiHidden/>
    <w:unhideWhenUsed/>
    <w:qFormat/>
    <w:rsid w:val="006A725A"/>
    <w:pPr>
      <w:keepNext/>
      <w:keepLines/>
      <w:spacing w:before="160" w:after="80"/>
      <w:jc w:val="both"/>
      <w:outlineLvl w:val="2"/>
    </w:pPr>
    <w:rPr>
      <w:rFonts w:eastAsiaTheme="majorEastAsia" w:cstheme="majorBidi"/>
      <w:color w:val="2F5496" w:themeColor="accent1" w:themeShade="BF"/>
      <w:sz w:val="28"/>
      <w:szCs w:val="28"/>
      <w:lang w:eastAsia="en-US"/>
    </w:rPr>
  </w:style>
  <w:style w:type="paragraph" w:styleId="Ttulo4">
    <w:name w:val="heading 4"/>
    <w:basedOn w:val="Normal"/>
    <w:next w:val="Normal"/>
    <w:link w:val="Ttulo4Car"/>
    <w:uiPriority w:val="9"/>
    <w:semiHidden/>
    <w:unhideWhenUsed/>
    <w:qFormat/>
    <w:rsid w:val="006A725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A725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A725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A725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A725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A725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A725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6A725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A725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A725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A725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A72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A72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A72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A725A"/>
    <w:rPr>
      <w:rFonts w:eastAsiaTheme="majorEastAsia" w:cstheme="majorBidi"/>
      <w:color w:val="272727" w:themeColor="text1" w:themeTint="D8"/>
    </w:rPr>
  </w:style>
  <w:style w:type="paragraph" w:styleId="Ttulo">
    <w:name w:val="Title"/>
    <w:basedOn w:val="Normal"/>
    <w:next w:val="Normal"/>
    <w:link w:val="TtuloCar"/>
    <w:uiPriority w:val="10"/>
    <w:qFormat/>
    <w:rsid w:val="006A725A"/>
    <w:pPr>
      <w:spacing w:after="80"/>
      <w:contextualSpacing/>
      <w:jc w:val="both"/>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6A72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A725A"/>
    <w:pPr>
      <w:numPr>
        <w:ilvl w:val="1"/>
      </w:numPr>
      <w:jc w:val="both"/>
    </w:pPr>
    <w:rPr>
      <w:rFonts w:eastAsiaTheme="majorEastAsia" w:cstheme="majorBidi"/>
      <w:color w:val="595959" w:themeColor="text1" w:themeTint="A6"/>
      <w:spacing w:val="15"/>
      <w:sz w:val="28"/>
      <w:szCs w:val="28"/>
      <w:lang w:eastAsia="en-US"/>
    </w:rPr>
  </w:style>
  <w:style w:type="character" w:customStyle="1" w:styleId="SubttuloCar">
    <w:name w:val="Subtítulo Car"/>
    <w:basedOn w:val="Fuentedeprrafopredeter"/>
    <w:link w:val="Subttulo"/>
    <w:uiPriority w:val="11"/>
    <w:rsid w:val="006A72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A725A"/>
    <w:pPr>
      <w:spacing w:before="160"/>
      <w:jc w:val="center"/>
    </w:pPr>
    <w:rPr>
      <w:rFonts w:eastAsiaTheme="minorHAnsi"/>
      <w:i/>
      <w:iCs/>
      <w:color w:val="404040" w:themeColor="text1" w:themeTint="BF"/>
      <w:sz w:val="28"/>
      <w:lang w:eastAsia="en-US"/>
    </w:rPr>
  </w:style>
  <w:style w:type="character" w:customStyle="1" w:styleId="CitaCar">
    <w:name w:val="Cita Car"/>
    <w:basedOn w:val="Fuentedeprrafopredeter"/>
    <w:link w:val="Cita"/>
    <w:uiPriority w:val="29"/>
    <w:rsid w:val="006A725A"/>
    <w:rPr>
      <w:i/>
      <w:iCs/>
      <w:color w:val="404040" w:themeColor="text1" w:themeTint="BF"/>
    </w:rPr>
  </w:style>
  <w:style w:type="paragraph" w:styleId="Prrafodelista">
    <w:name w:val="List Paragraph"/>
    <w:aliases w:val="Footnote,Colorful List - Accent 11,List Paragraph2,List Paragraph1,Ha,lp1,Párrafo,Numbered Paragraph,Bullets,titulo 3,BOLADEF,BOLA,Párrafo de lista21,Guión,Titulo 8,HOJA,Chulito,Párrafo de lista3,MIBEX B,TITULO1REQ,Párrafo de lista31"/>
    <w:basedOn w:val="Normal"/>
    <w:link w:val="PrrafodelistaCar"/>
    <w:uiPriority w:val="34"/>
    <w:qFormat/>
    <w:rsid w:val="006A725A"/>
    <w:pPr>
      <w:ind w:left="720"/>
      <w:contextualSpacing/>
      <w:jc w:val="both"/>
    </w:pPr>
    <w:rPr>
      <w:rFonts w:eastAsiaTheme="minorHAnsi"/>
      <w:sz w:val="28"/>
      <w:lang w:eastAsia="en-US"/>
    </w:rPr>
  </w:style>
  <w:style w:type="character" w:styleId="nfasisintenso">
    <w:name w:val="Intense Emphasis"/>
    <w:basedOn w:val="Fuentedeprrafopredeter"/>
    <w:uiPriority w:val="21"/>
    <w:qFormat/>
    <w:rsid w:val="006A725A"/>
    <w:rPr>
      <w:i/>
      <w:iCs/>
      <w:color w:val="2F5496" w:themeColor="accent1" w:themeShade="BF"/>
    </w:rPr>
  </w:style>
  <w:style w:type="paragraph" w:styleId="Citadestacada">
    <w:name w:val="Intense Quote"/>
    <w:basedOn w:val="Normal"/>
    <w:next w:val="Normal"/>
    <w:link w:val="CitadestacadaCar"/>
    <w:uiPriority w:val="30"/>
    <w:qFormat/>
    <w:rsid w:val="006A725A"/>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sz w:val="28"/>
      <w:lang w:eastAsia="en-US"/>
    </w:rPr>
  </w:style>
  <w:style w:type="character" w:customStyle="1" w:styleId="CitadestacadaCar">
    <w:name w:val="Cita destacada Car"/>
    <w:basedOn w:val="Fuentedeprrafopredeter"/>
    <w:link w:val="Citadestacada"/>
    <w:uiPriority w:val="30"/>
    <w:rsid w:val="006A725A"/>
    <w:rPr>
      <w:i/>
      <w:iCs/>
      <w:color w:val="2F5496" w:themeColor="accent1" w:themeShade="BF"/>
    </w:rPr>
  </w:style>
  <w:style w:type="character" w:styleId="Referenciaintensa">
    <w:name w:val="Intense Reference"/>
    <w:basedOn w:val="Fuentedeprrafopredeter"/>
    <w:uiPriority w:val="32"/>
    <w:qFormat/>
    <w:rsid w:val="006A725A"/>
    <w:rPr>
      <w:b/>
      <w:bCs/>
      <w:smallCaps/>
      <w:color w:val="2F5496" w:themeColor="accent1" w:themeShade="BF"/>
      <w:spacing w:val="5"/>
    </w:rPr>
  </w:style>
  <w:style w:type="paragraph" w:styleId="Piedepgina">
    <w:name w:val="footer"/>
    <w:basedOn w:val="Normal"/>
    <w:link w:val="PiedepginaCar"/>
    <w:uiPriority w:val="99"/>
    <w:unhideWhenUsed/>
    <w:rsid w:val="006A725A"/>
    <w:pPr>
      <w:tabs>
        <w:tab w:val="center" w:pos="4252"/>
        <w:tab w:val="right" w:pos="8504"/>
      </w:tabs>
      <w:jc w:val="both"/>
    </w:pPr>
    <w:rPr>
      <w:rFonts w:eastAsiaTheme="minorHAnsi"/>
      <w:sz w:val="28"/>
      <w:lang w:eastAsia="en-US"/>
    </w:rPr>
  </w:style>
  <w:style w:type="character" w:customStyle="1" w:styleId="PiedepginaCar">
    <w:name w:val="Pie de página Car"/>
    <w:basedOn w:val="Fuentedeprrafopredeter"/>
    <w:link w:val="Piedepgina"/>
    <w:uiPriority w:val="99"/>
    <w:rsid w:val="006A725A"/>
  </w:style>
  <w:style w:type="character" w:styleId="Nmerodepgina">
    <w:name w:val="page number"/>
    <w:basedOn w:val="Fuentedeprrafopredeter"/>
    <w:uiPriority w:val="99"/>
    <w:semiHidden/>
    <w:unhideWhenUsed/>
    <w:rsid w:val="006A725A"/>
  </w:style>
  <w:style w:type="paragraph" w:customStyle="1" w:styleId="Cuerpo">
    <w:name w:val="Cuerpo"/>
    <w:rsid w:val="0002695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8"/>
      <w:szCs w:val="28"/>
      <w:u w:color="000000"/>
      <w:bdr w:val="nil"/>
    </w:rPr>
  </w:style>
  <w:style w:type="character" w:customStyle="1" w:styleId="PrrafodelistaCar">
    <w:name w:val="Párrafo de lista Car"/>
    <w:aliases w:val="Footnote Car,Colorful List - Accent 11 Car,List Paragraph2 Car,List Paragraph1 Car,Ha Car,lp1 Car,Párrafo Car,Numbered Paragraph Car,Bullets Car,titulo 3 Car,BOLADEF Car,BOLA Car,Párrafo de lista21 Car,Guión Car,Titulo 8 Car"/>
    <w:link w:val="Prrafodelista"/>
    <w:uiPriority w:val="34"/>
    <w:qFormat/>
    <w:locked/>
    <w:rsid w:val="00026955"/>
    <w:rPr>
      <w:rFonts w:ascii="Times New Roman" w:hAnsi="Times New Roman"/>
      <w:kern w:val="0"/>
      <w:sz w:val="28"/>
      <w:szCs w:val="22"/>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locked/>
    <w:rsid w:val="00026955"/>
    <w:rPr>
      <w:rFonts w:ascii="Times New Roman" w:eastAsia="Arial" w:hAnsi="Times New Roman" w:cs="Arial"/>
      <w:color w:val="000000"/>
      <w:sz w:val="20"/>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notentext,ft"/>
    <w:basedOn w:val="Normal"/>
    <w:link w:val="TextonotapieCar"/>
    <w:uiPriority w:val="99"/>
    <w:unhideWhenUsed/>
    <w:qFormat/>
    <w:rsid w:val="00026955"/>
    <w:pPr>
      <w:jc w:val="both"/>
    </w:pPr>
    <w:rPr>
      <w:rFonts w:eastAsia="Arial" w:cs="Arial"/>
      <w:color w:val="000000"/>
      <w:kern w:val="2"/>
      <w:sz w:val="20"/>
    </w:rPr>
  </w:style>
  <w:style w:type="character" w:customStyle="1" w:styleId="TextonotapieCar1">
    <w:name w:val="Texto nota pie Car1"/>
    <w:basedOn w:val="Fuentedeprrafopredeter"/>
    <w:uiPriority w:val="99"/>
    <w:semiHidden/>
    <w:rsid w:val="00026955"/>
    <w:rPr>
      <w:rFonts w:ascii="Times New Roman" w:hAnsi="Times New Roman"/>
      <w:kern w:val="0"/>
      <w:sz w:val="20"/>
      <w:szCs w:val="20"/>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02695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026955"/>
    <w:pPr>
      <w:jc w:val="both"/>
    </w:pPr>
    <w:rPr>
      <w:rFonts w:eastAsiaTheme="minorHAnsi"/>
      <w:kern w:val="2"/>
      <w:vertAlign w:val="superscript"/>
      <w:lang w:eastAsia="en-US"/>
    </w:rPr>
  </w:style>
  <w:style w:type="table" w:styleId="Tablaconcuadrcula">
    <w:name w:val="Table Grid"/>
    <w:basedOn w:val="Tablanormal"/>
    <w:uiPriority w:val="39"/>
    <w:rsid w:val="00026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715D5"/>
    <w:rPr>
      <w:color w:val="0563C1" w:themeColor="hyperlink"/>
      <w:u w:val="single"/>
    </w:rPr>
  </w:style>
  <w:style w:type="character" w:styleId="Mencinsinresolver">
    <w:name w:val="Unresolved Mention"/>
    <w:basedOn w:val="Fuentedeprrafopredeter"/>
    <w:uiPriority w:val="99"/>
    <w:semiHidden/>
    <w:unhideWhenUsed/>
    <w:rsid w:val="001715D5"/>
    <w:rPr>
      <w:color w:val="605E5C"/>
      <w:shd w:val="clear" w:color="auto" w:fill="E1DFDD"/>
    </w:rPr>
  </w:style>
  <w:style w:type="paragraph" w:customStyle="1" w:styleId="p1">
    <w:name w:val="p1"/>
    <w:basedOn w:val="Normal"/>
    <w:rsid w:val="001106C7"/>
    <w:rPr>
      <w:rFonts w:ascii="Arial Narrow" w:hAnsi="Arial Narrow"/>
      <w:color w:val="000000"/>
      <w:sz w:val="18"/>
      <w:szCs w:val="18"/>
    </w:rPr>
  </w:style>
  <w:style w:type="paragraph" w:styleId="NormalWeb">
    <w:name w:val="Normal (Web)"/>
    <w:basedOn w:val="Normal"/>
    <w:uiPriority w:val="99"/>
    <w:unhideWhenUsed/>
    <w:rsid w:val="000A4D7D"/>
    <w:pPr>
      <w:spacing w:before="100" w:beforeAutospacing="1" w:after="100" w:afterAutospacing="1"/>
    </w:pPr>
  </w:style>
  <w:style w:type="character" w:customStyle="1" w:styleId="apple-converted-space">
    <w:name w:val="apple-converted-space"/>
    <w:basedOn w:val="Fuentedeprrafopredeter"/>
    <w:rsid w:val="001134D2"/>
  </w:style>
  <w:style w:type="character" w:styleId="Textoennegrita">
    <w:name w:val="Strong"/>
    <w:basedOn w:val="Fuentedeprrafopredeter"/>
    <w:uiPriority w:val="22"/>
    <w:qFormat/>
    <w:rsid w:val="001134D2"/>
    <w:rPr>
      <w:b/>
      <w:bCs/>
    </w:rPr>
  </w:style>
  <w:style w:type="paragraph" w:customStyle="1" w:styleId="Piedepagina">
    <w:name w:val="Pie de pagina"/>
    <w:aliases w:val="Ref. de nota al pie2"/>
    <w:basedOn w:val="Normal"/>
    <w:uiPriority w:val="99"/>
    <w:qFormat/>
    <w:rsid w:val="00284FFC"/>
    <w:pPr>
      <w:spacing w:line="240" w:lineRule="exact"/>
    </w:pPr>
    <w:rPr>
      <w:rFonts w:eastAsiaTheme="minorHAnsi"/>
      <w:vertAlign w:val="superscript"/>
      <w:lang w:eastAsia="en-US"/>
    </w:rPr>
  </w:style>
  <w:style w:type="character" w:styleId="Hipervnculovisitado">
    <w:name w:val="FollowedHyperlink"/>
    <w:basedOn w:val="Fuentedeprrafopredeter"/>
    <w:uiPriority w:val="99"/>
    <w:semiHidden/>
    <w:unhideWhenUsed/>
    <w:rsid w:val="00594EB3"/>
    <w:rPr>
      <w:color w:val="954F72" w:themeColor="followedHyperlink"/>
      <w:u w:val="single"/>
    </w:rPr>
  </w:style>
  <w:style w:type="character" w:styleId="nfasis">
    <w:name w:val="Emphasis"/>
    <w:basedOn w:val="Fuentedeprrafopredeter"/>
    <w:uiPriority w:val="20"/>
    <w:qFormat/>
    <w:rsid w:val="00083B02"/>
    <w:rPr>
      <w:i/>
      <w:iCs/>
    </w:rPr>
  </w:style>
  <w:style w:type="character" w:customStyle="1" w:styleId="contentpasted0">
    <w:name w:val="contentpasted0"/>
    <w:basedOn w:val="Fuentedeprrafopredeter"/>
    <w:rsid w:val="00927EDD"/>
    <w:rPr>
      <w:rFonts w:cs="Times New Roman"/>
    </w:rPr>
  </w:style>
  <w:style w:type="paragraph" w:styleId="Textodeglobo">
    <w:name w:val="Balloon Text"/>
    <w:basedOn w:val="Normal"/>
    <w:link w:val="TextodegloboCar"/>
    <w:uiPriority w:val="99"/>
    <w:semiHidden/>
    <w:unhideWhenUsed/>
    <w:rsid w:val="009848B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48B1"/>
    <w:rPr>
      <w:rFonts w:ascii="Segoe UI" w:hAnsi="Segoe UI" w:cs="Segoe UI"/>
      <w:kern w:val="0"/>
      <w:sz w:val="18"/>
      <w:szCs w:val="18"/>
    </w:rPr>
  </w:style>
  <w:style w:type="character" w:styleId="Refdecomentario">
    <w:name w:val="annotation reference"/>
    <w:basedOn w:val="Fuentedeprrafopredeter"/>
    <w:uiPriority w:val="99"/>
    <w:semiHidden/>
    <w:unhideWhenUsed/>
    <w:rsid w:val="00AF4CD0"/>
    <w:rPr>
      <w:sz w:val="16"/>
      <w:szCs w:val="16"/>
    </w:rPr>
  </w:style>
  <w:style w:type="paragraph" w:styleId="Textocomentario">
    <w:name w:val="annotation text"/>
    <w:basedOn w:val="Normal"/>
    <w:link w:val="TextocomentarioCar"/>
    <w:uiPriority w:val="99"/>
    <w:semiHidden/>
    <w:unhideWhenUsed/>
    <w:rsid w:val="00AF4CD0"/>
    <w:rPr>
      <w:sz w:val="20"/>
      <w:szCs w:val="20"/>
    </w:rPr>
  </w:style>
  <w:style w:type="character" w:customStyle="1" w:styleId="TextocomentarioCar">
    <w:name w:val="Texto comentario Car"/>
    <w:basedOn w:val="Fuentedeprrafopredeter"/>
    <w:link w:val="Textocomentario"/>
    <w:uiPriority w:val="99"/>
    <w:semiHidden/>
    <w:rsid w:val="00AF4CD0"/>
    <w:rPr>
      <w:rFonts w:ascii="Times New Roman" w:hAnsi="Times New Roman"/>
      <w:kern w:val="0"/>
      <w:sz w:val="20"/>
      <w:szCs w:val="20"/>
    </w:rPr>
  </w:style>
  <w:style w:type="paragraph" w:styleId="Asuntodelcomentario">
    <w:name w:val="annotation subject"/>
    <w:basedOn w:val="Textocomentario"/>
    <w:next w:val="Textocomentario"/>
    <w:link w:val="AsuntodelcomentarioCar"/>
    <w:uiPriority w:val="99"/>
    <w:semiHidden/>
    <w:unhideWhenUsed/>
    <w:rsid w:val="00AF4CD0"/>
    <w:rPr>
      <w:b/>
      <w:bCs/>
    </w:rPr>
  </w:style>
  <w:style w:type="character" w:customStyle="1" w:styleId="AsuntodelcomentarioCar">
    <w:name w:val="Asunto del comentario Car"/>
    <w:basedOn w:val="TextocomentarioCar"/>
    <w:link w:val="Asuntodelcomentario"/>
    <w:uiPriority w:val="99"/>
    <w:semiHidden/>
    <w:rsid w:val="00AF4CD0"/>
    <w:rPr>
      <w:rFonts w:ascii="Times New Roman" w:hAnsi="Times New Roman"/>
      <w:b/>
      <w:bCs/>
      <w:kern w:val="0"/>
      <w:sz w:val="20"/>
      <w:szCs w:val="20"/>
    </w:rPr>
  </w:style>
  <w:style w:type="paragraph" w:styleId="Revisin">
    <w:name w:val="Revision"/>
    <w:hidden/>
    <w:uiPriority w:val="99"/>
    <w:semiHidden/>
    <w:rsid w:val="0043398F"/>
    <w:pPr>
      <w:spacing w:after="0" w:line="240" w:lineRule="auto"/>
    </w:pPr>
    <w:rPr>
      <w:rFonts w:ascii="Times New Roman" w:hAnsi="Times New Roman"/>
      <w:sz w:val="28"/>
    </w:rPr>
  </w:style>
  <w:style w:type="character" w:customStyle="1" w:styleId="s1">
    <w:name w:val="s1"/>
    <w:basedOn w:val="Fuentedeprrafopredeter"/>
    <w:rsid w:val="004B6F84"/>
    <w:rPr>
      <w:rFonts w:ascii="Arial Narrow" w:hAnsi="Arial Narrow" w:hint="default"/>
      <w:sz w:val="12"/>
      <w:szCs w:val="12"/>
    </w:rPr>
  </w:style>
  <w:style w:type="character" w:customStyle="1" w:styleId="s2">
    <w:name w:val="s2"/>
    <w:basedOn w:val="Fuentedeprrafopredeter"/>
    <w:rsid w:val="00C33DD3"/>
    <w:rPr>
      <w:rFonts w:ascii="Arial" w:hAnsi="Arial" w:cs="Arial" w:hint="default"/>
      <w:sz w:val="18"/>
      <w:szCs w:val="18"/>
    </w:rPr>
  </w:style>
  <w:style w:type="paragraph" w:customStyle="1" w:styleId="Fuerte1">
    <w:name w:val="Fuerte1"/>
    <w:qFormat/>
    <w:rPr>
      <w:b/>
      <w:bCs/>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119065" TargetMode="External"/><Relationship Id="rId13" Type="http://schemas.openxmlformats.org/officeDocument/2006/relationships/hyperlink" Target="https://rm.coe.int/derechos-humanos-e-identidad-de-genero-issue-paper-de-thomas-hammarber/16806da528" TargetMode="External"/><Relationship Id="rId18" Type="http://schemas.openxmlformats.org/officeDocument/2006/relationships/hyperlink" Target="https://www.boe.es/diario_boe/txt.php?id=BOE-A-2023-5366" TargetMode="External"/><Relationship Id="rId3" Type="http://schemas.openxmlformats.org/officeDocument/2006/relationships/hyperlink" Target="https://www.corteconstitucional.gov.co/secretaria/archivo.php?id=114120" TargetMode="External"/><Relationship Id="rId7" Type="http://schemas.openxmlformats.org/officeDocument/2006/relationships/hyperlink" Target="https://www.corteconstitucional.gov.co/secretaria/archivo.php?id=119064" TargetMode="External"/><Relationship Id="rId12" Type="http://schemas.openxmlformats.org/officeDocument/2006/relationships/hyperlink" Target="https://undocs.org/es/A/HRC/47/27" TargetMode="External"/><Relationship Id="rId17" Type="http://schemas.openxmlformats.org/officeDocument/2006/relationships/hyperlink" Target="https://www.corteconstitucional.gov.co/secretaria/archivo.php?id=119073" TargetMode="External"/><Relationship Id="rId2" Type="http://schemas.openxmlformats.org/officeDocument/2006/relationships/hyperlink" Target="https://www.corteconstitucional.gov.co/secretaria/archivo.php?id=113397" TargetMode="External"/><Relationship Id="rId16" Type="http://schemas.openxmlformats.org/officeDocument/2006/relationships/hyperlink" Target="https://www.corteconstitucional.gov.co/secretaria/archivo.php?id=119072" TargetMode="External"/><Relationship Id="rId1" Type="http://schemas.openxmlformats.org/officeDocument/2006/relationships/hyperlink" Target="https://www.corteconstitucional.gov.co/secretaria/archivo.php?id=108326" TargetMode="External"/><Relationship Id="rId6" Type="http://schemas.openxmlformats.org/officeDocument/2006/relationships/hyperlink" Target="https://www.corteconstitucional.gov.co/secretaria/archivo.php?id=119072" TargetMode="External"/><Relationship Id="rId11" Type="http://schemas.openxmlformats.org/officeDocument/2006/relationships/hyperlink" Target="https://www.corteconstitucional.gov.co/secretaria/archivo.php?id=121615" TargetMode="External"/><Relationship Id="rId5" Type="http://schemas.openxmlformats.org/officeDocument/2006/relationships/hyperlink" Target="https://www.corteconstitucional.gov.co/secretaria/archivo.php?id=119066" TargetMode="External"/><Relationship Id="rId15" Type="http://schemas.openxmlformats.org/officeDocument/2006/relationships/hyperlink" Target="http://dx.doi.org/10.1016/S0140-6736(21)00682-6" TargetMode="External"/><Relationship Id="rId10" Type="http://schemas.openxmlformats.org/officeDocument/2006/relationships/hyperlink" Target="https://www.corteconstitucional.gov.co/secretaria/archivo.php?id=119073" TargetMode="External"/><Relationship Id="rId4" Type="http://schemas.openxmlformats.org/officeDocument/2006/relationships/hyperlink" Target="https://www.corteconstitucional.gov.co/secretaria/archivo.php?id=117099" TargetMode="External"/><Relationship Id="rId9" Type="http://schemas.openxmlformats.org/officeDocument/2006/relationships/hyperlink" Target="https://www.corteconstitucional.gov.co/secretaria/archivo.php?id=119067" TargetMode="External"/><Relationship Id="rId14" Type="http://schemas.openxmlformats.org/officeDocument/2006/relationships/hyperlink" Target="https://www.corteconstitucional.gov.co/comunicados/Comunicado-42-Octubre-2-de-202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16398</Words>
  <Characters>90190</Characters>
  <Application>Microsoft Office Word</Application>
  <DocSecurity>0</DocSecurity>
  <Lines>751</Lines>
  <Paragraphs>212</Paragraphs>
  <ScaleCrop>false</ScaleCrop>
  <Company/>
  <LinksUpToDate>false</LinksUpToDate>
  <CharactersWithSpaces>106376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2026-05-25T13:25:00Z</dcterms:created>
  <dcterms:modified xsi:type="dcterms:W3CDTF">2026-05-25T13:25:00Z</dcterms:modified>
</cp:coreProperties>
</file>