
<file path=[Content_Types].xml><?xml version="1.0" encoding="utf-8"?>
<Types xmlns="http://schemas.openxmlformats.org/package/2006/content-types">
  <Default Extension="bin"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94F0C" w:rsidRPr="00DB3EEA" w:rsidRDefault="00396362">
      <w:pPr>
        <w:widowControl w:val="0"/>
        <w:autoSpaceDE w:val="0"/>
        <w:autoSpaceDN w:val="0"/>
        <w:adjustRightInd w:val="0"/>
        <w:spacing w:after="0" w:line="240" w:lineRule="auto"/>
        <w:rPr>
          <w:rFonts w:ascii="Times New Roman" w:hAnsi="Times New Roman" w:cs="Times New Roman"/>
          <w:sz w:val="28"/>
          <w:szCs w:val="28"/>
        </w:rPr>
      </w:pPr>
      <w:bookmarkStart w:id="0" w:name="_GoBack"/>
      <w:bookmarkEnd w:id="0"/>
      <w:r w:rsidRPr="00DB3EEA">
        <w:rPr>
          <w:rFonts w:ascii="Times New Roman" w:hAnsi="Times New Roman" w:cs="Times New Roman"/>
          <w:sz w:val="28"/>
          <w:szCs w:val="24"/>
        </w:rPr>
        <w:t xml:space="preserve"> </w:t>
      </w:r>
    </w:p>
    <w:p w:rsidR="00794F0C" w:rsidRPr="00DB3EEA" w:rsidRDefault="00794F0C">
      <w:pPr>
        <w:widowControl w:val="0"/>
        <w:autoSpaceDE w:val="0"/>
        <w:autoSpaceDN w:val="0"/>
        <w:adjustRightInd w:val="0"/>
        <w:spacing w:after="0" w:line="240" w:lineRule="auto"/>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center"/>
        <w:rPr>
          <w:rFonts w:ascii="Times New Roman" w:hAnsi="Times New Roman" w:cs="Times New Roman"/>
          <w:b/>
          <w:bCs/>
          <w:sz w:val="28"/>
          <w:szCs w:val="28"/>
        </w:rPr>
      </w:pPr>
      <w:r w:rsidRPr="00DB3EEA">
        <w:rPr>
          <w:rFonts w:ascii="Times New Roman" w:hAnsi="Times New Roman" w:cs="Times New Roman"/>
          <w:b/>
          <w:bCs/>
          <w:sz w:val="28"/>
          <w:szCs w:val="28"/>
        </w:rPr>
        <w:t xml:space="preserve">TEMAS-SUBTEMAS </w:t>
      </w:r>
    </w:p>
    <w:p w:rsidR="00794F0C" w:rsidRPr="00DB3EEA" w:rsidRDefault="00794F0C">
      <w:pPr>
        <w:widowControl w:val="0"/>
        <w:autoSpaceDE w:val="0"/>
        <w:autoSpaceDN w:val="0"/>
        <w:adjustRightInd w:val="0"/>
        <w:spacing w:after="0" w:line="240" w:lineRule="auto"/>
        <w:jc w:val="center"/>
        <w:rPr>
          <w:rFonts w:ascii="Times New Roman" w:hAnsi="Times New Roman" w:cs="Times New Roman"/>
          <w:b/>
          <w:bCs/>
          <w:sz w:val="28"/>
          <w:szCs w:val="28"/>
        </w:rPr>
      </w:pPr>
    </w:p>
    <w:p w:rsidR="00794F0C" w:rsidRPr="00DB3EEA" w:rsidRDefault="00396362">
      <w:pPr>
        <w:widowControl w:val="0"/>
        <w:autoSpaceDE w:val="0"/>
        <w:autoSpaceDN w:val="0"/>
        <w:adjustRightInd w:val="0"/>
        <w:spacing w:after="0" w:line="240" w:lineRule="auto"/>
        <w:jc w:val="center"/>
        <w:rPr>
          <w:rFonts w:ascii="Times New Roman" w:hAnsi="Times New Roman" w:cs="Times New Roman"/>
          <w:sz w:val="28"/>
          <w:szCs w:val="28"/>
        </w:rPr>
      </w:pPr>
      <w:r w:rsidRPr="00DB3EEA">
        <w:rPr>
          <w:rFonts w:ascii="Times New Roman" w:hAnsi="Times New Roman" w:cs="Times New Roman"/>
          <w:b/>
          <w:bCs/>
          <w:sz w:val="28"/>
          <w:szCs w:val="28"/>
        </w:rPr>
        <w:t xml:space="preserve">Sentencia C-020/26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PRINCIPIOS DE IGUALDAD Y DE EQUIDAD TRIBUTARIA</w:t>
      </w:r>
      <w:r w:rsidRPr="00DB3EEA">
        <w:rPr>
          <w:rFonts w:ascii="Times New Roman" w:hAnsi="Times New Roman" w:cs="Times New Roman"/>
          <w:sz w:val="28"/>
          <w:szCs w:val="28"/>
        </w:rPr>
        <w:t>-No se vulneran por norma que establece una base gravable diferencial del impuesto saludable entre productos comestibles ultraprocesados nacionales e importados o producidos en zonas francas</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i/>
          <w:iCs/>
          <w:sz w:val="28"/>
          <w:szCs w:val="28"/>
        </w:rPr>
        <w:t>La Sala concluye que, aunque no hay un trato idéntico entre los productores y los importadores, no hay manera de concluir que este sea desigual y desfavorable para los importadores. Este tratamiento atiende las diferencias propias de la actividad económica de la importación, así como las diferencias de los hechos generadores, el momento de causación en uno y otro caso y el carácter monofásico del ICUI.</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PRINCIPIOS DE IGUALDAD Y DE EQUIDAD TRIBUTARIA</w:t>
      </w:r>
      <w:r w:rsidRPr="00DB3EEA">
        <w:rPr>
          <w:rFonts w:ascii="Times New Roman" w:hAnsi="Times New Roman" w:cs="Times New Roman"/>
          <w:sz w:val="28"/>
          <w:szCs w:val="28"/>
        </w:rPr>
        <w:t xml:space="preserve">-No se vulneran por trato diferente en bases gravables de productos nacionales e importados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RESERVA DE LEY MARCO EN REGIMEN DE ADUANAS</w:t>
      </w:r>
      <w:r w:rsidRPr="00DB3EEA">
        <w:rPr>
          <w:rFonts w:ascii="Times New Roman" w:hAnsi="Times New Roman" w:cs="Times New Roman"/>
          <w:sz w:val="28"/>
          <w:szCs w:val="28"/>
        </w:rPr>
        <w:t>-No vulneración</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i/>
          <w:iCs/>
          <w:sz w:val="28"/>
          <w:szCs w:val="28"/>
        </w:rPr>
        <w:t xml:space="preserve">(...) la determinación de la base gravable para los productos importados no vulnera la reserva de ley marco en materia aduanera. Aun si se admitiera la existencia de alguna diferencia, esta obedecería exclusivamente a la necesidad de asegurar la legalidad y certeza en la liquidación de un impuesto interno de finalidad extrafiscal, y no a objetivos de política comercial. Conforme a lo anterior, la medida se mantiene dentro de la competencia fiscal del Congreso y es concordante con la distribución de competencias fijada por la técnica de leyes marco.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COSA JUZGADA CONSTITUCIONAL</w:t>
      </w:r>
      <w:r w:rsidRPr="00DB3EEA">
        <w:rPr>
          <w:rFonts w:ascii="Times New Roman" w:hAnsi="Times New Roman" w:cs="Times New Roman"/>
          <w:sz w:val="28"/>
          <w:szCs w:val="28"/>
        </w:rPr>
        <w:t xml:space="preserve">-Inexistencia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AMPLIO MARGEN DE CONFIGURACION DEL LEGISLADOR EN MATERIA TRIBUTARIA</w:t>
      </w:r>
      <w:r w:rsidRPr="00DB3EEA">
        <w:rPr>
          <w:rFonts w:ascii="Times New Roman" w:hAnsi="Times New Roman" w:cs="Times New Roman"/>
          <w:sz w:val="28"/>
          <w:szCs w:val="28"/>
        </w:rPr>
        <w:t xml:space="preserve">-Reiteración de jurisprudencia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AMPLIO MARGEN DE CONFIGURACION DEL LEGISLADOR EN MATERIA TRIBUTARIA</w:t>
      </w:r>
      <w:r w:rsidRPr="00DB3EEA">
        <w:rPr>
          <w:rFonts w:ascii="Times New Roman" w:hAnsi="Times New Roman" w:cs="Times New Roman"/>
          <w:sz w:val="28"/>
          <w:szCs w:val="28"/>
        </w:rPr>
        <w:t>-Alcance</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i/>
          <w:iCs/>
          <w:sz w:val="28"/>
          <w:szCs w:val="28"/>
        </w:rPr>
        <w:t>(...) el amplio margen de configuración tributaria es una manifestación del principio democrático, en la medida en que, en un Estado constitucional, corresponde al Congreso, como órgano representativo, deliberativo y pluralista, definir los fines de la política tributaria y seleccionar los instrumentos idóneos para alcanzarlos, en armonía con la búsqueda de un orden económico y social justo. Por ello, al regular estas materias, el legislador puede adoptar decisiones guiadas por sus propios criterios y orientaciones, siempre teniendo en cuenta la realidad social y valorando consideraciones de conveniencia, necesidad, justicia, equidad e igualdad.</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AMPLIO MARGEN DE CONFIGURACION DEL LEGISLADOR EN MATERIA TRIBUTARIA</w:t>
      </w:r>
      <w:r w:rsidRPr="00DB3EEA">
        <w:rPr>
          <w:rFonts w:ascii="Times New Roman" w:hAnsi="Times New Roman" w:cs="Times New Roman"/>
          <w:sz w:val="28"/>
          <w:szCs w:val="28"/>
        </w:rPr>
        <w:t xml:space="preserve">-Límites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PRINCIPIO DE EQUIDAD TRIBUTARIA</w:t>
      </w:r>
      <w:r w:rsidRPr="00DB3EEA">
        <w:rPr>
          <w:rFonts w:ascii="Times New Roman" w:hAnsi="Times New Roman" w:cs="Times New Roman"/>
          <w:sz w:val="28"/>
          <w:szCs w:val="28"/>
        </w:rPr>
        <w:t>-Alcance</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i/>
          <w:iCs/>
          <w:sz w:val="28"/>
          <w:szCs w:val="28"/>
        </w:rPr>
        <w:t xml:space="preserve">El principio de equidad como “manifestación de la igualdad en el ámbito impositivo”, opera como un límite estructural a la potestad del legislador para configurar los tributos. La Corte ha señalado que este principio orienta la distribución equilibrada de cargas y beneficios, evitando tanto gravámenes excesivos como beneficios desproporcionados. De esta manera, su aplicación se verifica en dos planos: uno individual, que permite examinar un tributo o alguno de sus elementos por su impacto concreto; y un plano sistémico, que evalúa los efectos que produce dentro de la estructura tributaria en su conjunto.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PRINCIPIO DE EQUIDAD TRIBUTARIA</w:t>
      </w:r>
      <w:r w:rsidRPr="00DB3EEA">
        <w:rPr>
          <w:rFonts w:ascii="Times New Roman" w:hAnsi="Times New Roman" w:cs="Times New Roman"/>
          <w:sz w:val="28"/>
          <w:szCs w:val="28"/>
        </w:rPr>
        <w:t>-Dimensión horizontal y vertical</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i/>
          <w:iCs/>
          <w:sz w:val="28"/>
          <w:szCs w:val="28"/>
        </w:rPr>
        <w:t xml:space="preserve">(...) el principio de equidad exige que, al definir los tributos, el legislador tome en cuenta la capacidad económica de los contribuyentes. Para ello, resulta esencial valorar la situación particular de cada obligado y su capacidad de pago, lo que se traduce en dos dimensiones: la equidad horizontal, según la cual “los tributos han de gravar de igual manera a quienes tienen la misma capacidad de pago”; y la equidad vertical, ligada al mandato de progresividad, que ordena “distribuir la carga tributaria de forma que quienes tienen mayor capacidad económica soporten una mayor proporción de gravamen”.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PRINCIPIO DE EQUIDAD TRIBUTARIA</w:t>
      </w:r>
      <w:r w:rsidRPr="00DB3EEA">
        <w:rPr>
          <w:rFonts w:ascii="Times New Roman" w:hAnsi="Times New Roman" w:cs="Times New Roman"/>
          <w:sz w:val="28"/>
          <w:szCs w:val="28"/>
        </w:rPr>
        <w:t>-Mandatos</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i/>
          <w:iCs/>
          <w:sz w:val="28"/>
          <w:szCs w:val="28"/>
        </w:rPr>
        <w:t>(...) la equidad tributaria se proyecta a partir de los siguientes mandatos: (i) tener en cuenta la capacidad de pago del contribuyente (ii) establecer los tributos de manera que dos sujetos o grupos de sujetos que se hallen en similares condiciones reciban el mismo tratamiento fiscal, a menos que existan razones que justifiquen no hacerlo, a la luz del principio de igualdad; y (iii) ningún gravamen debe tener implicaciones confiscatorias (art.34, inc,1 CP), ello sucede, según la Corte, cuando “la actividad económica del particular se destina exclusivamente al pago del mismo, de forma que no genere ganancia”.</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PRINCIPIO DE EQUIDAD TRIBUTARIA</w:t>
      </w:r>
      <w:r w:rsidRPr="00DB3EEA">
        <w:rPr>
          <w:rFonts w:ascii="Times New Roman" w:hAnsi="Times New Roman" w:cs="Times New Roman"/>
          <w:sz w:val="28"/>
          <w:szCs w:val="28"/>
        </w:rPr>
        <w:t xml:space="preserve">-Capacidad contributiva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PRINCIPIO DE EQUIDAD TRIBUTARIA</w:t>
      </w:r>
      <w:r w:rsidRPr="00DB3EEA">
        <w:rPr>
          <w:rFonts w:ascii="Times New Roman" w:hAnsi="Times New Roman" w:cs="Times New Roman"/>
          <w:sz w:val="28"/>
          <w:szCs w:val="28"/>
        </w:rPr>
        <w:t xml:space="preserve">-Jurisprudencia constitucional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PRINCIPIO DE IGUALDAD</w:t>
      </w:r>
      <w:r w:rsidRPr="00DB3EEA">
        <w:rPr>
          <w:rFonts w:ascii="Times New Roman" w:hAnsi="Times New Roman" w:cs="Times New Roman"/>
          <w:sz w:val="28"/>
          <w:szCs w:val="28"/>
        </w:rPr>
        <w:t xml:space="preserve">-Mandatos que comprende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RESERVA DE LEY MARCO EN REGIMEN DE ADUANAS</w:t>
      </w:r>
      <w:r w:rsidRPr="00DB3EEA">
        <w:rPr>
          <w:rFonts w:ascii="Times New Roman" w:hAnsi="Times New Roman" w:cs="Times New Roman"/>
          <w:sz w:val="28"/>
          <w:szCs w:val="28"/>
        </w:rPr>
        <w:t>-Alcance</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i/>
          <w:iCs/>
          <w:sz w:val="28"/>
          <w:szCs w:val="28"/>
        </w:rPr>
        <w:t>(...) la Corte ha sostenido que el Congreso de la República conserva la competencia para legislar sobre el régimen de aduanas cuando las medidas persiguen finalidades de carácter fiscal o carecen de una relación directa con la política comercial, dado que la técnica de la ley marco constituye una excepción al principio de legalidad del tributo. (...) En consecuencia, cualquier medida adoptada por el Congreso de la República dirigida a fines comerciales debe entenderse como una vulneración de la reserva de ley en materia arancelaria. Por su parte, las medidas que se adopten por fuera de dichos fines, y en particular aquellas orientadas primordialmente a objetivos de carácter fiscal -de recaudo estatal-, no se encuentran cobijadas por dicha reserva, y, por tanto, se encuentra dentro de las competencias ordinarias del Congreso.</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RESERVA DE LEY MARCO EN REGIMEN DE ADUANAS</w:t>
      </w:r>
      <w:r w:rsidRPr="00DB3EEA">
        <w:rPr>
          <w:rFonts w:ascii="Times New Roman" w:hAnsi="Times New Roman" w:cs="Times New Roman"/>
          <w:sz w:val="28"/>
          <w:szCs w:val="28"/>
        </w:rPr>
        <w:t xml:space="preserve">-Jurisprudencia constitucional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ARANCELES, TARIFAS Y DISPOSICIONES CONCERNIENTES AL REGIMEN DE ADUANAS</w:t>
      </w:r>
      <w:r w:rsidRPr="00DB3EEA">
        <w:rPr>
          <w:rFonts w:ascii="Times New Roman" w:hAnsi="Times New Roman" w:cs="Times New Roman"/>
          <w:sz w:val="28"/>
          <w:szCs w:val="28"/>
        </w:rPr>
        <w:t xml:space="preserve">-Modificación "por razones de política comercial"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IMPUESTO A LOS PRODUCTOS COMESTIBLES ULTRAPROCESADOS</w:t>
      </w:r>
      <w:r w:rsidRPr="00DB3EEA">
        <w:rPr>
          <w:rFonts w:ascii="Times New Roman" w:hAnsi="Times New Roman" w:cs="Times New Roman"/>
          <w:sz w:val="28"/>
          <w:szCs w:val="28"/>
        </w:rPr>
        <w:t xml:space="preserve">-Elementos del tributo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IMPUESTO A LOS PRODUCTOS COMESTIBLES ULTRAPROCESADOS</w:t>
      </w:r>
      <w:r w:rsidRPr="00DB3EEA">
        <w:rPr>
          <w:rFonts w:ascii="Times New Roman" w:hAnsi="Times New Roman" w:cs="Times New Roman"/>
          <w:sz w:val="28"/>
          <w:szCs w:val="28"/>
        </w:rPr>
        <w:t xml:space="preserve">-Base gravable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TRIBUTOS DE ADUANAS Y DERECHOS DE ADUANA</w:t>
      </w:r>
      <w:r w:rsidRPr="00DB3EEA">
        <w:rPr>
          <w:rFonts w:ascii="Times New Roman" w:hAnsi="Times New Roman" w:cs="Times New Roman"/>
          <w:sz w:val="28"/>
          <w:szCs w:val="28"/>
        </w:rPr>
        <w:t>-Diferencia</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i/>
          <w:iCs/>
          <w:sz w:val="28"/>
          <w:szCs w:val="28"/>
        </w:rPr>
        <w:t>(...) el concepto de tributos aduaneros corresponde a un rubro económico mayor que el de los derechos de aduana, en tanto incluye “todos los otros derechos, impuestos o recargos percibidos en la importación o con motivo de la importación de mercancías”, dentro de los cuales se contempla el impuesto a las ventas (IVA) causado por la importación de la mercancía, así como cualquier otro pago, recargo o impuesto generado con ocasión del ingreso de esta, que no corresponda a sanciones, multas o recargos al precio del servicio.</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JUICIO INTEGRADO DE IGUALDAD</w:t>
      </w:r>
      <w:r w:rsidRPr="00DB3EEA">
        <w:rPr>
          <w:rFonts w:ascii="Times New Roman" w:hAnsi="Times New Roman" w:cs="Times New Roman"/>
          <w:sz w:val="28"/>
          <w:szCs w:val="28"/>
        </w:rPr>
        <w:t xml:space="preserve">-Etapas de su análisis y modalidades del test de igualdad según el grado de intensidad </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b/>
          <w:bCs/>
          <w:sz w:val="28"/>
          <w:szCs w:val="28"/>
        </w:rPr>
        <w:t>TEST LEVE DE IGUALDAD DE NORMA TRIBUTARIA</w:t>
      </w:r>
      <w:r w:rsidRPr="00DB3EEA">
        <w:rPr>
          <w:rFonts w:ascii="Times New Roman" w:hAnsi="Times New Roman" w:cs="Times New Roman"/>
          <w:sz w:val="28"/>
          <w:szCs w:val="28"/>
        </w:rPr>
        <w:t>-Aplicación</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396362">
      <w:pPr>
        <w:widowControl w:val="0"/>
        <w:autoSpaceDE w:val="0"/>
        <w:autoSpaceDN w:val="0"/>
        <w:adjustRightInd w:val="0"/>
        <w:spacing w:after="0" w:line="240" w:lineRule="auto"/>
        <w:jc w:val="both"/>
        <w:rPr>
          <w:rFonts w:ascii="Times New Roman" w:hAnsi="Times New Roman" w:cs="Times New Roman"/>
          <w:sz w:val="28"/>
          <w:szCs w:val="28"/>
        </w:rPr>
      </w:pPr>
      <w:r w:rsidRPr="00DB3EEA">
        <w:rPr>
          <w:rFonts w:ascii="Times New Roman" w:hAnsi="Times New Roman" w:cs="Times New Roman"/>
          <w:i/>
          <w:iCs/>
          <w:sz w:val="28"/>
          <w:szCs w:val="28"/>
        </w:rPr>
        <w:t>(...) la norma se limita a establecer la base gravable del impuesto saludable sobre los productos importados y producidos en zona franca, sin que de ello pueda predicarse vulneración alguna de un derecho fundamental, no existe indicio de arbitrariedad, ni afectación grave de la libre competencia, ni regula situaciones que generen discriminación en razón de alguna categoría o que afecte a grupos históricamente discriminados. En este orden, se sigue que el test aplicable será el leve.</w:t>
      </w:r>
    </w:p>
    <w:p w:rsidR="00794F0C" w:rsidRPr="00DB3EEA" w:rsidRDefault="00794F0C">
      <w:pPr>
        <w:widowControl w:val="0"/>
        <w:autoSpaceDE w:val="0"/>
        <w:autoSpaceDN w:val="0"/>
        <w:adjustRightInd w:val="0"/>
        <w:spacing w:after="0" w:line="240" w:lineRule="auto"/>
        <w:jc w:val="both"/>
        <w:rPr>
          <w:rFonts w:ascii="Times New Roman" w:hAnsi="Times New Roman" w:cs="Times New Roman"/>
          <w:sz w:val="28"/>
          <w:szCs w:val="28"/>
        </w:rPr>
      </w:pPr>
    </w:p>
    <w:p w:rsidR="00794F0C" w:rsidRPr="00DB3EEA" w:rsidRDefault="00DB3EEA">
      <w:pPr>
        <w:widowControl w:val="0"/>
        <w:autoSpaceDE w:val="0"/>
        <w:autoSpaceDN w:val="0"/>
        <w:adjustRightInd w:val="0"/>
        <w:spacing w:after="0" w:line="240" w:lineRule="auto"/>
        <w:jc w:val="both"/>
        <w:rPr>
          <w:rFonts w:ascii="Times New Roman" w:hAnsi="Times New Roman" w:cs="Times New Roman"/>
          <w:sz w:val="28"/>
        </w:rPr>
      </w:pPr>
      <w:r w:rsidRPr="00DB3EEA">
        <w:rPr>
          <w:rFonts w:ascii="Times New Roman" w:hAnsi="Times New Roman" w:cs="Times New Roman"/>
          <w:sz w:val="28"/>
          <w:szCs w:val="28"/>
        </w:rPr>
        <w:pict>
          <v:rect id="_x0000_i1025" style="width:0;height:1.5pt" o:hralign="center" o:hrstd="t" o:hr="t" fillcolor="#a0a0a0" stroked="f"/>
        </w:pict>
      </w:r>
    </w:p>
    <w:p w:rsidR="006537B1" w:rsidRPr="00DB3EEA" w:rsidRDefault="00DB3EEA" w:rsidP="0008383C">
      <w:pPr>
        <w:pBdr>
          <w:top w:val="nil"/>
          <w:left w:val="nil"/>
          <w:bottom w:val="nil"/>
          <w:right w:val="nil"/>
          <w:between w:val="nil"/>
        </w:pBdr>
        <w:tabs>
          <w:tab w:val="center" w:pos="4678"/>
          <w:tab w:val="right" w:pos="8789"/>
        </w:tabs>
        <w:jc w:val="center"/>
        <w:rPr>
          <w:rFonts w:ascii="Times New Roman" w:hAnsi="Times New Roman" w:cs="Times New Roman"/>
          <w:b/>
          <w:sz w:val="28"/>
          <w:szCs w:val="28"/>
        </w:rPr>
      </w:pPr>
      <w:r w:rsidRPr="00DB3EEA">
        <w:rPr>
          <w:rFonts w:ascii="Times New Roman" w:hAnsi="Times New Roman" w:cs="Times New Roman"/>
          <w:b/>
          <w:sz w:val="28"/>
          <w:szCs w:val="28"/>
        </w:rPr>
        <w:t>REPÚBLICA DE COLOMBIA</w:t>
      </w:r>
    </w:p>
    <w:p w:rsidR="005525BF" w:rsidRPr="00DB3EEA" w:rsidRDefault="00DB3EEA" w:rsidP="0008383C">
      <w:pPr>
        <w:pBdr>
          <w:top w:val="nil"/>
          <w:left w:val="nil"/>
          <w:bottom w:val="nil"/>
          <w:right w:val="nil"/>
          <w:between w:val="nil"/>
        </w:pBdr>
        <w:tabs>
          <w:tab w:val="center" w:pos="4678"/>
          <w:tab w:val="right" w:pos="8789"/>
        </w:tabs>
        <w:jc w:val="center"/>
        <w:rPr>
          <w:rFonts w:ascii="Times New Roman" w:hAnsi="Times New Roman" w:cs="Times New Roman"/>
          <w:b/>
          <w:sz w:val="28"/>
          <w:szCs w:val="28"/>
        </w:rPr>
      </w:pPr>
      <w:r w:rsidRPr="00DB3EEA">
        <w:rPr>
          <w:rFonts w:ascii="Times New Roman" w:hAnsi="Times New Roman" w:cs="Times New Roman"/>
          <w:b/>
          <w:noProof/>
          <w:sz w:val="28"/>
          <w:szCs w:val="28"/>
        </w:rPr>
        <w:drawing>
          <wp:inline distT="0" distB="0" distL="0" distR="0" wp14:anchorId="54BA237A" wp14:editId="5A92B45E">
            <wp:extent cx="792480" cy="792480"/>
            <wp:effectExtent l="0" t="0" r="7620" b="762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792480" cy="792480"/>
                    </a:xfrm>
                    <a:prstGeom prst="rect">
                      <a:avLst/>
                    </a:prstGeom>
                    <a:noFill/>
                  </pic:spPr>
                </pic:pic>
              </a:graphicData>
            </a:graphic>
          </wp:inline>
        </w:drawing>
      </w:r>
    </w:p>
    <w:p w:rsidR="006537B1" w:rsidRPr="00DB3EEA" w:rsidRDefault="00DB3EEA" w:rsidP="0008383C">
      <w:pPr>
        <w:pBdr>
          <w:top w:val="nil"/>
          <w:left w:val="nil"/>
          <w:bottom w:val="nil"/>
          <w:right w:val="nil"/>
          <w:between w:val="nil"/>
        </w:pBdr>
        <w:tabs>
          <w:tab w:val="center" w:pos="4252"/>
          <w:tab w:val="right" w:pos="9214"/>
        </w:tabs>
        <w:jc w:val="center"/>
        <w:rPr>
          <w:rFonts w:ascii="Times New Roman" w:hAnsi="Times New Roman" w:cs="Times New Roman"/>
          <w:b/>
          <w:sz w:val="28"/>
          <w:szCs w:val="28"/>
        </w:rPr>
      </w:pPr>
      <w:r w:rsidRPr="00DB3EEA">
        <w:rPr>
          <w:rFonts w:ascii="Times New Roman" w:hAnsi="Times New Roman" w:cs="Times New Roman"/>
          <w:b/>
          <w:sz w:val="28"/>
          <w:szCs w:val="28"/>
        </w:rPr>
        <w:t>CORTE CONSTITUCIONAL</w:t>
      </w:r>
    </w:p>
    <w:p w:rsidR="00304500" w:rsidRPr="00DB3EEA" w:rsidRDefault="00DB3EEA" w:rsidP="0008383C">
      <w:pPr>
        <w:pBdr>
          <w:top w:val="nil"/>
          <w:left w:val="nil"/>
          <w:bottom w:val="nil"/>
          <w:right w:val="nil"/>
          <w:between w:val="nil"/>
        </w:pBdr>
        <w:tabs>
          <w:tab w:val="center" w:pos="4252"/>
          <w:tab w:val="right" w:pos="9214"/>
        </w:tabs>
        <w:jc w:val="center"/>
        <w:rPr>
          <w:rFonts w:ascii="Times New Roman" w:hAnsi="Times New Roman" w:cs="Times New Roman"/>
          <w:b/>
          <w:sz w:val="28"/>
          <w:szCs w:val="28"/>
        </w:rPr>
      </w:pPr>
      <w:r w:rsidRPr="00DB3EEA">
        <w:rPr>
          <w:rFonts w:ascii="Times New Roman" w:hAnsi="Times New Roman" w:cs="Times New Roman"/>
          <w:b/>
          <w:sz w:val="28"/>
          <w:szCs w:val="28"/>
        </w:rPr>
        <w:t>Sala Plena</w:t>
      </w:r>
    </w:p>
    <w:p w:rsidR="006537B1" w:rsidRPr="00DB3EEA" w:rsidRDefault="00DB3EEA" w:rsidP="00C1091B">
      <w:pPr>
        <w:pBdr>
          <w:top w:val="nil"/>
          <w:left w:val="nil"/>
          <w:bottom w:val="nil"/>
          <w:right w:val="nil"/>
          <w:between w:val="nil"/>
        </w:pBdr>
        <w:tabs>
          <w:tab w:val="center" w:pos="4252"/>
          <w:tab w:val="right" w:pos="9214"/>
        </w:tabs>
        <w:jc w:val="center"/>
        <w:rPr>
          <w:rFonts w:ascii="Times New Roman" w:hAnsi="Times New Roman" w:cs="Times New Roman"/>
          <w:b/>
          <w:sz w:val="28"/>
          <w:szCs w:val="28"/>
        </w:rPr>
      </w:pPr>
    </w:p>
    <w:p w:rsidR="008C59BA" w:rsidRPr="00DB3EEA" w:rsidRDefault="00DB3EEA" w:rsidP="00C1091B">
      <w:pPr>
        <w:jc w:val="center"/>
        <w:rPr>
          <w:rFonts w:ascii="Times New Roman" w:hAnsi="Times New Roman" w:cs="Times New Roman"/>
          <w:b/>
          <w:sz w:val="28"/>
          <w:szCs w:val="28"/>
          <w:lang w:eastAsia="es-ES"/>
        </w:rPr>
      </w:pPr>
      <w:r w:rsidRPr="00DB3EEA">
        <w:rPr>
          <w:rFonts w:ascii="Times New Roman" w:hAnsi="Times New Roman" w:cs="Times New Roman"/>
          <w:b/>
          <w:sz w:val="28"/>
          <w:szCs w:val="28"/>
          <w:lang w:eastAsia="es-ES"/>
        </w:rPr>
        <w:t>SENTENCIA C</w:t>
      </w:r>
      <w:r w:rsidRPr="00DB3EEA">
        <w:rPr>
          <w:rFonts w:ascii="Times New Roman" w:hAnsi="Times New Roman" w:cs="Times New Roman"/>
          <w:b/>
          <w:sz w:val="28"/>
          <w:szCs w:val="28"/>
          <w:lang w:eastAsia="es-ES"/>
        </w:rPr>
        <w:t>-020</w:t>
      </w:r>
      <w:r w:rsidRPr="00DB3EEA">
        <w:rPr>
          <w:rFonts w:ascii="Times New Roman" w:hAnsi="Times New Roman" w:cs="Times New Roman"/>
          <w:b/>
          <w:sz w:val="28"/>
          <w:szCs w:val="28"/>
          <w:lang w:eastAsia="es-ES"/>
        </w:rPr>
        <w:t xml:space="preserve"> DE 202</w:t>
      </w:r>
      <w:r w:rsidRPr="00DB3EEA">
        <w:rPr>
          <w:rFonts w:ascii="Times New Roman" w:hAnsi="Times New Roman" w:cs="Times New Roman"/>
          <w:b/>
          <w:sz w:val="28"/>
          <w:szCs w:val="28"/>
          <w:lang w:eastAsia="es-ES"/>
        </w:rPr>
        <w:t>6</w:t>
      </w:r>
    </w:p>
    <w:p w:rsidR="005525BF" w:rsidRPr="00DB3EEA" w:rsidRDefault="00DB3EEA" w:rsidP="00376DDD">
      <w:pPr>
        <w:jc w:val="both"/>
        <w:rPr>
          <w:rFonts w:ascii="Times New Roman" w:hAnsi="Times New Roman" w:cs="Times New Roman"/>
          <w:b/>
          <w:sz w:val="28"/>
          <w:szCs w:val="28"/>
          <w:lang w:eastAsia="es-ES"/>
        </w:rPr>
      </w:pPr>
    </w:p>
    <w:p w:rsidR="00C65A7E" w:rsidRPr="00DB3EEA" w:rsidRDefault="00DB3EEA" w:rsidP="00376DDD">
      <w:pPr>
        <w:jc w:val="both"/>
        <w:rPr>
          <w:rFonts w:ascii="Times New Roman" w:hAnsi="Times New Roman" w:cs="Times New Roman"/>
          <w:b/>
          <w:sz w:val="28"/>
          <w:szCs w:val="28"/>
          <w:lang w:eastAsia="es-ES"/>
        </w:rPr>
      </w:pPr>
    </w:p>
    <w:p w:rsidR="00673952" w:rsidRPr="00DB3EEA" w:rsidRDefault="00DB3EEA" w:rsidP="00376DDD">
      <w:pPr>
        <w:ind w:left="3969"/>
        <w:jc w:val="both"/>
        <w:rPr>
          <w:rFonts w:ascii="Times New Roman" w:hAnsi="Times New Roman" w:cs="Times New Roman"/>
          <w:b/>
          <w:sz w:val="28"/>
          <w:szCs w:val="28"/>
          <w:lang w:eastAsia="es-ES"/>
        </w:rPr>
      </w:pPr>
      <w:r w:rsidRPr="00DB3EEA">
        <w:rPr>
          <w:rFonts w:ascii="Times New Roman" w:hAnsi="Times New Roman" w:cs="Times New Roman"/>
          <w:b/>
          <w:sz w:val="28"/>
          <w:szCs w:val="28"/>
          <w:lang w:eastAsia="es-ES"/>
        </w:rPr>
        <w:t xml:space="preserve">Referencia: </w:t>
      </w:r>
      <w:r w:rsidRPr="00DB3EEA">
        <w:rPr>
          <w:rFonts w:ascii="Times New Roman" w:hAnsi="Times New Roman" w:cs="Times New Roman"/>
          <w:sz w:val="28"/>
          <w:szCs w:val="28"/>
        </w:rPr>
        <w:t>expediente D-1</w:t>
      </w:r>
      <w:bookmarkStart w:id="1" w:name="_Hlk81400694"/>
      <w:r w:rsidRPr="00DB3EEA">
        <w:rPr>
          <w:rFonts w:ascii="Times New Roman" w:hAnsi="Times New Roman" w:cs="Times New Roman"/>
          <w:sz w:val="28"/>
          <w:szCs w:val="28"/>
        </w:rPr>
        <w:t>6</w:t>
      </w:r>
      <w:r w:rsidRPr="00DB3EEA">
        <w:rPr>
          <w:rFonts w:ascii="Times New Roman" w:hAnsi="Times New Roman" w:cs="Times New Roman"/>
          <w:sz w:val="28"/>
          <w:szCs w:val="28"/>
        </w:rPr>
        <w:t>.</w:t>
      </w:r>
      <w:r w:rsidRPr="00DB3EEA">
        <w:rPr>
          <w:rFonts w:ascii="Times New Roman" w:hAnsi="Times New Roman" w:cs="Times New Roman"/>
          <w:sz w:val="28"/>
          <w:szCs w:val="28"/>
        </w:rPr>
        <w:t>314</w:t>
      </w:r>
    </w:p>
    <w:p w:rsidR="008C59BA" w:rsidRPr="00DB3EEA" w:rsidRDefault="00DB3EEA" w:rsidP="00376DDD">
      <w:pPr>
        <w:ind w:left="3969"/>
        <w:jc w:val="both"/>
        <w:rPr>
          <w:rFonts w:ascii="Times New Roman" w:hAnsi="Times New Roman" w:cs="Times New Roman"/>
          <w:b/>
          <w:sz w:val="28"/>
          <w:szCs w:val="28"/>
          <w:lang w:eastAsia="es-ES"/>
        </w:rPr>
      </w:pPr>
    </w:p>
    <w:p w:rsidR="00550A2C" w:rsidRPr="00DB3EEA" w:rsidRDefault="00DB3EEA" w:rsidP="52E492A4">
      <w:pPr>
        <w:ind w:left="3969"/>
        <w:jc w:val="both"/>
        <w:rPr>
          <w:rFonts w:ascii="Times New Roman" w:hAnsi="Times New Roman" w:cs="Times New Roman"/>
          <w:sz w:val="28"/>
          <w:szCs w:val="28"/>
        </w:rPr>
      </w:pPr>
      <w:r w:rsidRPr="00DB3EEA">
        <w:rPr>
          <w:rFonts w:ascii="Times New Roman" w:hAnsi="Times New Roman" w:cs="Times New Roman"/>
          <w:b/>
          <w:bCs/>
          <w:sz w:val="28"/>
          <w:szCs w:val="28"/>
          <w:lang w:eastAsia="es-ES"/>
        </w:rPr>
        <w:t xml:space="preserve">Asunto: </w:t>
      </w:r>
      <w:r w:rsidRPr="00DB3EEA">
        <w:rPr>
          <w:rFonts w:ascii="Times New Roman" w:hAnsi="Times New Roman" w:cs="Times New Roman"/>
          <w:sz w:val="28"/>
          <w:szCs w:val="28"/>
          <w:lang w:eastAsia="es-ES"/>
        </w:rPr>
        <w:t>acción pública de inconstitucionalidad en</w:t>
      </w:r>
      <w:r w:rsidRPr="00DB3EEA">
        <w:rPr>
          <w:rFonts w:ascii="Times New Roman" w:hAnsi="Times New Roman" w:cs="Times New Roman"/>
          <w:b/>
          <w:bCs/>
          <w:sz w:val="28"/>
          <w:szCs w:val="28"/>
          <w:lang w:eastAsia="es-ES"/>
        </w:rPr>
        <w:t xml:space="preserve"> </w:t>
      </w:r>
      <w:r w:rsidRPr="00DB3EEA">
        <w:rPr>
          <w:rFonts w:ascii="Times New Roman" w:hAnsi="Times New Roman" w:cs="Times New Roman"/>
          <w:sz w:val="28"/>
          <w:szCs w:val="28"/>
        </w:rPr>
        <w:t xml:space="preserve">contra </w:t>
      </w:r>
      <w:r w:rsidRPr="00DB3EEA">
        <w:rPr>
          <w:rFonts w:ascii="Times New Roman" w:hAnsi="Times New Roman" w:cs="Times New Roman"/>
          <w:sz w:val="28"/>
          <w:szCs w:val="28"/>
        </w:rPr>
        <w:t>d</w:t>
      </w:r>
      <w:r w:rsidRPr="00DB3EEA">
        <w:rPr>
          <w:rFonts w:ascii="Times New Roman" w:hAnsi="Times New Roman" w:cs="Times New Roman"/>
          <w:sz w:val="28"/>
          <w:szCs w:val="28"/>
        </w:rPr>
        <w:t xml:space="preserve">el artículo </w:t>
      </w:r>
      <w:r w:rsidRPr="00DB3EEA">
        <w:rPr>
          <w:rFonts w:ascii="Times New Roman" w:hAnsi="Times New Roman" w:cs="Times New Roman"/>
          <w:sz w:val="28"/>
          <w:szCs w:val="28"/>
        </w:rPr>
        <w:t>513</w:t>
      </w:r>
      <w:r w:rsidRPr="00DB3EEA">
        <w:rPr>
          <w:rFonts w:ascii="Times New Roman" w:hAnsi="Times New Roman" w:cs="Times New Roman"/>
          <w:sz w:val="28"/>
          <w:szCs w:val="28"/>
        </w:rPr>
        <w:t>-</w:t>
      </w:r>
      <w:r w:rsidRPr="00DB3EEA">
        <w:rPr>
          <w:rFonts w:ascii="Times New Roman" w:hAnsi="Times New Roman" w:cs="Times New Roman"/>
          <w:sz w:val="28"/>
          <w:szCs w:val="28"/>
        </w:rPr>
        <w:t>8</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 xml:space="preserve">(parcial) </w:t>
      </w:r>
      <w:r w:rsidRPr="00DB3EEA">
        <w:rPr>
          <w:rFonts w:ascii="Times New Roman" w:hAnsi="Times New Roman" w:cs="Times New Roman"/>
          <w:sz w:val="28"/>
          <w:szCs w:val="28"/>
        </w:rPr>
        <w:t>del Decreto 624 de 1989</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Estatuto Tributario</w:t>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w:t>
      </w:r>
      <w:bookmarkStart w:id="2" w:name="_Hlk219946795"/>
      <w:r w:rsidRPr="00DB3EEA">
        <w:rPr>
          <w:rFonts w:ascii="Times New Roman" w:hAnsi="Times New Roman" w:cs="Times New Roman"/>
          <w:sz w:val="28"/>
          <w:szCs w:val="28"/>
        </w:rPr>
        <w:t xml:space="preserve">modificado por el artículo </w:t>
      </w:r>
      <w:r w:rsidRPr="00DB3EEA">
        <w:rPr>
          <w:rFonts w:ascii="Times New Roman" w:hAnsi="Times New Roman" w:cs="Times New Roman"/>
          <w:sz w:val="28"/>
          <w:szCs w:val="28"/>
        </w:rPr>
        <w:t>54</w:t>
      </w:r>
      <w:r w:rsidRPr="00DB3EEA">
        <w:rPr>
          <w:rFonts w:ascii="Times New Roman" w:hAnsi="Times New Roman" w:cs="Times New Roman"/>
          <w:sz w:val="28"/>
          <w:szCs w:val="28"/>
        </w:rPr>
        <w:t xml:space="preserve"> de la Ley 2277 de 2022</w:t>
      </w:r>
      <w:r w:rsidRPr="00DB3EEA">
        <w:rPr>
          <w:rFonts w:ascii="Times New Roman" w:hAnsi="Times New Roman" w:cs="Times New Roman"/>
          <w:sz w:val="28"/>
          <w:szCs w:val="28"/>
        </w:rPr>
        <w:t>.</w:t>
      </w:r>
    </w:p>
    <w:bookmarkEnd w:id="2"/>
    <w:p w:rsidR="00B1118F" w:rsidRPr="00DB3EEA" w:rsidRDefault="00DB3EEA" w:rsidP="00376DDD">
      <w:pPr>
        <w:ind w:left="3969"/>
        <w:jc w:val="both"/>
        <w:rPr>
          <w:rFonts w:ascii="Times New Roman" w:hAnsi="Times New Roman" w:cs="Times New Roman"/>
          <w:b/>
          <w:sz w:val="28"/>
          <w:szCs w:val="28"/>
          <w:lang w:val="es-ES"/>
        </w:rPr>
      </w:pPr>
    </w:p>
    <w:bookmarkEnd w:id="1"/>
    <w:p w:rsidR="00673952" w:rsidRPr="00DB3EEA" w:rsidRDefault="00DB3EEA" w:rsidP="00376DDD">
      <w:pPr>
        <w:ind w:left="3969"/>
        <w:jc w:val="both"/>
        <w:rPr>
          <w:rFonts w:ascii="Times New Roman" w:hAnsi="Times New Roman" w:cs="Times New Roman"/>
          <w:b/>
          <w:sz w:val="28"/>
          <w:szCs w:val="28"/>
        </w:rPr>
      </w:pPr>
      <w:r w:rsidRPr="00DB3EEA">
        <w:rPr>
          <w:rFonts w:ascii="Times New Roman" w:hAnsi="Times New Roman" w:cs="Times New Roman"/>
          <w:b/>
          <w:sz w:val="28"/>
          <w:szCs w:val="28"/>
        </w:rPr>
        <w:t>Magistrad</w:t>
      </w:r>
      <w:r w:rsidRPr="00DB3EEA">
        <w:rPr>
          <w:rFonts w:ascii="Times New Roman" w:hAnsi="Times New Roman" w:cs="Times New Roman"/>
          <w:b/>
          <w:sz w:val="28"/>
          <w:szCs w:val="28"/>
        </w:rPr>
        <w:t>o</w:t>
      </w:r>
      <w:r w:rsidRPr="00DB3EEA">
        <w:rPr>
          <w:rFonts w:ascii="Times New Roman" w:hAnsi="Times New Roman" w:cs="Times New Roman"/>
          <w:b/>
          <w:sz w:val="28"/>
          <w:szCs w:val="28"/>
        </w:rPr>
        <w:t xml:space="preserve"> ponente: </w:t>
      </w:r>
    </w:p>
    <w:p w:rsidR="00673952" w:rsidRPr="00DB3EEA" w:rsidRDefault="00DB3EEA" w:rsidP="00376DDD">
      <w:pPr>
        <w:ind w:left="3969"/>
        <w:jc w:val="both"/>
        <w:rPr>
          <w:rFonts w:ascii="Times New Roman" w:hAnsi="Times New Roman" w:cs="Times New Roman"/>
          <w:sz w:val="28"/>
          <w:szCs w:val="28"/>
        </w:rPr>
      </w:pPr>
      <w:r w:rsidRPr="00DB3EEA">
        <w:rPr>
          <w:rFonts w:ascii="Times New Roman" w:hAnsi="Times New Roman" w:cs="Times New Roman"/>
          <w:sz w:val="28"/>
          <w:szCs w:val="28"/>
        </w:rPr>
        <w:t xml:space="preserve">Héctor Alfonso </w:t>
      </w:r>
      <w:r w:rsidRPr="00DB3EEA">
        <w:rPr>
          <w:rFonts w:ascii="Times New Roman" w:hAnsi="Times New Roman" w:cs="Times New Roman"/>
          <w:sz w:val="28"/>
          <w:szCs w:val="28"/>
        </w:rPr>
        <w:t>Carvajal Londoño</w:t>
      </w:r>
    </w:p>
    <w:p w:rsidR="00673952" w:rsidRPr="00DB3EEA" w:rsidRDefault="00DB3EEA" w:rsidP="00376DDD">
      <w:pPr>
        <w:jc w:val="both"/>
        <w:rPr>
          <w:rFonts w:ascii="Times New Roman" w:hAnsi="Times New Roman" w:cs="Times New Roman"/>
          <w:b/>
          <w:bCs/>
          <w:sz w:val="28"/>
          <w:szCs w:val="28"/>
        </w:rPr>
      </w:pPr>
    </w:p>
    <w:p w:rsidR="00A130FC" w:rsidRPr="00DB3EEA" w:rsidRDefault="00DB3EEA" w:rsidP="00376DDD">
      <w:pPr>
        <w:contextualSpacing/>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Bogotá, D. C., </w:t>
      </w:r>
      <w:r w:rsidRPr="00DB3EEA">
        <w:rPr>
          <w:rFonts w:ascii="Times New Roman" w:eastAsia="Calibri" w:hAnsi="Times New Roman" w:cs="Times New Roman"/>
          <w:sz w:val="28"/>
          <w:szCs w:val="28"/>
          <w:lang w:eastAsia="es-ES"/>
        </w:rPr>
        <w:t>cinco</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5</w:t>
      </w:r>
      <w:r w:rsidRPr="00DB3EEA">
        <w:rPr>
          <w:rFonts w:ascii="Times New Roman" w:eastAsia="Calibri" w:hAnsi="Times New Roman" w:cs="Times New Roman"/>
          <w:sz w:val="28"/>
          <w:szCs w:val="28"/>
          <w:lang w:eastAsia="es-ES"/>
        </w:rPr>
        <w:t xml:space="preserve">) de </w:t>
      </w:r>
      <w:r w:rsidRPr="00DB3EEA">
        <w:rPr>
          <w:rFonts w:ascii="Times New Roman" w:eastAsia="Calibri" w:hAnsi="Times New Roman" w:cs="Times New Roman"/>
          <w:sz w:val="28"/>
          <w:szCs w:val="28"/>
          <w:lang w:eastAsia="es-ES"/>
        </w:rPr>
        <w:t xml:space="preserve">febrero </w:t>
      </w:r>
      <w:r w:rsidRPr="00DB3EEA">
        <w:rPr>
          <w:rFonts w:ascii="Times New Roman" w:eastAsia="Calibri" w:hAnsi="Times New Roman" w:cs="Times New Roman"/>
          <w:sz w:val="28"/>
          <w:szCs w:val="28"/>
          <w:lang w:eastAsia="es-ES"/>
        </w:rPr>
        <w:t xml:space="preserve">de </w:t>
      </w:r>
      <w:r w:rsidRPr="00DB3EEA">
        <w:rPr>
          <w:rFonts w:ascii="Times New Roman" w:eastAsia="Calibri" w:hAnsi="Times New Roman" w:cs="Times New Roman"/>
          <w:sz w:val="28"/>
          <w:szCs w:val="28"/>
          <w:lang w:eastAsia="es-ES"/>
        </w:rPr>
        <w:t xml:space="preserve">dos mil </w:t>
      </w:r>
      <w:r w:rsidRPr="00DB3EEA">
        <w:rPr>
          <w:rFonts w:ascii="Times New Roman" w:eastAsia="Calibri" w:hAnsi="Times New Roman" w:cs="Times New Roman"/>
          <w:sz w:val="28"/>
          <w:szCs w:val="28"/>
          <w:lang w:eastAsia="es-ES"/>
        </w:rPr>
        <w:t>veintiséis</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202</w:t>
      </w:r>
      <w:r w:rsidRPr="00DB3EEA">
        <w:rPr>
          <w:rFonts w:ascii="Times New Roman" w:eastAsia="Calibri" w:hAnsi="Times New Roman" w:cs="Times New Roman"/>
          <w:sz w:val="28"/>
          <w:szCs w:val="28"/>
          <w:lang w:eastAsia="es-ES"/>
        </w:rPr>
        <w:t>6</w:t>
      </w:r>
      <w:r w:rsidRPr="00DB3EEA">
        <w:rPr>
          <w:rFonts w:ascii="Times New Roman" w:eastAsia="Calibri" w:hAnsi="Times New Roman" w:cs="Times New Roman"/>
          <w:sz w:val="28"/>
          <w:szCs w:val="28"/>
          <w:lang w:eastAsia="es-ES"/>
        </w:rPr>
        <w:t>)</w:t>
      </w:r>
    </w:p>
    <w:p w:rsidR="00646B91" w:rsidRPr="00DB3EEA" w:rsidRDefault="00DB3EEA" w:rsidP="00376DDD">
      <w:pPr>
        <w:jc w:val="both"/>
        <w:rPr>
          <w:rFonts w:ascii="Times New Roman" w:hAnsi="Times New Roman" w:cs="Times New Roman"/>
          <w:b/>
          <w:bCs/>
          <w:sz w:val="28"/>
          <w:szCs w:val="28"/>
        </w:rPr>
      </w:pPr>
    </w:p>
    <w:p w:rsidR="00673952" w:rsidRPr="00DB3EEA" w:rsidRDefault="00DB3EEA" w:rsidP="00376DDD">
      <w:pPr>
        <w:jc w:val="both"/>
        <w:rPr>
          <w:rFonts w:ascii="Times New Roman" w:hAnsi="Times New Roman" w:cs="Times New Roman"/>
          <w:sz w:val="28"/>
          <w:szCs w:val="28"/>
          <w:shd w:val="clear" w:color="auto" w:fill="FFFFFF"/>
          <w:lang w:eastAsia="es-ES"/>
        </w:rPr>
      </w:pPr>
      <w:r w:rsidRPr="00DB3EEA">
        <w:rPr>
          <w:rFonts w:ascii="Times New Roman" w:hAnsi="Times New Roman" w:cs="Times New Roman"/>
          <w:sz w:val="28"/>
          <w:szCs w:val="28"/>
          <w:shd w:val="clear" w:color="auto" w:fill="FFFFFF"/>
          <w:lang w:eastAsia="es-ES"/>
        </w:rPr>
        <w:t>La Sala Plena de la Corte Constitucional, en ejercicio de sus atribuciones constitucionales y legales, en especial de la prevista en el artículo 241</w:t>
      </w:r>
      <w:r w:rsidRPr="00DB3EEA">
        <w:rPr>
          <w:rFonts w:ascii="Times New Roman" w:hAnsi="Times New Roman" w:cs="Times New Roman"/>
          <w:sz w:val="28"/>
          <w:szCs w:val="28"/>
          <w:shd w:val="clear" w:color="auto" w:fill="FFFFFF"/>
          <w:lang w:eastAsia="es-ES"/>
        </w:rPr>
        <w:t>.4</w:t>
      </w:r>
      <w:r w:rsidRPr="00DB3EEA">
        <w:rPr>
          <w:rFonts w:ascii="Times New Roman" w:hAnsi="Times New Roman" w:cs="Times New Roman"/>
          <w:sz w:val="28"/>
          <w:szCs w:val="28"/>
          <w:shd w:val="clear" w:color="auto" w:fill="FFFFFF"/>
          <w:lang w:eastAsia="es-ES"/>
        </w:rPr>
        <w:t xml:space="preserve"> de la Constitución Política, cumplidos todos los trámites y requisitos contemplados en el Decreto 2067 de 1991, ha proferido la </w:t>
      </w:r>
      <w:r w:rsidRPr="00DB3EEA">
        <w:rPr>
          <w:rFonts w:ascii="Times New Roman" w:hAnsi="Times New Roman" w:cs="Times New Roman"/>
          <w:sz w:val="28"/>
          <w:szCs w:val="28"/>
          <w:shd w:val="clear" w:color="auto" w:fill="FFFFFF"/>
          <w:lang w:eastAsia="es-ES"/>
        </w:rPr>
        <w:t>presente</w:t>
      </w:r>
      <w:r w:rsidRPr="00DB3EEA">
        <w:rPr>
          <w:rFonts w:ascii="Times New Roman" w:hAnsi="Times New Roman" w:cs="Times New Roman"/>
          <w:sz w:val="28"/>
          <w:szCs w:val="28"/>
          <w:shd w:val="clear" w:color="auto" w:fill="FFFFFF"/>
          <w:lang w:eastAsia="es-ES"/>
        </w:rPr>
        <w:t xml:space="preserve"> sentencia con fundamento en los siguientes</w:t>
      </w:r>
      <w:r w:rsidRPr="00DB3EEA">
        <w:rPr>
          <w:rFonts w:ascii="Times New Roman" w:hAnsi="Times New Roman" w:cs="Times New Roman"/>
          <w:sz w:val="28"/>
          <w:szCs w:val="28"/>
          <w:shd w:val="clear" w:color="auto" w:fill="FFFFFF"/>
          <w:lang w:eastAsia="es-ES"/>
        </w:rPr>
        <w:t>:</w:t>
      </w:r>
    </w:p>
    <w:p w:rsidR="00BF1640" w:rsidRPr="00DB3EEA" w:rsidRDefault="00DB3EEA" w:rsidP="00376DDD">
      <w:pPr>
        <w:tabs>
          <w:tab w:val="left" w:pos="284"/>
        </w:tabs>
        <w:jc w:val="both"/>
        <w:rPr>
          <w:rFonts w:ascii="Times New Roman" w:hAnsi="Times New Roman" w:cs="Times New Roman"/>
          <w:sz w:val="28"/>
          <w:szCs w:val="28"/>
        </w:rPr>
      </w:pPr>
    </w:p>
    <w:p w:rsidR="00646B91" w:rsidRPr="00DB3EEA" w:rsidRDefault="00DB3EEA" w:rsidP="00646B91">
      <w:pPr>
        <w:tabs>
          <w:tab w:val="left" w:pos="284"/>
        </w:tabs>
        <w:jc w:val="both"/>
        <w:rPr>
          <w:rFonts w:ascii="Times New Roman" w:eastAsia="Calibri" w:hAnsi="Times New Roman" w:cs="Times New Roman"/>
          <w:b/>
          <w:i/>
          <w:iCs/>
          <w:sz w:val="28"/>
          <w:szCs w:val="28"/>
          <w:lang w:eastAsia="es-ES"/>
        </w:rPr>
      </w:pPr>
      <w:r w:rsidRPr="00DB3EEA">
        <w:rPr>
          <w:rFonts w:ascii="Times New Roman" w:eastAsia="Calibri" w:hAnsi="Times New Roman" w:cs="Times New Roman"/>
          <w:b/>
          <w:i/>
          <w:iCs/>
          <w:sz w:val="28"/>
          <w:szCs w:val="28"/>
          <w:lang w:eastAsia="es-ES"/>
        </w:rPr>
        <w:t>Síntesis de la decisión</w:t>
      </w:r>
    </w:p>
    <w:p w:rsidR="00646B91" w:rsidRPr="00DB3EEA" w:rsidRDefault="00DB3EEA" w:rsidP="00646B91">
      <w:pPr>
        <w:pStyle w:val="Prrafodelista"/>
        <w:tabs>
          <w:tab w:val="left" w:pos="284"/>
        </w:tabs>
        <w:ind w:left="0"/>
        <w:jc w:val="both"/>
        <w:rPr>
          <w:rFonts w:ascii="Times New Roman" w:hAnsi="Times New Roman" w:cs="Times New Roman"/>
          <w:sz w:val="28"/>
          <w:szCs w:val="28"/>
        </w:rPr>
      </w:pPr>
    </w:p>
    <w:p w:rsidR="00646B91" w:rsidRPr="00DB3EEA" w:rsidRDefault="00DB3EEA" w:rsidP="00646B91">
      <w:pPr>
        <w:tabs>
          <w:tab w:val="left" w:pos="284"/>
        </w:tabs>
        <w:contextualSpacing/>
        <w:jc w:val="both"/>
        <w:rPr>
          <w:rFonts w:ascii="Times New Roman" w:hAnsi="Times New Roman" w:cs="Times New Roman"/>
          <w:sz w:val="28"/>
          <w:szCs w:val="28"/>
        </w:rPr>
      </w:pPr>
      <w:r w:rsidRPr="00DB3EEA">
        <w:rPr>
          <w:rFonts w:ascii="Times New Roman" w:hAnsi="Times New Roman" w:cs="Times New Roman"/>
          <w:sz w:val="28"/>
          <w:szCs w:val="28"/>
        </w:rPr>
        <w:t xml:space="preserve">Los demandantes consideraron que los incisos </w:t>
      </w:r>
      <w:r w:rsidRPr="00DB3EEA">
        <w:rPr>
          <w:rFonts w:ascii="Times New Roman" w:hAnsi="Times New Roman" w:cs="Times New Roman"/>
          <w:sz w:val="28"/>
          <w:szCs w:val="28"/>
        </w:rPr>
        <w:t>segundo y tercero del artículo 513-8 del Estatuto Tributario, modificado por el artículo 54 de la Ley 2277 de 2022 desconocen (i) el principio de igualdad, (ii) el principio de equidad horizontal tributaria y (iii) la norma impone de forma encubierta un ar</w:t>
      </w:r>
      <w:r w:rsidRPr="00DB3EEA">
        <w:rPr>
          <w:rFonts w:ascii="Times New Roman" w:hAnsi="Times New Roman" w:cs="Times New Roman"/>
          <w:sz w:val="28"/>
          <w:szCs w:val="28"/>
        </w:rPr>
        <w:t>ancel por vía legislativa, en contravía de la reserva gubernamental sobre la imposición de aranceles. Lo anterior por cuanto las expresiones acusadas establecen una base gravable diferencial del impuesto saludable entre productos nacionales y productos imp</w:t>
      </w:r>
      <w:r w:rsidRPr="00DB3EEA">
        <w:rPr>
          <w:rFonts w:ascii="Times New Roman" w:hAnsi="Times New Roman" w:cs="Times New Roman"/>
          <w:sz w:val="28"/>
          <w:szCs w:val="28"/>
        </w:rPr>
        <w:t>ortados o producidos en zonas francas, generando una mayor carga tributaria para estos últimos únicamente con base en el origen del producto. Afirman que dicha diferenciación, fundada en la procedencia del bien, resulta irrelevante a la luz de los fines de</w:t>
      </w:r>
      <w:r w:rsidRPr="00DB3EEA">
        <w:rPr>
          <w:rFonts w:ascii="Times New Roman" w:hAnsi="Times New Roman" w:cs="Times New Roman"/>
          <w:sz w:val="28"/>
          <w:szCs w:val="28"/>
        </w:rPr>
        <w:t xml:space="preserve"> salud pública propios del impuesto saludable y, por ello, no existe una relación racional entre el medio utilizado por el legislador y el fin perseguido. </w:t>
      </w:r>
    </w:p>
    <w:p w:rsidR="00646B91" w:rsidRPr="00DB3EEA" w:rsidRDefault="00DB3EEA" w:rsidP="00646B91">
      <w:pPr>
        <w:tabs>
          <w:tab w:val="left" w:pos="284"/>
        </w:tabs>
        <w:contextualSpacing/>
        <w:jc w:val="both"/>
        <w:rPr>
          <w:rFonts w:ascii="Times New Roman" w:hAnsi="Times New Roman" w:cs="Times New Roman"/>
          <w:sz w:val="28"/>
          <w:szCs w:val="28"/>
        </w:rPr>
      </w:pPr>
    </w:p>
    <w:p w:rsidR="00646B91" w:rsidRPr="00DB3EEA" w:rsidRDefault="00DB3EEA" w:rsidP="09C48C94">
      <w:pPr>
        <w:tabs>
          <w:tab w:val="left" w:pos="284"/>
        </w:tabs>
        <w:contextualSpacing/>
        <w:jc w:val="both"/>
        <w:rPr>
          <w:rFonts w:ascii="Times New Roman" w:hAnsi="Times New Roman" w:cs="Times New Roman"/>
          <w:sz w:val="28"/>
          <w:szCs w:val="28"/>
        </w:rPr>
      </w:pPr>
      <w:r w:rsidRPr="00DB3EEA">
        <w:rPr>
          <w:rFonts w:ascii="Times New Roman" w:hAnsi="Times New Roman" w:cs="Times New Roman"/>
          <w:sz w:val="28"/>
          <w:szCs w:val="28"/>
        </w:rPr>
        <w:t>En ese orden, para los actores, la norma no respetaba el derecho a la igualdad y en consecuencia, e</w:t>
      </w:r>
      <w:r w:rsidRPr="00DB3EEA">
        <w:rPr>
          <w:rFonts w:ascii="Times New Roman" w:hAnsi="Times New Roman" w:cs="Times New Roman"/>
          <w:sz w:val="28"/>
          <w:szCs w:val="28"/>
        </w:rPr>
        <w:t>l principio de equidad tributaria, por cuanto mientras el primer inciso de la norma fija la base gravable de los productos nacionales como el precio de venta del bien, la base gravable para los productos importados o producidos en zonas francas corresponde</w:t>
      </w:r>
      <w:r w:rsidRPr="00DB3EEA">
        <w:rPr>
          <w:rFonts w:ascii="Times New Roman" w:hAnsi="Times New Roman" w:cs="Times New Roman"/>
          <w:sz w:val="28"/>
          <w:szCs w:val="28"/>
        </w:rPr>
        <w:t xml:space="preserve"> a una fórmula más compleja que comprende: (i) el valor del producto que se tuvo en cuenta para liquidar los tributos aduaneros, más (ii) el valor de los tributos aduaneros, que incluye el IVA. Agregaron que esto configuraba una vulneración de la reserva d</w:t>
      </w:r>
      <w:r w:rsidRPr="00DB3EEA">
        <w:rPr>
          <w:rFonts w:ascii="Times New Roman" w:hAnsi="Times New Roman" w:cs="Times New Roman"/>
          <w:sz w:val="28"/>
          <w:szCs w:val="28"/>
        </w:rPr>
        <w:t xml:space="preserve">e ley marco en materia </w:t>
      </w:r>
      <w:r w:rsidRPr="00DB3EEA">
        <w:rPr>
          <w:rFonts w:ascii="Times New Roman" w:hAnsi="Times New Roman" w:cs="Times New Roman"/>
          <w:sz w:val="28"/>
          <w:szCs w:val="28"/>
        </w:rPr>
        <w:t>aduanera</w:t>
      </w:r>
      <w:r w:rsidRPr="00DB3EEA">
        <w:rPr>
          <w:rFonts w:ascii="Times New Roman" w:hAnsi="Times New Roman" w:cs="Times New Roman"/>
          <w:sz w:val="28"/>
          <w:szCs w:val="28"/>
        </w:rPr>
        <w:t xml:space="preserve"> prevista en los artículos 150-19, literal c), y 189-25 de la Constitución Política, en la medida en que el </w:t>
      </w:r>
      <w:r w:rsidRPr="00DB3EEA">
        <w:rPr>
          <w:rFonts w:ascii="Times New Roman" w:hAnsi="Times New Roman" w:cs="Times New Roman"/>
          <w:sz w:val="28"/>
          <w:szCs w:val="28"/>
        </w:rPr>
        <w:t>legislador</w:t>
      </w:r>
      <w:r w:rsidRPr="00DB3EEA">
        <w:rPr>
          <w:rFonts w:ascii="Times New Roman" w:hAnsi="Times New Roman" w:cs="Times New Roman"/>
          <w:sz w:val="28"/>
          <w:szCs w:val="28"/>
        </w:rPr>
        <w:t xml:space="preserve"> habría definido elementos propios del arancel.</w:t>
      </w:r>
    </w:p>
    <w:p w:rsidR="00646B91" w:rsidRPr="00DB3EEA" w:rsidRDefault="00DB3EEA" w:rsidP="00646B91">
      <w:pPr>
        <w:tabs>
          <w:tab w:val="left" w:pos="284"/>
        </w:tabs>
        <w:contextualSpacing/>
        <w:jc w:val="both"/>
        <w:rPr>
          <w:rFonts w:ascii="Times New Roman" w:hAnsi="Times New Roman" w:cs="Times New Roman"/>
          <w:sz w:val="28"/>
          <w:szCs w:val="28"/>
        </w:rPr>
      </w:pPr>
    </w:p>
    <w:p w:rsidR="00646B91" w:rsidRPr="00DB3EEA" w:rsidRDefault="00DB3EEA" w:rsidP="00646B91">
      <w:pPr>
        <w:tabs>
          <w:tab w:val="left" w:pos="284"/>
        </w:tabs>
        <w:contextualSpacing/>
        <w:jc w:val="both"/>
        <w:rPr>
          <w:rFonts w:ascii="Times New Roman" w:hAnsi="Times New Roman" w:cs="Times New Roman"/>
          <w:sz w:val="28"/>
          <w:szCs w:val="28"/>
        </w:rPr>
      </w:pPr>
      <w:r w:rsidRPr="00DB3EEA">
        <w:rPr>
          <w:rFonts w:ascii="Times New Roman" w:hAnsi="Times New Roman" w:cs="Times New Roman"/>
          <w:sz w:val="28"/>
          <w:szCs w:val="28"/>
        </w:rPr>
        <w:t>Luego de reiterar la jurisprudencia constitucional sobre e</w:t>
      </w:r>
      <w:r w:rsidRPr="00DB3EEA">
        <w:rPr>
          <w:rFonts w:ascii="Times New Roman" w:hAnsi="Times New Roman" w:cs="Times New Roman"/>
          <w:sz w:val="28"/>
          <w:szCs w:val="28"/>
        </w:rPr>
        <w:t>l alcance de los principios de igualdad, equidad tributaria y de la reserva de ley marco en materia de aranceles, la Corte consideró que los incisos acusados resultan acordes con la Constitución en relación con los cargos admitidos.</w:t>
      </w:r>
    </w:p>
    <w:p w:rsidR="00646B91" w:rsidRPr="00DB3EEA" w:rsidRDefault="00DB3EEA" w:rsidP="00646B91">
      <w:pPr>
        <w:tabs>
          <w:tab w:val="left" w:pos="284"/>
        </w:tabs>
        <w:contextualSpacing/>
        <w:jc w:val="both"/>
        <w:rPr>
          <w:rFonts w:ascii="Times New Roman" w:hAnsi="Times New Roman" w:cs="Times New Roman"/>
          <w:sz w:val="28"/>
          <w:szCs w:val="28"/>
        </w:rPr>
      </w:pPr>
    </w:p>
    <w:p w:rsidR="00646B91" w:rsidRPr="00DB3EEA" w:rsidRDefault="00DB3EEA" w:rsidP="09C48C94">
      <w:pPr>
        <w:tabs>
          <w:tab w:val="left" w:pos="284"/>
        </w:tabs>
        <w:contextualSpacing/>
        <w:jc w:val="both"/>
        <w:rPr>
          <w:rFonts w:ascii="Times New Roman" w:hAnsi="Times New Roman" w:cs="Times New Roman"/>
          <w:sz w:val="28"/>
          <w:szCs w:val="28"/>
          <w:lang w:eastAsia="en-US"/>
        </w:rPr>
      </w:pPr>
      <w:r w:rsidRPr="00DB3EEA">
        <w:rPr>
          <w:rFonts w:ascii="Times New Roman" w:hAnsi="Times New Roman" w:cs="Times New Roman"/>
          <w:sz w:val="28"/>
          <w:szCs w:val="28"/>
        </w:rPr>
        <w:t xml:space="preserve">En efecto, </w:t>
      </w:r>
      <w:r w:rsidRPr="00DB3EEA">
        <w:rPr>
          <w:rFonts w:ascii="Times New Roman" w:hAnsi="Times New Roman" w:cs="Times New Roman"/>
          <w:sz w:val="28"/>
          <w:szCs w:val="28"/>
        </w:rPr>
        <w:t>la decisión</w:t>
      </w:r>
      <w:r w:rsidRPr="00DB3EEA">
        <w:rPr>
          <w:rFonts w:ascii="Times New Roman" w:hAnsi="Times New Roman" w:cs="Times New Roman"/>
          <w:sz w:val="28"/>
          <w:szCs w:val="28"/>
        </w:rPr>
        <w:t xml:space="preserve"> del legislador de diferenciar las bases </w:t>
      </w:r>
      <w:r w:rsidRPr="00DB3EEA">
        <w:rPr>
          <w:rFonts w:ascii="Times New Roman" w:hAnsi="Times New Roman" w:cs="Times New Roman"/>
          <w:sz w:val="28"/>
          <w:szCs w:val="28"/>
        </w:rPr>
        <w:t>gravables</w:t>
      </w:r>
      <w:r w:rsidRPr="00DB3EEA">
        <w:rPr>
          <w:rFonts w:ascii="Times New Roman" w:hAnsi="Times New Roman" w:cs="Times New Roman"/>
          <w:sz w:val="28"/>
          <w:szCs w:val="28"/>
        </w:rPr>
        <w:t xml:space="preserve"> no sólo encaja dentro del amplio margen de configuración, sino que resulta razonable, en razón a que </w:t>
      </w:r>
      <w:r w:rsidRPr="00DB3EEA">
        <w:rPr>
          <w:rFonts w:ascii="Times New Roman" w:hAnsi="Times New Roman" w:cs="Times New Roman"/>
          <w:sz w:val="28"/>
          <w:szCs w:val="28"/>
          <w:lang w:eastAsia="en-US"/>
        </w:rPr>
        <w:t>importar un producto ultraprocesado es un hecho económico diverso a comprar en el país un producto simil</w:t>
      </w:r>
      <w:r w:rsidRPr="00DB3EEA">
        <w:rPr>
          <w:rFonts w:ascii="Times New Roman" w:hAnsi="Times New Roman" w:cs="Times New Roman"/>
          <w:sz w:val="28"/>
          <w:szCs w:val="28"/>
          <w:lang w:eastAsia="en-US"/>
        </w:rPr>
        <w:t xml:space="preserve">ar. </w:t>
      </w:r>
    </w:p>
    <w:p w:rsidR="00646B91" w:rsidRPr="00DB3EEA" w:rsidRDefault="00DB3EEA" w:rsidP="00646B91">
      <w:pPr>
        <w:autoSpaceDE w:val="0"/>
        <w:autoSpaceDN w:val="0"/>
        <w:adjustRightInd w:val="0"/>
        <w:jc w:val="both"/>
        <w:rPr>
          <w:rFonts w:ascii="Times New Roman" w:eastAsiaTheme="minorHAnsi" w:hAnsi="Times New Roman" w:cs="Times New Roman"/>
          <w:color w:val="000000"/>
          <w:sz w:val="28"/>
          <w:szCs w:val="28"/>
          <w:lang w:eastAsia="en-US"/>
        </w:rPr>
      </w:pPr>
    </w:p>
    <w:p w:rsidR="00646B91" w:rsidRPr="00DB3EEA" w:rsidRDefault="00DB3EEA" w:rsidP="00646B91">
      <w:pPr>
        <w:autoSpaceDE w:val="0"/>
        <w:autoSpaceDN w:val="0"/>
        <w:adjustRightInd w:val="0"/>
        <w:jc w:val="both"/>
        <w:rPr>
          <w:rFonts w:ascii="Times New Roman" w:eastAsiaTheme="minorHAnsi" w:hAnsi="Times New Roman" w:cs="Times New Roman"/>
          <w:color w:val="000000"/>
          <w:sz w:val="28"/>
          <w:szCs w:val="28"/>
          <w:lang w:eastAsia="en-US"/>
        </w:rPr>
      </w:pPr>
      <w:r w:rsidRPr="00DB3EEA">
        <w:rPr>
          <w:rFonts w:ascii="Times New Roman" w:eastAsiaTheme="minorHAnsi" w:hAnsi="Times New Roman" w:cs="Times New Roman"/>
          <w:color w:val="000000"/>
          <w:sz w:val="28"/>
          <w:szCs w:val="28"/>
          <w:lang w:eastAsia="en-US"/>
        </w:rPr>
        <w:t>En este contexto, tal y como fue señalado por varios intervinientes, la diferenciación de la base gravable que contempla el artículo 513-8 del Estatuto Tributario, se fundamenta en la naturaleza y estructura del impuesto, específicamente, en (i) la d</w:t>
      </w:r>
      <w:r w:rsidRPr="00DB3EEA">
        <w:rPr>
          <w:rFonts w:ascii="Times New Roman" w:eastAsiaTheme="minorHAnsi" w:hAnsi="Times New Roman" w:cs="Times New Roman"/>
          <w:color w:val="000000"/>
          <w:sz w:val="28"/>
          <w:szCs w:val="28"/>
          <w:lang w:eastAsia="en-US"/>
        </w:rPr>
        <w:t>iferencia de los hechos generadores, (ii) el carácter monofásico del impuesto y (iii) el momento de su causación.</w:t>
      </w:r>
    </w:p>
    <w:p w:rsidR="00646B91" w:rsidRPr="00DB3EEA" w:rsidRDefault="00DB3EEA" w:rsidP="00646B91">
      <w:pPr>
        <w:tabs>
          <w:tab w:val="left" w:pos="284"/>
        </w:tabs>
        <w:contextualSpacing/>
        <w:jc w:val="both"/>
        <w:rPr>
          <w:rFonts w:ascii="Times New Roman" w:hAnsi="Times New Roman" w:cs="Times New Roman"/>
          <w:sz w:val="28"/>
          <w:szCs w:val="28"/>
        </w:rPr>
      </w:pPr>
    </w:p>
    <w:p w:rsidR="00646B91" w:rsidRPr="00DB3EEA" w:rsidRDefault="00DB3EEA" w:rsidP="09C48C94">
      <w:pPr>
        <w:contextualSpacing/>
        <w:jc w:val="both"/>
        <w:rPr>
          <w:rFonts w:ascii="Times New Roman" w:hAnsi="Times New Roman" w:cs="Times New Roman"/>
          <w:sz w:val="28"/>
          <w:szCs w:val="28"/>
        </w:rPr>
      </w:pPr>
      <w:r w:rsidRPr="00DB3EEA">
        <w:rPr>
          <w:rFonts w:ascii="Times New Roman" w:hAnsi="Times New Roman" w:cs="Times New Roman"/>
          <w:sz w:val="28"/>
          <w:szCs w:val="28"/>
        </w:rPr>
        <w:t xml:space="preserve">Para la Corte, las reglas de la lógica y la sana crítica indican que un importador adquiere mercancías producidas en el extranjero por un </w:t>
      </w:r>
      <w:r w:rsidRPr="00DB3EEA">
        <w:rPr>
          <w:rFonts w:ascii="Times New Roman" w:hAnsi="Times New Roman" w:cs="Times New Roman"/>
          <w:sz w:val="28"/>
          <w:szCs w:val="28"/>
        </w:rPr>
        <w:t>valor determinado, inferior</w:t>
      </w:r>
      <w:r w:rsidRPr="00DB3EEA">
        <w:rPr>
          <w:rFonts w:ascii="Times New Roman" w:hAnsi="Times New Roman" w:cs="Times New Roman"/>
          <w:sz w:val="28"/>
          <w:szCs w:val="28"/>
        </w:rPr>
        <w:t xml:space="preserve"> al posterior precio de venta</w:t>
      </w:r>
      <w:r w:rsidRPr="00DB3EEA">
        <w:rPr>
          <w:rFonts w:ascii="Times New Roman" w:hAnsi="Times New Roman" w:cs="Times New Roman"/>
          <w:sz w:val="28"/>
          <w:szCs w:val="28"/>
        </w:rPr>
        <w:t xml:space="preserve">, con la finalidad de comercializarlas </w:t>
      </w:r>
      <w:r w:rsidRPr="00DB3EEA">
        <w:rPr>
          <w:rFonts w:ascii="Times New Roman" w:hAnsi="Times New Roman" w:cs="Times New Roman"/>
          <w:sz w:val="28"/>
          <w:szCs w:val="28"/>
        </w:rPr>
        <w:t>y</w:t>
      </w:r>
      <w:r w:rsidRPr="00DB3EEA">
        <w:rPr>
          <w:rFonts w:ascii="Times New Roman" w:hAnsi="Times New Roman" w:cs="Times New Roman"/>
          <w:sz w:val="28"/>
          <w:szCs w:val="28"/>
        </w:rPr>
        <w:t xml:space="preserve"> obtener utilidades. </w:t>
      </w:r>
      <w:r w:rsidRPr="00DB3EEA">
        <w:rPr>
          <w:rFonts w:ascii="Times New Roman" w:hAnsi="Times New Roman" w:cs="Times New Roman"/>
          <w:sz w:val="28"/>
          <w:szCs w:val="28"/>
        </w:rPr>
        <w:t>De igual forma, la categoría de importadores de comestibles ultraprocesados no es homogénea en términos tributarios, ya que están sujetos a</w:t>
      </w:r>
      <w:r w:rsidRPr="00DB3EEA">
        <w:rPr>
          <w:rFonts w:ascii="Times New Roman" w:hAnsi="Times New Roman" w:cs="Times New Roman"/>
          <w:sz w:val="28"/>
          <w:szCs w:val="28"/>
        </w:rPr>
        <w:t xml:space="preserve"> diversas partidas o subpartidas arancelarias, dependiendo del tipo de productos</w:t>
      </w:r>
      <w:r w:rsidRPr="00DB3EEA">
        <w:rPr>
          <w:rFonts w:ascii="Times New Roman" w:hAnsi="Times New Roman" w:cs="Times New Roman"/>
          <w:sz w:val="28"/>
          <w:szCs w:val="28"/>
        </w:rPr>
        <w:t xml:space="preserve"> importados y de su origen.</w:t>
      </w:r>
    </w:p>
    <w:p w:rsidR="00646B91" w:rsidRPr="00DB3EEA" w:rsidRDefault="00DB3EEA" w:rsidP="09C48C94">
      <w:pPr>
        <w:contextualSpacing/>
        <w:jc w:val="both"/>
        <w:rPr>
          <w:rFonts w:ascii="Times New Roman" w:hAnsi="Times New Roman" w:cs="Times New Roman"/>
          <w:sz w:val="28"/>
          <w:szCs w:val="28"/>
        </w:rPr>
      </w:pPr>
    </w:p>
    <w:p w:rsidR="00646B91" w:rsidRPr="00DB3EEA" w:rsidRDefault="00DB3EEA" w:rsidP="09C48C94">
      <w:pPr>
        <w:contextualSpacing/>
        <w:jc w:val="both"/>
        <w:rPr>
          <w:rFonts w:ascii="Times New Roman" w:hAnsi="Times New Roman" w:cs="Times New Roman"/>
          <w:sz w:val="28"/>
          <w:szCs w:val="28"/>
        </w:rPr>
      </w:pPr>
      <w:r w:rsidRPr="00DB3EEA">
        <w:rPr>
          <w:rFonts w:ascii="Times New Roman" w:hAnsi="Times New Roman" w:cs="Times New Roman"/>
          <w:sz w:val="28"/>
          <w:szCs w:val="28"/>
        </w:rPr>
        <w:t>Aunque los importadores no reciben un trato idéntico</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 xml:space="preserve">al establecido a los productores nacionales, </w:t>
      </w:r>
      <w:r w:rsidRPr="00DB3EEA">
        <w:rPr>
          <w:rFonts w:ascii="Times New Roman" w:hAnsi="Times New Roman" w:cs="Times New Roman"/>
          <w:sz w:val="28"/>
          <w:szCs w:val="28"/>
        </w:rPr>
        <w:t xml:space="preserve">ya que no están en una situación idéntica debido </w:t>
      </w:r>
      <w:r w:rsidRPr="00DB3EEA">
        <w:rPr>
          <w:rFonts w:ascii="Times New Roman" w:hAnsi="Times New Roman" w:cs="Times New Roman"/>
          <w:sz w:val="28"/>
          <w:szCs w:val="28"/>
        </w:rPr>
        <w:t xml:space="preserve">a que se trata de actividades económicas distintas, </w:t>
      </w:r>
      <w:r w:rsidRPr="00DB3EEA">
        <w:rPr>
          <w:rFonts w:ascii="Times New Roman" w:hAnsi="Times New Roman" w:cs="Times New Roman"/>
          <w:sz w:val="28"/>
          <w:szCs w:val="28"/>
        </w:rPr>
        <w:t xml:space="preserve">este no resulta desigual ni </w:t>
      </w:r>
      <w:r w:rsidRPr="00DB3EEA">
        <w:rPr>
          <w:rFonts w:ascii="Times New Roman" w:hAnsi="Times New Roman" w:cs="Times New Roman"/>
          <w:sz w:val="28"/>
          <w:szCs w:val="28"/>
        </w:rPr>
        <w:t xml:space="preserve">desfavorable. </w:t>
      </w:r>
      <w:r w:rsidRPr="00DB3EEA">
        <w:rPr>
          <w:rFonts w:ascii="Times New Roman" w:hAnsi="Times New Roman" w:cs="Times New Roman"/>
          <w:sz w:val="28"/>
          <w:szCs w:val="28"/>
        </w:rPr>
        <w:t xml:space="preserve">En ese sentido, resulta razonable que el legislador haya </w:t>
      </w:r>
      <w:r w:rsidRPr="00DB3EEA">
        <w:rPr>
          <w:rFonts w:ascii="Times New Roman" w:hAnsi="Times New Roman" w:cs="Times New Roman"/>
          <w:sz w:val="28"/>
          <w:szCs w:val="28"/>
        </w:rPr>
        <w:t>determinado una base gravable a</w:t>
      </w:r>
      <w:r w:rsidRPr="00DB3EEA">
        <w:rPr>
          <w:rFonts w:ascii="Times New Roman" w:hAnsi="Times New Roman" w:cs="Times New Roman"/>
          <w:sz w:val="28"/>
          <w:szCs w:val="28"/>
        </w:rPr>
        <w:t xml:space="preserve"> los productos ultraprocesados objeto del ICUI </w:t>
      </w:r>
      <w:r w:rsidRPr="00DB3EEA">
        <w:rPr>
          <w:rFonts w:ascii="Times New Roman" w:hAnsi="Times New Roman" w:cs="Times New Roman"/>
          <w:sz w:val="28"/>
          <w:szCs w:val="28"/>
        </w:rPr>
        <w:t>diferente a los establecido</w:t>
      </w:r>
      <w:r w:rsidRPr="00DB3EEA">
        <w:rPr>
          <w:rFonts w:ascii="Times New Roman" w:hAnsi="Times New Roman" w:cs="Times New Roman"/>
          <w:sz w:val="28"/>
          <w:szCs w:val="28"/>
        </w:rPr>
        <w:t>s a los productos nacionales</w:t>
      </w:r>
      <w:r w:rsidRPr="00DB3EEA">
        <w:rPr>
          <w:rFonts w:ascii="Times New Roman" w:hAnsi="Times New Roman" w:cs="Times New Roman"/>
          <w:sz w:val="28"/>
          <w:szCs w:val="28"/>
        </w:rPr>
        <w:t xml:space="preserve"> que</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incluyera el gravamen arancelario y el IVA. Este último, como mecanismo de equiparación de la base gravable establecida para los productos nacionales</w:t>
      </w:r>
      <w:r w:rsidRPr="00DB3EEA">
        <w:rPr>
          <w:rFonts w:ascii="Times New Roman" w:hAnsi="Times New Roman" w:cs="Times New Roman"/>
          <w:sz w:val="28"/>
          <w:szCs w:val="28"/>
        </w:rPr>
        <w:t>.</w:t>
      </w:r>
    </w:p>
    <w:p w:rsidR="00646B91" w:rsidRPr="00DB3EEA" w:rsidRDefault="00DB3EEA" w:rsidP="00646B91">
      <w:pPr>
        <w:tabs>
          <w:tab w:val="left" w:pos="284"/>
        </w:tabs>
        <w:contextualSpacing/>
        <w:jc w:val="both"/>
        <w:rPr>
          <w:rFonts w:ascii="Times New Roman" w:hAnsi="Times New Roman" w:cs="Times New Roman"/>
          <w:sz w:val="28"/>
          <w:szCs w:val="28"/>
        </w:rPr>
      </w:pPr>
    </w:p>
    <w:p w:rsidR="00646B91" w:rsidRPr="00DB3EEA" w:rsidRDefault="00DB3EEA" w:rsidP="09C48C94">
      <w:pPr>
        <w:tabs>
          <w:tab w:val="left" w:pos="284"/>
        </w:tabs>
        <w:contextualSpacing/>
        <w:jc w:val="both"/>
        <w:rPr>
          <w:rFonts w:ascii="Times New Roman" w:hAnsi="Times New Roman" w:cs="Times New Roman"/>
          <w:sz w:val="28"/>
          <w:szCs w:val="28"/>
        </w:rPr>
      </w:pPr>
      <w:r w:rsidRPr="00DB3EEA">
        <w:rPr>
          <w:rFonts w:ascii="Times New Roman" w:hAnsi="Times New Roman" w:cs="Times New Roman"/>
          <w:sz w:val="28"/>
          <w:szCs w:val="28"/>
        </w:rPr>
        <w:t xml:space="preserve">En relación con el cargo referido al desconocimiento de la competencia </w:t>
      </w:r>
      <w:r w:rsidRPr="00DB3EEA">
        <w:rPr>
          <w:rFonts w:ascii="Times New Roman" w:hAnsi="Times New Roman" w:cs="Times New Roman"/>
          <w:sz w:val="28"/>
          <w:szCs w:val="28"/>
        </w:rPr>
        <w:t>limitada del Congreso en la creación de aranceles,</w:t>
      </w:r>
      <w:r w:rsidRPr="00DB3EEA">
        <w:rPr>
          <w:rFonts w:ascii="Times New Roman" w:hAnsi="Times New Roman" w:cs="Times New Roman"/>
          <w:sz w:val="28"/>
          <w:szCs w:val="28"/>
        </w:rPr>
        <w:t xml:space="preserve"> la Sala sostuvo que, según la jurisprudencia </w:t>
      </w:r>
      <w:r w:rsidRPr="00DB3EEA">
        <w:rPr>
          <w:rFonts w:ascii="Times New Roman" w:hAnsi="Times New Roman" w:cs="Times New Roman"/>
          <w:sz w:val="28"/>
          <w:szCs w:val="28"/>
        </w:rPr>
        <w:t>constitucional</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 xml:space="preserve">la reserva de ley marco —como técnica legislativa de carácter excepcional— se circunscribe únicamente a los escenarios expresamente previstos en </w:t>
      </w:r>
      <w:r w:rsidRPr="00DB3EEA">
        <w:rPr>
          <w:rFonts w:ascii="Times New Roman" w:hAnsi="Times New Roman" w:cs="Times New Roman"/>
          <w:sz w:val="28"/>
          <w:szCs w:val="28"/>
        </w:rPr>
        <w:t>la Constitución Política. En materia arancelaria, ello implica que su aplicación se limita a “razones de política comercial”.</w:t>
      </w:r>
    </w:p>
    <w:p w:rsidR="00646B91" w:rsidRPr="00DB3EEA" w:rsidRDefault="00DB3EEA" w:rsidP="00646B91">
      <w:pPr>
        <w:contextualSpacing/>
        <w:jc w:val="both"/>
        <w:rPr>
          <w:rFonts w:ascii="Times New Roman" w:hAnsi="Times New Roman" w:cs="Times New Roman"/>
          <w:sz w:val="28"/>
          <w:szCs w:val="28"/>
        </w:rPr>
      </w:pPr>
    </w:p>
    <w:p w:rsidR="00646B91" w:rsidRPr="00DB3EEA" w:rsidRDefault="00DB3EEA" w:rsidP="00646B91">
      <w:pPr>
        <w:contextualSpacing/>
        <w:jc w:val="both"/>
        <w:rPr>
          <w:rFonts w:ascii="Times New Roman" w:eastAsiaTheme="minorHAnsi" w:hAnsi="Times New Roman" w:cs="Times New Roman"/>
          <w:kern w:val="2"/>
          <w:sz w:val="28"/>
          <w:szCs w:val="28"/>
          <w:lang w:eastAsia="en-US"/>
          <w14:ligatures w14:val="standardContextual"/>
        </w:rPr>
      </w:pPr>
      <w:r w:rsidRPr="00DB3EEA">
        <w:rPr>
          <w:rFonts w:ascii="Times New Roman" w:hAnsi="Times New Roman" w:cs="Times New Roman"/>
          <w:sz w:val="28"/>
          <w:szCs w:val="28"/>
        </w:rPr>
        <w:t>En el caso concreto,</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la Sala encontró que</w:t>
      </w:r>
      <w:r w:rsidRPr="00DB3EEA">
        <w:rPr>
          <w:rFonts w:ascii="Times New Roman" w:hAnsi="Times New Roman" w:cs="Times New Roman"/>
          <w:sz w:val="28"/>
          <w:szCs w:val="28"/>
        </w:rPr>
        <w:t xml:space="preserve"> la</w:t>
      </w:r>
      <w:r w:rsidRPr="00DB3EEA">
        <w:rPr>
          <w:rFonts w:ascii="Times New Roman" w:hAnsi="Times New Roman" w:cs="Times New Roman"/>
          <w:sz w:val="28"/>
          <w:szCs w:val="28"/>
        </w:rPr>
        <w:t xml:space="preserve"> diferencia </w:t>
      </w:r>
      <w:r w:rsidRPr="00DB3EEA">
        <w:rPr>
          <w:rFonts w:ascii="Times New Roman" w:hAnsi="Times New Roman" w:cs="Times New Roman"/>
          <w:sz w:val="28"/>
          <w:szCs w:val="28"/>
        </w:rPr>
        <w:t xml:space="preserve">en las bases gravables </w:t>
      </w:r>
      <w:r w:rsidRPr="00DB3EEA">
        <w:rPr>
          <w:rFonts w:ascii="Times New Roman" w:hAnsi="Times New Roman" w:cs="Times New Roman"/>
          <w:sz w:val="28"/>
          <w:szCs w:val="28"/>
        </w:rPr>
        <w:t xml:space="preserve">no responde a razones de política comercial, sino </w:t>
      </w:r>
      <w:r w:rsidRPr="00DB3EEA">
        <w:rPr>
          <w:rFonts w:ascii="Times New Roman" w:hAnsi="Times New Roman" w:cs="Times New Roman"/>
          <w:sz w:val="28"/>
          <w:szCs w:val="28"/>
        </w:rPr>
        <w:t>de política fiscal</w:t>
      </w:r>
      <w:r w:rsidRPr="00DB3EEA">
        <w:rPr>
          <w:rFonts w:ascii="Times New Roman" w:hAnsi="Times New Roman" w:cs="Times New Roman"/>
          <w:sz w:val="28"/>
          <w:szCs w:val="28"/>
        </w:rPr>
        <w:t>, centrada en garantizar la liquidación de un tributo de naturaleza pigouviana</w:t>
      </w:r>
      <w:r w:rsidRPr="00DB3EEA">
        <w:rPr>
          <w:rFonts w:ascii="Times New Roman" w:hAnsi="Times New Roman" w:cs="Times New Roman"/>
          <w:sz w:val="28"/>
          <w:szCs w:val="28"/>
        </w:rPr>
        <w:t>. En efecto, la fórmula de determinación de la base gravable no persigue (i) facilitar convenios o tratados internacionales, (ii) fomentar o proteger la producc</w:t>
      </w:r>
      <w:r w:rsidRPr="00DB3EEA">
        <w:rPr>
          <w:rFonts w:ascii="Times New Roman" w:hAnsi="Times New Roman" w:cs="Times New Roman"/>
          <w:sz w:val="28"/>
          <w:szCs w:val="28"/>
        </w:rPr>
        <w:t>ión nacional, (iii) facilitar o agilizar las operaciones de comercio exterior, (iv) promover el uso de tecnologías y medios de comunicación modernos, ni (v) adoptar procedimientos orientados a la facilitación del comercio. Por el contrario, su propósito es</w:t>
      </w:r>
      <w:r w:rsidRPr="00DB3EEA">
        <w:rPr>
          <w:rFonts w:ascii="Times New Roman" w:hAnsi="Times New Roman" w:cs="Times New Roman"/>
          <w:sz w:val="28"/>
          <w:szCs w:val="28"/>
        </w:rPr>
        <w:t xml:space="preserve"> garantizar el pago del impuesto conforme a los principios de legalidad y certeza tributaria, dado que “la importación no se </w:t>
      </w:r>
      <w:r w:rsidRPr="00DB3EEA">
        <w:rPr>
          <w:rFonts w:ascii="Times New Roman" w:hAnsi="Times New Roman" w:cs="Times New Roman"/>
          <w:sz w:val="28"/>
          <w:szCs w:val="28"/>
        </w:rPr>
        <w:t>[le]</w:t>
      </w:r>
      <w:r w:rsidRPr="00DB3EEA">
        <w:rPr>
          <w:rFonts w:ascii="Times New Roman" w:hAnsi="Times New Roman" w:cs="Times New Roman"/>
          <w:sz w:val="28"/>
          <w:szCs w:val="28"/>
        </w:rPr>
        <w:t xml:space="preserve"> puede exigir el precio de venta como base gravable”.</w:t>
      </w:r>
    </w:p>
    <w:p w:rsidR="00646B91" w:rsidRPr="00DB3EEA" w:rsidRDefault="00DB3EEA" w:rsidP="00376DDD">
      <w:pPr>
        <w:tabs>
          <w:tab w:val="left" w:pos="284"/>
        </w:tabs>
        <w:jc w:val="both"/>
        <w:rPr>
          <w:rFonts w:ascii="Times New Roman" w:hAnsi="Times New Roman" w:cs="Times New Roman"/>
          <w:sz w:val="28"/>
          <w:szCs w:val="28"/>
        </w:rPr>
      </w:pPr>
    </w:p>
    <w:p w:rsidR="00673952" w:rsidRPr="00DB3EEA" w:rsidRDefault="00DB3EEA" w:rsidP="00276C7F">
      <w:pPr>
        <w:tabs>
          <w:tab w:val="left" w:pos="284"/>
        </w:tabs>
        <w:jc w:val="both"/>
        <w:outlineLvl w:val="0"/>
        <w:rPr>
          <w:rFonts w:ascii="Times New Roman" w:eastAsia="Calibri" w:hAnsi="Times New Roman" w:cs="Times New Roman"/>
          <w:sz w:val="28"/>
          <w:szCs w:val="28"/>
          <w:lang w:eastAsia="es-ES"/>
        </w:rPr>
      </w:pPr>
      <w:r w:rsidRPr="00DB3EEA">
        <w:rPr>
          <w:rFonts w:ascii="Times New Roman" w:eastAsia="Calibri" w:hAnsi="Times New Roman" w:cs="Times New Roman"/>
          <w:b/>
          <w:sz w:val="28"/>
          <w:szCs w:val="28"/>
          <w:lang w:eastAsia="es-ES"/>
        </w:rPr>
        <w:t xml:space="preserve">I. </w:t>
      </w:r>
      <w:r w:rsidRPr="00DB3EEA">
        <w:rPr>
          <w:rFonts w:ascii="Times New Roman" w:eastAsia="Calibri" w:hAnsi="Times New Roman" w:cs="Times New Roman"/>
          <w:b/>
          <w:sz w:val="28"/>
          <w:szCs w:val="28"/>
          <w:lang w:eastAsia="es-ES"/>
        </w:rPr>
        <w:t>ANTECEDENTES</w:t>
      </w:r>
    </w:p>
    <w:p w:rsidR="00673952" w:rsidRPr="00DB3EEA" w:rsidRDefault="00DB3EEA" w:rsidP="00376DDD">
      <w:pPr>
        <w:contextualSpacing/>
        <w:jc w:val="both"/>
        <w:rPr>
          <w:rFonts w:ascii="Times New Roman" w:eastAsia="Calibri" w:hAnsi="Times New Roman" w:cs="Times New Roman"/>
          <w:sz w:val="28"/>
          <w:szCs w:val="28"/>
          <w:lang w:eastAsia="es-ES"/>
        </w:rPr>
      </w:pPr>
    </w:p>
    <w:p w:rsidR="00081027" w:rsidRPr="00DB3EEA" w:rsidRDefault="00DB3EEA" w:rsidP="00E947BC">
      <w:pPr>
        <w:pStyle w:val="Prrafodelista"/>
        <w:numPr>
          <w:ilvl w:val="0"/>
          <w:numId w:val="1"/>
        </w:numPr>
        <w:shd w:val="clear" w:color="auto" w:fill="FFFFFF" w:themeFill="background1"/>
        <w:ind w:left="0" w:firstLine="0"/>
        <w:jc w:val="both"/>
        <w:textAlignment w:val="baseline"/>
        <w:rPr>
          <w:rFonts w:ascii="Times New Roman" w:hAnsi="Times New Roman" w:cs="Times New Roman"/>
          <w:iCs/>
          <w:sz w:val="28"/>
          <w:szCs w:val="28"/>
          <w:lang w:eastAsia="es-ES"/>
        </w:rPr>
      </w:pPr>
      <w:r w:rsidRPr="00DB3EEA">
        <w:rPr>
          <w:rFonts w:ascii="Times New Roman" w:hAnsi="Times New Roman" w:cs="Times New Roman"/>
          <w:sz w:val="28"/>
          <w:szCs w:val="28"/>
        </w:rPr>
        <w:t>En ejercicio de la acción pública de inconstitucionalid</w:t>
      </w:r>
      <w:r w:rsidRPr="00DB3EEA">
        <w:rPr>
          <w:rFonts w:ascii="Times New Roman" w:hAnsi="Times New Roman" w:cs="Times New Roman"/>
          <w:sz w:val="28"/>
          <w:szCs w:val="28"/>
        </w:rPr>
        <w:t xml:space="preserve">ad, </w:t>
      </w:r>
      <w:r w:rsidRPr="00DB3EEA">
        <w:rPr>
          <w:rFonts w:ascii="Times New Roman" w:hAnsi="Times New Roman" w:cs="Times New Roman"/>
          <w:sz w:val="28"/>
          <w:szCs w:val="28"/>
        </w:rPr>
        <w:t>los ciudadanos Manuel José Cepeda Espinosa y Mauricio Alfredo Plazas Vega</w:t>
      </w:r>
      <w:r w:rsidRPr="00DB3EEA">
        <w:rPr>
          <w:rFonts w:ascii="Times New Roman" w:hAnsi="Times New Roman" w:cs="Times New Roman"/>
          <w:sz w:val="28"/>
          <w:szCs w:val="28"/>
        </w:rPr>
        <w:t xml:space="preserve"> demand</w:t>
      </w:r>
      <w:r w:rsidRPr="00DB3EEA">
        <w:rPr>
          <w:rFonts w:ascii="Times New Roman" w:hAnsi="Times New Roman" w:cs="Times New Roman"/>
          <w:sz w:val="28"/>
          <w:szCs w:val="28"/>
        </w:rPr>
        <w:t>aron</w:t>
      </w:r>
      <w:r w:rsidRPr="00DB3EEA">
        <w:rPr>
          <w:rFonts w:ascii="Times New Roman" w:hAnsi="Times New Roman" w:cs="Times New Roman"/>
          <w:sz w:val="28"/>
          <w:szCs w:val="28"/>
        </w:rPr>
        <w:t xml:space="preserve"> el artículo </w:t>
      </w:r>
      <w:r w:rsidRPr="00DB3EEA">
        <w:rPr>
          <w:rFonts w:ascii="Times New Roman" w:hAnsi="Times New Roman" w:cs="Times New Roman"/>
          <w:sz w:val="28"/>
          <w:szCs w:val="28"/>
        </w:rPr>
        <w:t>513</w:t>
      </w:r>
      <w:r w:rsidRPr="00DB3EEA">
        <w:rPr>
          <w:rFonts w:ascii="Times New Roman" w:hAnsi="Times New Roman" w:cs="Times New Roman"/>
          <w:sz w:val="28"/>
          <w:szCs w:val="28"/>
        </w:rPr>
        <w:t>-</w:t>
      </w:r>
      <w:r w:rsidRPr="00DB3EEA">
        <w:rPr>
          <w:rFonts w:ascii="Times New Roman" w:hAnsi="Times New Roman" w:cs="Times New Roman"/>
          <w:sz w:val="28"/>
          <w:szCs w:val="28"/>
        </w:rPr>
        <w:t>8</w:t>
      </w:r>
      <w:r w:rsidRPr="00DB3EEA">
        <w:rPr>
          <w:rFonts w:ascii="Times New Roman" w:hAnsi="Times New Roman" w:cs="Times New Roman"/>
          <w:sz w:val="28"/>
          <w:szCs w:val="28"/>
        </w:rPr>
        <w:t xml:space="preserve"> del Decreto 624 de 1989</w:t>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Estatuto Tributario, modificado por el artículo </w:t>
      </w:r>
      <w:r w:rsidRPr="00DB3EEA">
        <w:rPr>
          <w:rFonts w:ascii="Times New Roman" w:hAnsi="Times New Roman" w:cs="Times New Roman"/>
          <w:sz w:val="28"/>
          <w:szCs w:val="28"/>
        </w:rPr>
        <w:t>54 (parcial)</w:t>
      </w:r>
      <w:r w:rsidRPr="00DB3EEA">
        <w:rPr>
          <w:rFonts w:ascii="Times New Roman" w:hAnsi="Times New Roman" w:cs="Times New Roman"/>
          <w:sz w:val="28"/>
          <w:szCs w:val="28"/>
        </w:rPr>
        <w:t xml:space="preserve"> de la Ley 2277 de 2022.</w:t>
      </w:r>
      <w:r w:rsidRPr="00DB3EEA">
        <w:rPr>
          <w:rFonts w:ascii="Times New Roman" w:hAnsi="Times New Roman" w:cs="Times New Roman"/>
          <w:sz w:val="28"/>
          <w:szCs w:val="28"/>
        </w:rPr>
        <w:t xml:space="preserve"> </w:t>
      </w:r>
    </w:p>
    <w:p w:rsidR="007E2991" w:rsidRPr="00DB3EEA" w:rsidRDefault="00DB3EEA" w:rsidP="00376DDD">
      <w:pPr>
        <w:pStyle w:val="Prrafodelista"/>
        <w:tabs>
          <w:tab w:val="left" w:pos="284"/>
        </w:tabs>
        <w:ind w:left="0"/>
        <w:jc w:val="both"/>
        <w:rPr>
          <w:rFonts w:ascii="Times New Roman" w:hAnsi="Times New Roman" w:cs="Times New Roman"/>
          <w:iCs/>
          <w:sz w:val="28"/>
          <w:szCs w:val="28"/>
          <w:lang w:eastAsia="es-ES"/>
        </w:rPr>
      </w:pPr>
    </w:p>
    <w:p w:rsidR="00F148F7" w:rsidRPr="00DB3EEA" w:rsidRDefault="00DB3EEA" w:rsidP="00E947BC">
      <w:pPr>
        <w:pStyle w:val="Prrafodelista"/>
        <w:numPr>
          <w:ilvl w:val="0"/>
          <w:numId w:val="1"/>
        </w:numPr>
        <w:shd w:val="clear" w:color="auto" w:fill="FFFFFF" w:themeFill="background1"/>
        <w:ind w:left="0" w:firstLine="0"/>
        <w:jc w:val="both"/>
        <w:textAlignment w:val="baseline"/>
        <w:rPr>
          <w:rFonts w:ascii="Times New Roman" w:hAnsi="Times New Roman" w:cs="Times New Roman"/>
          <w:iCs/>
          <w:sz w:val="28"/>
          <w:szCs w:val="28"/>
          <w:lang w:eastAsia="es-ES"/>
        </w:rPr>
      </w:pPr>
      <w:r w:rsidRPr="00DB3EEA">
        <w:rPr>
          <w:rFonts w:ascii="Times New Roman" w:hAnsi="Times New Roman" w:cs="Times New Roman"/>
          <w:sz w:val="28"/>
          <w:szCs w:val="28"/>
        </w:rPr>
        <w:t>Mediante Auto de</w:t>
      </w:r>
      <w:r w:rsidRPr="00DB3EEA">
        <w:rPr>
          <w:rFonts w:ascii="Times New Roman" w:hAnsi="Times New Roman" w:cs="Times New Roman"/>
          <w:sz w:val="28"/>
          <w:szCs w:val="28"/>
        </w:rPr>
        <w:t>l</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21</w:t>
      </w:r>
      <w:r w:rsidRPr="00DB3EEA">
        <w:rPr>
          <w:rFonts w:ascii="Times New Roman" w:hAnsi="Times New Roman" w:cs="Times New Roman"/>
          <w:sz w:val="28"/>
          <w:szCs w:val="28"/>
        </w:rPr>
        <w:t xml:space="preserve"> de</w:t>
      </w:r>
      <w:r w:rsidRPr="00DB3EEA">
        <w:rPr>
          <w:rFonts w:ascii="Times New Roman" w:hAnsi="Times New Roman" w:cs="Times New Roman"/>
          <w:sz w:val="28"/>
          <w:szCs w:val="28"/>
        </w:rPr>
        <w:t xml:space="preserve"> enero</w:t>
      </w:r>
      <w:r w:rsidRPr="00DB3EEA">
        <w:rPr>
          <w:rFonts w:ascii="Times New Roman" w:hAnsi="Times New Roman" w:cs="Times New Roman"/>
          <w:sz w:val="28"/>
          <w:szCs w:val="28"/>
        </w:rPr>
        <w:t xml:space="preserve"> de 202</w:t>
      </w:r>
      <w:r w:rsidRPr="00DB3EEA">
        <w:rPr>
          <w:rFonts w:ascii="Times New Roman" w:hAnsi="Times New Roman" w:cs="Times New Roman"/>
          <w:sz w:val="28"/>
          <w:szCs w:val="28"/>
        </w:rPr>
        <w:t>5</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la</w:t>
      </w:r>
      <w:r w:rsidRPr="00DB3EEA">
        <w:rPr>
          <w:rFonts w:ascii="Times New Roman" w:hAnsi="Times New Roman" w:cs="Times New Roman"/>
          <w:sz w:val="28"/>
          <w:szCs w:val="28"/>
        </w:rPr>
        <w:t xml:space="preserve"> magistrad</w:t>
      </w:r>
      <w:r w:rsidRPr="00DB3EEA">
        <w:rPr>
          <w:rFonts w:ascii="Times New Roman" w:hAnsi="Times New Roman" w:cs="Times New Roman"/>
          <w:sz w:val="28"/>
          <w:szCs w:val="28"/>
        </w:rPr>
        <w:t>a</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Cristina Pardo Schlesinger</w:t>
      </w:r>
      <w:r w:rsidRPr="00DB3EEA">
        <w:rPr>
          <w:rFonts w:ascii="Times New Roman" w:hAnsi="Times New Roman" w:cs="Times New Roman"/>
          <w:sz w:val="28"/>
          <w:szCs w:val="28"/>
        </w:rPr>
        <w:t xml:space="preserve"> admitió la demanda </w:t>
      </w:r>
      <w:r w:rsidRPr="00DB3EEA">
        <w:rPr>
          <w:rFonts w:ascii="Times New Roman" w:hAnsi="Times New Roman" w:cs="Times New Roman"/>
          <w:sz w:val="28"/>
          <w:szCs w:val="28"/>
        </w:rPr>
        <w:t xml:space="preserve">por </w:t>
      </w:r>
      <w:r w:rsidRPr="00DB3EEA">
        <w:rPr>
          <w:rFonts w:ascii="Times New Roman" w:hAnsi="Times New Roman" w:cs="Times New Roman"/>
          <w:sz w:val="28"/>
          <w:szCs w:val="28"/>
        </w:rPr>
        <w:t xml:space="preserve">presunta </w:t>
      </w:r>
      <w:r w:rsidRPr="00DB3EEA">
        <w:rPr>
          <w:rFonts w:ascii="Times New Roman" w:hAnsi="Times New Roman" w:cs="Times New Roman"/>
          <w:sz w:val="28"/>
          <w:szCs w:val="28"/>
        </w:rPr>
        <w:t>viola</w:t>
      </w:r>
      <w:r w:rsidRPr="00DB3EEA">
        <w:rPr>
          <w:rFonts w:ascii="Times New Roman" w:hAnsi="Times New Roman" w:cs="Times New Roman"/>
          <w:sz w:val="28"/>
          <w:szCs w:val="28"/>
        </w:rPr>
        <w:t>ción</w:t>
      </w:r>
      <w:r w:rsidRPr="00DB3EEA">
        <w:rPr>
          <w:rFonts w:ascii="Times New Roman" w:hAnsi="Times New Roman" w:cs="Times New Roman"/>
          <w:sz w:val="28"/>
          <w:szCs w:val="28"/>
        </w:rPr>
        <w:t xml:space="preserve"> de los artículos 13, 95, 150-19, 189-25, 333 y 363 de la Constitución Política</w:t>
      </w:r>
      <w:r w:rsidRPr="00DB3EEA">
        <w:rPr>
          <w:rStyle w:val="Refdenotaalpie"/>
          <w:rFonts w:ascii="Times New Roman" w:hAnsi="Times New Roman" w:cs="Times New Roman"/>
          <w:sz w:val="28"/>
          <w:szCs w:val="28"/>
        </w:rPr>
        <w:footnoteReference w:id="1"/>
      </w:r>
      <w:r w:rsidRPr="00DB3EEA">
        <w:rPr>
          <w:rFonts w:ascii="Times New Roman" w:hAnsi="Times New Roman" w:cs="Times New Roman"/>
          <w:sz w:val="28"/>
          <w:szCs w:val="28"/>
        </w:rPr>
        <w:t xml:space="preserve">. </w:t>
      </w:r>
      <w:r w:rsidRPr="00DB3EEA">
        <w:rPr>
          <w:rFonts w:ascii="Times New Roman" w:hAnsi="Times New Roman" w:cs="Times New Roman"/>
          <w:iCs/>
          <w:sz w:val="28"/>
          <w:szCs w:val="28"/>
          <w:lang w:eastAsia="es-ES"/>
        </w:rPr>
        <w:t xml:space="preserve">Además, ordenó fijar en lista el proceso, </w:t>
      </w:r>
      <w:r w:rsidRPr="00DB3EEA">
        <w:rPr>
          <w:rFonts w:ascii="Times New Roman" w:hAnsi="Times New Roman" w:cs="Times New Roman"/>
          <w:iCs/>
          <w:sz w:val="28"/>
          <w:szCs w:val="28"/>
          <w:lang w:eastAsia="es-ES"/>
        </w:rPr>
        <w:t xml:space="preserve">dar traslado al Procurador General de la Nación </w:t>
      </w:r>
      <w:r w:rsidRPr="00DB3EEA">
        <w:rPr>
          <w:rFonts w:ascii="Times New Roman" w:hAnsi="Times New Roman" w:cs="Times New Roman"/>
          <w:iCs/>
          <w:sz w:val="28"/>
          <w:szCs w:val="28"/>
          <w:lang w:eastAsia="es-ES"/>
        </w:rPr>
        <w:t>para que rind</w:t>
      </w:r>
      <w:r w:rsidRPr="00DB3EEA">
        <w:rPr>
          <w:rFonts w:ascii="Times New Roman" w:hAnsi="Times New Roman" w:cs="Times New Roman"/>
          <w:iCs/>
          <w:sz w:val="28"/>
          <w:szCs w:val="28"/>
          <w:lang w:eastAsia="es-ES"/>
        </w:rPr>
        <w:t>iera</w:t>
      </w:r>
      <w:r w:rsidRPr="00DB3EEA">
        <w:rPr>
          <w:rFonts w:ascii="Times New Roman" w:hAnsi="Times New Roman" w:cs="Times New Roman"/>
          <w:iCs/>
          <w:sz w:val="28"/>
          <w:szCs w:val="28"/>
          <w:lang w:eastAsia="es-ES"/>
        </w:rPr>
        <w:t xml:space="preserve"> el concepto de su competencia y</w:t>
      </w:r>
      <w:r w:rsidRPr="00DB3EEA">
        <w:rPr>
          <w:rFonts w:ascii="Times New Roman" w:hAnsi="Times New Roman" w:cs="Times New Roman"/>
          <w:iCs/>
          <w:sz w:val="28"/>
          <w:szCs w:val="28"/>
          <w:lang w:eastAsia="es-ES"/>
        </w:rPr>
        <w:t xml:space="preserve"> comunicar el inicio del proceso</w:t>
      </w:r>
      <w:r w:rsidRPr="00DB3EEA">
        <w:rPr>
          <w:rFonts w:ascii="Times New Roman" w:hAnsi="Times New Roman" w:cs="Times New Roman"/>
          <w:iCs/>
          <w:sz w:val="28"/>
          <w:szCs w:val="28"/>
          <w:lang w:eastAsia="es-ES"/>
        </w:rPr>
        <w:t xml:space="preserve"> a</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la Secretaría Jurídica de la Presidencia de la República; a los Ministerios de Hacienda y Crédito Público</w:t>
      </w:r>
      <w:r w:rsidRPr="00DB3EEA">
        <w:rPr>
          <w:rFonts w:ascii="Times New Roman" w:hAnsi="Times New Roman" w:cs="Times New Roman"/>
          <w:iCs/>
          <w:sz w:val="28"/>
          <w:szCs w:val="28"/>
          <w:lang w:eastAsia="es-ES"/>
        </w:rPr>
        <w:t>;</w:t>
      </w:r>
      <w:r w:rsidRPr="00DB3EEA">
        <w:rPr>
          <w:rFonts w:ascii="Times New Roman" w:hAnsi="Times New Roman" w:cs="Times New Roman"/>
          <w:iCs/>
          <w:sz w:val="28"/>
          <w:szCs w:val="28"/>
          <w:lang w:eastAsia="es-ES"/>
        </w:rPr>
        <w:t xml:space="preserve"> de Comercio, Industria y Turismo</w:t>
      </w:r>
      <w:r w:rsidRPr="00DB3EEA">
        <w:rPr>
          <w:rFonts w:ascii="Times New Roman" w:hAnsi="Times New Roman" w:cs="Times New Roman"/>
          <w:iCs/>
          <w:sz w:val="28"/>
          <w:szCs w:val="28"/>
          <w:lang w:eastAsia="es-ES"/>
        </w:rPr>
        <w:t>; de</w:t>
      </w:r>
      <w:r w:rsidRPr="00DB3EEA">
        <w:rPr>
          <w:rFonts w:ascii="Times New Roman" w:hAnsi="Times New Roman" w:cs="Times New Roman"/>
          <w:iCs/>
          <w:sz w:val="28"/>
          <w:szCs w:val="28"/>
          <w:lang w:eastAsia="es-ES"/>
        </w:rPr>
        <w:t xml:space="preserve"> Salud y Protección Social, a la Dirección de Impuestos y Aduanas Nacionales (DIAN</w:t>
      </w:r>
      <w:r w:rsidRPr="00DB3EEA">
        <w:rPr>
          <w:rFonts w:ascii="Times New Roman" w:hAnsi="Times New Roman" w:cs="Times New Roman"/>
          <w:sz w:val="28"/>
          <w:szCs w:val="28"/>
          <w:lang w:eastAsia="es-ES"/>
        </w:rPr>
        <w:t>)</w:t>
      </w:r>
      <w:r w:rsidRPr="00DB3EEA">
        <w:rPr>
          <w:rFonts w:ascii="Times New Roman" w:hAnsi="Times New Roman" w:cs="Times New Roman"/>
          <w:sz w:val="28"/>
          <w:szCs w:val="28"/>
          <w:lang w:eastAsia="es-ES"/>
        </w:rPr>
        <w:t>;</w:t>
      </w:r>
      <w:r w:rsidRPr="00DB3EEA">
        <w:rPr>
          <w:rFonts w:ascii="Times New Roman" w:hAnsi="Times New Roman" w:cs="Times New Roman"/>
          <w:iCs/>
          <w:sz w:val="28"/>
          <w:szCs w:val="28"/>
          <w:lang w:eastAsia="es-ES"/>
        </w:rPr>
        <w:t xml:space="preserve"> y al presidente del Congreso de la República</w:t>
      </w:r>
      <w:r w:rsidRPr="00DB3EEA">
        <w:rPr>
          <w:rFonts w:ascii="Times New Roman" w:hAnsi="Times New Roman" w:cs="Times New Roman"/>
          <w:iCs/>
          <w:sz w:val="28"/>
          <w:szCs w:val="28"/>
          <w:lang w:eastAsia="es-ES"/>
        </w:rPr>
        <w:t>,</w:t>
      </w:r>
      <w:r w:rsidRPr="00DB3EEA">
        <w:rPr>
          <w:rFonts w:ascii="Times New Roman" w:hAnsi="Times New Roman" w:cs="Times New Roman"/>
          <w:iCs/>
          <w:sz w:val="28"/>
          <w:szCs w:val="28"/>
          <w:lang w:eastAsia="es-ES"/>
        </w:rPr>
        <w:t xml:space="preserve"> </w:t>
      </w:r>
      <w:r w:rsidRPr="00DB3EEA">
        <w:rPr>
          <w:rFonts w:ascii="Times New Roman" w:hAnsi="Times New Roman" w:cs="Times New Roman"/>
          <w:bCs/>
          <w:sz w:val="28"/>
          <w:szCs w:val="28"/>
        </w:rPr>
        <w:t>para que, si lo estimaban oportuno, presentaran por escrito las razones que justificaban la constitucionalidad de la norma so</w:t>
      </w:r>
      <w:r w:rsidRPr="00DB3EEA">
        <w:rPr>
          <w:rFonts w:ascii="Times New Roman" w:hAnsi="Times New Roman" w:cs="Times New Roman"/>
          <w:bCs/>
          <w:sz w:val="28"/>
          <w:szCs w:val="28"/>
        </w:rPr>
        <w:t xml:space="preserve">metida a control. </w:t>
      </w:r>
      <w:r w:rsidRPr="00DB3EEA">
        <w:rPr>
          <w:rFonts w:ascii="Times New Roman" w:hAnsi="Times New Roman" w:cs="Times New Roman"/>
          <w:bCs/>
          <w:sz w:val="28"/>
          <w:szCs w:val="28"/>
        </w:rPr>
        <w:t>Igualmente</w:t>
      </w:r>
      <w:r w:rsidRPr="00DB3EEA">
        <w:rPr>
          <w:rFonts w:ascii="Times New Roman" w:hAnsi="Times New Roman" w:cs="Times New Roman"/>
          <w:bCs/>
          <w:sz w:val="28"/>
          <w:szCs w:val="28"/>
        </w:rPr>
        <w:t xml:space="preserve">, </w:t>
      </w:r>
      <w:r w:rsidRPr="00DB3EEA">
        <w:rPr>
          <w:rFonts w:ascii="Times New Roman" w:hAnsi="Times New Roman" w:cs="Times New Roman"/>
          <w:bCs/>
          <w:sz w:val="28"/>
          <w:szCs w:val="28"/>
        </w:rPr>
        <w:t>invitó</w:t>
      </w:r>
      <w:r w:rsidRPr="00DB3EEA">
        <w:rPr>
          <w:rFonts w:ascii="Times New Roman" w:hAnsi="Times New Roman" w:cs="Times New Roman"/>
          <w:bCs/>
          <w:sz w:val="28"/>
          <w:szCs w:val="28"/>
        </w:rPr>
        <w:t xml:space="preserve"> a</w:t>
      </w:r>
      <w:r w:rsidRPr="00DB3EEA">
        <w:rPr>
          <w:rFonts w:ascii="Times New Roman" w:hAnsi="Times New Roman" w:cs="Times New Roman"/>
          <w:bCs/>
          <w:sz w:val="28"/>
          <w:szCs w:val="28"/>
        </w:rPr>
        <w:t xml:space="preserve"> </w:t>
      </w:r>
      <w:r w:rsidRPr="00DB3EEA">
        <w:rPr>
          <w:rFonts w:ascii="Times New Roman" w:hAnsi="Times New Roman" w:cs="Times New Roman"/>
          <w:bCs/>
          <w:sz w:val="28"/>
          <w:szCs w:val="28"/>
        </w:rPr>
        <w:t>diversas organizaciones y expertos</w:t>
      </w:r>
      <w:r w:rsidRPr="00DB3EEA">
        <w:rPr>
          <w:rStyle w:val="Refdenotaalpie"/>
          <w:rFonts w:ascii="Times New Roman" w:hAnsi="Times New Roman" w:cs="Times New Roman"/>
          <w:bCs/>
          <w:sz w:val="28"/>
          <w:szCs w:val="28"/>
        </w:rPr>
        <w:footnoteReference w:id="2"/>
      </w:r>
      <w:r w:rsidRPr="00DB3EEA">
        <w:rPr>
          <w:rFonts w:ascii="Times New Roman" w:hAnsi="Times New Roman" w:cs="Times New Roman"/>
          <w:bCs/>
          <w:sz w:val="28"/>
          <w:szCs w:val="28"/>
        </w:rPr>
        <w:t xml:space="preserve"> a</w:t>
      </w:r>
      <w:r w:rsidRPr="00DB3EEA">
        <w:rPr>
          <w:rFonts w:ascii="Times New Roman" w:hAnsi="Times New Roman" w:cs="Times New Roman"/>
          <w:bCs/>
          <w:sz w:val="28"/>
          <w:szCs w:val="28"/>
        </w:rPr>
        <w:t xml:space="preserve"> </w:t>
      </w:r>
      <w:r w:rsidRPr="00DB3EEA">
        <w:rPr>
          <w:rFonts w:ascii="Times New Roman" w:hAnsi="Times New Roman" w:cs="Times New Roman"/>
          <w:bCs/>
          <w:sz w:val="28"/>
          <w:szCs w:val="28"/>
        </w:rPr>
        <w:t xml:space="preserve">participar en el proceso y </w:t>
      </w:r>
      <w:r w:rsidRPr="00DB3EEA">
        <w:rPr>
          <w:rFonts w:ascii="Times New Roman" w:hAnsi="Times New Roman" w:cs="Times New Roman"/>
          <w:bCs/>
          <w:sz w:val="28"/>
          <w:szCs w:val="28"/>
        </w:rPr>
        <w:t>emiti</w:t>
      </w:r>
      <w:r w:rsidRPr="00DB3EEA">
        <w:rPr>
          <w:rFonts w:ascii="Times New Roman" w:hAnsi="Times New Roman" w:cs="Times New Roman"/>
          <w:bCs/>
          <w:sz w:val="28"/>
          <w:szCs w:val="28"/>
        </w:rPr>
        <w:t>r</w:t>
      </w:r>
      <w:r w:rsidRPr="00DB3EEA">
        <w:rPr>
          <w:rFonts w:ascii="Times New Roman" w:hAnsi="Times New Roman" w:cs="Times New Roman"/>
          <w:bCs/>
          <w:sz w:val="28"/>
          <w:szCs w:val="28"/>
        </w:rPr>
        <w:t xml:space="preserve"> concepto </w:t>
      </w:r>
      <w:r w:rsidRPr="00DB3EEA">
        <w:rPr>
          <w:rFonts w:ascii="Times New Roman" w:hAnsi="Times New Roman" w:cs="Times New Roman"/>
          <w:bCs/>
          <w:iCs/>
          <w:sz w:val="28"/>
          <w:szCs w:val="28"/>
        </w:rPr>
        <w:t>sobre la materia objeto de impugnación.</w:t>
      </w:r>
    </w:p>
    <w:p w:rsidR="00F148F7" w:rsidRPr="00DB3EEA" w:rsidRDefault="00DB3EEA" w:rsidP="00376DDD">
      <w:pPr>
        <w:pStyle w:val="Prrafodelista"/>
        <w:ind w:left="0"/>
        <w:jc w:val="both"/>
        <w:rPr>
          <w:rFonts w:ascii="Times New Roman" w:hAnsi="Times New Roman" w:cs="Times New Roman"/>
          <w:color w:val="2D2D2D"/>
          <w:sz w:val="28"/>
          <w:szCs w:val="28"/>
        </w:rPr>
      </w:pPr>
    </w:p>
    <w:p w:rsidR="00F148F7" w:rsidRPr="00DB3EEA" w:rsidRDefault="00DB3EEA" w:rsidP="00376DDD">
      <w:pPr>
        <w:pStyle w:val="Prrafodelista"/>
        <w:numPr>
          <w:ilvl w:val="0"/>
          <w:numId w:val="1"/>
        </w:numPr>
        <w:shd w:val="clear" w:color="auto" w:fill="FFFFFF" w:themeFill="background1"/>
        <w:ind w:left="0" w:firstLine="0"/>
        <w:jc w:val="both"/>
        <w:textAlignment w:val="baseline"/>
        <w:rPr>
          <w:rFonts w:ascii="Times New Roman" w:hAnsi="Times New Roman" w:cs="Times New Roman"/>
          <w:sz w:val="28"/>
          <w:szCs w:val="28"/>
        </w:rPr>
      </w:pPr>
      <w:r w:rsidRPr="00DB3EEA">
        <w:rPr>
          <w:rFonts w:ascii="Times New Roman" w:hAnsi="Times New Roman" w:cs="Times New Roman"/>
          <w:sz w:val="28"/>
          <w:szCs w:val="28"/>
        </w:rPr>
        <w:t xml:space="preserve">La magistrada Cristina Pardo Schlesinger </w:t>
      </w:r>
      <w:r w:rsidRPr="00DB3EEA">
        <w:rPr>
          <w:rFonts w:ascii="Times New Roman" w:hAnsi="Times New Roman" w:cs="Times New Roman"/>
          <w:sz w:val="28"/>
          <w:szCs w:val="28"/>
        </w:rPr>
        <w:t>culmin</w:t>
      </w:r>
      <w:r w:rsidRPr="00DB3EEA">
        <w:rPr>
          <w:rFonts w:ascii="Times New Roman" w:hAnsi="Times New Roman" w:cs="Times New Roman"/>
          <w:sz w:val="28"/>
          <w:szCs w:val="28"/>
        </w:rPr>
        <w:t xml:space="preserve">ó su periodo constitucional el 15 de mayo de 2025. </w:t>
      </w:r>
      <w:r w:rsidRPr="00DB3EEA">
        <w:rPr>
          <w:rFonts w:ascii="Times New Roman" w:hAnsi="Times New Roman" w:cs="Times New Roman"/>
          <w:sz w:val="28"/>
          <w:szCs w:val="28"/>
        </w:rPr>
        <w:t>Posteriormente, e</w:t>
      </w:r>
      <w:r w:rsidRPr="00DB3EEA">
        <w:rPr>
          <w:rFonts w:ascii="Times New Roman" w:hAnsi="Times New Roman" w:cs="Times New Roman"/>
          <w:sz w:val="28"/>
          <w:szCs w:val="28"/>
        </w:rPr>
        <w:t>l 3 de julio de 2025, el doctor Héctor Alfonso Carvajal Londoño tomó posesión del cargo de Magistrado de la Corte Constitucional. En consecuencia, a partir del 4 de julio de 2025, la susta</w:t>
      </w:r>
      <w:r w:rsidRPr="00DB3EEA">
        <w:rPr>
          <w:rFonts w:ascii="Times New Roman" w:hAnsi="Times New Roman" w:cs="Times New Roman"/>
          <w:sz w:val="28"/>
          <w:szCs w:val="28"/>
        </w:rPr>
        <w:t>nciación de los expedientes del despacho, incluido el presente asunto, qued</w:t>
      </w:r>
      <w:r w:rsidRPr="00DB3EEA">
        <w:rPr>
          <w:rFonts w:ascii="Times New Roman" w:hAnsi="Times New Roman" w:cs="Times New Roman"/>
          <w:sz w:val="28"/>
          <w:szCs w:val="28"/>
        </w:rPr>
        <w:t>ó</w:t>
      </w:r>
      <w:r w:rsidRPr="00DB3EEA">
        <w:rPr>
          <w:rFonts w:ascii="Times New Roman" w:hAnsi="Times New Roman" w:cs="Times New Roman"/>
          <w:sz w:val="28"/>
          <w:szCs w:val="28"/>
        </w:rPr>
        <w:t xml:space="preserve"> a cargo del Magistrado Héctor Alfonso Carvajal Londoño.</w:t>
      </w:r>
    </w:p>
    <w:p w:rsidR="002E5B8B" w:rsidRPr="00DB3EEA" w:rsidRDefault="00DB3EEA" w:rsidP="00376DDD">
      <w:pPr>
        <w:pStyle w:val="Prrafodelista"/>
        <w:tabs>
          <w:tab w:val="left" w:pos="284"/>
        </w:tabs>
        <w:ind w:left="0"/>
        <w:jc w:val="both"/>
        <w:rPr>
          <w:rFonts w:ascii="Times New Roman" w:hAnsi="Times New Roman" w:cs="Times New Roman"/>
          <w:iCs/>
          <w:sz w:val="28"/>
          <w:szCs w:val="28"/>
          <w:lang w:eastAsia="es-ES"/>
        </w:rPr>
      </w:pPr>
    </w:p>
    <w:p w:rsidR="00877F42" w:rsidRPr="00DB3EEA" w:rsidRDefault="00DB3EEA" w:rsidP="00276C7F">
      <w:pPr>
        <w:pStyle w:val="Prrafodelista"/>
        <w:numPr>
          <w:ilvl w:val="0"/>
          <w:numId w:val="2"/>
        </w:numPr>
        <w:tabs>
          <w:tab w:val="left" w:pos="284"/>
        </w:tabs>
        <w:ind w:left="0" w:firstLine="0"/>
        <w:jc w:val="both"/>
        <w:outlineLvl w:val="1"/>
        <w:rPr>
          <w:rFonts w:ascii="Times New Roman" w:eastAsia="Calibri" w:hAnsi="Times New Roman" w:cs="Times New Roman"/>
          <w:sz w:val="28"/>
          <w:szCs w:val="28"/>
          <w:lang w:eastAsia="es-ES"/>
        </w:rPr>
      </w:pPr>
      <w:r w:rsidRPr="00DB3EEA">
        <w:rPr>
          <w:rFonts w:ascii="Times New Roman" w:eastAsia="Calibri" w:hAnsi="Times New Roman" w:cs="Times New Roman"/>
          <w:b/>
          <w:sz w:val="28"/>
          <w:szCs w:val="28"/>
          <w:lang w:eastAsia="es-ES"/>
        </w:rPr>
        <w:t>Texto de la norma demandada</w:t>
      </w:r>
    </w:p>
    <w:p w:rsidR="00877F42" w:rsidRPr="00DB3EEA" w:rsidRDefault="00DB3EEA" w:rsidP="00376DDD">
      <w:pPr>
        <w:pStyle w:val="Prrafodelista"/>
        <w:tabs>
          <w:tab w:val="left" w:pos="426"/>
        </w:tabs>
        <w:ind w:left="0"/>
        <w:jc w:val="both"/>
        <w:rPr>
          <w:rFonts w:ascii="Times New Roman" w:hAnsi="Times New Roman" w:cs="Times New Roman"/>
          <w:sz w:val="28"/>
          <w:szCs w:val="28"/>
        </w:rPr>
      </w:pPr>
    </w:p>
    <w:p w:rsidR="00673952" w:rsidRPr="00DB3EEA" w:rsidRDefault="00DB3EEA" w:rsidP="000758F0">
      <w:pPr>
        <w:pStyle w:val="Prrafodelista"/>
        <w:numPr>
          <w:ilvl w:val="0"/>
          <w:numId w:val="1"/>
        </w:numPr>
        <w:shd w:val="clear" w:color="auto" w:fill="FFFFFF" w:themeFill="background1"/>
        <w:ind w:left="0" w:firstLine="0"/>
        <w:jc w:val="both"/>
        <w:textAlignment w:val="baseline"/>
        <w:rPr>
          <w:rFonts w:ascii="Times New Roman" w:hAnsi="Times New Roman" w:cs="Times New Roman"/>
          <w:iCs/>
          <w:sz w:val="28"/>
          <w:szCs w:val="28"/>
          <w:lang w:eastAsia="es-ES"/>
        </w:rPr>
      </w:pPr>
      <w:r w:rsidRPr="00DB3EEA">
        <w:rPr>
          <w:rFonts w:ascii="Times New Roman" w:hAnsi="Times New Roman" w:cs="Times New Roman"/>
          <w:sz w:val="28"/>
          <w:szCs w:val="28"/>
        </w:rPr>
        <w:t xml:space="preserve">A continuación, se transcribe </w:t>
      </w:r>
      <w:r w:rsidRPr="00DB3EEA">
        <w:rPr>
          <w:rFonts w:ascii="Times New Roman" w:hAnsi="Times New Roman" w:cs="Times New Roman"/>
          <w:sz w:val="28"/>
          <w:szCs w:val="28"/>
        </w:rPr>
        <w:t>la disposición acusada</w:t>
      </w:r>
      <w:r w:rsidRPr="00DB3EEA">
        <w:rPr>
          <w:rFonts w:ascii="Times New Roman" w:hAnsi="Times New Roman" w:cs="Times New Roman"/>
          <w:sz w:val="28"/>
          <w:szCs w:val="28"/>
        </w:rPr>
        <w:t>, subrayando el contenido demandado</w:t>
      </w:r>
      <w:r w:rsidRPr="00DB3EEA">
        <w:rPr>
          <w:rFonts w:ascii="Times New Roman" w:hAnsi="Times New Roman" w:cs="Times New Roman"/>
          <w:sz w:val="28"/>
          <w:szCs w:val="28"/>
        </w:rPr>
        <w:t>:</w:t>
      </w:r>
    </w:p>
    <w:p w:rsidR="00055C9F" w:rsidRPr="00DB3EEA" w:rsidRDefault="00DB3EEA" w:rsidP="005C73DD">
      <w:pPr>
        <w:pStyle w:val="Prrafodelista"/>
        <w:tabs>
          <w:tab w:val="left" w:pos="284"/>
          <w:tab w:val="left" w:pos="426"/>
        </w:tabs>
        <w:ind w:left="567"/>
        <w:jc w:val="center"/>
        <w:rPr>
          <w:rFonts w:ascii="Times New Roman" w:hAnsi="Times New Roman" w:cs="Times New Roman"/>
          <w:i/>
          <w:iCs/>
          <w:sz w:val="28"/>
          <w:szCs w:val="28"/>
        </w:rPr>
      </w:pPr>
    </w:p>
    <w:p w:rsidR="00A94165" w:rsidRPr="00DB3EEA" w:rsidRDefault="00DB3EEA" w:rsidP="005C73DD">
      <w:pPr>
        <w:pStyle w:val="Prrafodelista"/>
        <w:ind w:left="567" w:right="51"/>
        <w:jc w:val="center"/>
        <w:rPr>
          <w:rFonts w:ascii="Times New Roman" w:hAnsi="Times New Roman" w:cs="Times New Roman"/>
          <w:i/>
          <w:iCs/>
          <w:sz w:val="28"/>
          <w:szCs w:val="28"/>
        </w:rPr>
      </w:pPr>
      <w:r w:rsidRPr="00DB3EEA">
        <w:rPr>
          <w:rFonts w:ascii="Times New Roman" w:hAnsi="Times New Roman" w:cs="Times New Roman"/>
          <w:i/>
          <w:iCs/>
          <w:sz w:val="28"/>
          <w:szCs w:val="28"/>
          <w:lang w:eastAsia="es-ES"/>
        </w:rPr>
        <w:t>“</w:t>
      </w:r>
      <w:r w:rsidRPr="00DB3EEA">
        <w:rPr>
          <w:rFonts w:ascii="Times New Roman" w:hAnsi="Times New Roman" w:cs="Times New Roman"/>
          <w:i/>
          <w:iCs/>
          <w:sz w:val="28"/>
          <w:szCs w:val="28"/>
        </w:rPr>
        <w:t>LE</w:t>
      </w:r>
      <w:r w:rsidRPr="00DB3EEA">
        <w:rPr>
          <w:rFonts w:ascii="Times New Roman" w:hAnsi="Times New Roman" w:cs="Times New Roman"/>
          <w:i/>
          <w:iCs/>
          <w:sz w:val="28"/>
          <w:szCs w:val="28"/>
        </w:rPr>
        <w:t>Y 2277 DE 2022</w:t>
      </w:r>
    </w:p>
    <w:p w:rsidR="00A94165" w:rsidRPr="00DB3EEA" w:rsidRDefault="00DB3EEA" w:rsidP="005C73DD">
      <w:pPr>
        <w:pStyle w:val="Prrafodelista"/>
        <w:ind w:left="567" w:right="51"/>
        <w:jc w:val="center"/>
        <w:rPr>
          <w:rFonts w:ascii="Times New Roman" w:hAnsi="Times New Roman" w:cs="Times New Roman"/>
          <w:i/>
          <w:iCs/>
          <w:sz w:val="28"/>
          <w:szCs w:val="28"/>
        </w:rPr>
      </w:pPr>
      <w:r w:rsidRPr="00DB3EEA">
        <w:rPr>
          <w:rFonts w:ascii="Times New Roman" w:hAnsi="Times New Roman" w:cs="Times New Roman"/>
          <w:i/>
          <w:iCs/>
          <w:sz w:val="28"/>
          <w:szCs w:val="28"/>
        </w:rPr>
        <w:t>(</w:t>
      </w:r>
      <w:r w:rsidRPr="00DB3EEA">
        <w:rPr>
          <w:rFonts w:ascii="Times New Roman" w:hAnsi="Times New Roman" w:cs="Times New Roman"/>
          <w:i/>
          <w:iCs/>
          <w:sz w:val="28"/>
          <w:szCs w:val="28"/>
        </w:rPr>
        <w:t>diciembre</w:t>
      </w:r>
      <w:r w:rsidRPr="00DB3EEA">
        <w:rPr>
          <w:rFonts w:ascii="Times New Roman" w:hAnsi="Times New Roman" w:cs="Times New Roman"/>
          <w:i/>
          <w:iCs/>
          <w:sz w:val="28"/>
          <w:szCs w:val="28"/>
        </w:rPr>
        <w:t xml:space="preserve"> 1</w:t>
      </w:r>
      <w:r w:rsidRPr="00DB3EEA">
        <w:rPr>
          <w:rFonts w:ascii="Times New Roman" w:hAnsi="Times New Roman" w:cs="Times New Roman"/>
          <w:i/>
          <w:iCs/>
          <w:sz w:val="28"/>
          <w:szCs w:val="28"/>
        </w:rPr>
        <w:t>3</w:t>
      </w:r>
      <w:r w:rsidRPr="00DB3EEA">
        <w:rPr>
          <w:rFonts w:ascii="Times New Roman" w:hAnsi="Times New Roman" w:cs="Times New Roman"/>
          <w:i/>
          <w:iCs/>
          <w:sz w:val="28"/>
          <w:szCs w:val="28"/>
        </w:rPr>
        <w:t>)</w:t>
      </w:r>
    </w:p>
    <w:p w:rsidR="00A94165" w:rsidRPr="00DB3EEA" w:rsidRDefault="00DB3EEA" w:rsidP="005C73DD">
      <w:pPr>
        <w:pStyle w:val="Prrafodelista"/>
        <w:ind w:left="567" w:right="51"/>
        <w:jc w:val="center"/>
        <w:rPr>
          <w:rFonts w:ascii="Times New Roman" w:hAnsi="Times New Roman" w:cs="Times New Roman"/>
          <w:i/>
          <w:iCs/>
          <w:sz w:val="28"/>
          <w:szCs w:val="28"/>
        </w:rPr>
      </w:pPr>
    </w:p>
    <w:p w:rsidR="00C22124" w:rsidRPr="00DB3EEA" w:rsidRDefault="00DB3EEA" w:rsidP="005C73DD">
      <w:pPr>
        <w:pStyle w:val="Prrafodelista"/>
        <w:ind w:left="567" w:right="51"/>
        <w:jc w:val="center"/>
        <w:rPr>
          <w:rFonts w:ascii="Times New Roman" w:hAnsi="Times New Roman" w:cs="Times New Roman"/>
          <w:i/>
          <w:iCs/>
          <w:sz w:val="28"/>
          <w:szCs w:val="28"/>
        </w:rPr>
      </w:pPr>
      <w:r w:rsidRPr="00DB3EEA">
        <w:rPr>
          <w:rFonts w:ascii="Times New Roman" w:hAnsi="Times New Roman" w:cs="Times New Roman"/>
          <w:i/>
          <w:iCs/>
          <w:sz w:val="28"/>
          <w:szCs w:val="28"/>
        </w:rPr>
        <w:t>“Por medio de la cual se adopta una reforma tributaria para la igualdad</w:t>
      </w:r>
    </w:p>
    <w:p w:rsidR="00A94165" w:rsidRPr="00DB3EEA" w:rsidRDefault="00DB3EEA" w:rsidP="005C73DD">
      <w:pPr>
        <w:pStyle w:val="Prrafodelista"/>
        <w:ind w:left="567" w:right="51"/>
        <w:jc w:val="center"/>
        <w:rPr>
          <w:rFonts w:ascii="Times New Roman" w:hAnsi="Times New Roman" w:cs="Times New Roman"/>
          <w:i/>
          <w:iCs/>
          <w:sz w:val="28"/>
          <w:szCs w:val="28"/>
        </w:rPr>
      </w:pPr>
      <w:r w:rsidRPr="00DB3EEA">
        <w:rPr>
          <w:rFonts w:ascii="Times New Roman" w:hAnsi="Times New Roman" w:cs="Times New Roman"/>
          <w:i/>
          <w:iCs/>
          <w:sz w:val="28"/>
          <w:szCs w:val="28"/>
        </w:rPr>
        <w:t>y la justicia social y se dictan otras disposiciones.”</w:t>
      </w:r>
    </w:p>
    <w:p w:rsidR="00C22124" w:rsidRPr="00DB3EEA" w:rsidRDefault="00DB3EEA" w:rsidP="005C73DD">
      <w:pPr>
        <w:pStyle w:val="Prrafodelista"/>
        <w:ind w:left="567" w:right="51"/>
        <w:jc w:val="center"/>
        <w:rPr>
          <w:rFonts w:ascii="Times New Roman" w:hAnsi="Times New Roman" w:cs="Times New Roman"/>
          <w:i/>
          <w:iCs/>
          <w:sz w:val="28"/>
          <w:szCs w:val="28"/>
        </w:rPr>
      </w:pPr>
    </w:p>
    <w:p w:rsidR="00C22124" w:rsidRPr="00DB3EEA" w:rsidRDefault="00DB3EEA" w:rsidP="005C73DD">
      <w:pPr>
        <w:ind w:left="567" w:right="51"/>
        <w:jc w:val="center"/>
        <w:rPr>
          <w:rFonts w:ascii="Times New Roman" w:hAnsi="Times New Roman" w:cs="Times New Roman"/>
          <w:i/>
          <w:iCs/>
          <w:sz w:val="28"/>
          <w:szCs w:val="28"/>
        </w:rPr>
      </w:pPr>
      <w:r w:rsidRPr="00DB3EEA">
        <w:rPr>
          <w:rFonts w:ascii="Times New Roman" w:hAnsi="Times New Roman" w:cs="Times New Roman"/>
          <w:i/>
          <w:iCs/>
          <w:sz w:val="28"/>
          <w:szCs w:val="28"/>
        </w:rPr>
        <w:t xml:space="preserve">ARTÍCULO 54. Adiciónese el Título X al Libro III </w:t>
      </w:r>
      <w:bookmarkStart w:id="3" w:name="_Hlk211960065"/>
      <w:r w:rsidRPr="00DB3EEA">
        <w:rPr>
          <w:rFonts w:ascii="Times New Roman" w:hAnsi="Times New Roman" w:cs="Times New Roman"/>
          <w:i/>
          <w:iCs/>
          <w:sz w:val="28"/>
          <w:szCs w:val="28"/>
        </w:rPr>
        <w:t>del Estatuto Tributario</w:t>
      </w:r>
      <w:bookmarkEnd w:id="3"/>
      <w:r w:rsidRPr="00DB3EEA">
        <w:rPr>
          <w:rFonts w:ascii="Times New Roman" w:hAnsi="Times New Roman" w:cs="Times New Roman"/>
          <w:i/>
          <w:iCs/>
          <w:sz w:val="28"/>
          <w:szCs w:val="28"/>
        </w:rPr>
        <w:t>, así:</w:t>
      </w:r>
    </w:p>
    <w:p w:rsidR="00C22124" w:rsidRPr="00DB3EEA" w:rsidRDefault="00DB3EEA" w:rsidP="005C73DD">
      <w:pPr>
        <w:ind w:left="567" w:right="51"/>
        <w:jc w:val="center"/>
        <w:rPr>
          <w:rFonts w:ascii="Times New Roman" w:hAnsi="Times New Roman" w:cs="Times New Roman"/>
          <w:i/>
          <w:iCs/>
          <w:sz w:val="28"/>
          <w:szCs w:val="28"/>
        </w:rPr>
      </w:pPr>
    </w:p>
    <w:p w:rsidR="00A94165" w:rsidRPr="00DB3EEA" w:rsidRDefault="00DB3EEA" w:rsidP="005C73DD">
      <w:pPr>
        <w:ind w:left="567" w:right="51"/>
        <w:jc w:val="center"/>
        <w:rPr>
          <w:rFonts w:ascii="Times New Roman" w:hAnsi="Times New Roman" w:cs="Times New Roman"/>
          <w:i/>
          <w:iCs/>
          <w:sz w:val="28"/>
          <w:szCs w:val="28"/>
        </w:rPr>
      </w:pPr>
      <w:r w:rsidRPr="00DB3EEA">
        <w:rPr>
          <w:rFonts w:ascii="Times New Roman" w:hAnsi="Times New Roman" w:cs="Times New Roman"/>
          <w:i/>
          <w:iCs/>
          <w:sz w:val="28"/>
          <w:szCs w:val="28"/>
        </w:rPr>
        <w:t>(….)</w:t>
      </w:r>
    </w:p>
    <w:p w:rsidR="00C22124" w:rsidRPr="00DB3EEA" w:rsidRDefault="00DB3EEA" w:rsidP="00C1091B">
      <w:pPr>
        <w:autoSpaceDE w:val="0"/>
        <w:autoSpaceDN w:val="0"/>
        <w:adjustRightInd w:val="0"/>
        <w:ind w:left="567"/>
        <w:jc w:val="both"/>
        <w:rPr>
          <w:rFonts w:ascii="Times New Roman" w:hAnsi="Times New Roman" w:cs="Times New Roman"/>
          <w:i/>
          <w:iCs/>
          <w:sz w:val="28"/>
          <w:szCs w:val="28"/>
        </w:rPr>
      </w:pPr>
    </w:p>
    <w:p w:rsidR="00294119" w:rsidRPr="00DB3EEA" w:rsidRDefault="00DB3EEA" w:rsidP="00C1091B">
      <w:pPr>
        <w:autoSpaceDE w:val="0"/>
        <w:autoSpaceDN w:val="0"/>
        <w:adjustRightInd w:val="0"/>
        <w:ind w:left="567"/>
        <w:jc w:val="both"/>
        <w:rPr>
          <w:rFonts w:ascii="Times New Roman" w:hAnsi="Times New Roman" w:cs="Times New Roman"/>
          <w:i/>
          <w:iCs/>
          <w:sz w:val="28"/>
          <w:szCs w:val="28"/>
        </w:rPr>
      </w:pPr>
      <w:r w:rsidRPr="00DB3EEA">
        <w:rPr>
          <w:rFonts w:ascii="Times New Roman" w:hAnsi="Times New Roman" w:cs="Times New Roman"/>
          <w:i/>
          <w:iCs/>
          <w:sz w:val="28"/>
          <w:szCs w:val="28"/>
        </w:rPr>
        <w:t xml:space="preserve">Artículo 513-8. Base gravable del impuesto a los productos comestibles ultraprocesados industrialmente y/o con alto contenido de azúcares añadidos, sodio o grasas saturadas. La base gravable del impuesto está constituida por el precio de venta. En el caso </w:t>
      </w:r>
      <w:r w:rsidRPr="00DB3EEA">
        <w:rPr>
          <w:rFonts w:ascii="Times New Roman" w:hAnsi="Times New Roman" w:cs="Times New Roman"/>
          <w:i/>
          <w:iCs/>
          <w:sz w:val="28"/>
          <w:szCs w:val="28"/>
        </w:rPr>
        <w:t>de donación o retiro de inventario, la base gravable es el valor comercial, de acuerdo con lo señalado en el Artículo 90 del Estatuto Tributario.</w:t>
      </w:r>
    </w:p>
    <w:p w:rsidR="00294119" w:rsidRPr="00DB3EEA" w:rsidRDefault="00DB3EEA" w:rsidP="00C1091B">
      <w:pPr>
        <w:autoSpaceDE w:val="0"/>
        <w:autoSpaceDN w:val="0"/>
        <w:adjustRightInd w:val="0"/>
        <w:ind w:left="567"/>
        <w:jc w:val="both"/>
        <w:rPr>
          <w:rFonts w:ascii="Times New Roman" w:hAnsi="Times New Roman" w:cs="Times New Roman"/>
          <w:i/>
          <w:iCs/>
          <w:sz w:val="28"/>
          <w:szCs w:val="28"/>
        </w:rPr>
      </w:pPr>
    </w:p>
    <w:p w:rsidR="00294119" w:rsidRPr="00DB3EEA" w:rsidRDefault="00DB3EEA" w:rsidP="00C1091B">
      <w:pPr>
        <w:autoSpaceDE w:val="0"/>
        <w:autoSpaceDN w:val="0"/>
        <w:adjustRightInd w:val="0"/>
        <w:ind w:left="567"/>
        <w:jc w:val="both"/>
        <w:rPr>
          <w:rFonts w:ascii="Times New Roman" w:hAnsi="Times New Roman" w:cs="Times New Roman"/>
          <w:i/>
          <w:iCs/>
          <w:sz w:val="28"/>
          <w:szCs w:val="28"/>
          <w:u w:val="single"/>
        </w:rPr>
      </w:pPr>
      <w:r w:rsidRPr="00DB3EEA">
        <w:rPr>
          <w:rFonts w:ascii="Times New Roman" w:hAnsi="Times New Roman" w:cs="Times New Roman"/>
          <w:i/>
          <w:iCs/>
          <w:sz w:val="28"/>
          <w:szCs w:val="28"/>
          <w:u w:val="single"/>
        </w:rPr>
        <w:t>En el caso de las mercancías importadas, la base gravable sobre la cual se liquida el impuesto a los producto</w:t>
      </w:r>
      <w:r w:rsidRPr="00DB3EEA">
        <w:rPr>
          <w:rFonts w:ascii="Times New Roman" w:hAnsi="Times New Roman" w:cs="Times New Roman"/>
          <w:i/>
          <w:iCs/>
          <w:sz w:val="28"/>
          <w:szCs w:val="28"/>
          <w:u w:val="single"/>
        </w:rPr>
        <w:t>s comestibles ultraprocesado</w:t>
      </w:r>
      <w:r w:rsidRPr="00DB3EEA">
        <w:rPr>
          <w:rFonts w:ascii="Times New Roman" w:hAnsi="Times New Roman" w:cs="Times New Roman"/>
          <w:i/>
          <w:iCs/>
          <w:sz w:val="28"/>
          <w:szCs w:val="28"/>
          <w:u w:val="single"/>
        </w:rPr>
        <w:t>s</w:t>
      </w:r>
      <w:r w:rsidRPr="00DB3EEA">
        <w:rPr>
          <w:rFonts w:ascii="Times New Roman" w:hAnsi="Times New Roman" w:cs="Times New Roman"/>
          <w:i/>
          <w:iCs/>
          <w:sz w:val="28"/>
          <w:szCs w:val="28"/>
          <w:u w:val="single"/>
        </w:rPr>
        <w:t xml:space="preserve"> y/o con alto contenido de azúcares añadidos, sodio o grasas saturadas, será la misma que se tiene en cuenta para liquidar los tributos aduaneros, adicionados con el valor de este gravamen. </w:t>
      </w:r>
    </w:p>
    <w:p w:rsidR="00294119" w:rsidRPr="00DB3EEA" w:rsidRDefault="00DB3EEA" w:rsidP="00C1091B">
      <w:pPr>
        <w:autoSpaceDE w:val="0"/>
        <w:autoSpaceDN w:val="0"/>
        <w:adjustRightInd w:val="0"/>
        <w:ind w:left="567"/>
        <w:jc w:val="both"/>
        <w:rPr>
          <w:rFonts w:ascii="Times New Roman" w:hAnsi="Times New Roman" w:cs="Times New Roman"/>
          <w:i/>
          <w:iCs/>
          <w:sz w:val="28"/>
          <w:szCs w:val="28"/>
          <w:u w:val="single"/>
        </w:rPr>
      </w:pPr>
    </w:p>
    <w:p w:rsidR="00294119" w:rsidRPr="00DB3EEA" w:rsidRDefault="00DB3EEA" w:rsidP="00C1091B">
      <w:pPr>
        <w:autoSpaceDE w:val="0"/>
        <w:autoSpaceDN w:val="0"/>
        <w:adjustRightInd w:val="0"/>
        <w:ind w:left="567"/>
        <w:jc w:val="both"/>
        <w:rPr>
          <w:rFonts w:ascii="Times New Roman" w:hAnsi="Times New Roman" w:cs="Times New Roman"/>
          <w:i/>
          <w:iCs/>
          <w:sz w:val="28"/>
          <w:szCs w:val="28"/>
          <w:u w:val="single"/>
        </w:rPr>
      </w:pPr>
      <w:r w:rsidRPr="00DB3EEA">
        <w:rPr>
          <w:rFonts w:ascii="Times New Roman" w:hAnsi="Times New Roman" w:cs="Times New Roman"/>
          <w:i/>
          <w:iCs/>
          <w:sz w:val="28"/>
          <w:szCs w:val="28"/>
          <w:u w:val="single"/>
        </w:rPr>
        <w:t xml:space="preserve">Tratándose de productos terminados </w:t>
      </w:r>
      <w:r w:rsidRPr="00DB3EEA">
        <w:rPr>
          <w:rFonts w:ascii="Times New Roman" w:hAnsi="Times New Roman" w:cs="Times New Roman"/>
          <w:i/>
          <w:iCs/>
          <w:sz w:val="28"/>
          <w:szCs w:val="28"/>
          <w:u w:val="single"/>
        </w:rPr>
        <w:t>producidos en zona franca, la base gravable será el valor de todos los costos y gastos de producción de conformidad con el certificado de integración, más el valor de los tributos aduaneros. Cuando el importador sea el comprador o cliente en territorio adu</w:t>
      </w:r>
      <w:r w:rsidRPr="00DB3EEA">
        <w:rPr>
          <w:rFonts w:ascii="Times New Roman" w:hAnsi="Times New Roman" w:cs="Times New Roman"/>
          <w:i/>
          <w:iCs/>
          <w:sz w:val="28"/>
          <w:szCs w:val="28"/>
          <w:u w:val="single"/>
        </w:rPr>
        <w:t>anero nacional, la base gravable será el valor de la factura más los tributos aduaneros.</w:t>
      </w:r>
    </w:p>
    <w:p w:rsidR="000476DC" w:rsidRPr="00DB3EEA" w:rsidRDefault="00DB3EEA" w:rsidP="00C1091B">
      <w:pPr>
        <w:tabs>
          <w:tab w:val="left" w:pos="426"/>
        </w:tabs>
        <w:ind w:left="567"/>
        <w:jc w:val="both"/>
        <w:rPr>
          <w:rFonts w:ascii="Times New Roman" w:hAnsi="Times New Roman" w:cs="Times New Roman"/>
          <w:i/>
          <w:iCs/>
          <w:sz w:val="28"/>
          <w:szCs w:val="28"/>
        </w:rPr>
      </w:pPr>
    </w:p>
    <w:p w:rsidR="003E5F8A" w:rsidRPr="00DB3EEA" w:rsidRDefault="00DB3EEA" w:rsidP="00276C7F">
      <w:pPr>
        <w:pStyle w:val="Prrafodelista"/>
        <w:numPr>
          <w:ilvl w:val="0"/>
          <w:numId w:val="2"/>
        </w:numPr>
        <w:tabs>
          <w:tab w:val="left" w:pos="284"/>
        </w:tabs>
        <w:ind w:left="0" w:firstLine="0"/>
        <w:jc w:val="both"/>
        <w:outlineLvl w:val="1"/>
        <w:rPr>
          <w:rFonts w:ascii="Times New Roman" w:eastAsia="Calibri" w:hAnsi="Times New Roman" w:cs="Times New Roman"/>
          <w:sz w:val="28"/>
          <w:szCs w:val="28"/>
          <w:lang w:eastAsia="es-ES"/>
        </w:rPr>
      </w:pPr>
      <w:r w:rsidRPr="00DB3EEA">
        <w:rPr>
          <w:rFonts w:ascii="Times New Roman" w:eastAsia="Calibri" w:hAnsi="Times New Roman" w:cs="Times New Roman"/>
          <w:b/>
          <w:sz w:val="28"/>
          <w:szCs w:val="28"/>
          <w:lang w:eastAsia="es-ES"/>
        </w:rPr>
        <w:t>La demanda</w:t>
      </w:r>
    </w:p>
    <w:p w:rsidR="00B74B75" w:rsidRPr="00DB3EEA" w:rsidRDefault="00DB3EEA" w:rsidP="00376DDD">
      <w:pPr>
        <w:pStyle w:val="Prrafodelista"/>
        <w:tabs>
          <w:tab w:val="left" w:pos="426"/>
        </w:tabs>
        <w:ind w:left="0"/>
        <w:jc w:val="both"/>
        <w:rPr>
          <w:rFonts w:ascii="Times New Roman" w:eastAsia="Calibri" w:hAnsi="Times New Roman" w:cs="Times New Roman"/>
          <w:sz w:val="28"/>
          <w:szCs w:val="28"/>
          <w:lang w:eastAsia="es-ES"/>
        </w:rPr>
      </w:pPr>
    </w:p>
    <w:p w:rsidR="00FC6C15" w:rsidRPr="00DB3EEA" w:rsidRDefault="00DB3EEA" w:rsidP="00E947BC">
      <w:pPr>
        <w:pStyle w:val="Prrafodelista"/>
        <w:numPr>
          <w:ilvl w:val="0"/>
          <w:numId w:val="1"/>
        </w:numPr>
        <w:shd w:val="clear" w:color="auto" w:fill="FFFFFF" w:themeFill="background1"/>
        <w:ind w:left="0" w:firstLine="0"/>
        <w:jc w:val="both"/>
        <w:textAlignment w:val="baseline"/>
        <w:rPr>
          <w:rFonts w:ascii="Times New Roman" w:hAnsi="Times New Roman" w:cs="Times New Roman"/>
          <w:sz w:val="28"/>
          <w:szCs w:val="28"/>
        </w:rPr>
      </w:pPr>
      <w:bookmarkStart w:id="4" w:name="_Hlk218931572"/>
      <w:r w:rsidRPr="00DB3EEA">
        <w:rPr>
          <w:rFonts w:ascii="Times New Roman" w:hAnsi="Times New Roman" w:cs="Times New Roman"/>
          <w:sz w:val="28"/>
          <w:szCs w:val="28"/>
        </w:rPr>
        <w:t xml:space="preserve">Los </w:t>
      </w:r>
      <w:r w:rsidRPr="00DB3EEA">
        <w:rPr>
          <w:rFonts w:ascii="Times New Roman" w:hAnsi="Times New Roman" w:cs="Times New Roman"/>
          <w:sz w:val="28"/>
          <w:szCs w:val="28"/>
        </w:rPr>
        <w:t xml:space="preserve">demandantes </w:t>
      </w:r>
      <w:r w:rsidRPr="00DB3EEA">
        <w:rPr>
          <w:rFonts w:ascii="Times New Roman" w:hAnsi="Times New Roman" w:cs="Times New Roman"/>
          <w:sz w:val="28"/>
          <w:szCs w:val="28"/>
        </w:rPr>
        <w:t>formulan</w:t>
      </w:r>
      <w:r w:rsidRPr="00DB3EEA">
        <w:rPr>
          <w:rFonts w:ascii="Times New Roman" w:hAnsi="Times New Roman" w:cs="Times New Roman"/>
          <w:sz w:val="28"/>
          <w:szCs w:val="28"/>
        </w:rPr>
        <w:t xml:space="preserve"> cuatro cargos de inconstitucionalidad por la presunta vulneración de los artículos </w:t>
      </w:r>
      <w:r w:rsidRPr="00DB3EEA">
        <w:rPr>
          <w:rFonts w:ascii="Times New Roman" w:hAnsi="Times New Roman" w:cs="Times New Roman"/>
          <w:sz w:val="28"/>
          <w:szCs w:val="28"/>
        </w:rPr>
        <w:t xml:space="preserve">13, 95, 150-19, 189-25, 333 y 363 de la </w:t>
      </w:r>
      <w:r w:rsidRPr="00DB3EEA">
        <w:rPr>
          <w:rFonts w:ascii="Times New Roman" w:hAnsi="Times New Roman" w:cs="Times New Roman"/>
          <w:sz w:val="28"/>
          <w:szCs w:val="28"/>
        </w:rPr>
        <w:t>Constitución Política</w:t>
      </w:r>
      <w:r w:rsidRPr="00DB3EEA">
        <w:rPr>
          <w:rStyle w:val="Refdenotaalpie"/>
          <w:rFonts w:ascii="Times New Roman" w:hAnsi="Times New Roman" w:cs="Times New Roman"/>
          <w:sz w:val="28"/>
          <w:szCs w:val="28"/>
        </w:rPr>
        <w:footnoteReference w:id="3"/>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En virtud de dichas violaciones,</w:t>
      </w:r>
      <w:r w:rsidRPr="00DB3EEA">
        <w:rPr>
          <w:rFonts w:ascii="Times New Roman" w:hAnsi="Times New Roman" w:cs="Times New Roman"/>
          <w:sz w:val="28"/>
          <w:szCs w:val="28"/>
        </w:rPr>
        <w:t xml:space="preserve"> s</w:t>
      </w:r>
      <w:r w:rsidRPr="00DB3EEA">
        <w:rPr>
          <w:rFonts w:ascii="Times New Roman" w:hAnsi="Times New Roman" w:cs="Times New Roman"/>
          <w:sz w:val="28"/>
          <w:szCs w:val="28"/>
        </w:rPr>
        <w:t>olicitan</w:t>
      </w:r>
      <w:r w:rsidRPr="00DB3EEA">
        <w:rPr>
          <w:rFonts w:ascii="Times New Roman" w:hAnsi="Times New Roman" w:cs="Times New Roman"/>
          <w:sz w:val="28"/>
          <w:szCs w:val="28"/>
        </w:rPr>
        <w:t xml:space="preserve"> la declaración de inexequibilidad de los incisos demandados</w:t>
      </w:r>
      <w:r w:rsidRPr="00DB3EEA">
        <w:rPr>
          <w:rStyle w:val="Refdenotaalpie"/>
          <w:rFonts w:ascii="Times New Roman" w:hAnsi="Times New Roman" w:cs="Times New Roman"/>
          <w:sz w:val="28"/>
          <w:szCs w:val="28"/>
        </w:rPr>
        <w:footnoteReference w:id="4"/>
      </w:r>
      <w:r w:rsidRPr="00DB3EEA">
        <w:rPr>
          <w:rFonts w:ascii="Times New Roman" w:hAnsi="Times New Roman" w:cs="Times New Roman"/>
          <w:sz w:val="28"/>
          <w:szCs w:val="28"/>
        </w:rPr>
        <w:t>.</w:t>
      </w:r>
    </w:p>
    <w:p w:rsidR="00FC6C15" w:rsidRPr="00DB3EEA" w:rsidRDefault="00DB3EEA" w:rsidP="00376DDD">
      <w:pPr>
        <w:pStyle w:val="Prrafodelista"/>
        <w:tabs>
          <w:tab w:val="left" w:pos="284"/>
        </w:tabs>
        <w:ind w:left="0" w:right="49"/>
        <w:jc w:val="both"/>
        <w:rPr>
          <w:rFonts w:ascii="Times New Roman" w:hAnsi="Times New Roman" w:cs="Times New Roman"/>
          <w:sz w:val="28"/>
          <w:szCs w:val="28"/>
        </w:rPr>
      </w:pPr>
    </w:p>
    <w:p w:rsidR="000F782B" w:rsidRPr="00DB3EEA" w:rsidRDefault="00DB3EEA" w:rsidP="00E947BC">
      <w:pPr>
        <w:pStyle w:val="Prrafodelista"/>
        <w:numPr>
          <w:ilvl w:val="0"/>
          <w:numId w:val="1"/>
        </w:numPr>
        <w:shd w:val="clear" w:color="auto" w:fill="FFFFFF" w:themeFill="background1"/>
        <w:ind w:left="0" w:firstLine="0"/>
        <w:jc w:val="both"/>
        <w:textAlignment w:val="baseline"/>
        <w:rPr>
          <w:rFonts w:ascii="Times New Roman" w:hAnsi="Times New Roman" w:cs="Times New Roman"/>
          <w:sz w:val="28"/>
          <w:szCs w:val="28"/>
        </w:rPr>
      </w:pPr>
      <w:r w:rsidRPr="00DB3EEA">
        <w:rPr>
          <w:rFonts w:ascii="Times New Roman" w:hAnsi="Times New Roman" w:cs="Times New Roman"/>
          <w:sz w:val="28"/>
          <w:szCs w:val="28"/>
        </w:rPr>
        <w:t xml:space="preserve">Según su argumentación, los incisos segundo y tercero del artículo 513-8 del Estatuto Tributario establecen una base gravable </w:t>
      </w:r>
      <w:r w:rsidRPr="00DB3EEA">
        <w:rPr>
          <w:rFonts w:ascii="Times New Roman" w:hAnsi="Times New Roman" w:cs="Times New Roman"/>
          <w:sz w:val="28"/>
          <w:szCs w:val="28"/>
        </w:rPr>
        <w:t>diferencial del impuesto saludable entre productos nacionales y productos importados o producidos en zonas francas, generando una mayor carga tributaria para estos últimos únicamente con base en el origen del producto. Afirman que dicha diferenciación, fun</w:t>
      </w:r>
      <w:r w:rsidRPr="00DB3EEA">
        <w:rPr>
          <w:rFonts w:ascii="Times New Roman" w:hAnsi="Times New Roman" w:cs="Times New Roman"/>
          <w:sz w:val="28"/>
          <w:szCs w:val="28"/>
        </w:rPr>
        <w:t>dada en la procedencia del bien, resulta irrelevante a la luz de los fines de salud pública propios del impuesto saludable y, por ello, no existe una relación racional entre el medio utilizado por el legislador y el fin perseguido.</w:t>
      </w:r>
      <w:r w:rsidRPr="00DB3EEA">
        <w:rPr>
          <w:rFonts w:ascii="Times New Roman" w:hAnsi="Times New Roman" w:cs="Times New Roman"/>
          <w:sz w:val="28"/>
          <w:szCs w:val="28"/>
        </w:rPr>
        <w:t xml:space="preserve"> </w:t>
      </w:r>
      <w:r w:rsidRPr="00DB3EEA">
        <w:rPr>
          <w:rStyle w:val="Refdenotaalpie"/>
          <w:rFonts w:ascii="Times New Roman" w:hAnsi="Times New Roman" w:cs="Times New Roman"/>
          <w:sz w:val="28"/>
          <w:szCs w:val="28"/>
        </w:rPr>
        <w:footnoteReference w:id="5"/>
      </w:r>
      <w:r w:rsidRPr="00DB3EEA">
        <w:rPr>
          <w:rFonts w:ascii="Times New Roman" w:hAnsi="Times New Roman" w:cs="Times New Roman"/>
          <w:sz w:val="28"/>
          <w:szCs w:val="28"/>
        </w:rPr>
        <w:t xml:space="preserve"> </w:t>
      </w:r>
    </w:p>
    <w:p w:rsidR="00831244" w:rsidRPr="00DB3EEA" w:rsidRDefault="00DB3EEA" w:rsidP="00376DDD">
      <w:pPr>
        <w:pStyle w:val="Prrafodelista"/>
        <w:jc w:val="both"/>
        <w:rPr>
          <w:rFonts w:ascii="Times New Roman" w:hAnsi="Times New Roman" w:cs="Times New Roman"/>
          <w:sz w:val="28"/>
          <w:szCs w:val="28"/>
        </w:rPr>
      </w:pPr>
    </w:p>
    <w:p w:rsidR="00831244" w:rsidRPr="00DB3EEA" w:rsidRDefault="00DB3EEA" w:rsidP="00E947BC">
      <w:pPr>
        <w:pStyle w:val="Prrafodelista"/>
        <w:numPr>
          <w:ilvl w:val="0"/>
          <w:numId w:val="1"/>
        </w:numPr>
        <w:shd w:val="clear" w:color="auto" w:fill="FFFFFF" w:themeFill="background1"/>
        <w:ind w:left="0" w:firstLine="0"/>
        <w:jc w:val="both"/>
        <w:textAlignment w:val="baseline"/>
        <w:rPr>
          <w:rFonts w:ascii="Times New Roman" w:hAnsi="Times New Roman" w:cs="Times New Roman"/>
          <w:sz w:val="28"/>
          <w:szCs w:val="28"/>
        </w:rPr>
      </w:pPr>
      <w:r w:rsidRPr="00DB3EEA">
        <w:rPr>
          <w:rFonts w:ascii="Times New Roman" w:hAnsi="Times New Roman" w:cs="Times New Roman"/>
          <w:sz w:val="28"/>
          <w:szCs w:val="28"/>
        </w:rPr>
        <w:t>Los demandantes e</w:t>
      </w:r>
      <w:r w:rsidRPr="00DB3EEA">
        <w:rPr>
          <w:rFonts w:ascii="Times New Roman" w:hAnsi="Times New Roman" w:cs="Times New Roman"/>
          <w:sz w:val="28"/>
          <w:szCs w:val="28"/>
        </w:rPr>
        <w:t>xpl</w:t>
      </w:r>
      <w:r w:rsidRPr="00DB3EEA">
        <w:rPr>
          <w:rFonts w:ascii="Times New Roman" w:hAnsi="Times New Roman" w:cs="Times New Roman"/>
          <w:sz w:val="28"/>
          <w:szCs w:val="28"/>
        </w:rPr>
        <w:t>ican que el artículo 513-8 demandado define la base gravable del impuesto a los productos comestibles ultraprocesados industrialmente y/o con alto contenido de azúcares añadidos, sodio o grasas saturadas. Sostienen que, mientras el primer inciso de la norm</w:t>
      </w:r>
      <w:r w:rsidRPr="00DB3EEA">
        <w:rPr>
          <w:rFonts w:ascii="Times New Roman" w:hAnsi="Times New Roman" w:cs="Times New Roman"/>
          <w:sz w:val="28"/>
          <w:szCs w:val="28"/>
        </w:rPr>
        <w:t>a fija la base gravable de los productos nacionales como el precio de venta del bien —que no incluye el IVA—, la base gravable para los productos importados o producidos en zonas francas corresponde a una fórmula más compleja que comprende: (i) el valor de</w:t>
      </w:r>
      <w:r w:rsidRPr="00DB3EEA">
        <w:rPr>
          <w:rFonts w:ascii="Times New Roman" w:hAnsi="Times New Roman" w:cs="Times New Roman"/>
          <w:sz w:val="28"/>
          <w:szCs w:val="28"/>
        </w:rPr>
        <w:t>l producto que se tuvo en cuenta para liquidar los tributos aduaneros, más (ii) el valor de los tributos aduaneros, que incluye el IVA</w:t>
      </w:r>
      <w:r w:rsidRPr="00DB3EEA">
        <w:rPr>
          <w:rStyle w:val="Refdenotaalpie"/>
          <w:rFonts w:ascii="Times New Roman" w:hAnsi="Times New Roman" w:cs="Times New Roman"/>
          <w:sz w:val="28"/>
          <w:szCs w:val="28"/>
        </w:rPr>
        <w:footnoteReference w:id="6"/>
      </w:r>
      <w:r w:rsidRPr="00DB3EEA">
        <w:rPr>
          <w:rFonts w:ascii="Times New Roman" w:hAnsi="Times New Roman" w:cs="Times New Roman"/>
          <w:sz w:val="28"/>
          <w:szCs w:val="28"/>
        </w:rPr>
        <w:t xml:space="preserve">. </w:t>
      </w:r>
    </w:p>
    <w:p w:rsidR="00831244" w:rsidRPr="00DB3EEA" w:rsidRDefault="00DB3EEA" w:rsidP="00376DDD">
      <w:pPr>
        <w:pStyle w:val="Prrafodelista"/>
        <w:jc w:val="both"/>
        <w:rPr>
          <w:rFonts w:ascii="Times New Roman" w:hAnsi="Times New Roman" w:cs="Times New Roman"/>
          <w:sz w:val="28"/>
          <w:szCs w:val="28"/>
        </w:rPr>
      </w:pPr>
    </w:p>
    <w:bookmarkEnd w:id="4"/>
    <w:p w:rsidR="00831244" w:rsidRPr="00DB3EEA" w:rsidRDefault="00DB3EEA" w:rsidP="000758F0">
      <w:pPr>
        <w:pStyle w:val="Prrafodelista"/>
        <w:numPr>
          <w:ilvl w:val="0"/>
          <w:numId w:val="1"/>
        </w:numPr>
        <w:shd w:val="clear" w:color="auto" w:fill="FFFFFF" w:themeFill="background1"/>
        <w:ind w:left="0" w:firstLine="0"/>
        <w:jc w:val="both"/>
        <w:textAlignment w:val="baseline"/>
        <w:rPr>
          <w:rFonts w:ascii="Times New Roman" w:hAnsi="Times New Roman" w:cs="Times New Roman"/>
          <w:sz w:val="28"/>
          <w:szCs w:val="28"/>
        </w:rPr>
      </w:pPr>
      <w:r w:rsidRPr="00DB3EEA">
        <w:rPr>
          <w:rFonts w:ascii="Times New Roman" w:hAnsi="Times New Roman" w:cs="Times New Roman"/>
          <w:sz w:val="28"/>
          <w:szCs w:val="28"/>
        </w:rPr>
        <w:t xml:space="preserve">Para explicar </w:t>
      </w:r>
      <w:r w:rsidRPr="00DB3EEA">
        <w:rPr>
          <w:rFonts w:ascii="Times New Roman" w:hAnsi="Times New Roman" w:cs="Times New Roman"/>
          <w:sz w:val="28"/>
          <w:szCs w:val="28"/>
        </w:rPr>
        <w:t>por qué</w:t>
      </w:r>
      <w:r w:rsidRPr="00DB3EEA">
        <w:rPr>
          <w:rFonts w:ascii="Times New Roman" w:hAnsi="Times New Roman" w:cs="Times New Roman"/>
          <w:sz w:val="28"/>
          <w:szCs w:val="28"/>
        </w:rPr>
        <w:t xml:space="preserve"> la segunda base gravable incluye el IVA, </w:t>
      </w:r>
      <w:r w:rsidRPr="00DB3EEA">
        <w:rPr>
          <w:rFonts w:ascii="Times New Roman" w:hAnsi="Times New Roman" w:cs="Times New Roman"/>
          <w:sz w:val="28"/>
          <w:szCs w:val="28"/>
        </w:rPr>
        <w:t xml:space="preserve">los demandantes citan </w:t>
      </w:r>
      <w:r w:rsidRPr="00DB3EEA">
        <w:rPr>
          <w:rFonts w:ascii="Times New Roman" w:hAnsi="Times New Roman" w:cs="Times New Roman"/>
          <w:sz w:val="28"/>
          <w:szCs w:val="28"/>
        </w:rPr>
        <w:t>el artículo 3 del Decreto 1165 d</w:t>
      </w:r>
      <w:r w:rsidRPr="00DB3EEA">
        <w:rPr>
          <w:rFonts w:ascii="Times New Roman" w:hAnsi="Times New Roman" w:cs="Times New Roman"/>
          <w:sz w:val="28"/>
          <w:szCs w:val="28"/>
        </w:rPr>
        <w:t xml:space="preserve">e 2019 </w:t>
      </w:r>
      <w:r w:rsidRPr="00DB3EEA">
        <w:rPr>
          <w:rFonts w:ascii="Times New Roman" w:hAnsi="Times New Roman" w:cs="Times New Roman"/>
          <w:sz w:val="28"/>
          <w:szCs w:val="28"/>
        </w:rPr>
        <w:t>que</w:t>
      </w:r>
      <w:r w:rsidRPr="00DB3EEA">
        <w:rPr>
          <w:rFonts w:ascii="Times New Roman" w:hAnsi="Times New Roman" w:cs="Times New Roman"/>
          <w:sz w:val="28"/>
          <w:szCs w:val="28"/>
        </w:rPr>
        <w:t xml:space="preserve"> establece que</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[e]</w:t>
      </w:r>
      <w:r w:rsidRPr="00DB3EEA">
        <w:rPr>
          <w:rFonts w:ascii="Times New Roman" w:hAnsi="Times New Roman" w:cs="Times New Roman"/>
          <w:sz w:val="28"/>
          <w:szCs w:val="28"/>
        </w:rPr>
        <w:t>l impuesto a las ventas causado por la importación de las mercancías al Territorio Aduanero Nacional, está comprendido dentro de esta definición”</w:t>
      </w:r>
      <w:r w:rsidRPr="00DB3EEA">
        <w:rPr>
          <w:rFonts w:ascii="Times New Roman" w:hAnsi="Times New Roman" w:cs="Times New Roman"/>
          <w:sz w:val="28"/>
          <w:szCs w:val="28"/>
        </w:rPr>
        <w:t xml:space="preserve"> </w:t>
      </w:r>
      <w:r w:rsidRPr="00DB3EEA">
        <w:rPr>
          <w:rStyle w:val="Refdenotaalpie"/>
          <w:rFonts w:ascii="Times New Roman" w:hAnsi="Times New Roman" w:cs="Times New Roman"/>
          <w:sz w:val="28"/>
          <w:szCs w:val="28"/>
        </w:rPr>
        <w:footnoteReference w:id="7"/>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 xml:space="preserve">Afirman que dicha inclusión del IVA constituye precisamente la diferencia </w:t>
      </w:r>
      <w:r w:rsidRPr="00DB3EEA">
        <w:rPr>
          <w:rFonts w:ascii="Times New Roman" w:hAnsi="Times New Roman" w:cs="Times New Roman"/>
          <w:sz w:val="28"/>
          <w:szCs w:val="28"/>
        </w:rPr>
        <w:t>entre los</w:t>
      </w:r>
      <w:r w:rsidRPr="00DB3EEA">
        <w:rPr>
          <w:rFonts w:ascii="Times New Roman" w:hAnsi="Times New Roman" w:cs="Times New Roman"/>
          <w:i/>
          <w:iCs/>
          <w:sz w:val="28"/>
          <w:szCs w:val="28"/>
        </w:rPr>
        <w:t xml:space="preserve"> tributos aduaneros</w:t>
      </w:r>
      <w:r w:rsidRPr="00DB3EEA">
        <w:rPr>
          <w:rFonts w:ascii="Times New Roman" w:hAnsi="Times New Roman" w:cs="Times New Roman"/>
          <w:sz w:val="28"/>
          <w:szCs w:val="28"/>
        </w:rPr>
        <w:t xml:space="preserve"> y los </w:t>
      </w:r>
      <w:r w:rsidRPr="00DB3EEA">
        <w:rPr>
          <w:rFonts w:ascii="Times New Roman" w:hAnsi="Times New Roman" w:cs="Times New Roman"/>
          <w:i/>
          <w:iCs/>
          <w:sz w:val="28"/>
          <w:szCs w:val="28"/>
        </w:rPr>
        <w:t>derechos de aduana.</w:t>
      </w:r>
    </w:p>
    <w:p w:rsidR="00831244" w:rsidRPr="00DB3EEA" w:rsidRDefault="00DB3EEA" w:rsidP="00376DDD">
      <w:pPr>
        <w:pStyle w:val="Prrafodelista"/>
        <w:jc w:val="both"/>
        <w:rPr>
          <w:rFonts w:ascii="Times New Roman" w:hAnsi="Times New Roman" w:cs="Times New Roman"/>
          <w:sz w:val="28"/>
          <w:szCs w:val="28"/>
        </w:rPr>
      </w:pPr>
    </w:p>
    <w:p w:rsidR="00831244" w:rsidRPr="00DB3EEA" w:rsidRDefault="00DB3EEA" w:rsidP="000758F0">
      <w:pPr>
        <w:pStyle w:val="Prrafodelista"/>
        <w:numPr>
          <w:ilvl w:val="0"/>
          <w:numId w:val="1"/>
        </w:numPr>
        <w:shd w:val="clear" w:color="auto" w:fill="FFFFFF" w:themeFill="background1"/>
        <w:ind w:left="0" w:firstLine="0"/>
        <w:jc w:val="both"/>
        <w:textAlignment w:val="baseline"/>
        <w:rPr>
          <w:rFonts w:ascii="Times New Roman" w:hAnsi="Times New Roman" w:cs="Times New Roman"/>
          <w:sz w:val="28"/>
          <w:szCs w:val="28"/>
        </w:rPr>
      </w:pPr>
      <w:bookmarkStart w:id="5" w:name="_Hlk218931632"/>
      <w:r w:rsidRPr="00DB3EEA">
        <w:rPr>
          <w:rFonts w:ascii="Times New Roman" w:hAnsi="Times New Roman" w:cs="Times New Roman"/>
          <w:sz w:val="28"/>
          <w:szCs w:val="28"/>
        </w:rPr>
        <w:t>En ese sentido, argumentan que, mientras el impuesto saludable a los productos nacionales se calcula únicamente sobre el valor de la venta, el de los productos importados o producidos en zonas francas</w:t>
      </w:r>
      <w:r w:rsidRPr="00DB3EEA">
        <w:rPr>
          <w:rFonts w:ascii="Times New Roman" w:hAnsi="Times New Roman" w:cs="Times New Roman"/>
          <w:sz w:val="28"/>
          <w:szCs w:val="28"/>
        </w:rPr>
        <w:t xml:space="preserve"> se liquida sobre una base mayor que incluye el IVA. Sostienen que ello constituye un aumento de la carga tributaria derivado exclusivamente del hecho de la importación.</w:t>
      </w:r>
    </w:p>
    <w:p w:rsidR="00FC6C15" w:rsidRPr="00DB3EEA" w:rsidRDefault="00DB3EEA" w:rsidP="00376DDD">
      <w:pPr>
        <w:pStyle w:val="Prrafodelista"/>
        <w:jc w:val="both"/>
        <w:rPr>
          <w:rFonts w:ascii="Times New Roman" w:hAnsi="Times New Roman" w:cs="Times New Roman"/>
          <w:sz w:val="28"/>
          <w:szCs w:val="28"/>
        </w:rPr>
      </w:pPr>
    </w:p>
    <w:p w:rsidR="00FC6C15" w:rsidRPr="00DB3EEA" w:rsidRDefault="00DB3EEA" w:rsidP="00376DDD">
      <w:pPr>
        <w:pStyle w:val="Prrafodelista"/>
        <w:numPr>
          <w:ilvl w:val="0"/>
          <w:numId w:val="1"/>
        </w:numPr>
        <w:tabs>
          <w:tab w:val="left" w:pos="284"/>
        </w:tabs>
        <w:ind w:left="0" w:right="49" w:firstLine="0"/>
        <w:jc w:val="both"/>
        <w:rPr>
          <w:rFonts w:ascii="Times New Roman" w:hAnsi="Times New Roman" w:cs="Times New Roman"/>
          <w:sz w:val="28"/>
          <w:szCs w:val="28"/>
        </w:rPr>
      </w:pPr>
      <w:r w:rsidRPr="00DB3EEA">
        <w:rPr>
          <w:rFonts w:ascii="Times New Roman" w:hAnsi="Times New Roman" w:cs="Times New Roman"/>
          <w:sz w:val="28"/>
          <w:szCs w:val="28"/>
        </w:rPr>
        <w:t>En consecuencia, afirman que los incisos demandados vulneran: (i) el principio de igu</w:t>
      </w:r>
      <w:r w:rsidRPr="00DB3EEA">
        <w:rPr>
          <w:rFonts w:ascii="Times New Roman" w:hAnsi="Times New Roman" w:cs="Times New Roman"/>
          <w:sz w:val="28"/>
          <w:szCs w:val="28"/>
        </w:rPr>
        <w:t>aldad, (ii) el principio de equidad horizontal tributaria y (iii) el derecho a la libre competencia económica. Asimismo, sostienen que, dado que la mayor carga tributaria se genera únicamente con ocasión del origen del producto, (iv) la norma impone de for</w:t>
      </w:r>
      <w:r w:rsidRPr="00DB3EEA">
        <w:rPr>
          <w:rFonts w:ascii="Times New Roman" w:hAnsi="Times New Roman" w:cs="Times New Roman"/>
          <w:sz w:val="28"/>
          <w:szCs w:val="28"/>
        </w:rPr>
        <w:t>ma encubierta un arancel por vía legislativa, en contravía de la reserva gubernamental sobre la imposición de aranceles</w:t>
      </w:r>
      <w:r w:rsidRPr="00DB3EEA">
        <w:rPr>
          <w:rStyle w:val="Refdenotaalpie"/>
          <w:rFonts w:ascii="Times New Roman" w:hAnsi="Times New Roman" w:cs="Times New Roman"/>
          <w:sz w:val="28"/>
          <w:szCs w:val="28"/>
        </w:rPr>
        <w:footnoteReference w:id="8"/>
      </w:r>
      <w:r w:rsidRPr="00DB3EEA">
        <w:rPr>
          <w:rFonts w:ascii="Times New Roman" w:hAnsi="Times New Roman" w:cs="Times New Roman"/>
          <w:sz w:val="28"/>
          <w:szCs w:val="28"/>
        </w:rPr>
        <w:t xml:space="preserve">. </w:t>
      </w:r>
    </w:p>
    <w:p w:rsidR="00831244" w:rsidRPr="00DB3EEA" w:rsidRDefault="00DB3EEA" w:rsidP="00376DDD">
      <w:pPr>
        <w:pStyle w:val="Prrafodelista"/>
        <w:jc w:val="both"/>
        <w:rPr>
          <w:rFonts w:ascii="Times New Roman" w:hAnsi="Times New Roman" w:cs="Times New Roman"/>
          <w:sz w:val="28"/>
          <w:szCs w:val="28"/>
        </w:rPr>
      </w:pPr>
    </w:p>
    <w:bookmarkEnd w:id="5"/>
    <w:p w:rsidR="00831244" w:rsidRPr="00DB3EEA" w:rsidRDefault="00DB3EEA" w:rsidP="00376DDD">
      <w:pPr>
        <w:pStyle w:val="Prrafodelista"/>
        <w:numPr>
          <w:ilvl w:val="0"/>
          <w:numId w:val="1"/>
        </w:numPr>
        <w:tabs>
          <w:tab w:val="left" w:pos="284"/>
        </w:tabs>
        <w:ind w:left="0" w:right="49"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A continuación, se exponen los cuatro cargos de inconstitucionalidad presentados por </w:t>
      </w:r>
      <w:r w:rsidRPr="00DB3EEA">
        <w:rPr>
          <w:rFonts w:ascii="Times New Roman" w:hAnsi="Times New Roman" w:cs="Times New Roman"/>
          <w:sz w:val="28"/>
          <w:szCs w:val="28"/>
        </w:rPr>
        <w:t>los demandantes</w:t>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w:t>
      </w:r>
    </w:p>
    <w:p w:rsidR="0088014B" w:rsidRPr="00DB3EEA" w:rsidRDefault="00DB3EEA" w:rsidP="00376DDD">
      <w:pPr>
        <w:pStyle w:val="Prrafodelista"/>
        <w:tabs>
          <w:tab w:val="left" w:pos="284"/>
        </w:tabs>
        <w:ind w:left="0" w:right="49"/>
        <w:jc w:val="both"/>
        <w:rPr>
          <w:rFonts w:ascii="Times New Roman" w:hAnsi="Times New Roman" w:cs="Times New Roman"/>
          <w:i/>
          <w:iCs/>
          <w:sz w:val="28"/>
          <w:szCs w:val="28"/>
        </w:rPr>
      </w:pPr>
    </w:p>
    <w:p w:rsidR="002B7652"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i/>
          <w:iCs/>
          <w:sz w:val="28"/>
          <w:szCs w:val="28"/>
        </w:rPr>
        <w:t>La presunta vulneración del</w:t>
      </w:r>
      <w:r w:rsidRPr="00DB3EEA">
        <w:rPr>
          <w:rFonts w:ascii="Times New Roman" w:hAnsi="Times New Roman" w:cs="Times New Roman"/>
          <w:i/>
          <w:iCs/>
          <w:sz w:val="28"/>
          <w:szCs w:val="28"/>
        </w:rPr>
        <w:t xml:space="preserve"> principio de igualdad:</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A juicio de los demandantes, la disposición cuestionada vulnera el artículo 13 de la Constitución Política al incumplir “</w:t>
      </w:r>
      <w:r w:rsidRPr="00DB3EEA">
        <w:rPr>
          <w:rFonts w:ascii="Times New Roman" w:hAnsi="Times New Roman" w:cs="Times New Roman"/>
          <w:i/>
          <w:iCs/>
          <w:sz w:val="28"/>
          <w:szCs w:val="28"/>
        </w:rPr>
        <w:t>el mandato de dar mismo trato a situaciones idénticas</w:t>
      </w:r>
      <w:r w:rsidRPr="00DB3EEA">
        <w:rPr>
          <w:rFonts w:ascii="Times New Roman" w:hAnsi="Times New Roman" w:cs="Times New Roman"/>
          <w:sz w:val="28"/>
          <w:szCs w:val="28"/>
        </w:rPr>
        <w:t>”</w:t>
      </w:r>
      <w:r w:rsidRPr="00DB3EEA">
        <w:rPr>
          <w:rStyle w:val="Refdenotaalpie"/>
          <w:rFonts w:ascii="Times New Roman" w:hAnsi="Times New Roman" w:cs="Times New Roman"/>
          <w:sz w:val="28"/>
          <w:szCs w:val="28"/>
        </w:rPr>
        <w:footnoteReference w:id="9"/>
      </w:r>
      <w:r w:rsidRPr="00DB3EEA">
        <w:rPr>
          <w:rFonts w:ascii="Times New Roman" w:hAnsi="Times New Roman" w:cs="Times New Roman"/>
          <w:sz w:val="28"/>
          <w:szCs w:val="28"/>
        </w:rPr>
        <w:t>, puesto que establece un trato diferencial entre grupos</w:t>
      </w:r>
      <w:r w:rsidRPr="00DB3EEA">
        <w:rPr>
          <w:rFonts w:ascii="Times New Roman" w:hAnsi="Times New Roman" w:cs="Times New Roman"/>
          <w:sz w:val="28"/>
          <w:szCs w:val="28"/>
        </w:rPr>
        <w:t xml:space="preserve"> comparables que carece de justificación constitucional.</w:t>
      </w:r>
    </w:p>
    <w:p w:rsidR="002B7652" w:rsidRPr="00DB3EEA" w:rsidRDefault="00DB3EEA" w:rsidP="00376DDD">
      <w:pPr>
        <w:pStyle w:val="Prrafodelista"/>
        <w:tabs>
          <w:tab w:val="left" w:pos="284"/>
        </w:tabs>
        <w:ind w:left="0" w:right="51"/>
        <w:jc w:val="both"/>
        <w:rPr>
          <w:rFonts w:ascii="Times New Roman" w:hAnsi="Times New Roman" w:cs="Times New Roman"/>
          <w:sz w:val="28"/>
          <w:szCs w:val="28"/>
        </w:rPr>
      </w:pPr>
    </w:p>
    <w:p w:rsidR="002B7652"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Los </w:t>
      </w:r>
      <w:r w:rsidRPr="00DB3EEA">
        <w:rPr>
          <w:rFonts w:ascii="Times New Roman" w:hAnsi="Times New Roman" w:cs="Times New Roman"/>
          <w:sz w:val="28"/>
          <w:szCs w:val="28"/>
        </w:rPr>
        <w:t>demandantes consideran que, para analizar el caso, la Corte debe aplicar un juicio de igualdad de intensidad intermedia dado que la norma acusada afecta un derecho constitucional no fundamental,</w:t>
      </w:r>
      <w:r w:rsidRPr="00DB3EEA">
        <w:rPr>
          <w:rFonts w:ascii="Times New Roman" w:hAnsi="Times New Roman" w:cs="Times New Roman"/>
          <w:sz w:val="28"/>
          <w:szCs w:val="28"/>
        </w:rPr>
        <w:t xml:space="preserve"> como lo es la libre competencia económica</w:t>
      </w:r>
      <w:r w:rsidRPr="00DB3EEA">
        <w:rPr>
          <w:rStyle w:val="Refdenotaalpie"/>
          <w:rFonts w:ascii="Times New Roman" w:hAnsi="Times New Roman" w:cs="Times New Roman"/>
          <w:sz w:val="28"/>
          <w:szCs w:val="28"/>
        </w:rPr>
        <w:footnoteReference w:id="10"/>
      </w:r>
      <w:r w:rsidRPr="00DB3EEA">
        <w:rPr>
          <w:rFonts w:ascii="Times New Roman" w:hAnsi="Times New Roman" w:cs="Times New Roman"/>
          <w:sz w:val="28"/>
          <w:szCs w:val="28"/>
        </w:rPr>
        <w:t>. Con base en ello, identifican tres conjuntos de grupos comparables: (i) los consumidores de productos ultraprocesados nacionales y los consumidores de productos ultraprocesados importados o producidos en zonas f</w:t>
      </w:r>
      <w:r w:rsidRPr="00DB3EEA">
        <w:rPr>
          <w:rFonts w:ascii="Times New Roman" w:hAnsi="Times New Roman" w:cs="Times New Roman"/>
          <w:sz w:val="28"/>
          <w:szCs w:val="28"/>
        </w:rPr>
        <w:t>rancas; (ii) los productores nacionales de productos ultraprocesados y los importadores o productores ubicados en zonas francas de productos de la misma naturaleza; y (iii) los productos ultraprocesados de origen nacional y los importados o elaborados en z</w:t>
      </w:r>
      <w:r w:rsidRPr="00DB3EEA">
        <w:rPr>
          <w:rFonts w:ascii="Times New Roman" w:hAnsi="Times New Roman" w:cs="Times New Roman"/>
          <w:sz w:val="28"/>
          <w:szCs w:val="28"/>
        </w:rPr>
        <w:t>onas francas</w:t>
      </w:r>
      <w:r w:rsidRPr="00DB3EEA">
        <w:rPr>
          <w:rStyle w:val="Refdenotaalpie"/>
          <w:rFonts w:ascii="Times New Roman" w:hAnsi="Times New Roman" w:cs="Times New Roman"/>
          <w:sz w:val="28"/>
          <w:szCs w:val="28"/>
        </w:rPr>
        <w:footnoteReference w:id="11"/>
      </w:r>
      <w:r w:rsidRPr="00DB3EEA">
        <w:rPr>
          <w:rFonts w:ascii="Times New Roman" w:hAnsi="Times New Roman" w:cs="Times New Roman"/>
          <w:sz w:val="28"/>
          <w:szCs w:val="28"/>
        </w:rPr>
        <w:t>.</w:t>
      </w:r>
    </w:p>
    <w:p w:rsidR="00E04E63" w:rsidRPr="00DB3EEA" w:rsidRDefault="00DB3EEA" w:rsidP="00E04E63">
      <w:pPr>
        <w:pStyle w:val="Prrafodelista"/>
        <w:rPr>
          <w:rFonts w:ascii="Times New Roman" w:hAnsi="Times New Roman" w:cs="Times New Roman"/>
          <w:sz w:val="28"/>
          <w:szCs w:val="28"/>
        </w:rPr>
      </w:pPr>
    </w:p>
    <w:p w:rsidR="00E04E63" w:rsidRPr="00DB3EEA" w:rsidRDefault="00DB3EEA">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El auto que inadmitió la demanda cuestionó la distinción de los consumidores presentada por los accionantes, y dispuso que “</w:t>
      </w:r>
      <w:r w:rsidRPr="00DB3EEA">
        <w:rPr>
          <w:rFonts w:ascii="Times New Roman" w:hAnsi="Times New Roman" w:cs="Times New Roman"/>
          <w:i/>
          <w:iCs/>
          <w:sz w:val="28"/>
          <w:szCs w:val="28"/>
        </w:rPr>
        <w:t xml:space="preserve">aunque los ciudadanos buscan demostrar que la comparación no se está haciendo sobre el producto sujeto al gravamen sino sobre los consumidores, en realidad no es posible la determinación de dos grupos distintos de consumidores. Sostener que la comparación </w:t>
      </w:r>
      <w:r w:rsidRPr="00DB3EEA">
        <w:rPr>
          <w:rFonts w:ascii="Times New Roman" w:hAnsi="Times New Roman" w:cs="Times New Roman"/>
          <w:i/>
          <w:iCs/>
          <w:sz w:val="28"/>
          <w:szCs w:val="28"/>
        </w:rPr>
        <w:t>se da entre los consumidores de productos nacionales y los consumidores de productos importados gravados con el impuesto es un argumento que carece de certeza y claridad, toda vez que es claro que todos los consumidores de una u otra clase de productos gra</w:t>
      </w:r>
      <w:r w:rsidRPr="00DB3EEA">
        <w:rPr>
          <w:rFonts w:ascii="Times New Roman" w:hAnsi="Times New Roman" w:cs="Times New Roman"/>
          <w:i/>
          <w:iCs/>
          <w:sz w:val="28"/>
          <w:szCs w:val="28"/>
        </w:rPr>
        <w:t>vados estarán sujetos al gravamen respectivo, de manera que lo comparable son los productos o los vendedores y/o productores de los mismos”</w:t>
      </w:r>
      <w:r w:rsidRPr="00DB3EEA">
        <w:rPr>
          <w:rStyle w:val="Refdenotaalpie"/>
          <w:rFonts w:ascii="Times New Roman" w:hAnsi="Times New Roman" w:cs="Times New Roman"/>
          <w:i/>
          <w:iCs/>
          <w:sz w:val="28"/>
          <w:szCs w:val="28"/>
        </w:rPr>
        <w:footnoteReference w:id="12"/>
      </w:r>
      <w:r w:rsidRPr="00DB3EEA">
        <w:rPr>
          <w:rFonts w:ascii="Times New Roman" w:hAnsi="Times New Roman" w:cs="Times New Roman"/>
          <w:i/>
          <w:iCs/>
          <w:sz w:val="28"/>
          <w:szCs w:val="28"/>
        </w:rPr>
        <w:t xml:space="preserve">. </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 xml:space="preserve">En el auto admisorio, luego de la corrección del 20 de enero de 2025, se advierte que </w:t>
      </w:r>
      <w:r w:rsidRPr="00DB3EEA">
        <w:rPr>
          <w:rFonts w:ascii="Times New Roman" w:hAnsi="Times New Roman" w:cs="Times New Roman"/>
          <w:sz w:val="28"/>
          <w:szCs w:val="28"/>
        </w:rPr>
        <w:t>“</w:t>
      </w:r>
      <w:r w:rsidRPr="00DB3EEA">
        <w:rPr>
          <w:rFonts w:ascii="Times New Roman" w:hAnsi="Times New Roman" w:cs="Times New Roman"/>
          <w:i/>
          <w:iCs/>
          <w:sz w:val="28"/>
          <w:szCs w:val="28"/>
        </w:rPr>
        <w:t>en el escrito de correcció</w:t>
      </w:r>
      <w:r w:rsidRPr="00DB3EEA">
        <w:rPr>
          <w:rFonts w:ascii="Times New Roman" w:hAnsi="Times New Roman" w:cs="Times New Roman"/>
          <w:i/>
          <w:iCs/>
          <w:sz w:val="28"/>
          <w:szCs w:val="28"/>
        </w:rPr>
        <w:t xml:space="preserve">n, en relación con la justificación del desconocimiento del derecho a la igualdad y equidad tributaria, los demandantes modifican los grupos de comparación, y ahora presentan en su demanda, un juicio relacional entre productos nacionales e importados, así </w:t>
      </w:r>
      <w:r w:rsidRPr="00DB3EEA">
        <w:rPr>
          <w:rFonts w:ascii="Times New Roman" w:hAnsi="Times New Roman" w:cs="Times New Roman"/>
          <w:i/>
          <w:iCs/>
          <w:sz w:val="28"/>
          <w:szCs w:val="28"/>
        </w:rPr>
        <w:t>como de productores y proveedores</w:t>
      </w:r>
      <w:r w:rsidRPr="00DB3EEA">
        <w:rPr>
          <w:rFonts w:ascii="Times New Roman" w:hAnsi="Times New Roman" w:cs="Times New Roman"/>
          <w:sz w:val="28"/>
          <w:szCs w:val="28"/>
        </w:rPr>
        <w:t>”</w:t>
      </w:r>
      <w:r w:rsidRPr="00DB3EEA">
        <w:rPr>
          <w:rStyle w:val="Refdenotaalpie"/>
          <w:rFonts w:ascii="Times New Roman" w:hAnsi="Times New Roman" w:cs="Times New Roman"/>
          <w:sz w:val="28"/>
          <w:szCs w:val="28"/>
        </w:rPr>
        <w:footnoteReference w:id="13"/>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w:t>
      </w:r>
    </w:p>
    <w:p w:rsidR="002B7652" w:rsidRPr="00DB3EEA" w:rsidRDefault="00DB3EEA" w:rsidP="00376DDD">
      <w:pPr>
        <w:pStyle w:val="Prrafodelista"/>
        <w:tabs>
          <w:tab w:val="left" w:pos="284"/>
        </w:tabs>
        <w:ind w:left="0" w:right="51"/>
        <w:jc w:val="both"/>
        <w:rPr>
          <w:rFonts w:ascii="Times New Roman" w:hAnsi="Times New Roman" w:cs="Times New Roman"/>
          <w:sz w:val="28"/>
          <w:szCs w:val="28"/>
        </w:rPr>
      </w:pPr>
    </w:p>
    <w:p w:rsidR="002B7652"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Para los demandantes, en cualquiera de los casos</w:t>
      </w:r>
      <w:r w:rsidRPr="00DB3EEA">
        <w:rPr>
          <w:rFonts w:ascii="Times New Roman" w:hAnsi="Times New Roman" w:cs="Times New Roman"/>
          <w:sz w:val="28"/>
          <w:szCs w:val="28"/>
        </w:rPr>
        <w:t xml:space="preserve"> de comparación</w:t>
      </w:r>
      <w:r w:rsidRPr="00DB3EEA">
        <w:rPr>
          <w:rFonts w:ascii="Times New Roman" w:hAnsi="Times New Roman" w:cs="Times New Roman"/>
          <w:sz w:val="28"/>
          <w:szCs w:val="28"/>
        </w:rPr>
        <w:t xml:space="preserve"> los grupos se encuentran en una situación jurídica y fáctica equivalente y, sin embargo, reciben un trato desigual. No obstante, la norma otorga a cualqu</w:t>
      </w:r>
      <w:r w:rsidRPr="00DB3EEA">
        <w:rPr>
          <w:rFonts w:ascii="Times New Roman" w:hAnsi="Times New Roman" w:cs="Times New Roman"/>
          <w:sz w:val="28"/>
          <w:szCs w:val="28"/>
        </w:rPr>
        <w:t>iera de los grupos un trato diferenciado e injustificado frente a los fines constitucionales, al incluir el IVA en la base gravable del impuesto saludable aplicable a los productos de origen extranjero o producidos en zonas francas, lo que genera una mayor</w:t>
      </w:r>
      <w:r w:rsidRPr="00DB3EEA">
        <w:rPr>
          <w:rFonts w:ascii="Times New Roman" w:hAnsi="Times New Roman" w:cs="Times New Roman"/>
          <w:sz w:val="28"/>
          <w:szCs w:val="28"/>
        </w:rPr>
        <w:t xml:space="preserve"> carga tributaria.</w:t>
      </w:r>
    </w:p>
    <w:p w:rsidR="002B7652" w:rsidRPr="00DB3EEA" w:rsidRDefault="00DB3EEA" w:rsidP="00376DDD">
      <w:pPr>
        <w:pStyle w:val="Prrafodelista"/>
        <w:tabs>
          <w:tab w:val="left" w:pos="284"/>
        </w:tabs>
        <w:ind w:left="0" w:right="51"/>
        <w:jc w:val="both"/>
        <w:rPr>
          <w:rFonts w:ascii="Times New Roman" w:hAnsi="Times New Roman" w:cs="Times New Roman"/>
          <w:sz w:val="28"/>
          <w:szCs w:val="28"/>
        </w:rPr>
      </w:pPr>
    </w:p>
    <w:p w:rsidR="002B7652"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Los demandantes sostienen que la diferenciación establecida carece de razonabilidad, pues ni en la redacción de la norma ni en sus antecedentes legislativos se encuentra una justificación constitucional que sustente el trato diferencial</w:t>
      </w:r>
      <w:r w:rsidRPr="00DB3EEA">
        <w:rPr>
          <w:rFonts w:ascii="Times New Roman" w:hAnsi="Times New Roman" w:cs="Times New Roman"/>
          <w:sz w:val="28"/>
          <w:szCs w:val="28"/>
        </w:rPr>
        <w:t xml:space="preserve"> sobre la base gravable. Afirman que en ninguna de las Gacetas del Congreso que registran el trámite legislativo “se ha encontrado la justificación para la distinción”</w:t>
      </w:r>
      <w:r w:rsidRPr="00DB3EEA">
        <w:rPr>
          <w:rStyle w:val="Refdenotaalpie"/>
          <w:rFonts w:ascii="Times New Roman" w:hAnsi="Times New Roman" w:cs="Times New Roman"/>
          <w:sz w:val="28"/>
          <w:szCs w:val="28"/>
        </w:rPr>
        <w:footnoteReference w:id="14"/>
      </w:r>
      <w:r w:rsidRPr="00DB3EEA">
        <w:rPr>
          <w:rFonts w:ascii="Times New Roman" w:hAnsi="Times New Roman" w:cs="Times New Roman"/>
          <w:sz w:val="28"/>
          <w:szCs w:val="28"/>
        </w:rPr>
        <w:t>.</w:t>
      </w:r>
    </w:p>
    <w:p w:rsidR="002B7652" w:rsidRPr="00DB3EEA" w:rsidRDefault="00DB3EEA" w:rsidP="00376DDD">
      <w:pPr>
        <w:pStyle w:val="Prrafodelista"/>
        <w:tabs>
          <w:tab w:val="left" w:pos="284"/>
        </w:tabs>
        <w:ind w:left="0" w:right="51"/>
        <w:jc w:val="both"/>
        <w:rPr>
          <w:rFonts w:ascii="Times New Roman" w:hAnsi="Times New Roman" w:cs="Times New Roman"/>
          <w:sz w:val="28"/>
          <w:szCs w:val="28"/>
        </w:rPr>
      </w:pPr>
    </w:p>
    <w:p w:rsidR="002B7652"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Aduce</w:t>
      </w:r>
      <w:r w:rsidRPr="00DB3EEA">
        <w:rPr>
          <w:rFonts w:ascii="Times New Roman" w:hAnsi="Times New Roman" w:cs="Times New Roman"/>
          <w:sz w:val="28"/>
          <w:szCs w:val="28"/>
        </w:rPr>
        <w:t>n que, ante la ausencia de argumentación sobre una finalidad constitucional reco</w:t>
      </w:r>
      <w:r w:rsidRPr="00DB3EEA">
        <w:rPr>
          <w:rFonts w:ascii="Times New Roman" w:hAnsi="Times New Roman" w:cs="Times New Roman"/>
          <w:sz w:val="28"/>
          <w:szCs w:val="28"/>
        </w:rPr>
        <w:t xml:space="preserve">nocible, el análisis del impuesto solo puede efectuarse a la luz del propósito general del impuesto saludable. Al respecto, afirman que </w:t>
      </w:r>
      <w:r w:rsidRPr="00DB3EEA">
        <w:rPr>
          <w:rFonts w:ascii="Times New Roman" w:hAnsi="Times New Roman" w:cs="Times New Roman"/>
          <w:i/>
          <w:iCs/>
          <w:sz w:val="28"/>
          <w:szCs w:val="28"/>
        </w:rPr>
        <w:t>“como el impuesto a los productos ultraprocesados busca proteger la salud al desincentivar el consumo de estos productos</w:t>
      </w:r>
      <w:r w:rsidRPr="00DB3EEA">
        <w:rPr>
          <w:rFonts w:ascii="Times New Roman" w:hAnsi="Times New Roman" w:cs="Times New Roman"/>
          <w:i/>
          <w:iCs/>
          <w:sz w:val="28"/>
          <w:szCs w:val="28"/>
        </w:rPr>
        <w:t>, lógicamente todos los elementos de este impuesto, incluida la definición de la base gravable y las distinciones que se adopten al definirla, también tendrían que perseguir esa finalidad</w:t>
      </w:r>
      <w:r w:rsidRPr="00DB3EEA">
        <w:rPr>
          <w:rFonts w:ascii="Times New Roman" w:hAnsi="Times New Roman" w:cs="Times New Roman"/>
          <w:sz w:val="28"/>
          <w:szCs w:val="28"/>
        </w:rPr>
        <w:t>”</w:t>
      </w:r>
      <w:r w:rsidRPr="00DB3EEA">
        <w:rPr>
          <w:rStyle w:val="Refdenotaalpie"/>
          <w:rFonts w:ascii="Times New Roman" w:hAnsi="Times New Roman" w:cs="Times New Roman"/>
          <w:sz w:val="28"/>
          <w:szCs w:val="28"/>
        </w:rPr>
        <w:footnoteReference w:id="15"/>
      </w:r>
      <w:r w:rsidRPr="00DB3EEA">
        <w:rPr>
          <w:rFonts w:ascii="Times New Roman" w:hAnsi="Times New Roman" w:cs="Times New Roman"/>
          <w:sz w:val="28"/>
          <w:szCs w:val="28"/>
        </w:rPr>
        <w:t>.</w:t>
      </w:r>
    </w:p>
    <w:p w:rsidR="002B7652" w:rsidRPr="00DB3EEA" w:rsidRDefault="00DB3EEA" w:rsidP="00376DDD">
      <w:pPr>
        <w:pStyle w:val="Prrafodelista"/>
        <w:tabs>
          <w:tab w:val="left" w:pos="284"/>
        </w:tabs>
        <w:ind w:left="0" w:right="51"/>
        <w:jc w:val="both"/>
        <w:rPr>
          <w:rFonts w:ascii="Times New Roman" w:hAnsi="Times New Roman" w:cs="Times New Roman"/>
          <w:sz w:val="28"/>
          <w:szCs w:val="28"/>
        </w:rPr>
      </w:pPr>
    </w:p>
    <w:p w:rsidR="002B7652"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En consecuencia, argumentan que, para garantizar un tratamiento igualitario, los productos solo deben compartir los elementos esenciales que originan el impuesto, pues el origen de los bienes no constituye </w:t>
      </w:r>
      <w:r w:rsidRPr="00DB3EEA">
        <w:rPr>
          <w:rFonts w:ascii="Times New Roman" w:hAnsi="Times New Roman" w:cs="Times New Roman"/>
          <w:sz w:val="28"/>
          <w:szCs w:val="28"/>
        </w:rPr>
        <w:t>“</w:t>
      </w:r>
      <w:r w:rsidRPr="00DB3EEA">
        <w:rPr>
          <w:rFonts w:ascii="Times New Roman" w:hAnsi="Times New Roman" w:cs="Times New Roman"/>
          <w:i/>
          <w:iCs/>
          <w:sz w:val="28"/>
          <w:szCs w:val="28"/>
        </w:rPr>
        <w:t>una característica relevante a la luz de las fina</w:t>
      </w:r>
      <w:r w:rsidRPr="00DB3EEA">
        <w:rPr>
          <w:rFonts w:ascii="Times New Roman" w:hAnsi="Times New Roman" w:cs="Times New Roman"/>
          <w:i/>
          <w:iCs/>
          <w:sz w:val="28"/>
          <w:szCs w:val="28"/>
        </w:rPr>
        <w:t>lidades del impuesto saludable</w:t>
      </w:r>
      <w:r w:rsidRPr="00DB3EEA">
        <w:rPr>
          <w:rFonts w:ascii="Times New Roman" w:hAnsi="Times New Roman" w:cs="Times New Roman"/>
          <w:sz w:val="28"/>
          <w:szCs w:val="28"/>
        </w:rPr>
        <w:t>”</w:t>
      </w:r>
      <w:r w:rsidRPr="00DB3EEA">
        <w:rPr>
          <w:rStyle w:val="Refdenotaalpie"/>
          <w:rFonts w:ascii="Times New Roman" w:hAnsi="Times New Roman" w:cs="Times New Roman"/>
          <w:sz w:val="28"/>
          <w:szCs w:val="28"/>
        </w:rPr>
        <w:footnoteReference w:id="16"/>
      </w:r>
      <w:r w:rsidRPr="00DB3EEA">
        <w:rPr>
          <w:rFonts w:ascii="Times New Roman" w:hAnsi="Times New Roman" w:cs="Times New Roman"/>
          <w:sz w:val="28"/>
          <w:szCs w:val="28"/>
        </w:rPr>
        <w:t>. Dichos elementos son su contenido, su forma de preparación y su incidencia negativa en la salud. Al observar que, frente a cualquiera de los grupos, se comparten esas características, concluyen que “</w:t>
      </w:r>
      <w:r w:rsidRPr="00DB3EEA">
        <w:rPr>
          <w:rFonts w:ascii="Times New Roman" w:hAnsi="Times New Roman" w:cs="Times New Roman"/>
          <w:i/>
          <w:iCs/>
          <w:sz w:val="28"/>
          <w:szCs w:val="28"/>
        </w:rPr>
        <w:t>la diferenciación entre</w:t>
      </w:r>
      <w:r w:rsidRPr="00DB3EEA">
        <w:rPr>
          <w:rFonts w:ascii="Times New Roman" w:hAnsi="Times New Roman" w:cs="Times New Roman"/>
          <w:i/>
          <w:iCs/>
          <w:sz w:val="28"/>
          <w:szCs w:val="28"/>
        </w:rPr>
        <w:t xml:space="preserve"> productos nacionales e importados [o producidos en zonas francas], para efectos de la determinación de la base gravable, no tiene ninguna relación racional entre medios y fines, a la luz de la finalidad de protección de la salud pública. De hecho, al esti</w:t>
      </w:r>
      <w:r w:rsidRPr="00DB3EEA">
        <w:rPr>
          <w:rFonts w:ascii="Times New Roman" w:hAnsi="Times New Roman" w:cs="Times New Roman"/>
          <w:i/>
          <w:iCs/>
          <w:sz w:val="28"/>
          <w:szCs w:val="28"/>
        </w:rPr>
        <w:t>mular el consumo de productos ultraprocesados nacionales, resulta contraproducente frente al propósito perseguido por la norma</w:t>
      </w:r>
      <w:r w:rsidRPr="00DB3EEA">
        <w:rPr>
          <w:rFonts w:ascii="Times New Roman" w:hAnsi="Times New Roman" w:cs="Times New Roman"/>
          <w:sz w:val="28"/>
          <w:szCs w:val="28"/>
        </w:rPr>
        <w:t>”</w:t>
      </w:r>
      <w:r w:rsidRPr="00DB3EEA">
        <w:rPr>
          <w:rStyle w:val="Refdenotaalpie"/>
          <w:rFonts w:ascii="Times New Roman" w:hAnsi="Times New Roman" w:cs="Times New Roman"/>
          <w:sz w:val="28"/>
          <w:szCs w:val="28"/>
        </w:rPr>
        <w:footnoteReference w:id="17"/>
      </w:r>
      <w:r w:rsidRPr="00DB3EEA">
        <w:rPr>
          <w:rFonts w:ascii="Times New Roman" w:hAnsi="Times New Roman" w:cs="Times New Roman"/>
          <w:sz w:val="28"/>
          <w:szCs w:val="28"/>
        </w:rPr>
        <w:t>.</w:t>
      </w:r>
    </w:p>
    <w:p w:rsidR="002B7652" w:rsidRPr="00DB3EEA" w:rsidRDefault="00DB3EEA" w:rsidP="00376DDD">
      <w:pPr>
        <w:pStyle w:val="Prrafodelista"/>
        <w:tabs>
          <w:tab w:val="left" w:pos="284"/>
        </w:tabs>
        <w:ind w:left="0" w:right="51"/>
        <w:jc w:val="both"/>
        <w:rPr>
          <w:rFonts w:ascii="Times New Roman" w:hAnsi="Times New Roman" w:cs="Times New Roman"/>
          <w:sz w:val="28"/>
          <w:szCs w:val="28"/>
        </w:rPr>
      </w:pPr>
    </w:p>
    <w:p w:rsidR="002B7652"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Por lo anterior, afirman que, incluso si la Sala considerara inadecuada la alusión a la finalidad del impuesto saludable, la </w:t>
      </w:r>
      <w:r w:rsidRPr="00DB3EEA">
        <w:rPr>
          <w:rFonts w:ascii="Times New Roman" w:hAnsi="Times New Roman" w:cs="Times New Roman"/>
          <w:sz w:val="28"/>
          <w:szCs w:val="28"/>
        </w:rPr>
        <w:t>ausencia de justificación frente a la diferenciación aplicada sería motivo suficiente para concluir su inconstitucionalidad</w:t>
      </w:r>
      <w:r w:rsidRPr="00DB3EEA">
        <w:rPr>
          <w:rStyle w:val="Refdenotaalpie"/>
          <w:rFonts w:ascii="Times New Roman" w:hAnsi="Times New Roman" w:cs="Times New Roman"/>
          <w:sz w:val="28"/>
          <w:szCs w:val="28"/>
        </w:rPr>
        <w:footnoteReference w:id="18"/>
      </w:r>
      <w:r w:rsidRPr="00DB3EEA">
        <w:rPr>
          <w:rFonts w:ascii="Times New Roman" w:hAnsi="Times New Roman" w:cs="Times New Roman"/>
          <w:sz w:val="28"/>
          <w:szCs w:val="28"/>
        </w:rPr>
        <w:t>.</w:t>
      </w:r>
    </w:p>
    <w:p w:rsidR="002B7652" w:rsidRPr="00DB3EEA" w:rsidRDefault="00DB3EEA" w:rsidP="00376DDD">
      <w:pPr>
        <w:pStyle w:val="Prrafodelista"/>
        <w:jc w:val="both"/>
        <w:rPr>
          <w:rFonts w:ascii="Times New Roman" w:hAnsi="Times New Roman" w:cs="Times New Roman"/>
          <w:i/>
          <w:iCs/>
          <w:sz w:val="28"/>
          <w:szCs w:val="28"/>
        </w:rPr>
      </w:pPr>
    </w:p>
    <w:p w:rsidR="002B7652"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i/>
          <w:iCs/>
          <w:sz w:val="28"/>
          <w:szCs w:val="28"/>
        </w:rPr>
        <w:t xml:space="preserve">Presunta violación del principio de equidad horizontal tributaria: </w:t>
      </w:r>
      <w:r w:rsidRPr="00DB3EEA">
        <w:rPr>
          <w:rFonts w:ascii="Times New Roman" w:hAnsi="Times New Roman" w:cs="Times New Roman"/>
          <w:sz w:val="28"/>
          <w:szCs w:val="28"/>
        </w:rPr>
        <w:t>Los demandantes sostienen que el principio de equidad tributar</w:t>
      </w:r>
      <w:r w:rsidRPr="00DB3EEA">
        <w:rPr>
          <w:rFonts w:ascii="Times New Roman" w:hAnsi="Times New Roman" w:cs="Times New Roman"/>
          <w:sz w:val="28"/>
          <w:szCs w:val="28"/>
        </w:rPr>
        <w:t>ia, previsto en los artículos 95.5 y 363 de la Constitución Política, constituye una expresión concreta del principio de igualdad. Señalan que, conforme a la jurisprudencia constitucional, este principio se desconoce</w:t>
      </w:r>
      <w:r w:rsidRPr="00DB3EEA">
        <w:rPr>
          <w:rFonts w:ascii="Times New Roman" w:hAnsi="Times New Roman" w:cs="Times New Roman"/>
          <w:sz w:val="28"/>
          <w:szCs w:val="28"/>
        </w:rPr>
        <w:t>, entre otras circunstancias,</w:t>
      </w:r>
      <w:r w:rsidRPr="00DB3EEA">
        <w:rPr>
          <w:rFonts w:ascii="Times New Roman" w:hAnsi="Times New Roman" w:cs="Times New Roman"/>
          <w:sz w:val="28"/>
          <w:szCs w:val="28"/>
        </w:rPr>
        <w:t xml:space="preserve"> “</w:t>
      </w:r>
      <w:r w:rsidRPr="00DB3EEA">
        <w:rPr>
          <w:rFonts w:ascii="Times New Roman" w:hAnsi="Times New Roman" w:cs="Times New Roman"/>
          <w:i/>
          <w:iCs/>
          <w:sz w:val="28"/>
          <w:szCs w:val="28"/>
        </w:rPr>
        <w:t>cuando el</w:t>
      </w:r>
      <w:r w:rsidRPr="00DB3EEA">
        <w:rPr>
          <w:rFonts w:ascii="Times New Roman" w:hAnsi="Times New Roman" w:cs="Times New Roman"/>
          <w:i/>
          <w:iCs/>
          <w:sz w:val="28"/>
          <w:szCs w:val="28"/>
        </w:rPr>
        <w:t xml:space="preserve"> monto a pagar por un tributo se define sin atender la capacidad de pago del contribuyente</w:t>
      </w:r>
      <w:r w:rsidRPr="00DB3EEA">
        <w:rPr>
          <w:rFonts w:ascii="Times New Roman" w:hAnsi="Times New Roman" w:cs="Times New Roman"/>
          <w:i/>
          <w:iCs/>
          <w:sz w:val="28"/>
          <w:szCs w:val="28"/>
        </w:rPr>
        <w:t xml:space="preserve"> [o] (…)</w:t>
      </w:r>
      <w:r w:rsidRPr="00DB3EEA">
        <w:rPr>
          <w:rFonts w:ascii="Times New Roman" w:hAnsi="Times New Roman" w:cs="Times New Roman"/>
          <w:i/>
          <w:iCs/>
          <w:sz w:val="28"/>
          <w:szCs w:val="28"/>
        </w:rPr>
        <w:t xml:space="preserve"> cuando la regulación grava de manera disímil a sujetos o situaciones jurídicas análogas, sin que exista una justificación constitucionalmente atendible para </w:t>
      </w:r>
      <w:r w:rsidRPr="00DB3EEA">
        <w:rPr>
          <w:rFonts w:ascii="Times New Roman" w:hAnsi="Times New Roman" w:cs="Times New Roman"/>
          <w:i/>
          <w:iCs/>
          <w:sz w:val="28"/>
          <w:szCs w:val="28"/>
        </w:rPr>
        <w:t>ello</w:t>
      </w:r>
      <w:r w:rsidRPr="00DB3EEA">
        <w:rPr>
          <w:rFonts w:ascii="Times New Roman" w:hAnsi="Times New Roman" w:cs="Times New Roman"/>
          <w:sz w:val="28"/>
          <w:szCs w:val="28"/>
        </w:rPr>
        <w:t>”</w:t>
      </w:r>
      <w:r w:rsidRPr="00DB3EEA">
        <w:rPr>
          <w:rStyle w:val="Refdenotaalpie"/>
          <w:rFonts w:ascii="Times New Roman" w:hAnsi="Times New Roman" w:cs="Times New Roman"/>
          <w:sz w:val="28"/>
          <w:szCs w:val="28"/>
        </w:rPr>
        <w:footnoteReference w:id="19"/>
      </w:r>
      <w:r w:rsidRPr="00DB3EEA">
        <w:rPr>
          <w:rFonts w:ascii="Times New Roman" w:hAnsi="Times New Roman" w:cs="Times New Roman"/>
          <w:sz w:val="28"/>
          <w:szCs w:val="28"/>
        </w:rPr>
        <w:t>.</w:t>
      </w:r>
    </w:p>
    <w:p w:rsidR="002B7652" w:rsidRPr="00DB3EEA" w:rsidRDefault="00DB3EEA" w:rsidP="00376DDD">
      <w:pPr>
        <w:pStyle w:val="Prrafodelista"/>
        <w:jc w:val="both"/>
        <w:rPr>
          <w:rFonts w:ascii="Times New Roman" w:hAnsi="Times New Roman" w:cs="Times New Roman"/>
          <w:sz w:val="28"/>
          <w:szCs w:val="28"/>
        </w:rPr>
      </w:pPr>
    </w:p>
    <w:p w:rsidR="002B7652"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En relación con lo anterior, afirman que los incisos demandados se definen sin atender la capacidad de pago de los contribuyentes, pues los consumidores “deben pagar tarifas distintas, sobre bases gravables distintas, respecto del mismo producto, </w:t>
      </w:r>
      <w:r w:rsidRPr="00DB3EEA">
        <w:rPr>
          <w:rFonts w:ascii="Times New Roman" w:hAnsi="Times New Roman" w:cs="Times New Roman"/>
          <w:sz w:val="28"/>
          <w:szCs w:val="28"/>
        </w:rPr>
        <w:t>con la única diferencia de que este es nacional o importado”</w:t>
      </w:r>
      <w:r w:rsidRPr="00DB3EEA">
        <w:rPr>
          <w:rStyle w:val="Refdenotaalpie"/>
          <w:rFonts w:ascii="Times New Roman" w:hAnsi="Times New Roman" w:cs="Times New Roman"/>
          <w:sz w:val="28"/>
          <w:szCs w:val="28"/>
        </w:rPr>
        <w:footnoteReference w:id="20"/>
      </w:r>
      <w:r w:rsidRPr="00DB3EEA">
        <w:rPr>
          <w:rFonts w:ascii="Times New Roman" w:hAnsi="Times New Roman" w:cs="Times New Roman"/>
          <w:sz w:val="28"/>
          <w:szCs w:val="28"/>
        </w:rPr>
        <w:t>. A su juicio, la diferenciación “no consulta la capacidad de pago, sino el carácter nacional o importado de los respectivos productos”</w:t>
      </w:r>
      <w:r w:rsidRPr="00DB3EEA">
        <w:rPr>
          <w:rStyle w:val="Refdenotaalpie"/>
          <w:rFonts w:ascii="Times New Roman" w:hAnsi="Times New Roman" w:cs="Times New Roman"/>
          <w:sz w:val="28"/>
          <w:szCs w:val="28"/>
        </w:rPr>
        <w:footnoteReference w:id="21"/>
      </w:r>
      <w:r w:rsidRPr="00DB3EEA">
        <w:rPr>
          <w:rFonts w:ascii="Times New Roman" w:hAnsi="Times New Roman" w:cs="Times New Roman"/>
          <w:sz w:val="28"/>
          <w:szCs w:val="28"/>
        </w:rPr>
        <w:t>. Asimismo, sostienen que, en concordancia con el primer ca</w:t>
      </w:r>
      <w:r w:rsidRPr="00DB3EEA">
        <w:rPr>
          <w:rFonts w:ascii="Times New Roman" w:hAnsi="Times New Roman" w:cs="Times New Roman"/>
          <w:sz w:val="28"/>
          <w:szCs w:val="28"/>
        </w:rPr>
        <w:t>rgo sobre igualdad, la norma grava de forma disímil a sujetos y situaciones análogas sin una justificación constitucionalmente válida.</w:t>
      </w:r>
    </w:p>
    <w:p w:rsidR="00863187" w:rsidRPr="00DB3EEA" w:rsidRDefault="00DB3EEA" w:rsidP="00376DDD">
      <w:pPr>
        <w:pStyle w:val="Prrafodelista"/>
        <w:jc w:val="both"/>
        <w:rPr>
          <w:rFonts w:ascii="Times New Roman" w:hAnsi="Times New Roman" w:cs="Times New Roman"/>
          <w:sz w:val="28"/>
          <w:szCs w:val="28"/>
        </w:rPr>
      </w:pPr>
    </w:p>
    <w:p w:rsidR="00863187"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Para profundizar en su planteamiento, </w:t>
      </w:r>
      <w:r w:rsidRPr="00DB3EEA">
        <w:rPr>
          <w:rFonts w:ascii="Times New Roman" w:hAnsi="Times New Roman" w:cs="Times New Roman"/>
          <w:sz w:val="28"/>
          <w:szCs w:val="28"/>
        </w:rPr>
        <w:t>argumentan</w:t>
      </w:r>
      <w:r w:rsidRPr="00DB3EEA">
        <w:rPr>
          <w:rFonts w:ascii="Times New Roman" w:hAnsi="Times New Roman" w:cs="Times New Roman"/>
          <w:sz w:val="28"/>
          <w:szCs w:val="28"/>
        </w:rPr>
        <w:t xml:space="preserve"> que el sujeto pasivo del impuesto a los productos ultraprocesados</w:t>
      </w:r>
      <w:r w:rsidRPr="00DB3EEA">
        <w:rPr>
          <w:rFonts w:ascii="Times New Roman" w:hAnsi="Times New Roman" w:cs="Times New Roman"/>
          <w:sz w:val="28"/>
          <w:szCs w:val="28"/>
        </w:rPr>
        <w:t xml:space="preserve"> es el consumidor, en tanto es quien paga, al momento de adquirir los bienes, tanto el precio de venta como los impuestos adicionados. En ese sentido, consideran que el impuesto acusado “no tiene en cuenta la capacidad de pago de los consumidores, porque l</w:t>
      </w:r>
      <w:r w:rsidRPr="00DB3EEA">
        <w:rPr>
          <w:rFonts w:ascii="Times New Roman" w:hAnsi="Times New Roman" w:cs="Times New Roman"/>
          <w:sz w:val="28"/>
          <w:szCs w:val="28"/>
        </w:rPr>
        <w:t>os dos grupos de consumidores son similares, no solo en su hábito de consumo (consumen productos ultraprocesados), sino en su capacidad de pago”</w:t>
      </w:r>
      <w:r w:rsidRPr="00DB3EEA">
        <w:rPr>
          <w:rStyle w:val="Refdenotaalpie"/>
          <w:rFonts w:ascii="Times New Roman" w:hAnsi="Times New Roman" w:cs="Times New Roman"/>
          <w:sz w:val="28"/>
          <w:szCs w:val="28"/>
        </w:rPr>
        <w:footnoteReference w:id="22"/>
      </w:r>
      <w:r w:rsidRPr="00DB3EEA">
        <w:rPr>
          <w:rFonts w:ascii="Times New Roman" w:hAnsi="Times New Roman" w:cs="Times New Roman"/>
          <w:sz w:val="28"/>
          <w:szCs w:val="28"/>
        </w:rPr>
        <w:t>. Con base en ello, concluyen que resulta contrario al principio de equidad tributaria establecer una diferenci</w:t>
      </w:r>
      <w:r w:rsidRPr="00DB3EEA">
        <w:rPr>
          <w:rFonts w:ascii="Times New Roman" w:hAnsi="Times New Roman" w:cs="Times New Roman"/>
          <w:sz w:val="28"/>
          <w:szCs w:val="28"/>
        </w:rPr>
        <w:t>a en la base gravable que afecte de manera más gravosa a un grupo de consumidores. Añaden que esta consideración también es predicable respecto de los productores, pues “un importador no tiene, per se, una mayor capacidad de pago que un productor nacional”</w:t>
      </w:r>
      <w:r w:rsidRPr="00DB3EEA">
        <w:rPr>
          <w:rStyle w:val="Refdenotaalpie"/>
          <w:rFonts w:ascii="Times New Roman" w:hAnsi="Times New Roman" w:cs="Times New Roman"/>
          <w:sz w:val="28"/>
          <w:szCs w:val="28"/>
        </w:rPr>
        <w:footnoteReference w:id="23"/>
      </w:r>
      <w:r w:rsidRPr="00DB3EEA">
        <w:rPr>
          <w:rFonts w:ascii="Times New Roman" w:hAnsi="Times New Roman" w:cs="Times New Roman"/>
          <w:sz w:val="28"/>
          <w:szCs w:val="28"/>
        </w:rPr>
        <w:t>, lo que implica que la norma vulnera el principio de equidad tributaria frente a ambos.</w:t>
      </w:r>
    </w:p>
    <w:p w:rsidR="00863187" w:rsidRPr="00DB3EEA" w:rsidRDefault="00DB3EEA" w:rsidP="00376DDD">
      <w:pPr>
        <w:jc w:val="both"/>
        <w:rPr>
          <w:rFonts w:ascii="Times New Roman" w:hAnsi="Times New Roman" w:cs="Times New Roman"/>
          <w:sz w:val="28"/>
          <w:szCs w:val="28"/>
        </w:rPr>
      </w:pPr>
    </w:p>
    <w:p w:rsidR="00863187"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Ad</w:t>
      </w:r>
      <w:r w:rsidRPr="00DB3EEA">
        <w:rPr>
          <w:rFonts w:ascii="Times New Roman" w:hAnsi="Times New Roman" w:cs="Times New Roman"/>
          <w:sz w:val="28"/>
          <w:szCs w:val="28"/>
        </w:rPr>
        <w:t>icionalmente, insisten en que la vulneración del principio resulta evidente “no solamente porque la base gravable es disímil, sino porque, tras una revisión exhaus</w:t>
      </w:r>
      <w:r w:rsidRPr="00DB3EEA">
        <w:rPr>
          <w:rFonts w:ascii="Times New Roman" w:hAnsi="Times New Roman" w:cs="Times New Roman"/>
          <w:sz w:val="28"/>
          <w:szCs w:val="28"/>
        </w:rPr>
        <w:t>tiva de los antecedentes legislativos, no se encuentra que concurra una justificación constitucionalmente atendible para ello”</w:t>
      </w:r>
      <w:r w:rsidRPr="00DB3EEA">
        <w:rPr>
          <w:rStyle w:val="Refdenotaalpie"/>
          <w:rFonts w:ascii="Times New Roman" w:hAnsi="Times New Roman" w:cs="Times New Roman"/>
          <w:sz w:val="28"/>
          <w:szCs w:val="28"/>
        </w:rPr>
        <w:footnoteReference w:id="24"/>
      </w:r>
      <w:r w:rsidRPr="00DB3EEA">
        <w:rPr>
          <w:rFonts w:ascii="Times New Roman" w:hAnsi="Times New Roman" w:cs="Times New Roman"/>
          <w:sz w:val="28"/>
          <w:szCs w:val="28"/>
        </w:rPr>
        <w:t>.</w:t>
      </w:r>
    </w:p>
    <w:p w:rsidR="00863187" w:rsidRPr="00DB3EEA" w:rsidRDefault="00DB3EEA" w:rsidP="00376DDD">
      <w:pPr>
        <w:pStyle w:val="Prrafodelista"/>
        <w:jc w:val="both"/>
        <w:rPr>
          <w:rFonts w:ascii="Times New Roman" w:hAnsi="Times New Roman" w:cs="Times New Roman"/>
          <w:sz w:val="28"/>
          <w:szCs w:val="28"/>
        </w:rPr>
      </w:pPr>
    </w:p>
    <w:p w:rsidR="00863187"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En consecuencia, sostienen que no es posible considerar que la diferenciación observada se encuentre amparada por el amplio ma</w:t>
      </w:r>
      <w:r w:rsidRPr="00DB3EEA">
        <w:rPr>
          <w:rFonts w:ascii="Times New Roman" w:hAnsi="Times New Roman" w:cs="Times New Roman"/>
          <w:sz w:val="28"/>
          <w:szCs w:val="28"/>
        </w:rPr>
        <w:t>rgen de configuración legislativa en materia tributaria, pues dicho margen “debe respetar los derechos fundamentales de los contribuyentes, así como los principios del sistema tributario, a saber, la legalidad, equidad, eficiencia y progresividad de las le</w:t>
      </w:r>
      <w:r w:rsidRPr="00DB3EEA">
        <w:rPr>
          <w:rFonts w:ascii="Times New Roman" w:hAnsi="Times New Roman" w:cs="Times New Roman"/>
          <w:sz w:val="28"/>
          <w:szCs w:val="28"/>
        </w:rPr>
        <w:t>yes tributarias”</w:t>
      </w:r>
      <w:r w:rsidRPr="00DB3EEA">
        <w:rPr>
          <w:rStyle w:val="Refdenotaalpie"/>
          <w:rFonts w:ascii="Times New Roman" w:hAnsi="Times New Roman" w:cs="Times New Roman"/>
          <w:sz w:val="28"/>
          <w:szCs w:val="28"/>
        </w:rPr>
        <w:footnoteReference w:id="25"/>
      </w:r>
      <w:r w:rsidRPr="00DB3EEA">
        <w:rPr>
          <w:rFonts w:ascii="Times New Roman" w:hAnsi="Times New Roman" w:cs="Times New Roman"/>
          <w:sz w:val="28"/>
          <w:szCs w:val="28"/>
        </w:rPr>
        <w:t>.</w:t>
      </w:r>
    </w:p>
    <w:p w:rsidR="00752000" w:rsidRPr="00DB3EEA" w:rsidRDefault="00DB3EEA" w:rsidP="00376DDD">
      <w:pPr>
        <w:pStyle w:val="Prrafodelista"/>
        <w:jc w:val="both"/>
        <w:rPr>
          <w:rFonts w:ascii="Times New Roman" w:hAnsi="Times New Roman" w:cs="Times New Roman"/>
          <w:sz w:val="28"/>
          <w:szCs w:val="28"/>
        </w:rPr>
      </w:pPr>
    </w:p>
    <w:p w:rsidR="00752000"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i/>
          <w:iCs/>
          <w:sz w:val="28"/>
          <w:szCs w:val="28"/>
        </w:rPr>
        <w:t xml:space="preserve">Presunta vulneración a la libre competencia económica: </w:t>
      </w:r>
      <w:r w:rsidRPr="00DB3EEA">
        <w:rPr>
          <w:rFonts w:ascii="Times New Roman" w:hAnsi="Times New Roman" w:cs="Times New Roman"/>
          <w:sz w:val="28"/>
          <w:szCs w:val="28"/>
        </w:rPr>
        <w:t>Según la demanda, “la norma demandada restringe la libre competencia económica, al imponer a los consumidores de los productos ultraprocesados importados, una base gravable mayor y,</w:t>
      </w:r>
      <w:r w:rsidRPr="00DB3EEA">
        <w:rPr>
          <w:rFonts w:ascii="Times New Roman" w:hAnsi="Times New Roman" w:cs="Times New Roman"/>
          <w:sz w:val="28"/>
          <w:szCs w:val="28"/>
        </w:rPr>
        <w:t xml:space="preserve"> por lo tanto, una tarifa más alta que a los consumidores de los productos ultraprocesados nacionales”</w:t>
      </w:r>
      <w:r w:rsidRPr="00DB3EEA">
        <w:rPr>
          <w:rStyle w:val="Refdenotaalpie"/>
          <w:rFonts w:ascii="Times New Roman" w:hAnsi="Times New Roman" w:cs="Times New Roman"/>
          <w:sz w:val="28"/>
          <w:szCs w:val="28"/>
        </w:rPr>
        <w:footnoteReference w:id="26"/>
      </w:r>
      <w:r w:rsidRPr="00DB3EEA">
        <w:rPr>
          <w:rFonts w:ascii="Times New Roman" w:hAnsi="Times New Roman" w:cs="Times New Roman"/>
          <w:sz w:val="28"/>
          <w:szCs w:val="28"/>
        </w:rPr>
        <w:t>.</w:t>
      </w:r>
    </w:p>
    <w:p w:rsidR="00752000" w:rsidRPr="00DB3EEA" w:rsidRDefault="00DB3EEA" w:rsidP="00376DDD">
      <w:pPr>
        <w:pStyle w:val="Prrafodelista"/>
        <w:jc w:val="both"/>
        <w:rPr>
          <w:rFonts w:ascii="Times New Roman" w:hAnsi="Times New Roman" w:cs="Times New Roman"/>
          <w:sz w:val="28"/>
          <w:szCs w:val="28"/>
        </w:rPr>
      </w:pPr>
    </w:p>
    <w:p w:rsidR="00752000"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Los demandantes afirman que, según la jurisprudencia, la libertad de competencia económica comprende por lo menos tres prerrogativas: (i) la posibilid</w:t>
      </w:r>
      <w:r w:rsidRPr="00DB3EEA">
        <w:rPr>
          <w:rFonts w:ascii="Times New Roman" w:hAnsi="Times New Roman" w:cs="Times New Roman"/>
          <w:sz w:val="28"/>
          <w:szCs w:val="28"/>
        </w:rPr>
        <w:t>ad de concurrir al mercado, (ii) la libertad de ofrecer las condiciones y ventajas comerciales que se estimen oportunas, y (iii) la posibilidad de contratar con cualquier consumidor o usuario. En este orden de ideas, sostienen que esta libertad también con</w:t>
      </w:r>
      <w:r w:rsidRPr="00DB3EEA">
        <w:rPr>
          <w:rFonts w:ascii="Times New Roman" w:hAnsi="Times New Roman" w:cs="Times New Roman"/>
          <w:sz w:val="28"/>
          <w:szCs w:val="28"/>
        </w:rPr>
        <w:t>stituye una garantía para los consumidores, quienes, en virtud de ella, pueden contratar con quien ofrezca las mejores condiciones dentro del marco de la ley y se benefician de la pluralidad de oferentes en términos de precio y calidad de los bienes y serv</w:t>
      </w:r>
      <w:r w:rsidRPr="00DB3EEA">
        <w:rPr>
          <w:rFonts w:ascii="Times New Roman" w:hAnsi="Times New Roman" w:cs="Times New Roman"/>
          <w:sz w:val="28"/>
          <w:szCs w:val="28"/>
        </w:rPr>
        <w:t>icios, entre otros</w:t>
      </w:r>
      <w:r w:rsidRPr="00DB3EEA">
        <w:rPr>
          <w:rStyle w:val="Refdenotaalpie"/>
          <w:rFonts w:ascii="Times New Roman" w:hAnsi="Times New Roman" w:cs="Times New Roman"/>
          <w:sz w:val="28"/>
          <w:szCs w:val="28"/>
        </w:rPr>
        <w:footnoteReference w:id="27"/>
      </w:r>
      <w:r w:rsidRPr="00DB3EEA">
        <w:rPr>
          <w:rFonts w:ascii="Times New Roman" w:hAnsi="Times New Roman" w:cs="Times New Roman"/>
          <w:sz w:val="28"/>
          <w:szCs w:val="28"/>
        </w:rPr>
        <w:t>.</w:t>
      </w:r>
    </w:p>
    <w:p w:rsidR="00752000" w:rsidRPr="00DB3EEA" w:rsidRDefault="00DB3EEA" w:rsidP="00376DDD">
      <w:pPr>
        <w:pStyle w:val="Prrafodelista"/>
        <w:jc w:val="both"/>
        <w:rPr>
          <w:rFonts w:ascii="Times New Roman" w:hAnsi="Times New Roman" w:cs="Times New Roman"/>
          <w:sz w:val="28"/>
          <w:szCs w:val="28"/>
        </w:rPr>
      </w:pPr>
    </w:p>
    <w:p w:rsidR="00DD30CE"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Argumentan</w:t>
      </w:r>
      <w:r w:rsidRPr="00DB3EEA">
        <w:rPr>
          <w:rFonts w:ascii="Times New Roman" w:hAnsi="Times New Roman" w:cs="Times New Roman"/>
          <w:sz w:val="28"/>
          <w:szCs w:val="28"/>
        </w:rPr>
        <w:t xml:space="preserve"> que la distinción en la base gravable del impuesto a los productos procesados desconoce “(i) la garantía de concurrir al mercado en un marco de igualdad de condiciones, (ii) la posibilidad de los consumidores de contratar c</w:t>
      </w:r>
      <w:r w:rsidRPr="00DB3EEA">
        <w:rPr>
          <w:rFonts w:ascii="Times New Roman" w:hAnsi="Times New Roman" w:cs="Times New Roman"/>
          <w:sz w:val="28"/>
          <w:szCs w:val="28"/>
        </w:rPr>
        <w:t>on quien ofrezca las mejores condiciones y (iii) la prohibición de barreras injustificadas a la concurrencia en el mercado nacional.”</w:t>
      </w:r>
      <w:r w:rsidRPr="00DB3EEA">
        <w:rPr>
          <w:rStyle w:val="Refdenotaalpie"/>
          <w:rFonts w:ascii="Times New Roman" w:hAnsi="Times New Roman" w:cs="Times New Roman"/>
          <w:sz w:val="28"/>
          <w:szCs w:val="28"/>
        </w:rPr>
        <w:footnoteReference w:id="28"/>
      </w:r>
      <w:r w:rsidRPr="00DB3EEA">
        <w:rPr>
          <w:rFonts w:ascii="Times New Roman" w:hAnsi="Times New Roman" w:cs="Times New Roman"/>
          <w:sz w:val="28"/>
          <w:szCs w:val="28"/>
        </w:rPr>
        <w:t xml:space="preserve"> Esto, en vista de que no es posible contar con una igualdad de condiciones al concurrir al mercado cuando se establece pa</w:t>
      </w:r>
      <w:r w:rsidRPr="00DB3EEA">
        <w:rPr>
          <w:rFonts w:ascii="Times New Roman" w:hAnsi="Times New Roman" w:cs="Times New Roman"/>
          <w:sz w:val="28"/>
          <w:szCs w:val="28"/>
        </w:rPr>
        <w:t>ra los productos importados o producidos en zonas francas una base gravable superior a la de los productos nacionales; se desconoce la garantía de contratar con quien ofrezca mejores condiciones, cuando los consumidores deben pagar un mayor impuesto por lo</w:t>
      </w:r>
      <w:r w:rsidRPr="00DB3EEA">
        <w:rPr>
          <w:rFonts w:ascii="Times New Roman" w:hAnsi="Times New Roman" w:cs="Times New Roman"/>
          <w:sz w:val="28"/>
          <w:szCs w:val="28"/>
        </w:rPr>
        <w:t>s productos importados solo por su condición de importados; y se impone una barrera de acceso al mercado sin justificación valida al imponer una distinción de las bases gravables que ocasiona una mayor carga tributaria sobre un producto</w:t>
      </w:r>
      <w:r w:rsidRPr="00DB3EEA">
        <w:rPr>
          <w:rStyle w:val="Refdenotaalpie"/>
          <w:rFonts w:ascii="Times New Roman" w:hAnsi="Times New Roman" w:cs="Times New Roman"/>
          <w:sz w:val="28"/>
          <w:szCs w:val="28"/>
        </w:rPr>
        <w:footnoteReference w:id="29"/>
      </w:r>
      <w:r w:rsidRPr="00DB3EEA">
        <w:rPr>
          <w:rFonts w:ascii="Times New Roman" w:hAnsi="Times New Roman" w:cs="Times New Roman"/>
          <w:sz w:val="28"/>
          <w:szCs w:val="28"/>
        </w:rPr>
        <w:t xml:space="preserve">. </w:t>
      </w:r>
    </w:p>
    <w:p w:rsidR="005D17E7" w:rsidRPr="00DB3EEA" w:rsidRDefault="00DB3EEA" w:rsidP="00376DDD">
      <w:pPr>
        <w:pStyle w:val="Prrafodelista"/>
        <w:jc w:val="both"/>
        <w:rPr>
          <w:rFonts w:ascii="Times New Roman" w:hAnsi="Times New Roman" w:cs="Times New Roman"/>
          <w:sz w:val="28"/>
          <w:szCs w:val="28"/>
        </w:rPr>
      </w:pPr>
    </w:p>
    <w:p w:rsidR="005D17E7"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i/>
          <w:iCs/>
          <w:sz w:val="28"/>
          <w:szCs w:val="28"/>
        </w:rPr>
        <w:t>Imposición encu</w:t>
      </w:r>
      <w:r w:rsidRPr="00DB3EEA">
        <w:rPr>
          <w:rFonts w:ascii="Times New Roman" w:hAnsi="Times New Roman" w:cs="Times New Roman"/>
          <w:i/>
          <w:iCs/>
          <w:sz w:val="28"/>
          <w:szCs w:val="28"/>
        </w:rPr>
        <w:t xml:space="preserve">bierta de un arancel por vía legislativa, en contra de la reserva gubernamental en la imposición de aranceles: </w:t>
      </w:r>
      <w:r w:rsidRPr="00DB3EEA">
        <w:rPr>
          <w:rFonts w:ascii="Times New Roman" w:hAnsi="Times New Roman" w:cs="Times New Roman"/>
          <w:sz w:val="28"/>
          <w:szCs w:val="28"/>
        </w:rPr>
        <w:t>Según los demandantes, debido a que el impuesto genera una mayor carga tributaria solo con ocasión de que los bienes sean importados, este realme</w:t>
      </w:r>
      <w:r w:rsidRPr="00DB3EEA">
        <w:rPr>
          <w:rFonts w:ascii="Times New Roman" w:hAnsi="Times New Roman" w:cs="Times New Roman"/>
          <w:sz w:val="28"/>
          <w:szCs w:val="28"/>
        </w:rPr>
        <w:t xml:space="preserve">nte está creando un arancel encubierto por vía legislativa, desconociendo “el reparto de competencias </w:t>
      </w:r>
      <w:r w:rsidRPr="00DB3EEA">
        <w:rPr>
          <w:rFonts w:ascii="Times New Roman" w:hAnsi="Times New Roman" w:cs="Times New Roman"/>
          <w:sz w:val="28"/>
          <w:szCs w:val="28"/>
        </w:rPr>
        <w:t>entre el Congreso y el Gobierno en esta materia</w:t>
      </w:r>
      <w:r w:rsidRPr="00DB3EEA">
        <w:rPr>
          <w:rFonts w:ascii="Times New Roman" w:hAnsi="Times New Roman" w:cs="Times New Roman"/>
          <w:sz w:val="28"/>
          <w:szCs w:val="28"/>
        </w:rPr>
        <w:t>”</w:t>
      </w:r>
      <w:r w:rsidRPr="00DB3EEA">
        <w:rPr>
          <w:rStyle w:val="Refdenotaalpie"/>
          <w:rFonts w:ascii="Times New Roman" w:hAnsi="Times New Roman" w:cs="Times New Roman"/>
          <w:sz w:val="28"/>
          <w:szCs w:val="28"/>
        </w:rPr>
        <w:footnoteReference w:id="30"/>
      </w:r>
      <w:r w:rsidRPr="00DB3EEA">
        <w:rPr>
          <w:rFonts w:ascii="Times New Roman" w:hAnsi="Times New Roman" w:cs="Times New Roman"/>
          <w:sz w:val="28"/>
          <w:szCs w:val="28"/>
        </w:rPr>
        <w:t xml:space="preserve">. </w:t>
      </w:r>
    </w:p>
    <w:p w:rsidR="00D07009" w:rsidRPr="00DB3EEA" w:rsidRDefault="00DB3EEA" w:rsidP="00376DDD">
      <w:pPr>
        <w:pStyle w:val="Prrafodelista"/>
        <w:jc w:val="both"/>
        <w:rPr>
          <w:rFonts w:ascii="Times New Roman" w:hAnsi="Times New Roman" w:cs="Times New Roman"/>
          <w:sz w:val="28"/>
          <w:szCs w:val="28"/>
        </w:rPr>
      </w:pPr>
    </w:p>
    <w:p w:rsidR="00D07009"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Sostienen que, bajo el entendido de que los aranceles son “un impuesto indirecto sobre las </w:t>
      </w:r>
      <w:r w:rsidRPr="00DB3EEA">
        <w:rPr>
          <w:rFonts w:ascii="Times New Roman" w:hAnsi="Times New Roman" w:cs="Times New Roman"/>
          <w:sz w:val="28"/>
          <w:szCs w:val="28"/>
        </w:rPr>
        <w:t>importaciones que tiende a desplazarse a los consumidores en el mercado doméstico”</w:t>
      </w:r>
      <w:r w:rsidRPr="00DB3EEA">
        <w:rPr>
          <w:rStyle w:val="Refdenotaalpie"/>
          <w:rFonts w:ascii="Times New Roman" w:hAnsi="Times New Roman" w:cs="Times New Roman"/>
          <w:sz w:val="28"/>
          <w:szCs w:val="28"/>
        </w:rPr>
        <w:footnoteReference w:id="31"/>
      </w:r>
      <w:r w:rsidRPr="00DB3EEA">
        <w:rPr>
          <w:rFonts w:ascii="Times New Roman" w:hAnsi="Times New Roman" w:cs="Times New Roman"/>
          <w:sz w:val="28"/>
          <w:szCs w:val="28"/>
        </w:rPr>
        <w:t>, el aumento en la base gravable de los productos importados o producidos en zonas francas, ocasionado por la inclusión del IVA, deriva en un incremento de la tarifa que con</w:t>
      </w:r>
      <w:r w:rsidRPr="00DB3EEA">
        <w:rPr>
          <w:rFonts w:ascii="Times New Roman" w:hAnsi="Times New Roman" w:cs="Times New Roman"/>
          <w:sz w:val="28"/>
          <w:szCs w:val="28"/>
        </w:rPr>
        <w:t>lleva a un mayor pago solo por el hecho de la importación. En ese sentido, en la práctica, el aumento del impuesto que deben soportar los importadores y los productores de zonas francas equivale a un arancel</w:t>
      </w:r>
      <w:r w:rsidRPr="00DB3EEA">
        <w:rPr>
          <w:rStyle w:val="Refdenotaalpie"/>
          <w:rFonts w:ascii="Times New Roman" w:hAnsi="Times New Roman" w:cs="Times New Roman"/>
          <w:sz w:val="28"/>
          <w:szCs w:val="28"/>
        </w:rPr>
        <w:footnoteReference w:id="32"/>
      </w:r>
      <w:r w:rsidRPr="00DB3EEA">
        <w:rPr>
          <w:rFonts w:ascii="Times New Roman" w:hAnsi="Times New Roman" w:cs="Times New Roman"/>
          <w:sz w:val="28"/>
          <w:szCs w:val="28"/>
        </w:rPr>
        <w:t>.</w:t>
      </w:r>
    </w:p>
    <w:p w:rsidR="00D07009" w:rsidRPr="00DB3EEA" w:rsidRDefault="00DB3EEA" w:rsidP="00376DDD">
      <w:pPr>
        <w:pStyle w:val="Prrafodelista"/>
        <w:jc w:val="both"/>
        <w:rPr>
          <w:rFonts w:ascii="Times New Roman" w:hAnsi="Times New Roman" w:cs="Times New Roman"/>
          <w:sz w:val="28"/>
          <w:szCs w:val="28"/>
        </w:rPr>
      </w:pPr>
    </w:p>
    <w:p w:rsidR="001C0CA7"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A juicio de los demandantes, a pesar de que i</w:t>
      </w:r>
      <w:r w:rsidRPr="00DB3EEA">
        <w:rPr>
          <w:rFonts w:ascii="Times New Roman" w:hAnsi="Times New Roman" w:cs="Times New Roman"/>
          <w:sz w:val="28"/>
          <w:szCs w:val="28"/>
        </w:rPr>
        <w:t>mponer aranceles no está prohibido, “el artículo 150-19 exige que los aranceles los fije el Gobierno Nacional, de acuerdo con el marco legislativo expedido por el Congreso, y por razones de política comercial”</w:t>
      </w:r>
      <w:r w:rsidRPr="00DB3EEA">
        <w:rPr>
          <w:rStyle w:val="Refdenotaalpie"/>
          <w:rFonts w:ascii="Times New Roman" w:hAnsi="Times New Roman" w:cs="Times New Roman"/>
          <w:sz w:val="28"/>
          <w:szCs w:val="28"/>
        </w:rPr>
        <w:footnoteReference w:id="33"/>
      </w:r>
      <w:r w:rsidRPr="00DB3EEA">
        <w:rPr>
          <w:rFonts w:ascii="Times New Roman" w:hAnsi="Times New Roman" w:cs="Times New Roman"/>
          <w:sz w:val="28"/>
          <w:szCs w:val="28"/>
        </w:rPr>
        <w:t>. En ese sentido, consideran que la fijación d</w:t>
      </w:r>
      <w:r w:rsidRPr="00DB3EEA">
        <w:rPr>
          <w:rFonts w:ascii="Times New Roman" w:hAnsi="Times New Roman" w:cs="Times New Roman"/>
          <w:sz w:val="28"/>
          <w:szCs w:val="28"/>
        </w:rPr>
        <w:t>e un arancel por medio del artículo demandado constituye una vulneración de los artículos 150-19 y 189-25 de la Constitución Política, en tanto su establecimiento es “inmodificable por el Gobierno Nacional, ya que quedó establecido directamente en la norma</w:t>
      </w:r>
      <w:r w:rsidRPr="00DB3EEA">
        <w:rPr>
          <w:rFonts w:ascii="Times New Roman" w:hAnsi="Times New Roman" w:cs="Times New Roman"/>
          <w:sz w:val="28"/>
          <w:szCs w:val="28"/>
        </w:rPr>
        <w:t xml:space="preserve"> legal. De tal forma, se desconoce el reparto de competencias entre el </w:t>
      </w:r>
      <w:r w:rsidRPr="00DB3EEA">
        <w:rPr>
          <w:rFonts w:ascii="Times New Roman" w:hAnsi="Times New Roman" w:cs="Times New Roman"/>
          <w:sz w:val="28"/>
          <w:szCs w:val="28"/>
        </w:rPr>
        <w:t>legislador</w:t>
      </w:r>
      <w:r w:rsidRPr="00DB3EEA">
        <w:rPr>
          <w:rFonts w:ascii="Times New Roman" w:hAnsi="Times New Roman" w:cs="Times New Roman"/>
          <w:sz w:val="28"/>
          <w:szCs w:val="28"/>
        </w:rPr>
        <w:t xml:space="preserve"> y la Rama Ejecutiva que, según la Constitución, debe mantener la facultad de modificar los aranceles por razones de política comercial”</w:t>
      </w:r>
      <w:r w:rsidRPr="00DB3EEA">
        <w:rPr>
          <w:rStyle w:val="Refdenotaalpie"/>
          <w:rFonts w:ascii="Times New Roman" w:hAnsi="Times New Roman" w:cs="Times New Roman"/>
          <w:sz w:val="28"/>
          <w:szCs w:val="28"/>
        </w:rPr>
        <w:footnoteReference w:id="34"/>
      </w:r>
      <w:r w:rsidRPr="00DB3EEA">
        <w:rPr>
          <w:rFonts w:ascii="Times New Roman" w:hAnsi="Times New Roman" w:cs="Times New Roman"/>
          <w:sz w:val="28"/>
          <w:szCs w:val="28"/>
        </w:rPr>
        <w:t>.</w:t>
      </w:r>
    </w:p>
    <w:p w:rsidR="001C0CA7" w:rsidRPr="00DB3EEA" w:rsidRDefault="00DB3EEA" w:rsidP="00376DDD">
      <w:pPr>
        <w:pStyle w:val="Prrafodelista"/>
        <w:jc w:val="both"/>
        <w:rPr>
          <w:rFonts w:ascii="Times New Roman" w:hAnsi="Times New Roman" w:cs="Times New Roman"/>
          <w:sz w:val="28"/>
          <w:szCs w:val="28"/>
        </w:rPr>
      </w:pPr>
    </w:p>
    <w:p w:rsidR="005C4030"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Los demandantes afirman, en específ</w:t>
      </w:r>
      <w:r w:rsidRPr="00DB3EEA">
        <w:rPr>
          <w:rFonts w:ascii="Times New Roman" w:hAnsi="Times New Roman" w:cs="Times New Roman"/>
          <w:sz w:val="28"/>
          <w:szCs w:val="28"/>
        </w:rPr>
        <w:t>ico, que el Congreso desconoció la técnica de las leyes marco, que lo obliga a limitarse a “dictar orientaciones generales con el fin de que el Gobierno pueda regular la materia de manera ágil y oportuna”</w:t>
      </w:r>
      <w:r w:rsidRPr="00DB3EEA">
        <w:rPr>
          <w:rStyle w:val="Refdenotaalpie"/>
          <w:rFonts w:ascii="Times New Roman" w:hAnsi="Times New Roman" w:cs="Times New Roman"/>
          <w:sz w:val="28"/>
          <w:szCs w:val="28"/>
        </w:rPr>
        <w:footnoteReference w:id="35"/>
      </w:r>
      <w:r w:rsidRPr="00DB3EEA">
        <w:rPr>
          <w:rFonts w:ascii="Times New Roman" w:hAnsi="Times New Roman" w:cs="Times New Roman"/>
          <w:sz w:val="28"/>
          <w:szCs w:val="28"/>
        </w:rPr>
        <w:t>. Pues, según la jurisprudencia, su competencia “de</w:t>
      </w:r>
      <w:r w:rsidRPr="00DB3EEA">
        <w:rPr>
          <w:rFonts w:ascii="Times New Roman" w:hAnsi="Times New Roman" w:cs="Times New Roman"/>
          <w:sz w:val="28"/>
          <w:szCs w:val="28"/>
        </w:rPr>
        <w:t>be necesariamente circunscribirse a dictar las normas generales, y señalar en ellas los objetivos y criterios a los cuales debe sujetarse el Gobierno para modificar —no regular originariamente, dado que el presupuesto de la facultad de ‘modificación’ es su</w:t>
      </w:r>
      <w:r w:rsidRPr="00DB3EEA">
        <w:rPr>
          <w:rFonts w:ascii="Times New Roman" w:hAnsi="Times New Roman" w:cs="Times New Roman"/>
          <w:sz w:val="28"/>
          <w:szCs w:val="28"/>
        </w:rPr>
        <w:t xml:space="preserve"> previo establecimiento legal—”</w:t>
      </w:r>
      <w:r w:rsidRPr="00DB3EEA">
        <w:rPr>
          <w:rStyle w:val="Refdenotaalpie"/>
          <w:rFonts w:ascii="Times New Roman" w:hAnsi="Times New Roman" w:cs="Times New Roman"/>
          <w:sz w:val="28"/>
          <w:szCs w:val="28"/>
        </w:rPr>
        <w:footnoteReference w:id="36"/>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w:t>
      </w:r>
    </w:p>
    <w:p w:rsidR="00C1091B" w:rsidRPr="00DB3EEA" w:rsidRDefault="00DB3EEA" w:rsidP="00376DDD">
      <w:pPr>
        <w:pStyle w:val="Prrafodelista"/>
        <w:tabs>
          <w:tab w:val="left" w:pos="284"/>
        </w:tabs>
        <w:ind w:left="0" w:right="51"/>
        <w:jc w:val="both"/>
        <w:rPr>
          <w:rFonts w:ascii="Times New Roman" w:hAnsi="Times New Roman" w:cs="Times New Roman"/>
          <w:sz w:val="28"/>
          <w:szCs w:val="28"/>
        </w:rPr>
      </w:pPr>
    </w:p>
    <w:p w:rsidR="00E57AED" w:rsidRPr="00DB3EEA" w:rsidRDefault="00DB3EEA" w:rsidP="00276C7F">
      <w:pPr>
        <w:pStyle w:val="Prrafodelista"/>
        <w:numPr>
          <w:ilvl w:val="0"/>
          <w:numId w:val="2"/>
        </w:numPr>
        <w:tabs>
          <w:tab w:val="left" w:pos="284"/>
        </w:tabs>
        <w:ind w:left="0" w:firstLine="0"/>
        <w:jc w:val="both"/>
        <w:outlineLvl w:val="1"/>
        <w:rPr>
          <w:rFonts w:ascii="Times New Roman" w:eastAsia="Calibri" w:hAnsi="Times New Roman" w:cs="Times New Roman"/>
          <w:b/>
          <w:sz w:val="28"/>
          <w:szCs w:val="28"/>
          <w:lang w:eastAsia="es-ES"/>
        </w:rPr>
      </w:pPr>
      <w:r w:rsidRPr="00DB3EEA">
        <w:rPr>
          <w:rFonts w:ascii="Times New Roman" w:eastAsia="Calibri" w:hAnsi="Times New Roman" w:cs="Times New Roman"/>
          <w:b/>
          <w:sz w:val="28"/>
          <w:szCs w:val="28"/>
          <w:lang w:eastAsia="es-ES"/>
        </w:rPr>
        <w:t>Interv</w:t>
      </w:r>
      <w:r w:rsidRPr="00DB3EEA">
        <w:rPr>
          <w:rFonts w:ascii="Times New Roman" w:eastAsia="Calibri" w:hAnsi="Times New Roman" w:cs="Times New Roman"/>
          <w:b/>
          <w:sz w:val="28"/>
          <w:szCs w:val="28"/>
          <w:lang w:eastAsia="es-ES"/>
        </w:rPr>
        <w:t>enciones</w:t>
      </w:r>
      <w:r w:rsidRPr="00DB3EEA">
        <w:rPr>
          <w:rFonts w:ascii="Times New Roman" w:eastAsia="Calibri" w:hAnsi="Times New Roman" w:cs="Times New Roman"/>
          <w:b/>
          <w:sz w:val="28"/>
          <w:szCs w:val="28"/>
          <w:lang w:eastAsia="es-ES"/>
        </w:rPr>
        <w:t xml:space="preserve"> y conceptos</w:t>
      </w:r>
      <w:r w:rsidRPr="00DB3EEA">
        <w:rPr>
          <w:rFonts w:ascii="Times New Roman" w:eastAsia="Calibri" w:hAnsi="Times New Roman" w:cs="Times New Roman"/>
          <w:b/>
          <w:sz w:val="28"/>
          <w:szCs w:val="28"/>
          <w:lang w:eastAsia="es-ES"/>
        </w:rPr>
        <w:t>:</w:t>
      </w:r>
    </w:p>
    <w:p w:rsidR="00E57AED" w:rsidRPr="00DB3EEA" w:rsidRDefault="00DB3EEA" w:rsidP="00376DDD">
      <w:pPr>
        <w:pStyle w:val="Prrafodelista"/>
        <w:tabs>
          <w:tab w:val="left" w:pos="284"/>
        </w:tabs>
        <w:ind w:left="0" w:right="51"/>
        <w:jc w:val="both"/>
        <w:rPr>
          <w:rFonts w:ascii="Times New Roman" w:hAnsi="Times New Roman" w:cs="Times New Roman"/>
          <w:sz w:val="28"/>
          <w:szCs w:val="28"/>
        </w:rPr>
      </w:pPr>
    </w:p>
    <w:p w:rsidR="00E57AED" w:rsidRPr="00DB3EEA" w:rsidRDefault="00DB3EEA" w:rsidP="00376DDD">
      <w:pPr>
        <w:pStyle w:val="Prrafodelista"/>
        <w:numPr>
          <w:ilvl w:val="0"/>
          <w:numId w:val="1"/>
        </w:numPr>
        <w:tabs>
          <w:tab w:val="left" w:pos="284"/>
        </w:tabs>
        <w:ind w:left="0" w:right="51" w:firstLine="0"/>
        <w:jc w:val="both"/>
        <w:rPr>
          <w:rFonts w:ascii="Times New Roman" w:hAnsi="Times New Roman" w:cs="Times New Roman"/>
          <w:sz w:val="28"/>
          <w:szCs w:val="28"/>
        </w:rPr>
      </w:pPr>
      <w:r w:rsidRPr="00DB3EEA">
        <w:rPr>
          <w:rFonts w:ascii="Times New Roman" w:hAnsi="Times New Roman" w:cs="Times New Roman"/>
          <w:sz w:val="28"/>
          <w:szCs w:val="28"/>
        </w:rPr>
        <w:t>La Corte recibió</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en el tiempo de fijación en lista</w:t>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una</w:t>
      </w:r>
      <w:r w:rsidRPr="00DB3EEA">
        <w:rPr>
          <w:rFonts w:ascii="Times New Roman" w:hAnsi="Times New Roman" w:cs="Times New Roman"/>
          <w:sz w:val="28"/>
          <w:szCs w:val="28"/>
        </w:rPr>
        <w:t xml:space="preserve"> (1)</w:t>
      </w:r>
      <w:r w:rsidRPr="00DB3EEA">
        <w:rPr>
          <w:rFonts w:ascii="Times New Roman" w:hAnsi="Times New Roman" w:cs="Times New Roman"/>
          <w:sz w:val="28"/>
          <w:szCs w:val="28"/>
        </w:rPr>
        <w:t xml:space="preserve"> intervención conjunta entre el Ministerio de Hacienda y la Dirección de Impuestos y Aduanas Nacionales (DIAN), </w:t>
      </w:r>
      <w:r w:rsidRPr="00DB3EEA">
        <w:rPr>
          <w:rFonts w:ascii="Times New Roman" w:hAnsi="Times New Roman" w:cs="Times New Roman"/>
          <w:sz w:val="28"/>
          <w:szCs w:val="28"/>
        </w:rPr>
        <w:t xml:space="preserve">tres (3) conceptos </w:t>
      </w:r>
      <w:r w:rsidRPr="00DB3EEA">
        <w:rPr>
          <w:rFonts w:ascii="Times New Roman" w:hAnsi="Times New Roman" w:cs="Times New Roman"/>
          <w:sz w:val="28"/>
          <w:szCs w:val="28"/>
        </w:rPr>
        <w:t>por parte de las organizaciones y entidades invitadas a intervenir en el proceso, y siete (7) intervenciones ciudadanas. A continuación</w:t>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se presenta un resumen </w:t>
      </w:r>
      <w:r w:rsidRPr="00DB3EEA">
        <w:rPr>
          <w:rFonts w:ascii="Times New Roman" w:hAnsi="Times New Roman" w:cs="Times New Roman"/>
          <w:sz w:val="28"/>
          <w:szCs w:val="28"/>
        </w:rPr>
        <w:t xml:space="preserve">conjunto de ellas: </w:t>
      </w:r>
    </w:p>
    <w:p w:rsidR="000F5C51" w:rsidRPr="00DB3EEA" w:rsidRDefault="00DB3EEA" w:rsidP="000F5C51">
      <w:pPr>
        <w:tabs>
          <w:tab w:val="left" w:pos="284"/>
        </w:tabs>
        <w:ind w:right="51"/>
        <w:jc w:val="both"/>
        <w:rPr>
          <w:rFonts w:ascii="Times New Roman" w:hAnsi="Times New Roman" w:cs="Times New Roman"/>
          <w:sz w:val="28"/>
          <w:szCs w:val="28"/>
        </w:rPr>
      </w:pPr>
    </w:p>
    <w:tbl>
      <w:tblPr>
        <w:tblStyle w:val="Tablaconcuadrcula"/>
        <w:tblW w:w="0" w:type="auto"/>
        <w:tblLook w:val="04A0" w:firstRow="1" w:lastRow="0" w:firstColumn="1" w:lastColumn="0" w:noHBand="0" w:noVBand="1"/>
      </w:tblPr>
      <w:tblGrid>
        <w:gridCol w:w="4415"/>
        <w:gridCol w:w="4415"/>
      </w:tblGrid>
      <w:tr w:rsidR="001A27C3" w:rsidRPr="00DB3EEA" w:rsidTr="00E232C6">
        <w:tc>
          <w:tcPr>
            <w:tcW w:w="4415" w:type="dxa"/>
            <w:shd w:val="clear" w:color="auto" w:fill="E7E6E6" w:themeFill="background2"/>
          </w:tcPr>
          <w:p w:rsidR="00EF053E" w:rsidRPr="00DB3EEA" w:rsidRDefault="00DB3EEA" w:rsidP="00E232C6">
            <w:pPr>
              <w:tabs>
                <w:tab w:val="left" w:pos="284"/>
              </w:tabs>
              <w:ind w:right="51"/>
              <w:jc w:val="center"/>
              <w:rPr>
                <w:rFonts w:ascii="Times New Roman" w:hAnsi="Times New Roman" w:cs="Times New Roman"/>
                <w:b/>
                <w:sz w:val="28"/>
                <w:szCs w:val="28"/>
              </w:rPr>
            </w:pPr>
            <w:r w:rsidRPr="00DB3EEA">
              <w:rPr>
                <w:rFonts w:ascii="Times New Roman" w:hAnsi="Times New Roman" w:cs="Times New Roman"/>
                <w:b/>
                <w:sz w:val="28"/>
                <w:szCs w:val="28"/>
              </w:rPr>
              <w:t>Autoridad, organización o ciudadano.</w:t>
            </w:r>
            <w:r w:rsidRPr="00DB3EEA">
              <w:rPr>
                <w:rStyle w:val="Refdenotaalpie"/>
                <w:rFonts w:ascii="Times New Roman" w:hAnsi="Times New Roman" w:cs="Times New Roman"/>
                <w:b/>
                <w:sz w:val="28"/>
                <w:szCs w:val="28"/>
              </w:rPr>
              <w:footnoteReference w:id="37"/>
            </w:r>
          </w:p>
        </w:tc>
        <w:tc>
          <w:tcPr>
            <w:tcW w:w="4415" w:type="dxa"/>
            <w:shd w:val="clear" w:color="auto" w:fill="E7E6E6" w:themeFill="background2"/>
          </w:tcPr>
          <w:p w:rsidR="00EF053E" w:rsidRPr="00DB3EEA" w:rsidRDefault="00DB3EEA" w:rsidP="00E232C6">
            <w:pPr>
              <w:tabs>
                <w:tab w:val="left" w:pos="284"/>
              </w:tabs>
              <w:ind w:right="51"/>
              <w:jc w:val="center"/>
              <w:rPr>
                <w:rFonts w:ascii="Times New Roman" w:hAnsi="Times New Roman" w:cs="Times New Roman"/>
                <w:b/>
                <w:sz w:val="28"/>
                <w:szCs w:val="28"/>
              </w:rPr>
            </w:pPr>
            <w:r w:rsidRPr="00DB3EEA">
              <w:rPr>
                <w:rFonts w:ascii="Times New Roman" w:hAnsi="Times New Roman" w:cs="Times New Roman"/>
                <w:b/>
                <w:sz w:val="28"/>
                <w:szCs w:val="28"/>
              </w:rPr>
              <w:t>Resuelve sugerido:</w:t>
            </w:r>
          </w:p>
        </w:tc>
      </w:tr>
      <w:tr w:rsidR="00A66263" w:rsidRPr="00DB3EEA" w:rsidTr="00EF053E">
        <w:tc>
          <w:tcPr>
            <w:tcW w:w="4415" w:type="dxa"/>
          </w:tcPr>
          <w:p w:rsidR="00EF053E"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Ministerio de Hac</w:t>
            </w:r>
            <w:r w:rsidRPr="00DB3EEA">
              <w:rPr>
                <w:rFonts w:ascii="Times New Roman" w:hAnsi="Times New Roman" w:cs="Times New Roman"/>
                <w:sz w:val="28"/>
                <w:szCs w:val="28"/>
              </w:rPr>
              <w:t xml:space="preserve">ienda y Crédito Público y Dirección de Impuestos y Aduanas Nacionales. </w:t>
            </w:r>
          </w:p>
        </w:tc>
        <w:tc>
          <w:tcPr>
            <w:tcW w:w="4415" w:type="dxa"/>
          </w:tcPr>
          <w:p w:rsidR="00EF053E"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Exequibilidad</w:t>
            </w:r>
          </w:p>
        </w:tc>
      </w:tr>
      <w:tr w:rsidR="00A66263" w:rsidRPr="00DB3EEA" w:rsidTr="00EF053E">
        <w:tc>
          <w:tcPr>
            <w:tcW w:w="4415" w:type="dxa"/>
          </w:tcPr>
          <w:p w:rsidR="00EF053E"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Academia Colombiana de jurisprudencia</w:t>
            </w:r>
            <w:r w:rsidRPr="00DB3EEA">
              <w:rPr>
                <w:rFonts w:ascii="Times New Roman" w:hAnsi="Times New Roman" w:cs="Times New Roman"/>
                <w:sz w:val="28"/>
                <w:szCs w:val="28"/>
              </w:rPr>
              <w:t>.</w:t>
            </w:r>
          </w:p>
        </w:tc>
        <w:tc>
          <w:tcPr>
            <w:tcW w:w="4415" w:type="dxa"/>
          </w:tcPr>
          <w:p w:rsidR="00EF053E"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 xml:space="preserve">Inexequibilidad </w:t>
            </w:r>
          </w:p>
        </w:tc>
      </w:tr>
      <w:tr w:rsidR="00A66263" w:rsidRPr="00DB3EEA" w:rsidTr="00EF053E">
        <w:tc>
          <w:tcPr>
            <w:tcW w:w="4415" w:type="dxa"/>
          </w:tcPr>
          <w:p w:rsidR="00EF053E"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Instituto Colombiano de Derecho Tributario</w:t>
            </w:r>
            <w:r w:rsidRPr="00DB3EEA">
              <w:rPr>
                <w:rFonts w:ascii="Times New Roman" w:hAnsi="Times New Roman" w:cs="Times New Roman"/>
                <w:sz w:val="28"/>
                <w:szCs w:val="28"/>
              </w:rPr>
              <w:t>.</w:t>
            </w:r>
          </w:p>
        </w:tc>
        <w:tc>
          <w:tcPr>
            <w:tcW w:w="4415" w:type="dxa"/>
          </w:tcPr>
          <w:p w:rsidR="00EF053E"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Exequibilidad</w:t>
            </w:r>
          </w:p>
        </w:tc>
      </w:tr>
      <w:tr w:rsidR="00A66263" w:rsidRPr="00DB3EEA" w:rsidTr="00EF053E">
        <w:tc>
          <w:tcPr>
            <w:tcW w:w="4415" w:type="dxa"/>
          </w:tcPr>
          <w:p w:rsidR="00822DB8"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Universidad del Rosario</w:t>
            </w:r>
          </w:p>
        </w:tc>
        <w:tc>
          <w:tcPr>
            <w:tcW w:w="4415" w:type="dxa"/>
          </w:tcPr>
          <w:p w:rsidR="00822DB8"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 xml:space="preserve">Inexequibilidad </w:t>
            </w:r>
            <w:r w:rsidRPr="00DB3EEA">
              <w:rPr>
                <w:rFonts w:ascii="Times New Roman" w:hAnsi="Times New Roman" w:cs="Times New Roman"/>
                <w:sz w:val="28"/>
                <w:szCs w:val="28"/>
              </w:rPr>
              <w:t>o</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e</w:t>
            </w:r>
            <w:r w:rsidRPr="00DB3EEA">
              <w:rPr>
                <w:rFonts w:ascii="Times New Roman" w:hAnsi="Times New Roman" w:cs="Times New Roman"/>
                <w:sz w:val="28"/>
                <w:szCs w:val="28"/>
              </w:rPr>
              <w:t>xequibilidad condicionada</w:t>
            </w:r>
          </w:p>
        </w:tc>
      </w:tr>
      <w:tr w:rsidR="00A66263" w:rsidRPr="00DB3EEA" w:rsidTr="00EF053E">
        <w:tc>
          <w:tcPr>
            <w:tcW w:w="4415" w:type="dxa"/>
          </w:tcPr>
          <w:p w:rsidR="00EF053E"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 xml:space="preserve">María </w:t>
            </w:r>
            <w:r w:rsidRPr="00DB3EEA">
              <w:rPr>
                <w:rFonts w:ascii="Times New Roman" w:hAnsi="Times New Roman" w:cs="Times New Roman"/>
                <w:sz w:val="28"/>
                <w:szCs w:val="28"/>
              </w:rPr>
              <w:t>Catalina Plazas Molina</w:t>
            </w:r>
          </w:p>
        </w:tc>
        <w:tc>
          <w:tcPr>
            <w:tcW w:w="4415" w:type="dxa"/>
          </w:tcPr>
          <w:p w:rsidR="00EF053E"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Inexequibilidad</w:t>
            </w:r>
          </w:p>
        </w:tc>
      </w:tr>
      <w:tr w:rsidR="00A66263" w:rsidRPr="00DB3EEA" w:rsidTr="00EF053E">
        <w:tc>
          <w:tcPr>
            <w:tcW w:w="4415" w:type="dxa"/>
          </w:tcPr>
          <w:p w:rsidR="00EF053E"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Joan Sebastián Gallo Mora</w:t>
            </w:r>
          </w:p>
        </w:tc>
        <w:tc>
          <w:tcPr>
            <w:tcW w:w="4415" w:type="dxa"/>
          </w:tcPr>
          <w:p w:rsidR="00EF053E"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 xml:space="preserve">Inexequibilidad </w:t>
            </w:r>
            <w:r w:rsidRPr="00DB3EEA">
              <w:rPr>
                <w:rFonts w:ascii="Times New Roman" w:hAnsi="Times New Roman" w:cs="Times New Roman"/>
                <w:sz w:val="28"/>
                <w:szCs w:val="28"/>
              </w:rPr>
              <w:t>o</w:t>
            </w:r>
            <w:r w:rsidRPr="00DB3EEA">
              <w:rPr>
                <w:rFonts w:ascii="Times New Roman" w:hAnsi="Times New Roman" w:cs="Times New Roman"/>
                <w:sz w:val="28"/>
                <w:szCs w:val="28"/>
              </w:rPr>
              <w:t xml:space="preserve"> exequibilidad condicionada. </w:t>
            </w:r>
          </w:p>
        </w:tc>
      </w:tr>
      <w:tr w:rsidR="00A66263" w:rsidRPr="00DB3EEA" w:rsidTr="00EF053E">
        <w:tc>
          <w:tcPr>
            <w:tcW w:w="4415" w:type="dxa"/>
          </w:tcPr>
          <w:p w:rsidR="00B842ED"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Juan Sebasti</w:t>
            </w:r>
            <w:r w:rsidRPr="00DB3EEA">
              <w:rPr>
                <w:rFonts w:ascii="Times New Roman" w:hAnsi="Times New Roman" w:cs="Times New Roman"/>
                <w:sz w:val="28"/>
                <w:szCs w:val="28"/>
              </w:rPr>
              <w:t>á</w:t>
            </w:r>
            <w:r w:rsidRPr="00DB3EEA">
              <w:rPr>
                <w:rFonts w:ascii="Times New Roman" w:hAnsi="Times New Roman" w:cs="Times New Roman"/>
                <w:sz w:val="28"/>
                <w:szCs w:val="28"/>
              </w:rPr>
              <w:t>n Araoz Cajiao</w:t>
            </w:r>
          </w:p>
        </w:tc>
        <w:tc>
          <w:tcPr>
            <w:tcW w:w="4415" w:type="dxa"/>
          </w:tcPr>
          <w:p w:rsidR="00B842ED"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 xml:space="preserve">Inexequibilidad </w:t>
            </w:r>
            <w:r w:rsidRPr="00DB3EEA">
              <w:rPr>
                <w:rFonts w:ascii="Times New Roman" w:hAnsi="Times New Roman" w:cs="Times New Roman"/>
                <w:sz w:val="28"/>
                <w:szCs w:val="28"/>
              </w:rPr>
              <w:t>o</w:t>
            </w:r>
            <w:r w:rsidRPr="00DB3EEA">
              <w:rPr>
                <w:rFonts w:ascii="Times New Roman" w:hAnsi="Times New Roman" w:cs="Times New Roman"/>
                <w:sz w:val="28"/>
                <w:szCs w:val="28"/>
              </w:rPr>
              <w:t xml:space="preserve"> exequibilidad condicionada</w:t>
            </w:r>
          </w:p>
        </w:tc>
      </w:tr>
      <w:tr w:rsidR="00A66263" w:rsidRPr="00DB3EEA" w:rsidTr="00EF053E">
        <w:tc>
          <w:tcPr>
            <w:tcW w:w="4415" w:type="dxa"/>
          </w:tcPr>
          <w:p w:rsidR="0088799C" w:rsidRPr="00DB3EEA" w:rsidRDefault="00DB3EEA" w:rsidP="003634CF">
            <w:pPr>
              <w:tabs>
                <w:tab w:val="left" w:pos="284"/>
              </w:tabs>
              <w:ind w:right="51"/>
              <w:rPr>
                <w:rFonts w:ascii="Times New Roman" w:hAnsi="Times New Roman" w:cs="Times New Roman"/>
                <w:sz w:val="28"/>
                <w:szCs w:val="28"/>
              </w:rPr>
            </w:pPr>
            <w:r w:rsidRPr="00DB3EEA">
              <w:rPr>
                <w:rFonts w:ascii="Times New Roman" w:hAnsi="Times New Roman" w:cs="Times New Roman"/>
                <w:sz w:val="28"/>
                <w:szCs w:val="28"/>
              </w:rPr>
              <w:t>Javier Blel Bitar</w:t>
            </w:r>
          </w:p>
        </w:tc>
        <w:tc>
          <w:tcPr>
            <w:tcW w:w="4415" w:type="dxa"/>
          </w:tcPr>
          <w:p w:rsidR="0088799C"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Inexequibilidad</w:t>
            </w:r>
            <w:r w:rsidRPr="00DB3EEA">
              <w:rPr>
                <w:rFonts w:ascii="Times New Roman" w:hAnsi="Times New Roman" w:cs="Times New Roman"/>
                <w:sz w:val="28"/>
                <w:szCs w:val="28"/>
              </w:rPr>
              <w:t xml:space="preserve"> o exequibilidad condicionada.</w:t>
            </w:r>
          </w:p>
        </w:tc>
      </w:tr>
      <w:tr w:rsidR="00A66263" w:rsidRPr="00DB3EEA" w:rsidTr="00EF053E">
        <w:tc>
          <w:tcPr>
            <w:tcW w:w="4415" w:type="dxa"/>
          </w:tcPr>
          <w:p w:rsidR="003634CF" w:rsidRPr="00DB3EEA" w:rsidRDefault="00DB3EEA" w:rsidP="003634CF">
            <w:pPr>
              <w:tabs>
                <w:tab w:val="left" w:pos="284"/>
              </w:tabs>
              <w:ind w:right="51"/>
              <w:rPr>
                <w:rFonts w:ascii="Times New Roman" w:hAnsi="Times New Roman" w:cs="Times New Roman"/>
                <w:sz w:val="28"/>
                <w:szCs w:val="28"/>
              </w:rPr>
            </w:pPr>
            <w:r w:rsidRPr="00DB3EEA">
              <w:rPr>
                <w:rFonts w:ascii="Times New Roman" w:hAnsi="Times New Roman" w:cs="Times New Roman"/>
                <w:sz w:val="28"/>
                <w:szCs w:val="28"/>
              </w:rPr>
              <w:t>Ana María Barbosa Rodríguez</w:t>
            </w:r>
          </w:p>
        </w:tc>
        <w:tc>
          <w:tcPr>
            <w:tcW w:w="4415" w:type="dxa"/>
          </w:tcPr>
          <w:p w:rsidR="003634CF"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Ine</w:t>
            </w:r>
            <w:r w:rsidRPr="00DB3EEA">
              <w:rPr>
                <w:rFonts w:ascii="Times New Roman" w:hAnsi="Times New Roman" w:cs="Times New Roman"/>
                <w:sz w:val="28"/>
                <w:szCs w:val="28"/>
              </w:rPr>
              <w:t>xequibilidad o exequibilidad condicionada.</w:t>
            </w:r>
          </w:p>
        </w:tc>
      </w:tr>
      <w:tr w:rsidR="00A66263" w:rsidRPr="00DB3EEA" w:rsidTr="00EF053E">
        <w:tc>
          <w:tcPr>
            <w:tcW w:w="4415" w:type="dxa"/>
          </w:tcPr>
          <w:p w:rsidR="00A751D4" w:rsidRPr="00DB3EEA" w:rsidRDefault="00DB3EEA" w:rsidP="003634CF">
            <w:pPr>
              <w:tabs>
                <w:tab w:val="left" w:pos="284"/>
              </w:tabs>
              <w:ind w:right="51"/>
              <w:rPr>
                <w:rFonts w:ascii="Times New Roman" w:hAnsi="Times New Roman" w:cs="Times New Roman"/>
                <w:sz w:val="28"/>
                <w:szCs w:val="28"/>
              </w:rPr>
            </w:pPr>
            <w:r w:rsidRPr="00DB3EEA">
              <w:rPr>
                <w:rFonts w:ascii="Times New Roman" w:hAnsi="Times New Roman" w:cs="Times New Roman"/>
                <w:sz w:val="28"/>
                <w:szCs w:val="28"/>
              </w:rPr>
              <w:t>Gabriel Ibarra Pardo</w:t>
            </w:r>
          </w:p>
        </w:tc>
        <w:tc>
          <w:tcPr>
            <w:tcW w:w="4415" w:type="dxa"/>
          </w:tcPr>
          <w:p w:rsidR="00A751D4"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Inexequibilidad</w:t>
            </w:r>
          </w:p>
        </w:tc>
      </w:tr>
      <w:tr w:rsidR="00A66263" w:rsidRPr="00DB3EEA" w:rsidTr="00EF053E">
        <w:tc>
          <w:tcPr>
            <w:tcW w:w="4415" w:type="dxa"/>
          </w:tcPr>
          <w:p w:rsidR="008A5BC4" w:rsidRPr="00DB3EEA" w:rsidRDefault="00DB3EEA" w:rsidP="003634CF">
            <w:pPr>
              <w:tabs>
                <w:tab w:val="left" w:pos="284"/>
              </w:tabs>
              <w:ind w:right="51"/>
              <w:rPr>
                <w:rFonts w:ascii="Times New Roman" w:hAnsi="Times New Roman" w:cs="Times New Roman"/>
                <w:sz w:val="28"/>
                <w:szCs w:val="28"/>
              </w:rPr>
            </w:pPr>
            <w:r w:rsidRPr="00DB3EEA">
              <w:rPr>
                <w:rFonts w:ascii="Times New Roman" w:hAnsi="Times New Roman" w:cs="Times New Roman"/>
                <w:sz w:val="28"/>
                <w:szCs w:val="28"/>
              </w:rPr>
              <w:t>Leonardo Cote y Carolina Rozo</w:t>
            </w:r>
          </w:p>
        </w:tc>
        <w:tc>
          <w:tcPr>
            <w:tcW w:w="4415" w:type="dxa"/>
          </w:tcPr>
          <w:p w:rsidR="008A5BC4" w:rsidRPr="00DB3EEA" w:rsidRDefault="00DB3EEA" w:rsidP="000F5C51">
            <w:pPr>
              <w:tabs>
                <w:tab w:val="left" w:pos="284"/>
              </w:tabs>
              <w:ind w:right="51"/>
              <w:jc w:val="both"/>
              <w:rPr>
                <w:rFonts w:ascii="Times New Roman" w:hAnsi="Times New Roman" w:cs="Times New Roman"/>
                <w:sz w:val="28"/>
                <w:szCs w:val="28"/>
              </w:rPr>
            </w:pPr>
            <w:r w:rsidRPr="00DB3EEA">
              <w:rPr>
                <w:rFonts w:ascii="Times New Roman" w:hAnsi="Times New Roman" w:cs="Times New Roman"/>
                <w:sz w:val="28"/>
                <w:szCs w:val="28"/>
              </w:rPr>
              <w:t xml:space="preserve">Inexequibilidad o </w:t>
            </w:r>
            <w:r w:rsidRPr="00DB3EEA">
              <w:rPr>
                <w:rFonts w:ascii="Times New Roman" w:hAnsi="Times New Roman" w:cs="Times New Roman"/>
                <w:sz w:val="28"/>
                <w:szCs w:val="28"/>
              </w:rPr>
              <w:t>exequibilidad condicionada</w:t>
            </w:r>
          </w:p>
        </w:tc>
      </w:tr>
    </w:tbl>
    <w:p w:rsidR="003B67C1" w:rsidRPr="00DB3EEA" w:rsidRDefault="00DB3EEA" w:rsidP="00376DDD">
      <w:pPr>
        <w:tabs>
          <w:tab w:val="left" w:pos="426"/>
        </w:tabs>
        <w:jc w:val="both"/>
        <w:rPr>
          <w:rFonts w:ascii="Times New Roman" w:eastAsia="Calibri" w:hAnsi="Times New Roman" w:cs="Times New Roman"/>
          <w:b/>
          <w:bCs/>
          <w:sz w:val="28"/>
          <w:szCs w:val="28"/>
          <w:lang w:eastAsia="es-ES"/>
        </w:rPr>
      </w:pPr>
    </w:p>
    <w:p w:rsidR="009E5DDC" w:rsidRPr="00DB3EEA" w:rsidRDefault="00DB3EEA" w:rsidP="00276C7F">
      <w:pPr>
        <w:pStyle w:val="Prrafodelista"/>
        <w:numPr>
          <w:ilvl w:val="1"/>
          <w:numId w:val="2"/>
        </w:numPr>
        <w:tabs>
          <w:tab w:val="left" w:pos="426"/>
        </w:tabs>
        <w:ind w:left="0" w:firstLine="0"/>
        <w:jc w:val="both"/>
        <w:outlineLvl w:val="2"/>
        <w:rPr>
          <w:rFonts w:ascii="Times New Roman" w:eastAsia="Calibri" w:hAnsi="Times New Roman" w:cs="Times New Roman"/>
          <w:b/>
          <w:bCs/>
          <w:sz w:val="28"/>
          <w:szCs w:val="28"/>
          <w:lang w:eastAsia="es-ES"/>
        </w:rPr>
      </w:pPr>
      <w:r w:rsidRPr="00DB3EEA">
        <w:rPr>
          <w:rFonts w:ascii="Times New Roman" w:eastAsia="Calibri" w:hAnsi="Times New Roman" w:cs="Times New Roman"/>
          <w:b/>
          <w:bCs/>
          <w:sz w:val="28"/>
          <w:szCs w:val="28"/>
          <w:lang w:eastAsia="es-ES"/>
        </w:rPr>
        <w:t xml:space="preserve"> </w:t>
      </w:r>
      <w:r w:rsidRPr="00DB3EEA">
        <w:rPr>
          <w:rFonts w:ascii="Times New Roman" w:eastAsia="Calibri" w:hAnsi="Times New Roman" w:cs="Times New Roman"/>
          <w:b/>
          <w:bCs/>
          <w:sz w:val="28"/>
          <w:szCs w:val="28"/>
          <w:lang w:eastAsia="es-ES"/>
        </w:rPr>
        <w:t xml:space="preserve">Argumentos </w:t>
      </w:r>
      <w:r w:rsidRPr="00DB3EEA">
        <w:rPr>
          <w:rFonts w:ascii="Times New Roman" w:eastAsia="Calibri" w:hAnsi="Times New Roman" w:cs="Times New Roman"/>
          <w:b/>
          <w:bCs/>
          <w:sz w:val="28"/>
          <w:szCs w:val="28"/>
          <w:lang w:eastAsia="es-ES"/>
        </w:rPr>
        <w:t xml:space="preserve">en favor de la </w:t>
      </w:r>
      <w:r w:rsidRPr="00DB3EEA">
        <w:rPr>
          <w:rFonts w:ascii="Times New Roman" w:eastAsia="Calibri" w:hAnsi="Times New Roman" w:cs="Times New Roman"/>
          <w:b/>
          <w:bCs/>
          <w:sz w:val="28"/>
          <w:szCs w:val="28"/>
          <w:lang w:eastAsia="es-ES"/>
        </w:rPr>
        <w:t>exequibilidad:</w:t>
      </w:r>
    </w:p>
    <w:p w:rsidR="00775CD8" w:rsidRPr="00DB3EEA" w:rsidRDefault="00DB3EEA" w:rsidP="00775CD8">
      <w:pPr>
        <w:pStyle w:val="Prrafodelista"/>
        <w:tabs>
          <w:tab w:val="left" w:pos="426"/>
        </w:tabs>
        <w:ind w:left="0"/>
        <w:jc w:val="both"/>
        <w:rPr>
          <w:rFonts w:ascii="Times New Roman" w:eastAsia="Calibri" w:hAnsi="Times New Roman" w:cs="Times New Roman"/>
          <w:b/>
          <w:bCs/>
          <w:sz w:val="28"/>
          <w:szCs w:val="28"/>
          <w:lang w:eastAsia="es-ES"/>
        </w:rPr>
      </w:pPr>
    </w:p>
    <w:p w:rsidR="003B28FA" w:rsidRPr="00DB3EEA" w:rsidRDefault="00DB3EEA" w:rsidP="001F0EF8">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El Ministerio de Hacienda y Crédito Público, junto con la Dirección de Impuestos y Aduanas Nacionales</w:t>
      </w:r>
      <w:r w:rsidRPr="00DB3EEA">
        <w:rPr>
          <w:rFonts w:ascii="Times New Roman" w:eastAsia="Calibri" w:hAnsi="Times New Roman" w:cs="Times New Roman"/>
          <w:sz w:val="28"/>
          <w:szCs w:val="28"/>
          <w:vertAlign w:val="superscript"/>
          <w:lang w:eastAsia="es-ES"/>
        </w:rPr>
        <w:footnoteReference w:id="38"/>
      </w:r>
      <w:r w:rsidRPr="00DB3EEA">
        <w:rPr>
          <w:rFonts w:ascii="Times New Roman" w:eastAsia="Calibri" w:hAnsi="Times New Roman" w:cs="Times New Roman"/>
          <w:sz w:val="28"/>
          <w:szCs w:val="28"/>
          <w:lang w:eastAsia="es-ES"/>
        </w:rPr>
        <w:t xml:space="preserve"> y el Instituto Colombiano de Derecho Tributario</w:t>
      </w:r>
      <w:r w:rsidRPr="00DB3EEA">
        <w:rPr>
          <w:rFonts w:ascii="Times New Roman" w:eastAsia="Calibri" w:hAnsi="Times New Roman" w:cs="Times New Roman"/>
          <w:sz w:val="28"/>
          <w:szCs w:val="28"/>
          <w:vertAlign w:val="superscript"/>
          <w:lang w:eastAsia="es-ES"/>
        </w:rPr>
        <w:footnoteReference w:id="39"/>
      </w:r>
      <w:r w:rsidRPr="00DB3EEA">
        <w:rPr>
          <w:rFonts w:ascii="Times New Roman" w:eastAsia="Calibri" w:hAnsi="Times New Roman" w:cs="Times New Roman"/>
          <w:sz w:val="28"/>
          <w:szCs w:val="28"/>
          <w:lang w:eastAsia="es-ES"/>
        </w:rPr>
        <w:t>, solicitan que se declare la exequibilidad de la norma demandada</w:t>
      </w:r>
      <w:r w:rsidRPr="00DB3EEA">
        <w:rPr>
          <w:rFonts w:ascii="Times New Roman" w:eastAsia="Calibri" w:hAnsi="Times New Roman" w:cs="Times New Roman"/>
          <w:sz w:val="28"/>
          <w:szCs w:val="28"/>
          <w:lang w:eastAsia="es-ES"/>
        </w:rPr>
        <w:t xml:space="preserve">. </w:t>
      </w:r>
    </w:p>
    <w:p w:rsidR="00DA68BB" w:rsidRPr="00DB3EEA" w:rsidRDefault="00DB3EEA" w:rsidP="00DA68BB">
      <w:pPr>
        <w:pStyle w:val="Prrafodelista"/>
        <w:tabs>
          <w:tab w:val="left" w:pos="426"/>
        </w:tabs>
        <w:ind w:left="0"/>
        <w:jc w:val="both"/>
        <w:rPr>
          <w:rFonts w:ascii="Times New Roman" w:eastAsia="Calibri" w:hAnsi="Times New Roman" w:cs="Times New Roman"/>
          <w:sz w:val="28"/>
          <w:szCs w:val="28"/>
          <w:lang w:eastAsia="es-ES"/>
        </w:rPr>
      </w:pPr>
    </w:p>
    <w:p w:rsidR="006E5131" w:rsidRPr="00DB3EEA" w:rsidRDefault="00DB3EEA" w:rsidP="001F0EF8">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Para las </w:t>
      </w:r>
      <w:r w:rsidRPr="00DB3EEA">
        <w:rPr>
          <w:rFonts w:ascii="Times New Roman" w:eastAsia="Calibri" w:hAnsi="Times New Roman" w:cs="Times New Roman"/>
          <w:sz w:val="28"/>
          <w:szCs w:val="28"/>
          <w:lang w:eastAsia="es-ES"/>
        </w:rPr>
        <w:t>autoridades, la demanda no cumple con la carga argumentativa suficiente para ser estudiada por la Corte, pues no satisface los criterios exigidos por la jurisprudencia.</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 xml:space="preserve">Afirman </w:t>
      </w:r>
      <w:r w:rsidRPr="00DB3EEA">
        <w:rPr>
          <w:rFonts w:ascii="Times New Roman" w:eastAsia="Calibri" w:hAnsi="Times New Roman" w:cs="Times New Roman"/>
          <w:sz w:val="28"/>
          <w:szCs w:val="28"/>
          <w:lang w:eastAsia="es-ES"/>
        </w:rPr>
        <w:t xml:space="preserve">que </w:t>
      </w:r>
      <w:r w:rsidRPr="00DB3EEA">
        <w:rPr>
          <w:rFonts w:ascii="Times New Roman" w:eastAsia="Calibri" w:hAnsi="Times New Roman" w:cs="Times New Roman"/>
          <w:sz w:val="28"/>
          <w:szCs w:val="28"/>
          <w:lang w:eastAsia="es-ES"/>
        </w:rPr>
        <w:t>“los grupos señalados por los demandantes no son comparables”</w:t>
      </w:r>
      <w:r w:rsidRPr="00DB3EEA">
        <w:rPr>
          <w:rFonts w:ascii="Times New Roman" w:eastAsia="Calibri" w:hAnsi="Times New Roman" w:cs="Times New Roman"/>
          <w:sz w:val="28"/>
          <w:szCs w:val="28"/>
          <w:vertAlign w:val="superscript"/>
          <w:lang w:eastAsia="es-ES"/>
        </w:rPr>
        <w:footnoteReference w:id="40"/>
      </w:r>
      <w:r w:rsidRPr="00DB3EEA">
        <w:rPr>
          <w:rFonts w:ascii="Times New Roman" w:eastAsia="Calibri" w:hAnsi="Times New Roman" w:cs="Times New Roman"/>
          <w:sz w:val="28"/>
          <w:szCs w:val="28"/>
          <w:lang w:eastAsia="es-ES"/>
        </w:rPr>
        <w:t>, y que no ex</w:t>
      </w:r>
      <w:r w:rsidRPr="00DB3EEA">
        <w:rPr>
          <w:rFonts w:ascii="Times New Roman" w:eastAsia="Calibri" w:hAnsi="Times New Roman" w:cs="Times New Roman"/>
          <w:sz w:val="28"/>
          <w:szCs w:val="28"/>
          <w:lang w:eastAsia="es-ES"/>
        </w:rPr>
        <w:t xml:space="preserve">iste un trato diferenciado en la base gravable, </w:t>
      </w:r>
      <w:r w:rsidRPr="00DB3EEA">
        <w:rPr>
          <w:rFonts w:ascii="Times New Roman" w:eastAsia="Calibri" w:hAnsi="Times New Roman" w:cs="Times New Roman"/>
          <w:sz w:val="28"/>
          <w:szCs w:val="28"/>
          <w:lang w:eastAsia="es-ES"/>
        </w:rPr>
        <w:t>ya que</w:t>
      </w:r>
      <w:r w:rsidRPr="00DB3EEA">
        <w:rPr>
          <w:rFonts w:ascii="Times New Roman" w:eastAsia="Calibri" w:hAnsi="Times New Roman" w:cs="Times New Roman"/>
          <w:sz w:val="28"/>
          <w:szCs w:val="28"/>
          <w:lang w:eastAsia="es-ES"/>
        </w:rPr>
        <w:t xml:space="preserve"> el impuesto cuestionado busca “equilibrar las cargas tributarias entre productores nacionales e importadores pues para los segundos siempre será inferior al precio de venta”</w:t>
      </w:r>
      <w:r w:rsidRPr="00DB3EEA">
        <w:rPr>
          <w:rFonts w:ascii="Times New Roman" w:eastAsia="Calibri" w:hAnsi="Times New Roman" w:cs="Times New Roman"/>
          <w:sz w:val="28"/>
          <w:szCs w:val="28"/>
          <w:vertAlign w:val="superscript"/>
          <w:lang w:eastAsia="es-ES"/>
        </w:rPr>
        <w:footnoteReference w:id="41"/>
      </w:r>
      <w:r w:rsidRPr="00DB3EEA">
        <w:rPr>
          <w:rFonts w:ascii="Times New Roman" w:eastAsia="Calibri" w:hAnsi="Times New Roman" w:cs="Times New Roman"/>
          <w:sz w:val="28"/>
          <w:szCs w:val="28"/>
          <w:lang w:eastAsia="es-ES"/>
        </w:rPr>
        <w:t xml:space="preserve">. </w:t>
      </w:r>
    </w:p>
    <w:p w:rsidR="006E5131" w:rsidRPr="00DB3EEA" w:rsidRDefault="00DB3EEA" w:rsidP="006E5131">
      <w:pPr>
        <w:pStyle w:val="Prrafodelista"/>
        <w:rPr>
          <w:rFonts w:ascii="Times New Roman" w:eastAsia="Calibri" w:hAnsi="Times New Roman" w:cs="Times New Roman"/>
          <w:sz w:val="28"/>
          <w:szCs w:val="28"/>
          <w:lang w:eastAsia="es-ES"/>
        </w:rPr>
      </w:pPr>
    </w:p>
    <w:p w:rsidR="006E5131" w:rsidRPr="00DB3EEA" w:rsidRDefault="00DB3EEA" w:rsidP="001F0EF8">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Exponen que la diferenc</w:t>
      </w:r>
      <w:r w:rsidRPr="00DB3EEA">
        <w:rPr>
          <w:rFonts w:ascii="Times New Roman" w:eastAsia="Calibri" w:hAnsi="Times New Roman" w:cs="Times New Roman"/>
          <w:sz w:val="28"/>
          <w:szCs w:val="28"/>
          <w:lang w:eastAsia="es-ES"/>
        </w:rPr>
        <w:t xml:space="preserve">ia en las bases gravables del impuesto obedece a los elementos básicos del tributo, tales como el momento de causación, el hecho generador o su condición monofásica. </w:t>
      </w:r>
      <w:r w:rsidRPr="00DB3EEA">
        <w:rPr>
          <w:rFonts w:ascii="Times New Roman" w:eastAsia="Calibri" w:hAnsi="Times New Roman" w:cs="Times New Roman"/>
          <w:sz w:val="28"/>
          <w:szCs w:val="28"/>
          <w:lang w:eastAsia="es-ES"/>
        </w:rPr>
        <w:t xml:space="preserve">Dado que la importación y la producción constituyen actividades distintas, y que para los </w:t>
      </w:r>
      <w:r w:rsidRPr="00DB3EEA">
        <w:rPr>
          <w:rFonts w:ascii="Times New Roman" w:eastAsia="Calibri" w:hAnsi="Times New Roman" w:cs="Times New Roman"/>
          <w:sz w:val="28"/>
          <w:szCs w:val="28"/>
          <w:lang w:eastAsia="es-ES"/>
        </w:rPr>
        <w:t xml:space="preserve">importadores el impuesto se causa en un momento en el que no es posible conocer su valor comercial, el impuesto, al ser de carácter interno, debe ajustarse en </w:t>
      </w:r>
      <w:r w:rsidRPr="00DB3EEA">
        <w:rPr>
          <w:rFonts w:ascii="Times New Roman" w:eastAsia="Calibri" w:hAnsi="Times New Roman" w:cs="Times New Roman"/>
          <w:sz w:val="28"/>
          <w:szCs w:val="28"/>
          <w:lang w:eastAsia="es-ES"/>
        </w:rPr>
        <w:t>frontera</w:t>
      </w:r>
      <w:r w:rsidRPr="00DB3EEA">
        <w:rPr>
          <w:rFonts w:ascii="Times New Roman" w:eastAsia="Calibri" w:hAnsi="Times New Roman" w:cs="Times New Roman"/>
          <w:sz w:val="28"/>
          <w:szCs w:val="28"/>
          <w:lang w:eastAsia="es-ES"/>
        </w:rPr>
        <w:t xml:space="preserve"> para evitar la competencia desleal entre productos nacionales y extranjeros. Por ello, </w:t>
      </w:r>
      <w:r w:rsidRPr="00DB3EEA">
        <w:rPr>
          <w:rFonts w:ascii="Times New Roman" w:eastAsia="Calibri" w:hAnsi="Times New Roman" w:cs="Times New Roman"/>
          <w:sz w:val="28"/>
          <w:szCs w:val="28"/>
          <w:lang w:eastAsia="es-ES"/>
        </w:rPr>
        <w:t>s</w:t>
      </w:r>
      <w:r w:rsidRPr="00DB3EEA">
        <w:rPr>
          <w:rFonts w:ascii="Times New Roman" w:eastAsia="Calibri" w:hAnsi="Times New Roman" w:cs="Times New Roman"/>
          <w:sz w:val="28"/>
          <w:szCs w:val="28"/>
          <w:lang w:eastAsia="es-ES"/>
        </w:rPr>
        <w:t xml:space="preserve">egún las autoridades, </w:t>
      </w:r>
      <w:r w:rsidRPr="00DB3EEA">
        <w:rPr>
          <w:rFonts w:ascii="Times New Roman" w:eastAsia="Calibri" w:hAnsi="Times New Roman" w:cs="Times New Roman"/>
          <w:sz w:val="28"/>
          <w:szCs w:val="28"/>
          <w:lang w:eastAsia="es-ES"/>
        </w:rPr>
        <w:t>la disposición no constituye un incentivo a los productos nacionales, sino únicamente un instrumento para internalizar las externalidades negativas en la salud derivadas del consumo de productos ultraprocesados.</w:t>
      </w:r>
    </w:p>
    <w:p w:rsidR="00446E09" w:rsidRPr="00DB3EEA" w:rsidRDefault="00DB3EEA" w:rsidP="001F0EF8">
      <w:pPr>
        <w:pStyle w:val="Prrafodelista"/>
        <w:rPr>
          <w:rFonts w:ascii="Times New Roman" w:eastAsia="Calibri" w:hAnsi="Times New Roman" w:cs="Times New Roman"/>
          <w:sz w:val="28"/>
          <w:szCs w:val="28"/>
          <w:lang w:eastAsia="es-ES"/>
        </w:rPr>
      </w:pPr>
    </w:p>
    <w:p w:rsidR="00D30275" w:rsidRPr="00DB3EEA" w:rsidRDefault="00DB3EEA" w:rsidP="001F0EF8">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En esos términos, sostienen que la demanda carece de certeza, suficiencia y especificidad, pues el reproche formulado no se desprende de la norma, sino de la deducción realizada por los accionantes. Afirman que se infiere un trato hipotéticamente desfavora</w:t>
      </w:r>
      <w:r w:rsidRPr="00DB3EEA">
        <w:rPr>
          <w:rFonts w:ascii="Times New Roman" w:eastAsia="Calibri" w:hAnsi="Times New Roman" w:cs="Times New Roman"/>
          <w:sz w:val="28"/>
          <w:szCs w:val="28"/>
          <w:lang w:eastAsia="es-ES"/>
        </w:rPr>
        <w:t xml:space="preserve">ble entre las bases gravables de productos nacionales e importados </w:t>
      </w:r>
      <w:r w:rsidRPr="00DB3EEA">
        <w:rPr>
          <w:rFonts w:ascii="Times New Roman" w:eastAsia="Calibri" w:hAnsi="Times New Roman" w:cs="Times New Roman"/>
          <w:sz w:val="28"/>
          <w:szCs w:val="28"/>
          <w:lang w:eastAsia="es-ES"/>
        </w:rPr>
        <w:t>“sin que la lógica comercial así lo sugiera y desconociendo que las bases gravables diferenciadas obedecen a las distintas transacciones que se presentan y existen en otros tributos”</w:t>
      </w:r>
      <w:r w:rsidRPr="00DB3EEA">
        <w:rPr>
          <w:rFonts w:ascii="Times New Roman" w:eastAsia="Calibri" w:hAnsi="Times New Roman" w:cs="Times New Roman"/>
          <w:sz w:val="28"/>
          <w:szCs w:val="28"/>
          <w:vertAlign w:val="superscript"/>
          <w:lang w:eastAsia="es-ES"/>
        </w:rPr>
        <w:footnoteReference w:id="42"/>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Insi</w:t>
      </w:r>
      <w:r w:rsidRPr="00DB3EEA">
        <w:rPr>
          <w:rFonts w:ascii="Times New Roman" w:eastAsia="Calibri" w:hAnsi="Times New Roman" w:cs="Times New Roman"/>
          <w:sz w:val="28"/>
          <w:szCs w:val="28"/>
          <w:lang w:eastAsia="es-ES"/>
        </w:rPr>
        <w:t>sten en que la inclusión de los tributos aduaneros</w:t>
      </w:r>
      <w:r w:rsidRPr="00DB3EEA">
        <w:rPr>
          <w:rFonts w:ascii="Times New Roman" w:eastAsia="Calibri" w:hAnsi="Times New Roman" w:cs="Times New Roman"/>
          <w:sz w:val="28"/>
          <w:szCs w:val="28"/>
          <w:lang w:eastAsia="es-ES"/>
        </w:rPr>
        <w:t xml:space="preserve"> “equilibra la carga entre la base gravable del productor nacional (i.e. el precio de venta) y el producto importado que consiste en el valor declarado adicionando los tributos aduaneros”</w:t>
      </w:r>
      <w:r w:rsidRPr="00DB3EEA">
        <w:rPr>
          <w:rFonts w:ascii="Times New Roman" w:eastAsia="Calibri" w:hAnsi="Times New Roman" w:cs="Times New Roman"/>
          <w:sz w:val="28"/>
          <w:szCs w:val="28"/>
          <w:vertAlign w:val="superscript"/>
          <w:lang w:eastAsia="es-ES"/>
        </w:rPr>
        <w:footnoteReference w:id="43"/>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pues el valor de</w:t>
      </w:r>
      <w:r w:rsidRPr="00DB3EEA">
        <w:rPr>
          <w:rFonts w:ascii="Times New Roman" w:eastAsia="Calibri" w:hAnsi="Times New Roman" w:cs="Times New Roman"/>
          <w:sz w:val="28"/>
          <w:szCs w:val="28"/>
          <w:lang w:eastAsia="es-ES"/>
        </w:rPr>
        <w:t>clarado en la importación suele ser inferior al precio de comercialización de un bien producido dentro del territorio aduanero.</w:t>
      </w:r>
    </w:p>
    <w:p w:rsidR="00D30275" w:rsidRPr="00DB3EEA" w:rsidRDefault="00DB3EEA" w:rsidP="00D30275">
      <w:pPr>
        <w:pStyle w:val="Prrafodelista"/>
        <w:rPr>
          <w:rFonts w:ascii="Times New Roman" w:eastAsia="Calibri" w:hAnsi="Times New Roman" w:cs="Times New Roman"/>
          <w:sz w:val="28"/>
          <w:szCs w:val="28"/>
          <w:lang w:eastAsia="es-ES"/>
        </w:rPr>
      </w:pPr>
    </w:p>
    <w:p w:rsidR="0073577C" w:rsidRPr="00DB3EEA" w:rsidRDefault="00DB3EEA" w:rsidP="001F0EF8">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Para las autoridades</w:t>
      </w:r>
      <w:r w:rsidRPr="00DB3EEA">
        <w:rPr>
          <w:rFonts w:ascii="Times New Roman" w:eastAsia="Calibri" w:hAnsi="Times New Roman" w:cs="Times New Roman"/>
          <w:sz w:val="28"/>
          <w:szCs w:val="28"/>
          <w:lang w:eastAsia="es-ES"/>
        </w:rPr>
        <w:t>: (i) los demandantes no presentan sujetos en condiciones similares; (ii) la distinción en la base gravable</w:t>
      </w:r>
      <w:r w:rsidRPr="00DB3EEA">
        <w:rPr>
          <w:rFonts w:ascii="Times New Roman" w:eastAsia="Calibri" w:hAnsi="Times New Roman" w:cs="Times New Roman"/>
          <w:sz w:val="28"/>
          <w:szCs w:val="28"/>
          <w:lang w:eastAsia="es-ES"/>
        </w:rPr>
        <w:t xml:space="preserve"> no constituye un criterio de comparación suficiente para alegar un trato diferenciado relevante a la luz de la finalidad de la norma y de los principios de igualdad y equidad; y (iii) la demanda omite que una norma tributaria no puede anular una norma pro</w:t>
      </w:r>
      <w:r w:rsidRPr="00DB3EEA">
        <w:rPr>
          <w:rFonts w:ascii="Times New Roman" w:eastAsia="Calibri" w:hAnsi="Times New Roman" w:cs="Times New Roman"/>
          <w:sz w:val="28"/>
          <w:szCs w:val="28"/>
          <w:lang w:eastAsia="es-ES"/>
        </w:rPr>
        <w:t>pia del régimen de aduanas, dado que los tributos aduaneros se encuentran contenidos en el artículo 3 del Decreto 1165 de 2019</w:t>
      </w:r>
      <w:r w:rsidRPr="00DB3EEA">
        <w:rPr>
          <w:rFonts w:ascii="Times New Roman" w:eastAsia="Calibri" w:hAnsi="Times New Roman" w:cs="Times New Roman"/>
          <w:sz w:val="28"/>
          <w:szCs w:val="28"/>
          <w:vertAlign w:val="superscript"/>
          <w:lang w:eastAsia="es-ES"/>
        </w:rPr>
        <w:footnoteReference w:id="44"/>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 xml:space="preserve">Además, el impuesto sí cuenta con una justificación legítima, al pretender </w:t>
      </w:r>
      <w:r w:rsidRPr="00DB3EEA">
        <w:rPr>
          <w:rFonts w:ascii="Times New Roman" w:eastAsia="Calibri" w:hAnsi="Times New Roman" w:cs="Times New Roman"/>
          <w:sz w:val="28"/>
          <w:szCs w:val="28"/>
          <w:lang w:eastAsia="es-ES"/>
        </w:rPr>
        <w:t>“internalizar las externalidades negativas a la salud de los productos ultraprocesados comestibles”</w:t>
      </w:r>
      <w:r w:rsidRPr="00DB3EEA">
        <w:rPr>
          <w:rFonts w:ascii="Times New Roman" w:eastAsia="Calibri" w:hAnsi="Times New Roman" w:cs="Times New Roman"/>
          <w:sz w:val="28"/>
          <w:szCs w:val="28"/>
          <w:vertAlign w:val="superscript"/>
          <w:lang w:eastAsia="es-ES"/>
        </w:rPr>
        <w:footnoteReference w:id="45"/>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lang w:eastAsia="es-ES"/>
        </w:rPr>
        <w:t xml:space="preserve"> </w:t>
      </w:r>
    </w:p>
    <w:p w:rsidR="00A4752C" w:rsidRPr="00DB3EEA" w:rsidRDefault="00DB3EEA" w:rsidP="00674595">
      <w:pPr>
        <w:rPr>
          <w:rFonts w:ascii="Times New Roman" w:eastAsia="Calibri" w:hAnsi="Times New Roman" w:cs="Times New Roman"/>
          <w:sz w:val="28"/>
          <w:szCs w:val="28"/>
          <w:lang w:eastAsia="es-ES"/>
        </w:rPr>
      </w:pPr>
    </w:p>
    <w:p w:rsidR="009B157E" w:rsidRPr="00DB3EEA" w:rsidRDefault="00DB3EEA" w:rsidP="001F0EF8">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En consecuencia, sugieren a la Corte declararse inhibida, </w:t>
      </w:r>
      <w:r w:rsidRPr="00DB3EEA">
        <w:rPr>
          <w:rFonts w:ascii="Times New Roman" w:eastAsia="Calibri" w:hAnsi="Times New Roman" w:cs="Times New Roman"/>
          <w:sz w:val="28"/>
          <w:szCs w:val="28"/>
          <w:lang w:eastAsia="es-ES"/>
        </w:rPr>
        <w:t xml:space="preserve">“porque: (i) los grupos propuestos no son comparables; (ii) la diferencia entre los grupos no </w:t>
      </w:r>
      <w:r w:rsidRPr="00DB3EEA">
        <w:rPr>
          <w:rFonts w:ascii="Times New Roman" w:eastAsia="Calibri" w:hAnsi="Times New Roman" w:cs="Times New Roman"/>
          <w:sz w:val="28"/>
          <w:szCs w:val="28"/>
          <w:lang w:eastAsia="es-ES"/>
        </w:rPr>
        <w:t>supone un trato desfavorable; y (iii) la diferencia en las bases gravables persigue una finalidad legítima que consiste en equilibrar las cargas tributarias”</w:t>
      </w:r>
      <w:r w:rsidRPr="00DB3EEA">
        <w:rPr>
          <w:rFonts w:ascii="Times New Roman" w:eastAsia="Calibri" w:hAnsi="Times New Roman" w:cs="Times New Roman"/>
          <w:sz w:val="28"/>
          <w:szCs w:val="28"/>
          <w:vertAlign w:val="superscript"/>
          <w:lang w:eastAsia="es-ES"/>
        </w:rPr>
        <w:footnoteReference w:id="46"/>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 xml:space="preserve"> </w:t>
      </w:r>
    </w:p>
    <w:p w:rsidR="009B157E" w:rsidRPr="00DB3EEA" w:rsidRDefault="00DB3EEA" w:rsidP="009B157E">
      <w:pPr>
        <w:pStyle w:val="Prrafodelista"/>
        <w:rPr>
          <w:rFonts w:ascii="Times New Roman" w:eastAsia="Calibri" w:hAnsi="Times New Roman" w:cs="Times New Roman"/>
          <w:sz w:val="28"/>
          <w:szCs w:val="28"/>
          <w:lang w:eastAsia="es-ES"/>
        </w:rPr>
      </w:pPr>
    </w:p>
    <w:p w:rsidR="00E75067" w:rsidRPr="00DB3EEA" w:rsidRDefault="00DB3EEA" w:rsidP="001F0EF8">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No obstante, consideran </w:t>
      </w:r>
      <w:r w:rsidRPr="00DB3EEA">
        <w:rPr>
          <w:rFonts w:ascii="Times New Roman" w:eastAsia="Calibri" w:hAnsi="Times New Roman" w:cs="Times New Roman"/>
          <w:sz w:val="28"/>
          <w:szCs w:val="28"/>
          <w:lang w:eastAsia="es-ES"/>
        </w:rPr>
        <w:t>que,</w:t>
      </w:r>
      <w:r w:rsidRPr="00DB3EEA">
        <w:rPr>
          <w:rFonts w:ascii="Times New Roman" w:eastAsia="Calibri" w:hAnsi="Times New Roman" w:cs="Times New Roman"/>
          <w:sz w:val="28"/>
          <w:szCs w:val="28"/>
          <w:lang w:eastAsia="es-ES"/>
        </w:rPr>
        <w:t xml:space="preserve"> si la Corte </w:t>
      </w:r>
      <w:r w:rsidRPr="00DB3EEA">
        <w:rPr>
          <w:rFonts w:ascii="Times New Roman" w:eastAsia="Calibri" w:hAnsi="Times New Roman" w:cs="Times New Roman"/>
          <w:sz w:val="28"/>
          <w:szCs w:val="28"/>
          <w:lang w:eastAsia="es-ES"/>
        </w:rPr>
        <w:t>estim</w:t>
      </w:r>
      <w:r w:rsidRPr="00DB3EEA">
        <w:rPr>
          <w:rFonts w:ascii="Times New Roman" w:eastAsia="Calibri" w:hAnsi="Times New Roman" w:cs="Times New Roman"/>
          <w:sz w:val="28"/>
          <w:szCs w:val="28"/>
          <w:lang w:eastAsia="es-ES"/>
        </w:rPr>
        <w:t xml:space="preserve">a que los cargos si cumplen con las exigencias para ser estudiados de fondo, la disposición acusada debe ser declarada exequible. </w:t>
      </w:r>
      <w:r w:rsidRPr="00DB3EEA">
        <w:rPr>
          <w:rFonts w:ascii="Times New Roman" w:eastAsia="Calibri" w:hAnsi="Times New Roman" w:cs="Times New Roman"/>
          <w:sz w:val="28"/>
          <w:szCs w:val="28"/>
          <w:lang w:eastAsia="es-ES"/>
        </w:rPr>
        <w:t>Para</w:t>
      </w:r>
      <w:r w:rsidRPr="00DB3EEA">
        <w:rPr>
          <w:rFonts w:ascii="Times New Roman" w:eastAsia="Calibri" w:hAnsi="Times New Roman" w:cs="Times New Roman"/>
          <w:sz w:val="28"/>
          <w:szCs w:val="28"/>
          <w:lang w:eastAsia="es-ES"/>
        </w:rPr>
        <w:t xml:space="preserve"> dar claridad sobre el tributo, </w:t>
      </w:r>
      <w:r w:rsidRPr="00DB3EEA">
        <w:rPr>
          <w:rFonts w:ascii="Times New Roman" w:eastAsia="Calibri" w:hAnsi="Times New Roman" w:cs="Times New Roman"/>
          <w:sz w:val="28"/>
          <w:szCs w:val="28"/>
          <w:lang w:eastAsia="es-ES"/>
        </w:rPr>
        <w:t>reitera</w:t>
      </w:r>
      <w:r w:rsidRPr="00DB3EEA">
        <w:rPr>
          <w:rFonts w:ascii="Times New Roman" w:eastAsia="Calibri" w:hAnsi="Times New Roman" w:cs="Times New Roman"/>
          <w:sz w:val="28"/>
          <w:szCs w:val="28"/>
          <w:lang w:eastAsia="es-ES"/>
        </w:rPr>
        <w:t>n que la base gravable diferenciada pretende equilibrar las cargas entre el valor c</w:t>
      </w:r>
      <w:r w:rsidRPr="00DB3EEA">
        <w:rPr>
          <w:rFonts w:ascii="Times New Roman" w:eastAsia="Calibri" w:hAnsi="Times New Roman" w:cs="Times New Roman"/>
          <w:sz w:val="28"/>
          <w:szCs w:val="28"/>
          <w:lang w:eastAsia="es-ES"/>
        </w:rPr>
        <w:t>omercial nacional y el valor reportado en aduanas</w:t>
      </w:r>
      <w:r w:rsidRPr="00DB3EEA">
        <w:rPr>
          <w:rFonts w:ascii="Times New Roman" w:eastAsia="Calibri" w:hAnsi="Times New Roman" w:cs="Times New Roman"/>
          <w:sz w:val="28"/>
          <w:szCs w:val="28"/>
          <w:vertAlign w:val="superscript"/>
          <w:lang w:eastAsia="es-ES"/>
        </w:rPr>
        <w:footnoteReference w:id="47"/>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Argumentan que, mientras para los productores el hecho generador del impuesto es la venta y, por tanto, la base gravable corresponde al precio de venta reflejado en la factura, para los importadores el he</w:t>
      </w:r>
      <w:r w:rsidRPr="00DB3EEA">
        <w:rPr>
          <w:rFonts w:ascii="Times New Roman" w:eastAsia="Calibri" w:hAnsi="Times New Roman" w:cs="Times New Roman"/>
          <w:sz w:val="28"/>
          <w:szCs w:val="28"/>
          <w:lang w:eastAsia="es-ES"/>
        </w:rPr>
        <w:t xml:space="preserve">cho generador es la importación, lo que implica que la base gravable sea el valor internacional del bien más el costo de ingresarlo al territorio nacional: </w:t>
      </w:r>
      <w:r w:rsidRPr="00DB3EEA">
        <w:rPr>
          <w:rFonts w:ascii="Times New Roman" w:eastAsia="Calibri" w:hAnsi="Times New Roman" w:cs="Times New Roman"/>
          <w:sz w:val="28"/>
          <w:szCs w:val="28"/>
          <w:lang w:eastAsia="es-ES"/>
        </w:rPr>
        <w:t>“Es decir, el valor declarado más tributos aduaneros (aranceles e impuesto sobre las ventas -IVA), q</w:t>
      </w:r>
      <w:r w:rsidRPr="00DB3EEA">
        <w:rPr>
          <w:rFonts w:ascii="Times New Roman" w:eastAsia="Calibri" w:hAnsi="Times New Roman" w:cs="Times New Roman"/>
          <w:sz w:val="28"/>
          <w:szCs w:val="28"/>
          <w:lang w:eastAsia="es-ES"/>
        </w:rPr>
        <w:t>ue será inferior al precio de venta y por tanto la base del ICUI es inferior”</w:t>
      </w:r>
      <w:r w:rsidRPr="00DB3EEA">
        <w:rPr>
          <w:rFonts w:ascii="Times New Roman" w:eastAsia="Calibri" w:hAnsi="Times New Roman" w:cs="Times New Roman"/>
          <w:sz w:val="28"/>
          <w:szCs w:val="28"/>
          <w:vertAlign w:val="superscript"/>
          <w:lang w:eastAsia="es-ES"/>
        </w:rPr>
        <w:footnoteReference w:id="48"/>
      </w:r>
      <w:r w:rsidRPr="00DB3EEA">
        <w:rPr>
          <w:rFonts w:ascii="Times New Roman" w:eastAsia="Calibri" w:hAnsi="Times New Roman" w:cs="Times New Roman"/>
          <w:sz w:val="28"/>
          <w:szCs w:val="28"/>
          <w:lang w:eastAsia="es-ES"/>
        </w:rPr>
        <w:t xml:space="preserve">. </w:t>
      </w:r>
    </w:p>
    <w:p w:rsidR="00E75067" w:rsidRPr="00DB3EEA" w:rsidRDefault="00DB3EEA" w:rsidP="00E75067">
      <w:pPr>
        <w:pStyle w:val="Prrafodelista"/>
        <w:rPr>
          <w:rFonts w:ascii="Times New Roman" w:eastAsia="Calibri" w:hAnsi="Times New Roman" w:cs="Times New Roman"/>
          <w:sz w:val="28"/>
          <w:szCs w:val="28"/>
          <w:lang w:eastAsia="es-ES"/>
        </w:rPr>
      </w:pPr>
    </w:p>
    <w:p w:rsidR="000D6CC5" w:rsidRPr="00DB3EEA" w:rsidRDefault="00DB3EEA" w:rsidP="00E947BC">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E</w:t>
      </w:r>
      <w:r w:rsidRPr="00DB3EEA">
        <w:rPr>
          <w:rFonts w:ascii="Times New Roman" w:eastAsia="Calibri" w:hAnsi="Times New Roman" w:cs="Times New Roman"/>
          <w:sz w:val="28"/>
          <w:szCs w:val="28"/>
          <w:lang w:eastAsia="es-ES"/>
        </w:rPr>
        <w:t xml:space="preserve">nfatizan que </w:t>
      </w:r>
      <w:r w:rsidRPr="00DB3EEA">
        <w:rPr>
          <w:rFonts w:ascii="Times New Roman" w:eastAsia="Calibri" w:hAnsi="Times New Roman" w:cs="Times New Roman"/>
          <w:sz w:val="28"/>
          <w:szCs w:val="28"/>
          <w:lang w:eastAsia="es-ES"/>
        </w:rPr>
        <w:t xml:space="preserve">al legislador no le es exigible determinar las bases con criterios de exactitud, sino de aproximación, que le permitan “gravar adecuada y equitativamente la </w:t>
      </w:r>
      <w:r w:rsidRPr="00DB3EEA">
        <w:rPr>
          <w:rFonts w:ascii="Times New Roman" w:eastAsia="Calibri" w:hAnsi="Times New Roman" w:cs="Times New Roman"/>
          <w:sz w:val="28"/>
          <w:szCs w:val="28"/>
          <w:lang w:eastAsia="es-ES"/>
        </w:rPr>
        <w:t>capacidad contributiva”</w:t>
      </w:r>
      <w:r w:rsidRPr="00DB3EEA">
        <w:rPr>
          <w:rFonts w:ascii="Times New Roman" w:eastAsia="Calibri" w:hAnsi="Times New Roman" w:cs="Times New Roman"/>
          <w:sz w:val="28"/>
          <w:szCs w:val="28"/>
          <w:vertAlign w:val="superscript"/>
          <w:lang w:eastAsia="es-ES"/>
        </w:rPr>
        <w:t xml:space="preserve"> </w:t>
      </w:r>
      <w:r w:rsidRPr="00DB3EEA">
        <w:rPr>
          <w:rFonts w:ascii="Times New Roman" w:eastAsia="Calibri" w:hAnsi="Times New Roman" w:cs="Times New Roman"/>
          <w:sz w:val="28"/>
          <w:szCs w:val="28"/>
          <w:vertAlign w:val="superscript"/>
          <w:lang w:eastAsia="es-ES"/>
        </w:rPr>
        <w:footnoteReference w:id="49"/>
      </w:r>
      <w:r w:rsidRPr="00DB3EEA">
        <w:rPr>
          <w:rFonts w:ascii="Times New Roman" w:eastAsia="Calibri" w:hAnsi="Times New Roman" w:cs="Times New Roman"/>
          <w:sz w:val="28"/>
          <w:szCs w:val="28"/>
          <w:lang w:eastAsia="es-ES"/>
        </w:rPr>
        <w:t xml:space="preserve">. Citan la sentencia C-252 de 1997 para afirmar que </w:t>
      </w:r>
      <w:r w:rsidRPr="00DB3EEA">
        <w:rPr>
          <w:rFonts w:ascii="Times New Roman" w:eastAsia="Calibri" w:hAnsi="Times New Roman" w:cs="Times New Roman"/>
          <w:sz w:val="28"/>
          <w:szCs w:val="28"/>
          <w:lang w:eastAsia="es-ES"/>
        </w:rPr>
        <w:t>“la Constitución no exige que la estimación de la capacidad económica de los contribuyentes siempre se determine a través de indicadores directos de renta o de patrimonio. (…) [lo</w:t>
      </w:r>
      <w:r w:rsidRPr="00DB3EEA">
        <w:rPr>
          <w:rFonts w:ascii="Times New Roman" w:eastAsia="Calibri" w:hAnsi="Times New Roman" w:cs="Times New Roman"/>
          <w:sz w:val="28"/>
          <w:szCs w:val="28"/>
          <w:lang w:eastAsia="es-ES"/>
        </w:rPr>
        <w:t>s legisladores pueden] acudir a parámetros indirectos de medición del bienestar económico del contribuyente que pese a ello puedan ser validados socialmente como indicadores de riqueza”</w:t>
      </w:r>
      <w:r w:rsidRPr="00DB3EEA">
        <w:rPr>
          <w:rFonts w:ascii="Times New Roman" w:eastAsia="Calibri" w:hAnsi="Times New Roman" w:cs="Times New Roman"/>
          <w:sz w:val="28"/>
          <w:szCs w:val="28"/>
          <w:vertAlign w:val="superscript"/>
          <w:lang w:eastAsia="es-ES"/>
        </w:rPr>
        <w:footnoteReference w:id="50"/>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 xml:space="preserve">Conforme a lo anterior, </w:t>
      </w:r>
      <w:r w:rsidRPr="00DB3EEA">
        <w:rPr>
          <w:rFonts w:ascii="Times New Roman" w:eastAsia="Calibri" w:hAnsi="Times New Roman" w:cs="Times New Roman"/>
          <w:sz w:val="28"/>
          <w:szCs w:val="28"/>
          <w:lang w:eastAsia="es-ES"/>
        </w:rPr>
        <w:t>afirman que la diferenciación de la base gra</w:t>
      </w:r>
      <w:r w:rsidRPr="00DB3EEA">
        <w:rPr>
          <w:rFonts w:ascii="Times New Roman" w:eastAsia="Calibri" w:hAnsi="Times New Roman" w:cs="Times New Roman"/>
          <w:sz w:val="28"/>
          <w:szCs w:val="28"/>
          <w:lang w:eastAsia="es-ES"/>
        </w:rPr>
        <w:t xml:space="preserve">vable entre importadores y productores de productos comestibles ultraprocesados es constitucionalmente válida, pues las bases gravables no pueden ser idénticas, dado que </w:t>
      </w:r>
      <w:r w:rsidRPr="00DB3EEA">
        <w:rPr>
          <w:rFonts w:ascii="Times New Roman" w:eastAsia="Calibri" w:hAnsi="Times New Roman" w:cs="Times New Roman"/>
          <w:sz w:val="28"/>
          <w:szCs w:val="28"/>
          <w:lang w:eastAsia="es-ES"/>
        </w:rPr>
        <w:t>“[en] la importación no se puede exigir el precio de venta como base gravable”.</w:t>
      </w:r>
    </w:p>
    <w:p w:rsidR="005B7CF4" w:rsidRPr="00DB3EEA" w:rsidRDefault="00DB3EEA" w:rsidP="005B7CF4">
      <w:pPr>
        <w:pStyle w:val="Prrafodelista"/>
        <w:rPr>
          <w:rFonts w:ascii="Times New Roman" w:eastAsia="Calibri" w:hAnsi="Times New Roman" w:cs="Times New Roman"/>
          <w:sz w:val="28"/>
          <w:szCs w:val="28"/>
          <w:lang w:eastAsia="es-ES"/>
        </w:rPr>
      </w:pPr>
    </w:p>
    <w:p w:rsidR="00964B86" w:rsidRPr="00DB3EEA" w:rsidRDefault="00DB3EEA" w:rsidP="00E947BC">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Sostienen que esta situación se observa en otros tributos, como el impuesto al valor agregado de los productos importados, en los que es necesario distinguir entre las ventas y las importaciones, dos supuestos de hecho incomparables. Afirman que </w:t>
      </w:r>
      <w:r w:rsidRPr="00DB3EEA">
        <w:rPr>
          <w:rFonts w:ascii="Times New Roman" w:eastAsia="Calibri" w:hAnsi="Times New Roman" w:cs="Times New Roman"/>
          <w:sz w:val="28"/>
          <w:szCs w:val="28"/>
          <w:lang w:eastAsia="es-ES"/>
        </w:rPr>
        <w:t xml:space="preserve">“para evitar una competencia desleal entre productos nacionales y extranjeros, el impuesto saludable se ajusta en frontera”.  </w:t>
      </w:r>
      <w:r w:rsidRPr="00DB3EEA">
        <w:rPr>
          <w:rFonts w:ascii="Times New Roman" w:eastAsia="Calibri" w:hAnsi="Times New Roman" w:cs="Times New Roman"/>
          <w:sz w:val="28"/>
          <w:szCs w:val="28"/>
          <w:lang w:eastAsia="es-ES"/>
        </w:rPr>
        <w:t>Explican que este cobro busca garantizar que los productos importados no eludan su obligación tributaria, ya que, de cobrarse de o</w:t>
      </w:r>
      <w:r w:rsidRPr="00DB3EEA">
        <w:rPr>
          <w:rFonts w:ascii="Times New Roman" w:eastAsia="Calibri" w:hAnsi="Times New Roman" w:cs="Times New Roman"/>
          <w:sz w:val="28"/>
          <w:szCs w:val="28"/>
          <w:lang w:eastAsia="es-ES"/>
        </w:rPr>
        <w:t>tra manera, podría afectarse gravemente la competencia, en vista de que en la importación no hay venta y el importador, al vender, no genera nuevamente el impuesto saludable</w:t>
      </w:r>
      <w:r w:rsidRPr="00DB3EEA">
        <w:rPr>
          <w:rFonts w:ascii="Times New Roman" w:eastAsia="Calibri" w:hAnsi="Times New Roman" w:cs="Times New Roman"/>
          <w:sz w:val="28"/>
          <w:szCs w:val="28"/>
          <w:vertAlign w:val="superscript"/>
          <w:lang w:eastAsia="es-ES"/>
        </w:rPr>
        <w:footnoteReference w:id="51"/>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lang w:eastAsia="es-ES"/>
        </w:rPr>
        <w:t xml:space="preserve"> </w:t>
      </w:r>
    </w:p>
    <w:p w:rsidR="003F2318" w:rsidRPr="00DB3EEA" w:rsidRDefault="00DB3EEA" w:rsidP="00AF519C">
      <w:pPr>
        <w:pStyle w:val="Prrafodelista"/>
        <w:tabs>
          <w:tab w:val="left" w:pos="426"/>
        </w:tabs>
        <w:ind w:left="0"/>
        <w:jc w:val="both"/>
        <w:rPr>
          <w:rFonts w:ascii="Times New Roman" w:eastAsia="Calibri" w:hAnsi="Times New Roman" w:cs="Times New Roman"/>
          <w:sz w:val="28"/>
          <w:szCs w:val="28"/>
          <w:lang w:eastAsia="es-ES"/>
        </w:rPr>
      </w:pPr>
    </w:p>
    <w:p w:rsidR="005B7CF4" w:rsidRPr="00DB3EEA" w:rsidRDefault="00DB3EEA" w:rsidP="00E947BC">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Aclaran que la expresión </w:t>
      </w:r>
      <w:r w:rsidRPr="00DB3EEA">
        <w:rPr>
          <w:rFonts w:ascii="Times New Roman" w:eastAsia="Calibri" w:hAnsi="Times New Roman" w:cs="Times New Roman"/>
          <w:i/>
          <w:iCs/>
          <w:sz w:val="28"/>
          <w:szCs w:val="28"/>
          <w:lang w:eastAsia="es-ES"/>
        </w:rPr>
        <w:t>adicionados con el valor de este gravamen</w:t>
      </w:r>
      <w:r w:rsidRPr="00DB3EEA">
        <w:rPr>
          <w:rFonts w:ascii="Times New Roman" w:eastAsia="Calibri" w:hAnsi="Times New Roman" w:cs="Times New Roman"/>
          <w:sz w:val="28"/>
          <w:szCs w:val="28"/>
          <w:lang w:eastAsia="es-ES"/>
        </w:rPr>
        <w:t xml:space="preserve"> debe entend</w:t>
      </w:r>
      <w:r w:rsidRPr="00DB3EEA">
        <w:rPr>
          <w:rFonts w:ascii="Times New Roman" w:eastAsia="Calibri" w:hAnsi="Times New Roman" w:cs="Times New Roman"/>
          <w:sz w:val="28"/>
          <w:szCs w:val="28"/>
          <w:lang w:eastAsia="es-ES"/>
        </w:rPr>
        <w:t>erse como tributos aduaneros, es decir, la</w:t>
      </w:r>
      <w:r w:rsidRPr="00DB3EEA">
        <w:rPr>
          <w:rFonts w:ascii="Times New Roman" w:eastAsia="Calibri" w:hAnsi="Times New Roman" w:cs="Times New Roman"/>
          <w:sz w:val="28"/>
          <w:szCs w:val="28"/>
          <w:lang w:eastAsia="es-ES"/>
        </w:rPr>
        <w:t xml:space="preserve"> “sumatoria del valor en aduana; los derechos de aduana; otros derechos, impuestos o recargos percibidos en la importación o con motivo de la importación; y el impuesto sobre las ventas -IVA”</w:t>
      </w:r>
      <w:r w:rsidRPr="00DB3EEA">
        <w:rPr>
          <w:rFonts w:ascii="Times New Roman" w:eastAsia="Calibri" w:hAnsi="Times New Roman" w:cs="Times New Roman"/>
          <w:sz w:val="28"/>
          <w:szCs w:val="28"/>
          <w:vertAlign w:val="superscript"/>
          <w:lang w:eastAsia="es-ES"/>
        </w:rPr>
        <w:footnoteReference w:id="52"/>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 xml:space="preserve">Esta determinación </w:t>
      </w:r>
      <w:r w:rsidRPr="00DB3EEA">
        <w:rPr>
          <w:rFonts w:ascii="Times New Roman" w:eastAsia="Calibri" w:hAnsi="Times New Roman" w:cs="Times New Roman"/>
          <w:sz w:val="28"/>
          <w:szCs w:val="28"/>
          <w:lang w:eastAsia="es-ES"/>
        </w:rPr>
        <w:t>permite que el producto internacional compita con</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 xml:space="preserve">el producto nacional, cuyo impuesto se causa sobre el precio de venta. A su juicio, </w:t>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lang w:eastAsia="es-ES"/>
        </w:rPr>
        <w:t xml:space="preserve">guarda total coherencia que la base gravable para productos importados corresponda al valor declarado adicionando los </w:t>
      </w:r>
      <w:r w:rsidRPr="00DB3EEA">
        <w:rPr>
          <w:rFonts w:ascii="Times New Roman" w:eastAsia="Calibri" w:hAnsi="Times New Roman" w:cs="Times New Roman"/>
          <w:sz w:val="28"/>
          <w:szCs w:val="28"/>
          <w:lang w:eastAsia="es-ES"/>
        </w:rPr>
        <w:t>tributos aduaneros que ya se encuentran determinados al momento de la importación</w:t>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vertAlign w:val="superscript"/>
          <w:lang w:eastAsia="es-ES"/>
        </w:rPr>
        <w:footnoteReference w:id="53"/>
      </w:r>
      <w:r w:rsidRPr="00DB3EEA">
        <w:rPr>
          <w:rFonts w:ascii="Times New Roman" w:eastAsia="Calibri" w:hAnsi="Times New Roman" w:cs="Times New Roman"/>
          <w:sz w:val="28"/>
          <w:szCs w:val="28"/>
          <w:lang w:eastAsia="es-ES"/>
        </w:rPr>
        <w:t xml:space="preserve">. </w:t>
      </w:r>
    </w:p>
    <w:p w:rsidR="00BA60A7" w:rsidRPr="00DB3EEA" w:rsidRDefault="00DB3EEA" w:rsidP="00BA60A7">
      <w:pPr>
        <w:pStyle w:val="Prrafodelista"/>
        <w:tabs>
          <w:tab w:val="left" w:pos="426"/>
        </w:tabs>
        <w:ind w:left="0"/>
        <w:jc w:val="both"/>
        <w:rPr>
          <w:rFonts w:ascii="Times New Roman" w:eastAsia="Calibri" w:hAnsi="Times New Roman" w:cs="Times New Roman"/>
          <w:sz w:val="28"/>
          <w:szCs w:val="28"/>
          <w:lang w:eastAsia="es-ES"/>
        </w:rPr>
      </w:pPr>
    </w:p>
    <w:p w:rsidR="007751CF" w:rsidRPr="00DB3EEA" w:rsidRDefault="00DB3EEA" w:rsidP="00E947BC">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En ese sentido, afirman que pretender que el impuesto saludable se aplique a importadores y productores sobre una misma base gravable carece de sentido, pues ello </w:t>
      </w:r>
      <w:r w:rsidRPr="00DB3EEA">
        <w:rPr>
          <w:rFonts w:ascii="Times New Roman" w:eastAsia="Calibri" w:hAnsi="Times New Roman" w:cs="Times New Roman"/>
          <w:sz w:val="28"/>
          <w:szCs w:val="28"/>
          <w:lang w:eastAsia="es-ES"/>
        </w:rPr>
        <w:t>“no gu</w:t>
      </w:r>
      <w:r w:rsidRPr="00DB3EEA">
        <w:rPr>
          <w:rFonts w:ascii="Times New Roman" w:eastAsia="Calibri" w:hAnsi="Times New Roman" w:cs="Times New Roman"/>
          <w:sz w:val="28"/>
          <w:szCs w:val="28"/>
          <w:lang w:eastAsia="es-ES"/>
        </w:rPr>
        <w:t>ardaría coherencia con el carácter monofásico del ICUI y el momento de su causación, lo cual se reflejaría en la incapacidad de liquidar y pagar el tributo desconociendo de esta manera la finalidad de la norma que es internalizar las externalidades negativ</w:t>
      </w:r>
      <w:r w:rsidRPr="00DB3EEA">
        <w:rPr>
          <w:rFonts w:ascii="Times New Roman" w:eastAsia="Calibri" w:hAnsi="Times New Roman" w:cs="Times New Roman"/>
          <w:sz w:val="28"/>
          <w:szCs w:val="28"/>
          <w:lang w:eastAsia="es-ES"/>
        </w:rPr>
        <w:t>as que genera en la salud el consumo de productos comestibles ultraprocesados industrialmente y/o con alto contenido de azúcares añadidos, sodio o grasas saturadas”</w:t>
      </w:r>
      <w:r w:rsidRPr="00DB3EEA">
        <w:rPr>
          <w:rFonts w:ascii="Times New Roman" w:eastAsia="Calibri" w:hAnsi="Times New Roman" w:cs="Times New Roman"/>
          <w:sz w:val="28"/>
          <w:szCs w:val="28"/>
          <w:vertAlign w:val="superscript"/>
          <w:lang w:eastAsia="es-ES"/>
        </w:rPr>
        <w:footnoteReference w:id="54"/>
      </w:r>
      <w:r w:rsidRPr="00DB3EEA">
        <w:rPr>
          <w:rFonts w:ascii="Times New Roman" w:eastAsia="Calibri" w:hAnsi="Times New Roman" w:cs="Times New Roman"/>
          <w:sz w:val="28"/>
          <w:szCs w:val="28"/>
          <w:lang w:eastAsia="es-ES"/>
        </w:rPr>
        <w:t>.</w:t>
      </w:r>
    </w:p>
    <w:p w:rsidR="00CF3E07" w:rsidRPr="00DB3EEA" w:rsidRDefault="00DB3EEA" w:rsidP="00CF3E07">
      <w:pPr>
        <w:pStyle w:val="Prrafodelista"/>
        <w:tabs>
          <w:tab w:val="left" w:pos="426"/>
        </w:tabs>
        <w:ind w:left="0"/>
        <w:jc w:val="both"/>
        <w:rPr>
          <w:rFonts w:ascii="Times New Roman" w:eastAsia="Calibri" w:hAnsi="Times New Roman" w:cs="Times New Roman"/>
          <w:sz w:val="28"/>
          <w:szCs w:val="28"/>
          <w:lang w:eastAsia="es-ES"/>
        </w:rPr>
      </w:pPr>
    </w:p>
    <w:p w:rsidR="00F7722E" w:rsidRPr="00DB3EEA" w:rsidRDefault="00DB3EEA" w:rsidP="00E947BC">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D</w:t>
      </w:r>
      <w:r w:rsidRPr="00DB3EEA">
        <w:rPr>
          <w:rFonts w:ascii="Times New Roman" w:eastAsia="Calibri" w:hAnsi="Times New Roman" w:cs="Times New Roman"/>
          <w:sz w:val="28"/>
          <w:szCs w:val="28"/>
          <w:lang w:eastAsia="es-ES"/>
        </w:rPr>
        <w:t xml:space="preserve">estacan que la naturaleza extrafiscal del impuesto implica que, sin importar el origen </w:t>
      </w:r>
      <w:r w:rsidRPr="00DB3EEA">
        <w:rPr>
          <w:rFonts w:ascii="Times New Roman" w:eastAsia="Calibri" w:hAnsi="Times New Roman" w:cs="Times New Roman"/>
          <w:sz w:val="28"/>
          <w:szCs w:val="28"/>
          <w:lang w:eastAsia="es-ES"/>
        </w:rPr>
        <w:t>del bien, su finalidad se centre en encarecer el consumo de productos con características indeseadas que generan impactos nocivos en la salud pública. En ese sentido, las bases gravables diferenciales: (i) persiguen un fin constitucional reconocido; (ii) p</w:t>
      </w:r>
      <w:r w:rsidRPr="00DB3EEA">
        <w:rPr>
          <w:rFonts w:ascii="Times New Roman" w:eastAsia="Calibri" w:hAnsi="Times New Roman" w:cs="Times New Roman"/>
          <w:sz w:val="28"/>
          <w:szCs w:val="28"/>
          <w:lang w:eastAsia="es-ES"/>
        </w:rPr>
        <w:t>ermiten alcanzar los fines deseados; (iii) son necesarias; y (iv) son proporcionales en sentido estricto, sin afectar el núcleo esencial de ningún derecho.</w:t>
      </w:r>
    </w:p>
    <w:p w:rsidR="00E06A97" w:rsidRPr="00DB3EEA" w:rsidRDefault="00DB3EEA" w:rsidP="007F661A">
      <w:pPr>
        <w:rPr>
          <w:rFonts w:ascii="Times New Roman" w:eastAsia="Calibri" w:hAnsi="Times New Roman" w:cs="Times New Roman"/>
          <w:sz w:val="28"/>
          <w:szCs w:val="28"/>
          <w:lang w:eastAsia="es-ES"/>
        </w:rPr>
      </w:pPr>
    </w:p>
    <w:p w:rsidR="008113CD" w:rsidRPr="00DB3EEA" w:rsidRDefault="00DB3EEA" w:rsidP="00E947BC">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Agregan que la apreciación según la cual la medida incentiva los bienes nacionales es subjetiva, pues, al aplicarse tarifas iguales y existir diferencias de costos entre la importación y la producción, es posible que los bienes importados resulten más bara</w:t>
      </w:r>
      <w:r w:rsidRPr="00DB3EEA">
        <w:rPr>
          <w:rFonts w:ascii="Times New Roman" w:eastAsia="Calibri" w:hAnsi="Times New Roman" w:cs="Times New Roman"/>
          <w:sz w:val="28"/>
          <w:szCs w:val="28"/>
          <w:lang w:eastAsia="es-ES"/>
        </w:rPr>
        <w:t>tos. Además, sostienen que no puede confundirse la condición pigouviana del tributo con una afectación al derecho a la libre competencia, ya que, por su naturaleza, estos impuestos, aunque desincentivan ciertos mercados, buscan ante todo que el mercado fun</w:t>
      </w:r>
      <w:r w:rsidRPr="00DB3EEA">
        <w:rPr>
          <w:rFonts w:ascii="Times New Roman" w:eastAsia="Calibri" w:hAnsi="Times New Roman" w:cs="Times New Roman"/>
          <w:sz w:val="28"/>
          <w:szCs w:val="28"/>
          <w:lang w:eastAsia="es-ES"/>
        </w:rPr>
        <w:t>cione internalizando las externalidades negativas que produce.</w:t>
      </w:r>
    </w:p>
    <w:p w:rsidR="008113CD" w:rsidRPr="00DB3EEA" w:rsidRDefault="00DB3EEA" w:rsidP="008113CD">
      <w:pPr>
        <w:pStyle w:val="Prrafodelista"/>
        <w:rPr>
          <w:rFonts w:ascii="Times New Roman" w:eastAsia="Calibri" w:hAnsi="Times New Roman" w:cs="Times New Roman"/>
          <w:sz w:val="28"/>
          <w:szCs w:val="28"/>
          <w:lang w:eastAsia="es-ES"/>
        </w:rPr>
      </w:pPr>
    </w:p>
    <w:p w:rsidR="0079069B" w:rsidRPr="00DB3EEA" w:rsidRDefault="00DB3EEA" w:rsidP="00E947BC">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Adicionalmente, las autoridades argumentan que la demanda parte del supuesto erróneo de considerar la diferencia en las bases gravables como un arancel. Explican que en ningún momento el Congr</w:t>
      </w:r>
      <w:r w:rsidRPr="00DB3EEA">
        <w:rPr>
          <w:rFonts w:ascii="Times New Roman" w:eastAsia="Calibri" w:hAnsi="Times New Roman" w:cs="Times New Roman"/>
          <w:sz w:val="28"/>
          <w:szCs w:val="28"/>
          <w:lang w:eastAsia="es-ES"/>
        </w:rPr>
        <w:t xml:space="preserve">eso interviene en materias de política comercial reservadas al Presidente, pues las disposiciones demandadas únicamente definen las bases del impuesto para permitir su recaudo en el momento de la nacionalización. Sostienen que </w:t>
      </w:r>
      <w:r w:rsidRPr="00DB3EEA">
        <w:rPr>
          <w:rFonts w:ascii="Times New Roman" w:eastAsia="Calibri" w:hAnsi="Times New Roman" w:cs="Times New Roman"/>
          <w:sz w:val="28"/>
          <w:szCs w:val="28"/>
          <w:lang w:eastAsia="es-ES"/>
        </w:rPr>
        <w:t>“dadas las características pr</w:t>
      </w:r>
      <w:r w:rsidRPr="00DB3EEA">
        <w:rPr>
          <w:rFonts w:ascii="Times New Roman" w:eastAsia="Calibri" w:hAnsi="Times New Roman" w:cs="Times New Roman"/>
          <w:sz w:val="28"/>
          <w:szCs w:val="28"/>
          <w:lang w:eastAsia="es-ES"/>
        </w:rPr>
        <w:t>opias de un arancel —como su naturaleza proteccionista y su finalidad de regular el comercio internacional— la disposición no está creando un arancel de manera indirecta”</w:t>
      </w:r>
      <w:r w:rsidRPr="00DB3EEA">
        <w:rPr>
          <w:rStyle w:val="Refdenotaalpie"/>
          <w:rFonts w:ascii="Times New Roman" w:eastAsia="Calibri" w:hAnsi="Times New Roman" w:cs="Times New Roman"/>
          <w:sz w:val="28"/>
          <w:szCs w:val="28"/>
          <w:lang w:eastAsia="es-ES"/>
        </w:rPr>
        <w:footnoteReference w:id="55"/>
      </w:r>
      <w:r w:rsidRPr="00DB3EEA">
        <w:rPr>
          <w:rFonts w:ascii="Times New Roman" w:eastAsia="Calibri" w:hAnsi="Times New Roman" w:cs="Times New Roman"/>
          <w:sz w:val="28"/>
          <w:szCs w:val="28"/>
          <w:lang w:eastAsia="es-ES"/>
        </w:rPr>
        <w:t xml:space="preserve">.   </w:t>
      </w:r>
    </w:p>
    <w:p w:rsidR="0079069B" w:rsidRPr="00DB3EEA" w:rsidRDefault="00DB3EEA" w:rsidP="0079069B">
      <w:pPr>
        <w:pStyle w:val="Prrafodelista"/>
        <w:tabs>
          <w:tab w:val="left" w:pos="426"/>
        </w:tabs>
        <w:ind w:left="0"/>
        <w:jc w:val="both"/>
        <w:rPr>
          <w:rFonts w:ascii="Times New Roman" w:eastAsia="Calibri" w:hAnsi="Times New Roman" w:cs="Times New Roman"/>
          <w:sz w:val="28"/>
          <w:szCs w:val="28"/>
          <w:lang w:eastAsia="es-ES"/>
        </w:rPr>
      </w:pPr>
    </w:p>
    <w:p w:rsidR="0079069B" w:rsidRPr="00DB3EEA" w:rsidRDefault="00DB3EEA" w:rsidP="00E947BC">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Explican</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 xml:space="preserve">que “la fórmula para liquidar la base gravable es la misma con la que </w:t>
      </w:r>
      <w:r w:rsidRPr="00DB3EEA">
        <w:rPr>
          <w:rFonts w:ascii="Times New Roman" w:eastAsia="Calibri" w:hAnsi="Times New Roman" w:cs="Times New Roman"/>
          <w:sz w:val="28"/>
          <w:szCs w:val="28"/>
          <w:lang w:eastAsia="es-ES"/>
        </w:rPr>
        <w:t>se liquida cualquier producto importado a Colombia, es decir; la misma que se tiene en cuenta para liquidar los tributos aduaneros, adicionados con el valor de este gravamen”</w:t>
      </w:r>
      <w:r w:rsidRPr="00DB3EEA">
        <w:rPr>
          <w:rStyle w:val="Refdenotaalpie"/>
          <w:rFonts w:ascii="Times New Roman" w:eastAsia="Calibri" w:hAnsi="Times New Roman" w:cs="Times New Roman"/>
          <w:sz w:val="28"/>
          <w:szCs w:val="28"/>
          <w:lang w:eastAsia="es-ES"/>
        </w:rPr>
        <w:footnoteReference w:id="56"/>
      </w:r>
      <w:r w:rsidRPr="00DB3EEA">
        <w:rPr>
          <w:rFonts w:ascii="Times New Roman" w:eastAsia="Calibri" w:hAnsi="Times New Roman" w:cs="Times New Roman"/>
          <w:sz w:val="28"/>
          <w:szCs w:val="28"/>
          <w:lang w:eastAsia="es-ES"/>
        </w:rPr>
        <w:t xml:space="preserve">. Sostienen que asimilar un tributo aduanero a un arancel implicaría admitir que </w:t>
      </w:r>
      <w:r w:rsidRPr="00DB3EEA">
        <w:rPr>
          <w:rFonts w:ascii="Times New Roman" w:eastAsia="Calibri" w:hAnsi="Times New Roman" w:cs="Times New Roman"/>
          <w:sz w:val="28"/>
          <w:szCs w:val="28"/>
          <w:lang w:eastAsia="es-ES"/>
        </w:rPr>
        <w:t xml:space="preserve">el Presidente </w:t>
      </w:r>
      <w:r w:rsidRPr="00DB3EEA">
        <w:rPr>
          <w:rFonts w:ascii="Times New Roman" w:eastAsia="Calibri" w:hAnsi="Times New Roman" w:cs="Times New Roman"/>
          <w:sz w:val="28"/>
          <w:szCs w:val="28"/>
          <w:lang w:eastAsia="es-ES"/>
        </w:rPr>
        <w:t>de la República</w:t>
      </w:r>
      <w:r w:rsidRPr="00DB3EEA">
        <w:rPr>
          <w:rFonts w:ascii="Times New Roman" w:eastAsia="Calibri" w:hAnsi="Times New Roman" w:cs="Times New Roman"/>
          <w:sz w:val="28"/>
          <w:szCs w:val="28"/>
          <w:lang w:eastAsia="es-ES"/>
        </w:rPr>
        <w:t xml:space="preserve"> podría, mediante decreto, modificar la tarifa de impuestos como el IVA, lo cual vulneraría la reserva de ley en materia tributaria.</w:t>
      </w:r>
    </w:p>
    <w:p w:rsidR="002D12FD" w:rsidRPr="00DB3EEA" w:rsidRDefault="00DB3EEA" w:rsidP="002D12FD">
      <w:pPr>
        <w:pStyle w:val="Prrafodelista"/>
        <w:rPr>
          <w:rFonts w:ascii="Times New Roman" w:eastAsia="Calibri" w:hAnsi="Times New Roman" w:cs="Times New Roman"/>
          <w:sz w:val="28"/>
          <w:szCs w:val="28"/>
          <w:lang w:eastAsia="es-ES"/>
        </w:rPr>
      </w:pPr>
    </w:p>
    <w:p w:rsidR="004648FD" w:rsidRPr="00DB3EEA" w:rsidRDefault="00DB3EEA" w:rsidP="00E947BC">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El Instituto Colombiano de Derecho Tributario comparte la postura del Gobierno. Considera que la distinción presentada en la demanda sobre la existencia de esos dos grupos </w:t>
      </w:r>
      <w:r w:rsidRPr="00DB3EEA">
        <w:rPr>
          <w:rFonts w:ascii="Times New Roman" w:eastAsia="Calibri" w:hAnsi="Times New Roman" w:cs="Times New Roman"/>
          <w:sz w:val="28"/>
          <w:szCs w:val="28"/>
          <w:lang w:eastAsia="es-ES"/>
        </w:rPr>
        <w:t>“no es realista, porque importar o vender este tipo de productos no genera un estatu</w:t>
      </w:r>
      <w:r w:rsidRPr="00DB3EEA">
        <w:rPr>
          <w:rFonts w:ascii="Times New Roman" w:eastAsia="Calibri" w:hAnsi="Times New Roman" w:cs="Times New Roman"/>
          <w:sz w:val="28"/>
          <w:szCs w:val="28"/>
          <w:lang w:eastAsia="es-ES"/>
        </w:rPr>
        <w:t>s bajo el cual deba aplicarse un tratamiento fiscal”</w:t>
      </w:r>
      <w:r w:rsidRPr="00DB3EEA">
        <w:rPr>
          <w:rFonts w:ascii="Times New Roman" w:eastAsia="Calibri" w:hAnsi="Times New Roman" w:cs="Times New Roman"/>
          <w:sz w:val="28"/>
          <w:szCs w:val="28"/>
          <w:vertAlign w:val="superscript"/>
          <w:lang w:eastAsia="es-ES"/>
        </w:rPr>
        <w:footnoteReference w:id="57"/>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Señala que</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“importar un producto ultraprocesado es un hecho económico diferente a comprar en el país un producto similar”</w:t>
      </w:r>
      <w:r w:rsidRPr="00DB3EEA">
        <w:rPr>
          <w:rFonts w:ascii="Times New Roman" w:eastAsia="Calibri" w:hAnsi="Times New Roman" w:cs="Times New Roman"/>
          <w:sz w:val="28"/>
          <w:szCs w:val="28"/>
          <w:vertAlign w:val="superscript"/>
          <w:lang w:eastAsia="es-ES"/>
        </w:rPr>
        <w:t xml:space="preserve"> </w:t>
      </w:r>
      <w:r w:rsidRPr="00DB3EEA">
        <w:rPr>
          <w:rFonts w:ascii="Times New Roman" w:eastAsia="Calibri" w:hAnsi="Times New Roman" w:cs="Times New Roman"/>
          <w:sz w:val="28"/>
          <w:szCs w:val="28"/>
          <w:vertAlign w:val="superscript"/>
          <w:lang w:eastAsia="es-ES"/>
        </w:rPr>
        <w:footnoteReference w:id="58"/>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pues al gravar la importación se grava la entrada al país de un bien fabrica</w:t>
      </w:r>
      <w:r w:rsidRPr="00DB3EEA">
        <w:rPr>
          <w:rFonts w:ascii="Times New Roman" w:eastAsia="Calibri" w:hAnsi="Times New Roman" w:cs="Times New Roman"/>
          <w:sz w:val="28"/>
          <w:szCs w:val="28"/>
          <w:lang w:eastAsia="es-ES"/>
        </w:rPr>
        <w:t>do en otro, que usualmente presenta condiciones de producción distintas a las del lugar de destino.</w:t>
      </w:r>
    </w:p>
    <w:p w:rsidR="00A06C95" w:rsidRPr="00DB3EEA" w:rsidRDefault="00DB3EEA" w:rsidP="00D00482">
      <w:pPr>
        <w:rPr>
          <w:rFonts w:ascii="Times New Roman" w:eastAsia="Calibri" w:hAnsi="Times New Roman" w:cs="Times New Roman"/>
          <w:sz w:val="28"/>
          <w:szCs w:val="28"/>
          <w:lang w:eastAsia="es-ES"/>
        </w:rPr>
      </w:pPr>
    </w:p>
    <w:p w:rsidR="00D46603" w:rsidRPr="00DB3EEA" w:rsidRDefault="00DB3EEA" w:rsidP="00E947BC">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Para el Instituto, los tratamientos fiscales disímiles presentados en la demanda no son inequitativos ni desproporcionados, </w:t>
      </w:r>
      <w:r w:rsidRPr="00DB3EEA">
        <w:rPr>
          <w:rFonts w:ascii="Times New Roman" w:eastAsia="Calibri" w:hAnsi="Times New Roman" w:cs="Times New Roman"/>
          <w:sz w:val="28"/>
          <w:szCs w:val="28"/>
          <w:lang w:eastAsia="es-ES"/>
        </w:rPr>
        <w:t xml:space="preserve">“porque obedecen a la libertad </w:t>
      </w:r>
      <w:r w:rsidRPr="00DB3EEA">
        <w:rPr>
          <w:rFonts w:ascii="Times New Roman" w:eastAsia="Calibri" w:hAnsi="Times New Roman" w:cs="Times New Roman"/>
          <w:sz w:val="28"/>
          <w:szCs w:val="28"/>
          <w:lang w:eastAsia="es-ES"/>
        </w:rPr>
        <w:t>de configuración en materia fiscal que detenta en Colombia el poder legislativo, sin que se perciba capricho, irracionalidad o desproporción”</w:t>
      </w:r>
      <w:r w:rsidRPr="00DB3EEA">
        <w:rPr>
          <w:rStyle w:val="Refdenotaalpie"/>
          <w:rFonts w:ascii="Times New Roman" w:eastAsia="Calibri" w:hAnsi="Times New Roman" w:cs="Times New Roman"/>
          <w:sz w:val="28"/>
          <w:szCs w:val="28"/>
          <w:lang w:eastAsia="es-ES"/>
        </w:rPr>
        <w:footnoteReference w:id="59"/>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 xml:space="preserve">En ese sentido, las diferencias entre bienes según su origen no se derivan únicamente de la base gravable, sino </w:t>
      </w:r>
      <w:r w:rsidRPr="00DB3EEA">
        <w:rPr>
          <w:rFonts w:ascii="Times New Roman" w:eastAsia="Calibri" w:hAnsi="Times New Roman" w:cs="Times New Roman"/>
          <w:sz w:val="28"/>
          <w:szCs w:val="28"/>
          <w:lang w:eastAsia="es-ES"/>
        </w:rPr>
        <w:t>también de factores como la calidad o los procesos de fabricación.</w:t>
      </w:r>
    </w:p>
    <w:p w:rsidR="00D46603" w:rsidRPr="00DB3EEA" w:rsidRDefault="00DB3EEA" w:rsidP="00E947BC">
      <w:pPr>
        <w:rPr>
          <w:rFonts w:ascii="Times New Roman" w:eastAsia="Calibri" w:hAnsi="Times New Roman" w:cs="Times New Roman"/>
          <w:sz w:val="28"/>
          <w:szCs w:val="28"/>
          <w:lang w:eastAsia="es-ES"/>
        </w:rPr>
      </w:pPr>
    </w:p>
    <w:p w:rsidR="00AD4414" w:rsidRPr="00DB3EEA" w:rsidRDefault="00DB3EEA" w:rsidP="00E947BC">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En relación con el cargo de inequidad tributaria, afirma que, al fijarse un impuesto con ocasión de la realización de una determinada actividad económica, no puede esperarse que su monto d</w:t>
      </w:r>
      <w:r w:rsidRPr="00DB3EEA">
        <w:rPr>
          <w:rFonts w:ascii="Times New Roman" w:eastAsia="Calibri" w:hAnsi="Times New Roman" w:cs="Times New Roman"/>
          <w:sz w:val="28"/>
          <w:szCs w:val="28"/>
          <w:lang w:eastAsia="es-ES"/>
        </w:rPr>
        <w:t xml:space="preserve">ependa de la capacidad económica del sujeto que la ejecuta. Así, </w:t>
      </w:r>
      <w:r w:rsidRPr="00DB3EEA">
        <w:rPr>
          <w:rFonts w:ascii="Times New Roman" w:eastAsia="Calibri" w:hAnsi="Times New Roman" w:cs="Times New Roman"/>
          <w:sz w:val="28"/>
          <w:szCs w:val="28"/>
          <w:lang w:eastAsia="es-ES"/>
        </w:rPr>
        <w:t>“no se tiene porqué descalificar la tarifa de los importados por comparación con la tarifa de los vendidos en Colombia, porque son hechos económicos diferentes, para cada uno de los cuales el</w:t>
      </w:r>
      <w:r w:rsidRPr="00DB3EEA">
        <w:rPr>
          <w:rFonts w:ascii="Times New Roman" w:eastAsia="Calibri" w:hAnsi="Times New Roman" w:cs="Times New Roman"/>
          <w:sz w:val="28"/>
          <w:szCs w:val="28"/>
          <w:lang w:eastAsia="es-ES"/>
        </w:rPr>
        <w:t xml:space="preserve"> legislador tiene libertad de configuración”</w:t>
      </w:r>
      <w:r w:rsidRPr="00DB3EEA">
        <w:rPr>
          <w:rStyle w:val="Refdenotaalpie"/>
          <w:rFonts w:ascii="Times New Roman" w:eastAsia="Calibri" w:hAnsi="Times New Roman" w:cs="Times New Roman"/>
          <w:sz w:val="28"/>
          <w:szCs w:val="28"/>
          <w:lang w:eastAsia="es-ES"/>
        </w:rPr>
        <w:footnoteReference w:id="60"/>
      </w:r>
      <w:r w:rsidRPr="00DB3EEA">
        <w:rPr>
          <w:rFonts w:ascii="Times New Roman" w:eastAsia="Calibri" w:hAnsi="Times New Roman" w:cs="Times New Roman"/>
          <w:sz w:val="28"/>
          <w:szCs w:val="28"/>
          <w:lang w:eastAsia="es-ES"/>
        </w:rPr>
        <w:t>.</w:t>
      </w:r>
    </w:p>
    <w:p w:rsidR="00AD4414" w:rsidRPr="00DB3EEA" w:rsidRDefault="00DB3EEA" w:rsidP="00AD4414">
      <w:pPr>
        <w:pStyle w:val="Prrafodelista"/>
        <w:rPr>
          <w:rFonts w:ascii="Times New Roman" w:eastAsia="Calibri" w:hAnsi="Times New Roman" w:cs="Times New Roman"/>
          <w:sz w:val="28"/>
          <w:szCs w:val="28"/>
          <w:lang w:eastAsia="es-ES"/>
        </w:rPr>
      </w:pPr>
    </w:p>
    <w:p w:rsidR="004E3B1E"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Sostiene que la fijación del impuesto no obedece, en ningún escenario, a razones comerciales, pues, tal como lo ha entendido la jurisprudencia, el impuesto a los productos ultraprocesados responde exclusivame</w:t>
      </w:r>
      <w:r w:rsidRPr="00DB3EEA">
        <w:rPr>
          <w:rFonts w:ascii="Times New Roman" w:eastAsia="Calibri" w:hAnsi="Times New Roman" w:cs="Times New Roman"/>
          <w:sz w:val="28"/>
          <w:szCs w:val="28"/>
          <w:lang w:eastAsia="es-ES"/>
        </w:rPr>
        <w:t>nte a la necesidad de proteger la salud pública</w:t>
      </w:r>
      <w:r w:rsidRPr="00DB3EEA">
        <w:rPr>
          <w:rStyle w:val="Refdenotaalpie"/>
          <w:rFonts w:ascii="Times New Roman" w:eastAsia="Calibri" w:hAnsi="Times New Roman" w:cs="Times New Roman"/>
          <w:sz w:val="28"/>
          <w:szCs w:val="28"/>
          <w:lang w:eastAsia="es-ES"/>
        </w:rPr>
        <w:footnoteReference w:id="61"/>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 xml:space="preserve">En consecuencia, al tratarse de dos actividades distintas, no es posible reprochar un trato desigual ni asumir que dicha diferencia obedezca a razones de política comercial. En todo caso, </w:t>
      </w:r>
      <w:r w:rsidRPr="00DB3EEA">
        <w:rPr>
          <w:rFonts w:ascii="Times New Roman" w:eastAsia="Calibri" w:hAnsi="Times New Roman" w:cs="Times New Roman"/>
          <w:sz w:val="28"/>
          <w:szCs w:val="28"/>
          <w:lang w:eastAsia="es-ES"/>
        </w:rPr>
        <w:t>“Ninguna diferenci</w:t>
      </w:r>
      <w:r w:rsidRPr="00DB3EEA">
        <w:rPr>
          <w:rFonts w:ascii="Times New Roman" w:eastAsia="Calibri" w:hAnsi="Times New Roman" w:cs="Times New Roman"/>
          <w:sz w:val="28"/>
          <w:szCs w:val="28"/>
          <w:lang w:eastAsia="es-ES"/>
        </w:rPr>
        <w:t>a se crea entre los sujetos pasivos, que en un caso son los importadores y en el caso de los nacionales, los compradores. Los sujetos pasivos de cada impuesto son tratados de igual forma”</w:t>
      </w:r>
      <w:r w:rsidRPr="00DB3EEA">
        <w:rPr>
          <w:rStyle w:val="Refdenotaalpie"/>
          <w:rFonts w:ascii="Times New Roman" w:eastAsia="Calibri" w:hAnsi="Times New Roman" w:cs="Times New Roman"/>
          <w:sz w:val="28"/>
          <w:szCs w:val="28"/>
          <w:lang w:eastAsia="es-ES"/>
        </w:rPr>
        <w:footnoteReference w:id="62"/>
      </w:r>
      <w:r w:rsidRPr="00DB3EEA">
        <w:rPr>
          <w:rFonts w:ascii="Times New Roman" w:eastAsia="Calibri" w:hAnsi="Times New Roman" w:cs="Times New Roman"/>
          <w:sz w:val="28"/>
          <w:szCs w:val="28"/>
          <w:lang w:eastAsia="es-ES"/>
        </w:rPr>
        <w:t>.</w:t>
      </w:r>
    </w:p>
    <w:p w:rsidR="004E3B1E" w:rsidRPr="00DB3EEA" w:rsidRDefault="00DB3EEA" w:rsidP="004E3B1E">
      <w:pPr>
        <w:pStyle w:val="Prrafodelista"/>
        <w:rPr>
          <w:rFonts w:ascii="Times New Roman" w:eastAsia="Calibri" w:hAnsi="Times New Roman" w:cs="Times New Roman"/>
          <w:sz w:val="28"/>
          <w:szCs w:val="28"/>
          <w:lang w:eastAsia="es-ES"/>
        </w:rPr>
      </w:pPr>
    </w:p>
    <w:p w:rsidR="002D12FD"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Por último, respecto de la afirmación </w:t>
      </w:r>
      <w:r w:rsidRPr="00DB3EEA">
        <w:rPr>
          <w:rFonts w:ascii="Times New Roman" w:eastAsia="Calibri" w:hAnsi="Times New Roman" w:cs="Times New Roman"/>
          <w:sz w:val="28"/>
          <w:szCs w:val="28"/>
          <w:lang w:eastAsia="es-ES"/>
        </w:rPr>
        <w:t xml:space="preserve">de que </w:t>
      </w:r>
      <w:r w:rsidRPr="00DB3EEA">
        <w:rPr>
          <w:rFonts w:ascii="Times New Roman" w:eastAsia="Calibri" w:hAnsi="Times New Roman" w:cs="Times New Roman"/>
          <w:sz w:val="28"/>
          <w:szCs w:val="28"/>
          <w:lang w:eastAsia="es-ES"/>
        </w:rPr>
        <w:t xml:space="preserve">la base gravable del impuesto a los importadores podría asimilarse a un arancel, sostiene que no es posible aceptar tal premisa. Aclara que </w:t>
      </w:r>
      <w:r w:rsidRPr="00DB3EEA">
        <w:rPr>
          <w:rFonts w:ascii="Times New Roman" w:eastAsia="Calibri" w:hAnsi="Times New Roman" w:cs="Times New Roman"/>
          <w:sz w:val="28"/>
          <w:szCs w:val="28"/>
          <w:lang w:eastAsia="es-ES"/>
        </w:rPr>
        <w:t xml:space="preserve">“una cosa es que dos impuestos puedan tener efectos similares en ciertos aspectos, pero eso no hace que un impuesto </w:t>
      </w:r>
      <w:r w:rsidRPr="00DB3EEA">
        <w:rPr>
          <w:rFonts w:ascii="Times New Roman" w:eastAsia="Calibri" w:hAnsi="Times New Roman" w:cs="Times New Roman"/>
          <w:sz w:val="28"/>
          <w:szCs w:val="28"/>
          <w:lang w:eastAsia="es-ES"/>
        </w:rPr>
        <w:t>se transmute en otro”</w:t>
      </w:r>
      <w:r w:rsidRPr="00DB3EEA">
        <w:rPr>
          <w:rStyle w:val="Refdenotaalpie"/>
          <w:rFonts w:ascii="Times New Roman" w:eastAsia="Calibri" w:hAnsi="Times New Roman" w:cs="Times New Roman"/>
          <w:sz w:val="28"/>
          <w:szCs w:val="28"/>
          <w:lang w:eastAsia="es-ES"/>
        </w:rPr>
        <w:footnoteReference w:id="63"/>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lang w:eastAsia="es-ES"/>
        </w:rPr>
        <w:t xml:space="preserve"> En ese sentido, aunque el impuesto a la salud implique un pago en la importación de un bien que pueda generar un efecto semejante al de un arancel, ello no lo convierte en tal, pues los aranceles, a diferencia del impuesto a la salu</w:t>
      </w:r>
      <w:r w:rsidRPr="00DB3EEA">
        <w:rPr>
          <w:rFonts w:ascii="Times New Roman" w:eastAsia="Calibri" w:hAnsi="Times New Roman" w:cs="Times New Roman"/>
          <w:sz w:val="28"/>
          <w:szCs w:val="28"/>
          <w:lang w:eastAsia="es-ES"/>
        </w:rPr>
        <w:t>d, responden a razones de política comercial.</w:t>
      </w:r>
    </w:p>
    <w:p w:rsidR="00775CD8" w:rsidRPr="00DB3EEA" w:rsidRDefault="00DB3EEA" w:rsidP="00775CD8">
      <w:pPr>
        <w:pStyle w:val="Prrafodelista"/>
        <w:tabs>
          <w:tab w:val="left" w:pos="426"/>
        </w:tabs>
        <w:ind w:left="0"/>
        <w:jc w:val="both"/>
        <w:rPr>
          <w:rFonts w:ascii="Times New Roman" w:eastAsia="Calibri" w:hAnsi="Times New Roman" w:cs="Times New Roman"/>
          <w:b/>
          <w:bCs/>
          <w:sz w:val="28"/>
          <w:szCs w:val="28"/>
          <w:lang w:eastAsia="es-ES"/>
        </w:rPr>
      </w:pPr>
    </w:p>
    <w:p w:rsidR="00FD6DDC" w:rsidRPr="00DB3EEA" w:rsidRDefault="00DB3EEA" w:rsidP="00FA2572">
      <w:pPr>
        <w:pStyle w:val="Prrafodelista"/>
        <w:numPr>
          <w:ilvl w:val="1"/>
          <w:numId w:val="2"/>
        </w:numPr>
        <w:tabs>
          <w:tab w:val="left" w:pos="426"/>
        </w:tabs>
        <w:ind w:left="0" w:firstLine="0"/>
        <w:jc w:val="both"/>
        <w:outlineLvl w:val="2"/>
        <w:rPr>
          <w:rFonts w:ascii="Times New Roman" w:eastAsia="Calibri" w:hAnsi="Times New Roman" w:cs="Times New Roman"/>
          <w:b/>
          <w:bCs/>
          <w:sz w:val="28"/>
          <w:szCs w:val="28"/>
          <w:lang w:eastAsia="es-ES"/>
        </w:rPr>
      </w:pPr>
      <w:r w:rsidRPr="00DB3EEA">
        <w:rPr>
          <w:rFonts w:ascii="Times New Roman" w:eastAsia="Calibri" w:hAnsi="Times New Roman" w:cs="Times New Roman"/>
          <w:b/>
          <w:bCs/>
          <w:sz w:val="28"/>
          <w:szCs w:val="28"/>
          <w:lang w:eastAsia="es-ES"/>
        </w:rPr>
        <w:t xml:space="preserve"> Argumentos en favor de la</w:t>
      </w:r>
      <w:r w:rsidRPr="00DB3EEA">
        <w:rPr>
          <w:rFonts w:ascii="Times New Roman" w:eastAsia="Calibri" w:hAnsi="Times New Roman" w:cs="Times New Roman"/>
          <w:b/>
          <w:bCs/>
          <w:sz w:val="28"/>
          <w:szCs w:val="28"/>
          <w:lang w:eastAsia="es-ES"/>
        </w:rPr>
        <w:t xml:space="preserve"> inexequibilidad o</w:t>
      </w:r>
      <w:r w:rsidRPr="00DB3EEA">
        <w:rPr>
          <w:rFonts w:ascii="Times New Roman" w:eastAsia="Calibri" w:hAnsi="Times New Roman" w:cs="Times New Roman"/>
          <w:b/>
          <w:bCs/>
          <w:sz w:val="28"/>
          <w:szCs w:val="28"/>
          <w:lang w:eastAsia="es-ES"/>
        </w:rPr>
        <w:t xml:space="preserve"> exequibilidad condicionada</w:t>
      </w:r>
      <w:r w:rsidRPr="00DB3EEA">
        <w:rPr>
          <w:rFonts w:ascii="Times New Roman" w:eastAsia="Calibri" w:hAnsi="Times New Roman" w:cs="Times New Roman"/>
          <w:b/>
          <w:bCs/>
          <w:sz w:val="28"/>
          <w:szCs w:val="28"/>
          <w:lang w:eastAsia="es-ES"/>
        </w:rPr>
        <w:t>.</w:t>
      </w:r>
    </w:p>
    <w:p w:rsidR="007C746F" w:rsidRPr="00DB3EEA" w:rsidRDefault="00DB3EEA" w:rsidP="007C746F">
      <w:pPr>
        <w:pStyle w:val="Prrafodelista"/>
        <w:tabs>
          <w:tab w:val="left" w:pos="426"/>
        </w:tabs>
        <w:ind w:left="0"/>
        <w:jc w:val="both"/>
        <w:rPr>
          <w:rFonts w:ascii="Times New Roman" w:eastAsia="Calibri" w:hAnsi="Times New Roman" w:cs="Times New Roman"/>
          <w:b/>
          <w:bCs/>
          <w:sz w:val="28"/>
          <w:szCs w:val="28"/>
          <w:lang w:eastAsia="es-ES"/>
        </w:rPr>
      </w:pPr>
    </w:p>
    <w:p w:rsidR="007C746F"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La Academia Colombiana de Jurisprudencia</w:t>
      </w:r>
      <w:r w:rsidRPr="00DB3EEA">
        <w:rPr>
          <w:rFonts w:ascii="Times New Roman" w:eastAsia="Calibri" w:hAnsi="Times New Roman" w:cs="Times New Roman"/>
          <w:sz w:val="28"/>
          <w:szCs w:val="28"/>
          <w:vertAlign w:val="superscript"/>
          <w:lang w:eastAsia="es-ES"/>
        </w:rPr>
        <w:footnoteReference w:id="64"/>
      </w:r>
      <w:r w:rsidRPr="00DB3EEA">
        <w:rPr>
          <w:rFonts w:ascii="Times New Roman" w:eastAsia="Calibri" w:hAnsi="Times New Roman" w:cs="Times New Roman"/>
          <w:sz w:val="28"/>
          <w:szCs w:val="28"/>
          <w:lang w:eastAsia="es-ES"/>
        </w:rPr>
        <w:t xml:space="preserve">, y los ciudadanos María Catalina Plazas y Gabriel Ibarra solicitan la declaración de </w:t>
      </w:r>
      <w:r w:rsidRPr="00DB3EEA">
        <w:rPr>
          <w:rFonts w:ascii="Times New Roman" w:eastAsia="Calibri" w:hAnsi="Times New Roman" w:cs="Times New Roman"/>
          <w:sz w:val="28"/>
          <w:szCs w:val="28"/>
          <w:lang w:eastAsia="es-ES"/>
        </w:rPr>
        <w:t>inexequibilidad de las disposiciones demandadas. Por su parte, la Universidad del Rosario</w:t>
      </w:r>
      <w:r w:rsidRPr="00DB3EEA">
        <w:rPr>
          <w:rFonts w:ascii="Times New Roman" w:eastAsia="Calibri" w:hAnsi="Times New Roman" w:cs="Times New Roman"/>
          <w:sz w:val="28"/>
          <w:szCs w:val="28"/>
          <w:vertAlign w:val="superscript"/>
          <w:lang w:eastAsia="es-ES"/>
        </w:rPr>
        <w:footnoteReference w:id="65"/>
      </w:r>
      <w:r w:rsidRPr="00DB3EEA">
        <w:rPr>
          <w:rFonts w:ascii="Times New Roman" w:eastAsia="Calibri" w:hAnsi="Times New Roman" w:cs="Times New Roman"/>
          <w:sz w:val="28"/>
          <w:szCs w:val="28"/>
          <w:lang w:eastAsia="es-ES"/>
        </w:rPr>
        <w:t>, y los ciudadanos Joan Sebastián Gallo, Juan Sebastián Araoz, Javier Blel, Ana María Barbosa, Leonardo Cote y Carolina Rozo solicitan la inexequibilidad y en subsidi</w:t>
      </w:r>
      <w:r w:rsidRPr="00DB3EEA">
        <w:rPr>
          <w:rFonts w:ascii="Times New Roman" w:eastAsia="Calibri" w:hAnsi="Times New Roman" w:cs="Times New Roman"/>
          <w:sz w:val="28"/>
          <w:szCs w:val="28"/>
          <w:lang w:eastAsia="es-ES"/>
        </w:rPr>
        <w:t xml:space="preserve">ariedad la declaratoria de exequibilidad condicionada, en el entendido de que el término </w:t>
      </w:r>
      <w:r w:rsidRPr="00DB3EEA">
        <w:rPr>
          <w:rFonts w:ascii="Times New Roman" w:eastAsia="Calibri" w:hAnsi="Times New Roman" w:cs="Times New Roman"/>
          <w:i/>
          <w:iCs/>
          <w:sz w:val="28"/>
          <w:szCs w:val="28"/>
          <w:lang w:eastAsia="es-ES"/>
        </w:rPr>
        <w:t>tributos aduaneros</w:t>
      </w:r>
      <w:r w:rsidRPr="00DB3EEA">
        <w:rPr>
          <w:rFonts w:ascii="Times New Roman" w:eastAsia="Calibri" w:hAnsi="Times New Roman" w:cs="Times New Roman"/>
          <w:sz w:val="28"/>
          <w:szCs w:val="28"/>
          <w:lang w:eastAsia="es-ES"/>
        </w:rPr>
        <w:t xml:space="preserve"> se refiere exclusivamente a los </w:t>
      </w:r>
      <w:r w:rsidRPr="00DB3EEA">
        <w:rPr>
          <w:rFonts w:ascii="Times New Roman" w:eastAsia="Calibri" w:hAnsi="Times New Roman" w:cs="Times New Roman"/>
          <w:i/>
          <w:iCs/>
          <w:sz w:val="28"/>
          <w:szCs w:val="28"/>
          <w:lang w:eastAsia="es-ES"/>
        </w:rPr>
        <w:t>derechos de aduana</w:t>
      </w:r>
      <w:r w:rsidRPr="00DB3EEA">
        <w:rPr>
          <w:rFonts w:ascii="Times New Roman" w:eastAsia="Calibri" w:hAnsi="Times New Roman" w:cs="Times New Roman"/>
          <w:sz w:val="28"/>
          <w:szCs w:val="28"/>
          <w:lang w:eastAsia="es-ES"/>
        </w:rPr>
        <w:t>, o que dicho concepto no incluye el valor del impuesto sobre las ventas (IVA) dentro de su determ</w:t>
      </w:r>
      <w:r w:rsidRPr="00DB3EEA">
        <w:rPr>
          <w:rFonts w:ascii="Times New Roman" w:eastAsia="Calibri" w:hAnsi="Times New Roman" w:cs="Times New Roman"/>
          <w:sz w:val="28"/>
          <w:szCs w:val="28"/>
          <w:lang w:eastAsia="es-ES"/>
        </w:rPr>
        <w:t>inación.</w:t>
      </w:r>
    </w:p>
    <w:p w:rsidR="007C746F" w:rsidRPr="00DB3EEA" w:rsidRDefault="00DB3EEA" w:rsidP="007C746F">
      <w:pPr>
        <w:pStyle w:val="Prrafodelista"/>
        <w:tabs>
          <w:tab w:val="left" w:pos="426"/>
        </w:tabs>
        <w:ind w:left="0"/>
        <w:jc w:val="both"/>
        <w:rPr>
          <w:rFonts w:ascii="Times New Roman" w:eastAsia="Calibri" w:hAnsi="Times New Roman" w:cs="Times New Roman"/>
          <w:sz w:val="28"/>
          <w:szCs w:val="28"/>
          <w:lang w:eastAsia="es-ES"/>
        </w:rPr>
      </w:pPr>
    </w:p>
    <w:p w:rsidR="007C746F"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Para ambos grupos de intervinientes, los incisos segundo y tercero del artículo 54 de la Ley 2277 de 2022 vulneran los principios de igualdad, equidad horizontal y libre competencia, en la medida en que incluyen el valor del impuesto sobre las ve</w:t>
      </w:r>
      <w:r w:rsidRPr="00DB3EEA">
        <w:rPr>
          <w:rFonts w:ascii="Times New Roman" w:eastAsia="Calibri" w:hAnsi="Times New Roman" w:cs="Times New Roman"/>
          <w:sz w:val="28"/>
          <w:szCs w:val="28"/>
          <w:lang w:eastAsia="es-ES"/>
        </w:rPr>
        <w:t xml:space="preserve">ntas (IVA) dentro de la base gravable del impuesto aplicable a productos importados o producidos en zonas francas. </w:t>
      </w:r>
    </w:p>
    <w:p w:rsidR="007C746F" w:rsidRPr="00DB3EEA" w:rsidRDefault="00DB3EEA" w:rsidP="007C746F">
      <w:pPr>
        <w:pStyle w:val="Prrafodelista"/>
        <w:rPr>
          <w:rFonts w:ascii="Times New Roman" w:eastAsia="Calibri" w:hAnsi="Times New Roman" w:cs="Times New Roman"/>
          <w:sz w:val="28"/>
          <w:szCs w:val="28"/>
          <w:lang w:eastAsia="es-ES"/>
        </w:rPr>
      </w:pPr>
    </w:p>
    <w:p w:rsidR="007C746F"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El grupo que únicamente propone la inexequibilidad de la medida sostiene que debido a que el ICUI “es un impuesto pigouviano</w:t>
      </w:r>
      <w:r w:rsidRPr="00DB3EEA">
        <w:rPr>
          <w:rFonts w:ascii="Times New Roman" w:eastAsia="Calibri" w:hAnsi="Times New Roman" w:cs="Times New Roman"/>
          <w:sz w:val="28"/>
          <w:szCs w:val="28"/>
          <w:lang w:eastAsia="es-ES"/>
        </w:rPr>
        <w:t xml:space="preserve"> que no persigue el recaudo, no resulta lógico, razonable ni jurídico que exista un tratamiento diferencial en la base gravable entre los productos comestibles ultraprocesados nacionales y los importados o producidos en zona franca, toda vez que estos tien</w:t>
      </w:r>
      <w:r w:rsidRPr="00DB3EEA">
        <w:rPr>
          <w:rFonts w:ascii="Times New Roman" w:eastAsia="Calibri" w:hAnsi="Times New Roman" w:cs="Times New Roman"/>
          <w:sz w:val="28"/>
          <w:szCs w:val="28"/>
          <w:lang w:eastAsia="es-ES"/>
        </w:rPr>
        <w:t>en un efecto nocivo en la salud, sin importar su origen”</w:t>
      </w:r>
      <w:r w:rsidRPr="00DB3EEA">
        <w:rPr>
          <w:rStyle w:val="Refdenotaalpie"/>
          <w:rFonts w:ascii="Times New Roman" w:eastAsia="Calibri" w:hAnsi="Times New Roman" w:cs="Times New Roman"/>
          <w:sz w:val="28"/>
          <w:szCs w:val="28"/>
          <w:lang w:eastAsia="es-ES"/>
        </w:rPr>
        <w:footnoteReference w:id="66"/>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Argumenta</w:t>
      </w:r>
      <w:r w:rsidRPr="00DB3EEA">
        <w:rPr>
          <w:rFonts w:ascii="Times New Roman" w:eastAsia="Calibri" w:hAnsi="Times New Roman" w:cs="Times New Roman"/>
          <w:sz w:val="28"/>
          <w:szCs w:val="28"/>
          <w:lang w:eastAsia="es-ES"/>
        </w:rPr>
        <w:t xml:space="preserve">n que no “puede afirmarse que los productos ultraprocesados importados sean más nocivos que los productos ultraprocesados fabricados en Colombia, razón por la cual un trato diferencial en </w:t>
      </w:r>
      <w:r w:rsidRPr="00DB3EEA">
        <w:rPr>
          <w:rFonts w:ascii="Times New Roman" w:eastAsia="Calibri" w:hAnsi="Times New Roman" w:cs="Times New Roman"/>
          <w:sz w:val="28"/>
          <w:szCs w:val="28"/>
          <w:lang w:eastAsia="es-ES"/>
        </w:rPr>
        <w:t>la base gravable de los primeros, versus la de los segundos, no tiene ningún sentido ni fundamento”</w:t>
      </w:r>
      <w:r w:rsidRPr="00DB3EEA">
        <w:rPr>
          <w:rStyle w:val="Refdenotaalpie"/>
          <w:rFonts w:ascii="Times New Roman" w:eastAsia="Calibri" w:hAnsi="Times New Roman" w:cs="Times New Roman"/>
          <w:sz w:val="28"/>
          <w:szCs w:val="28"/>
          <w:lang w:eastAsia="es-ES"/>
        </w:rPr>
        <w:footnoteReference w:id="67"/>
      </w:r>
      <w:r w:rsidRPr="00DB3EEA">
        <w:rPr>
          <w:rFonts w:ascii="Times New Roman" w:eastAsia="Calibri" w:hAnsi="Times New Roman" w:cs="Times New Roman"/>
          <w:sz w:val="28"/>
          <w:szCs w:val="28"/>
          <w:lang w:eastAsia="es-ES"/>
        </w:rPr>
        <w:t xml:space="preserve">. </w:t>
      </w:r>
    </w:p>
    <w:p w:rsidR="007C746F" w:rsidRPr="00DB3EEA" w:rsidRDefault="00DB3EEA" w:rsidP="007C746F">
      <w:pPr>
        <w:rPr>
          <w:rFonts w:ascii="Times New Roman" w:eastAsia="Calibri" w:hAnsi="Times New Roman" w:cs="Times New Roman"/>
          <w:sz w:val="28"/>
          <w:szCs w:val="28"/>
          <w:lang w:eastAsia="es-ES"/>
        </w:rPr>
      </w:pPr>
    </w:p>
    <w:p w:rsidR="007C746F"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 Además, </w:t>
      </w:r>
      <w:r w:rsidRPr="00DB3EEA">
        <w:rPr>
          <w:rFonts w:ascii="Times New Roman" w:eastAsia="Calibri" w:hAnsi="Times New Roman" w:cs="Times New Roman"/>
          <w:sz w:val="28"/>
          <w:szCs w:val="28"/>
          <w:lang w:eastAsia="es-ES"/>
        </w:rPr>
        <w:t>afirman</w:t>
      </w:r>
      <w:r w:rsidRPr="00DB3EEA">
        <w:rPr>
          <w:rFonts w:ascii="Times New Roman" w:eastAsia="Calibri" w:hAnsi="Times New Roman" w:cs="Times New Roman"/>
          <w:sz w:val="28"/>
          <w:szCs w:val="28"/>
          <w:lang w:eastAsia="es-ES"/>
        </w:rPr>
        <w:t xml:space="preserve"> que la norma vulnera el derecho a la libre competencia económica en tanto “los productos importados o producidos en zona franca no se e</w:t>
      </w:r>
      <w:r w:rsidRPr="00DB3EEA">
        <w:rPr>
          <w:rFonts w:ascii="Times New Roman" w:eastAsia="Calibri" w:hAnsi="Times New Roman" w:cs="Times New Roman"/>
          <w:sz w:val="28"/>
          <w:szCs w:val="28"/>
          <w:lang w:eastAsia="es-ES"/>
        </w:rPr>
        <w:t>ncuentran en igualdad de condiciones respecto de los productos nacionales”</w:t>
      </w:r>
      <w:r w:rsidRPr="00DB3EEA">
        <w:rPr>
          <w:rStyle w:val="Refdenotaalpie"/>
          <w:rFonts w:ascii="Times New Roman" w:eastAsia="Calibri" w:hAnsi="Times New Roman" w:cs="Times New Roman"/>
          <w:sz w:val="28"/>
          <w:szCs w:val="28"/>
          <w:lang w:eastAsia="es-ES"/>
        </w:rPr>
        <w:footnoteReference w:id="68"/>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 xml:space="preserve">A </w:t>
      </w:r>
      <w:r w:rsidRPr="00DB3EEA">
        <w:rPr>
          <w:rFonts w:ascii="Times New Roman" w:eastAsia="Calibri" w:hAnsi="Times New Roman" w:cs="Times New Roman"/>
          <w:sz w:val="28"/>
          <w:szCs w:val="28"/>
          <w:lang w:eastAsia="es-ES"/>
        </w:rPr>
        <w:t>su juicio, la norma “no sólo beneficia de manera arbitraria a los bienes producidos en el territorio aduanero nacional, frente a aquellos elaborados en el extranjero, sino que t</w:t>
      </w:r>
      <w:r w:rsidRPr="00DB3EEA">
        <w:rPr>
          <w:rFonts w:ascii="Times New Roman" w:eastAsia="Calibri" w:hAnsi="Times New Roman" w:cs="Times New Roman"/>
          <w:sz w:val="28"/>
          <w:szCs w:val="28"/>
          <w:lang w:eastAsia="es-ES"/>
        </w:rPr>
        <w:t>ambién coloca en una situación de desventaja a aquellos productores locales que han decidido establecerse en un zona francas”</w:t>
      </w:r>
      <w:r w:rsidRPr="00DB3EEA">
        <w:rPr>
          <w:rStyle w:val="Refdenotaalpie"/>
          <w:rFonts w:ascii="Times New Roman" w:eastAsia="Calibri" w:hAnsi="Times New Roman" w:cs="Times New Roman"/>
          <w:sz w:val="28"/>
          <w:szCs w:val="28"/>
          <w:lang w:eastAsia="es-ES"/>
        </w:rPr>
        <w:footnoteReference w:id="69"/>
      </w:r>
      <w:r w:rsidRPr="00DB3EEA">
        <w:rPr>
          <w:rFonts w:ascii="Times New Roman" w:eastAsia="Calibri" w:hAnsi="Times New Roman" w:cs="Times New Roman"/>
          <w:sz w:val="28"/>
          <w:szCs w:val="28"/>
          <w:lang w:eastAsia="es-ES"/>
        </w:rPr>
        <w:t xml:space="preserve">. </w:t>
      </w:r>
    </w:p>
    <w:p w:rsidR="007C746F" w:rsidRPr="00DB3EEA" w:rsidRDefault="00DB3EEA" w:rsidP="007C746F">
      <w:pPr>
        <w:pStyle w:val="Prrafodelista"/>
        <w:rPr>
          <w:rFonts w:ascii="Times New Roman" w:eastAsia="Calibri" w:hAnsi="Times New Roman" w:cs="Times New Roman"/>
          <w:sz w:val="28"/>
          <w:szCs w:val="28"/>
          <w:lang w:eastAsia="es-ES"/>
        </w:rPr>
      </w:pPr>
    </w:p>
    <w:p w:rsidR="007C746F"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Sobre el cuarto cargo, ninguno de</w:t>
      </w:r>
      <w:r w:rsidRPr="00DB3EEA">
        <w:rPr>
          <w:rFonts w:ascii="Times New Roman" w:eastAsia="Calibri" w:hAnsi="Times New Roman" w:cs="Times New Roman"/>
          <w:sz w:val="28"/>
          <w:szCs w:val="28"/>
          <w:lang w:eastAsia="es-ES"/>
        </w:rPr>
        <w:t xml:space="preserve"> los intervinientes en favor de la inexequibilidad parece apoyar </w:t>
      </w:r>
      <w:r w:rsidRPr="00DB3EEA">
        <w:rPr>
          <w:rFonts w:ascii="Times New Roman" w:eastAsia="Calibri" w:hAnsi="Times New Roman" w:cs="Times New Roman"/>
          <w:sz w:val="28"/>
          <w:szCs w:val="28"/>
          <w:lang w:eastAsia="es-ES"/>
        </w:rPr>
        <w:t>que la norma acusada</w:t>
      </w:r>
      <w:r w:rsidRPr="00DB3EEA">
        <w:rPr>
          <w:rFonts w:ascii="Times New Roman" w:eastAsia="Calibri" w:hAnsi="Times New Roman" w:cs="Times New Roman"/>
          <w:sz w:val="28"/>
          <w:szCs w:val="28"/>
          <w:lang w:eastAsia="es-ES"/>
        </w:rPr>
        <w:t xml:space="preserve"> descono</w:t>
      </w:r>
      <w:r w:rsidRPr="00DB3EEA">
        <w:rPr>
          <w:rFonts w:ascii="Times New Roman" w:eastAsia="Calibri" w:hAnsi="Times New Roman" w:cs="Times New Roman"/>
          <w:sz w:val="28"/>
          <w:szCs w:val="28"/>
          <w:lang w:eastAsia="es-ES"/>
        </w:rPr>
        <w:t>ce la reserva en materia a</w:t>
      </w:r>
      <w:r w:rsidRPr="00DB3EEA">
        <w:rPr>
          <w:rFonts w:ascii="Times New Roman" w:eastAsia="Calibri" w:hAnsi="Times New Roman" w:cs="Times New Roman"/>
          <w:sz w:val="28"/>
          <w:szCs w:val="28"/>
          <w:lang w:eastAsia="es-ES"/>
        </w:rPr>
        <w:t>duanera</w:t>
      </w:r>
      <w:r w:rsidRPr="00DB3EEA">
        <w:rPr>
          <w:rFonts w:ascii="Times New Roman" w:eastAsia="Calibri" w:hAnsi="Times New Roman" w:cs="Times New Roman"/>
          <w:sz w:val="28"/>
          <w:szCs w:val="28"/>
          <w:lang w:eastAsia="es-ES"/>
        </w:rPr>
        <w:t>. Para la Academia Colombiana de Jurisprudencia “el cargo podría no prosperar, por tratarse de una afirmación que puede tildarse de algo subjetiva, toda vez que, a lo sumo, es válido sostener que comporta los mismos efectos</w:t>
      </w:r>
      <w:r w:rsidRPr="00DB3EEA">
        <w:rPr>
          <w:rFonts w:ascii="Times New Roman" w:eastAsia="Calibri" w:hAnsi="Times New Roman" w:cs="Times New Roman"/>
          <w:sz w:val="28"/>
          <w:szCs w:val="28"/>
          <w:lang w:eastAsia="es-ES"/>
        </w:rPr>
        <w:t xml:space="preserve"> económicos como si fuera un arancel”</w:t>
      </w:r>
      <w:r w:rsidRPr="00DB3EEA">
        <w:rPr>
          <w:rFonts w:ascii="Times New Roman" w:eastAsia="Calibri" w:hAnsi="Times New Roman" w:cs="Times New Roman"/>
          <w:sz w:val="28"/>
          <w:szCs w:val="28"/>
          <w:vertAlign w:val="superscript"/>
          <w:lang w:eastAsia="es-ES"/>
        </w:rPr>
        <w:footnoteReference w:id="70"/>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Asimismo</w:t>
      </w:r>
      <w:r w:rsidRPr="00DB3EEA">
        <w:rPr>
          <w:rFonts w:ascii="Times New Roman" w:eastAsia="Calibri" w:hAnsi="Times New Roman" w:cs="Times New Roman"/>
          <w:sz w:val="28"/>
          <w:szCs w:val="28"/>
          <w:lang w:eastAsia="es-ES"/>
        </w:rPr>
        <w:t xml:space="preserve">, ninguno de los ciudadanos </w:t>
      </w:r>
      <w:r w:rsidRPr="00DB3EEA">
        <w:rPr>
          <w:rFonts w:ascii="Times New Roman" w:eastAsia="Calibri" w:hAnsi="Times New Roman" w:cs="Times New Roman"/>
          <w:sz w:val="28"/>
          <w:szCs w:val="28"/>
          <w:lang w:eastAsia="es-ES"/>
        </w:rPr>
        <w:t>interviene</w:t>
      </w:r>
      <w:r w:rsidRPr="00DB3EEA">
        <w:rPr>
          <w:rFonts w:ascii="Times New Roman" w:eastAsia="Calibri" w:hAnsi="Times New Roman" w:cs="Times New Roman"/>
          <w:sz w:val="28"/>
          <w:szCs w:val="28"/>
          <w:lang w:eastAsia="es-ES"/>
        </w:rPr>
        <w:t xml:space="preserve"> en</w:t>
      </w:r>
      <w:r w:rsidRPr="00DB3EEA">
        <w:rPr>
          <w:rFonts w:ascii="Times New Roman" w:eastAsia="Calibri" w:hAnsi="Times New Roman" w:cs="Times New Roman"/>
          <w:sz w:val="28"/>
          <w:szCs w:val="28"/>
          <w:lang w:eastAsia="es-ES"/>
        </w:rPr>
        <w:t xml:space="preserve"> defensa</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de ese reproche.</w:t>
      </w:r>
    </w:p>
    <w:p w:rsidR="007C746F" w:rsidRPr="00DB3EEA" w:rsidRDefault="00DB3EEA" w:rsidP="007C746F">
      <w:pPr>
        <w:pStyle w:val="Prrafodelista"/>
        <w:rPr>
          <w:rFonts w:ascii="Times New Roman" w:eastAsia="Calibri" w:hAnsi="Times New Roman" w:cs="Times New Roman"/>
          <w:sz w:val="28"/>
          <w:szCs w:val="28"/>
          <w:lang w:eastAsia="es-ES"/>
        </w:rPr>
      </w:pPr>
    </w:p>
    <w:p w:rsidR="007C746F"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No obstante, los ciudadanos que buscan exclusivamente la inexequibilidad sostienen que la norma afecta el Principio de Trato Nacional conten</w:t>
      </w:r>
      <w:r w:rsidRPr="00DB3EEA">
        <w:rPr>
          <w:rFonts w:ascii="Times New Roman" w:eastAsia="Calibri" w:hAnsi="Times New Roman" w:cs="Times New Roman"/>
          <w:sz w:val="28"/>
          <w:szCs w:val="28"/>
          <w:lang w:eastAsia="es-ES"/>
        </w:rPr>
        <w:t>ido en el artículo III del GATT (Acuerdo General sobre Aranceles Aduaneros y Comercio) debido a que este “prohíbe que las medidas, normas e impuestos de carácter interno, se apliquen de manera discriminatoria, en favor de los productos nacionales y en cont</w:t>
      </w:r>
      <w:r w:rsidRPr="00DB3EEA">
        <w:rPr>
          <w:rFonts w:ascii="Times New Roman" w:eastAsia="Calibri" w:hAnsi="Times New Roman" w:cs="Times New Roman"/>
          <w:sz w:val="28"/>
          <w:szCs w:val="28"/>
          <w:lang w:eastAsia="es-ES"/>
        </w:rPr>
        <w:t>ra de los importados”</w:t>
      </w:r>
      <w:r w:rsidRPr="00DB3EEA">
        <w:rPr>
          <w:rStyle w:val="Refdenotaalpie"/>
          <w:rFonts w:ascii="Times New Roman" w:eastAsia="Calibri" w:hAnsi="Times New Roman" w:cs="Times New Roman"/>
          <w:sz w:val="28"/>
          <w:szCs w:val="28"/>
          <w:lang w:eastAsia="es-ES"/>
        </w:rPr>
        <w:footnoteReference w:id="71"/>
      </w:r>
      <w:r w:rsidRPr="00DB3EEA">
        <w:rPr>
          <w:rFonts w:ascii="Times New Roman" w:eastAsia="Calibri" w:hAnsi="Times New Roman" w:cs="Times New Roman"/>
          <w:sz w:val="28"/>
          <w:szCs w:val="28"/>
          <w:lang w:eastAsia="es-ES"/>
        </w:rPr>
        <w:t>. Insisten en que este principio es “una manifestación de los principios constitucionales de igualdad, no discriminación y libre competencia y, en consecuencia, su violación implica una transgresión directa a los preceptos constitucio</w:t>
      </w:r>
      <w:r w:rsidRPr="00DB3EEA">
        <w:rPr>
          <w:rFonts w:ascii="Times New Roman" w:eastAsia="Calibri" w:hAnsi="Times New Roman" w:cs="Times New Roman"/>
          <w:sz w:val="28"/>
          <w:szCs w:val="28"/>
          <w:lang w:eastAsia="es-ES"/>
        </w:rPr>
        <w:t>nales mencionados”</w:t>
      </w:r>
      <w:r w:rsidRPr="00DB3EEA">
        <w:rPr>
          <w:rStyle w:val="Refdenotaalpie"/>
          <w:rFonts w:ascii="Times New Roman" w:eastAsia="Calibri" w:hAnsi="Times New Roman" w:cs="Times New Roman"/>
          <w:sz w:val="28"/>
          <w:szCs w:val="28"/>
          <w:lang w:eastAsia="es-ES"/>
        </w:rPr>
        <w:footnoteReference w:id="72"/>
      </w:r>
      <w:r w:rsidRPr="00DB3EEA">
        <w:rPr>
          <w:rFonts w:ascii="Times New Roman" w:eastAsia="Calibri" w:hAnsi="Times New Roman" w:cs="Times New Roman"/>
          <w:sz w:val="28"/>
          <w:szCs w:val="28"/>
          <w:lang w:eastAsia="es-ES"/>
        </w:rPr>
        <w:t>. Asimismo, argumentan que la norma tiene la potencialidad de vulnerar el principio de neutralidad competitiva presentado por el Consejo de la Organización para la Cooperación y el Desarrollo Económico -OCDE, en tanto otorga “ventajas co</w:t>
      </w:r>
      <w:r w:rsidRPr="00DB3EEA">
        <w:rPr>
          <w:rFonts w:ascii="Times New Roman" w:eastAsia="Calibri" w:hAnsi="Times New Roman" w:cs="Times New Roman"/>
          <w:sz w:val="28"/>
          <w:szCs w:val="28"/>
          <w:lang w:eastAsia="es-ES"/>
        </w:rPr>
        <w:t>mpetitivas a un actor de mercado en detrimento de los demás”</w:t>
      </w:r>
      <w:r w:rsidRPr="00DB3EEA">
        <w:rPr>
          <w:rStyle w:val="Refdenotaalpie"/>
          <w:rFonts w:ascii="Times New Roman" w:eastAsia="Calibri" w:hAnsi="Times New Roman" w:cs="Times New Roman"/>
          <w:sz w:val="28"/>
          <w:szCs w:val="28"/>
          <w:lang w:eastAsia="es-ES"/>
        </w:rPr>
        <w:footnoteReference w:id="73"/>
      </w:r>
      <w:r w:rsidRPr="00DB3EEA">
        <w:rPr>
          <w:rFonts w:ascii="Times New Roman" w:eastAsia="Calibri" w:hAnsi="Times New Roman" w:cs="Times New Roman"/>
          <w:sz w:val="28"/>
          <w:szCs w:val="28"/>
          <w:lang w:eastAsia="es-ES"/>
        </w:rPr>
        <w:t xml:space="preserve">. </w:t>
      </w:r>
    </w:p>
    <w:p w:rsidR="007C746F" w:rsidRPr="00DB3EEA" w:rsidRDefault="00DB3EEA" w:rsidP="007C746F">
      <w:pPr>
        <w:pStyle w:val="Prrafodelista"/>
        <w:rPr>
          <w:rFonts w:ascii="Times New Roman" w:eastAsia="Calibri" w:hAnsi="Times New Roman" w:cs="Times New Roman"/>
          <w:sz w:val="28"/>
          <w:szCs w:val="28"/>
          <w:lang w:eastAsia="es-ES"/>
        </w:rPr>
      </w:pPr>
    </w:p>
    <w:p w:rsidR="007C746F"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Por otro lado, los intervinientes que proponen la inexequibilidad, y en subsidiariedad la inexequibilidad condicionada, señalan que el artículo 513-8 establece “un trato diferenciado entre do</w:t>
      </w:r>
      <w:r w:rsidRPr="00DB3EEA">
        <w:rPr>
          <w:rFonts w:ascii="Times New Roman" w:eastAsia="Calibri" w:hAnsi="Times New Roman" w:cs="Times New Roman"/>
          <w:sz w:val="28"/>
          <w:szCs w:val="28"/>
          <w:lang w:eastAsia="es-ES"/>
        </w:rPr>
        <w:t>s situaciones fácticas similares, como lo son los hechos generadores del impuesto a los productos comestibles ultraprocesados industrialmente y/o con alto contenido de azúcares añadidos, sodio o grasas saturadas”</w:t>
      </w:r>
      <w:r w:rsidRPr="00DB3EEA">
        <w:rPr>
          <w:rFonts w:ascii="Times New Roman" w:eastAsia="Calibri" w:hAnsi="Times New Roman" w:cs="Times New Roman"/>
          <w:sz w:val="28"/>
          <w:szCs w:val="28"/>
          <w:vertAlign w:val="superscript"/>
          <w:lang w:eastAsia="es-ES"/>
        </w:rPr>
        <w:footnoteReference w:id="74"/>
      </w:r>
      <w:r w:rsidRPr="00DB3EEA">
        <w:rPr>
          <w:rFonts w:ascii="Times New Roman" w:eastAsia="Calibri" w:hAnsi="Times New Roman" w:cs="Times New Roman"/>
          <w:sz w:val="28"/>
          <w:szCs w:val="28"/>
          <w:lang w:eastAsia="es-ES"/>
        </w:rPr>
        <w:t>. A su juicio, dicho trato “no cumple ningu</w:t>
      </w:r>
      <w:r w:rsidRPr="00DB3EEA">
        <w:rPr>
          <w:rFonts w:ascii="Times New Roman" w:eastAsia="Calibri" w:hAnsi="Times New Roman" w:cs="Times New Roman"/>
          <w:sz w:val="28"/>
          <w:szCs w:val="28"/>
          <w:lang w:eastAsia="es-ES"/>
        </w:rPr>
        <w:t>na finalidad que tenga justificación constitucional, pues en ninguna disposición constitucional se ampara que el impuesto del IVA calculado en una operación sirva como base gravable de otro tributo en la misma operación”</w:t>
      </w:r>
      <w:r w:rsidRPr="00DB3EEA">
        <w:rPr>
          <w:rFonts w:ascii="Times New Roman" w:eastAsia="Calibri" w:hAnsi="Times New Roman" w:cs="Times New Roman"/>
          <w:sz w:val="28"/>
          <w:szCs w:val="28"/>
          <w:vertAlign w:val="superscript"/>
          <w:lang w:eastAsia="es-ES"/>
        </w:rPr>
        <w:t xml:space="preserve"> </w:t>
      </w:r>
      <w:r w:rsidRPr="00DB3EEA">
        <w:rPr>
          <w:rFonts w:ascii="Times New Roman" w:eastAsia="Calibri" w:hAnsi="Times New Roman" w:cs="Times New Roman"/>
          <w:sz w:val="28"/>
          <w:szCs w:val="28"/>
          <w:vertAlign w:val="superscript"/>
          <w:lang w:eastAsia="es-ES"/>
        </w:rPr>
        <w:footnoteReference w:id="75"/>
      </w:r>
      <w:r w:rsidRPr="00DB3EEA">
        <w:rPr>
          <w:rFonts w:ascii="Times New Roman" w:eastAsia="Calibri" w:hAnsi="Times New Roman" w:cs="Times New Roman"/>
          <w:sz w:val="28"/>
          <w:szCs w:val="28"/>
          <w:lang w:eastAsia="es-ES"/>
        </w:rPr>
        <w:t xml:space="preserve">. </w:t>
      </w:r>
    </w:p>
    <w:p w:rsidR="007C746F" w:rsidRPr="00DB3EEA" w:rsidRDefault="00DB3EEA" w:rsidP="007C746F">
      <w:pPr>
        <w:rPr>
          <w:rFonts w:ascii="Times New Roman" w:eastAsia="Calibri" w:hAnsi="Times New Roman" w:cs="Times New Roman"/>
          <w:sz w:val="28"/>
          <w:szCs w:val="28"/>
          <w:lang w:eastAsia="es-ES"/>
        </w:rPr>
      </w:pPr>
    </w:p>
    <w:p w:rsidR="007C746F"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Una de las intervinientes sost</w:t>
      </w:r>
      <w:r w:rsidRPr="00DB3EEA">
        <w:rPr>
          <w:rFonts w:ascii="Times New Roman" w:eastAsia="Calibri" w:hAnsi="Times New Roman" w:cs="Times New Roman"/>
          <w:sz w:val="28"/>
          <w:szCs w:val="28"/>
          <w:lang w:eastAsia="es-ES"/>
        </w:rPr>
        <w:t>iene que, al definir la base gravable de los productos ultraprocesados importados, el legislador “adoptó la misma redacción establecida para la base gravable del impuesto sobre las ventas contenida en el artículo 459 del Estatuto Tributario”</w:t>
      </w:r>
      <w:r w:rsidRPr="00DB3EEA">
        <w:rPr>
          <w:rFonts w:ascii="Times New Roman" w:eastAsia="Calibri" w:hAnsi="Times New Roman" w:cs="Times New Roman"/>
          <w:sz w:val="28"/>
          <w:szCs w:val="28"/>
          <w:vertAlign w:val="superscript"/>
          <w:lang w:eastAsia="es-ES"/>
        </w:rPr>
        <w:footnoteReference w:id="76"/>
      </w:r>
      <w:r w:rsidRPr="00DB3EEA">
        <w:rPr>
          <w:rFonts w:ascii="Times New Roman" w:eastAsia="Calibri" w:hAnsi="Times New Roman" w:cs="Times New Roman"/>
          <w:sz w:val="28"/>
          <w:szCs w:val="28"/>
          <w:lang w:eastAsia="es-ES"/>
        </w:rPr>
        <w:t>, sustituyendo</w:t>
      </w:r>
      <w:r w:rsidRPr="00DB3EEA">
        <w:rPr>
          <w:rFonts w:ascii="Times New Roman" w:eastAsia="Calibri" w:hAnsi="Times New Roman" w:cs="Times New Roman"/>
          <w:sz w:val="28"/>
          <w:szCs w:val="28"/>
          <w:lang w:eastAsia="es-ES"/>
        </w:rPr>
        <w:t xml:space="preserve"> la expresión </w:t>
      </w:r>
      <w:r w:rsidRPr="00DB3EEA">
        <w:rPr>
          <w:rFonts w:ascii="Times New Roman" w:eastAsia="Calibri" w:hAnsi="Times New Roman" w:cs="Times New Roman"/>
          <w:i/>
          <w:iCs/>
          <w:sz w:val="28"/>
          <w:szCs w:val="28"/>
          <w:lang w:eastAsia="es-ES"/>
        </w:rPr>
        <w:t>derechos de aduana</w:t>
      </w:r>
      <w:r w:rsidRPr="00DB3EEA">
        <w:rPr>
          <w:rFonts w:ascii="Times New Roman" w:eastAsia="Calibri" w:hAnsi="Times New Roman" w:cs="Times New Roman"/>
          <w:sz w:val="28"/>
          <w:szCs w:val="28"/>
          <w:lang w:eastAsia="es-ES"/>
        </w:rPr>
        <w:t xml:space="preserve"> por </w:t>
      </w:r>
      <w:r w:rsidRPr="00DB3EEA">
        <w:rPr>
          <w:rFonts w:ascii="Times New Roman" w:eastAsia="Calibri" w:hAnsi="Times New Roman" w:cs="Times New Roman"/>
          <w:i/>
          <w:iCs/>
          <w:sz w:val="28"/>
          <w:szCs w:val="28"/>
          <w:lang w:eastAsia="es-ES"/>
        </w:rPr>
        <w:t>tributos aduaneros</w:t>
      </w:r>
      <w:r w:rsidRPr="00DB3EEA">
        <w:rPr>
          <w:rFonts w:ascii="Times New Roman" w:eastAsia="Calibri" w:hAnsi="Times New Roman" w:cs="Times New Roman"/>
          <w:sz w:val="28"/>
          <w:szCs w:val="28"/>
          <w:lang w:eastAsia="es-ES"/>
        </w:rPr>
        <w:t>. A su juicio, este ajuste implicó la inclusión del IVA dentro de la base gravable de los productos importados, a diferencia de lo que ocurre con los productos nacionales, cuya base gravable lo excluye</w:t>
      </w:r>
      <w:r w:rsidRPr="00DB3EEA">
        <w:rPr>
          <w:rFonts w:ascii="Times New Roman" w:eastAsia="Calibri" w:hAnsi="Times New Roman" w:cs="Times New Roman"/>
          <w:sz w:val="28"/>
          <w:szCs w:val="28"/>
          <w:lang w:eastAsia="es-ES"/>
        </w:rPr>
        <w:t>. Así, aunque reconoce la amplia libertad de configuración legislativa en materia tributaria, advierte que las diferencias creadas deben “estar soportada en criterios razonables que hagan efectivos los derechos constitucionales, no que los alteren y elimin</w:t>
      </w:r>
      <w:r w:rsidRPr="00DB3EEA">
        <w:rPr>
          <w:rFonts w:ascii="Times New Roman" w:eastAsia="Calibri" w:hAnsi="Times New Roman" w:cs="Times New Roman"/>
          <w:sz w:val="28"/>
          <w:szCs w:val="28"/>
          <w:lang w:eastAsia="es-ES"/>
        </w:rPr>
        <w:t>en”</w:t>
      </w:r>
      <w:r w:rsidRPr="00DB3EEA">
        <w:rPr>
          <w:rFonts w:ascii="Times New Roman" w:eastAsia="Calibri" w:hAnsi="Times New Roman" w:cs="Times New Roman"/>
          <w:sz w:val="28"/>
          <w:szCs w:val="28"/>
          <w:vertAlign w:val="superscript"/>
          <w:lang w:eastAsia="es-ES"/>
        </w:rPr>
        <w:footnoteReference w:id="77"/>
      </w:r>
      <w:r w:rsidRPr="00DB3EEA">
        <w:rPr>
          <w:rFonts w:ascii="Times New Roman" w:eastAsia="Calibri" w:hAnsi="Times New Roman" w:cs="Times New Roman"/>
          <w:sz w:val="28"/>
          <w:szCs w:val="28"/>
          <w:lang w:eastAsia="es-ES"/>
        </w:rPr>
        <w:t>, razón por la cual estima que los incisos demandados desconocen el principio de igualdad y el deber del legislador de actuar conforme a los valores y principios constitucionales.</w:t>
      </w:r>
    </w:p>
    <w:p w:rsidR="007C746F" w:rsidRPr="00DB3EEA" w:rsidRDefault="00DB3EEA" w:rsidP="007C746F">
      <w:pPr>
        <w:pStyle w:val="Prrafodelista"/>
        <w:tabs>
          <w:tab w:val="left" w:pos="426"/>
        </w:tabs>
        <w:ind w:left="0"/>
        <w:jc w:val="both"/>
        <w:rPr>
          <w:rFonts w:ascii="Times New Roman" w:eastAsia="Calibri" w:hAnsi="Times New Roman" w:cs="Times New Roman"/>
          <w:sz w:val="28"/>
          <w:szCs w:val="28"/>
          <w:lang w:eastAsia="es-ES"/>
        </w:rPr>
      </w:pPr>
    </w:p>
    <w:p w:rsidR="007C746F"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En la misma línea, otros intervinientes </w:t>
      </w:r>
      <w:r w:rsidRPr="00DB3EEA">
        <w:rPr>
          <w:rFonts w:ascii="Times New Roman" w:eastAsia="Calibri" w:hAnsi="Times New Roman" w:cs="Times New Roman"/>
          <w:sz w:val="28"/>
          <w:szCs w:val="28"/>
          <w:lang w:eastAsia="es-ES"/>
        </w:rPr>
        <w:t>insisten en</w:t>
      </w:r>
      <w:r w:rsidRPr="00DB3EEA">
        <w:rPr>
          <w:rFonts w:ascii="Times New Roman" w:eastAsia="Calibri" w:hAnsi="Times New Roman" w:cs="Times New Roman"/>
          <w:sz w:val="28"/>
          <w:szCs w:val="28"/>
          <w:lang w:eastAsia="es-ES"/>
        </w:rPr>
        <w:t xml:space="preserve"> que al reemplazar </w:t>
      </w:r>
      <w:r w:rsidRPr="00DB3EEA">
        <w:rPr>
          <w:rFonts w:ascii="Times New Roman" w:eastAsia="Calibri" w:hAnsi="Times New Roman" w:cs="Times New Roman"/>
          <w:i/>
          <w:iCs/>
          <w:sz w:val="28"/>
          <w:szCs w:val="28"/>
          <w:lang w:eastAsia="es-ES"/>
        </w:rPr>
        <w:t>derechos de aduana</w:t>
      </w:r>
      <w:r w:rsidRPr="00DB3EEA">
        <w:rPr>
          <w:rFonts w:ascii="Times New Roman" w:eastAsia="Calibri" w:hAnsi="Times New Roman" w:cs="Times New Roman"/>
          <w:sz w:val="28"/>
          <w:szCs w:val="28"/>
          <w:lang w:eastAsia="es-ES"/>
        </w:rPr>
        <w:t xml:space="preserve"> por </w:t>
      </w:r>
      <w:r w:rsidRPr="00DB3EEA">
        <w:rPr>
          <w:rFonts w:ascii="Times New Roman" w:eastAsia="Calibri" w:hAnsi="Times New Roman" w:cs="Times New Roman"/>
          <w:i/>
          <w:iCs/>
          <w:sz w:val="28"/>
          <w:szCs w:val="28"/>
          <w:lang w:eastAsia="es-ES"/>
        </w:rPr>
        <w:t>tributos aduaneros</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se incurrió en el error de incluir el valor del IVA dentro de la base gravable. De ello concluyen que, cuando la norma utiliza la expresión “se adiciona el valor de este gravamen”, esta debe entenderse referida úni</w:t>
      </w:r>
      <w:r w:rsidRPr="00DB3EEA">
        <w:rPr>
          <w:rFonts w:ascii="Times New Roman" w:eastAsia="Calibri" w:hAnsi="Times New Roman" w:cs="Times New Roman"/>
          <w:sz w:val="28"/>
          <w:szCs w:val="28"/>
          <w:lang w:eastAsia="es-ES"/>
        </w:rPr>
        <w:t>camente a los derechos de aduana, pues “una consideración contraria significaría aceptar la estructuración de un impuesto pigouviano sobre el impuesto sobre las ventas, impuesto que de ninguna manera genera la externalidad que la norma pretende corregir”</w:t>
      </w:r>
      <w:r w:rsidRPr="00DB3EEA">
        <w:rPr>
          <w:rStyle w:val="Refdenotaalpie"/>
          <w:rFonts w:ascii="Times New Roman" w:eastAsia="Calibri" w:hAnsi="Times New Roman" w:cs="Times New Roman"/>
          <w:sz w:val="28"/>
          <w:szCs w:val="28"/>
          <w:lang w:eastAsia="es-ES"/>
        </w:rPr>
        <w:footnoteReference w:id="78"/>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lang w:eastAsia="es-ES"/>
        </w:rPr>
        <w:t xml:space="preserve"> </w:t>
      </w:r>
    </w:p>
    <w:p w:rsidR="007C746F" w:rsidRPr="00DB3EEA" w:rsidRDefault="00DB3EEA" w:rsidP="007C746F">
      <w:pPr>
        <w:pStyle w:val="Prrafodelista"/>
        <w:rPr>
          <w:rFonts w:ascii="Times New Roman" w:eastAsia="Calibri" w:hAnsi="Times New Roman" w:cs="Times New Roman"/>
          <w:sz w:val="28"/>
          <w:szCs w:val="28"/>
          <w:lang w:eastAsia="es-ES"/>
        </w:rPr>
      </w:pPr>
    </w:p>
    <w:p w:rsidR="007C746F"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La Universidad del Rosario añade que, el efecto práctico de las normas demandadas es “posibilitar que se infle la base gravable con un valor que no corresponde con un hecho económico revelador de capacidad contributiva”</w:t>
      </w:r>
      <w:r w:rsidRPr="00DB3EEA">
        <w:rPr>
          <w:rFonts w:ascii="Times New Roman" w:eastAsia="Calibri" w:hAnsi="Times New Roman" w:cs="Times New Roman"/>
          <w:sz w:val="28"/>
          <w:szCs w:val="28"/>
          <w:vertAlign w:val="superscript"/>
          <w:lang w:eastAsia="es-ES"/>
        </w:rPr>
        <w:footnoteReference w:id="79"/>
      </w:r>
      <w:r w:rsidRPr="00DB3EEA">
        <w:rPr>
          <w:rFonts w:ascii="Times New Roman" w:eastAsia="Calibri" w:hAnsi="Times New Roman" w:cs="Times New Roman"/>
          <w:sz w:val="28"/>
          <w:szCs w:val="28"/>
          <w:lang w:eastAsia="es-ES"/>
        </w:rPr>
        <w:t>. Considera que someter el consum</w:t>
      </w:r>
      <w:r w:rsidRPr="00DB3EEA">
        <w:rPr>
          <w:rFonts w:ascii="Times New Roman" w:eastAsia="Calibri" w:hAnsi="Times New Roman" w:cs="Times New Roman"/>
          <w:sz w:val="28"/>
          <w:szCs w:val="28"/>
          <w:lang w:eastAsia="es-ES"/>
        </w:rPr>
        <w:t>o de productos ultraprocesados a cargas tributarias adicionales por el solo hecho de ser importados “no genera ningún efecto en la prevención de problemas de salud pública” y no supera el análisis de proporcionalidad requerido</w:t>
      </w:r>
      <w:r w:rsidRPr="00DB3EEA">
        <w:rPr>
          <w:rStyle w:val="Refdenotaalpie"/>
          <w:rFonts w:ascii="Times New Roman" w:eastAsia="Calibri" w:hAnsi="Times New Roman" w:cs="Times New Roman"/>
          <w:sz w:val="28"/>
          <w:szCs w:val="28"/>
          <w:lang w:eastAsia="es-ES"/>
        </w:rPr>
        <w:footnoteReference w:id="80"/>
      </w:r>
      <w:r w:rsidRPr="00DB3EEA">
        <w:rPr>
          <w:rFonts w:ascii="Times New Roman" w:eastAsia="Calibri" w:hAnsi="Times New Roman" w:cs="Times New Roman"/>
          <w:sz w:val="28"/>
          <w:szCs w:val="28"/>
          <w:lang w:eastAsia="es-ES"/>
        </w:rPr>
        <w:t>.</w:t>
      </w:r>
    </w:p>
    <w:p w:rsidR="007C746F" w:rsidRPr="00DB3EEA" w:rsidRDefault="00DB3EEA" w:rsidP="007C746F">
      <w:pPr>
        <w:pStyle w:val="Prrafodelista"/>
        <w:rPr>
          <w:rFonts w:ascii="Times New Roman" w:eastAsia="Calibri" w:hAnsi="Times New Roman" w:cs="Times New Roman"/>
          <w:sz w:val="28"/>
          <w:szCs w:val="28"/>
          <w:lang w:eastAsia="es-ES"/>
        </w:rPr>
      </w:pPr>
    </w:p>
    <w:p w:rsidR="007C746F"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Asimismo, explica que, aun</w:t>
      </w:r>
      <w:r w:rsidRPr="00DB3EEA">
        <w:rPr>
          <w:rFonts w:ascii="Times New Roman" w:eastAsia="Calibri" w:hAnsi="Times New Roman" w:cs="Times New Roman"/>
          <w:sz w:val="28"/>
          <w:szCs w:val="28"/>
          <w:lang w:eastAsia="es-ES"/>
        </w:rPr>
        <w:t>que en el IVA la inclusión del valor del arancel en la base gravable de las importaciones se justifica porque se grava la introducción del bien al territorio aduanero nacional; en los impuestos al consumo de modelo monofásico —como el impuesto discutido— “</w:t>
      </w:r>
      <w:r w:rsidRPr="00DB3EEA">
        <w:rPr>
          <w:rFonts w:ascii="Times New Roman" w:eastAsia="Calibri" w:hAnsi="Times New Roman" w:cs="Times New Roman"/>
          <w:sz w:val="28"/>
          <w:szCs w:val="28"/>
          <w:lang w:eastAsia="es-ES"/>
        </w:rPr>
        <w:t>el diseño correcto de los mismos implicó la adopción de normas que excluyeran expresamente el IVA del cálculo de su base gravable”</w:t>
      </w:r>
      <w:r w:rsidRPr="00DB3EEA">
        <w:rPr>
          <w:rFonts w:ascii="Times New Roman" w:eastAsia="Calibri" w:hAnsi="Times New Roman" w:cs="Times New Roman"/>
          <w:sz w:val="28"/>
          <w:szCs w:val="28"/>
          <w:vertAlign w:val="superscript"/>
          <w:lang w:eastAsia="es-ES"/>
        </w:rPr>
        <w:t xml:space="preserve"> </w:t>
      </w:r>
      <w:r w:rsidRPr="00DB3EEA">
        <w:rPr>
          <w:rFonts w:ascii="Times New Roman" w:eastAsia="Calibri" w:hAnsi="Times New Roman" w:cs="Times New Roman"/>
          <w:sz w:val="28"/>
          <w:szCs w:val="28"/>
          <w:vertAlign w:val="superscript"/>
          <w:lang w:eastAsia="es-ES"/>
        </w:rPr>
        <w:footnoteReference w:id="81"/>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Al respecto, c</w:t>
      </w:r>
      <w:r w:rsidRPr="00DB3EEA">
        <w:rPr>
          <w:rFonts w:ascii="Times New Roman" w:eastAsia="Calibri" w:hAnsi="Times New Roman" w:cs="Times New Roman"/>
          <w:sz w:val="28"/>
          <w:szCs w:val="28"/>
          <w:lang w:eastAsia="es-ES"/>
        </w:rPr>
        <w:t>i</w:t>
      </w:r>
      <w:r w:rsidRPr="00DB3EEA">
        <w:rPr>
          <w:rFonts w:ascii="Times New Roman" w:eastAsia="Calibri" w:hAnsi="Times New Roman" w:cs="Times New Roman"/>
          <w:sz w:val="28"/>
          <w:szCs w:val="28"/>
          <w:lang w:eastAsia="es-ES"/>
        </w:rPr>
        <w:t>ta los artículos 512-2, 512-3, 512-4 y 512-19 del Estatuto Tributario a modo de ejemplo, como normas en las</w:t>
      </w:r>
      <w:r w:rsidRPr="00DB3EEA">
        <w:rPr>
          <w:rFonts w:ascii="Times New Roman" w:eastAsia="Calibri" w:hAnsi="Times New Roman" w:cs="Times New Roman"/>
          <w:sz w:val="28"/>
          <w:szCs w:val="28"/>
          <w:lang w:eastAsia="es-ES"/>
        </w:rPr>
        <w:t xml:space="preserve"> que </w:t>
      </w:r>
      <w:r w:rsidRPr="00DB3EEA">
        <w:rPr>
          <w:rFonts w:ascii="Times New Roman" w:eastAsia="Calibri" w:hAnsi="Times New Roman" w:cs="Times New Roman"/>
          <w:sz w:val="28"/>
          <w:szCs w:val="28"/>
          <w:lang w:eastAsia="es-ES"/>
        </w:rPr>
        <w:t xml:space="preserve">el </w:t>
      </w:r>
      <w:r w:rsidRPr="00DB3EEA">
        <w:rPr>
          <w:rFonts w:ascii="Times New Roman" w:eastAsia="Calibri" w:hAnsi="Times New Roman" w:cs="Times New Roman"/>
          <w:sz w:val="28"/>
          <w:szCs w:val="28"/>
          <w:lang w:eastAsia="es-ES"/>
        </w:rPr>
        <w:t>legislador</w:t>
      </w:r>
      <w:r w:rsidRPr="00DB3EEA">
        <w:rPr>
          <w:rFonts w:ascii="Times New Roman" w:eastAsia="Calibri" w:hAnsi="Times New Roman" w:cs="Times New Roman"/>
          <w:sz w:val="28"/>
          <w:szCs w:val="28"/>
          <w:lang w:eastAsia="es-ES"/>
        </w:rPr>
        <w:t xml:space="preserve"> incluyó expresamente la exclusión del IVA. Aduce que la ausencia de esta cláusula configura una omisión legislativa relativa</w:t>
      </w:r>
      <w:r w:rsidRPr="00DB3EEA">
        <w:rPr>
          <w:rStyle w:val="Refdenotaalpie"/>
          <w:rFonts w:ascii="Times New Roman" w:eastAsia="Calibri" w:hAnsi="Times New Roman" w:cs="Times New Roman"/>
          <w:sz w:val="28"/>
          <w:szCs w:val="28"/>
          <w:lang w:eastAsia="es-ES"/>
        </w:rPr>
        <w:footnoteReference w:id="82"/>
      </w:r>
      <w:r w:rsidRPr="00DB3EEA">
        <w:rPr>
          <w:rFonts w:ascii="Times New Roman" w:eastAsia="Calibri" w:hAnsi="Times New Roman" w:cs="Times New Roman"/>
          <w:sz w:val="28"/>
          <w:szCs w:val="28"/>
          <w:lang w:eastAsia="es-ES"/>
        </w:rPr>
        <w:t xml:space="preserve">. </w:t>
      </w:r>
    </w:p>
    <w:p w:rsidR="007C746F" w:rsidRPr="00DB3EEA" w:rsidRDefault="00DB3EEA" w:rsidP="007C746F">
      <w:pPr>
        <w:rPr>
          <w:rFonts w:ascii="Times New Roman" w:eastAsia="Calibri" w:hAnsi="Times New Roman" w:cs="Times New Roman"/>
          <w:sz w:val="28"/>
          <w:szCs w:val="28"/>
          <w:lang w:eastAsia="es-ES"/>
        </w:rPr>
      </w:pPr>
    </w:p>
    <w:p w:rsidR="007C746F"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En cuanto a la libertad de competencia, los intervinientes comparten la apreciación de los demandantes. </w:t>
      </w:r>
      <w:r w:rsidRPr="00DB3EEA">
        <w:rPr>
          <w:rFonts w:ascii="Times New Roman" w:eastAsia="Calibri" w:hAnsi="Times New Roman" w:cs="Times New Roman"/>
          <w:sz w:val="28"/>
          <w:szCs w:val="28"/>
          <w:lang w:eastAsia="es-ES"/>
        </w:rPr>
        <w:t>Sostienen que la distinción tributaria “puede generar desincentivos en la oferta”</w:t>
      </w:r>
      <w:r w:rsidRPr="00DB3EEA">
        <w:rPr>
          <w:rStyle w:val="Refdenotaalpie"/>
          <w:rFonts w:ascii="Times New Roman" w:eastAsia="Calibri" w:hAnsi="Times New Roman" w:cs="Times New Roman"/>
          <w:sz w:val="28"/>
          <w:szCs w:val="28"/>
          <w:lang w:eastAsia="es-ES"/>
        </w:rPr>
        <w:footnoteReference w:id="83"/>
      </w:r>
      <w:r w:rsidRPr="00DB3EEA">
        <w:rPr>
          <w:rFonts w:ascii="Times New Roman" w:eastAsia="Calibri" w:hAnsi="Times New Roman" w:cs="Times New Roman"/>
          <w:sz w:val="28"/>
          <w:szCs w:val="28"/>
          <w:lang w:eastAsia="es-ES"/>
        </w:rPr>
        <w:t xml:space="preserve"> y colocar a los productos importados o producidos en zonas francas “en posición de total desventaja respecto de los productos producidos en Colombia”</w:t>
      </w:r>
      <w:r w:rsidRPr="00DB3EEA">
        <w:rPr>
          <w:rFonts w:ascii="Times New Roman" w:eastAsia="Calibri" w:hAnsi="Times New Roman" w:cs="Times New Roman"/>
          <w:sz w:val="28"/>
          <w:szCs w:val="28"/>
          <w:vertAlign w:val="superscript"/>
          <w:lang w:eastAsia="es-ES"/>
        </w:rPr>
        <w:footnoteReference w:id="84"/>
      </w:r>
      <w:r w:rsidRPr="00DB3EEA">
        <w:rPr>
          <w:rFonts w:ascii="Times New Roman" w:eastAsia="Calibri" w:hAnsi="Times New Roman" w:cs="Times New Roman"/>
          <w:sz w:val="28"/>
          <w:szCs w:val="28"/>
          <w:lang w:eastAsia="es-ES"/>
        </w:rPr>
        <w:t>. Algunos añaden que es</w:t>
      </w:r>
      <w:r w:rsidRPr="00DB3EEA">
        <w:rPr>
          <w:rFonts w:ascii="Times New Roman" w:eastAsia="Calibri" w:hAnsi="Times New Roman" w:cs="Times New Roman"/>
          <w:sz w:val="28"/>
          <w:szCs w:val="28"/>
          <w:lang w:eastAsia="es-ES"/>
        </w:rPr>
        <w:t>ta situación genera un “sobrecosto social”, cuyo efecto en cascada resulta particularmente regresivo para los consumidores de menores ingresos</w:t>
      </w:r>
      <w:r w:rsidRPr="00DB3EEA">
        <w:rPr>
          <w:rFonts w:ascii="Times New Roman" w:eastAsia="Calibri" w:hAnsi="Times New Roman" w:cs="Times New Roman"/>
          <w:sz w:val="28"/>
          <w:szCs w:val="28"/>
          <w:vertAlign w:val="superscript"/>
          <w:lang w:eastAsia="es-ES"/>
        </w:rPr>
        <w:footnoteReference w:id="85"/>
      </w:r>
      <w:r w:rsidRPr="00DB3EEA">
        <w:rPr>
          <w:rFonts w:ascii="Times New Roman" w:eastAsia="Calibri" w:hAnsi="Times New Roman" w:cs="Times New Roman"/>
          <w:sz w:val="28"/>
          <w:szCs w:val="28"/>
          <w:lang w:eastAsia="es-ES"/>
        </w:rPr>
        <w:t xml:space="preserve">.  </w:t>
      </w:r>
    </w:p>
    <w:p w:rsidR="007C746F" w:rsidRPr="00DB3EEA" w:rsidRDefault="00DB3EEA" w:rsidP="007C746F">
      <w:pPr>
        <w:pStyle w:val="Prrafodelista"/>
        <w:tabs>
          <w:tab w:val="left" w:pos="426"/>
        </w:tabs>
        <w:ind w:left="0"/>
        <w:jc w:val="both"/>
        <w:rPr>
          <w:rFonts w:ascii="Times New Roman" w:eastAsia="Calibri" w:hAnsi="Times New Roman" w:cs="Times New Roman"/>
          <w:sz w:val="28"/>
          <w:szCs w:val="28"/>
          <w:lang w:eastAsia="es-ES"/>
        </w:rPr>
      </w:pPr>
    </w:p>
    <w:p w:rsidR="00EE50CC"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Por otra parte, </w:t>
      </w:r>
      <w:r w:rsidRPr="00DB3EEA">
        <w:rPr>
          <w:rFonts w:ascii="Times New Roman" w:eastAsia="Calibri" w:hAnsi="Times New Roman" w:cs="Times New Roman"/>
          <w:sz w:val="28"/>
          <w:szCs w:val="28"/>
          <w:lang w:eastAsia="es-ES"/>
        </w:rPr>
        <w:t>los intervinientes que comparten</w:t>
      </w:r>
      <w:r w:rsidRPr="00DB3EEA">
        <w:rPr>
          <w:rFonts w:ascii="Times New Roman" w:eastAsia="Calibri" w:hAnsi="Times New Roman" w:cs="Times New Roman"/>
          <w:sz w:val="28"/>
          <w:szCs w:val="28"/>
          <w:lang w:eastAsia="es-ES"/>
        </w:rPr>
        <w:t xml:space="preserve"> la presunta </w:t>
      </w:r>
      <w:r w:rsidRPr="00DB3EEA">
        <w:rPr>
          <w:rFonts w:ascii="Times New Roman" w:eastAsia="Calibri" w:hAnsi="Times New Roman" w:cs="Times New Roman"/>
          <w:sz w:val="28"/>
          <w:szCs w:val="28"/>
          <w:lang w:eastAsia="es-ES"/>
        </w:rPr>
        <w:t xml:space="preserve">vulneración de la reserva de ley marco </w:t>
      </w:r>
      <w:r w:rsidRPr="00DB3EEA">
        <w:rPr>
          <w:rFonts w:ascii="Times New Roman" w:eastAsia="Calibri" w:hAnsi="Times New Roman" w:cs="Times New Roman"/>
          <w:sz w:val="28"/>
          <w:szCs w:val="28"/>
          <w:lang w:eastAsia="es-ES"/>
        </w:rPr>
        <w:t>expone</w:t>
      </w:r>
      <w:r w:rsidRPr="00DB3EEA">
        <w:rPr>
          <w:rFonts w:ascii="Times New Roman" w:eastAsia="Calibri" w:hAnsi="Times New Roman" w:cs="Times New Roman"/>
          <w:sz w:val="28"/>
          <w:szCs w:val="28"/>
          <w:lang w:eastAsia="es-ES"/>
        </w:rPr>
        <w:t>n</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que</w:t>
      </w:r>
      <w:r w:rsidRPr="00DB3EEA">
        <w:rPr>
          <w:rFonts w:ascii="Times New Roman" w:eastAsia="Calibri" w:hAnsi="Times New Roman" w:cs="Times New Roman"/>
          <w:sz w:val="28"/>
          <w:szCs w:val="28"/>
          <w:lang w:eastAsia="es-ES"/>
        </w:rPr>
        <w:t xml:space="preserve"> en pasadas oportunidades </w:t>
      </w:r>
      <w:r w:rsidRPr="00DB3EEA">
        <w:rPr>
          <w:rFonts w:ascii="Times New Roman" w:eastAsia="Calibri" w:hAnsi="Times New Roman" w:cs="Times New Roman"/>
          <w:sz w:val="28"/>
          <w:szCs w:val="28"/>
          <w:lang w:eastAsia="es-ES"/>
        </w:rPr>
        <w:t>“la Corte ha declarado inconstitucional una norma que intentó fijar un arancel específico, argumentando que el Congreso excedió su autoridad al no limitarse a establecer criterios generales, lo que impidió al Ejecutivo adaptars</w:t>
      </w:r>
      <w:r w:rsidRPr="00DB3EEA">
        <w:rPr>
          <w:rFonts w:ascii="Times New Roman" w:eastAsia="Calibri" w:hAnsi="Times New Roman" w:cs="Times New Roman"/>
          <w:sz w:val="28"/>
          <w:szCs w:val="28"/>
          <w:lang w:eastAsia="es-ES"/>
        </w:rPr>
        <w:t>e a las dinámicas del mercado y violó la distribución de competencias establecida por la Constitución”</w:t>
      </w:r>
      <w:r w:rsidRPr="00DB3EEA">
        <w:rPr>
          <w:rStyle w:val="Refdenotaalpie"/>
          <w:rFonts w:ascii="Times New Roman" w:eastAsia="Calibri" w:hAnsi="Times New Roman" w:cs="Times New Roman"/>
          <w:sz w:val="28"/>
          <w:szCs w:val="28"/>
          <w:lang w:eastAsia="es-ES"/>
        </w:rPr>
        <w:footnoteReference w:id="86"/>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lang w:eastAsia="es-ES"/>
        </w:rPr>
        <w:t xml:space="preserve"> Sostienen que en est</w:t>
      </w:r>
      <w:r w:rsidRPr="00DB3EEA">
        <w:rPr>
          <w:rFonts w:ascii="Times New Roman" w:eastAsia="Calibri" w:hAnsi="Times New Roman" w:cs="Times New Roman"/>
          <w:sz w:val="28"/>
          <w:szCs w:val="28"/>
          <w:lang w:eastAsia="es-ES"/>
        </w:rPr>
        <w:t>a</w:t>
      </w:r>
      <w:r w:rsidRPr="00DB3EEA">
        <w:rPr>
          <w:rFonts w:ascii="Times New Roman" w:eastAsia="Calibri" w:hAnsi="Times New Roman" w:cs="Times New Roman"/>
          <w:sz w:val="28"/>
          <w:szCs w:val="28"/>
          <w:lang w:eastAsia="es-ES"/>
        </w:rPr>
        <w:t xml:space="preserve"> oportunidad</w:t>
      </w:r>
      <w:r w:rsidRPr="00DB3EEA">
        <w:rPr>
          <w:rFonts w:ascii="Times New Roman" w:eastAsia="Calibri" w:hAnsi="Times New Roman" w:cs="Times New Roman"/>
          <w:sz w:val="28"/>
          <w:szCs w:val="28"/>
          <w:lang w:eastAsia="es-ES"/>
        </w:rPr>
        <w:t xml:space="preserve"> la norma demandada genera una situación similar</w:t>
      </w:r>
      <w:r w:rsidRPr="00DB3EEA">
        <w:rPr>
          <w:rFonts w:ascii="Times New Roman" w:eastAsia="Calibri" w:hAnsi="Times New Roman" w:cs="Times New Roman"/>
          <w:sz w:val="28"/>
          <w:szCs w:val="28"/>
          <w:lang w:eastAsia="es-ES"/>
        </w:rPr>
        <w:t>, que solo puede resolverse al ajustar</w:t>
      </w:r>
      <w:r w:rsidRPr="00DB3EEA">
        <w:rPr>
          <w:rFonts w:ascii="Times New Roman" w:eastAsia="Calibri" w:hAnsi="Times New Roman" w:cs="Times New Roman"/>
          <w:sz w:val="28"/>
          <w:szCs w:val="28"/>
          <w:lang w:eastAsia="es-ES"/>
        </w:rPr>
        <w:t xml:space="preserve"> el término de </w:t>
      </w:r>
      <w:r w:rsidRPr="00DB3EEA">
        <w:rPr>
          <w:rFonts w:ascii="Times New Roman" w:eastAsia="Calibri" w:hAnsi="Times New Roman" w:cs="Times New Roman"/>
          <w:i/>
          <w:iCs/>
          <w:sz w:val="28"/>
          <w:szCs w:val="28"/>
          <w:lang w:eastAsia="es-ES"/>
        </w:rPr>
        <w:t>tributos aduanero</w:t>
      </w:r>
      <w:r w:rsidRPr="00DB3EEA">
        <w:rPr>
          <w:rFonts w:ascii="Times New Roman" w:eastAsia="Calibri" w:hAnsi="Times New Roman" w:cs="Times New Roman"/>
          <w:i/>
          <w:iCs/>
          <w:sz w:val="28"/>
          <w:szCs w:val="28"/>
          <w:lang w:eastAsia="es-ES"/>
        </w:rPr>
        <w:t xml:space="preserve">s </w:t>
      </w:r>
      <w:r w:rsidRPr="00DB3EEA">
        <w:rPr>
          <w:rFonts w:ascii="Times New Roman" w:eastAsia="Calibri" w:hAnsi="Times New Roman" w:cs="Times New Roman"/>
          <w:sz w:val="28"/>
          <w:szCs w:val="28"/>
          <w:lang w:eastAsia="es-ES"/>
        </w:rPr>
        <w:t>por el de</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i/>
          <w:iCs/>
          <w:sz w:val="28"/>
          <w:szCs w:val="28"/>
          <w:lang w:eastAsia="es-ES"/>
        </w:rPr>
        <w:t>derechos de aduana.</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Insisten en que</w:t>
      </w:r>
      <w:r w:rsidRPr="00DB3EEA">
        <w:rPr>
          <w:rFonts w:ascii="Times New Roman" w:eastAsia="Calibri" w:hAnsi="Times New Roman" w:cs="Times New Roman"/>
          <w:sz w:val="28"/>
          <w:szCs w:val="28"/>
          <w:lang w:eastAsia="es-ES"/>
        </w:rPr>
        <w:t>, “las razones del mayor Impuesto, al no atender a finalidades fiscales o extrafiscales deben corresponder entonces a razones de política comercial que no fueron reveladas ni discutidas en el trámite legislat</w:t>
      </w:r>
      <w:r w:rsidRPr="00DB3EEA">
        <w:rPr>
          <w:rFonts w:ascii="Times New Roman" w:eastAsia="Calibri" w:hAnsi="Times New Roman" w:cs="Times New Roman"/>
          <w:sz w:val="28"/>
          <w:szCs w:val="28"/>
          <w:lang w:eastAsia="es-ES"/>
        </w:rPr>
        <w:t>ivo de la Ley 2277 de 2022</w:t>
      </w:r>
      <w:r w:rsidRPr="00DB3EEA">
        <w:rPr>
          <w:rFonts w:ascii="Times New Roman" w:eastAsia="Calibri" w:hAnsi="Times New Roman" w:cs="Times New Roman"/>
          <w:sz w:val="28"/>
          <w:szCs w:val="28"/>
          <w:lang w:eastAsia="es-ES"/>
        </w:rPr>
        <w:t>”</w:t>
      </w:r>
      <w:r w:rsidRPr="00DB3EEA">
        <w:rPr>
          <w:rStyle w:val="Refdenotaalpie"/>
          <w:rFonts w:ascii="Times New Roman" w:eastAsia="Calibri" w:hAnsi="Times New Roman" w:cs="Times New Roman"/>
          <w:sz w:val="28"/>
          <w:szCs w:val="28"/>
          <w:lang w:eastAsia="es-ES"/>
        </w:rPr>
        <w:footnoteReference w:id="87"/>
      </w:r>
      <w:r w:rsidRPr="00DB3EEA">
        <w:rPr>
          <w:rFonts w:ascii="Times New Roman" w:eastAsia="Calibri" w:hAnsi="Times New Roman" w:cs="Times New Roman"/>
          <w:sz w:val="28"/>
          <w:szCs w:val="28"/>
          <w:lang w:eastAsia="es-ES"/>
        </w:rPr>
        <w:t>.</w:t>
      </w:r>
    </w:p>
    <w:p w:rsidR="00EE50CC" w:rsidRPr="00DB3EEA" w:rsidRDefault="00DB3EEA" w:rsidP="00EE50CC">
      <w:pPr>
        <w:pStyle w:val="Prrafodelista"/>
        <w:rPr>
          <w:rFonts w:ascii="Times New Roman" w:eastAsia="Calibri" w:hAnsi="Times New Roman" w:cs="Times New Roman"/>
          <w:sz w:val="28"/>
          <w:szCs w:val="28"/>
          <w:lang w:eastAsia="es-ES"/>
        </w:rPr>
      </w:pPr>
    </w:p>
    <w:p w:rsidR="007C746F"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Finalmente, una interviniente que promueve como opción la exequibilidad condicionada comparte la posición de</w:t>
      </w:r>
      <w:r w:rsidRPr="00DB3EEA">
        <w:rPr>
          <w:rFonts w:ascii="Times New Roman" w:eastAsia="Calibri" w:hAnsi="Times New Roman" w:cs="Times New Roman"/>
          <w:sz w:val="28"/>
          <w:szCs w:val="28"/>
          <w:lang w:eastAsia="es-ES"/>
        </w:rPr>
        <w:t xml:space="preserve"> que</w:t>
      </w:r>
      <w:r w:rsidRPr="00DB3EEA">
        <w:rPr>
          <w:rFonts w:ascii="Times New Roman" w:eastAsia="Calibri" w:hAnsi="Times New Roman" w:cs="Times New Roman"/>
          <w:sz w:val="28"/>
          <w:szCs w:val="28"/>
          <w:lang w:eastAsia="es-ES"/>
        </w:rPr>
        <w:t xml:space="preserve"> la medida desconoce el principio de trato nacional previsto en el artículo III del GATT. A su juicio, el impuesto saludable otorga un trato más gravoso a los productos de origen extranjero y a aquellos producidos en zonas francas, en comparación con los p</w:t>
      </w:r>
      <w:r w:rsidRPr="00DB3EEA">
        <w:rPr>
          <w:rFonts w:ascii="Times New Roman" w:eastAsia="Calibri" w:hAnsi="Times New Roman" w:cs="Times New Roman"/>
          <w:sz w:val="28"/>
          <w:szCs w:val="28"/>
          <w:lang w:eastAsia="es-ES"/>
        </w:rPr>
        <w:t>roductos nacionales</w:t>
      </w:r>
      <w:r w:rsidRPr="00DB3EEA">
        <w:rPr>
          <w:rFonts w:ascii="Times New Roman" w:eastAsia="Calibri" w:hAnsi="Times New Roman" w:cs="Times New Roman"/>
          <w:sz w:val="28"/>
          <w:szCs w:val="28"/>
          <w:vertAlign w:val="superscript"/>
          <w:lang w:eastAsia="es-ES"/>
        </w:rPr>
        <w:footnoteReference w:id="88"/>
      </w:r>
      <w:r w:rsidRPr="00DB3EEA">
        <w:rPr>
          <w:rFonts w:ascii="Times New Roman" w:eastAsia="Calibri" w:hAnsi="Times New Roman" w:cs="Times New Roman"/>
          <w:sz w:val="28"/>
          <w:szCs w:val="28"/>
          <w:lang w:eastAsia="es-ES"/>
        </w:rPr>
        <w:t xml:space="preserve">. </w:t>
      </w:r>
    </w:p>
    <w:p w:rsidR="007C746F" w:rsidRPr="00DB3EEA" w:rsidRDefault="00DB3EEA" w:rsidP="007C746F">
      <w:pPr>
        <w:pStyle w:val="Prrafodelista"/>
        <w:rPr>
          <w:rFonts w:ascii="Times New Roman" w:eastAsia="Calibri" w:hAnsi="Times New Roman" w:cs="Times New Roman"/>
          <w:sz w:val="28"/>
          <w:szCs w:val="28"/>
          <w:lang w:eastAsia="es-ES"/>
        </w:rPr>
      </w:pPr>
    </w:p>
    <w:p w:rsidR="007C746F" w:rsidRPr="00DB3EEA" w:rsidRDefault="00DB3EEA" w:rsidP="000758F0">
      <w:pPr>
        <w:pStyle w:val="Prrafodelista"/>
        <w:numPr>
          <w:ilvl w:val="0"/>
          <w:numId w:val="1"/>
        </w:numPr>
        <w:tabs>
          <w:tab w:val="left" w:pos="284"/>
        </w:tabs>
        <w:ind w:left="0" w:right="51"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Este </w:t>
      </w:r>
      <w:r w:rsidRPr="00DB3EEA">
        <w:rPr>
          <w:rFonts w:ascii="Times New Roman" w:eastAsia="Calibri" w:hAnsi="Times New Roman" w:cs="Times New Roman"/>
          <w:sz w:val="28"/>
          <w:szCs w:val="28"/>
          <w:lang w:eastAsia="es-ES"/>
        </w:rPr>
        <w:t xml:space="preserve">último </w:t>
      </w:r>
      <w:r w:rsidRPr="00DB3EEA">
        <w:rPr>
          <w:rFonts w:ascii="Times New Roman" w:eastAsia="Calibri" w:hAnsi="Times New Roman" w:cs="Times New Roman"/>
          <w:sz w:val="28"/>
          <w:szCs w:val="28"/>
          <w:lang w:eastAsia="es-ES"/>
        </w:rPr>
        <w:t xml:space="preserve">conjunto de intervinientes a pesar de sostener como primera solución la inexequibilidad, proponen optar por una exequibilidad condicionada que comprenda el concepto </w:t>
      </w:r>
      <w:r w:rsidRPr="00DB3EEA">
        <w:rPr>
          <w:rFonts w:ascii="Times New Roman" w:eastAsia="Calibri" w:hAnsi="Times New Roman" w:cs="Times New Roman"/>
          <w:i/>
          <w:iCs/>
          <w:sz w:val="28"/>
          <w:szCs w:val="28"/>
          <w:lang w:eastAsia="es-ES"/>
        </w:rPr>
        <w:t>de tributos aduaneros</w:t>
      </w:r>
      <w:r w:rsidRPr="00DB3EEA">
        <w:rPr>
          <w:rFonts w:ascii="Times New Roman" w:eastAsia="Calibri" w:hAnsi="Times New Roman" w:cs="Times New Roman"/>
          <w:sz w:val="28"/>
          <w:szCs w:val="28"/>
          <w:lang w:eastAsia="es-ES"/>
        </w:rPr>
        <w:t xml:space="preserve"> como </w:t>
      </w:r>
      <w:r w:rsidRPr="00DB3EEA">
        <w:rPr>
          <w:rFonts w:ascii="Times New Roman" w:eastAsia="Calibri" w:hAnsi="Times New Roman" w:cs="Times New Roman"/>
          <w:i/>
          <w:iCs/>
          <w:sz w:val="28"/>
          <w:szCs w:val="28"/>
          <w:lang w:eastAsia="es-ES"/>
        </w:rPr>
        <w:t>derechos de aduana</w:t>
      </w:r>
      <w:r w:rsidRPr="00DB3EEA">
        <w:rPr>
          <w:rFonts w:ascii="Times New Roman" w:eastAsia="Calibri" w:hAnsi="Times New Roman" w:cs="Times New Roman"/>
          <w:sz w:val="28"/>
          <w:szCs w:val="28"/>
          <w:lang w:eastAsia="es-ES"/>
        </w:rPr>
        <w:t xml:space="preserve">. Señalan </w:t>
      </w:r>
      <w:r w:rsidRPr="00DB3EEA">
        <w:rPr>
          <w:rFonts w:ascii="Times New Roman" w:eastAsia="Calibri" w:hAnsi="Times New Roman" w:cs="Times New Roman"/>
          <w:sz w:val="28"/>
          <w:szCs w:val="28"/>
          <w:lang w:eastAsia="es-ES"/>
        </w:rPr>
        <w:t>que, si el legislador empleara este último término, “la base gravable del impuesto a alimentos ultra procesados sería considerada igual tanto para productos nacionales como para productos importados (o provenientes de zona franca)”</w:t>
      </w:r>
      <w:r w:rsidRPr="00DB3EEA">
        <w:rPr>
          <w:rFonts w:ascii="Times New Roman" w:eastAsia="Calibri" w:hAnsi="Times New Roman" w:cs="Times New Roman"/>
          <w:sz w:val="28"/>
          <w:szCs w:val="28"/>
          <w:vertAlign w:val="superscript"/>
          <w:lang w:eastAsia="es-ES"/>
        </w:rPr>
        <w:footnoteReference w:id="89"/>
      </w:r>
      <w:r w:rsidRPr="00DB3EEA">
        <w:rPr>
          <w:rFonts w:ascii="Times New Roman" w:eastAsia="Calibri" w:hAnsi="Times New Roman" w:cs="Times New Roman"/>
          <w:sz w:val="28"/>
          <w:szCs w:val="28"/>
          <w:lang w:eastAsia="es-ES"/>
        </w:rPr>
        <w:t>. A su juicio, el legisl</w:t>
      </w:r>
      <w:r w:rsidRPr="00DB3EEA">
        <w:rPr>
          <w:rFonts w:ascii="Times New Roman" w:eastAsia="Calibri" w:hAnsi="Times New Roman" w:cs="Times New Roman"/>
          <w:sz w:val="28"/>
          <w:szCs w:val="28"/>
          <w:lang w:eastAsia="es-ES"/>
        </w:rPr>
        <w:t>ador, al utilizar este término “asignó de manera desmedida una carga tributaria superior a los importadores y de suyo a los consumidores de productos importados.”</w:t>
      </w:r>
      <w:r w:rsidRPr="00DB3EEA">
        <w:rPr>
          <w:rFonts w:ascii="Times New Roman" w:eastAsia="Calibri" w:hAnsi="Times New Roman" w:cs="Times New Roman"/>
          <w:sz w:val="28"/>
          <w:szCs w:val="28"/>
          <w:vertAlign w:val="superscript"/>
          <w:lang w:eastAsia="es-ES"/>
        </w:rPr>
        <w:footnoteReference w:id="90"/>
      </w:r>
      <w:r w:rsidRPr="00DB3EEA">
        <w:rPr>
          <w:rFonts w:ascii="Times New Roman" w:eastAsia="Calibri" w:hAnsi="Times New Roman" w:cs="Times New Roman"/>
          <w:sz w:val="28"/>
          <w:szCs w:val="28"/>
          <w:lang w:eastAsia="es-ES"/>
        </w:rPr>
        <w:t xml:space="preserve"> </w:t>
      </w:r>
    </w:p>
    <w:p w:rsidR="00DA73A8" w:rsidRPr="00DB3EEA" w:rsidRDefault="00DB3EEA" w:rsidP="00376DDD">
      <w:pPr>
        <w:pStyle w:val="Prrafodelista"/>
        <w:tabs>
          <w:tab w:val="left" w:pos="426"/>
        </w:tabs>
        <w:ind w:left="0"/>
        <w:jc w:val="both"/>
        <w:rPr>
          <w:rFonts w:ascii="Times New Roman" w:eastAsia="Calibri" w:hAnsi="Times New Roman" w:cs="Times New Roman"/>
          <w:b/>
          <w:sz w:val="28"/>
          <w:szCs w:val="28"/>
          <w:lang w:eastAsia="es-ES"/>
        </w:rPr>
      </w:pPr>
    </w:p>
    <w:p w:rsidR="002058CA" w:rsidRPr="00DB3EEA" w:rsidRDefault="00DB3EEA" w:rsidP="00FA2572">
      <w:pPr>
        <w:pStyle w:val="Prrafodelista"/>
        <w:numPr>
          <w:ilvl w:val="0"/>
          <w:numId w:val="2"/>
        </w:numPr>
        <w:tabs>
          <w:tab w:val="left" w:pos="284"/>
        </w:tabs>
        <w:ind w:left="0" w:firstLine="0"/>
        <w:jc w:val="both"/>
        <w:outlineLvl w:val="1"/>
        <w:rPr>
          <w:rFonts w:ascii="Times New Roman" w:eastAsia="Calibri" w:hAnsi="Times New Roman" w:cs="Times New Roman"/>
          <w:b/>
          <w:sz w:val="28"/>
          <w:szCs w:val="28"/>
          <w:lang w:eastAsia="es-ES"/>
        </w:rPr>
      </w:pPr>
      <w:r w:rsidRPr="00DB3EEA">
        <w:rPr>
          <w:rFonts w:ascii="Times New Roman" w:eastAsia="Calibri" w:hAnsi="Times New Roman" w:cs="Times New Roman"/>
          <w:b/>
          <w:sz w:val="28"/>
          <w:szCs w:val="28"/>
          <w:lang w:eastAsia="es-ES"/>
        </w:rPr>
        <w:t xml:space="preserve">Concepto de la </w:t>
      </w:r>
      <w:r w:rsidRPr="00DB3EEA">
        <w:rPr>
          <w:rFonts w:ascii="Times New Roman" w:eastAsia="Calibri" w:hAnsi="Times New Roman" w:cs="Times New Roman"/>
          <w:b/>
          <w:sz w:val="28"/>
          <w:szCs w:val="28"/>
          <w:lang w:eastAsia="es-ES"/>
        </w:rPr>
        <w:t>P</w:t>
      </w:r>
      <w:r w:rsidRPr="00DB3EEA">
        <w:rPr>
          <w:rFonts w:ascii="Times New Roman" w:eastAsia="Calibri" w:hAnsi="Times New Roman" w:cs="Times New Roman"/>
          <w:b/>
          <w:sz w:val="28"/>
          <w:szCs w:val="28"/>
          <w:lang w:eastAsia="es-ES"/>
        </w:rPr>
        <w:t>rocurad</w:t>
      </w:r>
      <w:r w:rsidRPr="00DB3EEA">
        <w:rPr>
          <w:rFonts w:ascii="Times New Roman" w:eastAsia="Calibri" w:hAnsi="Times New Roman" w:cs="Times New Roman"/>
          <w:b/>
          <w:sz w:val="28"/>
          <w:szCs w:val="28"/>
          <w:lang w:eastAsia="es-ES"/>
        </w:rPr>
        <w:t>u</w:t>
      </w:r>
      <w:r w:rsidRPr="00DB3EEA">
        <w:rPr>
          <w:rFonts w:ascii="Times New Roman" w:eastAsia="Calibri" w:hAnsi="Times New Roman" w:cs="Times New Roman"/>
          <w:b/>
          <w:sz w:val="28"/>
          <w:szCs w:val="28"/>
          <w:lang w:eastAsia="es-ES"/>
        </w:rPr>
        <w:t>r</w:t>
      </w:r>
      <w:r w:rsidRPr="00DB3EEA">
        <w:rPr>
          <w:rFonts w:ascii="Times New Roman" w:eastAsia="Calibri" w:hAnsi="Times New Roman" w:cs="Times New Roman"/>
          <w:b/>
          <w:sz w:val="28"/>
          <w:szCs w:val="28"/>
          <w:lang w:eastAsia="es-ES"/>
        </w:rPr>
        <w:t>ía</w:t>
      </w:r>
      <w:r w:rsidRPr="00DB3EEA">
        <w:rPr>
          <w:rFonts w:ascii="Times New Roman" w:eastAsia="Calibri" w:hAnsi="Times New Roman" w:cs="Times New Roman"/>
          <w:b/>
          <w:sz w:val="28"/>
          <w:szCs w:val="28"/>
          <w:lang w:eastAsia="es-ES"/>
        </w:rPr>
        <w:t xml:space="preserve"> </w:t>
      </w:r>
      <w:r w:rsidRPr="00DB3EEA">
        <w:rPr>
          <w:rFonts w:ascii="Times New Roman" w:eastAsia="Calibri" w:hAnsi="Times New Roman" w:cs="Times New Roman"/>
          <w:b/>
          <w:sz w:val="28"/>
          <w:szCs w:val="28"/>
          <w:lang w:eastAsia="es-ES"/>
        </w:rPr>
        <w:t>G</w:t>
      </w:r>
      <w:r w:rsidRPr="00DB3EEA">
        <w:rPr>
          <w:rFonts w:ascii="Times New Roman" w:eastAsia="Calibri" w:hAnsi="Times New Roman" w:cs="Times New Roman"/>
          <w:b/>
          <w:sz w:val="28"/>
          <w:szCs w:val="28"/>
          <w:lang w:eastAsia="es-ES"/>
        </w:rPr>
        <w:t>eneral de la Nación</w:t>
      </w:r>
    </w:p>
    <w:p w:rsidR="002058CA" w:rsidRPr="00DB3EEA" w:rsidRDefault="00DB3EEA" w:rsidP="00376DDD">
      <w:pPr>
        <w:pStyle w:val="Prrafodelista"/>
        <w:tabs>
          <w:tab w:val="left" w:pos="426"/>
        </w:tabs>
        <w:ind w:left="0"/>
        <w:jc w:val="both"/>
        <w:rPr>
          <w:rFonts w:ascii="Times New Roman" w:hAnsi="Times New Roman" w:cs="Times New Roman"/>
          <w:iCs/>
          <w:sz w:val="28"/>
          <w:szCs w:val="28"/>
          <w:lang w:eastAsia="es-ES"/>
        </w:rPr>
      </w:pPr>
    </w:p>
    <w:p w:rsidR="00F92F80" w:rsidRPr="00DB3EEA" w:rsidRDefault="00DB3EEA" w:rsidP="000758F0">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eastAsia="Calibri" w:hAnsi="Times New Roman" w:cs="Times New Roman"/>
          <w:sz w:val="28"/>
          <w:szCs w:val="28"/>
          <w:lang w:eastAsia="es-ES"/>
        </w:rPr>
        <w:t>Mediante concepto de 15 de septiembre de</w:t>
      </w:r>
      <w:r w:rsidRPr="00DB3EEA">
        <w:rPr>
          <w:rFonts w:ascii="Times New Roman" w:eastAsia="Calibri" w:hAnsi="Times New Roman" w:cs="Times New Roman"/>
          <w:sz w:val="28"/>
          <w:szCs w:val="28"/>
          <w:lang w:eastAsia="es-ES"/>
        </w:rPr>
        <w:t xml:space="preserve"> 2025, l</w:t>
      </w:r>
      <w:r w:rsidRPr="00DB3EEA">
        <w:rPr>
          <w:rFonts w:ascii="Times New Roman" w:eastAsia="Calibri" w:hAnsi="Times New Roman" w:cs="Times New Roman"/>
          <w:sz w:val="28"/>
          <w:szCs w:val="28"/>
          <w:lang w:eastAsia="es-ES"/>
        </w:rPr>
        <w:t xml:space="preserve">a Procuraduría General de la Nación solicita a la Corte declarar la exequibilidad condicionada del artículo 54 (parcial) de la Ley 2277 de 2022, </w:t>
      </w:r>
      <w:r w:rsidRPr="00DB3EEA">
        <w:rPr>
          <w:rFonts w:ascii="Times New Roman" w:eastAsia="Calibri" w:hAnsi="Times New Roman" w:cs="Times New Roman"/>
          <w:sz w:val="28"/>
          <w:szCs w:val="28"/>
          <w:lang w:eastAsia="es-ES"/>
        </w:rPr>
        <w:t xml:space="preserve">“en el entendido que las expresiones </w:t>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lang w:eastAsia="es-ES"/>
        </w:rPr>
        <w:t>será la misma que se tiene en cuenta para liquidar los tributos a</w:t>
      </w:r>
      <w:r w:rsidRPr="00DB3EEA">
        <w:rPr>
          <w:rFonts w:ascii="Times New Roman" w:eastAsia="Calibri" w:hAnsi="Times New Roman" w:cs="Times New Roman"/>
          <w:sz w:val="28"/>
          <w:szCs w:val="28"/>
          <w:lang w:eastAsia="es-ES"/>
        </w:rPr>
        <w:t>duaneros, adicionados con el valor de este gravamen</w:t>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lang w:eastAsia="es-ES"/>
        </w:rPr>
        <w:t xml:space="preserve"> y </w:t>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lang w:eastAsia="es-ES"/>
        </w:rPr>
        <w:t>la base gravable será el valor de la factura más los tributos aduaneros</w:t>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lang w:eastAsia="es-ES"/>
        </w:rPr>
        <w:t xml:space="preserve"> hacen referencia a los derechos de aduana, es decir, con exclusión del IVA</w:t>
      </w:r>
      <w:r w:rsidRPr="00DB3EEA">
        <w:rPr>
          <w:rFonts w:ascii="Times New Roman" w:eastAsia="Calibri" w:hAnsi="Times New Roman" w:cs="Times New Roman"/>
          <w:sz w:val="28"/>
          <w:szCs w:val="28"/>
          <w:lang w:eastAsia="es-ES"/>
        </w:rPr>
        <w:t>”</w:t>
      </w:r>
      <w:r w:rsidRPr="00DB3EEA">
        <w:rPr>
          <w:rStyle w:val="Refdenotaalpie"/>
          <w:rFonts w:ascii="Times New Roman" w:eastAsia="Calibri" w:hAnsi="Times New Roman" w:cs="Times New Roman"/>
          <w:sz w:val="28"/>
          <w:szCs w:val="28"/>
          <w:lang w:eastAsia="es-ES"/>
        </w:rPr>
        <w:footnoteReference w:id="91"/>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Para llegar a esta conclusión, propone a la Corte</w:t>
      </w:r>
      <w:r w:rsidRPr="00DB3EEA">
        <w:rPr>
          <w:rFonts w:ascii="Times New Roman" w:eastAsia="Calibri" w:hAnsi="Times New Roman" w:cs="Times New Roman"/>
          <w:sz w:val="28"/>
          <w:szCs w:val="28"/>
          <w:lang w:eastAsia="es-ES"/>
        </w:rPr>
        <w:t xml:space="preserve"> </w:t>
      </w:r>
      <w:r w:rsidRPr="00DB3EEA">
        <w:rPr>
          <w:rFonts w:ascii="Times New Roman" w:hAnsi="Times New Roman" w:cs="Times New Roman"/>
          <w:sz w:val="28"/>
          <w:szCs w:val="28"/>
          <w:lang w:eastAsia="es-ES"/>
        </w:rPr>
        <w:t>resolver los siguientes problemas jurídicos:</w:t>
      </w:r>
    </w:p>
    <w:p w:rsidR="000F59E9" w:rsidRPr="00DB3EEA" w:rsidRDefault="00DB3EEA" w:rsidP="00517C11">
      <w:pPr>
        <w:pStyle w:val="Prrafodelista"/>
        <w:tabs>
          <w:tab w:val="left" w:pos="426"/>
        </w:tabs>
        <w:ind w:left="567"/>
        <w:jc w:val="both"/>
        <w:rPr>
          <w:rFonts w:ascii="Times New Roman" w:hAnsi="Times New Roman" w:cs="Times New Roman"/>
          <w:sz w:val="28"/>
          <w:szCs w:val="28"/>
          <w:lang w:eastAsia="es-ES"/>
        </w:rPr>
      </w:pPr>
    </w:p>
    <w:p w:rsidR="00F92F80" w:rsidRPr="00DB3EEA" w:rsidRDefault="00DB3EEA" w:rsidP="00517C11">
      <w:pPr>
        <w:pStyle w:val="Prrafodelista"/>
        <w:tabs>
          <w:tab w:val="left" w:pos="426"/>
        </w:tabs>
        <w:ind w:left="567"/>
        <w:jc w:val="both"/>
        <w:rPr>
          <w:rFonts w:ascii="Times New Roman" w:hAnsi="Times New Roman" w:cs="Times New Roman"/>
          <w:i/>
          <w:sz w:val="28"/>
          <w:szCs w:val="28"/>
          <w:lang w:eastAsia="es-ES"/>
        </w:rPr>
      </w:pPr>
      <w:r w:rsidRPr="00DB3EEA">
        <w:rPr>
          <w:rFonts w:ascii="Times New Roman" w:hAnsi="Times New Roman" w:cs="Times New Roman"/>
          <w:sz w:val="28"/>
          <w:szCs w:val="28"/>
          <w:lang w:eastAsia="es-ES"/>
        </w:rPr>
        <w:t>“</w:t>
      </w:r>
      <w:r w:rsidRPr="00DB3EEA">
        <w:rPr>
          <w:rFonts w:ascii="Times New Roman" w:hAnsi="Times New Roman" w:cs="Times New Roman"/>
          <w:i/>
          <w:sz w:val="28"/>
          <w:szCs w:val="28"/>
          <w:lang w:eastAsia="es-ES"/>
        </w:rPr>
        <w:t xml:space="preserve">¿El artículo 513-8 (parcial) del Estatuto Tributario, adicionado por el artículo 54 de la Ley 2277 de 2022, vulnera los principios de igualdad y de equidad tributaria y, por contera, el derecho a la libre </w:t>
      </w:r>
      <w:r w:rsidRPr="00DB3EEA">
        <w:rPr>
          <w:rFonts w:ascii="Times New Roman" w:hAnsi="Times New Roman" w:cs="Times New Roman"/>
          <w:i/>
          <w:sz w:val="28"/>
          <w:szCs w:val="28"/>
          <w:lang w:eastAsia="es-ES"/>
        </w:rPr>
        <w:t>competencia (artículos 13, 95.9, 333 y 363 de la Constitución Política), al establecer de forma diferenciada la base gravable del ICUI para productos nacionales, de un lado, y para mercancías importadas o productos terminados producidos en zona franca, del</w:t>
      </w:r>
      <w:r w:rsidRPr="00DB3EEA">
        <w:rPr>
          <w:rFonts w:ascii="Times New Roman" w:hAnsi="Times New Roman" w:cs="Times New Roman"/>
          <w:i/>
          <w:sz w:val="28"/>
          <w:szCs w:val="28"/>
          <w:lang w:eastAsia="es-ES"/>
        </w:rPr>
        <w:t xml:space="preserve"> otro, incluyendo para el segundo grupo los tributos aduaneros y, por esta vía, el IVA?</w:t>
      </w:r>
    </w:p>
    <w:p w:rsidR="00B7274B" w:rsidRPr="00DB3EEA" w:rsidRDefault="00DB3EEA" w:rsidP="00517C11">
      <w:pPr>
        <w:pStyle w:val="Prrafodelista"/>
        <w:tabs>
          <w:tab w:val="left" w:pos="426"/>
        </w:tabs>
        <w:ind w:left="567"/>
        <w:jc w:val="both"/>
        <w:rPr>
          <w:rFonts w:ascii="Times New Roman" w:hAnsi="Times New Roman" w:cs="Times New Roman"/>
          <w:sz w:val="28"/>
          <w:szCs w:val="28"/>
          <w:lang w:eastAsia="es-ES"/>
        </w:rPr>
      </w:pPr>
      <w:r w:rsidRPr="00DB3EEA">
        <w:rPr>
          <w:rFonts w:ascii="Times New Roman" w:hAnsi="Times New Roman" w:cs="Times New Roman"/>
          <w:i/>
          <w:sz w:val="28"/>
          <w:szCs w:val="28"/>
          <w:lang w:eastAsia="es-ES"/>
        </w:rPr>
        <w:t>¿El artículo 513-8 (parcial) del Estatuto Tributario, adicionado por el artículo 54 de la Ley 2277 de 2022, que regula la base gravable del ICUI, instituye de forma enc</w:t>
      </w:r>
      <w:r w:rsidRPr="00DB3EEA">
        <w:rPr>
          <w:rFonts w:ascii="Times New Roman" w:hAnsi="Times New Roman" w:cs="Times New Roman"/>
          <w:i/>
          <w:sz w:val="28"/>
          <w:szCs w:val="28"/>
          <w:lang w:eastAsia="es-ES"/>
        </w:rPr>
        <w:t>ubierta un arancel que desconoce la competencia gubernamental en la materia (artículos 150.19 y 189.25 de la Carta Política)?</w:t>
      </w:r>
      <w:r w:rsidRPr="00DB3EEA">
        <w:rPr>
          <w:rFonts w:ascii="Times New Roman" w:hAnsi="Times New Roman" w:cs="Times New Roman"/>
          <w:sz w:val="28"/>
          <w:szCs w:val="28"/>
          <w:lang w:eastAsia="es-ES"/>
        </w:rPr>
        <w:t>”</w:t>
      </w:r>
      <w:r w:rsidRPr="00DB3EEA">
        <w:rPr>
          <w:rStyle w:val="Refdenotaalpie"/>
          <w:rFonts w:ascii="Times New Roman" w:hAnsi="Times New Roman" w:cs="Times New Roman"/>
          <w:sz w:val="28"/>
          <w:szCs w:val="28"/>
          <w:lang w:eastAsia="es-ES"/>
        </w:rPr>
        <w:footnoteReference w:id="92"/>
      </w:r>
    </w:p>
    <w:p w:rsidR="00146BB4" w:rsidRPr="00DB3EEA" w:rsidRDefault="00DB3EEA" w:rsidP="00376DDD">
      <w:pPr>
        <w:tabs>
          <w:tab w:val="left" w:pos="426"/>
        </w:tabs>
        <w:jc w:val="both"/>
        <w:rPr>
          <w:rFonts w:ascii="Times New Roman" w:hAnsi="Times New Roman" w:cs="Times New Roman"/>
          <w:iCs/>
          <w:sz w:val="28"/>
          <w:szCs w:val="28"/>
          <w:lang w:eastAsia="es-ES"/>
        </w:rPr>
      </w:pPr>
    </w:p>
    <w:p w:rsidR="00525167" w:rsidRPr="00DB3EEA" w:rsidRDefault="00DB3EEA" w:rsidP="000758F0">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eastAsia="Calibri" w:hAnsi="Times New Roman" w:cs="Times New Roman"/>
          <w:sz w:val="28"/>
          <w:szCs w:val="28"/>
          <w:lang w:eastAsia="es-ES"/>
        </w:rPr>
        <w:t>De modo preliminar, revisa la jurisprudencia relacionada con: (i) la libertad de configuración y los principios de igualdad y e</w:t>
      </w:r>
      <w:r w:rsidRPr="00DB3EEA">
        <w:rPr>
          <w:rFonts w:ascii="Times New Roman" w:eastAsia="Calibri" w:hAnsi="Times New Roman" w:cs="Times New Roman"/>
          <w:sz w:val="28"/>
          <w:szCs w:val="28"/>
          <w:lang w:eastAsia="es-ES"/>
        </w:rPr>
        <w:t>quidad tributaria; (ii) el derecho a la libre competencia; (iii) la reserva de ley marco en materia a</w:t>
      </w:r>
      <w:r w:rsidRPr="00DB3EEA">
        <w:rPr>
          <w:rFonts w:ascii="Times New Roman" w:eastAsia="Calibri" w:hAnsi="Times New Roman" w:cs="Times New Roman"/>
          <w:sz w:val="28"/>
          <w:szCs w:val="28"/>
          <w:lang w:eastAsia="es-ES"/>
        </w:rPr>
        <w:t>duanera</w:t>
      </w:r>
      <w:r w:rsidRPr="00DB3EEA">
        <w:rPr>
          <w:rFonts w:ascii="Times New Roman" w:eastAsia="Calibri" w:hAnsi="Times New Roman" w:cs="Times New Roman"/>
          <w:sz w:val="28"/>
          <w:szCs w:val="28"/>
          <w:lang w:eastAsia="es-ES"/>
        </w:rPr>
        <w:t>; y (iv) el alcance de los impuestos saludables adoptados mediante la Ley 2277 de 2022. Con base en ello, plantea una solución a los problemas juríd</w:t>
      </w:r>
      <w:r w:rsidRPr="00DB3EEA">
        <w:rPr>
          <w:rFonts w:ascii="Times New Roman" w:eastAsia="Calibri" w:hAnsi="Times New Roman" w:cs="Times New Roman"/>
          <w:sz w:val="28"/>
          <w:szCs w:val="28"/>
          <w:lang w:eastAsia="es-ES"/>
        </w:rPr>
        <w:t>icos.</w:t>
      </w:r>
    </w:p>
    <w:p w:rsidR="00525167" w:rsidRPr="00DB3EEA" w:rsidRDefault="00DB3EEA" w:rsidP="00376DDD">
      <w:pPr>
        <w:pStyle w:val="Prrafodelista"/>
        <w:tabs>
          <w:tab w:val="left" w:pos="426"/>
        </w:tabs>
        <w:ind w:left="0"/>
        <w:jc w:val="both"/>
        <w:rPr>
          <w:rFonts w:ascii="Times New Roman" w:hAnsi="Times New Roman" w:cs="Times New Roman"/>
          <w:iCs/>
          <w:sz w:val="28"/>
          <w:szCs w:val="28"/>
          <w:lang w:eastAsia="es-ES"/>
        </w:rPr>
      </w:pPr>
    </w:p>
    <w:p w:rsidR="00814527"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eastAsia="Calibri" w:hAnsi="Times New Roman" w:cs="Times New Roman"/>
          <w:sz w:val="28"/>
          <w:szCs w:val="28"/>
          <w:lang w:eastAsia="es-ES"/>
        </w:rPr>
        <w:t xml:space="preserve">En relación con la libertad de configuración del legislador y los principios de igualdad y equidad tributaria, sostiene que, según los artículos 150.12 y 338 de la Constitución Política, el </w:t>
      </w:r>
      <w:r w:rsidRPr="00DB3EEA">
        <w:rPr>
          <w:rFonts w:ascii="Times New Roman" w:eastAsia="Calibri" w:hAnsi="Times New Roman" w:cs="Times New Roman"/>
          <w:sz w:val="28"/>
          <w:szCs w:val="28"/>
          <w:lang w:eastAsia="es-ES"/>
        </w:rPr>
        <w:t>legislador</w:t>
      </w:r>
      <w:r w:rsidRPr="00DB3EEA">
        <w:rPr>
          <w:rFonts w:ascii="Times New Roman" w:eastAsia="Calibri" w:hAnsi="Times New Roman" w:cs="Times New Roman"/>
          <w:sz w:val="28"/>
          <w:szCs w:val="28"/>
          <w:lang w:eastAsia="es-ES"/>
        </w:rPr>
        <w:t xml:space="preserve"> tiene un amplio margen de configuración normativa en materia tributaria, del cual se deriva la facultad de crear, modificar, aumentar, disminuir o suprimir impuestos, establecer los elementos que los integran (sujetos, hecho y base gravable, tarifas, etc.</w:t>
      </w:r>
      <w:r w:rsidRPr="00DB3EEA">
        <w:rPr>
          <w:rFonts w:ascii="Times New Roman" w:eastAsia="Calibri" w:hAnsi="Times New Roman" w:cs="Times New Roman"/>
          <w:sz w:val="28"/>
          <w:szCs w:val="28"/>
          <w:lang w:eastAsia="es-ES"/>
        </w:rPr>
        <w:t>), o conceder beneficios y deducciones fiscales. No obstante, reconoce que dicho margen encuentra límites en los principios de igualdad y equidad tributaria contemplados en los artículos 13, 95.5 y 363 de la Carta Política.</w:t>
      </w:r>
    </w:p>
    <w:p w:rsidR="00453E58" w:rsidRPr="00DB3EEA" w:rsidRDefault="00DB3EEA" w:rsidP="00376DDD">
      <w:pPr>
        <w:pStyle w:val="Prrafodelista"/>
        <w:jc w:val="both"/>
        <w:rPr>
          <w:rFonts w:ascii="Times New Roman" w:hAnsi="Times New Roman" w:cs="Times New Roman"/>
          <w:iCs/>
          <w:sz w:val="28"/>
          <w:szCs w:val="28"/>
          <w:lang w:eastAsia="es-ES"/>
        </w:rPr>
      </w:pPr>
    </w:p>
    <w:p w:rsidR="00D15859"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Sostiene que el principio de ig</w:t>
      </w:r>
      <w:r w:rsidRPr="00DB3EEA">
        <w:rPr>
          <w:rFonts w:ascii="Times New Roman" w:hAnsi="Times New Roman" w:cs="Times New Roman"/>
          <w:iCs/>
          <w:sz w:val="28"/>
          <w:szCs w:val="28"/>
          <w:lang w:eastAsia="es-ES"/>
        </w:rPr>
        <w:t>ualdad comprende: (i) el deber de dar un tratamiento análogo a sujetos en condiciones similares, (ii) la posibilidad de establecer un trato jurídico diverso a situaciones con condiciones fácticas disímiles, y (iii) la obligación de garantizar la eficacia d</w:t>
      </w:r>
      <w:r w:rsidRPr="00DB3EEA">
        <w:rPr>
          <w:rFonts w:ascii="Times New Roman" w:hAnsi="Times New Roman" w:cs="Times New Roman"/>
          <w:iCs/>
          <w:sz w:val="28"/>
          <w:szCs w:val="28"/>
          <w:lang w:eastAsia="es-ES"/>
        </w:rPr>
        <w:t>e los derechos de las personas o grupos tradicionalmente discriminados o en situación de debilidad manifiesta. Asimismo, afirma que el principio de equidad exige al legislador, al determinar los tributos, considerar la capacidad económica de los sujetos ob</w:t>
      </w:r>
      <w:r w:rsidRPr="00DB3EEA">
        <w:rPr>
          <w:rFonts w:ascii="Times New Roman" w:hAnsi="Times New Roman" w:cs="Times New Roman"/>
          <w:iCs/>
          <w:sz w:val="28"/>
          <w:szCs w:val="28"/>
          <w:lang w:eastAsia="es-ES"/>
        </w:rPr>
        <w:t>ligados y, por ende, tener en cuenta la situación del contribuyente y su capacidad de pago conforme a los criterios de equidad horizontal y vertical.</w:t>
      </w:r>
    </w:p>
    <w:p w:rsidR="005329B8" w:rsidRPr="00DB3EEA" w:rsidRDefault="00DB3EEA" w:rsidP="00376DDD">
      <w:pPr>
        <w:pStyle w:val="Prrafodelista"/>
        <w:tabs>
          <w:tab w:val="left" w:pos="426"/>
        </w:tabs>
        <w:ind w:left="0"/>
        <w:jc w:val="both"/>
        <w:rPr>
          <w:rFonts w:ascii="Times New Roman" w:hAnsi="Times New Roman" w:cs="Times New Roman"/>
          <w:iCs/>
          <w:sz w:val="28"/>
          <w:szCs w:val="28"/>
          <w:lang w:eastAsia="es-ES"/>
        </w:rPr>
      </w:pPr>
    </w:p>
    <w:p w:rsidR="00D15859"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En ese sentido, considera que el legislador debe</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diseñar normas fiscales que consideren tanto la capacid</w:t>
      </w:r>
      <w:r w:rsidRPr="00DB3EEA">
        <w:rPr>
          <w:rFonts w:ascii="Times New Roman" w:hAnsi="Times New Roman" w:cs="Times New Roman"/>
          <w:iCs/>
          <w:sz w:val="28"/>
          <w:szCs w:val="28"/>
          <w:lang w:eastAsia="es-ES"/>
        </w:rPr>
        <w:t>ad económica, como las condiciones particulares de los individuos, de manera que la carga tributaria se imponga de forma proporcional y equitativa”</w:t>
      </w:r>
      <w:r w:rsidRPr="00DB3EEA">
        <w:rPr>
          <w:rStyle w:val="Refdenotaalpie"/>
          <w:rFonts w:ascii="Times New Roman" w:hAnsi="Times New Roman" w:cs="Times New Roman"/>
          <w:iCs/>
          <w:sz w:val="28"/>
          <w:szCs w:val="28"/>
          <w:lang w:eastAsia="es-ES"/>
        </w:rPr>
        <w:footnoteReference w:id="93"/>
      </w:r>
      <w:r w:rsidRPr="00DB3EEA">
        <w:rPr>
          <w:rFonts w:ascii="Times New Roman" w:hAnsi="Times New Roman" w:cs="Times New Roman"/>
          <w:iCs/>
          <w:sz w:val="28"/>
          <w:szCs w:val="28"/>
          <w:lang w:eastAsia="es-ES"/>
        </w:rPr>
        <w:t>.</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Esto con el fin de cumplir el principio de reciprocidad, que busca equilibrar las cargas públicas y armoni</w:t>
      </w:r>
      <w:r w:rsidRPr="00DB3EEA">
        <w:rPr>
          <w:rFonts w:ascii="Times New Roman" w:hAnsi="Times New Roman" w:cs="Times New Roman"/>
          <w:iCs/>
          <w:sz w:val="28"/>
          <w:szCs w:val="28"/>
          <w:lang w:eastAsia="es-ES"/>
        </w:rPr>
        <w:t>zar el Estado Social de Derecho.</w:t>
      </w:r>
      <w:r w:rsidRPr="00DB3EEA">
        <w:rPr>
          <w:rFonts w:ascii="Times New Roman" w:hAnsi="Times New Roman" w:cs="Times New Roman"/>
          <w:iCs/>
          <w:sz w:val="28"/>
          <w:szCs w:val="28"/>
          <w:lang w:eastAsia="es-ES"/>
        </w:rPr>
        <w:t xml:space="preserve"> </w:t>
      </w:r>
    </w:p>
    <w:p w:rsidR="00602263" w:rsidRPr="00DB3EEA" w:rsidRDefault="00DB3EEA" w:rsidP="00376DDD">
      <w:pPr>
        <w:pStyle w:val="Prrafodelista"/>
        <w:jc w:val="both"/>
        <w:rPr>
          <w:rFonts w:ascii="Times New Roman" w:hAnsi="Times New Roman" w:cs="Times New Roman"/>
          <w:iCs/>
          <w:sz w:val="28"/>
          <w:szCs w:val="28"/>
          <w:lang w:eastAsia="es-ES"/>
        </w:rPr>
      </w:pPr>
    </w:p>
    <w:p w:rsidR="00602263"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
          <w:iCs/>
          <w:sz w:val="28"/>
          <w:szCs w:val="28"/>
          <w:lang w:eastAsia="es-ES"/>
        </w:rPr>
      </w:pPr>
      <w:r w:rsidRPr="00DB3EEA">
        <w:rPr>
          <w:rFonts w:ascii="Times New Roman" w:hAnsi="Times New Roman" w:cs="Times New Roman"/>
          <w:iCs/>
          <w:sz w:val="28"/>
          <w:szCs w:val="28"/>
          <w:lang w:eastAsia="es-ES"/>
        </w:rPr>
        <w:t xml:space="preserve">El Procurador explica que la equidad tributaria constituye una dimensión específica del principio de igualdad. Por ello, su materialización se refiere </w:t>
      </w:r>
      <w:r w:rsidRPr="00DB3EEA">
        <w:rPr>
          <w:rFonts w:ascii="Times New Roman" w:hAnsi="Times New Roman" w:cs="Times New Roman"/>
          <w:iCs/>
          <w:sz w:val="28"/>
          <w:szCs w:val="28"/>
          <w:lang w:eastAsia="es-ES"/>
        </w:rPr>
        <w:t xml:space="preserve">a </w:t>
      </w:r>
      <w:r w:rsidRPr="00DB3EEA">
        <w:rPr>
          <w:rFonts w:ascii="Times New Roman" w:hAnsi="Times New Roman" w:cs="Times New Roman"/>
          <w:iCs/>
          <w:sz w:val="28"/>
          <w:szCs w:val="28"/>
          <w:lang w:eastAsia="es-ES"/>
        </w:rPr>
        <w:t>“</w:t>
      </w:r>
      <w:r w:rsidRPr="00DB3EEA">
        <w:rPr>
          <w:rFonts w:ascii="Times New Roman" w:hAnsi="Times New Roman" w:cs="Times New Roman"/>
          <w:iCs/>
          <w:sz w:val="28"/>
          <w:szCs w:val="28"/>
          <w:lang w:eastAsia="es-ES"/>
        </w:rPr>
        <w:t xml:space="preserve">la necesidad de ponderar </w:t>
      </w:r>
      <w:r w:rsidRPr="00DB3EEA">
        <w:rPr>
          <w:rFonts w:ascii="Times New Roman" w:hAnsi="Times New Roman" w:cs="Times New Roman"/>
          <w:i/>
          <w:iCs/>
          <w:sz w:val="28"/>
          <w:szCs w:val="28"/>
          <w:lang w:eastAsia="es-ES"/>
        </w:rPr>
        <w:t xml:space="preserve">la distribución de las cargas y de los beneficios </w:t>
      </w:r>
      <w:r w:rsidRPr="00DB3EEA">
        <w:rPr>
          <w:rFonts w:ascii="Times New Roman" w:hAnsi="Times New Roman" w:cs="Times New Roman"/>
          <w:iCs/>
          <w:sz w:val="28"/>
          <w:szCs w:val="28"/>
          <w:lang w:eastAsia="es-ES"/>
        </w:rPr>
        <w:t xml:space="preserve">o </w:t>
      </w:r>
      <w:r w:rsidRPr="00DB3EEA">
        <w:rPr>
          <w:rFonts w:ascii="Times New Roman" w:hAnsi="Times New Roman" w:cs="Times New Roman"/>
          <w:i/>
          <w:iCs/>
          <w:sz w:val="28"/>
          <w:szCs w:val="28"/>
          <w:lang w:eastAsia="es-ES"/>
        </w:rPr>
        <w:t xml:space="preserve">la imposición de gravámenes entre los contribuyentes para evitar que haya cargas excesivas </w:t>
      </w:r>
      <w:r w:rsidRPr="00DB3EEA">
        <w:rPr>
          <w:rFonts w:ascii="Times New Roman" w:hAnsi="Times New Roman" w:cs="Times New Roman"/>
          <w:iCs/>
          <w:sz w:val="28"/>
          <w:szCs w:val="28"/>
          <w:lang w:eastAsia="es-ES"/>
        </w:rPr>
        <w:t xml:space="preserve">o </w:t>
      </w:r>
      <w:r w:rsidRPr="00DB3EEA">
        <w:rPr>
          <w:rFonts w:ascii="Times New Roman" w:hAnsi="Times New Roman" w:cs="Times New Roman"/>
          <w:i/>
          <w:iCs/>
          <w:sz w:val="28"/>
          <w:szCs w:val="28"/>
          <w:lang w:eastAsia="es-ES"/>
        </w:rPr>
        <w:t xml:space="preserve">beneficios exagerados </w:t>
      </w:r>
      <w:r w:rsidRPr="00DB3EEA">
        <w:rPr>
          <w:rFonts w:ascii="Times New Roman" w:hAnsi="Times New Roman" w:cs="Times New Roman"/>
          <w:iCs/>
          <w:sz w:val="28"/>
          <w:szCs w:val="28"/>
          <w:lang w:eastAsia="es-ES"/>
        </w:rPr>
        <w:t>e incorpora los conceptos de capacidad económica del</w:t>
      </w:r>
      <w:r w:rsidRPr="00DB3EEA">
        <w:rPr>
          <w:rFonts w:ascii="Times New Roman" w:hAnsi="Times New Roman" w:cs="Times New Roman"/>
          <w:iCs/>
          <w:sz w:val="28"/>
          <w:szCs w:val="28"/>
          <w:lang w:eastAsia="es-ES"/>
        </w:rPr>
        <w:t xml:space="preserve"> individuo, con el fin de alcanzar la</w:t>
      </w:r>
      <w:r w:rsidRPr="00DB3EEA">
        <w:rPr>
          <w:rFonts w:ascii="Times New Roman" w:hAnsi="Times New Roman" w:cs="Times New Roman"/>
          <w:iCs/>
          <w:sz w:val="28"/>
          <w:szCs w:val="28"/>
          <w:lang w:eastAsia="es-ES"/>
        </w:rPr>
        <w:t xml:space="preserve"> igualdad, la cual se traduce en última instancia en justicia tributaria”</w:t>
      </w:r>
      <w:r w:rsidRPr="00DB3EEA">
        <w:rPr>
          <w:rStyle w:val="Refdenotaalpie"/>
          <w:rFonts w:ascii="Times New Roman" w:hAnsi="Times New Roman" w:cs="Times New Roman"/>
          <w:iCs/>
          <w:sz w:val="28"/>
          <w:szCs w:val="28"/>
          <w:lang w:eastAsia="es-ES"/>
        </w:rPr>
        <w:footnoteReference w:id="94"/>
      </w:r>
      <w:r w:rsidRPr="00DB3EEA">
        <w:rPr>
          <w:rFonts w:ascii="Times New Roman" w:hAnsi="Times New Roman" w:cs="Times New Roman"/>
          <w:iCs/>
          <w:sz w:val="28"/>
          <w:szCs w:val="28"/>
          <w:lang w:eastAsia="es-ES"/>
        </w:rPr>
        <w:t>.</w:t>
      </w:r>
    </w:p>
    <w:p w:rsidR="004D7AE8" w:rsidRPr="00DB3EEA" w:rsidRDefault="00DB3EEA" w:rsidP="00376DDD">
      <w:pPr>
        <w:pStyle w:val="Prrafodelista"/>
        <w:jc w:val="both"/>
        <w:rPr>
          <w:rFonts w:ascii="Times New Roman" w:hAnsi="Times New Roman" w:cs="Times New Roman"/>
          <w:i/>
          <w:iCs/>
          <w:sz w:val="28"/>
          <w:szCs w:val="28"/>
          <w:lang w:eastAsia="es-ES"/>
        </w:rPr>
      </w:pPr>
    </w:p>
    <w:p w:rsidR="007242A0"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
          <w:iCs/>
          <w:sz w:val="28"/>
          <w:szCs w:val="28"/>
          <w:lang w:eastAsia="es-ES"/>
        </w:rPr>
      </w:pPr>
      <w:r w:rsidRPr="00DB3EEA">
        <w:rPr>
          <w:rFonts w:ascii="Times New Roman" w:hAnsi="Times New Roman" w:cs="Times New Roman"/>
          <w:sz w:val="28"/>
          <w:szCs w:val="28"/>
          <w:lang w:eastAsia="es-ES"/>
        </w:rPr>
        <w:t>En consecuencia, señala que la regla general en materia fiscal es la uniformidad. Sin embargo, pueden existir tratos diferenciados siempre que exista una justificación válida desd</w:t>
      </w:r>
      <w:r w:rsidRPr="00DB3EEA">
        <w:rPr>
          <w:rFonts w:ascii="Times New Roman" w:hAnsi="Times New Roman" w:cs="Times New Roman"/>
          <w:sz w:val="28"/>
          <w:szCs w:val="28"/>
          <w:lang w:eastAsia="es-ES"/>
        </w:rPr>
        <w:t>e el punto de vista constitucional. Afirma que se vulnera el principio de equidad cuando la regulación grava de manera disímil a sujetos o situaciones análogas sin una justificación constitucional o cuando el legislador adopta tratamientos jurídicos irrazo</w:t>
      </w:r>
      <w:r w:rsidRPr="00DB3EEA">
        <w:rPr>
          <w:rFonts w:ascii="Times New Roman" w:hAnsi="Times New Roman" w:cs="Times New Roman"/>
          <w:sz w:val="28"/>
          <w:szCs w:val="28"/>
          <w:lang w:eastAsia="es-ES"/>
        </w:rPr>
        <w:t>nables, basados en criterios inequitativos o infundados.</w:t>
      </w:r>
    </w:p>
    <w:p w:rsidR="00E121C2" w:rsidRPr="00DB3EEA" w:rsidRDefault="00DB3EEA" w:rsidP="00376DDD">
      <w:pPr>
        <w:pStyle w:val="Prrafodelista"/>
        <w:jc w:val="both"/>
        <w:rPr>
          <w:rFonts w:ascii="Times New Roman" w:hAnsi="Times New Roman" w:cs="Times New Roman"/>
          <w:i/>
          <w:iCs/>
          <w:sz w:val="28"/>
          <w:szCs w:val="28"/>
          <w:lang w:eastAsia="es-ES"/>
        </w:rPr>
      </w:pPr>
    </w:p>
    <w:p w:rsidR="000E3BB2"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
          <w:iCs/>
          <w:sz w:val="28"/>
          <w:szCs w:val="28"/>
          <w:lang w:eastAsia="es-ES"/>
        </w:rPr>
      </w:pPr>
      <w:r w:rsidRPr="00DB3EEA">
        <w:rPr>
          <w:rFonts w:ascii="Times New Roman" w:hAnsi="Times New Roman" w:cs="Times New Roman"/>
          <w:sz w:val="28"/>
          <w:szCs w:val="28"/>
          <w:lang w:eastAsia="es-ES"/>
        </w:rPr>
        <w:t>Por ello, considera que</w:t>
      </w:r>
      <w:r w:rsidRPr="00DB3EEA">
        <w:rPr>
          <w:rFonts w:ascii="Times New Roman" w:hAnsi="Times New Roman" w:cs="Times New Roman"/>
          <w:sz w:val="28"/>
          <w:szCs w:val="28"/>
          <w:lang w:eastAsia="es-ES"/>
        </w:rPr>
        <w:t>,</w:t>
      </w:r>
      <w:r w:rsidRPr="00DB3EEA">
        <w:rPr>
          <w:rFonts w:ascii="Times New Roman" w:hAnsi="Times New Roman" w:cs="Times New Roman"/>
          <w:sz w:val="28"/>
          <w:szCs w:val="28"/>
          <w:lang w:eastAsia="es-ES"/>
        </w:rPr>
        <w:t xml:space="preserve"> para analizar la posible vulneración de este principio, la Corte debe aplicar un test</w:t>
      </w:r>
      <w:r w:rsidRPr="00DB3EEA">
        <w:rPr>
          <w:rFonts w:ascii="Times New Roman" w:hAnsi="Times New Roman" w:cs="Times New Roman"/>
          <w:sz w:val="28"/>
          <w:szCs w:val="28"/>
          <w:lang w:eastAsia="es-ES"/>
        </w:rPr>
        <w:t xml:space="preserve"> leve de racionalidad, centrado en verificar si la actividad legislativa en materia tributaria se ejerce dentro del marco de la razonabilidad y si los tratos diferenciados no derivan de decisiones arbitrarias o caprichosas. Precisa que la intensidad del te</w:t>
      </w:r>
      <w:r w:rsidRPr="00DB3EEA">
        <w:rPr>
          <w:rFonts w:ascii="Times New Roman" w:hAnsi="Times New Roman" w:cs="Times New Roman"/>
          <w:sz w:val="28"/>
          <w:szCs w:val="28"/>
          <w:lang w:eastAsia="es-ES"/>
        </w:rPr>
        <w:t>st debe determinarse conforme a las circunstancias del cas</w:t>
      </w:r>
      <w:r w:rsidRPr="00DB3EEA">
        <w:rPr>
          <w:rFonts w:ascii="Times New Roman" w:hAnsi="Times New Roman" w:cs="Times New Roman"/>
          <w:sz w:val="28"/>
          <w:szCs w:val="28"/>
          <w:lang w:eastAsia="es-ES"/>
        </w:rPr>
        <w:t>o.</w:t>
      </w:r>
    </w:p>
    <w:p w:rsidR="000E3BB2" w:rsidRPr="00DB3EEA" w:rsidRDefault="00DB3EEA" w:rsidP="00376DDD">
      <w:pPr>
        <w:pStyle w:val="Prrafodelista"/>
        <w:jc w:val="both"/>
        <w:rPr>
          <w:rFonts w:ascii="Times New Roman" w:hAnsi="Times New Roman" w:cs="Times New Roman"/>
          <w:sz w:val="28"/>
          <w:szCs w:val="28"/>
          <w:lang w:eastAsia="es-ES"/>
        </w:rPr>
      </w:pPr>
    </w:p>
    <w:p w:rsidR="005D17E7"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sz w:val="28"/>
          <w:szCs w:val="28"/>
          <w:lang w:eastAsia="es-ES"/>
        </w:rPr>
        <w:t>En ese sentido, sostiene que el test debe ser de mayor exigencia cuando: (i) exista un indicio de arbitrariedad que afecte la libre competencia, (ii) se trate de medidas de acción afirmativa, (i</w:t>
      </w:r>
      <w:r w:rsidRPr="00DB3EEA">
        <w:rPr>
          <w:rFonts w:ascii="Times New Roman" w:hAnsi="Times New Roman" w:cs="Times New Roman"/>
          <w:sz w:val="28"/>
          <w:szCs w:val="28"/>
          <w:lang w:eastAsia="es-ES"/>
        </w:rPr>
        <w:t>ii) la medida resulte potencialmente discriminatoria, (iv) se vean comprometidos derechos fundamentales o (v) se afecte el goce de un derecho no fundamental</w:t>
      </w:r>
      <w:r w:rsidRPr="00DB3EEA">
        <w:rPr>
          <w:rStyle w:val="Refdenotaalpie"/>
          <w:rFonts w:ascii="Times New Roman" w:hAnsi="Times New Roman" w:cs="Times New Roman"/>
          <w:sz w:val="28"/>
          <w:szCs w:val="28"/>
          <w:lang w:eastAsia="es-ES"/>
        </w:rPr>
        <w:footnoteReference w:id="95"/>
      </w:r>
      <w:r w:rsidRPr="00DB3EEA">
        <w:rPr>
          <w:rFonts w:ascii="Times New Roman" w:hAnsi="Times New Roman" w:cs="Times New Roman"/>
          <w:sz w:val="28"/>
          <w:szCs w:val="28"/>
          <w:lang w:eastAsia="es-ES"/>
        </w:rPr>
        <w:t xml:space="preserve">. </w:t>
      </w:r>
    </w:p>
    <w:p w:rsidR="00085EA6" w:rsidRPr="00DB3EEA" w:rsidRDefault="00DB3EEA" w:rsidP="00376DDD">
      <w:pPr>
        <w:pStyle w:val="Prrafodelista"/>
        <w:jc w:val="both"/>
        <w:rPr>
          <w:rFonts w:ascii="Times New Roman" w:hAnsi="Times New Roman" w:cs="Times New Roman"/>
          <w:iCs/>
          <w:sz w:val="28"/>
          <w:szCs w:val="28"/>
          <w:lang w:eastAsia="es-ES"/>
        </w:rPr>
      </w:pPr>
    </w:p>
    <w:p w:rsidR="00627FA0"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 xml:space="preserve">En cuanto al derecho a la libre competencia, afirma que su núcleo esencial comprende </w:t>
      </w:r>
      <w:r w:rsidRPr="00DB3EEA">
        <w:rPr>
          <w:rFonts w:ascii="Times New Roman" w:hAnsi="Times New Roman" w:cs="Times New Roman"/>
          <w:iCs/>
          <w:sz w:val="28"/>
          <w:szCs w:val="28"/>
          <w:lang w:eastAsia="es-ES"/>
        </w:rPr>
        <w:t>“(i) el de</w:t>
      </w:r>
      <w:r w:rsidRPr="00DB3EEA">
        <w:rPr>
          <w:rFonts w:ascii="Times New Roman" w:hAnsi="Times New Roman" w:cs="Times New Roman"/>
          <w:iCs/>
          <w:sz w:val="28"/>
          <w:szCs w:val="28"/>
          <w:lang w:eastAsia="es-ES"/>
        </w:rPr>
        <w:t xml:space="preserve">recho de los empresarios que se hallen en una misma posición a no recibir un tratamiento discriminatorio; (ii) el derecho a concurrir al mercado o retirarse de él; (iii) la libertad de organización y el derecho a que el Estado no interfiera en los asuntos </w:t>
      </w:r>
      <w:r w:rsidRPr="00DB3EEA">
        <w:rPr>
          <w:rFonts w:ascii="Times New Roman" w:hAnsi="Times New Roman" w:cs="Times New Roman"/>
          <w:iCs/>
          <w:sz w:val="28"/>
          <w:szCs w:val="28"/>
          <w:lang w:eastAsia="es-ES"/>
        </w:rPr>
        <w:t>internos de la empresa, como sus métodos de gestión; (iv) la libre iniciativa privada; (v) el derecho a crear establecimientos de comercio con el cumplimiento de los requisitos de ley; y (vi) el derecho a recibir un beneficio económico razonable</w:t>
      </w:r>
      <w:r w:rsidRPr="00DB3EEA">
        <w:rPr>
          <w:rFonts w:ascii="Times New Roman" w:hAnsi="Times New Roman" w:cs="Times New Roman"/>
          <w:iCs/>
          <w:sz w:val="28"/>
          <w:szCs w:val="28"/>
          <w:lang w:eastAsia="es-ES"/>
        </w:rPr>
        <w:t>”</w:t>
      </w:r>
      <w:r w:rsidRPr="00DB3EEA">
        <w:rPr>
          <w:rFonts w:ascii="Times New Roman" w:hAnsi="Times New Roman" w:cs="Times New Roman"/>
          <w:iCs/>
          <w:sz w:val="28"/>
          <w:szCs w:val="28"/>
          <w:lang w:eastAsia="es-ES"/>
        </w:rPr>
        <w:t>.</w:t>
      </w:r>
      <w:r w:rsidRPr="00DB3EEA">
        <w:rPr>
          <w:rStyle w:val="Refdenotaalpie"/>
          <w:rFonts w:ascii="Times New Roman" w:hAnsi="Times New Roman" w:cs="Times New Roman"/>
          <w:iCs/>
          <w:sz w:val="28"/>
          <w:szCs w:val="28"/>
          <w:lang w:eastAsia="es-ES"/>
        </w:rPr>
        <w:footnoteReference w:id="96"/>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Conforme a ello, indica que el derecho consiste en la posibilidad de acceder al mercado sin barreras injustificadas.</w:t>
      </w:r>
    </w:p>
    <w:p w:rsidR="00C02618" w:rsidRPr="00DB3EEA" w:rsidRDefault="00DB3EEA" w:rsidP="00376DDD">
      <w:pPr>
        <w:pStyle w:val="Prrafodelista"/>
        <w:jc w:val="both"/>
        <w:rPr>
          <w:rFonts w:ascii="Times New Roman" w:hAnsi="Times New Roman" w:cs="Times New Roman"/>
          <w:iCs/>
          <w:sz w:val="28"/>
          <w:szCs w:val="28"/>
          <w:lang w:eastAsia="es-ES"/>
        </w:rPr>
      </w:pPr>
    </w:p>
    <w:p w:rsidR="00C02618"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Sin embargo, reconoce que no se trata de un derecho ilimitado, pues el amplio margen de configuración en materia tributaria permite al leg</w:t>
      </w:r>
      <w:r w:rsidRPr="00DB3EEA">
        <w:rPr>
          <w:rFonts w:ascii="Times New Roman" w:hAnsi="Times New Roman" w:cs="Times New Roman"/>
          <w:iCs/>
          <w:sz w:val="28"/>
          <w:szCs w:val="28"/>
          <w:lang w:eastAsia="es-ES"/>
        </w:rPr>
        <w:t xml:space="preserve">islador restringir su ejercicio. En ese caso, las limitaciones deben: </w:t>
      </w:r>
      <w:r w:rsidRPr="00DB3EEA">
        <w:rPr>
          <w:rFonts w:ascii="Times New Roman" w:hAnsi="Times New Roman" w:cs="Times New Roman"/>
          <w:iCs/>
          <w:sz w:val="28"/>
          <w:szCs w:val="28"/>
          <w:lang w:eastAsia="es-ES"/>
        </w:rPr>
        <w:t xml:space="preserve">“(i) adoptarse mediante una disposición de rango legal; (ii) respetar el núcleo esencial de la libertad involucrada, (iii) estar adecuadamente justificada; (iv) obedecer al principio de </w:t>
      </w:r>
      <w:r w:rsidRPr="00DB3EEA">
        <w:rPr>
          <w:rFonts w:ascii="Times New Roman" w:hAnsi="Times New Roman" w:cs="Times New Roman"/>
          <w:iCs/>
          <w:sz w:val="28"/>
          <w:szCs w:val="28"/>
          <w:lang w:eastAsia="es-ES"/>
        </w:rPr>
        <w:t>solidaridad o a alguna de las finalidades expresamente señaladas en la Constitución, y (v) responder a criterios de razonabilidad y proporcionalidad”</w:t>
      </w:r>
      <w:r w:rsidRPr="00DB3EEA">
        <w:rPr>
          <w:rStyle w:val="Refdenotaalpie"/>
          <w:rFonts w:ascii="Times New Roman" w:hAnsi="Times New Roman" w:cs="Times New Roman"/>
          <w:iCs/>
          <w:sz w:val="28"/>
          <w:szCs w:val="28"/>
          <w:lang w:eastAsia="es-ES"/>
        </w:rPr>
        <w:footnoteReference w:id="97"/>
      </w:r>
      <w:r w:rsidRPr="00DB3EEA">
        <w:rPr>
          <w:rFonts w:ascii="Times New Roman" w:hAnsi="Times New Roman" w:cs="Times New Roman"/>
          <w:iCs/>
          <w:sz w:val="28"/>
          <w:szCs w:val="28"/>
          <w:lang w:eastAsia="es-ES"/>
        </w:rPr>
        <w:t>.</w:t>
      </w:r>
    </w:p>
    <w:p w:rsidR="00314230" w:rsidRPr="00DB3EEA" w:rsidRDefault="00DB3EEA" w:rsidP="00376DDD">
      <w:pPr>
        <w:pStyle w:val="Prrafodelista"/>
        <w:jc w:val="both"/>
        <w:rPr>
          <w:rFonts w:ascii="Times New Roman" w:hAnsi="Times New Roman" w:cs="Times New Roman"/>
          <w:iCs/>
          <w:sz w:val="28"/>
          <w:szCs w:val="28"/>
          <w:lang w:eastAsia="es-ES"/>
        </w:rPr>
      </w:pPr>
    </w:p>
    <w:p w:rsidR="005A4F81"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 xml:space="preserve">Frente a la reserva de ley marco en materia </w:t>
      </w:r>
      <w:r w:rsidRPr="00DB3EEA">
        <w:rPr>
          <w:rFonts w:ascii="Times New Roman" w:hAnsi="Times New Roman" w:cs="Times New Roman"/>
          <w:iCs/>
          <w:sz w:val="28"/>
          <w:szCs w:val="28"/>
          <w:lang w:eastAsia="es-ES"/>
        </w:rPr>
        <w:t>aduanera</w:t>
      </w:r>
      <w:r w:rsidRPr="00DB3EEA">
        <w:rPr>
          <w:rFonts w:ascii="Times New Roman" w:hAnsi="Times New Roman" w:cs="Times New Roman"/>
          <w:iCs/>
          <w:sz w:val="28"/>
          <w:szCs w:val="28"/>
          <w:lang w:eastAsia="es-ES"/>
        </w:rPr>
        <w:t>, explica que se trata de una técnica normativa que</w:t>
      </w:r>
      <w:r w:rsidRPr="00DB3EEA">
        <w:rPr>
          <w:rFonts w:ascii="Times New Roman" w:hAnsi="Times New Roman" w:cs="Times New Roman"/>
          <w:iCs/>
          <w:sz w:val="28"/>
          <w:szCs w:val="28"/>
          <w:lang w:eastAsia="es-ES"/>
        </w:rPr>
        <w:t xml:space="preserve"> implica la colaboración entre el Legislativo y el Ejecutivo para regular una materia. Las leyes deben fijar objetivos y criterios orientadores, mientras que</w:t>
      </w:r>
      <w:r w:rsidRPr="00DB3EEA">
        <w:rPr>
          <w:rFonts w:ascii="Times New Roman" w:hAnsi="Times New Roman" w:cs="Times New Roman"/>
          <w:sz w:val="28"/>
          <w:szCs w:val="28"/>
          <w:lang w:eastAsia="es-ES"/>
        </w:rPr>
        <w:t>,</w:t>
      </w:r>
      <w:r w:rsidRPr="00DB3EEA">
        <w:rPr>
          <w:rFonts w:ascii="Times New Roman" w:hAnsi="Times New Roman" w:cs="Times New Roman"/>
          <w:iCs/>
          <w:sz w:val="28"/>
          <w:szCs w:val="28"/>
          <w:lang w:eastAsia="es-ES"/>
        </w:rPr>
        <w:t xml:space="preserve"> los reglamentos deben enfocarse en desarrollar el contenido normativo en detalle. Precisa que, co</w:t>
      </w:r>
      <w:r w:rsidRPr="00DB3EEA">
        <w:rPr>
          <w:rFonts w:ascii="Times New Roman" w:hAnsi="Times New Roman" w:cs="Times New Roman"/>
          <w:iCs/>
          <w:sz w:val="28"/>
          <w:szCs w:val="28"/>
          <w:lang w:eastAsia="es-ES"/>
        </w:rPr>
        <w:t xml:space="preserve">nforme a los artículos 150.19 y 189.25 de la Constitución, la reserva de ley marco se aplica a asuntos como: </w:t>
      </w:r>
      <w:r w:rsidRPr="00DB3EEA">
        <w:rPr>
          <w:rFonts w:ascii="Times New Roman" w:hAnsi="Times New Roman" w:cs="Times New Roman"/>
          <w:iCs/>
          <w:sz w:val="28"/>
          <w:szCs w:val="28"/>
          <w:lang w:eastAsia="es-ES"/>
        </w:rPr>
        <w:t>“(i) el crédito público, (ii) el comercio exterior, (iii) el régimen de cambio internacional, (iv) el régimen de aduanas, (…) [y] (v) las actividad</w:t>
      </w:r>
      <w:r w:rsidRPr="00DB3EEA">
        <w:rPr>
          <w:rFonts w:ascii="Times New Roman" w:hAnsi="Times New Roman" w:cs="Times New Roman"/>
          <w:iCs/>
          <w:sz w:val="28"/>
          <w:szCs w:val="28"/>
          <w:lang w:eastAsia="es-ES"/>
        </w:rPr>
        <w:t>es financiera, bursátil y aseguradora”</w:t>
      </w:r>
      <w:r w:rsidRPr="00DB3EEA">
        <w:rPr>
          <w:rStyle w:val="Refdenotaalpie"/>
          <w:rFonts w:ascii="Times New Roman" w:hAnsi="Times New Roman" w:cs="Times New Roman"/>
          <w:iCs/>
          <w:sz w:val="28"/>
          <w:szCs w:val="28"/>
          <w:lang w:eastAsia="es-ES"/>
        </w:rPr>
        <w:footnoteReference w:id="98"/>
      </w:r>
      <w:r w:rsidRPr="00DB3EEA">
        <w:rPr>
          <w:rFonts w:ascii="Times New Roman" w:hAnsi="Times New Roman" w:cs="Times New Roman"/>
          <w:iCs/>
          <w:sz w:val="28"/>
          <w:szCs w:val="28"/>
          <w:lang w:eastAsia="es-ES"/>
        </w:rPr>
        <w:t>.</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 xml:space="preserve"> </w:t>
      </w:r>
    </w:p>
    <w:p w:rsidR="005A4F81" w:rsidRPr="00DB3EEA" w:rsidRDefault="00DB3EEA" w:rsidP="00376DDD">
      <w:pPr>
        <w:pStyle w:val="Prrafodelista"/>
        <w:jc w:val="both"/>
        <w:rPr>
          <w:rFonts w:ascii="Times New Roman" w:hAnsi="Times New Roman" w:cs="Times New Roman"/>
          <w:iCs/>
          <w:sz w:val="28"/>
          <w:szCs w:val="28"/>
          <w:lang w:eastAsia="es-ES"/>
        </w:rPr>
      </w:pPr>
    </w:p>
    <w:p w:rsidR="00977E98"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 xml:space="preserve">Reconoce que, en esos ámbitos, al Congreso le corresponde dictar normas generales y señalar objetivos y criterios, mientras que al Ejecutivo le compete </w:t>
      </w:r>
      <w:r w:rsidRPr="00DB3EEA">
        <w:rPr>
          <w:rFonts w:ascii="Times New Roman" w:hAnsi="Times New Roman" w:cs="Times New Roman"/>
          <w:iCs/>
          <w:sz w:val="28"/>
          <w:szCs w:val="28"/>
          <w:lang w:eastAsia="es-ES"/>
        </w:rPr>
        <w:t>“</w:t>
      </w:r>
      <w:r w:rsidRPr="00DB3EEA">
        <w:rPr>
          <w:rFonts w:ascii="Times New Roman" w:hAnsi="Times New Roman" w:cs="Times New Roman"/>
          <w:i/>
          <w:iCs/>
          <w:sz w:val="28"/>
          <w:szCs w:val="28"/>
          <w:lang w:eastAsia="es-ES"/>
        </w:rPr>
        <w:t xml:space="preserve">modificar los aranceles, tarifas y demás disposiciones </w:t>
      </w:r>
      <w:r w:rsidRPr="00DB3EEA">
        <w:rPr>
          <w:rFonts w:ascii="Times New Roman" w:hAnsi="Times New Roman" w:cs="Times New Roman"/>
          <w:i/>
          <w:iCs/>
          <w:sz w:val="28"/>
          <w:szCs w:val="28"/>
          <w:lang w:eastAsia="es-ES"/>
        </w:rPr>
        <w:t>concernientes al régimen de aduanas</w:t>
      </w:r>
      <w:r w:rsidRPr="00DB3EEA">
        <w:rPr>
          <w:rFonts w:ascii="Times New Roman" w:hAnsi="Times New Roman" w:cs="Times New Roman"/>
          <w:sz w:val="28"/>
          <w:szCs w:val="28"/>
          <w:lang w:eastAsia="es-ES"/>
        </w:rPr>
        <w:t>”</w:t>
      </w:r>
      <w:r w:rsidRPr="00DB3EEA">
        <w:rPr>
          <w:rStyle w:val="Refdenotaalpie"/>
          <w:rFonts w:ascii="Times New Roman" w:hAnsi="Times New Roman" w:cs="Times New Roman"/>
          <w:sz w:val="28"/>
          <w:szCs w:val="28"/>
          <w:lang w:eastAsia="es-ES"/>
        </w:rPr>
        <w:footnoteReference w:id="99"/>
      </w:r>
      <w:r w:rsidRPr="00DB3EEA">
        <w:rPr>
          <w:rFonts w:ascii="Times New Roman" w:hAnsi="Times New Roman" w:cs="Times New Roman"/>
          <w:sz w:val="28"/>
          <w:szCs w:val="28"/>
          <w:lang w:eastAsia="es-ES"/>
        </w:rPr>
        <w:t xml:space="preserve">.  </w:t>
      </w:r>
      <w:r w:rsidRPr="00DB3EEA">
        <w:rPr>
          <w:rFonts w:ascii="Times New Roman" w:hAnsi="Times New Roman" w:cs="Times New Roman"/>
          <w:sz w:val="28"/>
          <w:szCs w:val="28"/>
          <w:lang w:eastAsia="es-ES"/>
        </w:rPr>
        <w:t xml:space="preserve">Señala que, según la jurisprudencia, las leyes marco en materia </w:t>
      </w:r>
      <w:r w:rsidRPr="00DB3EEA">
        <w:rPr>
          <w:rFonts w:ascii="Times New Roman" w:hAnsi="Times New Roman" w:cs="Times New Roman"/>
          <w:sz w:val="28"/>
          <w:szCs w:val="28"/>
          <w:lang w:eastAsia="es-ES"/>
        </w:rPr>
        <w:t>aduaner</w:t>
      </w:r>
      <w:r w:rsidRPr="00DB3EEA">
        <w:rPr>
          <w:rFonts w:ascii="Times New Roman" w:hAnsi="Times New Roman" w:cs="Times New Roman"/>
          <w:sz w:val="28"/>
          <w:szCs w:val="28"/>
          <w:lang w:eastAsia="es-ES"/>
        </w:rPr>
        <w:t>a deben expedirse s</w:t>
      </w:r>
      <w:r w:rsidRPr="00DB3EEA">
        <w:rPr>
          <w:rFonts w:ascii="Times New Roman" w:hAnsi="Times New Roman" w:cs="Times New Roman"/>
          <w:sz w:val="28"/>
          <w:szCs w:val="28"/>
          <w:lang w:eastAsia="es-ES"/>
        </w:rPr>
        <w:t>ó</w:t>
      </w:r>
      <w:r w:rsidRPr="00DB3EEA">
        <w:rPr>
          <w:rFonts w:ascii="Times New Roman" w:hAnsi="Times New Roman" w:cs="Times New Roman"/>
          <w:sz w:val="28"/>
          <w:szCs w:val="28"/>
          <w:lang w:eastAsia="es-ES"/>
        </w:rPr>
        <w:t>lo por razones de política comercial, no con fines fiscales o de recaudo. Por ello, el artículo 150.19 impide que mediante de</w:t>
      </w:r>
      <w:r w:rsidRPr="00DB3EEA">
        <w:rPr>
          <w:rFonts w:ascii="Times New Roman" w:hAnsi="Times New Roman" w:cs="Times New Roman"/>
          <w:sz w:val="28"/>
          <w:szCs w:val="28"/>
          <w:lang w:eastAsia="es-ES"/>
        </w:rPr>
        <w:t xml:space="preserve">cretos que desarrollan leyes marco se busquen objetivos fiscales, </w:t>
      </w:r>
      <w:r w:rsidRPr="00DB3EEA">
        <w:rPr>
          <w:rFonts w:ascii="Times New Roman" w:hAnsi="Times New Roman" w:cs="Times New Roman"/>
          <w:sz w:val="28"/>
          <w:szCs w:val="28"/>
          <w:lang w:eastAsia="es-ES"/>
        </w:rPr>
        <w:t>ya que,</w:t>
      </w:r>
      <w:r w:rsidRPr="00DB3EEA">
        <w:rPr>
          <w:rFonts w:ascii="Times New Roman" w:hAnsi="Times New Roman" w:cs="Times New Roman"/>
          <w:sz w:val="28"/>
          <w:szCs w:val="28"/>
          <w:lang w:eastAsia="es-ES"/>
        </w:rPr>
        <w:t xml:space="preserve"> </w:t>
      </w:r>
      <w:r w:rsidRPr="00DB3EEA">
        <w:rPr>
          <w:rFonts w:ascii="Times New Roman" w:hAnsi="Times New Roman" w:cs="Times New Roman"/>
          <w:sz w:val="28"/>
          <w:szCs w:val="28"/>
          <w:lang w:eastAsia="es-ES"/>
        </w:rPr>
        <w:t>si se</w:t>
      </w:r>
      <w:r w:rsidRPr="00DB3EEA">
        <w:rPr>
          <w:rFonts w:ascii="Times New Roman" w:hAnsi="Times New Roman" w:cs="Times New Roman"/>
          <w:sz w:val="28"/>
          <w:szCs w:val="28"/>
          <w:lang w:eastAsia="es-ES"/>
        </w:rPr>
        <w:t xml:space="preserve"> busca </w:t>
      </w:r>
      <w:r w:rsidRPr="00DB3EEA">
        <w:rPr>
          <w:rFonts w:ascii="Times New Roman" w:hAnsi="Times New Roman" w:cs="Times New Roman"/>
          <w:sz w:val="28"/>
          <w:szCs w:val="28"/>
          <w:lang w:eastAsia="es-ES"/>
        </w:rPr>
        <w:t>“</w:t>
      </w:r>
      <w:r w:rsidRPr="00DB3EEA">
        <w:rPr>
          <w:rFonts w:ascii="Times New Roman" w:hAnsi="Times New Roman" w:cs="Times New Roman"/>
          <w:sz w:val="28"/>
          <w:szCs w:val="28"/>
          <w:lang w:eastAsia="es-ES"/>
        </w:rPr>
        <w:t xml:space="preserve">de manera primera y principal un objetivo fiscal o de recaudo de ingresos para el Estado, ello sólo se podrá hacer por ley y en ejercicio de la competencia tributaria </w:t>
      </w:r>
      <w:r w:rsidRPr="00DB3EEA">
        <w:rPr>
          <w:rFonts w:ascii="Times New Roman" w:hAnsi="Times New Roman" w:cs="Times New Roman"/>
          <w:sz w:val="28"/>
          <w:szCs w:val="28"/>
          <w:lang w:eastAsia="es-ES"/>
        </w:rPr>
        <w:t>del Congreso</w:t>
      </w:r>
      <w:r w:rsidRPr="00DB3EEA">
        <w:rPr>
          <w:rFonts w:ascii="Times New Roman" w:hAnsi="Times New Roman" w:cs="Times New Roman"/>
          <w:sz w:val="28"/>
          <w:szCs w:val="28"/>
          <w:lang w:eastAsia="es-ES"/>
        </w:rPr>
        <w:t>”</w:t>
      </w:r>
      <w:r w:rsidRPr="00DB3EEA">
        <w:rPr>
          <w:rStyle w:val="Refdenotaalpie"/>
          <w:rFonts w:ascii="Times New Roman" w:hAnsi="Times New Roman" w:cs="Times New Roman"/>
          <w:sz w:val="28"/>
          <w:szCs w:val="28"/>
          <w:lang w:eastAsia="es-ES"/>
        </w:rPr>
        <w:footnoteReference w:id="100"/>
      </w:r>
      <w:r w:rsidRPr="00DB3EEA">
        <w:rPr>
          <w:rFonts w:ascii="Times New Roman" w:hAnsi="Times New Roman" w:cs="Times New Roman"/>
          <w:sz w:val="28"/>
          <w:szCs w:val="28"/>
          <w:lang w:eastAsia="es-ES"/>
        </w:rPr>
        <w:t xml:space="preserve">. </w:t>
      </w:r>
    </w:p>
    <w:p w:rsidR="00B50678" w:rsidRPr="00DB3EEA" w:rsidRDefault="00DB3EEA" w:rsidP="00376DDD">
      <w:pPr>
        <w:pStyle w:val="Prrafodelista"/>
        <w:tabs>
          <w:tab w:val="left" w:pos="426"/>
        </w:tabs>
        <w:ind w:left="0"/>
        <w:jc w:val="both"/>
        <w:rPr>
          <w:rFonts w:ascii="Times New Roman" w:hAnsi="Times New Roman" w:cs="Times New Roman"/>
          <w:iCs/>
          <w:sz w:val="28"/>
          <w:szCs w:val="28"/>
          <w:lang w:eastAsia="es-ES"/>
        </w:rPr>
      </w:pPr>
    </w:p>
    <w:p w:rsidR="000E4B7A"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sz w:val="28"/>
          <w:szCs w:val="28"/>
          <w:lang w:eastAsia="es-ES"/>
        </w:rPr>
        <w:t>Así, explica que para determinar si el Congreso se excede en sus competencias en materias con reserva de ley marco, la Corte debe verificar: (i) si la temática se encuentra efectivamente bajo esa reserva, y (ii) si la disposición no puede</w:t>
      </w:r>
      <w:r w:rsidRPr="00DB3EEA">
        <w:rPr>
          <w:rFonts w:ascii="Times New Roman" w:hAnsi="Times New Roman" w:cs="Times New Roman"/>
          <w:sz w:val="28"/>
          <w:szCs w:val="28"/>
          <w:lang w:eastAsia="es-ES"/>
        </w:rPr>
        <w:t xml:space="preserve"> clasificarse como general, por regular de manera detallada un tema especializado o dinámico</w:t>
      </w:r>
      <w:r w:rsidRPr="00DB3EEA">
        <w:rPr>
          <w:rStyle w:val="Refdenotaalpie"/>
          <w:rFonts w:ascii="Times New Roman" w:hAnsi="Times New Roman" w:cs="Times New Roman"/>
          <w:sz w:val="28"/>
          <w:szCs w:val="28"/>
          <w:lang w:eastAsia="es-ES"/>
        </w:rPr>
        <w:footnoteReference w:id="101"/>
      </w:r>
      <w:r w:rsidRPr="00DB3EEA">
        <w:rPr>
          <w:rFonts w:ascii="Times New Roman" w:hAnsi="Times New Roman" w:cs="Times New Roman"/>
          <w:sz w:val="28"/>
          <w:szCs w:val="28"/>
          <w:lang w:eastAsia="es-ES"/>
        </w:rPr>
        <w:t xml:space="preserve">. </w:t>
      </w:r>
      <w:r w:rsidRPr="00DB3EEA">
        <w:rPr>
          <w:rFonts w:ascii="Times New Roman" w:hAnsi="Times New Roman" w:cs="Times New Roman"/>
          <w:sz w:val="28"/>
          <w:szCs w:val="28"/>
          <w:lang w:eastAsia="es-ES"/>
        </w:rPr>
        <w:t xml:space="preserve"> </w:t>
      </w:r>
      <w:r w:rsidRPr="00DB3EEA">
        <w:rPr>
          <w:rFonts w:ascii="Times New Roman" w:hAnsi="Times New Roman" w:cs="Times New Roman"/>
          <w:sz w:val="28"/>
          <w:szCs w:val="28"/>
          <w:lang w:eastAsia="es-ES"/>
        </w:rPr>
        <w:t>Añade que la diferencia de competencias entre el Legislativo y el Ejecutivo no surge del tipo de materia regulada, sino del momento en que cada autoridad interv</w:t>
      </w:r>
      <w:r w:rsidRPr="00DB3EEA">
        <w:rPr>
          <w:rFonts w:ascii="Times New Roman" w:hAnsi="Times New Roman" w:cs="Times New Roman"/>
          <w:sz w:val="28"/>
          <w:szCs w:val="28"/>
          <w:lang w:eastAsia="es-ES"/>
        </w:rPr>
        <w:t>iene y del nivel de generalidad o especificidad de su actuación</w:t>
      </w:r>
      <w:r w:rsidRPr="00DB3EEA">
        <w:rPr>
          <w:rFonts w:ascii="Times New Roman" w:hAnsi="Times New Roman" w:cs="Times New Roman"/>
          <w:sz w:val="28"/>
          <w:szCs w:val="28"/>
          <w:lang w:eastAsia="es-ES"/>
        </w:rPr>
        <w:t>.</w:t>
      </w:r>
    </w:p>
    <w:p w:rsidR="000E4B7A" w:rsidRPr="00DB3EEA" w:rsidRDefault="00DB3EEA" w:rsidP="00376DDD">
      <w:pPr>
        <w:pStyle w:val="Prrafodelista"/>
        <w:jc w:val="both"/>
        <w:rPr>
          <w:rFonts w:ascii="Times New Roman" w:hAnsi="Times New Roman" w:cs="Times New Roman"/>
          <w:sz w:val="28"/>
          <w:szCs w:val="28"/>
          <w:lang w:eastAsia="es-ES"/>
        </w:rPr>
      </w:pPr>
    </w:p>
    <w:p w:rsidR="001273DE"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sz w:val="28"/>
          <w:szCs w:val="28"/>
          <w:lang w:eastAsia="es-ES"/>
        </w:rPr>
        <w:t>F</w:t>
      </w:r>
      <w:r w:rsidRPr="00DB3EEA">
        <w:rPr>
          <w:rFonts w:ascii="Times New Roman" w:hAnsi="Times New Roman" w:cs="Times New Roman"/>
          <w:sz w:val="28"/>
          <w:szCs w:val="28"/>
          <w:lang w:eastAsia="es-ES"/>
        </w:rPr>
        <w:t>inalmente, respecto al alcance de los impuestos saludables, el Procurador explica que estos comprenden dos tributos: el impuesto a las bebidas ultraprocesadas</w:t>
      </w:r>
      <w:r w:rsidRPr="00DB3EEA">
        <w:rPr>
          <w:rFonts w:ascii="Times New Roman" w:hAnsi="Times New Roman" w:cs="Times New Roman"/>
          <w:sz w:val="28"/>
          <w:szCs w:val="28"/>
          <w:lang w:eastAsia="es-ES"/>
        </w:rPr>
        <w:t xml:space="preserve"> azucaradas (artículos 513-1 a 513-5 del ET) y el impuesto a los productos comestibles ultraprocesados con alto contenido de azúcares, sodio o grasas (artículos 513-6 a 513-10).</w:t>
      </w:r>
    </w:p>
    <w:p w:rsidR="004F717E" w:rsidRPr="00DB3EEA" w:rsidRDefault="00DB3EEA" w:rsidP="00376DDD">
      <w:pPr>
        <w:pStyle w:val="Prrafodelista"/>
        <w:tabs>
          <w:tab w:val="left" w:pos="426"/>
        </w:tabs>
        <w:ind w:left="0"/>
        <w:jc w:val="both"/>
        <w:rPr>
          <w:rFonts w:ascii="Times New Roman" w:hAnsi="Times New Roman" w:cs="Times New Roman"/>
          <w:iCs/>
          <w:sz w:val="28"/>
          <w:szCs w:val="28"/>
          <w:lang w:eastAsia="es-ES"/>
        </w:rPr>
      </w:pPr>
    </w:p>
    <w:p w:rsidR="001273DE"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Cita la Sentencia C-435 de 2023, en la que la Corte indica que dichos tributo</w:t>
      </w:r>
      <w:r w:rsidRPr="00DB3EEA">
        <w:rPr>
          <w:rFonts w:ascii="Times New Roman" w:hAnsi="Times New Roman" w:cs="Times New Roman"/>
          <w:iCs/>
          <w:sz w:val="28"/>
          <w:szCs w:val="28"/>
          <w:lang w:eastAsia="es-ES"/>
        </w:rPr>
        <w:t>s corresponden a impuestos pigouvianos destinados a desincentivar actividades que generan externalidades negativas, compensando el costo social marginal que imponen a la sociedad. Precisa que su finalidad principal no es el recaudo, sino reducir un hecho o</w:t>
      </w:r>
      <w:r w:rsidRPr="00DB3EEA">
        <w:rPr>
          <w:rFonts w:ascii="Times New Roman" w:hAnsi="Times New Roman" w:cs="Times New Roman"/>
          <w:iCs/>
          <w:sz w:val="28"/>
          <w:szCs w:val="28"/>
          <w:lang w:eastAsia="es-ES"/>
        </w:rPr>
        <w:t xml:space="preserve"> conducta socialmente indeseada mediante la creación de un costo adicional. Añade que se trata de un impuesto indirecto, pues grava un hecho nocivo y no a un sujeto determinado, recayendo finalmente sobre el consumidor</w:t>
      </w:r>
      <w:r w:rsidRPr="00DB3EEA">
        <w:rPr>
          <w:rStyle w:val="Refdenotaalpie"/>
          <w:rFonts w:ascii="Times New Roman" w:hAnsi="Times New Roman" w:cs="Times New Roman"/>
          <w:iCs/>
          <w:sz w:val="28"/>
          <w:szCs w:val="28"/>
          <w:lang w:eastAsia="es-ES"/>
        </w:rPr>
        <w:footnoteReference w:id="102"/>
      </w:r>
      <w:r w:rsidRPr="00DB3EEA">
        <w:rPr>
          <w:rFonts w:ascii="Times New Roman" w:hAnsi="Times New Roman" w:cs="Times New Roman"/>
          <w:iCs/>
          <w:sz w:val="28"/>
          <w:szCs w:val="28"/>
          <w:lang w:eastAsia="es-ES"/>
        </w:rPr>
        <w:t xml:space="preserve">. </w:t>
      </w:r>
    </w:p>
    <w:p w:rsidR="00D51240" w:rsidRPr="00DB3EEA" w:rsidRDefault="00DB3EEA" w:rsidP="00376DDD">
      <w:pPr>
        <w:pStyle w:val="Prrafodelista"/>
        <w:jc w:val="both"/>
        <w:rPr>
          <w:rFonts w:ascii="Times New Roman" w:hAnsi="Times New Roman" w:cs="Times New Roman"/>
          <w:iCs/>
          <w:sz w:val="28"/>
          <w:szCs w:val="28"/>
          <w:lang w:eastAsia="es-ES"/>
        </w:rPr>
      </w:pPr>
    </w:p>
    <w:p w:rsidR="00D66C90"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Con</w:t>
      </w:r>
      <w:r w:rsidRPr="00DB3EEA">
        <w:rPr>
          <w:rFonts w:ascii="Times New Roman" w:hAnsi="Times New Roman" w:cs="Times New Roman"/>
          <w:iCs/>
          <w:sz w:val="28"/>
          <w:szCs w:val="28"/>
          <w:lang w:eastAsia="es-ES"/>
        </w:rPr>
        <w:t xml:space="preserve"> base en esa jurisprudencia, e</w:t>
      </w:r>
      <w:r w:rsidRPr="00DB3EEA">
        <w:rPr>
          <w:rFonts w:ascii="Times New Roman" w:hAnsi="Times New Roman" w:cs="Times New Roman"/>
          <w:iCs/>
          <w:sz w:val="28"/>
          <w:szCs w:val="28"/>
          <w:lang w:eastAsia="es-ES"/>
        </w:rPr>
        <w:t>l Procurador analiza los problemas jurídicos propuestos. Frente a la presunta vulneración de los principios de igualdad, equidad tributaria y libre competencia, sostiene que deben verificarse</w:t>
      </w:r>
      <w:r w:rsidRPr="00DB3EEA">
        <w:rPr>
          <w:rFonts w:ascii="Times New Roman" w:hAnsi="Times New Roman" w:cs="Times New Roman"/>
          <w:iCs/>
          <w:sz w:val="28"/>
          <w:szCs w:val="28"/>
          <w:lang w:eastAsia="es-ES"/>
        </w:rPr>
        <w:t xml:space="preserve">, prima facie, </w:t>
      </w:r>
      <w:r w:rsidRPr="00DB3EEA">
        <w:rPr>
          <w:rFonts w:ascii="Times New Roman" w:hAnsi="Times New Roman" w:cs="Times New Roman"/>
          <w:iCs/>
          <w:sz w:val="28"/>
          <w:szCs w:val="28"/>
          <w:lang w:eastAsia="es-ES"/>
        </w:rPr>
        <w:t>los presupuestos necesarios para realizar un juici</w:t>
      </w:r>
      <w:r w:rsidRPr="00DB3EEA">
        <w:rPr>
          <w:rFonts w:ascii="Times New Roman" w:hAnsi="Times New Roman" w:cs="Times New Roman"/>
          <w:iCs/>
          <w:sz w:val="28"/>
          <w:szCs w:val="28"/>
          <w:lang w:eastAsia="es-ES"/>
        </w:rPr>
        <w:t>o de igualdad.</w:t>
      </w:r>
    </w:p>
    <w:p w:rsidR="00D66C90" w:rsidRPr="00DB3EEA" w:rsidRDefault="00DB3EEA" w:rsidP="00376DDD">
      <w:pPr>
        <w:pStyle w:val="Prrafodelista"/>
        <w:jc w:val="both"/>
        <w:rPr>
          <w:rFonts w:ascii="Times New Roman" w:hAnsi="Times New Roman" w:cs="Times New Roman"/>
          <w:iCs/>
          <w:sz w:val="28"/>
          <w:szCs w:val="28"/>
          <w:lang w:eastAsia="es-ES"/>
        </w:rPr>
      </w:pPr>
    </w:p>
    <w:p w:rsidR="00173B5D"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Afirma que, respecto a los sujetos comparables, el artículo demandado permite identificar dos grupos en condiciones fácticas y jurídicas similares: los productos fabricados en territorio nacional y los producidos en zonas francas o importad</w:t>
      </w:r>
      <w:r w:rsidRPr="00DB3EEA">
        <w:rPr>
          <w:rFonts w:ascii="Times New Roman" w:hAnsi="Times New Roman" w:cs="Times New Roman"/>
          <w:iCs/>
          <w:sz w:val="28"/>
          <w:szCs w:val="28"/>
          <w:lang w:eastAsia="es-ES"/>
        </w:rPr>
        <w:t xml:space="preserve">os. Dado que ambos cumplen las condiciones para ser gravados, considera que, al tratarse de un impuesto indirecto con finalidad extrafiscal, </w:t>
      </w:r>
      <w:r w:rsidRPr="00DB3EEA">
        <w:rPr>
          <w:rFonts w:ascii="Times New Roman" w:hAnsi="Times New Roman" w:cs="Times New Roman"/>
          <w:iCs/>
          <w:sz w:val="28"/>
          <w:szCs w:val="28"/>
          <w:lang w:eastAsia="es-ES"/>
        </w:rPr>
        <w:t>“</w:t>
      </w:r>
      <w:r w:rsidRPr="00DB3EEA">
        <w:rPr>
          <w:rFonts w:ascii="Times New Roman" w:hAnsi="Times New Roman" w:cs="Times New Roman"/>
          <w:iCs/>
          <w:sz w:val="28"/>
          <w:szCs w:val="28"/>
          <w:lang w:eastAsia="es-ES"/>
        </w:rPr>
        <w:t xml:space="preserve">el juicio relacional que se debe efectuar recae sobre los productos nacionales e importados, frente a los cuales el </w:t>
      </w:r>
      <w:r w:rsidRPr="00DB3EEA">
        <w:rPr>
          <w:rFonts w:ascii="Times New Roman" w:hAnsi="Times New Roman" w:cs="Times New Roman"/>
          <w:iCs/>
          <w:sz w:val="28"/>
          <w:szCs w:val="28"/>
          <w:lang w:eastAsia="es-ES"/>
        </w:rPr>
        <w:t>legislador</w:t>
      </w:r>
      <w:r w:rsidRPr="00DB3EEA">
        <w:rPr>
          <w:rFonts w:ascii="Times New Roman" w:hAnsi="Times New Roman" w:cs="Times New Roman"/>
          <w:iCs/>
          <w:sz w:val="28"/>
          <w:szCs w:val="28"/>
          <w:lang w:eastAsia="es-ES"/>
        </w:rPr>
        <w:t xml:space="preserve"> estableció un trato desigual al fijar una base gravable que incluye, solo para los segundos, los tributos aduaneros y, por esta v</w:t>
      </w:r>
      <w:r w:rsidRPr="00DB3EEA">
        <w:rPr>
          <w:rFonts w:ascii="Times New Roman" w:hAnsi="Times New Roman" w:cs="Times New Roman"/>
          <w:iCs/>
          <w:sz w:val="28"/>
          <w:szCs w:val="28"/>
          <w:lang w:eastAsia="es-ES"/>
        </w:rPr>
        <w:t>ía,</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el IVA</w:t>
      </w:r>
      <w:r w:rsidRPr="00DB3EEA">
        <w:rPr>
          <w:rFonts w:ascii="Times New Roman" w:hAnsi="Times New Roman" w:cs="Times New Roman"/>
          <w:iCs/>
          <w:sz w:val="28"/>
          <w:szCs w:val="28"/>
          <w:lang w:eastAsia="es-ES"/>
        </w:rPr>
        <w:t>”</w:t>
      </w:r>
      <w:r w:rsidRPr="00DB3EEA">
        <w:rPr>
          <w:rStyle w:val="Refdenotaalpie"/>
          <w:rFonts w:ascii="Times New Roman" w:hAnsi="Times New Roman" w:cs="Times New Roman"/>
          <w:iCs/>
          <w:sz w:val="28"/>
          <w:szCs w:val="28"/>
          <w:lang w:eastAsia="es-ES"/>
        </w:rPr>
        <w:t xml:space="preserve"> </w:t>
      </w:r>
      <w:r w:rsidRPr="00DB3EEA">
        <w:rPr>
          <w:rStyle w:val="Refdenotaalpie"/>
          <w:rFonts w:ascii="Times New Roman" w:hAnsi="Times New Roman" w:cs="Times New Roman"/>
          <w:iCs/>
          <w:sz w:val="28"/>
          <w:szCs w:val="28"/>
          <w:lang w:eastAsia="es-ES"/>
        </w:rPr>
        <w:footnoteReference w:id="103"/>
      </w:r>
      <w:r w:rsidRPr="00DB3EEA">
        <w:rPr>
          <w:rFonts w:ascii="Times New Roman" w:hAnsi="Times New Roman" w:cs="Times New Roman"/>
          <w:iCs/>
          <w:sz w:val="28"/>
          <w:szCs w:val="28"/>
          <w:lang w:eastAsia="es-ES"/>
        </w:rPr>
        <w:t>.</w:t>
      </w:r>
      <w:r w:rsidRPr="00DB3EEA">
        <w:rPr>
          <w:rFonts w:ascii="Times New Roman" w:hAnsi="Times New Roman" w:cs="Times New Roman"/>
          <w:iCs/>
          <w:sz w:val="28"/>
          <w:szCs w:val="28"/>
          <w:lang w:eastAsia="es-ES"/>
        </w:rPr>
        <w:t xml:space="preserve"> Conforme a esto, </w:t>
      </w:r>
      <w:r w:rsidRPr="00DB3EEA">
        <w:rPr>
          <w:rFonts w:ascii="Times New Roman" w:hAnsi="Times New Roman" w:cs="Times New Roman"/>
          <w:iCs/>
          <w:sz w:val="28"/>
          <w:szCs w:val="28"/>
          <w:lang w:eastAsia="es-ES"/>
        </w:rPr>
        <w:t xml:space="preserve">concluye </w:t>
      </w:r>
      <w:r w:rsidRPr="00DB3EEA">
        <w:rPr>
          <w:rFonts w:ascii="Times New Roman" w:hAnsi="Times New Roman" w:cs="Times New Roman"/>
          <w:iCs/>
          <w:sz w:val="28"/>
          <w:szCs w:val="28"/>
          <w:lang w:eastAsia="es-ES"/>
        </w:rPr>
        <w:t>“</w:t>
      </w:r>
      <w:r w:rsidRPr="00DB3EEA">
        <w:rPr>
          <w:rFonts w:ascii="Times New Roman" w:hAnsi="Times New Roman" w:cs="Times New Roman"/>
          <w:iCs/>
          <w:sz w:val="28"/>
          <w:szCs w:val="28"/>
          <w:lang w:eastAsia="es-ES"/>
        </w:rPr>
        <w:t>(i) que los supuestos de hecho son susceptibles</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de compararse bajo el criterio aplicable (la determinación de la base gravable del</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ICUI, que parte del acaecimiento del hecho generador legalmente establecido), y (ii</w:t>
      </w:r>
      <w:r w:rsidRPr="00DB3EEA">
        <w:rPr>
          <w:rFonts w:ascii="Times New Roman" w:hAnsi="Times New Roman" w:cs="Times New Roman"/>
          <w:iCs/>
          <w:sz w:val="28"/>
          <w:szCs w:val="28"/>
          <w:lang w:eastAsia="es-ES"/>
        </w:rPr>
        <w:t>)</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que existe un tratamiento diferenciado entre ellos</w:t>
      </w:r>
      <w:r w:rsidRPr="00DB3EEA">
        <w:rPr>
          <w:rFonts w:ascii="Times New Roman" w:hAnsi="Times New Roman" w:cs="Times New Roman"/>
          <w:iCs/>
          <w:sz w:val="28"/>
          <w:szCs w:val="28"/>
          <w:lang w:eastAsia="es-ES"/>
        </w:rPr>
        <w:t>”</w:t>
      </w:r>
      <w:r w:rsidRPr="00DB3EEA">
        <w:rPr>
          <w:rStyle w:val="Refdenotaalpie"/>
          <w:rFonts w:ascii="Times New Roman" w:hAnsi="Times New Roman" w:cs="Times New Roman"/>
          <w:iCs/>
          <w:sz w:val="28"/>
          <w:szCs w:val="28"/>
          <w:lang w:eastAsia="es-ES"/>
        </w:rPr>
        <w:footnoteReference w:id="104"/>
      </w:r>
      <w:r w:rsidRPr="00DB3EEA">
        <w:rPr>
          <w:rFonts w:ascii="Times New Roman" w:hAnsi="Times New Roman" w:cs="Times New Roman"/>
          <w:iCs/>
          <w:sz w:val="28"/>
          <w:szCs w:val="28"/>
          <w:lang w:eastAsia="es-ES"/>
        </w:rPr>
        <w:t>.</w:t>
      </w:r>
      <w:r w:rsidRPr="00DB3EEA">
        <w:rPr>
          <w:rFonts w:ascii="Times New Roman" w:hAnsi="Times New Roman" w:cs="Times New Roman"/>
          <w:iCs/>
          <w:sz w:val="28"/>
          <w:szCs w:val="28"/>
          <w:lang w:eastAsia="es-ES"/>
        </w:rPr>
        <w:t xml:space="preserve"> </w:t>
      </w:r>
    </w:p>
    <w:p w:rsidR="006E4C18" w:rsidRPr="00DB3EEA" w:rsidRDefault="00DB3EEA" w:rsidP="00376DDD">
      <w:pPr>
        <w:pStyle w:val="Prrafodelista"/>
        <w:tabs>
          <w:tab w:val="left" w:pos="426"/>
        </w:tabs>
        <w:ind w:left="0"/>
        <w:jc w:val="both"/>
        <w:rPr>
          <w:rFonts w:ascii="Times New Roman" w:hAnsi="Times New Roman" w:cs="Times New Roman"/>
          <w:iCs/>
          <w:sz w:val="28"/>
          <w:szCs w:val="28"/>
          <w:lang w:eastAsia="es-ES"/>
        </w:rPr>
      </w:pPr>
    </w:p>
    <w:p w:rsidR="006A7D76"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 xml:space="preserve">Sugiere aplicar un test intermedio de igualdad, dado que </w:t>
      </w:r>
      <w:r w:rsidRPr="00DB3EEA">
        <w:rPr>
          <w:rFonts w:ascii="Times New Roman" w:hAnsi="Times New Roman" w:cs="Times New Roman"/>
          <w:iCs/>
          <w:sz w:val="28"/>
          <w:szCs w:val="28"/>
          <w:lang w:eastAsia="es-ES"/>
        </w:rPr>
        <w:t xml:space="preserve">“los accionantes formularon de manera simultánea y argumentada un cargo por la supuesta trasgresión de la libre competencia económica, el </w:t>
      </w:r>
      <w:r w:rsidRPr="00DB3EEA">
        <w:rPr>
          <w:rFonts w:ascii="Times New Roman" w:hAnsi="Times New Roman" w:cs="Times New Roman"/>
          <w:iCs/>
          <w:sz w:val="28"/>
          <w:szCs w:val="28"/>
          <w:lang w:eastAsia="es-ES"/>
        </w:rPr>
        <w:t>cual fue admitido”</w:t>
      </w:r>
      <w:r w:rsidRPr="00DB3EEA">
        <w:rPr>
          <w:rStyle w:val="Refdenotaalpie"/>
          <w:rFonts w:ascii="Times New Roman" w:hAnsi="Times New Roman" w:cs="Times New Roman"/>
          <w:iCs/>
          <w:sz w:val="28"/>
          <w:szCs w:val="28"/>
          <w:lang w:eastAsia="es-ES"/>
        </w:rPr>
        <w:footnoteReference w:id="105"/>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Señala que</w:t>
      </w:r>
      <w:r w:rsidRPr="00DB3EEA">
        <w:rPr>
          <w:rFonts w:ascii="Times New Roman" w:hAnsi="Times New Roman" w:cs="Times New Roman"/>
          <w:sz w:val="28"/>
          <w:szCs w:val="28"/>
          <w:lang w:eastAsia="es-ES"/>
        </w:rPr>
        <w:t>,</w:t>
      </w:r>
      <w:r w:rsidRPr="00DB3EEA">
        <w:rPr>
          <w:rFonts w:ascii="Times New Roman" w:hAnsi="Times New Roman" w:cs="Times New Roman"/>
          <w:iCs/>
          <w:sz w:val="28"/>
          <w:szCs w:val="28"/>
          <w:lang w:eastAsia="es-ES"/>
        </w:rPr>
        <w:t xml:space="preserve"> gravar de manera diferenciada dos productos similares según su origen afecta el derecho a concurrir al mercado en condiciones de igualdad. Por tanto, la Corte debe verificar: (i) si la medida persigue un fin constitucionalm</w:t>
      </w:r>
      <w:r w:rsidRPr="00DB3EEA">
        <w:rPr>
          <w:rFonts w:ascii="Times New Roman" w:hAnsi="Times New Roman" w:cs="Times New Roman"/>
          <w:iCs/>
          <w:sz w:val="28"/>
          <w:szCs w:val="28"/>
          <w:lang w:eastAsia="es-ES"/>
        </w:rPr>
        <w:t>ente importante, (ii) si el medio es conducente para alcanzarlo, y (iii) si no resulta desproporcionada.</w:t>
      </w:r>
    </w:p>
    <w:p w:rsidR="006A7D76" w:rsidRPr="00DB3EEA" w:rsidRDefault="00DB3EEA" w:rsidP="00376DDD">
      <w:pPr>
        <w:pStyle w:val="Prrafodelista"/>
        <w:jc w:val="both"/>
        <w:rPr>
          <w:rFonts w:ascii="Times New Roman" w:hAnsi="Times New Roman" w:cs="Times New Roman"/>
          <w:iCs/>
          <w:sz w:val="28"/>
          <w:szCs w:val="28"/>
          <w:lang w:eastAsia="es-ES"/>
        </w:rPr>
      </w:pPr>
    </w:p>
    <w:p w:rsidR="00F40CC2"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Observa que el trato diferenciado entre las bases gravables no se sustenta en las características del ICUI, ni en el contenido de la norma ni en los a</w:t>
      </w:r>
      <w:r w:rsidRPr="00DB3EEA">
        <w:rPr>
          <w:rFonts w:ascii="Times New Roman" w:hAnsi="Times New Roman" w:cs="Times New Roman"/>
          <w:iCs/>
          <w:sz w:val="28"/>
          <w:szCs w:val="28"/>
          <w:lang w:eastAsia="es-ES"/>
        </w:rPr>
        <w:t>ntecedentes legislativos, por lo que no se identifica una justificación clara o finalidad específica.</w:t>
      </w:r>
    </w:p>
    <w:p w:rsidR="006A7D76" w:rsidRPr="00DB3EEA" w:rsidRDefault="00DB3EEA" w:rsidP="00376DDD">
      <w:pPr>
        <w:pStyle w:val="Prrafodelista"/>
        <w:tabs>
          <w:tab w:val="left" w:pos="426"/>
        </w:tabs>
        <w:ind w:left="0"/>
        <w:jc w:val="both"/>
        <w:rPr>
          <w:rFonts w:ascii="Times New Roman" w:hAnsi="Times New Roman" w:cs="Times New Roman"/>
          <w:iCs/>
          <w:sz w:val="28"/>
          <w:szCs w:val="28"/>
          <w:lang w:eastAsia="es-ES"/>
        </w:rPr>
      </w:pPr>
    </w:p>
    <w:p w:rsidR="00145F19"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 xml:space="preserve">A su parecer, la diferenciación </w:t>
      </w:r>
      <w:r w:rsidRPr="00DB3EEA">
        <w:rPr>
          <w:rFonts w:ascii="Times New Roman" w:hAnsi="Times New Roman" w:cs="Times New Roman"/>
          <w:iCs/>
          <w:sz w:val="28"/>
          <w:szCs w:val="28"/>
          <w:lang w:eastAsia="es-ES"/>
        </w:rPr>
        <w:t>“</w:t>
      </w:r>
      <w:r w:rsidRPr="00DB3EEA">
        <w:rPr>
          <w:rFonts w:ascii="Times New Roman" w:hAnsi="Times New Roman" w:cs="Times New Roman"/>
          <w:iCs/>
          <w:sz w:val="28"/>
          <w:szCs w:val="28"/>
          <w:lang w:eastAsia="es-ES"/>
        </w:rPr>
        <w:t>obedeció, más bien, al propósito de atender las particularidades de los productos gravados, según su efecto tributario”</w:t>
      </w:r>
      <w:r w:rsidRPr="00DB3EEA">
        <w:rPr>
          <w:rStyle w:val="Refdenotaalpie"/>
          <w:rFonts w:ascii="Times New Roman" w:hAnsi="Times New Roman" w:cs="Times New Roman"/>
          <w:iCs/>
          <w:sz w:val="28"/>
          <w:szCs w:val="28"/>
          <w:lang w:eastAsia="es-ES"/>
        </w:rPr>
        <w:footnoteReference w:id="106"/>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Destaca que la exposición de motivos se centra en el impacto del consumo y en el momento de imposición del impuesto, sin justificar la inclusión de los tributos aduaneros en la base gravable.</w:t>
      </w:r>
      <w:r w:rsidRPr="00DB3EEA">
        <w:rPr>
          <w:rFonts w:ascii="Times New Roman" w:hAnsi="Times New Roman" w:cs="Times New Roman"/>
          <w:iCs/>
          <w:sz w:val="28"/>
          <w:szCs w:val="28"/>
          <w:lang w:eastAsia="es-ES"/>
        </w:rPr>
        <w:t xml:space="preserve"> </w:t>
      </w:r>
    </w:p>
    <w:p w:rsidR="0099500E" w:rsidRPr="00DB3EEA" w:rsidRDefault="00DB3EEA" w:rsidP="00376DDD">
      <w:pPr>
        <w:pStyle w:val="Prrafodelista"/>
        <w:jc w:val="both"/>
        <w:rPr>
          <w:rFonts w:ascii="Times New Roman" w:hAnsi="Times New Roman" w:cs="Times New Roman"/>
          <w:iCs/>
          <w:sz w:val="28"/>
          <w:szCs w:val="28"/>
          <w:lang w:eastAsia="es-ES"/>
        </w:rPr>
      </w:pPr>
    </w:p>
    <w:p w:rsidR="0099500E"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 xml:space="preserve">Concluye que </w:t>
      </w:r>
      <w:r w:rsidRPr="00DB3EEA">
        <w:rPr>
          <w:rFonts w:ascii="Times New Roman" w:hAnsi="Times New Roman" w:cs="Times New Roman"/>
          <w:iCs/>
          <w:sz w:val="28"/>
          <w:szCs w:val="28"/>
          <w:lang w:eastAsia="es-ES"/>
        </w:rPr>
        <w:t>“la diferenciación en la base gra</w:t>
      </w:r>
      <w:r w:rsidRPr="00DB3EEA">
        <w:rPr>
          <w:rFonts w:ascii="Times New Roman" w:hAnsi="Times New Roman" w:cs="Times New Roman"/>
          <w:iCs/>
          <w:sz w:val="28"/>
          <w:szCs w:val="28"/>
          <w:lang w:eastAsia="es-ES"/>
        </w:rPr>
        <w:t>v</w:t>
      </w:r>
      <w:r w:rsidRPr="00DB3EEA">
        <w:rPr>
          <w:rFonts w:ascii="Times New Roman" w:hAnsi="Times New Roman" w:cs="Times New Roman"/>
          <w:iCs/>
          <w:sz w:val="28"/>
          <w:szCs w:val="28"/>
          <w:lang w:eastAsia="es-ES"/>
        </w:rPr>
        <w:t xml:space="preserve">able del </w:t>
      </w:r>
      <w:r w:rsidRPr="00DB3EEA">
        <w:rPr>
          <w:rFonts w:ascii="Times New Roman" w:hAnsi="Times New Roman" w:cs="Times New Roman"/>
          <w:iCs/>
          <w:sz w:val="28"/>
          <w:szCs w:val="28"/>
          <w:lang w:eastAsia="es-ES"/>
        </w:rPr>
        <w:t>ICUI,</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 xml:space="preserve">según se trate de productos nacionales o importados, no respondió </w:t>
      </w:r>
      <w:r w:rsidRPr="00DB3EEA">
        <w:rPr>
          <w:rFonts w:ascii="Times New Roman" w:hAnsi="Times New Roman" w:cs="Times New Roman"/>
          <w:iCs/>
          <w:sz w:val="28"/>
          <w:szCs w:val="28"/>
          <w:lang w:eastAsia="es-ES"/>
        </w:rPr>
        <w:t>a</w:t>
      </w:r>
      <w:r w:rsidRPr="00DB3EEA">
        <w:rPr>
          <w:rFonts w:ascii="Times New Roman" w:hAnsi="Times New Roman" w:cs="Times New Roman"/>
          <w:iCs/>
          <w:sz w:val="28"/>
          <w:szCs w:val="28"/>
          <w:lang w:eastAsia="es-ES"/>
        </w:rPr>
        <w:t xml:space="preserve"> una finalidad</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constitucional particular sino a la manera en que, en la configuració</w:t>
      </w:r>
      <w:r w:rsidRPr="00DB3EEA">
        <w:rPr>
          <w:rFonts w:ascii="Times New Roman" w:hAnsi="Times New Roman" w:cs="Times New Roman"/>
          <w:iCs/>
          <w:sz w:val="28"/>
          <w:szCs w:val="28"/>
          <w:lang w:eastAsia="es-ES"/>
        </w:rPr>
        <w:t>n</w:t>
      </w:r>
      <w:r w:rsidRPr="00DB3EEA">
        <w:rPr>
          <w:rFonts w:ascii="Times New Roman" w:hAnsi="Times New Roman" w:cs="Times New Roman"/>
          <w:iCs/>
          <w:sz w:val="28"/>
          <w:szCs w:val="28"/>
          <w:lang w:eastAsia="es-ES"/>
        </w:rPr>
        <w:t xml:space="preserve"> del tributo, se</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consideraron las diferencias entre los productos y su incidencia en aspectos como</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 xml:space="preserve">el hecho generador o la </w:t>
      </w:r>
      <w:r w:rsidRPr="00DB3EEA">
        <w:rPr>
          <w:rFonts w:ascii="Times New Roman" w:hAnsi="Times New Roman" w:cs="Times New Roman"/>
          <w:iCs/>
          <w:sz w:val="28"/>
          <w:szCs w:val="28"/>
          <w:lang w:eastAsia="es-ES"/>
        </w:rPr>
        <w:t>acusación</w:t>
      </w:r>
      <w:r w:rsidRPr="00DB3EEA">
        <w:rPr>
          <w:rFonts w:ascii="Times New Roman" w:hAnsi="Times New Roman" w:cs="Times New Roman"/>
          <w:iCs/>
          <w:sz w:val="28"/>
          <w:szCs w:val="28"/>
          <w:lang w:eastAsia="es-ES"/>
        </w:rPr>
        <w:t xml:space="preserve"> del impuesto. Sin embargo, tal reconocimiento,</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razonable para la estructuración del tributo, no explica la inclusión del IVA en la base</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gravable para solo algunos de los sujetos comparables</w:t>
      </w:r>
      <w:r w:rsidRPr="00DB3EEA">
        <w:rPr>
          <w:rFonts w:ascii="Times New Roman" w:hAnsi="Times New Roman" w:cs="Times New Roman"/>
          <w:iCs/>
          <w:sz w:val="28"/>
          <w:szCs w:val="28"/>
          <w:lang w:eastAsia="es-ES"/>
        </w:rPr>
        <w:t>”</w:t>
      </w:r>
      <w:r w:rsidRPr="00DB3EEA">
        <w:rPr>
          <w:rStyle w:val="Refdenotaalpie"/>
          <w:rFonts w:ascii="Times New Roman" w:hAnsi="Times New Roman" w:cs="Times New Roman"/>
          <w:iCs/>
          <w:sz w:val="28"/>
          <w:szCs w:val="28"/>
          <w:lang w:eastAsia="es-ES"/>
        </w:rPr>
        <w:footnoteReference w:id="107"/>
      </w:r>
      <w:r w:rsidRPr="00DB3EEA">
        <w:rPr>
          <w:rFonts w:ascii="Times New Roman" w:hAnsi="Times New Roman" w:cs="Times New Roman"/>
          <w:iCs/>
          <w:sz w:val="28"/>
          <w:szCs w:val="28"/>
          <w:lang w:eastAsia="es-ES"/>
        </w:rPr>
        <w:t>.</w:t>
      </w:r>
    </w:p>
    <w:p w:rsidR="00CE2A69" w:rsidRPr="00DB3EEA" w:rsidRDefault="00DB3EEA" w:rsidP="00376DDD">
      <w:pPr>
        <w:pStyle w:val="Prrafodelista"/>
        <w:jc w:val="both"/>
        <w:rPr>
          <w:rFonts w:ascii="Times New Roman" w:hAnsi="Times New Roman" w:cs="Times New Roman"/>
          <w:iCs/>
          <w:sz w:val="28"/>
          <w:szCs w:val="28"/>
          <w:lang w:eastAsia="es-ES"/>
        </w:rPr>
      </w:pPr>
    </w:p>
    <w:p w:rsidR="00EE4816"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 xml:space="preserve">Por ello, considera que no </w:t>
      </w:r>
      <w:r w:rsidRPr="00DB3EEA">
        <w:rPr>
          <w:rFonts w:ascii="Times New Roman" w:hAnsi="Times New Roman" w:cs="Times New Roman"/>
          <w:iCs/>
          <w:sz w:val="28"/>
          <w:szCs w:val="28"/>
          <w:lang w:eastAsia="es-ES"/>
        </w:rPr>
        <w:t xml:space="preserve">existe una justificación constitucional válida para dicha distinción. </w:t>
      </w:r>
      <w:r w:rsidRPr="00DB3EEA">
        <w:rPr>
          <w:rFonts w:ascii="Times New Roman" w:hAnsi="Times New Roman" w:cs="Times New Roman"/>
          <w:sz w:val="28"/>
          <w:szCs w:val="28"/>
          <w:lang w:eastAsia="es-ES"/>
        </w:rPr>
        <w:t>Afirma</w:t>
      </w:r>
      <w:r w:rsidRPr="00DB3EEA">
        <w:rPr>
          <w:rFonts w:ascii="Times New Roman" w:hAnsi="Times New Roman" w:cs="Times New Roman"/>
          <w:iCs/>
          <w:sz w:val="28"/>
          <w:szCs w:val="28"/>
          <w:lang w:eastAsia="es-ES"/>
        </w:rPr>
        <w:t xml:space="preserve"> que incluir el IVA agrega un valor que no refleja la capacidad contributiva y genera un efecto cascada sin posibilidad de descuento.</w:t>
      </w:r>
    </w:p>
    <w:p w:rsidR="00EE4816" w:rsidRPr="00DB3EEA" w:rsidRDefault="00DB3EEA" w:rsidP="00376DDD">
      <w:pPr>
        <w:pStyle w:val="Prrafodelista"/>
        <w:jc w:val="both"/>
        <w:rPr>
          <w:rFonts w:ascii="Times New Roman" w:hAnsi="Times New Roman" w:cs="Times New Roman"/>
          <w:iCs/>
          <w:sz w:val="28"/>
          <w:szCs w:val="28"/>
          <w:lang w:eastAsia="es-ES"/>
        </w:rPr>
      </w:pPr>
    </w:p>
    <w:p w:rsidR="00942260"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 xml:space="preserve">Además, afirma que la vulneración de los </w:t>
      </w:r>
      <w:r w:rsidRPr="00DB3EEA">
        <w:rPr>
          <w:rFonts w:ascii="Times New Roman" w:hAnsi="Times New Roman" w:cs="Times New Roman"/>
          <w:iCs/>
          <w:sz w:val="28"/>
          <w:szCs w:val="28"/>
          <w:lang w:eastAsia="es-ES"/>
        </w:rPr>
        <w:t>principios de igualdad y equidad tributaria afecta el núcleo esencial de las libertades económicas, pues la distinción injustificada impone barreras al acceso al mercado de los productores e importadores de zonas francas.</w:t>
      </w:r>
    </w:p>
    <w:p w:rsidR="00EE4816" w:rsidRPr="00DB3EEA" w:rsidRDefault="00DB3EEA" w:rsidP="00376DDD">
      <w:pPr>
        <w:pStyle w:val="Prrafodelista"/>
        <w:tabs>
          <w:tab w:val="left" w:pos="426"/>
        </w:tabs>
        <w:ind w:left="0"/>
        <w:jc w:val="both"/>
        <w:rPr>
          <w:rFonts w:ascii="Times New Roman" w:hAnsi="Times New Roman" w:cs="Times New Roman"/>
          <w:iCs/>
          <w:sz w:val="28"/>
          <w:szCs w:val="28"/>
          <w:lang w:eastAsia="es-ES"/>
        </w:rPr>
      </w:pPr>
    </w:p>
    <w:p w:rsidR="002A3530" w:rsidRPr="00DB3EEA" w:rsidRDefault="00DB3EEA" w:rsidP="007D2918">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De tal manera, s</w:t>
      </w:r>
      <w:r w:rsidRPr="00DB3EEA">
        <w:rPr>
          <w:rFonts w:ascii="Times New Roman" w:hAnsi="Times New Roman" w:cs="Times New Roman"/>
          <w:iCs/>
          <w:sz w:val="28"/>
          <w:szCs w:val="28"/>
          <w:lang w:eastAsia="es-ES"/>
        </w:rPr>
        <w:t xml:space="preserve">obre la solución </w:t>
      </w:r>
      <w:r w:rsidRPr="00DB3EEA">
        <w:rPr>
          <w:rFonts w:ascii="Times New Roman" w:hAnsi="Times New Roman" w:cs="Times New Roman"/>
          <w:iCs/>
          <w:sz w:val="28"/>
          <w:szCs w:val="28"/>
          <w:lang w:eastAsia="es-ES"/>
        </w:rPr>
        <w:t xml:space="preserve">que debe adoptar la Corte Constitucional, </w:t>
      </w:r>
      <w:r w:rsidRPr="00DB3EEA">
        <w:rPr>
          <w:rFonts w:ascii="Times New Roman" w:hAnsi="Times New Roman" w:cs="Times New Roman"/>
          <w:iCs/>
          <w:sz w:val="28"/>
          <w:szCs w:val="28"/>
          <w:lang w:eastAsia="es-ES"/>
        </w:rPr>
        <w:t>“advierte que declarar la inexequibilidad de los apartes</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demandados, en lugar de corregir la infracción constitucional, generaría un vací</w:t>
      </w:r>
      <w:r w:rsidRPr="00DB3EEA">
        <w:rPr>
          <w:rFonts w:ascii="Times New Roman" w:hAnsi="Times New Roman" w:cs="Times New Roman"/>
          <w:iCs/>
          <w:sz w:val="28"/>
          <w:szCs w:val="28"/>
          <w:lang w:eastAsia="es-ES"/>
        </w:rPr>
        <w:t xml:space="preserve">o </w:t>
      </w:r>
      <w:r w:rsidRPr="00DB3EEA">
        <w:rPr>
          <w:rFonts w:ascii="Times New Roman" w:hAnsi="Times New Roman" w:cs="Times New Roman"/>
          <w:iCs/>
          <w:sz w:val="28"/>
          <w:szCs w:val="28"/>
          <w:lang w:eastAsia="es-ES"/>
        </w:rPr>
        <w:t>normativo pues no es posible aplicar la base gravable dispuesta de manera g</w:t>
      </w:r>
      <w:r w:rsidRPr="00DB3EEA">
        <w:rPr>
          <w:rFonts w:ascii="Times New Roman" w:hAnsi="Times New Roman" w:cs="Times New Roman"/>
          <w:iCs/>
          <w:sz w:val="28"/>
          <w:szCs w:val="28"/>
          <w:lang w:eastAsia="es-ES"/>
        </w:rPr>
        <w:t>eneral</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(precio de venta) a los productos importados. En cambio, los enunciados normativos</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examinados admiten una interpretación sistemática plausible, si se tiene en cuenta</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la razón de la vulneración (la mayor carga que asumen ciertos sujetos, como</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consecu</w:t>
      </w:r>
      <w:r w:rsidRPr="00DB3EEA">
        <w:rPr>
          <w:rFonts w:ascii="Times New Roman" w:hAnsi="Times New Roman" w:cs="Times New Roman"/>
          <w:iCs/>
          <w:sz w:val="28"/>
          <w:szCs w:val="28"/>
          <w:lang w:eastAsia="es-ES"/>
        </w:rPr>
        <w:t>encia de la adición del IVA en la base gravable) y que en los procesos de</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importación y nacionalización es necesario asumir los derechos de aduana</w:t>
      </w:r>
      <w:r w:rsidRPr="00DB3EEA">
        <w:rPr>
          <w:rFonts w:ascii="Times New Roman" w:hAnsi="Times New Roman" w:cs="Times New Roman"/>
          <w:iCs/>
          <w:sz w:val="28"/>
          <w:szCs w:val="28"/>
          <w:lang w:eastAsia="es-ES"/>
        </w:rPr>
        <w:t>”</w:t>
      </w:r>
      <w:r w:rsidRPr="00DB3EEA">
        <w:rPr>
          <w:rStyle w:val="Refdenotaalpie"/>
          <w:rFonts w:ascii="Times New Roman" w:hAnsi="Times New Roman" w:cs="Times New Roman"/>
          <w:iCs/>
          <w:sz w:val="28"/>
          <w:szCs w:val="28"/>
          <w:lang w:eastAsia="es-ES"/>
        </w:rPr>
        <w:footnoteReference w:id="108"/>
      </w:r>
      <w:r w:rsidRPr="00DB3EEA">
        <w:rPr>
          <w:rFonts w:ascii="Times New Roman" w:hAnsi="Times New Roman" w:cs="Times New Roman"/>
          <w:iCs/>
          <w:sz w:val="28"/>
          <w:szCs w:val="28"/>
          <w:lang w:eastAsia="es-ES"/>
        </w:rPr>
        <w:t>.</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Por ello, propone declarar la exequibilidad condicionada, precisando que las expresiones controvertidas de</w:t>
      </w:r>
      <w:r w:rsidRPr="00DB3EEA">
        <w:rPr>
          <w:rFonts w:ascii="Times New Roman" w:hAnsi="Times New Roman" w:cs="Times New Roman"/>
          <w:iCs/>
          <w:sz w:val="28"/>
          <w:szCs w:val="28"/>
          <w:lang w:eastAsia="es-ES"/>
        </w:rPr>
        <w:t xml:space="preserve">ben entenderse referidas únicamente a los derechos de aduana, con exclusión del IVA, para garantizar los principios de igualdad y equidad tributaria. </w:t>
      </w:r>
    </w:p>
    <w:p w:rsidR="002A3530" w:rsidRPr="00DB3EEA" w:rsidRDefault="00DB3EEA" w:rsidP="00376DDD">
      <w:pPr>
        <w:pStyle w:val="Prrafodelista"/>
        <w:jc w:val="both"/>
        <w:rPr>
          <w:rFonts w:ascii="Times New Roman" w:hAnsi="Times New Roman" w:cs="Times New Roman"/>
          <w:iCs/>
          <w:sz w:val="28"/>
          <w:szCs w:val="28"/>
          <w:lang w:eastAsia="es-ES"/>
        </w:rPr>
      </w:pPr>
    </w:p>
    <w:p w:rsidR="00942260" w:rsidRPr="00DB3EEA" w:rsidRDefault="00DB3EEA" w:rsidP="006201BB">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 xml:space="preserve">Frente al segundo problema jurídico, relativo a la competencia gubernamental en materia </w:t>
      </w:r>
      <w:r w:rsidRPr="00DB3EEA">
        <w:rPr>
          <w:rFonts w:ascii="Times New Roman" w:hAnsi="Times New Roman" w:cs="Times New Roman"/>
          <w:iCs/>
          <w:sz w:val="28"/>
          <w:szCs w:val="28"/>
          <w:lang w:eastAsia="es-ES"/>
        </w:rPr>
        <w:t>aduanera</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sostiene que la norma sí establece un trato diferenciado injustificado, por lo que</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la forma para determinar la base gravable del impuesto encubriría un arancel, en la medida en que su previsión respondería al simple hecho de la importación”</w:t>
      </w:r>
      <w:r w:rsidRPr="00DB3EEA">
        <w:rPr>
          <w:rStyle w:val="Refdenotaalpie"/>
          <w:rFonts w:ascii="Times New Roman" w:hAnsi="Times New Roman" w:cs="Times New Roman"/>
          <w:iCs/>
          <w:sz w:val="28"/>
          <w:szCs w:val="28"/>
          <w:lang w:eastAsia="es-ES"/>
        </w:rPr>
        <w:footnoteReference w:id="109"/>
      </w:r>
      <w:r w:rsidRPr="00DB3EEA">
        <w:rPr>
          <w:rFonts w:ascii="Times New Roman" w:hAnsi="Times New Roman" w:cs="Times New Roman"/>
          <w:iCs/>
          <w:sz w:val="28"/>
          <w:szCs w:val="28"/>
          <w:lang w:eastAsia="es-ES"/>
        </w:rPr>
        <w:t>.</w:t>
      </w:r>
    </w:p>
    <w:p w:rsidR="001351EB" w:rsidRPr="00DB3EEA" w:rsidRDefault="00DB3EEA" w:rsidP="00376DDD">
      <w:pPr>
        <w:pStyle w:val="Prrafodelista"/>
        <w:jc w:val="both"/>
        <w:rPr>
          <w:rFonts w:ascii="Times New Roman" w:hAnsi="Times New Roman" w:cs="Times New Roman"/>
          <w:iCs/>
          <w:sz w:val="28"/>
          <w:szCs w:val="28"/>
          <w:lang w:eastAsia="es-ES"/>
        </w:rPr>
      </w:pPr>
    </w:p>
    <w:p w:rsidR="001351EB" w:rsidRPr="00DB3EEA" w:rsidRDefault="00DB3EEA" w:rsidP="006201BB">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Recuerda qu</w:t>
      </w:r>
      <w:r w:rsidRPr="00DB3EEA">
        <w:rPr>
          <w:rFonts w:ascii="Times New Roman" w:hAnsi="Times New Roman" w:cs="Times New Roman"/>
          <w:iCs/>
          <w:sz w:val="28"/>
          <w:szCs w:val="28"/>
          <w:lang w:eastAsia="es-ES"/>
        </w:rPr>
        <w:t>e, conforme a la técnica de ley marco, al Congreso le corresponde</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“dictar las normas generales, y al presidente de la República la regulación detallada de la política comercial, específicamente de los aranceles y tarifas del régimen de aduanas”</w:t>
      </w:r>
      <w:r w:rsidRPr="00DB3EEA">
        <w:rPr>
          <w:rFonts w:ascii="Times New Roman" w:hAnsi="Times New Roman" w:cs="Times New Roman"/>
          <w:iCs/>
          <w:sz w:val="28"/>
          <w:szCs w:val="28"/>
          <w:lang w:eastAsia="es-ES"/>
        </w:rPr>
        <w:t>.</w:t>
      </w:r>
      <w:r w:rsidRPr="00DB3EEA">
        <w:rPr>
          <w:rStyle w:val="Refdenotaalpie"/>
          <w:rFonts w:ascii="Times New Roman" w:hAnsi="Times New Roman" w:cs="Times New Roman"/>
          <w:iCs/>
          <w:sz w:val="28"/>
          <w:szCs w:val="28"/>
          <w:lang w:eastAsia="es-ES"/>
        </w:rPr>
        <w:footnoteReference w:id="110"/>
      </w:r>
      <w:r w:rsidRPr="00DB3EEA">
        <w:rPr>
          <w:rFonts w:ascii="Times New Roman" w:hAnsi="Times New Roman" w:cs="Times New Roman"/>
          <w:iCs/>
          <w:sz w:val="28"/>
          <w:szCs w:val="28"/>
          <w:lang w:eastAsia="es-ES"/>
        </w:rPr>
        <w:t xml:space="preserve"> </w:t>
      </w:r>
    </w:p>
    <w:p w:rsidR="008A4C47" w:rsidRPr="00DB3EEA" w:rsidRDefault="00DB3EEA" w:rsidP="00376DDD">
      <w:pPr>
        <w:pStyle w:val="Prrafodelista"/>
        <w:jc w:val="both"/>
        <w:rPr>
          <w:rFonts w:ascii="Times New Roman" w:hAnsi="Times New Roman" w:cs="Times New Roman"/>
          <w:iCs/>
          <w:sz w:val="28"/>
          <w:szCs w:val="28"/>
          <w:lang w:eastAsia="es-ES"/>
        </w:rPr>
      </w:pPr>
    </w:p>
    <w:p w:rsidR="008A4C47" w:rsidRPr="00DB3EEA" w:rsidRDefault="00DB3EEA" w:rsidP="006201BB">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Concluy</w:t>
      </w:r>
      <w:r w:rsidRPr="00DB3EEA">
        <w:rPr>
          <w:rFonts w:ascii="Times New Roman" w:hAnsi="Times New Roman" w:cs="Times New Roman"/>
          <w:iCs/>
          <w:sz w:val="28"/>
          <w:szCs w:val="28"/>
          <w:lang w:eastAsia="es-ES"/>
        </w:rPr>
        <w:t>e que “</w:t>
      </w:r>
      <w:r w:rsidRPr="00DB3EEA">
        <w:rPr>
          <w:rFonts w:ascii="Times New Roman" w:hAnsi="Times New Roman" w:cs="Times New Roman"/>
          <w:iCs/>
          <w:sz w:val="28"/>
          <w:szCs w:val="28"/>
          <w:lang w:eastAsia="es-ES"/>
        </w:rPr>
        <w:t xml:space="preserve">el </w:t>
      </w:r>
      <w:r w:rsidRPr="00DB3EEA">
        <w:rPr>
          <w:rFonts w:ascii="Times New Roman" w:hAnsi="Times New Roman" w:cs="Times New Roman"/>
          <w:iCs/>
          <w:sz w:val="28"/>
          <w:szCs w:val="28"/>
          <w:lang w:eastAsia="es-ES"/>
        </w:rPr>
        <w:t>legislador</w:t>
      </w:r>
      <w:r w:rsidRPr="00DB3EEA">
        <w:rPr>
          <w:rFonts w:ascii="Times New Roman" w:hAnsi="Times New Roman" w:cs="Times New Roman"/>
          <w:iCs/>
          <w:sz w:val="28"/>
          <w:szCs w:val="28"/>
          <w:lang w:eastAsia="es-ES"/>
        </w:rPr>
        <w:t xml:space="preserve"> no solo estableció la </w:t>
      </w:r>
      <w:r w:rsidRPr="00DB3EEA">
        <w:rPr>
          <w:rFonts w:ascii="Times New Roman" w:hAnsi="Times New Roman" w:cs="Times New Roman"/>
          <w:iCs/>
          <w:sz w:val="28"/>
          <w:szCs w:val="28"/>
          <w:lang w:eastAsia="es-ES"/>
        </w:rPr>
        <w:t>base</w:t>
      </w:r>
      <w:r w:rsidRPr="00DB3EEA">
        <w:rPr>
          <w:rFonts w:ascii="Times New Roman" w:hAnsi="Times New Roman" w:cs="Times New Roman"/>
          <w:iCs/>
          <w:sz w:val="28"/>
          <w:szCs w:val="28"/>
          <w:lang w:eastAsia="es-ES"/>
        </w:rPr>
        <w:t xml:space="preserve"> gr</w:t>
      </w:r>
      <w:r w:rsidRPr="00DB3EEA">
        <w:rPr>
          <w:rFonts w:ascii="Times New Roman" w:hAnsi="Times New Roman" w:cs="Times New Roman"/>
          <w:iCs/>
          <w:sz w:val="28"/>
          <w:szCs w:val="28"/>
          <w:lang w:eastAsia="es-ES"/>
        </w:rPr>
        <w:t>a</w:t>
      </w:r>
      <w:r w:rsidRPr="00DB3EEA">
        <w:rPr>
          <w:rFonts w:ascii="Times New Roman" w:hAnsi="Times New Roman" w:cs="Times New Roman"/>
          <w:iCs/>
          <w:sz w:val="28"/>
          <w:szCs w:val="28"/>
          <w:lang w:eastAsia="es-ES"/>
        </w:rPr>
        <w:t>vable del I</w:t>
      </w:r>
      <w:r w:rsidRPr="00DB3EEA">
        <w:rPr>
          <w:rFonts w:ascii="Times New Roman" w:hAnsi="Times New Roman" w:cs="Times New Roman"/>
          <w:iCs/>
          <w:sz w:val="28"/>
          <w:szCs w:val="28"/>
          <w:lang w:eastAsia="es-ES"/>
        </w:rPr>
        <w:t>CU</w:t>
      </w:r>
      <w:r w:rsidRPr="00DB3EEA">
        <w:rPr>
          <w:rFonts w:ascii="Times New Roman" w:hAnsi="Times New Roman" w:cs="Times New Roman"/>
          <w:iCs/>
          <w:sz w:val="28"/>
          <w:szCs w:val="28"/>
          <w:lang w:eastAsia="es-ES"/>
        </w:rPr>
        <w:t>I aplicable a los productos importados,</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 xml:space="preserve">atendiendo el </w:t>
      </w:r>
      <w:r w:rsidRPr="00DB3EEA">
        <w:rPr>
          <w:rFonts w:ascii="Times New Roman" w:hAnsi="Times New Roman" w:cs="Times New Roman"/>
          <w:iCs/>
          <w:sz w:val="28"/>
          <w:szCs w:val="28"/>
          <w:lang w:eastAsia="es-ES"/>
        </w:rPr>
        <w:t>hecho generador disp</w:t>
      </w:r>
      <w:r w:rsidRPr="00DB3EEA">
        <w:rPr>
          <w:rFonts w:ascii="Times New Roman" w:hAnsi="Times New Roman" w:cs="Times New Roman"/>
          <w:iCs/>
          <w:sz w:val="28"/>
          <w:szCs w:val="28"/>
          <w:lang w:eastAsia="es-ES"/>
        </w:rPr>
        <w:t>uesto en la misma ley que, para el caso, es la</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importación (artículo 513-6</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 xml:space="preserve">del ETI), sino que, además, adoptó una </w:t>
      </w:r>
      <w:r w:rsidRPr="00DB3EEA">
        <w:rPr>
          <w:rFonts w:ascii="Times New Roman" w:hAnsi="Times New Roman" w:cs="Times New Roman"/>
          <w:iCs/>
          <w:sz w:val="28"/>
          <w:szCs w:val="28"/>
          <w:lang w:eastAsia="es-ES"/>
        </w:rPr>
        <w:t>medida que</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incide en la política come</w:t>
      </w:r>
      <w:r w:rsidRPr="00DB3EEA">
        <w:rPr>
          <w:rFonts w:ascii="Times New Roman" w:hAnsi="Times New Roman" w:cs="Times New Roman"/>
          <w:iCs/>
          <w:sz w:val="28"/>
          <w:szCs w:val="28"/>
          <w:lang w:eastAsia="es-ES"/>
        </w:rPr>
        <w:t>r</w:t>
      </w:r>
      <w:r w:rsidRPr="00DB3EEA">
        <w:rPr>
          <w:rFonts w:ascii="Times New Roman" w:hAnsi="Times New Roman" w:cs="Times New Roman"/>
          <w:iCs/>
          <w:sz w:val="28"/>
          <w:szCs w:val="28"/>
          <w:lang w:eastAsia="es-ES"/>
        </w:rPr>
        <w:t>cial que le corresponde definir al presidente de la</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República</w:t>
      </w:r>
      <w:r w:rsidRPr="00DB3EEA">
        <w:rPr>
          <w:rFonts w:ascii="Times New Roman" w:hAnsi="Times New Roman" w:cs="Times New Roman"/>
          <w:iCs/>
          <w:sz w:val="28"/>
          <w:szCs w:val="28"/>
          <w:lang w:eastAsia="es-ES"/>
        </w:rPr>
        <w:t>”</w:t>
      </w:r>
      <w:r w:rsidRPr="00DB3EEA">
        <w:rPr>
          <w:rStyle w:val="Refdenotaalpie"/>
          <w:rFonts w:ascii="Times New Roman" w:hAnsi="Times New Roman" w:cs="Times New Roman"/>
          <w:iCs/>
          <w:sz w:val="28"/>
          <w:szCs w:val="28"/>
          <w:lang w:eastAsia="es-ES"/>
        </w:rPr>
        <w:footnoteReference w:id="111"/>
      </w:r>
      <w:r w:rsidRPr="00DB3EEA">
        <w:rPr>
          <w:rFonts w:ascii="Times New Roman" w:hAnsi="Times New Roman" w:cs="Times New Roman"/>
          <w:iCs/>
          <w:sz w:val="28"/>
          <w:szCs w:val="28"/>
          <w:lang w:eastAsia="es-ES"/>
        </w:rPr>
        <w:t>.</w:t>
      </w:r>
      <w:r w:rsidRPr="00DB3EEA">
        <w:rPr>
          <w:rFonts w:ascii="Times New Roman" w:hAnsi="Times New Roman" w:cs="Times New Roman"/>
          <w:iCs/>
          <w:sz w:val="28"/>
          <w:szCs w:val="28"/>
          <w:lang w:eastAsia="es-ES"/>
        </w:rPr>
        <w:t xml:space="preserve"> </w:t>
      </w:r>
      <w:r w:rsidRPr="00DB3EEA">
        <w:rPr>
          <w:rFonts w:ascii="Times New Roman" w:hAnsi="Times New Roman" w:cs="Times New Roman"/>
          <w:iCs/>
          <w:sz w:val="28"/>
          <w:szCs w:val="28"/>
          <w:lang w:eastAsia="es-ES"/>
        </w:rPr>
        <w:t xml:space="preserve">Considera que ello podría generar un obstáculo al comercio internacional e incidir en las normas que integran el bloque de constitucionalidad en sentido </w:t>
      </w:r>
      <w:r w:rsidRPr="00DB3EEA">
        <w:rPr>
          <w:rFonts w:ascii="Times New Roman" w:hAnsi="Times New Roman" w:cs="Times New Roman"/>
          <w:iCs/>
          <w:sz w:val="28"/>
          <w:szCs w:val="28"/>
          <w:lang w:eastAsia="es-ES"/>
        </w:rPr>
        <w:t>lato</w:t>
      </w:r>
      <w:r w:rsidRPr="00DB3EEA">
        <w:rPr>
          <w:rFonts w:ascii="Times New Roman" w:hAnsi="Times New Roman" w:cs="Times New Roman"/>
          <w:iCs/>
          <w:sz w:val="28"/>
          <w:szCs w:val="28"/>
          <w:lang w:eastAsia="es-ES"/>
        </w:rPr>
        <w:t xml:space="preserve">. </w:t>
      </w:r>
    </w:p>
    <w:p w:rsidR="00780E06" w:rsidRPr="00DB3EEA" w:rsidRDefault="00DB3EEA" w:rsidP="00376DDD">
      <w:pPr>
        <w:pStyle w:val="Prrafodelista"/>
        <w:jc w:val="both"/>
        <w:rPr>
          <w:rFonts w:ascii="Times New Roman" w:hAnsi="Times New Roman" w:cs="Times New Roman"/>
          <w:iCs/>
          <w:sz w:val="28"/>
          <w:szCs w:val="28"/>
          <w:lang w:eastAsia="es-ES"/>
        </w:rPr>
      </w:pPr>
    </w:p>
    <w:p w:rsidR="009D7B50" w:rsidRPr="00DB3EEA" w:rsidRDefault="00DB3EEA" w:rsidP="006201BB">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hAnsi="Times New Roman" w:cs="Times New Roman"/>
          <w:iCs/>
          <w:sz w:val="28"/>
          <w:szCs w:val="28"/>
          <w:lang w:eastAsia="es-ES"/>
        </w:rPr>
        <w:t xml:space="preserve">En consecuencia, estima que </w:t>
      </w:r>
      <w:r w:rsidRPr="00DB3EEA">
        <w:rPr>
          <w:rFonts w:ascii="Times New Roman" w:hAnsi="Times New Roman" w:cs="Times New Roman"/>
          <w:iCs/>
          <w:sz w:val="28"/>
          <w:szCs w:val="28"/>
          <w:lang w:eastAsia="es-ES"/>
        </w:rPr>
        <w:t>“</w:t>
      </w:r>
      <w:r w:rsidRPr="00DB3EEA">
        <w:rPr>
          <w:rFonts w:ascii="Times New Roman" w:hAnsi="Times New Roman" w:cs="Times New Roman"/>
          <w:iCs/>
          <w:sz w:val="28"/>
          <w:szCs w:val="28"/>
          <w:lang w:eastAsia="es-ES"/>
        </w:rPr>
        <w:t>la demanda está llamada a prosperar, porque la temática ordenada está enlistada en el artículo 150.19 de la Carta Política, y contiene un instrumento de política comercial”</w:t>
      </w:r>
      <w:r w:rsidRPr="00DB3EEA">
        <w:rPr>
          <w:rStyle w:val="Refdenotaalpie"/>
          <w:rFonts w:ascii="Times New Roman" w:hAnsi="Times New Roman" w:cs="Times New Roman"/>
          <w:iCs/>
          <w:sz w:val="28"/>
          <w:szCs w:val="28"/>
          <w:lang w:eastAsia="es-ES"/>
        </w:rPr>
        <w:footnoteReference w:id="112"/>
      </w:r>
      <w:r w:rsidRPr="00DB3EEA">
        <w:rPr>
          <w:rFonts w:ascii="Times New Roman" w:hAnsi="Times New Roman" w:cs="Times New Roman"/>
          <w:sz w:val="28"/>
          <w:szCs w:val="28"/>
        </w:rPr>
        <w:t xml:space="preserve"> </w:t>
      </w:r>
      <w:r w:rsidRPr="00DB3EEA">
        <w:rPr>
          <w:rFonts w:ascii="Times New Roman" w:hAnsi="Times New Roman" w:cs="Times New Roman"/>
          <w:iCs/>
          <w:sz w:val="28"/>
          <w:szCs w:val="28"/>
          <w:lang w:eastAsia="es-ES"/>
        </w:rPr>
        <w:t>, y que la declaratoria de exequibilidad</w:t>
      </w:r>
      <w:r w:rsidRPr="00DB3EEA">
        <w:rPr>
          <w:rFonts w:ascii="Times New Roman" w:hAnsi="Times New Roman" w:cs="Times New Roman"/>
          <w:iCs/>
          <w:sz w:val="28"/>
          <w:szCs w:val="28"/>
          <w:lang w:eastAsia="es-ES"/>
        </w:rPr>
        <w:t xml:space="preserve"> condicionada —excluyendo el valor del IVA de la base gravable— es la medida más adecuada para resolver las vulneraciones identificadas tanto a los principios de igualdad y equidad como a las competencias constitucionales en materia arancelaria.</w:t>
      </w:r>
    </w:p>
    <w:p w:rsidR="00141754" w:rsidRPr="00DB3EEA" w:rsidRDefault="00DB3EEA" w:rsidP="00376DDD">
      <w:pPr>
        <w:pStyle w:val="Prrafodelista"/>
        <w:tabs>
          <w:tab w:val="left" w:pos="426"/>
        </w:tabs>
        <w:ind w:left="0"/>
        <w:jc w:val="both"/>
        <w:rPr>
          <w:rFonts w:ascii="Times New Roman" w:hAnsi="Times New Roman" w:cs="Times New Roman"/>
          <w:iCs/>
          <w:sz w:val="28"/>
          <w:szCs w:val="28"/>
          <w:lang w:eastAsia="es-ES"/>
        </w:rPr>
      </w:pPr>
    </w:p>
    <w:p w:rsidR="006913BC" w:rsidRPr="00DB3EEA" w:rsidRDefault="00DB3EEA" w:rsidP="00276C7F">
      <w:pPr>
        <w:tabs>
          <w:tab w:val="left" w:pos="284"/>
        </w:tabs>
        <w:jc w:val="both"/>
        <w:outlineLvl w:val="0"/>
        <w:rPr>
          <w:rFonts w:ascii="Times New Roman" w:eastAsia="Calibri" w:hAnsi="Times New Roman" w:cs="Times New Roman"/>
          <w:sz w:val="28"/>
          <w:szCs w:val="28"/>
          <w:lang w:eastAsia="es-ES"/>
        </w:rPr>
      </w:pPr>
      <w:r w:rsidRPr="00DB3EEA">
        <w:rPr>
          <w:rFonts w:ascii="Times New Roman" w:eastAsia="Calibri" w:hAnsi="Times New Roman" w:cs="Times New Roman"/>
          <w:b/>
          <w:sz w:val="28"/>
          <w:szCs w:val="28"/>
          <w:lang w:eastAsia="es-ES"/>
        </w:rPr>
        <w:t>II. CONSI</w:t>
      </w:r>
      <w:r w:rsidRPr="00DB3EEA">
        <w:rPr>
          <w:rFonts w:ascii="Times New Roman" w:eastAsia="Calibri" w:hAnsi="Times New Roman" w:cs="Times New Roman"/>
          <w:b/>
          <w:sz w:val="28"/>
          <w:szCs w:val="28"/>
          <w:lang w:eastAsia="es-ES"/>
        </w:rPr>
        <w:t>DERACIONES</w:t>
      </w:r>
    </w:p>
    <w:p w:rsidR="006913BC" w:rsidRPr="00DB3EEA" w:rsidRDefault="00DB3EEA" w:rsidP="00376DDD">
      <w:pPr>
        <w:pStyle w:val="Prrafodelista"/>
        <w:tabs>
          <w:tab w:val="left" w:pos="426"/>
        </w:tabs>
        <w:ind w:left="0"/>
        <w:jc w:val="both"/>
        <w:rPr>
          <w:rFonts w:ascii="Times New Roman" w:hAnsi="Times New Roman" w:cs="Times New Roman"/>
          <w:iCs/>
          <w:sz w:val="28"/>
          <w:szCs w:val="28"/>
          <w:lang w:eastAsia="es-ES"/>
        </w:rPr>
      </w:pPr>
    </w:p>
    <w:p w:rsidR="008A02AA" w:rsidRPr="00DB3EEA" w:rsidRDefault="00DB3EEA" w:rsidP="00FA2572">
      <w:pPr>
        <w:pStyle w:val="Prrafodelista"/>
        <w:numPr>
          <w:ilvl w:val="0"/>
          <w:numId w:val="3"/>
        </w:numPr>
        <w:tabs>
          <w:tab w:val="left" w:pos="284"/>
        </w:tabs>
        <w:ind w:left="0" w:firstLine="0"/>
        <w:jc w:val="both"/>
        <w:outlineLvl w:val="1"/>
        <w:rPr>
          <w:rFonts w:ascii="Times New Roman" w:eastAsia="Calibri" w:hAnsi="Times New Roman" w:cs="Times New Roman"/>
          <w:b/>
          <w:sz w:val="28"/>
          <w:szCs w:val="28"/>
          <w:lang w:eastAsia="es-ES"/>
        </w:rPr>
      </w:pPr>
      <w:r w:rsidRPr="00DB3EEA">
        <w:rPr>
          <w:rFonts w:ascii="Times New Roman" w:eastAsia="Calibri" w:hAnsi="Times New Roman" w:cs="Times New Roman"/>
          <w:b/>
          <w:sz w:val="28"/>
          <w:szCs w:val="28"/>
          <w:lang w:eastAsia="es-ES"/>
        </w:rPr>
        <w:t>Competencia</w:t>
      </w:r>
    </w:p>
    <w:p w:rsidR="008A02AA" w:rsidRPr="00DB3EEA" w:rsidRDefault="00DB3EEA" w:rsidP="00376DDD">
      <w:pPr>
        <w:pStyle w:val="Prrafodelista"/>
        <w:tabs>
          <w:tab w:val="left" w:pos="426"/>
        </w:tabs>
        <w:ind w:left="0"/>
        <w:jc w:val="both"/>
        <w:rPr>
          <w:rFonts w:ascii="Times New Roman" w:eastAsia="Calibri" w:hAnsi="Times New Roman" w:cs="Times New Roman"/>
          <w:b/>
          <w:sz w:val="28"/>
          <w:szCs w:val="28"/>
          <w:lang w:eastAsia="es-ES"/>
        </w:rPr>
      </w:pPr>
    </w:p>
    <w:p w:rsidR="007F37F7" w:rsidRPr="00DB3EEA" w:rsidRDefault="00DB3EEA" w:rsidP="006201BB">
      <w:pPr>
        <w:pStyle w:val="Prrafodelista"/>
        <w:numPr>
          <w:ilvl w:val="0"/>
          <w:numId w:val="1"/>
        </w:numPr>
        <w:tabs>
          <w:tab w:val="left" w:pos="284"/>
        </w:tabs>
        <w:ind w:left="0" w:right="51" w:firstLine="0"/>
        <w:jc w:val="both"/>
        <w:rPr>
          <w:rFonts w:ascii="Times New Roman" w:hAnsi="Times New Roman" w:cs="Times New Roman"/>
          <w:iCs/>
          <w:sz w:val="28"/>
          <w:szCs w:val="28"/>
          <w:lang w:eastAsia="es-ES"/>
        </w:rPr>
      </w:pPr>
      <w:r w:rsidRPr="00DB3EEA">
        <w:rPr>
          <w:rFonts w:ascii="Times New Roman" w:eastAsia="Calibri" w:hAnsi="Times New Roman" w:cs="Times New Roman"/>
          <w:sz w:val="28"/>
          <w:szCs w:val="28"/>
          <w:lang w:eastAsia="es-ES"/>
        </w:rPr>
        <w:t>En virtud de lo dispuesto en el artículo 241</w:t>
      </w:r>
      <w:r w:rsidRPr="00DB3EEA">
        <w:rPr>
          <w:rFonts w:ascii="Times New Roman" w:eastAsia="Calibri" w:hAnsi="Times New Roman" w:cs="Times New Roman"/>
          <w:sz w:val="28"/>
          <w:szCs w:val="28"/>
          <w:lang w:eastAsia="es-ES"/>
        </w:rPr>
        <w:t>.4</w:t>
      </w:r>
      <w:r w:rsidRPr="00DB3EEA">
        <w:rPr>
          <w:rFonts w:ascii="Times New Roman" w:eastAsia="Calibri" w:hAnsi="Times New Roman" w:cs="Times New Roman"/>
          <w:sz w:val="28"/>
          <w:szCs w:val="28"/>
          <w:lang w:eastAsia="es-ES"/>
        </w:rPr>
        <w:t xml:space="preserve"> de la C</w:t>
      </w:r>
      <w:r w:rsidRPr="00DB3EEA">
        <w:rPr>
          <w:rFonts w:ascii="Times New Roman" w:eastAsia="Calibri" w:hAnsi="Times New Roman" w:cs="Times New Roman"/>
          <w:sz w:val="28"/>
          <w:szCs w:val="28"/>
          <w:lang w:eastAsia="es-ES"/>
        </w:rPr>
        <w:t>arta</w:t>
      </w:r>
      <w:r w:rsidRPr="00DB3EEA">
        <w:rPr>
          <w:rFonts w:ascii="Times New Roman" w:eastAsia="Calibri" w:hAnsi="Times New Roman" w:cs="Times New Roman"/>
          <w:sz w:val="28"/>
          <w:szCs w:val="28"/>
          <w:lang w:eastAsia="es-ES"/>
        </w:rPr>
        <w:t xml:space="preserve"> Política, la Corte Constitucional es competente para conocer de esta demanda, pues se trata de una acusación de inconstitucionalidad contra </w:t>
      </w:r>
      <w:r w:rsidRPr="00DB3EEA">
        <w:rPr>
          <w:rFonts w:ascii="Times New Roman" w:eastAsia="Calibri" w:hAnsi="Times New Roman" w:cs="Times New Roman"/>
          <w:sz w:val="28"/>
          <w:szCs w:val="28"/>
          <w:lang w:eastAsia="es-ES"/>
        </w:rPr>
        <w:t>un precepto</w:t>
      </w:r>
      <w:r w:rsidRPr="00DB3EEA">
        <w:rPr>
          <w:rFonts w:ascii="Times New Roman" w:eastAsia="Calibri" w:hAnsi="Times New Roman" w:cs="Times New Roman"/>
          <w:sz w:val="28"/>
          <w:szCs w:val="28"/>
          <w:lang w:eastAsia="es-ES"/>
        </w:rPr>
        <w:t xml:space="preserve"> que forma parte de una ley de la República.</w:t>
      </w:r>
    </w:p>
    <w:p w:rsidR="00930A5C" w:rsidRPr="00DB3EEA" w:rsidRDefault="00DB3EEA" w:rsidP="00FA2572">
      <w:pPr>
        <w:keepNext/>
        <w:keepLines/>
        <w:ind w:left="720"/>
        <w:jc w:val="both"/>
        <w:rPr>
          <w:rFonts w:ascii="Times New Roman" w:eastAsiaTheme="majorEastAsia" w:hAnsi="Times New Roman" w:cs="Times New Roman"/>
          <w:b/>
          <w:bCs/>
          <w:sz w:val="28"/>
          <w:szCs w:val="28"/>
          <w:lang w:eastAsia="en-US"/>
        </w:rPr>
      </w:pPr>
    </w:p>
    <w:p w:rsidR="00930A5C" w:rsidRPr="00DB3EEA" w:rsidRDefault="00DB3EEA" w:rsidP="00FA2572">
      <w:pPr>
        <w:pStyle w:val="Prrafodelista"/>
        <w:keepNext/>
        <w:keepLines/>
        <w:numPr>
          <w:ilvl w:val="0"/>
          <w:numId w:val="3"/>
        </w:numPr>
        <w:ind w:left="357" w:hanging="357"/>
        <w:jc w:val="both"/>
        <w:outlineLvl w:val="1"/>
        <w:rPr>
          <w:rFonts w:ascii="Times New Roman" w:eastAsiaTheme="majorEastAsia" w:hAnsi="Times New Roman" w:cs="Times New Roman"/>
          <w:b/>
          <w:bCs/>
          <w:sz w:val="28"/>
          <w:szCs w:val="28"/>
          <w:lang w:eastAsia="en-US"/>
        </w:rPr>
      </w:pPr>
      <w:r w:rsidRPr="00DB3EEA">
        <w:rPr>
          <w:rFonts w:ascii="Times New Roman" w:eastAsiaTheme="majorEastAsia" w:hAnsi="Times New Roman" w:cs="Times New Roman"/>
          <w:b/>
          <w:bCs/>
          <w:sz w:val="28"/>
          <w:szCs w:val="28"/>
          <w:lang w:eastAsia="en-US"/>
        </w:rPr>
        <w:t>Cuestión previa: aptitud sustantiva de la demanda</w:t>
      </w:r>
    </w:p>
    <w:p w:rsidR="23A565DB" w:rsidRPr="00DB3EEA" w:rsidRDefault="00DB3EEA" w:rsidP="00FA2572">
      <w:pPr>
        <w:pStyle w:val="Prrafodelista"/>
        <w:keepNext/>
        <w:keepLines/>
        <w:ind w:left="357"/>
        <w:jc w:val="both"/>
        <w:rPr>
          <w:rFonts w:ascii="Times New Roman" w:eastAsiaTheme="majorEastAsia" w:hAnsi="Times New Roman" w:cs="Times New Roman"/>
          <w:b/>
          <w:bCs/>
          <w:sz w:val="28"/>
          <w:szCs w:val="28"/>
          <w:lang w:eastAsia="en-US"/>
        </w:rPr>
      </w:pPr>
    </w:p>
    <w:p w:rsidR="00751AE9" w:rsidRPr="00DB3EEA" w:rsidRDefault="00DB3EEA" w:rsidP="006201BB">
      <w:pPr>
        <w:pStyle w:val="Prrafodelista"/>
        <w:numPr>
          <w:ilvl w:val="0"/>
          <w:numId w:val="1"/>
        </w:numPr>
        <w:tabs>
          <w:tab w:val="left" w:pos="284"/>
        </w:tabs>
        <w:ind w:left="0" w:right="51" w:firstLine="0"/>
        <w:jc w:val="both"/>
        <w:rPr>
          <w:rFonts w:ascii="Times New Roman" w:hAnsi="Times New Roman" w:cs="Times New Roman"/>
          <w:position w:val="6"/>
          <w:sz w:val="28"/>
          <w:szCs w:val="28"/>
          <w:lang w:val="es-ES" w:eastAsia="es-ES"/>
        </w:rPr>
      </w:pPr>
      <w:r w:rsidRPr="00DB3EEA">
        <w:rPr>
          <w:rFonts w:ascii="Times New Roman" w:hAnsi="Times New Roman" w:cs="Times New Roman"/>
          <w:sz w:val="28"/>
          <w:szCs w:val="28"/>
        </w:rPr>
        <w:t>De conformidad con las intervenciones recibidas</w:t>
      </w:r>
      <w:r w:rsidRPr="00DB3EEA">
        <w:rPr>
          <w:rStyle w:val="Refdenotaalpie"/>
          <w:rFonts w:ascii="Times New Roman" w:hAnsi="Times New Roman" w:cs="Times New Roman"/>
          <w:sz w:val="28"/>
          <w:szCs w:val="28"/>
        </w:rPr>
        <w:footnoteReference w:id="113"/>
      </w:r>
      <w:r w:rsidRPr="00DB3EEA">
        <w:rPr>
          <w:rFonts w:ascii="Times New Roman" w:hAnsi="Times New Roman" w:cs="Times New Roman"/>
          <w:sz w:val="28"/>
          <w:szCs w:val="28"/>
        </w:rPr>
        <w:t xml:space="preserve">, la Sala Plena observa la </w:t>
      </w:r>
      <w:r w:rsidRPr="00DB3EEA">
        <w:rPr>
          <w:rFonts w:ascii="Times New Roman" w:eastAsia="Calibri" w:hAnsi="Times New Roman" w:cs="Times New Roman"/>
          <w:sz w:val="28"/>
          <w:szCs w:val="28"/>
          <w:lang w:eastAsia="es-ES"/>
        </w:rPr>
        <w:t>necesidad</w:t>
      </w:r>
      <w:r w:rsidRPr="00DB3EEA">
        <w:rPr>
          <w:rFonts w:ascii="Times New Roman" w:hAnsi="Times New Roman" w:cs="Times New Roman"/>
          <w:sz w:val="28"/>
          <w:szCs w:val="28"/>
        </w:rPr>
        <w:t xml:space="preserve"> de revisar nuevamente la aptitud sustantiva de los cargos planteados en la </w:t>
      </w:r>
      <w:r w:rsidRPr="00DB3EEA">
        <w:rPr>
          <w:rFonts w:ascii="Times New Roman" w:eastAsia="Calibri" w:hAnsi="Times New Roman" w:cs="Times New Roman"/>
          <w:sz w:val="28"/>
          <w:szCs w:val="28"/>
          <w:lang w:eastAsia="es-ES"/>
        </w:rPr>
        <w:t>demanda</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 xml:space="preserve">Al respecto, es indispensable resaltar que el artículo 2 del Decreto 2067 de 1991 exige, entre otros requisitos, que los ciudadanos presenten las razones que sustentan la </w:t>
      </w:r>
      <w:r w:rsidRPr="00DB3EEA">
        <w:rPr>
          <w:rFonts w:ascii="Times New Roman" w:hAnsi="Times New Roman" w:cs="Times New Roman"/>
          <w:sz w:val="28"/>
          <w:szCs w:val="28"/>
        </w:rPr>
        <w:t>acusación de inconstitucionalidad</w:t>
      </w:r>
      <w:r w:rsidRPr="00DB3EEA">
        <w:rPr>
          <w:rFonts w:ascii="Times New Roman" w:hAnsi="Times New Roman" w:cs="Times New Roman"/>
          <w:sz w:val="28"/>
          <w:szCs w:val="28"/>
          <w:vertAlign w:val="superscript"/>
        </w:rPr>
        <w:footnoteReference w:id="114"/>
      </w:r>
      <w:r w:rsidRPr="00DB3EEA">
        <w:rPr>
          <w:rFonts w:ascii="Times New Roman" w:hAnsi="Times New Roman" w:cs="Times New Roman"/>
          <w:sz w:val="28"/>
          <w:szCs w:val="28"/>
        </w:rPr>
        <w:t>. Este presupuesto ha sido denominado por la jurisprudencia constitucional “concepto de la violación”</w:t>
      </w:r>
      <w:r w:rsidRPr="00DB3EEA">
        <w:rPr>
          <w:rFonts w:ascii="Times New Roman" w:hAnsi="Times New Roman" w:cs="Times New Roman"/>
          <w:sz w:val="28"/>
          <w:szCs w:val="28"/>
          <w:vertAlign w:val="superscript"/>
        </w:rPr>
        <w:footnoteReference w:id="115"/>
      </w:r>
      <w:r w:rsidRPr="00DB3EEA">
        <w:rPr>
          <w:rFonts w:ascii="Times New Roman" w:hAnsi="Times New Roman" w:cs="Times New Roman"/>
          <w:sz w:val="28"/>
          <w:szCs w:val="28"/>
        </w:rPr>
        <w:t xml:space="preserve"> y exige que la parte demandante exponga argumentos claros, ciertos, pertinentes, específicos y suficientes para sustent</w:t>
      </w:r>
      <w:r w:rsidRPr="00DB3EEA">
        <w:rPr>
          <w:rFonts w:ascii="Times New Roman" w:hAnsi="Times New Roman" w:cs="Times New Roman"/>
          <w:sz w:val="28"/>
          <w:szCs w:val="28"/>
        </w:rPr>
        <w:t xml:space="preserve">ar la demanda de inconstitucionalidad contra una norma jurídica. </w:t>
      </w:r>
      <w:r w:rsidRPr="00DB3EEA">
        <w:rPr>
          <w:rFonts w:ascii="Times New Roman" w:hAnsi="Times New Roman" w:cs="Times New Roman"/>
          <w:sz w:val="28"/>
          <w:szCs w:val="28"/>
          <w:lang w:val="es-ES" w:eastAsia="es-ES"/>
        </w:rPr>
        <w:t>De acuerdo con la</w:t>
      </w:r>
      <w:r w:rsidRPr="00DB3EEA">
        <w:rPr>
          <w:rFonts w:ascii="Times New Roman" w:hAnsi="Times New Roman" w:cs="Times New Roman"/>
          <w:position w:val="6"/>
          <w:sz w:val="28"/>
          <w:szCs w:val="28"/>
          <w:lang w:val="es-ES" w:eastAsia="es-ES"/>
        </w:rPr>
        <w:t xml:space="preserve"> jurisprudencia de esta Corporación</w:t>
      </w:r>
      <w:r w:rsidRPr="00DB3EEA">
        <w:rPr>
          <w:rStyle w:val="Refdenotaalpie"/>
          <w:rFonts w:ascii="Times New Roman" w:hAnsi="Times New Roman" w:cs="Times New Roman"/>
          <w:position w:val="6"/>
          <w:sz w:val="28"/>
          <w:szCs w:val="28"/>
          <w:lang w:val="es-ES" w:eastAsia="es-ES"/>
        </w:rPr>
        <w:footnoteReference w:id="116"/>
      </w:r>
      <w:r w:rsidRPr="00DB3EEA">
        <w:rPr>
          <w:rFonts w:ascii="Times New Roman" w:hAnsi="Times New Roman" w:cs="Times New Roman"/>
          <w:position w:val="6"/>
          <w:sz w:val="28"/>
          <w:szCs w:val="28"/>
          <w:lang w:val="es-ES" w:eastAsia="es-ES"/>
        </w:rPr>
        <w:t>:</w:t>
      </w:r>
    </w:p>
    <w:p w:rsidR="00751AE9" w:rsidRPr="00DB3EEA" w:rsidRDefault="00DB3EEA" w:rsidP="00751AE9">
      <w:pPr>
        <w:pStyle w:val="Prrafodelista"/>
        <w:tabs>
          <w:tab w:val="left" w:pos="426"/>
        </w:tabs>
        <w:ind w:left="0"/>
        <w:jc w:val="both"/>
        <w:rPr>
          <w:rFonts w:ascii="Times New Roman" w:hAnsi="Times New Roman" w:cs="Times New Roman"/>
          <w:position w:val="6"/>
          <w:sz w:val="28"/>
          <w:szCs w:val="28"/>
          <w:lang w:val="es-ES" w:eastAsia="es-ES"/>
        </w:rPr>
      </w:pPr>
    </w:p>
    <w:p w:rsidR="00751AE9" w:rsidRPr="00DB3EEA" w:rsidRDefault="00DB3EEA" w:rsidP="00751AE9">
      <w:pPr>
        <w:pStyle w:val="Prrafodelista"/>
        <w:numPr>
          <w:ilvl w:val="0"/>
          <w:numId w:val="4"/>
        </w:numPr>
        <w:tabs>
          <w:tab w:val="left" w:pos="426"/>
        </w:tabs>
        <w:jc w:val="both"/>
        <w:rPr>
          <w:rFonts w:ascii="Times New Roman" w:hAnsi="Times New Roman" w:cs="Times New Roman"/>
          <w:position w:val="6"/>
          <w:sz w:val="28"/>
          <w:szCs w:val="28"/>
          <w:lang w:val="es-ES" w:eastAsia="es-ES"/>
        </w:rPr>
      </w:pPr>
      <w:r w:rsidRPr="00DB3EEA">
        <w:rPr>
          <w:rFonts w:ascii="Times New Roman" w:hAnsi="Times New Roman" w:cs="Times New Roman"/>
          <w:position w:val="6"/>
          <w:sz w:val="28"/>
          <w:szCs w:val="28"/>
          <w:lang w:val="es-ES" w:eastAsia="es-ES"/>
        </w:rPr>
        <w:t xml:space="preserve">la </w:t>
      </w:r>
      <w:r w:rsidRPr="00DB3EEA">
        <w:rPr>
          <w:rFonts w:ascii="Times New Roman" w:hAnsi="Times New Roman" w:cs="Times New Roman"/>
          <w:i/>
          <w:iCs/>
          <w:position w:val="6"/>
          <w:sz w:val="28"/>
          <w:szCs w:val="28"/>
          <w:lang w:val="es-ES" w:eastAsia="es-ES"/>
        </w:rPr>
        <w:t>claridad</w:t>
      </w:r>
      <w:r w:rsidRPr="00DB3EEA">
        <w:rPr>
          <w:rFonts w:ascii="Times New Roman" w:hAnsi="Times New Roman" w:cs="Times New Roman"/>
          <w:position w:val="6"/>
          <w:sz w:val="28"/>
          <w:szCs w:val="28"/>
          <w:lang w:val="es-ES" w:eastAsia="es-ES"/>
        </w:rPr>
        <w:t xml:space="preserve"> se refiere a la existencia de un hilo conductor en la argumentación que le permita al lector la comprensión del contenido de la demanda</w:t>
      </w:r>
      <w:r w:rsidRPr="00DB3EEA">
        <w:rPr>
          <w:rFonts w:ascii="Times New Roman" w:hAnsi="Times New Roman" w:cs="Times New Roman"/>
          <w:position w:val="6"/>
          <w:sz w:val="28"/>
          <w:szCs w:val="28"/>
          <w:vertAlign w:val="superscript"/>
          <w:lang w:val="es-ES" w:eastAsia="es-ES"/>
        </w:rPr>
        <w:footnoteReference w:id="117"/>
      </w:r>
      <w:r w:rsidRPr="00DB3EEA">
        <w:rPr>
          <w:rFonts w:ascii="Times New Roman" w:hAnsi="Times New Roman" w:cs="Times New Roman"/>
          <w:position w:val="6"/>
          <w:sz w:val="28"/>
          <w:szCs w:val="28"/>
          <w:lang w:val="es-ES" w:eastAsia="es-ES"/>
        </w:rPr>
        <w:t>;</w:t>
      </w:r>
    </w:p>
    <w:p w:rsidR="00751AE9" w:rsidRPr="00DB3EEA" w:rsidRDefault="00DB3EEA" w:rsidP="00751AE9">
      <w:pPr>
        <w:pStyle w:val="Prrafodelista"/>
        <w:tabs>
          <w:tab w:val="left" w:pos="426"/>
        </w:tabs>
        <w:ind w:left="0"/>
        <w:jc w:val="both"/>
        <w:rPr>
          <w:rFonts w:ascii="Times New Roman" w:hAnsi="Times New Roman" w:cs="Times New Roman"/>
          <w:position w:val="6"/>
          <w:sz w:val="28"/>
          <w:szCs w:val="28"/>
          <w:lang w:val="es-ES" w:eastAsia="es-ES"/>
        </w:rPr>
      </w:pPr>
    </w:p>
    <w:p w:rsidR="00751AE9" w:rsidRPr="00DB3EEA" w:rsidRDefault="00DB3EEA" w:rsidP="00751AE9">
      <w:pPr>
        <w:pStyle w:val="Prrafodelista"/>
        <w:numPr>
          <w:ilvl w:val="0"/>
          <w:numId w:val="4"/>
        </w:numPr>
        <w:tabs>
          <w:tab w:val="left" w:pos="426"/>
        </w:tabs>
        <w:jc w:val="both"/>
        <w:rPr>
          <w:rFonts w:ascii="Times New Roman" w:hAnsi="Times New Roman" w:cs="Times New Roman"/>
          <w:position w:val="6"/>
          <w:sz w:val="28"/>
          <w:szCs w:val="28"/>
          <w:lang w:val="es-ES" w:eastAsia="es-ES"/>
        </w:rPr>
      </w:pPr>
      <w:r w:rsidRPr="00DB3EEA">
        <w:rPr>
          <w:rFonts w:ascii="Times New Roman" w:hAnsi="Times New Roman" w:cs="Times New Roman"/>
          <w:position w:val="6"/>
          <w:sz w:val="28"/>
          <w:szCs w:val="28"/>
          <w:lang w:val="es-ES" w:eastAsia="es-ES"/>
        </w:rPr>
        <w:t xml:space="preserve">la exigencia de </w:t>
      </w:r>
      <w:r w:rsidRPr="00DB3EEA">
        <w:rPr>
          <w:rFonts w:ascii="Times New Roman" w:hAnsi="Times New Roman" w:cs="Times New Roman"/>
          <w:i/>
          <w:iCs/>
          <w:position w:val="6"/>
          <w:sz w:val="28"/>
          <w:szCs w:val="28"/>
          <w:lang w:val="es-ES" w:eastAsia="es-ES"/>
        </w:rPr>
        <w:t>certeza</w:t>
      </w:r>
      <w:r w:rsidRPr="00DB3EEA">
        <w:rPr>
          <w:rFonts w:ascii="Times New Roman" w:hAnsi="Times New Roman" w:cs="Times New Roman"/>
          <w:position w:val="6"/>
          <w:sz w:val="28"/>
          <w:szCs w:val="28"/>
          <w:lang w:val="es-ES" w:eastAsia="es-ES"/>
        </w:rPr>
        <w:t xml:space="preserve"> implica que el actor formula cargos contra una norma real, existente y que tenga conexión co</w:t>
      </w:r>
      <w:r w:rsidRPr="00DB3EEA">
        <w:rPr>
          <w:rFonts w:ascii="Times New Roman" w:hAnsi="Times New Roman" w:cs="Times New Roman"/>
          <w:position w:val="6"/>
          <w:sz w:val="28"/>
          <w:szCs w:val="28"/>
          <w:lang w:val="es-ES" w:eastAsia="es-ES"/>
        </w:rPr>
        <w:t>n la disposición acusada. De manera que se excluyen las demandas que se basan en las simples deducciones del demandante sobre el contenido normativo acusado y su alcance</w:t>
      </w:r>
      <w:r w:rsidRPr="00DB3EEA">
        <w:rPr>
          <w:rFonts w:ascii="Times New Roman" w:hAnsi="Times New Roman" w:cs="Times New Roman"/>
          <w:position w:val="6"/>
          <w:sz w:val="28"/>
          <w:szCs w:val="28"/>
          <w:vertAlign w:val="superscript"/>
          <w:lang w:val="es-ES" w:eastAsia="es-ES"/>
        </w:rPr>
        <w:footnoteReference w:id="118"/>
      </w:r>
      <w:r w:rsidRPr="00DB3EEA">
        <w:rPr>
          <w:rFonts w:ascii="Times New Roman" w:hAnsi="Times New Roman" w:cs="Times New Roman"/>
          <w:position w:val="6"/>
          <w:sz w:val="28"/>
          <w:szCs w:val="28"/>
          <w:lang w:val="es-ES" w:eastAsia="es-ES"/>
        </w:rPr>
        <w:t>;</w:t>
      </w:r>
    </w:p>
    <w:p w:rsidR="00751AE9" w:rsidRPr="00DB3EEA" w:rsidRDefault="00DB3EEA" w:rsidP="00751AE9">
      <w:pPr>
        <w:pStyle w:val="Prrafodelista"/>
        <w:rPr>
          <w:rFonts w:ascii="Times New Roman" w:hAnsi="Times New Roman" w:cs="Times New Roman"/>
          <w:position w:val="6"/>
          <w:sz w:val="28"/>
          <w:szCs w:val="28"/>
          <w:lang w:val="es-ES" w:eastAsia="es-ES"/>
        </w:rPr>
      </w:pPr>
    </w:p>
    <w:p w:rsidR="00751AE9" w:rsidRPr="00DB3EEA" w:rsidRDefault="00DB3EEA" w:rsidP="00751AE9">
      <w:pPr>
        <w:pStyle w:val="Prrafodelista"/>
        <w:numPr>
          <w:ilvl w:val="0"/>
          <w:numId w:val="4"/>
        </w:numPr>
        <w:tabs>
          <w:tab w:val="left" w:pos="426"/>
        </w:tabs>
        <w:jc w:val="both"/>
        <w:rPr>
          <w:rFonts w:ascii="Times New Roman" w:hAnsi="Times New Roman" w:cs="Times New Roman"/>
          <w:position w:val="6"/>
          <w:sz w:val="28"/>
          <w:szCs w:val="28"/>
          <w:lang w:val="es-ES" w:eastAsia="es-ES"/>
        </w:rPr>
      </w:pPr>
      <w:r w:rsidRPr="00DB3EEA">
        <w:rPr>
          <w:rFonts w:ascii="Times New Roman" w:hAnsi="Times New Roman" w:cs="Times New Roman"/>
          <w:position w:val="6"/>
          <w:sz w:val="28"/>
          <w:szCs w:val="28"/>
          <w:lang w:val="es-ES" w:eastAsia="es-ES"/>
        </w:rPr>
        <w:t xml:space="preserve">el requisito de </w:t>
      </w:r>
      <w:r w:rsidRPr="00DB3EEA">
        <w:rPr>
          <w:rFonts w:ascii="Times New Roman" w:hAnsi="Times New Roman" w:cs="Times New Roman"/>
          <w:i/>
          <w:iCs/>
          <w:position w:val="6"/>
          <w:sz w:val="28"/>
          <w:szCs w:val="28"/>
          <w:lang w:val="es-ES" w:eastAsia="es-ES"/>
        </w:rPr>
        <w:t>especificidad</w:t>
      </w:r>
      <w:r w:rsidRPr="00DB3EEA">
        <w:rPr>
          <w:rFonts w:ascii="Times New Roman" w:hAnsi="Times New Roman" w:cs="Times New Roman"/>
          <w:position w:val="6"/>
          <w:sz w:val="28"/>
          <w:szCs w:val="28"/>
          <w:lang w:val="es-ES" w:eastAsia="es-ES"/>
        </w:rPr>
        <w:t xml:space="preserve"> alude a que el demandante debe proponer un cargo cons</w:t>
      </w:r>
      <w:r w:rsidRPr="00DB3EEA">
        <w:rPr>
          <w:rFonts w:ascii="Times New Roman" w:hAnsi="Times New Roman" w:cs="Times New Roman"/>
          <w:position w:val="6"/>
          <w:sz w:val="28"/>
          <w:szCs w:val="28"/>
          <w:lang w:val="es-ES" w:eastAsia="es-ES"/>
        </w:rPr>
        <w:t>titucional concreto y directamente relacionado con las disposiciones que se acusan. Esto significa que no se admiten razonamientos vagos o indeterminados, que no confrontan la disposición cuestionada con el parámetro de constitucionalidad invocado</w:t>
      </w:r>
      <w:r w:rsidRPr="00DB3EEA">
        <w:rPr>
          <w:rFonts w:ascii="Times New Roman" w:hAnsi="Times New Roman" w:cs="Times New Roman"/>
          <w:position w:val="6"/>
          <w:sz w:val="28"/>
          <w:szCs w:val="28"/>
          <w:vertAlign w:val="superscript"/>
          <w:lang w:val="es-ES" w:eastAsia="es-ES"/>
        </w:rPr>
        <w:footnoteReference w:id="119"/>
      </w:r>
      <w:r w:rsidRPr="00DB3EEA">
        <w:rPr>
          <w:rFonts w:ascii="Times New Roman" w:hAnsi="Times New Roman" w:cs="Times New Roman"/>
          <w:position w:val="6"/>
          <w:sz w:val="28"/>
          <w:szCs w:val="28"/>
          <w:lang w:val="es-ES" w:eastAsia="es-ES"/>
        </w:rPr>
        <w:t>;</w:t>
      </w:r>
    </w:p>
    <w:p w:rsidR="00751AE9" w:rsidRPr="00DB3EEA" w:rsidRDefault="00DB3EEA" w:rsidP="00751AE9">
      <w:pPr>
        <w:pStyle w:val="Prrafodelista"/>
        <w:rPr>
          <w:rFonts w:ascii="Times New Roman" w:hAnsi="Times New Roman" w:cs="Times New Roman"/>
          <w:position w:val="6"/>
          <w:sz w:val="28"/>
          <w:szCs w:val="28"/>
          <w:lang w:val="es-ES" w:eastAsia="es-ES"/>
        </w:rPr>
      </w:pPr>
    </w:p>
    <w:p w:rsidR="00751AE9" w:rsidRPr="00DB3EEA" w:rsidRDefault="00DB3EEA" w:rsidP="00751AE9">
      <w:pPr>
        <w:pStyle w:val="Prrafodelista"/>
        <w:numPr>
          <w:ilvl w:val="0"/>
          <w:numId w:val="4"/>
        </w:numPr>
        <w:tabs>
          <w:tab w:val="left" w:pos="426"/>
        </w:tabs>
        <w:jc w:val="both"/>
        <w:rPr>
          <w:rFonts w:ascii="Times New Roman" w:hAnsi="Times New Roman" w:cs="Times New Roman"/>
          <w:position w:val="6"/>
          <w:sz w:val="28"/>
          <w:szCs w:val="28"/>
          <w:lang w:val="es-ES" w:eastAsia="es-ES"/>
        </w:rPr>
      </w:pPr>
      <w:r w:rsidRPr="00DB3EEA">
        <w:rPr>
          <w:rFonts w:ascii="Times New Roman" w:hAnsi="Times New Roman" w:cs="Times New Roman"/>
          <w:position w:val="6"/>
          <w:sz w:val="28"/>
          <w:szCs w:val="28"/>
          <w:lang w:val="es-ES" w:eastAsia="es-ES"/>
        </w:rPr>
        <w:t xml:space="preserve">la </w:t>
      </w:r>
      <w:r w:rsidRPr="00DB3EEA">
        <w:rPr>
          <w:rFonts w:ascii="Times New Roman" w:hAnsi="Times New Roman" w:cs="Times New Roman"/>
          <w:i/>
          <w:iCs/>
          <w:position w:val="6"/>
          <w:sz w:val="28"/>
          <w:szCs w:val="28"/>
          <w:lang w:val="es-ES" w:eastAsia="es-ES"/>
        </w:rPr>
        <w:t>pe</w:t>
      </w:r>
      <w:r w:rsidRPr="00DB3EEA">
        <w:rPr>
          <w:rFonts w:ascii="Times New Roman" w:hAnsi="Times New Roman" w:cs="Times New Roman"/>
          <w:i/>
          <w:iCs/>
          <w:position w:val="6"/>
          <w:sz w:val="28"/>
          <w:szCs w:val="28"/>
          <w:lang w:val="es-ES" w:eastAsia="es-ES"/>
        </w:rPr>
        <w:t>rtinencia</w:t>
      </w:r>
      <w:r w:rsidRPr="00DB3EEA">
        <w:rPr>
          <w:rFonts w:ascii="Times New Roman" w:hAnsi="Times New Roman" w:cs="Times New Roman"/>
          <w:position w:val="6"/>
          <w:sz w:val="28"/>
          <w:szCs w:val="28"/>
          <w:lang w:val="es-ES" w:eastAsia="es-ES"/>
        </w:rPr>
        <w:t xml:space="preserve"> supone que los reproches planteados se fundamenten en cuestionamientos de naturaleza constitucional. En consecuencia, los argumentos que sustentan las censuras no deben ser de orden legal o doctrinario ni expresar simples opiniones o puntos de vi</w:t>
      </w:r>
      <w:r w:rsidRPr="00DB3EEA">
        <w:rPr>
          <w:rFonts w:ascii="Times New Roman" w:hAnsi="Times New Roman" w:cs="Times New Roman"/>
          <w:position w:val="6"/>
          <w:sz w:val="28"/>
          <w:szCs w:val="28"/>
          <w:lang w:val="es-ES" w:eastAsia="es-ES"/>
        </w:rPr>
        <w:t>sta subjetivos del accionante</w:t>
      </w:r>
      <w:r w:rsidRPr="00DB3EEA">
        <w:rPr>
          <w:rFonts w:ascii="Times New Roman" w:hAnsi="Times New Roman" w:cs="Times New Roman"/>
          <w:position w:val="6"/>
          <w:sz w:val="28"/>
          <w:szCs w:val="28"/>
          <w:vertAlign w:val="superscript"/>
          <w:lang w:val="es-ES" w:eastAsia="es-ES"/>
        </w:rPr>
        <w:footnoteReference w:id="120"/>
      </w:r>
      <w:r w:rsidRPr="00DB3EEA">
        <w:rPr>
          <w:rFonts w:ascii="Times New Roman" w:hAnsi="Times New Roman" w:cs="Times New Roman"/>
          <w:position w:val="6"/>
          <w:sz w:val="28"/>
          <w:szCs w:val="28"/>
          <w:lang w:val="es-ES" w:eastAsia="es-ES"/>
        </w:rPr>
        <w:t>;</w:t>
      </w:r>
    </w:p>
    <w:p w:rsidR="00751AE9" w:rsidRPr="00DB3EEA" w:rsidRDefault="00DB3EEA" w:rsidP="00751AE9">
      <w:pPr>
        <w:pStyle w:val="Prrafodelista"/>
        <w:rPr>
          <w:rFonts w:ascii="Times New Roman" w:hAnsi="Times New Roman" w:cs="Times New Roman"/>
          <w:position w:val="6"/>
          <w:sz w:val="28"/>
          <w:szCs w:val="28"/>
          <w:lang w:val="es-ES" w:eastAsia="es-ES"/>
        </w:rPr>
      </w:pPr>
    </w:p>
    <w:p w:rsidR="00751AE9" w:rsidRPr="00DB3EEA" w:rsidRDefault="00DB3EEA" w:rsidP="00751AE9">
      <w:pPr>
        <w:pStyle w:val="Prrafodelista"/>
        <w:numPr>
          <w:ilvl w:val="0"/>
          <w:numId w:val="4"/>
        </w:numPr>
        <w:tabs>
          <w:tab w:val="left" w:pos="426"/>
        </w:tabs>
        <w:jc w:val="both"/>
        <w:rPr>
          <w:rFonts w:ascii="Times New Roman" w:hAnsi="Times New Roman" w:cs="Times New Roman"/>
          <w:position w:val="6"/>
          <w:sz w:val="28"/>
          <w:szCs w:val="28"/>
          <w:lang w:val="es-ES" w:eastAsia="es-ES"/>
        </w:rPr>
      </w:pPr>
      <w:r w:rsidRPr="00DB3EEA">
        <w:rPr>
          <w:rFonts w:ascii="Times New Roman" w:hAnsi="Times New Roman" w:cs="Times New Roman"/>
          <w:position w:val="6"/>
          <w:sz w:val="28"/>
          <w:szCs w:val="28"/>
          <w:lang w:val="es-ES" w:eastAsia="es-ES"/>
        </w:rPr>
        <w:t xml:space="preserve">finalmente, el criterio de </w:t>
      </w:r>
      <w:r w:rsidRPr="00DB3EEA">
        <w:rPr>
          <w:rFonts w:ascii="Times New Roman" w:hAnsi="Times New Roman" w:cs="Times New Roman"/>
          <w:i/>
          <w:iCs/>
          <w:position w:val="6"/>
          <w:sz w:val="28"/>
          <w:szCs w:val="28"/>
          <w:lang w:val="es-ES" w:eastAsia="es-ES"/>
        </w:rPr>
        <w:t>suficiencia</w:t>
      </w:r>
      <w:r w:rsidRPr="00DB3EEA">
        <w:rPr>
          <w:rFonts w:ascii="Times New Roman" w:hAnsi="Times New Roman" w:cs="Times New Roman"/>
          <w:position w:val="6"/>
          <w:sz w:val="28"/>
          <w:szCs w:val="28"/>
          <w:lang w:val="es-ES" w:eastAsia="es-ES"/>
        </w:rPr>
        <w:t xml:space="preserve"> guarda relación con la exposición de los elementos de juicio necesarios para llevar a cabo el control de constitucionalidad, de manera que la demanda tenga un alcance persuasivo</w:t>
      </w:r>
      <w:r w:rsidRPr="00DB3EEA">
        <w:rPr>
          <w:rFonts w:ascii="Times New Roman" w:hAnsi="Times New Roman" w:cs="Times New Roman"/>
          <w:position w:val="6"/>
          <w:sz w:val="28"/>
          <w:szCs w:val="28"/>
          <w:vertAlign w:val="superscript"/>
          <w:lang w:val="es-ES" w:eastAsia="es-ES"/>
        </w:rPr>
        <w:footnoteReference w:id="121"/>
      </w:r>
      <w:r w:rsidRPr="00DB3EEA">
        <w:rPr>
          <w:rFonts w:ascii="Times New Roman" w:hAnsi="Times New Roman" w:cs="Times New Roman"/>
          <w:position w:val="6"/>
          <w:sz w:val="28"/>
          <w:szCs w:val="28"/>
          <w:lang w:val="es-ES" w:eastAsia="es-ES"/>
        </w:rPr>
        <w:t>. Adem</w:t>
      </w:r>
      <w:r w:rsidRPr="00DB3EEA">
        <w:rPr>
          <w:rFonts w:ascii="Times New Roman" w:hAnsi="Times New Roman" w:cs="Times New Roman"/>
          <w:position w:val="6"/>
          <w:sz w:val="28"/>
          <w:szCs w:val="28"/>
          <w:lang w:val="es-ES" w:eastAsia="es-ES"/>
        </w:rPr>
        <w:t>ás, se refiere a la proposición de argumentos que despierten una duda mínima sobre la constitucionalidad de la disposición atacada</w:t>
      </w:r>
      <w:r w:rsidRPr="00DB3EEA">
        <w:rPr>
          <w:rStyle w:val="Refdenotaalpie"/>
          <w:rFonts w:ascii="Times New Roman" w:hAnsi="Times New Roman" w:cs="Times New Roman"/>
          <w:position w:val="6"/>
          <w:sz w:val="28"/>
          <w:szCs w:val="28"/>
          <w:lang w:val="es-ES" w:eastAsia="es-ES"/>
        </w:rPr>
        <w:footnoteReference w:id="122"/>
      </w:r>
      <w:r w:rsidRPr="00DB3EEA">
        <w:rPr>
          <w:rFonts w:ascii="Times New Roman" w:hAnsi="Times New Roman" w:cs="Times New Roman"/>
          <w:position w:val="6"/>
          <w:sz w:val="28"/>
          <w:szCs w:val="28"/>
          <w:lang w:val="es-ES" w:eastAsia="es-ES"/>
        </w:rPr>
        <w:t>.</w:t>
      </w:r>
    </w:p>
    <w:p w:rsidR="00751AE9" w:rsidRPr="00DB3EEA" w:rsidRDefault="00DB3EEA" w:rsidP="00751AE9">
      <w:pPr>
        <w:pStyle w:val="Prrafodelista"/>
        <w:tabs>
          <w:tab w:val="left" w:pos="426"/>
        </w:tabs>
        <w:ind w:left="0"/>
        <w:jc w:val="both"/>
        <w:rPr>
          <w:rFonts w:ascii="Times New Roman" w:hAnsi="Times New Roman" w:cs="Times New Roman"/>
          <w:position w:val="6"/>
          <w:sz w:val="28"/>
          <w:szCs w:val="28"/>
          <w:lang w:val="es-ES" w:eastAsia="es-ES"/>
        </w:rPr>
      </w:pPr>
    </w:p>
    <w:p w:rsidR="00257D25" w:rsidRPr="00DB3EEA" w:rsidRDefault="00DB3EEA" w:rsidP="006201BB">
      <w:pPr>
        <w:pStyle w:val="Prrafodelista"/>
        <w:numPr>
          <w:ilvl w:val="0"/>
          <w:numId w:val="1"/>
        </w:numPr>
        <w:tabs>
          <w:tab w:val="left" w:pos="284"/>
        </w:tabs>
        <w:ind w:left="0" w:right="51" w:firstLine="0"/>
        <w:jc w:val="both"/>
        <w:rPr>
          <w:rFonts w:ascii="Times New Roman" w:eastAsia="Calibri" w:hAnsi="Times New Roman" w:cs="Times New Roman"/>
          <w:bCs/>
          <w:sz w:val="28"/>
          <w:szCs w:val="28"/>
          <w:lang w:eastAsia="es-ES"/>
        </w:rPr>
      </w:pPr>
      <w:r w:rsidRPr="00DB3EEA">
        <w:rPr>
          <w:rFonts w:ascii="Times New Roman" w:eastAsia="Calibri" w:hAnsi="Times New Roman" w:cs="Times New Roman"/>
          <w:bCs/>
          <w:sz w:val="28"/>
          <w:szCs w:val="28"/>
          <w:lang w:eastAsia="es-ES"/>
        </w:rPr>
        <w:t xml:space="preserve">Por otra parte, esta corporación ha señalado que los cargos por violación del derecho a la igualdad exige identificar “i) </w:t>
      </w:r>
      <w:r w:rsidRPr="00DB3EEA">
        <w:rPr>
          <w:rFonts w:ascii="Times New Roman" w:eastAsia="Calibri" w:hAnsi="Times New Roman" w:cs="Times New Roman"/>
          <w:bCs/>
          <w:sz w:val="28"/>
          <w:szCs w:val="28"/>
          <w:lang w:eastAsia="es-ES"/>
        </w:rPr>
        <w:t>los términos de comparación –personas, elementos, hechos o situaciones comparables- sobre los que la norma acusada establece una diferencia y las razones de su similitud; ii) la explicación, con argumentos de naturaleza constitucional, de cuál es el presun</w:t>
      </w:r>
      <w:r w:rsidRPr="00DB3EEA">
        <w:rPr>
          <w:rFonts w:ascii="Times New Roman" w:eastAsia="Calibri" w:hAnsi="Times New Roman" w:cs="Times New Roman"/>
          <w:bCs/>
          <w:sz w:val="28"/>
          <w:szCs w:val="28"/>
          <w:lang w:eastAsia="es-ES"/>
        </w:rPr>
        <w:t>to trato discriminatorio introducido por las disposiciones acusadas y iii) la exposición de la razón precisa por la que no se justifica constitucionalmente dicho tratamiento distinto, es decir por qué es desproporcionado o irrazonable”.</w:t>
      </w:r>
    </w:p>
    <w:p w:rsidR="00257D25" w:rsidRPr="00DB3EEA" w:rsidRDefault="00DB3EEA" w:rsidP="00257D25">
      <w:pPr>
        <w:pStyle w:val="Prrafodelista"/>
        <w:tabs>
          <w:tab w:val="left" w:pos="426"/>
        </w:tabs>
        <w:ind w:left="0"/>
        <w:jc w:val="both"/>
        <w:rPr>
          <w:rFonts w:ascii="Times New Roman" w:eastAsia="Calibri" w:hAnsi="Times New Roman" w:cs="Times New Roman"/>
          <w:bCs/>
          <w:sz w:val="28"/>
          <w:szCs w:val="28"/>
          <w:lang w:eastAsia="es-ES"/>
        </w:rPr>
      </w:pPr>
    </w:p>
    <w:p w:rsidR="00751AE9" w:rsidRPr="00DB3EEA" w:rsidRDefault="00DB3EEA" w:rsidP="00751AE9">
      <w:pPr>
        <w:pStyle w:val="Prrafodelista"/>
        <w:numPr>
          <w:ilvl w:val="0"/>
          <w:numId w:val="1"/>
        </w:numPr>
        <w:tabs>
          <w:tab w:val="left" w:pos="426"/>
        </w:tabs>
        <w:ind w:left="0" w:firstLine="0"/>
        <w:jc w:val="both"/>
        <w:rPr>
          <w:rFonts w:ascii="Times New Roman" w:eastAsia="Calibri" w:hAnsi="Times New Roman" w:cs="Times New Roman"/>
          <w:sz w:val="28"/>
          <w:szCs w:val="28"/>
          <w:lang w:eastAsia="es-ES"/>
        </w:rPr>
      </w:pPr>
      <w:r w:rsidRPr="00DB3EEA">
        <w:rPr>
          <w:rFonts w:ascii="Times New Roman" w:hAnsi="Times New Roman" w:cs="Times New Roman"/>
          <w:sz w:val="28"/>
          <w:szCs w:val="28"/>
        </w:rPr>
        <w:t>En el caso concreto, la Sala Plena estima que el cargo por violación del principio de igualdad y el referente a la imposición encubierta de un arancel por vía legislativa (artículos 150.19 y 189.25 superiores) acreditan los requisitos necesarios para que l</w:t>
      </w:r>
      <w:r w:rsidRPr="00DB3EEA">
        <w:rPr>
          <w:rFonts w:ascii="Times New Roman" w:hAnsi="Times New Roman" w:cs="Times New Roman"/>
          <w:sz w:val="28"/>
          <w:szCs w:val="28"/>
        </w:rPr>
        <w:t xml:space="preserve">a Corte emita un pronunciamiento de fondo. </w:t>
      </w:r>
    </w:p>
    <w:p w:rsidR="00D75CF9" w:rsidRPr="00DB3EEA" w:rsidRDefault="00DB3EEA" w:rsidP="00D75CF9">
      <w:pPr>
        <w:pStyle w:val="Prrafodelista"/>
        <w:rPr>
          <w:rFonts w:ascii="Times New Roman" w:eastAsia="Calibri" w:hAnsi="Times New Roman" w:cs="Times New Roman"/>
          <w:sz w:val="28"/>
          <w:szCs w:val="28"/>
          <w:lang w:eastAsia="es-ES"/>
        </w:rPr>
      </w:pPr>
    </w:p>
    <w:p w:rsidR="00E81B83" w:rsidRPr="00DB3EEA" w:rsidRDefault="00DB3EEA" w:rsidP="00E81B83">
      <w:pPr>
        <w:pStyle w:val="Prrafodelista"/>
        <w:numPr>
          <w:ilvl w:val="0"/>
          <w:numId w:val="1"/>
        </w:numPr>
        <w:tabs>
          <w:tab w:val="left" w:pos="426"/>
        </w:tabs>
        <w:ind w:left="0" w:firstLine="0"/>
        <w:jc w:val="both"/>
        <w:rPr>
          <w:rFonts w:ascii="Times New Roman" w:eastAsia="Calibri" w:hAnsi="Times New Roman" w:cs="Times New Roman"/>
          <w:sz w:val="28"/>
          <w:szCs w:val="28"/>
          <w:lang w:eastAsia="es-ES"/>
        </w:rPr>
      </w:pPr>
      <w:r w:rsidRPr="00DB3EEA">
        <w:rPr>
          <w:rFonts w:ascii="Times New Roman" w:hAnsi="Times New Roman" w:cs="Times New Roman"/>
          <w:color w:val="000000" w:themeColor="text1"/>
          <w:sz w:val="28"/>
          <w:szCs w:val="28"/>
        </w:rPr>
        <w:t>C</w:t>
      </w:r>
      <w:r w:rsidRPr="00DB3EEA">
        <w:rPr>
          <w:rFonts w:ascii="Times New Roman" w:hAnsi="Times New Roman" w:cs="Times New Roman"/>
          <w:color w:val="000000" w:themeColor="text1"/>
          <w:sz w:val="28"/>
          <w:szCs w:val="28"/>
        </w:rPr>
        <w:t xml:space="preserve">onviene recordar que la Corte Constitucional conserva la atribución para adelantar, en la sentencia, un nuevo análisis de procedibilidad. En efecto, esta Corporación está habilitada para determinar si existe lugar a un pronunciamiento de mérito y respecto </w:t>
      </w:r>
      <w:r w:rsidRPr="00DB3EEA">
        <w:rPr>
          <w:rFonts w:ascii="Times New Roman" w:hAnsi="Times New Roman" w:cs="Times New Roman"/>
          <w:color w:val="000000" w:themeColor="text1"/>
          <w:sz w:val="28"/>
          <w:szCs w:val="28"/>
        </w:rPr>
        <w:t xml:space="preserve">de cuáles disposiciones o fragmentos de las normas acusadas. </w:t>
      </w:r>
      <w:r w:rsidRPr="00DB3EEA">
        <w:rPr>
          <w:rFonts w:ascii="Times New Roman" w:hAnsi="Times New Roman" w:cs="Times New Roman"/>
          <w:color w:val="000000" w:themeColor="text1"/>
          <w:sz w:val="28"/>
          <w:szCs w:val="28"/>
        </w:rPr>
        <w:t xml:space="preserve">Ello, además, si se tiene consideración que </w:t>
      </w:r>
      <w:r w:rsidRPr="00DB3EEA">
        <w:rPr>
          <w:rFonts w:ascii="Times New Roman" w:hAnsi="Times New Roman" w:cs="Times New Roman"/>
          <w:color w:val="000000" w:themeColor="text1"/>
          <w:sz w:val="28"/>
          <w:szCs w:val="28"/>
        </w:rPr>
        <w:t xml:space="preserve">en esta etapa procesal ya se encuentra </w:t>
      </w:r>
      <w:r w:rsidRPr="00DB3EEA">
        <w:rPr>
          <w:rFonts w:ascii="Times New Roman" w:hAnsi="Times New Roman" w:cs="Times New Roman"/>
          <w:color w:val="000000" w:themeColor="text1"/>
          <w:sz w:val="28"/>
          <w:szCs w:val="28"/>
        </w:rPr>
        <w:t xml:space="preserve">con el apoyo de mayores elementos de juicio, puesto que aparte del contenido de la demanda, también </w:t>
      </w:r>
      <w:r w:rsidRPr="00DB3EEA">
        <w:rPr>
          <w:rFonts w:ascii="Times New Roman" w:hAnsi="Times New Roman" w:cs="Times New Roman"/>
          <w:color w:val="000000" w:themeColor="text1"/>
          <w:sz w:val="28"/>
          <w:szCs w:val="28"/>
        </w:rPr>
        <w:t>se dispone</w:t>
      </w:r>
      <w:r w:rsidRPr="00DB3EEA">
        <w:rPr>
          <w:rFonts w:ascii="Times New Roman" w:hAnsi="Times New Roman" w:cs="Times New Roman"/>
          <w:color w:val="000000" w:themeColor="text1"/>
          <w:sz w:val="28"/>
          <w:szCs w:val="28"/>
        </w:rPr>
        <w:t xml:space="preserve"> d</w:t>
      </w:r>
      <w:r w:rsidRPr="00DB3EEA">
        <w:rPr>
          <w:rFonts w:ascii="Times New Roman" w:hAnsi="Times New Roman" w:cs="Times New Roman"/>
          <w:color w:val="000000" w:themeColor="text1"/>
          <w:sz w:val="28"/>
          <w:szCs w:val="28"/>
        </w:rPr>
        <w:t>e la apreciación de los distintos intervinientes y el concepto del Ministerio Público, quienes, de acuerdo con el régimen legal aplicable al proceso de inconstitucionalidad, participan en el debate una vez admitida la demanda.</w:t>
      </w:r>
    </w:p>
    <w:p w:rsidR="00751AE9" w:rsidRPr="00DB3EEA" w:rsidRDefault="00DB3EEA" w:rsidP="00751AE9">
      <w:pPr>
        <w:pStyle w:val="Prrafodelista"/>
        <w:tabs>
          <w:tab w:val="left" w:pos="426"/>
        </w:tabs>
        <w:ind w:left="0"/>
        <w:jc w:val="both"/>
        <w:rPr>
          <w:rFonts w:ascii="Times New Roman" w:eastAsia="Calibri" w:hAnsi="Times New Roman" w:cs="Times New Roman"/>
          <w:sz w:val="28"/>
          <w:szCs w:val="28"/>
          <w:lang w:eastAsia="es-ES"/>
        </w:rPr>
      </w:pPr>
    </w:p>
    <w:p w:rsidR="00751AE9" w:rsidRPr="00DB3EEA" w:rsidRDefault="00DB3EEA" w:rsidP="00751AE9">
      <w:pPr>
        <w:pStyle w:val="Prrafodelista"/>
        <w:numPr>
          <w:ilvl w:val="0"/>
          <w:numId w:val="1"/>
        </w:numPr>
        <w:tabs>
          <w:tab w:val="left" w:pos="426"/>
        </w:tabs>
        <w:ind w:left="0" w:firstLine="0"/>
        <w:jc w:val="both"/>
        <w:rPr>
          <w:rFonts w:ascii="Times New Roman" w:eastAsia="Calibri" w:hAnsi="Times New Roman" w:cs="Times New Roman"/>
          <w:sz w:val="28"/>
          <w:szCs w:val="28"/>
          <w:lang w:eastAsia="es-ES"/>
        </w:rPr>
      </w:pPr>
      <w:r w:rsidRPr="00DB3EEA">
        <w:rPr>
          <w:rFonts w:ascii="Times New Roman" w:hAnsi="Times New Roman" w:cs="Times New Roman"/>
          <w:sz w:val="28"/>
          <w:szCs w:val="28"/>
        </w:rPr>
        <w:t>En</w:t>
      </w:r>
      <w:r w:rsidRPr="00DB3EEA">
        <w:rPr>
          <w:rFonts w:ascii="Times New Roman" w:eastAsia="Calibri" w:hAnsi="Times New Roman" w:cs="Times New Roman"/>
          <w:sz w:val="28"/>
          <w:szCs w:val="28"/>
          <w:lang w:eastAsia="es-ES"/>
        </w:rPr>
        <w:t xml:space="preserve"> cuanto a la censura por </w:t>
      </w:r>
      <w:r w:rsidRPr="00DB3EEA">
        <w:rPr>
          <w:rFonts w:ascii="Times New Roman" w:eastAsia="Calibri" w:hAnsi="Times New Roman" w:cs="Times New Roman"/>
          <w:i/>
          <w:sz w:val="28"/>
          <w:szCs w:val="28"/>
          <w:lang w:eastAsia="es-ES"/>
        </w:rPr>
        <w:t>d</w:t>
      </w:r>
      <w:r w:rsidRPr="00DB3EEA">
        <w:rPr>
          <w:rFonts w:ascii="Times New Roman" w:eastAsia="Calibri" w:hAnsi="Times New Roman" w:cs="Times New Roman"/>
          <w:i/>
          <w:sz w:val="28"/>
          <w:szCs w:val="28"/>
          <w:lang w:eastAsia="es-ES"/>
        </w:rPr>
        <w:t>esconocimiento del derecho a la igualdad</w:t>
      </w:r>
      <w:r w:rsidRPr="00DB3EEA">
        <w:rPr>
          <w:rFonts w:ascii="Times New Roman" w:eastAsia="Calibri" w:hAnsi="Times New Roman" w:cs="Times New Roman"/>
          <w:sz w:val="28"/>
          <w:szCs w:val="28"/>
          <w:lang w:eastAsia="es-ES"/>
        </w:rPr>
        <w:t>, la Corte observa que: los demandantes presentan una argumentación estructurada, que permite determinar el alcance de la censura propuesta (</w:t>
      </w:r>
      <w:r w:rsidRPr="00DB3EEA">
        <w:rPr>
          <w:rFonts w:ascii="Times New Roman" w:eastAsia="Calibri" w:hAnsi="Times New Roman" w:cs="Times New Roman"/>
          <w:i/>
          <w:sz w:val="28"/>
          <w:szCs w:val="28"/>
          <w:lang w:eastAsia="es-ES"/>
        </w:rPr>
        <w:t>claridad</w:t>
      </w:r>
      <w:r w:rsidRPr="00DB3EEA">
        <w:rPr>
          <w:rFonts w:ascii="Times New Roman" w:eastAsia="Calibri" w:hAnsi="Times New Roman" w:cs="Times New Roman"/>
          <w:sz w:val="28"/>
          <w:szCs w:val="28"/>
          <w:lang w:eastAsia="es-ES"/>
        </w:rPr>
        <w:t xml:space="preserve">); el cargo recae sobre una proposición jurídica real y existente, </w:t>
      </w:r>
      <w:r w:rsidRPr="00DB3EEA">
        <w:rPr>
          <w:rFonts w:ascii="Times New Roman" w:eastAsia="Calibri" w:hAnsi="Times New Roman" w:cs="Times New Roman"/>
          <w:sz w:val="28"/>
          <w:szCs w:val="28"/>
          <w:lang w:eastAsia="es-ES"/>
        </w:rPr>
        <w:t>por cuanto la norma demandada efectivamente establece métodos y componentes diferenciados para la determinación de la base gravable (</w:t>
      </w:r>
      <w:r w:rsidRPr="00DB3EEA">
        <w:rPr>
          <w:rFonts w:ascii="Times New Roman" w:eastAsia="Calibri" w:hAnsi="Times New Roman" w:cs="Times New Roman"/>
          <w:i/>
          <w:sz w:val="28"/>
          <w:szCs w:val="28"/>
          <w:lang w:eastAsia="es-ES"/>
        </w:rPr>
        <w:t>certeza</w:t>
      </w:r>
      <w:r w:rsidRPr="00DB3EEA">
        <w:rPr>
          <w:rFonts w:ascii="Times New Roman" w:eastAsia="Calibri" w:hAnsi="Times New Roman" w:cs="Times New Roman"/>
          <w:sz w:val="28"/>
          <w:szCs w:val="28"/>
          <w:lang w:eastAsia="es-ES"/>
        </w:rPr>
        <w:t>); la formulación del cargo atendió a la metodología del juicio integrado de igualdad desarrollado por la jurisprude</w:t>
      </w:r>
      <w:r w:rsidRPr="00DB3EEA">
        <w:rPr>
          <w:rFonts w:ascii="Times New Roman" w:eastAsia="Calibri" w:hAnsi="Times New Roman" w:cs="Times New Roman"/>
          <w:sz w:val="28"/>
          <w:szCs w:val="28"/>
          <w:lang w:eastAsia="es-ES"/>
        </w:rPr>
        <w:t>ncia –con las precisiones que se expondrán posteriormente–, en tanto adelantó la identificación de grupos comparables, estableció el trato diferenciado y planteó las razones por las cuales este carecía de justificación (</w:t>
      </w:r>
      <w:r w:rsidRPr="00DB3EEA">
        <w:rPr>
          <w:rFonts w:ascii="Times New Roman" w:eastAsia="Calibri" w:hAnsi="Times New Roman" w:cs="Times New Roman"/>
          <w:i/>
          <w:sz w:val="28"/>
          <w:szCs w:val="28"/>
          <w:lang w:eastAsia="es-ES"/>
        </w:rPr>
        <w:t>especificidad</w:t>
      </w:r>
      <w:r w:rsidRPr="00DB3EEA">
        <w:rPr>
          <w:rFonts w:ascii="Times New Roman" w:eastAsia="Calibri" w:hAnsi="Times New Roman" w:cs="Times New Roman"/>
          <w:sz w:val="28"/>
          <w:szCs w:val="28"/>
          <w:lang w:eastAsia="es-ES"/>
        </w:rPr>
        <w:t>); el reproche se funda</w:t>
      </w:r>
      <w:r w:rsidRPr="00DB3EEA">
        <w:rPr>
          <w:rFonts w:ascii="Times New Roman" w:eastAsia="Calibri" w:hAnsi="Times New Roman" w:cs="Times New Roman"/>
          <w:sz w:val="28"/>
          <w:szCs w:val="28"/>
          <w:lang w:eastAsia="es-ES"/>
        </w:rPr>
        <w:t xml:space="preserve"> en razones de naturaleza constitucional (</w:t>
      </w:r>
      <w:r w:rsidRPr="00DB3EEA">
        <w:rPr>
          <w:rFonts w:ascii="Times New Roman" w:eastAsia="Calibri" w:hAnsi="Times New Roman" w:cs="Times New Roman"/>
          <w:i/>
          <w:sz w:val="28"/>
          <w:szCs w:val="28"/>
          <w:lang w:eastAsia="es-ES"/>
        </w:rPr>
        <w:t>pertinencia</w:t>
      </w:r>
      <w:r w:rsidRPr="00DB3EEA">
        <w:rPr>
          <w:rFonts w:ascii="Times New Roman" w:eastAsia="Calibri" w:hAnsi="Times New Roman" w:cs="Times New Roman"/>
          <w:sz w:val="28"/>
          <w:szCs w:val="28"/>
          <w:lang w:eastAsia="es-ES"/>
        </w:rPr>
        <w:t>); y aporta los argumentos necesarios para adelantar un análisis de fondo por la presunta vulneración del derecho a la igualdad (</w:t>
      </w:r>
      <w:r w:rsidRPr="00DB3EEA">
        <w:rPr>
          <w:rFonts w:ascii="Times New Roman" w:eastAsia="Calibri" w:hAnsi="Times New Roman" w:cs="Times New Roman"/>
          <w:i/>
          <w:sz w:val="28"/>
          <w:szCs w:val="28"/>
          <w:lang w:eastAsia="es-ES"/>
        </w:rPr>
        <w:t>suficiencia</w:t>
      </w:r>
      <w:r w:rsidRPr="00DB3EEA">
        <w:rPr>
          <w:rFonts w:ascii="Times New Roman" w:eastAsia="Calibri" w:hAnsi="Times New Roman" w:cs="Times New Roman"/>
          <w:sz w:val="28"/>
          <w:szCs w:val="28"/>
          <w:lang w:eastAsia="es-ES"/>
        </w:rPr>
        <w:t>).</w:t>
      </w:r>
    </w:p>
    <w:p w:rsidR="00C867FF" w:rsidRPr="00DB3EEA" w:rsidRDefault="00DB3EEA" w:rsidP="00C867FF">
      <w:pPr>
        <w:pStyle w:val="Prrafodelista"/>
        <w:rPr>
          <w:rFonts w:ascii="Times New Roman" w:eastAsia="Calibri" w:hAnsi="Times New Roman" w:cs="Times New Roman"/>
          <w:sz w:val="28"/>
          <w:szCs w:val="28"/>
          <w:lang w:eastAsia="es-ES"/>
        </w:rPr>
      </w:pPr>
    </w:p>
    <w:p w:rsidR="00C867FF" w:rsidRPr="00DB3EEA" w:rsidRDefault="00DB3EEA" w:rsidP="00C867FF">
      <w:pPr>
        <w:pStyle w:val="Prrafodelista"/>
        <w:numPr>
          <w:ilvl w:val="0"/>
          <w:numId w:val="1"/>
        </w:numPr>
        <w:tabs>
          <w:tab w:val="left" w:pos="426"/>
        </w:tabs>
        <w:ind w:left="0" w:firstLine="0"/>
        <w:jc w:val="both"/>
        <w:rPr>
          <w:rFonts w:ascii="Times New Roman" w:eastAsia="Calibri" w:hAnsi="Times New Roman" w:cs="Times New Roman"/>
          <w:sz w:val="28"/>
          <w:szCs w:val="28"/>
          <w:lang w:eastAsia="es-ES"/>
        </w:rPr>
      </w:pPr>
      <w:r w:rsidRPr="00DB3EEA">
        <w:rPr>
          <w:rFonts w:ascii="Times New Roman" w:hAnsi="Times New Roman" w:cs="Times New Roman"/>
          <w:color w:val="000000"/>
          <w:sz w:val="28"/>
          <w:szCs w:val="28"/>
          <w:lang w:eastAsia="en-US"/>
        </w:rPr>
        <w:t>De acuerdo con el auto de admisión, la demanda cumple los p</w:t>
      </w:r>
      <w:r w:rsidRPr="00DB3EEA">
        <w:rPr>
          <w:rFonts w:ascii="Times New Roman" w:hAnsi="Times New Roman" w:cs="Times New Roman"/>
          <w:color w:val="000000"/>
          <w:sz w:val="28"/>
          <w:szCs w:val="28"/>
          <w:lang w:eastAsia="en-US"/>
        </w:rPr>
        <w:t>resupuestos para activar un juicio de igualdad en la medida en que, (ii) identifica las situaciones comparables, por cuanto explica que la norma genera un trato diferenciado entre los productos nacionales e importados, así como entre productores e importad</w:t>
      </w:r>
      <w:r w:rsidRPr="00DB3EEA">
        <w:rPr>
          <w:rFonts w:ascii="Times New Roman" w:hAnsi="Times New Roman" w:cs="Times New Roman"/>
          <w:color w:val="000000"/>
          <w:sz w:val="28"/>
          <w:szCs w:val="28"/>
          <w:lang w:eastAsia="en-US"/>
        </w:rPr>
        <w:t xml:space="preserve">ores que son responsables del impuesto saludable. </w:t>
      </w:r>
      <w:r w:rsidRPr="00DB3EEA">
        <w:rPr>
          <w:rFonts w:ascii="Times New Roman" w:hAnsi="Times New Roman" w:cs="Times New Roman"/>
          <w:sz w:val="28"/>
          <w:szCs w:val="28"/>
          <w:lang w:eastAsia="en-US"/>
        </w:rPr>
        <w:t xml:space="preserve">El tratamiento tributario disímil consiste en que tratándose de productos nacionales la base gravable del impuesto está constituida por el precio de venta. En contraposición, el segundo y tercer incisos del artículo 54 de la Ley 2277 de 2022 disponen que, </w:t>
      </w:r>
      <w:r w:rsidRPr="00DB3EEA">
        <w:rPr>
          <w:rFonts w:ascii="Times New Roman" w:hAnsi="Times New Roman" w:cs="Times New Roman"/>
          <w:sz w:val="28"/>
          <w:szCs w:val="28"/>
          <w:lang w:eastAsia="en-US"/>
        </w:rPr>
        <w:t xml:space="preserve">en el caso de productos importados o producidos en zona franca, la base gravable del impuesto incluye el valor de los tributos aduaneros, lo que deriva en que el impuesto sobre las ventas (IVA) haga parte de la base gravable del impuesto a los comestibles </w:t>
      </w:r>
      <w:r w:rsidRPr="00DB3EEA">
        <w:rPr>
          <w:rFonts w:ascii="Times New Roman" w:hAnsi="Times New Roman" w:cs="Times New Roman"/>
          <w:sz w:val="28"/>
          <w:szCs w:val="28"/>
          <w:lang w:eastAsia="en-US"/>
        </w:rPr>
        <w:t>ultraprocesados de acuerdo con lo previsto en el artículo 3</w:t>
      </w:r>
      <w:r w:rsidRPr="00DB3EEA">
        <w:rPr>
          <w:rFonts w:ascii="Times New Roman" w:hAnsi="Times New Roman" w:cs="Times New Roman"/>
          <w:sz w:val="28"/>
          <w:szCs w:val="28"/>
        </w:rPr>
        <w:t xml:space="preserve">º </w:t>
      </w:r>
      <w:r w:rsidRPr="00DB3EEA">
        <w:rPr>
          <w:rFonts w:ascii="Times New Roman" w:hAnsi="Times New Roman" w:cs="Times New Roman"/>
          <w:sz w:val="28"/>
          <w:szCs w:val="28"/>
          <w:lang w:eastAsia="en-US"/>
        </w:rPr>
        <w:t>del Decreto 1165 de 2019.</w:t>
      </w:r>
    </w:p>
    <w:p w:rsidR="00995FA8" w:rsidRPr="00DB3EEA" w:rsidRDefault="00DB3EEA" w:rsidP="00995FA8">
      <w:pPr>
        <w:pStyle w:val="Prrafodelista"/>
        <w:rPr>
          <w:rFonts w:ascii="Times New Roman" w:eastAsia="Aptos" w:hAnsi="Times New Roman" w:cs="Times New Roman"/>
          <w:sz w:val="28"/>
          <w:szCs w:val="28"/>
        </w:rPr>
      </w:pPr>
    </w:p>
    <w:p w:rsidR="00C867FF" w:rsidRPr="00DB3EEA" w:rsidRDefault="00DB3EEA" w:rsidP="00C867FF">
      <w:pPr>
        <w:pStyle w:val="Prrafodelista"/>
        <w:numPr>
          <w:ilvl w:val="0"/>
          <w:numId w:val="1"/>
        </w:numPr>
        <w:tabs>
          <w:tab w:val="left" w:pos="426"/>
        </w:tabs>
        <w:ind w:left="0" w:firstLine="0"/>
        <w:jc w:val="both"/>
        <w:rPr>
          <w:rFonts w:ascii="Times New Roman" w:hAnsi="Times New Roman" w:cs="Times New Roman"/>
          <w:sz w:val="28"/>
          <w:szCs w:val="28"/>
        </w:rPr>
      </w:pPr>
      <w:r w:rsidRPr="00DB3EEA">
        <w:rPr>
          <w:rFonts w:ascii="Times New Roman" w:eastAsia="Aptos" w:hAnsi="Times New Roman" w:cs="Times New Roman"/>
          <w:kern w:val="2"/>
          <w:sz w:val="28"/>
          <w:szCs w:val="28"/>
          <w14:ligatures w14:val="standardContextual"/>
        </w:rPr>
        <w:t>De igual forma en la demanda se explica, que ambas categorías, productores e importadores, para los demandantes, se asemejan en la medida en que son responsables del IC</w:t>
      </w:r>
      <w:r w:rsidRPr="00DB3EEA">
        <w:rPr>
          <w:rFonts w:ascii="Times New Roman" w:eastAsia="Aptos" w:hAnsi="Times New Roman" w:cs="Times New Roman"/>
          <w:kern w:val="2"/>
          <w:sz w:val="28"/>
          <w:szCs w:val="28"/>
          <w14:ligatures w14:val="standardContextual"/>
        </w:rPr>
        <w:t>UI según el artículo 513-7 del Estatuto Tributario, al incurrir en el hecho gener</w:t>
      </w:r>
      <w:r w:rsidRPr="00DB3EEA">
        <w:rPr>
          <w:rFonts w:ascii="Times New Roman" w:eastAsia="Aptos" w:hAnsi="Times New Roman" w:cs="Times New Roman"/>
          <w:kern w:val="2"/>
          <w:sz w:val="28"/>
          <w:szCs w:val="28"/>
          <w14:ligatures w14:val="standardContextual"/>
        </w:rPr>
        <w:t>ador</w:t>
      </w:r>
      <w:r w:rsidRPr="00DB3EEA">
        <w:rPr>
          <w:rFonts w:ascii="Times New Roman" w:eastAsia="Aptos" w:hAnsi="Times New Roman" w:cs="Times New Roman"/>
          <w:kern w:val="2"/>
          <w:sz w:val="28"/>
          <w:szCs w:val="28"/>
          <w14:ligatures w14:val="standardContextual"/>
        </w:rPr>
        <w:t xml:space="preserve"> consagrado en el artículo 513-6. </w:t>
      </w:r>
      <w:r w:rsidRPr="00DB3EEA">
        <w:rPr>
          <w:rFonts w:ascii="Times New Roman" w:eastAsia="Aptos" w:hAnsi="Times New Roman" w:cs="Times New Roman"/>
          <w:sz w:val="28"/>
          <w:szCs w:val="28"/>
        </w:rPr>
        <w:t xml:space="preserve">Así, en su concepto, </w:t>
      </w:r>
      <w:r w:rsidRPr="00DB3EEA">
        <w:rPr>
          <w:rFonts w:ascii="Times New Roman" w:hAnsi="Times New Roman" w:cs="Times New Roman"/>
          <w:sz w:val="28"/>
          <w:szCs w:val="28"/>
        </w:rPr>
        <w:t>en cualquiera de los casos de comparación los grupos se encuentran en una situación jurídica y fáctica equivalente y</w:t>
      </w:r>
      <w:r w:rsidRPr="00DB3EEA">
        <w:rPr>
          <w:rFonts w:ascii="Times New Roman" w:hAnsi="Times New Roman" w:cs="Times New Roman"/>
          <w:sz w:val="28"/>
          <w:szCs w:val="28"/>
        </w:rPr>
        <w:t xml:space="preserve">, sin embargo, reciben un trato desigual. </w:t>
      </w:r>
    </w:p>
    <w:p w:rsidR="00995FA8" w:rsidRPr="00DB3EEA" w:rsidRDefault="00DB3EEA" w:rsidP="00995FA8">
      <w:pPr>
        <w:pStyle w:val="Prrafodelista"/>
        <w:rPr>
          <w:rFonts w:ascii="Times New Roman" w:eastAsia="Calibri" w:hAnsi="Times New Roman" w:cs="Times New Roman"/>
          <w:sz w:val="28"/>
          <w:szCs w:val="28"/>
        </w:rPr>
      </w:pPr>
    </w:p>
    <w:p w:rsidR="00C867FF" w:rsidRPr="00DB3EEA" w:rsidRDefault="00DB3EEA" w:rsidP="00C867FF">
      <w:pPr>
        <w:pStyle w:val="Prrafodelista"/>
        <w:numPr>
          <w:ilvl w:val="0"/>
          <w:numId w:val="1"/>
        </w:numPr>
        <w:tabs>
          <w:tab w:val="left" w:pos="426"/>
        </w:tabs>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Para llevar a cabo el segundo paso del juicio de igualdad, los actores sostienen que la diferenciación establecida carece de razonabilidad, pues ni en la redacción de la norma ni en sus antecedentes legislativos </w:t>
      </w:r>
      <w:r w:rsidRPr="00DB3EEA">
        <w:rPr>
          <w:rFonts w:ascii="Times New Roman" w:hAnsi="Times New Roman" w:cs="Times New Roman"/>
          <w:sz w:val="28"/>
          <w:szCs w:val="28"/>
        </w:rPr>
        <w:t>se encuentra una justificación constitucional que sustente el trato diferencial sobre la base gravable. Afirman que en ninguna de las Gacetas del Congreso que registran el trámite legislativo “se ha encontrado la justificación para la distinción”</w:t>
      </w:r>
      <w:r w:rsidRPr="00DB3EEA">
        <w:rPr>
          <w:rFonts w:ascii="Times New Roman" w:hAnsi="Times New Roman" w:cs="Times New Roman"/>
          <w:sz w:val="28"/>
          <w:szCs w:val="28"/>
          <w:vertAlign w:val="superscript"/>
        </w:rPr>
        <w:footnoteReference w:id="123"/>
      </w:r>
      <w:r w:rsidRPr="00DB3EEA">
        <w:rPr>
          <w:rFonts w:ascii="Times New Roman" w:hAnsi="Times New Roman" w:cs="Times New Roman"/>
          <w:sz w:val="28"/>
          <w:szCs w:val="28"/>
        </w:rPr>
        <w:t>.</w:t>
      </w:r>
    </w:p>
    <w:p w:rsidR="00995FA8" w:rsidRPr="00DB3EEA" w:rsidRDefault="00DB3EEA" w:rsidP="00995FA8">
      <w:pPr>
        <w:pStyle w:val="Prrafodelista"/>
        <w:rPr>
          <w:rFonts w:ascii="Times New Roman" w:eastAsia="Calibri" w:hAnsi="Times New Roman" w:cs="Times New Roman"/>
          <w:sz w:val="28"/>
          <w:szCs w:val="28"/>
        </w:rPr>
      </w:pPr>
    </w:p>
    <w:p w:rsidR="00C867FF" w:rsidRPr="00DB3EEA" w:rsidRDefault="00DB3EEA" w:rsidP="00995FA8">
      <w:pPr>
        <w:pStyle w:val="Prrafodelista"/>
        <w:numPr>
          <w:ilvl w:val="0"/>
          <w:numId w:val="1"/>
        </w:numPr>
        <w:tabs>
          <w:tab w:val="left" w:pos="426"/>
        </w:tabs>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Aducen que, ante la ausencia de argumentación sobre una finalidad constitucional reconocible, el análisis del impuesto solo puede efectuarse a la luz del propósito general del impuesto saludable. Al respecto, afirman que </w:t>
      </w:r>
      <w:r w:rsidRPr="00DB3EEA">
        <w:rPr>
          <w:rFonts w:ascii="Times New Roman" w:hAnsi="Times New Roman" w:cs="Times New Roman"/>
          <w:i/>
          <w:sz w:val="28"/>
          <w:szCs w:val="28"/>
        </w:rPr>
        <w:t>“como el impuesto a los productos u</w:t>
      </w:r>
      <w:r w:rsidRPr="00DB3EEA">
        <w:rPr>
          <w:rFonts w:ascii="Times New Roman" w:hAnsi="Times New Roman" w:cs="Times New Roman"/>
          <w:i/>
          <w:sz w:val="28"/>
          <w:szCs w:val="28"/>
        </w:rPr>
        <w:t>ltraprocesados busca proteger la salud al desincentivar el consumo de estos productos, lógicamente todos los elementos de este impuesto, incluida la definición de la base gravable y las distinciones que se adopten al definirla, también tendrían que persegu</w:t>
      </w:r>
      <w:r w:rsidRPr="00DB3EEA">
        <w:rPr>
          <w:rFonts w:ascii="Times New Roman" w:hAnsi="Times New Roman" w:cs="Times New Roman"/>
          <w:i/>
          <w:sz w:val="28"/>
          <w:szCs w:val="28"/>
        </w:rPr>
        <w:t>ir esa finalidad</w:t>
      </w:r>
      <w:r w:rsidRPr="00DB3EEA">
        <w:rPr>
          <w:rFonts w:ascii="Times New Roman" w:hAnsi="Times New Roman" w:cs="Times New Roman"/>
          <w:sz w:val="28"/>
          <w:szCs w:val="28"/>
        </w:rPr>
        <w:t>”</w:t>
      </w:r>
      <w:r w:rsidRPr="00DB3EEA">
        <w:rPr>
          <w:rFonts w:ascii="Times New Roman" w:hAnsi="Times New Roman" w:cs="Times New Roman"/>
          <w:sz w:val="28"/>
          <w:szCs w:val="28"/>
          <w:vertAlign w:val="superscript"/>
        </w:rPr>
        <w:footnoteReference w:id="124"/>
      </w:r>
      <w:r w:rsidRPr="00DB3EEA">
        <w:rPr>
          <w:rFonts w:ascii="Times New Roman" w:hAnsi="Times New Roman" w:cs="Times New Roman"/>
          <w:sz w:val="28"/>
          <w:szCs w:val="28"/>
        </w:rPr>
        <w:t>.</w:t>
      </w:r>
    </w:p>
    <w:p w:rsidR="00995FA8" w:rsidRPr="00DB3EEA" w:rsidRDefault="00DB3EEA" w:rsidP="00995FA8">
      <w:pPr>
        <w:pStyle w:val="Prrafodelista"/>
        <w:rPr>
          <w:rFonts w:ascii="Times New Roman" w:eastAsia="Calibri" w:hAnsi="Times New Roman" w:cs="Times New Roman"/>
          <w:sz w:val="28"/>
          <w:szCs w:val="28"/>
        </w:rPr>
      </w:pPr>
    </w:p>
    <w:p w:rsidR="00C867FF" w:rsidRPr="00DB3EEA" w:rsidRDefault="00DB3EEA" w:rsidP="00995FA8">
      <w:pPr>
        <w:pStyle w:val="Prrafodelista"/>
        <w:numPr>
          <w:ilvl w:val="0"/>
          <w:numId w:val="1"/>
        </w:numPr>
        <w:tabs>
          <w:tab w:val="left" w:pos="426"/>
        </w:tabs>
        <w:ind w:left="0" w:firstLine="0"/>
        <w:jc w:val="both"/>
        <w:rPr>
          <w:rFonts w:ascii="Times New Roman" w:hAnsi="Times New Roman" w:cs="Times New Roman"/>
          <w:sz w:val="28"/>
          <w:szCs w:val="28"/>
        </w:rPr>
      </w:pPr>
      <w:r w:rsidRPr="00DB3EEA">
        <w:rPr>
          <w:rFonts w:ascii="Times New Roman" w:hAnsi="Times New Roman" w:cs="Times New Roman"/>
          <w:sz w:val="28"/>
          <w:szCs w:val="28"/>
        </w:rPr>
        <w:t>En consecuencia, argumentan que, para garantizar un tratamiento igualitario, los productos solo deben compartir los elementos esenciales que originan el impuesto, pues el origen de los bienes no constituye “</w:t>
      </w:r>
      <w:r w:rsidRPr="00DB3EEA">
        <w:rPr>
          <w:rFonts w:ascii="Times New Roman" w:hAnsi="Times New Roman" w:cs="Times New Roman"/>
          <w:i/>
          <w:sz w:val="28"/>
          <w:szCs w:val="28"/>
        </w:rPr>
        <w:t>una característica relevante</w:t>
      </w:r>
      <w:r w:rsidRPr="00DB3EEA">
        <w:rPr>
          <w:rFonts w:ascii="Times New Roman" w:hAnsi="Times New Roman" w:cs="Times New Roman"/>
          <w:i/>
          <w:sz w:val="28"/>
          <w:szCs w:val="28"/>
        </w:rPr>
        <w:t xml:space="preserve"> a la luz de las finalidades del impuesto saludable</w:t>
      </w:r>
      <w:r w:rsidRPr="00DB3EEA">
        <w:rPr>
          <w:rFonts w:ascii="Times New Roman" w:hAnsi="Times New Roman" w:cs="Times New Roman"/>
          <w:sz w:val="28"/>
          <w:szCs w:val="28"/>
        </w:rPr>
        <w:t>”</w:t>
      </w:r>
      <w:r w:rsidRPr="00DB3EEA">
        <w:rPr>
          <w:rFonts w:ascii="Times New Roman" w:hAnsi="Times New Roman" w:cs="Times New Roman"/>
          <w:sz w:val="28"/>
          <w:szCs w:val="28"/>
          <w:vertAlign w:val="superscript"/>
        </w:rPr>
        <w:footnoteReference w:id="125"/>
      </w:r>
      <w:r w:rsidRPr="00DB3EEA">
        <w:rPr>
          <w:rFonts w:ascii="Times New Roman" w:hAnsi="Times New Roman" w:cs="Times New Roman"/>
          <w:sz w:val="28"/>
          <w:szCs w:val="28"/>
        </w:rPr>
        <w:t>. Dichos elementos son su contenido, su forma de preparación y su incidencia negativa en la salud. Al observar que, frente a cualquiera de los grupos, se comparten esas características, concluyen que “</w:t>
      </w:r>
      <w:r w:rsidRPr="00DB3EEA">
        <w:rPr>
          <w:rFonts w:ascii="Times New Roman" w:hAnsi="Times New Roman" w:cs="Times New Roman"/>
          <w:i/>
          <w:sz w:val="28"/>
          <w:szCs w:val="28"/>
        </w:rPr>
        <w:t>la</w:t>
      </w:r>
      <w:r w:rsidRPr="00DB3EEA">
        <w:rPr>
          <w:rFonts w:ascii="Times New Roman" w:hAnsi="Times New Roman" w:cs="Times New Roman"/>
          <w:i/>
          <w:sz w:val="28"/>
          <w:szCs w:val="28"/>
        </w:rPr>
        <w:t xml:space="preserve"> diferenciación entre productos nacionales e importados [o producidos en zonas francas], para efectos de la determinación de la base gravable, no tiene ninguna relación racional entre medios y fines, a la luz de la finalidad de protección de la salud públi</w:t>
      </w:r>
      <w:r w:rsidRPr="00DB3EEA">
        <w:rPr>
          <w:rFonts w:ascii="Times New Roman" w:hAnsi="Times New Roman" w:cs="Times New Roman"/>
          <w:i/>
          <w:sz w:val="28"/>
          <w:szCs w:val="28"/>
        </w:rPr>
        <w:t>ca. De hecho, al estimular el consumo de productos ultraprocesados nacionales, resulta contraproducente frente al propósito perseguido por la norma</w:t>
      </w:r>
      <w:r w:rsidRPr="00DB3EEA">
        <w:rPr>
          <w:rFonts w:ascii="Times New Roman" w:hAnsi="Times New Roman" w:cs="Times New Roman"/>
          <w:sz w:val="28"/>
          <w:szCs w:val="28"/>
        </w:rPr>
        <w:t>”</w:t>
      </w:r>
      <w:r w:rsidRPr="00DB3EEA">
        <w:rPr>
          <w:rFonts w:ascii="Times New Roman" w:hAnsi="Times New Roman" w:cs="Times New Roman"/>
          <w:sz w:val="28"/>
          <w:szCs w:val="28"/>
          <w:vertAlign w:val="superscript"/>
        </w:rPr>
        <w:footnoteReference w:id="126"/>
      </w:r>
      <w:r w:rsidRPr="00DB3EEA">
        <w:rPr>
          <w:rFonts w:ascii="Times New Roman" w:hAnsi="Times New Roman" w:cs="Times New Roman"/>
          <w:sz w:val="28"/>
          <w:szCs w:val="28"/>
        </w:rPr>
        <w:t>.</w:t>
      </w:r>
    </w:p>
    <w:p w:rsidR="00B10E21" w:rsidRPr="00DB3EEA" w:rsidRDefault="00DB3EEA" w:rsidP="00B10E21">
      <w:pPr>
        <w:pStyle w:val="Prrafodelista"/>
        <w:rPr>
          <w:rFonts w:ascii="Times New Roman" w:hAnsi="Times New Roman" w:cs="Times New Roman"/>
          <w:sz w:val="28"/>
          <w:szCs w:val="28"/>
        </w:rPr>
      </w:pPr>
    </w:p>
    <w:p w:rsidR="00B10E21" w:rsidRPr="00DB3EEA" w:rsidRDefault="00DB3EEA" w:rsidP="00B10E21">
      <w:pPr>
        <w:pStyle w:val="Prrafodelista"/>
        <w:numPr>
          <w:ilvl w:val="0"/>
          <w:numId w:val="1"/>
        </w:numPr>
        <w:tabs>
          <w:tab w:val="left" w:pos="426"/>
        </w:tabs>
        <w:ind w:left="0" w:firstLine="0"/>
        <w:jc w:val="both"/>
        <w:rPr>
          <w:rFonts w:ascii="Times New Roman" w:hAnsi="Times New Roman" w:cs="Times New Roman"/>
          <w:sz w:val="28"/>
          <w:szCs w:val="28"/>
        </w:rPr>
      </w:pPr>
      <w:r w:rsidRPr="00DB3EEA">
        <w:rPr>
          <w:rFonts w:ascii="Times New Roman" w:eastAsia="Calibri" w:hAnsi="Times New Roman" w:cs="Times New Roman"/>
          <w:sz w:val="28"/>
          <w:szCs w:val="28"/>
          <w:lang w:eastAsia="es-ES"/>
        </w:rPr>
        <w:t xml:space="preserve">Ahora bien, en relación con el cargo por </w:t>
      </w:r>
      <w:r w:rsidRPr="00DB3EEA">
        <w:rPr>
          <w:rFonts w:ascii="Times New Roman" w:eastAsia="Calibri" w:hAnsi="Times New Roman" w:cs="Times New Roman"/>
          <w:i/>
          <w:sz w:val="28"/>
          <w:szCs w:val="28"/>
          <w:lang w:eastAsia="es-ES"/>
        </w:rPr>
        <w:t xml:space="preserve">vulneración del principio de equidad horizontal tributaria </w:t>
      </w:r>
      <w:r w:rsidRPr="00DB3EEA">
        <w:rPr>
          <w:rFonts w:ascii="Times New Roman" w:eastAsia="Calibri" w:hAnsi="Times New Roman" w:cs="Times New Roman"/>
          <w:sz w:val="28"/>
          <w:szCs w:val="28"/>
          <w:lang w:eastAsia="es-ES"/>
        </w:rPr>
        <w:t>(artículos 95.9 y 363 de la Constitución), la Sala advierte que los actores no desarrollan de manera autónoma el cargo de equidad tributaria, sino que se remiten a la mayoría de los argumentos expuestos al plantear el cargo de igualdad. Por lo tanto, la Sa</w:t>
      </w:r>
      <w:r w:rsidRPr="00DB3EEA">
        <w:rPr>
          <w:rFonts w:ascii="Times New Roman" w:eastAsia="Calibri" w:hAnsi="Times New Roman" w:cs="Times New Roman"/>
          <w:sz w:val="28"/>
          <w:szCs w:val="28"/>
          <w:lang w:eastAsia="es-ES"/>
        </w:rPr>
        <w:t>la abordará de manera conjunta ambas censuras, como se desarrollará en la siguiente sección de esta providencia</w:t>
      </w:r>
      <w:r w:rsidRPr="00DB3EEA">
        <w:rPr>
          <w:rStyle w:val="Refdenotaalpie"/>
          <w:rFonts w:ascii="Times New Roman" w:eastAsia="Calibri" w:hAnsi="Times New Roman" w:cs="Times New Roman"/>
          <w:sz w:val="28"/>
          <w:szCs w:val="28"/>
          <w:lang w:eastAsia="es-ES"/>
        </w:rPr>
        <w:footnoteReference w:id="127"/>
      </w:r>
      <w:r w:rsidRPr="00DB3EEA">
        <w:rPr>
          <w:rFonts w:ascii="Times New Roman" w:eastAsia="Calibri" w:hAnsi="Times New Roman" w:cs="Times New Roman"/>
          <w:sz w:val="28"/>
          <w:szCs w:val="28"/>
          <w:lang w:eastAsia="es-ES"/>
        </w:rPr>
        <w:t>.</w:t>
      </w:r>
    </w:p>
    <w:p w:rsidR="00751AE9" w:rsidRPr="00DB3EEA" w:rsidRDefault="00DB3EEA" w:rsidP="00751AE9">
      <w:pPr>
        <w:pStyle w:val="Prrafodelista"/>
        <w:rPr>
          <w:rFonts w:ascii="Times New Roman" w:eastAsia="Calibri" w:hAnsi="Times New Roman" w:cs="Times New Roman"/>
          <w:bCs/>
          <w:sz w:val="28"/>
          <w:szCs w:val="28"/>
          <w:lang w:eastAsia="es-ES"/>
        </w:rPr>
      </w:pPr>
    </w:p>
    <w:p w:rsidR="001348B4" w:rsidRPr="00DB3EEA" w:rsidRDefault="00DB3EEA" w:rsidP="008F2740">
      <w:pPr>
        <w:pStyle w:val="Prrafodelista"/>
        <w:numPr>
          <w:ilvl w:val="0"/>
          <w:numId w:val="1"/>
        </w:numPr>
        <w:tabs>
          <w:tab w:val="left" w:pos="426"/>
        </w:tabs>
        <w:ind w:left="0" w:firstLine="0"/>
        <w:jc w:val="both"/>
        <w:rPr>
          <w:rFonts w:ascii="Times New Roman" w:eastAsia="Calibri" w:hAnsi="Times New Roman" w:cs="Times New Roman"/>
          <w:bCs/>
          <w:sz w:val="28"/>
          <w:szCs w:val="28"/>
          <w:lang w:eastAsia="es-ES"/>
        </w:rPr>
      </w:pPr>
      <w:r w:rsidRPr="00DB3EEA">
        <w:rPr>
          <w:rFonts w:ascii="Times New Roman" w:eastAsia="Calibri" w:hAnsi="Times New Roman" w:cs="Times New Roman"/>
          <w:bCs/>
          <w:sz w:val="28"/>
          <w:szCs w:val="28"/>
          <w:lang w:eastAsia="es-ES"/>
        </w:rPr>
        <w:t xml:space="preserve">Respecto del cuestionamiento relacionado con </w:t>
      </w:r>
      <w:r w:rsidRPr="00DB3EEA">
        <w:rPr>
          <w:rFonts w:ascii="Times New Roman" w:eastAsia="Calibri" w:hAnsi="Times New Roman" w:cs="Times New Roman"/>
          <w:bCs/>
          <w:i/>
          <w:iCs/>
          <w:sz w:val="28"/>
          <w:szCs w:val="28"/>
          <w:lang w:eastAsia="es-ES"/>
        </w:rPr>
        <w:t>la presunta imposición encubierta de un arancel por vía legislativa</w:t>
      </w:r>
      <w:r w:rsidRPr="00DB3EEA">
        <w:rPr>
          <w:rFonts w:ascii="Times New Roman" w:eastAsia="Calibri" w:hAnsi="Times New Roman" w:cs="Times New Roman"/>
          <w:bCs/>
          <w:sz w:val="28"/>
          <w:szCs w:val="28"/>
          <w:lang w:eastAsia="es-ES"/>
        </w:rPr>
        <w:t>, esta Corporación concluye q</w:t>
      </w:r>
      <w:r w:rsidRPr="00DB3EEA">
        <w:rPr>
          <w:rFonts w:ascii="Times New Roman" w:eastAsia="Calibri" w:hAnsi="Times New Roman" w:cs="Times New Roman"/>
          <w:bCs/>
          <w:sz w:val="28"/>
          <w:szCs w:val="28"/>
          <w:lang w:eastAsia="es-ES"/>
        </w:rPr>
        <w:t>ue los razonamientos de los demandantes permiten comprender el contenido del reproche expuesto, esto es, que la norma demandada produce efectos equivalentes a los de un arancel</w:t>
      </w:r>
      <w:r w:rsidRPr="00DB3EEA">
        <w:rPr>
          <w:rFonts w:ascii="Times New Roman" w:eastAsia="Calibri" w:hAnsi="Times New Roman" w:cs="Times New Roman"/>
          <w:bCs/>
          <w:sz w:val="28"/>
          <w:szCs w:val="28"/>
          <w:lang w:eastAsia="es-ES"/>
        </w:rPr>
        <w:t xml:space="preserve"> </w:t>
      </w:r>
      <w:r w:rsidRPr="00DB3EEA">
        <w:rPr>
          <w:rFonts w:ascii="Times New Roman" w:eastAsia="Calibri" w:hAnsi="Times New Roman" w:cs="Times New Roman"/>
          <w:bCs/>
          <w:sz w:val="28"/>
          <w:szCs w:val="28"/>
          <w:lang w:eastAsia="es-ES"/>
        </w:rPr>
        <w:t>—</w:t>
      </w:r>
      <w:r w:rsidRPr="00DB3EEA">
        <w:rPr>
          <w:rFonts w:ascii="Times New Roman" w:eastAsia="Calibri" w:hAnsi="Times New Roman" w:cs="Times New Roman"/>
          <w:bCs/>
          <w:sz w:val="28"/>
          <w:szCs w:val="28"/>
          <w:lang w:eastAsia="es-ES"/>
        </w:rPr>
        <w:t>al imponer una mayor carga tributari</w:t>
      </w:r>
      <w:r w:rsidRPr="00DB3EEA">
        <w:rPr>
          <w:rFonts w:ascii="Times New Roman" w:eastAsia="Calibri" w:hAnsi="Times New Roman" w:cs="Times New Roman"/>
          <w:bCs/>
          <w:sz w:val="28"/>
          <w:szCs w:val="28"/>
          <w:lang w:eastAsia="es-ES"/>
        </w:rPr>
        <w:t>a</w:t>
      </w:r>
      <w:r w:rsidRPr="00DB3EEA">
        <w:rPr>
          <w:rFonts w:ascii="Times New Roman" w:eastAsia="Calibri" w:hAnsi="Times New Roman" w:cs="Times New Roman"/>
          <w:bCs/>
          <w:sz w:val="28"/>
          <w:szCs w:val="28"/>
          <w:lang w:eastAsia="es-ES"/>
        </w:rPr>
        <w:t xml:space="preserve"> a los productos producidos por fuera del</w:t>
      </w:r>
      <w:r w:rsidRPr="00DB3EEA">
        <w:rPr>
          <w:rFonts w:ascii="Times New Roman" w:eastAsia="Calibri" w:hAnsi="Times New Roman" w:cs="Times New Roman"/>
          <w:bCs/>
          <w:sz w:val="28"/>
          <w:szCs w:val="28"/>
          <w:lang w:eastAsia="es-ES"/>
        </w:rPr>
        <w:t xml:space="preserve"> territorio aduanero</w:t>
      </w:r>
      <w:r w:rsidRPr="00DB3EEA">
        <w:rPr>
          <w:rFonts w:ascii="Times New Roman" w:eastAsia="Calibri" w:hAnsi="Times New Roman" w:cs="Times New Roman"/>
          <w:bCs/>
          <w:sz w:val="28"/>
          <w:szCs w:val="28"/>
          <w:lang w:eastAsia="es-ES"/>
        </w:rPr>
        <w:t xml:space="preserve">— </w:t>
      </w:r>
      <w:r w:rsidRPr="00DB3EEA">
        <w:rPr>
          <w:rFonts w:ascii="Times New Roman" w:eastAsia="Calibri" w:hAnsi="Times New Roman" w:cs="Times New Roman"/>
          <w:bCs/>
          <w:sz w:val="28"/>
          <w:szCs w:val="28"/>
          <w:lang w:eastAsia="es-ES"/>
        </w:rPr>
        <w:t xml:space="preserve"> y, por lo tanto, debía ser establecida por el Gobierno Nacional y no fijada directamente por el </w:t>
      </w:r>
      <w:r w:rsidRPr="00DB3EEA">
        <w:rPr>
          <w:rFonts w:ascii="Times New Roman" w:eastAsia="Calibri" w:hAnsi="Times New Roman" w:cs="Times New Roman"/>
          <w:bCs/>
          <w:sz w:val="28"/>
          <w:szCs w:val="28"/>
          <w:lang w:eastAsia="es-ES"/>
        </w:rPr>
        <w:t>legislador</w:t>
      </w:r>
      <w:r w:rsidRPr="00DB3EEA">
        <w:rPr>
          <w:rFonts w:ascii="Times New Roman" w:eastAsia="Calibri" w:hAnsi="Times New Roman" w:cs="Times New Roman"/>
          <w:bCs/>
          <w:sz w:val="28"/>
          <w:szCs w:val="28"/>
          <w:lang w:eastAsia="es-ES"/>
        </w:rPr>
        <w:t xml:space="preserve"> </w:t>
      </w:r>
      <w:r w:rsidRPr="00DB3EEA">
        <w:rPr>
          <w:rFonts w:ascii="Times New Roman" w:eastAsia="Calibri" w:hAnsi="Times New Roman" w:cs="Times New Roman"/>
          <w:bCs/>
          <w:sz w:val="28"/>
          <w:szCs w:val="28"/>
          <w:lang w:eastAsia="es-ES"/>
        </w:rPr>
        <w:t>(</w:t>
      </w:r>
      <w:r w:rsidRPr="00DB3EEA">
        <w:rPr>
          <w:rFonts w:ascii="Times New Roman" w:eastAsia="Calibri" w:hAnsi="Times New Roman" w:cs="Times New Roman"/>
          <w:bCs/>
          <w:i/>
          <w:iCs/>
          <w:sz w:val="28"/>
          <w:szCs w:val="28"/>
          <w:lang w:eastAsia="es-ES"/>
        </w:rPr>
        <w:t>claridad</w:t>
      </w:r>
      <w:r w:rsidRPr="00DB3EEA">
        <w:rPr>
          <w:rFonts w:ascii="Times New Roman" w:eastAsia="Calibri" w:hAnsi="Times New Roman" w:cs="Times New Roman"/>
          <w:bCs/>
          <w:sz w:val="28"/>
          <w:szCs w:val="28"/>
          <w:lang w:eastAsia="es-ES"/>
        </w:rPr>
        <w:t>). Asimismo, el cargo se funda en una proposición jurídica real, por cuanto la norma acusada establece una determinac</w:t>
      </w:r>
      <w:r w:rsidRPr="00DB3EEA">
        <w:rPr>
          <w:rFonts w:ascii="Times New Roman" w:eastAsia="Calibri" w:hAnsi="Times New Roman" w:cs="Times New Roman"/>
          <w:bCs/>
          <w:sz w:val="28"/>
          <w:szCs w:val="28"/>
          <w:lang w:eastAsia="es-ES"/>
        </w:rPr>
        <w:t>ión de la base gravable distinta para las mercancías importadas y los productos fabricados en zona franca, en comparación con los productos producidos en el territorio aduanero nacional (</w:t>
      </w:r>
      <w:r w:rsidRPr="00DB3EEA">
        <w:rPr>
          <w:rFonts w:ascii="Times New Roman" w:eastAsia="Calibri" w:hAnsi="Times New Roman" w:cs="Times New Roman"/>
          <w:bCs/>
          <w:i/>
          <w:iCs/>
          <w:sz w:val="28"/>
          <w:szCs w:val="28"/>
          <w:lang w:eastAsia="es-ES"/>
        </w:rPr>
        <w:t>certeza</w:t>
      </w:r>
      <w:r w:rsidRPr="00DB3EEA">
        <w:rPr>
          <w:rFonts w:ascii="Times New Roman" w:eastAsia="Calibri" w:hAnsi="Times New Roman" w:cs="Times New Roman"/>
          <w:bCs/>
          <w:sz w:val="28"/>
          <w:szCs w:val="28"/>
          <w:lang w:eastAsia="es-ES"/>
        </w:rPr>
        <w:t xml:space="preserve">). </w:t>
      </w:r>
      <w:r w:rsidRPr="00DB3EEA">
        <w:rPr>
          <w:rFonts w:ascii="Times New Roman" w:eastAsia="Calibri" w:hAnsi="Times New Roman" w:cs="Times New Roman"/>
          <w:bCs/>
          <w:sz w:val="28"/>
          <w:szCs w:val="28"/>
          <w:lang w:eastAsia="es-ES"/>
        </w:rPr>
        <w:t>A su vez, el señalamiento implica una confrontación directa</w:t>
      </w:r>
      <w:r w:rsidRPr="00DB3EEA">
        <w:rPr>
          <w:rFonts w:ascii="Times New Roman" w:eastAsia="Calibri" w:hAnsi="Times New Roman" w:cs="Times New Roman"/>
          <w:bCs/>
          <w:sz w:val="28"/>
          <w:szCs w:val="28"/>
          <w:lang w:eastAsia="es-ES"/>
        </w:rPr>
        <w:t xml:space="preserve"> y concreta entre la disposición acusada y las normas constitucionales que se alegan como vulneradas, relativas a la competencia para establecer aranceles. En efecto, bajo la premisa de que la distinción en las bases gravables resulte más gravosa para los </w:t>
      </w:r>
      <w:r w:rsidRPr="00DB3EEA">
        <w:rPr>
          <w:rFonts w:ascii="Times New Roman" w:eastAsia="Calibri" w:hAnsi="Times New Roman" w:cs="Times New Roman"/>
          <w:bCs/>
          <w:sz w:val="28"/>
          <w:szCs w:val="28"/>
          <w:lang w:eastAsia="es-ES"/>
        </w:rPr>
        <w:t xml:space="preserve">productos importados con el fin de desincentivar las importaciones, sería posible considerar que la medida vulnera los preceptos contenidos en los artículos 150-19 y 189-25 de la Constitución </w:t>
      </w:r>
      <w:r w:rsidRPr="00DB3EEA">
        <w:rPr>
          <w:rFonts w:ascii="Times New Roman" w:eastAsia="Calibri" w:hAnsi="Times New Roman" w:cs="Times New Roman"/>
          <w:bCs/>
          <w:sz w:val="28"/>
          <w:szCs w:val="28"/>
          <w:lang w:eastAsia="es-ES"/>
        </w:rPr>
        <w:t>(</w:t>
      </w:r>
      <w:r w:rsidRPr="00DB3EEA">
        <w:rPr>
          <w:rFonts w:ascii="Times New Roman" w:eastAsia="Calibri" w:hAnsi="Times New Roman" w:cs="Times New Roman"/>
          <w:bCs/>
          <w:i/>
          <w:iCs/>
          <w:sz w:val="28"/>
          <w:szCs w:val="28"/>
          <w:lang w:eastAsia="es-ES"/>
        </w:rPr>
        <w:t>especificidad</w:t>
      </w:r>
      <w:r w:rsidRPr="00DB3EEA">
        <w:rPr>
          <w:rFonts w:ascii="Times New Roman" w:eastAsia="Calibri" w:hAnsi="Times New Roman" w:cs="Times New Roman"/>
          <w:bCs/>
          <w:sz w:val="28"/>
          <w:szCs w:val="28"/>
          <w:lang w:eastAsia="es-ES"/>
        </w:rPr>
        <w:t>). Las razones expuestas son de índole constitucio</w:t>
      </w:r>
      <w:r w:rsidRPr="00DB3EEA">
        <w:rPr>
          <w:rFonts w:ascii="Times New Roman" w:eastAsia="Calibri" w:hAnsi="Times New Roman" w:cs="Times New Roman"/>
          <w:bCs/>
          <w:sz w:val="28"/>
          <w:szCs w:val="28"/>
          <w:lang w:eastAsia="es-ES"/>
        </w:rPr>
        <w:t>nal, en tanto permiten cuestionar si el Congreso superó las competencias que le asigna la Constitución Política (</w:t>
      </w:r>
      <w:r w:rsidRPr="00DB3EEA">
        <w:rPr>
          <w:rFonts w:ascii="Times New Roman" w:eastAsia="Calibri" w:hAnsi="Times New Roman" w:cs="Times New Roman"/>
          <w:bCs/>
          <w:i/>
          <w:iCs/>
          <w:sz w:val="28"/>
          <w:szCs w:val="28"/>
          <w:lang w:eastAsia="es-ES"/>
        </w:rPr>
        <w:t>pertinencia</w:t>
      </w:r>
      <w:r w:rsidRPr="00DB3EEA">
        <w:rPr>
          <w:rFonts w:ascii="Times New Roman" w:eastAsia="Calibri" w:hAnsi="Times New Roman" w:cs="Times New Roman"/>
          <w:bCs/>
          <w:sz w:val="28"/>
          <w:szCs w:val="28"/>
          <w:lang w:eastAsia="es-ES"/>
        </w:rPr>
        <w:t xml:space="preserve">); y, finalmente, los actores suscitan en su argumentación al menos un componente de duda suficiente para emprender el estudio de </w:t>
      </w:r>
      <w:r w:rsidRPr="00DB3EEA">
        <w:rPr>
          <w:rFonts w:ascii="Times New Roman" w:eastAsia="Calibri" w:hAnsi="Times New Roman" w:cs="Times New Roman"/>
          <w:bCs/>
          <w:sz w:val="28"/>
          <w:szCs w:val="28"/>
          <w:lang w:eastAsia="es-ES"/>
        </w:rPr>
        <w:t>constitucionalidad de la disposición acusada (</w:t>
      </w:r>
      <w:r w:rsidRPr="00DB3EEA">
        <w:rPr>
          <w:rFonts w:ascii="Times New Roman" w:eastAsia="Calibri" w:hAnsi="Times New Roman" w:cs="Times New Roman"/>
          <w:bCs/>
          <w:i/>
          <w:iCs/>
          <w:sz w:val="28"/>
          <w:szCs w:val="28"/>
          <w:lang w:eastAsia="es-ES"/>
        </w:rPr>
        <w:t>suficiencia</w:t>
      </w:r>
      <w:r w:rsidRPr="00DB3EEA">
        <w:rPr>
          <w:rFonts w:ascii="Times New Roman" w:eastAsia="Calibri" w:hAnsi="Times New Roman" w:cs="Times New Roman"/>
          <w:bCs/>
          <w:sz w:val="28"/>
          <w:szCs w:val="28"/>
          <w:lang w:eastAsia="es-ES"/>
        </w:rPr>
        <w:t>).</w:t>
      </w:r>
    </w:p>
    <w:p w:rsidR="001348B4" w:rsidRPr="00DB3EEA" w:rsidRDefault="00DB3EEA" w:rsidP="001348B4">
      <w:pPr>
        <w:pStyle w:val="Prrafodelista"/>
        <w:tabs>
          <w:tab w:val="left" w:pos="426"/>
        </w:tabs>
        <w:ind w:left="0"/>
        <w:jc w:val="both"/>
        <w:rPr>
          <w:rFonts w:ascii="Times New Roman" w:eastAsia="Calibri" w:hAnsi="Times New Roman" w:cs="Times New Roman"/>
          <w:bCs/>
          <w:sz w:val="28"/>
          <w:szCs w:val="28"/>
          <w:lang w:eastAsia="es-ES"/>
        </w:rPr>
      </w:pPr>
    </w:p>
    <w:p w:rsidR="00350A92" w:rsidRPr="00DB3EEA" w:rsidRDefault="00DB3EEA" w:rsidP="00751AE9">
      <w:pPr>
        <w:pStyle w:val="Prrafodelista"/>
        <w:numPr>
          <w:ilvl w:val="0"/>
          <w:numId w:val="1"/>
        </w:numPr>
        <w:tabs>
          <w:tab w:val="left" w:pos="426"/>
        </w:tabs>
        <w:ind w:left="0" w:firstLine="0"/>
        <w:jc w:val="both"/>
        <w:rPr>
          <w:rFonts w:ascii="Times New Roman" w:eastAsia="Calibri" w:hAnsi="Times New Roman" w:cs="Times New Roman"/>
          <w:bCs/>
          <w:sz w:val="28"/>
          <w:szCs w:val="28"/>
          <w:lang w:eastAsia="es-ES"/>
        </w:rPr>
      </w:pPr>
      <w:r w:rsidRPr="00DB3EEA">
        <w:rPr>
          <w:rFonts w:ascii="Times New Roman" w:eastAsia="Calibri" w:hAnsi="Times New Roman" w:cs="Times New Roman"/>
          <w:bCs/>
          <w:sz w:val="28"/>
          <w:szCs w:val="28"/>
          <w:lang w:eastAsia="es-ES"/>
        </w:rPr>
        <w:t>Según los demandantes, la diferencia en la determinación de la base gravable entre productos nacionales e internacionales resulta más gravosa para las mercancías importadas y para los productos f</w:t>
      </w:r>
      <w:r w:rsidRPr="00DB3EEA">
        <w:rPr>
          <w:rFonts w:ascii="Times New Roman" w:eastAsia="Calibri" w:hAnsi="Times New Roman" w:cs="Times New Roman"/>
          <w:bCs/>
          <w:sz w:val="28"/>
          <w:szCs w:val="28"/>
          <w:lang w:eastAsia="es-ES"/>
        </w:rPr>
        <w:t>abricados en zonas francas</w:t>
      </w:r>
      <w:r w:rsidRPr="00DB3EEA">
        <w:rPr>
          <w:rFonts w:ascii="Times New Roman" w:eastAsia="Calibri" w:hAnsi="Times New Roman" w:cs="Times New Roman"/>
          <w:bCs/>
          <w:sz w:val="28"/>
          <w:szCs w:val="28"/>
          <w:lang w:eastAsia="es-ES"/>
        </w:rPr>
        <w:t xml:space="preserve"> (al incluir el IVA)</w:t>
      </w:r>
      <w:r w:rsidRPr="00DB3EEA">
        <w:rPr>
          <w:rFonts w:ascii="Times New Roman" w:eastAsia="Calibri" w:hAnsi="Times New Roman" w:cs="Times New Roman"/>
          <w:bCs/>
          <w:sz w:val="28"/>
          <w:szCs w:val="28"/>
          <w:lang w:eastAsia="es-ES"/>
        </w:rPr>
        <w:t xml:space="preserve">. A su juicio, esa mayor carga no encuentra justificación en ningún apartado del proyecto de ley </w:t>
      </w:r>
      <w:r w:rsidRPr="00DB3EEA">
        <w:rPr>
          <w:rFonts w:ascii="Times New Roman" w:eastAsia="Calibri" w:hAnsi="Times New Roman" w:cs="Times New Roman"/>
          <w:bCs/>
          <w:sz w:val="28"/>
          <w:szCs w:val="28"/>
          <w:lang w:eastAsia="es-ES"/>
        </w:rPr>
        <w:t xml:space="preserve">o el debate Legislativo </w:t>
      </w:r>
      <w:r w:rsidRPr="00DB3EEA">
        <w:rPr>
          <w:rFonts w:ascii="Times New Roman" w:eastAsia="Calibri" w:hAnsi="Times New Roman" w:cs="Times New Roman"/>
          <w:bCs/>
          <w:sz w:val="28"/>
          <w:szCs w:val="28"/>
          <w:lang w:eastAsia="es-ES"/>
        </w:rPr>
        <w:t>y, por lo tanto, solo puede explicarse por la intención de gravar de manera más onerosa l</w:t>
      </w:r>
      <w:r w:rsidRPr="00DB3EEA">
        <w:rPr>
          <w:rFonts w:ascii="Times New Roman" w:eastAsia="Calibri" w:hAnsi="Times New Roman" w:cs="Times New Roman"/>
          <w:bCs/>
          <w:sz w:val="28"/>
          <w:szCs w:val="28"/>
          <w:lang w:eastAsia="es-ES"/>
        </w:rPr>
        <w:t>os productos producidos fuera del territorio aduanero nacional con el fin de favorecer la industria nacional. Sostienen que este tipo de decisiones, orientadas a beneficiar la producción nacional frente a la extranjera, constituyen medidas de carácter come</w:t>
      </w:r>
      <w:r w:rsidRPr="00DB3EEA">
        <w:rPr>
          <w:rFonts w:ascii="Times New Roman" w:eastAsia="Calibri" w:hAnsi="Times New Roman" w:cs="Times New Roman"/>
          <w:bCs/>
          <w:sz w:val="28"/>
          <w:szCs w:val="28"/>
          <w:lang w:eastAsia="es-ES"/>
        </w:rPr>
        <w:t xml:space="preserve">rcial que, conforme a la reserva de ley marco, corresponden exclusivamente al Presidente de la República. </w:t>
      </w:r>
      <w:r w:rsidRPr="00DB3EEA">
        <w:rPr>
          <w:rFonts w:ascii="Times New Roman" w:eastAsia="Calibri" w:hAnsi="Times New Roman" w:cs="Times New Roman"/>
          <w:bCs/>
          <w:sz w:val="28"/>
          <w:szCs w:val="28"/>
          <w:lang w:eastAsia="es-ES"/>
        </w:rPr>
        <w:t xml:space="preserve">En sus palabras, </w:t>
      </w:r>
      <w:r w:rsidRPr="00DB3EEA">
        <w:rPr>
          <w:rFonts w:ascii="Times New Roman" w:eastAsia="Calibri" w:hAnsi="Times New Roman" w:cs="Times New Roman"/>
          <w:bCs/>
          <w:sz w:val="28"/>
          <w:szCs w:val="28"/>
          <w:lang w:eastAsia="es-ES"/>
        </w:rPr>
        <w:t xml:space="preserve">la norma acusada </w:t>
      </w:r>
      <w:r w:rsidRPr="00DB3EEA">
        <w:rPr>
          <w:rFonts w:ascii="Times New Roman" w:eastAsia="Calibri" w:hAnsi="Times New Roman" w:cs="Times New Roman"/>
          <w:bCs/>
          <w:sz w:val="28"/>
          <w:szCs w:val="28"/>
          <w:lang w:eastAsia="es-ES"/>
        </w:rPr>
        <w:t>“</w:t>
      </w:r>
      <w:r w:rsidRPr="00DB3EEA">
        <w:rPr>
          <w:rFonts w:ascii="Times New Roman" w:eastAsia="Calibri" w:hAnsi="Times New Roman" w:cs="Times New Roman"/>
          <w:bCs/>
          <w:sz w:val="28"/>
          <w:szCs w:val="28"/>
          <w:lang w:eastAsia="es-ES"/>
        </w:rPr>
        <w:t>ha creado un arancel por medio de la técnica de aumentar la base gravable del producto importado respecto del nacio</w:t>
      </w:r>
      <w:r w:rsidRPr="00DB3EEA">
        <w:rPr>
          <w:rFonts w:ascii="Times New Roman" w:eastAsia="Calibri" w:hAnsi="Times New Roman" w:cs="Times New Roman"/>
          <w:bCs/>
          <w:sz w:val="28"/>
          <w:szCs w:val="28"/>
          <w:lang w:eastAsia="es-ES"/>
        </w:rPr>
        <w:t>nal”</w:t>
      </w:r>
      <w:r w:rsidRPr="00DB3EEA">
        <w:rPr>
          <w:rStyle w:val="Refdenotaalpie"/>
          <w:rFonts w:ascii="Times New Roman" w:eastAsia="Calibri" w:hAnsi="Times New Roman" w:cs="Times New Roman"/>
          <w:bCs/>
          <w:sz w:val="28"/>
          <w:szCs w:val="28"/>
          <w:lang w:eastAsia="es-ES"/>
        </w:rPr>
        <w:footnoteReference w:id="128"/>
      </w:r>
      <w:r w:rsidRPr="00DB3EEA">
        <w:rPr>
          <w:rFonts w:ascii="Times New Roman" w:eastAsia="Calibri" w:hAnsi="Times New Roman" w:cs="Times New Roman"/>
          <w:bCs/>
          <w:sz w:val="28"/>
          <w:szCs w:val="28"/>
          <w:lang w:eastAsia="es-ES"/>
        </w:rPr>
        <w:t xml:space="preserve">. </w:t>
      </w:r>
      <w:r w:rsidRPr="00DB3EEA">
        <w:rPr>
          <w:rFonts w:ascii="Times New Roman" w:eastAsia="Calibri" w:hAnsi="Times New Roman" w:cs="Times New Roman"/>
          <w:bCs/>
          <w:sz w:val="28"/>
          <w:szCs w:val="28"/>
          <w:lang w:eastAsia="es-ES"/>
        </w:rPr>
        <w:t>En consecuencia, argumentan que la distinción en las bases gravables desconoce lo dispuesto en los artículos 150-19 y 189-25 de la Constitución Política y, por tanto, solicitan que la disposición sea declarada inexequible</w:t>
      </w:r>
      <w:r w:rsidRPr="00DB3EEA">
        <w:rPr>
          <w:rFonts w:ascii="Times New Roman" w:eastAsia="Calibri" w:hAnsi="Times New Roman" w:cs="Times New Roman"/>
          <w:bCs/>
          <w:sz w:val="28"/>
          <w:szCs w:val="28"/>
          <w:lang w:eastAsia="es-ES"/>
        </w:rPr>
        <w:t xml:space="preserve">. </w:t>
      </w:r>
    </w:p>
    <w:p w:rsidR="001348B4" w:rsidRPr="00DB3EEA" w:rsidRDefault="00DB3EEA" w:rsidP="00751AE9">
      <w:pPr>
        <w:pStyle w:val="Prrafodelista"/>
        <w:tabs>
          <w:tab w:val="left" w:pos="426"/>
        </w:tabs>
        <w:ind w:left="0"/>
        <w:jc w:val="both"/>
        <w:rPr>
          <w:rFonts w:ascii="Times New Roman" w:eastAsia="Calibri" w:hAnsi="Times New Roman" w:cs="Times New Roman"/>
          <w:bCs/>
          <w:sz w:val="28"/>
          <w:szCs w:val="28"/>
          <w:lang w:eastAsia="es-ES"/>
        </w:rPr>
      </w:pPr>
    </w:p>
    <w:p w:rsidR="00751AE9" w:rsidRPr="00DB3EEA" w:rsidRDefault="00DB3EEA" w:rsidP="00751AE9">
      <w:pPr>
        <w:pStyle w:val="Prrafodelista"/>
        <w:numPr>
          <w:ilvl w:val="0"/>
          <w:numId w:val="1"/>
        </w:numPr>
        <w:tabs>
          <w:tab w:val="left" w:pos="426"/>
        </w:tabs>
        <w:ind w:left="0" w:firstLine="0"/>
        <w:jc w:val="both"/>
        <w:rPr>
          <w:rFonts w:ascii="Times New Roman" w:eastAsia="Calibri" w:hAnsi="Times New Roman" w:cs="Times New Roman"/>
          <w:bCs/>
          <w:sz w:val="28"/>
          <w:szCs w:val="28"/>
          <w:lang w:eastAsia="es-ES"/>
        </w:rPr>
      </w:pPr>
      <w:r w:rsidRPr="00DB3EEA">
        <w:rPr>
          <w:rFonts w:ascii="Times New Roman" w:hAnsi="Times New Roman" w:cs="Times New Roman"/>
          <w:sz w:val="28"/>
          <w:szCs w:val="28"/>
        </w:rPr>
        <w:t xml:space="preserve">Finalmente, la Corte Constitucional considera que </w:t>
      </w:r>
      <w:r w:rsidRPr="00DB3EEA">
        <w:rPr>
          <w:rFonts w:ascii="Times New Roman" w:hAnsi="Times New Roman" w:cs="Times New Roman"/>
          <w:i/>
          <w:iCs/>
          <w:sz w:val="28"/>
          <w:szCs w:val="28"/>
        </w:rPr>
        <w:t>el cargo referente a la</w:t>
      </w:r>
      <w:r w:rsidRPr="00DB3EEA">
        <w:rPr>
          <w:rFonts w:ascii="Times New Roman" w:hAnsi="Times New Roman" w:cs="Times New Roman"/>
          <w:sz w:val="28"/>
          <w:szCs w:val="28"/>
        </w:rPr>
        <w:t xml:space="preserve"> </w:t>
      </w:r>
      <w:r w:rsidRPr="00DB3EEA">
        <w:rPr>
          <w:rFonts w:ascii="Times New Roman" w:hAnsi="Times New Roman" w:cs="Times New Roman"/>
          <w:i/>
          <w:iCs/>
          <w:sz w:val="28"/>
          <w:szCs w:val="28"/>
        </w:rPr>
        <w:t xml:space="preserve">violación del derecho a la libre competencia económica </w:t>
      </w:r>
      <w:r w:rsidRPr="00DB3EEA">
        <w:rPr>
          <w:rFonts w:ascii="Times New Roman" w:hAnsi="Times New Roman" w:cs="Times New Roman"/>
          <w:sz w:val="28"/>
          <w:szCs w:val="28"/>
        </w:rPr>
        <w:t>no satisface los requisitos de aptitud desarrollados por la jurisprudencia constitucional.</w:t>
      </w:r>
    </w:p>
    <w:p w:rsidR="00751AE9" w:rsidRPr="00DB3EEA" w:rsidRDefault="00DB3EEA" w:rsidP="00751AE9">
      <w:pPr>
        <w:pStyle w:val="Prrafodelista"/>
        <w:jc w:val="both"/>
        <w:rPr>
          <w:rFonts w:ascii="Times New Roman" w:hAnsi="Times New Roman" w:cs="Times New Roman"/>
          <w:sz w:val="28"/>
          <w:szCs w:val="28"/>
        </w:rPr>
      </w:pPr>
    </w:p>
    <w:p w:rsidR="00751AE9" w:rsidRPr="00DB3EEA" w:rsidRDefault="00DB3EEA" w:rsidP="00751AE9">
      <w:pPr>
        <w:pStyle w:val="Prrafodelista"/>
        <w:numPr>
          <w:ilvl w:val="0"/>
          <w:numId w:val="1"/>
        </w:numPr>
        <w:tabs>
          <w:tab w:val="left" w:pos="426"/>
        </w:tabs>
        <w:ind w:left="0" w:firstLine="0"/>
        <w:jc w:val="both"/>
        <w:rPr>
          <w:rFonts w:ascii="Times New Roman" w:eastAsia="Calibri" w:hAnsi="Times New Roman" w:cs="Times New Roman"/>
          <w:bCs/>
          <w:sz w:val="28"/>
          <w:szCs w:val="28"/>
          <w:lang w:eastAsia="es-ES"/>
        </w:rPr>
      </w:pPr>
      <w:r w:rsidRPr="00DB3EEA">
        <w:rPr>
          <w:rFonts w:ascii="Times New Roman" w:eastAsia="Calibri" w:hAnsi="Times New Roman" w:cs="Times New Roman"/>
          <w:bCs/>
          <w:sz w:val="28"/>
          <w:szCs w:val="28"/>
          <w:lang w:eastAsia="es-ES"/>
        </w:rPr>
        <w:t xml:space="preserve">En primer lugar, el señalamiento carece de </w:t>
      </w:r>
      <w:r w:rsidRPr="00DB3EEA">
        <w:rPr>
          <w:rFonts w:ascii="Times New Roman" w:eastAsia="Calibri" w:hAnsi="Times New Roman" w:cs="Times New Roman"/>
          <w:bCs/>
          <w:i/>
          <w:iCs/>
          <w:sz w:val="28"/>
          <w:szCs w:val="28"/>
          <w:lang w:eastAsia="es-ES"/>
        </w:rPr>
        <w:t>claridad</w:t>
      </w:r>
      <w:r w:rsidRPr="00DB3EEA">
        <w:rPr>
          <w:rFonts w:ascii="Times New Roman" w:eastAsia="Calibri" w:hAnsi="Times New Roman" w:cs="Times New Roman"/>
          <w:bCs/>
          <w:sz w:val="28"/>
          <w:szCs w:val="28"/>
          <w:lang w:eastAsia="es-ES"/>
        </w:rPr>
        <w:t xml:space="preserve"> en la medida en que no determinó los sujetos que, supuestamente, serían afectados por la violación del principio de libre competencia. Los actores afirmaron que existe una “diferenciación entre consumidor</w:t>
      </w:r>
      <w:r w:rsidRPr="00DB3EEA">
        <w:rPr>
          <w:rFonts w:ascii="Times New Roman" w:eastAsia="Calibri" w:hAnsi="Times New Roman" w:cs="Times New Roman"/>
          <w:bCs/>
          <w:sz w:val="28"/>
          <w:szCs w:val="28"/>
          <w:lang w:eastAsia="es-ES"/>
        </w:rPr>
        <w:t>es” y, posteriormente, indicaron que la norma afecta a estos últimos y a los productores, sin distinguir las posibles repercusiones que recaerían sobre estos o aquellos. Además, los planteamientos formulados no precisan si el reproche se refiere a uno de e</w:t>
      </w:r>
      <w:r w:rsidRPr="00DB3EEA">
        <w:rPr>
          <w:rFonts w:ascii="Times New Roman" w:eastAsia="Calibri" w:hAnsi="Times New Roman" w:cs="Times New Roman"/>
          <w:bCs/>
          <w:sz w:val="28"/>
          <w:szCs w:val="28"/>
          <w:lang w:eastAsia="es-ES"/>
        </w:rPr>
        <w:t>stos grupos en particular o a ambos. Por lo tanto, no es comprensible el alcance de la censura propuesta. Adicionalmente, los demandantes no explicaron cuáles son las consecuencias jurídicas contrarias a la libre competencia que la norma acusada genera res</w:t>
      </w:r>
      <w:r w:rsidRPr="00DB3EEA">
        <w:rPr>
          <w:rFonts w:ascii="Times New Roman" w:eastAsia="Calibri" w:hAnsi="Times New Roman" w:cs="Times New Roman"/>
          <w:bCs/>
          <w:sz w:val="28"/>
          <w:szCs w:val="28"/>
          <w:lang w:eastAsia="es-ES"/>
        </w:rPr>
        <w:t xml:space="preserve">pecto de los consumidores o de los productores. Esta última falencia argumentativa incide, además, en el incumplimiento del requisito de </w:t>
      </w:r>
      <w:r w:rsidRPr="00DB3EEA">
        <w:rPr>
          <w:rFonts w:ascii="Times New Roman" w:eastAsia="Calibri" w:hAnsi="Times New Roman" w:cs="Times New Roman"/>
          <w:bCs/>
          <w:i/>
          <w:iCs/>
          <w:sz w:val="28"/>
          <w:szCs w:val="28"/>
          <w:lang w:eastAsia="es-ES"/>
        </w:rPr>
        <w:t>especificidad</w:t>
      </w:r>
      <w:r w:rsidRPr="00DB3EEA">
        <w:rPr>
          <w:rFonts w:ascii="Times New Roman" w:eastAsia="Calibri" w:hAnsi="Times New Roman" w:cs="Times New Roman"/>
          <w:bCs/>
          <w:sz w:val="28"/>
          <w:szCs w:val="28"/>
          <w:lang w:eastAsia="es-ES"/>
        </w:rPr>
        <w:t>.</w:t>
      </w:r>
    </w:p>
    <w:p w:rsidR="00751AE9" w:rsidRPr="00DB3EEA" w:rsidRDefault="00DB3EEA" w:rsidP="00751AE9">
      <w:pPr>
        <w:pStyle w:val="Prrafodelista"/>
        <w:jc w:val="both"/>
        <w:rPr>
          <w:rFonts w:ascii="Times New Roman" w:hAnsi="Times New Roman" w:cs="Times New Roman"/>
          <w:sz w:val="28"/>
          <w:szCs w:val="28"/>
        </w:rPr>
      </w:pPr>
    </w:p>
    <w:p w:rsidR="00751AE9" w:rsidRPr="00DB3EEA" w:rsidRDefault="00DB3EEA" w:rsidP="00751AE9">
      <w:pPr>
        <w:pStyle w:val="Prrafodelista"/>
        <w:numPr>
          <w:ilvl w:val="0"/>
          <w:numId w:val="1"/>
        </w:numPr>
        <w:tabs>
          <w:tab w:val="left" w:pos="426"/>
        </w:tabs>
        <w:ind w:left="0" w:firstLine="0"/>
        <w:jc w:val="both"/>
        <w:rPr>
          <w:rFonts w:ascii="Times New Roman" w:eastAsia="Calibri" w:hAnsi="Times New Roman" w:cs="Times New Roman"/>
          <w:bCs/>
          <w:sz w:val="28"/>
          <w:szCs w:val="28"/>
          <w:lang w:eastAsia="es-ES"/>
        </w:rPr>
      </w:pPr>
      <w:r w:rsidRPr="00DB3EEA">
        <w:rPr>
          <w:rFonts w:ascii="Times New Roman" w:eastAsia="Calibri" w:hAnsi="Times New Roman" w:cs="Times New Roman"/>
          <w:bCs/>
          <w:sz w:val="28"/>
          <w:szCs w:val="28"/>
          <w:lang w:eastAsia="es-ES"/>
        </w:rPr>
        <w:t>Asimismo</w:t>
      </w:r>
      <w:r w:rsidRPr="00DB3EEA">
        <w:rPr>
          <w:rFonts w:ascii="Times New Roman" w:eastAsia="Calibri" w:hAnsi="Times New Roman" w:cs="Times New Roman"/>
          <w:sz w:val="28"/>
          <w:szCs w:val="28"/>
          <w:lang w:eastAsia="es-ES"/>
        </w:rPr>
        <w:t>, los demandantes sostuvieron que la libre competencia económica se trasgrede al imponer:</w:t>
      </w:r>
    </w:p>
    <w:p w:rsidR="00751AE9" w:rsidRPr="00DB3EEA" w:rsidRDefault="00DB3EEA" w:rsidP="00751AE9">
      <w:pPr>
        <w:pStyle w:val="Prrafodelista"/>
        <w:jc w:val="both"/>
        <w:rPr>
          <w:rFonts w:ascii="Times New Roman" w:eastAsia="Calibri" w:hAnsi="Times New Roman" w:cs="Times New Roman"/>
          <w:sz w:val="28"/>
          <w:szCs w:val="28"/>
          <w:lang w:eastAsia="es-ES"/>
        </w:rPr>
      </w:pPr>
    </w:p>
    <w:p w:rsidR="00751AE9" w:rsidRPr="00DB3EEA" w:rsidRDefault="00DB3EEA" w:rsidP="006E7593">
      <w:pPr>
        <w:pStyle w:val="Prrafodelista"/>
        <w:ind w:left="567"/>
        <w:jc w:val="both"/>
        <w:rPr>
          <w:rFonts w:ascii="Times New Roman" w:hAnsi="Times New Roman" w:cs="Times New Roman"/>
          <w:sz w:val="28"/>
          <w:szCs w:val="28"/>
        </w:rPr>
      </w:pPr>
      <w:r w:rsidRPr="00DB3EEA">
        <w:rPr>
          <w:rFonts w:ascii="Times New Roman" w:eastAsia="Calibri" w:hAnsi="Times New Roman" w:cs="Times New Roman"/>
          <w:sz w:val="28"/>
          <w:szCs w:val="28"/>
          <w:lang w:eastAsia="es-ES"/>
        </w:rPr>
        <w:t>“una</w:t>
      </w:r>
      <w:r w:rsidRPr="00DB3EEA">
        <w:rPr>
          <w:rFonts w:ascii="Times New Roman" w:eastAsia="Calibri" w:hAnsi="Times New Roman" w:cs="Times New Roman"/>
          <w:sz w:val="28"/>
          <w:szCs w:val="28"/>
          <w:lang w:eastAsia="es-ES"/>
        </w:rPr>
        <w:t xml:space="preserve"> base gravable mayor y, por lo tanto, una tarifa más alta que a los consumidores de los productos ultraprocesados nacionales. Con esta diferenciación, la norma legal demandada no solo desincentiva el consumo de productos ultraprocesados —finalidad y efecto</w:t>
      </w:r>
      <w:r w:rsidRPr="00DB3EEA">
        <w:rPr>
          <w:rFonts w:ascii="Times New Roman" w:eastAsia="Calibri" w:hAnsi="Times New Roman" w:cs="Times New Roman"/>
          <w:sz w:val="28"/>
          <w:szCs w:val="28"/>
          <w:lang w:eastAsia="es-ES"/>
        </w:rPr>
        <w:t xml:space="preserve"> que no se discuten en esta demanda— sino que adicionalmente desincentiva en una mayor proporción el consumo de los productos importados. De contera, la norma estimula la compra y producción nacional de los productos ultraprocesados</w:t>
      </w:r>
      <w:r w:rsidRPr="00DB3EEA">
        <w:rPr>
          <w:rFonts w:ascii="Times New Roman" w:hAnsi="Times New Roman" w:cs="Times New Roman"/>
          <w:sz w:val="28"/>
          <w:szCs w:val="28"/>
          <w:lang w:eastAsia="es-ES"/>
        </w:rPr>
        <w:t>”</w:t>
      </w:r>
      <w:r w:rsidRPr="00DB3EEA">
        <w:rPr>
          <w:rStyle w:val="Refdenotaalpie"/>
          <w:rFonts w:ascii="Times New Roman" w:hAnsi="Times New Roman" w:cs="Times New Roman"/>
          <w:sz w:val="28"/>
          <w:szCs w:val="28"/>
        </w:rPr>
        <w:footnoteReference w:id="129"/>
      </w:r>
      <w:r w:rsidRPr="00DB3EEA">
        <w:rPr>
          <w:rFonts w:ascii="Times New Roman" w:hAnsi="Times New Roman" w:cs="Times New Roman"/>
          <w:sz w:val="28"/>
          <w:szCs w:val="28"/>
        </w:rPr>
        <w:t>.</w:t>
      </w:r>
    </w:p>
    <w:p w:rsidR="00751AE9" w:rsidRPr="00DB3EEA" w:rsidRDefault="00DB3EEA" w:rsidP="00751AE9">
      <w:pPr>
        <w:pStyle w:val="Prrafodelista"/>
        <w:tabs>
          <w:tab w:val="left" w:pos="426"/>
        </w:tabs>
        <w:ind w:left="0"/>
        <w:jc w:val="both"/>
        <w:rPr>
          <w:rFonts w:ascii="Times New Roman" w:eastAsia="Calibri" w:hAnsi="Times New Roman" w:cs="Times New Roman"/>
          <w:bCs/>
          <w:sz w:val="28"/>
          <w:szCs w:val="28"/>
          <w:lang w:eastAsia="es-ES"/>
        </w:rPr>
      </w:pPr>
    </w:p>
    <w:p w:rsidR="00751AE9" w:rsidRPr="00DB3EEA" w:rsidRDefault="00DB3EEA" w:rsidP="00751AE9">
      <w:pPr>
        <w:pStyle w:val="Prrafodelista"/>
        <w:numPr>
          <w:ilvl w:val="0"/>
          <w:numId w:val="1"/>
        </w:numPr>
        <w:tabs>
          <w:tab w:val="left" w:pos="426"/>
        </w:tabs>
        <w:ind w:left="0" w:firstLine="0"/>
        <w:jc w:val="both"/>
        <w:rPr>
          <w:rFonts w:ascii="Times New Roman" w:eastAsia="Calibri" w:hAnsi="Times New Roman" w:cs="Times New Roman"/>
          <w:bCs/>
          <w:sz w:val="28"/>
          <w:szCs w:val="28"/>
          <w:lang w:eastAsia="es-ES"/>
        </w:rPr>
      </w:pPr>
      <w:r w:rsidRPr="00DB3EEA">
        <w:rPr>
          <w:rFonts w:ascii="Times New Roman" w:eastAsia="Calibri" w:hAnsi="Times New Roman" w:cs="Times New Roman"/>
          <w:sz w:val="28"/>
          <w:szCs w:val="28"/>
          <w:lang w:eastAsia="es-ES"/>
        </w:rPr>
        <w:t>El referido plantea</w:t>
      </w:r>
      <w:r w:rsidRPr="00DB3EEA">
        <w:rPr>
          <w:rFonts w:ascii="Times New Roman" w:eastAsia="Calibri" w:hAnsi="Times New Roman" w:cs="Times New Roman"/>
          <w:sz w:val="28"/>
          <w:szCs w:val="28"/>
          <w:lang w:eastAsia="es-ES"/>
        </w:rPr>
        <w:t>miento incumple el requisito de claridad, en la medida en que supone una contradicción. De una parte, los actores indican que no se discuten los efectos de la disposición, pero que la misma tiene como “finalidad y efecto” desincentivar el consumo de produc</w:t>
      </w:r>
      <w:r w:rsidRPr="00DB3EEA">
        <w:rPr>
          <w:rFonts w:ascii="Times New Roman" w:eastAsia="Calibri" w:hAnsi="Times New Roman" w:cs="Times New Roman"/>
          <w:sz w:val="28"/>
          <w:szCs w:val="28"/>
          <w:lang w:eastAsia="es-ES"/>
        </w:rPr>
        <w:t>tos ultraprocesados. De otra, a continuación, refieren que dicha norma “estimula la compra y producción nacional” de dicha categoría de bienes. De igual forma, pese a que en el auto inadmisorio, tal y como lo ponen de presente algunos intervinientes, se ad</w:t>
      </w:r>
      <w:r w:rsidRPr="00DB3EEA">
        <w:rPr>
          <w:rFonts w:ascii="Times New Roman" w:eastAsia="Calibri" w:hAnsi="Times New Roman" w:cs="Times New Roman"/>
          <w:sz w:val="28"/>
          <w:szCs w:val="28"/>
          <w:lang w:eastAsia="es-ES"/>
        </w:rPr>
        <w:t xml:space="preserve">virtió que no es posible predicar la existencia de un grupo de compradores de productor nacionales y otro de importados a los que se les estimula o desestimule la adquisición de productos no saludables dependiendo su origen, sus argumentos siguen contando </w:t>
      </w:r>
      <w:r w:rsidRPr="00DB3EEA">
        <w:rPr>
          <w:rFonts w:ascii="Times New Roman" w:eastAsia="Calibri" w:hAnsi="Times New Roman" w:cs="Times New Roman"/>
          <w:sz w:val="28"/>
          <w:szCs w:val="28"/>
          <w:lang w:eastAsia="es-ES"/>
        </w:rPr>
        <w:t>con el referido fundamento</w:t>
      </w:r>
      <w:r w:rsidRPr="00DB3EEA">
        <w:rPr>
          <w:rFonts w:ascii="Times New Roman" w:hAnsi="Times New Roman" w:cs="Times New Roman"/>
          <w:sz w:val="28"/>
          <w:szCs w:val="28"/>
        </w:rPr>
        <w:t>.</w:t>
      </w:r>
    </w:p>
    <w:p w:rsidR="00751AE9" w:rsidRPr="00DB3EEA" w:rsidRDefault="00DB3EEA" w:rsidP="00751AE9">
      <w:pPr>
        <w:pStyle w:val="Prrafodelista"/>
        <w:tabs>
          <w:tab w:val="left" w:pos="426"/>
        </w:tabs>
        <w:ind w:left="0"/>
        <w:jc w:val="both"/>
        <w:rPr>
          <w:rFonts w:ascii="Times New Roman" w:eastAsia="Calibri" w:hAnsi="Times New Roman" w:cs="Times New Roman"/>
          <w:bCs/>
          <w:sz w:val="28"/>
          <w:szCs w:val="28"/>
          <w:lang w:eastAsia="es-ES"/>
        </w:rPr>
      </w:pPr>
    </w:p>
    <w:p w:rsidR="00751AE9" w:rsidRPr="00DB3EEA" w:rsidRDefault="00DB3EEA" w:rsidP="006201BB">
      <w:pPr>
        <w:pStyle w:val="Prrafodelista"/>
        <w:numPr>
          <w:ilvl w:val="0"/>
          <w:numId w:val="1"/>
        </w:numPr>
        <w:tabs>
          <w:tab w:val="left" w:pos="284"/>
        </w:tabs>
        <w:ind w:left="0" w:right="51" w:firstLine="0"/>
        <w:jc w:val="both"/>
        <w:rPr>
          <w:rFonts w:ascii="Times New Roman" w:eastAsia="Calibri" w:hAnsi="Times New Roman" w:cs="Times New Roman"/>
          <w:bCs/>
          <w:sz w:val="28"/>
          <w:szCs w:val="28"/>
          <w:lang w:eastAsia="es-ES"/>
        </w:rPr>
      </w:pPr>
      <w:r w:rsidRPr="00DB3EEA">
        <w:rPr>
          <w:rFonts w:ascii="Times New Roman" w:hAnsi="Times New Roman" w:cs="Times New Roman"/>
          <w:sz w:val="28"/>
          <w:szCs w:val="28"/>
        </w:rPr>
        <w:t>De igual modo, los actores sostuvieron que el precepto demandado: (i) “desestimul[a] en mayor proporción los ultraprocesados importados que los nacionales, y de contera, estimul[a] los nacionales”</w:t>
      </w:r>
      <w:r w:rsidRPr="00DB3EEA">
        <w:rPr>
          <w:rStyle w:val="Refdenotaalpie"/>
          <w:rFonts w:ascii="Times New Roman" w:hAnsi="Times New Roman" w:cs="Times New Roman"/>
          <w:sz w:val="28"/>
          <w:szCs w:val="28"/>
        </w:rPr>
        <w:footnoteReference w:id="130"/>
      </w:r>
      <w:r w:rsidRPr="00DB3EEA">
        <w:rPr>
          <w:rFonts w:ascii="Times New Roman" w:hAnsi="Times New Roman" w:cs="Times New Roman"/>
          <w:sz w:val="28"/>
          <w:szCs w:val="28"/>
        </w:rPr>
        <w:t xml:space="preserve">; y (ii) la norma ocasiona </w:t>
      </w:r>
      <w:r w:rsidRPr="00DB3EEA">
        <w:rPr>
          <w:rFonts w:ascii="Times New Roman" w:hAnsi="Times New Roman" w:cs="Times New Roman"/>
          <w:sz w:val="28"/>
          <w:szCs w:val="28"/>
        </w:rPr>
        <w:t>los</w:t>
      </w:r>
      <w:r w:rsidRPr="00DB3EEA">
        <w:rPr>
          <w:rFonts w:ascii="Times New Roman" w:hAnsi="Times New Roman" w:cs="Times New Roman"/>
          <w:sz w:val="28"/>
          <w:szCs w:val="28"/>
        </w:rPr>
        <w:t xml:space="preserve"> consumidores deban pagar un mayor impuesto por los productos ultraprocesados importados solo por su procedencia.</w:t>
      </w:r>
      <w:r w:rsidRPr="00DB3EEA">
        <w:rPr>
          <w:rFonts w:ascii="Times New Roman" w:hAnsi="Times New Roman" w:cs="Times New Roman"/>
          <w:sz w:val="28"/>
          <w:szCs w:val="28"/>
        </w:rPr>
        <w:t xml:space="preserve"> Sin embargo, estas consecuencias jurídicas no se deducen de la disposición demandada, por cuanto aquella únicamente establece formas diferenci</w:t>
      </w:r>
      <w:r w:rsidRPr="00DB3EEA">
        <w:rPr>
          <w:rFonts w:ascii="Times New Roman" w:hAnsi="Times New Roman" w:cs="Times New Roman"/>
          <w:sz w:val="28"/>
          <w:szCs w:val="28"/>
        </w:rPr>
        <w:t>adas de calcular la base gravable</w:t>
      </w:r>
      <w:r w:rsidRPr="00DB3EEA">
        <w:rPr>
          <w:rFonts w:ascii="Times New Roman" w:hAnsi="Times New Roman" w:cs="Times New Roman"/>
          <w:sz w:val="28"/>
          <w:szCs w:val="28"/>
        </w:rPr>
        <w:t>, y tal diferenciación no compromete directamente el costo final de los bienes comercializados, en tanto estos dependen de otras variables como los costos de producción</w:t>
      </w:r>
      <w:r w:rsidRPr="00DB3EEA">
        <w:rPr>
          <w:rFonts w:ascii="Times New Roman" w:hAnsi="Times New Roman" w:cs="Times New Roman"/>
          <w:sz w:val="28"/>
          <w:szCs w:val="28"/>
        </w:rPr>
        <w:t>. En este sentido, los actores le atribuyen unos efecto</w:t>
      </w:r>
      <w:r w:rsidRPr="00DB3EEA">
        <w:rPr>
          <w:rFonts w:ascii="Times New Roman" w:hAnsi="Times New Roman" w:cs="Times New Roman"/>
          <w:sz w:val="28"/>
          <w:szCs w:val="28"/>
        </w:rPr>
        <w:t xml:space="preserve">s a la norma acusada que no se desprenden directamente de ella y, por lo tanto, el cargo no satisface el presupuesto de </w:t>
      </w:r>
      <w:r w:rsidRPr="00DB3EEA">
        <w:rPr>
          <w:rFonts w:ascii="Times New Roman" w:hAnsi="Times New Roman" w:cs="Times New Roman"/>
          <w:i/>
          <w:iCs/>
          <w:sz w:val="28"/>
          <w:szCs w:val="28"/>
        </w:rPr>
        <w:t>certeza</w:t>
      </w:r>
      <w:r w:rsidRPr="00DB3EEA">
        <w:rPr>
          <w:rStyle w:val="Refdenotaalpie"/>
          <w:rFonts w:ascii="Times New Roman" w:hAnsi="Times New Roman" w:cs="Times New Roman"/>
          <w:sz w:val="28"/>
          <w:szCs w:val="28"/>
        </w:rPr>
        <w:footnoteReference w:id="131"/>
      </w:r>
      <w:r w:rsidRPr="00DB3EEA">
        <w:rPr>
          <w:rFonts w:ascii="Times New Roman" w:hAnsi="Times New Roman" w:cs="Times New Roman"/>
          <w:sz w:val="28"/>
          <w:szCs w:val="28"/>
        </w:rPr>
        <w:t xml:space="preserve">. </w:t>
      </w:r>
    </w:p>
    <w:p w:rsidR="00751AE9" w:rsidRPr="00DB3EEA" w:rsidRDefault="00DB3EEA" w:rsidP="00751AE9">
      <w:pPr>
        <w:jc w:val="both"/>
        <w:rPr>
          <w:rFonts w:ascii="Times New Roman" w:hAnsi="Times New Roman" w:cs="Times New Roman"/>
          <w:sz w:val="28"/>
          <w:szCs w:val="28"/>
        </w:rPr>
      </w:pPr>
    </w:p>
    <w:p w:rsidR="00751AE9" w:rsidRPr="00DB3EEA" w:rsidRDefault="00DB3EEA" w:rsidP="00751AE9">
      <w:pPr>
        <w:pStyle w:val="Prrafodelista"/>
        <w:numPr>
          <w:ilvl w:val="0"/>
          <w:numId w:val="1"/>
        </w:numPr>
        <w:tabs>
          <w:tab w:val="left" w:pos="426"/>
        </w:tabs>
        <w:ind w:left="0" w:firstLine="0"/>
        <w:jc w:val="both"/>
        <w:rPr>
          <w:rFonts w:ascii="Times New Roman" w:eastAsia="Calibri" w:hAnsi="Times New Roman" w:cs="Times New Roman"/>
          <w:bCs/>
          <w:sz w:val="28"/>
          <w:szCs w:val="28"/>
          <w:lang w:eastAsia="es-ES"/>
        </w:rPr>
      </w:pPr>
      <w:r w:rsidRPr="00DB3EEA">
        <w:rPr>
          <w:rFonts w:ascii="Times New Roman" w:hAnsi="Times New Roman" w:cs="Times New Roman"/>
          <w:sz w:val="28"/>
          <w:szCs w:val="28"/>
        </w:rPr>
        <w:t>Aunado a lo anterior, los accionantes señalaron que la norma demandada transgrede la libre competencia económica porque, al determinar una base gravable diferenciada para los productos importados o fabricados en zonas francas, ni los productores ni los con</w:t>
      </w:r>
      <w:r w:rsidRPr="00DB3EEA">
        <w:rPr>
          <w:rFonts w:ascii="Times New Roman" w:hAnsi="Times New Roman" w:cs="Times New Roman"/>
          <w:sz w:val="28"/>
          <w:szCs w:val="28"/>
        </w:rPr>
        <w:t xml:space="preserve">sumidores concurren en igualdad de condiciones. No obstante, este cargo no acredita la exigencia de </w:t>
      </w:r>
      <w:r w:rsidRPr="00DB3EEA">
        <w:rPr>
          <w:rFonts w:ascii="Times New Roman" w:hAnsi="Times New Roman" w:cs="Times New Roman"/>
          <w:i/>
          <w:iCs/>
          <w:sz w:val="28"/>
          <w:szCs w:val="28"/>
        </w:rPr>
        <w:t>especificidad</w:t>
      </w:r>
      <w:r w:rsidRPr="00DB3EEA">
        <w:rPr>
          <w:rFonts w:ascii="Times New Roman" w:hAnsi="Times New Roman" w:cs="Times New Roman"/>
          <w:sz w:val="28"/>
          <w:szCs w:val="28"/>
        </w:rPr>
        <w:t xml:space="preserve">, en la medida en que los actores no </w:t>
      </w:r>
      <w:r w:rsidRPr="00DB3EEA">
        <w:rPr>
          <w:rFonts w:ascii="Times New Roman" w:eastAsia="Calibri" w:hAnsi="Times New Roman" w:cs="Times New Roman"/>
          <w:bCs/>
          <w:sz w:val="28"/>
          <w:szCs w:val="28"/>
          <w:lang w:eastAsia="es-ES"/>
        </w:rPr>
        <w:t>identificaron de manera concreta cuál es la restricción a la libre competencia que impone el precepto acus</w:t>
      </w:r>
      <w:r w:rsidRPr="00DB3EEA">
        <w:rPr>
          <w:rFonts w:ascii="Times New Roman" w:eastAsia="Calibri" w:hAnsi="Times New Roman" w:cs="Times New Roman"/>
          <w:bCs/>
          <w:sz w:val="28"/>
          <w:szCs w:val="28"/>
          <w:lang w:eastAsia="es-ES"/>
        </w:rPr>
        <w:t>ado. En efecto, el hecho de que la base gravable de un producto se calcule de una forma distinta no supone, en sí mismo, una restricción a la libre competencia. En consecuencia, los demandantes no expusieron las razones por las cuales la norma demandada im</w:t>
      </w:r>
      <w:r w:rsidRPr="00DB3EEA">
        <w:rPr>
          <w:rFonts w:ascii="Times New Roman" w:eastAsia="Calibri" w:hAnsi="Times New Roman" w:cs="Times New Roman"/>
          <w:bCs/>
          <w:sz w:val="28"/>
          <w:szCs w:val="28"/>
          <w:lang w:eastAsia="es-ES"/>
        </w:rPr>
        <w:t>plicaría una eventual limitación directa a la actividad de los empresarios o al derecho de concurrir de forma libre al mercado.</w:t>
      </w:r>
    </w:p>
    <w:p w:rsidR="00751AE9" w:rsidRPr="00DB3EEA" w:rsidRDefault="00DB3EEA" w:rsidP="00751AE9">
      <w:pPr>
        <w:pStyle w:val="Prrafodelista"/>
        <w:tabs>
          <w:tab w:val="left" w:pos="426"/>
        </w:tabs>
        <w:ind w:left="0"/>
        <w:jc w:val="both"/>
        <w:rPr>
          <w:rFonts w:ascii="Times New Roman" w:eastAsia="Calibri" w:hAnsi="Times New Roman" w:cs="Times New Roman"/>
          <w:bCs/>
          <w:sz w:val="28"/>
          <w:szCs w:val="28"/>
          <w:lang w:eastAsia="es-ES"/>
        </w:rPr>
      </w:pPr>
    </w:p>
    <w:p w:rsidR="00751AE9" w:rsidRPr="00DB3EEA" w:rsidRDefault="00DB3EEA" w:rsidP="00751AE9">
      <w:pPr>
        <w:pStyle w:val="Prrafodelista"/>
        <w:numPr>
          <w:ilvl w:val="0"/>
          <w:numId w:val="1"/>
        </w:numPr>
        <w:tabs>
          <w:tab w:val="left" w:pos="426"/>
        </w:tabs>
        <w:ind w:left="0" w:firstLine="0"/>
        <w:jc w:val="both"/>
        <w:rPr>
          <w:rFonts w:ascii="Times New Roman" w:eastAsia="Calibri" w:hAnsi="Times New Roman" w:cs="Times New Roman"/>
          <w:bCs/>
          <w:sz w:val="28"/>
          <w:szCs w:val="28"/>
          <w:lang w:eastAsia="es-ES"/>
        </w:rPr>
      </w:pPr>
      <w:r w:rsidRPr="00DB3EEA">
        <w:rPr>
          <w:rFonts w:ascii="Times New Roman" w:hAnsi="Times New Roman" w:cs="Times New Roman"/>
          <w:sz w:val="28"/>
          <w:szCs w:val="28"/>
        </w:rPr>
        <w:t>De</w:t>
      </w:r>
      <w:r w:rsidRPr="00DB3EEA">
        <w:rPr>
          <w:rFonts w:ascii="Times New Roman" w:eastAsia="Calibri" w:hAnsi="Times New Roman" w:cs="Times New Roman"/>
          <w:sz w:val="28"/>
          <w:szCs w:val="28"/>
        </w:rPr>
        <w:t xml:space="preserve"> hecho, los demandantes no desvirtuaron los aspectos que permitirían sostener que los productos ultraprocesados importados o </w:t>
      </w:r>
      <w:r w:rsidRPr="00DB3EEA">
        <w:rPr>
          <w:rFonts w:ascii="Times New Roman" w:eastAsia="Calibri" w:hAnsi="Times New Roman" w:cs="Times New Roman"/>
          <w:sz w:val="28"/>
          <w:szCs w:val="28"/>
        </w:rPr>
        <w:t>fabricados en zonas francas reciben un trato desigual que desconoce el principio de libre competencia económica. En esta medida, tal y como lo expusieron el Ministerio de Hacienda y Crédito Público y la DIAN, los productos ultraprocesados importados o proc</w:t>
      </w:r>
      <w:r w:rsidRPr="00DB3EEA">
        <w:rPr>
          <w:rFonts w:ascii="Times New Roman" w:eastAsia="Calibri" w:hAnsi="Times New Roman" w:cs="Times New Roman"/>
          <w:sz w:val="28"/>
          <w:szCs w:val="28"/>
        </w:rPr>
        <w:t>edentes de zonas francas no afrontan prohibiciones respecto de su consumo y, además, los productos ultraprocesados nacionales también son gravados con el impuesto. Sin embargo, los actores no argumentaron por qué la disposición cuestionada implicaba una di</w:t>
      </w:r>
      <w:r w:rsidRPr="00DB3EEA">
        <w:rPr>
          <w:rFonts w:ascii="Times New Roman" w:eastAsia="Calibri" w:hAnsi="Times New Roman" w:cs="Times New Roman"/>
          <w:sz w:val="28"/>
          <w:szCs w:val="28"/>
        </w:rPr>
        <w:t>storsión o una intervención arbitraria en el funcionamiento del mercado</w:t>
      </w:r>
      <w:r w:rsidRPr="00DB3EEA">
        <w:rPr>
          <w:rFonts w:ascii="Times New Roman" w:eastAsia="Calibri" w:hAnsi="Times New Roman" w:cs="Times New Roman"/>
          <w:bCs/>
          <w:sz w:val="28"/>
          <w:szCs w:val="28"/>
          <w:lang w:eastAsia="es-ES"/>
        </w:rPr>
        <w:t>.</w:t>
      </w:r>
    </w:p>
    <w:p w:rsidR="00751AE9" w:rsidRPr="00DB3EEA" w:rsidRDefault="00DB3EEA" w:rsidP="00751AE9">
      <w:pPr>
        <w:pStyle w:val="Prrafodelista"/>
        <w:tabs>
          <w:tab w:val="left" w:pos="426"/>
        </w:tabs>
        <w:ind w:left="0"/>
        <w:jc w:val="both"/>
        <w:rPr>
          <w:rFonts w:ascii="Times New Roman" w:eastAsia="Calibri" w:hAnsi="Times New Roman" w:cs="Times New Roman"/>
          <w:bCs/>
          <w:sz w:val="28"/>
          <w:szCs w:val="28"/>
          <w:lang w:eastAsia="es-ES"/>
        </w:rPr>
      </w:pPr>
    </w:p>
    <w:p w:rsidR="00751AE9" w:rsidRPr="00DB3EEA" w:rsidRDefault="00DB3EEA" w:rsidP="00751AE9">
      <w:pPr>
        <w:pStyle w:val="Prrafodelista"/>
        <w:numPr>
          <w:ilvl w:val="0"/>
          <w:numId w:val="1"/>
        </w:numPr>
        <w:tabs>
          <w:tab w:val="left" w:pos="426"/>
        </w:tabs>
        <w:ind w:left="0" w:firstLine="0"/>
        <w:jc w:val="both"/>
        <w:rPr>
          <w:rFonts w:ascii="Times New Roman" w:eastAsia="Calibri" w:hAnsi="Times New Roman" w:cs="Times New Roman"/>
          <w:sz w:val="28"/>
          <w:szCs w:val="28"/>
        </w:rPr>
      </w:pPr>
      <w:r w:rsidRPr="00DB3EEA">
        <w:rPr>
          <w:rFonts w:ascii="Times New Roman" w:eastAsia="Calibri" w:hAnsi="Times New Roman" w:cs="Times New Roman"/>
          <w:sz w:val="28"/>
          <w:szCs w:val="28"/>
        </w:rPr>
        <w:t xml:space="preserve">En </w:t>
      </w:r>
      <w:r w:rsidRPr="00DB3EEA">
        <w:rPr>
          <w:rFonts w:ascii="Times New Roman" w:hAnsi="Times New Roman" w:cs="Times New Roman"/>
          <w:sz w:val="28"/>
          <w:szCs w:val="28"/>
        </w:rPr>
        <w:t>consonancia</w:t>
      </w:r>
      <w:r w:rsidRPr="00DB3EEA">
        <w:rPr>
          <w:rFonts w:ascii="Times New Roman" w:eastAsia="Calibri" w:hAnsi="Times New Roman" w:cs="Times New Roman"/>
          <w:sz w:val="28"/>
          <w:szCs w:val="28"/>
        </w:rPr>
        <w:t xml:space="preserve"> con lo anterior, los actores no plantearon por qué la determinación de una base gravable disímil para productos importados o fabricados en zonas francas implica una im</w:t>
      </w:r>
      <w:r w:rsidRPr="00DB3EEA">
        <w:rPr>
          <w:rFonts w:ascii="Times New Roman" w:eastAsia="Calibri" w:hAnsi="Times New Roman" w:cs="Times New Roman"/>
          <w:sz w:val="28"/>
          <w:szCs w:val="28"/>
        </w:rPr>
        <w:t>posibilidad o limitación injustificada de acceso que afecte la concurrencia al mercado de estos bienes. Tampoco propusieron razones por las que la norma acusada les impide a los agentes económicos ofrecer ventajas comerciales o contratar con cualquier cons</w:t>
      </w:r>
      <w:r w:rsidRPr="00DB3EEA">
        <w:rPr>
          <w:rFonts w:ascii="Times New Roman" w:eastAsia="Calibri" w:hAnsi="Times New Roman" w:cs="Times New Roman"/>
          <w:sz w:val="28"/>
          <w:szCs w:val="28"/>
        </w:rPr>
        <w:t>umidor o usuario. Por ende, la argumentación de la demanda no plantea una confrontación entre los apartes acusados y el parámetro de constitucionalidad invocado. Así mismo, sus argumentos parecen estar dirigidos a los efectos, que</w:t>
      </w:r>
      <w:r w:rsidRPr="00DB3EEA">
        <w:rPr>
          <w:rFonts w:ascii="Times New Roman" w:hAnsi="Times New Roman" w:cs="Times New Roman"/>
          <w:sz w:val="28"/>
          <w:szCs w:val="28"/>
        </w:rPr>
        <w:t>,</w:t>
      </w:r>
      <w:r w:rsidRPr="00DB3EEA">
        <w:rPr>
          <w:rFonts w:ascii="Times New Roman" w:eastAsia="Calibri" w:hAnsi="Times New Roman" w:cs="Times New Roman"/>
          <w:sz w:val="28"/>
          <w:szCs w:val="28"/>
        </w:rPr>
        <w:t xml:space="preserve"> en su parecer, producirí</w:t>
      </w:r>
      <w:r w:rsidRPr="00DB3EEA">
        <w:rPr>
          <w:rFonts w:ascii="Times New Roman" w:eastAsia="Calibri" w:hAnsi="Times New Roman" w:cs="Times New Roman"/>
          <w:sz w:val="28"/>
          <w:szCs w:val="28"/>
        </w:rPr>
        <w:t>a la norma, y por tanto, también carece de pertinencia.</w:t>
      </w:r>
    </w:p>
    <w:p w:rsidR="00751AE9" w:rsidRPr="00DB3EEA" w:rsidRDefault="00DB3EEA" w:rsidP="00751AE9">
      <w:pPr>
        <w:pStyle w:val="Prrafodelista"/>
        <w:tabs>
          <w:tab w:val="left" w:pos="426"/>
        </w:tabs>
        <w:ind w:left="0"/>
        <w:jc w:val="both"/>
        <w:rPr>
          <w:rFonts w:ascii="Times New Roman" w:eastAsia="Calibri" w:hAnsi="Times New Roman" w:cs="Times New Roman"/>
          <w:sz w:val="28"/>
          <w:szCs w:val="28"/>
        </w:rPr>
      </w:pPr>
    </w:p>
    <w:p w:rsidR="00751AE9" w:rsidRPr="00DB3EEA" w:rsidRDefault="00DB3EEA" w:rsidP="00751AE9">
      <w:pPr>
        <w:pStyle w:val="Prrafodelista"/>
        <w:numPr>
          <w:ilvl w:val="0"/>
          <w:numId w:val="1"/>
        </w:numPr>
        <w:tabs>
          <w:tab w:val="left" w:pos="426"/>
        </w:tabs>
        <w:ind w:left="0" w:firstLine="0"/>
        <w:jc w:val="both"/>
        <w:rPr>
          <w:rFonts w:ascii="Times New Roman" w:eastAsia="Calibri" w:hAnsi="Times New Roman" w:cs="Times New Roman"/>
          <w:sz w:val="28"/>
          <w:szCs w:val="28"/>
        </w:rPr>
      </w:pPr>
      <w:r w:rsidRPr="00DB3EEA">
        <w:rPr>
          <w:rFonts w:ascii="Times New Roman" w:eastAsia="Calibri" w:hAnsi="Times New Roman" w:cs="Times New Roman"/>
          <w:sz w:val="28"/>
          <w:szCs w:val="28"/>
        </w:rPr>
        <w:t xml:space="preserve">Por otra parte, debe tenerse en cuenta que la igualdad de condiciones a la que alude la jurisprudencia constitucional no supone la exigencia de un trato tributario idéntico a los productos objeto de </w:t>
      </w:r>
      <w:r w:rsidRPr="00DB3EEA">
        <w:rPr>
          <w:rFonts w:ascii="Times New Roman" w:eastAsia="Calibri" w:hAnsi="Times New Roman" w:cs="Times New Roman"/>
          <w:sz w:val="28"/>
          <w:szCs w:val="28"/>
        </w:rPr>
        <w:t>un mismo gravamen</w:t>
      </w:r>
      <w:r w:rsidRPr="00DB3EEA">
        <w:rPr>
          <w:rStyle w:val="Refdenotaalpie"/>
          <w:rFonts w:ascii="Times New Roman" w:eastAsia="Calibri" w:hAnsi="Times New Roman" w:cs="Times New Roman"/>
          <w:sz w:val="28"/>
          <w:szCs w:val="28"/>
        </w:rPr>
        <w:footnoteReference w:id="132"/>
      </w:r>
      <w:r w:rsidRPr="00DB3EEA">
        <w:rPr>
          <w:rFonts w:ascii="Times New Roman" w:eastAsia="Calibri" w:hAnsi="Times New Roman" w:cs="Times New Roman"/>
          <w:sz w:val="28"/>
          <w:szCs w:val="28"/>
        </w:rPr>
        <w:t>. En tal sentido, si en gracia de discusión se admitiera dicha premisa, cualquier tipo de distinción en los elementos del tributo (como la base gravable, la tarifa o los sujetos) implicaría una transgresión a la libre competencia económic</w:t>
      </w:r>
      <w:r w:rsidRPr="00DB3EEA">
        <w:rPr>
          <w:rFonts w:ascii="Times New Roman" w:eastAsia="Calibri" w:hAnsi="Times New Roman" w:cs="Times New Roman"/>
          <w:sz w:val="28"/>
          <w:szCs w:val="28"/>
        </w:rPr>
        <w:t xml:space="preserve">a. Por lo tanto, le correspondía a los demandantes la carga de explicar por qué la norma acusada excedía el amplio margen de configuración atribuido al legislador en materia tributaria. </w:t>
      </w:r>
    </w:p>
    <w:p w:rsidR="00751AE9" w:rsidRPr="00DB3EEA" w:rsidRDefault="00DB3EEA" w:rsidP="00751AE9">
      <w:pPr>
        <w:pStyle w:val="Prrafodelista"/>
        <w:jc w:val="both"/>
        <w:rPr>
          <w:rFonts w:ascii="Times New Roman" w:eastAsia="Calibri" w:hAnsi="Times New Roman" w:cs="Times New Roman"/>
          <w:sz w:val="28"/>
          <w:szCs w:val="28"/>
        </w:rPr>
      </w:pPr>
    </w:p>
    <w:p w:rsidR="00751AE9" w:rsidRPr="00DB3EEA" w:rsidRDefault="00DB3EEA" w:rsidP="00751AE9">
      <w:pPr>
        <w:pStyle w:val="Prrafodelista"/>
        <w:numPr>
          <w:ilvl w:val="0"/>
          <w:numId w:val="1"/>
        </w:numPr>
        <w:tabs>
          <w:tab w:val="left" w:pos="426"/>
        </w:tabs>
        <w:ind w:left="0" w:firstLine="0"/>
        <w:jc w:val="both"/>
        <w:rPr>
          <w:rFonts w:ascii="Times New Roman" w:eastAsia="Calibri" w:hAnsi="Times New Roman" w:cs="Times New Roman"/>
          <w:bCs/>
          <w:sz w:val="28"/>
          <w:szCs w:val="28"/>
          <w:lang w:eastAsia="es-ES"/>
        </w:rPr>
      </w:pPr>
      <w:r w:rsidRPr="00DB3EEA">
        <w:rPr>
          <w:rFonts w:ascii="Times New Roman" w:eastAsia="Calibri" w:hAnsi="Times New Roman" w:cs="Times New Roman"/>
          <w:sz w:val="28"/>
          <w:szCs w:val="28"/>
        </w:rPr>
        <w:t>Finalmente, los demandantes no</w:t>
      </w:r>
      <w:r w:rsidRPr="00DB3EEA">
        <w:rPr>
          <w:rFonts w:ascii="Times New Roman" w:hAnsi="Times New Roman" w:cs="Times New Roman"/>
          <w:sz w:val="28"/>
          <w:szCs w:val="28"/>
        </w:rPr>
        <w:t xml:space="preserve"> </w:t>
      </w:r>
      <w:r w:rsidRPr="00DB3EEA">
        <w:rPr>
          <w:rFonts w:ascii="Times New Roman" w:eastAsia="Calibri" w:hAnsi="Times New Roman" w:cs="Times New Roman"/>
          <w:sz w:val="28"/>
          <w:szCs w:val="28"/>
        </w:rPr>
        <w:t xml:space="preserve">aportaron los elementos argumentativos necesarios para generar una controversia constitucional autónoma sobre la transgresión de la libertad de competencia económica (art. 333 superior). No aportaron elementos que permitieran evaluar el impacto real de la </w:t>
      </w:r>
      <w:r w:rsidRPr="00DB3EEA">
        <w:rPr>
          <w:rFonts w:ascii="Times New Roman" w:eastAsia="Calibri" w:hAnsi="Times New Roman" w:cs="Times New Roman"/>
          <w:sz w:val="28"/>
          <w:szCs w:val="28"/>
        </w:rPr>
        <w:t xml:space="preserve">medida sobre el mercado ni desarrollaron las razones que sustentarían la vulneración del parámetro constitucional mencionado. Por lo expuesto, no lograron suscitar una mínima duda respecto de la constitucionalidad del precepto acusado en relación </w:t>
      </w:r>
      <w:bookmarkStart w:id="6" w:name="_Hlk223516507"/>
      <w:r w:rsidRPr="00DB3EEA">
        <w:rPr>
          <w:rFonts w:ascii="Times New Roman" w:eastAsia="Calibri" w:hAnsi="Times New Roman" w:cs="Times New Roman"/>
          <w:sz w:val="28"/>
          <w:szCs w:val="28"/>
        </w:rPr>
        <w:t>con el ca</w:t>
      </w:r>
      <w:r w:rsidRPr="00DB3EEA">
        <w:rPr>
          <w:rFonts w:ascii="Times New Roman" w:eastAsia="Calibri" w:hAnsi="Times New Roman" w:cs="Times New Roman"/>
          <w:sz w:val="28"/>
          <w:szCs w:val="28"/>
        </w:rPr>
        <w:t xml:space="preserve">rgo analizado. Por lo tanto, tampoco se acreditó el requisito de </w:t>
      </w:r>
      <w:r w:rsidRPr="00DB3EEA">
        <w:rPr>
          <w:rFonts w:ascii="Times New Roman" w:eastAsia="Calibri" w:hAnsi="Times New Roman" w:cs="Times New Roman"/>
          <w:bCs/>
          <w:i/>
          <w:iCs/>
          <w:sz w:val="28"/>
          <w:szCs w:val="28"/>
          <w:lang w:eastAsia="es-ES"/>
        </w:rPr>
        <w:t>suficiencia</w:t>
      </w:r>
      <w:r w:rsidRPr="00DB3EEA">
        <w:rPr>
          <w:rFonts w:ascii="Times New Roman" w:eastAsia="Calibri" w:hAnsi="Times New Roman" w:cs="Times New Roman"/>
          <w:bCs/>
          <w:sz w:val="28"/>
          <w:szCs w:val="28"/>
          <w:lang w:eastAsia="es-ES"/>
        </w:rPr>
        <w:t>.</w:t>
      </w:r>
    </w:p>
    <w:p w:rsidR="00751AE9" w:rsidRPr="00DB3EEA" w:rsidRDefault="00DB3EEA" w:rsidP="00751AE9">
      <w:pPr>
        <w:pStyle w:val="Prrafodelista"/>
        <w:tabs>
          <w:tab w:val="left" w:pos="426"/>
        </w:tabs>
        <w:ind w:left="0"/>
        <w:jc w:val="both"/>
        <w:rPr>
          <w:rFonts w:ascii="Times New Roman" w:eastAsia="Calibri" w:hAnsi="Times New Roman" w:cs="Times New Roman"/>
          <w:bCs/>
          <w:sz w:val="28"/>
          <w:szCs w:val="28"/>
          <w:lang w:eastAsia="es-ES"/>
        </w:rPr>
      </w:pPr>
    </w:p>
    <w:p w:rsidR="00751AE9" w:rsidRPr="00DB3EEA" w:rsidRDefault="00DB3EEA" w:rsidP="00751AE9">
      <w:pPr>
        <w:pStyle w:val="Prrafodelista"/>
        <w:numPr>
          <w:ilvl w:val="0"/>
          <w:numId w:val="1"/>
        </w:numPr>
        <w:tabs>
          <w:tab w:val="left" w:pos="426"/>
        </w:tabs>
        <w:ind w:left="0" w:firstLine="0"/>
        <w:jc w:val="both"/>
        <w:rPr>
          <w:rFonts w:ascii="Times New Roman" w:eastAsia="Calibri" w:hAnsi="Times New Roman" w:cs="Times New Roman"/>
          <w:sz w:val="28"/>
          <w:szCs w:val="28"/>
        </w:rPr>
      </w:pPr>
      <w:r w:rsidRPr="00DB3EEA">
        <w:rPr>
          <w:rFonts w:ascii="Times New Roman" w:eastAsia="Calibri" w:hAnsi="Times New Roman" w:cs="Times New Roman"/>
          <w:sz w:val="28"/>
          <w:szCs w:val="28"/>
        </w:rPr>
        <w:t xml:space="preserve">En suma, la Sala Plena encuentra que el cargo formulado por la presunta vulneración del derecho a la libre competencia económica no cumple con las exigencias mínimas de aptitud </w:t>
      </w:r>
      <w:r w:rsidRPr="00DB3EEA">
        <w:rPr>
          <w:rFonts w:ascii="Times New Roman" w:eastAsia="Calibri" w:hAnsi="Times New Roman" w:cs="Times New Roman"/>
          <w:sz w:val="28"/>
          <w:szCs w:val="28"/>
        </w:rPr>
        <w:t xml:space="preserve">sustantiva desarrolladas por la jurisprudencia constitucional. </w:t>
      </w:r>
      <w:bookmarkEnd w:id="6"/>
      <w:r w:rsidRPr="00DB3EEA">
        <w:rPr>
          <w:rFonts w:ascii="Times New Roman" w:eastAsia="Calibri" w:hAnsi="Times New Roman" w:cs="Times New Roman"/>
          <w:sz w:val="28"/>
          <w:szCs w:val="28"/>
        </w:rPr>
        <w:t>Primero, no satisface el requisito de claridad por cuanto no es comprensible su alcance, al no determinar de qué modo el reproche comprende a los consumidores, a los productores o ambos grupos.</w:t>
      </w:r>
      <w:r w:rsidRPr="00DB3EEA">
        <w:rPr>
          <w:rFonts w:ascii="Times New Roman" w:eastAsia="Calibri" w:hAnsi="Times New Roman" w:cs="Times New Roman"/>
          <w:sz w:val="28"/>
          <w:szCs w:val="28"/>
        </w:rPr>
        <w:t xml:space="preserve"> Segundo, no acredita el parámetro de</w:t>
      </w:r>
      <w:r w:rsidRPr="00DB3EEA">
        <w:rPr>
          <w:rFonts w:ascii="Times New Roman" w:eastAsia="Calibri" w:hAnsi="Times New Roman" w:cs="Times New Roman"/>
          <w:bCs/>
          <w:sz w:val="28"/>
          <w:szCs w:val="28"/>
          <w:lang w:eastAsia="es-ES"/>
        </w:rPr>
        <w:t xml:space="preserve"> </w:t>
      </w:r>
      <w:r w:rsidRPr="00DB3EEA">
        <w:rPr>
          <w:rFonts w:ascii="Times New Roman" w:eastAsia="Calibri" w:hAnsi="Times New Roman" w:cs="Times New Roman"/>
          <w:bCs/>
          <w:i/>
          <w:iCs/>
          <w:sz w:val="28"/>
          <w:szCs w:val="28"/>
          <w:lang w:eastAsia="es-ES"/>
        </w:rPr>
        <w:t>certeza</w:t>
      </w:r>
      <w:r w:rsidRPr="00DB3EEA">
        <w:rPr>
          <w:rFonts w:ascii="Times New Roman" w:eastAsia="Calibri" w:hAnsi="Times New Roman" w:cs="Times New Roman"/>
          <w:bCs/>
          <w:sz w:val="28"/>
          <w:szCs w:val="28"/>
          <w:lang w:eastAsia="es-ES"/>
        </w:rPr>
        <w:t xml:space="preserve">, </w:t>
      </w:r>
      <w:r w:rsidRPr="00DB3EEA">
        <w:rPr>
          <w:rFonts w:ascii="Times New Roman" w:eastAsia="Calibri" w:hAnsi="Times New Roman" w:cs="Times New Roman"/>
          <w:sz w:val="28"/>
          <w:szCs w:val="28"/>
        </w:rPr>
        <w:t>en la medida en que la disposición acusada únicamente establece formas diferenciadas de calcular la base gravable del impuesto, sin que de ello se deduzca necesariamente que desestimule en mayor proporción los productos ultraprocesados importados o que los</w:t>
      </w:r>
      <w:r w:rsidRPr="00DB3EEA">
        <w:rPr>
          <w:rFonts w:ascii="Times New Roman" w:eastAsia="Calibri" w:hAnsi="Times New Roman" w:cs="Times New Roman"/>
          <w:sz w:val="28"/>
          <w:szCs w:val="28"/>
        </w:rPr>
        <w:t xml:space="preserve"> consumidores deban pagar un mayor valor del tributo por razón exclusiva de la procedencia del bien. Tercero, no satisface la</w:t>
      </w:r>
      <w:r w:rsidRPr="00DB3EEA">
        <w:rPr>
          <w:rFonts w:ascii="Times New Roman" w:eastAsia="Calibri" w:hAnsi="Times New Roman" w:cs="Times New Roman"/>
          <w:bCs/>
          <w:sz w:val="28"/>
          <w:szCs w:val="28"/>
          <w:lang w:eastAsia="es-ES"/>
        </w:rPr>
        <w:t xml:space="preserve"> </w:t>
      </w:r>
      <w:r w:rsidRPr="00DB3EEA">
        <w:rPr>
          <w:rFonts w:ascii="Times New Roman" w:eastAsia="Calibri" w:hAnsi="Times New Roman" w:cs="Times New Roman"/>
          <w:bCs/>
          <w:i/>
          <w:iCs/>
          <w:sz w:val="28"/>
          <w:szCs w:val="28"/>
          <w:lang w:eastAsia="es-ES"/>
        </w:rPr>
        <w:t>especificidad</w:t>
      </w:r>
      <w:r w:rsidRPr="00DB3EEA">
        <w:rPr>
          <w:rFonts w:ascii="Times New Roman" w:eastAsia="Calibri" w:hAnsi="Times New Roman" w:cs="Times New Roman"/>
          <w:bCs/>
          <w:sz w:val="28"/>
          <w:szCs w:val="28"/>
          <w:lang w:eastAsia="es-ES"/>
        </w:rPr>
        <w:t xml:space="preserve">, </w:t>
      </w:r>
      <w:r w:rsidRPr="00DB3EEA">
        <w:rPr>
          <w:rFonts w:ascii="Times New Roman" w:eastAsia="Calibri" w:hAnsi="Times New Roman" w:cs="Times New Roman"/>
          <w:sz w:val="28"/>
          <w:szCs w:val="28"/>
        </w:rPr>
        <w:t>por cuanto los demandantes no identificaron de manera concreta cuál es la restricción a la libre competencia económ</w:t>
      </w:r>
      <w:r w:rsidRPr="00DB3EEA">
        <w:rPr>
          <w:rFonts w:ascii="Times New Roman" w:eastAsia="Calibri" w:hAnsi="Times New Roman" w:cs="Times New Roman"/>
          <w:sz w:val="28"/>
          <w:szCs w:val="28"/>
        </w:rPr>
        <w:t>ica que impone el precepto acusado. Por lo tanto,</w:t>
      </w:r>
      <w:r w:rsidRPr="00DB3EEA">
        <w:rPr>
          <w:rFonts w:ascii="Times New Roman" w:hAnsi="Times New Roman" w:cs="Times New Roman"/>
          <w:sz w:val="28"/>
          <w:szCs w:val="28"/>
        </w:rPr>
        <w:t xml:space="preserve"> la</w:t>
      </w:r>
      <w:r w:rsidRPr="00DB3EEA">
        <w:rPr>
          <w:rFonts w:ascii="Times New Roman" w:eastAsia="Calibri" w:hAnsi="Times New Roman" w:cs="Times New Roman"/>
          <w:sz w:val="28"/>
          <w:szCs w:val="28"/>
        </w:rPr>
        <w:t xml:space="preserve"> argumentación no establece una confrontación específica entre los apartes acusados y el parámetro de constitucionalidad invocado. Por último, el señalamiento tampoco cumple con el requisito de</w:t>
      </w:r>
      <w:r w:rsidRPr="00DB3EEA">
        <w:rPr>
          <w:rFonts w:ascii="Times New Roman" w:eastAsia="Calibri" w:hAnsi="Times New Roman" w:cs="Times New Roman"/>
          <w:bCs/>
          <w:sz w:val="28"/>
          <w:szCs w:val="28"/>
          <w:lang w:eastAsia="es-ES"/>
        </w:rPr>
        <w:t xml:space="preserve"> </w:t>
      </w:r>
      <w:r w:rsidRPr="00DB3EEA">
        <w:rPr>
          <w:rFonts w:ascii="Times New Roman" w:eastAsia="Calibri" w:hAnsi="Times New Roman" w:cs="Times New Roman"/>
          <w:bCs/>
          <w:i/>
          <w:iCs/>
          <w:sz w:val="28"/>
          <w:szCs w:val="28"/>
          <w:lang w:eastAsia="es-ES"/>
        </w:rPr>
        <w:t>suficienci</w:t>
      </w:r>
      <w:r w:rsidRPr="00DB3EEA">
        <w:rPr>
          <w:rFonts w:ascii="Times New Roman" w:eastAsia="Calibri" w:hAnsi="Times New Roman" w:cs="Times New Roman"/>
          <w:bCs/>
          <w:i/>
          <w:iCs/>
          <w:sz w:val="28"/>
          <w:szCs w:val="28"/>
          <w:lang w:eastAsia="es-ES"/>
        </w:rPr>
        <w:t>a</w:t>
      </w:r>
      <w:r w:rsidRPr="00DB3EEA">
        <w:rPr>
          <w:rFonts w:ascii="Times New Roman" w:eastAsia="Calibri" w:hAnsi="Times New Roman" w:cs="Times New Roman"/>
          <w:bCs/>
          <w:sz w:val="28"/>
          <w:szCs w:val="28"/>
          <w:lang w:eastAsia="es-ES"/>
        </w:rPr>
        <w:t xml:space="preserve">, </w:t>
      </w:r>
      <w:r w:rsidRPr="00DB3EEA">
        <w:rPr>
          <w:rFonts w:ascii="Times New Roman" w:eastAsia="Calibri" w:hAnsi="Times New Roman" w:cs="Times New Roman"/>
          <w:sz w:val="28"/>
          <w:szCs w:val="28"/>
        </w:rPr>
        <w:t>en la medida en que no se plantearon los elementos de juicio necesarios para que se emprenda un análisis de constitucionalidad.</w:t>
      </w:r>
    </w:p>
    <w:p w:rsidR="000C668E" w:rsidRPr="00DB3EEA" w:rsidRDefault="00DB3EEA" w:rsidP="00376DDD">
      <w:pPr>
        <w:pStyle w:val="Prrafodelista"/>
        <w:tabs>
          <w:tab w:val="left" w:pos="284"/>
        </w:tabs>
        <w:ind w:left="0"/>
        <w:jc w:val="both"/>
        <w:rPr>
          <w:rFonts w:ascii="Times New Roman" w:eastAsia="Calibri" w:hAnsi="Times New Roman" w:cs="Times New Roman"/>
          <w:b/>
          <w:sz w:val="28"/>
          <w:szCs w:val="28"/>
          <w:lang w:eastAsia="es-ES"/>
        </w:rPr>
      </w:pPr>
    </w:p>
    <w:p w:rsidR="001E5050" w:rsidRPr="00DB3EEA" w:rsidRDefault="00DB3EEA" w:rsidP="001E5050">
      <w:pPr>
        <w:pStyle w:val="Prrafodelista"/>
        <w:numPr>
          <w:ilvl w:val="0"/>
          <w:numId w:val="3"/>
        </w:numPr>
        <w:tabs>
          <w:tab w:val="left" w:pos="284"/>
        </w:tabs>
        <w:jc w:val="both"/>
        <w:outlineLvl w:val="1"/>
        <w:rPr>
          <w:rFonts w:ascii="Times New Roman" w:eastAsia="Calibri" w:hAnsi="Times New Roman" w:cs="Times New Roman"/>
          <w:b/>
          <w:sz w:val="28"/>
          <w:szCs w:val="28"/>
          <w:lang w:eastAsia="es-ES"/>
        </w:rPr>
      </w:pPr>
      <w:r w:rsidRPr="00DB3EEA">
        <w:rPr>
          <w:rFonts w:ascii="Times New Roman" w:eastAsia="Calibri" w:hAnsi="Times New Roman" w:cs="Times New Roman"/>
          <w:b/>
          <w:sz w:val="28"/>
          <w:szCs w:val="28"/>
          <w:lang w:eastAsia="es-ES"/>
        </w:rPr>
        <w:t>No existe cosa juzgada frente a los cargos ahora estudiados</w:t>
      </w:r>
    </w:p>
    <w:p w:rsidR="001E5050" w:rsidRPr="00DB3EEA" w:rsidRDefault="00DB3EEA" w:rsidP="00E41893">
      <w:pPr>
        <w:pStyle w:val="Prrafodelista"/>
        <w:tabs>
          <w:tab w:val="left" w:pos="284"/>
        </w:tabs>
        <w:ind w:left="357"/>
        <w:jc w:val="both"/>
        <w:rPr>
          <w:rFonts w:ascii="Times New Roman" w:eastAsia="Calibri" w:hAnsi="Times New Roman" w:cs="Times New Roman"/>
          <w:b/>
          <w:sz w:val="28"/>
          <w:szCs w:val="28"/>
          <w:lang w:eastAsia="es-ES"/>
        </w:rPr>
      </w:pPr>
    </w:p>
    <w:p w:rsidR="00ED3724" w:rsidRPr="00DB3EEA" w:rsidRDefault="00DB3EEA" w:rsidP="002907E5">
      <w:pPr>
        <w:pStyle w:val="Prrafodelista"/>
        <w:numPr>
          <w:ilvl w:val="0"/>
          <w:numId w:val="1"/>
        </w:numPr>
        <w:tabs>
          <w:tab w:val="left" w:pos="0"/>
        </w:tabs>
        <w:ind w:left="0" w:firstLine="0"/>
        <w:jc w:val="both"/>
        <w:rPr>
          <w:rFonts w:ascii="Times New Roman" w:eastAsia="Calibri" w:hAnsi="Times New Roman" w:cs="Times New Roman"/>
          <w:sz w:val="28"/>
          <w:szCs w:val="28"/>
          <w:lang w:eastAsia="es-ES"/>
        </w:rPr>
      </w:pPr>
      <w:r w:rsidRPr="00DB3EEA">
        <w:rPr>
          <w:rFonts w:ascii="Times New Roman" w:hAnsi="Times New Roman" w:cs="Times New Roman"/>
          <w:sz w:val="28"/>
          <w:szCs w:val="28"/>
        </w:rPr>
        <w:t>Cabe señalar que</w:t>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frente a los cargos hoy presentados,</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no se pr</w:t>
      </w:r>
      <w:r w:rsidRPr="00DB3EEA">
        <w:rPr>
          <w:rFonts w:ascii="Times New Roman" w:hAnsi="Times New Roman" w:cs="Times New Roman"/>
          <w:sz w:val="28"/>
          <w:szCs w:val="28"/>
        </w:rPr>
        <w:t>edica cosa juzgada en relación con la Sentencia C-435 de 2023. En dicha oportunidad, se estudió la totalidad de la regulación del impuesto saludable, tanto por vicios de forma como de fondo. La parte resolutiva se circunscribió a los cargos</w:t>
      </w:r>
      <w:r w:rsidRPr="00DB3EEA">
        <w:rPr>
          <w:rFonts w:ascii="Times New Roman" w:hAnsi="Times New Roman" w:cs="Times New Roman"/>
          <w:sz w:val="28"/>
          <w:szCs w:val="28"/>
        </w:rPr>
        <w:t xml:space="preserve"> y se dispuso </w:t>
      </w:r>
      <w:r w:rsidRPr="00DB3EEA">
        <w:rPr>
          <w:rFonts w:ascii="Times New Roman" w:hAnsi="Times New Roman" w:cs="Times New Roman"/>
          <w:sz w:val="28"/>
          <w:szCs w:val="28"/>
        </w:rPr>
        <w:t>“</w:t>
      </w:r>
      <w:r w:rsidRPr="00DB3EEA">
        <w:rPr>
          <w:rFonts w:ascii="Times New Roman" w:hAnsi="Times New Roman" w:cs="Times New Roman"/>
          <w:i/>
          <w:sz w:val="28"/>
          <w:szCs w:val="28"/>
        </w:rPr>
        <w:t>Declarar EXEQUIBLE el artículo 54 de la Ley 2277 de 2022, “[p]or medio de la cual se adopta una reforma tributaria para la igualdad y la justicia social y se dictan otras disposiciones”, por los cargos analizados en esta providencia.</w:t>
      </w:r>
      <w:r w:rsidRPr="00DB3EEA">
        <w:rPr>
          <w:rFonts w:ascii="Times New Roman" w:hAnsi="Times New Roman" w:cs="Times New Roman"/>
          <w:i/>
          <w:sz w:val="28"/>
          <w:szCs w:val="28"/>
        </w:rPr>
        <w:t>”</w:t>
      </w:r>
    </w:p>
    <w:p w:rsidR="002907E5" w:rsidRPr="00DB3EEA" w:rsidRDefault="00DB3EEA" w:rsidP="002907E5">
      <w:pPr>
        <w:pStyle w:val="Prrafodelista"/>
        <w:tabs>
          <w:tab w:val="left" w:pos="0"/>
        </w:tabs>
        <w:ind w:left="0"/>
        <w:jc w:val="both"/>
        <w:rPr>
          <w:rFonts w:ascii="Times New Roman" w:eastAsia="Calibri" w:hAnsi="Times New Roman" w:cs="Times New Roman"/>
          <w:sz w:val="28"/>
          <w:szCs w:val="28"/>
          <w:lang w:eastAsia="es-ES"/>
        </w:rPr>
      </w:pPr>
    </w:p>
    <w:p w:rsidR="002907E5" w:rsidRPr="00DB3EEA" w:rsidRDefault="00DB3EEA" w:rsidP="002907E5">
      <w:pPr>
        <w:pStyle w:val="Prrafodelista"/>
        <w:numPr>
          <w:ilvl w:val="0"/>
          <w:numId w:val="1"/>
        </w:numPr>
        <w:tabs>
          <w:tab w:val="left" w:pos="0"/>
        </w:tabs>
        <w:ind w:left="0" w:firstLine="0"/>
        <w:jc w:val="both"/>
        <w:rPr>
          <w:rFonts w:ascii="Times New Roman" w:eastAsia="Calibri" w:hAnsi="Times New Roman" w:cs="Times New Roman"/>
          <w:sz w:val="28"/>
          <w:szCs w:val="28"/>
          <w:lang w:eastAsia="es-ES"/>
        </w:rPr>
      </w:pPr>
      <w:r w:rsidRPr="00DB3EEA">
        <w:rPr>
          <w:rFonts w:ascii="Times New Roman" w:hAnsi="Times New Roman" w:cs="Times New Roman"/>
          <w:sz w:val="28"/>
          <w:szCs w:val="28"/>
        </w:rPr>
        <w:t>En dicha oportunidad</w:t>
      </w:r>
      <w:r w:rsidRPr="00DB3EEA">
        <w:rPr>
          <w:rFonts w:ascii="Times New Roman" w:hAnsi="Times New Roman" w:cs="Times New Roman"/>
          <w:sz w:val="28"/>
          <w:szCs w:val="28"/>
        </w:rPr>
        <w:t>, correspondió a la Corte Constitucional estudiar dos demandas dirigidas contra el artículo 54 de la Ley 2277 de 2022, “</w:t>
      </w:r>
      <w:r w:rsidRPr="00DB3EEA">
        <w:rPr>
          <w:rFonts w:ascii="Times New Roman" w:hAnsi="Times New Roman" w:cs="Times New Roman"/>
          <w:sz w:val="28"/>
          <w:szCs w:val="28"/>
        </w:rPr>
        <w:t>p</w:t>
      </w:r>
      <w:r w:rsidRPr="00DB3EEA">
        <w:rPr>
          <w:rFonts w:ascii="Times New Roman" w:hAnsi="Times New Roman" w:cs="Times New Roman"/>
          <w:sz w:val="28"/>
          <w:szCs w:val="28"/>
        </w:rPr>
        <w:t>or medio de la cual se adopta una reforma tributaria para la igualdad y la justicia social y se dictan otras disposiciones”. La demanda</w:t>
      </w:r>
      <w:r w:rsidRPr="00DB3EEA">
        <w:rPr>
          <w:rFonts w:ascii="Times New Roman" w:hAnsi="Times New Roman" w:cs="Times New Roman"/>
          <w:sz w:val="28"/>
          <w:szCs w:val="28"/>
        </w:rPr>
        <w:t xml:space="preserve"> registrada con número de expediente D-15137 hacía cuestionamientos sobre la constitucionalidad de la totalidad de la norma por considerar que existen vicios de procedimiento en su formación que implican una vulneración de los principios democráticos consa</w:t>
      </w:r>
      <w:r w:rsidRPr="00DB3EEA">
        <w:rPr>
          <w:rFonts w:ascii="Times New Roman" w:hAnsi="Times New Roman" w:cs="Times New Roman"/>
          <w:sz w:val="28"/>
          <w:szCs w:val="28"/>
        </w:rPr>
        <w:t>grados en los artículos 161 de la Constitución Política y el artículo 187 de la Ley 5ª de 1992. Por otra parte, la demanda registrada con número de expediente D-15129, impugnaba expresiones específicas de la disposición acusada, a través de los cuales se a</w:t>
      </w:r>
      <w:r w:rsidRPr="00DB3EEA">
        <w:rPr>
          <w:rFonts w:ascii="Times New Roman" w:hAnsi="Times New Roman" w:cs="Times New Roman"/>
          <w:sz w:val="28"/>
          <w:szCs w:val="28"/>
        </w:rPr>
        <w:t>diciona el artículo 513-4 del Estatuto Tributario, pues considera</w:t>
      </w:r>
      <w:r w:rsidRPr="00DB3EEA">
        <w:rPr>
          <w:rFonts w:ascii="Times New Roman" w:hAnsi="Times New Roman" w:cs="Times New Roman"/>
          <w:sz w:val="28"/>
          <w:szCs w:val="28"/>
        </w:rPr>
        <w:t>ba</w:t>
      </w:r>
      <w:r w:rsidRPr="00DB3EEA">
        <w:rPr>
          <w:rFonts w:ascii="Times New Roman" w:hAnsi="Times New Roman" w:cs="Times New Roman"/>
          <w:sz w:val="28"/>
          <w:szCs w:val="28"/>
        </w:rPr>
        <w:t xml:space="preserve"> que la tarifa del tributo vulnera</w:t>
      </w:r>
      <w:r w:rsidRPr="00DB3EEA">
        <w:rPr>
          <w:rFonts w:ascii="Times New Roman" w:hAnsi="Times New Roman" w:cs="Times New Roman"/>
          <w:sz w:val="28"/>
          <w:szCs w:val="28"/>
        </w:rPr>
        <w:t>ba</w:t>
      </w:r>
      <w:r w:rsidRPr="00DB3EEA">
        <w:rPr>
          <w:rFonts w:ascii="Times New Roman" w:hAnsi="Times New Roman" w:cs="Times New Roman"/>
          <w:sz w:val="28"/>
          <w:szCs w:val="28"/>
        </w:rPr>
        <w:t xml:space="preserve"> los derechos a la igualdad y a la libre competencia. </w:t>
      </w:r>
    </w:p>
    <w:p w:rsidR="002907E5" w:rsidRPr="00DB3EEA" w:rsidRDefault="00DB3EEA" w:rsidP="002907E5">
      <w:pPr>
        <w:pStyle w:val="Prrafodelista"/>
        <w:rPr>
          <w:rFonts w:ascii="Times New Roman" w:hAnsi="Times New Roman" w:cs="Times New Roman"/>
          <w:sz w:val="28"/>
          <w:szCs w:val="28"/>
        </w:rPr>
      </w:pPr>
    </w:p>
    <w:p w:rsidR="00ED3724" w:rsidRPr="00DB3EEA" w:rsidRDefault="00DB3EEA" w:rsidP="002907E5">
      <w:pPr>
        <w:pStyle w:val="Prrafodelista"/>
        <w:numPr>
          <w:ilvl w:val="0"/>
          <w:numId w:val="1"/>
        </w:numPr>
        <w:tabs>
          <w:tab w:val="left" w:pos="0"/>
        </w:tabs>
        <w:ind w:left="0" w:firstLine="0"/>
        <w:jc w:val="both"/>
        <w:rPr>
          <w:rFonts w:ascii="Times New Roman" w:eastAsia="Calibri" w:hAnsi="Times New Roman" w:cs="Times New Roman"/>
          <w:i/>
          <w:sz w:val="28"/>
          <w:szCs w:val="28"/>
          <w:lang w:eastAsia="es-ES"/>
        </w:rPr>
      </w:pPr>
      <w:r w:rsidRPr="00DB3EEA">
        <w:rPr>
          <w:rFonts w:ascii="Times New Roman" w:hAnsi="Times New Roman" w:cs="Times New Roman"/>
          <w:sz w:val="28"/>
          <w:szCs w:val="28"/>
        </w:rPr>
        <w:t xml:space="preserve">Específicamente la providencia </w:t>
      </w:r>
      <w:r w:rsidRPr="00DB3EEA">
        <w:rPr>
          <w:rFonts w:ascii="Times New Roman" w:hAnsi="Times New Roman" w:cs="Times New Roman"/>
          <w:sz w:val="28"/>
          <w:szCs w:val="28"/>
        </w:rPr>
        <w:t>circunscribió el estudio a los siguientes asuntos</w:t>
      </w:r>
      <w:r w:rsidRPr="00DB3EEA">
        <w:rPr>
          <w:rFonts w:ascii="Times New Roman" w:hAnsi="Times New Roman" w:cs="Times New Roman"/>
          <w:i/>
          <w:sz w:val="28"/>
          <w:szCs w:val="28"/>
        </w:rPr>
        <w:t>:</w:t>
      </w:r>
      <w:r w:rsidRPr="00DB3EEA">
        <w:rPr>
          <w:rFonts w:ascii="Times New Roman" w:hAnsi="Times New Roman" w:cs="Times New Roman"/>
          <w:i/>
          <w:sz w:val="28"/>
          <w:szCs w:val="28"/>
        </w:rPr>
        <w:t xml:space="preserve"> (i) </w:t>
      </w:r>
      <w:r w:rsidRPr="00DB3EEA">
        <w:rPr>
          <w:rFonts w:ascii="Times New Roman" w:hAnsi="Times New Roman" w:cs="Times New Roman"/>
          <w:i/>
          <w:sz w:val="28"/>
          <w:szCs w:val="28"/>
        </w:rPr>
        <w:t>¿El artícul</w:t>
      </w:r>
      <w:r w:rsidRPr="00DB3EEA">
        <w:rPr>
          <w:rFonts w:ascii="Times New Roman" w:hAnsi="Times New Roman" w:cs="Times New Roman"/>
          <w:i/>
          <w:sz w:val="28"/>
          <w:szCs w:val="28"/>
        </w:rPr>
        <w:t>o 513-4 del Estatuto Tributario, introducido por el artículo 54 de la Ley 2277 de 2022, que regula el impuesto a las bebidas azucaradas ultraprocesadas como un tributo indirecto y que tiene por objeto desincentivar una actividad por razones de salud públic</w:t>
      </w:r>
      <w:r w:rsidRPr="00DB3EEA">
        <w:rPr>
          <w:rFonts w:ascii="Times New Roman" w:hAnsi="Times New Roman" w:cs="Times New Roman"/>
          <w:i/>
          <w:sz w:val="28"/>
          <w:szCs w:val="28"/>
        </w:rPr>
        <w:t>a, vulnera el derecho a la igualdad al imponer una tarifa fija que sea indiferente a la capacidad contributiva del sujeto pasivo de facto?</w:t>
      </w:r>
      <w:r w:rsidRPr="00DB3EEA">
        <w:rPr>
          <w:rFonts w:ascii="Times New Roman" w:hAnsi="Times New Roman" w:cs="Times New Roman"/>
          <w:i/>
          <w:sz w:val="28"/>
          <w:szCs w:val="28"/>
        </w:rPr>
        <w:t xml:space="preserve">y (ii) </w:t>
      </w:r>
      <w:r w:rsidRPr="00DB3EEA">
        <w:rPr>
          <w:rFonts w:ascii="Times New Roman" w:hAnsi="Times New Roman" w:cs="Times New Roman"/>
          <w:i/>
          <w:sz w:val="28"/>
          <w:szCs w:val="28"/>
        </w:rPr>
        <w:t>¿El artículo 513-4 del Estatuto Tributario, introducido por el artículo 54 de la Ley 2277 de 2022 vulnera el de</w:t>
      </w:r>
      <w:r w:rsidRPr="00DB3EEA">
        <w:rPr>
          <w:rFonts w:ascii="Times New Roman" w:hAnsi="Times New Roman" w:cs="Times New Roman"/>
          <w:i/>
          <w:sz w:val="28"/>
          <w:szCs w:val="28"/>
        </w:rPr>
        <w:t>recho a la libre competencia al imponer una tarifa fija sin atender las diferencias de capacidad productiva entre las empresas dedicadas a la producción y venta de bebidas azucaradas?</w:t>
      </w:r>
    </w:p>
    <w:p w:rsidR="00E20B18" w:rsidRPr="00DB3EEA" w:rsidRDefault="00DB3EEA" w:rsidP="00E20B18">
      <w:pPr>
        <w:pStyle w:val="Prrafodelista"/>
        <w:rPr>
          <w:rFonts w:ascii="Times New Roman" w:eastAsia="Calibri" w:hAnsi="Times New Roman" w:cs="Times New Roman"/>
          <w:i/>
          <w:sz w:val="28"/>
          <w:szCs w:val="28"/>
          <w:lang w:eastAsia="es-ES"/>
        </w:rPr>
      </w:pPr>
    </w:p>
    <w:p w:rsidR="003C046B" w:rsidRPr="00DB3EEA" w:rsidRDefault="00DB3EEA" w:rsidP="00E20B18">
      <w:pPr>
        <w:pStyle w:val="Prrafodelista"/>
        <w:numPr>
          <w:ilvl w:val="0"/>
          <w:numId w:val="1"/>
        </w:numPr>
        <w:tabs>
          <w:tab w:val="left" w:pos="0"/>
        </w:tabs>
        <w:ind w:left="0" w:firstLine="0"/>
        <w:jc w:val="both"/>
        <w:rPr>
          <w:rFonts w:ascii="Times New Roman" w:eastAsia="Calibri" w:hAnsi="Times New Roman" w:cs="Times New Roman"/>
          <w:i/>
          <w:sz w:val="28"/>
          <w:szCs w:val="28"/>
          <w:lang w:eastAsia="es-ES"/>
        </w:rPr>
      </w:pPr>
      <w:r w:rsidRPr="00DB3EEA">
        <w:rPr>
          <w:rFonts w:ascii="Times New Roman" w:hAnsi="Times New Roman" w:cs="Times New Roman"/>
          <w:sz w:val="28"/>
          <w:szCs w:val="28"/>
        </w:rPr>
        <w:t>Resulta claro que en este oportunidad, se solicita la inexequibilidad</w:t>
      </w:r>
      <w:r w:rsidRPr="00DB3EEA">
        <w:rPr>
          <w:rFonts w:ascii="Times New Roman" w:hAnsi="Times New Roman" w:cs="Times New Roman"/>
          <w:sz w:val="28"/>
          <w:szCs w:val="28"/>
        </w:rPr>
        <w:t xml:space="preserve"> de las expresiones, </w:t>
      </w:r>
      <w:r w:rsidRPr="00DB3EEA">
        <w:rPr>
          <w:rFonts w:ascii="Times New Roman" w:hAnsi="Times New Roman" w:cs="Times New Roman"/>
          <w:i/>
          <w:sz w:val="28"/>
          <w:szCs w:val="28"/>
        </w:rPr>
        <w:t>“en el caso de las mercancías importadas, la base gravable sobre la cual se liquida el impuesto a los productos comestibles ultraprocesados y/o con alto contenido de azúcares añadidos, sodio o grasas saturadas, será la misma que se tie</w:t>
      </w:r>
      <w:r w:rsidRPr="00DB3EEA">
        <w:rPr>
          <w:rFonts w:ascii="Times New Roman" w:hAnsi="Times New Roman" w:cs="Times New Roman"/>
          <w:i/>
          <w:sz w:val="28"/>
          <w:szCs w:val="28"/>
        </w:rPr>
        <w:t>ne en cuenta para liquidar los tributos aduaneros, adicionados con el valor de este gravamen</w:t>
      </w:r>
      <w:r w:rsidRPr="00DB3EEA">
        <w:rPr>
          <w:rFonts w:ascii="Times New Roman" w:hAnsi="Times New Roman" w:cs="Times New Roman"/>
          <w:sz w:val="28"/>
          <w:szCs w:val="28"/>
        </w:rPr>
        <w:t>.” y “</w:t>
      </w:r>
      <w:r w:rsidRPr="00DB3EEA">
        <w:rPr>
          <w:rFonts w:ascii="Times New Roman" w:hAnsi="Times New Roman" w:cs="Times New Roman"/>
          <w:i/>
          <w:sz w:val="28"/>
          <w:szCs w:val="28"/>
        </w:rPr>
        <w:t>Tratándose de productos terminados producidos en zona franca, la base gravable será</w:t>
      </w:r>
      <w:r w:rsidRPr="00DB3EEA">
        <w:rPr>
          <w:rFonts w:ascii="Times New Roman" w:hAnsi="Times New Roman" w:cs="Times New Roman"/>
          <w:sz w:val="28"/>
          <w:szCs w:val="28"/>
        </w:rPr>
        <w:t xml:space="preserve"> el valor de </w:t>
      </w:r>
      <w:r w:rsidRPr="00DB3EEA">
        <w:rPr>
          <w:rFonts w:ascii="Times New Roman" w:hAnsi="Times New Roman" w:cs="Times New Roman"/>
          <w:i/>
          <w:sz w:val="28"/>
          <w:szCs w:val="28"/>
        </w:rPr>
        <w:t xml:space="preserve">todos los costos y gastos de producción de conformidad con el </w:t>
      </w:r>
      <w:r w:rsidRPr="00DB3EEA">
        <w:rPr>
          <w:rFonts w:ascii="Times New Roman" w:hAnsi="Times New Roman" w:cs="Times New Roman"/>
          <w:i/>
          <w:sz w:val="28"/>
          <w:szCs w:val="28"/>
        </w:rPr>
        <w:t>certificado de integración, más el valor de los tributos aduaneros. Cuando el importador sea el comprador o cliente en territorio aduanero nacional, la base gravable será el valor de la factura más los tributos aduaneros”</w:t>
      </w:r>
      <w:r w:rsidRPr="00DB3EEA">
        <w:rPr>
          <w:rFonts w:ascii="Times New Roman" w:hAnsi="Times New Roman" w:cs="Times New Roman"/>
          <w:sz w:val="28"/>
          <w:szCs w:val="28"/>
        </w:rPr>
        <w:t>, por cuanto en la determinación de</w:t>
      </w:r>
      <w:r w:rsidRPr="00DB3EEA">
        <w:rPr>
          <w:rFonts w:ascii="Times New Roman" w:hAnsi="Times New Roman" w:cs="Times New Roman"/>
          <w:sz w:val="28"/>
          <w:szCs w:val="28"/>
        </w:rPr>
        <w:t xml:space="preserve"> la base gravable el legislador </w:t>
      </w:r>
      <w:r w:rsidRPr="00DB3EEA">
        <w:rPr>
          <w:rFonts w:ascii="Times New Roman" w:hAnsi="Times New Roman" w:cs="Times New Roman"/>
          <w:sz w:val="28"/>
          <w:szCs w:val="28"/>
        </w:rPr>
        <w:t>otorgó</w:t>
      </w:r>
      <w:r w:rsidRPr="00DB3EEA">
        <w:rPr>
          <w:rFonts w:ascii="Times New Roman" w:hAnsi="Times New Roman" w:cs="Times New Roman"/>
          <w:sz w:val="28"/>
          <w:szCs w:val="28"/>
        </w:rPr>
        <w:t xml:space="preserve"> un tratamiento diverso entre los productos nacional</w:t>
      </w:r>
      <w:r w:rsidRPr="00DB3EEA">
        <w:rPr>
          <w:rFonts w:ascii="Times New Roman" w:hAnsi="Times New Roman" w:cs="Times New Roman"/>
          <w:sz w:val="28"/>
          <w:szCs w:val="28"/>
        </w:rPr>
        <w:t>es</w:t>
      </w:r>
      <w:r w:rsidRPr="00DB3EEA">
        <w:rPr>
          <w:rFonts w:ascii="Times New Roman" w:hAnsi="Times New Roman" w:cs="Times New Roman"/>
          <w:sz w:val="28"/>
          <w:szCs w:val="28"/>
        </w:rPr>
        <w:t xml:space="preserve"> e importados</w:t>
      </w:r>
      <w:r w:rsidRPr="00DB3EEA">
        <w:rPr>
          <w:rFonts w:ascii="Times New Roman" w:hAnsi="Times New Roman" w:cs="Times New Roman"/>
          <w:sz w:val="28"/>
          <w:szCs w:val="28"/>
        </w:rPr>
        <w:t>, el cual, en su concepto</w:t>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no se encuentra justificado y además, crea un arancel</w:t>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Es claro</w:t>
      </w:r>
      <w:r w:rsidRPr="00DB3EEA">
        <w:rPr>
          <w:rFonts w:ascii="Times New Roman" w:hAnsi="Times New Roman" w:cs="Times New Roman"/>
          <w:sz w:val="28"/>
          <w:szCs w:val="28"/>
        </w:rPr>
        <w:t xml:space="preserve"> entonces </w:t>
      </w:r>
      <w:r w:rsidRPr="00DB3EEA">
        <w:rPr>
          <w:rFonts w:ascii="Times New Roman" w:hAnsi="Times New Roman" w:cs="Times New Roman"/>
          <w:sz w:val="28"/>
          <w:szCs w:val="28"/>
        </w:rPr>
        <w:t>que no se discute de ninguna forma la tarifa aplica</w:t>
      </w:r>
      <w:r w:rsidRPr="00DB3EEA">
        <w:rPr>
          <w:rFonts w:ascii="Times New Roman" w:hAnsi="Times New Roman" w:cs="Times New Roman"/>
          <w:sz w:val="28"/>
          <w:szCs w:val="28"/>
        </w:rPr>
        <w:t>ble</w:t>
      </w:r>
      <w:r w:rsidRPr="00DB3EEA">
        <w:rPr>
          <w:rFonts w:ascii="Times New Roman" w:hAnsi="Times New Roman" w:cs="Times New Roman"/>
          <w:sz w:val="28"/>
          <w:szCs w:val="28"/>
        </w:rPr>
        <w:t xml:space="preserve">, y por tanto, no existe identidad </w:t>
      </w:r>
      <w:r w:rsidRPr="00DB3EEA">
        <w:rPr>
          <w:rFonts w:ascii="Times New Roman" w:hAnsi="Times New Roman" w:cs="Times New Roman"/>
          <w:sz w:val="28"/>
          <w:szCs w:val="28"/>
        </w:rPr>
        <w:t>de algunos de los cargos hoy estudiados con los analizados en la Sentencia C-435 de 2023.</w:t>
      </w:r>
    </w:p>
    <w:p w:rsidR="00ED3724" w:rsidRPr="00DB3EEA" w:rsidRDefault="00DB3EEA" w:rsidP="00DB7A94">
      <w:pPr>
        <w:pStyle w:val="TableParagraph"/>
        <w:spacing w:line="270" w:lineRule="atLeast"/>
        <w:ind w:left="139" w:right="101"/>
        <w:jc w:val="both"/>
        <w:rPr>
          <w:rFonts w:ascii="Times New Roman" w:hAnsi="Times New Roman" w:cs="Times New Roman"/>
          <w:sz w:val="28"/>
          <w:szCs w:val="28"/>
        </w:rPr>
      </w:pPr>
      <w:r w:rsidRPr="00DB3EEA">
        <w:rPr>
          <w:rFonts w:ascii="Times New Roman" w:hAnsi="Times New Roman" w:cs="Times New Roman"/>
          <w:sz w:val="28"/>
          <w:szCs w:val="28"/>
        </w:rPr>
        <w:t xml:space="preserve"> </w:t>
      </w:r>
    </w:p>
    <w:p w:rsidR="00EE5BBA" w:rsidRPr="00DB3EEA" w:rsidRDefault="00DB3EEA" w:rsidP="007D36D5">
      <w:pPr>
        <w:pStyle w:val="Prrafodelista"/>
        <w:numPr>
          <w:ilvl w:val="0"/>
          <w:numId w:val="3"/>
        </w:numPr>
        <w:tabs>
          <w:tab w:val="left" w:pos="284"/>
        </w:tabs>
        <w:jc w:val="both"/>
        <w:outlineLvl w:val="1"/>
        <w:rPr>
          <w:rFonts w:ascii="Times New Roman" w:eastAsia="Calibri" w:hAnsi="Times New Roman" w:cs="Times New Roman"/>
          <w:b/>
          <w:sz w:val="28"/>
          <w:szCs w:val="28"/>
          <w:lang w:eastAsia="es-ES"/>
        </w:rPr>
      </w:pPr>
      <w:r w:rsidRPr="00DB3EEA">
        <w:rPr>
          <w:rFonts w:ascii="Times New Roman" w:eastAsia="Calibri" w:hAnsi="Times New Roman" w:cs="Times New Roman"/>
          <w:b/>
          <w:bCs/>
          <w:sz w:val="28"/>
          <w:szCs w:val="28"/>
          <w:lang w:eastAsia="es-ES"/>
        </w:rPr>
        <w:t>Planteamiento del problema jurídico y de la metodología de la decisión</w:t>
      </w:r>
    </w:p>
    <w:p w:rsidR="00352D09" w:rsidRPr="00DB3EEA" w:rsidRDefault="00DB3EEA" w:rsidP="00376DDD">
      <w:pPr>
        <w:pStyle w:val="Prrafodelista"/>
        <w:tabs>
          <w:tab w:val="left" w:pos="426"/>
        </w:tabs>
        <w:ind w:left="0"/>
        <w:jc w:val="both"/>
        <w:rPr>
          <w:rFonts w:ascii="Times New Roman" w:eastAsia="Calibri" w:hAnsi="Times New Roman" w:cs="Times New Roman"/>
          <w:sz w:val="28"/>
          <w:szCs w:val="28"/>
          <w:lang w:eastAsia="es-ES"/>
        </w:rPr>
      </w:pPr>
    </w:p>
    <w:p w:rsidR="006648B2" w:rsidRPr="00DB3EEA" w:rsidRDefault="00DB3EEA" w:rsidP="00376DDD">
      <w:pPr>
        <w:pStyle w:val="Prrafodelista"/>
        <w:numPr>
          <w:ilvl w:val="0"/>
          <w:numId w:val="1"/>
        </w:numPr>
        <w:tabs>
          <w:tab w:val="left" w:pos="426"/>
        </w:tabs>
        <w:ind w:left="0" w:firstLine="0"/>
        <w:jc w:val="both"/>
        <w:rPr>
          <w:rFonts w:ascii="Times New Roman" w:eastAsia="Calibri" w:hAnsi="Times New Roman" w:cs="Times New Roman"/>
          <w:sz w:val="28"/>
          <w:szCs w:val="28"/>
          <w:lang w:eastAsia="es-ES"/>
        </w:rPr>
      </w:pPr>
      <w:r w:rsidRPr="00DB3EEA">
        <w:rPr>
          <w:rFonts w:ascii="Times New Roman" w:eastAsia="Calibri" w:hAnsi="Times New Roman" w:cs="Times New Roman"/>
          <w:sz w:val="28"/>
          <w:szCs w:val="28"/>
          <w:lang w:eastAsia="es-ES"/>
        </w:rPr>
        <w:t xml:space="preserve">Establecido entonces la aptitud de los cargos en relación con </w:t>
      </w:r>
      <w:r w:rsidRPr="00DB3EEA">
        <w:rPr>
          <w:rFonts w:ascii="Times New Roman" w:eastAsia="Calibri" w:hAnsi="Times New Roman" w:cs="Times New Roman"/>
          <w:sz w:val="28"/>
          <w:szCs w:val="28"/>
          <w:lang w:eastAsia="es-ES"/>
        </w:rPr>
        <w:t>las censuras referidas</w:t>
      </w:r>
      <w:r w:rsidRPr="00DB3EEA">
        <w:rPr>
          <w:rFonts w:ascii="Times New Roman" w:eastAsia="Calibri" w:hAnsi="Times New Roman" w:cs="Times New Roman"/>
          <w:sz w:val="28"/>
          <w:szCs w:val="28"/>
          <w:lang w:eastAsia="es-ES"/>
        </w:rPr>
        <w:t xml:space="preserve"> a la transgresión del derecho a la igualdad</w:t>
      </w:r>
      <w:r w:rsidRPr="00DB3EEA">
        <w:rPr>
          <w:rFonts w:ascii="Times New Roman" w:eastAsia="Calibri" w:hAnsi="Times New Roman" w:cs="Times New Roman"/>
          <w:sz w:val="28"/>
          <w:szCs w:val="28"/>
          <w:lang w:eastAsia="es-ES"/>
        </w:rPr>
        <w:t xml:space="preserve"> y equidad tributaria;</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así como al</w:t>
      </w:r>
      <w:r w:rsidRPr="00DB3EEA">
        <w:rPr>
          <w:rFonts w:ascii="Times New Roman" w:eastAsia="Calibri" w:hAnsi="Times New Roman" w:cs="Times New Roman"/>
          <w:sz w:val="28"/>
          <w:szCs w:val="28"/>
          <w:lang w:eastAsia="es-ES"/>
        </w:rPr>
        <w:t xml:space="preserve"> desconocimiento de la reserva en cabeza del ejecutivo en el establecimiento de aranceles, e</w:t>
      </w:r>
      <w:r w:rsidRPr="00DB3EEA">
        <w:rPr>
          <w:rFonts w:ascii="Times New Roman" w:eastAsia="Calibri" w:hAnsi="Times New Roman" w:cs="Times New Roman"/>
          <w:sz w:val="28"/>
          <w:szCs w:val="28"/>
          <w:lang w:eastAsia="es-ES"/>
        </w:rPr>
        <w:t xml:space="preserve">n </w:t>
      </w:r>
      <w:r w:rsidRPr="00DB3EEA">
        <w:rPr>
          <w:rFonts w:ascii="Times New Roman" w:eastAsia="Calibri" w:hAnsi="Times New Roman" w:cs="Times New Roman"/>
          <w:sz w:val="28"/>
          <w:szCs w:val="28"/>
          <w:lang w:eastAsia="es-ES"/>
        </w:rPr>
        <w:t>el presente caso le corresponde a la Corte</w:t>
      </w:r>
      <w:r w:rsidRPr="00DB3EEA">
        <w:rPr>
          <w:rFonts w:ascii="Times New Roman" w:eastAsia="Calibri" w:hAnsi="Times New Roman" w:cs="Times New Roman"/>
          <w:sz w:val="28"/>
          <w:szCs w:val="28"/>
          <w:lang w:eastAsia="es-ES"/>
        </w:rPr>
        <w:t xml:space="preserve"> Constitucional</w:t>
      </w:r>
      <w:r w:rsidRPr="00DB3EEA">
        <w:rPr>
          <w:rFonts w:ascii="Times New Roman" w:eastAsia="Calibri" w:hAnsi="Times New Roman" w:cs="Times New Roman"/>
          <w:sz w:val="28"/>
          <w:szCs w:val="28"/>
          <w:lang w:eastAsia="es-ES"/>
        </w:rPr>
        <w:t xml:space="preserve"> resolver </w:t>
      </w:r>
      <w:r w:rsidRPr="00DB3EEA">
        <w:rPr>
          <w:rFonts w:ascii="Times New Roman" w:eastAsia="Calibri" w:hAnsi="Times New Roman" w:cs="Times New Roman"/>
          <w:sz w:val="28"/>
          <w:szCs w:val="28"/>
          <w:lang w:eastAsia="es-ES"/>
        </w:rPr>
        <w:t xml:space="preserve">los </w:t>
      </w:r>
      <w:r w:rsidRPr="00DB3EEA">
        <w:rPr>
          <w:rFonts w:ascii="Times New Roman" w:eastAsia="Calibri" w:hAnsi="Times New Roman" w:cs="Times New Roman"/>
          <w:sz w:val="28"/>
          <w:szCs w:val="28"/>
          <w:lang w:eastAsia="es-ES"/>
        </w:rPr>
        <w:t>siguiente</w:t>
      </w:r>
      <w:r w:rsidRPr="00DB3EEA">
        <w:rPr>
          <w:rFonts w:ascii="Times New Roman" w:eastAsia="Calibri" w:hAnsi="Times New Roman" w:cs="Times New Roman"/>
          <w:sz w:val="28"/>
          <w:szCs w:val="28"/>
          <w:lang w:eastAsia="es-ES"/>
        </w:rPr>
        <w:t>s</w:t>
      </w:r>
      <w:r w:rsidRPr="00DB3EEA">
        <w:rPr>
          <w:rFonts w:ascii="Times New Roman" w:eastAsia="Calibri" w:hAnsi="Times New Roman" w:cs="Times New Roman"/>
          <w:sz w:val="28"/>
          <w:szCs w:val="28"/>
          <w:lang w:eastAsia="es-ES"/>
        </w:rPr>
        <w:t xml:space="preserve"> problema</w:t>
      </w:r>
      <w:r w:rsidRPr="00DB3EEA">
        <w:rPr>
          <w:rFonts w:ascii="Times New Roman" w:eastAsia="Calibri" w:hAnsi="Times New Roman" w:cs="Times New Roman"/>
          <w:sz w:val="28"/>
          <w:szCs w:val="28"/>
          <w:lang w:eastAsia="es-ES"/>
        </w:rPr>
        <w:t>s</w:t>
      </w:r>
      <w:r w:rsidRPr="00DB3EEA">
        <w:rPr>
          <w:rFonts w:ascii="Times New Roman" w:eastAsia="Calibri" w:hAnsi="Times New Roman" w:cs="Times New Roman"/>
          <w:sz w:val="28"/>
          <w:szCs w:val="28"/>
          <w:lang w:eastAsia="es-ES"/>
        </w:rPr>
        <w:t xml:space="preserve"> jurídico</w:t>
      </w:r>
      <w:r w:rsidRPr="00DB3EEA">
        <w:rPr>
          <w:rFonts w:ascii="Times New Roman" w:eastAsia="Calibri" w:hAnsi="Times New Roman" w:cs="Times New Roman"/>
          <w:sz w:val="28"/>
          <w:szCs w:val="28"/>
          <w:lang w:eastAsia="es-ES"/>
        </w:rPr>
        <w:t>s</w:t>
      </w:r>
      <w:r w:rsidRPr="00DB3EEA">
        <w:rPr>
          <w:rFonts w:ascii="Times New Roman" w:eastAsia="Calibri" w:hAnsi="Times New Roman" w:cs="Times New Roman"/>
          <w:sz w:val="28"/>
          <w:szCs w:val="28"/>
          <w:lang w:eastAsia="es-ES"/>
        </w:rPr>
        <w:t>:</w:t>
      </w:r>
      <w:r w:rsidRPr="00DB3EEA">
        <w:rPr>
          <w:rFonts w:ascii="Times New Roman" w:eastAsia="Calibri" w:hAnsi="Times New Roman" w:cs="Times New Roman"/>
          <w:sz w:val="28"/>
          <w:szCs w:val="28"/>
          <w:lang w:eastAsia="es-ES"/>
        </w:rPr>
        <w:t xml:space="preserve"> </w:t>
      </w:r>
    </w:p>
    <w:p w:rsidR="00F40566" w:rsidRPr="00DB3EEA" w:rsidRDefault="00DB3EEA" w:rsidP="00376DDD">
      <w:pPr>
        <w:pStyle w:val="Prrafodelista"/>
        <w:tabs>
          <w:tab w:val="left" w:pos="426"/>
        </w:tabs>
        <w:ind w:left="0"/>
        <w:jc w:val="both"/>
        <w:rPr>
          <w:rFonts w:ascii="Times New Roman" w:eastAsia="Calibri" w:hAnsi="Times New Roman" w:cs="Times New Roman"/>
          <w:sz w:val="28"/>
          <w:szCs w:val="28"/>
          <w:lang w:eastAsia="es-ES"/>
        </w:rPr>
      </w:pPr>
    </w:p>
    <w:p w:rsidR="00B65B38" w:rsidRPr="00DB3EEA" w:rsidRDefault="00DB3EEA" w:rsidP="00376DDD">
      <w:pPr>
        <w:pStyle w:val="Default"/>
        <w:numPr>
          <w:ilvl w:val="0"/>
          <w:numId w:val="5"/>
        </w:numPr>
        <w:jc w:val="both"/>
        <w:rPr>
          <w:rFonts w:ascii="Times New Roman" w:hAnsi="Times New Roman" w:cs="Times New Roman"/>
          <w:sz w:val="28"/>
          <w:szCs w:val="28"/>
        </w:rPr>
      </w:pPr>
      <w:r w:rsidRPr="00DB3EEA">
        <w:rPr>
          <w:rFonts w:ascii="Times New Roman" w:hAnsi="Times New Roman" w:cs="Times New Roman"/>
          <w:sz w:val="28"/>
          <w:szCs w:val="28"/>
        </w:rPr>
        <w:t>¿El</w:t>
      </w:r>
      <w:r w:rsidRPr="00DB3EEA">
        <w:rPr>
          <w:rFonts w:ascii="Times New Roman" w:hAnsi="Times New Roman" w:cs="Times New Roman"/>
          <w:spacing w:val="-5"/>
          <w:sz w:val="28"/>
          <w:szCs w:val="28"/>
        </w:rPr>
        <w:t xml:space="preserve"> </w:t>
      </w:r>
      <w:r w:rsidRPr="00DB3EEA">
        <w:rPr>
          <w:rFonts w:ascii="Times New Roman" w:hAnsi="Times New Roman" w:cs="Times New Roman"/>
          <w:sz w:val="28"/>
          <w:szCs w:val="28"/>
        </w:rPr>
        <w:t>artículo 513-8 (parcial) del</w:t>
      </w:r>
      <w:r w:rsidRPr="00DB3EEA">
        <w:rPr>
          <w:rFonts w:ascii="Times New Roman" w:hAnsi="Times New Roman" w:cs="Times New Roman"/>
          <w:spacing w:val="-5"/>
          <w:sz w:val="28"/>
          <w:szCs w:val="28"/>
        </w:rPr>
        <w:t xml:space="preserve"> </w:t>
      </w:r>
      <w:r w:rsidRPr="00DB3EEA">
        <w:rPr>
          <w:rFonts w:ascii="Times New Roman" w:hAnsi="Times New Roman" w:cs="Times New Roman"/>
          <w:sz w:val="28"/>
          <w:szCs w:val="28"/>
        </w:rPr>
        <w:t>Estatuto Tributario, adicionado por el</w:t>
      </w:r>
      <w:r w:rsidRPr="00DB3EEA">
        <w:rPr>
          <w:rFonts w:ascii="Times New Roman" w:hAnsi="Times New Roman" w:cs="Times New Roman"/>
          <w:spacing w:val="-5"/>
          <w:sz w:val="28"/>
          <w:szCs w:val="28"/>
        </w:rPr>
        <w:t xml:space="preserve"> </w:t>
      </w:r>
      <w:r w:rsidRPr="00DB3EEA">
        <w:rPr>
          <w:rFonts w:ascii="Times New Roman" w:hAnsi="Times New Roman" w:cs="Times New Roman"/>
          <w:sz w:val="28"/>
          <w:szCs w:val="28"/>
        </w:rPr>
        <w:t>artículo 54 de la Ley 2277 de 2022, vulnera los principios de igualdad y de equ</w:t>
      </w:r>
      <w:r w:rsidRPr="00DB3EEA">
        <w:rPr>
          <w:rFonts w:ascii="Times New Roman" w:hAnsi="Times New Roman" w:cs="Times New Roman"/>
          <w:sz w:val="28"/>
          <w:szCs w:val="28"/>
        </w:rPr>
        <w:t>idad tributaria al</w:t>
      </w:r>
      <w:r w:rsidRPr="00DB3EEA">
        <w:rPr>
          <w:rFonts w:ascii="Times New Roman" w:hAnsi="Times New Roman" w:cs="Times New Roman"/>
          <w:spacing w:val="-11"/>
          <w:sz w:val="28"/>
          <w:szCs w:val="28"/>
        </w:rPr>
        <w:t xml:space="preserve"> </w:t>
      </w:r>
      <w:r w:rsidRPr="00DB3EEA">
        <w:rPr>
          <w:rFonts w:ascii="Times New Roman" w:hAnsi="Times New Roman" w:cs="Times New Roman"/>
          <w:sz w:val="28"/>
          <w:szCs w:val="28"/>
        </w:rPr>
        <w:t>establecer de</w:t>
      </w:r>
      <w:r w:rsidRPr="00DB3EEA">
        <w:rPr>
          <w:rFonts w:ascii="Times New Roman" w:hAnsi="Times New Roman" w:cs="Times New Roman"/>
          <w:spacing w:val="-9"/>
          <w:sz w:val="28"/>
          <w:szCs w:val="28"/>
        </w:rPr>
        <w:t xml:space="preserve"> </w:t>
      </w:r>
      <w:r w:rsidRPr="00DB3EEA">
        <w:rPr>
          <w:rFonts w:ascii="Times New Roman" w:hAnsi="Times New Roman" w:cs="Times New Roman"/>
          <w:sz w:val="28"/>
          <w:szCs w:val="28"/>
        </w:rPr>
        <w:t>forma diferenciada la base gravable del impuesto a</w:t>
      </w:r>
      <w:r w:rsidRPr="00DB3EEA">
        <w:rPr>
          <w:rFonts w:ascii="Times New Roman" w:hAnsi="Times New Roman" w:cs="Times New Roman"/>
          <w:spacing w:val="-1"/>
          <w:sz w:val="28"/>
          <w:szCs w:val="28"/>
        </w:rPr>
        <w:t xml:space="preserve"> </w:t>
      </w:r>
      <w:r w:rsidRPr="00DB3EEA">
        <w:rPr>
          <w:rFonts w:ascii="Times New Roman" w:hAnsi="Times New Roman" w:cs="Times New Roman"/>
          <w:sz w:val="28"/>
          <w:szCs w:val="28"/>
        </w:rPr>
        <w:t>los</w:t>
      </w:r>
      <w:r w:rsidRPr="00DB3EEA">
        <w:rPr>
          <w:rFonts w:ascii="Times New Roman" w:hAnsi="Times New Roman" w:cs="Times New Roman"/>
          <w:spacing w:val="-5"/>
          <w:sz w:val="28"/>
          <w:szCs w:val="28"/>
        </w:rPr>
        <w:t xml:space="preserve"> </w:t>
      </w:r>
      <w:r w:rsidRPr="00DB3EEA">
        <w:rPr>
          <w:rFonts w:ascii="Times New Roman" w:hAnsi="Times New Roman" w:cs="Times New Roman"/>
          <w:sz w:val="28"/>
          <w:szCs w:val="28"/>
        </w:rPr>
        <w:t>productos comestibles ultraprocesados</w:t>
      </w:r>
      <w:r w:rsidRPr="00DB3EEA">
        <w:rPr>
          <w:rFonts w:ascii="Times New Roman" w:hAnsi="Times New Roman" w:cs="Times New Roman"/>
          <w:spacing w:val="-8"/>
          <w:sz w:val="28"/>
          <w:szCs w:val="28"/>
        </w:rPr>
        <w:t xml:space="preserve"> </w:t>
      </w:r>
      <w:r w:rsidRPr="00DB3EEA">
        <w:rPr>
          <w:rFonts w:ascii="Times New Roman" w:hAnsi="Times New Roman" w:cs="Times New Roman"/>
          <w:sz w:val="28"/>
          <w:szCs w:val="28"/>
        </w:rPr>
        <w:t>industrialmente</w:t>
      </w:r>
      <w:r w:rsidRPr="00DB3EEA">
        <w:rPr>
          <w:rFonts w:ascii="Times New Roman" w:hAnsi="Times New Roman" w:cs="Times New Roman"/>
          <w:spacing w:val="-1"/>
          <w:sz w:val="28"/>
          <w:szCs w:val="28"/>
        </w:rPr>
        <w:t xml:space="preserve"> </w:t>
      </w:r>
      <w:r w:rsidRPr="00DB3EEA">
        <w:rPr>
          <w:rFonts w:ascii="Times New Roman" w:hAnsi="Times New Roman" w:cs="Times New Roman"/>
          <w:sz w:val="28"/>
          <w:szCs w:val="28"/>
        </w:rPr>
        <w:t>y/o con alto contenido</w:t>
      </w:r>
      <w:r w:rsidRPr="00DB3EEA">
        <w:rPr>
          <w:rFonts w:ascii="Times New Roman" w:hAnsi="Times New Roman" w:cs="Times New Roman"/>
          <w:spacing w:val="-6"/>
          <w:sz w:val="28"/>
          <w:szCs w:val="28"/>
        </w:rPr>
        <w:t xml:space="preserve"> </w:t>
      </w:r>
      <w:r w:rsidRPr="00DB3EEA">
        <w:rPr>
          <w:rFonts w:ascii="Times New Roman" w:hAnsi="Times New Roman" w:cs="Times New Roman"/>
          <w:sz w:val="28"/>
          <w:szCs w:val="28"/>
        </w:rPr>
        <w:t>de</w:t>
      </w:r>
      <w:r w:rsidRPr="00DB3EEA">
        <w:rPr>
          <w:rFonts w:ascii="Times New Roman" w:hAnsi="Times New Roman" w:cs="Times New Roman"/>
          <w:spacing w:val="-16"/>
          <w:sz w:val="28"/>
          <w:szCs w:val="28"/>
        </w:rPr>
        <w:t xml:space="preserve"> </w:t>
      </w:r>
      <w:r w:rsidRPr="00DB3EEA">
        <w:rPr>
          <w:rFonts w:ascii="Times New Roman" w:hAnsi="Times New Roman" w:cs="Times New Roman"/>
          <w:sz w:val="28"/>
          <w:szCs w:val="28"/>
        </w:rPr>
        <w:t>azúcares</w:t>
      </w:r>
      <w:r w:rsidRPr="00DB3EEA">
        <w:rPr>
          <w:rFonts w:ascii="Times New Roman" w:hAnsi="Times New Roman" w:cs="Times New Roman"/>
          <w:spacing w:val="-4"/>
          <w:sz w:val="28"/>
          <w:szCs w:val="28"/>
        </w:rPr>
        <w:t xml:space="preserve"> </w:t>
      </w:r>
      <w:r w:rsidRPr="00DB3EEA">
        <w:rPr>
          <w:rFonts w:ascii="Times New Roman" w:hAnsi="Times New Roman" w:cs="Times New Roman"/>
          <w:sz w:val="28"/>
          <w:szCs w:val="28"/>
        </w:rPr>
        <w:t>añadidos,</w:t>
      </w:r>
      <w:r w:rsidRPr="00DB3EEA">
        <w:rPr>
          <w:rFonts w:ascii="Times New Roman" w:hAnsi="Times New Roman" w:cs="Times New Roman"/>
          <w:spacing w:val="-8"/>
          <w:sz w:val="28"/>
          <w:szCs w:val="28"/>
        </w:rPr>
        <w:t xml:space="preserve"> </w:t>
      </w:r>
      <w:r w:rsidRPr="00DB3EEA">
        <w:rPr>
          <w:rFonts w:ascii="Times New Roman" w:hAnsi="Times New Roman" w:cs="Times New Roman"/>
          <w:sz w:val="28"/>
          <w:szCs w:val="28"/>
        </w:rPr>
        <w:t>sodio</w:t>
      </w:r>
      <w:r w:rsidRPr="00DB3EEA">
        <w:rPr>
          <w:rFonts w:ascii="Times New Roman" w:hAnsi="Times New Roman" w:cs="Times New Roman"/>
          <w:spacing w:val="-6"/>
          <w:sz w:val="28"/>
          <w:szCs w:val="28"/>
        </w:rPr>
        <w:t xml:space="preserve"> </w:t>
      </w:r>
      <w:r w:rsidRPr="00DB3EEA">
        <w:rPr>
          <w:rFonts w:ascii="Times New Roman" w:hAnsi="Times New Roman" w:cs="Times New Roman"/>
          <w:sz w:val="28"/>
          <w:szCs w:val="28"/>
        </w:rPr>
        <w:t>o</w:t>
      </w:r>
      <w:r w:rsidRPr="00DB3EEA">
        <w:rPr>
          <w:rFonts w:ascii="Times New Roman" w:hAnsi="Times New Roman" w:cs="Times New Roman"/>
          <w:spacing w:val="-17"/>
          <w:sz w:val="28"/>
          <w:szCs w:val="28"/>
        </w:rPr>
        <w:t xml:space="preserve"> </w:t>
      </w:r>
      <w:r w:rsidRPr="00DB3EEA">
        <w:rPr>
          <w:rFonts w:ascii="Times New Roman" w:hAnsi="Times New Roman" w:cs="Times New Roman"/>
          <w:sz w:val="28"/>
          <w:szCs w:val="28"/>
        </w:rPr>
        <w:t>grasas</w:t>
      </w:r>
      <w:r w:rsidRPr="00DB3EEA">
        <w:rPr>
          <w:rFonts w:ascii="Times New Roman" w:hAnsi="Times New Roman" w:cs="Times New Roman"/>
          <w:spacing w:val="-8"/>
          <w:sz w:val="28"/>
          <w:szCs w:val="28"/>
        </w:rPr>
        <w:t xml:space="preserve"> </w:t>
      </w:r>
      <w:r w:rsidRPr="00DB3EEA">
        <w:rPr>
          <w:rFonts w:ascii="Times New Roman" w:hAnsi="Times New Roman" w:cs="Times New Roman"/>
          <w:sz w:val="28"/>
          <w:szCs w:val="28"/>
        </w:rPr>
        <w:t>saturadas, según</w:t>
      </w:r>
      <w:r w:rsidRPr="00DB3EEA">
        <w:rPr>
          <w:rFonts w:ascii="Times New Roman" w:hAnsi="Times New Roman" w:cs="Times New Roman"/>
          <w:spacing w:val="-9"/>
          <w:sz w:val="28"/>
          <w:szCs w:val="28"/>
        </w:rPr>
        <w:t xml:space="preserve"> </w:t>
      </w:r>
      <w:r w:rsidRPr="00DB3EEA">
        <w:rPr>
          <w:rFonts w:ascii="Times New Roman" w:hAnsi="Times New Roman" w:cs="Times New Roman"/>
          <w:sz w:val="28"/>
          <w:szCs w:val="28"/>
        </w:rPr>
        <w:t>se</w:t>
      </w:r>
      <w:r w:rsidRPr="00DB3EEA">
        <w:rPr>
          <w:rFonts w:ascii="Times New Roman" w:hAnsi="Times New Roman" w:cs="Times New Roman"/>
          <w:spacing w:val="-17"/>
          <w:sz w:val="28"/>
          <w:szCs w:val="28"/>
        </w:rPr>
        <w:t xml:space="preserve"> </w:t>
      </w:r>
      <w:r w:rsidRPr="00DB3EEA">
        <w:rPr>
          <w:rFonts w:ascii="Times New Roman" w:hAnsi="Times New Roman" w:cs="Times New Roman"/>
          <w:sz w:val="28"/>
          <w:szCs w:val="28"/>
        </w:rPr>
        <w:t>trate</w:t>
      </w:r>
      <w:r w:rsidRPr="00DB3EEA">
        <w:rPr>
          <w:rFonts w:ascii="Times New Roman" w:hAnsi="Times New Roman" w:cs="Times New Roman"/>
          <w:spacing w:val="-16"/>
          <w:sz w:val="28"/>
          <w:szCs w:val="28"/>
        </w:rPr>
        <w:t xml:space="preserve"> </w:t>
      </w:r>
      <w:r w:rsidRPr="00DB3EEA">
        <w:rPr>
          <w:rFonts w:ascii="Times New Roman" w:hAnsi="Times New Roman" w:cs="Times New Roman"/>
          <w:sz w:val="28"/>
          <w:szCs w:val="28"/>
        </w:rPr>
        <w:t xml:space="preserve">(i) de productos nacionales </w:t>
      </w:r>
      <w:r w:rsidRPr="00DB3EEA">
        <w:rPr>
          <w:rFonts w:ascii="Times New Roman" w:hAnsi="Times New Roman" w:cs="Times New Roman"/>
          <w:sz w:val="28"/>
          <w:szCs w:val="28"/>
        </w:rPr>
        <w:t>o (ii) de mercancías importadas o productos terminados producidos en</w:t>
      </w:r>
      <w:r w:rsidRPr="00DB3EEA">
        <w:rPr>
          <w:rFonts w:ascii="Times New Roman" w:hAnsi="Times New Roman" w:cs="Times New Roman"/>
          <w:spacing w:val="-11"/>
          <w:sz w:val="28"/>
          <w:szCs w:val="28"/>
        </w:rPr>
        <w:t xml:space="preserve"> </w:t>
      </w:r>
      <w:r w:rsidRPr="00DB3EEA">
        <w:rPr>
          <w:rFonts w:ascii="Times New Roman" w:hAnsi="Times New Roman" w:cs="Times New Roman"/>
          <w:sz w:val="28"/>
          <w:szCs w:val="28"/>
        </w:rPr>
        <w:t>zona</w:t>
      </w:r>
      <w:r w:rsidRPr="00DB3EEA">
        <w:rPr>
          <w:rFonts w:ascii="Times New Roman" w:hAnsi="Times New Roman" w:cs="Times New Roman"/>
          <w:spacing w:val="-6"/>
          <w:sz w:val="28"/>
          <w:szCs w:val="28"/>
        </w:rPr>
        <w:t xml:space="preserve"> </w:t>
      </w:r>
      <w:r w:rsidRPr="00DB3EEA">
        <w:rPr>
          <w:rFonts w:ascii="Times New Roman" w:hAnsi="Times New Roman" w:cs="Times New Roman"/>
          <w:sz w:val="28"/>
          <w:szCs w:val="28"/>
        </w:rPr>
        <w:t>franca.?</w:t>
      </w:r>
      <w:r w:rsidRPr="00DB3EEA">
        <w:rPr>
          <w:rFonts w:ascii="Times New Roman" w:hAnsi="Times New Roman" w:cs="Times New Roman"/>
          <w:spacing w:val="-8"/>
          <w:sz w:val="28"/>
          <w:szCs w:val="28"/>
        </w:rPr>
        <w:t xml:space="preserve"> </w:t>
      </w:r>
    </w:p>
    <w:p w:rsidR="00B65B38" w:rsidRPr="00DB3EEA" w:rsidRDefault="00DB3EEA" w:rsidP="00376DDD">
      <w:pPr>
        <w:pStyle w:val="Default"/>
        <w:ind w:left="720"/>
        <w:jc w:val="both"/>
        <w:rPr>
          <w:rFonts w:ascii="Times New Roman" w:hAnsi="Times New Roman" w:cs="Times New Roman"/>
          <w:sz w:val="28"/>
          <w:szCs w:val="28"/>
        </w:rPr>
      </w:pPr>
    </w:p>
    <w:p w:rsidR="00B65B38" w:rsidRPr="00DB3EEA" w:rsidRDefault="00DB3EEA" w:rsidP="00376DDD">
      <w:pPr>
        <w:ind w:left="709"/>
        <w:jc w:val="both"/>
        <w:rPr>
          <w:rFonts w:ascii="Times New Roman" w:eastAsiaTheme="minorHAnsi" w:hAnsi="Times New Roman" w:cs="Times New Roman"/>
          <w:sz w:val="28"/>
          <w:szCs w:val="28"/>
          <w:lang w:eastAsia="en-US"/>
        </w:rPr>
      </w:pPr>
      <w:r w:rsidRPr="00DB3EEA">
        <w:rPr>
          <w:rFonts w:ascii="Times New Roman" w:eastAsiaTheme="minorHAnsi" w:hAnsi="Times New Roman" w:cs="Times New Roman"/>
          <w:sz w:val="28"/>
          <w:szCs w:val="28"/>
          <w:lang w:eastAsia="en-US"/>
        </w:rPr>
        <w:t>El tratamiento tributario disímil consiste en que tratándose de productos nacionales la base gravable del impuesto está constituida por el precio de venta</w:t>
      </w:r>
      <w:r w:rsidRPr="00DB3EEA">
        <w:rPr>
          <w:rFonts w:ascii="Times New Roman" w:eastAsiaTheme="minorHAnsi" w:hAnsi="Times New Roman" w:cs="Times New Roman"/>
          <w:sz w:val="28"/>
          <w:szCs w:val="28"/>
          <w:lang w:eastAsia="en-US"/>
        </w:rPr>
        <w:t xml:space="preserve"> o valor comercia</w:t>
      </w:r>
      <w:r w:rsidRPr="00DB3EEA">
        <w:rPr>
          <w:rFonts w:ascii="Times New Roman" w:eastAsiaTheme="minorHAnsi" w:hAnsi="Times New Roman" w:cs="Times New Roman"/>
          <w:sz w:val="28"/>
          <w:szCs w:val="28"/>
          <w:lang w:eastAsia="en-US"/>
        </w:rPr>
        <w:t>l</w:t>
      </w:r>
      <w:r w:rsidRPr="00DB3EEA">
        <w:rPr>
          <w:rFonts w:ascii="Times New Roman" w:eastAsiaTheme="minorHAnsi" w:hAnsi="Times New Roman" w:cs="Times New Roman"/>
          <w:sz w:val="28"/>
          <w:szCs w:val="28"/>
          <w:lang w:eastAsia="en-US"/>
        </w:rPr>
        <w:t>. En contraposición, el segundo y tercer incisos del artículo 54 de la Ley 2277 de 2022, disponen que, en el caso de productos importados o producidos en zona franca, la base gravable del impuesto</w:t>
      </w:r>
      <w:r w:rsidRPr="00DB3EEA">
        <w:rPr>
          <w:rFonts w:ascii="Times New Roman" w:eastAsiaTheme="minorHAnsi" w:hAnsi="Times New Roman" w:cs="Times New Roman"/>
          <w:sz w:val="28"/>
          <w:szCs w:val="28"/>
          <w:lang w:eastAsia="en-US"/>
        </w:rPr>
        <w:t xml:space="preserve"> es: el valor para liquidar los tributos aduaneros o el val</w:t>
      </w:r>
      <w:r w:rsidRPr="00DB3EEA">
        <w:rPr>
          <w:rFonts w:ascii="Times New Roman" w:eastAsiaTheme="minorHAnsi" w:hAnsi="Times New Roman" w:cs="Times New Roman"/>
          <w:sz w:val="28"/>
          <w:szCs w:val="28"/>
          <w:lang w:eastAsia="en-US"/>
        </w:rPr>
        <w:t xml:space="preserve">or de costos y gastos reportado en el </w:t>
      </w:r>
      <w:r w:rsidRPr="00DB3EEA">
        <w:rPr>
          <w:rFonts w:ascii="Times New Roman" w:eastAsiaTheme="minorHAnsi" w:hAnsi="Times New Roman" w:cs="Times New Roman"/>
          <w:sz w:val="28"/>
          <w:szCs w:val="28"/>
          <w:lang w:eastAsia="en-US"/>
        </w:rPr>
        <w:t xml:space="preserve">certificado de integración, más </w:t>
      </w:r>
      <w:r w:rsidRPr="00DB3EEA">
        <w:rPr>
          <w:rFonts w:ascii="Times New Roman" w:eastAsiaTheme="minorHAnsi" w:hAnsi="Times New Roman" w:cs="Times New Roman"/>
          <w:sz w:val="28"/>
          <w:szCs w:val="28"/>
          <w:lang w:eastAsia="en-US"/>
        </w:rPr>
        <w:t>el valor de los tributos aduaneros</w:t>
      </w:r>
    </w:p>
    <w:p w:rsidR="00B65B38" w:rsidRPr="00DB3EEA" w:rsidRDefault="00DB3EEA" w:rsidP="00376DDD">
      <w:pPr>
        <w:pStyle w:val="Default"/>
        <w:ind w:left="720"/>
        <w:jc w:val="both"/>
        <w:rPr>
          <w:rFonts w:ascii="Times New Roman" w:hAnsi="Times New Roman" w:cs="Times New Roman"/>
          <w:sz w:val="28"/>
          <w:szCs w:val="28"/>
        </w:rPr>
      </w:pPr>
    </w:p>
    <w:p w:rsidR="000D1ED3" w:rsidRPr="00DB3EEA" w:rsidRDefault="00DB3EEA" w:rsidP="00376DDD">
      <w:pPr>
        <w:pStyle w:val="Default"/>
        <w:numPr>
          <w:ilvl w:val="0"/>
          <w:numId w:val="5"/>
        </w:numPr>
        <w:jc w:val="both"/>
        <w:rPr>
          <w:rFonts w:ascii="Times New Roman" w:hAnsi="Times New Roman" w:cs="Times New Roman"/>
          <w:sz w:val="28"/>
          <w:szCs w:val="28"/>
        </w:rPr>
      </w:pPr>
      <w:r w:rsidRPr="00DB3EEA">
        <w:rPr>
          <w:rFonts w:ascii="Times New Roman" w:hAnsi="Times New Roman" w:cs="Times New Roman"/>
          <w:sz w:val="28"/>
          <w:szCs w:val="28"/>
        </w:rPr>
        <w:t xml:space="preserve">¿La determinación de la base gravable dispuesta por la norma acusada </w:t>
      </w:r>
      <w:r w:rsidRPr="00DB3EEA">
        <w:rPr>
          <w:rFonts w:ascii="Times New Roman" w:hAnsi="Times New Roman" w:cs="Times New Roman"/>
          <w:sz w:val="28"/>
          <w:szCs w:val="28"/>
        </w:rPr>
        <w:t xml:space="preserve">es en realidad una transgresión por parte del Congreso de la competencia privativa establecida por el </w:t>
      </w:r>
      <w:r w:rsidRPr="00DB3EEA">
        <w:rPr>
          <w:rFonts w:ascii="Times New Roman" w:hAnsi="Times New Roman" w:cs="Times New Roman"/>
          <w:color w:val="000000" w:themeColor="text1"/>
          <w:sz w:val="28"/>
          <w:szCs w:val="28"/>
        </w:rPr>
        <w:t xml:space="preserve">artículo 189-25 </w:t>
      </w:r>
      <w:r w:rsidRPr="00DB3EEA">
        <w:rPr>
          <w:rFonts w:ascii="Times New Roman" w:hAnsi="Times New Roman" w:cs="Times New Roman"/>
          <w:color w:val="000000" w:themeColor="text1"/>
          <w:sz w:val="28"/>
          <w:szCs w:val="28"/>
        </w:rPr>
        <w:t xml:space="preserve">ordinal c) </w:t>
      </w:r>
      <w:r w:rsidRPr="00DB3EEA">
        <w:rPr>
          <w:rFonts w:ascii="Times New Roman" w:hAnsi="Times New Roman" w:cs="Times New Roman"/>
          <w:color w:val="000000" w:themeColor="text1"/>
          <w:sz w:val="28"/>
          <w:szCs w:val="28"/>
        </w:rPr>
        <w:t>de la Carta,</w:t>
      </w:r>
      <w:r w:rsidRPr="00DB3EEA">
        <w:rPr>
          <w:rFonts w:ascii="Times New Roman" w:hAnsi="Times New Roman" w:cs="Times New Roman"/>
          <w:color w:val="000000" w:themeColor="text1"/>
          <w:sz w:val="28"/>
          <w:szCs w:val="28"/>
        </w:rPr>
        <w:t xml:space="preserve"> en cabeza del gobierno, para la determinación de los</w:t>
      </w:r>
      <w:r w:rsidRPr="00DB3EEA">
        <w:rPr>
          <w:rFonts w:ascii="Times New Roman" w:hAnsi="Times New Roman" w:cs="Times New Roman"/>
          <w:color w:val="000000" w:themeColor="text1"/>
          <w:sz w:val="28"/>
          <w:szCs w:val="28"/>
        </w:rPr>
        <w:t xml:space="preserve"> aranceles, tarifas y demás disposiciones concernientes al rég</w:t>
      </w:r>
      <w:r w:rsidRPr="00DB3EEA">
        <w:rPr>
          <w:rFonts w:ascii="Times New Roman" w:hAnsi="Times New Roman" w:cs="Times New Roman"/>
          <w:color w:val="000000" w:themeColor="text1"/>
          <w:sz w:val="28"/>
          <w:szCs w:val="28"/>
        </w:rPr>
        <w:t>imen de aduanas</w:t>
      </w:r>
      <w:r w:rsidRPr="00DB3EEA">
        <w:rPr>
          <w:rFonts w:ascii="Times New Roman" w:hAnsi="Times New Roman" w:cs="Times New Roman"/>
          <w:color w:val="000000" w:themeColor="text1"/>
          <w:sz w:val="28"/>
          <w:szCs w:val="28"/>
        </w:rPr>
        <w:t xml:space="preserve">? </w:t>
      </w:r>
      <w:r w:rsidRPr="00DB3EEA">
        <w:rPr>
          <w:rFonts w:ascii="Times New Roman" w:hAnsi="Times New Roman" w:cs="Times New Roman"/>
          <w:color w:val="000000" w:themeColor="text1"/>
          <w:sz w:val="28"/>
          <w:szCs w:val="28"/>
        </w:rPr>
        <w:t>De ahí que en esas materias “</w:t>
      </w:r>
      <w:r w:rsidRPr="00DB3EEA">
        <w:rPr>
          <w:rFonts w:ascii="Times New Roman" w:hAnsi="Times New Roman" w:cs="Times New Roman"/>
          <w:i/>
          <w:iCs/>
          <w:color w:val="000000" w:themeColor="text1"/>
          <w:sz w:val="28"/>
          <w:szCs w:val="28"/>
        </w:rPr>
        <w:t>el Congreso debe limitarse a dictar orientaciones generales con el fin de que el Gobierno pueda regular la materia de manera ágil y oportuna</w:t>
      </w:r>
      <w:r w:rsidRPr="00DB3EEA">
        <w:rPr>
          <w:rFonts w:ascii="Times New Roman" w:hAnsi="Times New Roman" w:cs="Times New Roman"/>
          <w:color w:val="000000" w:themeColor="text1"/>
          <w:sz w:val="28"/>
          <w:szCs w:val="28"/>
        </w:rPr>
        <w:t>”</w:t>
      </w:r>
      <w:r w:rsidRPr="00DB3EEA">
        <w:rPr>
          <w:rFonts w:ascii="Times New Roman" w:hAnsi="Times New Roman" w:cs="Times New Roman"/>
          <w:color w:val="000000" w:themeColor="text1"/>
          <w:sz w:val="28"/>
          <w:szCs w:val="28"/>
        </w:rPr>
        <w:t>, a través de una ley marco</w:t>
      </w:r>
      <w:r w:rsidRPr="00DB3EEA">
        <w:rPr>
          <w:rFonts w:ascii="Times New Roman" w:hAnsi="Times New Roman" w:cs="Times New Roman"/>
          <w:color w:val="000000" w:themeColor="text1"/>
          <w:sz w:val="28"/>
          <w:szCs w:val="28"/>
        </w:rPr>
        <w:t>.?</w:t>
      </w:r>
    </w:p>
    <w:p w:rsidR="000D1ED3" w:rsidRPr="00DB3EEA" w:rsidRDefault="00DB3EEA" w:rsidP="00376DDD">
      <w:pPr>
        <w:pStyle w:val="Prrafodelista"/>
        <w:jc w:val="both"/>
        <w:rPr>
          <w:rFonts w:ascii="Times New Roman" w:hAnsi="Times New Roman" w:cs="Times New Roman"/>
          <w:color w:val="000000" w:themeColor="text1"/>
          <w:sz w:val="28"/>
          <w:szCs w:val="28"/>
        </w:rPr>
      </w:pPr>
    </w:p>
    <w:p w:rsidR="00DF0832" w:rsidRPr="00DB3EEA" w:rsidRDefault="00DB3EEA" w:rsidP="00DF0832">
      <w:pPr>
        <w:pStyle w:val="Prrafodelista"/>
        <w:numPr>
          <w:ilvl w:val="0"/>
          <w:numId w:val="1"/>
        </w:numPr>
        <w:ind w:left="0" w:firstLine="0"/>
        <w:jc w:val="both"/>
        <w:rPr>
          <w:rFonts w:ascii="Times New Roman" w:hAnsi="Times New Roman" w:cs="Times New Roman"/>
          <w:color w:val="000000" w:themeColor="text1"/>
          <w:sz w:val="28"/>
          <w:szCs w:val="28"/>
        </w:rPr>
      </w:pPr>
      <w:r w:rsidRPr="00DB3EEA">
        <w:rPr>
          <w:rFonts w:ascii="Times New Roman" w:hAnsi="Times New Roman" w:cs="Times New Roman"/>
          <w:color w:val="000000" w:themeColor="text1"/>
          <w:sz w:val="28"/>
          <w:szCs w:val="28"/>
        </w:rPr>
        <w:t xml:space="preserve">Así, para el caso en comento, los </w:t>
      </w:r>
      <w:r w:rsidRPr="00DB3EEA">
        <w:rPr>
          <w:rFonts w:ascii="Times New Roman" w:hAnsi="Times New Roman" w:cs="Times New Roman"/>
          <w:color w:val="000000" w:themeColor="text1"/>
          <w:sz w:val="28"/>
          <w:szCs w:val="28"/>
        </w:rPr>
        <w:t>demandantes consideraron que</w:t>
      </w:r>
      <w:r w:rsidRPr="00DB3EEA">
        <w:rPr>
          <w:rFonts w:ascii="Times New Roman" w:hAnsi="Times New Roman" w:cs="Times New Roman"/>
          <w:color w:val="000000" w:themeColor="text1"/>
          <w:sz w:val="28"/>
          <w:szCs w:val="28"/>
        </w:rPr>
        <w:t xml:space="preserve"> la diferencia de las bases gravables entre productores e importadores c</w:t>
      </w:r>
      <w:r w:rsidRPr="00DB3EEA">
        <w:rPr>
          <w:rFonts w:ascii="Times New Roman" w:hAnsi="Times New Roman" w:cs="Times New Roman"/>
          <w:color w:val="000000" w:themeColor="text1"/>
          <w:sz w:val="28"/>
          <w:szCs w:val="28"/>
        </w:rPr>
        <w:t>reó</w:t>
      </w:r>
      <w:r w:rsidRPr="00DB3EEA">
        <w:rPr>
          <w:rFonts w:ascii="Times New Roman" w:hAnsi="Times New Roman" w:cs="Times New Roman"/>
          <w:color w:val="000000" w:themeColor="text1"/>
          <w:sz w:val="28"/>
          <w:szCs w:val="28"/>
        </w:rPr>
        <w:t>, de manera</w:t>
      </w:r>
      <w:r w:rsidRPr="00DB3EEA">
        <w:rPr>
          <w:rFonts w:ascii="Times New Roman" w:hAnsi="Times New Roman" w:cs="Times New Roman"/>
          <w:color w:val="000000" w:themeColor="text1"/>
          <w:sz w:val="28"/>
          <w:szCs w:val="28"/>
        </w:rPr>
        <w:t xml:space="preserve"> encubierta,</w:t>
      </w:r>
      <w:r w:rsidRPr="00DB3EEA">
        <w:rPr>
          <w:rFonts w:ascii="Times New Roman" w:hAnsi="Times New Roman" w:cs="Times New Roman"/>
          <w:color w:val="000000" w:themeColor="text1"/>
          <w:sz w:val="28"/>
          <w:szCs w:val="28"/>
        </w:rPr>
        <w:t xml:space="preserve"> un arancel</w:t>
      </w:r>
      <w:r w:rsidRPr="00DB3EEA">
        <w:rPr>
          <w:rFonts w:ascii="Times New Roman" w:hAnsi="Times New Roman" w:cs="Times New Roman"/>
          <w:color w:val="000000" w:themeColor="text1"/>
          <w:sz w:val="28"/>
          <w:szCs w:val="28"/>
        </w:rPr>
        <w:t xml:space="preserve">, al imponer una mayor carga tributaria a los importadores solo por </w:t>
      </w:r>
      <w:r w:rsidRPr="00DB3EEA">
        <w:rPr>
          <w:rFonts w:ascii="Times New Roman" w:hAnsi="Times New Roman" w:cs="Times New Roman"/>
          <w:color w:val="000000" w:themeColor="text1"/>
          <w:sz w:val="28"/>
          <w:szCs w:val="28"/>
        </w:rPr>
        <w:t xml:space="preserve">el hecho </w:t>
      </w:r>
      <w:r w:rsidRPr="00DB3EEA">
        <w:rPr>
          <w:rFonts w:ascii="Times New Roman" w:hAnsi="Times New Roman" w:cs="Times New Roman"/>
          <w:color w:val="000000" w:themeColor="text1"/>
          <w:sz w:val="28"/>
          <w:szCs w:val="28"/>
        </w:rPr>
        <w:t xml:space="preserve">de importar. </w:t>
      </w:r>
      <w:r w:rsidRPr="00DB3EEA">
        <w:rPr>
          <w:rFonts w:ascii="Times New Roman" w:hAnsi="Times New Roman" w:cs="Times New Roman"/>
          <w:color w:val="000000" w:themeColor="text1"/>
          <w:sz w:val="28"/>
          <w:szCs w:val="28"/>
        </w:rPr>
        <w:t xml:space="preserve"> </w:t>
      </w:r>
      <w:r w:rsidRPr="00DB3EEA">
        <w:rPr>
          <w:rFonts w:ascii="Times New Roman" w:hAnsi="Times New Roman" w:cs="Times New Roman"/>
          <w:color w:val="000000" w:themeColor="text1"/>
          <w:sz w:val="28"/>
          <w:szCs w:val="28"/>
        </w:rPr>
        <w:t>Sostuvo que esta mayor carga</w:t>
      </w:r>
      <w:r w:rsidRPr="00DB3EEA">
        <w:rPr>
          <w:rFonts w:ascii="Times New Roman" w:hAnsi="Times New Roman" w:cs="Times New Roman"/>
          <w:color w:val="000000" w:themeColor="text1"/>
          <w:sz w:val="28"/>
          <w:szCs w:val="28"/>
        </w:rPr>
        <w:t xml:space="preserve"> tributaria</w:t>
      </w:r>
      <w:r w:rsidRPr="00DB3EEA">
        <w:rPr>
          <w:rFonts w:ascii="Times New Roman" w:hAnsi="Times New Roman" w:cs="Times New Roman"/>
          <w:color w:val="000000" w:themeColor="text1"/>
          <w:sz w:val="28"/>
          <w:szCs w:val="28"/>
        </w:rPr>
        <w:t xml:space="preserve"> genera una diferencia en el impuesto a los ultraprocesados de los productos importados versus los nacionales</w:t>
      </w:r>
      <w:r w:rsidRPr="00DB3EEA">
        <w:rPr>
          <w:rFonts w:ascii="Times New Roman" w:hAnsi="Times New Roman" w:cs="Times New Roman"/>
          <w:color w:val="000000" w:themeColor="text1"/>
          <w:sz w:val="28"/>
          <w:szCs w:val="28"/>
        </w:rPr>
        <w:t>.</w:t>
      </w:r>
    </w:p>
    <w:p w:rsidR="00DF0832" w:rsidRPr="00DB3EEA" w:rsidRDefault="00DB3EEA" w:rsidP="00DF0832">
      <w:pPr>
        <w:pStyle w:val="Prrafodelista"/>
        <w:ind w:left="0"/>
        <w:jc w:val="both"/>
        <w:rPr>
          <w:rFonts w:ascii="Times New Roman" w:hAnsi="Times New Roman" w:cs="Times New Roman"/>
          <w:color w:val="000000" w:themeColor="text1"/>
          <w:sz w:val="28"/>
          <w:szCs w:val="28"/>
        </w:rPr>
      </w:pPr>
    </w:p>
    <w:p w:rsidR="00F40566" w:rsidRPr="00DB3EEA" w:rsidRDefault="00DB3EEA" w:rsidP="00DF0832">
      <w:pPr>
        <w:pStyle w:val="Prrafodelista"/>
        <w:numPr>
          <w:ilvl w:val="0"/>
          <w:numId w:val="1"/>
        </w:numPr>
        <w:ind w:left="0" w:firstLine="0"/>
        <w:jc w:val="both"/>
        <w:rPr>
          <w:rFonts w:ascii="Times New Roman" w:eastAsia="Calibri" w:hAnsi="Times New Roman" w:cs="Times New Roman"/>
          <w:color w:val="000000" w:themeColor="text1"/>
          <w:sz w:val="28"/>
          <w:szCs w:val="28"/>
        </w:rPr>
      </w:pPr>
      <w:r w:rsidRPr="00DB3EEA">
        <w:rPr>
          <w:rFonts w:ascii="Times New Roman" w:eastAsia="Calibri" w:hAnsi="Times New Roman" w:cs="Times New Roman"/>
          <w:sz w:val="28"/>
          <w:szCs w:val="28"/>
          <w:lang w:eastAsia="es-ES"/>
        </w:rPr>
        <w:t xml:space="preserve">Delimitada </w:t>
      </w:r>
      <w:r w:rsidRPr="00DB3EEA">
        <w:rPr>
          <w:rFonts w:ascii="Times New Roman" w:eastAsia="Calibri" w:hAnsi="Times New Roman" w:cs="Times New Roman"/>
          <w:sz w:val="28"/>
          <w:szCs w:val="28"/>
          <w:lang w:eastAsia="es-ES"/>
        </w:rPr>
        <w:t>la cuestión planteada</w:t>
      </w:r>
      <w:r w:rsidRPr="00DB3EEA">
        <w:rPr>
          <w:rFonts w:ascii="Times New Roman" w:eastAsia="Calibri" w:hAnsi="Times New Roman" w:cs="Times New Roman"/>
          <w:sz w:val="28"/>
          <w:szCs w:val="28"/>
          <w:lang w:eastAsia="es-ES"/>
        </w:rPr>
        <w:t xml:space="preserve"> en el juicio</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la Corte desarrollará</w:t>
      </w:r>
      <w:r w:rsidRPr="00DB3EEA">
        <w:rPr>
          <w:rFonts w:ascii="Times New Roman" w:eastAsia="Calibri" w:hAnsi="Times New Roman" w:cs="Times New Roman"/>
          <w:sz w:val="28"/>
          <w:szCs w:val="28"/>
          <w:lang w:eastAsia="es-ES"/>
        </w:rPr>
        <w:t xml:space="preserve"> los siguientes asuntos</w:t>
      </w:r>
      <w:r w:rsidRPr="00DB3EEA">
        <w:rPr>
          <w:rFonts w:ascii="Times New Roman" w:eastAsia="Calibri" w:hAnsi="Times New Roman" w:cs="Times New Roman"/>
          <w:sz w:val="28"/>
          <w:szCs w:val="28"/>
          <w:lang w:eastAsia="es-ES"/>
        </w:rPr>
        <w:t xml:space="preserve"> para responder el problema jurídico</w:t>
      </w:r>
      <w:r w:rsidRPr="00DB3EEA">
        <w:rPr>
          <w:rFonts w:ascii="Times New Roman" w:eastAsia="Calibri" w:hAnsi="Times New Roman" w:cs="Times New Roman"/>
          <w:sz w:val="28"/>
          <w:szCs w:val="28"/>
          <w:lang w:eastAsia="es-ES"/>
        </w:rPr>
        <w:t xml:space="preserve">: </w:t>
      </w:r>
      <w:r w:rsidRPr="00DB3EEA">
        <w:rPr>
          <w:rFonts w:ascii="Times New Roman" w:eastAsia="Calibri" w:hAnsi="Times New Roman" w:cs="Times New Roman"/>
          <w:sz w:val="28"/>
          <w:szCs w:val="28"/>
          <w:lang w:eastAsia="es-ES"/>
        </w:rPr>
        <w:t xml:space="preserve">(i) </w:t>
      </w:r>
      <w:r w:rsidRPr="00DB3EEA">
        <w:rPr>
          <w:rFonts w:ascii="Times New Roman" w:eastAsia="Calibri" w:hAnsi="Times New Roman" w:cs="Times New Roman"/>
          <w:sz w:val="28"/>
          <w:szCs w:val="28"/>
          <w:lang w:eastAsia="es-ES"/>
        </w:rPr>
        <w:t>e</w:t>
      </w:r>
      <w:r w:rsidRPr="00DB3EEA">
        <w:rPr>
          <w:rFonts w:ascii="Times New Roman" w:eastAsia="Calibri" w:hAnsi="Times New Roman" w:cs="Times New Roman"/>
          <w:sz w:val="28"/>
          <w:szCs w:val="28"/>
          <w:lang w:eastAsia="es-ES"/>
        </w:rPr>
        <w:t xml:space="preserve">l amplio margen de configuración en materia tributaría, (ii) el principio de igualdad, (iii) el principio de equidad </w:t>
      </w:r>
      <w:r w:rsidRPr="00DB3EEA">
        <w:rPr>
          <w:rFonts w:ascii="Times New Roman" w:eastAsia="Calibri" w:hAnsi="Times New Roman" w:cs="Times New Roman"/>
          <w:sz w:val="28"/>
          <w:szCs w:val="28"/>
          <w:lang w:eastAsia="es-ES"/>
        </w:rPr>
        <w:t xml:space="preserve">en materia </w:t>
      </w:r>
      <w:r w:rsidRPr="00DB3EEA">
        <w:rPr>
          <w:rFonts w:ascii="Times New Roman" w:eastAsia="Calibri" w:hAnsi="Times New Roman" w:cs="Times New Roman"/>
          <w:sz w:val="28"/>
          <w:szCs w:val="28"/>
          <w:lang w:eastAsia="es-ES"/>
        </w:rPr>
        <w:t>tributari</w:t>
      </w:r>
      <w:r w:rsidRPr="00DB3EEA">
        <w:rPr>
          <w:rFonts w:ascii="Times New Roman" w:eastAsia="Calibri" w:hAnsi="Times New Roman" w:cs="Times New Roman"/>
          <w:sz w:val="28"/>
          <w:szCs w:val="28"/>
          <w:lang w:eastAsia="es-ES"/>
        </w:rPr>
        <w:t>a</w:t>
      </w:r>
      <w:r w:rsidRPr="00DB3EEA">
        <w:rPr>
          <w:rFonts w:ascii="Times New Roman" w:eastAsia="Calibri" w:hAnsi="Times New Roman" w:cs="Times New Roman"/>
          <w:sz w:val="28"/>
          <w:szCs w:val="28"/>
          <w:lang w:eastAsia="es-ES"/>
        </w:rPr>
        <w:t>, y (</w:t>
      </w:r>
      <w:r w:rsidRPr="00DB3EEA">
        <w:rPr>
          <w:rFonts w:ascii="Times New Roman" w:eastAsia="Calibri" w:hAnsi="Times New Roman" w:cs="Times New Roman"/>
          <w:sz w:val="28"/>
          <w:szCs w:val="28"/>
          <w:lang w:eastAsia="es-ES"/>
        </w:rPr>
        <w:t>i</w:t>
      </w:r>
      <w:r w:rsidRPr="00DB3EEA">
        <w:rPr>
          <w:rFonts w:ascii="Times New Roman" w:eastAsia="Calibri" w:hAnsi="Times New Roman" w:cs="Times New Roman"/>
          <w:sz w:val="28"/>
          <w:szCs w:val="28"/>
          <w:lang w:eastAsia="es-ES"/>
        </w:rPr>
        <w:t xml:space="preserve">v) </w:t>
      </w:r>
      <w:r w:rsidRPr="00DB3EEA">
        <w:rPr>
          <w:rFonts w:ascii="Times New Roman" w:eastAsia="Calibri" w:hAnsi="Times New Roman" w:cs="Times New Roman"/>
          <w:sz w:val="28"/>
          <w:szCs w:val="28"/>
          <w:lang w:eastAsia="es-ES"/>
        </w:rPr>
        <w:t>el alcance de la reserva de la ley marco en materia aduanera</w:t>
      </w:r>
      <w:r w:rsidRPr="00DB3EEA">
        <w:rPr>
          <w:rFonts w:ascii="Times New Roman" w:eastAsia="Calibri" w:hAnsi="Times New Roman" w:cs="Times New Roman"/>
          <w:sz w:val="28"/>
          <w:szCs w:val="28"/>
          <w:lang w:eastAsia="es-ES"/>
        </w:rPr>
        <w:t>.</w:t>
      </w:r>
    </w:p>
    <w:p w:rsidR="002649FC" w:rsidRPr="00DB3EEA" w:rsidRDefault="00DB3EEA" w:rsidP="00517C11">
      <w:pPr>
        <w:pStyle w:val="Prrafodelista"/>
        <w:tabs>
          <w:tab w:val="left" w:pos="426"/>
        </w:tabs>
        <w:ind w:left="0" w:right="-91"/>
        <w:jc w:val="both"/>
        <w:rPr>
          <w:rFonts w:ascii="Times New Roman" w:eastAsia="Calibri" w:hAnsi="Times New Roman" w:cs="Times New Roman"/>
          <w:b/>
          <w:bCs/>
          <w:sz w:val="28"/>
          <w:szCs w:val="28"/>
          <w:lang w:eastAsia="es-ES"/>
        </w:rPr>
      </w:pPr>
    </w:p>
    <w:p w:rsidR="00CF6C41" w:rsidRPr="00DB3EEA" w:rsidRDefault="00DB3EEA" w:rsidP="007D36D5">
      <w:pPr>
        <w:pStyle w:val="Prrafodelista"/>
        <w:numPr>
          <w:ilvl w:val="0"/>
          <w:numId w:val="3"/>
        </w:numPr>
        <w:tabs>
          <w:tab w:val="left" w:pos="426"/>
        </w:tabs>
        <w:ind w:left="357" w:hanging="357"/>
        <w:jc w:val="both"/>
        <w:outlineLvl w:val="1"/>
        <w:rPr>
          <w:rFonts w:ascii="Times New Roman" w:eastAsia="Calibri" w:hAnsi="Times New Roman" w:cs="Times New Roman"/>
          <w:b/>
          <w:bCs/>
          <w:sz w:val="28"/>
          <w:szCs w:val="28"/>
          <w:lang w:eastAsia="es-ES"/>
        </w:rPr>
      </w:pPr>
      <w:r w:rsidRPr="00DB3EEA">
        <w:rPr>
          <w:rFonts w:ascii="Times New Roman" w:eastAsia="Calibri" w:hAnsi="Times New Roman" w:cs="Times New Roman"/>
          <w:b/>
          <w:bCs/>
          <w:sz w:val="28"/>
          <w:szCs w:val="28"/>
          <w:lang w:eastAsia="es-ES"/>
        </w:rPr>
        <w:t xml:space="preserve"> </w:t>
      </w:r>
      <w:r w:rsidRPr="00DB3EEA">
        <w:rPr>
          <w:rFonts w:ascii="Times New Roman" w:eastAsia="Calibri" w:hAnsi="Times New Roman" w:cs="Times New Roman"/>
          <w:b/>
          <w:bCs/>
          <w:sz w:val="28"/>
          <w:szCs w:val="28"/>
          <w:lang w:eastAsia="es-ES"/>
        </w:rPr>
        <w:t>La amplia libertad de configuración en mater</w:t>
      </w:r>
      <w:r w:rsidRPr="00DB3EEA">
        <w:rPr>
          <w:rFonts w:ascii="Times New Roman" w:eastAsia="Calibri" w:hAnsi="Times New Roman" w:cs="Times New Roman"/>
          <w:b/>
          <w:bCs/>
          <w:sz w:val="28"/>
          <w:szCs w:val="28"/>
          <w:lang w:eastAsia="es-ES"/>
        </w:rPr>
        <w:t>ia tributaria</w:t>
      </w:r>
    </w:p>
    <w:p w:rsidR="00AA1697" w:rsidRPr="00DB3EEA" w:rsidRDefault="00DB3EEA" w:rsidP="00376DDD">
      <w:pPr>
        <w:pStyle w:val="Prrafodelista"/>
        <w:tabs>
          <w:tab w:val="left" w:pos="426"/>
        </w:tabs>
        <w:ind w:left="0"/>
        <w:jc w:val="both"/>
        <w:rPr>
          <w:rFonts w:ascii="Times New Roman" w:eastAsia="Calibri" w:hAnsi="Times New Roman" w:cs="Times New Roman"/>
          <w:sz w:val="28"/>
          <w:szCs w:val="28"/>
          <w:lang w:eastAsia="es-ES"/>
        </w:rPr>
      </w:pPr>
    </w:p>
    <w:p w:rsidR="00AD5D98"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 xml:space="preserve">La Corte Constitucional ha reiterado que el </w:t>
      </w:r>
      <w:r w:rsidRPr="00DB3EEA">
        <w:rPr>
          <w:rFonts w:ascii="Times New Roman" w:hAnsi="Times New Roman" w:cs="Times New Roman"/>
          <w:color w:val="2D2D2D"/>
          <w:sz w:val="28"/>
          <w:szCs w:val="28"/>
        </w:rPr>
        <w:t>legislador</w:t>
      </w:r>
      <w:r w:rsidRPr="00DB3EEA">
        <w:rPr>
          <w:rFonts w:ascii="Times New Roman" w:hAnsi="Times New Roman" w:cs="Times New Roman"/>
          <w:color w:val="2D2D2D"/>
          <w:sz w:val="28"/>
          <w:szCs w:val="28"/>
        </w:rPr>
        <w:t xml:space="preserve"> cuenta con un amplio margen de configuración legislativa en materia tributaria. La concesión de dicha facultad se erige en virtud de varias disposiciones constitucionales que reconocen su papel central en la definición de las fuentes de financiación del E</w:t>
      </w:r>
      <w:r w:rsidRPr="00DB3EEA">
        <w:rPr>
          <w:rFonts w:ascii="Times New Roman" w:hAnsi="Times New Roman" w:cs="Times New Roman"/>
          <w:color w:val="2D2D2D"/>
          <w:sz w:val="28"/>
          <w:szCs w:val="28"/>
        </w:rPr>
        <w:t>stado</w:t>
      </w:r>
      <w:r w:rsidRPr="00DB3EEA">
        <w:rPr>
          <w:rFonts w:ascii="Times New Roman" w:hAnsi="Times New Roman" w:cs="Times New Roman"/>
          <w:sz w:val="28"/>
          <w:szCs w:val="28"/>
          <w:vertAlign w:val="superscript"/>
        </w:rPr>
        <w:footnoteReference w:id="133"/>
      </w:r>
      <w:r w:rsidRPr="00DB3EEA">
        <w:rPr>
          <w:rFonts w:ascii="Times New Roman" w:hAnsi="Times New Roman" w:cs="Times New Roman"/>
          <w:color w:val="2D2D2D"/>
          <w:sz w:val="28"/>
          <w:szCs w:val="28"/>
        </w:rPr>
        <w:t xml:space="preserve">. El artículo 95.9 de la Constitución impone a todas las personas el deber de </w:t>
      </w:r>
      <w:r w:rsidRPr="00DB3EEA">
        <w:rPr>
          <w:rFonts w:ascii="Times New Roman" w:hAnsi="Times New Roman" w:cs="Times New Roman"/>
          <w:i/>
          <w:iCs/>
          <w:color w:val="2D2D2D"/>
          <w:sz w:val="28"/>
          <w:szCs w:val="28"/>
        </w:rPr>
        <w:t>“contribuir al financiamiento de los gastos e inversiones del Estado dentro de los conceptos de justicia y equidad”</w:t>
      </w:r>
      <w:r w:rsidRPr="00DB3EEA">
        <w:rPr>
          <w:rFonts w:ascii="Times New Roman" w:hAnsi="Times New Roman" w:cs="Times New Roman"/>
          <w:color w:val="2D2D2D"/>
          <w:sz w:val="28"/>
          <w:szCs w:val="28"/>
        </w:rPr>
        <w:t>. A su vez, el artículo 150.12 confiere al Congreso la po</w:t>
      </w:r>
      <w:r w:rsidRPr="00DB3EEA">
        <w:rPr>
          <w:rFonts w:ascii="Times New Roman" w:hAnsi="Times New Roman" w:cs="Times New Roman"/>
          <w:color w:val="2D2D2D"/>
          <w:sz w:val="28"/>
          <w:szCs w:val="28"/>
        </w:rPr>
        <w:t xml:space="preserve">testad de establecer </w:t>
      </w:r>
      <w:r w:rsidRPr="00DB3EEA">
        <w:rPr>
          <w:rFonts w:ascii="Times New Roman" w:hAnsi="Times New Roman" w:cs="Times New Roman"/>
          <w:i/>
          <w:iCs/>
          <w:color w:val="2D2D2D"/>
          <w:sz w:val="28"/>
          <w:szCs w:val="28"/>
        </w:rPr>
        <w:t xml:space="preserve">“contribuciones fiscales y, excepcionalmente, contribuciones parafiscales en los casos y bajo las condiciones que establezca la ley”. </w:t>
      </w:r>
      <w:r w:rsidRPr="00DB3EEA">
        <w:rPr>
          <w:rFonts w:ascii="Times New Roman" w:hAnsi="Times New Roman" w:cs="Times New Roman"/>
          <w:color w:val="2D2D2D"/>
          <w:sz w:val="28"/>
          <w:szCs w:val="28"/>
        </w:rPr>
        <w:t>Finalmente, el artículo 338 prevé que, “</w:t>
      </w:r>
      <w:r w:rsidRPr="00DB3EEA">
        <w:rPr>
          <w:rFonts w:ascii="Times New Roman" w:hAnsi="Times New Roman" w:cs="Times New Roman"/>
          <w:i/>
          <w:iCs/>
          <w:color w:val="2D2D2D"/>
          <w:sz w:val="28"/>
          <w:szCs w:val="28"/>
        </w:rPr>
        <w:t>en tiempo de paz, solamente el Congreso, las asambleas depart</w:t>
      </w:r>
      <w:r w:rsidRPr="00DB3EEA">
        <w:rPr>
          <w:rFonts w:ascii="Times New Roman" w:hAnsi="Times New Roman" w:cs="Times New Roman"/>
          <w:i/>
          <w:iCs/>
          <w:color w:val="2D2D2D"/>
          <w:sz w:val="28"/>
          <w:szCs w:val="28"/>
        </w:rPr>
        <w:t>amentales y los concejos distritales y municipales podrán imponer contribuciones fiscales o parafiscales. La ley, las ordenanzas y los acuerdos deben fijar, directamente, los sujetos activos y pasivos, los hechos y las bases gravables, y las tarifas de los</w:t>
      </w:r>
      <w:r w:rsidRPr="00DB3EEA">
        <w:rPr>
          <w:rFonts w:ascii="Times New Roman" w:hAnsi="Times New Roman" w:cs="Times New Roman"/>
          <w:i/>
          <w:iCs/>
          <w:color w:val="2D2D2D"/>
          <w:sz w:val="28"/>
          <w:szCs w:val="28"/>
        </w:rPr>
        <w:t xml:space="preserve"> impuestos”</w:t>
      </w:r>
      <w:r w:rsidRPr="00DB3EEA">
        <w:rPr>
          <w:rFonts w:ascii="Times New Roman" w:hAnsi="Times New Roman" w:cs="Times New Roman"/>
          <w:color w:val="2D2D2D"/>
          <w:sz w:val="28"/>
          <w:szCs w:val="28"/>
        </w:rPr>
        <w:t>.</w:t>
      </w:r>
    </w:p>
    <w:p w:rsidR="00AD5D98" w:rsidRPr="00DB3EEA" w:rsidRDefault="00DB3EEA" w:rsidP="00AD5D98">
      <w:pPr>
        <w:pStyle w:val="Prrafodelista"/>
        <w:ind w:left="0"/>
        <w:jc w:val="both"/>
        <w:rPr>
          <w:rFonts w:ascii="Times New Roman" w:hAnsi="Times New Roman" w:cs="Times New Roman"/>
          <w:color w:val="2D2D2D"/>
          <w:sz w:val="28"/>
          <w:szCs w:val="28"/>
        </w:rPr>
      </w:pPr>
    </w:p>
    <w:p w:rsidR="00AD5D98"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Sobre la base de estas disposiciones, la Corte ha sostenido que el amplio margen de configuración tributaria es una manifestación del principio democrático, en la medida en que, en un Estado constitucional, corresponde al Congreso, como órgan</w:t>
      </w:r>
      <w:r w:rsidRPr="00DB3EEA">
        <w:rPr>
          <w:rFonts w:ascii="Times New Roman" w:hAnsi="Times New Roman" w:cs="Times New Roman"/>
          <w:color w:val="2D2D2D"/>
          <w:sz w:val="28"/>
          <w:szCs w:val="28"/>
        </w:rPr>
        <w:t>o representativo, deliberativo y pluralista, definir los fines de la política tributaria y seleccionar los instrumentos idóneos para alcanzarlos, en armonía con la búsqueda de un orden económico y social justo</w:t>
      </w:r>
      <w:r w:rsidRPr="00DB3EEA">
        <w:rPr>
          <w:rFonts w:ascii="Times New Roman" w:hAnsi="Times New Roman" w:cs="Times New Roman"/>
          <w:sz w:val="28"/>
          <w:szCs w:val="28"/>
          <w:vertAlign w:val="superscript"/>
        </w:rPr>
        <w:footnoteReference w:id="134"/>
      </w:r>
      <w:r w:rsidRPr="00DB3EEA">
        <w:rPr>
          <w:rFonts w:ascii="Times New Roman" w:hAnsi="Times New Roman" w:cs="Times New Roman"/>
          <w:color w:val="2D2D2D"/>
          <w:sz w:val="28"/>
          <w:szCs w:val="28"/>
        </w:rPr>
        <w:t xml:space="preserve">. Por ello, al regular estas materias, el </w:t>
      </w:r>
      <w:r w:rsidRPr="00DB3EEA">
        <w:rPr>
          <w:rFonts w:ascii="Times New Roman" w:hAnsi="Times New Roman" w:cs="Times New Roman"/>
          <w:color w:val="2D2D2D"/>
          <w:sz w:val="28"/>
          <w:szCs w:val="28"/>
        </w:rPr>
        <w:t>legi</w:t>
      </w:r>
      <w:r w:rsidRPr="00DB3EEA">
        <w:rPr>
          <w:rFonts w:ascii="Times New Roman" w:hAnsi="Times New Roman" w:cs="Times New Roman"/>
          <w:color w:val="2D2D2D"/>
          <w:sz w:val="28"/>
          <w:szCs w:val="28"/>
        </w:rPr>
        <w:t>slador</w:t>
      </w:r>
      <w:r w:rsidRPr="00DB3EEA">
        <w:rPr>
          <w:rFonts w:ascii="Times New Roman" w:hAnsi="Times New Roman" w:cs="Times New Roman"/>
          <w:color w:val="2D2D2D"/>
          <w:sz w:val="28"/>
          <w:szCs w:val="28"/>
        </w:rPr>
        <w:t xml:space="preserve"> puede adoptar decisiones guiadas por sus propios criterios y orientaciones, siempre teniendo en cuenta la realidad social y valorando consideraciones de conveniencia, necesidad, justicia, equidad e igualdad.</w:t>
      </w:r>
    </w:p>
    <w:p w:rsidR="00AD5D98" w:rsidRPr="00DB3EEA" w:rsidRDefault="00DB3EEA" w:rsidP="00AD5D98">
      <w:pPr>
        <w:pStyle w:val="Prrafodelista"/>
        <w:rPr>
          <w:rFonts w:ascii="Times New Roman" w:hAnsi="Times New Roman" w:cs="Times New Roman"/>
          <w:color w:val="2D2D2D"/>
          <w:sz w:val="28"/>
          <w:szCs w:val="28"/>
        </w:rPr>
      </w:pPr>
    </w:p>
    <w:p w:rsidR="00AA1697"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En la sentencia C-305 de 2022, la Sala h</w:t>
      </w:r>
      <w:r w:rsidRPr="00DB3EEA">
        <w:rPr>
          <w:rFonts w:ascii="Times New Roman" w:hAnsi="Times New Roman" w:cs="Times New Roman"/>
          <w:color w:val="2D2D2D"/>
          <w:sz w:val="28"/>
          <w:szCs w:val="28"/>
        </w:rPr>
        <w:t xml:space="preserve">izo énfasis en los asuntos que integran esta competencia del </w:t>
      </w:r>
      <w:r w:rsidRPr="00DB3EEA">
        <w:rPr>
          <w:rFonts w:ascii="Times New Roman" w:hAnsi="Times New Roman" w:cs="Times New Roman"/>
          <w:color w:val="2D2D2D"/>
          <w:sz w:val="28"/>
          <w:szCs w:val="28"/>
        </w:rPr>
        <w:t>legislador</w:t>
      </w:r>
      <w:r w:rsidRPr="00DB3EEA">
        <w:rPr>
          <w:rFonts w:ascii="Times New Roman" w:hAnsi="Times New Roman" w:cs="Times New Roman"/>
          <w:color w:val="2D2D2D"/>
          <w:sz w:val="28"/>
          <w:szCs w:val="28"/>
        </w:rPr>
        <w:t xml:space="preserve">: </w:t>
      </w:r>
    </w:p>
    <w:p w:rsidR="00EF0748" w:rsidRPr="00DB3EEA" w:rsidRDefault="00DB3EEA" w:rsidP="00376DDD">
      <w:pPr>
        <w:ind w:left="720"/>
        <w:jc w:val="both"/>
        <w:rPr>
          <w:rFonts w:ascii="Times New Roman" w:hAnsi="Times New Roman" w:cs="Times New Roman"/>
          <w:i/>
          <w:iCs/>
          <w:color w:val="2D2D2D"/>
          <w:sz w:val="28"/>
          <w:szCs w:val="28"/>
        </w:rPr>
      </w:pPr>
    </w:p>
    <w:p w:rsidR="00AA1697" w:rsidRPr="00DB3EEA" w:rsidRDefault="00DB3EEA" w:rsidP="00BA2C58">
      <w:pPr>
        <w:ind w:left="567"/>
        <w:jc w:val="both"/>
        <w:rPr>
          <w:rFonts w:ascii="Times New Roman" w:hAnsi="Times New Roman" w:cs="Times New Roman"/>
          <w:i/>
          <w:iCs/>
          <w:color w:val="2D2D2D"/>
          <w:sz w:val="28"/>
          <w:szCs w:val="28"/>
        </w:rPr>
      </w:pPr>
      <w:r w:rsidRPr="00DB3EEA">
        <w:rPr>
          <w:rFonts w:ascii="Times New Roman" w:hAnsi="Times New Roman" w:cs="Times New Roman"/>
          <w:i/>
          <w:iCs/>
          <w:color w:val="2D2D2D"/>
          <w:sz w:val="28"/>
          <w:szCs w:val="28"/>
        </w:rPr>
        <w:t>“</w:t>
      </w:r>
      <w:r w:rsidRPr="00DB3EEA">
        <w:rPr>
          <w:rFonts w:ascii="Times New Roman" w:hAnsi="Times New Roman" w:cs="Times New Roman"/>
          <w:i/>
          <w:iCs/>
          <w:color w:val="2D2D2D"/>
          <w:sz w:val="28"/>
          <w:szCs w:val="28"/>
        </w:rPr>
        <w:t xml:space="preserve">El amplio margen de configuración legislativa en materia tributaria le permite al </w:t>
      </w:r>
      <w:r w:rsidRPr="00DB3EEA">
        <w:rPr>
          <w:rFonts w:ascii="Times New Roman" w:hAnsi="Times New Roman" w:cs="Times New Roman"/>
          <w:i/>
          <w:iCs/>
          <w:color w:val="2D2D2D"/>
          <w:sz w:val="28"/>
          <w:szCs w:val="28"/>
        </w:rPr>
        <w:t>legislador</w:t>
      </w:r>
      <w:r w:rsidRPr="00DB3EEA">
        <w:rPr>
          <w:rFonts w:ascii="Times New Roman" w:hAnsi="Times New Roman" w:cs="Times New Roman"/>
          <w:i/>
          <w:iCs/>
          <w:color w:val="2D2D2D"/>
          <w:sz w:val="28"/>
          <w:szCs w:val="28"/>
        </w:rPr>
        <w:t xml:space="preserve">, entre otros, (i) definir “los fines de la política tributaria”; (ii) “crear, </w:t>
      </w:r>
      <w:r w:rsidRPr="00DB3EEA">
        <w:rPr>
          <w:rFonts w:ascii="Times New Roman" w:hAnsi="Times New Roman" w:cs="Times New Roman"/>
          <w:i/>
          <w:iCs/>
          <w:color w:val="2D2D2D"/>
          <w:sz w:val="28"/>
          <w:szCs w:val="28"/>
        </w:rPr>
        <w:t>modificar, aumentar, disminuir y suprimir tributos”, “como impuestos, tasas y contribuciones; (iii) determinar los elementos esenciales de los tributos, es decir, “los sujetos activos y pasivos de la obligación, el señalamiento del hecho y la base gravable</w:t>
      </w:r>
      <w:r w:rsidRPr="00DB3EEA">
        <w:rPr>
          <w:rFonts w:ascii="Times New Roman" w:hAnsi="Times New Roman" w:cs="Times New Roman"/>
          <w:i/>
          <w:iCs/>
          <w:color w:val="2D2D2D"/>
          <w:sz w:val="28"/>
          <w:szCs w:val="28"/>
        </w:rPr>
        <w:t>, las tarifas aplicables, la fecha a partir de la cual se iniciará su cobro”; (iv) definir los “beneficios tributarios, como deducciones, exenciones o descuentos” y, por último, (v) fijar “la fecha a partir de la cual se iniciará su cobro, así como la form</w:t>
      </w:r>
      <w:r w:rsidRPr="00DB3EEA">
        <w:rPr>
          <w:rFonts w:ascii="Times New Roman" w:hAnsi="Times New Roman" w:cs="Times New Roman"/>
          <w:i/>
          <w:iCs/>
          <w:color w:val="2D2D2D"/>
          <w:sz w:val="28"/>
          <w:szCs w:val="28"/>
        </w:rPr>
        <w:t>a de recaudo (y) las condiciones en que ello se llevará a cabo”.</w:t>
      </w:r>
    </w:p>
    <w:p w:rsidR="00EF0748" w:rsidRPr="00DB3EEA" w:rsidRDefault="00DB3EEA" w:rsidP="00BA2C58">
      <w:pPr>
        <w:ind w:left="567"/>
        <w:jc w:val="both"/>
        <w:rPr>
          <w:rFonts w:ascii="Times New Roman" w:hAnsi="Times New Roman" w:cs="Times New Roman"/>
          <w:color w:val="2D2D2D"/>
          <w:sz w:val="28"/>
          <w:szCs w:val="28"/>
        </w:rPr>
      </w:pPr>
    </w:p>
    <w:p w:rsidR="00AA1697" w:rsidRPr="00DB3EEA" w:rsidRDefault="00DB3EEA" w:rsidP="00AD5D98">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No obstante, este amplio margen de configuración en materia tributaria se encuentra sujeto a límites constitucionales previstos en los artículos 29, 95.9, 338 y 363 de la Constitución Políti</w:t>
      </w:r>
      <w:r w:rsidRPr="00DB3EEA">
        <w:rPr>
          <w:rFonts w:ascii="Times New Roman" w:hAnsi="Times New Roman" w:cs="Times New Roman"/>
          <w:color w:val="2D2D2D"/>
          <w:sz w:val="28"/>
          <w:szCs w:val="28"/>
        </w:rPr>
        <w:t xml:space="preserve">ca, que consagran los principios de justicia, equidad, eficiencia y progresividad, los cuales </w:t>
      </w:r>
      <w:r w:rsidRPr="00DB3EEA">
        <w:rPr>
          <w:rFonts w:ascii="Times New Roman" w:hAnsi="Times New Roman" w:cs="Times New Roman"/>
          <w:i/>
          <w:iCs/>
          <w:color w:val="2D2D2D"/>
          <w:sz w:val="28"/>
          <w:szCs w:val="28"/>
        </w:rPr>
        <w:t>“se erigen en límites constitucionales implícitos en la configuración de los tributos”</w:t>
      </w:r>
      <w:r w:rsidRPr="00DB3EEA">
        <w:rPr>
          <w:rFonts w:ascii="Times New Roman" w:hAnsi="Times New Roman" w:cs="Times New Roman"/>
          <w:i/>
          <w:sz w:val="28"/>
          <w:szCs w:val="28"/>
          <w:vertAlign w:val="superscript"/>
        </w:rPr>
        <w:footnoteReference w:id="135"/>
      </w:r>
      <w:r w:rsidRPr="00DB3EEA">
        <w:rPr>
          <w:rFonts w:ascii="Times New Roman" w:hAnsi="Times New Roman" w:cs="Times New Roman"/>
          <w:i/>
          <w:iCs/>
          <w:color w:val="2D2D2D"/>
          <w:sz w:val="28"/>
          <w:szCs w:val="28"/>
        </w:rPr>
        <w:t xml:space="preserve">. </w:t>
      </w:r>
      <w:r w:rsidRPr="00DB3EEA">
        <w:rPr>
          <w:rFonts w:ascii="Times New Roman" w:hAnsi="Times New Roman" w:cs="Times New Roman"/>
          <w:color w:val="2D2D2D"/>
          <w:sz w:val="28"/>
          <w:szCs w:val="28"/>
        </w:rPr>
        <w:t xml:space="preserve">De acuerdo con la Sentencia C-488 de 2024, dichos límites se expresan en </w:t>
      </w:r>
      <w:r w:rsidRPr="00DB3EEA">
        <w:rPr>
          <w:rFonts w:ascii="Times New Roman" w:hAnsi="Times New Roman" w:cs="Times New Roman"/>
          <w:color w:val="2D2D2D"/>
          <w:sz w:val="28"/>
          <w:szCs w:val="28"/>
        </w:rPr>
        <w:t>forma de principios. Por una parte, se encuentran aquellos que recaen sobre cada tributo en particular, como los principios de legalidad y certeza tributaria. Por otra, están los mandatos orientados a la configuración general del sistema, entre los que des</w:t>
      </w:r>
      <w:r w:rsidRPr="00DB3EEA">
        <w:rPr>
          <w:rFonts w:ascii="Times New Roman" w:hAnsi="Times New Roman" w:cs="Times New Roman"/>
          <w:color w:val="2D2D2D"/>
          <w:sz w:val="28"/>
          <w:szCs w:val="28"/>
        </w:rPr>
        <w:t>tacan los principios de equidad, eficiencia y progresividad. A este conjunto de restricciones que acotan la potestad de configuración del legislador se suma, además, el bloque de derechos fundamentales consagrados por la Constitución. Adicionalmente, la Co</w:t>
      </w:r>
      <w:r w:rsidRPr="00DB3EEA">
        <w:rPr>
          <w:rFonts w:ascii="Times New Roman" w:hAnsi="Times New Roman" w:cs="Times New Roman"/>
          <w:color w:val="2D2D2D"/>
          <w:sz w:val="28"/>
          <w:szCs w:val="28"/>
        </w:rPr>
        <w:t>rte Constitucional también ha considerado que el principio de razonabilidad, y el principio de igualdad, también se constituyen como limitantes a la potestad de configuración en materia tributaria</w:t>
      </w:r>
      <w:r w:rsidRPr="00DB3EEA">
        <w:rPr>
          <w:rFonts w:ascii="Times New Roman" w:hAnsi="Times New Roman" w:cs="Times New Roman"/>
          <w:sz w:val="28"/>
          <w:szCs w:val="28"/>
          <w:vertAlign w:val="superscript"/>
        </w:rPr>
        <w:footnoteReference w:id="136"/>
      </w:r>
      <w:r w:rsidRPr="00DB3EEA">
        <w:rPr>
          <w:rFonts w:ascii="Times New Roman" w:hAnsi="Times New Roman" w:cs="Times New Roman"/>
          <w:color w:val="2D2D2D"/>
          <w:sz w:val="28"/>
          <w:szCs w:val="28"/>
        </w:rPr>
        <w:t xml:space="preserve">. </w:t>
      </w:r>
    </w:p>
    <w:p w:rsidR="00EF0748" w:rsidRPr="00DB3EEA" w:rsidRDefault="00DB3EEA" w:rsidP="00376DDD">
      <w:pPr>
        <w:jc w:val="both"/>
        <w:rPr>
          <w:rFonts w:ascii="Times New Roman" w:hAnsi="Times New Roman" w:cs="Times New Roman"/>
          <w:b/>
          <w:bCs/>
          <w:color w:val="2D2D2D"/>
          <w:sz w:val="28"/>
          <w:szCs w:val="28"/>
        </w:rPr>
      </w:pPr>
    </w:p>
    <w:p w:rsidR="00AA1697" w:rsidRPr="00DB3EEA" w:rsidRDefault="00DB3EEA" w:rsidP="007D36D5">
      <w:pPr>
        <w:pStyle w:val="Prrafodelista"/>
        <w:numPr>
          <w:ilvl w:val="0"/>
          <w:numId w:val="3"/>
        </w:numPr>
        <w:ind w:left="357" w:hanging="357"/>
        <w:jc w:val="both"/>
        <w:outlineLvl w:val="1"/>
        <w:rPr>
          <w:rFonts w:ascii="Times New Roman" w:hAnsi="Times New Roman" w:cs="Times New Roman"/>
          <w:b/>
          <w:bCs/>
          <w:color w:val="2D2D2D"/>
          <w:sz w:val="28"/>
          <w:szCs w:val="28"/>
        </w:rPr>
      </w:pPr>
      <w:r w:rsidRPr="00DB3EEA">
        <w:rPr>
          <w:rFonts w:ascii="Times New Roman" w:hAnsi="Times New Roman" w:cs="Times New Roman"/>
          <w:b/>
          <w:bCs/>
          <w:color w:val="2D2D2D"/>
          <w:sz w:val="28"/>
          <w:szCs w:val="28"/>
        </w:rPr>
        <w:t xml:space="preserve"> </w:t>
      </w:r>
      <w:r w:rsidRPr="00DB3EEA">
        <w:rPr>
          <w:rFonts w:ascii="Times New Roman" w:hAnsi="Times New Roman" w:cs="Times New Roman"/>
          <w:b/>
          <w:bCs/>
          <w:color w:val="2D2D2D"/>
          <w:sz w:val="28"/>
          <w:szCs w:val="28"/>
        </w:rPr>
        <w:t>Principio</w:t>
      </w:r>
      <w:r w:rsidRPr="00DB3EEA">
        <w:rPr>
          <w:rFonts w:ascii="Times New Roman" w:hAnsi="Times New Roman" w:cs="Times New Roman"/>
          <w:b/>
          <w:bCs/>
          <w:color w:val="2D2D2D"/>
          <w:sz w:val="28"/>
          <w:szCs w:val="28"/>
        </w:rPr>
        <w:t>s</w:t>
      </w:r>
      <w:r w:rsidRPr="00DB3EEA">
        <w:rPr>
          <w:rFonts w:ascii="Times New Roman" w:hAnsi="Times New Roman" w:cs="Times New Roman"/>
          <w:b/>
          <w:bCs/>
          <w:color w:val="2D2D2D"/>
          <w:sz w:val="28"/>
          <w:szCs w:val="28"/>
        </w:rPr>
        <w:t xml:space="preserve"> de </w:t>
      </w:r>
      <w:r w:rsidRPr="00DB3EEA">
        <w:rPr>
          <w:rFonts w:ascii="Times New Roman" w:hAnsi="Times New Roman" w:cs="Times New Roman"/>
          <w:b/>
          <w:bCs/>
          <w:color w:val="2D2D2D"/>
          <w:sz w:val="28"/>
          <w:szCs w:val="28"/>
        </w:rPr>
        <w:t xml:space="preserve">igualdad y de </w:t>
      </w:r>
      <w:r w:rsidRPr="00DB3EEA">
        <w:rPr>
          <w:rFonts w:ascii="Times New Roman" w:hAnsi="Times New Roman" w:cs="Times New Roman"/>
          <w:b/>
          <w:bCs/>
          <w:color w:val="2D2D2D"/>
          <w:sz w:val="28"/>
          <w:szCs w:val="28"/>
        </w:rPr>
        <w:t xml:space="preserve">equidad tributaria </w:t>
      </w:r>
    </w:p>
    <w:p w:rsidR="00EF0748" w:rsidRPr="00DB3EEA" w:rsidRDefault="00DB3EEA" w:rsidP="00376DDD">
      <w:pPr>
        <w:jc w:val="both"/>
        <w:rPr>
          <w:rFonts w:ascii="Times New Roman" w:hAnsi="Times New Roman" w:cs="Times New Roman"/>
          <w:color w:val="2D2D2D"/>
          <w:sz w:val="28"/>
          <w:szCs w:val="28"/>
        </w:rPr>
      </w:pPr>
    </w:p>
    <w:p w:rsidR="00AD5D98"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El pr</w:t>
      </w:r>
      <w:r w:rsidRPr="00DB3EEA">
        <w:rPr>
          <w:rFonts w:ascii="Times New Roman" w:hAnsi="Times New Roman" w:cs="Times New Roman"/>
          <w:color w:val="2D2D2D"/>
          <w:sz w:val="28"/>
          <w:szCs w:val="28"/>
        </w:rPr>
        <w:t xml:space="preserve">incipio de equidad como </w:t>
      </w:r>
      <w:r w:rsidRPr="00DB3EEA">
        <w:rPr>
          <w:rFonts w:ascii="Times New Roman" w:hAnsi="Times New Roman" w:cs="Times New Roman"/>
          <w:i/>
          <w:iCs/>
          <w:color w:val="2D2D2D"/>
          <w:sz w:val="28"/>
          <w:szCs w:val="28"/>
        </w:rPr>
        <w:t>“manifestación de la igualdad en el ámbito impositivo”</w:t>
      </w:r>
      <w:r w:rsidRPr="00DB3EEA">
        <w:rPr>
          <w:rFonts w:ascii="Times New Roman" w:hAnsi="Times New Roman" w:cs="Times New Roman"/>
          <w:i/>
          <w:sz w:val="28"/>
          <w:szCs w:val="28"/>
          <w:vertAlign w:val="superscript"/>
        </w:rPr>
        <w:footnoteReference w:id="137"/>
      </w:r>
      <w:r w:rsidRPr="00DB3EEA">
        <w:rPr>
          <w:rFonts w:ascii="Times New Roman" w:hAnsi="Times New Roman" w:cs="Times New Roman"/>
          <w:color w:val="2D2D2D"/>
          <w:sz w:val="28"/>
          <w:szCs w:val="28"/>
        </w:rPr>
        <w:t xml:space="preserve">, opera como un límite estructural a la potestad del </w:t>
      </w:r>
      <w:r w:rsidRPr="00DB3EEA">
        <w:rPr>
          <w:rFonts w:ascii="Times New Roman" w:hAnsi="Times New Roman" w:cs="Times New Roman"/>
          <w:color w:val="2D2D2D"/>
          <w:sz w:val="28"/>
          <w:szCs w:val="28"/>
        </w:rPr>
        <w:t>legislador</w:t>
      </w:r>
      <w:r w:rsidRPr="00DB3EEA">
        <w:rPr>
          <w:rFonts w:ascii="Times New Roman" w:hAnsi="Times New Roman" w:cs="Times New Roman"/>
          <w:color w:val="2D2D2D"/>
          <w:sz w:val="28"/>
          <w:szCs w:val="28"/>
        </w:rPr>
        <w:t xml:space="preserve"> para configurar los tributos. La Corte ha señalado que este principio orienta la distribución equilibrada de carg</w:t>
      </w:r>
      <w:r w:rsidRPr="00DB3EEA">
        <w:rPr>
          <w:rFonts w:ascii="Times New Roman" w:hAnsi="Times New Roman" w:cs="Times New Roman"/>
          <w:color w:val="2D2D2D"/>
          <w:sz w:val="28"/>
          <w:szCs w:val="28"/>
        </w:rPr>
        <w:t>as y beneficios, evitando tanto gravámenes excesivos como beneficios desproporcionados. De esta manera, su aplicación se verifica en dos planos: uno individual, que permite examinar un tributo o alguno de sus elementos por su impacto concreto; y un plano s</w:t>
      </w:r>
      <w:r w:rsidRPr="00DB3EEA">
        <w:rPr>
          <w:rFonts w:ascii="Times New Roman" w:hAnsi="Times New Roman" w:cs="Times New Roman"/>
          <w:color w:val="2D2D2D"/>
          <w:sz w:val="28"/>
          <w:szCs w:val="28"/>
        </w:rPr>
        <w:t>istémico, que evalúa los efectos que produce dentro de la estructura tributaria en su conjunto</w:t>
      </w:r>
      <w:r w:rsidRPr="00DB3EEA">
        <w:rPr>
          <w:rFonts w:ascii="Times New Roman" w:hAnsi="Times New Roman" w:cs="Times New Roman"/>
          <w:sz w:val="28"/>
          <w:szCs w:val="28"/>
          <w:vertAlign w:val="superscript"/>
        </w:rPr>
        <w:footnoteReference w:id="138"/>
      </w:r>
      <w:r w:rsidRPr="00DB3EEA">
        <w:rPr>
          <w:rFonts w:ascii="Times New Roman" w:hAnsi="Times New Roman" w:cs="Times New Roman"/>
          <w:color w:val="2D2D2D"/>
          <w:sz w:val="28"/>
          <w:szCs w:val="28"/>
        </w:rPr>
        <w:t xml:space="preserve">. </w:t>
      </w:r>
    </w:p>
    <w:p w:rsidR="00AD5D98" w:rsidRPr="00DB3EEA" w:rsidRDefault="00DB3EEA" w:rsidP="00AD5D98">
      <w:pPr>
        <w:pStyle w:val="Prrafodelista"/>
        <w:ind w:left="0"/>
        <w:jc w:val="both"/>
        <w:rPr>
          <w:rFonts w:ascii="Times New Roman" w:hAnsi="Times New Roman" w:cs="Times New Roman"/>
          <w:color w:val="2D2D2D"/>
          <w:sz w:val="28"/>
          <w:szCs w:val="28"/>
        </w:rPr>
      </w:pPr>
    </w:p>
    <w:p w:rsidR="00AD5D98"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 xml:space="preserve">En virtud de lo anterior, el principio de equidad exige que, al definir los tributos, el legislador tome en cuenta la capacidad económica de los contribuyentes. Para ello, resulta esencial valorar la situación particular de cada obligado y su capacidad de </w:t>
      </w:r>
      <w:r w:rsidRPr="00DB3EEA">
        <w:rPr>
          <w:rFonts w:ascii="Times New Roman" w:hAnsi="Times New Roman" w:cs="Times New Roman"/>
          <w:color w:val="2D2D2D"/>
          <w:sz w:val="28"/>
          <w:szCs w:val="28"/>
        </w:rPr>
        <w:t xml:space="preserve">pago, lo que se traduce en dos dimensiones: la equidad horizontal, según la cual </w:t>
      </w:r>
      <w:r w:rsidRPr="00DB3EEA">
        <w:rPr>
          <w:rFonts w:ascii="Times New Roman" w:hAnsi="Times New Roman" w:cs="Times New Roman"/>
          <w:i/>
          <w:iCs/>
          <w:color w:val="2D2D2D"/>
          <w:sz w:val="28"/>
          <w:szCs w:val="28"/>
        </w:rPr>
        <w:t>“los tributos han de gravar de igual manera a quienes tienen la misma capacidad de pago”</w:t>
      </w:r>
      <w:r w:rsidRPr="00DB3EEA">
        <w:rPr>
          <w:rFonts w:ascii="Times New Roman" w:hAnsi="Times New Roman" w:cs="Times New Roman"/>
          <w:color w:val="2D2D2D"/>
          <w:sz w:val="28"/>
          <w:szCs w:val="28"/>
        </w:rPr>
        <w:t xml:space="preserve">; y la equidad vertical, ligada al mandato de progresividad, que ordena </w:t>
      </w:r>
      <w:r w:rsidRPr="00DB3EEA">
        <w:rPr>
          <w:rFonts w:ascii="Times New Roman" w:hAnsi="Times New Roman" w:cs="Times New Roman"/>
          <w:i/>
          <w:iCs/>
          <w:color w:val="2D2D2D"/>
          <w:sz w:val="28"/>
          <w:szCs w:val="28"/>
        </w:rPr>
        <w:t xml:space="preserve">“distribuir la </w:t>
      </w:r>
      <w:r w:rsidRPr="00DB3EEA">
        <w:rPr>
          <w:rFonts w:ascii="Times New Roman" w:hAnsi="Times New Roman" w:cs="Times New Roman"/>
          <w:i/>
          <w:iCs/>
          <w:color w:val="2D2D2D"/>
          <w:sz w:val="28"/>
          <w:szCs w:val="28"/>
        </w:rPr>
        <w:t xml:space="preserve">carga tributaria de forma que quienes tienen mayor capacidad económica soporten una mayor proporción de gravamen” </w:t>
      </w:r>
      <w:r w:rsidRPr="00DB3EEA">
        <w:rPr>
          <w:rFonts w:ascii="Times New Roman" w:hAnsi="Times New Roman" w:cs="Times New Roman"/>
          <w:i/>
          <w:sz w:val="28"/>
          <w:szCs w:val="28"/>
          <w:vertAlign w:val="superscript"/>
        </w:rPr>
        <w:footnoteReference w:id="139"/>
      </w:r>
      <w:r w:rsidRPr="00DB3EEA">
        <w:rPr>
          <w:rFonts w:ascii="Times New Roman" w:hAnsi="Times New Roman" w:cs="Times New Roman"/>
          <w:i/>
          <w:iCs/>
          <w:color w:val="2D2D2D"/>
          <w:sz w:val="28"/>
          <w:szCs w:val="28"/>
        </w:rPr>
        <w:t>.</w:t>
      </w:r>
    </w:p>
    <w:p w:rsidR="00AD5D98" w:rsidRPr="00DB3EEA" w:rsidRDefault="00DB3EEA" w:rsidP="00AD5D98">
      <w:pPr>
        <w:pStyle w:val="Prrafodelista"/>
        <w:rPr>
          <w:rFonts w:ascii="Times New Roman" w:eastAsiaTheme="minorHAnsi" w:hAnsi="Times New Roman" w:cs="Times New Roman"/>
          <w:sz w:val="28"/>
          <w:szCs w:val="28"/>
          <w:lang w:eastAsia="en-US"/>
        </w:rPr>
      </w:pPr>
    </w:p>
    <w:p w:rsidR="00206667"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sz w:val="28"/>
          <w:szCs w:val="28"/>
          <w:lang w:eastAsia="en-US"/>
        </w:rPr>
        <w:t>En la sentencia C-056 de 2019</w:t>
      </w:r>
      <w:r w:rsidRPr="00DB3EEA">
        <w:rPr>
          <w:rFonts w:ascii="Times New Roman" w:hAnsi="Times New Roman" w:cs="Times New Roman"/>
          <w:sz w:val="28"/>
          <w:szCs w:val="28"/>
          <w:vertAlign w:val="superscript"/>
          <w:lang w:eastAsia="en-US"/>
        </w:rPr>
        <w:footnoteReference w:id="140"/>
      </w:r>
      <w:r w:rsidRPr="00DB3EEA">
        <w:rPr>
          <w:rFonts w:ascii="Times New Roman" w:hAnsi="Times New Roman" w:cs="Times New Roman"/>
          <w:sz w:val="28"/>
          <w:szCs w:val="28"/>
          <w:lang w:eastAsia="en-US"/>
        </w:rPr>
        <w:t xml:space="preserve"> la Corte estudió el contenido del principio de equidad tributaria. Para esto, retomó lo expuesto en la sent</w:t>
      </w:r>
      <w:r w:rsidRPr="00DB3EEA">
        <w:rPr>
          <w:rFonts w:ascii="Times New Roman" w:hAnsi="Times New Roman" w:cs="Times New Roman"/>
          <w:sz w:val="28"/>
          <w:szCs w:val="28"/>
          <w:lang w:eastAsia="en-US"/>
        </w:rPr>
        <w:t>encia C-010 de 2018</w:t>
      </w:r>
      <w:r w:rsidRPr="00DB3EEA">
        <w:rPr>
          <w:rFonts w:ascii="Times New Roman" w:hAnsi="Times New Roman" w:cs="Times New Roman"/>
          <w:sz w:val="28"/>
          <w:szCs w:val="28"/>
          <w:vertAlign w:val="superscript"/>
          <w:lang w:eastAsia="en-US"/>
        </w:rPr>
        <w:footnoteReference w:id="141"/>
      </w:r>
      <w:r w:rsidRPr="00DB3EEA">
        <w:rPr>
          <w:rFonts w:ascii="Times New Roman" w:hAnsi="Times New Roman" w:cs="Times New Roman"/>
          <w:sz w:val="28"/>
          <w:szCs w:val="28"/>
          <w:lang w:eastAsia="en-US"/>
        </w:rPr>
        <w:t>, en la que dijo:</w:t>
      </w:r>
    </w:p>
    <w:p w:rsidR="00206667" w:rsidRPr="00DB3EEA" w:rsidRDefault="00DB3EEA" w:rsidP="00376DDD">
      <w:pPr>
        <w:jc w:val="both"/>
        <w:rPr>
          <w:rFonts w:ascii="Times New Roman" w:eastAsiaTheme="minorHAnsi" w:hAnsi="Times New Roman" w:cs="Times New Roman"/>
          <w:sz w:val="28"/>
          <w:szCs w:val="28"/>
          <w:lang w:eastAsia="en-US"/>
        </w:rPr>
      </w:pPr>
    </w:p>
    <w:p w:rsidR="00206667" w:rsidRPr="00DB3EEA" w:rsidRDefault="00DB3EEA" w:rsidP="00BA2C58">
      <w:pPr>
        <w:ind w:left="567" w:right="51"/>
        <w:jc w:val="both"/>
        <w:rPr>
          <w:rFonts w:ascii="Times New Roman" w:eastAsiaTheme="minorHAnsi" w:hAnsi="Times New Roman" w:cs="Times New Roman"/>
          <w:sz w:val="28"/>
          <w:szCs w:val="28"/>
          <w:lang w:eastAsia="en-US"/>
        </w:rPr>
      </w:pPr>
      <w:r w:rsidRPr="00DB3EEA">
        <w:rPr>
          <w:rFonts w:ascii="Times New Roman" w:eastAsiaTheme="minorHAnsi" w:hAnsi="Times New Roman" w:cs="Times New Roman"/>
          <w:i/>
          <w:iCs/>
          <w:sz w:val="28"/>
          <w:szCs w:val="28"/>
          <w:lang w:eastAsia="en-US"/>
        </w:rPr>
        <w:t>“El principio de equidad tributaria constituye una manifestación de la igualdad en el campo impositivo. Como consecuencia, muchas demandas de inconstitucionalidad en materia tributaria señalan una vulneración conjunta</w:t>
      </w:r>
      <w:r w:rsidRPr="00DB3EEA">
        <w:rPr>
          <w:rFonts w:ascii="Times New Roman" w:eastAsiaTheme="minorHAnsi" w:hAnsi="Times New Roman" w:cs="Times New Roman"/>
          <w:i/>
          <w:iCs/>
          <w:sz w:val="28"/>
          <w:szCs w:val="28"/>
          <w:lang w:eastAsia="en-US"/>
        </w:rPr>
        <w:t xml:space="preserve"> de estos dos preceptos. La configuración de este tipo de cargos explica que, en varias ocasiones, la Corte haya analizado los casos sin determinar claramente sus fronteras. El contorno difuso de estos postulados llevó a la sentencia C-1107 de 2001 a dar p</w:t>
      </w:r>
      <w:r w:rsidRPr="00DB3EEA">
        <w:rPr>
          <w:rFonts w:ascii="Times New Roman" w:eastAsiaTheme="minorHAnsi" w:hAnsi="Times New Roman" w:cs="Times New Roman"/>
          <w:i/>
          <w:iCs/>
          <w:sz w:val="28"/>
          <w:szCs w:val="28"/>
          <w:lang w:eastAsia="en-US"/>
        </w:rPr>
        <w:t>autas de distinción y afirmó que, mientras el derecho a la igualdad corresponde a un criterio universal de protección, el principio de equidad adquiere una especial relevancia en el ámbito tributario, como límite al ejercicio de la potestad de configuració</w:t>
      </w:r>
      <w:r w:rsidRPr="00DB3EEA">
        <w:rPr>
          <w:rFonts w:ascii="Times New Roman" w:eastAsiaTheme="minorHAnsi" w:hAnsi="Times New Roman" w:cs="Times New Roman"/>
          <w:i/>
          <w:iCs/>
          <w:sz w:val="28"/>
          <w:szCs w:val="28"/>
          <w:lang w:eastAsia="en-US"/>
        </w:rPr>
        <w:t xml:space="preserve">n normativa del </w:t>
      </w:r>
      <w:r w:rsidRPr="00DB3EEA">
        <w:rPr>
          <w:rFonts w:ascii="Times New Roman" w:eastAsiaTheme="minorHAnsi" w:hAnsi="Times New Roman" w:cs="Times New Roman"/>
          <w:i/>
          <w:iCs/>
          <w:sz w:val="28"/>
          <w:szCs w:val="28"/>
          <w:lang w:eastAsia="en-US"/>
        </w:rPr>
        <w:t>legislador</w:t>
      </w:r>
      <w:r w:rsidRPr="00DB3EEA">
        <w:rPr>
          <w:rFonts w:ascii="Times New Roman" w:eastAsiaTheme="minorHAnsi" w:hAnsi="Times New Roman" w:cs="Times New Roman"/>
          <w:i/>
          <w:iCs/>
          <w:sz w:val="28"/>
          <w:szCs w:val="28"/>
          <w:lang w:eastAsia="en-US"/>
        </w:rPr>
        <w:t xml:space="preserve"> en la financiación del Estado.”</w:t>
      </w:r>
    </w:p>
    <w:p w:rsidR="00206667" w:rsidRPr="00DB3EEA" w:rsidRDefault="00DB3EEA" w:rsidP="00BA2C58">
      <w:pPr>
        <w:ind w:left="567" w:right="51"/>
        <w:jc w:val="both"/>
        <w:rPr>
          <w:rFonts w:ascii="Times New Roman" w:eastAsiaTheme="minorHAnsi" w:hAnsi="Times New Roman" w:cs="Times New Roman"/>
          <w:sz w:val="28"/>
          <w:szCs w:val="28"/>
          <w:lang w:eastAsia="en-US"/>
        </w:rPr>
      </w:pPr>
    </w:p>
    <w:p w:rsidR="00206667" w:rsidRPr="00DB3EEA" w:rsidRDefault="00DB3EEA" w:rsidP="00AD5D98">
      <w:pPr>
        <w:pStyle w:val="Prrafodelista"/>
        <w:numPr>
          <w:ilvl w:val="0"/>
          <w:numId w:val="1"/>
        </w:numPr>
        <w:ind w:left="0" w:firstLine="0"/>
        <w:jc w:val="both"/>
        <w:rPr>
          <w:rFonts w:ascii="Times New Roman" w:eastAsiaTheme="minorHAnsi" w:hAnsi="Times New Roman" w:cs="Times New Roman"/>
          <w:sz w:val="28"/>
          <w:szCs w:val="28"/>
          <w:lang w:eastAsia="en-US"/>
        </w:rPr>
      </w:pPr>
      <w:r w:rsidRPr="00DB3EEA">
        <w:rPr>
          <w:rFonts w:ascii="Times New Roman" w:hAnsi="Times New Roman" w:cs="Times New Roman"/>
          <w:sz w:val="28"/>
          <w:szCs w:val="28"/>
          <w:lang w:eastAsia="en-US"/>
        </w:rPr>
        <w:t>En ese sentido, citando a las sentencias C-643 de 2002</w:t>
      </w:r>
      <w:r w:rsidRPr="00DB3EEA">
        <w:rPr>
          <w:rFonts w:ascii="Times New Roman" w:hAnsi="Times New Roman" w:cs="Times New Roman"/>
          <w:sz w:val="28"/>
          <w:szCs w:val="28"/>
          <w:vertAlign w:val="superscript"/>
          <w:lang w:eastAsia="en-US"/>
        </w:rPr>
        <w:footnoteReference w:id="142"/>
      </w:r>
      <w:r w:rsidRPr="00DB3EEA">
        <w:rPr>
          <w:rFonts w:ascii="Times New Roman" w:hAnsi="Times New Roman" w:cs="Times New Roman"/>
          <w:sz w:val="28"/>
          <w:szCs w:val="28"/>
          <w:lang w:eastAsia="en-US"/>
        </w:rPr>
        <w:t xml:space="preserve"> y la misma sentencia C-010 de 2018, recordó que el principio de equidad tributaria también es expresión concreta del principio igualdad. Así</w:t>
      </w:r>
      <w:r w:rsidRPr="00DB3EEA">
        <w:rPr>
          <w:rFonts w:ascii="Times New Roman" w:hAnsi="Times New Roman" w:cs="Times New Roman"/>
          <w:sz w:val="28"/>
          <w:szCs w:val="28"/>
          <w:lang w:eastAsia="en-US"/>
        </w:rPr>
        <w:t xml:space="preserve">, afirmó: </w:t>
      </w:r>
    </w:p>
    <w:p w:rsidR="00206667" w:rsidRPr="00DB3EEA" w:rsidRDefault="00DB3EEA" w:rsidP="00376DDD">
      <w:pPr>
        <w:ind w:left="851"/>
        <w:jc w:val="both"/>
        <w:rPr>
          <w:rFonts w:ascii="Times New Roman" w:eastAsiaTheme="minorHAnsi" w:hAnsi="Times New Roman" w:cs="Times New Roman"/>
          <w:sz w:val="28"/>
          <w:szCs w:val="28"/>
          <w:lang w:eastAsia="en-US"/>
        </w:rPr>
      </w:pPr>
    </w:p>
    <w:p w:rsidR="00206667" w:rsidRPr="00DB3EEA" w:rsidRDefault="00DB3EEA" w:rsidP="00BA2C58">
      <w:pPr>
        <w:ind w:left="567"/>
        <w:jc w:val="both"/>
        <w:rPr>
          <w:rFonts w:ascii="Times New Roman" w:eastAsiaTheme="minorHAnsi" w:hAnsi="Times New Roman" w:cs="Times New Roman"/>
          <w:sz w:val="28"/>
          <w:szCs w:val="28"/>
          <w:lang w:eastAsia="en-US"/>
        </w:rPr>
      </w:pPr>
      <w:r w:rsidRPr="00DB3EEA">
        <w:rPr>
          <w:rFonts w:ascii="Times New Roman" w:eastAsiaTheme="minorHAnsi" w:hAnsi="Times New Roman" w:cs="Times New Roman"/>
          <w:sz w:val="28"/>
          <w:szCs w:val="28"/>
          <w:lang w:eastAsia="en-US"/>
        </w:rPr>
        <w:t>“</w:t>
      </w:r>
      <w:r w:rsidRPr="00DB3EEA">
        <w:rPr>
          <w:rFonts w:ascii="Times New Roman" w:eastAsiaTheme="minorHAnsi" w:hAnsi="Times New Roman" w:cs="Times New Roman"/>
          <w:i/>
          <w:iCs/>
          <w:sz w:val="28"/>
          <w:szCs w:val="28"/>
          <w:lang w:val="es-ES_tradnl" w:eastAsia="en-US"/>
        </w:rPr>
        <w:t xml:space="preserve">El principio de equidad tributaria de que trata el artículo 363 de la Constitución opera como límite a la potestad impositiva del </w:t>
      </w:r>
      <w:r w:rsidRPr="00DB3EEA">
        <w:rPr>
          <w:rFonts w:ascii="Times New Roman" w:eastAsiaTheme="minorHAnsi" w:hAnsi="Times New Roman" w:cs="Times New Roman"/>
          <w:i/>
          <w:iCs/>
          <w:sz w:val="28"/>
          <w:szCs w:val="28"/>
          <w:lang w:val="es-ES_tradnl" w:eastAsia="en-US"/>
        </w:rPr>
        <w:t>legislador</w:t>
      </w:r>
      <w:r w:rsidRPr="00DB3EEA">
        <w:rPr>
          <w:rFonts w:ascii="Times New Roman" w:eastAsiaTheme="minorHAnsi" w:hAnsi="Times New Roman" w:cs="Times New Roman"/>
          <w:i/>
          <w:iCs/>
          <w:sz w:val="28"/>
          <w:szCs w:val="28"/>
          <w:lang w:val="es-ES_tradnl" w:eastAsia="en-US"/>
        </w:rPr>
        <w:t xml:space="preserve">, aunque también es expresión concreta del principio de igualdad. </w:t>
      </w:r>
      <w:r w:rsidRPr="00DB3EEA">
        <w:rPr>
          <w:rFonts w:ascii="Times New Roman" w:eastAsiaTheme="minorHAnsi" w:hAnsi="Times New Roman" w:cs="Times New Roman"/>
          <w:b/>
          <w:bCs/>
          <w:i/>
          <w:iCs/>
          <w:sz w:val="28"/>
          <w:szCs w:val="28"/>
          <w:lang w:val="es-ES_tradnl" w:eastAsia="en-US"/>
        </w:rPr>
        <w:t xml:space="preserve">En líneas generales, el contenido de </w:t>
      </w:r>
      <w:r w:rsidRPr="00DB3EEA">
        <w:rPr>
          <w:rFonts w:ascii="Times New Roman" w:eastAsiaTheme="minorHAnsi" w:hAnsi="Times New Roman" w:cs="Times New Roman"/>
          <w:b/>
          <w:bCs/>
          <w:i/>
          <w:iCs/>
          <w:sz w:val="28"/>
          <w:szCs w:val="28"/>
          <w:lang w:val="es-ES_tradnl" w:eastAsia="en-US"/>
        </w:rPr>
        <w:t>ese principio refiere a la prohibición que el orden jurídico imponga obligaciones excesivas o beneficios desbordados al contribuyente.</w:t>
      </w:r>
      <w:r w:rsidRPr="00DB3EEA">
        <w:rPr>
          <w:rFonts w:ascii="Times New Roman" w:eastAsiaTheme="minorHAnsi" w:hAnsi="Times New Roman" w:cs="Times New Roman"/>
          <w:i/>
          <w:iCs/>
          <w:sz w:val="28"/>
          <w:szCs w:val="28"/>
          <w:lang w:val="es-ES_tradnl" w:eastAsia="en-US"/>
        </w:rPr>
        <w:t xml:space="preserve">” </w:t>
      </w:r>
      <w:r w:rsidRPr="00DB3EEA">
        <w:rPr>
          <w:rFonts w:ascii="Times New Roman" w:eastAsiaTheme="minorHAnsi" w:hAnsi="Times New Roman" w:cs="Times New Roman"/>
          <w:sz w:val="28"/>
          <w:szCs w:val="28"/>
          <w:lang w:val="es-ES_tradnl" w:eastAsia="en-US"/>
        </w:rPr>
        <w:t>(Negrilla fuera de texto original)</w:t>
      </w:r>
    </w:p>
    <w:p w:rsidR="00206667" w:rsidRPr="00DB3EEA" w:rsidRDefault="00DB3EEA" w:rsidP="00BA2C58">
      <w:pPr>
        <w:ind w:left="567"/>
        <w:jc w:val="both"/>
        <w:rPr>
          <w:rFonts w:ascii="Times New Roman" w:eastAsiaTheme="minorHAnsi" w:hAnsi="Times New Roman" w:cs="Times New Roman"/>
          <w:sz w:val="28"/>
          <w:szCs w:val="28"/>
          <w:lang w:eastAsia="en-US"/>
        </w:rPr>
      </w:pPr>
    </w:p>
    <w:p w:rsidR="00206667" w:rsidRPr="00DB3EEA" w:rsidRDefault="00DB3EEA" w:rsidP="00AD5D98">
      <w:pPr>
        <w:pStyle w:val="Prrafodelista"/>
        <w:numPr>
          <w:ilvl w:val="0"/>
          <w:numId w:val="1"/>
        </w:numPr>
        <w:ind w:left="0" w:firstLine="0"/>
        <w:jc w:val="both"/>
        <w:rPr>
          <w:rFonts w:ascii="Times New Roman" w:eastAsiaTheme="minorHAnsi" w:hAnsi="Times New Roman" w:cs="Times New Roman"/>
          <w:sz w:val="28"/>
          <w:szCs w:val="28"/>
          <w:lang w:val="es-ES" w:eastAsia="en-US"/>
        </w:rPr>
      </w:pPr>
      <w:bookmarkStart w:id="7" w:name="_Hlk230166059"/>
      <w:r w:rsidRPr="00DB3EEA">
        <w:rPr>
          <w:rFonts w:ascii="Times New Roman" w:hAnsi="Times New Roman" w:cs="Times New Roman"/>
          <w:sz w:val="28"/>
          <w:szCs w:val="28"/>
          <w:lang w:val="es-ES" w:eastAsia="en-US"/>
        </w:rPr>
        <w:t xml:space="preserve">De lo anterior, se destaca que el principio se refiere, </w:t>
      </w:r>
      <w:r w:rsidRPr="00DB3EEA">
        <w:rPr>
          <w:rFonts w:ascii="Times New Roman" w:hAnsi="Times New Roman" w:cs="Times New Roman"/>
          <w:i/>
          <w:sz w:val="28"/>
          <w:szCs w:val="28"/>
          <w:lang w:val="es-ES" w:eastAsia="en-US"/>
        </w:rPr>
        <w:t>a priori</w:t>
      </w:r>
      <w:r w:rsidRPr="00DB3EEA">
        <w:rPr>
          <w:rFonts w:ascii="Times New Roman" w:hAnsi="Times New Roman" w:cs="Times New Roman"/>
          <w:sz w:val="28"/>
          <w:szCs w:val="28"/>
          <w:lang w:val="es-ES" w:eastAsia="en-US"/>
        </w:rPr>
        <w:t>, a la prohibición d</w:t>
      </w:r>
      <w:r w:rsidRPr="00DB3EEA">
        <w:rPr>
          <w:rFonts w:ascii="Times New Roman" w:hAnsi="Times New Roman" w:cs="Times New Roman"/>
          <w:sz w:val="28"/>
          <w:szCs w:val="28"/>
          <w:lang w:val="es-ES" w:eastAsia="en-US"/>
        </w:rPr>
        <w:t>e que el orden jurídico imponga obligaciones excesivas o beneficios desbordados al contribuyente. A partir de esto, en la misma sentencia se indica, con apoyo también en las sentencias C-600 de 2015</w:t>
      </w:r>
      <w:r w:rsidRPr="00DB3EEA">
        <w:rPr>
          <w:rFonts w:ascii="Times New Roman" w:hAnsi="Times New Roman" w:cs="Times New Roman"/>
          <w:sz w:val="28"/>
          <w:szCs w:val="28"/>
          <w:vertAlign w:val="superscript"/>
          <w:lang w:val="es-ES" w:eastAsia="en-US"/>
        </w:rPr>
        <w:footnoteReference w:id="143"/>
      </w:r>
      <w:r w:rsidRPr="00DB3EEA">
        <w:rPr>
          <w:rFonts w:ascii="Times New Roman" w:hAnsi="Times New Roman" w:cs="Times New Roman"/>
          <w:sz w:val="28"/>
          <w:szCs w:val="28"/>
          <w:lang w:val="es-ES" w:eastAsia="en-US"/>
        </w:rPr>
        <w:t>, C-266 de 2019</w:t>
      </w:r>
      <w:r w:rsidRPr="00DB3EEA">
        <w:rPr>
          <w:rFonts w:ascii="Times New Roman" w:hAnsi="Times New Roman" w:cs="Times New Roman"/>
          <w:sz w:val="28"/>
          <w:szCs w:val="28"/>
          <w:vertAlign w:val="superscript"/>
          <w:lang w:val="es-ES" w:eastAsia="en-US"/>
        </w:rPr>
        <w:footnoteReference w:id="144"/>
      </w:r>
      <w:r w:rsidRPr="00DB3EEA">
        <w:rPr>
          <w:rFonts w:ascii="Times New Roman" w:hAnsi="Times New Roman" w:cs="Times New Roman"/>
          <w:sz w:val="28"/>
          <w:szCs w:val="28"/>
          <w:lang w:val="es-ES" w:eastAsia="en-US"/>
        </w:rPr>
        <w:t>, C-431 de 2020</w:t>
      </w:r>
      <w:r w:rsidRPr="00DB3EEA">
        <w:rPr>
          <w:rFonts w:ascii="Times New Roman" w:hAnsi="Times New Roman" w:cs="Times New Roman"/>
          <w:sz w:val="28"/>
          <w:szCs w:val="28"/>
          <w:vertAlign w:val="superscript"/>
          <w:lang w:val="es-ES" w:eastAsia="en-US"/>
        </w:rPr>
        <w:footnoteReference w:id="145"/>
      </w:r>
      <w:r w:rsidRPr="00DB3EEA">
        <w:rPr>
          <w:rFonts w:ascii="Times New Roman" w:hAnsi="Times New Roman" w:cs="Times New Roman"/>
          <w:sz w:val="28"/>
          <w:szCs w:val="28"/>
          <w:lang w:val="es-ES" w:eastAsia="en-US"/>
        </w:rPr>
        <w:t xml:space="preserve"> y C-059 de 2021</w:t>
      </w:r>
      <w:r w:rsidRPr="00DB3EEA">
        <w:rPr>
          <w:rFonts w:ascii="Times New Roman" w:hAnsi="Times New Roman" w:cs="Times New Roman"/>
          <w:sz w:val="28"/>
          <w:szCs w:val="28"/>
          <w:vertAlign w:val="superscript"/>
          <w:lang w:val="es-ES" w:eastAsia="en-US"/>
        </w:rPr>
        <w:footnoteReference w:id="146"/>
      </w:r>
      <w:r w:rsidRPr="00DB3EEA">
        <w:rPr>
          <w:rFonts w:ascii="Times New Roman" w:hAnsi="Times New Roman" w:cs="Times New Roman"/>
          <w:sz w:val="28"/>
          <w:szCs w:val="28"/>
          <w:lang w:val="es-ES" w:eastAsia="en-US"/>
        </w:rPr>
        <w:t xml:space="preserve">, </w:t>
      </w:r>
      <w:bookmarkEnd w:id="7"/>
      <w:r w:rsidRPr="00DB3EEA">
        <w:rPr>
          <w:rFonts w:ascii="Times New Roman" w:hAnsi="Times New Roman" w:cs="Times New Roman"/>
          <w:sz w:val="28"/>
          <w:szCs w:val="28"/>
          <w:lang w:val="es-ES" w:eastAsia="en-US"/>
        </w:rPr>
        <w:t>que el</w:t>
      </w:r>
      <w:r w:rsidRPr="00DB3EEA">
        <w:rPr>
          <w:rFonts w:ascii="Times New Roman" w:hAnsi="Times New Roman" w:cs="Times New Roman"/>
          <w:sz w:val="28"/>
          <w:szCs w:val="28"/>
          <w:lang w:val="es-ES" w:eastAsia="en-US"/>
        </w:rPr>
        <w:t xml:space="preserve"> principio de equidad tributaria tiene dos dimensiones: i) horizontal y ii) vertical. En ese sentido, la Corte indica que:</w:t>
      </w:r>
    </w:p>
    <w:p w:rsidR="00206667" w:rsidRPr="00DB3EEA" w:rsidRDefault="00DB3EEA" w:rsidP="00376DDD">
      <w:pPr>
        <w:jc w:val="both"/>
        <w:rPr>
          <w:rFonts w:ascii="Times New Roman" w:eastAsiaTheme="minorHAnsi" w:hAnsi="Times New Roman" w:cs="Times New Roman"/>
          <w:sz w:val="28"/>
          <w:szCs w:val="28"/>
          <w:lang w:val="es-ES" w:eastAsia="en-US"/>
        </w:rPr>
      </w:pPr>
    </w:p>
    <w:p w:rsidR="00206667" w:rsidRPr="00DB3EEA" w:rsidRDefault="00DB3EEA" w:rsidP="00BA2C58">
      <w:pPr>
        <w:ind w:left="567" w:right="51"/>
        <w:jc w:val="both"/>
        <w:rPr>
          <w:rFonts w:ascii="Times New Roman" w:eastAsiaTheme="minorHAnsi" w:hAnsi="Times New Roman" w:cs="Times New Roman"/>
          <w:sz w:val="28"/>
          <w:szCs w:val="28"/>
          <w:lang w:eastAsia="en-US"/>
        </w:rPr>
      </w:pPr>
      <w:r w:rsidRPr="00DB3EEA">
        <w:rPr>
          <w:rFonts w:ascii="Times New Roman" w:eastAsiaTheme="minorHAnsi" w:hAnsi="Times New Roman" w:cs="Times New Roman"/>
          <w:i/>
          <w:iCs/>
          <w:sz w:val="28"/>
          <w:szCs w:val="28"/>
          <w:lang w:val="es-ES" w:eastAsia="en-US"/>
        </w:rPr>
        <w:t>“</w:t>
      </w:r>
      <w:r w:rsidRPr="00DB3EEA">
        <w:rPr>
          <w:rFonts w:ascii="Times New Roman" w:eastAsiaTheme="minorHAnsi" w:hAnsi="Times New Roman" w:cs="Times New Roman"/>
          <w:i/>
          <w:iCs/>
          <w:sz w:val="28"/>
          <w:szCs w:val="28"/>
          <w:lang w:eastAsia="en-US"/>
        </w:rPr>
        <w:t xml:space="preserve">La equidad tributaria, a su vez, tiene dos variables: (i) </w:t>
      </w:r>
      <w:bookmarkStart w:id="8" w:name="_Hlk230166315"/>
      <w:r w:rsidRPr="00DB3EEA">
        <w:rPr>
          <w:rFonts w:ascii="Times New Roman" w:eastAsiaTheme="minorHAnsi" w:hAnsi="Times New Roman" w:cs="Times New Roman"/>
          <w:i/>
          <w:iCs/>
          <w:sz w:val="28"/>
          <w:szCs w:val="28"/>
          <w:lang w:eastAsia="en-US"/>
        </w:rPr>
        <w:t xml:space="preserve">la equidad horizontal, según la cual el sistema tributario debe tratar de idéntica manera a las personas que, antes de tributar, gozan de la misma capacidad económica, de modo tal que queden situadas en el mismo nivel después de pagar sus contribuciones; </w:t>
      </w:r>
      <w:bookmarkEnd w:id="8"/>
      <w:r w:rsidRPr="00DB3EEA">
        <w:rPr>
          <w:rFonts w:ascii="Times New Roman" w:eastAsiaTheme="minorHAnsi" w:hAnsi="Times New Roman" w:cs="Times New Roman"/>
          <w:i/>
          <w:iCs/>
          <w:sz w:val="28"/>
          <w:szCs w:val="28"/>
          <w:lang w:eastAsia="en-US"/>
        </w:rPr>
        <w:t>y</w:t>
      </w:r>
      <w:r w:rsidRPr="00DB3EEA">
        <w:rPr>
          <w:rFonts w:ascii="Times New Roman" w:eastAsiaTheme="minorHAnsi" w:hAnsi="Times New Roman" w:cs="Times New Roman"/>
          <w:i/>
          <w:iCs/>
          <w:sz w:val="28"/>
          <w:szCs w:val="28"/>
          <w:lang w:eastAsia="en-US"/>
        </w:rPr>
        <w:t xml:space="preserve"> (ii) la equidad vertical, identificada con la exigencia de progresividad, que ordena distribuir la carga tributaria de forma que quienes tienen mayor capacidad económica soporten una mayor cuota de impuesto.”</w:t>
      </w:r>
    </w:p>
    <w:p w:rsidR="00206667" w:rsidRPr="00DB3EEA" w:rsidRDefault="00DB3EEA" w:rsidP="00376DDD">
      <w:pPr>
        <w:ind w:left="709" w:right="51"/>
        <w:jc w:val="both"/>
        <w:rPr>
          <w:rFonts w:ascii="Times New Roman" w:eastAsiaTheme="minorHAnsi" w:hAnsi="Times New Roman" w:cs="Times New Roman"/>
          <w:sz w:val="28"/>
          <w:szCs w:val="28"/>
          <w:lang w:val="es-ES" w:eastAsia="en-US"/>
        </w:rPr>
      </w:pPr>
    </w:p>
    <w:p w:rsidR="00206667" w:rsidRPr="00DB3EEA" w:rsidRDefault="00DB3EEA" w:rsidP="00AD5D98">
      <w:pPr>
        <w:pStyle w:val="Prrafodelista"/>
        <w:numPr>
          <w:ilvl w:val="0"/>
          <w:numId w:val="1"/>
        </w:numPr>
        <w:ind w:left="0" w:firstLine="0"/>
        <w:jc w:val="both"/>
        <w:rPr>
          <w:rFonts w:ascii="Times New Roman" w:eastAsiaTheme="minorHAnsi" w:hAnsi="Times New Roman" w:cs="Times New Roman"/>
          <w:sz w:val="28"/>
          <w:szCs w:val="28"/>
          <w:lang w:val="es-ES" w:eastAsia="en-US"/>
        </w:rPr>
      </w:pPr>
      <w:r w:rsidRPr="00DB3EEA">
        <w:rPr>
          <w:rFonts w:ascii="Times New Roman" w:hAnsi="Times New Roman" w:cs="Times New Roman"/>
          <w:sz w:val="28"/>
          <w:szCs w:val="28"/>
          <w:lang w:val="es-ES" w:eastAsia="en-US"/>
        </w:rPr>
        <w:t>A</w:t>
      </w:r>
      <w:r w:rsidRPr="00DB3EEA">
        <w:rPr>
          <w:rFonts w:ascii="Times New Roman" w:hAnsi="Times New Roman" w:cs="Times New Roman"/>
          <w:sz w:val="28"/>
          <w:szCs w:val="28"/>
          <w:lang w:val="es-ES" w:eastAsia="en-US"/>
        </w:rPr>
        <w:t xml:space="preserve"> la luz de las sentencias C-056 de 2019, C-0</w:t>
      </w:r>
      <w:r w:rsidRPr="00DB3EEA">
        <w:rPr>
          <w:rFonts w:ascii="Times New Roman" w:hAnsi="Times New Roman" w:cs="Times New Roman"/>
          <w:sz w:val="28"/>
          <w:szCs w:val="28"/>
          <w:lang w:val="es-ES" w:eastAsia="en-US"/>
        </w:rPr>
        <w:t>10 de 2018 y C-1003 de 2004</w:t>
      </w:r>
      <w:r w:rsidRPr="00DB3EEA">
        <w:rPr>
          <w:rFonts w:ascii="Times New Roman" w:hAnsi="Times New Roman" w:cs="Times New Roman"/>
          <w:sz w:val="28"/>
          <w:szCs w:val="28"/>
          <w:vertAlign w:val="superscript"/>
          <w:lang w:val="es-ES" w:eastAsia="en-US"/>
        </w:rPr>
        <w:footnoteReference w:id="147"/>
      </w:r>
      <w:r w:rsidRPr="00DB3EEA">
        <w:rPr>
          <w:rFonts w:ascii="Times New Roman" w:hAnsi="Times New Roman" w:cs="Times New Roman"/>
          <w:sz w:val="28"/>
          <w:szCs w:val="28"/>
          <w:lang w:val="es-ES" w:eastAsia="en-US"/>
        </w:rPr>
        <w:t>, entre otras, hay ciertos supuestos no taxativos</w:t>
      </w:r>
      <w:r w:rsidRPr="00DB3EEA">
        <w:rPr>
          <w:rFonts w:ascii="Times New Roman" w:hAnsi="Times New Roman" w:cs="Times New Roman"/>
          <w:b/>
          <w:sz w:val="28"/>
          <w:szCs w:val="28"/>
          <w:lang w:val="es-ES" w:eastAsia="en-US"/>
        </w:rPr>
        <w:t xml:space="preserve"> </w:t>
      </w:r>
      <w:r w:rsidRPr="00DB3EEA">
        <w:rPr>
          <w:rFonts w:ascii="Times New Roman" w:hAnsi="Times New Roman" w:cs="Times New Roman"/>
          <w:sz w:val="28"/>
          <w:szCs w:val="28"/>
          <w:lang w:val="es-ES" w:eastAsia="en-US"/>
        </w:rPr>
        <w:t>en que se configuran vulneraciones al principio de equidad tributaria, como son los siguientes:</w:t>
      </w:r>
    </w:p>
    <w:p w:rsidR="00206667" w:rsidRPr="00DB3EEA" w:rsidRDefault="00DB3EEA" w:rsidP="00376DDD">
      <w:pPr>
        <w:jc w:val="both"/>
        <w:rPr>
          <w:rFonts w:ascii="Times New Roman" w:eastAsiaTheme="minorHAnsi" w:hAnsi="Times New Roman" w:cs="Times New Roman"/>
          <w:sz w:val="28"/>
          <w:szCs w:val="28"/>
          <w:lang w:val="es-ES" w:eastAsia="en-US"/>
        </w:rPr>
      </w:pPr>
    </w:p>
    <w:p w:rsidR="00206667" w:rsidRPr="00DB3EEA" w:rsidRDefault="00DB3EEA" w:rsidP="00BA2C58">
      <w:pPr>
        <w:ind w:left="567" w:right="51"/>
        <w:jc w:val="both"/>
        <w:rPr>
          <w:rFonts w:ascii="Times New Roman" w:eastAsiaTheme="minorHAnsi" w:hAnsi="Times New Roman" w:cs="Times New Roman"/>
          <w:i/>
          <w:iCs/>
          <w:sz w:val="28"/>
          <w:szCs w:val="28"/>
          <w:lang w:eastAsia="en-US"/>
        </w:rPr>
      </w:pPr>
      <w:r w:rsidRPr="00DB3EEA">
        <w:rPr>
          <w:rFonts w:ascii="Times New Roman" w:eastAsiaTheme="minorHAnsi" w:hAnsi="Times New Roman" w:cs="Times New Roman"/>
          <w:i/>
          <w:iCs/>
          <w:sz w:val="28"/>
          <w:szCs w:val="28"/>
          <w:lang w:val="es-ES" w:eastAsia="en-US"/>
        </w:rPr>
        <w:t>“</w:t>
      </w:r>
      <w:r w:rsidRPr="00DB3EEA">
        <w:rPr>
          <w:rFonts w:ascii="Times New Roman" w:eastAsiaTheme="minorHAnsi" w:hAnsi="Times New Roman" w:cs="Times New Roman"/>
          <w:i/>
          <w:iCs/>
          <w:sz w:val="28"/>
          <w:szCs w:val="28"/>
          <w:lang w:eastAsia="en-US"/>
        </w:rPr>
        <w:t xml:space="preserve">13.1. Un primer supuesto es cuando el monto a pagar por concepto del tributo se </w:t>
      </w:r>
      <w:r w:rsidRPr="00DB3EEA">
        <w:rPr>
          <w:rFonts w:ascii="Times New Roman" w:eastAsiaTheme="minorHAnsi" w:hAnsi="Times New Roman" w:cs="Times New Roman"/>
          <w:i/>
          <w:iCs/>
          <w:sz w:val="28"/>
          <w:szCs w:val="28"/>
          <w:lang w:eastAsia="en-US"/>
        </w:rPr>
        <w:t>define sin atender la capacidad de pago del contribuyente. Ejemplo de ello es la situación analizada en la sentencia C-876 de 2002, fallo que declaró la inexequibilidad de la norma que establecía una base gravable presunta con carácter no desvirtuable, que</w:t>
      </w:r>
      <w:r w:rsidRPr="00DB3EEA">
        <w:rPr>
          <w:rFonts w:ascii="Times New Roman" w:eastAsiaTheme="minorHAnsi" w:hAnsi="Times New Roman" w:cs="Times New Roman"/>
          <w:i/>
          <w:iCs/>
          <w:sz w:val="28"/>
          <w:szCs w:val="28"/>
          <w:lang w:eastAsia="en-US"/>
        </w:rPr>
        <w:t xml:space="preserve"> incluso podía llegar a ser superior a la capacidad de pago del contribuyente. </w:t>
      </w:r>
    </w:p>
    <w:p w:rsidR="00206667" w:rsidRPr="00DB3EEA" w:rsidRDefault="00DB3EEA" w:rsidP="00BA2C58">
      <w:pPr>
        <w:ind w:left="567" w:right="51"/>
        <w:jc w:val="both"/>
        <w:rPr>
          <w:rFonts w:ascii="Times New Roman" w:eastAsiaTheme="minorHAnsi" w:hAnsi="Times New Roman" w:cs="Times New Roman"/>
          <w:i/>
          <w:iCs/>
          <w:sz w:val="28"/>
          <w:szCs w:val="28"/>
          <w:lang w:eastAsia="en-US"/>
        </w:rPr>
      </w:pPr>
    </w:p>
    <w:p w:rsidR="00206667" w:rsidRPr="00DB3EEA" w:rsidRDefault="00DB3EEA" w:rsidP="00BA2C58">
      <w:pPr>
        <w:ind w:left="567" w:right="51"/>
        <w:jc w:val="both"/>
        <w:rPr>
          <w:rFonts w:ascii="Times New Roman" w:eastAsiaTheme="minorHAnsi" w:hAnsi="Times New Roman" w:cs="Times New Roman"/>
          <w:i/>
          <w:iCs/>
          <w:sz w:val="28"/>
          <w:szCs w:val="28"/>
          <w:lang w:eastAsia="en-US"/>
        </w:rPr>
      </w:pPr>
      <w:r w:rsidRPr="00DB3EEA">
        <w:rPr>
          <w:rFonts w:ascii="Times New Roman" w:eastAsiaTheme="minorHAnsi" w:hAnsi="Times New Roman" w:cs="Times New Roman"/>
          <w:i/>
          <w:iCs/>
          <w:sz w:val="28"/>
          <w:szCs w:val="28"/>
          <w:lang w:eastAsia="en-US"/>
        </w:rPr>
        <w:t>13.2. El segundo supuesto opera cuando la regulación grava de manera disímil a sujetos o situaciones jurídicas análogas, sin que concurra una justificación constitucionalmente</w:t>
      </w:r>
      <w:r w:rsidRPr="00DB3EEA">
        <w:rPr>
          <w:rFonts w:ascii="Times New Roman" w:eastAsiaTheme="minorHAnsi" w:hAnsi="Times New Roman" w:cs="Times New Roman"/>
          <w:i/>
          <w:iCs/>
          <w:sz w:val="28"/>
          <w:szCs w:val="28"/>
          <w:lang w:eastAsia="en-US"/>
        </w:rPr>
        <w:t xml:space="preserve"> atendible para ello. Así, en la sentencia C-748 de 2009 se concluyó que se vulneraba el principio de equidad tributaria al otorgarse beneficios tributarios a los magistrados de tribunal, con exclusión de otros funcionarios judiciales que históricamente ha</w:t>
      </w:r>
      <w:r w:rsidRPr="00DB3EEA">
        <w:rPr>
          <w:rFonts w:ascii="Times New Roman" w:eastAsiaTheme="minorHAnsi" w:hAnsi="Times New Roman" w:cs="Times New Roman"/>
          <w:i/>
          <w:iCs/>
          <w:sz w:val="28"/>
          <w:szCs w:val="28"/>
          <w:lang w:eastAsia="en-US"/>
        </w:rPr>
        <w:t>bían recibido el mismo tratamiento legal, tanto de índole laboral como administrativo y tributario. </w:t>
      </w:r>
    </w:p>
    <w:p w:rsidR="00206667" w:rsidRPr="00DB3EEA" w:rsidRDefault="00DB3EEA" w:rsidP="00BA2C58">
      <w:pPr>
        <w:ind w:left="567" w:right="51"/>
        <w:jc w:val="both"/>
        <w:rPr>
          <w:rFonts w:ascii="Times New Roman" w:eastAsiaTheme="minorHAnsi" w:hAnsi="Times New Roman" w:cs="Times New Roman"/>
          <w:i/>
          <w:iCs/>
          <w:sz w:val="28"/>
          <w:szCs w:val="28"/>
          <w:lang w:eastAsia="en-US"/>
        </w:rPr>
      </w:pPr>
    </w:p>
    <w:p w:rsidR="00206667" w:rsidRPr="00DB3EEA" w:rsidRDefault="00DB3EEA" w:rsidP="00BA2C58">
      <w:pPr>
        <w:ind w:left="567" w:right="51"/>
        <w:jc w:val="both"/>
        <w:rPr>
          <w:rFonts w:ascii="Times New Roman" w:eastAsiaTheme="minorHAnsi" w:hAnsi="Times New Roman" w:cs="Times New Roman"/>
          <w:i/>
          <w:iCs/>
          <w:sz w:val="28"/>
          <w:szCs w:val="28"/>
          <w:lang w:eastAsia="en-US"/>
        </w:rPr>
      </w:pPr>
      <w:r w:rsidRPr="00DB3EEA">
        <w:rPr>
          <w:rFonts w:ascii="Times New Roman" w:eastAsiaTheme="minorHAnsi" w:hAnsi="Times New Roman" w:cs="Times New Roman"/>
          <w:i/>
          <w:iCs/>
          <w:sz w:val="28"/>
          <w:szCs w:val="28"/>
          <w:lang w:eastAsia="en-US"/>
        </w:rPr>
        <w:t xml:space="preserve">13.3. El tercer supuesto de afectación del principio de equidad, identificado por la jurisprudencia constitucional, [se configura] cuando el tributo es o </w:t>
      </w:r>
      <w:r w:rsidRPr="00DB3EEA">
        <w:rPr>
          <w:rFonts w:ascii="Times New Roman" w:eastAsiaTheme="minorHAnsi" w:hAnsi="Times New Roman" w:cs="Times New Roman"/>
          <w:i/>
          <w:iCs/>
          <w:sz w:val="28"/>
          <w:szCs w:val="28"/>
          <w:lang w:eastAsia="en-US"/>
        </w:rPr>
        <w:t>tiene implicaciones confiscatorias. Ello sucede en el caso que la obligación fiscal implique una expropiación de facto de la propiedad privada o de los beneficios de la iniciativa económica de los particulares. Esto en razón a que dicha actividad productiv</w:t>
      </w:r>
      <w:r w:rsidRPr="00DB3EEA">
        <w:rPr>
          <w:rFonts w:ascii="Times New Roman" w:eastAsiaTheme="minorHAnsi" w:hAnsi="Times New Roman" w:cs="Times New Roman"/>
          <w:i/>
          <w:iCs/>
          <w:sz w:val="28"/>
          <w:szCs w:val="28"/>
          <w:lang w:eastAsia="en-US"/>
        </w:rPr>
        <w:t>a deba destinarse exclusivamente al pago del tributo, impidiéndose el logro de ganancia para el sujeto pasivo del mismo. A este respecto, debe tenerse en cuenta que el efecto confiscatorio en mención opera cuando el impuesto genera un impacto desproporcion</w:t>
      </w:r>
      <w:r w:rsidRPr="00DB3EEA">
        <w:rPr>
          <w:rFonts w:ascii="Times New Roman" w:eastAsiaTheme="minorHAnsi" w:hAnsi="Times New Roman" w:cs="Times New Roman"/>
          <w:i/>
          <w:iCs/>
          <w:sz w:val="28"/>
          <w:szCs w:val="28"/>
          <w:lang w:eastAsia="en-US"/>
        </w:rPr>
        <w:t>ado en el patrimonio del contribuyente, con efectos claramente expropiatorios. Así, previsiones que establezcan tratamientos fiscales más gravosos o que deroguen beneficios impositivos, pero que carezcan de la entidad señalada y estén dirigidas a la satisf</w:t>
      </w:r>
      <w:r w:rsidRPr="00DB3EEA">
        <w:rPr>
          <w:rFonts w:ascii="Times New Roman" w:eastAsiaTheme="minorHAnsi" w:hAnsi="Times New Roman" w:cs="Times New Roman"/>
          <w:i/>
          <w:iCs/>
          <w:sz w:val="28"/>
          <w:szCs w:val="28"/>
          <w:lang w:eastAsia="en-US"/>
        </w:rPr>
        <w:t>acción de fines constitucionalmente valiosos, no generan una infracción del principio de equidad tributaria.</w:t>
      </w:r>
    </w:p>
    <w:p w:rsidR="00206667" w:rsidRPr="00DB3EEA" w:rsidRDefault="00DB3EEA" w:rsidP="00BA2C58">
      <w:pPr>
        <w:ind w:left="567" w:right="51"/>
        <w:jc w:val="both"/>
        <w:rPr>
          <w:rFonts w:ascii="Times New Roman" w:eastAsiaTheme="minorHAnsi" w:hAnsi="Times New Roman" w:cs="Times New Roman"/>
          <w:i/>
          <w:iCs/>
          <w:sz w:val="28"/>
          <w:szCs w:val="28"/>
          <w:lang w:eastAsia="en-US"/>
        </w:rPr>
      </w:pPr>
    </w:p>
    <w:p w:rsidR="00206667" w:rsidRPr="00DB3EEA" w:rsidRDefault="00DB3EEA" w:rsidP="00BA2C58">
      <w:pPr>
        <w:ind w:left="567" w:right="51"/>
        <w:jc w:val="both"/>
        <w:rPr>
          <w:rFonts w:ascii="Times New Roman" w:eastAsiaTheme="minorHAnsi" w:hAnsi="Times New Roman" w:cs="Times New Roman"/>
          <w:i/>
          <w:iCs/>
          <w:sz w:val="28"/>
          <w:szCs w:val="28"/>
          <w:lang w:eastAsia="en-US"/>
        </w:rPr>
      </w:pPr>
      <w:r w:rsidRPr="00DB3EEA">
        <w:rPr>
          <w:rFonts w:ascii="Times New Roman" w:eastAsiaTheme="minorHAnsi" w:hAnsi="Times New Roman" w:cs="Times New Roman"/>
          <w:i/>
          <w:iCs/>
          <w:sz w:val="28"/>
          <w:szCs w:val="28"/>
          <w:lang w:eastAsia="en-US"/>
        </w:rPr>
        <w:t xml:space="preserve">13.4. Finalmente, un cuarto supuesto de vulneración de la equidad tributaria detectado por la jurisprudencia constitucional, este con un carácter </w:t>
      </w:r>
      <w:r w:rsidRPr="00DB3EEA">
        <w:rPr>
          <w:rFonts w:ascii="Times New Roman" w:eastAsiaTheme="minorHAnsi" w:hAnsi="Times New Roman" w:cs="Times New Roman"/>
          <w:i/>
          <w:iCs/>
          <w:sz w:val="28"/>
          <w:szCs w:val="28"/>
          <w:lang w:eastAsia="en-US"/>
        </w:rPr>
        <w:t xml:space="preserve">más general, consiste en la prescripción por el </w:t>
      </w:r>
      <w:r w:rsidRPr="00DB3EEA">
        <w:rPr>
          <w:rFonts w:ascii="Times New Roman" w:eastAsiaTheme="minorHAnsi" w:hAnsi="Times New Roman" w:cs="Times New Roman"/>
          <w:i/>
          <w:iCs/>
          <w:sz w:val="28"/>
          <w:szCs w:val="28"/>
          <w:lang w:eastAsia="en-US"/>
        </w:rPr>
        <w:t>legislador</w:t>
      </w:r>
      <w:r w:rsidRPr="00DB3EEA">
        <w:rPr>
          <w:rFonts w:ascii="Times New Roman" w:eastAsiaTheme="minorHAnsi" w:hAnsi="Times New Roman" w:cs="Times New Roman"/>
          <w:i/>
          <w:iCs/>
          <w:sz w:val="28"/>
          <w:szCs w:val="28"/>
          <w:lang w:eastAsia="en-US"/>
        </w:rPr>
        <w:t xml:space="preserve"> de tratamientos jurídicos irrazonables, bien porque la obligación fiscal se base en criterios abiertamente inequitativos, infundados o que privilegian al contribuyente moroso y en perjuicio de quie</w:t>
      </w:r>
      <w:r w:rsidRPr="00DB3EEA">
        <w:rPr>
          <w:rFonts w:ascii="Times New Roman" w:eastAsiaTheme="minorHAnsi" w:hAnsi="Times New Roman" w:cs="Times New Roman"/>
          <w:i/>
          <w:iCs/>
          <w:sz w:val="28"/>
          <w:szCs w:val="28"/>
          <w:lang w:eastAsia="en-US"/>
        </w:rPr>
        <w:t xml:space="preserve">nes cumplieron oportunamente con el deber constitucional de concurrir con el financiamiento de los gastos del Estado. Para la Corte, “[l]a equidad tributaria se desconoce cuando se deja de lado el principio de igualdad en las cargas públicas. La condición </w:t>
      </w:r>
      <w:r w:rsidRPr="00DB3EEA">
        <w:rPr>
          <w:rFonts w:ascii="Times New Roman" w:eastAsiaTheme="minorHAnsi" w:hAnsi="Times New Roman" w:cs="Times New Roman"/>
          <w:i/>
          <w:iCs/>
          <w:sz w:val="28"/>
          <w:szCs w:val="28"/>
          <w:lang w:eastAsia="en-US"/>
        </w:rPr>
        <w:t>de moroso no puede ser título para ver reducida la carga tributaria. La ley posterior retroactivamente está produciendo una inequitativa distribución del esfuerzo tributario que se supone fue establecido de manera igualitaria. La reasignación de la carga t</w:t>
      </w:r>
      <w:r w:rsidRPr="00DB3EEA">
        <w:rPr>
          <w:rFonts w:ascii="Times New Roman" w:eastAsiaTheme="minorHAnsi" w:hAnsi="Times New Roman" w:cs="Times New Roman"/>
          <w:i/>
          <w:iCs/>
          <w:sz w:val="28"/>
          <w:szCs w:val="28"/>
          <w:lang w:eastAsia="en-US"/>
        </w:rPr>
        <w:t xml:space="preserve">ributaria paradójicamente favorece a quienes incurrieron en mora y se acentúa en términos reales respecto de quienes observaron la ley." </w:t>
      </w:r>
    </w:p>
    <w:p w:rsidR="00206667" w:rsidRPr="00DB3EEA" w:rsidRDefault="00DB3EEA" w:rsidP="00376DDD">
      <w:pPr>
        <w:ind w:left="851" w:right="51"/>
        <w:jc w:val="both"/>
        <w:rPr>
          <w:rFonts w:ascii="Times New Roman" w:eastAsiaTheme="minorHAnsi" w:hAnsi="Times New Roman" w:cs="Times New Roman"/>
          <w:sz w:val="28"/>
          <w:szCs w:val="28"/>
          <w:lang w:val="es-ES" w:eastAsia="en-US"/>
        </w:rPr>
      </w:pPr>
    </w:p>
    <w:p w:rsidR="00AD5D98"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 xml:space="preserve">La Corte se ha pronunciado en varias oportunidades sobre la violación del derecho a la igualdad, por la supuesta vulneración de la capacidad contributiva. </w:t>
      </w:r>
      <w:r w:rsidRPr="00DB3EEA">
        <w:rPr>
          <w:rFonts w:ascii="Times New Roman" w:hAnsi="Times New Roman" w:cs="Times New Roman"/>
          <w:color w:val="2D2D2D"/>
          <w:sz w:val="28"/>
          <w:szCs w:val="28"/>
        </w:rPr>
        <w:t xml:space="preserve">En sentencia </w:t>
      </w:r>
      <w:r w:rsidRPr="00DB3EEA">
        <w:rPr>
          <w:rFonts w:ascii="Times New Roman" w:hAnsi="Times New Roman" w:cs="Times New Roman"/>
          <w:b/>
          <w:bCs/>
          <w:color w:val="2D2D2D"/>
          <w:sz w:val="28"/>
          <w:szCs w:val="28"/>
        </w:rPr>
        <w:t xml:space="preserve">C-052 de 2016, </w:t>
      </w:r>
      <w:r w:rsidRPr="00DB3EEA">
        <w:rPr>
          <w:rFonts w:ascii="Times New Roman" w:hAnsi="Times New Roman" w:cs="Times New Roman"/>
          <w:color w:val="2D2D2D"/>
          <w:sz w:val="28"/>
          <w:szCs w:val="28"/>
        </w:rPr>
        <w:t>la Corte analizó una demanda contra el artículo 17 de la Ley 49 de 1990 “</w:t>
      </w:r>
      <w:r w:rsidRPr="00DB3EEA">
        <w:rPr>
          <w:rFonts w:ascii="Times New Roman" w:hAnsi="Times New Roman" w:cs="Times New Roman"/>
          <w:i/>
          <w:iCs/>
          <w:color w:val="2D2D2D"/>
          <w:sz w:val="28"/>
          <w:szCs w:val="28"/>
        </w:rPr>
        <w:t xml:space="preserve">por la cual se reglamenta la repatriación de capitales, se estimula el mercado accionario, se expiden normas en materia tributaria, aduanera y se dictan otras disposiciones”. </w:t>
      </w:r>
      <w:r w:rsidRPr="00DB3EEA">
        <w:rPr>
          <w:rFonts w:ascii="Times New Roman" w:hAnsi="Times New Roman" w:cs="Times New Roman"/>
          <w:color w:val="2D2D2D"/>
          <w:sz w:val="28"/>
          <w:szCs w:val="28"/>
        </w:rPr>
        <w:t>Esta disposición, de acuerdo con la demandante, desconoció el principio de capaci</w:t>
      </w:r>
      <w:r w:rsidRPr="00DB3EEA">
        <w:rPr>
          <w:rFonts w:ascii="Times New Roman" w:hAnsi="Times New Roman" w:cs="Times New Roman"/>
          <w:color w:val="2D2D2D"/>
          <w:sz w:val="28"/>
          <w:szCs w:val="28"/>
        </w:rPr>
        <w:t>dad contributiva, pues, a su juicio, el aumento en el valor de la moneda extranjera, producto de la devaluación del peso, no implicaba que el contribuyente realmente dispusiera de recursos líquidos para cumplir con su obligación fiscal. Por ello sostuvo qu</w:t>
      </w:r>
      <w:r w:rsidRPr="00DB3EEA">
        <w:rPr>
          <w:rFonts w:ascii="Times New Roman" w:hAnsi="Times New Roman" w:cs="Times New Roman"/>
          <w:color w:val="2D2D2D"/>
          <w:sz w:val="28"/>
          <w:szCs w:val="28"/>
        </w:rPr>
        <w:t xml:space="preserve">e la norma gravaba una situación que no reflejaba la capacidad contributiva de las personas.  </w:t>
      </w:r>
    </w:p>
    <w:p w:rsidR="00AD5D98" w:rsidRPr="00DB3EEA" w:rsidRDefault="00DB3EEA" w:rsidP="00AD5D98">
      <w:pPr>
        <w:pStyle w:val="Prrafodelista"/>
        <w:ind w:left="0"/>
        <w:jc w:val="both"/>
        <w:rPr>
          <w:rFonts w:ascii="Times New Roman" w:hAnsi="Times New Roman" w:cs="Times New Roman"/>
          <w:color w:val="2D2D2D"/>
          <w:sz w:val="28"/>
          <w:szCs w:val="28"/>
        </w:rPr>
      </w:pPr>
    </w:p>
    <w:p w:rsidR="00AD5D98"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En esta oportunidad, la Corte declaró exequible la disposición acusada, al concluir que el legislador no violó el principio de tributar según la capacidad contr</w:t>
      </w:r>
      <w:r w:rsidRPr="00DB3EEA">
        <w:rPr>
          <w:rFonts w:ascii="Times New Roman" w:hAnsi="Times New Roman" w:cs="Times New Roman"/>
          <w:color w:val="2D2D2D"/>
          <w:sz w:val="28"/>
          <w:szCs w:val="28"/>
        </w:rPr>
        <w:t xml:space="preserve">ibutiva cuando considera como ingreso fiscal la diferencia positiva en la tasa de cambio para quienes tienen activos en moneda extranjera y llevan contabilidad por causación. Esto se debe a que la Constitución </w:t>
      </w:r>
      <w:r w:rsidRPr="00DB3EEA">
        <w:rPr>
          <w:rFonts w:ascii="Times New Roman" w:hAnsi="Times New Roman" w:cs="Times New Roman"/>
          <w:i/>
          <w:iCs/>
          <w:color w:val="2D2D2D"/>
          <w:sz w:val="28"/>
          <w:szCs w:val="28"/>
        </w:rPr>
        <w:t xml:space="preserve">“no define qué debe entenderse por ingreso en </w:t>
      </w:r>
      <w:r w:rsidRPr="00DB3EEA">
        <w:rPr>
          <w:rFonts w:ascii="Times New Roman" w:hAnsi="Times New Roman" w:cs="Times New Roman"/>
          <w:i/>
          <w:iCs/>
          <w:color w:val="2D2D2D"/>
          <w:sz w:val="28"/>
          <w:szCs w:val="28"/>
        </w:rPr>
        <w:t xml:space="preserve">el impuesto de renta, ni reglamenta cuáles ingresos determinan la renta gravable, por lo cual el legislador tiene un amplio margen de configuración al considerar qué es un ingreso fiscal”. </w:t>
      </w:r>
      <w:r w:rsidRPr="00DB3EEA">
        <w:rPr>
          <w:rFonts w:ascii="Times New Roman" w:hAnsi="Times New Roman" w:cs="Times New Roman"/>
          <w:color w:val="2D2D2D"/>
          <w:sz w:val="28"/>
          <w:szCs w:val="28"/>
        </w:rPr>
        <w:t xml:space="preserve">Además, se verificó el cumplimiento de los principios de equidad y </w:t>
      </w:r>
      <w:r w:rsidRPr="00DB3EEA">
        <w:rPr>
          <w:rFonts w:ascii="Times New Roman" w:hAnsi="Times New Roman" w:cs="Times New Roman"/>
          <w:color w:val="2D2D2D"/>
          <w:sz w:val="28"/>
          <w:szCs w:val="28"/>
        </w:rPr>
        <w:t xml:space="preserve">justicia, al encontrar que: </w:t>
      </w:r>
      <w:r w:rsidRPr="00DB3EEA">
        <w:rPr>
          <w:rFonts w:ascii="Times New Roman" w:hAnsi="Times New Roman" w:cs="Times New Roman"/>
          <w:i/>
          <w:iCs/>
          <w:color w:val="2D2D2D"/>
          <w:sz w:val="28"/>
          <w:szCs w:val="28"/>
        </w:rPr>
        <w:t>“</w:t>
      </w:r>
      <w:r w:rsidRPr="00DB3EEA">
        <w:rPr>
          <w:rFonts w:ascii="Times New Roman" w:hAnsi="Times New Roman" w:cs="Times New Roman"/>
          <w:i/>
          <w:iCs/>
          <w:color w:val="2D2D2D"/>
          <w:sz w:val="28"/>
          <w:szCs w:val="28"/>
        </w:rPr>
        <w:t>(I) la diferencia positiva en cambio constituye un beneficio para el contribuyente al aumentar el valor en pesos de sus activos y mejorar la capacidad de endeudamiento y aumentar la prenda general de los acreedores; (II) los ac</w:t>
      </w:r>
      <w:r w:rsidRPr="00DB3EEA">
        <w:rPr>
          <w:rFonts w:ascii="Times New Roman" w:hAnsi="Times New Roman" w:cs="Times New Roman"/>
          <w:i/>
          <w:iCs/>
          <w:color w:val="2D2D2D"/>
          <w:sz w:val="28"/>
          <w:szCs w:val="28"/>
        </w:rPr>
        <w:t>tivos en moneda sujeta a revaluación pueden considerarse rentables; (III) “el ordenamiento prevé que la diferencia positiva en cambio se compute como un ingreso, pero si la situación cambiaria es la inversa, y la diferencia en cambio es negativa, el contri</w:t>
      </w:r>
      <w:r w:rsidRPr="00DB3EEA">
        <w:rPr>
          <w:rFonts w:ascii="Times New Roman" w:hAnsi="Times New Roman" w:cs="Times New Roman"/>
          <w:i/>
          <w:iCs/>
          <w:color w:val="2D2D2D"/>
          <w:sz w:val="28"/>
          <w:szCs w:val="28"/>
        </w:rPr>
        <w:t>buyente puede registrar un gasto, a fin de depurar su renta conforme a la ley, por lo cual no es una ficción legal sino una realidad económica variable” (IV) incluso sin traducirse en liquidez inmediata, la revaluación fortalece la capacidad contributiva a</w:t>
      </w:r>
      <w:r w:rsidRPr="00DB3EEA">
        <w:rPr>
          <w:rFonts w:ascii="Times New Roman" w:hAnsi="Times New Roman" w:cs="Times New Roman"/>
          <w:i/>
          <w:iCs/>
          <w:color w:val="2D2D2D"/>
          <w:sz w:val="28"/>
          <w:szCs w:val="28"/>
        </w:rPr>
        <w:t>l aumentar el poder adquisitivo potencial; y (V) al incrementar la capacidad de contribución de la persona, es razonable que dicha diferencia se integre a la renta para efectos fiscales.</w:t>
      </w:r>
      <w:r w:rsidRPr="00DB3EEA">
        <w:rPr>
          <w:rFonts w:ascii="Times New Roman" w:hAnsi="Times New Roman" w:cs="Times New Roman"/>
          <w:i/>
          <w:iCs/>
          <w:color w:val="2D2D2D"/>
          <w:sz w:val="28"/>
          <w:szCs w:val="28"/>
        </w:rPr>
        <w:t>”</w:t>
      </w:r>
    </w:p>
    <w:p w:rsidR="00BA2C58" w:rsidRPr="00DB3EEA" w:rsidRDefault="00DB3EEA" w:rsidP="00BA2C58">
      <w:pPr>
        <w:pStyle w:val="Prrafodelista"/>
        <w:ind w:left="0"/>
        <w:jc w:val="both"/>
        <w:rPr>
          <w:rFonts w:ascii="Times New Roman" w:hAnsi="Times New Roman" w:cs="Times New Roman"/>
          <w:color w:val="2D2D2D"/>
          <w:sz w:val="28"/>
          <w:szCs w:val="28"/>
        </w:rPr>
      </w:pPr>
    </w:p>
    <w:p w:rsidR="00AD5D98"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sz w:val="28"/>
          <w:szCs w:val="28"/>
          <w:lang w:eastAsia="en-US"/>
        </w:rPr>
        <w:t>En la sentencia C-203 de 2021</w:t>
      </w:r>
      <w:r w:rsidRPr="00DB3EEA">
        <w:rPr>
          <w:rFonts w:ascii="Times New Roman" w:hAnsi="Times New Roman" w:cs="Times New Roman"/>
          <w:sz w:val="28"/>
          <w:szCs w:val="28"/>
          <w:vertAlign w:val="superscript"/>
          <w:lang w:eastAsia="en-US"/>
        </w:rPr>
        <w:footnoteReference w:id="148"/>
      </w:r>
      <w:r w:rsidRPr="00DB3EEA">
        <w:rPr>
          <w:rFonts w:ascii="Times New Roman" w:hAnsi="Times New Roman" w:cs="Times New Roman"/>
          <w:sz w:val="28"/>
          <w:szCs w:val="28"/>
          <w:lang w:eastAsia="en-US"/>
        </w:rPr>
        <w:t>, basándose en sentencias como las C-</w:t>
      </w:r>
      <w:r w:rsidRPr="00DB3EEA">
        <w:rPr>
          <w:rFonts w:ascii="Times New Roman" w:hAnsi="Times New Roman" w:cs="Times New Roman"/>
          <w:sz w:val="28"/>
          <w:szCs w:val="28"/>
          <w:lang w:eastAsia="en-US"/>
        </w:rPr>
        <w:t>717 de 2003, C-766 de 2003, C-664 de 2009, C-209 de 2016, C-333 de 2017, C-060 de 2018 y C-117 de 2018, la Corte reafirmó la conclusión precedente.</w:t>
      </w:r>
    </w:p>
    <w:p w:rsidR="00AD5D98" w:rsidRPr="00DB3EEA" w:rsidRDefault="00DB3EEA" w:rsidP="00AD5D98">
      <w:pPr>
        <w:pStyle w:val="Prrafodelista"/>
        <w:ind w:left="0"/>
        <w:jc w:val="both"/>
        <w:rPr>
          <w:rFonts w:ascii="Times New Roman" w:hAnsi="Times New Roman" w:cs="Times New Roman"/>
          <w:color w:val="2D2D2D"/>
          <w:sz w:val="28"/>
          <w:szCs w:val="28"/>
        </w:rPr>
      </w:pPr>
    </w:p>
    <w:p w:rsidR="00AD5D98"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En sentencia C-059 de 2021, la Sala examinó la constitucionalidad del artículo 9 (parcial) de la Ley 383 de</w:t>
      </w:r>
      <w:r w:rsidRPr="00DB3EEA">
        <w:rPr>
          <w:rFonts w:ascii="Times New Roman" w:hAnsi="Times New Roman" w:cs="Times New Roman"/>
          <w:color w:val="2D2D2D"/>
          <w:sz w:val="28"/>
          <w:szCs w:val="28"/>
        </w:rPr>
        <w:t xml:space="preserve"> 1997 “</w:t>
      </w:r>
      <w:r w:rsidRPr="00DB3EEA">
        <w:rPr>
          <w:rFonts w:ascii="Times New Roman" w:hAnsi="Times New Roman" w:cs="Times New Roman"/>
          <w:i/>
          <w:iCs/>
          <w:color w:val="2D2D2D"/>
          <w:sz w:val="28"/>
          <w:szCs w:val="28"/>
        </w:rPr>
        <w:t>Por la cual se expiden normas tendientes a fortalecer la lucha contra la evasión y el contrabando, y se dictan otras disposiciones</w:t>
      </w:r>
      <w:r w:rsidRPr="00DB3EEA">
        <w:rPr>
          <w:rFonts w:ascii="Times New Roman" w:hAnsi="Times New Roman" w:cs="Times New Roman"/>
          <w:color w:val="2D2D2D"/>
          <w:sz w:val="28"/>
          <w:szCs w:val="28"/>
        </w:rPr>
        <w:t>”, disposición que adicionó el artículo 88-1 del Decreto 624 de 1989, Estatuto Tributario. En esta oportunidad, el dema</w:t>
      </w:r>
      <w:r w:rsidRPr="00DB3EEA">
        <w:rPr>
          <w:rFonts w:ascii="Times New Roman" w:hAnsi="Times New Roman" w:cs="Times New Roman"/>
          <w:color w:val="2D2D2D"/>
          <w:sz w:val="28"/>
          <w:szCs w:val="28"/>
        </w:rPr>
        <w:t>ndante dentro de su argumentación, sostuvo que la disposición acusada vulneraba el principio de igualdad y no discriminación, en conjunto con el principio de equidad tributaria de los contribuyentes que comercializan bienes importados calificados como de c</w:t>
      </w:r>
      <w:r w:rsidRPr="00DB3EEA">
        <w:rPr>
          <w:rFonts w:ascii="Times New Roman" w:hAnsi="Times New Roman" w:cs="Times New Roman"/>
          <w:color w:val="2D2D2D"/>
          <w:sz w:val="28"/>
          <w:szCs w:val="28"/>
        </w:rPr>
        <w:t xml:space="preserve">ontrabando masivo, al no aceptar al momento de calcular el impuesto de renta, la deducción de los gastos de publicidad que superen el 15% del valor de sus ventas. </w:t>
      </w:r>
    </w:p>
    <w:p w:rsidR="00AD5D98" w:rsidRPr="00DB3EEA" w:rsidRDefault="00DB3EEA" w:rsidP="00AD5D98">
      <w:pPr>
        <w:pStyle w:val="Prrafodelista"/>
        <w:rPr>
          <w:rFonts w:ascii="Times New Roman" w:hAnsi="Times New Roman" w:cs="Times New Roman"/>
          <w:color w:val="2D2D2D"/>
          <w:sz w:val="28"/>
          <w:szCs w:val="28"/>
        </w:rPr>
      </w:pPr>
    </w:p>
    <w:p w:rsidR="00AD5D98"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 xml:space="preserve">Al abordar el análisis del caso, la Sala recordó que el principio de equidad tributaria no </w:t>
      </w:r>
      <w:r w:rsidRPr="00DB3EEA">
        <w:rPr>
          <w:rFonts w:ascii="Times New Roman" w:hAnsi="Times New Roman" w:cs="Times New Roman"/>
          <w:color w:val="2D2D2D"/>
          <w:sz w:val="28"/>
          <w:szCs w:val="28"/>
        </w:rPr>
        <w:t xml:space="preserve">solo constituye uno de los límites a la libertad de configuración tributaria del </w:t>
      </w:r>
      <w:r w:rsidRPr="00DB3EEA">
        <w:rPr>
          <w:rFonts w:ascii="Times New Roman" w:hAnsi="Times New Roman" w:cs="Times New Roman"/>
          <w:color w:val="2D2D2D"/>
          <w:sz w:val="28"/>
          <w:szCs w:val="28"/>
        </w:rPr>
        <w:t>legislador</w:t>
      </w:r>
      <w:r w:rsidRPr="00DB3EEA">
        <w:rPr>
          <w:rFonts w:ascii="Times New Roman" w:hAnsi="Times New Roman" w:cs="Times New Roman"/>
          <w:color w:val="2D2D2D"/>
          <w:sz w:val="28"/>
          <w:szCs w:val="28"/>
        </w:rPr>
        <w:t>, sino que, tiene, por regla general, un carácter estructural, lo que implica que el sistema impositivo debe ser equitativo en su conjunto y no a partir del examen a</w:t>
      </w:r>
      <w:r w:rsidRPr="00DB3EEA">
        <w:rPr>
          <w:rFonts w:ascii="Times New Roman" w:hAnsi="Times New Roman" w:cs="Times New Roman"/>
          <w:color w:val="2D2D2D"/>
          <w:sz w:val="28"/>
          <w:szCs w:val="28"/>
        </w:rPr>
        <w:t>islado de un tributo específico. Esta perspectiva exige que el control constitucional considere el impacto de la disposición dentro del sistema tributario y sus efectos en el equilibrio global del esquema fiscal. Así, la Corte ha reconocido que la Constitu</w:t>
      </w:r>
      <w:r w:rsidRPr="00DB3EEA">
        <w:rPr>
          <w:rFonts w:ascii="Times New Roman" w:hAnsi="Times New Roman" w:cs="Times New Roman"/>
          <w:color w:val="2D2D2D"/>
          <w:sz w:val="28"/>
          <w:szCs w:val="28"/>
        </w:rPr>
        <w:t xml:space="preserve">ción permite al </w:t>
      </w:r>
      <w:r w:rsidRPr="00DB3EEA">
        <w:rPr>
          <w:rFonts w:ascii="Times New Roman" w:hAnsi="Times New Roman" w:cs="Times New Roman"/>
          <w:color w:val="2D2D2D"/>
          <w:sz w:val="28"/>
          <w:szCs w:val="28"/>
        </w:rPr>
        <w:t>legislador</w:t>
      </w:r>
      <w:r w:rsidRPr="00DB3EEA">
        <w:rPr>
          <w:rFonts w:ascii="Times New Roman" w:hAnsi="Times New Roman" w:cs="Times New Roman"/>
          <w:color w:val="2D2D2D"/>
          <w:sz w:val="28"/>
          <w:szCs w:val="28"/>
        </w:rPr>
        <w:t xml:space="preserve"> modificar el sistema tributario y ajustar proporcionalmente la equidad cuando ello resulte necesario para satisfacer otros principios constitucionales de igual relevancia; por ello, las diferencias de trato que introduzca el </w:t>
      </w:r>
      <w:r w:rsidRPr="00DB3EEA">
        <w:rPr>
          <w:rFonts w:ascii="Times New Roman" w:hAnsi="Times New Roman" w:cs="Times New Roman"/>
          <w:color w:val="2D2D2D"/>
          <w:sz w:val="28"/>
          <w:szCs w:val="28"/>
        </w:rPr>
        <w:t>legi</w:t>
      </w:r>
      <w:r w:rsidRPr="00DB3EEA">
        <w:rPr>
          <w:rFonts w:ascii="Times New Roman" w:hAnsi="Times New Roman" w:cs="Times New Roman"/>
          <w:color w:val="2D2D2D"/>
          <w:sz w:val="28"/>
          <w:szCs w:val="28"/>
        </w:rPr>
        <w:t>slador</w:t>
      </w:r>
      <w:r w:rsidRPr="00DB3EEA">
        <w:rPr>
          <w:rFonts w:ascii="Times New Roman" w:hAnsi="Times New Roman" w:cs="Times New Roman"/>
          <w:color w:val="2D2D2D"/>
          <w:sz w:val="28"/>
          <w:szCs w:val="28"/>
        </w:rPr>
        <w:t xml:space="preserve"> en esta materia se presumen, en principio, constitucionales. No obstante, la jurisprudencia ha insistido en que cada tributo individualmente considerado debe ser razonable, de manera que toda carga fiscal requiere una justificación suficiente orient</w:t>
      </w:r>
      <w:r w:rsidRPr="00DB3EEA">
        <w:rPr>
          <w:rFonts w:ascii="Times New Roman" w:hAnsi="Times New Roman" w:cs="Times New Roman"/>
          <w:color w:val="2D2D2D"/>
          <w:sz w:val="28"/>
          <w:szCs w:val="28"/>
        </w:rPr>
        <w:t xml:space="preserve">ada a la consecución de los fines constitucionalmente legítimos.  De ahí que la equidad se predique también </w:t>
      </w:r>
      <w:r w:rsidRPr="00DB3EEA">
        <w:rPr>
          <w:rFonts w:ascii="Times New Roman" w:hAnsi="Times New Roman" w:cs="Times New Roman"/>
          <w:i/>
          <w:iCs/>
          <w:color w:val="2D2D2D"/>
          <w:sz w:val="28"/>
          <w:szCs w:val="28"/>
        </w:rPr>
        <w:t xml:space="preserve">“de cada uno de los impuestos”. </w:t>
      </w:r>
    </w:p>
    <w:p w:rsidR="00AD5D98" w:rsidRPr="00DB3EEA" w:rsidRDefault="00DB3EEA" w:rsidP="00AD5D98">
      <w:pPr>
        <w:pStyle w:val="Prrafodelista"/>
        <w:ind w:left="0"/>
        <w:jc w:val="both"/>
        <w:rPr>
          <w:rFonts w:ascii="Times New Roman" w:hAnsi="Times New Roman" w:cs="Times New Roman"/>
          <w:color w:val="2D2D2D"/>
          <w:sz w:val="28"/>
          <w:szCs w:val="28"/>
        </w:rPr>
      </w:pPr>
    </w:p>
    <w:p w:rsidR="00AD5D98"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Por otra parte, la Sala subrayó que la equidad tributaria se proyecta a partir de los siguientes mandatos: (</w:t>
      </w:r>
      <w:r w:rsidRPr="00DB3EEA">
        <w:rPr>
          <w:rFonts w:ascii="Times New Roman" w:hAnsi="Times New Roman" w:cs="Times New Roman"/>
          <w:color w:val="2D2D2D"/>
          <w:sz w:val="28"/>
          <w:szCs w:val="28"/>
        </w:rPr>
        <w:t>i</w:t>
      </w:r>
      <w:r w:rsidRPr="00DB3EEA">
        <w:rPr>
          <w:rFonts w:ascii="Times New Roman" w:hAnsi="Times New Roman" w:cs="Times New Roman"/>
          <w:color w:val="2D2D2D"/>
          <w:sz w:val="28"/>
          <w:szCs w:val="28"/>
        </w:rPr>
        <w:t xml:space="preserve">) </w:t>
      </w:r>
      <w:r w:rsidRPr="00DB3EEA">
        <w:rPr>
          <w:rFonts w:ascii="Times New Roman" w:hAnsi="Times New Roman" w:cs="Times New Roman"/>
          <w:color w:val="2D2D2D"/>
          <w:sz w:val="28"/>
          <w:szCs w:val="28"/>
        </w:rPr>
        <w:t>tener en cuenta la capacidad de pago del contribuyente (ii) establecer los tributos de manera que dos sujetos o grupos de sujetos que se hallen en similares condiciones reciban el mismo tratamiento fiscal, a menos que existan razones que justifiquen no hac</w:t>
      </w:r>
      <w:r w:rsidRPr="00DB3EEA">
        <w:rPr>
          <w:rFonts w:ascii="Times New Roman" w:hAnsi="Times New Roman" w:cs="Times New Roman"/>
          <w:color w:val="2D2D2D"/>
          <w:sz w:val="28"/>
          <w:szCs w:val="28"/>
        </w:rPr>
        <w:t>erlo, a la luz del principio de igualdad; y (iii) ningún gravamen debe tener implicaciones confiscatorias (art.34, inc,1 CP), ello sucede, según la Corte, cuando “</w:t>
      </w:r>
      <w:r w:rsidRPr="00DB3EEA">
        <w:rPr>
          <w:rFonts w:ascii="Times New Roman" w:hAnsi="Times New Roman" w:cs="Times New Roman"/>
          <w:i/>
          <w:iCs/>
          <w:color w:val="2D2D2D"/>
          <w:sz w:val="28"/>
          <w:szCs w:val="28"/>
        </w:rPr>
        <w:t>la actividad económica del particular se destina exclusivamente al pago del mismo, de forma q</w:t>
      </w:r>
      <w:r w:rsidRPr="00DB3EEA">
        <w:rPr>
          <w:rFonts w:ascii="Times New Roman" w:hAnsi="Times New Roman" w:cs="Times New Roman"/>
          <w:i/>
          <w:iCs/>
          <w:color w:val="2D2D2D"/>
          <w:sz w:val="28"/>
          <w:szCs w:val="28"/>
        </w:rPr>
        <w:t>ue no genere ganancia</w:t>
      </w:r>
      <w:r w:rsidRPr="00DB3EEA">
        <w:rPr>
          <w:rFonts w:ascii="Times New Roman" w:hAnsi="Times New Roman" w:cs="Times New Roman"/>
          <w:color w:val="2D2D2D"/>
          <w:sz w:val="28"/>
          <w:szCs w:val="28"/>
        </w:rPr>
        <w:t>”</w:t>
      </w:r>
      <w:r w:rsidRPr="00DB3EEA">
        <w:rPr>
          <w:rFonts w:ascii="Times New Roman" w:hAnsi="Times New Roman" w:cs="Times New Roman"/>
          <w:color w:val="2D2D2D"/>
          <w:sz w:val="28"/>
          <w:szCs w:val="28"/>
        </w:rPr>
        <w:t>.</w:t>
      </w:r>
    </w:p>
    <w:p w:rsidR="00AD5D98" w:rsidRPr="00DB3EEA" w:rsidRDefault="00DB3EEA" w:rsidP="00AD5D98">
      <w:pPr>
        <w:pStyle w:val="Prrafodelista"/>
        <w:rPr>
          <w:rFonts w:ascii="Times New Roman" w:hAnsi="Times New Roman" w:cs="Times New Roman"/>
          <w:color w:val="2D2D2D"/>
          <w:sz w:val="28"/>
          <w:szCs w:val="28"/>
        </w:rPr>
      </w:pPr>
    </w:p>
    <w:p w:rsidR="00AD5D98"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En línea con lo anterior, la Sala concluyó que la norma garantizó la equidad horizontal, en tanto la diferencia de trato que contenía se fundamentó en finalidades fiscales y extrafiscales coherentes con las reglas de deducciones de</w:t>
      </w:r>
      <w:r w:rsidRPr="00DB3EEA">
        <w:rPr>
          <w:rFonts w:ascii="Times New Roman" w:hAnsi="Times New Roman" w:cs="Times New Roman"/>
          <w:color w:val="2D2D2D"/>
          <w:sz w:val="28"/>
          <w:szCs w:val="28"/>
        </w:rPr>
        <w:t xml:space="preserve">l sistema tributario y empleó herramientas comunes en esta legislación. En esa medida, la disposición </w:t>
      </w:r>
      <w:r w:rsidRPr="00DB3EEA">
        <w:rPr>
          <w:rFonts w:ascii="Times New Roman" w:hAnsi="Times New Roman" w:cs="Times New Roman"/>
          <w:i/>
          <w:iCs/>
          <w:color w:val="2D2D2D"/>
          <w:sz w:val="28"/>
          <w:szCs w:val="28"/>
        </w:rPr>
        <w:t xml:space="preserve">“materializa la lucha contra el contrabando y la promoción de la producción nacional” </w:t>
      </w:r>
      <w:r w:rsidRPr="00DB3EEA">
        <w:rPr>
          <w:rFonts w:ascii="Times New Roman" w:hAnsi="Times New Roman" w:cs="Times New Roman"/>
          <w:color w:val="2D2D2D"/>
          <w:sz w:val="28"/>
          <w:szCs w:val="28"/>
        </w:rPr>
        <w:t xml:space="preserve">y no elimina la obligación de contribuir, </w:t>
      </w:r>
      <w:r w:rsidRPr="00DB3EEA">
        <w:rPr>
          <w:rFonts w:ascii="Times New Roman" w:hAnsi="Times New Roman" w:cs="Times New Roman"/>
          <w:i/>
          <w:color w:val="2D2D2D"/>
          <w:sz w:val="28"/>
          <w:szCs w:val="28"/>
        </w:rPr>
        <w:t>pues</w:t>
      </w:r>
      <w:r w:rsidRPr="00DB3EEA">
        <w:rPr>
          <w:rFonts w:ascii="Times New Roman" w:hAnsi="Times New Roman" w:cs="Times New Roman"/>
          <w:i/>
          <w:iCs/>
          <w:color w:val="2D2D2D"/>
          <w:sz w:val="28"/>
          <w:szCs w:val="28"/>
        </w:rPr>
        <w:t xml:space="preserve"> constituye una precis</w:t>
      </w:r>
      <w:r w:rsidRPr="00DB3EEA">
        <w:rPr>
          <w:rFonts w:ascii="Times New Roman" w:hAnsi="Times New Roman" w:cs="Times New Roman"/>
          <w:i/>
          <w:iCs/>
          <w:color w:val="2D2D2D"/>
          <w:sz w:val="28"/>
          <w:szCs w:val="28"/>
        </w:rPr>
        <w:t xml:space="preserve">ión de dicho deber, al modificar solo el cálculo de la renta bruta”. </w:t>
      </w:r>
      <w:r w:rsidRPr="00DB3EEA">
        <w:rPr>
          <w:rFonts w:ascii="Times New Roman" w:hAnsi="Times New Roman" w:cs="Times New Roman"/>
          <w:color w:val="2D2D2D"/>
          <w:sz w:val="28"/>
          <w:szCs w:val="28"/>
        </w:rPr>
        <w:t xml:space="preserve">Asimismo, la medida no resultó inequitativa, dado que se estructuró a partir del carácter importado del bien calificado como de contrabando masivo y examinó las condiciones económicas de </w:t>
      </w:r>
      <w:r w:rsidRPr="00DB3EEA">
        <w:rPr>
          <w:rFonts w:ascii="Times New Roman" w:hAnsi="Times New Roman" w:cs="Times New Roman"/>
          <w:color w:val="2D2D2D"/>
          <w:sz w:val="28"/>
          <w:szCs w:val="28"/>
        </w:rPr>
        <w:t xml:space="preserve">los contribuyentes y los beneficios que les confiere. </w:t>
      </w:r>
    </w:p>
    <w:p w:rsidR="00AD5D98" w:rsidRPr="00DB3EEA" w:rsidRDefault="00DB3EEA" w:rsidP="00AD5D98">
      <w:pPr>
        <w:pStyle w:val="Prrafodelista"/>
        <w:rPr>
          <w:rFonts w:ascii="Times New Roman" w:hAnsi="Times New Roman" w:cs="Times New Roman"/>
          <w:color w:val="2D2D2D"/>
          <w:sz w:val="28"/>
          <w:szCs w:val="28"/>
        </w:rPr>
      </w:pPr>
    </w:p>
    <w:p w:rsidR="00AD5D98"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Además, la Corte señaló que la norma no vulneró la equidad vertical, ya que la deducción diferenciadora se aplicó según los ingresos derivados de la comercialización de productos catalogados como de c</w:t>
      </w:r>
      <w:r w:rsidRPr="00DB3EEA">
        <w:rPr>
          <w:rFonts w:ascii="Times New Roman" w:hAnsi="Times New Roman" w:cs="Times New Roman"/>
          <w:color w:val="2D2D2D"/>
          <w:sz w:val="28"/>
          <w:szCs w:val="28"/>
        </w:rPr>
        <w:t>ontrabando masivo, de modo que, a mayor nivel de ganancias, disminuye el acceso al beneficio, lo cual refleja la capacidad económica del contribuyente y responde a la exigencia de progresividad. Por último, descartó efectos confiscatorios, puesto que el re</w:t>
      </w:r>
      <w:r w:rsidRPr="00DB3EEA">
        <w:rPr>
          <w:rFonts w:ascii="Times New Roman" w:hAnsi="Times New Roman" w:cs="Times New Roman"/>
          <w:color w:val="2D2D2D"/>
          <w:sz w:val="28"/>
          <w:szCs w:val="28"/>
        </w:rPr>
        <w:t>chazo de la deducción por gastos de publicidad no priva al comerciante de sus ingresos, sino que opera únicamente sobre descuentos aplicables a un tipo específico de gastos, productos y montos.</w:t>
      </w:r>
    </w:p>
    <w:p w:rsidR="00AD5D98" w:rsidRPr="00DB3EEA" w:rsidRDefault="00DB3EEA" w:rsidP="00AD5D98">
      <w:pPr>
        <w:pStyle w:val="Prrafodelista"/>
        <w:rPr>
          <w:rFonts w:ascii="Times New Roman" w:hAnsi="Times New Roman" w:cs="Times New Roman"/>
          <w:color w:val="2D2D2D"/>
          <w:sz w:val="28"/>
          <w:szCs w:val="28"/>
        </w:rPr>
      </w:pPr>
    </w:p>
    <w:p w:rsidR="00AD5D98"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Posteriormente, en sentencia C-057 de 2021, la Sala Plena exa</w:t>
      </w:r>
      <w:r w:rsidRPr="00DB3EEA">
        <w:rPr>
          <w:rFonts w:ascii="Times New Roman" w:hAnsi="Times New Roman" w:cs="Times New Roman"/>
          <w:color w:val="2D2D2D"/>
          <w:sz w:val="28"/>
          <w:szCs w:val="28"/>
        </w:rPr>
        <w:t xml:space="preserve">minó la constitucionalidad del parágrafo 7 del artículo 240 del Estatuto Tributario, adicionado por el artículo 92 de la Ley 2010 de 2019. En esta ocasión, los demandantes sostuvieron que la disposición vulneraba el principio de equidad tributaria, puesto </w:t>
      </w:r>
      <w:r w:rsidRPr="00DB3EEA">
        <w:rPr>
          <w:rFonts w:ascii="Times New Roman" w:hAnsi="Times New Roman" w:cs="Times New Roman"/>
          <w:color w:val="2D2D2D"/>
          <w:sz w:val="28"/>
          <w:szCs w:val="28"/>
        </w:rPr>
        <w:t>que establecía una diferencia de trato entre las entidades financieras y las demás sociedades, al gravar a las primeras con una sobre tarifa del impuesto sobre la renta, que, a su juicio, fue fijada a partir de la actividad desarrollada y no a su capacidad</w:t>
      </w:r>
      <w:r w:rsidRPr="00DB3EEA">
        <w:rPr>
          <w:rFonts w:ascii="Times New Roman" w:hAnsi="Times New Roman" w:cs="Times New Roman"/>
          <w:color w:val="2D2D2D"/>
          <w:sz w:val="28"/>
          <w:szCs w:val="28"/>
        </w:rPr>
        <w:t xml:space="preserve"> contributiva.</w:t>
      </w:r>
    </w:p>
    <w:p w:rsidR="00AD5D98" w:rsidRPr="00DB3EEA" w:rsidRDefault="00DB3EEA" w:rsidP="00AD5D98">
      <w:pPr>
        <w:pStyle w:val="Prrafodelista"/>
        <w:rPr>
          <w:rFonts w:ascii="Times New Roman" w:hAnsi="Times New Roman" w:cs="Times New Roman"/>
          <w:color w:val="2D2D2D"/>
          <w:sz w:val="28"/>
          <w:szCs w:val="28"/>
        </w:rPr>
      </w:pPr>
    </w:p>
    <w:p w:rsidR="00AD5D98"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 xml:space="preserve">Al respecto, la Sala reiteró que, dado que el impuesto sobre la renta es un tributo directo, su diseño y sus elementos esenciales deben obedecer estrictamente a la capacidad contributiva del obligado, entendida como su </w:t>
      </w:r>
      <w:r w:rsidRPr="00DB3EEA">
        <w:rPr>
          <w:rFonts w:ascii="Times New Roman" w:hAnsi="Times New Roman" w:cs="Times New Roman"/>
          <w:i/>
          <w:iCs/>
          <w:color w:val="2D2D2D"/>
          <w:sz w:val="28"/>
          <w:szCs w:val="28"/>
        </w:rPr>
        <w:t>“posibilidad económic</w:t>
      </w:r>
      <w:r w:rsidRPr="00DB3EEA">
        <w:rPr>
          <w:rFonts w:ascii="Times New Roman" w:hAnsi="Times New Roman" w:cs="Times New Roman"/>
          <w:i/>
          <w:iCs/>
          <w:color w:val="2D2D2D"/>
          <w:sz w:val="28"/>
          <w:szCs w:val="28"/>
        </w:rPr>
        <w:t>a de tributar”</w:t>
      </w:r>
      <w:r w:rsidRPr="00DB3EEA">
        <w:rPr>
          <w:rFonts w:ascii="Times New Roman" w:hAnsi="Times New Roman" w:cs="Times New Roman"/>
          <w:color w:val="2D2D2D"/>
          <w:sz w:val="28"/>
          <w:szCs w:val="28"/>
        </w:rPr>
        <w:t xml:space="preserve">, la cual no se reduce a verificar el ingreso, sino que exige una apreciación integral de su situación económica. Esta noción orienta el alcance de la potestad impositiva del Estado y la distribución de las cargas tributarias, de modo que el </w:t>
      </w:r>
      <w:r w:rsidRPr="00DB3EEA">
        <w:rPr>
          <w:rFonts w:ascii="Times New Roman" w:hAnsi="Times New Roman" w:cs="Times New Roman"/>
          <w:color w:val="2D2D2D"/>
          <w:sz w:val="28"/>
          <w:szCs w:val="28"/>
        </w:rPr>
        <w:t xml:space="preserve">legislador </w:t>
      </w:r>
      <w:r w:rsidRPr="00DB3EEA">
        <w:rPr>
          <w:rFonts w:ascii="Times New Roman" w:hAnsi="Times New Roman" w:cs="Times New Roman"/>
          <w:i/>
          <w:iCs/>
          <w:color w:val="2D2D2D"/>
          <w:sz w:val="28"/>
          <w:szCs w:val="28"/>
        </w:rPr>
        <w:t>“debe fijar los elementos esenciales de los tributos con criterios objetivos que reflejen la situación económica del contribuyente, como la renta o el patrimonio, aunque su valoración no siempre dependa exclusivamente de estos indicadores direct</w:t>
      </w:r>
      <w:r w:rsidRPr="00DB3EEA">
        <w:rPr>
          <w:rFonts w:ascii="Times New Roman" w:hAnsi="Times New Roman" w:cs="Times New Roman"/>
          <w:i/>
          <w:iCs/>
          <w:color w:val="2D2D2D"/>
          <w:sz w:val="28"/>
          <w:szCs w:val="28"/>
        </w:rPr>
        <w:t xml:space="preserve">os”. </w:t>
      </w:r>
      <w:r w:rsidRPr="00DB3EEA">
        <w:rPr>
          <w:rFonts w:ascii="Times New Roman" w:hAnsi="Times New Roman" w:cs="Times New Roman"/>
          <w:color w:val="2D2D2D"/>
          <w:sz w:val="28"/>
          <w:szCs w:val="28"/>
        </w:rPr>
        <w:t>Por ello, en los impuestos directos no resulta admisible fundar la capacidad de pago en hechos que no la representen realmente, mientras que</w:t>
      </w:r>
      <w:r w:rsidRPr="00DB3EEA">
        <w:rPr>
          <w:rFonts w:ascii="Times New Roman" w:hAnsi="Times New Roman" w:cs="Times New Roman"/>
          <w:color w:val="2D2D2D"/>
          <w:sz w:val="28"/>
          <w:szCs w:val="28"/>
        </w:rPr>
        <w:t>,</w:t>
      </w:r>
      <w:r w:rsidRPr="00DB3EEA">
        <w:rPr>
          <w:rFonts w:ascii="Times New Roman" w:hAnsi="Times New Roman" w:cs="Times New Roman"/>
          <w:color w:val="2D2D2D"/>
          <w:sz w:val="28"/>
          <w:szCs w:val="28"/>
        </w:rPr>
        <w:t xml:space="preserve"> en los impuestos indirectos, dicha capacidad se infiere de manera mediata a partir de hechos como la adquisic</w:t>
      </w:r>
      <w:r w:rsidRPr="00DB3EEA">
        <w:rPr>
          <w:rFonts w:ascii="Times New Roman" w:hAnsi="Times New Roman" w:cs="Times New Roman"/>
          <w:color w:val="2D2D2D"/>
          <w:sz w:val="28"/>
          <w:szCs w:val="28"/>
        </w:rPr>
        <w:t>ión, venta o importación de bienes o servicios.</w:t>
      </w:r>
    </w:p>
    <w:p w:rsidR="00AD5D98" w:rsidRPr="00DB3EEA" w:rsidRDefault="00DB3EEA" w:rsidP="00AD5D98">
      <w:pPr>
        <w:pStyle w:val="Prrafodelista"/>
        <w:rPr>
          <w:rFonts w:ascii="Times New Roman" w:hAnsi="Times New Roman" w:cs="Times New Roman"/>
          <w:color w:val="2D2D2D"/>
          <w:sz w:val="28"/>
          <w:szCs w:val="28"/>
        </w:rPr>
      </w:pPr>
    </w:p>
    <w:p w:rsidR="00AD5D98"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color w:val="2D2D2D"/>
          <w:sz w:val="28"/>
          <w:szCs w:val="28"/>
        </w:rPr>
        <w:t xml:space="preserve">En esta oportunidad, la Sala concluyó que la norma acusada sí tuvo en cuenta la capacidad contributiva de las entidades financieras, con lo que descartó que </w:t>
      </w:r>
      <w:r w:rsidRPr="00DB3EEA">
        <w:rPr>
          <w:rFonts w:ascii="Times New Roman" w:hAnsi="Times New Roman" w:cs="Times New Roman"/>
          <w:i/>
          <w:iCs/>
          <w:color w:val="2D2D2D"/>
          <w:sz w:val="28"/>
          <w:szCs w:val="28"/>
        </w:rPr>
        <w:t>“la sobre tarifa se hubiera establecido en atenció</w:t>
      </w:r>
      <w:r w:rsidRPr="00DB3EEA">
        <w:rPr>
          <w:rFonts w:ascii="Times New Roman" w:hAnsi="Times New Roman" w:cs="Times New Roman"/>
          <w:i/>
          <w:iCs/>
          <w:color w:val="2D2D2D"/>
          <w:sz w:val="28"/>
          <w:szCs w:val="28"/>
        </w:rPr>
        <w:t xml:space="preserve">n a la actividad económica de estas o al crecimiento económico del sector financiero”. </w:t>
      </w:r>
      <w:r w:rsidRPr="00DB3EEA">
        <w:rPr>
          <w:rFonts w:ascii="Times New Roman" w:hAnsi="Times New Roman" w:cs="Times New Roman"/>
          <w:color w:val="2D2D2D"/>
          <w:sz w:val="28"/>
          <w:szCs w:val="28"/>
        </w:rPr>
        <w:t xml:space="preserve">Ello, por cuanto: </w:t>
      </w:r>
      <w:r w:rsidRPr="00DB3EEA">
        <w:rPr>
          <w:rFonts w:ascii="Times New Roman" w:hAnsi="Times New Roman" w:cs="Times New Roman"/>
          <w:color w:val="2D2D2D"/>
          <w:sz w:val="28"/>
          <w:szCs w:val="28"/>
        </w:rPr>
        <w:t>(i) l</w:t>
      </w:r>
      <w:r w:rsidRPr="00DB3EEA">
        <w:rPr>
          <w:rFonts w:ascii="Times New Roman" w:hAnsi="Times New Roman" w:cs="Times New Roman"/>
          <w:color w:val="2D2D2D"/>
          <w:sz w:val="28"/>
          <w:szCs w:val="28"/>
        </w:rPr>
        <w:t>a sobre tarifa aplica únicamente a las entidades financieras que tienen capacidad contributiva, es decir, aquellas que tuvieron una renta gravable</w:t>
      </w:r>
      <w:r w:rsidRPr="00DB3EEA">
        <w:rPr>
          <w:rFonts w:ascii="Times New Roman" w:hAnsi="Times New Roman" w:cs="Times New Roman"/>
          <w:color w:val="2D2D2D"/>
          <w:sz w:val="28"/>
          <w:szCs w:val="28"/>
        </w:rPr>
        <w:t xml:space="preserve"> igual o superior a 120.000 UVT en el año gravable correspondiente. Esto implica que los obligados son </w:t>
      </w:r>
      <w:r w:rsidRPr="00DB3EEA">
        <w:rPr>
          <w:rFonts w:ascii="Times New Roman" w:hAnsi="Times New Roman" w:cs="Times New Roman"/>
          <w:i/>
          <w:iCs/>
          <w:color w:val="2D2D2D"/>
          <w:sz w:val="28"/>
          <w:szCs w:val="28"/>
        </w:rPr>
        <w:t>“</w:t>
      </w:r>
      <w:r w:rsidRPr="00DB3EEA">
        <w:rPr>
          <w:rFonts w:ascii="Times New Roman" w:hAnsi="Times New Roman" w:cs="Times New Roman"/>
          <w:i/>
          <w:iCs/>
          <w:sz w:val="28"/>
          <w:szCs w:val="28"/>
        </w:rPr>
        <w:t>las instituciones financieras que cumplen esta exigencia material y objetiva, y no las que hubieren reportado operaciones relevantes para poder determin</w:t>
      </w:r>
      <w:r w:rsidRPr="00DB3EEA">
        <w:rPr>
          <w:rFonts w:ascii="Times New Roman" w:hAnsi="Times New Roman" w:cs="Times New Roman"/>
          <w:i/>
          <w:iCs/>
          <w:sz w:val="28"/>
          <w:szCs w:val="28"/>
        </w:rPr>
        <w:t xml:space="preserve">ar el crecimiento económico del país”. </w:t>
      </w:r>
      <w:r w:rsidRPr="00DB3EEA">
        <w:rPr>
          <w:rFonts w:ascii="Times New Roman" w:hAnsi="Times New Roman" w:cs="Times New Roman"/>
          <w:sz w:val="28"/>
          <w:szCs w:val="28"/>
        </w:rPr>
        <w:t>En el caso del impuesto a la renta, lo reprochable al valorar la capacidad contributiva es basarla en los ingresos brutos del contribuyente, sin depurarlos ni reflejar su verdadera situación económica</w:t>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ii</w:t>
      </w:r>
      <w:r w:rsidRPr="00DB3EEA">
        <w:rPr>
          <w:rFonts w:ascii="Times New Roman" w:hAnsi="Times New Roman" w:cs="Times New Roman"/>
          <w:sz w:val="28"/>
          <w:szCs w:val="28"/>
        </w:rPr>
        <w:t>) las cifras</w:t>
      </w:r>
      <w:r w:rsidRPr="00DB3EEA">
        <w:rPr>
          <w:rFonts w:ascii="Times New Roman" w:hAnsi="Times New Roman" w:cs="Times New Roman"/>
          <w:sz w:val="28"/>
          <w:szCs w:val="28"/>
        </w:rPr>
        <w:t xml:space="preserve"> macroeconómicas citadas en la ponencia estaban dirigidas a cuestionar la eficacia de ciertos beneficios tributarios frente a la generación de empleo, uno de los fines de la Ley 2010 de 2019, y no a justificar la creación de la sobretasa; (</w:t>
      </w:r>
      <w:r w:rsidRPr="00DB3EEA">
        <w:rPr>
          <w:rFonts w:ascii="Times New Roman" w:hAnsi="Times New Roman" w:cs="Times New Roman"/>
          <w:sz w:val="28"/>
          <w:szCs w:val="28"/>
        </w:rPr>
        <w:t>iii</w:t>
      </w:r>
      <w:r w:rsidRPr="00DB3EEA">
        <w:rPr>
          <w:rFonts w:ascii="Times New Roman" w:hAnsi="Times New Roman" w:cs="Times New Roman"/>
          <w:sz w:val="28"/>
          <w:szCs w:val="28"/>
        </w:rPr>
        <w:t>) La sobre ta</w:t>
      </w:r>
      <w:r w:rsidRPr="00DB3EEA">
        <w:rPr>
          <w:rFonts w:ascii="Times New Roman" w:hAnsi="Times New Roman" w:cs="Times New Roman"/>
          <w:sz w:val="28"/>
          <w:szCs w:val="28"/>
        </w:rPr>
        <w:t xml:space="preserve">rifa no fue planteada con fundamento del crecimiento económico de las entidades financieras. Además, se determinó que </w:t>
      </w:r>
      <w:r w:rsidRPr="00DB3EEA">
        <w:rPr>
          <w:rFonts w:ascii="Times New Roman" w:hAnsi="Times New Roman" w:cs="Times New Roman"/>
          <w:i/>
          <w:iCs/>
          <w:sz w:val="28"/>
          <w:szCs w:val="28"/>
        </w:rPr>
        <w:t>“la capacidad contributiva de las entidades financieras no fue establecida en función de la simple verificación de sus ingresos “brutos” p</w:t>
      </w:r>
      <w:r w:rsidRPr="00DB3EEA">
        <w:rPr>
          <w:rFonts w:ascii="Times New Roman" w:hAnsi="Times New Roman" w:cs="Times New Roman"/>
          <w:i/>
          <w:iCs/>
          <w:sz w:val="28"/>
          <w:szCs w:val="28"/>
        </w:rPr>
        <w:t>ropiamente dichos; de haber sido así, se hubiera tenido que declarar la inexequibilidad de la norma, en acatamiento del precedente constitucional contenido en la sentencia C-293 de 2020”</w:t>
      </w:r>
      <w:r w:rsidRPr="00DB3EEA">
        <w:rPr>
          <w:rFonts w:ascii="Times New Roman" w:hAnsi="Times New Roman" w:cs="Times New Roman"/>
          <w:sz w:val="28"/>
          <w:szCs w:val="28"/>
        </w:rPr>
        <w:t>.</w:t>
      </w:r>
    </w:p>
    <w:p w:rsidR="00AD5D98" w:rsidRPr="00DB3EEA" w:rsidRDefault="00DB3EEA" w:rsidP="00AD5D98">
      <w:pPr>
        <w:pStyle w:val="Prrafodelista"/>
        <w:ind w:left="0"/>
        <w:jc w:val="both"/>
        <w:rPr>
          <w:rFonts w:ascii="Times New Roman" w:hAnsi="Times New Roman" w:cs="Times New Roman"/>
          <w:color w:val="2D2D2D"/>
          <w:sz w:val="28"/>
          <w:szCs w:val="28"/>
        </w:rPr>
      </w:pPr>
    </w:p>
    <w:p w:rsidR="00AA1697" w:rsidRPr="00DB3EEA" w:rsidRDefault="00DB3EEA" w:rsidP="00376DDD">
      <w:pPr>
        <w:pStyle w:val="Prrafodelista"/>
        <w:numPr>
          <w:ilvl w:val="0"/>
          <w:numId w:val="1"/>
        </w:numPr>
        <w:ind w:left="0" w:firstLine="0"/>
        <w:jc w:val="both"/>
        <w:rPr>
          <w:rFonts w:ascii="Times New Roman" w:hAnsi="Times New Roman" w:cs="Times New Roman"/>
          <w:color w:val="2D2D2D"/>
          <w:sz w:val="28"/>
          <w:szCs w:val="28"/>
        </w:rPr>
      </w:pPr>
      <w:r w:rsidRPr="00DB3EEA">
        <w:rPr>
          <w:rFonts w:ascii="Times New Roman" w:hAnsi="Times New Roman" w:cs="Times New Roman"/>
          <w:sz w:val="28"/>
          <w:szCs w:val="28"/>
        </w:rPr>
        <w:t>En la sentencia C-405 de 2023, la Corte estudió la constitucionalid</w:t>
      </w:r>
      <w:r w:rsidRPr="00DB3EEA">
        <w:rPr>
          <w:rFonts w:ascii="Times New Roman" w:hAnsi="Times New Roman" w:cs="Times New Roman"/>
          <w:sz w:val="28"/>
          <w:szCs w:val="28"/>
        </w:rPr>
        <w:t xml:space="preserve">ad del artículo 77 de la Ley 2277 de 2022 </w:t>
      </w:r>
      <w:r w:rsidRPr="00DB3EEA">
        <w:rPr>
          <w:rFonts w:ascii="Times New Roman" w:hAnsi="Times New Roman" w:cs="Times New Roman"/>
          <w:i/>
          <w:iCs/>
          <w:color w:val="2D2D2D"/>
          <w:sz w:val="28"/>
          <w:szCs w:val="28"/>
        </w:rPr>
        <w:t>“Por medio de la cual se adopta una reforma tributaria para la igualdad y la justicia social y se dictan otras disposiciones”</w:t>
      </w:r>
      <w:r w:rsidRPr="00DB3EEA">
        <w:rPr>
          <w:rFonts w:ascii="Times New Roman" w:hAnsi="Times New Roman" w:cs="Times New Roman"/>
          <w:sz w:val="28"/>
          <w:szCs w:val="28"/>
        </w:rPr>
        <w:t>. En esta ocasión, los demandantes alegaron la vulneración del principio de equidad tribu</w:t>
      </w:r>
      <w:r w:rsidRPr="00DB3EEA">
        <w:rPr>
          <w:rFonts w:ascii="Times New Roman" w:hAnsi="Times New Roman" w:cs="Times New Roman"/>
          <w:sz w:val="28"/>
          <w:szCs w:val="28"/>
        </w:rPr>
        <w:t>taria, al considerar que el impuesto previsto en esa disposición se determinaba exclusivamente con base en el valor del inmueble, criterio que estimaban insuficiente para reflejar la capacidad contributiva, especialmente en casos en que el contribuyente no</w:t>
      </w:r>
      <w:r w:rsidRPr="00DB3EEA">
        <w:rPr>
          <w:rFonts w:ascii="Times New Roman" w:hAnsi="Times New Roman" w:cs="Times New Roman"/>
          <w:sz w:val="28"/>
          <w:szCs w:val="28"/>
        </w:rPr>
        <w:t xml:space="preserve"> tuvo incrementos patrimoniales y aun así debía asumir una carga que no correspondía a su situación económica. Adicionalmente, sostuvieron que la norma desconocía la equidad horizontal debido al encarecimiento de inmuebles producto de múltiples enajenacion</w:t>
      </w:r>
      <w:r w:rsidRPr="00DB3EEA">
        <w:rPr>
          <w:rFonts w:ascii="Times New Roman" w:hAnsi="Times New Roman" w:cs="Times New Roman"/>
          <w:sz w:val="28"/>
          <w:szCs w:val="28"/>
        </w:rPr>
        <w:t>es sucesivas. Al analizar estos cargos, la Sala reiteró que, en los tributos indirectos, como el IVA, el GMF o el impuesto de timbre, no existe una identificación previa del sujeto pasivo y, por tanto, la capacidad contributiva no se evalúa de manera direc</w:t>
      </w:r>
      <w:r w:rsidRPr="00DB3EEA">
        <w:rPr>
          <w:rFonts w:ascii="Times New Roman" w:hAnsi="Times New Roman" w:cs="Times New Roman"/>
          <w:sz w:val="28"/>
          <w:szCs w:val="28"/>
        </w:rPr>
        <w:t xml:space="preserve">ta, sino que se presume mediante inferencias a partir del hecho generador. Con base en esta premisa, la Sala recordó las reglas que articulan la equidad tributaria y la capacidad contributiva en esta clase de impuestos: </w:t>
      </w:r>
    </w:p>
    <w:p w:rsidR="005D7189" w:rsidRPr="00DB3EEA" w:rsidRDefault="00DB3EEA" w:rsidP="00376DDD">
      <w:pPr>
        <w:jc w:val="both"/>
        <w:rPr>
          <w:rFonts w:ascii="Times New Roman" w:hAnsi="Times New Roman" w:cs="Times New Roman"/>
          <w:sz w:val="28"/>
          <w:szCs w:val="28"/>
        </w:rPr>
      </w:pPr>
    </w:p>
    <w:p w:rsidR="00AA1697" w:rsidRPr="00DB3EEA" w:rsidRDefault="00DB3EEA" w:rsidP="00BA2C58">
      <w:pPr>
        <w:pBdr>
          <w:left w:val="none" w:sz="0" w:space="14" w:color="auto"/>
        </w:pBdr>
        <w:shd w:val="clear" w:color="auto" w:fill="FFFFFF"/>
        <w:ind w:left="567" w:right="60"/>
        <w:jc w:val="both"/>
        <w:rPr>
          <w:rFonts w:ascii="Times New Roman" w:hAnsi="Times New Roman" w:cs="Times New Roman"/>
          <w:i/>
          <w:iCs/>
          <w:color w:val="2D2D2D"/>
          <w:sz w:val="28"/>
          <w:szCs w:val="28"/>
        </w:rPr>
      </w:pPr>
      <w:r w:rsidRPr="00DB3EEA">
        <w:rPr>
          <w:rFonts w:ascii="Times New Roman" w:hAnsi="Times New Roman" w:cs="Times New Roman"/>
          <w:i/>
          <w:iCs/>
          <w:color w:val="2D2D2D"/>
          <w:sz w:val="28"/>
          <w:szCs w:val="28"/>
        </w:rPr>
        <w:t>“</w:t>
      </w:r>
      <w:r w:rsidRPr="00DB3EEA">
        <w:rPr>
          <w:rFonts w:ascii="Times New Roman" w:hAnsi="Times New Roman" w:cs="Times New Roman"/>
          <w:i/>
          <w:iCs/>
          <w:color w:val="2D2D2D"/>
          <w:sz w:val="28"/>
          <w:szCs w:val="28"/>
        </w:rPr>
        <w:t xml:space="preserve">a.     Dentro de los deberes que </w:t>
      </w:r>
      <w:r w:rsidRPr="00DB3EEA">
        <w:rPr>
          <w:rFonts w:ascii="Times New Roman" w:hAnsi="Times New Roman" w:cs="Times New Roman"/>
          <w:i/>
          <w:iCs/>
          <w:color w:val="2D2D2D"/>
          <w:sz w:val="28"/>
          <w:szCs w:val="28"/>
        </w:rPr>
        <w:t>incluyó la Constitución está el de contribuir al financiamiento de los gastos e inversiones del Estado, dentro de conceptos de justicia y equidad. Mandato que, en armonía con el principio de la solidaridad, da cuenta de la importancia y legitimidad de la f</w:t>
      </w:r>
      <w:r w:rsidRPr="00DB3EEA">
        <w:rPr>
          <w:rFonts w:ascii="Times New Roman" w:hAnsi="Times New Roman" w:cs="Times New Roman"/>
          <w:i/>
          <w:iCs/>
          <w:color w:val="2D2D2D"/>
          <w:sz w:val="28"/>
          <w:szCs w:val="28"/>
        </w:rPr>
        <w:t>acultad impositiva del Estado para lograr sus fines.</w:t>
      </w:r>
    </w:p>
    <w:p w:rsidR="00AA1697" w:rsidRPr="00DB3EEA" w:rsidRDefault="00DB3EEA" w:rsidP="00BA2C58">
      <w:pPr>
        <w:shd w:val="clear" w:color="auto" w:fill="FFFFFF"/>
        <w:ind w:left="567" w:right="60"/>
        <w:jc w:val="both"/>
        <w:rPr>
          <w:rFonts w:ascii="Times New Roman" w:hAnsi="Times New Roman" w:cs="Times New Roman"/>
          <w:i/>
          <w:iCs/>
          <w:color w:val="2D2D2D"/>
          <w:sz w:val="28"/>
          <w:szCs w:val="28"/>
        </w:rPr>
      </w:pPr>
      <w:r w:rsidRPr="00DB3EEA">
        <w:rPr>
          <w:rFonts w:ascii="Times New Roman" w:hAnsi="Times New Roman" w:cs="Times New Roman"/>
          <w:i/>
          <w:iCs/>
          <w:color w:val="2D2D2D"/>
          <w:sz w:val="28"/>
          <w:szCs w:val="28"/>
        </w:rPr>
        <w:t xml:space="preserve"> </w:t>
      </w:r>
    </w:p>
    <w:p w:rsidR="00AA1697" w:rsidRPr="00DB3EEA" w:rsidRDefault="00DB3EEA" w:rsidP="00BA2C58">
      <w:pPr>
        <w:pBdr>
          <w:left w:val="none" w:sz="0" w:space="14" w:color="auto"/>
        </w:pBdr>
        <w:shd w:val="clear" w:color="auto" w:fill="FFFFFF"/>
        <w:ind w:left="567" w:right="60"/>
        <w:jc w:val="both"/>
        <w:rPr>
          <w:rFonts w:ascii="Times New Roman" w:hAnsi="Times New Roman" w:cs="Times New Roman"/>
          <w:i/>
          <w:iCs/>
          <w:color w:val="2D2D2D"/>
          <w:sz w:val="28"/>
          <w:szCs w:val="28"/>
        </w:rPr>
      </w:pPr>
      <w:r w:rsidRPr="00DB3EEA">
        <w:rPr>
          <w:rFonts w:ascii="Times New Roman" w:hAnsi="Times New Roman" w:cs="Times New Roman"/>
          <w:i/>
          <w:iCs/>
          <w:color w:val="2D2D2D"/>
          <w:sz w:val="28"/>
          <w:szCs w:val="28"/>
        </w:rPr>
        <w:t>b.   Pero la obligación de contribuir al pago de tributos no es ilimitada ni arbitraria. El Estado debe respetar los principios tributarios constitucionales, de los cuales se deriva la noción de la cap</w:t>
      </w:r>
      <w:r w:rsidRPr="00DB3EEA">
        <w:rPr>
          <w:rFonts w:ascii="Times New Roman" w:hAnsi="Times New Roman" w:cs="Times New Roman"/>
          <w:i/>
          <w:iCs/>
          <w:color w:val="2D2D2D"/>
          <w:sz w:val="28"/>
          <w:szCs w:val="28"/>
        </w:rPr>
        <w:t>acidad contributiva de las personas, de modo que no se les impongan cargas desproporcionadas o arbitrarias.</w:t>
      </w:r>
    </w:p>
    <w:p w:rsidR="00AA1697" w:rsidRPr="00DB3EEA" w:rsidRDefault="00DB3EEA" w:rsidP="00BA2C58">
      <w:pPr>
        <w:shd w:val="clear" w:color="auto" w:fill="FFFFFF"/>
        <w:ind w:left="567" w:right="60"/>
        <w:jc w:val="both"/>
        <w:rPr>
          <w:rFonts w:ascii="Times New Roman" w:hAnsi="Times New Roman" w:cs="Times New Roman"/>
          <w:i/>
          <w:iCs/>
          <w:color w:val="2D2D2D"/>
          <w:sz w:val="28"/>
          <w:szCs w:val="28"/>
        </w:rPr>
      </w:pPr>
      <w:r w:rsidRPr="00DB3EEA">
        <w:rPr>
          <w:rFonts w:ascii="Times New Roman" w:hAnsi="Times New Roman" w:cs="Times New Roman"/>
          <w:i/>
          <w:iCs/>
          <w:color w:val="2D2D2D"/>
          <w:sz w:val="28"/>
          <w:szCs w:val="28"/>
        </w:rPr>
        <w:t xml:space="preserve"> </w:t>
      </w:r>
    </w:p>
    <w:p w:rsidR="00AA1697" w:rsidRPr="00DB3EEA" w:rsidRDefault="00DB3EEA" w:rsidP="00BA2C58">
      <w:pPr>
        <w:pBdr>
          <w:left w:val="none" w:sz="0" w:space="14" w:color="auto"/>
        </w:pBdr>
        <w:shd w:val="clear" w:color="auto" w:fill="FFFFFF"/>
        <w:ind w:left="567" w:right="60"/>
        <w:jc w:val="both"/>
        <w:rPr>
          <w:rFonts w:ascii="Times New Roman" w:hAnsi="Times New Roman" w:cs="Times New Roman"/>
          <w:i/>
          <w:iCs/>
          <w:color w:val="2D2D2D"/>
          <w:sz w:val="28"/>
          <w:szCs w:val="28"/>
        </w:rPr>
      </w:pPr>
      <w:r w:rsidRPr="00DB3EEA">
        <w:rPr>
          <w:rFonts w:ascii="Times New Roman" w:hAnsi="Times New Roman" w:cs="Times New Roman"/>
          <w:i/>
          <w:iCs/>
          <w:color w:val="2D2D2D"/>
          <w:sz w:val="28"/>
          <w:szCs w:val="28"/>
        </w:rPr>
        <w:t>c.    La Constitución no trae una definición de capacidad contributiva ni una regla para identificar cuándo se trasgrede. Por ello, es probable -c</w:t>
      </w:r>
      <w:r w:rsidRPr="00DB3EEA">
        <w:rPr>
          <w:rFonts w:ascii="Times New Roman" w:hAnsi="Times New Roman" w:cs="Times New Roman"/>
          <w:i/>
          <w:iCs/>
          <w:color w:val="2D2D2D"/>
          <w:sz w:val="28"/>
          <w:szCs w:val="28"/>
        </w:rPr>
        <w:t xml:space="preserve">omo se ilustra en la jurisprudencia- que en el estudio de los casos surjan discrepancias sobre su alcance y protección. Análisis que, en buena medida, requiere de fundamentos técnicos y objetivos, así como del diseño de políticas públicas con criterios de </w:t>
      </w:r>
      <w:r w:rsidRPr="00DB3EEA">
        <w:rPr>
          <w:rFonts w:ascii="Times New Roman" w:hAnsi="Times New Roman" w:cs="Times New Roman"/>
          <w:i/>
          <w:iCs/>
          <w:color w:val="2D2D2D"/>
          <w:sz w:val="28"/>
          <w:szCs w:val="28"/>
        </w:rPr>
        <w:t>conveniencia a cargo de los órganos de representación popular.</w:t>
      </w:r>
    </w:p>
    <w:p w:rsidR="00AA1697" w:rsidRPr="00DB3EEA" w:rsidRDefault="00DB3EEA" w:rsidP="00BA2C58">
      <w:pPr>
        <w:shd w:val="clear" w:color="auto" w:fill="FFFFFF"/>
        <w:ind w:left="567" w:right="60"/>
        <w:jc w:val="both"/>
        <w:rPr>
          <w:rFonts w:ascii="Times New Roman" w:hAnsi="Times New Roman" w:cs="Times New Roman"/>
          <w:i/>
          <w:iCs/>
          <w:color w:val="2D2D2D"/>
          <w:sz w:val="28"/>
          <w:szCs w:val="28"/>
        </w:rPr>
      </w:pPr>
      <w:r w:rsidRPr="00DB3EEA">
        <w:rPr>
          <w:rFonts w:ascii="Times New Roman" w:hAnsi="Times New Roman" w:cs="Times New Roman"/>
          <w:i/>
          <w:iCs/>
          <w:color w:val="2D2D2D"/>
          <w:sz w:val="28"/>
          <w:szCs w:val="28"/>
        </w:rPr>
        <w:t xml:space="preserve"> </w:t>
      </w:r>
    </w:p>
    <w:p w:rsidR="00AA1697" w:rsidRPr="00DB3EEA" w:rsidRDefault="00DB3EEA" w:rsidP="00BA2C58">
      <w:pPr>
        <w:pBdr>
          <w:left w:val="none" w:sz="0" w:space="14" w:color="auto"/>
        </w:pBdr>
        <w:shd w:val="clear" w:color="auto" w:fill="FFFFFF"/>
        <w:ind w:left="567" w:right="60"/>
        <w:jc w:val="both"/>
        <w:rPr>
          <w:rFonts w:ascii="Times New Roman" w:hAnsi="Times New Roman" w:cs="Times New Roman"/>
          <w:i/>
          <w:iCs/>
          <w:color w:val="2D2D2D"/>
          <w:sz w:val="28"/>
          <w:szCs w:val="28"/>
        </w:rPr>
      </w:pPr>
      <w:r w:rsidRPr="00DB3EEA">
        <w:rPr>
          <w:rFonts w:ascii="Times New Roman" w:hAnsi="Times New Roman" w:cs="Times New Roman"/>
          <w:i/>
          <w:iCs/>
          <w:color w:val="2D2D2D"/>
          <w:sz w:val="28"/>
          <w:szCs w:val="28"/>
        </w:rPr>
        <w:t>d.   Es por lo anterior que el control constitucional en esta materia es, por regla general, leve salvo que concurran situaciones que justifiquen una mayor intervención del juez constituciona</w:t>
      </w:r>
      <w:r w:rsidRPr="00DB3EEA">
        <w:rPr>
          <w:rFonts w:ascii="Times New Roman" w:hAnsi="Times New Roman" w:cs="Times New Roman"/>
          <w:i/>
          <w:iCs/>
          <w:color w:val="2D2D2D"/>
          <w:sz w:val="28"/>
          <w:szCs w:val="28"/>
        </w:rPr>
        <w:t xml:space="preserve">l, por ejemplo, ante la afectación de derechos fundamentales o ante tratos discriminatorios. De ahí también que no le corresponda a la Corte Constitucional diseñar la mejor política tributaria, sino ser guardiana de los límites y principios en perspectiva </w:t>
      </w:r>
      <w:r w:rsidRPr="00DB3EEA">
        <w:rPr>
          <w:rFonts w:ascii="Times New Roman" w:hAnsi="Times New Roman" w:cs="Times New Roman"/>
          <w:i/>
          <w:iCs/>
          <w:color w:val="2D2D2D"/>
          <w:sz w:val="28"/>
          <w:szCs w:val="28"/>
        </w:rPr>
        <w:t>constitucional. Para este ejercicio, la Corte ha venido empleando, expresa o implícitamente, los elementos del test de proporcionalidad.</w:t>
      </w:r>
    </w:p>
    <w:p w:rsidR="00AA1697" w:rsidRPr="00DB3EEA" w:rsidRDefault="00DB3EEA" w:rsidP="00BA2C58">
      <w:pPr>
        <w:shd w:val="clear" w:color="auto" w:fill="FFFFFF"/>
        <w:ind w:left="567" w:right="60"/>
        <w:jc w:val="both"/>
        <w:rPr>
          <w:rFonts w:ascii="Times New Roman" w:hAnsi="Times New Roman" w:cs="Times New Roman"/>
          <w:i/>
          <w:iCs/>
          <w:color w:val="2D2D2D"/>
          <w:sz w:val="28"/>
          <w:szCs w:val="28"/>
        </w:rPr>
      </w:pPr>
      <w:r w:rsidRPr="00DB3EEA">
        <w:rPr>
          <w:rFonts w:ascii="Times New Roman" w:hAnsi="Times New Roman" w:cs="Times New Roman"/>
          <w:i/>
          <w:iCs/>
          <w:color w:val="2D2D2D"/>
          <w:sz w:val="28"/>
          <w:szCs w:val="28"/>
        </w:rPr>
        <w:t xml:space="preserve"> </w:t>
      </w:r>
    </w:p>
    <w:p w:rsidR="00AA1697" w:rsidRPr="00DB3EEA" w:rsidRDefault="00DB3EEA" w:rsidP="00BA2C58">
      <w:pPr>
        <w:pBdr>
          <w:left w:val="none" w:sz="0" w:space="14" w:color="auto"/>
        </w:pBdr>
        <w:shd w:val="clear" w:color="auto" w:fill="FFFFFF"/>
        <w:ind w:left="567" w:right="60"/>
        <w:jc w:val="both"/>
        <w:rPr>
          <w:rFonts w:ascii="Times New Roman" w:hAnsi="Times New Roman" w:cs="Times New Roman"/>
          <w:i/>
          <w:iCs/>
          <w:color w:val="2D2D2D"/>
          <w:sz w:val="28"/>
          <w:szCs w:val="28"/>
        </w:rPr>
      </w:pPr>
      <w:r w:rsidRPr="00DB3EEA">
        <w:rPr>
          <w:rFonts w:ascii="Times New Roman" w:hAnsi="Times New Roman" w:cs="Times New Roman"/>
          <w:i/>
          <w:iCs/>
          <w:color w:val="2D2D2D"/>
          <w:sz w:val="28"/>
          <w:szCs w:val="28"/>
        </w:rPr>
        <w:t xml:space="preserve">e.    El análisis constitucional de los impuestos indirectos admite un margen de acción a favor del </w:t>
      </w:r>
      <w:r w:rsidRPr="00DB3EEA">
        <w:rPr>
          <w:rFonts w:ascii="Times New Roman" w:hAnsi="Times New Roman" w:cs="Times New Roman"/>
          <w:i/>
          <w:iCs/>
          <w:color w:val="2D2D2D"/>
          <w:sz w:val="28"/>
          <w:szCs w:val="28"/>
        </w:rPr>
        <w:t>legislador</w:t>
      </w:r>
      <w:r w:rsidRPr="00DB3EEA">
        <w:rPr>
          <w:rFonts w:ascii="Times New Roman" w:hAnsi="Times New Roman" w:cs="Times New Roman"/>
          <w:i/>
          <w:iCs/>
          <w:color w:val="2D2D2D"/>
          <w:sz w:val="28"/>
          <w:szCs w:val="28"/>
        </w:rPr>
        <w:t xml:space="preserve"> que, p</w:t>
      </w:r>
      <w:r w:rsidRPr="00DB3EEA">
        <w:rPr>
          <w:rFonts w:ascii="Times New Roman" w:hAnsi="Times New Roman" w:cs="Times New Roman"/>
          <w:i/>
          <w:iCs/>
          <w:color w:val="2D2D2D"/>
          <w:sz w:val="28"/>
          <w:szCs w:val="28"/>
        </w:rPr>
        <w:t>uede estar soportado en inferencias razonables y puede incluso conllevar sacrificios moderados a la capacidad de pago de las personas con el fin de maximizar los principios constitucionales, satisfacer las demandas sociales y garantizar los fines del Estad</w:t>
      </w:r>
      <w:r w:rsidRPr="00DB3EEA">
        <w:rPr>
          <w:rFonts w:ascii="Times New Roman" w:hAnsi="Times New Roman" w:cs="Times New Roman"/>
          <w:i/>
          <w:iCs/>
          <w:color w:val="2D2D2D"/>
          <w:sz w:val="28"/>
          <w:szCs w:val="28"/>
        </w:rPr>
        <w:t>o Social de Derecho. Claro está, siempre y cuando ello no derive en una disposición abiertamente desproporcionada que, por ejemplo, afecte significativamente el mínimo vital o introduzca una dosis manifiesta de regresividad al sistema.</w:t>
      </w:r>
      <w:r w:rsidRPr="00DB3EEA">
        <w:rPr>
          <w:rFonts w:ascii="Times New Roman" w:hAnsi="Times New Roman" w:cs="Times New Roman"/>
          <w:i/>
          <w:iCs/>
          <w:color w:val="2D2D2D"/>
          <w:sz w:val="28"/>
          <w:szCs w:val="28"/>
        </w:rPr>
        <w:t>”</w:t>
      </w:r>
    </w:p>
    <w:p w:rsidR="005D7189" w:rsidRPr="00DB3EEA" w:rsidRDefault="00DB3EEA" w:rsidP="00BA2C58">
      <w:pPr>
        <w:pBdr>
          <w:left w:val="none" w:sz="0" w:space="14" w:color="auto"/>
        </w:pBdr>
        <w:shd w:val="clear" w:color="auto" w:fill="FFFFFF"/>
        <w:ind w:left="567" w:right="60"/>
        <w:jc w:val="both"/>
        <w:rPr>
          <w:rFonts w:ascii="Times New Roman" w:hAnsi="Times New Roman" w:cs="Times New Roman"/>
          <w:i/>
          <w:iCs/>
          <w:color w:val="2D2D2D"/>
          <w:sz w:val="28"/>
          <w:szCs w:val="28"/>
        </w:rPr>
      </w:pPr>
    </w:p>
    <w:p w:rsidR="00AD5D98" w:rsidRPr="00DB3EEA" w:rsidRDefault="00DB3EEA" w:rsidP="00376DDD">
      <w:pPr>
        <w:pStyle w:val="Prrafodelista"/>
        <w:numPr>
          <w:ilvl w:val="0"/>
          <w:numId w:val="1"/>
        </w:numPr>
        <w:ind w:left="0" w:firstLine="0"/>
        <w:jc w:val="both"/>
        <w:rPr>
          <w:rFonts w:ascii="Times New Roman" w:hAnsi="Times New Roman" w:cs="Times New Roman"/>
          <w:i/>
          <w:iCs/>
          <w:color w:val="2D2D2D"/>
          <w:sz w:val="28"/>
          <w:szCs w:val="28"/>
        </w:rPr>
      </w:pPr>
      <w:r w:rsidRPr="00DB3EEA">
        <w:rPr>
          <w:rFonts w:ascii="Times New Roman" w:hAnsi="Times New Roman" w:cs="Times New Roman"/>
          <w:sz w:val="28"/>
          <w:szCs w:val="28"/>
        </w:rPr>
        <w:t>En línea con lo an</w:t>
      </w:r>
      <w:r w:rsidRPr="00DB3EEA">
        <w:rPr>
          <w:rFonts w:ascii="Times New Roman" w:hAnsi="Times New Roman" w:cs="Times New Roman"/>
          <w:sz w:val="28"/>
          <w:szCs w:val="28"/>
        </w:rPr>
        <w:t>terior, la Corte precisó que el hecho de que los tributos indirectos no permitan medir directamente la capacidad contributiva no los torna, por sí mismos, inconstitucionales. En el caso concreto, advirtió que, si bien el impuesto de timbre puede incrementa</w:t>
      </w:r>
      <w:r w:rsidRPr="00DB3EEA">
        <w:rPr>
          <w:rFonts w:ascii="Times New Roman" w:hAnsi="Times New Roman" w:cs="Times New Roman"/>
          <w:sz w:val="28"/>
          <w:szCs w:val="28"/>
        </w:rPr>
        <w:t>r el costo de las enajenaciones de bienes inmuebles, el umbral de 20.000 UVT fijado como hecho generador se sitúa muy por encima del valor de las viviendas de interés social (VIS) y de interés prioritario (VIP). Así mismo, resaltó que el tributo no grava l</w:t>
      </w:r>
      <w:r w:rsidRPr="00DB3EEA">
        <w:rPr>
          <w:rFonts w:ascii="Times New Roman" w:hAnsi="Times New Roman" w:cs="Times New Roman"/>
          <w:sz w:val="28"/>
          <w:szCs w:val="28"/>
        </w:rPr>
        <w:t xml:space="preserve">as escrituras públicas de enajenación de viviendas urbanas ubicadas en los estratos 1, 2 y 3, razón por la cual la disposición no afecta de manera directa a la población en condición de mayor vulnerabilidad económica. La Sala también tomó en consideración </w:t>
      </w:r>
      <w:r w:rsidRPr="00DB3EEA">
        <w:rPr>
          <w:rFonts w:ascii="Times New Roman" w:hAnsi="Times New Roman" w:cs="Times New Roman"/>
          <w:sz w:val="28"/>
          <w:szCs w:val="28"/>
        </w:rPr>
        <w:t>la información suministrada por el Ministerio de Hacienda, según la cual solo cerca del 1,5% de las transacciones superan los 20.000 UVT, por lo que el gravamen recae principalmente en operaciones de alto valor para lo que representa el mercado inmobiliari</w:t>
      </w:r>
      <w:r w:rsidRPr="00DB3EEA">
        <w:rPr>
          <w:rFonts w:ascii="Times New Roman" w:hAnsi="Times New Roman" w:cs="Times New Roman"/>
          <w:sz w:val="28"/>
          <w:szCs w:val="28"/>
        </w:rPr>
        <w:t xml:space="preserve">o en Colombia. Al respecto, la Sala recordó que no se adujeron en la demanda, razones </w:t>
      </w:r>
      <w:r w:rsidRPr="00DB3EEA">
        <w:rPr>
          <w:rFonts w:ascii="Times New Roman" w:hAnsi="Times New Roman" w:cs="Times New Roman"/>
          <w:i/>
          <w:iCs/>
          <w:sz w:val="28"/>
          <w:szCs w:val="28"/>
        </w:rPr>
        <w:t>“</w:t>
      </w:r>
      <w:r w:rsidRPr="00DB3EEA">
        <w:rPr>
          <w:rFonts w:ascii="Times New Roman" w:hAnsi="Times New Roman" w:cs="Times New Roman"/>
          <w:i/>
          <w:iCs/>
          <w:color w:val="2D2D2D"/>
          <w:sz w:val="28"/>
          <w:szCs w:val="28"/>
        </w:rPr>
        <w:t xml:space="preserve">para advertir algún indicio de arbitrariedad o trato discriminatorio por parte del </w:t>
      </w:r>
      <w:r w:rsidRPr="00DB3EEA">
        <w:rPr>
          <w:rFonts w:ascii="Times New Roman" w:hAnsi="Times New Roman" w:cs="Times New Roman"/>
          <w:i/>
          <w:iCs/>
          <w:color w:val="2D2D2D"/>
          <w:sz w:val="28"/>
          <w:szCs w:val="28"/>
        </w:rPr>
        <w:t>legislador</w:t>
      </w:r>
      <w:r w:rsidRPr="00DB3EEA">
        <w:rPr>
          <w:rFonts w:ascii="Times New Roman" w:hAnsi="Times New Roman" w:cs="Times New Roman"/>
          <w:i/>
          <w:iCs/>
          <w:color w:val="2D2D2D"/>
          <w:sz w:val="28"/>
          <w:szCs w:val="28"/>
        </w:rPr>
        <w:t>, o una afectación sobre los derechos fundamentales de las personas impactad</w:t>
      </w:r>
      <w:r w:rsidRPr="00DB3EEA">
        <w:rPr>
          <w:rFonts w:ascii="Times New Roman" w:hAnsi="Times New Roman" w:cs="Times New Roman"/>
          <w:i/>
          <w:iCs/>
          <w:color w:val="2D2D2D"/>
          <w:sz w:val="28"/>
          <w:szCs w:val="28"/>
        </w:rPr>
        <w:t>as con este gravamen</w:t>
      </w:r>
      <w:r w:rsidRPr="00DB3EEA">
        <w:rPr>
          <w:rFonts w:ascii="Times New Roman" w:hAnsi="Times New Roman" w:cs="Times New Roman"/>
          <w:i/>
          <w:iCs/>
          <w:color w:val="2D2D2D"/>
          <w:sz w:val="28"/>
          <w:szCs w:val="28"/>
        </w:rPr>
        <w:t>.</w:t>
      </w:r>
      <w:r w:rsidRPr="00DB3EEA">
        <w:rPr>
          <w:rFonts w:ascii="Times New Roman" w:hAnsi="Times New Roman" w:cs="Times New Roman"/>
          <w:i/>
          <w:iCs/>
          <w:color w:val="2D2D2D"/>
          <w:sz w:val="28"/>
          <w:szCs w:val="28"/>
        </w:rPr>
        <w:t>”</w:t>
      </w:r>
    </w:p>
    <w:p w:rsidR="00AD5D98" w:rsidRPr="00DB3EEA" w:rsidRDefault="00DB3EEA" w:rsidP="00AD5D98">
      <w:pPr>
        <w:pStyle w:val="Prrafodelista"/>
        <w:ind w:left="0"/>
        <w:jc w:val="both"/>
        <w:rPr>
          <w:rFonts w:ascii="Times New Roman" w:hAnsi="Times New Roman" w:cs="Times New Roman"/>
          <w:i/>
          <w:iCs/>
          <w:color w:val="2D2D2D"/>
          <w:sz w:val="28"/>
          <w:szCs w:val="28"/>
        </w:rPr>
      </w:pPr>
    </w:p>
    <w:p w:rsidR="00AD5D98" w:rsidRPr="00DB3EEA" w:rsidRDefault="00DB3EEA" w:rsidP="00376DDD">
      <w:pPr>
        <w:pStyle w:val="Prrafodelista"/>
        <w:numPr>
          <w:ilvl w:val="0"/>
          <w:numId w:val="1"/>
        </w:numPr>
        <w:ind w:left="0" w:firstLine="0"/>
        <w:jc w:val="both"/>
        <w:rPr>
          <w:rFonts w:ascii="Times New Roman" w:hAnsi="Times New Roman" w:cs="Times New Roman"/>
          <w:i/>
          <w:iCs/>
          <w:color w:val="2D2D2D"/>
          <w:sz w:val="28"/>
          <w:szCs w:val="28"/>
        </w:rPr>
      </w:pPr>
      <w:r w:rsidRPr="00DB3EEA">
        <w:rPr>
          <w:rFonts w:ascii="Times New Roman" w:hAnsi="Times New Roman" w:cs="Times New Roman"/>
          <w:sz w:val="28"/>
          <w:szCs w:val="28"/>
        </w:rPr>
        <w:t xml:space="preserve">Finalmente, al aplicar el juicio de intensidad leve, la Corte declaró la norma exequible al verificar que: </w:t>
      </w:r>
      <w:r w:rsidRPr="00DB3EEA">
        <w:rPr>
          <w:rFonts w:ascii="Times New Roman" w:hAnsi="Times New Roman" w:cs="Times New Roman"/>
          <w:color w:val="2D2D2D"/>
          <w:sz w:val="28"/>
          <w:szCs w:val="28"/>
        </w:rPr>
        <w:t>(</w:t>
      </w:r>
      <w:r w:rsidRPr="00DB3EEA">
        <w:rPr>
          <w:rFonts w:ascii="Times New Roman" w:hAnsi="Times New Roman" w:cs="Times New Roman"/>
          <w:color w:val="2D2D2D"/>
          <w:sz w:val="28"/>
          <w:szCs w:val="28"/>
        </w:rPr>
        <w:t>i</w:t>
      </w:r>
      <w:r w:rsidRPr="00DB3EEA">
        <w:rPr>
          <w:rFonts w:ascii="Times New Roman" w:hAnsi="Times New Roman" w:cs="Times New Roman"/>
          <w:color w:val="2D2D2D"/>
          <w:sz w:val="28"/>
          <w:szCs w:val="28"/>
        </w:rPr>
        <w:t>) el aumento del recaudo en el marco de un proyecto de Ley cuya finalidad es reducir la pobreza y la desigualdad es una fin</w:t>
      </w:r>
      <w:r w:rsidRPr="00DB3EEA">
        <w:rPr>
          <w:rFonts w:ascii="Times New Roman" w:hAnsi="Times New Roman" w:cs="Times New Roman"/>
          <w:color w:val="2D2D2D"/>
          <w:sz w:val="28"/>
          <w:szCs w:val="28"/>
        </w:rPr>
        <w:t>alidad legítima que no se encuentra constitucionalmente prohibida</w:t>
      </w:r>
      <w:r w:rsidRPr="00DB3EEA">
        <w:rPr>
          <w:rFonts w:ascii="Times New Roman" w:hAnsi="Times New Roman" w:cs="Times New Roman"/>
          <w:color w:val="2D2D2D"/>
          <w:sz w:val="28"/>
          <w:szCs w:val="28"/>
        </w:rPr>
        <w:t xml:space="preserve"> y (ii</w:t>
      </w:r>
      <w:r w:rsidRPr="00DB3EEA">
        <w:rPr>
          <w:rFonts w:ascii="Times New Roman" w:hAnsi="Times New Roman" w:cs="Times New Roman"/>
          <w:color w:val="2D2D2D"/>
          <w:sz w:val="28"/>
          <w:szCs w:val="28"/>
        </w:rPr>
        <w:t xml:space="preserve">) </w:t>
      </w:r>
      <w:r w:rsidRPr="00DB3EEA">
        <w:rPr>
          <w:rFonts w:ascii="Times New Roman" w:hAnsi="Times New Roman" w:cs="Times New Roman"/>
          <w:color w:val="2D2D2D"/>
          <w:sz w:val="28"/>
          <w:szCs w:val="28"/>
        </w:rPr>
        <w:t>e</w:t>
      </w:r>
      <w:r w:rsidRPr="00DB3EEA">
        <w:rPr>
          <w:rFonts w:ascii="Times New Roman" w:hAnsi="Times New Roman" w:cs="Times New Roman"/>
          <w:color w:val="2D2D2D"/>
          <w:sz w:val="28"/>
          <w:szCs w:val="28"/>
        </w:rPr>
        <w:t xml:space="preserve">l impuesto de timbre sobre documentos públicos que acrediten la enajenación de bienes inmuebles es potencialmente adecuado para alcanzar la finalidad del recaudo. </w:t>
      </w:r>
    </w:p>
    <w:p w:rsidR="00AD5D98" w:rsidRPr="00DB3EEA" w:rsidRDefault="00DB3EEA" w:rsidP="00AD5D98">
      <w:pPr>
        <w:pStyle w:val="Prrafodelista"/>
        <w:rPr>
          <w:rFonts w:ascii="Times New Roman" w:hAnsi="Times New Roman" w:cs="Times New Roman"/>
          <w:sz w:val="28"/>
          <w:szCs w:val="28"/>
        </w:rPr>
      </w:pPr>
    </w:p>
    <w:p w:rsidR="009A2AAC" w:rsidRPr="00DB3EEA" w:rsidRDefault="00DB3EEA" w:rsidP="00376DDD">
      <w:pPr>
        <w:pStyle w:val="Prrafodelista"/>
        <w:numPr>
          <w:ilvl w:val="0"/>
          <w:numId w:val="1"/>
        </w:numPr>
        <w:ind w:left="0" w:firstLine="0"/>
        <w:jc w:val="both"/>
        <w:rPr>
          <w:rFonts w:ascii="Times New Roman" w:hAnsi="Times New Roman" w:cs="Times New Roman"/>
          <w:i/>
          <w:iCs/>
          <w:color w:val="2D2D2D"/>
          <w:sz w:val="28"/>
          <w:szCs w:val="28"/>
        </w:rPr>
      </w:pPr>
      <w:r w:rsidRPr="00DB3EEA">
        <w:rPr>
          <w:rFonts w:ascii="Times New Roman" w:hAnsi="Times New Roman" w:cs="Times New Roman"/>
          <w:sz w:val="28"/>
          <w:szCs w:val="28"/>
        </w:rPr>
        <w:t xml:space="preserve">De manera más </w:t>
      </w:r>
      <w:r w:rsidRPr="00DB3EEA">
        <w:rPr>
          <w:rFonts w:ascii="Times New Roman" w:hAnsi="Times New Roman" w:cs="Times New Roman"/>
          <w:sz w:val="28"/>
          <w:szCs w:val="28"/>
        </w:rPr>
        <w:t>reciente, en sentencia C-488 de 2024</w:t>
      </w:r>
      <w:r w:rsidRPr="00DB3EEA">
        <w:rPr>
          <w:rFonts w:ascii="Times New Roman" w:hAnsi="Times New Roman" w:cs="Times New Roman"/>
          <w:b/>
          <w:bCs/>
          <w:sz w:val="28"/>
          <w:szCs w:val="28"/>
        </w:rPr>
        <w:t xml:space="preserve"> </w:t>
      </w:r>
      <w:r w:rsidRPr="00DB3EEA">
        <w:rPr>
          <w:rFonts w:ascii="Times New Roman" w:hAnsi="Times New Roman" w:cs="Times New Roman"/>
          <w:sz w:val="28"/>
          <w:szCs w:val="28"/>
        </w:rPr>
        <w:t>la Corte examinó la constitucionalidad del parágrafo sexto del artículo 240 del Estatuto Tributario, modificado por el artículo décimo de la Ley 2277 de 2022</w:t>
      </w:r>
      <w:r w:rsidRPr="00DB3EEA">
        <w:rPr>
          <w:rFonts w:ascii="Times New Roman" w:hAnsi="Times New Roman" w:cs="Times New Roman"/>
          <w:sz w:val="28"/>
          <w:szCs w:val="28"/>
        </w:rPr>
        <w:t xml:space="preserve"> y reiteró estas consideraciones.</w:t>
      </w:r>
      <w:r w:rsidRPr="00DB3EEA">
        <w:rPr>
          <w:rStyle w:val="Refdenotaalpie"/>
          <w:rFonts w:ascii="Times New Roman" w:hAnsi="Times New Roman" w:cs="Times New Roman"/>
          <w:sz w:val="28"/>
          <w:szCs w:val="28"/>
        </w:rPr>
        <w:footnoteReference w:id="149"/>
      </w:r>
    </w:p>
    <w:p w:rsidR="00AD5D98" w:rsidRPr="00DB3EEA" w:rsidRDefault="00DB3EEA" w:rsidP="00AD5D98">
      <w:pPr>
        <w:pStyle w:val="Prrafodelista"/>
        <w:rPr>
          <w:rFonts w:ascii="Times New Roman" w:hAnsi="Times New Roman" w:cs="Times New Roman"/>
          <w:sz w:val="28"/>
          <w:szCs w:val="28"/>
        </w:rPr>
      </w:pPr>
    </w:p>
    <w:p w:rsidR="00AA1697" w:rsidRPr="00DB3EEA" w:rsidRDefault="00DB3EEA" w:rsidP="00376DDD">
      <w:pPr>
        <w:pStyle w:val="Prrafodelista"/>
        <w:numPr>
          <w:ilvl w:val="0"/>
          <w:numId w:val="1"/>
        </w:numPr>
        <w:ind w:left="0" w:firstLine="0"/>
        <w:jc w:val="both"/>
        <w:rPr>
          <w:rFonts w:ascii="Times New Roman" w:hAnsi="Times New Roman" w:cs="Times New Roman"/>
          <w:i/>
          <w:iCs/>
          <w:color w:val="2D2D2D"/>
          <w:sz w:val="28"/>
          <w:szCs w:val="28"/>
        </w:rPr>
      </w:pPr>
      <w:r w:rsidRPr="00DB3EEA">
        <w:rPr>
          <w:rFonts w:ascii="Times New Roman" w:hAnsi="Times New Roman" w:cs="Times New Roman"/>
          <w:color w:val="2D2D2D"/>
          <w:sz w:val="28"/>
          <w:szCs w:val="28"/>
        </w:rPr>
        <w:t>En síntesis</w:t>
      </w:r>
      <w:r w:rsidRPr="00DB3EEA">
        <w:rPr>
          <w:rFonts w:ascii="Times New Roman" w:hAnsi="Times New Roman" w:cs="Times New Roman"/>
          <w:color w:val="2D2D2D"/>
          <w:sz w:val="28"/>
          <w:szCs w:val="28"/>
        </w:rPr>
        <w:t xml:space="preserve"> de lo expuesto, la jurisprudencia constitucional ha delineado un marco en el cual el amplio margen de configuración tributaria del </w:t>
      </w:r>
      <w:r w:rsidRPr="00DB3EEA">
        <w:rPr>
          <w:rFonts w:ascii="Times New Roman" w:hAnsi="Times New Roman" w:cs="Times New Roman"/>
          <w:color w:val="2D2D2D"/>
          <w:sz w:val="28"/>
          <w:szCs w:val="28"/>
        </w:rPr>
        <w:t>legislador</w:t>
      </w:r>
      <w:r w:rsidRPr="00DB3EEA">
        <w:rPr>
          <w:rFonts w:ascii="Times New Roman" w:hAnsi="Times New Roman" w:cs="Times New Roman"/>
          <w:color w:val="2D2D2D"/>
          <w:sz w:val="28"/>
          <w:szCs w:val="28"/>
        </w:rPr>
        <w:t xml:space="preserve"> encuentra como límite el principio de equidad tributaria, del cual se deriva la capacidad contributiva, entendida</w:t>
      </w:r>
      <w:r w:rsidRPr="00DB3EEA">
        <w:rPr>
          <w:rFonts w:ascii="Times New Roman" w:hAnsi="Times New Roman" w:cs="Times New Roman"/>
          <w:color w:val="2D2D2D"/>
          <w:sz w:val="28"/>
          <w:szCs w:val="28"/>
        </w:rPr>
        <w:t xml:space="preserve"> como </w:t>
      </w:r>
      <w:r w:rsidRPr="00DB3EEA">
        <w:rPr>
          <w:rFonts w:ascii="Times New Roman" w:hAnsi="Times New Roman" w:cs="Times New Roman"/>
          <w:i/>
          <w:iCs/>
          <w:color w:val="2D2D2D"/>
          <w:sz w:val="28"/>
          <w:szCs w:val="28"/>
        </w:rPr>
        <w:t>“la posibilidad económica de tributar, esto es, como la idoneidad subjetiva, no teórica sino real, en cuanto depende de la fuerza económica del sujeto, para ser llamado a cumplir con el deber de pagar tributos”.</w:t>
      </w:r>
      <w:r w:rsidRPr="00DB3EEA">
        <w:rPr>
          <w:rFonts w:ascii="Times New Roman" w:hAnsi="Times New Roman" w:cs="Times New Roman"/>
          <w:color w:val="2D2D2D"/>
          <w:sz w:val="28"/>
          <w:szCs w:val="28"/>
        </w:rPr>
        <w:t xml:space="preserve"> De esta forma, el examen de los preced</w:t>
      </w:r>
      <w:r w:rsidRPr="00DB3EEA">
        <w:rPr>
          <w:rFonts w:ascii="Times New Roman" w:hAnsi="Times New Roman" w:cs="Times New Roman"/>
          <w:color w:val="2D2D2D"/>
          <w:sz w:val="28"/>
          <w:szCs w:val="28"/>
        </w:rPr>
        <w:t>entes constitucionales demuestra que la Corte ha sido consistente en afirmar, de un lado, la potestad del Congreso para diseñar y ajustar la política tributaria conforme a criterios democráticos, constitucionales y de conveniencia pública y, de otro, la ob</w:t>
      </w:r>
      <w:r w:rsidRPr="00DB3EEA">
        <w:rPr>
          <w:rFonts w:ascii="Times New Roman" w:hAnsi="Times New Roman" w:cs="Times New Roman"/>
          <w:color w:val="2D2D2D"/>
          <w:sz w:val="28"/>
          <w:szCs w:val="28"/>
        </w:rPr>
        <w:t>ligación de respetar los principios de equidad, capacidad contributiva, razonabilidad y proporcionalidad. En esa línea, tanto en los tributos directos como en los indirectos, la Corte ha insistido en la aplicación de juicios leves de razonabilidad o propor</w:t>
      </w:r>
      <w:r w:rsidRPr="00DB3EEA">
        <w:rPr>
          <w:rFonts w:ascii="Times New Roman" w:hAnsi="Times New Roman" w:cs="Times New Roman"/>
          <w:color w:val="2D2D2D"/>
          <w:sz w:val="28"/>
          <w:szCs w:val="28"/>
        </w:rPr>
        <w:t>cionalidad, orientados a verificar si las disposiciones acusadas perseguían fines legítimos y si respondían a las dimensiones horizontal y vertical que comportan el principio de equidad tributaria. Ello implica considerar el impacto real de la medida sobre</w:t>
      </w:r>
      <w:r w:rsidRPr="00DB3EEA">
        <w:rPr>
          <w:rFonts w:ascii="Times New Roman" w:hAnsi="Times New Roman" w:cs="Times New Roman"/>
          <w:color w:val="2D2D2D"/>
          <w:sz w:val="28"/>
          <w:szCs w:val="28"/>
        </w:rPr>
        <w:t xml:space="preserve"> los contribuyentes y descartar configuraciones normativas que comporten </w:t>
      </w:r>
      <w:r w:rsidRPr="00DB3EEA">
        <w:rPr>
          <w:rFonts w:ascii="Times New Roman" w:hAnsi="Times New Roman" w:cs="Times New Roman"/>
          <w:i/>
          <w:iCs/>
          <w:color w:val="2D2D2D"/>
          <w:sz w:val="28"/>
          <w:szCs w:val="28"/>
        </w:rPr>
        <w:t>“cargas desproporcionadas o arbitrarias que no consultan la capacidad económica de los sujetos pasivos en razón a la naturaleza y fines del impuesto en cuestión”</w:t>
      </w:r>
      <w:r w:rsidRPr="00DB3EEA">
        <w:rPr>
          <w:rFonts w:ascii="Times New Roman" w:hAnsi="Times New Roman" w:cs="Times New Roman"/>
          <w:i/>
          <w:sz w:val="28"/>
          <w:szCs w:val="28"/>
          <w:vertAlign w:val="superscript"/>
        </w:rPr>
        <w:footnoteReference w:id="150"/>
      </w:r>
      <w:r w:rsidRPr="00DB3EEA">
        <w:rPr>
          <w:rFonts w:ascii="Times New Roman" w:hAnsi="Times New Roman" w:cs="Times New Roman"/>
          <w:i/>
          <w:iCs/>
          <w:color w:val="2D2D2D"/>
          <w:sz w:val="28"/>
          <w:szCs w:val="28"/>
        </w:rPr>
        <w:t>.</w:t>
      </w:r>
    </w:p>
    <w:p w:rsidR="005D7189" w:rsidRPr="00DB3EEA" w:rsidRDefault="00DB3EEA" w:rsidP="00376DDD">
      <w:pPr>
        <w:jc w:val="both"/>
        <w:rPr>
          <w:rFonts w:ascii="Times New Roman" w:hAnsi="Times New Roman" w:cs="Times New Roman"/>
          <w:b/>
          <w:bCs/>
          <w:i/>
          <w:iCs/>
          <w:color w:val="2D2D2D"/>
          <w:sz w:val="28"/>
          <w:szCs w:val="28"/>
        </w:rPr>
      </w:pPr>
    </w:p>
    <w:p w:rsidR="00AA1697" w:rsidRPr="00DB3EEA" w:rsidRDefault="00DB3EEA" w:rsidP="007D36D5">
      <w:pPr>
        <w:jc w:val="both"/>
        <w:outlineLvl w:val="2"/>
        <w:rPr>
          <w:rFonts w:ascii="Times New Roman" w:hAnsi="Times New Roman" w:cs="Times New Roman"/>
          <w:b/>
          <w:bCs/>
          <w:i/>
          <w:iCs/>
          <w:color w:val="2D2D2D"/>
          <w:sz w:val="28"/>
          <w:szCs w:val="28"/>
        </w:rPr>
      </w:pPr>
      <w:r w:rsidRPr="00DB3EEA">
        <w:rPr>
          <w:rFonts w:ascii="Times New Roman" w:hAnsi="Times New Roman" w:cs="Times New Roman"/>
          <w:b/>
          <w:bCs/>
          <w:i/>
          <w:iCs/>
          <w:color w:val="2D2D2D"/>
          <w:sz w:val="28"/>
          <w:szCs w:val="28"/>
        </w:rPr>
        <w:t>Test integrado</w:t>
      </w:r>
      <w:r w:rsidRPr="00DB3EEA">
        <w:rPr>
          <w:rFonts w:ascii="Times New Roman" w:hAnsi="Times New Roman" w:cs="Times New Roman"/>
          <w:b/>
          <w:bCs/>
          <w:i/>
          <w:iCs/>
          <w:color w:val="2D2D2D"/>
          <w:sz w:val="28"/>
          <w:szCs w:val="28"/>
        </w:rPr>
        <w:t xml:space="preserve"> de igualdad</w:t>
      </w:r>
    </w:p>
    <w:p w:rsidR="002F2207" w:rsidRPr="00DB3EEA" w:rsidRDefault="00DB3EEA" w:rsidP="00376DDD">
      <w:pPr>
        <w:ind w:left="501"/>
        <w:jc w:val="both"/>
        <w:rPr>
          <w:rFonts w:ascii="Times New Roman" w:hAnsi="Times New Roman" w:cs="Times New Roman"/>
          <w:i/>
          <w:iCs/>
          <w:color w:val="2D2D2D"/>
          <w:sz w:val="28"/>
          <w:szCs w:val="28"/>
        </w:rPr>
      </w:pPr>
    </w:p>
    <w:p w:rsidR="00C111C6" w:rsidRPr="00DB3EEA" w:rsidRDefault="00DB3EEA" w:rsidP="00376DDD">
      <w:pPr>
        <w:pStyle w:val="Prrafodelista"/>
        <w:numPr>
          <w:ilvl w:val="0"/>
          <w:numId w:val="1"/>
        </w:numPr>
        <w:ind w:left="0" w:firstLine="0"/>
        <w:jc w:val="both"/>
        <w:rPr>
          <w:rFonts w:ascii="Times New Roman" w:eastAsiaTheme="minorHAnsi" w:hAnsi="Times New Roman" w:cs="Times New Roman"/>
          <w:color w:val="000000"/>
          <w:sz w:val="28"/>
          <w:szCs w:val="28"/>
          <w:lang w:eastAsia="en-US"/>
        </w:rPr>
      </w:pPr>
      <w:r w:rsidRPr="00DB3EEA">
        <w:rPr>
          <w:rFonts w:ascii="Times New Roman" w:hAnsi="Times New Roman" w:cs="Times New Roman"/>
          <w:color w:val="000000"/>
          <w:sz w:val="28"/>
          <w:szCs w:val="28"/>
          <w:lang w:eastAsia="en-US"/>
        </w:rPr>
        <w:t>E</w:t>
      </w:r>
      <w:r w:rsidRPr="00DB3EEA">
        <w:rPr>
          <w:rFonts w:ascii="Times New Roman" w:hAnsi="Times New Roman" w:cs="Times New Roman"/>
          <w:color w:val="000000"/>
          <w:sz w:val="28"/>
          <w:szCs w:val="28"/>
          <w:lang w:eastAsia="en-US"/>
        </w:rPr>
        <w:t xml:space="preserve">l examen de constitucionalidad de las normas tributarias que comprometen los principios de igualdad y equidad se </w:t>
      </w:r>
      <w:r w:rsidRPr="00DB3EEA">
        <w:rPr>
          <w:rFonts w:ascii="Times New Roman" w:hAnsi="Times New Roman" w:cs="Times New Roman"/>
          <w:color w:val="000000"/>
          <w:sz w:val="28"/>
          <w:szCs w:val="28"/>
          <w:lang w:eastAsia="en-US"/>
        </w:rPr>
        <w:t xml:space="preserve">resuelve mediante </w:t>
      </w:r>
      <w:r w:rsidRPr="00DB3EEA">
        <w:rPr>
          <w:rFonts w:ascii="Times New Roman" w:hAnsi="Times New Roman" w:cs="Times New Roman"/>
          <w:color w:val="000000"/>
          <w:sz w:val="28"/>
          <w:szCs w:val="28"/>
          <w:lang w:eastAsia="en-US"/>
        </w:rPr>
        <w:t xml:space="preserve">el juicio integrado de igualdad, </w:t>
      </w:r>
      <w:r w:rsidRPr="00DB3EEA">
        <w:rPr>
          <w:rFonts w:ascii="Times New Roman" w:hAnsi="Times New Roman" w:cs="Times New Roman"/>
          <w:color w:val="000000"/>
          <w:sz w:val="28"/>
          <w:szCs w:val="28"/>
          <w:lang w:eastAsia="en-US"/>
        </w:rPr>
        <w:t>que busca ponderar</w:t>
      </w:r>
      <w:r w:rsidRPr="00DB3EEA">
        <w:rPr>
          <w:rFonts w:ascii="Times New Roman" w:hAnsi="Times New Roman" w:cs="Times New Roman"/>
          <w:color w:val="000000"/>
          <w:sz w:val="28"/>
          <w:szCs w:val="28"/>
          <w:lang w:eastAsia="en-US"/>
        </w:rPr>
        <w:t xml:space="preserve"> la libertad de configuración legislativa </w:t>
      </w:r>
      <w:r w:rsidRPr="00DB3EEA">
        <w:rPr>
          <w:rFonts w:ascii="Times New Roman" w:hAnsi="Times New Roman" w:cs="Times New Roman"/>
          <w:color w:val="000000"/>
          <w:sz w:val="28"/>
          <w:szCs w:val="28"/>
          <w:lang w:eastAsia="en-US"/>
        </w:rPr>
        <w:t xml:space="preserve">con </w:t>
      </w:r>
      <w:r w:rsidRPr="00DB3EEA">
        <w:rPr>
          <w:rFonts w:ascii="Times New Roman" w:hAnsi="Times New Roman" w:cs="Times New Roman"/>
          <w:color w:val="000000"/>
          <w:sz w:val="28"/>
          <w:szCs w:val="28"/>
          <w:lang w:eastAsia="en-US"/>
        </w:rPr>
        <w:t>los límites</w:t>
      </w:r>
      <w:r w:rsidRPr="00DB3EEA">
        <w:rPr>
          <w:rFonts w:ascii="Times New Roman" w:hAnsi="Times New Roman" w:cs="Times New Roman"/>
          <w:color w:val="000000"/>
          <w:sz w:val="28"/>
          <w:szCs w:val="28"/>
          <w:lang w:eastAsia="en-US"/>
        </w:rPr>
        <w:t xml:space="preserve"> c</w:t>
      </w:r>
      <w:r w:rsidRPr="00DB3EEA">
        <w:rPr>
          <w:rFonts w:ascii="Times New Roman" w:hAnsi="Times New Roman" w:cs="Times New Roman"/>
          <w:color w:val="000000"/>
          <w:sz w:val="28"/>
          <w:szCs w:val="28"/>
          <w:lang w:eastAsia="en-US"/>
        </w:rPr>
        <w:t>onstitucionales</w:t>
      </w:r>
      <w:r w:rsidRPr="00DB3EEA">
        <w:rPr>
          <w:rFonts w:ascii="Times New Roman" w:hAnsi="Times New Roman" w:cs="Times New Roman"/>
          <w:color w:val="000000"/>
          <w:sz w:val="28"/>
          <w:szCs w:val="28"/>
          <w:lang w:eastAsia="en-US"/>
        </w:rPr>
        <w:t xml:space="preserve"> que imponen los artículos 95.9 y 363 de la misma norma. Dado que la equidad </w:t>
      </w:r>
      <w:r w:rsidRPr="00DB3EEA">
        <w:rPr>
          <w:rFonts w:ascii="Times New Roman" w:hAnsi="Times New Roman" w:cs="Times New Roman"/>
          <w:color w:val="000000"/>
          <w:sz w:val="28"/>
          <w:szCs w:val="28"/>
          <w:lang w:eastAsia="en-US"/>
        </w:rPr>
        <w:t>“</w:t>
      </w:r>
      <w:r w:rsidRPr="00DB3EEA">
        <w:rPr>
          <w:rFonts w:ascii="Times New Roman" w:hAnsi="Times New Roman" w:cs="Times New Roman"/>
          <w:i/>
          <w:color w:val="000000"/>
          <w:sz w:val="28"/>
          <w:szCs w:val="28"/>
          <w:lang w:eastAsia="en-US"/>
        </w:rPr>
        <w:t>no equivale a uniformidad aritmética ni la igualdad a identidad de trato, el control constitucional no busca homogeneizar el diseño de los tributos, sino verificar</w:t>
      </w:r>
      <w:r w:rsidRPr="00DB3EEA">
        <w:rPr>
          <w:rFonts w:ascii="Times New Roman" w:hAnsi="Times New Roman" w:cs="Times New Roman"/>
          <w:i/>
          <w:color w:val="000000"/>
          <w:sz w:val="28"/>
          <w:szCs w:val="28"/>
          <w:lang w:eastAsia="en-US"/>
        </w:rPr>
        <w:t xml:space="preserve"> que las diferencias normativas se funden en razones constitucionalmente válidas y que guarden coherencia con la capacidad económica de los sujetos pasivos. El test integrado de igualdad en materia tributaria constituye el método de control</w:t>
      </w:r>
      <w:r w:rsidRPr="00DB3EEA">
        <w:rPr>
          <w:rFonts w:ascii="Times New Roman" w:hAnsi="Times New Roman" w:cs="Times New Roman"/>
          <w:color w:val="000000"/>
          <w:sz w:val="28"/>
          <w:szCs w:val="28"/>
          <w:lang w:eastAsia="en-US"/>
        </w:rPr>
        <w:t>”</w:t>
      </w:r>
      <w:r w:rsidRPr="00DB3EEA">
        <w:rPr>
          <w:rFonts w:ascii="Times New Roman" w:hAnsi="Times New Roman" w:cs="Times New Roman"/>
          <w:color w:val="000000"/>
          <w:sz w:val="28"/>
          <w:szCs w:val="28"/>
          <w:vertAlign w:val="superscript"/>
          <w:lang w:eastAsia="en-US"/>
        </w:rPr>
        <w:t xml:space="preserve"> </w:t>
      </w:r>
      <w:r w:rsidRPr="00DB3EEA">
        <w:rPr>
          <w:rFonts w:ascii="Times New Roman" w:hAnsi="Times New Roman" w:cs="Times New Roman"/>
          <w:sz w:val="28"/>
          <w:szCs w:val="28"/>
          <w:vertAlign w:val="superscript"/>
          <w:lang w:eastAsia="en-US"/>
        </w:rPr>
        <w:footnoteReference w:id="151"/>
      </w:r>
      <w:r w:rsidRPr="00DB3EEA">
        <w:rPr>
          <w:rFonts w:ascii="Times New Roman" w:hAnsi="Times New Roman" w:cs="Times New Roman"/>
          <w:color w:val="000000"/>
          <w:sz w:val="28"/>
          <w:szCs w:val="28"/>
          <w:vertAlign w:val="superscript"/>
          <w:lang w:eastAsia="en-US"/>
        </w:rPr>
        <w:t>.</w:t>
      </w:r>
    </w:p>
    <w:p w:rsidR="00C111C6" w:rsidRPr="00DB3EEA" w:rsidRDefault="00DB3EEA" w:rsidP="00C111C6">
      <w:pPr>
        <w:pStyle w:val="Prrafodelista"/>
        <w:ind w:left="0"/>
        <w:jc w:val="both"/>
        <w:rPr>
          <w:rFonts w:ascii="Times New Roman" w:eastAsiaTheme="minorHAnsi" w:hAnsi="Times New Roman" w:cs="Times New Roman"/>
          <w:color w:val="000000"/>
          <w:sz w:val="28"/>
          <w:szCs w:val="28"/>
          <w:lang w:eastAsia="en-US"/>
        </w:rPr>
      </w:pPr>
    </w:p>
    <w:p w:rsidR="00C111C6" w:rsidRPr="00DB3EEA" w:rsidRDefault="00DB3EEA" w:rsidP="00C111C6">
      <w:pPr>
        <w:pStyle w:val="Prrafodelista"/>
        <w:numPr>
          <w:ilvl w:val="0"/>
          <w:numId w:val="1"/>
        </w:numPr>
        <w:ind w:left="0" w:firstLine="0"/>
        <w:jc w:val="both"/>
        <w:rPr>
          <w:rFonts w:ascii="Times New Roman" w:eastAsiaTheme="minorHAnsi" w:hAnsi="Times New Roman" w:cs="Times New Roman"/>
          <w:color w:val="000000"/>
          <w:sz w:val="28"/>
          <w:szCs w:val="28"/>
          <w:lang w:eastAsia="en-US"/>
        </w:rPr>
      </w:pPr>
      <w:r w:rsidRPr="00DB3EEA">
        <w:rPr>
          <w:rFonts w:ascii="Times New Roman" w:hAnsi="Times New Roman" w:cs="Times New Roman"/>
          <w:sz w:val="28"/>
          <w:szCs w:val="28"/>
          <w:lang w:eastAsia="en-US"/>
        </w:rPr>
        <w:t xml:space="preserve">El juicio de igualdad ofrece el método para verificar la observancia de la equidad horizontal. La Corte exige, primero, la identificación de un </w:t>
      </w:r>
      <w:r w:rsidRPr="00DB3EEA">
        <w:rPr>
          <w:rFonts w:ascii="Times New Roman" w:hAnsi="Times New Roman" w:cs="Times New Roman"/>
          <w:i/>
          <w:sz w:val="28"/>
          <w:szCs w:val="28"/>
          <w:lang w:eastAsia="en-US"/>
        </w:rPr>
        <w:t>tertium comparationis</w:t>
      </w:r>
      <w:r w:rsidRPr="00DB3EEA">
        <w:rPr>
          <w:rFonts w:ascii="Times New Roman" w:hAnsi="Times New Roman" w:cs="Times New Roman"/>
          <w:sz w:val="28"/>
          <w:szCs w:val="28"/>
          <w:lang w:eastAsia="en-US"/>
        </w:rPr>
        <w:t xml:space="preserve"> con relevancia material; segundo, la constatación de un trato diferente respecto de supues</w:t>
      </w:r>
      <w:r w:rsidRPr="00DB3EEA">
        <w:rPr>
          <w:rFonts w:ascii="Times New Roman" w:hAnsi="Times New Roman" w:cs="Times New Roman"/>
          <w:sz w:val="28"/>
          <w:szCs w:val="28"/>
          <w:lang w:eastAsia="en-US"/>
        </w:rPr>
        <w:t>tos asimilables; y tercero, la aplicación de un test de razonabilidad para determinar si el fin perseguido resulta legítimo, si el medio no está prohibido por la Constitución y si dicho medio se muestra idóneo para alcanzar el objetivo propuesto, todo ello</w:t>
      </w:r>
      <w:r w:rsidRPr="00DB3EEA">
        <w:rPr>
          <w:rFonts w:ascii="Times New Roman" w:hAnsi="Times New Roman" w:cs="Times New Roman"/>
          <w:sz w:val="28"/>
          <w:szCs w:val="28"/>
          <w:lang w:eastAsia="en-US"/>
        </w:rPr>
        <w:t xml:space="preserve"> bajo un estándar de escrutinio normalmente leve en materia tributaria</w:t>
      </w:r>
      <w:r w:rsidRPr="00DB3EEA">
        <w:rPr>
          <w:rFonts w:ascii="Times New Roman" w:hAnsi="Times New Roman" w:cs="Times New Roman"/>
          <w:sz w:val="28"/>
          <w:szCs w:val="28"/>
          <w:vertAlign w:val="superscript"/>
          <w:lang w:eastAsia="en-US"/>
        </w:rPr>
        <w:footnoteReference w:id="152"/>
      </w:r>
      <w:r w:rsidRPr="00DB3EEA">
        <w:rPr>
          <w:rFonts w:ascii="Times New Roman" w:hAnsi="Times New Roman" w:cs="Times New Roman"/>
          <w:sz w:val="28"/>
          <w:szCs w:val="28"/>
          <w:lang w:eastAsia="en-US"/>
        </w:rPr>
        <w:t>.</w:t>
      </w:r>
      <w:r w:rsidRPr="00DB3EEA">
        <w:rPr>
          <w:rFonts w:ascii="Times New Roman" w:hAnsi="Times New Roman" w:cs="Times New Roman"/>
          <w:sz w:val="28"/>
          <w:szCs w:val="28"/>
          <w:lang w:eastAsia="en-US"/>
        </w:rPr>
        <w:t xml:space="preserve"> </w:t>
      </w:r>
    </w:p>
    <w:p w:rsidR="00C111C6" w:rsidRPr="00DB3EEA" w:rsidRDefault="00DB3EEA" w:rsidP="00C111C6">
      <w:pPr>
        <w:pStyle w:val="Prrafodelista"/>
        <w:rPr>
          <w:rFonts w:ascii="Times New Roman" w:eastAsiaTheme="minorHAnsi" w:hAnsi="Times New Roman" w:cs="Times New Roman"/>
          <w:color w:val="000000"/>
          <w:sz w:val="28"/>
          <w:szCs w:val="28"/>
          <w:lang w:eastAsia="en-US"/>
        </w:rPr>
      </w:pPr>
    </w:p>
    <w:p w:rsidR="006E13BE" w:rsidRPr="00DB3EEA" w:rsidRDefault="00DB3EEA" w:rsidP="00710732">
      <w:pPr>
        <w:pStyle w:val="Prrafodelista"/>
        <w:numPr>
          <w:ilvl w:val="0"/>
          <w:numId w:val="1"/>
        </w:numPr>
        <w:ind w:left="0" w:firstLine="0"/>
        <w:jc w:val="both"/>
        <w:rPr>
          <w:rFonts w:ascii="Times New Roman" w:eastAsiaTheme="minorHAnsi" w:hAnsi="Times New Roman" w:cs="Times New Roman"/>
          <w:color w:val="000000"/>
          <w:sz w:val="28"/>
          <w:szCs w:val="28"/>
          <w:lang w:eastAsia="en-US"/>
        </w:rPr>
      </w:pPr>
      <w:r w:rsidRPr="00DB3EEA">
        <w:rPr>
          <w:rFonts w:ascii="Times New Roman" w:hAnsi="Times New Roman" w:cs="Times New Roman"/>
          <w:bCs/>
          <w:sz w:val="28"/>
          <w:szCs w:val="28"/>
          <w:bdr w:val="none" w:sz="0" w:space="0" w:color="auto" w:frame="1"/>
          <w:shd w:val="clear" w:color="auto" w:fill="FFFFFF"/>
          <w:lang w:val="es-ES_tradnl"/>
        </w:rPr>
        <w:t>La Corte unificó su jurisprudencia en relación con la estructura metodológica del juicio integrado de igualdad en la Sentencia C</w:t>
      </w:r>
      <w:r w:rsidRPr="00DB3EEA">
        <w:rPr>
          <w:rFonts w:ascii="Times New Roman" w:hAnsi="Times New Roman" w:cs="Times New Roman"/>
          <w:bCs/>
          <w:color w:val="000000" w:themeColor="text1"/>
          <w:sz w:val="28"/>
          <w:szCs w:val="28"/>
          <w:bdr w:val="none" w:sz="0" w:space="0" w:color="auto" w:frame="1"/>
          <w:shd w:val="clear" w:color="auto" w:fill="FFFFFF"/>
          <w:lang w:val="es-ES_tradnl"/>
        </w:rPr>
        <w:t>-345 de 2019</w:t>
      </w:r>
      <w:r w:rsidRPr="00DB3EEA">
        <w:rPr>
          <w:rFonts w:ascii="Times New Roman" w:hAnsi="Times New Roman" w:cs="Times New Roman"/>
          <w:bCs/>
          <w:color w:val="000000" w:themeColor="text1"/>
          <w:sz w:val="28"/>
          <w:szCs w:val="28"/>
          <w:bdr w:val="none" w:sz="0" w:space="0" w:color="auto" w:frame="1"/>
          <w:shd w:val="clear" w:color="auto" w:fill="FFFFFF"/>
          <w:lang w:val="es-ES_tradnl"/>
        </w:rPr>
        <w:t xml:space="preserve">, reiterada por las Sentencias C-203 de </w:t>
      </w:r>
      <w:r w:rsidRPr="00DB3EEA">
        <w:rPr>
          <w:rFonts w:ascii="Times New Roman" w:hAnsi="Times New Roman" w:cs="Times New Roman"/>
          <w:bCs/>
          <w:color w:val="000000" w:themeColor="text1"/>
          <w:sz w:val="28"/>
          <w:szCs w:val="28"/>
          <w:bdr w:val="none" w:sz="0" w:space="0" w:color="auto" w:frame="1"/>
          <w:shd w:val="clear" w:color="auto" w:fill="FFFFFF"/>
          <w:lang w:val="es-ES_tradnl"/>
        </w:rPr>
        <w:t>2021</w:t>
      </w:r>
      <w:r w:rsidRPr="00DB3EEA">
        <w:rPr>
          <w:rFonts w:ascii="Times New Roman" w:hAnsi="Times New Roman" w:cs="Times New Roman"/>
          <w:bCs/>
          <w:color w:val="000000" w:themeColor="text1"/>
          <w:sz w:val="28"/>
          <w:szCs w:val="28"/>
          <w:bdr w:val="none" w:sz="0" w:space="0" w:color="auto" w:frame="1"/>
          <w:shd w:val="clear" w:color="auto" w:fill="FFFFFF"/>
          <w:lang w:val="es-ES_tradnl"/>
        </w:rPr>
        <w:t>, C-</w:t>
      </w:r>
      <w:r w:rsidRPr="00DB3EEA">
        <w:rPr>
          <w:rFonts w:ascii="Times New Roman" w:hAnsi="Times New Roman" w:cs="Times New Roman"/>
          <w:bCs/>
          <w:color w:val="000000" w:themeColor="text1"/>
          <w:sz w:val="28"/>
          <w:szCs w:val="28"/>
          <w:bdr w:val="none" w:sz="0" w:space="0" w:color="auto" w:frame="1"/>
          <w:shd w:val="clear" w:color="auto" w:fill="FFFFFF"/>
          <w:lang w:val="es-ES_tradnl"/>
        </w:rPr>
        <w:t>435 de 2023 y C-500 de 2024</w:t>
      </w:r>
      <w:r w:rsidRPr="00DB3EEA">
        <w:rPr>
          <w:rFonts w:ascii="Times New Roman" w:hAnsi="Times New Roman" w:cs="Times New Roman"/>
          <w:bCs/>
          <w:color w:val="000000" w:themeColor="text1"/>
          <w:sz w:val="28"/>
          <w:szCs w:val="28"/>
          <w:bdr w:val="none" w:sz="0" w:space="0" w:color="auto" w:frame="1"/>
          <w:shd w:val="clear" w:color="auto" w:fill="FFFFFF"/>
          <w:lang w:val="es-ES_tradnl"/>
        </w:rPr>
        <w:t xml:space="preserve">. </w:t>
      </w:r>
      <w:r w:rsidRPr="00DB3EEA">
        <w:rPr>
          <w:rFonts w:ascii="Times New Roman" w:hAnsi="Times New Roman" w:cs="Times New Roman"/>
          <w:bCs/>
          <w:sz w:val="28"/>
          <w:szCs w:val="28"/>
          <w:bdr w:val="none" w:sz="0" w:space="0" w:color="auto" w:frame="1"/>
          <w:shd w:val="clear" w:color="auto" w:fill="FFFFFF"/>
          <w:lang w:val="es-ES_tradnl"/>
        </w:rPr>
        <w:t xml:space="preserve">Esta sentencia señaló que la aplicación de dicho juicio está precedida de la identificación de </w:t>
      </w:r>
      <w:r w:rsidRPr="00DB3EEA">
        <w:rPr>
          <w:rFonts w:ascii="Times New Roman" w:hAnsi="Times New Roman" w:cs="Times New Roman"/>
          <w:bCs/>
          <w:i/>
          <w:iCs/>
          <w:sz w:val="28"/>
          <w:szCs w:val="28"/>
          <w:bdr w:val="none" w:sz="0" w:space="0" w:color="auto" w:frame="1"/>
          <w:shd w:val="clear" w:color="auto" w:fill="FFFFFF"/>
          <w:lang w:val="es-ES_tradnl"/>
        </w:rPr>
        <w:t>“dos presupuestos que responden al carácter relacional del principio de igualdad”</w:t>
      </w:r>
      <w:r w:rsidRPr="00DB3EEA">
        <w:rPr>
          <w:rFonts w:ascii="Times New Roman" w:hAnsi="Times New Roman" w:cs="Times New Roman"/>
          <w:bCs/>
          <w:sz w:val="28"/>
          <w:szCs w:val="28"/>
          <w:bdr w:val="none" w:sz="0" w:space="0" w:color="auto" w:frame="1"/>
          <w:shd w:val="clear" w:color="auto" w:fill="FFFFFF"/>
          <w:lang w:val="es-ES_tradnl"/>
        </w:rPr>
        <w:t xml:space="preserve">, a saber: </w:t>
      </w:r>
      <w:r w:rsidRPr="00DB3EEA">
        <w:rPr>
          <w:rFonts w:ascii="Times New Roman" w:hAnsi="Times New Roman" w:cs="Times New Roman"/>
          <w:bCs/>
          <w:i/>
          <w:iCs/>
          <w:sz w:val="28"/>
          <w:szCs w:val="28"/>
          <w:bdr w:val="none" w:sz="0" w:space="0" w:color="auto" w:frame="1"/>
          <w:shd w:val="clear" w:color="auto" w:fill="FFFFFF"/>
          <w:lang w:val="es-ES_tradnl"/>
        </w:rPr>
        <w:t>(i)</w:t>
      </w:r>
      <w:r w:rsidRPr="00DB3EEA">
        <w:rPr>
          <w:rFonts w:ascii="Times New Roman" w:hAnsi="Times New Roman" w:cs="Times New Roman"/>
          <w:bCs/>
          <w:sz w:val="28"/>
          <w:szCs w:val="28"/>
          <w:bdr w:val="none" w:sz="0" w:space="0" w:color="auto" w:frame="1"/>
          <w:shd w:val="clear" w:color="auto" w:fill="FFFFFF"/>
          <w:lang w:val="es-ES_tradnl"/>
        </w:rPr>
        <w:t xml:space="preserve"> </w:t>
      </w:r>
      <w:r w:rsidRPr="00DB3EEA">
        <w:rPr>
          <w:rFonts w:ascii="Times New Roman" w:hAnsi="Times New Roman" w:cs="Times New Roman"/>
          <w:bCs/>
          <w:i/>
          <w:iCs/>
          <w:sz w:val="28"/>
          <w:szCs w:val="28"/>
          <w:bdr w:val="none" w:sz="0" w:space="0" w:color="auto" w:frame="1"/>
          <w:shd w:val="clear" w:color="auto" w:fill="FFFFFF"/>
          <w:lang w:val="es-ES_tradnl"/>
        </w:rPr>
        <w:t>“los términos de comparación</w:t>
      </w:r>
      <w:r w:rsidRPr="00DB3EEA">
        <w:rPr>
          <w:rFonts w:ascii="Times New Roman" w:hAnsi="Times New Roman" w:cs="Times New Roman"/>
          <w:bCs/>
          <w:i/>
          <w:iCs/>
          <w:sz w:val="28"/>
          <w:szCs w:val="28"/>
          <w:bdr w:val="none" w:sz="0" w:space="0" w:color="auto" w:frame="1"/>
          <w:shd w:val="clear" w:color="auto" w:fill="FFFFFF"/>
          <w:lang w:val="es-ES_tradnl"/>
        </w:rPr>
        <w:t>, esto es, las personas, elementos, hechos o situaciones que efectivamente son comparables”</w:t>
      </w:r>
      <w:r w:rsidRPr="00DB3EEA">
        <w:rPr>
          <w:rFonts w:ascii="Times New Roman" w:hAnsi="Times New Roman" w:cs="Times New Roman"/>
          <w:bCs/>
          <w:sz w:val="28"/>
          <w:szCs w:val="28"/>
          <w:bdr w:val="none" w:sz="0" w:space="0" w:color="auto" w:frame="1"/>
          <w:shd w:val="clear" w:color="auto" w:fill="FFFFFF"/>
          <w:lang w:val="es-ES_tradnl"/>
        </w:rPr>
        <w:t xml:space="preserve"> y </w:t>
      </w:r>
      <w:r w:rsidRPr="00DB3EEA">
        <w:rPr>
          <w:rFonts w:ascii="Times New Roman" w:hAnsi="Times New Roman" w:cs="Times New Roman"/>
          <w:bCs/>
          <w:i/>
          <w:iCs/>
          <w:sz w:val="28"/>
          <w:szCs w:val="28"/>
          <w:bdr w:val="none" w:sz="0" w:space="0" w:color="auto" w:frame="1"/>
          <w:shd w:val="clear" w:color="auto" w:fill="FFFFFF"/>
          <w:lang w:val="es-ES_tradnl"/>
        </w:rPr>
        <w:t>(ii)</w:t>
      </w:r>
      <w:r w:rsidRPr="00DB3EEA">
        <w:rPr>
          <w:rFonts w:ascii="Times New Roman" w:hAnsi="Times New Roman" w:cs="Times New Roman"/>
          <w:bCs/>
          <w:sz w:val="28"/>
          <w:szCs w:val="28"/>
          <w:bdr w:val="none" w:sz="0" w:space="0" w:color="auto" w:frame="1"/>
          <w:shd w:val="clear" w:color="auto" w:fill="FFFFFF"/>
          <w:lang w:val="es-ES_tradnl"/>
        </w:rPr>
        <w:t xml:space="preserve"> el tratamiento o </w:t>
      </w:r>
      <w:r w:rsidRPr="00DB3EEA">
        <w:rPr>
          <w:rFonts w:ascii="Times New Roman" w:hAnsi="Times New Roman" w:cs="Times New Roman"/>
          <w:bCs/>
          <w:i/>
          <w:iCs/>
          <w:sz w:val="28"/>
          <w:szCs w:val="28"/>
          <w:bdr w:val="none" w:sz="0" w:space="0" w:color="auto" w:frame="1"/>
          <w:shd w:val="clear" w:color="auto" w:fill="FFFFFF"/>
          <w:lang w:val="es-ES_tradnl"/>
        </w:rPr>
        <w:t>“trato desigual”</w:t>
      </w:r>
      <w:r w:rsidRPr="00DB3EEA">
        <w:rPr>
          <w:rFonts w:ascii="Times New Roman" w:hAnsi="Times New Roman" w:cs="Times New Roman"/>
          <w:bCs/>
          <w:sz w:val="28"/>
          <w:szCs w:val="28"/>
          <w:bdr w:val="none" w:sz="0" w:space="0" w:color="auto" w:frame="1"/>
          <w:shd w:val="clear" w:color="auto" w:fill="FFFFFF"/>
          <w:lang w:val="es-ES_tradnl"/>
        </w:rPr>
        <w:t>. Una vez que ha valorado dichos presupuestos, el juez constitucional debe determinar si el trato desigual se encuentra cons</w:t>
      </w:r>
      <w:r w:rsidRPr="00DB3EEA">
        <w:rPr>
          <w:rFonts w:ascii="Times New Roman" w:hAnsi="Times New Roman" w:cs="Times New Roman"/>
          <w:bCs/>
          <w:sz w:val="28"/>
          <w:szCs w:val="28"/>
          <w:bdr w:val="none" w:sz="0" w:space="0" w:color="auto" w:frame="1"/>
          <w:shd w:val="clear" w:color="auto" w:fill="FFFFFF"/>
          <w:lang w:val="es-ES_tradnl"/>
        </w:rPr>
        <w:t xml:space="preserve">titucionalmente justificado. Para ello, debe </w:t>
      </w:r>
      <w:r w:rsidRPr="00DB3EEA">
        <w:rPr>
          <w:rFonts w:ascii="Times New Roman" w:hAnsi="Times New Roman" w:cs="Times New Roman"/>
          <w:bCs/>
          <w:i/>
          <w:iCs/>
          <w:sz w:val="28"/>
          <w:szCs w:val="28"/>
          <w:bdr w:val="none" w:sz="0" w:space="0" w:color="auto" w:frame="1"/>
          <w:shd w:val="clear" w:color="auto" w:fill="FFFFFF"/>
          <w:lang w:val="es-ES_tradnl"/>
        </w:rPr>
        <w:t>(i)</w:t>
      </w:r>
      <w:r w:rsidRPr="00DB3EEA">
        <w:rPr>
          <w:rFonts w:ascii="Times New Roman" w:hAnsi="Times New Roman" w:cs="Times New Roman"/>
          <w:bCs/>
          <w:sz w:val="28"/>
          <w:szCs w:val="28"/>
          <w:bdr w:val="none" w:sz="0" w:space="0" w:color="auto" w:frame="1"/>
          <w:shd w:val="clear" w:color="auto" w:fill="FFFFFF"/>
          <w:lang w:val="es-ES_tradnl"/>
        </w:rPr>
        <w:t xml:space="preserve"> definir la intensidad del juicio: leve, intermedio o estricto; </w:t>
      </w:r>
      <w:r w:rsidRPr="00DB3EEA">
        <w:rPr>
          <w:rFonts w:ascii="Times New Roman" w:hAnsi="Times New Roman" w:cs="Times New Roman"/>
          <w:bCs/>
          <w:i/>
          <w:iCs/>
          <w:sz w:val="28"/>
          <w:szCs w:val="28"/>
          <w:bdr w:val="none" w:sz="0" w:space="0" w:color="auto" w:frame="1"/>
          <w:shd w:val="clear" w:color="auto" w:fill="FFFFFF"/>
          <w:lang w:val="es-ES_tradnl"/>
        </w:rPr>
        <w:t xml:space="preserve">(ii) </w:t>
      </w:r>
      <w:r w:rsidRPr="00DB3EEA">
        <w:rPr>
          <w:rFonts w:ascii="Times New Roman" w:hAnsi="Times New Roman" w:cs="Times New Roman"/>
          <w:bCs/>
          <w:sz w:val="28"/>
          <w:szCs w:val="28"/>
          <w:bdr w:val="none" w:sz="0" w:space="0" w:color="auto" w:frame="1"/>
          <w:shd w:val="clear" w:color="auto" w:fill="FFFFFF"/>
          <w:lang w:val="es-ES_tradnl"/>
        </w:rPr>
        <w:t xml:space="preserve">verificar que la medida persiga una finalidad constitucionalmente legítima, importante o imperiosa, según el caso, y </w:t>
      </w:r>
      <w:r w:rsidRPr="00DB3EEA">
        <w:rPr>
          <w:rFonts w:ascii="Times New Roman" w:hAnsi="Times New Roman" w:cs="Times New Roman"/>
          <w:bCs/>
          <w:i/>
          <w:iCs/>
          <w:sz w:val="28"/>
          <w:szCs w:val="28"/>
          <w:bdr w:val="none" w:sz="0" w:space="0" w:color="auto" w:frame="1"/>
          <w:shd w:val="clear" w:color="auto" w:fill="FFFFFF"/>
          <w:lang w:val="es-ES_tradnl"/>
        </w:rPr>
        <w:t>(iii)</w:t>
      </w:r>
      <w:r w:rsidRPr="00DB3EEA">
        <w:rPr>
          <w:rFonts w:ascii="Times New Roman" w:hAnsi="Times New Roman" w:cs="Times New Roman"/>
          <w:bCs/>
          <w:sz w:val="28"/>
          <w:szCs w:val="28"/>
          <w:bdr w:val="none" w:sz="0" w:space="0" w:color="auto" w:frame="1"/>
          <w:shd w:val="clear" w:color="auto" w:fill="FFFFFF"/>
          <w:lang w:val="es-ES_tradnl"/>
        </w:rPr>
        <w:t xml:space="preserve"> analizar la prop</w:t>
      </w:r>
      <w:r w:rsidRPr="00DB3EEA">
        <w:rPr>
          <w:rFonts w:ascii="Times New Roman" w:hAnsi="Times New Roman" w:cs="Times New Roman"/>
          <w:bCs/>
          <w:sz w:val="28"/>
          <w:szCs w:val="28"/>
          <w:bdr w:val="none" w:sz="0" w:space="0" w:color="auto" w:frame="1"/>
          <w:shd w:val="clear" w:color="auto" w:fill="FFFFFF"/>
          <w:lang w:val="es-ES_tradnl"/>
        </w:rPr>
        <w:t xml:space="preserve">orcionalidad de la medida, que aumenta según </w:t>
      </w:r>
      <w:r w:rsidRPr="00DB3EEA">
        <w:rPr>
          <w:rFonts w:ascii="Times New Roman" w:hAnsi="Times New Roman" w:cs="Times New Roman"/>
          <w:bCs/>
          <w:i/>
          <w:iCs/>
          <w:sz w:val="28"/>
          <w:szCs w:val="28"/>
          <w:bdr w:val="none" w:sz="0" w:space="0" w:color="auto" w:frame="1"/>
          <w:shd w:val="clear" w:color="auto" w:fill="FFFFFF"/>
          <w:lang w:val="es-ES_tradnl"/>
        </w:rPr>
        <w:t>“la intensidad del juicio”</w:t>
      </w:r>
      <w:r w:rsidRPr="00DB3EEA">
        <w:rPr>
          <w:rStyle w:val="Refdenotaalpie"/>
          <w:rFonts w:ascii="Times New Roman" w:hAnsi="Times New Roman" w:cs="Times New Roman"/>
          <w:bCs/>
          <w:sz w:val="28"/>
          <w:szCs w:val="28"/>
          <w:bdr w:val="none" w:sz="0" w:space="0" w:color="auto" w:frame="1"/>
          <w:shd w:val="clear" w:color="auto" w:fill="FFFFFF"/>
          <w:lang w:val="es-ES_tradnl"/>
        </w:rPr>
        <w:footnoteReference w:id="153"/>
      </w:r>
      <w:r w:rsidRPr="00DB3EEA">
        <w:rPr>
          <w:rFonts w:ascii="Times New Roman" w:hAnsi="Times New Roman" w:cs="Times New Roman"/>
          <w:bCs/>
          <w:sz w:val="28"/>
          <w:szCs w:val="28"/>
          <w:bdr w:val="none" w:sz="0" w:space="0" w:color="auto" w:frame="1"/>
          <w:shd w:val="clear" w:color="auto" w:fill="FFFFFF"/>
          <w:lang w:val="es-ES_tradnl"/>
        </w:rPr>
        <w:t>. En cuanto a los niveles de intensidad, la Sentencia C-345 de 2019 precisó lo siguiente:</w:t>
      </w:r>
    </w:p>
    <w:p w:rsidR="00710732" w:rsidRPr="00DB3EEA" w:rsidRDefault="00DB3EEA" w:rsidP="00710732">
      <w:pPr>
        <w:pStyle w:val="Prrafodelista"/>
        <w:rPr>
          <w:rFonts w:ascii="Times New Roman" w:eastAsiaTheme="minorHAnsi" w:hAnsi="Times New Roman" w:cs="Times New Roman"/>
          <w:color w:val="000000"/>
          <w:sz w:val="28"/>
          <w:szCs w:val="28"/>
          <w:lang w:eastAsia="en-US"/>
        </w:rPr>
      </w:pPr>
    </w:p>
    <w:p w:rsidR="006E13BE" w:rsidRPr="00DB3EEA" w:rsidRDefault="00DB3EEA" w:rsidP="77F9EEE0">
      <w:pPr>
        <w:pStyle w:val="Lista"/>
        <w:tabs>
          <w:tab w:val="left" w:pos="851"/>
        </w:tabs>
        <w:spacing w:before="0" w:beforeAutospacing="0" w:after="0" w:afterAutospacing="0"/>
        <w:ind w:left="709"/>
        <w:contextualSpacing/>
        <w:jc w:val="both"/>
        <w:rPr>
          <w:rFonts w:ascii="Times New Roman" w:hAnsi="Times New Roman" w:cs="Times New Roman"/>
          <w:i/>
          <w:iCs/>
          <w:sz w:val="28"/>
          <w:szCs w:val="28"/>
          <w:bdr w:val="none" w:sz="0" w:space="0" w:color="auto" w:frame="1"/>
          <w:shd w:val="clear" w:color="auto" w:fill="FFFFFF"/>
          <w:lang w:val="es-ES"/>
        </w:rPr>
      </w:pPr>
      <w:r w:rsidRPr="00DB3EEA">
        <w:rPr>
          <w:rFonts w:ascii="Times New Roman" w:hAnsi="Times New Roman" w:cs="Times New Roman"/>
          <w:sz w:val="28"/>
          <w:szCs w:val="28"/>
          <w:lang w:val="es-ES"/>
        </w:rPr>
        <w:t>“</w:t>
      </w:r>
      <w:r w:rsidRPr="00DB3EEA">
        <w:rPr>
          <w:rFonts w:ascii="Times New Roman" w:hAnsi="Times New Roman" w:cs="Times New Roman"/>
          <w:i/>
          <w:iCs/>
          <w:sz w:val="28"/>
          <w:szCs w:val="28"/>
          <w:lang w:val="es-ES"/>
        </w:rPr>
        <w:t>Test leve. Este escrutinio “está dirigido a verificar que la actividad legislativa se ejerza dentro del marco de razonabilidad y que, por ende, no se adopten decisiones arbitrarias o caprichosas”. En esa medida, se aplica, por regla general, a materias res</w:t>
      </w:r>
      <w:r w:rsidRPr="00DB3EEA">
        <w:rPr>
          <w:rFonts w:ascii="Times New Roman" w:hAnsi="Times New Roman" w:cs="Times New Roman"/>
          <w:i/>
          <w:iCs/>
          <w:sz w:val="28"/>
          <w:szCs w:val="28"/>
          <w:lang w:val="es-ES"/>
        </w:rPr>
        <w:t xml:space="preserve">pecto de las cuales el </w:t>
      </w:r>
      <w:r w:rsidRPr="00DB3EEA">
        <w:rPr>
          <w:rFonts w:ascii="Times New Roman" w:hAnsi="Times New Roman" w:cs="Times New Roman"/>
          <w:i/>
          <w:iCs/>
          <w:sz w:val="28"/>
          <w:szCs w:val="28"/>
          <w:lang w:val="es-ES"/>
        </w:rPr>
        <w:t>legislador</w:t>
      </w:r>
      <w:r w:rsidRPr="00DB3EEA">
        <w:rPr>
          <w:rFonts w:ascii="Times New Roman" w:hAnsi="Times New Roman" w:cs="Times New Roman"/>
          <w:i/>
          <w:iCs/>
          <w:sz w:val="28"/>
          <w:szCs w:val="28"/>
          <w:lang w:val="es-ES"/>
        </w:rPr>
        <w:t xml:space="preserve"> tiene una amplia libertad de configuración. Por medio de este test, el juez debe determinar que la medida (i) “persiga una finalidad que no este prohibida constitucionalmente” y (ii) sea “potencialmente adecuada para alcan</w:t>
      </w:r>
      <w:r w:rsidRPr="00DB3EEA">
        <w:rPr>
          <w:rFonts w:ascii="Times New Roman" w:hAnsi="Times New Roman" w:cs="Times New Roman"/>
          <w:i/>
          <w:iCs/>
          <w:sz w:val="28"/>
          <w:szCs w:val="28"/>
          <w:lang w:val="es-ES"/>
        </w:rPr>
        <w:t>zar [esa] finalidad”.</w:t>
      </w:r>
    </w:p>
    <w:p w:rsidR="006E13BE" w:rsidRPr="00DB3EEA" w:rsidRDefault="00DB3EEA" w:rsidP="00912A2C">
      <w:pPr>
        <w:pStyle w:val="Lista"/>
        <w:tabs>
          <w:tab w:val="left" w:pos="851"/>
        </w:tabs>
        <w:spacing w:before="0" w:beforeAutospacing="0" w:after="0" w:afterAutospacing="0"/>
        <w:ind w:left="709"/>
        <w:jc w:val="both"/>
        <w:rPr>
          <w:rFonts w:ascii="Times New Roman" w:hAnsi="Times New Roman" w:cs="Times New Roman"/>
          <w:bCs/>
          <w:i/>
          <w:iCs/>
          <w:sz w:val="28"/>
          <w:szCs w:val="28"/>
          <w:bdr w:val="none" w:sz="0" w:space="0" w:color="auto" w:frame="1"/>
          <w:shd w:val="clear" w:color="auto" w:fill="FFFFFF"/>
          <w:lang w:val="es-ES_tradnl"/>
        </w:rPr>
      </w:pPr>
    </w:p>
    <w:p w:rsidR="006E13BE" w:rsidRPr="00DB3EEA" w:rsidRDefault="00DB3EEA" w:rsidP="77F9EEE0">
      <w:pPr>
        <w:pStyle w:val="Lista"/>
        <w:tabs>
          <w:tab w:val="left" w:pos="851"/>
        </w:tabs>
        <w:spacing w:before="0" w:beforeAutospacing="0" w:after="0" w:afterAutospacing="0"/>
        <w:ind w:left="709"/>
        <w:contextualSpacing/>
        <w:jc w:val="both"/>
        <w:rPr>
          <w:rFonts w:ascii="Times New Roman" w:hAnsi="Times New Roman" w:cs="Times New Roman"/>
          <w:i/>
          <w:iCs/>
          <w:sz w:val="28"/>
          <w:szCs w:val="28"/>
          <w:bdr w:val="none" w:sz="0" w:space="0" w:color="auto" w:frame="1"/>
          <w:shd w:val="clear" w:color="auto" w:fill="FFFFFF"/>
          <w:lang w:val="es-ES"/>
        </w:rPr>
      </w:pPr>
      <w:r w:rsidRPr="00DB3EEA">
        <w:rPr>
          <w:rFonts w:ascii="Times New Roman" w:hAnsi="Times New Roman" w:cs="Times New Roman"/>
          <w:i/>
          <w:iCs/>
          <w:sz w:val="28"/>
          <w:szCs w:val="28"/>
          <w:lang w:val="es-ES"/>
        </w:rPr>
        <w:t xml:space="preserve">Test intermedio. Este escrutinio procede, entre otros casos, cuando “la medida puede afectar el goce de un derecho constitucional no fundamental” o “cuando existe un indicio de arbitrariedad que se refleja </w:t>
      </w:r>
      <w:r w:rsidRPr="00DB3EEA">
        <w:rPr>
          <w:rFonts w:ascii="Times New Roman" w:hAnsi="Times New Roman" w:cs="Times New Roman"/>
          <w:i/>
          <w:iCs/>
          <w:sz w:val="28"/>
          <w:szCs w:val="28"/>
          <w:lang w:val="es-ES"/>
        </w:rPr>
        <w:t>en la afectación grave de la libre competencia”. Además, la Corte lo ha aplicado cuando “existen normas basadas en criterios sospechosos pero con el fin de favorecer a grupos históricamente discriminados”. Por medio de este test, el juez debe constatar que</w:t>
      </w:r>
      <w:r w:rsidRPr="00DB3EEA">
        <w:rPr>
          <w:rFonts w:ascii="Times New Roman" w:hAnsi="Times New Roman" w:cs="Times New Roman"/>
          <w:i/>
          <w:iCs/>
          <w:sz w:val="28"/>
          <w:szCs w:val="28"/>
          <w:lang w:val="es-ES"/>
        </w:rPr>
        <w:t xml:space="preserve"> la medida </w:t>
      </w:r>
      <w:r w:rsidRPr="00DB3EEA">
        <w:rPr>
          <w:rFonts w:ascii="Times New Roman" w:hAnsi="Times New Roman" w:cs="Times New Roman"/>
          <w:i/>
          <w:iCs/>
          <w:sz w:val="28"/>
          <w:szCs w:val="28"/>
          <w:bdr w:val="none" w:sz="0" w:space="0" w:color="auto" w:frame="1"/>
          <w:shd w:val="clear" w:color="auto" w:fill="FFFFFF"/>
          <w:lang w:val="es-ES"/>
        </w:rPr>
        <w:t xml:space="preserve">(i) persiga una finalidad “constitucionalmente importante” y (ii) “que el medio para lograrlo sea efectivamente conducente”. Además, “se debe verificar que la medida no sea evidentemente desproporcionada”. </w:t>
      </w:r>
    </w:p>
    <w:p w:rsidR="006E13BE" w:rsidRPr="00DB3EEA" w:rsidRDefault="00DB3EEA" w:rsidP="00912A2C">
      <w:pPr>
        <w:pStyle w:val="Lista"/>
        <w:tabs>
          <w:tab w:val="left" w:pos="851"/>
        </w:tabs>
        <w:spacing w:before="0" w:beforeAutospacing="0" w:after="0" w:afterAutospacing="0"/>
        <w:ind w:left="709"/>
        <w:jc w:val="both"/>
        <w:rPr>
          <w:rFonts w:ascii="Times New Roman" w:hAnsi="Times New Roman" w:cs="Times New Roman"/>
          <w:bCs/>
          <w:i/>
          <w:iCs/>
          <w:sz w:val="28"/>
          <w:szCs w:val="28"/>
          <w:bdr w:val="none" w:sz="0" w:space="0" w:color="auto" w:frame="1"/>
          <w:shd w:val="clear" w:color="auto" w:fill="FFFFFF"/>
          <w:lang w:val="es-ES_tradnl"/>
        </w:rPr>
      </w:pPr>
    </w:p>
    <w:p w:rsidR="006E13BE" w:rsidRPr="00DB3EEA" w:rsidRDefault="00DB3EEA" w:rsidP="77F9EEE0">
      <w:pPr>
        <w:pStyle w:val="Lista"/>
        <w:tabs>
          <w:tab w:val="left" w:pos="851"/>
        </w:tabs>
        <w:spacing w:before="0" w:beforeAutospacing="0" w:after="0" w:afterAutospacing="0"/>
        <w:ind w:left="709"/>
        <w:contextualSpacing/>
        <w:jc w:val="both"/>
        <w:rPr>
          <w:rFonts w:ascii="Times New Roman" w:hAnsi="Times New Roman" w:cs="Times New Roman"/>
          <w:i/>
          <w:iCs/>
          <w:sz w:val="28"/>
          <w:szCs w:val="28"/>
          <w:bdr w:val="none" w:sz="0" w:space="0" w:color="auto" w:frame="1"/>
          <w:shd w:val="clear" w:color="auto" w:fill="FFFFFF"/>
          <w:lang w:val="es-ES"/>
        </w:rPr>
      </w:pPr>
      <w:r w:rsidRPr="00DB3EEA">
        <w:rPr>
          <w:rFonts w:ascii="Times New Roman" w:hAnsi="Times New Roman" w:cs="Times New Roman"/>
          <w:i/>
          <w:iCs/>
          <w:sz w:val="28"/>
          <w:szCs w:val="28"/>
          <w:lang w:val="es-ES"/>
        </w:rPr>
        <w:t>Test estricto. Este escrutinio aplica</w:t>
      </w:r>
      <w:r w:rsidRPr="00DB3EEA">
        <w:rPr>
          <w:rFonts w:ascii="Times New Roman" w:hAnsi="Times New Roman" w:cs="Times New Roman"/>
          <w:i/>
          <w:iCs/>
          <w:sz w:val="28"/>
          <w:szCs w:val="28"/>
          <w:lang w:val="es-ES"/>
        </w:rPr>
        <w:t xml:space="preserve"> cuando la medida versa sobre criterios sospechosos y afecta a grupos históricamente discriminados en relación con el goce o el ejercicio de un derecho</w:t>
      </w:r>
      <w:r w:rsidRPr="00DB3EEA">
        <w:rPr>
          <w:rStyle w:val="Refdenotaalpie"/>
          <w:rFonts w:ascii="Times New Roman" w:eastAsia="SimSun" w:hAnsi="Times New Roman" w:cs="Times New Roman"/>
          <w:i/>
          <w:iCs/>
          <w:sz w:val="28"/>
          <w:szCs w:val="28"/>
          <w:lang w:val="es-ES"/>
        </w:rPr>
        <w:footnoteReference w:id="154"/>
      </w:r>
      <w:r w:rsidRPr="00DB3EEA">
        <w:rPr>
          <w:rFonts w:ascii="Times New Roman" w:hAnsi="Times New Roman" w:cs="Times New Roman"/>
          <w:i/>
          <w:iCs/>
          <w:sz w:val="28"/>
          <w:szCs w:val="28"/>
          <w:lang w:val="es-ES"/>
        </w:rPr>
        <w:t xml:space="preserve">. Mediante este test, el juez constitucional debe </w:t>
      </w:r>
      <w:r w:rsidRPr="00DB3EEA">
        <w:rPr>
          <w:rFonts w:ascii="Times New Roman" w:hAnsi="Times New Roman" w:cs="Times New Roman"/>
          <w:i/>
          <w:iCs/>
          <w:sz w:val="28"/>
          <w:szCs w:val="28"/>
          <w:lang w:val="es-ES"/>
        </w:rPr>
        <w:t>constatar (</w:t>
      </w:r>
      <w:r w:rsidRPr="00DB3EEA">
        <w:rPr>
          <w:rFonts w:ascii="Times New Roman" w:hAnsi="Times New Roman" w:cs="Times New Roman"/>
          <w:i/>
          <w:iCs/>
          <w:sz w:val="28"/>
          <w:szCs w:val="28"/>
          <w:bdr w:val="none" w:sz="0" w:space="0" w:color="auto" w:frame="1"/>
          <w:shd w:val="clear" w:color="auto" w:fill="FFFFFF"/>
          <w:lang w:val="es-ES"/>
        </w:rPr>
        <w:t>i) “si el fin perseguido por la norma es im</w:t>
      </w:r>
      <w:r w:rsidRPr="00DB3EEA">
        <w:rPr>
          <w:rFonts w:ascii="Times New Roman" w:hAnsi="Times New Roman" w:cs="Times New Roman"/>
          <w:i/>
          <w:iCs/>
          <w:sz w:val="28"/>
          <w:szCs w:val="28"/>
          <w:bdr w:val="none" w:sz="0" w:space="0" w:color="auto" w:frame="1"/>
          <w:shd w:val="clear" w:color="auto" w:fill="FFFFFF"/>
          <w:lang w:val="es-ES"/>
        </w:rPr>
        <w:t xml:space="preserve">perioso”, (ii) “si el medio escogido, además de ser efectivamente conducente, es necesario” y, por último, (iii) “si la medida es proporcional en sentido estricto”. </w:t>
      </w:r>
    </w:p>
    <w:p w:rsidR="00D1401D" w:rsidRPr="00DB3EEA" w:rsidRDefault="00DB3EEA" w:rsidP="00D1401D">
      <w:pPr>
        <w:pStyle w:val="Prrafodelista"/>
        <w:rPr>
          <w:rFonts w:ascii="Times New Roman" w:eastAsiaTheme="minorHAnsi" w:hAnsi="Times New Roman" w:cs="Times New Roman"/>
          <w:color w:val="000000"/>
          <w:sz w:val="28"/>
          <w:szCs w:val="28"/>
          <w:lang w:eastAsia="en-US"/>
        </w:rPr>
      </w:pPr>
    </w:p>
    <w:p w:rsidR="00D1401D" w:rsidRPr="00DB3EEA" w:rsidRDefault="00DB3EEA" w:rsidP="007D36D5">
      <w:pPr>
        <w:pStyle w:val="Prrafodelista"/>
        <w:numPr>
          <w:ilvl w:val="0"/>
          <w:numId w:val="3"/>
        </w:numPr>
        <w:ind w:left="357" w:hanging="357"/>
        <w:jc w:val="both"/>
        <w:outlineLvl w:val="1"/>
        <w:rPr>
          <w:rFonts w:ascii="Times New Roman" w:hAnsi="Times New Roman" w:cs="Times New Roman"/>
          <w:b/>
          <w:bCs/>
          <w:color w:val="2D2D2D"/>
          <w:sz w:val="28"/>
          <w:szCs w:val="28"/>
        </w:rPr>
      </w:pPr>
      <w:r w:rsidRPr="00DB3EEA">
        <w:rPr>
          <w:rFonts w:ascii="Times New Roman" w:hAnsi="Times New Roman" w:cs="Times New Roman"/>
          <w:b/>
          <w:bCs/>
          <w:color w:val="2D2D2D"/>
          <w:sz w:val="28"/>
          <w:szCs w:val="28"/>
        </w:rPr>
        <w:t xml:space="preserve">El alcance de la reserva de ley marco en materia </w:t>
      </w:r>
      <w:r w:rsidRPr="00DB3EEA">
        <w:rPr>
          <w:rFonts w:ascii="Times New Roman" w:hAnsi="Times New Roman" w:cs="Times New Roman"/>
          <w:b/>
          <w:bCs/>
          <w:color w:val="2D2D2D"/>
          <w:sz w:val="28"/>
          <w:szCs w:val="28"/>
        </w:rPr>
        <w:t>aduanera</w:t>
      </w:r>
    </w:p>
    <w:p w:rsidR="00D1401D" w:rsidRPr="00DB3EEA" w:rsidRDefault="00DB3EEA" w:rsidP="00D1401D">
      <w:pPr>
        <w:pStyle w:val="Prrafodelista"/>
        <w:jc w:val="both"/>
        <w:rPr>
          <w:rFonts w:ascii="Times New Roman" w:hAnsi="Times New Roman" w:cs="Times New Roman"/>
          <w:b/>
          <w:bCs/>
          <w:color w:val="2D2D2D"/>
          <w:sz w:val="28"/>
          <w:szCs w:val="28"/>
        </w:rPr>
      </w:pPr>
    </w:p>
    <w:p w:rsidR="00D1401D" w:rsidRPr="00DB3EEA" w:rsidRDefault="00DB3EEA" w:rsidP="00D1401D">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El artículo 150-19, ordinal c)</w:t>
      </w:r>
      <w:r w:rsidRPr="00DB3EEA">
        <w:rPr>
          <w:rFonts w:ascii="Times New Roman" w:hAnsi="Times New Roman" w:cs="Times New Roman"/>
          <w:sz w:val="28"/>
          <w:szCs w:val="28"/>
        </w:rPr>
        <w:t>, y el artículo 189-25 de la Constitución Política consagran la reserva de ley marco en materia arancelaria, en los siguientes términos:</w:t>
      </w:r>
    </w:p>
    <w:p w:rsidR="00D1401D" w:rsidRPr="00DB3EEA" w:rsidRDefault="00DB3EEA" w:rsidP="00D1401D">
      <w:pPr>
        <w:pStyle w:val="Prrafodelista"/>
        <w:ind w:left="708"/>
        <w:jc w:val="both"/>
        <w:rPr>
          <w:rFonts w:ascii="Times New Roman" w:hAnsi="Times New Roman" w:cs="Times New Roman"/>
          <w:i/>
          <w:iCs/>
          <w:sz w:val="28"/>
          <w:szCs w:val="28"/>
        </w:rPr>
      </w:pPr>
    </w:p>
    <w:p w:rsidR="00D1401D" w:rsidRPr="00DB3EEA" w:rsidRDefault="00DB3EEA" w:rsidP="00BA2C58">
      <w:pPr>
        <w:pStyle w:val="Prrafodelista"/>
        <w:ind w:left="567"/>
        <w:jc w:val="both"/>
        <w:rPr>
          <w:rFonts w:ascii="Times New Roman" w:hAnsi="Times New Roman" w:cs="Times New Roman"/>
          <w:i/>
          <w:iCs/>
          <w:sz w:val="28"/>
          <w:szCs w:val="28"/>
        </w:rPr>
      </w:pPr>
      <w:r w:rsidRPr="00DB3EEA">
        <w:rPr>
          <w:rFonts w:ascii="Times New Roman" w:hAnsi="Times New Roman" w:cs="Times New Roman"/>
          <w:i/>
          <w:iCs/>
          <w:sz w:val="28"/>
          <w:szCs w:val="28"/>
        </w:rPr>
        <w:t>“150. Corresponde al Congreso hacer las leyes. Por medio de ellas ejerce las siguientes funciones:</w:t>
      </w:r>
    </w:p>
    <w:p w:rsidR="00D1401D" w:rsidRPr="00DB3EEA" w:rsidRDefault="00DB3EEA" w:rsidP="00BA2C58">
      <w:pPr>
        <w:pStyle w:val="Prrafodelista"/>
        <w:ind w:left="567"/>
        <w:jc w:val="both"/>
        <w:rPr>
          <w:rFonts w:ascii="Times New Roman" w:hAnsi="Times New Roman" w:cs="Times New Roman"/>
          <w:i/>
          <w:iCs/>
          <w:sz w:val="28"/>
          <w:szCs w:val="28"/>
        </w:rPr>
      </w:pPr>
      <w:r w:rsidRPr="00DB3EEA">
        <w:rPr>
          <w:rFonts w:ascii="Times New Roman" w:hAnsi="Times New Roman" w:cs="Times New Roman"/>
          <w:i/>
          <w:iCs/>
          <w:sz w:val="28"/>
          <w:szCs w:val="28"/>
        </w:rPr>
        <w:t xml:space="preserve">(…) </w:t>
      </w:r>
    </w:p>
    <w:p w:rsidR="00D1401D" w:rsidRPr="00DB3EEA" w:rsidRDefault="00DB3EEA" w:rsidP="00BA2C58">
      <w:pPr>
        <w:pStyle w:val="Prrafodelista"/>
        <w:ind w:left="567"/>
        <w:jc w:val="both"/>
        <w:rPr>
          <w:rFonts w:ascii="Times New Roman" w:hAnsi="Times New Roman" w:cs="Times New Roman"/>
          <w:i/>
          <w:iCs/>
          <w:sz w:val="28"/>
          <w:szCs w:val="28"/>
        </w:rPr>
      </w:pPr>
      <w:r w:rsidRPr="00DB3EEA">
        <w:rPr>
          <w:rFonts w:ascii="Times New Roman" w:hAnsi="Times New Roman" w:cs="Times New Roman"/>
          <w:i/>
          <w:iCs/>
          <w:sz w:val="28"/>
          <w:szCs w:val="28"/>
        </w:rPr>
        <w:t>19. Dictar las</w:t>
      </w:r>
      <w:r w:rsidRPr="00DB3EEA">
        <w:rPr>
          <w:rFonts w:ascii="Times New Roman" w:hAnsi="Times New Roman" w:cs="Times New Roman"/>
          <w:i/>
          <w:iCs/>
          <w:sz w:val="28"/>
          <w:szCs w:val="28"/>
        </w:rPr>
        <w:t xml:space="preserve"> normas generales, y señalar en ellas los objetivos y criterios a los cuales debe sujetarse el Gobierno para los siguientes efectos:</w:t>
      </w:r>
    </w:p>
    <w:p w:rsidR="00D1401D" w:rsidRPr="00DB3EEA" w:rsidRDefault="00DB3EEA" w:rsidP="00BA2C58">
      <w:pPr>
        <w:pStyle w:val="Prrafodelista"/>
        <w:ind w:left="567"/>
        <w:jc w:val="both"/>
        <w:rPr>
          <w:rFonts w:ascii="Times New Roman" w:hAnsi="Times New Roman" w:cs="Times New Roman"/>
          <w:i/>
          <w:iCs/>
          <w:sz w:val="28"/>
          <w:szCs w:val="28"/>
        </w:rPr>
      </w:pPr>
      <w:r w:rsidRPr="00DB3EEA">
        <w:rPr>
          <w:rFonts w:ascii="Times New Roman" w:hAnsi="Times New Roman" w:cs="Times New Roman"/>
          <w:i/>
          <w:iCs/>
          <w:sz w:val="28"/>
          <w:szCs w:val="28"/>
        </w:rPr>
        <w:t>(…)</w:t>
      </w:r>
    </w:p>
    <w:p w:rsidR="00D1401D" w:rsidRPr="00DB3EEA" w:rsidRDefault="00DB3EEA" w:rsidP="00BA2C58">
      <w:pPr>
        <w:pStyle w:val="Prrafodelista"/>
        <w:ind w:left="567"/>
        <w:jc w:val="both"/>
        <w:rPr>
          <w:rFonts w:ascii="Times New Roman" w:hAnsi="Times New Roman" w:cs="Times New Roman"/>
          <w:i/>
          <w:iCs/>
          <w:sz w:val="28"/>
          <w:szCs w:val="28"/>
        </w:rPr>
      </w:pPr>
      <w:r w:rsidRPr="00DB3EEA">
        <w:rPr>
          <w:rFonts w:ascii="Times New Roman" w:hAnsi="Times New Roman" w:cs="Times New Roman"/>
          <w:i/>
          <w:iCs/>
          <w:sz w:val="28"/>
          <w:szCs w:val="28"/>
        </w:rPr>
        <w:t xml:space="preserve">c) Modificar, por razones de política comercial, los aranceles, tarifas y demás disposiciones concernientes al régimen </w:t>
      </w:r>
      <w:r w:rsidRPr="00DB3EEA">
        <w:rPr>
          <w:rFonts w:ascii="Times New Roman" w:hAnsi="Times New Roman" w:cs="Times New Roman"/>
          <w:i/>
          <w:iCs/>
          <w:sz w:val="28"/>
          <w:szCs w:val="28"/>
        </w:rPr>
        <w:t>de aduanas;”</w:t>
      </w:r>
    </w:p>
    <w:p w:rsidR="00D1401D" w:rsidRPr="00DB3EEA" w:rsidRDefault="00DB3EEA" w:rsidP="00BA2C58">
      <w:pPr>
        <w:pStyle w:val="Prrafodelista"/>
        <w:ind w:left="567"/>
        <w:jc w:val="both"/>
        <w:rPr>
          <w:rFonts w:ascii="Times New Roman" w:hAnsi="Times New Roman" w:cs="Times New Roman"/>
          <w:sz w:val="28"/>
          <w:szCs w:val="28"/>
        </w:rPr>
      </w:pPr>
    </w:p>
    <w:p w:rsidR="00D1401D" w:rsidRPr="00DB3EEA" w:rsidRDefault="00DB3EEA" w:rsidP="00D1401D">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El origen de esta técnica legislativa, fundamentada en el principio de colaboración armónica entre el Legislativo y el Ejecutivo, se incorporó al ordenamiento jurídico colombiano con la expedición del Acto Legislativo 1 de 1968, mediante el cual se reformó</w:t>
      </w:r>
      <w:r w:rsidRPr="00DB3EEA">
        <w:rPr>
          <w:rFonts w:ascii="Times New Roman" w:hAnsi="Times New Roman" w:cs="Times New Roman"/>
          <w:sz w:val="28"/>
          <w:szCs w:val="28"/>
        </w:rPr>
        <w:t xml:space="preserve"> el artículo 76 de la Constitución Política de 1886. La exposición de motivos que justificó </w:t>
      </w:r>
      <w:r w:rsidRPr="00DB3EEA">
        <w:rPr>
          <w:rFonts w:ascii="Times New Roman" w:hAnsi="Times New Roman" w:cs="Times New Roman"/>
          <w:sz w:val="28"/>
          <w:szCs w:val="28"/>
        </w:rPr>
        <w:t>est</w:t>
      </w:r>
      <w:r w:rsidRPr="00DB3EEA">
        <w:rPr>
          <w:rFonts w:ascii="Times New Roman" w:hAnsi="Times New Roman" w:cs="Times New Roman"/>
          <w:sz w:val="28"/>
          <w:szCs w:val="28"/>
        </w:rPr>
        <w:t>e ajuste</w:t>
      </w:r>
      <w:r w:rsidRPr="00DB3EEA">
        <w:rPr>
          <w:rFonts w:ascii="Times New Roman" w:hAnsi="Times New Roman" w:cs="Times New Roman"/>
          <w:sz w:val="28"/>
          <w:szCs w:val="28"/>
        </w:rPr>
        <w:t xml:space="preserve"> partía “</w:t>
      </w:r>
      <w:r w:rsidRPr="00DB3EEA">
        <w:rPr>
          <w:rFonts w:ascii="Times New Roman" w:hAnsi="Times New Roman" w:cs="Times New Roman"/>
          <w:i/>
          <w:iCs/>
          <w:sz w:val="28"/>
          <w:szCs w:val="28"/>
        </w:rPr>
        <w:t xml:space="preserve">de la idea básica de </w:t>
      </w:r>
      <w:r w:rsidRPr="00DB3EEA">
        <w:rPr>
          <w:rFonts w:ascii="Times New Roman" w:hAnsi="Times New Roman" w:cs="Times New Roman"/>
          <w:i/>
          <w:iCs/>
          <w:sz w:val="28"/>
          <w:szCs w:val="28"/>
        </w:rPr>
        <w:t>que,</w:t>
      </w:r>
      <w:r w:rsidRPr="00DB3EEA">
        <w:rPr>
          <w:rFonts w:ascii="Times New Roman" w:hAnsi="Times New Roman" w:cs="Times New Roman"/>
          <w:i/>
          <w:iCs/>
          <w:sz w:val="28"/>
          <w:szCs w:val="28"/>
        </w:rPr>
        <w:t xml:space="preserve"> en materias económicas, fiscales y administrativas el </w:t>
      </w:r>
      <w:r w:rsidRPr="00DB3EEA">
        <w:rPr>
          <w:rFonts w:ascii="Times New Roman" w:hAnsi="Times New Roman" w:cs="Times New Roman"/>
          <w:i/>
          <w:iCs/>
          <w:sz w:val="28"/>
          <w:szCs w:val="28"/>
        </w:rPr>
        <w:t>legislador</w:t>
      </w:r>
      <w:r w:rsidRPr="00DB3EEA">
        <w:rPr>
          <w:rFonts w:ascii="Times New Roman" w:hAnsi="Times New Roman" w:cs="Times New Roman"/>
          <w:i/>
          <w:iCs/>
          <w:sz w:val="28"/>
          <w:szCs w:val="28"/>
        </w:rPr>
        <w:t xml:space="preserve"> debe limitarse a señalar pautas generales al Ejecutiv</w:t>
      </w:r>
      <w:r w:rsidRPr="00DB3EEA">
        <w:rPr>
          <w:rFonts w:ascii="Times New Roman" w:hAnsi="Times New Roman" w:cs="Times New Roman"/>
          <w:i/>
          <w:iCs/>
          <w:sz w:val="28"/>
          <w:szCs w:val="28"/>
        </w:rPr>
        <w:t>o, dictando únicamente la orientación política en dichas materias (atribuciones 9a, 10 y 22).</w:t>
      </w:r>
      <w:r w:rsidRPr="00DB3EEA">
        <w:rPr>
          <w:rFonts w:ascii="Times New Roman" w:hAnsi="Times New Roman" w:cs="Times New Roman"/>
          <w:sz w:val="28"/>
          <w:szCs w:val="28"/>
        </w:rPr>
        <w:t>[De forma tal, que]</w:t>
      </w:r>
      <w:r w:rsidRPr="00DB3EEA">
        <w:rPr>
          <w:rFonts w:ascii="Times New Roman" w:hAnsi="Times New Roman" w:cs="Times New Roman"/>
          <w:i/>
          <w:iCs/>
          <w:sz w:val="28"/>
          <w:szCs w:val="28"/>
        </w:rPr>
        <w:t>e</w:t>
      </w:r>
      <w:r w:rsidRPr="00DB3EEA">
        <w:rPr>
          <w:rFonts w:ascii="Times New Roman" w:hAnsi="Times New Roman" w:cs="Times New Roman"/>
          <w:i/>
          <w:iCs/>
          <w:sz w:val="28"/>
          <w:szCs w:val="28"/>
        </w:rPr>
        <w:t xml:space="preserve">s al gobierno al que corresponde desarrollar y ejecutar esa política, porque es el que cuenta con el personal y los medios técnicos requeridos </w:t>
      </w:r>
      <w:r w:rsidRPr="00DB3EEA">
        <w:rPr>
          <w:rFonts w:ascii="Times New Roman" w:hAnsi="Times New Roman" w:cs="Times New Roman"/>
          <w:i/>
          <w:iCs/>
          <w:sz w:val="28"/>
          <w:szCs w:val="28"/>
        </w:rPr>
        <w:t>para dar adecuada y oportuna respuesta a los problemas que la vida contemporánea plantea en los campos señalados, especialmente en los países en vía de desarrollo como Colombia”</w:t>
      </w:r>
      <w:r w:rsidRPr="00DB3EEA">
        <w:rPr>
          <w:rStyle w:val="Refdenotaalpie"/>
          <w:rFonts w:ascii="Times New Roman" w:hAnsi="Times New Roman" w:cs="Times New Roman"/>
          <w:sz w:val="28"/>
          <w:szCs w:val="28"/>
        </w:rPr>
        <w:footnoteReference w:id="155"/>
      </w:r>
      <w:r w:rsidRPr="00DB3EEA">
        <w:rPr>
          <w:rFonts w:ascii="Times New Roman" w:hAnsi="Times New Roman" w:cs="Times New Roman"/>
          <w:sz w:val="28"/>
          <w:szCs w:val="28"/>
        </w:rPr>
        <w:t>.</w:t>
      </w:r>
    </w:p>
    <w:p w:rsidR="00D1401D" w:rsidRPr="00DB3EEA" w:rsidRDefault="00DB3EEA" w:rsidP="00D1401D">
      <w:pPr>
        <w:pStyle w:val="Prrafodelista"/>
        <w:ind w:left="0"/>
        <w:jc w:val="both"/>
        <w:rPr>
          <w:rFonts w:ascii="Times New Roman" w:hAnsi="Times New Roman" w:cs="Times New Roman"/>
          <w:sz w:val="28"/>
          <w:szCs w:val="28"/>
        </w:rPr>
      </w:pPr>
    </w:p>
    <w:p w:rsidR="00D1401D" w:rsidRPr="00DB3EEA" w:rsidRDefault="00DB3EEA" w:rsidP="00D1401D">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Esta consideración fue retomada por la Asamblea Nacional Constituyente en l</w:t>
      </w:r>
      <w:r w:rsidRPr="00DB3EEA">
        <w:rPr>
          <w:rFonts w:ascii="Times New Roman" w:hAnsi="Times New Roman" w:cs="Times New Roman"/>
          <w:sz w:val="28"/>
          <w:szCs w:val="28"/>
        </w:rPr>
        <w:t>a Constitución Política de 1991, al establecer que “</w:t>
      </w:r>
      <w:r w:rsidRPr="00DB3EEA">
        <w:rPr>
          <w:rFonts w:ascii="Times New Roman" w:hAnsi="Times New Roman" w:cs="Times New Roman"/>
          <w:i/>
          <w:iCs/>
          <w:sz w:val="28"/>
          <w:szCs w:val="28"/>
        </w:rPr>
        <w:t>[l]a Constitución debe mantener el esquema vigente que le permite al órgano legislativo nacional expedir normas de carácter general para organizar el crédito público, reconocer la deuda nacional y arregla</w:t>
      </w:r>
      <w:r w:rsidRPr="00DB3EEA">
        <w:rPr>
          <w:rFonts w:ascii="Times New Roman" w:hAnsi="Times New Roman" w:cs="Times New Roman"/>
          <w:i/>
          <w:iCs/>
          <w:sz w:val="28"/>
          <w:szCs w:val="28"/>
        </w:rPr>
        <w:t>r su servicio, regular el comercio exterior, modificar los aranceles, tarifas y demás disposiciones del régimen  de aduanas, dejando al Presidente de la República la necesaria flexibilidad para disponer, en cada caso, de las medidas que, a su juicio, las c</w:t>
      </w:r>
      <w:r w:rsidRPr="00DB3EEA">
        <w:rPr>
          <w:rFonts w:ascii="Times New Roman" w:hAnsi="Times New Roman" w:cs="Times New Roman"/>
          <w:i/>
          <w:iCs/>
          <w:sz w:val="28"/>
          <w:szCs w:val="28"/>
        </w:rPr>
        <w:t>ircunstancias hagan aconsejables, con sujeción a la ley”</w:t>
      </w:r>
      <w:r w:rsidRPr="00DB3EEA">
        <w:rPr>
          <w:rStyle w:val="Refdenotaalpie"/>
          <w:rFonts w:ascii="Times New Roman" w:hAnsi="Times New Roman" w:cs="Times New Roman"/>
          <w:i/>
          <w:iCs/>
          <w:sz w:val="28"/>
          <w:szCs w:val="28"/>
        </w:rPr>
        <w:footnoteReference w:id="156"/>
      </w:r>
      <w:r w:rsidRPr="00DB3EEA">
        <w:rPr>
          <w:rFonts w:ascii="Times New Roman" w:hAnsi="Times New Roman" w:cs="Times New Roman"/>
          <w:i/>
          <w:iCs/>
          <w:sz w:val="28"/>
          <w:szCs w:val="28"/>
        </w:rPr>
        <w:t>.</w:t>
      </w:r>
      <w:r w:rsidRPr="00DB3EEA">
        <w:rPr>
          <w:rFonts w:ascii="Times New Roman" w:hAnsi="Times New Roman" w:cs="Times New Roman"/>
          <w:sz w:val="28"/>
          <w:szCs w:val="28"/>
        </w:rPr>
        <w:t xml:space="preserve"> Así, la Constitución dispuso que existiría reserva de ley marco en lo relacionado con “</w:t>
      </w:r>
      <w:r w:rsidRPr="00DB3EEA">
        <w:rPr>
          <w:rFonts w:ascii="Times New Roman" w:hAnsi="Times New Roman" w:cs="Times New Roman"/>
          <w:i/>
          <w:iCs/>
          <w:sz w:val="28"/>
          <w:szCs w:val="28"/>
        </w:rPr>
        <w:t>modificar, por razones de política comercial, los aranceles, tarifas y demás disposiciones concernientes al ré</w:t>
      </w:r>
      <w:r w:rsidRPr="00DB3EEA">
        <w:rPr>
          <w:rFonts w:ascii="Times New Roman" w:hAnsi="Times New Roman" w:cs="Times New Roman"/>
          <w:i/>
          <w:iCs/>
          <w:sz w:val="28"/>
          <w:szCs w:val="28"/>
        </w:rPr>
        <w:t>gimen de aduanas</w:t>
      </w:r>
      <w:r w:rsidRPr="00DB3EEA">
        <w:rPr>
          <w:rFonts w:ascii="Times New Roman" w:hAnsi="Times New Roman" w:cs="Times New Roman"/>
          <w:sz w:val="28"/>
          <w:szCs w:val="28"/>
        </w:rPr>
        <w:t>”</w:t>
      </w:r>
      <w:r w:rsidRPr="00DB3EEA">
        <w:rPr>
          <w:rStyle w:val="Refdenotaalpie"/>
          <w:rFonts w:ascii="Times New Roman" w:hAnsi="Times New Roman" w:cs="Times New Roman"/>
          <w:sz w:val="28"/>
          <w:szCs w:val="28"/>
        </w:rPr>
        <w:footnoteReference w:id="157"/>
      </w:r>
      <w:r w:rsidRPr="00DB3EEA">
        <w:rPr>
          <w:rFonts w:ascii="Times New Roman" w:hAnsi="Times New Roman" w:cs="Times New Roman"/>
          <w:sz w:val="28"/>
          <w:szCs w:val="28"/>
        </w:rPr>
        <w:t>.</w:t>
      </w:r>
      <w:r w:rsidRPr="00DB3EEA">
        <w:rPr>
          <w:rFonts w:ascii="Times New Roman" w:hAnsi="Times New Roman" w:cs="Times New Roman"/>
          <w:b/>
          <w:bCs/>
          <w:sz w:val="28"/>
          <w:szCs w:val="28"/>
        </w:rPr>
        <w:t xml:space="preserve"> </w:t>
      </w:r>
    </w:p>
    <w:p w:rsidR="00D1401D" w:rsidRPr="00DB3EEA" w:rsidRDefault="00DB3EEA" w:rsidP="00D1401D">
      <w:pPr>
        <w:pStyle w:val="Prrafodelista"/>
        <w:rPr>
          <w:rFonts w:ascii="Times New Roman" w:hAnsi="Times New Roman" w:cs="Times New Roman"/>
          <w:sz w:val="28"/>
          <w:szCs w:val="28"/>
        </w:rPr>
      </w:pPr>
    </w:p>
    <w:p w:rsidR="00D1401D" w:rsidRPr="00DB3EEA" w:rsidRDefault="00DB3EEA" w:rsidP="00D1401D">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La Sentencia C-510 de 1992 precisó el alcance de esta disposición y aclaró que la reserva en materia de régimen aduanero se circunscribe exclusivamente a asuntos vinculados con la política comercial. Para tal efecto, definió el concep</w:t>
      </w:r>
      <w:r w:rsidRPr="00DB3EEA">
        <w:rPr>
          <w:rFonts w:ascii="Times New Roman" w:hAnsi="Times New Roman" w:cs="Times New Roman"/>
          <w:sz w:val="28"/>
          <w:szCs w:val="28"/>
        </w:rPr>
        <w:t>to de “aranceles” en los siguientes términos:</w:t>
      </w:r>
    </w:p>
    <w:p w:rsidR="00D1401D" w:rsidRPr="00DB3EEA" w:rsidRDefault="00DB3EEA" w:rsidP="00BA2C58">
      <w:pPr>
        <w:ind w:left="567"/>
        <w:jc w:val="both"/>
        <w:rPr>
          <w:rFonts w:ascii="Times New Roman" w:hAnsi="Times New Roman" w:cs="Times New Roman"/>
          <w:i/>
          <w:iCs/>
          <w:sz w:val="28"/>
          <w:szCs w:val="28"/>
        </w:rPr>
      </w:pPr>
      <w:r w:rsidRPr="00DB3EEA">
        <w:rPr>
          <w:rFonts w:ascii="Times New Roman" w:hAnsi="Times New Roman" w:cs="Times New Roman"/>
          <w:i/>
          <w:iCs/>
          <w:sz w:val="28"/>
          <w:szCs w:val="28"/>
        </w:rPr>
        <w:t xml:space="preserve">“el arancel de aduanas es una especie de prestación pecuniaria exigida a los particulares por el Estado, sin contraprestación alguna, para atender a las necesidades del servicio público. </w:t>
      </w:r>
      <w:r w:rsidRPr="00DB3EEA">
        <w:rPr>
          <w:rFonts w:ascii="Times New Roman" w:hAnsi="Times New Roman" w:cs="Times New Roman"/>
          <w:i/>
          <w:iCs/>
          <w:sz w:val="28"/>
          <w:szCs w:val="28"/>
          <w:u w:val="single"/>
        </w:rPr>
        <w:t xml:space="preserve">El arancel </w:t>
      </w:r>
      <w:r w:rsidRPr="00DB3EEA">
        <w:rPr>
          <w:rFonts w:ascii="Times New Roman" w:hAnsi="Times New Roman" w:cs="Times New Roman"/>
          <w:i/>
          <w:iCs/>
          <w:sz w:val="28"/>
          <w:szCs w:val="28"/>
          <w:u w:val="single"/>
        </w:rPr>
        <w:t>reúne</w:t>
      </w:r>
      <w:r w:rsidRPr="00DB3EEA">
        <w:rPr>
          <w:rFonts w:ascii="Times New Roman" w:hAnsi="Times New Roman" w:cs="Times New Roman"/>
          <w:i/>
          <w:iCs/>
          <w:sz w:val="28"/>
          <w:szCs w:val="28"/>
          <w:u w:val="single"/>
        </w:rPr>
        <w:t xml:space="preserve"> a cabalidad los caracteres distintivos de los impuestos</w:t>
      </w:r>
      <w:r w:rsidRPr="00DB3EEA">
        <w:rPr>
          <w:rFonts w:ascii="Times New Roman" w:hAnsi="Times New Roman" w:cs="Times New Roman"/>
          <w:i/>
          <w:iCs/>
          <w:sz w:val="28"/>
          <w:szCs w:val="28"/>
        </w:rPr>
        <w:t xml:space="preserve"> y de ahí que en la literatura especializada se lo conozca con </w:t>
      </w:r>
      <w:r w:rsidRPr="00DB3EEA">
        <w:rPr>
          <w:rFonts w:ascii="Times New Roman" w:hAnsi="Times New Roman" w:cs="Times New Roman"/>
          <w:i/>
          <w:iCs/>
          <w:sz w:val="28"/>
          <w:szCs w:val="28"/>
          <w:u w:val="single"/>
        </w:rPr>
        <w:t>el nombre de </w:t>
      </w:r>
      <w:r w:rsidRPr="00DB3EEA">
        <w:rPr>
          <w:rFonts w:ascii="Times New Roman" w:hAnsi="Times New Roman" w:cs="Times New Roman"/>
          <w:b/>
          <w:bCs/>
          <w:i/>
          <w:iCs/>
          <w:sz w:val="28"/>
          <w:szCs w:val="28"/>
          <w:u w:val="single"/>
        </w:rPr>
        <w:t>impuesto de aduanas</w:t>
      </w:r>
      <w:r w:rsidRPr="00DB3EEA">
        <w:rPr>
          <w:rFonts w:ascii="Times New Roman" w:hAnsi="Times New Roman" w:cs="Times New Roman"/>
          <w:i/>
          <w:iCs/>
          <w:sz w:val="28"/>
          <w:szCs w:val="28"/>
        </w:rPr>
        <w:t xml:space="preserve">. Las dos formas del arancel, sobre las importaciones o las exportaciones, revelan en todo caso </w:t>
      </w:r>
      <w:r w:rsidRPr="00DB3EEA">
        <w:rPr>
          <w:rFonts w:ascii="Times New Roman" w:hAnsi="Times New Roman" w:cs="Times New Roman"/>
          <w:i/>
          <w:iCs/>
          <w:sz w:val="28"/>
          <w:szCs w:val="28"/>
          <w:u w:val="single"/>
        </w:rPr>
        <w:t>la presen</w:t>
      </w:r>
      <w:r w:rsidRPr="00DB3EEA">
        <w:rPr>
          <w:rFonts w:ascii="Times New Roman" w:hAnsi="Times New Roman" w:cs="Times New Roman"/>
          <w:i/>
          <w:iCs/>
          <w:sz w:val="28"/>
          <w:szCs w:val="28"/>
          <w:u w:val="single"/>
        </w:rPr>
        <w:t>cia de un </w:t>
      </w:r>
      <w:r w:rsidRPr="00DB3EEA">
        <w:rPr>
          <w:rFonts w:ascii="Times New Roman" w:hAnsi="Times New Roman" w:cs="Times New Roman"/>
          <w:b/>
          <w:bCs/>
          <w:i/>
          <w:iCs/>
          <w:sz w:val="28"/>
          <w:szCs w:val="28"/>
          <w:u w:val="single"/>
        </w:rPr>
        <w:t>impuesto, </w:t>
      </w:r>
      <w:r w:rsidRPr="00DB3EEA">
        <w:rPr>
          <w:rFonts w:ascii="Times New Roman" w:hAnsi="Times New Roman" w:cs="Times New Roman"/>
          <w:i/>
          <w:iCs/>
          <w:sz w:val="28"/>
          <w:szCs w:val="28"/>
          <w:u w:val="single"/>
        </w:rPr>
        <w:t>por lo general </w:t>
      </w:r>
      <w:r w:rsidRPr="00DB3EEA">
        <w:rPr>
          <w:rFonts w:ascii="Times New Roman" w:hAnsi="Times New Roman" w:cs="Times New Roman"/>
          <w:b/>
          <w:bCs/>
          <w:i/>
          <w:iCs/>
          <w:sz w:val="28"/>
          <w:szCs w:val="28"/>
          <w:u w:val="single"/>
        </w:rPr>
        <w:t>indirecto</w:t>
      </w:r>
      <w:r w:rsidRPr="00DB3EEA">
        <w:rPr>
          <w:rFonts w:ascii="Times New Roman" w:hAnsi="Times New Roman" w:cs="Times New Roman"/>
          <w:i/>
          <w:iCs/>
          <w:sz w:val="28"/>
          <w:szCs w:val="28"/>
          <w:u w:val="single"/>
        </w:rPr>
        <w:t> en cuanto que como tributo tiende a desplazarse a los consumidores del producto en el mercado doméstico.</w:t>
      </w:r>
      <w:r w:rsidRPr="00DB3EEA">
        <w:rPr>
          <w:rFonts w:ascii="Times New Roman" w:hAnsi="Times New Roman" w:cs="Times New Roman"/>
          <w:i/>
          <w:iCs/>
          <w:sz w:val="28"/>
          <w:szCs w:val="28"/>
        </w:rPr>
        <w:t> </w:t>
      </w:r>
    </w:p>
    <w:p w:rsidR="00D1401D" w:rsidRPr="00DB3EEA" w:rsidRDefault="00DB3EEA" w:rsidP="00BA2C58">
      <w:pPr>
        <w:ind w:left="567"/>
        <w:jc w:val="both"/>
        <w:rPr>
          <w:rFonts w:ascii="Times New Roman" w:hAnsi="Times New Roman" w:cs="Times New Roman"/>
          <w:i/>
          <w:iCs/>
          <w:sz w:val="28"/>
          <w:szCs w:val="28"/>
        </w:rPr>
      </w:pPr>
      <w:r w:rsidRPr="00DB3EEA">
        <w:rPr>
          <w:rFonts w:ascii="Times New Roman" w:hAnsi="Times New Roman" w:cs="Times New Roman"/>
          <w:i/>
          <w:iCs/>
          <w:sz w:val="28"/>
          <w:szCs w:val="28"/>
        </w:rPr>
        <w:t>(…)</w:t>
      </w:r>
    </w:p>
    <w:p w:rsidR="00D1401D" w:rsidRPr="00DB3EEA" w:rsidRDefault="00DB3EEA" w:rsidP="00BA2C58">
      <w:pPr>
        <w:ind w:left="567"/>
        <w:jc w:val="both"/>
        <w:rPr>
          <w:rFonts w:ascii="Times New Roman" w:hAnsi="Times New Roman" w:cs="Times New Roman"/>
          <w:i/>
          <w:iCs/>
          <w:sz w:val="28"/>
          <w:szCs w:val="28"/>
        </w:rPr>
      </w:pPr>
      <w:r w:rsidRPr="00DB3EEA">
        <w:rPr>
          <w:rFonts w:ascii="Times New Roman" w:hAnsi="Times New Roman" w:cs="Times New Roman"/>
          <w:i/>
          <w:iCs/>
          <w:sz w:val="28"/>
          <w:szCs w:val="28"/>
        </w:rPr>
        <w:t>Los autores coinciden en destacar el doble carácter o función de estos impuestos: </w:t>
      </w:r>
      <w:r w:rsidRPr="00DB3EEA">
        <w:rPr>
          <w:rFonts w:ascii="Times New Roman" w:hAnsi="Times New Roman" w:cs="Times New Roman"/>
          <w:b/>
          <w:bCs/>
          <w:i/>
          <w:iCs/>
          <w:sz w:val="28"/>
          <w:szCs w:val="28"/>
        </w:rPr>
        <w:t>fiscal </w:t>
      </w:r>
      <w:r w:rsidRPr="00DB3EEA">
        <w:rPr>
          <w:rFonts w:ascii="Times New Roman" w:hAnsi="Times New Roman" w:cs="Times New Roman"/>
          <w:i/>
          <w:iCs/>
          <w:sz w:val="28"/>
          <w:szCs w:val="28"/>
        </w:rPr>
        <w:t>(instrumento</w:t>
      </w:r>
      <w:r w:rsidRPr="00DB3EEA">
        <w:rPr>
          <w:rFonts w:ascii="Times New Roman" w:hAnsi="Times New Roman" w:cs="Times New Roman"/>
          <w:i/>
          <w:iCs/>
          <w:sz w:val="28"/>
          <w:szCs w:val="28"/>
        </w:rPr>
        <w:t xml:space="preserve"> de recaudo público) y </w:t>
      </w:r>
      <w:r w:rsidRPr="00DB3EEA">
        <w:rPr>
          <w:rFonts w:ascii="Times New Roman" w:hAnsi="Times New Roman" w:cs="Times New Roman"/>
          <w:b/>
          <w:bCs/>
          <w:i/>
          <w:iCs/>
          <w:sz w:val="28"/>
          <w:szCs w:val="28"/>
        </w:rPr>
        <w:t>económico </w:t>
      </w:r>
      <w:r w:rsidRPr="00DB3EEA">
        <w:rPr>
          <w:rFonts w:ascii="Times New Roman" w:hAnsi="Times New Roman" w:cs="Times New Roman"/>
          <w:i/>
          <w:iCs/>
          <w:sz w:val="28"/>
          <w:szCs w:val="28"/>
        </w:rPr>
        <w:t xml:space="preserve">(instrumento de desarrollo y estabilidad económicas). Estos dos elementos normalmente van unidos y dependiendo de la época histórica uno ha prevalecido sobre el otro. Por el aspecto fiscal el impuesto de aduanas </w:t>
      </w:r>
      <w:r w:rsidRPr="00DB3EEA">
        <w:rPr>
          <w:rFonts w:ascii="Times New Roman" w:hAnsi="Times New Roman" w:cs="Times New Roman"/>
          <w:i/>
          <w:iCs/>
          <w:sz w:val="28"/>
          <w:szCs w:val="28"/>
          <w:u w:val="single"/>
        </w:rPr>
        <w:t>provee ingr</w:t>
      </w:r>
      <w:r w:rsidRPr="00DB3EEA">
        <w:rPr>
          <w:rFonts w:ascii="Times New Roman" w:hAnsi="Times New Roman" w:cs="Times New Roman"/>
          <w:i/>
          <w:iCs/>
          <w:sz w:val="28"/>
          <w:szCs w:val="28"/>
          <w:u w:val="single"/>
        </w:rPr>
        <w:t>esos fiscales al Estado y obra en su exclusivo beneficio</w:t>
      </w:r>
      <w:r w:rsidRPr="00DB3EEA">
        <w:rPr>
          <w:rFonts w:ascii="Times New Roman" w:hAnsi="Times New Roman" w:cs="Times New Roman"/>
          <w:i/>
          <w:iCs/>
          <w:sz w:val="28"/>
          <w:szCs w:val="28"/>
        </w:rPr>
        <w:t>. Por el aspecto económico, el impuesto de aduanas, no se utiliza como fuente de exacción fiscal sino como instrumento de políticas orientadas a favorecer la producción nacional (gracias a su capacida</w:t>
      </w:r>
      <w:r w:rsidRPr="00DB3EEA">
        <w:rPr>
          <w:rFonts w:ascii="Times New Roman" w:hAnsi="Times New Roman" w:cs="Times New Roman"/>
          <w:i/>
          <w:iCs/>
          <w:sz w:val="28"/>
          <w:szCs w:val="28"/>
        </w:rPr>
        <w:t>d para discriminar mediante la manipulación de la tarifa y el régimen entre la producción nacional y la extranjera) y promover la estabilidad económica (el aumento o disminución de los aranceles, la contracción o ampliación de las importaciones, pueden afe</w:t>
      </w:r>
      <w:r w:rsidRPr="00DB3EEA">
        <w:rPr>
          <w:rFonts w:ascii="Times New Roman" w:hAnsi="Times New Roman" w:cs="Times New Roman"/>
          <w:i/>
          <w:iCs/>
          <w:sz w:val="28"/>
          <w:szCs w:val="28"/>
        </w:rPr>
        <w:t>ctar el nivel general de precios y los movimientos de la oferta y la demanda)”</w:t>
      </w:r>
      <w:r w:rsidRPr="00DB3EEA">
        <w:rPr>
          <w:rStyle w:val="Refdenotaalpie"/>
          <w:rFonts w:ascii="Times New Roman" w:hAnsi="Times New Roman" w:cs="Times New Roman"/>
          <w:i/>
          <w:iCs/>
          <w:sz w:val="28"/>
          <w:szCs w:val="28"/>
        </w:rPr>
        <w:footnoteReference w:id="158"/>
      </w:r>
      <w:r w:rsidRPr="00DB3EEA">
        <w:rPr>
          <w:rFonts w:ascii="Times New Roman" w:hAnsi="Times New Roman" w:cs="Times New Roman"/>
          <w:i/>
          <w:iCs/>
          <w:sz w:val="28"/>
          <w:szCs w:val="28"/>
        </w:rPr>
        <w:t>.</w:t>
      </w:r>
    </w:p>
    <w:p w:rsidR="00D1401D" w:rsidRPr="00DB3EEA" w:rsidRDefault="00DB3EEA" w:rsidP="00BA2C58">
      <w:pPr>
        <w:ind w:left="567"/>
        <w:jc w:val="both"/>
        <w:rPr>
          <w:rFonts w:ascii="Times New Roman" w:hAnsi="Times New Roman" w:cs="Times New Roman"/>
          <w:i/>
          <w:iCs/>
          <w:sz w:val="28"/>
          <w:szCs w:val="28"/>
        </w:rPr>
      </w:pPr>
    </w:p>
    <w:p w:rsidR="00D1401D" w:rsidRPr="00DB3EEA" w:rsidRDefault="00DB3EEA" w:rsidP="00D1401D">
      <w:pPr>
        <w:pStyle w:val="Prrafodelista"/>
        <w:numPr>
          <w:ilvl w:val="0"/>
          <w:numId w:val="1"/>
        </w:numPr>
        <w:ind w:left="0" w:firstLine="0"/>
        <w:jc w:val="both"/>
        <w:rPr>
          <w:rFonts w:ascii="Times New Roman" w:hAnsi="Times New Roman" w:cs="Times New Roman"/>
          <w:i/>
          <w:iCs/>
          <w:sz w:val="28"/>
          <w:szCs w:val="28"/>
        </w:rPr>
      </w:pPr>
      <w:r w:rsidRPr="00DB3EEA">
        <w:rPr>
          <w:rFonts w:ascii="Times New Roman" w:hAnsi="Times New Roman" w:cs="Times New Roman"/>
          <w:sz w:val="28"/>
          <w:szCs w:val="28"/>
        </w:rPr>
        <w:t>A partir de la distinción entre estas funciones la Corte determinó que solo aquellos aranceles relacionados principalmente con la función económica podían asociarse a “razone</w:t>
      </w:r>
      <w:r w:rsidRPr="00DB3EEA">
        <w:rPr>
          <w:rFonts w:ascii="Times New Roman" w:hAnsi="Times New Roman" w:cs="Times New Roman"/>
          <w:sz w:val="28"/>
          <w:szCs w:val="28"/>
        </w:rPr>
        <w:t>s de política comercial” y por ende ser sujetos a la reserva de ley marco. Así, dispuso que</w:t>
      </w:r>
      <w:r w:rsidRPr="00DB3EEA">
        <w:rPr>
          <w:rFonts w:ascii="Times New Roman" w:hAnsi="Times New Roman" w:cs="Times New Roman"/>
          <w:i/>
          <w:iCs/>
          <w:sz w:val="28"/>
          <w:szCs w:val="28"/>
        </w:rPr>
        <w:t xml:space="preserve"> “Si a través del arancel de aduanas, ya se trate de su establecimiento o modificación, se busca de manera primera y principal un objetivo fiscal o de recaudo de ing</w:t>
      </w:r>
      <w:r w:rsidRPr="00DB3EEA">
        <w:rPr>
          <w:rFonts w:ascii="Times New Roman" w:hAnsi="Times New Roman" w:cs="Times New Roman"/>
          <w:i/>
          <w:iCs/>
          <w:sz w:val="28"/>
          <w:szCs w:val="28"/>
        </w:rPr>
        <w:t>resos para el Estado, ello sólo se podrá hacer por ley y en ejercicio de la competencia tributaria del Congreso (CP artículo 150-12). La ley marco en esta materia debe necesariamente circunscribirse a dictar las normas generales, y señalar en ellas los obj</w:t>
      </w:r>
      <w:r w:rsidRPr="00DB3EEA">
        <w:rPr>
          <w:rFonts w:ascii="Times New Roman" w:hAnsi="Times New Roman" w:cs="Times New Roman"/>
          <w:i/>
          <w:iCs/>
          <w:sz w:val="28"/>
          <w:szCs w:val="28"/>
        </w:rPr>
        <w:t xml:space="preserve">etivos y criterios a los cuales debe sujetarse el Gobierno para modificar - no regular originariamente dado que el presupuesto de la facultad de "modificación" es su previo establecimiento legal - por razones de política comercial los aranceles, tarifas y </w:t>
      </w:r>
      <w:r w:rsidRPr="00DB3EEA">
        <w:rPr>
          <w:rFonts w:ascii="Times New Roman" w:hAnsi="Times New Roman" w:cs="Times New Roman"/>
          <w:i/>
          <w:iCs/>
          <w:sz w:val="28"/>
          <w:szCs w:val="28"/>
        </w:rPr>
        <w:t>demás disposiciones concernientes al régimen de aduanas. Correlativamente, el ámbito del decreto se mueve en el marco del régimen de aduanas - de origen legal - para cuya modificación queda habilitado el Gobierno siempre que sea necesario hacerlo por razon</w:t>
      </w:r>
      <w:r w:rsidRPr="00DB3EEA">
        <w:rPr>
          <w:rFonts w:ascii="Times New Roman" w:hAnsi="Times New Roman" w:cs="Times New Roman"/>
          <w:i/>
          <w:iCs/>
          <w:sz w:val="28"/>
          <w:szCs w:val="28"/>
        </w:rPr>
        <w:t>es de política comercial”</w:t>
      </w:r>
      <w:r w:rsidRPr="00DB3EEA">
        <w:rPr>
          <w:rStyle w:val="Refdenotaalpie"/>
          <w:rFonts w:ascii="Times New Roman" w:hAnsi="Times New Roman" w:cs="Times New Roman"/>
          <w:i/>
          <w:iCs/>
          <w:sz w:val="28"/>
          <w:szCs w:val="28"/>
        </w:rPr>
        <w:footnoteReference w:id="159"/>
      </w:r>
      <w:r w:rsidRPr="00DB3EEA">
        <w:rPr>
          <w:rFonts w:ascii="Times New Roman" w:hAnsi="Times New Roman" w:cs="Times New Roman"/>
          <w:i/>
          <w:iCs/>
          <w:sz w:val="28"/>
          <w:szCs w:val="28"/>
        </w:rPr>
        <w:t>.</w:t>
      </w:r>
      <w:r w:rsidRPr="00DB3EEA">
        <w:rPr>
          <w:rFonts w:ascii="Times New Roman" w:hAnsi="Times New Roman" w:cs="Times New Roman"/>
          <w:sz w:val="28"/>
          <w:szCs w:val="28"/>
        </w:rPr>
        <w:t xml:space="preserve"> </w:t>
      </w:r>
    </w:p>
    <w:p w:rsidR="00D1401D" w:rsidRPr="00DB3EEA" w:rsidRDefault="00DB3EEA" w:rsidP="00D1401D">
      <w:pPr>
        <w:pStyle w:val="Prrafodelista"/>
        <w:rPr>
          <w:rFonts w:ascii="Times New Roman" w:hAnsi="Times New Roman" w:cs="Times New Roman"/>
          <w:sz w:val="28"/>
          <w:szCs w:val="28"/>
        </w:rPr>
      </w:pPr>
    </w:p>
    <w:p w:rsidR="00D1401D" w:rsidRPr="00DB3EEA" w:rsidRDefault="00DB3EEA" w:rsidP="00D1401D">
      <w:pPr>
        <w:pStyle w:val="Prrafodelista"/>
        <w:numPr>
          <w:ilvl w:val="0"/>
          <w:numId w:val="1"/>
        </w:numPr>
        <w:ind w:left="0" w:firstLine="0"/>
        <w:jc w:val="both"/>
        <w:rPr>
          <w:rFonts w:ascii="Times New Roman" w:hAnsi="Times New Roman" w:cs="Times New Roman"/>
          <w:i/>
          <w:iCs/>
          <w:sz w:val="28"/>
          <w:szCs w:val="28"/>
        </w:rPr>
      </w:pPr>
      <w:r w:rsidRPr="00DB3EEA">
        <w:rPr>
          <w:rFonts w:ascii="Times New Roman" w:hAnsi="Times New Roman" w:cs="Times New Roman"/>
          <w:sz w:val="28"/>
          <w:szCs w:val="28"/>
        </w:rPr>
        <w:t>Esta interpretación ha sido reiterada de manera constante por la jurisprudencia. En la Sentencia C-798 de 2004 la Corte precisó que “</w:t>
      </w:r>
      <w:r w:rsidRPr="00DB3EEA">
        <w:rPr>
          <w:rFonts w:ascii="Times New Roman" w:hAnsi="Times New Roman" w:cs="Times New Roman"/>
          <w:i/>
          <w:iCs/>
          <w:sz w:val="28"/>
          <w:szCs w:val="28"/>
        </w:rPr>
        <w:t>[A]l limitar los objetivos por los cuales el Gobierno puede modificar las tarifas arancelaria</w:t>
      </w:r>
      <w:r w:rsidRPr="00DB3EEA">
        <w:rPr>
          <w:rFonts w:ascii="Times New Roman" w:hAnsi="Times New Roman" w:cs="Times New Roman"/>
          <w:i/>
          <w:iCs/>
          <w:sz w:val="28"/>
          <w:szCs w:val="28"/>
        </w:rPr>
        <w:t>s a aquellos de política comercial (i) prohíbe que estas medidas, al no ser adoptadas por el Congreso, estén determinadas por ‘finalidades impositivas’, tengan un ‘carácter fiscal’, es decir, que se utilicen como ‘fuente de exacción fiscal’ y persigan de m</w:t>
      </w:r>
      <w:r w:rsidRPr="00DB3EEA">
        <w:rPr>
          <w:rFonts w:ascii="Times New Roman" w:hAnsi="Times New Roman" w:cs="Times New Roman"/>
          <w:i/>
          <w:iCs/>
          <w:sz w:val="28"/>
          <w:szCs w:val="28"/>
        </w:rPr>
        <w:t>anera ‘primera, principal [o] preponderante’ objetivos de orden fiscal, en especial el ‘recaudo de ingresos para el Estado’; y en sentido contrario, (ii) permite que dichas medidas consulten diversos objetivos de carácter económico relacionados de alguna m</w:t>
      </w:r>
      <w:r w:rsidRPr="00DB3EEA">
        <w:rPr>
          <w:rFonts w:ascii="Times New Roman" w:hAnsi="Times New Roman" w:cs="Times New Roman"/>
          <w:i/>
          <w:iCs/>
          <w:sz w:val="28"/>
          <w:szCs w:val="28"/>
        </w:rPr>
        <w:t>anera directa o indirecta con el comercio exterior tales como ‘favorecer la producción nacional [,] promover la estabilidad económica [a través del] aumento o disminución de los aranceles, la contracción o ampliación de las importaciones [que] pueden afect</w:t>
      </w:r>
      <w:r w:rsidRPr="00DB3EEA">
        <w:rPr>
          <w:rFonts w:ascii="Times New Roman" w:hAnsi="Times New Roman" w:cs="Times New Roman"/>
          <w:i/>
          <w:iCs/>
          <w:sz w:val="28"/>
          <w:szCs w:val="28"/>
        </w:rPr>
        <w:t>ar el nivel general de precios y los movimientos de la oferta y la demanda’, estimular el crecimiento económico, proteger la industria nacional, promover la inversión, controlar los precios domésticos, defender a los consumidores e incentivar la competitiv</w:t>
      </w:r>
      <w:r w:rsidRPr="00DB3EEA">
        <w:rPr>
          <w:rFonts w:ascii="Times New Roman" w:hAnsi="Times New Roman" w:cs="Times New Roman"/>
          <w:i/>
          <w:iCs/>
          <w:sz w:val="28"/>
          <w:szCs w:val="28"/>
        </w:rPr>
        <w:t>idad de los productos nacionales</w:t>
      </w:r>
      <w:r w:rsidRPr="00DB3EEA">
        <w:rPr>
          <w:rFonts w:ascii="Times New Roman" w:hAnsi="Times New Roman" w:cs="Times New Roman"/>
          <w:sz w:val="28"/>
          <w:szCs w:val="28"/>
        </w:rPr>
        <w:t>”</w:t>
      </w:r>
      <w:r w:rsidRPr="00DB3EEA">
        <w:rPr>
          <w:rStyle w:val="Refdenotaalpie"/>
          <w:rFonts w:ascii="Times New Roman" w:hAnsi="Times New Roman" w:cs="Times New Roman"/>
          <w:sz w:val="28"/>
          <w:szCs w:val="28"/>
        </w:rPr>
        <w:footnoteReference w:id="160"/>
      </w:r>
      <w:r w:rsidRPr="00DB3EEA">
        <w:rPr>
          <w:rFonts w:ascii="Times New Roman" w:hAnsi="Times New Roman" w:cs="Times New Roman"/>
          <w:sz w:val="28"/>
          <w:szCs w:val="28"/>
        </w:rPr>
        <w:t xml:space="preserve">. </w:t>
      </w:r>
    </w:p>
    <w:p w:rsidR="00D1401D" w:rsidRPr="00DB3EEA" w:rsidRDefault="00DB3EEA" w:rsidP="00D1401D">
      <w:pPr>
        <w:pStyle w:val="Prrafodelista"/>
        <w:ind w:left="0"/>
        <w:jc w:val="both"/>
        <w:rPr>
          <w:rFonts w:ascii="Times New Roman" w:hAnsi="Times New Roman" w:cs="Times New Roman"/>
          <w:i/>
          <w:iCs/>
          <w:sz w:val="28"/>
          <w:szCs w:val="28"/>
        </w:rPr>
      </w:pPr>
    </w:p>
    <w:p w:rsidR="0063483D" w:rsidRPr="00DB3EEA" w:rsidRDefault="00DB3EEA">
      <w:pPr>
        <w:pStyle w:val="Prrafodelista"/>
        <w:numPr>
          <w:ilvl w:val="0"/>
          <w:numId w:val="1"/>
        </w:numPr>
        <w:ind w:left="0" w:firstLine="0"/>
        <w:jc w:val="both"/>
        <w:rPr>
          <w:rFonts w:ascii="Times New Roman" w:hAnsi="Times New Roman" w:cs="Times New Roman"/>
          <w:i/>
          <w:iCs/>
          <w:sz w:val="28"/>
          <w:szCs w:val="28"/>
        </w:rPr>
      </w:pPr>
      <w:r w:rsidRPr="00DB3EEA">
        <w:rPr>
          <w:rFonts w:ascii="Times New Roman" w:hAnsi="Times New Roman" w:cs="Times New Roman"/>
          <w:sz w:val="28"/>
          <w:szCs w:val="28"/>
        </w:rPr>
        <w:t>De este modo,</w:t>
      </w:r>
      <w:r w:rsidRPr="00DB3EEA">
        <w:rPr>
          <w:rFonts w:ascii="Times New Roman" w:hAnsi="Times New Roman" w:cs="Times New Roman"/>
          <w:sz w:val="28"/>
          <w:szCs w:val="28"/>
        </w:rPr>
        <w:t xml:space="preserve"> la Corte ha sostenido que</w:t>
      </w:r>
      <w:r w:rsidRPr="00DB3EEA">
        <w:rPr>
          <w:rFonts w:ascii="Times New Roman" w:hAnsi="Times New Roman" w:cs="Times New Roman"/>
          <w:sz w:val="28"/>
          <w:szCs w:val="28"/>
        </w:rPr>
        <w:t xml:space="preserve"> el Congreso de la República conserva la competencia para legislar sobre el régimen </w:t>
      </w:r>
      <w:r w:rsidRPr="00DB3EEA">
        <w:rPr>
          <w:rFonts w:ascii="Times New Roman" w:hAnsi="Times New Roman" w:cs="Times New Roman"/>
          <w:sz w:val="28"/>
          <w:szCs w:val="28"/>
        </w:rPr>
        <w:t>de aduanas</w:t>
      </w:r>
      <w:r w:rsidRPr="00DB3EEA">
        <w:rPr>
          <w:rFonts w:ascii="Times New Roman" w:hAnsi="Times New Roman" w:cs="Times New Roman"/>
          <w:sz w:val="28"/>
          <w:szCs w:val="28"/>
        </w:rPr>
        <w:t xml:space="preserve"> cuando las medidas persiguen finalidades de carácter fiscal o carecen de una relación directa con la política comercial, dado que la técnica de la ley marco constituye una excepción al principio de legalidad del tributo</w:t>
      </w:r>
      <w:r w:rsidRPr="00DB3EEA">
        <w:rPr>
          <w:rFonts w:ascii="Times New Roman" w:hAnsi="Times New Roman" w:cs="Times New Roman"/>
          <w:sz w:val="28"/>
          <w:szCs w:val="28"/>
        </w:rPr>
        <w:t xml:space="preserve">. Así lo expuso </w:t>
      </w:r>
      <w:r w:rsidRPr="00DB3EEA">
        <w:rPr>
          <w:rFonts w:ascii="Times New Roman" w:hAnsi="Times New Roman" w:cs="Times New Roman"/>
          <w:sz w:val="28"/>
          <w:szCs w:val="28"/>
        </w:rPr>
        <w:t>la Sentencia C-140 d</w:t>
      </w:r>
      <w:r w:rsidRPr="00DB3EEA">
        <w:rPr>
          <w:rFonts w:ascii="Times New Roman" w:hAnsi="Times New Roman" w:cs="Times New Roman"/>
          <w:sz w:val="28"/>
          <w:szCs w:val="28"/>
        </w:rPr>
        <w:t xml:space="preserve">e 2007, al resolver una demanda relacionada con un presunto exceso del Congreso </w:t>
      </w:r>
      <w:r w:rsidRPr="00DB3EEA">
        <w:rPr>
          <w:rFonts w:ascii="Times New Roman" w:hAnsi="Times New Roman" w:cs="Times New Roman"/>
          <w:sz w:val="28"/>
          <w:szCs w:val="28"/>
        </w:rPr>
        <w:t>en materia</w:t>
      </w:r>
      <w:r w:rsidRPr="00DB3EEA">
        <w:rPr>
          <w:rFonts w:ascii="Times New Roman" w:hAnsi="Times New Roman" w:cs="Times New Roman"/>
          <w:sz w:val="28"/>
          <w:szCs w:val="28"/>
        </w:rPr>
        <w:t xml:space="preserve"> aduanera</w:t>
      </w:r>
      <w:r w:rsidRPr="00DB3EEA">
        <w:rPr>
          <w:rFonts w:ascii="Times New Roman" w:hAnsi="Times New Roman" w:cs="Times New Roman"/>
          <w:sz w:val="28"/>
          <w:szCs w:val="28"/>
        </w:rPr>
        <w:t xml:space="preserve">: </w:t>
      </w:r>
    </w:p>
    <w:p w:rsidR="0063483D" w:rsidRPr="00DB3EEA" w:rsidRDefault="00DB3EEA" w:rsidP="0063483D">
      <w:pPr>
        <w:pStyle w:val="Prrafodelista"/>
        <w:rPr>
          <w:rFonts w:ascii="Times New Roman" w:hAnsi="Times New Roman" w:cs="Times New Roman"/>
          <w:sz w:val="28"/>
          <w:szCs w:val="28"/>
        </w:rPr>
      </w:pPr>
    </w:p>
    <w:p w:rsidR="00D1401D" w:rsidRPr="00DB3EEA" w:rsidRDefault="00DB3EEA" w:rsidP="0063483D">
      <w:pPr>
        <w:pStyle w:val="Prrafodelista"/>
        <w:ind w:left="708"/>
        <w:jc w:val="both"/>
        <w:rPr>
          <w:rFonts w:ascii="Times New Roman" w:hAnsi="Times New Roman" w:cs="Times New Roman"/>
          <w:i/>
          <w:iCs/>
          <w:sz w:val="28"/>
          <w:szCs w:val="28"/>
        </w:rPr>
      </w:pPr>
      <w:r w:rsidRPr="00DB3EEA">
        <w:rPr>
          <w:rFonts w:ascii="Times New Roman" w:hAnsi="Times New Roman" w:cs="Times New Roman"/>
          <w:sz w:val="28"/>
          <w:szCs w:val="28"/>
        </w:rPr>
        <w:t>“</w:t>
      </w:r>
      <w:r w:rsidRPr="00DB3EEA">
        <w:rPr>
          <w:rFonts w:ascii="Times New Roman" w:hAnsi="Times New Roman" w:cs="Times New Roman"/>
          <w:i/>
          <w:iCs/>
          <w:sz w:val="28"/>
          <w:szCs w:val="28"/>
        </w:rPr>
        <w:t>[L]as disposiciones aduaneras persiguen dos fines diferentes, que son de un lado los de tipo comercial y de otro los de tipo fiscal o tributario. (…) [L</w:t>
      </w:r>
      <w:r w:rsidRPr="00DB3EEA">
        <w:rPr>
          <w:rFonts w:ascii="Times New Roman" w:hAnsi="Times New Roman" w:cs="Times New Roman"/>
          <w:i/>
          <w:iCs/>
          <w:sz w:val="28"/>
          <w:szCs w:val="28"/>
        </w:rPr>
        <w:t>]as potestades ejecutivas para modificar la normatividad aduanera sólo pueden ser ejercidas con finalidades de política comercial, pero no de política fiscal, entre otras cosas porque esta última categoría de fines se reserva al legislador en virtud del pr</w:t>
      </w:r>
      <w:r w:rsidRPr="00DB3EEA">
        <w:rPr>
          <w:rFonts w:ascii="Times New Roman" w:hAnsi="Times New Roman" w:cs="Times New Roman"/>
          <w:i/>
          <w:iCs/>
          <w:sz w:val="28"/>
          <w:szCs w:val="28"/>
        </w:rPr>
        <w:t>incipio de legalidad del tributo</w:t>
      </w:r>
      <w:r w:rsidRPr="00DB3EEA">
        <w:rPr>
          <w:rFonts w:ascii="Times New Roman" w:hAnsi="Times New Roman" w:cs="Times New Roman"/>
          <w:sz w:val="28"/>
          <w:szCs w:val="28"/>
        </w:rPr>
        <w:t>.”</w:t>
      </w:r>
      <w:r w:rsidRPr="00DB3EEA">
        <w:rPr>
          <w:rStyle w:val="Refdenotaalpie"/>
          <w:rFonts w:ascii="Times New Roman" w:hAnsi="Times New Roman" w:cs="Times New Roman"/>
          <w:sz w:val="28"/>
          <w:szCs w:val="28"/>
        </w:rPr>
        <w:footnoteReference w:id="161"/>
      </w:r>
    </w:p>
    <w:p w:rsidR="00D1401D" w:rsidRPr="00DB3EEA" w:rsidRDefault="00DB3EEA" w:rsidP="00D1401D">
      <w:pPr>
        <w:pStyle w:val="Prrafodelista"/>
        <w:rPr>
          <w:rFonts w:ascii="Times New Roman" w:hAnsi="Times New Roman" w:cs="Times New Roman"/>
          <w:sz w:val="28"/>
          <w:szCs w:val="28"/>
        </w:rPr>
      </w:pPr>
    </w:p>
    <w:p w:rsidR="00D1401D" w:rsidRPr="00DB3EEA" w:rsidRDefault="00DB3EEA" w:rsidP="00D1401D">
      <w:pPr>
        <w:pStyle w:val="Prrafodelista"/>
        <w:numPr>
          <w:ilvl w:val="0"/>
          <w:numId w:val="1"/>
        </w:numPr>
        <w:ind w:left="0" w:firstLine="0"/>
        <w:jc w:val="both"/>
        <w:rPr>
          <w:rFonts w:ascii="Times New Roman" w:hAnsi="Times New Roman" w:cs="Times New Roman"/>
          <w:i/>
          <w:iCs/>
          <w:sz w:val="28"/>
          <w:szCs w:val="28"/>
        </w:rPr>
      </w:pPr>
      <w:r w:rsidRPr="00DB3EEA">
        <w:rPr>
          <w:rFonts w:ascii="Times New Roman" w:hAnsi="Times New Roman" w:cs="Times New Roman"/>
          <w:sz w:val="28"/>
          <w:szCs w:val="28"/>
        </w:rPr>
        <w:t>Asimismo, las sentencias C-798 de 2004, C-723 de 2007, C-026 de 2020 y C-441 de 2021 han reiterad</w:t>
      </w:r>
      <w:r w:rsidRPr="00DB3EEA">
        <w:rPr>
          <w:rFonts w:ascii="Times New Roman" w:hAnsi="Times New Roman" w:cs="Times New Roman"/>
          <w:sz w:val="28"/>
          <w:szCs w:val="28"/>
        </w:rPr>
        <w:t>o que</w:t>
      </w:r>
      <w:r w:rsidRPr="00DB3EEA">
        <w:rPr>
          <w:rFonts w:ascii="Times New Roman" w:hAnsi="Times New Roman" w:cs="Times New Roman"/>
          <w:sz w:val="28"/>
          <w:szCs w:val="28"/>
        </w:rPr>
        <w:t xml:space="preserve"> la competencia </w:t>
      </w:r>
      <w:r w:rsidRPr="00DB3EEA">
        <w:rPr>
          <w:rFonts w:ascii="Times New Roman" w:hAnsi="Times New Roman" w:cs="Times New Roman"/>
          <w:sz w:val="28"/>
          <w:szCs w:val="28"/>
        </w:rPr>
        <w:t xml:space="preserve">general </w:t>
      </w:r>
      <w:r w:rsidRPr="00DB3EEA">
        <w:rPr>
          <w:rFonts w:ascii="Times New Roman" w:hAnsi="Times New Roman" w:cs="Times New Roman"/>
          <w:sz w:val="28"/>
          <w:szCs w:val="28"/>
        </w:rPr>
        <w:t>para determinar el régimen aduanero</w:t>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en todos los asuntos </w:t>
      </w:r>
      <w:r w:rsidRPr="00DB3EEA">
        <w:rPr>
          <w:rFonts w:ascii="Times New Roman" w:hAnsi="Times New Roman" w:cs="Times New Roman"/>
          <w:sz w:val="28"/>
          <w:szCs w:val="28"/>
        </w:rPr>
        <w:t>ajenos a la</w:t>
      </w:r>
      <w:r w:rsidRPr="00DB3EEA">
        <w:rPr>
          <w:rFonts w:ascii="Times New Roman" w:hAnsi="Times New Roman" w:cs="Times New Roman"/>
          <w:sz w:val="28"/>
          <w:szCs w:val="28"/>
        </w:rPr>
        <w:t xml:space="preserve"> política comercial</w:t>
      </w:r>
      <w:r w:rsidRPr="00DB3EEA">
        <w:rPr>
          <w:rFonts w:ascii="Times New Roman" w:hAnsi="Times New Roman" w:cs="Times New Roman"/>
          <w:sz w:val="28"/>
          <w:szCs w:val="28"/>
        </w:rPr>
        <w:t>, cor</w:t>
      </w:r>
      <w:r w:rsidRPr="00DB3EEA">
        <w:rPr>
          <w:rFonts w:ascii="Times New Roman" w:hAnsi="Times New Roman" w:cs="Times New Roman"/>
          <w:sz w:val="28"/>
          <w:szCs w:val="28"/>
        </w:rPr>
        <w:t xml:space="preserve">responde al </w:t>
      </w:r>
      <w:r w:rsidRPr="00DB3EEA">
        <w:rPr>
          <w:rFonts w:ascii="Times New Roman" w:hAnsi="Times New Roman" w:cs="Times New Roman"/>
          <w:sz w:val="28"/>
          <w:szCs w:val="28"/>
        </w:rPr>
        <w:t>legislador</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 xml:space="preserve">De esa manera, en </w:t>
      </w:r>
      <w:r w:rsidRPr="00DB3EEA">
        <w:rPr>
          <w:rFonts w:ascii="Times New Roman" w:hAnsi="Times New Roman" w:cs="Times New Roman"/>
          <w:sz w:val="28"/>
          <w:szCs w:val="28"/>
        </w:rPr>
        <w:t>la C-798 de 2004, la Corte reconoció que el Ejecutivo se extralimitaba en sus competencias cuando adoptaba una medida que no se encaminaba al logro de objetivos de política comercial, sino de política fiscal, en pa</w:t>
      </w:r>
      <w:r w:rsidRPr="00DB3EEA">
        <w:rPr>
          <w:rFonts w:ascii="Times New Roman" w:hAnsi="Times New Roman" w:cs="Times New Roman"/>
          <w:sz w:val="28"/>
          <w:szCs w:val="28"/>
        </w:rPr>
        <w:t>rticular frente a asuntos que no eran, por su naturaleza, de carácter dinámico o especializado. En la C-026 de 2020, la Corte declaró inconstitucionales los artículos 274 y 275 de la Ley 1955 de 2019 (PND 2018-2022), al evidenciar que el Congreso había ext</w:t>
      </w:r>
      <w:r w:rsidRPr="00DB3EEA">
        <w:rPr>
          <w:rFonts w:ascii="Times New Roman" w:hAnsi="Times New Roman" w:cs="Times New Roman"/>
          <w:sz w:val="28"/>
          <w:szCs w:val="28"/>
        </w:rPr>
        <w:t xml:space="preserve">ralimitado sus competencias. </w:t>
      </w:r>
      <w:r w:rsidRPr="00DB3EEA">
        <w:rPr>
          <w:rFonts w:ascii="Times New Roman" w:hAnsi="Times New Roman" w:cs="Times New Roman"/>
          <w:sz w:val="28"/>
          <w:szCs w:val="28"/>
        </w:rPr>
        <w:t>En particular, r</w:t>
      </w:r>
      <w:r w:rsidRPr="00DB3EEA">
        <w:rPr>
          <w:rFonts w:ascii="Times New Roman" w:hAnsi="Times New Roman" w:cs="Times New Roman"/>
          <w:sz w:val="28"/>
          <w:szCs w:val="28"/>
        </w:rPr>
        <w:t xml:space="preserve">econoció que </w:t>
      </w:r>
      <w:r w:rsidRPr="00DB3EEA">
        <w:rPr>
          <w:rFonts w:ascii="Times New Roman" w:hAnsi="Times New Roman" w:cs="Times New Roman"/>
          <w:i/>
          <w:iCs/>
          <w:sz w:val="28"/>
          <w:szCs w:val="28"/>
        </w:rPr>
        <w:t>“la competencia para regular los aranceles de política comercial, con arreglo a los principios generales fijados por la ley marco, corresponde a la Rama Ejecutiva. Por su parte, cuando la imposición</w:t>
      </w:r>
      <w:r w:rsidRPr="00DB3EEA">
        <w:rPr>
          <w:rFonts w:ascii="Times New Roman" w:hAnsi="Times New Roman" w:cs="Times New Roman"/>
          <w:i/>
          <w:iCs/>
          <w:sz w:val="28"/>
          <w:szCs w:val="28"/>
        </w:rPr>
        <w:t xml:space="preserve"> de tales aranceles responda a razones de política fiscal, ello deberá hacerse por el </w:t>
      </w:r>
      <w:r w:rsidRPr="00DB3EEA">
        <w:rPr>
          <w:rFonts w:ascii="Times New Roman" w:hAnsi="Times New Roman" w:cs="Times New Roman"/>
          <w:i/>
          <w:iCs/>
          <w:sz w:val="28"/>
          <w:szCs w:val="28"/>
        </w:rPr>
        <w:t>legislador</w:t>
      </w:r>
      <w:r w:rsidRPr="00DB3EEA">
        <w:rPr>
          <w:rFonts w:ascii="Times New Roman" w:hAnsi="Times New Roman" w:cs="Times New Roman"/>
          <w:i/>
          <w:iCs/>
          <w:sz w:val="28"/>
          <w:szCs w:val="28"/>
        </w:rPr>
        <w:t>”</w:t>
      </w:r>
      <w:r w:rsidRPr="00DB3EEA">
        <w:rPr>
          <w:rStyle w:val="Refdenotaalpie"/>
          <w:rFonts w:ascii="Times New Roman" w:hAnsi="Times New Roman" w:cs="Times New Roman"/>
          <w:i/>
          <w:iCs/>
          <w:sz w:val="28"/>
          <w:szCs w:val="28"/>
        </w:rPr>
        <w:footnoteReference w:id="162"/>
      </w:r>
      <w:r w:rsidRPr="00DB3EEA">
        <w:rPr>
          <w:rFonts w:ascii="Times New Roman" w:hAnsi="Times New Roman" w:cs="Times New Roman"/>
          <w:i/>
          <w:iCs/>
          <w:sz w:val="28"/>
          <w:szCs w:val="28"/>
        </w:rPr>
        <w:t>.</w:t>
      </w:r>
      <w:r w:rsidRPr="00DB3EEA">
        <w:rPr>
          <w:rFonts w:ascii="Times New Roman" w:hAnsi="Times New Roman" w:cs="Times New Roman"/>
          <w:sz w:val="28"/>
          <w:szCs w:val="28"/>
        </w:rPr>
        <w:t xml:space="preserve"> Finalmente, en la C-441 de 2021, que estudió el régimen sancionatorio aduanero, explicó que “</w:t>
      </w:r>
      <w:r w:rsidRPr="00DB3EEA">
        <w:rPr>
          <w:rFonts w:ascii="Times New Roman" w:hAnsi="Times New Roman" w:cs="Times New Roman"/>
          <w:i/>
          <w:iCs/>
          <w:sz w:val="28"/>
          <w:szCs w:val="28"/>
        </w:rPr>
        <w:t xml:space="preserve">no todos los aspectos del régimen de aduanas están sometidos a </w:t>
      </w:r>
      <w:r w:rsidRPr="00DB3EEA">
        <w:rPr>
          <w:rFonts w:ascii="Times New Roman" w:hAnsi="Times New Roman" w:cs="Times New Roman"/>
          <w:i/>
          <w:iCs/>
          <w:sz w:val="28"/>
          <w:szCs w:val="28"/>
        </w:rPr>
        <w:t xml:space="preserve">la técnica legislativa de las leyes marco y de los decretos que las desarrollan, sino solo aquellas modificaciones de los aranceles, tarifas y demás disposiciones concernientes a este régimen encaminadas al logro de objetivos que tengan un claro y marcado </w:t>
      </w:r>
      <w:r w:rsidRPr="00DB3EEA">
        <w:rPr>
          <w:rFonts w:ascii="Times New Roman" w:hAnsi="Times New Roman" w:cs="Times New Roman"/>
          <w:i/>
          <w:iCs/>
          <w:sz w:val="28"/>
          <w:szCs w:val="28"/>
        </w:rPr>
        <w:t>propósito comercial y que, además, obedezcan al carácter dinámico y altamente especializado que caracteriza a las materias objeto de dicha regulación especial</w:t>
      </w:r>
      <w:r w:rsidRPr="00DB3EEA">
        <w:rPr>
          <w:rFonts w:ascii="Times New Roman" w:hAnsi="Times New Roman" w:cs="Times New Roman"/>
          <w:sz w:val="28"/>
          <w:szCs w:val="28"/>
        </w:rPr>
        <w:t>”</w:t>
      </w:r>
      <w:r w:rsidRPr="00DB3EEA">
        <w:rPr>
          <w:rStyle w:val="Refdenotaalpie"/>
          <w:rFonts w:ascii="Times New Roman" w:hAnsi="Times New Roman" w:cs="Times New Roman"/>
          <w:sz w:val="28"/>
          <w:szCs w:val="28"/>
        </w:rPr>
        <w:footnoteReference w:id="163"/>
      </w:r>
      <w:r w:rsidRPr="00DB3EEA">
        <w:rPr>
          <w:rFonts w:ascii="Times New Roman" w:hAnsi="Times New Roman" w:cs="Times New Roman"/>
          <w:sz w:val="28"/>
          <w:szCs w:val="28"/>
        </w:rPr>
        <w:t>.</w:t>
      </w:r>
    </w:p>
    <w:p w:rsidR="00D1401D" w:rsidRPr="00DB3EEA" w:rsidRDefault="00DB3EEA" w:rsidP="00D1401D">
      <w:pPr>
        <w:pStyle w:val="Prrafodelista"/>
        <w:ind w:left="0"/>
        <w:jc w:val="both"/>
        <w:rPr>
          <w:rFonts w:ascii="Times New Roman" w:hAnsi="Times New Roman" w:cs="Times New Roman"/>
          <w:i/>
          <w:iCs/>
          <w:sz w:val="28"/>
          <w:szCs w:val="28"/>
        </w:rPr>
      </w:pPr>
    </w:p>
    <w:p w:rsidR="00D1401D" w:rsidRPr="00DB3EEA" w:rsidRDefault="00DB3EEA" w:rsidP="00D1401D">
      <w:pPr>
        <w:pStyle w:val="Prrafodelista"/>
        <w:numPr>
          <w:ilvl w:val="0"/>
          <w:numId w:val="1"/>
        </w:numPr>
        <w:ind w:left="0" w:firstLine="0"/>
        <w:jc w:val="both"/>
        <w:rPr>
          <w:rFonts w:ascii="Times New Roman" w:hAnsi="Times New Roman" w:cs="Times New Roman"/>
          <w:i/>
          <w:iCs/>
          <w:sz w:val="28"/>
          <w:szCs w:val="28"/>
        </w:rPr>
      </w:pPr>
      <w:r w:rsidRPr="00DB3EEA">
        <w:rPr>
          <w:rFonts w:ascii="Times New Roman" w:hAnsi="Times New Roman" w:cs="Times New Roman"/>
          <w:sz w:val="28"/>
          <w:szCs w:val="28"/>
        </w:rPr>
        <w:t>Esta última providencia sostuvo que no todos los asuntos relativos al régimen aduanero se enc</w:t>
      </w:r>
      <w:r w:rsidRPr="00DB3EEA">
        <w:rPr>
          <w:rFonts w:ascii="Times New Roman" w:hAnsi="Times New Roman" w:cs="Times New Roman"/>
          <w:sz w:val="28"/>
          <w:szCs w:val="28"/>
        </w:rPr>
        <w:t>uentran sometidos a la técnica legislativa de la ley marco y que, en consecuencia, la mayoría de ellos corresponde a la competencia exclusiva del legislador. En ese sentido, precisó que “</w:t>
      </w:r>
      <w:r w:rsidRPr="00DB3EEA">
        <w:rPr>
          <w:rFonts w:ascii="Times New Roman" w:hAnsi="Times New Roman" w:cs="Times New Roman"/>
          <w:i/>
          <w:iCs/>
          <w:sz w:val="28"/>
          <w:szCs w:val="28"/>
        </w:rPr>
        <w:t>la Carta Política tan solo faculta al Gobierno para modificar, median</w:t>
      </w:r>
      <w:r w:rsidRPr="00DB3EEA">
        <w:rPr>
          <w:rFonts w:ascii="Times New Roman" w:hAnsi="Times New Roman" w:cs="Times New Roman"/>
          <w:i/>
          <w:iCs/>
          <w:sz w:val="28"/>
          <w:szCs w:val="28"/>
        </w:rPr>
        <w:t>te decretos administrativos expedidos con sujeción a las normas generales contenidas en una ley cuadro o marco, los aranceles, tarifas y demás disposiciones concernientes al régimen de aduanas que se orientan al logro de finalidades o razones de política c</w:t>
      </w:r>
      <w:r w:rsidRPr="00DB3EEA">
        <w:rPr>
          <w:rFonts w:ascii="Times New Roman" w:hAnsi="Times New Roman" w:cs="Times New Roman"/>
          <w:i/>
          <w:iCs/>
          <w:sz w:val="28"/>
          <w:szCs w:val="28"/>
        </w:rPr>
        <w:t>omercial, de modo que las medidas que persigan otros fines como, por ejemplo, de política fiscal (recaudo de ingresos para el Estado), son competencia exclusiva del legislador en los términos del artículo 338 de la Constitución Política, lo cual exige la e</w:t>
      </w:r>
      <w:r w:rsidRPr="00DB3EEA">
        <w:rPr>
          <w:rFonts w:ascii="Times New Roman" w:hAnsi="Times New Roman" w:cs="Times New Roman"/>
          <w:i/>
          <w:iCs/>
          <w:sz w:val="28"/>
          <w:szCs w:val="28"/>
        </w:rPr>
        <w:t>xpedición de leyes ordinarias</w:t>
      </w:r>
      <w:r w:rsidRPr="00DB3EEA">
        <w:rPr>
          <w:rFonts w:ascii="Times New Roman" w:hAnsi="Times New Roman" w:cs="Times New Roman"/>
          <w:sz w:val="28"/>
          <w:szCs w:val="28"/>
        </w:rPr>
        <w:t>”</w:t>
      </w:r>
      <w:r w:rsidRPr="00DB3EEA">
        <w:rPr>
          <w:rStyle w:val="Refdenotaalpie"/>
          <w:rFonts w:ascii="Times New Roman" w:hAnsi="Times New Roman" w:cs="Times New Roman"/>
          <w:sz w:val="28"/>
          <w:szCs w:val="28"/>
        </w:rPr>
        <w:footnoteReference w:id="164"/>
      </w:r>
      <w:r w:rsidRPr="00DB3EEA">
        <w:rPr>
          <w:rFonts w:ascii="Times New Roman" w:hAnsi="Times New Roman" w:cs="Times New Roman"/>
          <w:sz w:val="28"/>
          <w:szCs w:val="28"/>
        </w:rPr>
        <w:t>.</w:t>
      </w:r>
    </w:p>
    <w:p w:rsidR="00D1401D" w:rsidRPr="00DB3EEA" w:rsidRDefault="00DB3EEA" w:rsidP="00D1401D">
      <w:pPr>
        <w:pStyle w:val="Prrafodelista"/>
        <w:rPr>
          <w:rFonts w:ascii="Times New Roman" w:hAnsi="Times New Roman" w:cs="Times New Roman"/>
          <w:sz w:val="28"/>
          <w:szCs w:val="28"/>
        </w:rPr>
      </w:pPr>
    </w:p>
    <w:p w:rsidR="00D1401D" w:rsidRPr="00DB3EEA" w:rsidRDefault="00DB3EEA" w:rsidP="00D1401D">
      <w:pPr>
        <w:pStyle w:val="Prrafodelista"/>
        <w:numPr>
          <w:ilvl w:val="0"/>
          <w:numId w:val="1"/>
        </w:numPr>
        <w:ind w:left="0" w:firstLine="0"/>
        <w:jc w:val="both"/>
        <w:rPr>
          <w:rFonts w:ascii="Times New Roman" w:hAnsi="Times New Roman" w:cs="Times New Roman"/>
          <w:i/>
          <w:iCs/>
          <w:sz w:val="28"/>
          <w:szCs w:val="28"/>
        </w:rPr>
      </w:pPr>
      <w:r w:rsidRPr="00DB3EEA">
        <w:rPr>
          <w:rFonts w:ascii="Times New Roman" w:hAnsi="Times New Roman" w:cs="Times New Roman"/>
          <w:sz w:val="28"/>
          <w:szCs w:val="28"/>
        </w:rPr>
        <w:t xml:space="preserve">En ese sentido, la evolución jurisprudencial ha sostenido que la reserva de ley marco en materia </w:t>
      </w:r>
      <w:r w:rsidRPr="00DB3EEA">
        <w:rPr>
          <w:rFonts w:ascii="Times New Roman" w:hAnsi="Times New Roman" w:cs="Times New Roman"/>
          <w:sz w:val="28"/>
          <w:szCs w:val="28"/>
        </w:rPr>
        <w:t>aduaner</w:t>
      </w:r>
      <w:r w:rsidRPr="00DB3EEA">
        <w:rPr>
          <w:rFonts w:ascii="Times New Roman" w:hAnsi="Times New Roman" w:cs="Times New Roman"/>
          <w:sz w:val="28"/>
          <w:szCs w:val="28"/>
        </w:rPr>
        <w:t xml:space="preserve">a únicamente se vulnera cuando el Congreso de la República adopta medidas del régimen de aduanas dirigidas a alcanzar </w:t>
      </w:r>
      <w:r w:rsidRPr="00DB3EEA">
        <w:rPr>
          <w:rFonts w:ascii="Times New Roman" w:hAnsi="Times New Roman" w:cs="Times New Roman"/>
          <w:sz w:val="28"/>
          <w:szCs w:val="28"/>
        </w:rPr>
        <w:t>fines de política comercial, los cuales, por su propia naturaleza, constituyen asuntos especializados que requieren un alto grado de dinamismo normativo</w:t>
      </w:r>
      <w:r w:rsidRPr="00DB3EEA">
        <w:rPr>
          <w:rFonts w:ascii="Times New Roman" w:hAnsi="Times New Roman" w:cs="Times New Roman"/>
          <w:sz w:val="28"/>
          <w:szCs w:val="28"/>
        </w:rPr>
        <w:t xml:space="preserve"> y un conocimiento altamente técnico para su regulación</w:t>
      </w:r>
      <w:r w:rsidRPr="00DB3EEA">
        <w:rPr>
          <w:rFonts w:ascii="Times New Roman" w:hAnsi="Times New Roman" w:cs="Times New Roman"/>
          <w:sz w:val="28"/>
          <w:szCs w:val="28"/>
        </w:rPr>
        <w:t>.</w:t>
      </w:r>
    </w:p>
    <w:p w:rsidR="00D1401D" w:rsidRPr="00DB3EEA" w:rsidRDefault="00DB3EEA" w:rsidP="00D1401D">
      <w:pPr>
        <w:pStyle w:val="Prrafodelista"/>
        <w:rPr>
          <w:rFonts w:ascii="Times New Roman" w:hAnsi="Times New Roman" w:cs="Times New Roman"/>
          <w:sz w:val="28"/>
          <w:szCs w:val="28"/>
        </w:rPr>
      </w:pPr>
    </w:p>
    <w:p w:rsidR="00D1401D" w:rsidRPr="00DB3EEA" w:rsidRDefault="00DB3EEA" w:rsidP="00D1401D">
      <w:pPr>
        <w:pStyle w:val="Prrafodelista"/>
        <w:numPr>
          <w:ilvl w:val="0"/>
          <w:numId w:val="1"/>
        </w:numPr>
        <w:ind w:left="0" w:firstLine="0"/>
        <w:jc w:val="both"/>
        <w:rPr>
          <w:rFonts w:ascii="Times New Roman" w:hAnsi="Times New Roman" w:cs="Times New Roman"/>
          <w:i/>
          <w:iCs/>
          <w:sz w:val="28"/>
          <w:szCs w:val="28"/>
        </w:rPr>
      </w:pPr>
      <w:r w:rsidRPr="00DB3EEA">
        <w:rPr>
          <w:rFonts w:ascii="Times New Roman" w:hAnsi="Times New Roman" w:cs="Times New Roman"/>
          <w:sz w:val="28"/>
          <w:szCs w:val="28"/>
        </w:rPr>
        <w:t>Para definir los asuntos que, por su naturalez</w:t>
      </w:r>
      <w:r w:rsidRPr="00DB3EEA">
        <w:rPr>
          <w:rFonts w:ascii="Times New Roman" w:hAnsi="Times New Roman" w:cs="Times New Roman"/>
          <w:sz w:val="28"/>
          <w:szCs w:val="28"/>
        </w:rPr>
        <w:t xml:space="preserve">a dinámica y técnica, pertenecen a la competencia del Ejecutivo, la Corte ha realizado diversas precisiones. En la Sentencia C-510 de 1992, el tribunal entendió como asuntos propios de dicha competencia aquellos aspectos avalados por la Ley 6 de 1971, que </w:t>
      </w:r>
      <w:r w:rsidRPr="00DB3EEA">
        <w:rPr>
          <w:rFonts w:ascii="Times New Roman" w:hAnsi="Times New Roman" w:cs="Times New Roman"/>
          <w:sz w:val="28"/>
          <w:szCs w:val="28"/>
        </w:rPr>
        <w:t>constituía el marco normativo en materia arancelaria para la época, y reconoció, entre otros, los siguientes objetivos: “</w:t>
      </w:r>
      <w:r w:rsidRPr="00DB3EEA">
        <w:rPr>
          <w:rFonts w:ascii="Times New Roman" w:hAnsi="Times New Roman" w:cs="Times New Roman"/>
          <w:i/>
          <w:iCs/>
          <w:sz w:val="28"/>
          <w:szCs w:val="28"/>
        </w:rPr>
        <w:t>(i)Estimular el crecimiento económico del país. (ii) Otorgar una razonable y adecuada protección a la industria nacional. (iii) Regular</w:t>
      </w:r>
      <w:r w:rsidRPr="00DB3EEA">
        <w:rPr>
          <w:rFonts w:ascii="Times New Roman" w:hAnsi="Times New Roman" w:cs="Times New Roman"/>
          <w:i/>
          <w:iCs/>
          <w:sz w:val="28"/>
          <w:szCs w:val="28"/>
        </w:rPr>
        <w:t xml:space="preserve"> las importaciones con miras al adecuado aprovechamiento de las disponibilidades de divisas. (iv) Promover la sustitución de las importaciones. (v) Promover las inversiones. (vi) Servir de instrumento de control en la política de precios internos que adela</w:t>
      </w:r>
      <w:r w:rsidRPr="00DB3EEA">
        <w:rPr>
          <w:rFonts w:ascii="Times New Roman" w:hAnsi="Times New Roman" w:cs="Times New Roman"/>
          <w:i/>
          <w:iCs/>
          <w:sz w:val="28"/>
          <w:szCs w:val="28"/>
        </w:rPr>
        <w:t>nte el Gobierno en defensa del consumidor y velar por el mejoramiento de la posición competitiva de los productos colombianos. [Y] (vii) Atender las obligaciones del país contempladas en los tratados y convenios internacionales, especialmente las relativas</w:t>
      </w:r>
      <w:r w:rsidRPr="00DB3EEA">
        <w:rPr>
          <w:rFonts w:ascii="Times New Roman" w:hAnsi="Times New Roman" w:cs="Times New Roman"/>
          <w:i/>
          <w:iCs/>
          <w:sz w:val="28"/>
          <w:szCs w:val="28"/>
        </w:rPr>
        <w:t xml:space="preserve"> a los programas de integración económica”</w:t>
      </w:r>
      <w:r w:rsidRPr="00DB3EEA">
        <w:rPr>
          <w:rStyle w:val="Refdenotaalpie"/>
          <w:rFonts w:ascii="Times New Roman" w:hAnsi="Times New Roman" w:cs="Times New Roman"/>
          <w:i/>
          <w:iCs/>
          <w:sz w:val="28"/>
          <w:szCs w:val="28"/>
        </w:rPr>
        <w:footnoteReference w:id="165"/>
      </w:r>
      <w:r w:rsidRPr="00DB3EEA">
        <w:rPr>
          <w:rFonts w:ascii="Times New Roman" w:hAnsi="Times New Roman" w:cs="Times New Roman"/>
          <w:i/>
          <w:iCs/>
          <w:sz w:val="28"/>
          <w:szCs w:val="28"/>
        </w:rPr>
        <w:t>.</w:t>
      </w:r>
    </w:p>
    <w:p w:rsidR="00D1401D" w:rsidRPr="00DB3EEA" w:rsidRDefault="00DB3EEA" w:rsidP="00D1401D">
      <w:pPr>
        <w:pStyle w:val="Prrafodelista"/>
        <w:ind w:left="0"/>
        <w:jc w:val="both"/>
        <w:rPr>
          <w:rFonts w:ascii="Times New Roman" w:hAnsi="Times New Roman" w:cs="Times New Roman"/>
          <w:i/>
          <w:iCs/>
          <w:sz w:val="28"/>
          <w:szCs w:val="28"/>
        </w:rPr>
      </w:pPr>
    </w:p>
    <w:p w:rsidR="00D1401D" w:rsidRPr="00DB3EEA" w:rsidRDefault="00DB3EEA" w:rsidP="00D1401D">
      <w:pPr>
        <w:pStyle w:val="Prrafodelista"/>
        <w:numPr>
          <w:ilvl w:val="0"/>
          <w:numId w:val="1"/>
        </w:numPr>
        <w:ind w:left="0" w:firstLine="0"/>
        <w:jc w:val="both"/>
        <w:rPr>
          <w:rFonts w:ascii="Times New Roman" w:hAnsi="Times New Roman" w:cs="Times New Roman"/>
          <w:i/>
          <w:iCs/>
          <w:sz w:val="28"/>
          <w:szCs w:val="28"/>
        </w:rPr>
      </w:pPr>
      <w:r w:rsidRPr="00DB3EEA">
        <w:rPr>
          <w:rFonts w:ascii="Times New Roman" w:hAnsi="Times New Roman" w:cs="Times New Roman"/>
          <w:sz w:val="28"/>
          <w:szCs w:val="28"/>
        </w:rPr>
        <w:t>Posteriormente, en la Sentencia C-798 de 2004, la Corte actualizó esta comprensión a partir de lo dispuesto en la Ley 7ª de 1991, relativa a las normas generales a las cuales debe sujetarse el Gobierno Nacional</w:t>
      </w:r>
      <w:r w:rsidRPr="00DB3EEA">
        <w:rPr>
          <w:rFonts w:ascii="Times New Roman" w:hAnsi="Times New Roman" w:cs="Times New Roman"/>
          <w:sz w:val="28"/>
          <w:szCs w:val="28"/>
        </w:rPr>
        <w:t xml:space="preserve"> para regular el comercio exterior en el país. En dicha providencia afirmó que las finalidades reconocidas por la jurisprudencia incluían “</w:t>
      </w:r>
      <w:r w:rsidRPr="00DB3EEA">
        <w:rPr>
          <w:rFonts w:ascii="Times New Roman" w:hAnsi="Times New Roman" w:cs="Times New Roman"/>
          <w:i/>
          <w:iCs/>
          <w:sz w:val="28"/>
          <w:szCs w:val="28"/>
        </w:rPr>
        <w:t>(i) Impulsar la internacionalización de la economía colombiana para lograr un ritmo creciente y sostenido de desarrol</w:t>
      </w:r>
      <w:r w:rsidRPr="00DB3EEA">
        <w:rPr>
          <w:rFonts w:ascii="Times New Roman" w:hAnsi="Times New Roman" w:cs="Times New Roman"/>
          <w:i/>
          <w:iCs/>
          <w:sz w:val="28"/>
          <w:szCs w:val="28"/>
        </w:rPr>
        <w:t>lo; (ii) Promover y fomentar el comercio exterior de bienes, tecnología, servicios y en particular, las exportaciones; (iii) Estimular los procesos de integración y los acuerdos comerciales bilaterales y multilaterales que amplíen y faciliten las transacci</w:t>
      </w:r>
      <w:r w:rsidRPr="00DB3EEA">
        <w:rPr>
          <w:rFonts w:ascii="Times New Roman" w:hAnsi="Times New Roman" w:cs="Times New Roman"/>
          <w:i/>
          <w:iCs/>
          <w:sz w:val="28"/>
          <w:szCs w:val="28"/>
        </w:rPr>
        <w:t>ones externas del país; (iv) Impulsar la modernización y la eficiencia de la producción local, para mejorar su competitividad internacional y satisfacer adecuadamente las necesidades del consumidor; (v) Procurar una legal y equitativa competencia a la prod</w:t>
      </w:r>
      <w:r w:rsidRPr="00DB3EEA">
        <w:rPr>
          <w:rFonts w:ascii="Times New Roman" w:hAnsi="Times New Roman" w:cs="Times New Roman"/>
          <w:i/>
          <w:iCs/>
          <w:sz w:val="28"/>
          <w:szCs w:val="28"/>
        </w:rPr>
        <w:t>ucción local y otorgarle una protección adecuada, en particular, contra las prácticas desleales del comercio internacional. (vi) Apoyar y facilitar la iniciativa privada y la gestión de los distintos agentes económicos en las operaciones de comercio exteri</w:t>
      </w:r>
      <w:r w:rsidRPr="00DB3EEA">
        <w:rPr>
          <w:rFonts w:ascii="Times New Roman" w:hAnsi="Times New Roman" w:cs="Times New Roman"/>
          <w:i/>
          <w:iCs/>
          <w:sz w:val="28"/>
          <w:szCs w:val="28"/>
        </w:rPr>
        <w:t xml:space="preserve">or. (vii). Coordinar las políticas y regulaciones en materia de comercio exterior con las políticas arancelaria, monetaria, cambiaria y fiscal. [Y] (viii). Adoptar, sólo transitoriamente, mecanismos que permitan a la economía colombiana superar coyunturas </w:t>
      </w:r>
      <w:r w:rsidRPr="00DB3EEA">
        <w:rPr>
          <w:rFonts w:ascii="Times New Roman" w:hAnsi="Times New Roman" w:cs="Times New Roman"/>
          <w:i/>
          <w:iCs/>
          <w:sz w:val="28"/>
          <w:szCs w:val="28"/>
        </w:rPr>
        <w:t>externas o internas adversas al interés comercial del país.”</w:t>
      </w:r>
      <w:r w:rsidRPr="00DB3EEA">
        <w:rPr>
          <w:rStyle w:val="Refdenotaalpie"/>
          <w:rFonts w:ascii="Times New Roman" w:hAnsi="Times New Roman" w:cs="Times New Roman"/>
          <w:i/>
          <w:iCs/>
          <w:sz w:val="28"/>
          <w:szCs w:val="28"/>
        </w:rPr>
        <w:footnoteReference w:id="166"/>
      </w:r>
    </w:p>
    <w:p w:rsidR="00D1401D" w:rsidRPr="00DB3EEA" w:rsidRDefault="00DB3EEA" w:rsidP="00D1401D">
      <w:pPr>
        <w:pStyle w:val="Prrafodelista"/>
        <w:ind w:left="0"/>
        <w:jc w:val="both"/>
        <w:rPr>
          <w:rFonts w:ascii="Times New Roman" w:hAnsi="Times New Roman" w:cs="Times New Roman"/>
          <w:i/>
          <w:iCs/>
          <w:sz w:val="28"/>
          <w:szCs w:val="28"/>
        </w:rPr>
      </w:pPr>
    </w:p>
    <w:p w:rsidR="00D1401D" w:rsidRPr="00DB3EEA" w:rsidRDefault="00DB3EEA" w:rsidP="00D1401D">
      <w:pPr>
        <w:pStyle w:val="Prrafodelista"/>
        <w:numPr>
          <w:ilvl w:val="0"/>
          <w:numId w:val="1"/>
        </w:numPr>
        <w:ind w:left="0" w:firstLine="0"/>
        <w:jc w:val="both"/>
        <w:rPr>
          <w:rFonts w:ascii="Times New Roman" w:hAnsi="Times New Roman" w:cs="Times New Roman"/>
          <w:i/>
          <w:iCs/>
          <w:sz w:val="28"/>
          <w:szCs w:val="28"/>
        </w:rPr>
      </w:pPr>
      <w:r w:rsidRPr="00DB3EEA">
        <w:rPr>
          <w:rFonts w:ascii="Times New Roman" w:hAnsi="Times New Roman" w:cs="Times New Roman"/>
          <w:color w:val="2D2D2D"/>
          <w:sz w:val="28"/>
          <w:szCs w:val="28"/>
        </w:rPr>
        <w:t xml:space="preserve">Finalmente, luego de que la Ley 6 de 1971 fuera derogada por la Ley 1609 de 2013, se volvió </w:t>
      </w:r>
      <w:r w:rsidRPr="00DB3EEA">
        <w:rPr>
          <w:rFonts w:ascii="Times New Roman" w:hAnsi="Times New Roman" w:cs="Times New Roman"/>
          <w:color w:val="2D2D2D"/>
          <w:sz w:val="28"/>
          <w:szCs w:val="28"/>
        </w:rPr>
        <w:t xml:space="preserve">a </w:t>
      </w:r>
      <w:r w:rsidRPr="00DB3EEA">
        <w:rPr>
          <w:rFonts w:ascii="Times New Roman" w:hAnsi="Times New Roman" w:cs="Times New Roman"/>
          <w:color w:val="2D2D2D"/>
          <w:sz w:val="28"/>
          <w:szCs w:val="28"/>
        </w:rPr>
        <w:t xml:space="preserve">actualizar el marco normativo que definía las competencias del Ejecutivo en materia </w:t>
      </w:r>
      <w:r w:rsidRPr="00DB3EEA">
        <w:rPr>
          <w:rFonts w:ascii="Times New Roman" w:hAnsi="Times New Roman" w:cs="Times New Roman"/>
          <w:color w:val="2D2D2D"/>
          <w:sz w:val="28"/>
          <w:szCs w:val="28"/>
        </w:rPr>
        <w:t>aduanera</w:t>
      </w:r>
      <w:r w:rsidRPr="00DB3EEA">
        <w:rPr>
          <w:rStyle w:val="Refdenotaalpie"/>
          <w:rFonts w:ascii="Times New Roman" w:hAnsi="Times New Roman" w:cs="Times New Roman"/>
          <w:color w:val="2D2D2D"/>
          <w:sz w:val="28"/>
          <w:szCs w:val="28"/>
        </w:rPr>
        <w:footnoteReference w:id="167"/>
      </w:r>
      <w:r w:rsidRPr="00DB3EEA">
        <w:rPr>
          <w:rFonts w:ascii="Times New Roman" w:hAnsi="Times New Roman" w:cs="Times New Roman"/>
          <w:color w:val="2D2D2D"/>
          <w:sz w:val="28"/>
          <w:szCs w:val="28"/>
        </w:rPr>
        <w:t>. El a</w:t>
      </w:r>
      <w:r w:rsidRPr="00DB3EEA">
        <w:rPr>
          <w:rFonts w:ascii="Times New Roman" w:hAnsi="Times New Roman" w:cs="Times New Roman"/>
          <w:color w:val="2D2D2D"/>
          <w:sz w:val="28"/>
          <w:szCs w:val="28"/>
        </w:rPr>
        <w:t>rtículo tercero de la del nuevo articulado dispone que</w:t>
      </w:r>
    </w:p>
    <w:p w:rsidR="00D1401D" w:rsidRPr="00DB3EEA" w:rsidRDefault="00DB3EEA" w:rsidP="00D1401D">
      <w:pPr>
        <w:pStyle w:val="Prrafodelista"/>
        <w:shd w:val="clear" w:color="auto" w:fill="FFFFFF"/>
        <w:spacing w:line="360" w:lineRule="atLeast"/>
        <w:ind w:left="0" w:right="51"/>
        <w:jc w:val="both"/>
        <w:textAlignment w:val="baseline"/>
        <w:rPr>
          <w:rFonts w:ascii="Times New Roman" w:hAnsi="Times New Roman" w:cs="Times New Roman"/>
          <w:color w:val="2D2D2D"/>
          <w:sz w:val="28"/>
          <w:szCs w:val="28"/>
        </w:rPr>
      </w:pPr>
    </w:p>
    <w:p w:rsidR="00D1401D" w:rsidRPr="00DB3EEA" w:rsidRDefault="00DB3EEA" w:rsidP="00BA2C58">
      <w:pPr>
        <w:pStyle w:val="Prrafodelista"/>
        <w:shd w:val="clear" w:color="auto" w:fill="FFFFFF"/>
        <w:spacing w:line="360" w:lineRule="atLeast"/>
        <w:ind w:left="567" w:right="51"/>
        <w:jc w:val="both"/>
        <w:textAlignment w:val="baseline"/>
        <w:rPr>
          <w:rFonts w:ascii="Times New Roman" w:hAnsi="Times New Roman" w:cs="Times New Roman"/>
          <w:i/>
          <w:iCs/>
          <w:color w:val="2D2D2D"/>
          <w:sz w:val="28"/>
          <w:szCs w:val="28"/>
        </w:rPr>
      </w:pPr>
      <w:r w:rsidRPr="00DB3EEA">
        <w:rPr>
          <w:rFonts w:ascii="Times New Roman" w:hAnsi="Times New Roman" w:cs="Times New Roman"/>
          <w:i/>
          <w:iCs/>
          <w:color w:val="2D2D2D"/>
          <w:sz w:val="28"/>
          <w:szCs w:val="28"/>
        </w:rPr>
        <w:t xml:space="preserve">“al modificar los aranceles, tarifas y demás disposiciones concernientes al régimen de aduanas, el Gobierno Nacional deberá tener en cuenta los siguientes objetivos: </w:t>
      </w:r>
    </w:p>
    <w:p w:rsidR="00D1401D" w:rsidRPr="00DB3EEA" w:rsidRDefault="00DB3EEA" w:rsidP="00BA2C58">
      <w:pPr>
        <w:pStyle w:val="Prrafodelista"/>
        <w:shd w:val="clear" w:color="auto" w:fill="FFFFFF"/>
        <w:spacing w:line="360" w:lineRule="atLeast"/>
        <w:ind w:left="567" w:right="51"/>
        <w:jc w:val="both"/>
        <w:textAlignment w:val="baseline"/>
        <w:rPr>
          <w:rFonts w:ascii="Times New Roman" w:hAnsi="Times New Roman" w:cs="Times New Roman"/>
          <w:i/>
          <w:iCs/>
          <w:color w:val="2D2D2D"/>
          <w:sz w:val="28"/>
          <w:szCs w:val="28"/>
        </w:rPr>
      </w:pPr>
      <w:r w:rsidRPr="00DB3EEA">
        <w:rPr>
          <w:rFonts w:ascii="Times New Roman" w:hAnsi="Times New Roman" w:cs="Times New Roman"/>
          <w:i/>
          <w:iCs/>
          <w:color w:val="2D2D2D"/>
          <w:sz w:val="28"/>
          <w:szCs w:val="28"/>
        </w:rPr>
        <w:t xml:space="preserve">a) Facilitar el desarrollo y la </w:t>
      </w:r>
      <w:r w:rsidRPr="00DB3EEA">
        <w:rPr>
          <w:rFonts w:ascii="Times New Roman" w:hAnsi="Times New Roman" w:cs="Times New Roman"/>
          <w:i/>
          <w:iCs/>
          <w:color w:val="2D2D2D"/>
          <w:sz w:val="28"/>
          <w:szCs w:val="28"/>
        </w:rPr>
        <w:t>aplicación de los Convenios y Tratados Internacionales suscritos y vigentes para Colombia, y la participación en los procesos de integración económica; b) Adecuar las disposiciones que regulen el Régimen de Aduanas a la política comercial del país, al fome</w:t>
      </w:r>
      <w:r w:rsidRPr="00DB3EEA">
        <w:rPr>
          <w:rFonts w:ascii="Times New Roman" w:hAnsi="Times New Roman" w:cs="Times New Roman"/>
          <w:i/>
          <w:iCs/>
          <w:color w:val="2D2D2D"/>
          <w:sz w:val="28"/>
          <w:szCs w:val="28"/>
        </w:rPr>
        <w:t>nto y protección de la producción nacional a los acuerdos, convenios y tratados suscritos y vigentes para Colombia, a los principios y normas del derecho Internacional. En ejercicio de esta función también tendrá en cuenta las recomendaciones que expidan o</w:t>
      </w:r>
      <w:r w:rsidRPr="00DB3EEA">
        <w:rPr>
          <w:rFonts w:ascii="Times New Roman" w:hAnsi="Times New Roman" w:cs="Times New Roman"/>
          <w:i/>
          <w:iCs/>
          <w:color w:val="2D2D2D"/>
          <w:sz w:val="28"/>
          <w:szCs w:val="28"/>
        </w:rPr>
        <w:t>rganismos internacionales de comercio; c) Facilitar y agilizar las operaciones de comercio exterior, para garantizar la dinámica del intercambio comercial, el acceso de los productos y servicios a los mercados internos y externos y la competitividad de los</w:t>
      </w:r>
      <w:r w:rsidRPr="00DB3EEA">
        <w:rPr>
          <w:rFonts w:ascii="Times New Roman" w:hAnsi="Times New Roman" w:cs="Times New Roman"/>
          <w:i/>
          <w:iCs/>
          <w:color w:val="2D2D2D"/>
          <w:sz w:val="28"/>
          <w:szCs w:val="28"/>
        </w:rPr>
        <w:t xml:space="preserve"> productos y servicios colombianos en el mercado internacional; d) Fomentar el uso de tecnologías y medios de comunicación modernos y ambientalmente sostenibles, que cumplan con las necesidades y las buenas prácticas reconocidas por la legislación internac</w:t>
      </w:r>
      <w:r w:rsidRPr="00DB3EEA">
        <w:rPr>
          <w:rFonts w:ascii="Times New Roman" w:hAnsi="Times New Roman" w:cs="Times New Roman"/>
          <w:i/>
          <w:iCs/>
          <w:color w:val="2D2D2D"/>
          <w:sz w:val="28"/>
          <w:szCs w:val="28"/>
        </w:rPr>
        <w:t>ional; e) Propender por la adopción de procedimientos simplificados que contribuyan a la facilitación y agilización de las operaciones de comercio exterior”</w:t>
      </w:r>
      <w:r w:rsidRPr="00DB3EEA">
        <w:rPr>
          <w:rStyle w:val="Refdenotaalpie"/>
          <w:rFonts w:ascii="Times New Roman" w:hAnsi="Times New Roman" w:cs="Times New Roman"/>
          <w:i/>
          <w:iCs/>
          <w:color w:val="2D2D2D"/>
          <w:sz w:val="28"/>
          <w:szCs w:val="28"/>
        </w:rPr>
        <w:footnoteReference w:id="168"/>
      </w:r>
      <w:r w:rsidRPr="00DB3EEA">
        <w:rPr>
          <w:rFonts w:ascii="Times New Roman" w:hAnsi="Times New Roman" w:cs="Times New Roman"/>
          <w:i/>
          <w:iCs/>
          <w:color w:val="2D2D2D"/>
          <w:sz w:val="28"/>
          <w:szCs w:val="28"/>
        </w:rPr>
        <w:t>.</w:t>
      </w:r>
    </w:p>
    <w:p w:rsidR="00D1401D" w:rsidRPr="00DB3EEA" w:rsidRDefault="00DB3EEA" w:rsidP="00D1401D">
      <w:pPr>
        <w:pStyle w:val="Prrafodelista"/>
        <w:shd w:val="clear" w:color="auto" w:fill="FFFFFF"/>
        <w:spacing w:line="360" w:lineRule="atLeast"/>
        <w:ind w:left="0" w:right="51"/>
        <w:jc w:val="both"/>
        <w:textAlignment w:val="baseline"/>
        <w:rPr>
          <w:rFonts w:ascii="Times New Roman" w:hAnsi="Times New Roman" w:cs="Times New Roman"/>
          <w:color w:val="2D2D2D"/>
          <w:sz w:val="28"/>
          <w:szCs w:val="28"/>
        </w:rPr>
      </w:pPr>
    </w:p>
    <w:p w:rsidR="00D1401D" w:rsidRPr="00DB3EEA" w:rsidRDefault="00DB3EEA" w:rsidP="2B754A57">
      <w:pPr>
        <w:pStyle w:val="Prrafodelista"/>
        <w:numPr>
          <w:ilvl w:val="0"/>
          <w:numId w:val="1"/>
        </w:numPr>
        <w:shd w:val="clear" w:color="auto" w:fill="FFFFFF" w:themeFill="background1"/>
        <w:ind w:left="0" w:firstLine="0"/>
        <w:jc w:val="both"/>
        <w:textAlignment w:val="baseline"/>
        <w:rPr>
          <w:rFonts w:ascii="Times New Roman" w:hAnsi="Times New Roman" w:cs="Times New Roman"/>
          <w:sz w:val="28"/>
          <w:szCs w:val="28"/>
        </w:rPr>
      </w:pPr>
      <w:r w:rsidRPr="00DB3EEA">
        <w:rPr>
          <w:rFonts w:ascii="Times New Roman" w:hAnsi="Times New Roman" w:cs="Times New Roman"/>
          <w:color w:val="2D2D2D"/>
          <w:sz w:val="28"/>
          <w:szCs w:val="28"/>
        </w:rPr>
        <w:t xml:space="preserve">En consecuencia, </w:t>
      </w:r>
      <w:r w:rsidRPr="00DB3EEA">
        <w:rPr>
          <w:rFonts w:ascii="Times New Roman" w:hAnsi="Times New Roman" w:cs="Times New Roman"/>
          <w:color w:val="2D2D2D"/>
          <w:sz w:val="28"/>
          <w:szCs w:val="28"/>
        </w:rPr>
        <w:t>cualquier medida adoptada por el Congreso de la República dirigida</w:t>
      </w:r>
      <w:r w:rsidRPr="00DB3EEA">
        <w:rPr>
          <w:rFonts w:ascii="Times New Roman" w:hAnsi="Times New Roman" w:cs="Times New Roman"/>
          <w:color w:val="2D2D2D"/>
          <w:sz w:val="28"/>
          <w:szCs w:val="28"/>
        </w:rPr>
        <w:t xml:space="preserve"> a fines come</w:t>
      </w:r>
      <w:r w:rsidRPr="00DB3EEA">
        <w:rPr>
          <w:rFonts w:ascii="Times New Roman" w:hAnsi="Times New Roman" w:cs="Times New Roman"/>
          <w:color w:val="2D2D2D"/>
          <w:sz w:val="28"/>
          <w:szCs w:val="28"/>
        </w:rPr>
        <w:t xml:space="preserve">rciales debe </w:t>
      </w:r>
      <w:r w:rsidRPr="00DB3EEA">
        <w:rPr>
          <w:rFonts w:ascii="Times New Roman" w:hAnsi="Times New Roman" w:cs="Times New Roman"/>
          <w:color w:val="2D2D2D"/>
          <w:sz w:val="28"/>
          <w:szCs w:val="28"/>
        </w:rPr>
        <w:t>entenderse como una vulneración de la reserva de ley en materia arancelaria</w:t>
      </w:r>
      <w:r w:rsidRPr="00DB3EEA">
        <w:rPr>
          <w:rFonts w:ascii="Times New Roman" w:hAnsi="Times New Roman" w:cs="Times New Roman"/>
          <w:color w:val="2D2D2D"/>
          <w:sz w:val="28"/>
          <w:szCs w:val="28"/>
        </w:rPr>
        <w:t xml:space="preserve">. Por su parte, </w:t>
      </w:r>
      <w:r w:rsidRPr="00DB3EEA">
        <w:rPr>
          <w:rFonts w:ascii="Times New Roman" w:hAnsi="Times New Roman" w:cs="Times New Roman"/>
          <w:color w:val="2D2D2D"/>
          <w:sz w:val="28"/>
          <w:szCs w:val="28"/>
        </w:rPr>
        <w:t>las medidas que se adopten por fuera de dichos fines, y en particular aquellas orientadas primordialmente a objetivos de carácter fiscal</w:t>
      </w:r>
      <w:r w:rsidRPr="00DB3EEA">
        <w:rPr>
          <w:rFonts w:ascii="Times New Roman" w:hAnsi="Times New Roman" w:cs="Times New Roman"/>
          <w:color w:val="2D2D2D"/>
          <w:sz w:val="28"/>
          <w:szCs w:val="28"/>
        </w:rPr>
        <w:t xml:space="preserve"> –de recaudo est</w:t>
      </w:r>
      <w:r w:rsidRPr="00DB3EEA">
        <w:rPr>
          <w:rFonts w:ascii="Times New Roman" w:hAnsi="Times New Roman" w:cs="Times New Roman"/>
          <w:color w:val="2D2D2D"/>
          <w:sz w:val="28"/>
          <w:szCs w:val="28"/>
        </w:rPr>
        <w:t>atal–</w:t>
      </w:r>
      <w:r w:rsidRPr="00DB3EEA">
        <w:rPr>
          <w:rFonts w:ascii="Times New Roman" w:hAnsi="Times New Roman" w:cs="Times New Roman"/>
          <w:color w:val="2D2D2D"/>
          <w:sz w:val="28"/>
          <w:szCs w:val="28"/>
        </w:rPr>
        <w:t>, no se encuentran cobijadas por dicha reserva</w:t>
      </w:r>
      <w:r w:rsidRPr="00DB3EEA">
        <w:rPr>
          <w:rFonts w:ascii="Times New Roman" w:hAnsi="Times New Roman" w:cs="Times New Roman"/>
          <w:color w:val="2D2D2D"/>
          <w:sz w:val="28"/>
          <w:szCs w:val="28"/>
        </w:rPr>
        <w:t>, y, por tanto, se encuentra dentro de las competencias ordinarias del Congreso.</w:t>
      </w:r>
      <w:r w:rsidRPr="00DB3EEA">
        <w:rPr>
          <w:rFonts w:ascii="Times New Roman" w:hAnsi="Times New Roman" w:cs="Times New Roman"/>
          <w:color w:val="2D2D2D"/>
          <w:sz w:val="28"/>
          <w:szCs w:val="28"/>
        </w:rPr>
        <w:t xml:space="preserve"> </w:t>
      </w:r>
    </w:p>
    <w:p w:rsidR="00AA1697" w:rsidRPr="00DB3EEA" w:rsidRDefault="00DB3EEA" w:rsidP="00376DDD">
      <w:pPr>
        <w:jc w:val="both"/>
        <w:rPr>
          <w:rFonts w:ascii="Times New Roman" w:hAnsi="Times New Roman" w:cs="Times New Roman"/>
          <w:color w:val="2D2D2D"/>
          <w:sz w:val="28"/>
          <w:szCs w:val="28"/>
        </w:rPr>
      </w:pPr>
    </w:p>
    <w:p w:rsidR="00F7574F" w:rsidRPr="00DB3EEA" w:rsidRDefault="00DB3EEA" w:rsidP="007D36D5">
      <w:pPr>
        <w:tabs>
          <w:tab w:val="left" w:pos="284"/>
        </w:tabs>
        <w:jc w:val="both"/>
        <w:outlineLvl w:val="0"/>
        <w:rPr>
          <w:rFonts w:ascii="Times New Roman" w:eastAsia="Calibri" w:hAnsi="Times New Roman" w:cs="Times New Roman"/>
          <w:b/>
          <w:sz w:val="28"/>
          <w:szCs w:val="28"/>
          <w:lang w:eastAsia="es-ES"/>
        </w:rPr>
      </w:pPr>
      <w:r w:rsidRPr="00DB3EEA">
        <w:rPr>
          <w:rFonts w:ascii="Times New Roman" w:eastAsia="Calibri" w:hAnsi="Times New Roman" w:cs="Times New Roman"/>
          <w:b/>
          <w:sz w:val="28"/>
          <w:szCs w:val="28"/>
          <w:lang w:eastAsia="es-ES"/>
        </w:rPr>
        <w:t xml:space="preserve">III. </w:t>
      </w:r>
      <w:r w:rsidRPr="00DB3EEA">
        <w:rPr>
          <w:rFonts w:ascii="Times New Roman" w:eastAsia="Calibri" w:hAnsi="Times New Roman" w:cs="Times New Roman"/>
          <w:b/>
          <w:sz w:val="28"/>
          <w:szCs w:val="28"/>
          <w:lang w:eastAsia="es-ES"/>
        </w:rPr>
        <w:t>ANALÍSIS DEL CASO CONCRETO</w:t>
      </w:r>
    </w:p>
    <w:p w:rsidR="00E23DA7" w:rsidRPr="00DB3EEA" w:rsidRDefault="00DB3EEA" w:rsidP="00376DDD">
      <w:pPr>
        <w:jc w:val="both"/>
        <w:rPr>
          <w:rFonts w:ascii="Times New Roman" w:eastAsia="Aptos" w:hAnsi="Times New Roman" w:cs="Times New Roman"/>
          <w:kern w:val="2"/>
          <w:sz w:val="28"/>
          <w:szCs w:val="28"/>
          <w14:ligatures w14:val="standardContextual"/>
        </w:rPr>
      </w:pPr>
      <w:bookmarkStart w:id="9" w:name="_Hlk218957750"/>
    </w:p>
    <w:p w:rsidR="00C111C6" w:rsidRPr="00DB3EEA" w:rsidRDefault="00DB3EEA" w:rsidP="00C111C6">
      <w:pPr>
        <w:pStyle w:val="Prrafodelista"/>
        <w:numPr>
          <w:ilvl w:val="0"/>
          <w:numId w:val="1"/>
        </w:numPr>
        <w:tabs>
          <w:tab w:val="left" w:pos="284"/>
        </w:tabs>
        <w:ind w:left="0" w:firstLine="0"/>
        <w:jc w:val="both"/>
        <w:rPr>
          <w:rFonts w:ascii="Times New Roman" w:hAnsi="Times New Roman" w:cs="Times New Roman"/>
          <w:sz w:val="28"/>
          <w:szCs w:val="28"/>
        </w:rPr>
      </w:pPr>
      <w:bookmarkStart w:id="10" w:name="_Hlk219921131"/>
      <w:bookmarkEnd w:id="9"/>
      <w:r w:rsidRPr="00DB3EEA">
        <w:rPr>
          <w:rFonts w:ascii="Times New Roman" w:hAnsi="Times New Roman" w:cs="Times New Roman"/>
          <w:sz w:val="28"/>
          <w:szCs w:val="28"/>
        </w:rPr>
        <w:t xml:space="preserve">Los demandantes formulan </w:t>
      </w:r>
      <w:r w:rsidRPr="00DB3EEA">
        <w:rPr>
          <w:rFonts w:ascii="Times New Roman" w:hAnsi="Times New Roman" w:cs="Times New Roman"/>
          <w:sz w:val="28"/>
          <w:szCs w:val="28"/>
        </w:rPr>
        <w:t>cuatro</w:t>
      </w:r>
      <w:r w:rsidRPr="00DB3EEA">
        <w:rPr>
          <w:rFonts w:ascii="Times New Roman" w:hAnsi="Times New Roman" w:cs="Times New Roman"/>
          <w:sz w:val="28"/>
          <w:szCs w:val="28"/>
        </w:rPr>
        <w:t xml:space="preserve"> cargos de inconstitucionalidad por la presunta vulneración de los artículos 13, 95, 150-19, 189-25, 333 y 363 de la Constitución Política</w:t>
      </w:r>
      <w:r w:rsidRPr="00DB3EEA">
        <w:rPr>
          <w:rFonts w:ascii="Times New Roman" w:hAnsi="Times New Roman" w:cs="Times New Roman"/>
          <w:sz w:val="28"/>
          <w:szCs w:val="28"/>
          <w:vertAlign w:val="superscript"/>
        </w:rPr>
        <w:footnoteReference w:id="169"/>
      </w:r>
      <w:r w:rsidRPr="00DB3EEA">
        <w:rPr>
          <w:rFonts w:ascii="Times New Roman" w:hAnsi="Times New Roman" w:cs="Times New Roman"/>
          <w:sz w:val="28"/>
          <w:szCs w:val="28"/>
        </w:rPr>
        <w:t>. En virtud de dichas violaciones, solicitan la declaración de inexequibilidad de los incisos demandados</w:t>
      </w:r>
      <w:r w:rsidRPr="00DB3EEA">
        <w:rPr>
          <w:rFonts w:ascii="Times New Roman" w:hAnsi="Times New Roman" w:cs="Times New Roman"/>
          <w:sz w:val="28"/>
          <w:szCs w:val="28"/>
          <w:vertAlign w:val="superscript"/>
        </w:rPr>
        <w:footnoteReference w:id="170"/>
      </w:r>
      <w:r w:rsidRPr="00DB3EEA">
        <w:rPr>
          <w:rFonts w:ascii="Times New Roman" w:hAnsi="Times New Roman" w:cs="Times New Roman"/>
          <w:sz w:val="28"/>
          <w:szCs w:val="28"/>
        </w:rPr>
        <w:t>.</w:t>
      </w:r>
    </w:p>
    <w:p w:rsidR="2B754A57" w:rsidRPr="00DB3EEA" w:rsidRDefault="00DB3EEA" w:rsidP="2B754A57">
      <w:pPr>
        <w:pStyle w:val="Prrafodelista"/>
        <w:tabs>
          <w:tab w:val="left" w:pos="284"/>
        </w:tabs>
        <w:ind w:left="0"/>
        <w:jc w:val="both"/>
        <w:rPr>
          <w:rFonts w:ascii="Times New Roman" w:hAnsi="Times New Roman" w:cs="Times New Roman"/>
          <w:sz w:val="28"/>
          <w:szCs w:val="28"/>
        </w:rPr>
      </w:pPr>
    </w:p>
    <w:p w:rsidR="00C111C6" w:rsidRPr="00DB3EEA" w:rsidRDefault="00DB3EEA" w:rsidP="00C111C6">
      <w:pPr>
        <w:pStyle w:val="Prrafodelista"/>
        <w:numPr>
          <w:ilvl w:val="0"/>
          <w:numId w:val="1"/>
        </w:numPr>
        <w:tabs>
          <w:tab w:val="left" w:pos="284"/>
        </w:tabs>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Según su </w:t>
      </w:r>
      <w:r w:rsidRPr="00DB3EEA">
        <w:rPr>
          <w:rFonts w:ascii="Times New Roman" w:hAnsi="Times New Roman" w:cs="Times New Roman"/>
          <w:sz w:val="28"/>
          <w:szCs w:val="28"/>
        </w:rPr>
        <w:t>argumentación, los incisos segundo y tercero del artículo 513-8 del Estatuto Tributario establecen una base gravable diferencial del impuesto saludable entre productos nacionales y productos importados o producidos en zonas francas, generando una mayor car</w:t>
      </w:r>
      <w:r w:rsidRPr="00DB3EEA">
        <w:rPr>
          <w:rFonts w:ascii="Times New Roman" w:hAnsi="Times New Roman" w:cs="Times New Roman"/>
          <w:sz w:val="28"/>
          <w:szCs w:val="28"/>
        </w:rPr>
        <w:t xml:space="preserve">ga tributaria para estos últimos únicamente con base en el origen del producto. Afirman que dicha diferenciación, fundada en la procedencia del bien, resulta irrelevante a la luz de los fines de salud pública propios del impuesto saludable y, por ello, no </w:t>
      </w:r>
      <w:r w:rsidRPr="00DB3EEA">
        <w:rPr>
          <w:rFonts w:ascii="Times New Roman" w:hAnsi="Times New Roman" w:cs="Times New Roman"/>
          <w:sz w:val="28"/>
          <w:szCs w:val="28"/>
        </w:rPr>
        <w:t xml:space="preserve">existe una relación racional entre el medio utilizado por el legislador y el fin perseguido. </w:t>
      </w:r>
      <w:r w:rsidRPr="00DB3EEA">
        <w:rPr>
          <w:rFonts w:ascii="Times New Roman" w:hAnsi="Times New Roman" w:cs="Times New Roman"/>
          <w:sz w:val="28"/>
          <w:szCs w:val="28"/>
          <w:vertAlign w:val="superscript"/>
        </w:rPr>
        <w:footnoteReference w:id="171"/>
      </w:r>
      <w:r w:rsidRPr="00DB3EEA">
        <w:rPr>
          <w:rFonts w:ascii="Times New Roman" w:hAnsi="Times New Roman" w:cs="Times New Roman"/>
          <w:sz w:val="28"/>
          <w:szCs w:val="28"/>
        </w:rPr>
        <w:t xml:space="preserve"> </w:t>
      </w:r>
    </w:p>
    <w:p w:rsidR="00C111C6" w:rsidRPr="00DB3EEA" w:rsidRDefault="00DB3EEA" w:rsidP="00C111C6">
      <w:pPr>
        <w:pStyle w:val="Prrafodelista"/>
        <w:tabs>
          <w:tab w:val="left" w:pos="284"/>
        </w:tabs>
        <w:ind w:left="0"/>
        <w:jc w:val="both"/>
        <w:rPr>
          <w:rFonts w:ascii="Times New Roman" w:hAnsi="Times New Roman" w:cs="Times New Roman"/>
          <w:sz w:val="28"/>
          <w:szCs w:val="28"/>
        </w:rPr>
      </w:pPr>
    </w:p>
    <w:p w:rsidR="00C111C6" w:rsidRPr="00DB3EEA" w:rsidRDefault="00DB3EEA" w:rsidP="00C111C6">
      <w:pPr>
        <w:pStyle w:val="Prrafodelista"/>
        <w:numPr>
          <w:ilvl w:val="0"/>
          <w:numId w:val="1"/>
        </w:numPr>
        <w:tabs>
          <w:tab w:val="left" w:pos="284"/>
        </w:tabs>
        <w:ind w:left="0" w:firstLine="0"/>
        <w:jc w:val="both"/>
        <w:rPr>
          <w:rFonts w:ascii="Times New Roman" w:hAnsi="Times New Roman" w:cs="Times New Roman"/>
          <w:sz w:val="28"/>
          <w:szCs w:val="28"/>
        </w:rPr>
      </w:pPr>
      <w:r w:rsidRPr="00DB3EEA">
        <w:rPr>
          <w:rFonts w:ascii="Times New Roman" w:hAnsi="Times New Roman" w:cs="Times New Roman"/>
          <w:sz w:val="28"/>
          <w:szCs w:val="28"/>
        </w:rPr>
        <w:t>Los demandantes explican que el artículo 513-8 demandado define la base gravable del impuesto a los productos comestibles ultraprocesados industrialmente y/o c</w:t>
      </w:r>
      <w:r w:rsidRPr="00DB3EEA">
        <w:rPr>
          <w:rFonts w:ascii="Times New Roman" w:hAnsi="Times New Roman" w:cs="Times New Roman"/>
          <w:sz w:val="28"/>
          <w:szCs w:val="28"/>
        </w:rPr>
        <w:t>on alto contenido de azúcares añadidos, sodio o grasas saturadas. Sostienen que, mientras el primer inciso de la norma fija la base gravable de los productos nacionales como el precio de venta del bien —que no incluye el IVA—, la base gravable para los pro</w:t>
      </w:r>
      <w:r w:rsidRPr="00DB3EEA">
        <w:rPr>
          <w:rFonts w:ascii="Times New Roman" w:hAnsi="Times New Roman" w:cs="Times New Roman"/>
          <w:sz w:val="28"/>
          <w:szCs w:val="28"/>
        </w:rPr>
        <w:t>ductos importados o producidos en zonas francas corresponde a una fórmula más compleja que comprende: (i) el valor del producto que se tuvo en cuenta para liquidar los tributos aduaneros, más (ii) el valor de los tributos aduaneros, que incluye el IVA</w:t>
      </w:r>
      <w:r w:rsidRPr="00DB3EEA">
        <w:rPr>
          <w:rFonts w:ascii="Times New Roman" w:hAnsi="Times New Roman" w:cs="Times New Roman"/>
          <w:sz w:val="28"/>
          <w:szCs w:val="28"/>
          <w:vertAlign w:val="superscript"/>
        </w:rPr>
        <w:footnoteReference w:id="172"/>
      </w:r>
      <w:r w:rsidRPr="00DB3EEA">
        <w:rPr>
          <w:rFonts w:ascii="Times New Roman" w:hAnsi="Times New Roman" w:cs="Times New Roman"/>
          <w:sz w:val="28"/>
          <w:szCs w:val="28"/>
        </w:rPr>
        <w:t xml:space="preserve">. </w:t>
      </w:r>
    </w:p>
    <w:p w:rsidR="00C111C6" w:rsidRPr="00DB3EEA" w:rsidRDefault="00DB3EEA" w:rsidP="00C111C6">
      <w:pPr>
        <w:pStyle w:val="Prrafodelista"/>
        <w:rPr>
          <w:rFonts w:ascii="Times New Roman" w:hAnsi="Times New Roman" w:cs="Times New Roman"/>
          <w:sz w:val="28"/>
          <w:szCs w:val="28"/>
        </w:rPr>
      </w:pPr>
    </w:p>
    <w:p w:rsidR="00C111C6" w:rsidRPr="00DB3EEA" w:rsidRDefault="00DB3EEA" w:rsidP="00C111C6">
      <w:pPr>
        <w:pStyle w:val="Prrafodelista"/>
        <w:numPr>
          <w:ilvl w:val="0"/>
          <w:numId w:val="1"/>
        </w:numPr>
        <w:tabs>
          <w:tab w:val="left" w:pos="284"/>
        </w:tabs>
        <w:ind w:left="0" w:firstLine="0"/>
        <w:jc w:val="both"/>
        <w:rPr>
          <w:rFonts w:ascii="Times New Roman" w:hAnsi="Times New Roman" w:cs="Times New Roman"/>
          <w:sz w:val="28"/>
          <w:szCs w:val="28"/>
        </w:rPr>
      </w:pPr>
      <w:r w:rsidRPr="00DB3EEA">
        <w:rPr>
          <w:rFonts w:ascii="Times New Roman" w:hAnsi="Times New Roman" w:cs="Times New Roman"/>
          <w:sz w:val="28"/>
          <w:szCs w:val="28"/>
        </w:rPr>
        <w:t>En ese sentido, argumentan que, mientras el impuesto saludable a los productos nacionales se calcula únicamente sobre el valor de la venta, el de los productos importados o producidos en zonas francas se liquida sobre una base mayor que incluye el IVA. Sos</w:t>
      </w:r>
      <w:r w:rsidRPr="00DB3EEA">
        <w:rPr>
          <w:rFonts w:ascii="Times New Roman" w:hAnsi="Times New Roman" w:cs="Times New Roman"/>
          <w:sz w:val="28"/>
          <w:szCs w:val="28"/>
        </w:rPr>
        <w:t>tienen que ello constituye un aumento de la carga tributaria derivado exclusivamente del hecho de la importación.</w:t>
      </w:r>
    </w:p>
    <w:p w:rsidR="00C111C6" w:rsidRPr="00DB3EEA" w:rsidRDefault="00DB3EEA" w:rsidP="00C111C6">
      <w:pPr>
        <w:pStyle w:val="Prrafodelista"/>
        <w:rPr>
          <w:rFonts w:ascii="Times New Roman" w:hAnsi="Times New Roman" w:cs="Times New Roman"/>
          <w:sz w:val="28"/>
          <w:szCs w:val="28"/>
        </w:rPr>
      </w:pPr>
    </w:p>
    <w:p w:rsidR="00C111C6" w:rsidRPr="00DB3EEA" w:rsidRDefault="00DB3EEA" w:rsidP="00C111C6">
      <w:pPr>
        <w:pStyle w:val="Prrafodelista"/>
        <w:numPr>
          <w:ilvl w:val="0"/>
          <w:numId w:val="1"/>
        </w:numPr>
        <w:tabs>
          <w:tab w:val="left" w:pos="284"/>
        </w:tabs>
        <w:ind w:left="0" w:firstLine="0"/>
        <w:jc w:val="both"/>
        <w:rPr>
          <w:rFonts w:ascii="Times New Roman" w:hAnsi="Times New Roman" w:cs="Times New Roman"/>
          <w:sz w:val="28"/>
          <w:szCs w:val="28"/>
        </w:rPr>
      </w:pPr>
      <w:r w:rsidRPr="00DB3EEA">
        <w:rPr>
          <w:rFonts w:ascii="Times New Roman" w:hAnsi="Times New Roman" w:cs="Times New Roman"/>
          <w:sz w:val="28"/>
          <w:szCs w:val="28"/>
        </w:rPr>
        <w:t>En consecuencia, afirman que los incisos demandados vulneran: (i) el principio de igualdad, (ii) el principio de equidad horizontal tributari</w:t>
      </w:r>
      <w:r w:rsidRPr="00DB3EEA">
        <w:rPr>
          <w:rFonts w:ascii="Times New Roman" w:hAnsi="Times New Roman" w:cs="Times New Roman"/>
          <w:sz w:val="28"/>
          <w:szCs w:val="28"/>
        </w:rPr>
        <w:t>a y (iii) el derecho a la libre competencia económica. Asimismo, sostienen que, dado que la mayor carga tributaria se genera únicamente con ocasión del origen del producto, (iv) la norma impone de forma encubierta un arancel por vía legislativa, en contrav</w:t>
      </w:r>
      <w:r w:rsidRPr="00DB3EEA">
        <w:rPr>
          <w:rFonts w:ascii="Times New Roman" w:hAnsi="Times New Roman" w:cs="Times New Roman"/>
          <w:sz w:val="28"/>
          <w:szCs w:val="28"/>
        </w:rPr>
        <w:t>ía de la reserva gubernamental sobre la imposición de aranceles</w:t>
      </w:r>
      <w:r w:rsidRPr="00DB3EEA">
        <w:rPr>
          <w:rFonts w:ascii="Times New Roman" w:hAnsi="Times New Roman" w:cs="Times New Roman"/>
          <w:sz w:val="28"/>
          <w:szCs w:val="28"/>
          <w:vertAlign w:val="superscript"/>
        </w:rPr>
        <w:footnoteReference w:id="173"/>
      </w:r>
      <w:r w:rsidRPr="00DB3EEA">
        <w:rPr>
          <w:rFonts w:ascii="Times New Roman" w:hAnsi="Times New Roman" w:cs="Times New Roman"/>
          <w:sz w:val="28"/>
          <w:szCs w:val="28"/>
        </w:rPr>
        <w:t xml:space="preserve">. </w:t>
      </w:r>
    </w:p>
    <w:p w:rsidR="00C111C6" w:rsidRPr="00DB3EEA" w:rsidRDefault="00DB3EEA" w:rsidP="00C111C6">
      <w:pPr>
        <w:pStyle w:val="Prrafodelista"/>
        <w:rPr>
          <w:rFonts w:ascii="Times New Roman" w:eastAsiaTheme="minorHAnsi" w:hAnsi="Times New Roman" w:cs="Times New Roman"/>
          <w:sz w:val="28"/>
          <w:szCs w:val="28"/>
          <w:lang w:eastAsia="en-US"/>
        </w:rPr>
      </w:pPr>
    </w:p>
    <w:p w:rsidR="00C111C6" w:rsidRPr="00DB3EEA" w:rsidRDefault="00DB3EEA" w:rsidP="00C111C6">
      <w:pPr>
        <w:pStyle w:val="Prrafodelista"/>
        <w:numPr>
          <w:ilvl w:val="0"/>
          <w:numId w:val="1"/>
        </w:numPr>
        <w:tabs>
          <w:tab w:val="left" w:pos="284"/>
        </w:tabs>
        <w:ind w:left="0" w:firstLine="0"/>
        <w:jc w:val="both"/>
        <w:rPr>
          <w:rFonts w:ascii="Times New Roman" w:hAnsi="Times New Roman" w:cs="Times New Roman"/>
          <w:sz w:val="28"/>
          <w:szCs w:val="28"/>
        </w:rPr>
      </w:pPr>
      <w:r w:rsidRPr="00DB3EEA">
        <w:rPr>
          <w:rFonts w:ascii="Times New Roman" w:hAnsi="Times New Roman" w:cs="Times New Roman"/>
          <w:sz w:val="28"/>
          <w:szCs w:val="28"/>
          <w:lang w:eastAsia="en-US"/>
        </w:rPr>
        <w:t xml:space="preserve">Como se explicó anteriormente, sólo los cargos referidos a </w:t>
      </w:r>
      <w:r w:rsidRPr="00DB3EEA">
        <w:rPr>
          <w:rFonts w:ascii="Times New Roman" w:hAnsi="Times New Roman" w:cs="Times New Roman"/>
          <w:sz w:val="28"/>
          <w:szCs w:val="28"/>
          <w:lang w:eastAsia="en-US"/>
        </w:rPr>
        <w:t xml:space="preserve">(i) </w:t>
      </w:r>
      <w:r w:rsidRPr="00DB3EEA">
        <w:rPr>
          <w:rFonts w:ascii="Times New Roman" w:hAnsi="Times New Roman" w:cs="Times New Roman"/>
          <w:sz w:val="28"/>
          <w:szCs w:val="28"/>
          <w:lang w:eastAsia="en-US"/>
        </w:rPr>
        <w:t>la vulneración del derecho a la igualdad y su consecuencial, principio de equidad horizontal en materia tributaria</w:t>
      </w:r>
      <w:r w:rsidRPr="00DB3EEA">
        <w:rPr>
          <w:rFonts w:ascii="Times New Roman" w:hAnsi="Times New Roman" w:cs="Times New Roman"/>
          <w:sz w:val="28"/>
          <w:szCs w:val="28"/>
          <w:lang w:eastAsia="en-US"/>
        </w:rPr>
        <w:t xml:space="preserve"> y (ii) la </w:t>
      </w:r>
      <w:r w:rsidRPr="00DB3EEA">
        <w:rPr>
          <w:rFonts w:ascii="Times New Roman" w:hAnsi="Times New Roman" w:cs="Times New Roman"/>
          <w:sz w:val="28"/>
          <w:szCs w:val="28"/>
          <w:lang w:eastAsia="en-US"/>
        </w:rPr>
        <w:t>supuesta transgresión de la competencia limitada de la Congreso en la regulación de ar</w:t>
      </w:r>
      <w:r w:rsidRPr="00DB3EEA">
        <w:rPr>
          <w:rFonts w:ascii="Times New Roman" w:hAnsi="Times New Roman" w:cs="Times New Roman"/>
          <w:sz w:val="28"/>
          <w:szCs w:val="28"/>
          <w:lang w:eastAsia="en-US"/>
        </w:rPr>
        <w:t>a</w:t>
      </w:r>
      <w:r w:rsidRPr="00DB3EEA">
        <w:rPr>
          <w:rFonts w:ascii="Times New Roman" w:hAnsi="Times New Roman" w:cs="Times New Roman"/>
          <w:sz w:val="28"/>
          <w:szCs w:val="28"/>
          <w:lang w:eastAsia="en-US"/>
        </w:rPr>
        <w:t>nceles,</w:t>
      </w:r>
      <w:r w:rsidRPr="00DB3EEA">
        <w:rPr>
          <w:rFonts w:ascii="Times New Roman" w:hAnsi="Times New Roman" w:cs="Times New Roman"/>
          <w:sz w:val="28"/>
          <w:szCs w:val="28"/>
          <w:lang w:eastAsia="en-US"/>
        </w:rPr>
        <w:t xml:space="preserve"> cumple</w:t>
      </w:r>
      <w:r w:rsidRPr="00DB3EEA">
        <w:rPr>
          <w:rFonts w:ascii="Times New Roman" w:hAnsi="Times New Roman" w:cs="Times New Roman"/>
          <w:sz w:val="28"/>
          <w:szCs w:val="28"/>
          <w:lang w:eastAsia="en-US"/>
        </w:rPr>
        <w:t>n</w:t>
      </w:r>
      <w:r w:rsidRPr="00DB3EEA">
        <w:rPr>
          <w:rFonts w:ascii="Times New Roman" w:hAnsi="Times New Roman" w:cs="Times New Roman"/>
          <w:sz w:val="28"/>
          <w:szCs w:val="28"/>
          <w:lang w:eastAsia="en-US"/>
        </w:rPr>
        <w:t xml:space="preserve"> con los requisitos de aptitud del cargo, y por tanto se procederá a analizar si las disposiciones acusadas trasgreden la norma superior.</w:t>
      </w:r>
    </w:p>
    <w:bookmarkEnd w:id="10"/>
    <w:p w:rsidR="00C111C6" w:rsidRPr="00DB3EEA" w:rsidRDefault="00DB3EEA" w:rsidP="00C111C6">
      <w:pPr>
        <w:pStyle w:val="Prrafodelista"/>
        <w:rPr>
          <w:rFonts w:ascii="Times New Roman" w:eastAsia="Aptos" w:hAnsi="Times New Roman" w:cs="Times New Roman"/>
          <w:kern w:val="2"/>
          <w:sz w:val="28"/>
          <w:szCs w:val="28"/>
          <w14:ligatures w14:val="standardContextual"/>
        </w:rPr>
      </w:pPr>
    </w:p>
    <w:p w:rsidR="001E0E30" w:rsidRPr="00DB3EEA" w:rsidRDefault="00DB3EEA" w:rsidP="00C111C6">
      <w:pPr>
        <w:pStyle w:val="Prrafodelista"/>
        <w:numPr>
          <w:ilvl w:val="0"/>
          <w:numId w:val="1"/>
        </w:numPr>
        <w:tabs>
          <w:tab w:val="left" w:pos="284"/>
        </w:tabs>
        <w:ind w:left="0" w:firstLine="0"/>
        <w:jc w:val="both"/>
        <w:rPr>
          <w:rFonts w:ascii="Times New Roman" w:hAnsi="Times New Roman" w:cs="Times New Roman"/>
          <w:sz w:val="28"/>
          <w:szCs w:val="28"/>
        </w:rPr>
      </w:pPr>
      <w:r w:rsidRPr="00DB3EEA">
        <w:rPr>
          <w:rFonts w:ascii="Times New Roman" w:eastAsia="Aptos" w:hAnsi="Times New Roman" w:cs="Times New Roman"/>
          <w:kern w:val="2"/>
          <w:sz w:val="28"/>
          <w:szCs w:val="28"/>
          <w14:ligatures w14:val="standardContextual"/>
        </w:rPr>
        <w:t>Para resolver l</w:t>
      </w:r>
      <w:r w:rsidRPr="00DB3EEA">
        <w:rPr>
          <w:rFonts w:ascii="Times New Roman" w:eastAsia="Aptos" w:hAnsi="Times New Roman" w:cs="Times New Roman"/>
          <w:kern w:val="2"/>
          <w:sz w:val="28"/>
          <w:szCs w:val="28"/>
          <w14:ligatures w14:val="standardContextual"/>
        </w:rPr>
        <w:t>a controversia planteada, la Sala considera necesario precisar el contexto normativo y técnico en el que se inscribe la disposición demandada, con el fin de determinar su sentido, alcance y efectos jurídicos.</w:t>
      </w:r>
      <w:r w:rsidRPr="00DB3EEA">
        <w:rPr>
          <w:rFonts w:ascii="Times New Roman" w:eastAsiaTheme="minorHAnsi" w:hAnsi="Times New Roman" w:cs="Times New Roman"/>
          <w:sz w:val="28"/>
          <w:szCs w:val="28"/>
          <w:lang w:eastAsia="en-US"/>
        </w:rPr>
        <w:t xml:space="preserve"> En segundo lugar, </w:t>
      </w:r>
      <w:r w:rsidRPr="00DB3EEA">
        <w:rPr>
          <w:rFonts w:ascii="Times New Roman" w:eastAsia="Calibri" w:hAnsi="Times New Roman" w:cs="Times New Roman"/>
          <w:bCs/>
          <w:sz w:val="28"/>
          <w:szCs w:val="28"/>
          <w:lang w:eastAsia="es-ES"/>
        </w:rPr>
        <w:t xml:space="preserve">se establecerá la intensidad </w:t>
      </w:r>
      <w:r w:rsidRPr="00DB3EEA">
        <w:rPr>
          <w:rFonts w:ascii="Times New Roman" w:eastAsia="Calibri" w:hAnsi="Times New Roman" w:cs="Times New Roman"/>
          <w:bCs/>
          <w:sz w:val="28"/>
          <w:szCs w:val="28"/>
          <w:lang w:eastAsia="es-ES"/>
        </w:rPr>
        <w:t>del juicio integrado de igualdad aplicable al presente asunto. En tercer término, procederá la Sala a verificar si los grupos o situaciones objeto de comparación resultan efectivamente equiparables. Sólo en el caso en que se supere ese supuesto, se analiza</w:t>
      </w:r>
      <w:r w:rsidRPr="00DB3EEA">
        <w:rPr>
          <w:rFonts w:ascii="Times New Roman" w:eastAsia="Calibri" w:hAnsi="Times New Roman" w:cs="Times New Roman"/>
          <w:bCs/>
          <w:sz w:val="28"/>
          <w:szCs w:val="28"/>
          <w:lang w:eastAsia="es-ES"/>
        </w:rPr>
        <w:t>rá si la diferenciación de trato supera el test de razonabilidad o proporcionalidad correspondiente según la intensidad establecida.</w:t>
      </w:r>
    </w:p>
    <w:p w:rsidR="00C111C6" w:rsidRPr="00DB3EEA" w:rsidRDefault="00DB3EEA" w:rsidP="00C111C6">
      <w:pPr>
        <w:pStyle w:val="Prrafodelista"/>
        <w:tabs>
          <w:tab w:val="left" w:pos="284"/>
        </w:tabs>
        <w:ind w:left="0"/>
        <w:jc w:val="both"/>
        <w:rPr>
          <w:rFonts w:ascii="Times New Roman" w:hAnsi="Times New Roman" w:cs="Times New Roman"/>
          <w:sz w:val="28"/>
          <w:szCs w:val="28"/>
        </w:rPr>
      </w:pPr>
    </w:p>
    <w:p w:rsidR="00187FAC" w:rsidRPr="00DB3EEA" w:rsidRDefault="00DB3EEA" w:rsidP="007D36D5">
      <w:pPr>
        <w:numPr>
          <w:ilvl w:val="0"/>
          <w:numId w:val="6"/>
        </w:numPr>
        <w:tabs>
          <w:tab w:val="left" w:pos="284"/>
        </w:tabs>
        <w:ind w:left="714" w:hanging="357"/>
        <w:contextualSpacing/>
        <w:jc w:val="both"/>
        <w:outlineLvl w:val="1"/>
        <w:rPr>
          <w:rFonts w:ascii="Times New Roman" w:eastAsia="Calibri" w:hAnsi="Times New Roman" w:cs="Times New Roman"/>
          <w:b/>
          <w:sz w:val="28"/>
          <w:szCs w:val="28"/>
          <w:lang w:eastAsia="es-ES"/>
        </w:rPr>
      </w:pPr>
      <w:r w:rsidRPr="00DB3EEA">
        <w:rPr>
          <w:rFonts w:ascii="Times New Roman" w:eastAsia="Calibri" w:hAnsi="Times New Roman" w:cs="Times New Roman"/>
          <w:b/>
          <w:sz w:val="28"/>
          <w:szCs w:val="28"/>
          <w:lang w:eastAsia="es-ES"/>
        </w:rPr>
        <w:t>Alcance de la norma acusada</w:t>
      </w:r>
    </w:p>
    <w:p w:rsidR="00AF6C6F" w:rsidRPr="00DB3EEA" w:rsidRDefault="00DB3EEA" w:rsidP="00AF6C6F">
      <w:pPr>
        <w:pStyle w:val="Prrafodelista"/>
        <w:numPr>
          <w:ilvl w:val="0"/>
          <w:numId w:val="1"/>
        </w:numPr>
        <w:ind w:left="0" w:firstLine="0"/>
        <w:jc w:val="both"/>
        <w:rPr>
          <w:rFonts w:ascii="Times New Roman" w:eastAsiaTheme="minorHAnsi" w:hAnsi="Times New Roman" w:cs="Times New Roman"/>
          <w:sz w:val="28"/>
          <w:szCs w:val="28"/>
          <w:shd w:val="clear" w:color="auto" w:fill="FFFFFF"/>
          <w:lang w:eastAsia="en-US"/>
        </w:rPr>
      </w:pPr>
      <w:r w:rsidRPr="00DB3EEA">
        <w:rPr>
          <w:rFonts w:ascii="Times New Roman" w:eastAsiaTheme="minorHAnsi" w:hAnsi="Times New Roman" w:cs="Times New Roman"/>
          <w:sz w:val="28"/>
          <w:szCs w:val="28"/>
          <w:shd w:val="clear" w:color="auto" w:fill="FFFFFF"/>
          <w:lang w:eastAsia="en-US"/>
        </w:rPr>
        <w:t>El artículo 54 de la Ley 2277 de 2022 adiciona el Título X al Libro III del Estatuto Tributario, bajo la rúbrica “impuestos saludables”. El nuevo título regula dos tributos nacionales: (i) el impuesto a las bebidas ultraprocesadas azucaradas (IBUA – Capítu</w:t>
      </w:r>
      <w:r w:rsidRPr="00DB3EEA">
        <w:rPr>
          <w:rFonts w:ascii="Times New Roman" w:eastAsiaTheme="minorHAnsi" w:hAnsi="Times New Roman" w:cs="Times New Roman"/>
          <w:sz w:val="28"/>
          <w:szCs w:val="28"/>
          <w:shd w:val="clear" w:color="auto" w:fill="FFFFFF"/>
          <w:lang w:eastAsia="en-US"/>
        </w:rPr>
        <w:t>lo I) y (ii) el impuesto a los productos comestibles ultraprocesados industrialmente y/o con alto contenido de azúcares añadidos, sodio o grasas saturadas (ICUI – Capítulo II).</w:t>
      </w:r>
    </w:p>
    <w:p w:rsidR="00AF6C6F" w:rsidRPr="00DB3EEA" w:rsidRDefault="00DB3EEA" w:rsidP="00AF6C6F">
      <w:pPr>
        <w:pStyle w:val="Prrafodelista"/>
        <w:ind w:left="0"/>
        <w:jc w:val="both"/>
        <w:rPr>
          <w:rFonts w:ascii="Times New Roman" w:eastAsiaTheme="minorHAnsi" w:hAnsi="Times New Roman" w:cs="Times New Roman"/>
          <w:sz w:val="28"/>
          <w:szCs w:val="28"/>
          <w:shd w:val="clear" w:color="auto" w:fill="FFFFFF"/>
          <w:lang w:eastAsia="en-US"/>
        </w:rPr>
      </w:pPr>
    </w:p>
    <w:p w:rsidR="00AF6C6F" w:rsidRPr="00DB3EEA" w:rsidRDefault="00DB3EEA" w:rsidP="00AF6C6F">
      <w:pPr>
        <w:pStyle w:val="Prrafodelista"/>
        <w:numPr>
          <w:ilvl w:val="0"/>
          <w:numId w:val="1"/>
        </w:numPr>
        <w:ind w:left="0" w:firstLine="0"/>
        <w:jc w:val="both"/>
        <w:rPr>
          <w:rFonts w:ascii="Times New Roman" w:hAnsi="Times New Roman" w:cs="Times New Roman"/>
          <w:sz w:val="28"/>
          <w:szCs w:val="28"/>
          <w:shd w:val="clear" w:color="auto" w:fill="FFFFFF"/>
        </w:rPr>
      </w:pPr>
      <w:r w:rsidRPr="00DB3EEA">
        <w:rPr>
          <w:rFonts w:ascii="Times New Roman" w:hAnsi="Times New Roman" w:cs="Times New Roman"/>
          <w:sz w:val="28"/>
          <w:szCs w:val="28"/>
          <w:shd w:val="clear" w:color="auto" w:fill="FFFFFF"/>
        </w:rPr>
        <w:t>La base gravable del ICUI, uno de los elementos constitutivos del segundo trib</w:t>
      </w:r>
      <w:r w:rsidRPr="00DB3EEA">
        <w:rPr>
          <w:rFonts w:ascii="Times New Roman" w:hAnsi="Times New Roman" w:cs="Times New Roman"/>
          <w:sz w:val="28"/>
          <w:szCs w:val="28"/>
          <w:shd w:val="clear" w:color="auto" w:fill="FFFFFF"/>
        </w:rPr>
        <w:t xml:space="preserve">uto, es al aspecto demandado en esta oportunidad. Con el fin de comprender mejor los distintos cargos presentados, la Sala expone los artículos 513-6 a 513-10, que regulan integralmente el impuesto a los productos comestibles ultraprocesados. </w:t>
      </w:r>
    </w:p>
    <w:p w:rsidR="00AF6C6F" w:rsidRPr="00DB3EEA" w:rsidRDefault="00DB3EEA" w:rsidP="00AF6C6F">
      <w:pPr>
        <w:pStyle w:val="Prrafodelista"/>
        <w:rPr>
          <w:rFonts w:ascii="Times New Roman" w:hAnsi="Times New Roman" w:cs="Times New Roman"/>
          <w:sz w:val="28"/>
          <w:szCs w:val="28"/>
          <w:shd w:val="clear" w:color="auto" w:fill="FFFFFF"/>
        </w:rPr>
      </w:pPr>
    </w:p>
    <w:p w:rsidR="00AF6C6F" w:rsidRPr="00DB3EEA" w:rsidRDefault="00DB3EEA" w:rsidP="00AF6C6F">
      <w:pPr>
        <w:pStyle w:val="Prrafodelista"/>
        <w:numPr>
          <w:ilvl w:val="0"/>
          <w:numId w:val="1"/>
        </w:numPr>
        <w:ind w:left="0" w:firstLine="0"/>
        <w:jc w:val="both"/>
        <w:rPr>
          <w:rFonts w:ascii="Times New Roman" w:hAnsi="Times New Roman" w:cs="Times New Roman"/>
          <w:sz w:val="28"/>
          <w:szCs w:val="28"/>
          <w:shd w:val="clear" w:color="auto" w:fill="FFFFFF"/>
        </w:rPr>
      </w:pPr>
      <w:r w:rsidRPr="00DB3EEA">
        <w:rPr>
          <w:rFonts w:ascii="Times New Roman" w:hAnsi="Times New Roman" w:cs="Times New Roman"/>
          <w:sz w:val="28"/>
          <w:szCs w:val="28"/>
          <w:shd w:val="clear" w:color="auto" w:fill="FFFFFF"/>
        </w:rPr>
        <w:t>El artículo</w:t>
      </w:r>
      <w:r w:rsidRPr="00DB3EEA">
        <w:rPr>
          <w:rFonts w:ascii="Times New Roman" w:hAnsi="Times New Roman" w:cs="Times New Roman"/>
          <w:sz w:val="28"/>
          <w:szCs w:val="28"/>
          <w:shd w:val="clear" w:color="auto" w:fill="FFFFFF"/>
        </w:rPr>
        <w:t xml:space="preserve"> 513-6 del Estatuto Tributario define el hecho generador —el supuesto de hecho que, una vez se realiza, origina la obligación tributaria— como la ejecución de una determinada actividad económica sobre un producto que cumpla con un conjunto de condiciones. </w:t>
      </w:r>
      <w:r w:rsidRPr="00DB3EEA">
        <w:rPr>
          <w:rFonts w:ascii="Times New Roman" w:hAnsi="Times New Roman" w:cs="Times New Roman"/>
          <w:sz w:val="28"/>
          <w:szCs w:val="28"/>
          <w:shd w:val="clear" w:color="auto" w:fill="FFFFFF"/>
        </w:rPr>
        <w:t>El artículo reconoce como actividades generadoras del tributo: (i) la producción, la venta, el retiro de inventarios o los actos que impliquen transferencia de dominio, a título gratuito u oneroso; y (ii) la importación. Asimismo, aclara que dichas activid</w:t>
      </w:r>
      <w:r w:rsidRPr="00DB3EEA">
        <w:rPr>
          <w:rFonts w:ascii="Times New Roman" w:hAnsi="Times New Roman" w:cs="Times New Roman"/>
          <w:sz w:val="28"/>
          <w:szCs w:val="28"/>
          <w:shd w:val="clear" w:color="auto" w:fill="FFFFFF"/>
        </w:rPr>
        <w:t>ades serán susceptibles del impuesto siempre que se produzcan sobre un producto que supere los umbrales de sodio, azúcares o grasas saturadas previstos en la norma (sodio igual o superior a 1 mg/kcal o 300 mg por cada 100 g; azúcares libres iguales o super</w:t>
      </w:r>
      <w:r w:rsidRPr="00DB3EEA">
        <w:rPr>
          <w:rFonts w:ascii="Times New Roman" w:hAnsi="Times New Roman" w:cs="Times New Roman"/>
          <w:sz w:val="28"/>
          <w:szCs w:val="28"/>
          <w:shd w:val="clear" w:color="auto" w:fill="FFFFFF"/>
        </w:rPr>
        <w:t xml:space="preserve">iores al 10 % del total de energía; grasas saturadas iguales o superiores al 10 % del total de energía) y que, además, se encuentre incluido en una determinada lista de partidas y subpartidas arancelarias. En otras palabras, la obligación tributaria surge </w:t>
      </w:r>
      <w:r w:rsidRPr="00DB3EEA">
        <w:rPr>
          <w:rFonts w:ascii="Times New Roman" w:hAnsi="Times New Roman" w:cs="Times New Roman"/>
          <w:sz w:val="28"/>
          <w:szCs w:val="28"/>
          <w:shd w:val="clear" w:color="auto" w:fill="FFFFFF"/>
        </w:rPr>
        <w:t>ante la producción, venta, retiro, transferencia o importación de los productos incluidos en la lista taxativa del artículo 513-6, siempre que su contenido nutricional supere al menos uno de los umbrales mínimos de azúcares, sodio y/o grasas saturadas prev</w:t>
      </w:r>
      <w:r w:rsidRPr="00DB3EEA">
        <w:rPr>
          <w:rFonts w:ascii="Times New Roman" w:hAnsi="Times New Roman" w:cs="Times New Roman"/>
          <w:sz w:val="28"/>
          <w:szCs w:val="28"/>
          <w:shd w:val="clear" w:color="auto" w:fill="FFFFFF"/>
        </w:rPr>
        <w:t>istos en la norma.</w:t>
      </w:r>
    </w:p>
    <w:p w:rsidR="00AF6C6F" w:rsidRPr="00DB3EEA" w:rsidRDefault="00DB3EEA" w:rsidP="00AF6C6F">
      <w:pPr>
        <w:pStyle w:val="Prrafodelista"/>
        <w:ind w:left="0"/>
        <w:jc w:val="both"/>
        <w:rPr>
          <w:rFonts w:ascii="Times New Roman" w:hAnsi="Times New Roman" w:cs="Times New Roman"/>
          <w:sz w:val="28"/>
          <w:szCs w:val="28"/>
          <w:shd w:val="clear" w:color="auto" w:fill="FFFFFF"/>
        </w:rPr>
      </w:pPr>
    </w:p>
    <w:p w:rsidR="00AF6C6F" w:rsidRPr="00DB3EEA" w:rsidRDefault="00DB3EEA" w:rsidP="00AF6C6F">
      <w:pPr>
        <w:pStyle w:val="Prrafodelista"/>
        <w:numPr>
          <w:ilvl w:val="0"/>
          <w:numId w:val="1"/>
        </w:numPr>
        <w:ind w:left="0" w:firstLine="0"/>
        <w:jc w:val="both"/>
        <w:rPr>
          <w:rFonts w:ascii="Times New Roman" w:hAnsi="Times New Roman" w:cs="Times New Roman"/>
          <w:sz w:val="28"/>
          <w:szCs w:val="28"/>
          <w:shd w:val="clear" w:color="auto" w:fill="FFFFFF"/>
        </w:rPr>
      </w:pPr>
      <w:r w:rsidRPr="00DB3EEA">
        <w:rPr>
          <w:rFonts w:ascii="Times New Roman" w:hAnsi="Times New Roman" w:cs="Times New Roman"/>
          <w:sz w:val="28"/>
          <w:szCs w:val="28"/>
          <w:shd w:val="clear" w:color="auto" w:fill="FFFFFF"/>
        </w:rPr>
        <w:t>Por su parte, el artículo 513-7 establece como responsables del impuesto a los productores y/o importadores, según la actividad económica que realicen. Asimismo, crea una excepción para las personas naturales que, en el año anterior o e</w:t>
      </w:r>
      <w:r w:rsidRPr="00DB3EEA">
        <w:rPr>
          <w:rFonts w:ascii="Times New Roman" w:hAnsi="Times New Roman" w:cs="Times New Roman"/>
          <w:sz w:val="28"/>
          <w:szCs w:val="28"/>
          <w:shd w:val="clear" w:color="auto" w:fill="FFFFFF"/>
        </w:rPr>
        <w:t>n el año en curso, perciban ingresos brutos inferiores a diez mil UVT.</w:t>
      </w:r>
    </w:p>
    <w:p w:rsidR="00AF6C6F" w:rsidRPr="00DB3EEA" w:rsidRDefault="00DB3EEA" w:rsidP="00AF6C6F">
      <w:pPr>
        <w:pStyle w:val="Prrafodelista"/>
        <w:rPr>
          <w:rFonts w:ascii="Times New Roman" w:hAnsi="Times New Roman" w:cs="Times New Roman"/>
          <w:sz w:val="28"/>
          <w:szCs w:val="28"/>
          <w:shd w:val="clear" w:color="auto" w:fill="FFFFFF"/>
        </w:rPr>
      </w:pPr>
    </w:p>
    <w:p w:rsidR="00AF6C6F" w:rsidRPr="00DB3EEA" w:rsidRDefault="00DB3EEA" w:rsidP="00AF6C6F">
      <w:pPr>
        <w:pStyle w:val="Prrafodelista"/>
        <w:numPr>
          <w:ilvl w:val="0"/>
          <w:numId w:val="1"/>
        </w:numPr>
        <w:ind w:left="0" w:firstLine="0"/>
        <w:jc w:val="both"/>
        <w:rPr>
          <w:rFonts w:ascii="Times New Roman" w:hAnsi="Times New Roman" w:cs="Times New Roman"/>
          <w:sz w:val="28"/>
          <w:szCs w:val="28"/>
          <w:shd w:val="clear" w:color="auto" w:fill="FFFFFF"/>
        </w:rPr>
      </w:pPr>
      <w:r w:rsidRPr="00DB3EEA">
        <w:rPr>
          <w:rFonts w:ascii="Times New Roman" w:hAnsi="Times New Roman" w:cs="Times New Roman"/>
          <w:sz w:val="28"/>
          <w:szCs w:val="28"/>
          <w:shd w:val="clear" w:color="auto" w:fill="FFFFFF"/>
        </w:rPr>
        <w:t>El artículo 513-8, demandado en esta ocasión, define la base gravable del impuesto conforme a las distintas actividades económicas reconocidas en el artículo 513-6. Así, (i) para la pr</w:t>
      </w:r>
      <w:r w:rsidRPr="00DB3EEA">
        <w:rPr>
          <w:rFonts w:ascii="Times New Roman" w:hAnsi="Times New Roman" w:cs="Times New Roman"/>
          <w:sz w:val="28"/>
          <w:szCs w:val="28"/>
          <w:shd w:val="clear" w:color="auto" w:fill="FFFFFF"/>
        </w:rPr>
        <w:t>oducción, la base gravable es el precio de venta; (ii) para la donación o el retiro de inventario, el valor comercial; (iii) para la importación, el valor del bien utilizado para liquidar los tributos aduaneros, más el valor de dichos tributos; y (iv) para</w:t>
      </w:r>
      <w:r w:rsidRPr="00DB3EEA">
        <w:rPr>
          <w:rFonts w:ascii="Times New Roman" w:hAnsi="Times New Roman" w:cs="Times New Roman"/>
          <w:sz w:val="28"/>
          <w:szCs w:val="28"/>
          <w:shd w:val="clear" w:color="auto" w:fill="FFFFFF"/>
        </w:rPr>
        <w:t xml:space="preserve"> el ingreso de productos desde zonas francas, los costos y gastos de producción contenidos en el certificado de integración, más el valor de los tributos aduaneros. Adicionalmente, la norma prevé que, cuando el importador actúe como comprador o cliente de </w:t>
      </w:r>
      <w:r w:rsidRPr="00DB3EEA">
        <w:rPr>
          <w:rFonts w:ascii="Times New Roman" w:hAnsi="Times New Roman" w:cs="Times New Roman"/>
          <w:sz w:val="28"/>
          <w:szCs w:val="28"/>
          <w:shd w:val="clear" w:color="auto" w:fill="FFFFFF"/>
        </w:rPr>
        <w:t xml:space="preserve">productos internacionales en territorio nacional, su base gravable sea el valor de la factura de importación, más los tributos aduaneros liquidados al ingreso del producto. Debido a esto, el ICUI es un impuesto </w:t>
      </w:r>
      <w:r w:rsidRPr="00DB3EEA">
        <w:rPr>
          <w:rFonts w:ascii="Times New Roman" w:hAnsi="Times New Roman" w:cs="Times New Roman"/>
          <w:i/>
          <w:iCs/>
          <w:sz w:val="28"/>
          <w:szCs w:val="28"/>
          <w:shd w:val="clear" w:color="auto" w:fill="FFFFFF"/>
        </w:rPr>
        <w:t>ad valorem</w:t>
      </w:r>
      <w:r w:rsidRPr="00DB3EEA">
        <w:rPr>
          <w:rFonts w:ascii="Times New Roman" w:hAnsi="Times New Roman" w:cs="Times New Roman"/>
          <w:sz w:val="28"/>
          <w:szCs w:val="28"/>
          <w:shd w:val="clear" w:color="auto" w:fill="FFFFFF"/>
        </w:rPr>
        <w:t xml:space="preserve">. De acuerdo con la jurisprudencia </w:t>
      </w:r>
      <w:r w:rsidRPr="00DB3EEA">
        <w:rPr>
          <w:rFonts w:ascii="Times New Roman" w:hAnsi="Times New Roman" w:cs="Times New Roman"/>
          <w:sz w:val="28"/>
          <w:szCs w:val="28"/>
          <w:shd w:val="clear" w:color="auto" w:fill="FFFFFF"/>
        </w:rPr>
        <w:t>de la Sección Cuarta del Consejo de Estado</w:t>
      </w:r>
      <w:r w:rsidRPr="00DB3EEA">
        <w:rPr>
          <w:rStyle w:val="Refdenotaalpie"/>
          <w:rFonts w:ascii="Times New Roman" w:hAnsi="Times New Roman" w:cs="Times New Roman"/>
          <w:sz w:val="28"/>
          <w:szCs w:val="28"/>
          <w:shd w:val="clear" w:color="auto" w:fill="FFFFFF"/>
        </w:rPr>
        <w:footnoteReference w:id="174"/>
      </w:r>
      <w:r w:rsidRPr="00DB3EEA">
        <w:rPr>
          <w:rFonts w:ascii="Times New Roman" w:hAnsi="Times New Roman" w:cs="Times New Roman"/>
          <w:sz w:val="28"/>
          <w:szCs w:val="28"/>
          <w:shd w:val="clear" w:color="auto" w:fill="FFFFFF"/>
        </w:rPr>
        <w:t xml:space="preserve"> y de la Corte Constitucional</w:t>
      </w:r>
      <w:r w:rsidRPr="00DB3EEA">
        <w:rPr>
          <w:rStyle w:val="Refdenotaalpie"/>
          <w:rFonts w:ascii="Times New Roman" w:hAnsi="Times New Roman" w:cs="Times New Roman"/>
          <w:sz w:val="28"/>
          <w:szCs w:val="28"/>
          <w:shd w:val="clear" w:color="auto" w:fill="FFFFFF"/>
        </w:rPr>
        <w:footnoteReference w:id="175"/>
      </w:r>
      <w:r w:rsidRPr="00DB3EEA">
        <w:rPr>
          <w:rFonts w:ascii="Times New Roman" w:hAnsi="Times New Roman" w:cs="Times New Roman"/>
          <w:sz w:val="28"/>
          <w:szCs w:val="28"/>
          <w:shd w:val="clear" w:color="auto" w:fill="FFFFFF"/>
        </w:rPr>
        <w:t xml:space="preserve">, un impuesto </w:t>
      </w:r>
      <w:r w:rsidRPr="00DB3EEA">
        <w:rPr>
          <w:rFonts w:ascii="Times New Roman" w:hAnsi="Times New Roman" w:cs="Times New Roman"/>
          <w:i/>
          <w:iCs/>
          <w:sz w:val="28"/>
          <w:szCs w:val="28"/>
          <w:shd w:val="clear" w:color="auto" w:fill="FFFFFF"/>
        </w:rPr>
        <w:t>ad valorem</w:t>
      </w:r>
      <w:r w:rsidRPr="00DB3EEA">
        <w:rPr>
          <w:rFonts w:ascii="Times New Roman" w:hAnsi="Times New Roman" w:cs="Times New Roman"/>
          <w:sz w:val="28"/>
          <w:szCs w:val="28"/>
          <w:shd w:val="clear" w:color="auto" w:fill="FFFFFF"/>
        </w:rPr>
        <w:t xml:space="preserve"> es aquel que se fija en función del precio del producto o servicio gravado, por lo que su cuantía se determina aplicando un porcentaje al valor. </w:t>
      </w:r>
    </w:p>
    <w:p w:rsidR="00AF6C6F" w:rsidRPr="00DB3EEA" w:rsidRDefault="00DB3EEA" w:rsidP="00AF6C6F">
      <w:pPr>
        <w:pStyle w:val="Prrafodelista"/>
        <w:ind w:left="0"/>
        <w:jc w:val="both"/>
        <w:rPr>
          <w:rFonts w:ascii="Times New Roman" w:hAnsi="Times New Roman" w:cs="Times New Roman"/>
          <w:sz w:val="28"/>
          <w:szCs w:val="28"/>
          <w:shd w:val="clear" w:color="auto" w:fill="FFFFFF"/>
        </w:rPr>
      </w:pPr>
    </w:p>
    <w:p w:rsidR="00AF6C6F" w:rsidRPr="00DB3EEA" w:rsidRDefault="00DB3EEA" w:rsidP="00AF6C6F">
      <w:pPr>
        <w:pStyle w:val="Prrafodelista"/>
        <w:numPr>
          <w:ilvl w:val="0"/>
          <w:numId w:val="1"/>
        </w:numPr>
        <w:ind w:left="0" w:firstLine="0"/>
        <w:jc w:val="both"/>
        <w:rPr>
          <w:rFonts w:ascii="Times New Roman" w:hAnsi="Times New Roman" w:cs="Times New Roman"/>
          <w:sz w:val="28"/>
          <w:szCs w:val="28"/>
          <w:shd w:val="clear" w:color="auto" w:fill="FFFFFF"/>
        </w:rPr>
      </w:pPr>
      <w:r w:rsidRPr="00DB3EEA">
        <w:rPr>
          <w:rFonts w:ascii="Times New Roman" w:hAnsi="Times New Roman" w:cs="Times New Roman"/>
          <w:sz w:val="28"/>
          <w:szCs w:val="28"/>
          <w:shd w:val="clear" w:color="auto" w:fill="FFFFFF"/>
        </w:rPr>
        <w:t>El artículo</w:t>
      </w:r>
      <w:r w:rsidRPr="00DB3EEA">
        <w:rPr>
          <w:rFonts w:ascii="Times New Roman" w:hAnsi="Times New Roman" w:cs="Times New Roman"/>
          <w:sz w:val="28"/>
          <w:szCs w:val="28"/>
          <w:shd w:val="clear" w:color="auto" w:fill="FFFFFF"/>
        </w:rPr>
        <w:t xml:space="preserve"> 513-9 establece que la tarifa de este impuesto varía conforme a la vigencia: es del 10 % en 2023, del 15 % en 2024 y del 20 % desde 2025 en adelante. Finalmente, el artículo 513-10 define la causación del impuesto —el momento concreto en que nace la oblig</w:t>
      </w:r>
      <w:r w:rsidRPr="00DB3EEA">
        <w:rPr>
          <w:rFonts w:ascii="Times New Roman" w:hAnsi="Times New Roman" w:cs="Times New Roman"/>
          <w:sz w:val="28"/>
          <w:szCs w:val="28"/>
          <w:shd w:val="clear" w:color="auto" w:fill="FFFFFF"/>
        </w:rPr>
        <w:t xml:space="preserve">ación tributaria— en función de la actividad económica prevista dentro del hecho generador. Así, en la producción, venta, retiro de inventario o transferencia de dominio, la causación del tributo ocurre en la fecha de emisión de la factura o en el momento </w:t>
      </w:r>
      <w:r w:rsidRPr="00DB3EEA">
        <w:rPr>
          <w:rFonts w:ascii="Times New Roman" w:hAnsi="Times New Roman" w:cs="Times New Roman"/>
          <w:sz w:val="28"/>
          <w:szCs w:val="28"/>
          <w:shd w:val="clear" w:color="auto" w:fill="FFFFFF"/>
        </w:rPr>
        <w:t>de entrega o retiro del bien, ante la ausencia de este documento; y, en las importaciones, la obligación tributaria nace en el momento en que se nacionaliza el bien, esto es, al momento de la liquidación y pago de los tributos aduaneros para ingresar el pr</w:t>
      </w:r>
      <w:r w:rsidRPr="00DB3EEA">
        <w:rPr>
          <w:rFonts w:ascii="Times New Roman" w:hAnsi="Times New Roman" w:cs="Times New Roman"/>
          <w:sz w:val="28"/>
          <w:szCs w:val="28"/>
          <w:shd w:val="clear" w:color="auto" w:fill="FFFFFF"/>
        </w:rPr>
        <w:t>oducto ultraprocesado al país.</w:t>
      </w:r>
    </w:p>
    <w:p w:rsidR="00AF6C6F" w:rsidRPr="00DB3EEA" w:rsidRDefault="00DB3EEA" w:rsidP="00AF6C6F">
      <w:pPr>
        <w:pStyle w:val="Prrafodelista"/>
        <w:rPr>
          <w:rFonts w:ascii="Times New Roman" w:eastAsiaTheme="minorHAnsi" w:hAnsi="Times New Roman" w:cs="Times New Roman"/>
          <w:sz w:val="28"/>
          <w:szCs w:val="28"/>
          <w:shd w:val="clear" w:color="auto" w:fill="FFFFFF"/>
          <w:lang w:eastAsia="en-US"/>
        </w:rPr>
      </w:pPr>
    </w:p>
    <w:p w:rsidR="00AF6C6F" w:rsidRPr="00DB3EEA" w:rsidRDefault="00DB3EEA" w:rsidP="00AF6C6F">
      <w:pPr>
        <w:pStyle w:val="Prrafodelista"/>
        <w:numPr>
          <w:ilvl w:val="0"/>
          <w:numId w:val="1"/>
        </w:numPr>
        <w:ind w:left="0" w:firstLine="0"/>
        <w:jc w:val="both"/>
        <w:rPr>
          <w:rFonts w:ascii="Times New Roman" w:hAnsi="Times New Roman" w:cs="Times New Roman"/>
          <w:sz w:val="28"/>
          <w:szCs w:val="28"/>
          <w:shd w:val="clear" w:color="auto" w:fill="FFFFFF"/>
        </w:rPr>
      </w:pPr>
      <w:r w:rsidRPr="00DB3EEA">
        <w:rPr>
          <w:rFonts w:ascii="Times New Roman" w:hAnsi="Times New Roman" w:cs="Times New Roman"/>
          <w:sz w:val="28"/>
          <w:szCs w:val="28"/>
          <w:shd w:val="clear" w:color="auto" w:fill="FFFFFF"/>
        </w:rPr>
        <w:t>Según algunas intervenciones</w:t>
      </w:r>
      <w:r w:rsidRPr="00DB3EEA">
        <w:rPr>
          <w:rStyle w:val="Refdenotaalpie"/>
          <w:rFonts w:ascii="Times New Roman" w:hAnsi="Times New Roman" w:cs="Times New Roman"/>
          <w:sz w:val="28"/>
          <w:szCs w:val="28"/>
          <w:shd w:val="clear" w:color="auto" w:fill="FFFFFF"/>
        </w:rPr>
        <w:footnoteReference w:id="176"/>
      </w:r>
      <w:r w:rsidRPr="00DB3EEA">
        <w:rPr>
          <w:rFonts w:ascii="Times New Roman" w:hAnsi="Times New Roman" w:cs="Times New Roman"/>
          <w:sz w:val="28"/>
          <w:szCs w:val="28"/>
          <w:shd w:val="clear" w:color="auto" w:fill="FFFFFF"/>
        </w:rPr>
        <w:t xml:space="preserve"> y conceptos de la DIAN</w:t>
      </w:r>
      <w:r w:rsidRPr="00DB3EEA">
        <w:rPr>
          <w:rStyle w:val="Refdenotaalpie"/>
          <w:rFonts w:ascii="Times New Roman" w:hAnsi="Times New Roman" w:cs="Times New Roman"/>
          <w:sz w:val="28"/>
          <w:szCs w:val="28"/>
          <w:shd w:val="clear" w:color="auto" w:fill="FFFFFF"/>
        </w:rPr>
        <w:footnoteReference w:id="177"/>
      </w:r>
      <w:r w:rsidRPr="00DB3EEA">
        <w:rPr>
          <w:rFonts w:ascii="Times New Roman" w:hAnsi="Times New Roman" w:cs="Times New Roman"/>
          <w:sz w:val="28"/>
          <w:szCs w:val="28"/>
          <w:shd w:val="clear" w:color="auto" w:fill="FFFFFF"/>
        </w:rPr>
        <w:t xml:space="preserve">, el impuesto bajo estudio es de carácter monofásico, lo cual implica que solo se causa una vez </w:t>
      </w:r>
      <w:r w:rsidRPr="00DB3EEA">
        <w:rPr>
          <w:rFonts w:ascii="Times New Roman" w:hAnsi="Times New Roman" w:cs="Times New Roman"/>
          <w:sz w:val="28"/>
          <w:szCs w:val="28"/>
          <w:shd w:val="clear" w:color="auto" w:fill="FFFFFF"/>
        </w:rPr>
        <w:t>por producto gravad</w:t>
      </w:r>
      <w:r w:rsidRPr="00DB3EEA">
        <w:rPr>
          <w:rFonts w:ascii="Times New Roman" w:hAnsi="Times New Roman" w:cs="Times New Roman"/>
          <w:sz w:val="28"/>
          <w:szCs w:val="28"/>
          <w:shd w:val="clear" w:color="auto" w:fill="FFFFFF"/>
        </w:rPr>
        <w:t>o</w:t>
      </w:r>
      <w:r w:rsidRPr="00DB3EEA">
        <w:rPr>
          <w:rFonts w:ascii="Times New Roman" w:hAnsi="Times New Roman" w:cs="Times New Roman"/>
          <w:sz w:val="28"/>
          <w:szCs w:val="28"/>
          <w:shd w:val="clear" w:color="auto" w:fill="FFFFFF"/>
        </w:rPr>
        <w:t xml:space="preserve"> </w:t>
      </w:r>
      <w:r w:rsidRPr="00DB3EEA">
        <w:rPr>
          <w:rFonts w:ascii="Times New Roman" w:hAnsi="Times New Roman" w:cs="Times New Roman"/>
          <w:sz w:val="28"/>
          <w:szCs w:val="28"/>
          <w:shd w:val="clear" w:color="auto" w:fill="FFFFFF"/>
        </w:rPr>
        <w:t>y por operación definida como hecho generador</w:t>
      </w:r>
      <w:r w:rsidRPr="00DB3EEA">
        <w:rPr>
          <w:rStyle w:val="Refdenotaalpie"/>
          <w:rFonts w:ascii="Times New Roman" w:hAnsi="Times New Roman" w:cs="Times New Roman"/>
          <w:sz w:val="28"/>
          <w:szCs w:val="28"/>
          <w:shd w:val="clear" w:color="auto" w:fill="FFFFFF"/>
        </w:rPr>
        <w:footnoteReference w:id="178"/>
      </w:r>
      <w:r w:rsidRPr="00DB3EEA">
        <w:rPr>
          <w:rFonts w:ascii="Times New Roman" w:hAnsi="Times New Roman" w:cs="Times New Roman"/>
          <w:sz w:val="28"/>
          <w:szCs w:val="28"/>
          <w:shd w:val="clear" w:color="auto" w:fill="FFFFFF"/>
        </w:rPr>
        <w:t xml:space="preserve">. En términos prácticos, ello significa que, una vez se liquida el impuesto sobre </w:t>
      </w:r>
      <w:r w:rsidRPr="00DB3EEA">
        <w:rPr>
          <w:rFonts w:ascii="Times New Roman" w:hAnsi="Times New Roman" w:cs="Times New Roman"/>
          <w:sz w:val="28"/>
          <w:szCs w:val="28"/>
          <w:shd w:val="clear" w:color="auto" w:fill="FFFFFF"/>
        </w:rPr>
        <w:t xml:space="preserve">un </w:t>
      </w:r>
      <w:r w:rsidRPr="00DB3EEA">
        <w:rPr>
          <w:rFonts w:ascii="Times New Roman" w:hAnsi="Times New Roman" w:cs="Times New Roman"/>
          <w:sz w:val="28"/>
          <w:szCs w:val="28"/>
          <w:shd w:val="clear" w:color="auto" w:fill="FFFFFF"/>
        </w:rPr>
        <w:t>producto</w:t>
      </w:r>
      <w:r w:rsidRPr="00DB3EEA">
        <w:rPr>
          <w:rFonts w:ascii="Times New Roman" w:hAnsi="Times New Roman" w:cs="Times New Roman"/>
          <w:sz w:val="28"/>
          <w:szCs w:val="28"/>
          <w:shd w:val="clear" w:color="auto" w:fill="FFFFFF"/>
        </w:rPr>
        <w:t xml:space="preserve"> específico –que no ha sido transformado–</w:t>
      </w:r>
      <w:r w:rsidRPr="00DB3EEA">
        <w:rPr>
          <w:rFonts w:ascii="Times New Roman" w:hAnsi="Times New Roman" w:cs="Times New Roman"/>
          <w:sz w:val="28"/>
          <w:szCs w:val="28"/>
          <w:shd w:val="clear" w:color="auto" w:fill="FFFFFF"/>
        </w:rPr>
        <w:t xml:space="preserve"> no existe otra etapa en la que vuelva a causarse. Es decir, tanto en los productos nacionales como en los importados, el </w:t>
      </w:r>
      <w:r w:rsidRPr="00DB3EEA">
        <w:rPr>
          <w:rFonts w:ascii="Times New Roman" w:hAnsi="Times New Roman" w:cs="Times New Roman"/>
          <w:sz w:val="28"/>
          <w:szCs w:val="28"/>
          <w:shd w:val="clear" w:color="auto" w:fill="FFFFFF"/>
        </w:rPr>
        <w:t xml:space="preserve">impuesto se aplica únicamente al momento de su venta o de su nacionalización, sin que pueda cobrarse </w:t>
      </w:r>
      <w:r w:rsidRPr="00DB3EEA">
        <w:rPr>
          <w:rFonts w:ascii="Times New Roman" w:hAnsi="Times New Roman" w:cs="Times New Roman"/>
          <w:sz w:val="28"/>
          <w:szCs w:val="28"/>
          <w:shd w:val="clear" w:color="auto" w:fill="FFFFFF"/>
        </w:rPr>
        <w:t>dos veces sobre el mismo producto y hecho generado</w:t>
      </w:r>
      <w:r w:rsidRPr="00DB3EEA">
        <w:rPr>
          <w:rFonts w:ascii="Times New Roman" w:hAnsi="Times New Roman" w:cs="Times New Roman"/>
          <w:sz w:val="28"/>
          <w:szCs w:val="28"/>
          <w:shd w:val="clear" w:color="auto" w:fill="FFFFFF"/>
        </w:rPr>
        <w:t>r</w:t>
      </w:r>
      <w:r w:rsidRPr="00DB3EEA">
        <w:rPr>
          <w:rFonts w:ascii="Times New Roman" w:hAnsi="Times New Roman" w:cs="Times New Roman"/>
          <w:sz w:val="28"/>
          <w:szCs w:val="28"/>
          <w:shd w:val="clear" w:color="auto" w:fill="FFFFFF"/>
        </w:rPr>
        <w:t xml:space="preserve">. </w:t>
      </w:r>
    </w:p>
    <w:p w:rsidR="00AF6C6F" w:rsidRPr="00DB3EEA" w:rsidRDefault="00DB3EEA" w:rsidP="00AF6C6F">
      <w:pPr>
        <w:pStyle w:val="Prrafodelista"/>
        <w:rPr>
          <w:rFonts w:ascii="Times New Roman" w:eastAsia="Aptos" w:hAnsi="Times New Roman" w:cs="Times New Roman"/>
          <w:kern w:val="2"/>
          <w:sz w:val="28"/>
          <w:szCs w:val="28"/>
          <w14:ligatures w14:val="standardContextual"/>
        </w:rPr>
      </w:pPr>
    </w:p>
    <w:p w:rsidR="001378E2" w:rsidRPr="00DB3EEA" w:rsidRDefault="00DB3EEA" w:rsidP="001378E2">
      <w:pPr>
        <w:pStyle w:val="Prrafodelista"/>
        <w:numPr>
          <w:ilvl w:val="0"/>
          <w:numId w:val="1"/>
        </w:numPr>
        <w:ind w:left="0" w:firstLine="0"/>
        <w:jc w:val="both"/>
        <w:rPr>
          <w:rFonts w:ascii="Times New Roman" w:eastAsiaTheme="minorHAnsi" w:hAnsi="Times New Roman" w:cs="Times New Roman"/>
          <w:sz w:val="28"/>
          <w:szCs w:val="28"/>
          <w:shd w:val="clear" w:color="auto" w:fill="FFFFFF"/>
          <w:lang w:eastAsia="en-US"/>
        </w:rPr>
      </w:pPr>
      <w:r w:rsidRPr="00DB3EEA">
        <w:rPr>
          <w:rFonts w:ascii="Times New Roman" w:eastAsia="Aptos" w:hAnsi="Times New Roman" w:cs="Times New Roman"/>
          <w:kern w:val="2"/>
          <w:sz w:val="28"/>
          <w:szCs w:val="28"/>
          <w14:ligatures w14:val="standardContextual"/>
        </w:rPr>
        <w:t>Tal</w:t>
      </w:r>
      <w:r w:rsidRPr="00DB3EEA">
        <w:rPr>
          <w:rFonts w:ascii="Times New Roman" w:eastAsia="Aptos" w:hAnsi="Times New Roman" w:cs="Times New Roman"/>
          <w:kern w:val="2"/>
          <w:sz w:val="28"/>
          <w:szCs w:val="28"/>
          <w14:ligatures w14:val="standardContextual"/>
        </w:rPr>
        <w:t xml:space="preserve"> como se evidenció en el apartado anterior, </w:t>
      </w:r>
      <w:r w:rsidRPr="00DB3EEA">
        <w:rPr>
          <w:rFonts w:ascii="Times New Roman" w:eastAsia="Aptos" w:hAnsi="Times New Roman" w:cs="Times New Roman"/>
          <w:kern w:val="2"/>
          <w:sz w:val="28"/>
          <w:szCs w:val="28"/>
          <w14:ligatures w14:val="standardContextual"/>
        </w:rPr>
        <w:t xml:space="preserve">los elementos básicos del tributo </w:t>
      </w:r>
      <w:r w:rsidRPr="00DB3EEA">
        <w:rPr>
          <w:rFonts w:ascii="Times New Roman" w:eastAsia="Aptos" w:hAnsi="Times New Roman" w:cs="Times New Roman"/>
          <w:kern w:val="2"/>
          <w:sz w:val="28"/>
          <w:szCs w:val="28"/>
          <w14:ligatures w14:val="standardContextual"/>
        </w:rPr>
        <w:t>como la determinación del responsable, la definición de la base gravable o la causación del impuesto, responden de manera diferencial a las actividades económicas reconocidas en el hecho generador</w:t>
      </w:r>
      <w:r w:rsidRPr="00DB3EEA">
        <w:rPr>
          <w:rFonts w:ascii="Times New Roman" w:eastAsia="Aptos" w:hAnsi="Times New Roman" w:cs="Times New Roman"/>
          <w:kern w:val="2"/>
          <w:sz w:val="28"/>
          <w:szCs w:val="28"/>
          <w14:ligatures w14:val="standardContextual"/>
        </w:rPr>
        <w:t xml:space="preserve"> (la importación, la producción en zona aduanera o en zonas </w:t>
      </w:r>
      <w:r w:rsidRPr="00DB3EEA">
        <w:rPr>
          <w:rFonts w:ascii="Times New Roman" w:eastAsia="Aptos" w:hAnsi="Times New Roman" w:cs="Times New Roman"/>
          <w:kern w:val="2"/>
          <w:sz w:val="28"/>
          <w:szCs w:val="28"/>
          <w14:ligatures w14:val="standardContextual"/>
        </w:rPr>
        <w:t>francas)</w:t>
      </w:r>
      <w:r w:rsidRPr="00DB3EEA">
        <w:rPr>
          <w:rFonts w:ascii="Times New Roman" w:eastAsia="Aptos" w:hAnsi="Times New Roman" w:cs="Times New Roman"/>
          <w:kern w:val="2"/>
          <w:sz w:val="28"/>
          <w:szCs w:val="28"/>
          <w14:ligatures w14:val="standardContextual"/>
        </w:rPr>
        <w:t xml:space="preserve">. </w:t>
      </w:r>
      <w:r w:rsidRPr="00DB3EEA">
        <w:rPr>
          <w:rFonts w:ascii="Times New Roman" w:eastAsia="Aptos" w:hAnsi="Times New Roman" w:cs="Times New Roman"/>
          <w:kern w:val="2"/>
          <w:sz w:val="28"/>
          <w:szCs w:val="28"/>
          <w14:ligatures w14:val="standardContextual"/>
        </w:rPr>
        <w:t>Esta</w:t>
      </w:r>
      <w:r w:rsidRPr="00DB3EEA">
        <w:rPr>
          <w:rFonts w:ascii="Times New Roman" w:eastAsia="Aptos" w:hAnsi="Times New Roman" w:cs="Times New Roman"/>
          <w:kern w:val="2"/>
          <w:sz w:val="28"/>
          <w:szCs w:val="28"/>
          <w14:ligatures w14:val="standardContextual"/>
        </w:rPr>
        <w:t xml:space="preserve"> diferenciación opera de forma objetiva e impersonal, en tanto se predica del hecho —la actividad económica realizada por el empresario— y no de atributos subjetivos de los agentes económicos que intervienen en su producción, comercialización</w:t>
      </w:r>
      <w:r w:rsidRPr="00DB3EEA">
        <w:rPr>
          <w:rFonts w:ascii="Times New Roman" w:eastAsia="Aptos" w:hAnsi="Times New Roman" w:cs="Times New Roman"/>
          <w:kern w:val="2"/>
          <w:sz w:val="28"/>
          <w:szCs w:val="28"/>
          <w14:ligatures w14:val="standardContextual"/>
        </w:rPr>
        <w:t xml:space="preserve"> o consumo. Tal como lo establece el artículo 513-7, la responsabilidad recae en el productor o en el importador </w:t>
      </w:r>
      <w:r w:rsidRPr="00DB3EEA">
        <w:rPr>
          <w:rFonts w:ascii="Times New Roman" w:eastAsia="Aptos" w:hAnsi="Times New Roman" w:cs="Times New Roman"/>
          <w:kern w:val="2"/>
          <w:sz w:val="28"/>
          <w:szCs w:val="28"/>
          <w14:ligatures w14:val="standardContextual"/>
        </w:rPr>
        <w:t>debido a</w:t>
      </w:r>
      <w:r w:rsidRPr="00DB3EEA">
        <w:rPr>
          <w:rFonts w:ascii="Times New Roman" w:eastAsia="Aptos" w:hAnsi="Times New Roman" w:cs="Times New Roman"/>
          <w:kern w:val="2"/>
          <w:sz w:val="28"/>
          <w:szCs w:val="28"/>
          <w14:ligatures w14:val="standardContextual"/>
        </w:rPr>
        <w:t xml:space="preserve"> la actividad económica que realiza, y no de su condición individual. Es claro que un mismo individuo puede producir un bien e importar</w:t>
      </w:r>
      <w:r w:rsidRPr="00DB3EEA">
        <w:rPr>
          <w:rFonts w:ascii="Times New Roman" w:eastAsia="Aptos" w:hAnsi="Times New Roman" w:cs="Times New Roman"/>
          <w:kern w:val="2"/>
          <w:sz w:val="28"/>
          <w:szCs w:val="28"/>
          <w14:ligatures w14:val="standardContextual"/>
        </w:rPr>
        <w:t xml:space="preserve"> otro, y el impuesto se causará de manera diferencial frente a cada actividad económica, conforme a las reglas contenidas en el conjunto normativo previamente expuesto.</w:t>
      </w:r>
    </w:p>
    <w:p w:rsidR="001378E2" w:rsidRPr="00DB3EEA" w:rsidRDefault="00DB3EEA" w:rsidP="001378E2">
      <w:pPr>
        <w:pStyle w:val="Prrafodelista"/>
        <w:ind w:left="0"/>
        <w:jc w:val="both"/>
        <w:rPr>
          <w:rFonts w:ascii="Times New Roman" w:eastAsiaTheme="minorHAnsi" w:hAnsi="Times New Roman" w:cs="Times New Roman"/>
          <w:sz w:val="28"/>
          <w:szCs w:val="28"/>
          <w:shd w:val="clear" w:color="auto" w:fill="FFFFFF"/>
          <w:lang w:eastAsia="en-US"/>
        </w:rPr>
      </w:pPr>
    </w:p>
    <w:p w:rsidR="001378E2" w:rsidRPr="00DB3EEA" w:rsidRDefault="00DB3EEA" w:rsidP="001378E2">
      <w:pPr>
        <w:pStyle w:val="Prrafodelista"/>
        <w:numPr>
          <w:ilvl w:val="0"/>
          <w:numId w:val="1"/>
        </w:numPr>
        <w:ind w:left="0" w:firstLine="0"/>
        <w:jc w:val="both"/>
        <w:rPr>
          <w:rFonts w:ascii="Times New Roman" w:eastAsiaTheme="minorHAnsi" w:hAnsi="Times New Roman" w:cs="Times New Roman"/>
          <w:sz w:val="28"/>
          <w:szCs w:val="28"/>
          <w:shd w:val="clear" w:color="auto" w:fill="FFFFFF"/>
          <w:lang w:eastAsia="en-US"/>
        </w:rPr>
      </w:pPr>
      <w:r w:rsidRPr="00DB3EEA">
        <w:rPr>
          <w:rFonts w:ascii="Times New Roman" w:hAnsi="Times New Roman" w:cs="Times New Roman"/>
          <w:sz w:val="28"/>
          <w:szCs w:val="28"/>
          <w:shd w:val="clear" w:color="auto" w:fill="FFFFFF"/>
        </w:rPr>
        <w:t>La generación de la obligación tributaria ocurre de forma secuencial. Primero, se dete</w:t>
      </w:r>
      <w:r w:rsidRPr="00DB3EEA">
        <w:rPr>
          <w:rFonts w:ascii="Times New Roman" w:hAnsi="Times New Roman" w:cs="Times New Roman"/>
          <w:sz w:val="28"/>
          <w:szCs w:val="28"/>
          <w:shd w:val="clear" w:color="auto" w:fill="FFFFFF"/>
        </w:rPr>
        <w:t xml:space="preserve">rmina si se configura alguno de los hechos generadores del impuesto, esto es, la producción, venta, retiro de inventario, transferencia de dominio o importación de un producto que se encuentre en la lista de partidas arancelarias del artículo 513-6 y que, </w:t>
      </w:r>
      <w:r w:rsidRPr="00DB3EEA">
        <w:rPr>
          <w:rFonts w:ascii="Times New Roman" w:hAnsi="Times New Roman" w:cs="Times New Roman"/>
          <w:sz w:val="28"/>
          <w:szCs w:val="28"/>
          <w:shd w:val="clear" w:color="auto" w:fill="FFFFFF"/>
        </w:rPr>
        <w:t xml:space="preserve">además, supere los umbrales de sodio, azúcares añadidos o grasas saturadas definidos por la norma. En caso de configurarse el hecho generador, según lo dispuesto en los artículos 513-7 y 513-8, para los productores nacionales la base gravable del impuesto </w:t>
      </w:r>
      <w:r w:rsidRPr="00DB3EEA">
        <w:rPr>
          <w:rFonts w:ascii="Times New Roman" w:hAnsi="Times New Roman" w:cs="Times New Roman"/>
          <w:sz w:val="28"/>
          <w:szCs w:val="28"/>
          <w:shd w:val="clear" w:color="auto" w:fill="FFFFFF"/>
        </w:rPr>
        <w:t xml:space="preserve">corresponde al </w:t>
      </w:r>
      <w:r w:rsidRPr="00DB3EEA">
        <w:rPr>
          <w:rFonts w:ascii="Times New Roman" w:hAnsi="Times New Roman" w:cs="Times New Roman"/>
          <w:sz w:val="28"/>
          <w:szCs w:val="28"/>
          <w:shd w:val="clear" w:color="auto" w:fill="FFFFFF"/>
        </w:rPr>
        <w:t>precio de venta o valor</w:t>
      </w:r>
      <w:r w:rsidRPr="00DB3EEA">
        <w:rPr>
          <w:rFonts w:ascii="Times New Roman" w:hAnsi="Times New Roman" w:cs="Times New Roman"/>
          <w:sz w:val="28"/>
          <w:szCs w:val="28"/>
          <w:shd w:val="clear" w:color="auto" w:fill="FFFFFF"/>
        </w:rPr>
        <w:t xml:space="preserve"> comercial y, para los importadores, al valor del producto en aduanas —precio para liquidar impuestos, certificado de integración o factura de compra extranjera—, más los tributos aduaneros que se cancelan al momento d</w:t>
      </w:r>
      <w:r w:rsidRPr="00DB3EEA">
        <w:rPr>
          <w:rFonts w:ascii="Times New Roman" w:hAnsi="Times New Roman" w:cs="Times New Roman"/>
          <w:sz w:val="28"/>
          <w:szCs w:val="28"/>
          <w:shd w:val="clear" w:color="auto" w:fill="FFFFFF"/>
        </w:rPr>
        <w:t>e la nacionalización. Sobre esa base gravable se aplica la tarifa definida en el artículo 513-9, que es del 20 % a partir de este año. Finalmente, conforme lo dispone el artículo 513-10, el impuesto se causa en distintos momentos según la actividad económi</w:t>
      </w:r>
      <w:r w:rsidRPr="00DB3EEA">
        <w:rPr>
          <w:rFonts w:ascii="Times New Roman" w:hAnsi="Times New Roman" w:cs="Times New Roman"/>
          <w:sz w:val="28"/>
          <w:szCs w:val="28"/>
          <w:shd w:val="clear" w:color="auto" w:fill="FFFFFF"/>
        </w:rPr>
        <w:t>ca prevista en el hecho generador: para las producciones, ventas y transferencias de dominio, al momento de emitir la factura o de hacer entrega del producto; y, para las importaciones, al momento de nacionalizar el bien, supuesto que comprende a los impor</w:t>
      </w:r>
      <w:r w:rsidRPr="00DB3EEA">
        <w:rPr>
          <w:rFonts w:ascii="Times New Roman" w:hAnsi="Times New Roman" w:cs="Times New Roman"/>
          <w:sz w:val="28"/>
          <w:szCs w:val="28"/>
          <w:shd w:val="clear" w:color="auto" w:fill="FFFFFF"/>
        </w:rPr>
        <w:t>tadores nacionales, a quienes producen en zonas francas e ingresan los bienes al territorio aduanero nacional y a quienes actúan como clientes de bienes extranjeros e importan el producto con base en una factura.</w:t>
      </w:r>
    </w:p>
    <w:p w:rsidR="001378E2" w:rsidRPr="00DB3EEA" w:rsidRDefault="00DB3EEA" w:rsidP="001378E2">
      <w:pPr>
        <w:pStyle w:val="Prrafodelista"/>
        <w:ind w:left="0"/>
        <w:jc w:val="both"/>
        <w:rPr>
          <w:rFonts w:ascii="Times New Roman" w:eastAsiaTheme="minorHAnsi" w:hAnsi="Times New Roman" w:cs="Times New Roman"/>
          <w:sz w:val="28"/>
          <w:szCs w:val="28"/>
          <w:shd w:val="clear" w:color="auto" w:fill="FFFFFF"/>
          <w:lang w:eastAsia="en-US"/>
        </w:rPr>
      </w:pPr>
    </w:p>
    <w:p w:rsidR="001378E2" w:rsidRPr="00DB3EEA" w:rsidRDefault="00DB3EEA" w:rsidP="001378E2">
      <w:pPr>
        <w:pStyle w:val="Prrafodelista"/>
        <w:numPr>
          <w:ilvl w:val="0"/>
          <w:numId w:val="1"/>
        </w:numPr>
        <w:ind w:left="0" w:firstLine="0"/>
        <w:jc w:val="both"/>
        <w:rPr>
          <w:rFonts w:ascii="Times New Roman" w:eastAsiaTheme="minorHAnsi" w:hAnsi="Times New Roman" w:cs="Times New Roman"/>
          <w:sz w:val="28"/>
          <w:szCs w:val="28"/>
          <w:shd w:val="clear" w:color="auto" w:fill="FFFFFF"/>
          <w:lang w:eastAsia="en-US"/>
        </w:rPr>
      </w:pPr>
      <w:r w:rsidRPr="00DB3EEA">
        <w:rPr>
          <w:rFonts w:ascii="Times New Roman" w:hAnsi="Times New Roman" w:cs="Times New Roman"/>
          <w:sz w:val="28"/>
          <w:szCs w:val="28"/>
          <w:shd w:val="clear" w:color="auto" w:fill="FFFFFF"/>
        </w:rPr>
        <w:t>Según el escrito de demanda y su correcció</w:t>
      </w:r>
      <w:r w:rsidRPr="00DB3EEA">
        <w:rPr>
          <w:rFonts w:ascii="Times New Roman" w:hAnsi="Times New Roman" w:cs="Times New Roman"/>
          <w:sz w:val="28"/>
          <w:szCs w:val="28"/>
          <w:shd w:val="clear" w:color="auto" w:fill="FFFFFF"/>
        </w:rPr>
        <w:t xml:space="preserve">n, debido a que la norma utiliza, para definir la base gravable, el concepto de </w:t>
      </w:r>
      <w:r w:rsidRPr="00DB3EEA">
        <w:rPr>
          <w:rFonts w:ascii="Times New Roman" w:hAnsi="Times New Roman" w:cs="Times New Roman"/>
          <w:i/>
          <w:iCs/>
          <w:sz w:val="28"/>
          <w:szCs w:val="28"/>
          <w:shd w:val="clear" w:color="auto" w:fill="FFFFFF"/>
        </w:rPr>
        <w:t>tributos aduaneros</w:t>
      </w:r>
      <w:r w:rsidRPr="00DB3EEA">
        <w:rPr>
          <w:rFonts w:ascii="Times New Roman" w:hAnsi="Times New Roman" w:cs="Times New Roman"/>
          <w:sz w:val="28"/>
          <w:szCs w:val="28"/>
          <w:shd w:val="clear" w:color="auto" w:fill="FFFFFF"/>
        </w:rPr>
        <w:t xml:space="preserve"> en lugar del de </w:t>
      </w:r>
      <w:r w:rsidRPr="00DB3EEA">
        <w:rPr>
          <w:rFonts w:ascii="Times New Roman" w:hAnsi="Times New Roman" w:cs="Times New Roman"/>
          <w:i/>
          <w:iCs/>
          <w:sz w:val="28"/>
          <w:szCs w:val="28"/>
          <w:shd w:val="clear" w:color="auto" w:fill="FFFFFF"/>
        </w:rPr>
        <w:t>derechos de aduana</w:t>
      </w:r>
      <w:r w:rsidRPr="00DB3EEA">
        <w:rPr>
          <w:rFonts w:ascii="Times New Roman" w:hAnsi="Times New Roman" w:cs="Times New Roman"/>
          <w:sz w:val="28"/>
          <w:szCs w:val="28"/>
          <w:shd w:val="clear" w:color="auto" w:fill="FFFFFF"/>
        </w:rPr>
        <w:t xml:space="preserve"> o </w:t>
      </w:r>
      <w:r w:rsidRPr="00DB3EEA">
        <w:rPr>
          <w:rFonts w:ascii="Times New Roman" w:hAnsi="Times New Roman" w:cs="Times New Roman"/>
          <w:i/>
          <w:iCs/>
          <w:sz w:val="28"/>
          <w:szCs w:val="28"/>
          <w:shd w:val="clear" w:color="auto" w:fill="FFFFFF"/>
        </w:rPr>
        <w:t>derechos aduaneros</w:t>
      </w:r>
      <w:r w:rsidRPr="00DB3EEA">
        <w:rPr>
          <w:rFonts w:ascii="Times New Roman" w:hAnsi="Times New Roman" w:cs="Times New Roman"/>
          <w:sz w:val="28"/>
          <w:szCs w:val="28"/>
          <w:shd w:val="clear" w:color="auto" w:fill="FFFFFF"/>
        </w:rPr>
        <w:t>, se incluye el valor del IVA de la importación en la base gravable de los productos ultraprocesados i</w:t>
      </w:r>
      <w:r w:rsidRPr="00DB3EEA">
        <w:rPr>
          <w:rFonts w:ascii="Times New Roman" w:hAnsi="Times New Roman" w:cs="Times New Roman"/>
          <w:sz w:val="28"/>
          <w:szCs w:val="28"/>
          <w:shd w:val="clear" w:color="auto" w:fill="FFFFFF"/>
        </w:rPr>
        <w:t>mportados, lo que genera una condición de inequidad frente a los productos nacionales. Los demandantes afirman que, debido a que solo respecto de los productos importados la base gravable incluye el IVA, el impuesto saludable generado sobre los productos e</w:t>
      </w:r>
      <w:r w:rsidRPr="00DB3EEA">
        <w:rPr>
          <w:rFonts w:ascii="Times New Roman" w:hAnsi="Times New Roman" w:cs="Times New Roman"/>
          <w:sz w:val="28"/>
          <w:szCs w:val="28"/>
          <w:shd w:val="clear" w:color="auto" w:fill="FFFFFF"/>
        </w:rPr>
        <w:t>xtranjeros es superior al de los productos nacionales, sin que exista justificación alguna.</w:t>
      </w:r>
    </w:p>
    <w:p w:rsidR="001378E2" w:rsidRPr="00DB3EEA" w:rsidRDefault="00DB3EEA" w:rsidP="001378E2">
      <w:pPr>
        <w:pStyle w:val="Prrafodelista"/>
        <w:rPr>
          <w:rFonts w:ascii="Times New Roman" w:hAnsi="Times New Roman" w:cs="Times New Roman"/>
          <w:sz w:val="28"/>
          <w:szCs w:val="28"/>
        </w:rPr>
      </w:pPr>
    </w:p>
    <w:p w:rsidR="001378E2" w:rsidRPr="00DB3EEA" w:rsidRDefault="00DB3EEA" w:rsidP="001378E2">
      <w:pPr>
        <w:pStyle w:val="Prrafodelista"/>
        <w:numPr>
          <w:ilvl w:val="0"/>
          <w:numId w:val="1"/>
        </w:numPr>
        <w:ind w:left="0" w:firstLine="0"/>
        <w:jc w:val="both"/>
        <w:rPr>
          <w:rFonts w:ascii="Times New Roman" w:eastAsiaTheme="minorHAnsi" w:hAnsi="Times New Roman" w:cs="Times New Roman"/>
          <w:sz w:val="28"/>
          <w:szCs w:val="28"/>
          <w:shd w:val="clear" w:color="auto" w:fill="FFFFFF"/>
          <w:lang w:eastAsia="en-US"/>
        </w:rPr>
      </w:pPr>
      <w:r w:rsidRPr="00DB3EEA">
        <w:rPr>
          <w:rFonts w:ascii="Times New Roman" w:hAnsi="Times New Roman" w:cs="Times New Roman"/>
          <w:sz w:val="28"/>
          <w:szCs w:val="28"/>
        </w:rPr>
        <w:t xml:space="preserve">Los demandantes y algunos intervinientes afirman que la diferencia entre los tributos aduaneros y los derechos de aduana radica en que los primeros incluyen el </w:t>
      </w:r>
      <w:r w:rsidRPr="00DB3EEA">
        <w:rPr>
          <w:rFonts w:ascii="Times New Roman" w:hAnsi="Times New Roman" w:cs="Times New Roman"/>
          <w:sz w:val="28"/>
          <w:szCs w:val="28"/>
        </w:rPr>
        <w:t>valor del impuesto sobre las ventas (IVA) causado en la importación. Para sustentar esta afirmación, acuden al artículo 3 del Decreto 1165 de 2019, “por el cual se dictan disposiciones relativas al Régimen de Aduanas en desarrollo de la Ley 1609 de 2013”.</w:t>
      </w:r>
    </w:p>
    <w:p w:rsidR="001378E2" w:rsidRPr="00DB3EEA" w:rsidRDefault="00DB3EEA" w:rsidP="001378E2">
      <w:pPr>
        <w:pStyle w:val="Prrafodelista"/>
        <w:rPr>
          <w:rFonts w:ascii="Times New Roman" w:hAnsi="Times New Roman" w:cs="Times New Roman"/>
          <w:sz w:val="28"/>
          <w:szCs w:val="28"/>
        </w:rPr>
      </w:pPr>
    </w:p>
    <w:p w:rsidR="00AF6C6F" w:rsidRPr="00DB3EEA" w:rsidRDefault="00DB3EEA" w:rsidP="001378E2">
      <w:pPr>
        <w:pStyle w:val="Prrafodelista"/>
        <w:numPr>
          <w:ilvl w:val="0"/>
          <w:numId w:val="1"/>
        </w:numPr>
        <w:ind w:left="0" w:firstLine="0"/>
        <w:jc w:val="both"/>
        <w:rPr>
          <w:rFonts w:ascii="Times New Roman" w:eastAsiaTheme="minorHAnsi" w:hAnsi="Times New Roman" w:cs="Times New Roman"/>
          <w:sz w:val="28"/>
          <w:szCs w:val="28"/>
          <w:shd w:val="clear" w:color="auto" w:fill="FFFFFF"/>
          <w:lang w:eastAsia="en-US"/>
        </w:rPr>
      </w:pPr>
      <w:r w:rsidRPr="00DB3EEA">
        <w:rPr>
          <w:rFonts w:ascii="Times New Roman" w:hAnsi="Times New Roman" w:cs="Times New Roman"/>
          <w:sz w:val="28"/>
          <w:szCs w:val="28"/>
        </w:rPr>
        <w:t xml:space="preserve">De conformidad con dicha disposición, los derechos de aduana son </w:t>
      </w:r>
      <w:r w:rsidRPr="00DB3EEA">
        <w:rPr>
          <w:rFonts w:ascii="Times New Roman" w:hAnsi="Times New Roman" w:cs="Times New Roman"/>
          <w:i/>
          <w:iCs/>
          <w:sz w:val="28"/>
          <w:szCs w:val="28"/>
        </w:rPr>
        <w:t>“los derechos establecidos en el arancel de aduana, a los cuales se encuentran sometidas las mercancías, tanto a la entrada como a la salida del territorio aduanero nacional, cuando haya lug</w:t>
      </w:r>
      <w:r w:rsidRPr="00DB3EEA">
        <w:rPr>
          <w:rFonts w:ascii="Times New Roman" w:hAnsi="Times New Roman" w:cs="Times New Roman"/>
          <w:i/>
          <w:iCs/>
          <w:sz w:val="28"/>
          <w:szCs w:val="28"/>
        </w:rPr>
        <w:t>ar a ello</w:t>
      </w:r>
      <w:r w:rsidRPr="00DB3EEA">
        <w:rPr>
          <w:rFonts w:ascii="Times New Roman" w:hAnsi="Times New Roman" w:cs="Times New Roman"/>
          <w:sz w:val="28"/>
          <w:szCs w:val="28"/>
        </w:rPr>
        <w:t>”. A su vez, la norma define los tributos aduaneros como:</w:t>
      </w:r>
    </w:p>
    <w:p w:rsidR="00AF6C6F" w:rsidRPr="00DB3EEA" w:rsidRDefault="00DB3EEA" w:rsidP="00836901">
      <w:pPr>
        <w:pStyle w:val="Prrafodelista"/>
        <w:ind w:left="567"/>
        <w:jc w:val="both"/>
        <w:rPr>
          <w:rFonts w:ascii="Times New Roman" w:hAnsi="Times New Roman" w:cs="Times New Roman"/>
          <w:sz w:val="28"/>
          <w:szCs w:val="28"/>
        </w:rPr>
      </w:pPr>
    </w:p>
    <w:p w:rsidR="00AF6C6F" w:rsidRPr="00DB3EEA" w:rsidRDefault="00DB3EEA" w:rsidP="00836901">
      <w:pPr>
        <w:pStyle w:val="Prrafodelista"/>
        <w:ind w:left="567"/>
        <w:jc w:val="both"/>
        <w:rPr>
          <w:rFonts w:ascii="Times New Roman" w:hAnsi="Times New Roman" w:cs="Times New Roman"/>
          <w:i/>
          <w:iCs/>
          <w:sz w:val="28"/>
          <w:szCs w:val="28"/>
        </w:rPr>
      </w:pPr>
      <w:r w:rsidRPr="00DB3EEA">
        <w:rPr>
          <w:rFonts w:ascii="Times New Roman" w:hAnsi="Times New Roman" w:cs="Times New Roman"/>
          <w:i/>
          <w:iCs/>
          <w:sz w:val="28"/>
          <w:szCs w:val="28"/>
        </w:rPr>
        <w:t xml:space="preserve">“Los derechos de aduana y todos los otros derechos, impuestos o recargos percibidos en la importación o con motivo de la importación de mercancías, salvo los recargos cuyo monto se limite </w:t>
      </w:r>
      <w:r w:rsidRPr="00DB3EEA">
        <w:rPr>
          <w:rFonts w:ascii="Times New Roman" w:hAnsi="Times New Roman" w:cs="Times New Roman"/>
          <w:i/>
          <w:iCs/>
          <w:sz w:val="28"/>
          <w:szCs w:val="28"/>
        </w:rPr>
        <w:t>al costo aproximado de los servicios prestados o percibidos por la aduana por cuenta de otra autoridad nacional.  </w:t>
      </w:r>
    </w:p>
    <w:p w:rsidR="00AF6C6F" w:rsidRPr="00DB3EEA" w:rsidRDefault="00DB3EEA" w:rsidP="00836901">
      <w:pPr>
        <w:pStyle w:val="Prrafodelista"/>
        <w:ind w:left="567"/>
        <w:jc w:val="both"/>
        <w:rPr>
          <w:rFonts w:ascii="Times New Roman" w:hAnsi="Times New Roman" w:cs="Times New Roman"/>
          <w:i/>
          <w:iCs/>
          <w:sz w:val="28"/>
          <w:szCs w:val="28"/>
        </w:rPr>
      </w:pPr>
    </w:p>
    <w:p w:rsidR="00AF6C6F" w:rsidRPr="00DB3EEA" w:rsidRDefault="00DB3EEA" w:rsidP="00836901">
      <w:pPr>
        <w:pStyle w:val="Prrafodelista"/>
        <w:ind w:left="567"/>
        <w:jc w:val="both"/>
        <w:rPr>
          <w:rFonts w:ascii="Times New Roman" w:hAnsi="Times New Roman" w:cs="Times New Roman"/>
          <w:i/>
          <w:iCs/>
          <w:sz w:val="28"/>
          <w:szCs w:val="28"/>
        </w:rPr>
      </w:pPr>
      <w:r w:rsidRPr="00DB3EEA">
        <w:rPr>
          <w:rFonts w:ascii="Times New Roman" w:hAnsi="Times New Roman" w:cs="Times New Roman"/>
          <w:i/>
          <w:iCs/>
          <w:sz w:val="28"/>
          <w:szCs w:val="28"/>
        </w:rPr>
        <w:t>El impuesto a las ventas causado por la importación de las mercancías al Territorio Aduanero Nacional está comprendido dentro de esta defini</w:t>
      </w:r>
      <w:r w:rsidRPr="00DB3EEA">
        <w:rPr>
          <w:rFonts w:ascii="Times New Roman" w:hAnsi="Times New Roman" w:cs="Times New Roman"/>
          <w:i/>
          <w:iCs/>
          <w:sz w:val="28"/>
          <w:szCs w:val="28"/>
        </w:rPr>
        <w:t>ción.  </w:t>
      </w:r>
    </w:p>
    <w:p w:rsidR="00AF6C6F" w:rsidRPr="00DB3EEA" w:rsidRDefault="00DB3EEA" w:rsidP="00836901">
      <w:pPr>
        <w:pStyle w:val="Prrafodelista"/>
        <w:ind w:left="567"/>
        <w:jc w:val="both"/>
        <w:rPr>
          <w:rFonts w:ascii="Times New Roman" w:hAnsi="Times New Roman" w:cs="Times New Roman"/>
          <w:i/>
          <w:iCs/>
          <w:sz w:val="28"/>
          <w:szCs w:val="28"/>
        </w:rPr>
      </w:pPr>
      <w:r w:rsidRPr="00DB3EEA">
        <w:rPr>
          <w:rFonts w:ascii="Times New Roman" w:hAnsi="Times New Roman" w:cs="Times New Roman"/>
          <w:i/>
          <w:iCs/>
          <w:sz w:val="28"/>
          <w:szCs w:val="28"/>
        </w:rPr>
        <w:t>  </w:t>
      </w:r>
    </w:p>
    <w:p w:rsidR="00AF6C6F" w:rsidRPr="00DB3EEA" w:rsidRDefault="00DB3EEA" w:rsidP="00836901">
      <w:pPr>
        <w:pStyle w:val="Prrafodelista"/>
        <w:ind w:left="567"/>
        <w:jc w:val="both"/>
        <w:rPr>
          <w:rFonts w:ascii="Times New Roman" w:hAnsi="Times New Roman" w:cs="Times New Roman"/>
          <w:sz w:val="28"/>
          <w:szCs w:val="28"/>
        </w:rPr>
      </w:pPr>
      <w:r w:rsidRPr="00DB3EEA">
        <w:rPr>
          <w:rFonts w:ascii="Times New Roman" w:hAnsi="Times New Roman" w:cs="Times New Roman"/>
          <w:i/>
          <w:iCs/>
          <w:sz w:val="28"/>
          <w:szCs w:val="28"/>
        </w:rPr>
        <w:t>No se consideran tributos aduaneros las sanciones, las multas y los recargos al precio de los servicios prestados.”</w:t>
      </w:r>
    </w:p>
    <w:p w:rsidR="001378E2" w:rsidRPr="00DB3EEA" w:rsidRDefault="00DB3EEA" w:rsidP="00836901">
      <w:pPr>
        <w:pStyle w:val="Prrafodelista"/>
        <w:ind w:left="567"/>
        <w:jc w:val="both"/>
        <w:rPr>
          <w:rFonts w:ascii="Times New Roman" w:hAnsi="Times New Roman" w:cs="Times New Roman"/>
          <w:sz w:val="28"/>
          <w:szCs w:val="28"/>
        </w:rPr>
      </w:pPr>
    </w:p>
    <w:p w:rsidR="001378E2" w:rsidRPr="00DB3EEA" w:rsidRDefault="00DB3EEA" w:rsidP="001378E2">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 Lo anterior implica que, tal como lo plantean los demandantes, el concepto de </w:t>
      </w:r>
      <w:r w:rsidRPr="00DB3EEA">
        <w:rPr>
          <w:rFonts w:ascii="Times New Roman" w:hAnsi="Times New Roman" w:cs="Times New Roman"/>
          <w:i/>
          <w:iCs/>
          <w:sz w:val="28"/>
          <w:szCs w:val="28"/>
        </w:rPr>
        <w:t>tributos aduaneros</w:t>
      </w:r>
      <w:r w:rsidRPr="00DB3EEA">
        <w:rPr>
          <w:rFonts w:ascii="Times New Roman" w:hAnsi="Times New Roman" w:cs="Times New Roman"/>
          <w:sz w:val="28"/>
          <w:szCs w:val="28"/>
        </w:rPr>
        <w:t xml:space="preserve"> corresponde a un rubro económi</w:t>
      </w:r>
      <w:r w:rsidRPr="00DB3EEA">
        <w:rPr>
          <w:rFonts w:ascii="Times New Roman" w:hAnsi="Times New Roman" w:cs="Times New Roman"/>
          <w:sz w:val="28"/>
          <w:szCs w:val="28"/>
        </w:rPr>
        <w:t xml:space="preserve">co mayor que el de los </w:t>
      </w:r>
      <w:r w:rsidRPr="00DB3EEA">
        <w:rPr>
          <w:rFonts w:ascii="Times New Roman" w:hAnsi="Times New Roman" w:cs="Times New Roman"/>
          <w:i/>
          <w:iCs/>
          <w:sz w:val="28"/>
          <w:szCs w:val="28"/>
        </w:rPr>
        <w:t>derechos de aduana</w:t>
      </w:r>
      <w:r w:rsidRPr="00DB3EEA">
        <w:rPr>
          <w:rFonts w:ascii="Times New Roman" w:hAnsi="Times New Roman" w:cs="Times New Roman"/>
          <w:sz w:val="28"/>
          <w:szCs w:val="28"/>
        </w:rPr>
        <w:t>, en tanto incluye “todos los otros derechos, impuestos o recargos percibidos en la importación o con motivo de la importación de mercancías”, dentro de los cuales se contempla el impuesto a las ventas (IVA) causado</w:t>
      </w:r>
      <w:r w:rsidRPr="00DB3EEA">
        <w:rPr>
          <w:rFonts w:ascii="Times New Roman" w:hAnsi="Times New Roman" w:cs="Times New Roman"/>
          <w:sz w:val="28"/>
          <w:szCs w:val="28"/>
        </w:rPr>
        <w:t xml:space="preserve"> por la importación de la mercancía, así como cualquier otro pago, recargo o impuesto generado con ocasión del ingreso de esta, que no corresponda a sanciones, multas o recargos al precio del servicio.</w:t>
      </w:r>
    </w:p>
    <w:p w:rsidR="00725607" w:rsidRPr="00DB3EEA" w:rsidRDefault="00DB3EEA" w:rsidP="00CE5359">
      <w:pPr>
        <w:rPr>
          <w:rFonts w:ascii="Times New Roman" w:hAnsi="Times New Roman" w:cs="Times New Roman"/>
          <w:sz w:val="28"/>
          <w:szCs w:val="28"/>
        </w:rPr>
      </w:pPr>
    </w:p>
    <w:p w:rsidR="00C111C6" w:rsidRPr="00DB3EEA" w:rsidRDefault="00DB3EEA" w:rsidP="00725607">
      <w:pPr>
        <w:pStyle w:val="Prrafodelista"/>
        <w:numPr>
          <w:ilvl w:val="0"/>
          <w:numId w:val="1"/>
        </w:numPr>
        <w:ind w:left="0" w:firstLine="0"/>
        <w:jc w:val="both"/>
        <w:rPr>
          <w:rFonts w:ascii="Times New Roman" w:eastAsia="Calibri" w:hAnsi="Times New Roman" w:cs="Times New Roman"/>
          <w:sz w:val="28"/>
          <w:szCs w:val="28"/>
        </w:rPr>
      </w:pPr>
      <w:r w:rsidRPr="00DB3EEA">
        <w:rPr>
          <w:rFonts w:ascii="Times New Roman" w:hAnsi="Times New Roman" w:cs="Times New Roman"/>
          <w:sz w:val="28"/>
          <w:szCs w:val="28"/>
        </w:rPr>
        <w:t>En ese sentido, en el caso concreto la Corte debe con</w:t>
      </w:r>
      <w:r w:rsidRPr="00DB3EEA">
        <w:rPr>
          <w:rFonts w:ascii="Times New Roman" w:hAnsi="Times New Roman" w:cs="Times New Roman"/>
          <w:sz w:val="28"/>
          <w:szCs w:val="28"/>
        </w:rPr>
        <w:t>statar: (i) si la actividad económica de producir en el territorio aduanero nacional es equiparable a la de importar desde el exterior o desde zonas francas, al punto de que la base gravable del tributo aplicable a ambas actividades deba ser idéntica o com</w:t>
      </w:r>
      <w:r w:rsidRPr="00DB3EEA">
        <w:rPr>
          <w:rFonts w:ascii="Times New Roman" w:hAnsi="Times New Roman" w:cs="Times New Roman"/>
          <w:sz w:val="28"/>
          <w:szCs w:val="28"/>
        </w:rPr>
        <w:t>parable en términos tributarios; (ii) si el valor comercial o el precio de venta de un producto nacional ultraprocesado sujeto al impuesto resulta irrazonablemente inequitativo frente al valor del bien al momento de su ingreso al territorio nacional, adici</w:t>
      </w:r>
      <w:r w:rsidRPr="00DB3EEA">
        <w:rPr>
          <w:rFonts w:ascii="Times New Roman" w:hAnsi="Times New Roman" w:cs="Times New Roman"/>
          <w:sz w:val="28"/>
          <w:szCs w:val="28"/>
        </w:rPr>
        <w:t xml:space="preserve">onado con los tributos aduaneros, de modo que la disposición demandada genera efectivamente un trato desigual; y (iii) si la inclusión del IVA en la base gravable de los productos extranjeros, derivada del uso del término </w:t>
      </w:r>
      <w:r w:rsidRPr="00DB3EEA">
        <w:rPr>
          <w:rFonts w:ascii="Times New Roman" w:hAnsi="Times New Roman" w:cs="Times New Roman"/>
          <w:i/>
          <w:iCs/>
          <w:sz w:val="28"/>
          <w:szCs w:val="28"/>
        </w:rPr>
        <w:t>tributos aduaneros</w:t>
      </w:r>
      <w:r w:rsidRPr="00DB3EEA">
        <w:rPr>
          <w:rFonts w:ascii="Times New Roman" w:hAnsi="Times New Roman" w:cs="Times New Roman"/>
          <w:sz w:val="28"/>
          <w:szCs w:val="28"/>
        </w:rPr>
        <w:t xml:space="preserve"> en lugar de </w:t>
      </w:r>
      <w:r w:rsidRPr="00DB3EEA">
        <w:rPr>
          <w:rFonts w:ascii="Times New Roman" w:hAnsi="Times New Roman" w:cs="Times New Roman"/>
          <w:i/>
          <w:iCs/>
          <w:sz w:val="28"/>
          <w:szCs w:val="28"/>
        </w:rPr>
        <w:t>derechos de aduana</w:t>
      </w:r>
      <w:r w:rsidRPr="00DB3EEA">
        <w:rPr>
          <w:rFonts w:ascii="Times New Roman" w:hAnsi="Times New Roman" w:cs="Times New Roman"/>
          <w:sz w:val="28"/>
          <w:szCs w:val="28"/>
        </w:rPr>
        <w:t>, persigue un fin constitucionalmente legítimo y se encuentra debidamente justificada, o si, por el contrario, carece de fundamento y no contribuye a la finalidad de protección de la salud propia de este tipo de tributos.</w:t>
      </w:r>
    </w:p>
    <w:p w:rsidR="00352DF6" w:rsidRPr="00DB3EEA" w:rsidRDefault="00DB3EEA" w:rsidP="00352DF6">
      <w:pPr>
        <w:pStyle w:val="Prrafodelista"/>
        <w:ind w:left="0"/>
        <w:jc w:val="both"/>
        <w:rPr>
          <w:rFonts w:ascii="Times New Roman" w:hAnsi="Times New Roman" w:cs="Times New Roman"/>
          <w:sz w:val="28"/>
          <w:szCs w:val="28"/>
        </w:rPr>
      </w:pPr>
    </w:p>
    <w:p w:rsidR="001E0E30" w:rsidRPr="00DB3EEA" w:rsidRDefault="00DB3EEA" w:rsidP="007D36D5">
      <w:pPr>
        <w:pStyle w:val="Prrafodelista"/>
        <w:numPr>
          <w:ilvl w:val="0"/>
          <w:numId w:val="6"/>
        </w:numPr>
        <w:tabs>
          <w:tab w:val="left" w:pos="284"/>
        </w:tabs>
        <w:ind w:left="714" w:hanging="357"/>
        <w:jc w:val="both"/>
        <w:outlineLvl w:val="1"/>
        <w:rPr>
          <w:rFonts w:ascii="Times New Roman" w:eastAsia="Calibri" w:hAnsi="Times New Roman" w:cs="Times New Roman"/>
          <w:b/>
          <w:sz w:val="28"/>
          <w:szCs w:val="28"/>
          <w:lang w:eastAsia="es-ES"/>
        </w:rPr>
      </w:pPr>
      <w:r w:rsidRPr="00DB3EEA">
        <w:rPr>
          <w:rFonts w:ascii="Times New Roman" w:eastAsia="Calibri" w:hAnsi="Times New Roman" w:cs="Times New Roman"/>
          <w:b/>
          <w:sz w:val="28"/>
          <w:szCs w:val="28"/>
          <w:lang w:eastAsia="es-ES"/>
        </w:rPr>
        <w:t>Análisis del ca</w:t>
      </w:r>
      <w:r w:rsidRPr="00DB3EEA">
        <w:rPr>
          <w:rFonts w:ascii="Times New Roman" w:eastAsia="Calibri" w:hAnsi="Times New Roman" w:cs="Times New Roman"/>
          <w:b/>
          <w:sz w:val="28"/>
          <w:szCs w:val="28"/>
          <w:lang w:eastAsia="es-ES"/>
        </w:rPr>
        <w:t>rgo referido a la transgresión del derecho a la igualdad y a la equidad tributaria</w:t>
      </w:r>
    </w:p>
    <w:p w:rsidR="00DA2A3F" w:rsidRPr="00DB3EEA" w:rsidRDefault="00DB3EEA" w:rsidP="00376DDD">
      <w:pPr>
        <w:pStyle w:val="Prrafodelista"/>
        <w:tabs>
          <w:tab w:val="left" w:pos="284"/>
        </w:tabs>
        <w:ind w:left="1510"/>
        <w:jc w:val="both"/>
        <w:rPr>
          <w:rFonts w:ascii="Times New Roman" w:eastAsia="Calibri" w:hAnsi="Times New Roman" w:cs="Times New Roman"/>
          <w:b/>
          <w:sz w:val="28"/>
          <w:szCs w:val="28"/>
          <w:lang w:eastAsia="es-ES"/>
        </w:rPr>
      </w:pPr>
    </w:p>
    <w:p w:rsidR="00C111C6" w:rsidRPr="00DB3EEA" w:rsidRDefault="00DB3EEA" w:rsidP="00C15465">
      <w:pPr>
        <w:pStyle w:val="Prrafodelista"/>
        <w:numPr>
          <w:ilvl w:val="0"/>
          <w:numId w:val="1"/>
        </w:numPr>
        <w:ind w:left="0" w:firstLine="0"/>
        <w:jc w:val="both"/>
        <w:rPr>
          <w:rFonts w:ascii="Times New Roman" w:eastAsia="Aptos" w:hAnsi="Times New Roman" w:cs="Times New Roman"/>
          <w:kern w:val="2"/>
          <w:sz w:val="28"/>
          <w:szCs w:val="28"/>
          <w14:ligatures w14:val="standardContextual"/>
        </w:rPr>
      </w:pPr>
      <w:r w:rsidRPr="00DB3EEA">
        <w:rPr>
          <w:rFonts w:ascii="Times New Roman" w:eastAsia="Aptos" w:hAnsi="Times New Roman" w:cs="Times New Roman"/>
          <w:kern w:val="2"/>
          <w:sz w:val="28"/>
          <w:szCs w:val="28"/>
          <w14:ligatures w14:val="standardContextual"/>
        </w:rPr>
        <w:t xml:space="preserve">Corresponde ahora a la Sala establecer la intensidad del juicio integrado de igualdad aplicable al presente asunto. La Sala reitera que, por regla general, en materia tributaria, el juicio integrado de igualdad debe ser realizado con el test leve, a menos </w:t>
      </w:r>
      <w:r w:rsidRPr="00DB3EEA">
        <w:rPr>
          <w:rFonts w:ascii="Times New Roman" w:eastAsia="Aptos" w:hAnsi="Times New Roman" w:cs="Times New Roman"/>
          <w:kern w:val="2"/>
          <w:sz w:val="28"/>
          <w:szCs w:val="28"/>
          <w14:ligatures w14:val="standardContextual"/>
        </w:rPr>
        <w:t xml:space="preserve">que </w:t>
      </w:r>
      <w:r w:rsidRPr="00DB3EEA">
        <w:rPr>
          <w:rFonts w:ascii="Times New Roman" w:eastAsia="Aptos" w:hAnsi="Times New Roman" w:cs="Times New Roman"/>
          <w:kern w:val="2"/>
          <w:sz w:val="28"/>
          <w:szCs w:val="28"/>
          <w14:ligatures w14:val="standardContextual"/>
        </w:rPr>
        <w:t xml:space="preserve">proceda el </w:t>
      </w:r>
      <w:r w:rsidRPr="00DB3EEA">
        <w:rPr>
          <w:rFonts w:ascii="Times New Roman" w:eastAsia="Aptos" w:hAnsi="Times New Roman" w:cs="Times New Roman"/>
          <w:kern w:val="2"/>
          <w:sz w:val="28"/>
          <w:szCs w:val="28"/>
          <w14:ligatures w14:val="standardContextual"/>
        </w:rPr>
        <w:t>test intermedio</w:t>
      </w:r>
      <w:r w:rsidRPr="00DB3EEA">
        <w:rPr>
          <w:rFonts w:ascii="Times New Roman" w:eastAsia="Aptos" w:hAnsi="Times New Roman" w:cs="Times New Roman"/>
          <w:kern w:val="2"/>
          <w:sz w:val="28"/>
          <w:szCs w:val="28"/>
          <w14:ligatures w14:val="standardContextual"/>
        </w:rPr>
        <w:t xml:space="preserve"> por </w:t>
      </w:r>
      <w:r w:rsidRPr="00DB3EEA">
        <w:rPr>
          <w:rFonts w:ascii="Times New Roman" w:eastAsia="Aptos" w:hAnsi="Times New Roman" w:cs="Times New Roman"/>
          <w:kern w:val="2"/>
          <w:sz w:val="28"/>
          <w:szCs w:val="28"/>
          <w14:ligatures w14:val="standardContextual"/>
        </w:rPr>
        <w:t xml:space="preserve">alguna </w:t>
      </w:r>
      <w:r w:rsidRPr="00DB3EEA">
        <w:rPr>
          <w:rFonts w:ascii="Times New Roman" w:eastAsia="Aptos" w:hAnsi="Times New Roman" w:cs="Times New Roman"/>
          <w:kern w:val="2"/>
          <w:sz w:val="28"/>
          <w:szCs w:val="28"/>
          <w14:ligatures w14:val="standardContextual"/>
        </w:rPr>
        <w:t>de las siguientes razones</w:t>
      </w:r>
      <w:r w:rsidRPr="00DB3EEA">
        <w:rPr>
          <w:rFonts w:ascii="Times New Roman" w:eastAsia="Aptos" w:hAnsi="Times New Roman" w:cs="Times New Roman"/>
          <w:kern w:val="2"/>
          <w:sz w:val="28"/>
          <w:szCs w:val="28"/>
          <w14:ligatures w14:val="standardContextual"/>
        </w:rPr>
        <w:t>:</w:t>
      </w:r>
      <w:r w:rsidRPr="00DB3EEA">
        <w:rPr>
          <w:rFonts w:ascii="Times New Roman" w:eastAsia="Aptos" w:hAnsi="Times New Roman" w:cs="Times New Roman"/>
          <w:kern w:val="2"/>
          <w:sz w:val="28"/>
          <w:szCs w:val="28"/>
          <w14:ligatures w14:val="standardContextual"/>
        </w:rPr>
        <w:t xml:space="preserve"> (i) </w:t>
      </w:r>
      <w:r w:rsidRPr="00DB3EEA">
        <w:rPr>
          <w:rFonts w:ascii="Times New Roman" w:hAnsi="Times New Roman" w:cs="Times New Roman"/>
          <w:sz w:val="28"/>
          <w:szCs w:val="28"/>
          <w:lang w:val="es-ES_tradnl"/>
        </w:rPr>
        <w:t>la medida puede afectar el goce de un derecho constitucional no fundamental</w:t>
      </w:r>
      <w:r w:rsidRPr="00DB3EEA">
        <w:rPr>
          <w:rFonts w:ascii="Times New Roman" w:hAnsi="Times New Roman" w:cs="Times New Roman"/>
          <w:sz w:val="28"/>
          <w:szCs w:val="28"/>
          <w:lang w:val="es-ES_tradnl"/>
        </w:rPr>
        <w:t>, (ii)</w:t>
      </w:r>
      <w:r w:rsidRPr="00DB3EEA">
        <w:rPr>
          <w:rFonts w:ascii="Times New Roman" w:hAnsi="Times New Roman" w:cs="Times New Roman"/>
          <w:sz w:val="28"/>
          <w:szCs w:val="28"/>
          <w:lang w:val="es-ES_tradnl"/>
        </w:rPr>
        <w:t xml:space="preserve"> cuando existe un indicio de arbitrariedad que se refleja</w:t>
      </w:r>
      <w:r w:rsidRPr="00DB3EEA">
        <w:rPr>
          <w:rFonts w:ascii="Times New Roman" w:eastAsia="Aptos" w:hAnsi="Times New Roman" w:cs="Times New Roman"/>
          <w:sz w:val="28"/>
          <w:szCs w:val="28"/>
          <w:lang w:val="es-ES_tradnl"/>
        </w:rPr>
        <w:t xml:space="preserve"> en la </w:t>
      </w:r>
      <w:r w:rsidRPr="00DB3EEA">
        <w:rPr>
          <w:rFonts w:ascii="Times New Roman" w:hAnsi="Times New Roman" w:cs="Times New Roman"/>
          <w:sz w:val="28"/>
          <w:szCs w:val="28"/>
          <w:lang w:val="es-ES_tradnl"/>
        </w:rPr>
        <w:t>afectación grave</w:t>
      </w:r>
      <w:r w:rsidRPr="00DB3EEA">
        <w:rPr>
          <w:rFonts w:ascii="Times New Roman" w:eastAsia="Aptos" w:hAnsi="Times New Roman" w:cs="Times New Roman"/>
          <w:sz w:val="28"/>
          <w:szCs w:val="28"/>
          <w:lang w:val="es-ES_tradnl"/>
        </w:rPr>
        <w:t xml:space="preserve"> de </w:t>
      </w:r>
      <w:r w:rsidRPr="00DB3EEA">
        <w:rPr>
          <w:rFonts w:ascii="Times New Roman" w:hAnsi="Times New Roman" w:cs="Times New Roman"/>
          <w:sz w:val="28"/>
          <w:szCs w:val="28"/>
          <w:lang w:val="es-ES_tradnl"/>
        </w:rPr>
        <w:t>la libre competenc</w:t>
      </w:r>
      <w:r w:rsidRPr="00DB3EEA">
        <w:rPr>
          <w:rFonts w:ascii="Times New Roman" w:hAnsi="Times New Roman" w:cs="Times New Roman"/>
          <w:sz w:val="28"/>
          <w:szCs w:val="28"/>
          <w:lang w:val="es-ES_tradnl"/>
        </w:rPr>
        <w:t>ia</w:t>
      </w:r>
      <w:r w:rsidRPr="00DB3EEA">
        <w:rPr>
          <w:rFonts w:ascii="Times New Roman" w:hAnsi="Times New Roman" w:cs="Times New Roman"/>
          <w:sz w:val="28"/>
          <w:szCs w:val="28"/>
          <w:lang w:val="es-ES_tradnl"/>
        </w:rPr>
        <w:t xml:space="preserve"> o (ii) </w:t>
      </w:r>
      <w:r w:rsidRPr="00DB3EEA">
        <w:rPr>
          <w:rFonts w:ascii="Times New Roman" w:hAnsi="Times New Roman" w:cs="Times New Roman"/>
          <w:sz w:val="28"/>
          <w:szCs w:val="28"/>
          <w:lang w:val="es-ES_tradnl"/>
        </w:rPr>
        <w:t>existen normas basadas en criterios sospechosos pero con el fin de favorecer</w:t>
      </w:r>
      <w:r w:rsidRPr="00DB3EEA">
        <w:rPr>
          <w:rFonts w:ascii="Times New Roman" w:eastAsia="Aptos" w:hAnsi="Times New Roman" w:cs="Times New Roman"/>
          <w:sz w:val="28"/>
          <w:szCs w:val="28"/>
          <w:lang w:val="es-ES_tradnl"/>
        </w:rPr>
        <w:t xml:space="preserve"> a grupos históricamente discriminados</w:t>
      </w:r>
      <w:r w:rsidRPr="00DB3EEA">
        <w:rPr>
          <w:rFonts w:ascii="Times New Roman" w:hAnsi="Times New Roman" w:cs="Times New Roman"/>
          <w:sz w:val="28"/>
          <w:szCs w:val="28"/>
          <w:lang w:val="es-ES_tradnl"/>
        </w:rPr>
        <w:t xml:space="preserve">”. </w:t>
      </w:r>
    </w:p>
    <w:p w:rsidR="00C15465" w:rsidRPr="00DB3EEA" w:rsidRDefault="00DB3EEA" w:rsidP="00C15465">
      <w:pPr>
        <w:pStyle w:val="Prrafodelista"/>
        <w:ind w:left="0"/>
        <w:jc w:val="both"/>
        <w:rPr>
          <w:rFonts w:ascii="Times New Roman" w:eastAsia="Aptos" w:hAnsi="Times New Roman" w:cs="Times New Roman"/>
          <w:kern w:val="2"/>
          <w:sz w:val="28"/>
          <w:szCs w:val="28"/>
          <w14:ligatures w14:val="standardContextual"/>
        </w:rPr>
      </w:pPr>
    </w:p>
    <w:p w:rsidR="00C111C6" w:rsidRPr="00DB3EEA" w:rsidRDefault="00DB3EEA" w:rsidP="00C111C6">
      <w:pPr>
        <w:pStyle w:val="Prrafodelista"/>
        <w:numPr>
          <w:ilvl w:val="0"/>
          <w:numId w:val="1"/>
        </w:numPr>
        <w:ind w:left="0" w:firstLine="0"/>
        <w:jc w:val="both"/>
        <w:rPr>
          <w:rFonts w:ascii="Times New Roman" w:eastAsia="Aptos" w:hAnsi="Times New Roman" w:cs="Times New Roman"/>
          <w:kern w:val="2"/>
          <w:sz w:val="28"/>
          <w:szCs w:val="28"/>
          <w14:ligatures w14:val="standardContextual"/>
        </w:rPr>
      </w:pPr>
      <w:r w:rsidRPr="00DB3EEA">
        <w:rPr>
          <w:rFonts w:ascii="Times New Roman" w:eastAsia="Aptos" w:hAnsi="Times New Roman" w:cs="Times New Roman"/>
          <w:kern w:val="2"/>
          <w:sz w:val="28"/>
          <w:szCs w:val="28"/>
          <w14:ligatures w14:val="standardContextual"/>
        </w:rPr>
        <w:t xml:space="preserve">Se observa que la norma en estudio no encuadra en ninguna de estas hipótesis. En efecto, la norma se limita a establecer la base gravable del impuesto saludable sobre los productos </w:t>
      </w:r>
      <w:r w:rsidRPr="00DB3EEA">
        <w:rPr>
          <w:rFonts w:ascii="Times New Roman" w:eastAsia="Aptos" w:hAnsi="Times New Roman" w:cs="Times New Roman"/>
          <w:kern w:val="2"/>
          <w:sz w:val="28"/>
          <w:szCs w:val="28"/>
          <w14:ligatures w14:val="standardContextual"/>
        </w:rPr>
        <w:t>importados y producidos en zona franca</w:t>
      </w:r>
      <w:r w:rsidRPr="00DB3EEA">
        <w:rPr>
          <w:rFonts w:ascii="Times New Roman" w:eastAsia="Aptos" w:hAnsi="Times New Roman" w:cs="Times New Roman"/>
          <w:kern w:val="2"/>
          <w:sz w:val="28"/>
          <w:szCs w:val="28"/>
          <w14:ligatures w14:val="standardContextual"/>
        </w:rPr>
        <w:t>, sin que de ello pueda predicarse vu</w:t>
      </w:r>
      <w:r w:rsidRPr="00DB3EEA">
        <w:rPr>
          <w:rFonts w:ascii="Times New Roman" w:eastAsia="Aptos" w:hAnsi="Times New Roman" w:cs="Times New Roman"/>
          <w:kern w:val="2"/>
          <w:sz w:val="28"/>
          <w:szCs w:val="28"/>
          <w14:ligatures w14:val="standardContextual"/>
        </w:rPr>
        <w:t xml:space="preserve">lneración alguna de un derecho fundamental, </w:t>
      </w:r>
      <w:r w:rsidRPr="00DB3EEA">
        <w:rPr>
          <w:rFonts w:ascii="Times New Roman" w:eastAsia="Aptos" w:hAnsi="Times New Roman" w:cs="Times New Roman"/>
          <w:kern w:val="2"/>
          <w:sz w:val="28"/>
          <w:szCs w:val="28"/>
          <w14:ligatures w14:val="standardContextual"/>
        </w:rPr>
        <w:t xml:space="preserve">no existe indicio de arbitrariedad, ni afectación grave de la libre competencia, </w:t>
      </w:r>
      <w:r w:rsidRPr="00DB3EEA">
        <w:rPr>
          <w:rFonts w:ascii="Times New Roman" w:eastAsia="Aptos" w:hAnsi="Times New Roman" w:cs="Times New Roman"/>
          <w:kern w:val="2"/>
          <w:sz w:val="28"/>
          <w:szCs w:val="28"/>
          <w14:ligatures w14:val="standardContextual"/>
        </w:rPr>
        <w:t xml:space="preserve">ni regula situaciones que generen discriminación </w:t>
      </w:r>
      <w:bookmarkStart w:id="11" w:name="_Int_dj8fpEqi"/>
      <w:r w:rsidRPr="00DB3EEA">
        <w:rPr>
          <w:rFonts w:ascii="Times New Roman" w:eastAsia="Aptos" w:hAnsi="Times New Roman" w:cs="Times New Roman"/>
          <w:kern w:val="2"/>
          <w:sz w:val="28"/>
          <w:szCs w:val="28"/>
          <w14:ligatures w14:val="standardContextual"/>
        </w:rPr>
        <w:t>en razón de</w:t>
      </w:r>
      <w:bookmarkEnd w:id="11"/>
      <w:r w:rsidRPr="00DB3EEA">
        <w:rPr>
          <w:rFonts w:ascii="Times New Roman" w:eastAsia="Aptos" w:hAnsi="Times New Roman" w:cs="Times New Roman"/>
          <w:kern w:val="2"/>
          <w:sz w:val="28"/>
          <w:szCs w:val="28"/>
          <w14:ligatures w14:val="standardContextual"/>
        </w:rPr>
        <w:t xml:space="preserve"> alguna categoría o que afecte a grupos históricamente discriminados. E</w:t>
      </w:r>
      <w:r w:rsidRPr="00DB3EEA">
        <w:rPr>
          <w:rFonts w:ascii="Times New Roman" w:eastAsia="Aptos" w:hAnsi="Times New Roman" w:cs="Times New Roman"/>
          <w:kern w:val="2"/>
          <w:sz w:val="28"/>
          <w:szCs w:val="28"/>
          <w14:ligatures w14:val="standardContextual"/>
        </w:rPr>
        <w:t xml:space="preserve">n este orden, se sigue que </w:t>
      </w:r>
      <w:bookmarkStart w:id="12" w:name="_Int_KvYh3Jqh"/>
      <w:r w:rsidRPr="00DB3EEA">
        <w:rPr>
          <w:rFonts w:ascii="Times New Roman" w:eastAsia="Aptos" w:hAnsi="Times New Roman" w:cs="Times New Roman"/>
          <w:kern w:val="2"/>
          <w:sz w:val="28"/>
          <w:szCs w:val="28"/>
          <w14:ligatures w14:val="standardContextual"/>
        </w:rPr>
        <w:t>el test</w:t>
      </w:r>
      <w:bookmarkEnd w:id="12"/>
      <w:r w:rsidRPr="00DB3EEA">
        <w:rPr>
          <w:rFonts w:ascii="Times New Roman" w:eastAsia="Aptos" w:hAnsi="Times New Roman" w:cs="Times New Roman"/>
          <w:kern w:val="2"/>
          <w:sz w:val="28"/>
          <w:szCs w:val="28"/>
          <w14:ligatures w14:val="standardContextual"/>
        </w:rPr>
        <w:t xml:space="preserve"> aplicable será el </w:t>
      </w:r>
      <w:r w:rsidRPr="00DB3EEA">
        <w:rPr>
          <w:rFonts w:ascii="Times New Roman" w:eastAsia="Aptos" w:hAnsi="Times New Roman" w:cs="Times New Roman"/>
          <w:kern w:val="2"/>
          <w:sz w:val="28"/>
          <w:szCs w:val="28"/>
          <w14:ligatures w14:val="standardContextual"/>
        </w:rPr>
        <w:t>leve</w:t>
      </w:r>
      <w:r w:rsidRPr="00DB3EEA">
        <w:rPr>
          <w:rFonts w:ascii="Times New Roman" w:eastAsia="Aptos" w:hAnsi="Times New Roman" w:cs="Times New Roman"/>
          <w:kern w:val="2"/>
          <w:sz w:val="28"/>
          <w:szCs w:val="28"/>
          <w14:ligatures w14:val="standardContextual"/>
        </w:rPr>
        <w:t>.</w:t>
      </w:r>
    </w:p>
    <w:p w:rsidR="00C111C6" w:rsidRPr="00DB3EEA" w:rsidRDefault="00DB3EEA" w:rsidP="00C111C6">
      <w:pPr>
        <w:pStyle w:val="Prrafodelista"/>
        <w:rPr>
          <w:rFonts w:ascii="Times New Roman" w:hAnsi="Times New Roman" w:cs="Times New Roman"/>
          <w:sz w:val="28"/>
          <w:szCs w:val="28"/>
          <w:bdr w:val="none" w:sz="0" w:space="0" w:color="auto" w:frame="1"/>
          <w:shd w:val="clear" w:color="auto" w:fill="FFFFFF"/>
          <w:lang w:val="es-ES" w:eastAsia="es-ES"/>
        </w:rPr>
      </w:pPr>
    </w:p>
    <w:p w:rsidR="00C111C6" w:rsidRPr="00DB3EEA" w:rsidRDefault="00DB3EEA" w:rsidP="00C111C6">
      <w:pPr>
        <w:pStyle w:val="Prrafodelista"/>
        <w:numPr>
          <w:ilvl w:val="0"/>
          <w:numId w:val="1"/>
        </w:numPr>
        <w:ind w:left="0" w:firstLine="0"/>
        <w:jc w:val="both"/>
        <w:rPr>
          <w:rFonts w:ascii="Times New Roman" w:eastAsia="Aptos" w:hAnsi="Times New Roman" w:cs="Times New Roman"/>
          <w:kern w:val="2"/>
          <w:sz w:val="28"/>
          <w:szCs w:val="28"/>
          <w14:ligatures w14:val="standardContextual"/>
        </w:rPr>
      </w:pPr>
      <w:r w:rsidRPr="00DB3EEA">
        <w:rPr>
          <w:rFonts w:ascii="Times New Roman" w:hAnsi="Times New Roman" w:cs="Times New Roman"/>
          <w:sz w:val="28"/>
          <w:szCs w:val="28"/>
          <w:bdr w:val="none" w:sz="0" w:space="0" w:color="auto" w:frame="1"/>
          <w:shd w:val="clear" w:color="auto" w:fill="FFFFFF"/>
          <w:lang w:val="es-ES" w:eastAsia="es-ES"/>
        </w:rPr>
        <w:t xml:space="preserve">El principio de igualdad está consagrado por el artículo 13 de la Constitución Política. Esta norma dispone que todas las personas </w:t>
      </w:r>
      <w:r w:rsidRPr="00DB3EEA">
        <w:rPr>
          <w:rFonts w:ascii="Times New Roman" w:hAnsi="Times New Roman" w:cs="Times New Roman"/>
          <w:i/>
          <w:iCs/>
          <w:sz w:val="28"/>
          <w:szCs w:val="28"/>
          <w:bdr w:val="none" w:sz="0" w:space="0" w:color="auto" w:frame="1"/>
          <w:shd w:val="clear" w:color="auto" w:fill="FFFFFF"/>
          <w:lang w:val="es-ES" w:eastAsia="es-ES"/>
        </w:rPr>
        <w:t>“recibirán la misma protección y trato de las autoridades y gozar</w:t>
      </w:r>
      <w:r w:rsidRPr="00DB3EEA">
        <w:rPr>
          <w:rFonts w:ascii="Times New Roman" w:hAnsi="Times New Roman" w:cs="Times New Roman"/>
          <w:i/>
          <w:iCs/>
          <w:sz w:val="28"/>
          <w:szCs w:val="28"/>
          <w:bdr w:val="none" w:sz="0" w:space="0" w:color="auto" w:frame="1"/>
          <w:shd w:val="clear" w:color="auto" w:fill="FFFFFF"/>
          <w:lang w:val="es-ES" w:eastAsia="es-ES"/>
        </w:rPr>
        <w:t>án de los mismos derechos, libertades y oportunidades</w:t>
      </w:r>
      <w:r w:rsidRPr="00DB3EEA">
        <w:rPr>
          <w:rFonts w:ascii="Times New Roman" w:hAnsi="Times New Roman" w:cs="Times New Roman"/>
          <w:sz w:val="28"/>
          <w:szCs w:val="28"/>
          <w:bdr w:val="none" w:sz="0" w:space="0" w:color="auto" w:frame="1"/>
          <w:shd w:val="clear" w:color="auto" w:fill="FFFFFF"/>
          <w:lang w:val="es-ES" w:eastAsia="es-ES"/>
        </w:rPr>
        <w:t xml:space="preserve"> </w:t>
      </w:r>
      <w:r w:rsidRPr="00DB3EEA">
        <w:rPr>
          <w:rFonts w:ascii="Times New Roman" w:hAnsi="Times New Roman" w:cs="Times New Roman"/>
          <w:i/>
          <w:iCs/>
          <w:sz w:val="28"/>
          <w:szCs w:val="28"/>
          <w:bdr w:val="none" w:sz="0" w:space="0" w:color="auto" w:frame="1"/>
          <w:shd w:val="clear" w:color="auto" w:fill="FFFFFF"/>
          <w:lang w:val="es-ES" w:eastAsia="es-ES"/>
        </w:rPr>
        <w:t>sin ninguna discriminación por razones de sexo, raza, origen nacional o familiar, lengua, religión, opinión política o filosófica”</w:t>
      </w:r>
      <w:r w:rsidRPr="00DB3EEA">
        <w:rPr>
          <w:rFonts w:ascii="Times New Roman" w:hAnsi="Times New Roman" w:cs="Times New Roman"/>
          <w:sz w:val="28"/>
          <w:szCs w:val="28"/>
          <w:bdr w:val="none" w:sz="0" w:space="0" w:color="auto" w:frame="1"/>
          <w:shd w:val="clear" w:color="auto" w:fill="FFFFFF"/>
          <w:lang w:val="es-ES" w:eastAsia="es-ES"/>
        </w:rPr>
        <w:t xml:space="preserve">. A su turno, el inciso segundo establece que el Estado deberá promover </w:t>
      </w:r>
      <w:r w:rsidRPr="00DB3EEA">
        <w:rPr>
          <w:rFonts w:ascii="Times New Roman" w:hAnsi="Times New Roman" w:cs="Times New Roman"/>
          <w:sz w:val="28"/>
          <w:szCs w:val="28"/>
          <w:bdr w:val="none" w:sz="0" w:space="0" w:color="auto" w:frame="1"/>
          <w:shd w:val="clear" w:color="auto" w:fill="FFFFFF"/>
          <w:lang w:val="es-ES" w:eastAsia="es-ES"/>
        </w:rPr>
        <w:t>las condiciones para que</w:t>
      </w:r>
      <w:r w:rsidRPr="00DB3EEA">
        <w:rPr>
          <w:rFonts w:ascii="Times New Roman" w:hAnsi="Times New Roman" w:cs="Times New Roman"/>
          <w:i/>
          <w:iCs/>
          <w:sz w:val="28"/>
          <w:szCs w:val="28"/>
          <w:bdr w:val="none" w:sz="0" w:space="0" w:color="auto" w:frame="1"/>
          <w:shd w:val="clear" w:color="auto" w:fill="FFFFFF"/>
          <w:lang w:val="es-ES" w:eastAsia="es-ES"/>
        </w:rPr>
        <w:t xml:space="preserve"> “la igualdad sea real y efectiva”</w:t>
      </w:r>
      <w:r w:rsidRPr="00DB3EEA">
        <w:rPr>
          <w:rFonts w:ascii="Times New Roman" w:hAnsi="Times New Roman" w:cs="Times New Roman"/>
          <w:sz w:val="28"/>
          <w:szCs w:val="28"/>
          <w:bdr w:val="none" w:sz="0" w:space="0" w:color="auto" w:frame="1"/>
          <w:shd w:val="clear" w:color="auto" w:fill="FFFFFF"/>
          <w:lang w:val="es-ES" w:eastAsia="es-ES"/>
        </w:rPr>
        <w:t xml:space="preserve">. Por último, el inciso tercero prevé que el Estado protegerá, de manera especial, a las </w:t>
      </w:r>
      <w:r w:rsidRPr="00DB3EEA">
        <w:rPr>
          <w:rFonts w:ascii="Times New Roman" w:hAnsi="Times New Roman" w:cs="Times New Roman"/>
          <w:i/>
          <w:iCs/>
          <w:sz w:val="28"/>
          <w:szCs w:val="28"/>
          <w:bdr w:val="none" w:sz="0" w:space="0" w:color="auto" w:frame="1"/>
          <w:shd w:val="clear" w:color="auto" w:fill="FFFFFF"/>
          <w:lang w:val="es-ES" w:eastAsia="es-ES"/>
        </w:rPr>
        <w:t>“personas que por su condición económica, física o mental, se encuentren en circunstancia de debilidad manifi</w:t>
      </w:r>
      <w:r w:rsidRPr="00DB3EEA">
        <w:rPr>
          <w:rFonts w:ascii="Times New Roman" w:hAnsi="Times New Roman" w:cs="Times New Roman"/>
          <w:i/>
          <w:iCs/>
          <w:sz w:val="28"/>
          <w:szCs w:val="28"/>
          <w:bdr w:val="none" w:sz="0" w:space="0" w:color="auto" w:frame="1"/>
          <w:shd w:val="clear" w:color="auto" w:fill="FFFFFF"/>
          <w:lang w:val="es-ES" w:eastAsia="es-ES"/>
        </w:rPr>
        <w:t>esta”</w:t>
      </w:r>
      <w:r w:rsidRPr="00DB3EEA">
        <w:rPr>
          <w:rFonts w:ascii="Times New Roman" w:hAnsi="Times New Roman" w:cs="Times New Roman"/>
          <w:sz w:val="28"/>
          <w:szCs w:val="28"/>
          <w:bdr w:val="none" w:sz="0" w:space="0" w:color="auto" w:frame="1"/>
          <w:shd w:val="clear" w:color="auto" w:fill="FFFFFF"/>
          <w:lang w:val="es-ES" w:eastAsia="es-ES"/>
        </w:rPr>
        <w:t>.</w:t>
      </w:r>
    </w:p>
    <w:p w:rsidR="00C111C6" w:rsidRPr="00DB3EEA" w:rsidRDefault="00DB3EEA" w:rsidP="00C111C6">
      <w:pPr>
        <w:pStyle w:val="Prrafodelista"/>
        <w:rPr>
          <w:rFonts w:ascii="Times New Roman" w:hAnsi="Times New Roman" w:cs="Times New Roman"/>
          <w:bCs/>
          <w:sz w:val="28"/>
          <w:szCs w:val="28"/>
          <w:bdr w:val="none" w:sz="0" w:space="0" w:color="auto" w:frame="1"/>
          <w:shd w:val="clear" w:color="auto" w:fill="FFFFFF"/>
          <w:lang w:val="es-ES_tradnl" w:eastAsia="es-ES_tradnl"/>
        </w:rPr>
      </w:pPr>
    </w:p>
    <w:p w:rsidR="00C111C6" w:rsidRPr="00DB3EEA" w:rsidRDefault="00DB3EEA" w:rsidP="00C111C6">
      <w:pPr>
        <w:pStyle w:val="Prrafodelista"/>
        <w:numPr>
          <w:ilvl w:val="0"/>
          <w:numId w:val="1"/>
        </w:numPr>
        <w:ind w:left="0" w:firstLine="0"/>
        <w:jc w:val="both"/>
        <w:rPr>
          <w:rFonts w:ascii="Times New Roman" w:eastAsia="Aptos" w:hAnsi="Times New Roman" w:cs="Times New Roman"/>
          <w:kern w:val="2"/>
          <w:sz w:val="28"/>
          <w:szCs w:val="28"/>
          <w14:ligatures w14:val="standardContextual"/>
        </w:rPr>
      </w:pPr>
      <w:r w:rsidRPr="00DB3EEA">
        <w:rPr>
          <w:rFonts w:ascii="Times New Roman" w:hAnsi="Times New Roman" w:cs="Times New Roman"/>
          <w:sz w:val="28"/>
          <w:szCs w:val="28"/>
          <w:bdr w:val="none" w:sz="0" w:space="0" w:color="auto" w:frame="1"/>
          <w:shd w:val="clear" w:color="auto" w:fill="FFFFFF"/>
          <w:lang w:val="es-ES" w:eastAsia="es-ES"/>
        </w:rPr>
        <w:t xml:space="preserve">La igualdad dispuesta en el ordenamiento ordena que se debe otorgar a los individuos un trato igual </w:t>
      </w:r>
      <w:r w:rsidRPr="00DB3EEA">
        <w:rPr>
          <w:rFonts w:ascii="Times New Roman" w:hAnsi="Times New Roman" w:cs="Times New Roman"/>
          <w:i/>
          <w:sz w:val="28"/>
          <w:szCs w:val="28"/>
          <w:bdr w:val="none" w:sz="0" w:space="0" w:color="auto" w:frame="1"/>
          <w:shd w:val="clear" w:color="auto" w:fill="FFFFFF"/>
          <w:lang w:val="es-ES" w:eastAsia="es-ES"/>
        </w:rPr>
        <w:t>“ante la ley”</w:t>
      </w:r>
      <w:r w:rsidRPr="00DB3EEA">
        <w:rPr>
          <w:rFonts w:ascii="Times New Roman" w:hAnsi="Times New Roman" w:cs="Times New Roman"/>
          <w:sz w:val="28"/>
          <w:szCs w:val="28"/>
          <w:bdr w:val="none" w:sz="0" w:space="0" w:color="auto" w:frame="1"/>
          <w:shd w:val="clear" w:color="auto" w:fill="FFFFFF"/>
          <w:lang w:val="es-ES" w:eastAsia="es-ES"/>
        </w:rPr>
        <w:t xml:space="preserve"> y </w:t>
      </w:r>
      <w:r w:rsidRPr="00DB3EEA">
        <w:rPr>
          <w:rFonts w:ascii="Times New Roman" w:hAnsi="Times New Roman" w:cs="Times New Roman"/>
          <w:i/>
          <w:sz w:val="28"/>
          <w:szCs w:val="28"/>
          <w:bdr w:val="none" w:sz="0" w:space="0" w:color="auto" w:frame="1"/>
          <w:shd w:val="clear" w:color="auto" w:fill="FFFFFF"/>
          <w:lang w:val="es-ES" w:eastAsia="es-ES"/>
        </w:rPr>
        <w:t>“en la ley”</w:t>
      </w:r>
      <w:r w:rsidRPr="00DB3EEA">
        <w:rPr>
          <w:rFonts w:ascii="Times New Roman" w:hAnsi="Times New Roman" w:cs="Times New Roman"/>
          <w:sz w:val="28"/>
          <w:szCs w:val="28"/>
          <w:bdr w:val="none" w:sz="0" w:space="0" w:color="auto" w:frame="1"/>
          <w:shd w:val="clear" w:color="auto" w:fill="FFFFFF"/>
          <w:lang w:val="es-ES" w:eastAsia="es-ES"/>
        </w:rPr>
        <w:t xml:space="preserve">, es decir que la ley debe ser aplicada </w:t>
      </w:r>
      <w:r w:rsidRPr="00DB3EEA">
        <w:rPr>
          <w:rFonts w:ascii="Times New Roman" w:hAnsi="Times New Roman" w:cs="Times New Roman"/>
          <w:i/>
          <w:sz w:val="28"/>
          <w:szCs w:val="28"/>
          <w:bdr w:val="none" w:sz="0" w:space="0" w:color="auto" w:frame="1"/>
          <w:shd w:val="clear" w:color="auto" w:fill="FFFFFF"/>
          <w:lang w:val="es-ES" w:eastAsia="es-ES"/>
        </w:rPr>
        <w:t>“de forma universal, para todos los destinatarios de la clase cobijada por la nor</w:t>
      </w:r>
      <w:r w:rsidRPr="00DB3EEA">
        <w:rPr>
          <w:rFonts w:ascii="Times New Roman" w:hAnsi="Times New Roman" w:cs="Times New Roman"/>
          <w:i/>
          <w:sz w:val="28"/>
          <w:szCs w:val="28"/>
          <w:bdr w:val="none" w:sz="0" w:space="0" w:color="auto" w:frame="1"/>
          <w:shd w:val="clear" w:color="auto" w:fill="FFFFFF"/>
          <w:lang w:val="es-ES" w:eastAsia="es-ES"/>
        </w:rPr>
        <w:t>ma, en presencia del respectivo supuesto de hecho”</w:t>
      </w:r>
      <w:r w:rsidRPr="00DB3EEA">
        <w:rPr>
          <w:rFonts w:ascii="Times New Roman" w:hAnsi="Times New Roman" w:cs="Times New Roman"/>
          <w:sz w:val="28"/>
          <w:szCs w:val="28"/>
          <w:bdr w:val="none" w:sz="0" w:space="0" w:color="auto" w:frame="1"/>
          <w:shd w:val="clear" w:color="auto" w:fill="FFFFFF"/>
          <w:vertAlign w:val="superscript"/>
          <w:lang w:val="es-ES" w:eastAsia="es-ES"/>
        </w:rPr>
        <w:footnoteReference w:id="179"/>
      </w:r>
      <w:r w:rsidRPr="00DB3EEA">
        <w:rPr>
          <w:rFonts w:ascii="Times New Roman" w:hAnsi="Times New Roman" w:cs="Times New Roman"/>
          <w:sz w:val="28"/>
          <w:szCs w:val="28"/>
          <w:bdr w:val="none" w:sz="0" w:space="0" w:color="auto" w:frame="1"/>
          <w:shd w:val="clear" w:color="auto" w:fill="FFFFFF"/>
          <w:lang w:val="es-ES" w:eastAsia="es-ES"/>
        </w:rPr>
        <w:t xml:space="preserve">. Así mismo, en su dimensión material, el Estado debe establecer medidas afirmativas para lograr que la igualdad sea real en relación con los grupos vulnerables. En ese orden, del principio de igualdad se </w:t>
      </w:r>
      <w:r w:rsidRPr="00DB3EEA">
        <w:rPr>
          <w:rFonts w:ascii="Times New Roman" w:hAnsi="Times New Roman" w:cs="Times New Roman"/>
          <w:sz w:val="28"/>
          <w:szCs w:val="28"/>
          <w:bdr w:val="none" w:sz="0" w:space="0" w:color="auto" w:frame="1"/>
          <w:shd w:val="clear" w:color="auto" w:fill="FFFFFF"/>
          <w:lang w:val="es-ES" w:eastAsia="es-ES"/>
        </w:rPr>
        <w:t xml:space="preserve">exige que los derechos, los privilegios, los deberes y las cargas se distribuyan de manera </w:t>
      </w:r>
      <w:r w:rsidRPr="00DB3EEA">
        <w:rPr>
          <w:rFonts w:ascii="Times New Roman" w:hAnsi="Times New Roman" w:cs="Times New Roman"/>
          <w:i/>
          <w:sz w:val="28"/>
          <w:szCs w:val="28"/>
          <w:bdr w:val="none" w:sz="0" w:space="0" w:color="auto" w:frame="1"/>
          <w:shd w:val="clear" w:color="auto" w:fill="FFFFFF"/>
          <w:lang w:val="es-ES" w:eastAsia="es-ES"/>
        </w:rPr>
        <w:t>justa</w:t>
      </w:r>
      <w:r w:rsidRPr="00DB3EEA">
        <w:rPr>
          <w:rFonts w:ascii="Times New Roman" w:hAnsi="Times New Roman" w:cs="Times New Roman"/>
          <w:sz w:val="28"/>
          <w:szCs w:val="28"/>
          <w:bdr w:val="none" w:sz="0" w:space="0" w:color="auto" w:frame="1"/>
          <w:shd w:val="clear" w:color="auto" w:fill="FFFFFF"/>
          <w:lang w:val="es-ES" w:eastAsia="es-ES"/>
        </w:rPr>
        <w:t xml:space="preserve"> y </w:t>
      </w:r>
      <w:r w:rsidRPr="00DB3EEA">
        <w:rPr>
          <w:rFonts w:ascii="Times New Roman" w:hAnsi="Times New Roman" w:cs="Times New Roman"/>
          <w:i/>
          <w:sz w:val="28"/>
          <w:szCs w:val="28"/>
          <w:bdr w:val="none" w:sz="0" w:space="0" w:color="auto" w:frame="1"/>
          <w:shd w:val="clear" w:color="auto" w:fill="FFFFFF"/>
          <w:lang w:val="es-ES" w:eastAsia="es-ES"/>
        </w:rPr>
        <w:t>equitativa</w:t>
      </w:r>
      <w:r w:rsidRPr="00DB3EEA">
        <w:rPr>
          <w:rFonts w:ascii="Times New Roman" w:hAnsi="Times New Roman" w:cs="Times New Roman"/>
          <w:sz w:val="28"/>
          <w:szCs w:val="28"/>
          <w:bdr w:val="none" w:sz="0" w:space="0" w:color="auto" w:frame="1"/>
          <w:shd w:val="clear" w:color="auto" w:fill="FFFFFF"/>
          <w:lang w:val="es-ES" w:eastAsia="es-ES"/>
        </w:rPr>
        <w:t xml:space="preserve"> entre los individuos</w:t>
      </w:r>
      <w:r w:rsidRPr="00DB3EEA">
        <w:rPr>
          <w:rFonts w:ascii="Times New Roman" w:hAnsi="Times New Roman" w:cs="Times New Roman"/>
          <w:sz w:val="28"/>
          <w:szCs w:val="28"/>
          <w:bdr w:val="none" w:sz="0" w:space="0" w:color="auto" w:frame="1"/>
          <w:shd w:val="clear" w:color="auto" w:fill="FFFFFF"/>
          <w:vertAlign w:val="superscript"/>
          <w:lang w:val="es-ES" w:eastAsia="es-ES"/>
        </w:rPr>
        <w:footnoteReference w:id="180"/>
      </w:r>
      <w:r w:rsidRPr="00DB3EEA">
        <w:rPr>
          <w:rFonts w:ascii="Times New Roman" w:hAnsi="Times New Roman" w:cs="Times New Roman"/>
          <w:sz w:val="28"/>
          <w:szCs w:val="28"/>
          <w:bdr w:val="none" w:sz="0" w:space="0" w:color="auto" w:frame="1"/>
          <w:shd w:val="clear" w:color="auto" w:fill="FFFFFF"/>
          <w:lang w:val="es-ES" w:eastAsia="es-ES"/>
        </w:rPr>
        <w:t>.</w:t>
      </w:r>
    </w:p>
    <w:p w:rsidR="00C111C6" w:rsidRPr="00DB3EEA" w:rsidRDefault="00DB3EEA" w:rsidP="00C111C6">
      <w:pPr>
        <w:pStyle w:val="Prrafodelista"/>
        <w:rPr>
          <w:rFonts w:ascii="Times New Roman" w:hAnsi="Times New Roman" w:cs="Times New Roman"/>
          <w:sz w:val="28"/>
          <w:szCs w:val="28"/>
          <w:bdr w:val="none" w:sz="0" w:space="0" w:color="auto" w:frame="1"/>
          <w:shd w:val="clear" w:color="auto" w:fill="FFFFFF"/>
          <w:lang w:val="es-ES" w:eastAsia="es-ES"/>
        </w:rPr>
      </w:pPr>
    </w:p>
    <w:p w:rsidR="00C111C6" w:rsidRPr="00DB3EEA" w:rsidRDefault="00DB3EEA" w:rsidP="00C111C6">
      <w:pPr>
        <w:pStyle w:val="Prrafodelista"/>
        <w:numPr>
          <w:ilvl w:val="0"/>
          <w:numId w:val="1"/>
        </w:numPr>
        <w:ind w:left="0" w:firstLine="0"/>
        <w:jc w:val="both"/>
        <w:rPr>
          <w:rFonts w:ascii="Times New Roman" w:eastAsia="Aptos" w:hAnsi="Times New Roman" w:cs="Times New Roman"/>
          <w:kern w:val="2"/>
          <w:sz w:val="28"/>
          <w:szCs w:val="28"/>
          <w14:ligatures w14:val="standardContextual"/>
        </w:rPr>
      </w:pPr>
      <w:r w:rsidRPr="00DB3EEA">
        <w:rPr>
          <w:rFonts w:ascii="Times New Roman" w:hAnsi="Times New Roman" w:cs="Times New Roman"/>
          <w:sz w:val="28"/>
          <w:szCs w:val="28"/>
          <w:bdr w:val="none" w:sz="0" w:space="0" w:color="auto" w:frame="1"/>
          <w:shd w:val="clear" w:color="auto" w:fill="FFFFFF"/>
          <w:lang w:val="es-ES" w:eastAsia="es-ES"/>
        </w:rPr>
        <w:t xml:space="preserve">La jurisprudencia constitucional ha señalado que del principio de igualdad derivan cuatro mandatos específicos, a saber: </w:t>
      </w:r>
      <w:r w:rsidRPr="00DB3EEA">
        <w:rPr>
          <w:rFonts w:ascii="Times New Roman" w:hAnsi="Times New Roman" w:cs="Times New Roman"/>
          <w:i/>
          <w:iCs/>
          <w:sz w:val="28"/>
          <w:szCs w:val="28"/>
          <w:bdr w:val="none" w:sz="0" w:space="0" w:color="auto" w:frame="1"/>
          <w:shd w:val="clear" w:color="auto" w:fill="FFFFFF"/>
          <w:lang w:val="es-ES" w:eastAsia="es-ES"/>
        </w:rPr>
        <w:t xml:space="preserve">(i) </w:t>
      </w:r>
      <w:r w:rsidRPr="00DB3EEA">
        <w:rPr>
          <w:rFonts w:ascii="Times New Roman" w:hAnsi="Times New Roman" w:cs="Times New Roman"/>
          <w:sz w:val="28"/>
          <w:szCs w:val="28"/>
          <w:bdr w:val="none" w:sz="0" w:space="0" w:color="auto" w:frame="1"/>
          <w:shd w:val="clear" w:color="auto" w:fill="FFFFFF"/>
          <w:lang w:val="es-ES" w:eastAsia="es-ES"/>
        </w:rPr>
        <w:t xml:space="preserve">un </w:t>
      </w:r>
      <w:r w:rsidRPr="00DB3EEA">
        <w:rPr>
          <w:rFonts w:ascii="Times New Roman" w:hAnsi="Times New Roman" w:cs="Times New Roman"/>
          <w:i/>
          <w:iCs/>
          <w:sz w:val="28"/>
          <w:szCs w:val="28"/>
          <w:bdr w:val="none" w:sz="0" w:space="0" w:color="auto" w:frame="1"/>
          <w:shd w:val="clear" w:color="auto" w:fill="FFFFFF"/>
          <w:lang w:val="es-ES" w:eastAsia="es-ES"/>
        </w:rPr>
        <w:t xml:space="preserve">mandato de trato idéntico </w:t>
      </w:r>
      <w:r w:rsidRPr="00DB3EEA">
        <w:rPr>
          <w:rFonts w:ascii="Times New Roman" w:hAnsi="Times New Roman" w:cs="Times New Roman"/>
          <w:sz w:val="28"/>
          <w:szCs w:val="28"/>
          <w:bdr w:val="none" w:sz="0" w:space="0" w:color="auto" w:frame="1"/>
          <w:shd w:val="clear" w:color="auto" w:fill="FFFFFF"/>
          <w:lang w:val="es-ES" w:eastAsia="es-ES"/>
        </w:rPr>
        <w:t>a destinatarios que</w:t>
      </w:r>
      <w:r w:rsidRPr="00DB3EEA">
        <w:rPr>
          <w:rFonts w:ascii="Times New Roman" w:hAnsi="Times New Roman" w:cs="Times New Roman"/>
          <w:i/>
          <w:iCs/>
          <w:sz w:val="28"/>
          <w:szCs w:val="28"/>
          <w:bdr w:val="none" w:sz="0" w:space="0" w:color="auto" w:frame="1"/>
          <w:shd w:val="clear" w:color="auto" w:fill="FFFFFF"/>
          <w:lang w:val="es-ES" w:eastAsia="es-ES"/>
        </w:rPr>
        <w:t xml:space="preserve"> “se encuentren en circunstancias idénticas”</w:t>
      </w:r>
      <w:r w:rsidRPr="00DB3EEA">
        <w:rPr>
          <w:rFonts w:ascii="Times New Roman" w:hAnsi="Times New Roman" w:cs="Times New Roman"/>
          <w:sz w:val="28"/>
          <w:szCs w:val="28"/>
          <w:bdr w:val="none" w:sz="0" w:space="0" w:color="auto" w:frame="1"/>
          <w:shd w:val="clear" w:color="auto" w:fill="FFFFFF"/>
          <w:vertAlign w:val="superscript"/>
          <w:lang w:val="es-ES" w:eastAsia="es-ES"/>
        </w:rPr>
        <w:footnoteReference w:id="181"/>
      </w:r>
      <w:r w:rsidRPr="00DB3EEA">
        <w:rPr>
          <w:rFonts w:ascii="Times New Roman" w:hAnsi="Times New Roman" w:cs="Times New Roman"/>
          <w:sz w:val="28"/>
          <w:szCs w:val="28"/>
          <w:bdr w:val="none" w:sz="0" w:space="0" w:color="auto" w:frame="1"/>
          <w:shd w:val="clear" w:color="auto" w:fill="FFFFFF"/>
          <w:lang w:val="es-ES" w:eastAsia="es-ES"/>
        </w:rPr>
        <w:t>;</w:t>
      </w:r>
      <w:r w:rsidRPr="00DB3EEA">
        <w:rPr>
          <w:rFonts w:ascii="Times New Roman" w:hAnsi="Times New Roman" w:cs="Times New Roman"/>
          <w:i/>
          <w:iCs/>
          <w:sz w:val="28"/>
          <w:szCs w:val="28"/>
          <w:bdr w:val="none" w:sz="0" w:space="0" w:color="auto" w:frame="1"/>
          <w:shd w:val="clear" w:color="auto" w:fill="FFFFFF"/>
          <w:lang w:val="es-ES" w:eastAsia="es-ES"/>
        </w:rPr>
        <w:t xml:space="preserve"> (ii) </w:t>
      </w:r>
      <w:r w:rsidRPr="00DB3EEA">
        <w:rPr>
          <w:rFonts w:ascii="Times New Roman" w:hAnsi="Times New Roman" w:cs="Times New Roman"/>
          <w:sz w:val="28"/>
          <w:szCs w:val="28"/>
          <w:bdr w:val="none" w:sz="0" w:space="0" w:color="auto" w:frame="1"/>
          <w:shd w:val="clear" w:color="auto" w:fill="FFFFFF"/>
          <w:lang w:val="es-ES" w:eastAsia="es-ES"/>
        </w:rPr>
        <w:t xml:space="preserve">un </w:t>
      </w:r>
      <w:r w:rsidRPr="00DB3EEA">
        <w:rPr>
          <w:rFonts w:ascii="Times New Roman" w:hAnsi="Times New Roman" w:cs="Times New Roman"/>
          <w:i/>
          <w:iCs/>
          <w:sz w:val="28"/>
          <w:szCs w:val="28"/>
          <w:bdr w:val="none" w:sz="0" w:space="0" w:color="auto" w:frame="1"/>
          <w:shd w:val="clear" w:color="auto" w:fill="FFFFFF"/>
          <w:lang w:val="es-ES" w:eastAsia="es-ES"/>
        </w:rPr>
        <w:t xml:space="preserve">mandato de trato diferente </w:t>
      </w:r>
      <w:r w:rsidRPr="00DB3EEA">
        <w:rPr>
          <w:rFonts w:ascii="Times New Roman" w:hAnsi="Times New Roman" w:cs="Times New Roman"/>
          <w:sz w:val="28"/>
          <w:szCs w:val="28"/>
          <w:bdr w:val="none" w:sz="0" w:space="0" w:color="auto" w:frame="1"/>
          <w:shd w:val="clear" w:color="auto" w:fill="FFFFFF"/>
          <w:lang w:val="es-ES" w:eastAsia="es-ES"/>
        </w:rPr>
        <w:t>a destinatarios</w:t>
      </w:r>
      <w:r w:rsidRPr="00DB3EEA">
        <w:rPr>
          <w:rFonts w:ascii="Times New Roman" w:hAnsi="Times New Roman" w:cs="Times New Roman"/>
          <w:i/>
          <w:iCs/>
          <w:sz w:val="28"/>
          <w:szCs w:val="28"/>
          <w:bdr w:val="none" w:sz="0" w:space="0" w:color="auto" w:frame="1"/>
          <w:shd w:val="clear" w:color="auto" w:fill="FFFFFF"/>
          <w:lang w:val="es-ES" w:eastAsia="es-ES"/>
        </w:rPr>
        <w:t xml:space="preserve"> “cuyas situaciones no comparten ningún elemento en común”</w:t>
      </w:r>
      <w:r w:rsidRPr="00DB3EEA">
        <w:rPr>
          <w:rFonts w:ascii="Times New Roman" w:hAnsi="Times New Roman" w:cs="Times New Roman"/>
          <w:sz w:val="28"/>
          <w:szCs w:val="28"/>
          <w:bdr w:val="none" w:sz="0" w:space="0" w:color="auto" w:frame="1"/>
          <w:shd w:val="clear" w:color="auto" w:fill="FFFFFF"/>
          <w:vertAlign w:val="superscript"/>
          <w:lang w:val="es-ES" w:eastAsia="es-ES"/>
        </w:rPr>
        <w:footnoteReference w:id="182"/>
      </w:r>
      <w:r w:rsidRPr="00DB3EEA">
        <w:rPr>
          <w:rFonts w:ascii="Times New Roman" w:hAnsi="Times New Roman" w:cs="Times New Roman"/>
          <w:sz w:val="28"/>
          <w:szCs w:val="28"/>
          <w:bdr w:val="none" w:sz="0" w:space="0" w:color="auto" w:frame="1"/>
          <w:shd w:val="clear" w:color="auto" w:fill="FFFFFF"/>
          <w:lang w:val="es-ES" w:eastAsia="es-ES"/>
        </w:rPr>
        <w:t>;</w:t>
      </w:r>
      <w:r w:rsidRPr="00DB3EEA">
        <w:rPr>
          <w:rFonts w:ascii="Times New Roman" w:hAnsi="Times New Roman" w:cs="Times New Roman"/>
          <w:i/>
          <w:iCs/>
          <w:sz w:val="28"/>
          <w:szCs w:val="28"/>
          <w:bdr w:val="none" w:sz="0" w:space="0" w:color="auto" w:frame="1"/>
          <w:shd w:val="clear" w:color="auto" w:fill="FFFFFF"/>
          <w:lang w:val="es-ES" w:eastAsia="es-ES"/>
        </w:rPr>
        <w:t xml:space="preserve"> (iii) </w:t>
      </w:r>
      <w:r w:rsidRPr="00DB3EEA">
        <w:rPr>
          <w:rFonts w:ascii="Times New Roman" w:hAnsi="Times New Roman" w:cs="Times New Roman"/>
          <w:sz w:val="28"/>
          <w:szCs w:val="28"/>
          <w:bdr w:val="none" w:sz="0" w:space="0" w:color="auto" w:frame="1"/>
          <w:shd w:val="clear" w:color="auto" w:fill="FFFFFF"/>
          <w:lang w:val="es-ES" w:eastAsia="es-ES"/>
        </w:rPr>
        <w:t xml:space="preserve">un </w:t>
      </w:r>
      <w:r w:rsidRPr="00DB3EEA">
        <w:rPr>
          <w:rFonts w:ascii="Times New Roman" w:hAnsi="Times New Roman" w:cs="Times New Roman"/>
          <w:i/>
          <w:iCs/>
          <w:sz w:val="28"/>
          <w:szCs w:val="28"/>
          <w:bdr w:val="none" w:sz="0" w:space="0" w:color="auto" w:frame="1"/>
          <w:shd w:val="clear" w:color="auto" w:fill="FFFFFF"/>
          <w:lang w:val="es-ES" w:eastAsia="es-ES"/>
        </w:rPr>
        <w:t>mandato de trato similar</w:t>
      </w:r>
      <w:r w:rsidRPr="00DB3EEA">
        <w:rPr>
          <w:rFonts w:ascii="Times New Roman" w:hAnsi="Times New Roman" w:cs="Times New Roman"/>
          <w:sz w:val="28"/>
          <w:szCs w:val="28"/>
          <w:bdr w:val="none" w:sz="0" w:space="0" w:color="auto" w:frame="1"/>
          <w:shd w:val="clear" w:color="auto" w:fill="FFFFFF"/>
          <w:lang w:val="es-ES" w:eastAsia="es-ES"/>
        </w:rPr>
        <w:t xml:space="preserve"> a destinatar</w:t>
      </w:r>
      <w:r w:rsidRPr="00DB3EEA">
        <w:rPr>
          <w:rFonts w:ascii="Times New Roman" w:hAnsi="Times New Roman" w:cs="Times New Roman"/>
          <w:sz w:val="28"/>
          <w:szCs w:val="28"/>
          <w:bdr w:val="none" w:sz="0" w:space="0" w:color="auto" w:frame="1"/>
          <w:shd w:val="clear" w:color="auto" w:fill="FFFFFF"/>
          <w:lang w:val="es-ES" w:eastAsia="es-ES"/>
        </w:rPr>
        <w:t>ios</w:t>
      </w:r>
      <w:r w:rsidRPr="00DB3EEA">
        <w:rPr>
          <w:rFonts w:ascii="Times New Roman" w:hAnsi="Times New Roman" w:cs="Times New Roman"/>
          <w:i/>
          <w:iCs/>
          <w:sz w:val="28"/>
          <w:szCs w:val="28"/>
          <w:bdr w:val="none" w:sz="0" w:space="0" w:color="auto" w:frame="1"/>
          <w:shd w:val="clear" w:color="auto" w:fill="FFFFFF"/>
          <w:lang w:val="es-ES" w:eastAsia="es-ES"/>
        </w:rPr>
        <w:t xml:space="preserve"> “cuyas situaciones presenten similitudes y diferencias, pero las similitudes sean más relevantes a pesar de las diferencias”</w:t>
      </w:r>
      <w:r w:rsidRPr="00DB3EEA">
        <w:rPr>
          <w:rFonts w:ascii="Times New Roman" w:hAnsi="Times New Roman" w:cs="Times New Roman"/>
          <w:sz w:val="28"/>
          <w:szCs w:val="28"/>
          <w:bdr w:val="none" w:sz="0" w:space="0" w:color="auto" w:frame="1"/>
          <w:shd w:val="clear" w:color="auto" w:fill="FFFFFF"/>
          <w:vertAlign w:val="superscript"/>
          <w:lang w:val="es-ES" w:eastAsia="es-ES"/>
        </w:rPr>
        <w:footnoteReference w:id="183"/>
      </w:r>
      <w:r w:rsidRPr="00DB3EEA">
        <w:rPr>
          <w:rFonts w:ascii="Times New Roman" w:hAnsi="Times New Roman" w:cs="Times New Roman"/>
          <w:sz w:val="28"/>
          <w:szCs w:val="28"/>
          <w:bdr w:val="none" w:sz="0" w:space="0" w:color="auto" w:frame="1"/>
          <w:shd w:val="clear" w:color="auto" w:fill="FFFFFF"/>
          <w:lang w:val="es-ES" w:eastAsia="es-ES"/>
        </w:rPr>
        <w:t>,</w:t>
      </w:r>
      <w:r w:rsidRPr="00DB3EEA">
        <w:rPr>
          <w:rFonts w:ascii="Times New Roman" w:hAnsi="Times New Roman" w:cs="Times New Roman"/>
          <w:i/>
          <w:iCs/>
          <w:sz w:val="28"/>
          <w:szCs w:val="28"/>
          <w:bdr w:val="none" w:sz="0" w:space="0" w:color="auto" w:frame="1"/>
          <w:shd w:val="clear" w:color="auto" w:fill="FFFFFF"/>
          <w:lang w:val="es-ES" w:eastAsia="es-ES"/>
        </w:rPr>
        <w:t xml:space="preserve"> </w:t>
      </w:r>
      <w:r w:rsidRPr="00DB3EEA">
        <w:rPr>
          <w:rFonts w:ascii="Times New Roman" w:hAnsi="Times New Roman" w:cs="Times New Roman"/>
          <w:sz w:val="28"/>
          <w:szCs w:val="28"/>
          <w:bdr w:val="none" w:sz="0" w:space="0" w:color="auto" w:frame="1"/>
          <w:shd w:val="clear" w:color="auto" w:fill="FFFFFF"/>
          <w:lang w:val="es-ES" w:eastAsia="es-ES"/>
        </w:rPr>
        <w:t>y</w:t>
      </w:r>
      <w:r w:rsidRPr="00DB3EEA">
        <w:rPr>
          <w:rFonts w:ascii="Times New Roman" w:hAnsi="Times New Roman" w:cs="Times New Roman"/>
          <w:i/>
          <w:iCs/>
          <w:sz w:val="28"/>
          <w:szCs w:val="28"/>
          <w:bdr w:val="none" w:sz="0" w:space="0" w:color="auto" w:frame="1"/>
          <w:shd w:val="clear" w:color="auto" w:fill="FFFFFF"/>
          <w:lang w:val="es-ES" w:eastAsia="es-ES"/>
        </w:rPr>
        <w:t xml:space="preserve"> (iv) </w:t>
      </w:r>
      <w:r w:rsidRPr="00DB3EEA">
        <w:rPr>
          <w:rFonts w:ascii="Times New Roman" w:hAnsi="Times New Roman" w:cs="Times New Roman"/>
          <w:sz w:val="28"/>
          <w:szCs w:val="28"/>
          <w:bdr w:val="none" w:sz="0" w:space="0" w:color="auto" w:frame="1"/>
          <w:shd w:val="clear" w:color="auto" w:fill="FFFFFF"/>
          <w:lang w:val="es-ES" w:eastAsia="es-ES"/>
        </w:rPr>
        <w:t xml:space="preserve">un mandato de </w:t>
      </w:r>
      <w:r w:rsidRPr="00DB3EEA">
        <w:rPr>
          <w:rFonts w:ascii="Times New Roman" w:hAnsi="Times New Roman" w:cs="Times New Roman"/>
          <w:i/>
          <w:iCs/>
          <w:sz w:val="28"/>
          <w:szCs w:val="28"/>
          <w:bdr w:val="none" w:sz="0" w:space="0" w:color="auto" w:frame="1"/>
          <w:shd w:val="clear" w:color="auto" w:fill="FFFFFF"/>
          <w:lang w:val="es-ES" w:eastAsia="es-ES"/>
        </w:rPr>
        <w:t xml:space="preserve">trato diferenciado </w:t>
      </w:r>
      <w:r w:rsidRPr="00DB3EEA">
        <w:rPr>
          <w:rFonts w:ascii="Times New Roman" w:hAnsi="Times New Roman" w:cs="Times New Roman"/>
          <w:sz w:val="28"/>
          <w:szCs w:val="28"/>
          <w:bdr w:val="none" w:sz="0" w:space="0" w:color="auto" w:frame="1"/>
          <w:shd w:val="clear" w:color="auto" w:fill="FFFFFF"/>
          <w:lang w:val="es-ES" w:eastAsia="es-ES"/>
        </w:rPr>
        <w:t>a destinatarios que</w:t>
      </w:r>
      <w:r w:rsidRPr="00DB3EEA">
        <w:rPr>
          <w:rFonts w:ascii="Times New Roman" w:hAnsi="Times New Roman" w:cs="Times New Roman"/>
          <w:i/>
          <w:iCs/>
          <w:sz w:val="28"/>
          <w:szCs w:val="28"/>
          <w:bdr w:val="none" w:sz="0" w:space="0" w:color="auto" w:frame="1"/>
          <w:shd w:val="clear" w:color="auto" w:fill="FFFFFF"/>
          <w:lang w:val="es-ES" w:eastAsia="es-ES"/>
        </w:rPr>
        <w:t xml:space="preserve"> “se encuentren también en una posición en parte similar y en part</w:t>
      </w:r>
      <w:r w:rsidRPr="00DB3EEA">
        <w:rPr>
          <w:rFonts w:ascii="Times New Roman" w:hAnsi="Times New Roman" w:cs="Times New Roman"/>
          <w:i/>
          <w:iCs/>
          <w:sz w:val="28"/>
          <w:szCs w:val="28"/>
          <w:bdr w:val="none" w:sz="0" w:space="0" w:color="auto" w:frame="1"/>
          <w:shd w:val="clear" w:color="auto" w:fill="FFFFFF"/>
          <w:lang w:val="es-ES" w:eastAsia="es-ES"/>
        </w:rPr>
        <w:t>e diversa, pero en cuyo caso las diferencias sean más relevantes que las similitudes”</w:t>
      </w:r>
      <w:r w:rsidRPr="00DB3EEA">
        <w:rPr>
          <w:rFonts w:ascii="Times New Roman" w:hAnsi="Times New Roman" w:cs="Times New Roman"/>
          <w:sz w:val="28"/>
          <w:szCs w:val="28"/>
          <w:bdr w:val="none" w:sz="0" w:space="0" w:color="auto" w:frame="1"/>
          <w:shd w:val="clear" w:color="auto" w:fill="FFFFFF"/>
          <w:vertAlign w:val="superscript"/>
          <w:lang w:val="es-ES" w:eastAsia="es-ES"/>
        </w:rPr>
        <w:footnoteReference w:id="184"/>
      </w:r>
      <w:r w:rsidRPr="00DB3EEA">
        <w:rPr>
          <w:rFonts w:ascii="Times New Roman" w:hAnsi="Times New Roman" w:cs="Times New Roman"/>
          <w:sz w:val="28"/>
          <w:szCs w:val="28"/>
          <w:bdr w:val="none" w:sz="0" w:space="0" w:color="auto" w:frame="1"/>
          <w:shd w:val="clear" w:color="auto" w:fill="FFFFFF"/>
          <w:lang w:val="es-ES" w:eastAsia="es-ES"/>
        </w:rPr>
        <w:t xml:space="preserve">. </w:t>
      </w:r>
    </w:p>
    <w:p w:rsidR="00C111C6" w:rsidRPr="00DB3EEA" w:rsidRDefault="00DB3EEA" w:rsidP="00C111C6">
      <w:pPr>
        <w:pStyle w:val="Prrafodelista"/>
        <w:rPr>
          <w:rFonts w:ascii="Times New Roman" w:hAnsi="Times New Roman" w:cs="Times New Roman"/>
          <w:bCs/>
          <w:sz w:val="28"/>
          <w:szCs w:val="28"/>
          <w:bdr w:val="none" w:sz="0" w:space="0" w:color="auto" w:frame="1"/>
          <w:shd w:val="clear" w:color="auto" w:fill="FFFFFF"/>
          <w:lang w:val="es-ES_tradnl" w:eastAsia="es-ES_tradnl"/>
        </w:rPr>
      </w:pPr>
    </w:p>
    <w:p w:rsidR="00C111C6" w:rsidRPr="00DB3EEA" w:rsidRDefault="00DB3EEA" w:rsidP="00C111C6">
      <w:pPr>
        <w:pStyle w:val="Prrafodelista"/>
        <w:numPr>
          <w:ilvl w:val="0"/>
          <w:numId w:val="1"/>
        </w:numPr>
        <w:ind w:left="0" w:firstLine="0"/>
        <w:jc w:val="both"/>
        <w:rPr>
          <w:rFonts w:ascii="Times New Roman" w:eastAsia="Aptos" w:hAnsi="Times New Roman" w:cs="Times New Roman"/>
          <w:kern w:val="2"/>
          <w:sz w:val="28"/>
          <w:szCs w:val="28"/>
          <w14:ligatures w14:val="standardContextual"/>
        </w:rPr>
      </w:pPr>
      <w:r w:rsidRPr="00DB3EEA">
        <w:rPr>
          <w:rFonts w:ascii="Times New Roman" w:hAnsi="Times New Roman" w:cs="Times New Roman"/>
          <w:sz w:val="28"/>
          <w:szCs w:val="28"/>
          <w:bdr w:val="none" w:sz="0" w:space="0" w:color="auto" w:frame="1"/>
          <w:shd w:val="clear" w:color="auto" w:fill="FFFFFF"/>
          <w:lang w:val="es-ES" w:eastAsia="es-ES"/>
        </w:rPr>
        <w:t xml:space="preserve">La igualdad es un concepto de </w:t>
      </w:r>
      <w:r w:rsidRPr="00DB3EEA">
        <w:rPr>
          <w:rFonts w:ascii="Times New Roman" w:hAnsi="Times New Roman" w:cs="Times New Roman"/>
          <w:i/>
          <w:sz w:val="28"/>
          <w:szCs w:val="28"/>
          <w:bdr w:val="none" w:sz="0" w:space="0" w:color="auto" w:frame="1"/>
          <w:shd w:val="clear" w:color="auto" w:fill="FFFFFF"/>
          <w:lang w:val="es-ES" w:eastAsia="es-ES"/>
        </w:rPr>
        <w:t>“carácter relacional”</w:t>
      </w:r>
      <w:r w:rsidRPr="00DB3EEA">
        <w:rPr>
          <w:rFonts w:ascii="Times New Roman" w:hAnsi="Times New Roman" w:cs="Times New Roman"/>
          <w:sz w:val="28"/>
          <w:szCs w:val="28"/>
          <w:bdr w:val="none" w:sz="0" w:space="0" w:color="auto" w:frame="1"/>
          <w:shd w:val="clear" w:color="auto" w:fill="FFFFFF"/>
          <w:vertAlign w:val="superscript"/>
          <w:lang w:val="es-ES" w:eastAsia="es-ES"/>
        </w:rPr>
        <w:footnoteReference w:id="185"/>
      </w:r>
      <w:r w:rsidRPr="00DB3EEA">
        <w:rPr>
          <w:rFonts w:ascii="Times New Roman" w:hAnsi="Times New Roman" w:cs="Times New Roman"/>
          <w:sz w:val="28"/>
          <w:szCs w:val="28"/>
          <w:bdr w:val="none" w:sz="0" w:space="0" w:color="auto" w:frame="1"/>
          <w:shd w:val="clear" w:color="auto" w:fill="FFFFFF"/>
          <w:lang w:val="es-ES" w:eastAsia="es-ES"/>
        </w:rPr>
        <w:t>, es decir que</w:t>
      </w:r>
      <w:r w:rsidRPr="00DB3EEA">
        <w:rPr>
          <w:rFonts w:ascii="Times New Roman" w:hAnsi="Times New Roman" w:cs="Times New Roman"/>
          <w:i/>
          <w:sz w:val="28"/>
          <w:szCs w:val="28"/>
          <w:bdr w:val="none" w:sz="0" w:space="0" w:color="auto" w:frame="1"/>
          <w:shd w:val="clear" w:color="auto" w:fill="FFFFFF"/>
          <w:lang w:val="es-ES" w:eastAsia="es-ES"/>
        </w:rPr>
        <w:t xml:space="preserve"> “presupone una comparación entre personas, grupos de personas”</w:t>
      </w:r>
      <w:r w:rsidRPr="00DB3EEA">
        <w:rPr>
          <w:rFonts w:ascii="Times New Roman" w:hAnsi="Times New Roman" w:cs="Times New Roman"/>
          <w:sz w:val="28"/>
          <w:szCs w:val="28"/>
          <w:bdr w:val="none" w:sz="0" w:space="0" w:color="auto" w:frame="1"/>
          <w:shd w:val="clear" w:color="auto" w:fill="FFFFFF"/>
          <w:vertAlign w:val="superscript"/>
          <w:lang w:val="es-ES" w:eastAsia="es-ES"/>
        </w:rPr>
        <w:footnoteReference w:id="186"/>
      </w:r>
      <w:r w:rsidRPr="00DB3EEA">
        <w:rPr>
          <w:rFonts w:ascii="Times New Roman" w:hAnsi="Times New Roman" w:cs="Times New Roman"/>
          <w:sz w:val="28"/>
          <w:szCs w:val="28"/>
          <w:bdr w:val="none" w:sz="0" w:space="0" w:color="auto" w:frame="1"/>
          <w:shd w:val="clear" w:color="auto" w:fill="FFFFFF"/>
          <w:lang w:val="es-ES" w:eastAsia="es-ES"/>
        </w:rPr>
        <w:t xml:space="preserve"> o supuestos, a partir de un determinado criterio de comparación</w:t>
      </w:r>
      <w:r w:rsidRPr="00DB3EEA">
        <w:rPr>
          <w:rFonts w:ascii="Times New Roman" w:hAnsi="Times New Roman" w:cs="Times New Roman"/>
          <w:sz w:val="28"/>
          <w:szCs w:val="28"/>
          <w:bdr w:val="none" w:sz="0" w:space="0" w:color="auto" w:frame="1"/>
          <w:shd w:val="clear" w:color="auto" w:fill="FFFFFF"/>
          <w:vertAlign w:val="superscript"/>
          <w:lang w:val="es-ES" w:eastAsia="es-ES"/>
        </w:rPr>
        <w:footnoteReference w:id="187"/>
      </w:r>
      <w:r w:rsidRPr="00DB3EEA">
        <w:rPr>
          <w:rFonts w:ascii="Times New Roman" w:hAnsi="Times New Roman" w:cs="Times New Roman"/>
          <w:sz w:val="28"/>
          <w:szCs w:val="28"/>
          <w:bdr w:val="none" w:sz="0" w:space="0" w:color="auto" w:frame="1"/>
          <w:shd w:val="clear" w:color="auto" w:fill="FFFFFF"/>
          <w:lang w:val="es-ES" w:eastAsia="es-ES"/>
        </w:rPr>
        <w:t xml:space="preserve">. </w:t>
      </w:r>
    </w:p>
    <w:p w:rsidR="00C111C6" w:rsidRPr="00DB3EEA" w:rsidRDefault="00DB3EEA" w:rsidP="00C111C6">
      <w:pPr>
        <w:pStyle w:val="Prrafodelista"/>
        <w:rPr>
          <w:rFonts w:ascii="Times New Roman" w:hAnsi="Times New Roman" w:cs="Times New Roman"/>
          <w:sz w:val="28"/>
          <w:szCs w:val="28"/>
          <w:bdr w:val="none" w:sz="0" w:space="0" w:color="auto" w:frame="1"/>
          <w:shd w:val="clear" w:color="auto" w:fill="FFFFFF"/>
          <w:lang w:val="es-ES" w:eastAsia="es-ES"/>
        </w:rPr>
      </w:pPr>
    </w:p>
    <w:p w:rsidR="00C85E9F" w:rsidRPr="00DB3EEA" w:rsidRDefault="00DB3EEA" w:rsidP="009519B3">
      <w:pPr>
        <w:pStyle w:val="Prrafodelista"/>
        <w:numPr>
          <w:ilvl w:val="0"/>
          <w:numId w:val="1"/>
        </w:numPr>
        <w:ind w:left="0" w:firstLine="0"/>
        <w:jc w:val="both"/>
        <w:rPr>
          <w:rFonts w:ascii="Times New Roman" w:eastAsia="Aptos" w:hAnsi="Times New Roman" w:cs="Times New Roman"/>
          <w:kern w:val="2"/>
          <w:sz w:val="28"/>
          <w:szCs w:val="28"/>
          <w14:ligatures w14:val="standardContextual"/>
        </w:rPr>
      </w:pPr>
      <w:r w:rsidRPr="00DB3EEA">
        <w:rPr>
          <w:rFonts w:ascii="Times New Roman" w:hAnsi="Times New Roman" w:cs="Times New Roman"/>
          <w:sz w:val="28"/>
          <w:szCs w:val="28"/>
          <w:bdr w:val="none" w:sz="0" w:space="0" w:color="auto" w:frame="1"/>
          <w:shd w:val="clear" w:color="auto" w:fill="FFFFFF"/>
          <w:lang w:val="es-ES" w:eastAsia="es-ES"/>
        </w:rPr>
        <w:t xml:space="preserve">Es por ello, que resulta necesario establecer: </w:t>
      </w:r>
      <w:r w:rsidRPr="00DB3EEA">
        <w:rPr>
          <w:rFonts w:ascii="Times New Roman" w:hAnsi="Times New Roman" w:cs="Times New Roman"/>
          <w:b/>
          <w:sz w:val="28"/>
          <w:szCs w:val="28"/>
          <w:bdr w:val="none" w:sz="0" w:space="0" w:color="auto" w:frame="1"/>
          <w:shd w:val="clear" w:color="auto" w:fill="FFFFFF"/>
          <w:lang w:val="es-ES" w:eastAsia="es-ES"/>
        </w:rPr>
        <w:t>(i)</w:t>
      </w:r>
      <w:r w:rsidRPr="00DB3EEA">
        <w:rPr>
          <w:rFonts w:ascii="Times New Roman" w:hAnsi="Times New Roman" w:cs="Times New Roman"/>
          <w:sz w:val="28"/>
          <w:szCs w:val="28"/>
          <w:bdr w:val="none" w:sz="0" w:space="0" w:color="auto" w:frame="1"/>
          <w:shd w:val="clear" w:color="auto" w:fill="FFFFFF"/>
          <w:lang w:val="es-ES" w:eastAsia="es-ES"/>
        </w:rPr>
        <w:t xml:space="preserve"> los </w:t>
      </w:r>
      <w:r w:rsidRPr="00DB3EEA">
        <w:rPr>
          <w:rFonts w:ascii="Times New Roman" w:hAnsi="Times New Roman" w:cs="Times New Roman"/>
          <w:sz w:val="28"/>
          <w:szCs w:val="28"/>
          <w:lang w:eastAsia="es-ES"/>
        </w:rPr>
        <w:t xml:space="preserve">términos de comparación, esto es, las personas, elementos, hechos o situaciones que efectivamente son comparables; y </w:t>
      </w:r>
      <w:r w:rsidRPr="00DB3EEA">
        <w:rPr>
          <w:rFonts w:ascii="Times New Roman" w:hAnsi="Times New Roman" w:cs="Times New Roman"/>
          <w:b/>
          <w:sz w:val="28"/>
          <w:szCs w:val="28"/>
          <w:lang w:eastAsia="es-ES"/>
        </w:rPr>
        <w:t>(ii)</w:t>
      </w:r>
      <w:r w:rsidRPr="00DB3EEA">
        <w:rPr>
          <w:rFonts w:ascii="Times New Roman" w:hAnsi="Times New Roman" w:cs="Times New Roman"/>
          <w:sz w:val="28"/>
          <w:szCs w:val="28"/>
          <w:lang w:eastAsia="es-ES"/>
        </w:rPr>
        <w:t xml:space="preserve"> los presupuestos a partir de los cuales se establece un trato desigual</w:t>
      </w:r>
      <w:r w:rsidRPr="00DB3EEA">
        <w:rPr>
          <w:rFonts w:ascii="Times New Roman" w:hAnsi="Times New Roman" w:cs="Times New Roman"/>
          <w:sz w:val="28"/>
          <w:szCs w:val="28"/>
          <w:vertAlign w:val="superscript"/>
          <w:lang w:eastAsia="es-ES"/>
        </w:rPr>
        <w:footnoteReference w:id="188"/>
      </w:r>
      <w:r w:rsidRPr="00DB3EEA">
        <w:rPr>
          <w:rFonts w:ascii="Times New Roman" w:hAnsi="Times New Roman" w:cs="Times New Roman"/>
          <w:sz w:val="28"/>
          <w:szCs w:val="28"/>
          <w:lang w:eastAsia="es-ES"/>
        </w:rPr>
        <w:t>. Posteriormente, debe demostrarse, entonces, que no existe ninguna razón constitucionalmente válida para establecer un trato diferenciado.</w:t>
      </w:r>
    </w:p>
    <w:p w:rsidR="009519B3" w:rsidRPr="00DB3EEA" w:rsidRDefault="00DB3EEA" w:rsidP="009519B3">
      <w:pPr>
        <w:pStyle w:val="Prrafodelista"/>
        <w:rPr>
          <w:rFonts w:ascii="Times New Roman" w:eastAsia="Aptos" w:hAnsi="Times New Roman" w:cs="Times New Roman"/>
          <w:kern w:val="2"/>
          <w:sz w:val="28"/>
          <w:szCs w:val="28"/>
          <w14:ligatures w14:val="standardContextual"/>
        </w:rPr>
      </w:pPr>
    </w:p>
    <w:p w:rsidR="00092EE0" w:rsidRPr="00DB3EEA" w:rsidRDefault="00DB3EEA" w:rsidP="00092EE0">
      <w:pPr>
        <w:pStyle w:val="Prrafodelista"/>
        <w:numPr>
          <w:ilvl w:val="0"/>
          <w:numId w:val="1"/>
        </w:numPr>
        <w:ind w:left="0" w:firstLine="0"/>
        <w:jc w:val="both"/>
        <w:rPr>
          <w:rFonts w:ascii="Times New Roman" w:eastAsia="Aptos" w:hAnsi="Times New Roman" w:cs="Times New Roman"/>
          <w:sz w:val="28"/>
          <w:szCs w:val="28"/>
        </w:rPr>
      </w:pPr>
      <w:r w:rsidRPr="00DB3EEA">
        <w:rPr>
          <w:rFonts w:ascii="Times New Roman" w:hAnsi="Times New Roman" w:cs="Times New Roman"/>
          <w:color w:val="000000"/>
          <w:sz w:val="28"/>
          <w:szCs w:val="28"/>
          <w:lang w:eastAsia="en-US"/>
        </w:rPr>
        <w:t xml:space="preserve"> De acuerdo con el auto de admisión, para l</w:t>
      </w:r>
      <w:r w:rsidRPr="00DB3EEA">
        <w:rPr>
          <w:rFonts w:ascii="Times New Roman" w:hAnsi="Times New Roman" w:cs="Times New Roman"/>
          <w:color w:val="000000"/>
          <w:sz w:val="28"/>
          <w:szCs w:val="28"/>
          <w:lang w:eastAsia="en-US"/>
        </w:rPr>
        <w:t xml:space="preserve">os demandantes, la norma genera un trato diferenciado entre los productos nacionales e importados, así como entre productores e importadores que son responsables del impuesto saludable. </w:t>
      </w:r>
      <w:bookmarkStart w:id="13" w:name="_Hlk218368730"/>
      <w:r w:rsidRPr="00DB3EEA">
        <w:rPr>
          <w:rFonts w:ascii="Times New Roman" w:hAnsi="Times New Roman" w:cs="Times New Roman"/>
          <w:sz w:val="28"/>
          <w:szCs w:val="28"/>
          <w:lang w:eastAsia="en-US"/>
        </w:rPr>
        <w:t>El tratamiento tributario disímil consiste en que tratándose de produc</w:t>
      </w:r>
      <w:r w:rsidRPr="00DB3EEA">
        <w:rPr>
          <w:rFonts w:ascii="Times New Roman" w:hAnsi="Times New Roman" w:cs="Times New Roman"/>
          <w:sz w:val="28"/>
          <w:szCs w:val="28"/>
          <w:lang w:eastAsia="en-US"/>
        </w:rPr>
        <w:t>tos nacionales la base gravable del impuesto está constituida por el precio de venta. En contraposición, el segundo y tercer incisos del artículo 54 de la Ley 2277 de 2022 disponen que, en el caso de productos importados o producidos en zona franca, la bas</w:t>
      </w:r>
      <w:r w:rsidRPr="00DB3EEA">
        <w:rPr>
          <w:rFonts w:ascii="Times New Roman" w:hAnsi="Times New Roman" w:cs="Times New Roman"/>
          <w:sz w:val="28"/>
          <w:szCs w:val="28"/>
          <w:lang w:eastAsia="en-US"/>
        </w:rPr>
        <w:t>e gravable del impuesto incluye el valor de los tributos aduaneros, lo que deriva en que el impuesto sobre las ventas (IVA) haga parte de la base gravable del impuesto a los comestibles ultraprocesados de acuerdo con lo previsto en el artículo 3</w:t>
      </w:r>
      <w:r w:rsidRPr="00DB3EEA">
        <w:rPr>
          <w:rFonts w:ascii="Times New Roman" w:hAnsi="Times New Roman" w:cs="Times New Roman"/>
          <w:sz w:val="28"/>
          <w:szCs w:val="28"/>
        </w:rPr>
        <w:t xml:space="preserve">º </w:t>
      </w:r>
      <w:r w:rsidRPr="00DB3EEA">
        <w:rPr>
          <w:rFonts w:ascii="Times New Roman" w:hAnsi="Times New Roman" w:cs="Times New Roman"/>
          <w:sz w:val="28"/>
          <w:szCs w:val="28"/>
          <w:lang w:eastAsia="en-US"/>
        </w:rPr>
        <w:t>del Decre</w:t>
      </w:r>
      <w:r w:rsidRPr="00DB3EEA">
        <w:rPr>
          <w:rFonts w:ascii="Times New Roman" w:hAnsi="Times New Roman" w:cs="Times New Roman"/>
          <w:sz w:val="28"/>
          <w:szCs w:val="28"/>
          <w:lang w:eastAsia="en-US"/>
        </w:rPr>
        <w:t>to 1165 de 2019</w:t>
      </w:r>
      <w:bookmarkEnd w:id="13"/>
      <w:r w:rsidRPr="00DB3EEA">
        <w:rPr>
          <w:rFonts w:ascii="Times New Roman" w:hAnsi="Times New Roman" w:cs="Times New Roman"/>
          <w:sz w:val="28"/>
          <w:szCs w:val="28"/>
          <w:lang w:eastAsia="en-US"/>
        </w:rPr>
        <w:t>.</w:t>
      </w:r>
    </w:p>
    <w:p w:rsidR="00092EE0" w:rsidRPr="00DB3EEA" w:rsidRDefault="00DB3EEA" w:rsidP="00092EE0">
      <w:pPr>
        <w:pStyle w:val="Prrafodelista"/>
        <w:ind w:left="0"/>
        <w:jc w:val="both"/>
        <w:rPr>
          <w:rFonts w:ascii="Times New Roman" w:eastAsia="Aptos" w:hAnsi="Times New Roman" w:cs="Times New Roman"/>
          <w:sz w:val="28"/>
          <w:szCs w:val="28"/>
        </w:rPr>
      </w:pPr>
    </w:p>
    <w:p w:rsidR="00092EE0" w:rsidRPr="00DB3EEA" w:rsidRDefault="00DB3EEA">
      <w:pPr>
        <w:pStyle w:val="Prrafodelista"/>
        <w:numPr>
          <w:ilvl w:val="0"/>
          <w:numId w:val="1"/>
        </w:numPr>
        <w:ind w:left="0" w:firstLine="0"/>
        <w:jc w:val="both"/>
        <w:rPr>
          <w:rFonts w:ascii="Times New Roman" w:eastAsia="Aptos" w:hAnsi="Times New Roman" w:cs="Times New Roman"/>
          <w:sz w:val="28"/>
          <w:szCs w:val="28"/>
        </w:rPr>
      </w:pPr>
      <w:r w:rsidRPr="00DB3EEA">
        <w:rPr>
          <w:rFonts w:ascii="Times New Roman" w:eastAsiaTheme="minorHAnsi" w:hAnsi="Times New Roman" w:cs="Times New Roman"/>
          <w:sz w:val="28"/>
          <w:szCs w:val="28"/>
          <w:lang w:eastAsia="en-US"/>
        </w:rPr>
        <w:t>No obstante, como pasará a explicarse</w:t>
      </w:r>
      <w:r w:rsidRPr="00DB3EEA">
        <w:rPr>
          <w:rFonts w:ascii="Times New Roman" w:eastAsiaTheme="minorHAnsi" w:hAnsi="Times New Roman" w:cs="Times New Roman"/>
          <w:color w:val="000000"/>
          <w:sz w:val="28"/>
          <w:szCs w:val="28"/>
          <w:lang w:eastAsia="en-US"/>
        </w:rPr>
        <w:t xml:space="preserve">, los incisos </w:t>
      </w:r>
      <w:r w:rsidRPr="00DB3EEA">
        <w:rPr>
          <w:rFonts w:ascii="Times New Roman" w:hAnsi="Times New Roman" w:cs="Times New Roman"/>
          <w:color w:val="000000"/>
          <w:sz w:val="28"/>
          <w:szCs w:val="28"/>
        </w:rPr>
        <w:t>segundo</w:t>
      </w:r>
      <w:r w:rsidRPr="00DB3EEA">
        <w:rPr>
          <w:rFonts w:ascii="Times New Roman" w:eastAsiaTheme="minorHAnsi" w:hAnsi="Times New Roman" w:cs="Times New Roman"/>
          <w:color w:val="000000"/>
          <w:sz w:val="28"/>
          <w:szCs w:val="28"/>
          <w:lang w:eastAsia="en-US"/>
        </w:rPr>
        <w:t xml:space="preserve"> y </w:t>
      </w:r>
      <w:r w:rsidRPr="00DB3EEA">
        <w:rPr>
          <w:rFonts w:ascii="Times New Roman" w:hAnsi="Times New Roman" w:cs="Times New Roman"/>
          <w:color w:val="000000"/>
          <w:sz w:val="28"/>
          <w:szCs w:val="28"/>
        </w:rPr>
        <w:t>tercero</w:t>
      </w:r>
      <w:r w:rsidRPr="00DB3EEA">
        <w:rPr>
          <w:rFonts w:ascii="Times New Roman" w:eastAsiaTheme="minorHAnsi" w:hAnsi="Times New Roman" w:cs="Times New Roman"/>
          <w:color w:val="000000"/>
          <w:sz w:val="28"/>
          <w:szCs w:val="28"/>
          <w:lang w:eastAsia="en-US"/>
        </w:rPr>
        <w:t xml:space="preserve"> de la norma demandada no vulneran el principio de igualdad. </w:t>
      </w:r>
    </w:p>
    <w:p w:rsidR="00665DB7" w:rsidRPr="00DB3EEA" w:rsidRDefault="00DB3EEA" w:rsidP="00665DB7">
      <w:pPr>
        <w:pStyle w:val="Prrafodelista"/>
        <w:ind w:left="0"/>
        <w:jc w:val="both"/>
        <w:rPr>
          <w:rFonts w:ascii="Times New Roman" w:eastAsia="Aptos" w:hAnsi="Times New Roman" w:cs="Times New Roman"/>
          <w:sz w:val="28"/>
          <w:szCs w:val="28"/>
        </w:rPr>
      </w:pPr>
    </w:p>
    <w:p w:rsidR="00092EE0" w:rsidRPr="00DB3EEA" w:rsidRDefault="00DB3EEA" w:rsidP="00092EE0">
      <w:pPr>
        <w:pStyle w:val="Prrafodelista"/>
        <w:numPr>
          <w:ilvl w:val="0"/>
          <w:numId w:val="1"/>
        </w:numPr>
        <w:ind w:left="0" w:firstLine="0"/>
        <w:jc w:val="both"/>
        <w:rPr>
          <w:rFonts w:ascii="Times New Roman" w:hAnsi="Times New Roman" w:cs="Times New Roman"/>
          <w:b/>
          <w:bCs/>
          <w:sz w:val="28"/>
          <w:szCs w:val="28"/>
        </w:rPr>
      </w:pPr>
      <w:r w:rsidRPr="00DB3EEA">
        <w:rPr>
          <w:rFonts w:ascii="Times New Roman" w:eastAsia="Aptos" w:hAnsi="Times New Roman" w:cs="Times New Roman"/>
          <w:kern w:val="2"/>
          <w:sz w:val="28"/>
          <w:szCs w:val="28"/>
          <w14:ligatures w14:val="standardContextual"/>
        </w:rPr>
        <w:t xml:space="preserve">Ambas categorías, productores e importadores, </w:t>
      </w:r>
      <w:r w:rsidRPr="00DB3EEA">
        <w:rPr>
          <w:rFonts w:ascii="Times New Roman" w:eastAsia="Aptos" w:hAnsi="Times New Roman" w:cs="Times New Roman"/>
          <w:kern w:val="2"/>
          <w:sz w:val="28"/>
          <w:szCs w:val="28"/>
          <w14:ligatures w14:val="standardContextual"/>
        </w:rPr>
        <w:t xml:space="preserve">lo que también es predicable de productos nacionales e </w:t>
      </w:r>
      <w:r w:rsidRPr="00DB3EEA">
        <w:rPr>
          <w:rFonts w:ascii="Times New Roman" w:eastAsia="Aptos" w:hAnsi="Times New Roman" w:cs="Times New Roman"/>
          <w:kern w:val="2"/>
          <w:sz w:val="28"/>
          <w:szCs w:val="28"/>
          <w14:ligatures w14:val="standardContextual"/>
        </w:rPr>
        <w:t>importados respectivamente,</w:t>
      </w:r>
      <w:r w:rsidRPr="00DB3EEA">
        <w:rPr>
          <w:rFonts w:ascii="Times New Roman" w:eastAsia="Aptos" w:hAnsi="Times New Roman" w:cs="Times New Roman"/>
          <w:kern w:val="2"/>
          <w:sz w:val="28"/>
          <w:szCs w:val="28"/>
          <w14:ligatures w14:val="standardContextual"/>
        </w:rPr>
        <w:t xml:space="preserve"> se asemejan en que son responsables del ICUI según el artículo 513-7 del Estatuto Tributario, al incurrir en el hecho genera</w:t>
      </w:r>
      <w:r w:rsidRPr="00DB3EEA">
        <w:rPr>
          <w:rFonts w:ascii="Times New Roman" w:eastAsia="Aptos" w:hAnsi="Times New Roman" w:cs="Times New Roman"/>
          <w:kern w:val="2"/>
          <w:sz w:val="28"/>
          <w:szCs w:val="28"/>
          <w14:ligatures w14:val="standardContextual"/>
        </w:rPr>
        <w:t>dor</w:t>
      </w:r>
      <w:r w:rsidRPr="00DB3EEA">
        <w:rPr>
          <w:rFonts w:ascii="Times New Roman" w:eastAsia="Aptos" w:hAnsi="Times New Roman" w:cs="Times New Roman"/>
          <w:kern w:val="2"/>
          <w:sz w:val="28"/>
          <w:szCs w:val="28"/>
          <w14:ligatures w14:val="standardContextual"/>
        </w:rPr>
        <w:t xml:space="preserve"> consagrado en el artículo 513-6. </w:t>
      </w:r>
      <w:r w:rsidRPr="00DB3EEA">
        <w:rPr>
          <w:rFonts w:ascii="Times New Roman" w:eastAsia="Aptos" w:hAnsi="Times New Roman" w:cs="Times New Roman"/>
          <w:sz w:val="28"/>
          <w:szCs w:val="28"/>
        </w:rPr>
        <w:t>S</w:t>
      </w:r>
      <w:r w:rsidRPr="00DB3EEA">
        <w:rPr>
          <w:rFonts w:ascii="Times New Roman" w:eastAsia="Aptos" w:hAnsi="Times New Roman" w:cs="Times New Roman"/>
          <w:kern w:val="2"/>
          <w:sz w:val="28"/>
          <w:szCs w:val="28"/>
          <w14:ligatures w14:val="standardContextual"/>
        </w:rPr>
        <w:t>e diferencian en el tipo de actividad económica que realizan y los</w:t>
      </w:r>
      <w:r w:rsidRPr="00DB3EEA">
        <w:rPr>
          <w:rFonts w:ascii="Times New Roman" w:eastAsia="Aptos" w:hAnsi="Times New Roman" w:cs="Times New Roman"/>
          <w:kern w:val="2"/>
          <w:sz w:val="28"/>
          <w:szCs w:val="28"/>
          <w14:ligatures w14:val="standardContextual"/>
        </w:rPr>
        <w:t xml:space="preserve"> regímenes a los que están sujetos. De esta manera, los productores nacionales realizan su actividad económica dentro del territorio nacional, bajo el régimen tributario y aduanero ordinario, así como sus relaciones se rigen por el ordenamiento jurídico co</w:t>
      </w:r>
      <w:r w:rsidRPr="00DB3EEA">
        <w:rPr>
          <w:rFonts w:ascii="Times New Roman" w:eastAsia="Aptos" w:hAnsi="Times New Roman" w:cs="Times New Roman"/>
          <w:kern w:val="2"/>
          <w:sz w:val="28"/>
          <w:szCs w:val="28"/>
          <w14:ligatures w14:val="standardContextual"/>
        </w:rPr>
        <w:t xml:space="preserve">lombiano. Su actividad económica consiste en la transformación de materias primas para poner productos en el mercado. Por su parte, la importación resulta </w:t>
      </w:r>
      <w:r w:rsidRPr="00DB3EEA">
        <w:rPr>
          <w:rFonts w:ascii="Times New Roman" w:eastAsia="Aptos" w:hAnsi="Times New Roman" w:cs="Times New Roman"/>
          <w:sz w:val="28"/>
          <w:szCs w:val="28"/>
        </w:rPr>
        <w:t>ser</w:t>
      </w:r>
      <w:r w:rsidRPr="00DB3EEA">
        <w:rPr>
          <w:rFonts w:ascii="Times New Roman" w:eastAsia="Aptos" w:hAnsi="Times New Roman" w:cs="Times New Roman"/>
          <w:kern w:val="2"/>
          <w:sz w:val="28"/>
          <w:szCs w:val="28"/>
          <w14:ligatures w14:val="standardContextual"/>
        </w:rPr>
        <w:t xml:space="preserve"> una actividad económica diametralmente distinta que apareja riesgos distintos. </w:t>
      </w:r>
      <w:r w:rsidRPr="00DB3EEA">
        <w:rPr>
          <w:rFonts w:ascii="Times New Roman" w:eastAsia="Aptos" w:hAnsi="Times New Roman" w:cs="Times New Roman"/>
          <w:sz w:val="28"/>
          <w:szCs w:val="28"/>
        </w:rPr>
        <w:t xml:space="preserve">De hecho, </w:t>
      </w:r>
      <w:r w:rsidRPr="00DB3EEA">
        <w:rPr>
          <w:rFonts w:ascii="Times New Roman" w:hAnsi="Times New Roman" w:cs="Times New Roman"/>
          <w:sz w:val="28"/>
          <w:szCs w:val="28"/>
        </w:rPr>
        <w:t>los impo</w:t>
      </w:r>
      <w:r w:rsidRPr="00DB3EEA">
        <w:rPr>
          <w:rFonts w:ascii="Times New Roman" w:hAnsi="Times New Roman" w:cs="Times New Roman"/>
          <w:sz w:val="28"/>
          <w:szCs w:val="28"/>
        </w:rPr>
        <w:t>rtadores de los comestibles ultraprocesados objeto del ICUI no son una categoría homogénea y están sujetos a regímenes arancelarios distintos, de acuerdo con el origen de las mercancías, debido a que los aranceles son objeto de la política comercial.</w:t>
      </w:r>
    </w:p>
    <w:p w:rsidR="00092EE0" w:rsidRPr="00DB3EEA" w:rsidRDefault="00DB3EEA" w:rsidP="00092EE0">
      <w:pPr>
        <w:pStyle w:val="Prrafodelista"/>
        <w:rPr>
          <w:rFonts w:ascii="Times New Roman" w:hAnsi="Times New Roman" w:cs="Times New Roman"/>
          <w:b/>
          <w:bCs/>
          <w:sz w:val="28"/>
          <w:szCs w:val="28"/>
        </w:rPr>
      </w:pPr>
    </w:p>
    <w:p w:rsidR="00092EE0" w:rsidRPr="00DB3EEA" w:rsidRDefault="00DB3EEA" w:rsidP="00092EE0">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Teni</w:t>
      </w:r>
      <w:r w:rsidRPr="00DB3EEA">
        <w:rPr>
          <w:rFonts w:ascii="Times New Roman" w:hAnsi="Times New Roman" w:cs="Times New Roman"/>
          <w:sz w:val="28"/>
          <w:szCs w:val="28"/>
        </w:rPr>
        <w:t xml:space="preserve">endo en cuenta dichas semejanzas y diferencias entre los productores e importadores, así como las diferencias entre esta última categoría, se procede a identificar el trato ofrecido a los productos y a los importadores. </w:t>
      </w:r>
    </w:p>
    <w:p w:rsidR="00092EE0" w:rsidRPr="00DB3EEA" w:rsidRDefault="00DB3EEA" w:rsidP="00092EE0">
      <w:pPr>
        <w:pStyle w:val="Prrafodelista"/>
        <w:rPr>
          <w:rFonts w:ascii="Times New Roman" w:hAnsi="Times New Roman" w:cs="Times New Roman"/>
          <w:sz w:val="28"/>
          <w:szCs w:val="28"/>
        </w:rPr>
      </w:pPr>
    </w:p>
    <w:p w:rsidR="00092EE0" w:rsidRPr="00DB3EEA" w:rsidRDefault="00DB3EEA" w:rsidP="00092EE0">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En los productos nacionales someti</w:t>
      </w:r>
      <w:r w:rsidRPr="00DB3EEA">
        <w:rPr>
          <w:rFonts w:ascii="Times New Roman" w:hAnsi="Times New Roman" w:cs="Times New Roman"/>
          <w:sz w:val="28"/>
          <w:szCs w:val="28"/>
        </w:rPr>
        <w:t>dos al ICUI, el hecho generador lo constituye la producción, venta, retiro de inventario o transferencia del dominio a título gratuito (numeral primero del artículo 513-6 del E.T.). Por ello, la base gravable está constituida por el precio de venta (inciso</w:t>
      </w:r>
      <w:r w:rsidRPr="00DB3EEA">
        <w:rPr>
          <w:rFonts w:ascii="Times New Roman" w:hAnsi="Times New Roman" w:cs="Times New Roman"/>
          <w:sz w:val="28"/>
          <w:szCs w:val="28"/>
        </w:rPr>
        <w:t xml:space="preserve"> primero del artículo 513-8 del E.T.) que se refleja en la factura de venta. Por el contrario, para los importadores, el hecho generador del impuesto es la importación (numeral segundo del artículo 513-6 del E.T.). Así que la base gravable es la misma que </w:t>
      </w:r>
      <w:r w:rsidRPr="00DB3EEA">
        <w:rPr>
          <w:rFonts w:ascii="Times New Roman" w:hAnsi="Times New Roman" w:cs="Times New Roman"/>
          <w:sz w:val="28"/>
          <w:szCs w:val="28"/>
        </w:rPr>
        <w:t>se tiene en cuenta para liquidar los tributos aduaneros, adicionados con el valor de este gravamen (inciso segundo del artículo 513-8 del E.T.). En el caso de los productos de zonas francas, la base gravable es el valor de todos los costos y gastos de prod</w:t>
      </w:r>
      <w:r w:rsidRPr="00DB3EEA">
        <w:rPr>
          <w:rFonts w:ascii="Times New Roman" w:hAnsi="Times New Roman" w:cs="Times New Roman"/>
          <w:sz w:val="28"/>
          <w:szCs w:val="28"/>
        </w:rPr>
        <w:t>ucción de conformidad con el certificado de integración, más el valor de los tributos aduaneros (inciso tercero del artículo 513-8 del E.T.).</w:t>
      </w:r>
    </w:p>
    <w:p w:rsidR="00092EE0" w:rsidRPr="00DB3EEA" w:rsidRDefault="00DB3EEA" w:rsidP="00092EE0">
      <w:pPr>
        <w:pStyle w:val="Prrafodelista"/>
        <w:rPr>
          <w:rFonts w:ascii="Times New Roman" w:hAnsi="Times New Roman" w:cs="Times New Roman"/>
          <w:sz w:val="28"/>
          <w:szCs w:val="28"/>
        </w:rPr>
      </w:pPr>
    </w:p>
    <w:p w:rsidR="00092EE0" w:rsidRPr="00DB3EEA" w:rsidRDefault="00DB3EEA" w:rsidP="00092EE0">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Por otro lado, el artículo 513-10 de la norma en mención establece como momentos de causación del impuesto, los s</w:t>
      </w:r>
      <w:r w:rsidRPr="00DB3EEA">
        <w:rPr>
          <w:rFonts w:ascii="Times New Roman" w:hAnsi="Times New Roman" w:cs="Times New Roman"/>
          <w:sz w:val="28"/>
          <w:szCs w:val="28"/>
        </w:rPr>
        <w:t>iguientes: (i) en la producción, la venta, retiro de inventario o transferencia a título gratuito u oneroso que realice el productor, en la fecha de emisión de la factura o documento equivalente y a falta de estos, en el momento de la entrega o retiro, aun</w:t>
      </w:r>
      <w:r w:rsidRPr="00DB3EEA">
        <w:rPr>
          <w:rFonts w:ascii="Times New Roman" w:hAnsi="Times New Roman" w:cs="Times New Roman"/>
          <w:sz w:val="28"/>
          <w:szCs w:val="28"/>
        </w:rPr>
        <w:t>que se haya pactado reserva de dominio, pacto de retroventa o condición resolutoria y (ii) en las importaciones, al tiempo de la nacionalización del bien. En este caso, el impuesto se liquidará y pagará al momento de la liquidación y pago de los tributos a</w:t>
      </w:r>
      <w:r w:rsidRPr="00DB3EEA">
        <w:rPr>
          <w:rFonts w:ascii="Times New Roman" w:hAnsi="Times New Roman" w:cs="Times New Roman"/>
          <w:sz w:val="28"/>
          <w:szCs w:val="28"/>
        </w:rPr>
        <w:t>duaneros.</w:t>
      </w:r>
    </w:p>
    <w:p w:rsidR="00092EE0" w:rsidRPr="00DB3EEA" w:rsidRDefault="00DB3EEA" w:rsidP="00092EE0">
      <w:pPr>
        <w:pStyle w:val="Prrafodelista"/>
        <w:rPr>
          <w:rFonts w:ascii="Times New Roman" w:hAnsi="Times New Roman" w:cs="Times New Roman"/>
          <w:sz w:val="28"/>
          <w:szCs w:val="28"/>
        </w:rPr>
      </w:pPr>
    </w:p>
    <w:p w:rsidR="00092EE0" w:rsidRPr="00DB3EEA" w:rsidRDefault="00DB3EEA" w:rsidP="00092EE0">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Como se observa, este impuesto tiene el carácter monofásico, y, por tanto, se causa en una sola vez en las fases o etapas del proceso importación o comercialización del bien. En el caso de los productos importados, en virtud del principio de leg</w:t>
      </w:r>
      <w:r w:rsidRPr="00DB3EEA">
        <w:rPr>
          <w:rFonts w:ascii="Times New Roman" w:hAnsi="Times New Roman" w:cs="Times New Roman"/>
          <w:sz w:val="28"/>
          <w:szCs w:val="28"/>
        </w:rPr>
        <w:t>alidad y certeza tributaria, se causa con la nacionalización del bien y es en este momento cuando surge para el responsable la obligación de liquidar y pagar el impuesto. En ese orden, se observa otra situación disímil que justifica la existencia de dos ba</w:t>
      </w:r>
      <w:r w:rsidRPr="00DB3EEA">
        <w:rPr>
          <w:rFonts w:ascii="Times New Roman" w:hAnsi="Times New Roman" w:cs="Times New Roman"/>
          <w:sz w:val="28"/>
          <w:szCs w:val="28"/>
        </w:rPr>
        <w:t>ses gravables diversas, el producto importado no estará gravado cuando sea comercializado por el importador. Sin embargo, el producto nacional estará gravado con una base gravable que consiste en el precio de venta.</w:t>
      </w:r>
    </w:p>
    <w:p w:rsidR="00092EE0" w:rsidRPr="00DB3EEA" w:rsidRDefault="00DB3EEA" w:rsidP="00092EE0">
      <w:pPr>
        <w:pStyle w:val="Prrafodelista"/>
        <w:ind w:left="0"/>
        <w:jc w:val="both"/>
        <w:rPr>
          <w:rFonts w:ascii="Times New Roman" w:hAnsi="Times New Roman" w:cs="Times New Roman"/>
          <w:sz w:val="28"/>
          <w:szCs w:val="28"/>
        </w:rPr>
      </w:pPr>
    </w:p>
    <w:p w:rsidR="00092EE0" w:rsidRPr="00DB3EEA" w:rsidRDefault="00DB3EEA" w:rsidP="00092EE0">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Los accionantes adujeron un trato difer</w:t>
      </w:r>
      <w:r w:rsidRPr="00DB3EEA">
        <w:rPr>
          <w:rFonts w:ascii="Times New Roman" w:hAnsi="Times New Roman" w:cs="Times New Roman"/>
          <w:sz w:val="28"/>
          <w:szCs w:val="28"/>
        </w:rPr>
        <w:t>ente en perjuicio de los importadores, al señalar que la base gravable de los productos importados –al realizarse bajo la fórmula de tributos aduaneros– contenía IVA, lo cual no ocurría con la base gravable de los productos nacionales. En ese sentido, para</w:t>
      </w:r>
      <w:r w:rsidRPr="00DB3EEA">
        <w:rPr>
          <w:rFonts w:ascii="Times New Roman" w:hAnsi="Times New Roman" w:cs="Times New Roman"/>
          <w:sz w:val="28"/>
          <w:szCs w:val="28"/>
        </w:rPr>
        <w:t xml:space="preserve"> determinar si existe un trato diferente entre el productor nacional, por una parte, y los importadores –incluyendo las zonas francas– se requiere determinar si “el valor de venta” y la fórmula establecida en función de los tributos aduaneros son diferente</w:t>
      </w:r>
      <w:r w:rsidRPr="00DB3EEA">
        <w:rPr>
          <w:rFonts w:ascii="Times New Roman" w:hAnsi="Times New Roman" w:cs="Times New Roman"/>
          <w:sz w:val="28"/>
          <w:szCs w:val="28"/>
        </w:rPr>
        <w:t>s.</w:t>
      </w:r>
    </w:p>
    <w:p w:rsidR="00092EE0" w:rsidRPr="00DB3EEA" w:rsidRDefault="00DB3EEA" w:rsidP="00092EE0">
      <w:pPr>
        <w:pStyle w:val="Prrafodelista"/>
        <w:rPr>
          <w:rFonts w:ascii="Times New Roman" w:hAnsi="Times New Roman" w:cs="Times New Roman"/>
          <w:sz w:val="28"/>
          <w:szCs w:val="28"/>
        </w:rPr>
      </w:pPr>
    </w:p>
    <w:p w:rsidR="00092EE0" w:rsidRPr="00DB3EEA" w:rsidRDefault="00DB3EEA" w:rsidP="00092EE0">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Para determinar la base gravable de los productos importados y producidos en zonas francas se requiere acudir al artículo 483 del Estatuto Tributario para determinar la liquidación de los tributos aduaneros. De dicho artículo se establece que (i) “los </w:t>
      </w:r>
      <w:r w:rsidRPr="00DB3EEA">
        <w:rPr>
          <w:rFonts w:ascii="Times New Roman" w:hAnsi="Times New Roman" w:cs="Times New Roman"/>
          <w:sz w:val="28"/>
          <w:szCs w:val="28"/>
        </w:rPr>
        <w:t xml:space="preserve">derechos de aduana se liquidarán y pagarán sobre el valor en aduana de las mercancías importadas, en el estado que presenten al momento de la valoración”; (ii) “[e]l valor en aduana de las mercancías importadas se determinará de conformidad con las reglas </w:t>
      </w:r>
      <w:r w:rsidRPr="00DB3EEA">
        <w:rPr>
          <w:rFonts w:ascii="Times New Roman" w:hAnsi="Times New Roman" w:cs="Times New Roman"/>
          <w:sz w:val="28"/>
          <w:szCs w:val="28"/>
        </w:rPr>
        <w:t>establecidas en el Acuerdo sobre Valoración de la OMC y normas reglamentarias”; (iii) de dicho valor se “[deduce] el mismo el valor agregado nacional y/o el valor de los bienes nacionalizados que se les haya incorporado en la Zona Franca”; y (iv) el IVA se</w:t>
      </w:r>
      <w:r w:rsidRPr="00DB3EEA">
        <w:rPr>
          <w:rFonts w:ascii="Times New Roman" w:hAnsi="Times New Roman" w:cs="Times New Roman"/>
          <w:sz w:val="28"/>
          <w:szCs w:val="28"/>
        </w:rPr>
        <w:t xml:space="preserve"> liquidará en la forma prevista en el artículo 459 del Estatuto Tributario.</w:t>
      </w:r>
    </w:p>
    <w:p w:rsidR="00092EE0" w:rsidRPr="00DB3EEA" w:rsidRDefault="00DB3EEA" w:rsidP="00092EE0">
      <w:pPr>
        <w:pStyle w:val="Prrafodelista"/>
        <w:rPr>
          <w:rFonts w:ascii="Times New Roman" w:hAnsi="Times New Roman" w:cs="Times New Roman"/>
          <w:sz w:val="28"/>
          <w:szCs w:val="28"/>
        </w:rPr>
      </w:pPr>
    </w:p>
    <w:p w:rsidR="00092EE0" w:rsidRPr="00DB3EEA" w:rsidRDefault="00DB3EEA" w:rsidP="00092EE0">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De acuerdo con esto, la liquidación de los tributos aduaneros requiere identificar el valor en aduana de la mercancía importada. Para ello, el Estatuto Aduanero hace una remisión </w:t>
      </w:r>
      <w:r w:rsidRPr="00DB3EEA">
        <w:rPr>
          <w:rFonts w:ascii="Times New Roman" w:hAnsi="Times New Roman" w:cs="Times New Roman"/>
          <w:sz w:val="28"/>
          <w:szCs w:val="28"/>
        </w:rPr>
        <w:t>normativa al Acuerdo de Valoración de la Organización Mundial del Comercio y otras normas reglamentarias, entre las que se encuentran la Decisión 571 de la Comisión de la Comunidad Andina y la Resolución 1684 de 2014 (conocida como el Reglamento Comunitari</w:t>
      </w:r>
      <w:r w:rsidRPr="00DB3EEA">
        <w:rPr>
          <w:rFonts w:ascii="Times New Roman" w:hAnsi="Times New Roman" w:cs="Times New Roman"/>
          <w:sz w:val="28"/>
          <w:szCs w:val="28"/>
        </w:rPr>
        <w:t>o).</w:t>
      </w:r>
    </w:p>
    <w:p w:rsidR="00092EE0" w:rsidRPr="00DB3EEA" w:rsidRDefault="00DB3EEA" w:rsidP="00092EE0">
      <w:pPr>
        <w:pStyle w:val="Prrafodelista"/>
        <w:rPr>
          <w:rFonts w:ascii="Times New Roman" w:hAnsi="Times New Roman" w:cs="Times New Roman"/>
          <w:sz w:val="28"/>
          <w:szCs w:val="28"/>
        </w:rPr>
      </w:pPr>
    </w:p>
    <w:p w:rsidR="00092EE0" w:rsidRPr="00DB3EEA" w:rsidRDefault="00DB3EEA" w:rsidP="00092EE0">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Dichos cuerpos normativos comunitarios establecen seis métodos para determinar el valor en aduana, los cuales deben aplicarse en el siguiente orden: (i) el valor de transacción de las mercancías importadas, (ii) valor de transacción de mercancías idén</w:t>
      </w:r>
      <w:r w:rsidRPr="00DB3EEA">
        <w:rPr>
          <w:rFonts w:ascii="Times New Roman" w:hAnsi="Times New Roman" w:cs="Times New Roman"/>
          <w:sz w:val="28"/>
          <w:szCs w:val="28"/>
        </w:rPr>
        <w:t xml:space="preserve">ticas; (iii) valor de transacción de mercancías similares; (iv) valor deductivo; (v) valor reconstruido; y (vi) método del último recurso. </w:t>
      </w:r>
    </w:p>
    <w:p w:rsidR="00092EE0" w:rsidRPr="00DB3EEA" w:rsidRDefault="00DB3EEA" w:rsidP="00092EE0">
      <w:pPr>
        <w:pStyle w:val="Prrafodelista"/>
        <w:rPr>
          <w:rFonts w:ascii="Times New Roman" w:hAnsi="Times New Roman" w:cs="Times New Roman"/>
          <w:sz w:val="28"/>
          <w:szCs w:val="28"/>
        </w:rPr>
      </w:pPr>
    </w:p>
    <w:p w:rsidR="00092EE0" w:rsidRPr="00DB3EEA" w:rsidRDefault="00DB3EEA" w:rsidP="00092EE0">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Una vez identificado el valor en aduana, para liquidar los tributos aduaneros, corresponde el pago del gravamen ara</w:t>
      </w:r>
      <w:r w:rsidRPr="00DB3EEA">
        <w:rPr>
          <w:rFonts w:ascii="Times New Roman" w:hAnsi="Times New Roman" w:cs="Times New Roman"/>
          <w:sz w:val="28"/>
          <w:szCs w:val="28"/>
        </w:rPr>
        <w:t xml:space="preserve">ncelario y el IVA. </w:t>
      </w:r>
      <w:bookmarkStart w:id="14" w:name="_Hlk219948038"/>
      <w:r w:rsidRPr="00DB3EEA">
        <w:rPr>
          <w:rFonts w:ascii="Times New Roman" w:hAnsi="Times New Roman" w:cs="Times New Roman"/>
          <w:sz w:val="28"/>
          <w:szCs w:val="28"/>
        </w:rPr>
        <w:t xml:space="preserve">Las reglas de la lógica y la sana crítica indican que la sumatoria de estos conceptos </w:t>
      </w:r>
      <w:r w:rsidRPr="00DB3EEA">
        <w:rPr>
          <w:rFonts w:ascii="Times New Roman" w:hAnsi="Times New Roman" w:cs="Times New Roman"/>
          <w:sz w:val="28"/>
          <w:szCs w:val="28"/>
        </w:rPr>
        <w:t xml:space="preserve">podría resultar </w:t>
      </w:r>
      <w:r w:rsidRPr="00DB3EEA">
        <w:rPr>
          <w:rFonts w:ascii="Times New Roman" w:hAnsi="Times New Roman" w:cs="Times New Roman"/>
          <w:sz w:val="28"/>
          <w:szCs w:val="28"/>
        </w:rPr>
        <w:t>inferior al futuro precio de venta, el cual es la fórmula para determinar la base gravable. En ese sentido, un importador adquiere merc</w:t>
      </w:r>
      <w:r w:rsidRPr="00DB3EEA">
        <w:rPr>
          <w:rFonts w:ascii="Times New Roman" w:hAnsi="Times New Roman" w:cs="Times New Roman"/>
          <w:sz w:val="28"/>
          <w:szCs w:val="28"/>
        </w:rPr>
        <w:t>ancías producidas en el extranjero por un valor determinado, con la finalidad de comercializarlas por un precio mayor para obtener utilidades. En ese sentido,</w:t>
      </w:r>
      <w:r w:rsidRPr="00DB3EEA">
        <w:rPr>
          <w:rFonts w:ascii="Times New Roman" w:hAnsi="Times New Roman" w:cs="Times New Roman"/>
          <w:sz w:val="28"/>
          <w:szCs w:val="28"/>
        </w:rPr>
        <w:t xml:space="preserve"> contrario a lo presentado por los demandantes,</w:t>
      </w:r>
      <w:r w:rsidRPr="00DB3EEA">
        <w:rPr>
          <w:rFonts w:ascii="Times New Roman" w:hAnsi="Times New Roman" w:cs="Times New Roman"/>
          <w:sz w:val="28"/>
          <w:szCs w:val="28"/>
        </w:rPr>
        <w:t xml:space="preserve"> el valor de los productos ultraprocesados objeto d</w:t>
      </w:r>
      <w:r w:rsidRPr="00DB3EEA">
        <w:rPr>
          <w:rFonts w:ascii="Times New Roman" w:hAnsi="Times New Roman" w:cs="Times New Roman"/>
          <w:sz w:val="28"/>
          <w:szCs w:val="28"/>
        </w:rPr>
        <w:t xml:space="preserve">el ICUI que sean importados </w:t>
      </w:r>
      <w:r w:rsidRPr="00DB3EEA">
        <w:rPr>
          <w:rFonts w:ascii="Times New Roman" w:hAnsi="Times New Roman" w:cs="Times New Roman"/>
          <w:sz w:val="28"/>
          <w:szCs w:val="28"/>
        </w:rPr>
        <w:t xml:space="preserve">podría ser </w:t>
      </w:r>
      <w:r w:rsidRPr="00DB3EEA">
        <w:rPr>
          <w:rFonts w:ascii="Times New Roman" w:hAnsi="Times New Roman" w:cs="Times New Roman"/>
          <w:sz w:val="28"/>
          <w:szCs w:val="28"/>
        </w:rPr>
        <w:t>un valor inferior al que son vendidos.</w:t>
      </w:r>
    </w:p>
    <w:bookmarkEnd w:id="14"/>
    <w:p w:rsidR="00821DC7" w:rsidRPr="00DB3EEA" w:rsidRDefault="00DB3EEA" w:rsidP="00821DC7">
      <w:pPr>
        <w:pStyle w:val="Prrafodelista"/>
        <w:rPr>
          <w:rFonts w:ascii="Times New Roman" w:hAnsi="Times New Roman" w:cs="Times New Roman"/>
          <w:sz w:val="28"/>
          <w:szCs w:val="28"/>
        </w:rPr>
      </w:pPr>
    </w:p>
    <w:p w:rsidR="00821DC7" w:rsidRPr="00DB3EEA" w:rsidRDefault="00DB3EEA" w:rsidP="00821DC7">
      <w:pPr>
        <w:pStyle w:val="Prrafodelista"/>
        <w:numPr>
          <w:ilvl w:val="0"/>
          <w:numId w:val="1"/>
        </w:numPr>
        <w:ind w:left="0" w:firstLine="0"/>
        <w:jc w:val="both"/>
        <w:rPr>
          <w:rFonts w:ascii="Times New Roman" w:hAnsi="Times New Roman" w:cs="Times New Roman"/>
          <w:sz w:val="28"/>
          <w:szCs w:val="28"/>
        </w:rPr>
      </w:pPr>
      <w:r w:rsidRPr="00DB3EEA">
        <w:rPr>
          <w:rFonts w:ascii="Times New Roman" w:eastAsiaTheme="minorHAnsi" w:hAnsi="Times New Roman" w:cs="Times New Roman"/>
          <w:sz w:val="28"/>
          <w:szCs w:val="28"/>
          <w:lang w:eastAsia="en-US"/>
        </w:rPr>
        <w:t xml:space="preserve"> </w:t>
      </w:r>
      <w:r w:rsidRPr="00DB3EEA">
        <w:rPr>
          <w:rFonts w:ascii="Times New Roman" w:eastAsiaTheme="minorHAnsi" w:hAnsi="Times New Roman" w:cs="Times New Roman"/>
          <w:sz w:val="28"/>
          <w:szCs w:val="28"/>
          <w:lang w:eastAsia="en-US"/>
        </w:rPr>
        <w:t>N</w:t>
      </w:r>
      <w:r w:rsidRPr="00DB3EEA">
        <w:rPr>
          <w:rFonts w:ascii="Times New Roman" w:eastAsiaTheme="minorHAnsi" w:hAnsi="Times New Roman" w:cs="Times New Roman"/>
          <w:sz w:val="28"/>
          <w:szCs w:val="28"/>
          <w:lang w:eastAsia="en-US"/>
        </w:rPr>
        <w:t>o sería posible igualar las bases gravables, por la naturaleza mism</w:t>
      </w:r>
      <w:r w:rsidRPr="00DB3EEA">
        <w:rPr>
          <w:rFonts w:ascii="Times New Roman" w:eastAsiaTheme="minorHAnsi" w:hAnsi="Times New Roman" w:cs="Times New Roman"/>
          <w:sz w:val="28"/>
          <w:szCs w:val="28"/>
          <w:lang w:eastAsia="en-US"/>
        </w:rPr>
        <w:t>a</w:t>
      </w:r>
      <w:r w:rsidRPr="00DB3EEA">
        <w:rPr>
          <w:rFonts w:ascii="Times New Roman" w:eastAsiaTheme="minorHAnsi" w:hAnsi="Times New Roman" w:cs="Times New Roman"/>
          <w:sz w:val="28"/>
          <w:szCs w:val="28"/>
          <w:lang w:eastAsia="en-US"/>
        </w:rPr>
        <w:t xml:space="preserve"> del hecho generador</w:t>
      </w:r>
      <w:r w:rsidRPr="00DB3EEA">
        <w:rPr>
          <w:rFonts w:ascii="Times New Roman" w:eastAsiaTheme="minorHAnsi" w:hAnsi="Times New Roman" w:cs="Times New Roman"/>
          <w:sz w:val="28"/>
          <w:szCs w:val="28"/>
          <w:lang w:eastAsia="en-US"/>
        </w:rPr>
        <w:t xml:space="preserve"> y las cadenas de producción</w:t>
      </w:r>
      <w:r w:rsidRPr="00DB3EEA">
        <w:rPr>
          <w:rStyle w:val="Refdenotaalpie"/>
          <w:rFonts w:ascii="Times New Roman" w:eastAsiaTheme="minorHAnsi" w:hAnsi="Times New Roman" w:cs="Times New Roman"/>
          <w:sz w:val="28"/>
          <w:szCs w:val="28"/>
          <w:lang w:eastAsia="en-US"/>
        </w:rPr>
        <w:footnoteReference w:id="189"/>
      </w:r>
      <w:r w:rsidRPr="00DB3EEA">
        <w:rPr>
          <w:rFonts w:ascii="Times New Roman" w:eastAsiaTheme="minorHAnsi" w:hAnsi="Times New Roman" w:cs="Times New Roman"/>
          <w:sz w:val="28"/>
          <w:szCs w:val="28"/>
          <w:lang w:eastAsia="en-US"/>
        </w:rPr>
        <w:t xml:space="preserve">. En efecto, existe una radical diferencia </w:t>
      </w:r>
      <w:r w:rsidRPr="00DB3EEA">
        <w:rPr>
          <w:rFonts w:ascii="Times New Roman" w:eastAsiaTheme="minorHAnsi" w:hAnsi="Times New Roman" w:cs="Times New Roman"/>
          <w:color w:val="000000"/>
          <w:sz w:val="28"/>
          <w:szCs w:val="28"/>
          <w:lang w:eastAsia="en-US"/>
        </w:rPr>
        <w:t xml:space="preserve">entre las </w:t>
      </w:r>
      <w:r w:rsidRPr="00DB3EEA">
        <w:rPr>
          <w:rFonts w:ascii="Times New Roman" w:eastAsiaTheme="minorHAnsi" w:hAnsi="Times New Roman" w:cs="Times New Roman"/>
          <w:color w:val="000000"/>
          <w:sz w:val="28"/>
          <w:szCs w:val="28"/>
          <w:lang w:eastAsia="en-US"/>
        </w:rPr>
        <w:t>operaciones respecto de las cuales el artículo 513-8 establece la base gravable, que son ventas e importaciones, es decir son supuestos de hecho no susceptibles de compararse. Así no es posible exigir en la importación el precio de venta, que por regla gen</w:t>
      </w:r>
      <w:r w:rsidRPr="00DB3EEA">
        <w:rPr>
          <w:rFonts w:ascii="Times New Roman" w:eastAsiaTheme="minorHAnsi" w:hAnsi="Times New Roman" w:cs="Times New Roman"/>
          <w:color w:val="000000"/>
          <w:sz w:val="28"/>
          <w:szCs w:val="28"/>
          <w:lang w:eastAsia="en-US"/>
        </w:rPr>
        <w:t>eral se declara inferior al comercial.</w:t>
      </w:r>
      <w:r w:rsidRPr="00DB3EEA">
        <w:rPr>
          <w:rFonts w:ascii="Times New Roman" w:eastAsiaTheme="minorHAnsi" w:hAnsi="Times New Roman" w:cs="Times New Roman"/>
          <w:sz w:val="28"/>
          <w:szCs w:val="28"/>
          <w:lang w:eastAsia="en-US"/>
        </w:rPr>
        <w:t xml:space="preserve"> </w:t>
      </w:r>
      <w:r w:rsidRPr="00DB3EEA">
        <w:rPr>
          <w:rFonts w:ascii="Times New Roman" w:eastAsiaTheme="minorHAnsi" w:hAnsi="Times New Roman" w:cs="Times New Roman"/>
          <w:color w:val="000000"/>
          <w:sz w:val="28"/>
          <w:szCs w:val="28"/>
          <w:lang w:eastAsia="en-US"/>
        </w:rPr>
        <w:t>En ese orden, los alimentos ultraprocesados importados podrían contar con ventajas frente al mercado nacional con precios más bajos. Así, la diferenciación es justificable como una medida para equilibrar la base grava</w:t>
      </w:r>
      <w:r w:rsidRPr="00DB3EEA">
        <w:rPr>
          <w:rFonts w:ascii="Times New Roman" w:eastAsiaTheme="minorHAnsi" w:hAnsi="Times New Roman" w:cs="Times New Roman"/>
          <w:color w:val="000000"/>
          <w:sz w:val="28"/>
          <w:szCs w:val="28"/>
          <w:lang w:eastAsia="en-US"/>
        </w:rPr>
        <w:t>ble, y así la tributación del impuesto, entre productores nacionales e importados.</w:t>
      </w:r>
    </w:p>
    <w:p w:rsidR="009809E1" w:rsidRPr="00DB3EEA" w:rsidRDefault="00DB3EEA" w:rsidP="009809E1">
      <w:pPr>
        <w:pStyle w:val="Prrafodelista"/>
        <w:rPr>
          <w:rFonts w:ascii="Times New Roman" w:hAnsi="Times New Roman" w:cs="Times New Roman"/>
          <w:sz w:val="28"/>
          <w:szCs w:val="28"/>
        </w:rPr>
      </w:pPr>
    </w:p>
    <w:p w:rsidR="00821DC7" w:rsidRPr="00DB3EEA" w:rsidRDefault="00DB3EEA" w:rsidP="009809E1">
      <w:pPr>
        <w:pStyle w:val="Prrafodelista"/>
        <w:numPr>
          <w:ilvl w:val="0"/>
          <w:numId w:val="1"/>
        </w:numPr>
        <w:ind w:left="0" w:firstLine="0"/>
        <w:jc w:val="both"/>
        <w:rPr>
          <w:rFonts w:ascii="Times New Roman" w:hAnsi="Times New Roman" w:cs="Times New Roman"/>
          <w:sz w:val="28"/>
          <w:szCs w:val="28"/>
        </w:rPr>
      </w:pPr>
      <w:r w:rsidRPr="00DB3EEA">
        <w:rPr>
          <w:rFonts w:ascii="Times New Roman" w:eastAsiaTheme="minorHAnsi" w:hAnsi="Times New Roman" w:cs="Times New Roman"/>
          <w:sz w:val="28"/>
          <w:szCs w:val="28"/>
          <w:lang w:eastAsia="en-US"/>
        </w:rPr>
        <w:t>En otras palabras, importar un producto ultraprocesado es un hecho económico diverso a comprar en el país un producto similar. Al gravar una importación, se está gravando l</w:t>
      </w:r>
      <w:r w:rsidRPr="00DB3EEA">
        <w:rPr>
          <w:rFonts w:ascii="Times New Roman" w:eastAsiaTheme="minorHAnsi" w:hAnsi="Times New Roman" w:cs="Times New Roman"/>
          <w:sz w:val="28"/>
          <w:szCs w:val="28"/>
          <w:lang w:eastAsia="en-US"/>
        </w:rPr>
        <w:t>a entrada al país de un bien que fue fabricado en otro país, con unas condiciones de impuestos del país de origen disimiles, con unos gastos generales de mano de obra, de producción, de gastos fijos propias del país de donde se importa y que generalmente n</w:t>
      </w:r>
      <w:r w:rsidRPr="00DB3EEA">
        <w:rPr>
          <w:rFonts w:ascii="Times New Roman" w:eastAsiaTheme="minorHAnsi" w:hAnsi="Times New Roman" w:cs="Times New Roman"/>
          <w:sz w:val="28"/>
          <w:szCs w:val="28"/>
          <w:lang w:eastAsia="en-US"/>
        </w:rPr>
        <w:t>o son iguales a las del país de importación. Podría incluso decirse que un tratamiento absolutamente igual desconocería la igualdad en razón a unas condiciones diversas.</w:t>
      </w:r>
    </w:p>
    <w:p w:rsidR="00092EE0" w:rsidRPr="00DB3EEA" w:rsidRDefault="00DB3EEA" w:rsidP="00092EE0">
      <w:pPr>
        <w:pStyle w:val="Prrafodelista"/>
        <w:rPr>
          <w:rFonts w:ascii="Times New Roman" w:hAnsi="Times New Roman" w:cs="Times New Roman"/>
          <w:sz w:val="28"/>
          <w:szCs w:val="28"/>
        </w:rPr>
      </w:pPr>
    </w:p>
    <w:p w:rsidR="00092EE0" w:rsidRPr="00DB3EEA" w:rsidRDefault="00DB3EEA" w:rsidP="00092EE0">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color w:val="000000" w:themeColor="text1"/>
          <w:sz w:val="28"/>
          <w:szCs w:val="28"/>
        </w:rPr>
        <w:t>La Sala concluye que, aunque no hay un trato idéntico entre los productores y los imp</w:t>
      </w:r>
      <w:r w:rsidRPr="00DB3EEA">
        <w:rPr>
          <w:rFonts w:ascii="Times New Roman" w:hAnsi="Times New Roman" w:cs="Times New Roman"/>
          <w:color w:val="000000" w:themeColor="text1"/>
          <w:sz w:val="28"/>
          <w:szCs w:val="28"/>
        </w:rPr>
        <w:t>ortadores, no hay manera de concluir que este sea desigual y desfavorable para los importadores. Este tratamiento atiende las diferencias propias de la actividad económica de la importación, así como las diferencias de los hechos generadores, el momento de</w:t>
      </w:r>
      <w:r w:rsidRPr="00DB3EEA">
        <w:rPr>
          <w:rFonts w:ascii="Times New Roman" w:hAnsi="Times New Roman" w:cs="Times New Roman"/>
          <w:color w:val="000000" w:themeColor="text1"/>
          <w:sz w:val="28"/>
          <w:szCs w:val="28"/>
        </w:rPr>
        <w:t xml:space="preserve"> causación en uno y otro caso y el carácter monofásico del ICUI. Como fue señalado previamente, dentro de la categoría de importadores de comestibles ultraprocesados existe una gran diversidad que están sujetos a distintas partidas o subpartidas arancelari</w:t>
      </w:r>
      <w:r w:rsidRPr="00DB3EEA">
        <w:rPr>
          <w:rFonts w:ascii="Times New Roman" w:hAnsi="Times New Roman" w:cs="Times New Roman"/>
          <w:color w:val="000000" w:themeColor="text1"/>
          <w:sz w:val="28"/>
          <w:szCs w:val="28"/>
        </w:rPr>
        <w:t>as, de acuerdo con el tipo de producto y su origen. En otras palabras, existe una amplia gama de importadores de los productos objeto del ICUI que asumen distintos tipos de gravámenes arancelarios.</w:t>
      </w:r>
      <w:r w:rsidRPr="00DB3EEA">
        <w:rPr>
          <w:rFonts w:ascii="Times New Roman" w:hAnsi="Times New Roman" w:cs="Times New Roman"/>
          <w:sz w:val="28"/>
          <w:szCs w:val="28"/>
        </w:rPr>
        <w:t xml:space="preserve"> </w:t>
      </w:r>
    </w:p>
    <w:p w:rsidR="00092EE0" w:rsidRPr="00DB3EEA" w:rsidRDefault="00DB3EEA" w:rsidP="00092EE0">
      <w:pPr>
        <w:pStyle w:val="Prrafodelista"/>
        <w:rPr>
          <w:rFonts w:ascii="Times New Roman" w:hAnsi="Times New Roman" w:cs="Times New Roman"/>
          <w:sz w:val="28"/>
          <w:szCs w:val="28"/>
        </w:rPr>
      </w:pPr>
    </w:p>
    <w:p w:rsidR="00F114BF" w:rsidRPr="00DB3EEA" w:rsidRDefault="00DB3EEA" w:rsidP="00F114BF">
      <w:pPr>
        <w:pStyle w:val="Prrafodelista"/>
        <w:rPr>
          <w:rFonts w:ascii="Times New Roman" w:hAnsi="Times New Roman" w:cs="Times New Roman"/>
          <w:sz w:val="28"/>
          <w:szCs w:val="28"/>
        </w:rPr>
      </w:pPr>
    </w:p>
    <w:p w:rsidR="00F64B1A" w:rsidRPr="00DB3EEA" w:rsidRDefault="00DB3EEA" w:rsidP="00F114BF">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Es por ello que la decisión del </w:t>
      </w:r>
      <w:r w:rsidRPr="00DB3EEA">
        <w:rPr>
          <w:rFonts w:ascii="Times New Roman" w:hAnsi="Times New Roman" w:cs="Times New Roman"/>
          <w:sz w:val="28"/>
          <w:szCs w:val="28"/>
        </w:rPr>
        <w:t>legislador</w:t>
      </w:r>
      <w:r w:rsidRPr="00DB3EEA">
        <w:rPr>
          <w:rFonts w:ascii="Times New Roman" w:hAnsi="Times New Roman" w:cs="Times New Roman"/>
          <w:sz w:val="28"/>
          <w:szCs w:val="28"/>
        </w:rPr>
        <w:t xml:space="preserve"> de diferenci</w:t>
      </w:r>
      <w:r w:rsidRPr="00DB3EEA">
        <w:rPr>
          <w:rFonts w:ascii="Times New Roman" w:hAnsi="Times New Roman" w:cs="Times New Roman"/>
          <w:sz w:val="28"/>
          <w:szCs w:val="28"/>
        </w:rPr>
        <w:t>ar las bases gravables, no sólo encaja dentro del amplio margen de configuración, sino que resulta razonable</w:t>
      </w:r>
      <w:r w:rsidRPr="00DB3EEA">
        <w:rPr>
          <w:rFonts w:ascii="Times New Roman" w:hAnsi="Times New Roman" w:cs="Times New Roman"/>
          <w:sz w:val="28"/>
          <w:szCs w:val="28"/>
        </w:rPr>
        <w:t>, al atender las diferencias entre los productores e importadores</w:t>
      </w:r>
      <w:r w:rsidRPr="00DB3EEA">
        <w:rPr>
          <w:rFonts w:ascii="Times New Roman" w:hAnsi="Times New Roman" w:cs="Times New Roman"/>
          <w:sz w:val="28"/>
          <w:szCs w:val="28"/>
        </w:rPr>
        <w:t>. Las bases gravables no van a ser exactas, pues en la importación no se puede exig</w:t>
      </w:r>
      <w:r w:rsidRPr="00DB3EEA">
        <w:rPr>
          <w:rFonts w:ascii="Times New Roman" w:hAnsi="Times New Roman" w:cs="Times New Roman"/>
          <w:sz w:val="28"/>
          <w:szCs w:val="28"/>
        </w:rPr>
        <w:t>ir el precio de venta como base gravable</w:t>
      </w:r>
      <w:r w:rsidRPr="00DB3EEA">
        <w:rPr>
          <w:rFonts w:ascii="Times New Roman" w:hAnsi="Times New Roman" w:cs="Times New Roman"/>
          <w:sz w:val="28"/>
          <w:szCs w:val="28"/>
        </w:rPr>
        <w:t xml:space="preserve"> y dada la existencia de una gran variedad de importadores de comestibles ultraprocesados sujetos a gravámenes arancelarios distintos</w:t>
      </w:r>
      <w:r w:rsidRPr="00DB3EEA">
        <w:rPr>
          <w:rFonts w:ascii="Times New Roman" w:hAnsi="Times New Roman" w:cs="Times New Roman"/>
          <w:sz w:val="28"/>
          <w:szCs w:val="28"/>
        </w:rPr>
        <w:t xml:space="preserve">. </w:t>
      </w:r>
    </w:p>
    <w:p w:rsidR="00BF0DD0" w:rsidRPr="00DB3EEA" w:rsidRDefault="00DB3EEA" w:rsidP="00BF0DD0">
      <w:pPr>
        <w:pStyle w:val="Prrafodelista"/>
        <w:rPr>
          <w:rFonts w:ascii="Times New Roman" w:hAnsi="Times New Roman" w:cs="Times New Roman"/>
          <w:sz w:val="28"/>
          <w:szCs w:val="28"/>
        </w:rPr>
      </w:pPr>
    </w:p>
    <w:p w:rsidR="00BF0DD0" w:rsidRPr="00DB3EEA" w:rsidRDefault="00DB3EEA" w:rsidP="00DF0F8D">
      <w:pPr>
        <w:pStyle w:val="Prrafodelista"/>
        <w:numPr>
          <w:ilvl w:val="0"/>
          <w:numId w:val="1"/>
        </w:numPr>
        <w:ind w:left="0" w:firstLine="0"/>
        <w:jc w:val="both"/>
        <w:rPr>
          <w:rFonts w:ascii="Times New Roman" w:hAnsi="Times New Roman" w:cs="Times New Roman"/>
          <w:sz w:val="28"/>
          <w:szCs w:val="28"/>
        </w:rPr>
      </w:pPr>
      <w:r w:rsidRPr="00DB3EEA">
        <w:rPr>
          <w:rFonts w:ascii="Times New Roman" w:eastAsiaTheme="minorHAnsi" w:hAnsi="Times New Roman" w:cs="Times New Roman"/>
          <w:color w:val="000000"/>
          <w:sz w:val="28"/>
          <w:szCs w:val="28"/>
          <w:lang w:eastAsia="en-US"/>
        </w:rPr>
        <w:t xml:space="preserve">En este contexto, tal y como fue señalado por varios intervinientes, la </w:t>
      </w:r>
      <w:r w:rsidRPr="00DB3EEA">
        <w:rPr>
          <w:rFonts w:ascii="Times New Roman" w:eastAsiaTheme="minorHAnsi" w:hAnsi="Times New Roman" w:cs="Times New Roman"/>
          <w:color w:val="000000"/>
          <w:sz w:val="28"/>
          <w:szCs w:val="28"/>
          <w:lang w:eastAsia="en-US"/>
        </w:rPr>
        <w:t xml:space="preserve">diferenciación de la base gravable que contempla el artículo 513-8 del Estatuto Tributario, se fundamenta en la naturaleza y estructura del impuesto, específicamente, en (i) la diferencia de los hechos generadores, (ii) el carácter monofásico del impuesto </w:t>
      </w:r>
      <w:r w:rsidRPr="00DB3EEA">
        <w:rPr>
          <w:rFonts w:ascii="Times New Roman" w:eastAsiaTheme="minorHAnsi" w:hAnsi="Times New Roman" w:cs="Times New Roman"/>
          <w:color w:val="000000"/>
          <w:sz w:val="28"/>
          <w:szCs w:val="28"/>
          <w:lang w:eastAsia="en-US"/>
        </w:rPr>
        <w:t xml:space="preserve">y (iii) el momento de su causación. </w:t>
      </w:r>
    </w:p>
    <w:p w:rsidR="00F0442C" w:rsidRPr="00DB3EEA" w:rsidRDefault="00DB3EEA" w:rsidP="00F0442C">
      <w:pPr>
        <w:pStyle w:val="Prrafodelista"/>
        <w:rPr>
          <w:rFonts w:ascii="Times New Roman" w:hAnsi="Times New Roman" w:cs="Times New Roman"/>
          <w:sz w:val="28"/>
          <w:szCs w:val="28"/>
        </w:rPr>
      </w:pPr>
    </w:p>
    <w:p w:rsidR="00F0442C" w:rsidRPr="00DB3EEA" w:rsidRDefault="00DB3EEA" w:rsidP="00DF0F8D">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Finalmente, cabe considerar que la Corte Constitucional ya ha declarado la constitucionalidad de normas que </w:t>
      </w:r>
      <w:r w:rsidRPr="00DB3EEA">
        <w:rPr>
          <w:rFonts w:ascii="Times New Roman" w:hAnsi="Times New Roman" w:cs="Times New Roman"/>
          <w:sz w:val="28"/>
          <w:szCs w:val="28"/>
        </w:rPr>
        <w:t xml:space="preserve">establecen diferenciaciones entre la </w:t>
      </w:r>
      <w:r w:rsidRPr="00DB3EEA">
        <w:rPr>
          <w:rFonts w:ascii="Times New Roman" w:hAnsi="Times New Roman" w:cs="Times New Roman"/>
          <w:sz w:val="28"/>
          <w:szCs w:val="28"/>
        </w:rPr>
        <w:t>base gravable entre productos importados y nacionales. Así en la Sentenci</w:t>
      </w:r>
      <w:r w:rsidRPr="00DB3EEA">
        <w:rPr>
          <w:rFonts w:ascii="Times New Roman" w:hAnsi="Times New Roman" w:cs="Times New Roman"/>
          <w:sz w:val="28"/>
          <w:szCs w:val="28"/>
        </w:rPr>
        <w:t>a C-412 de 1996, este Tribunal sostuvo:</w:t>
      </w:r>
    </w:p>
    <w:p w:rsidR="008E79AB" w:rsidRPr="00DB3EEA" w:rsidRDefault="00DB3EEA" w:rsidP="008E79AB">
      <w:pPr>
        <w:pStyle w:val="Prrafodelista"/>
        <w:rPr>
          <w:rFonts w:ascii="Times New Roman" w:hAnsi="Times New Roman" w:cs="Times New Roman"/>
          <w:sz w:val="28"/>
          <w:szCs w:val="28"/>
        </w:rPr>
      </w:pPr>
    </w:p>
    <w:p w:rsidR="009057B0" w:rsidRPr="00DB3EEA" w:rsidRDefault="00DB3EEA" w:rsidP="77F9EEE0">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left="567" w:right="51"/>
        <w:jc w:val="both"/>
        <w:rPr>
          <w:rFonts w:ascii="Times New Roman" w:hAnsi="Times New Roman" w:cs="Times New Roman"/>
          <w:i/>
          <w:iCs/>
          <w:sz w:val="28"/>
          <w:szCs w:val="28"/>
          <w:lang w:val="es-ES" w:eastAsia="es-ES"/>
        </w:rPr>
      </w:pPr>
      <w:r w:rsidRPr="00DB3EEA">
        <w:rPr>
          <w:rFonts w:ascii="Times New Roman" w:hAnsi="Times New Roman" w:cs="Times New Roman"/>
          <w:i/>
          <w:iCs/>
          <w:sz w:val="28"/>
          <w:szCs w:val="28"/>
          <w:lang w:val="es-ES" w:eastAsia="es-ES"/>
        </w:rPr>
        <w:t>“</w:t>
      </w:r>
      <w:r w:rsidRPr="00DB3EEA">
        <w:rPr>
          <w:rFonts w:ascii="Times New Roman" w:hAnsi="Times New Roman" w:cs="Times New Roman"/>
          <w:i/>
          <w:iCs/>
          <w:sz w:val="28"/>
          <w:szCs w:val="28"/>
          <w:lang w:val="es-ES" w:eastAsia="es-ES"/>
        </w:rPr>
        <w:t xml:space="preserve">En principio no se puede objetar que la decisión del </w:t>
      </w:r>
      <w:r w:rsidRPr="00DB3EEA">
        <w:rPr>
          <w:rFonts w:ascii="Times New Roman" w:hAnsi="Times New Roman" w:cs="Times New Roman"/>
          <w:i/>
          <w:iCs/>
          <w:sz w:val="28"/>
          <w:szCs w:val="28"/>
          <w:lang w:val="es-ES" w:eastAsia="es-ES"/>
        </w:rPr>
        <w:t>legislador</w:t>
      </w:r>
      <w:r w:rsidRPr="00DB3EEA">
        <w:rPr>
          <w:rFonts w:ascii="Times New Roman" w:hAnsi="Times New Roman" w:cs="Times New Roman"/>
          <w:i/>
          <w:iCs/>
          <w:sz w:val="28"/>
          <w:szCs w:val="28"/>
          <w:lang w:val="es-ES" w:eastAsia="es-ES"/>
        </w:rPr>
        <w:t xml:space="preserve"> desconozca el principio de igualdad pues si bien el hecho generador es el mismo para productores e importadores, a saber</w:t>
      </w:r>
      <w:r w:rsidRPr="00DB3EEA">
        <w:rPr>
          <w:rFonts w:ascii="Times New Roman" w:hAnsi="Times New Roman" w:cs="Times New Roman"/>
          <w:i/>
          <w:iCs/>
          <w:sz w:val="28"/>
          <w:szCs w:val="28"/>
          <w:lang w:val="es-ES" w:eastAsia="es-ES"/>
        </w:rPr>
        <w:t xml:space="preserve"> el consumo en el territorio colombiano de tales productos, el momento de causación  es diverso. Por ende, si el momento de causación -esto es, cuando según la ley, se hace efectiva la obligación de pagar el tributo- es distinto, entonces es razonable que </w:t>
      </w:r>
      <w:r w:rsidRPr="00DB3EEA">
        <w:rPr>
          <w:rFonts w:ascii="Times New Roman" w:hAnsi="Times New Roman" w:cs="Times New Roman"/>
          <w:i/>
          <w:iCs/>
          <w:sz w:val="28"/>
          <w:szCs w:val="28"/>
          <w:lang w:val="es-ES" w:eastAsia="es-ES"/>
        </w:rPr>
        <w:t xml:space="preserve">la ley establezca también una forma de cálculo diverso de la base gravable, esto es, del valor de referencia sobre el cual se aplica la correspondiente tarifa impositiva. </w:t>
      </w:r>
    </w:p>
    <w:p w:rsidR="009057B0" w:rsidRPr="00DB3EEA" w:rsidRDefault="00DB3EEA" w:rsidP="009057B0">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left="567" w:right="51"/>
        <w:jc w:val="both"/>
        <w:rPr>
          <w:rFonts w:ascii="Times New Roman" w:hAnsi="Times New Roman" w:cs="Times New Roman"/>
          <w:i/>
          <w:iCs/>
          <w:sz w:val="28"/>
          <w:szCs w:val="28"/>
          <w:lang w:val="es-ES_tradnl" w:eastAsia="es-ES"/>
        </w:rPr>
      </w:pPr>
    </w:p>
    <w:p w:rsidR="009057B0" w:rsidRPr="00DB3EEA" w:rsidRDefault="00DB3EEA" w:rsidP="009057B0">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left="567" w:right="51"/>
        <w:jc w:val="both"/>
        <w:rPr>
          <w:rFonts w:ascii="Times New Roman" w:hAnsi="Times New Roman" w:cs="Times New Roman"/>
          <w:i/>
          <w:iCs/>
          <w:sz w:val="28"/>
          <w:szCs w:val="28"/>
          <w:lang w:val="es-ES_tradnl" w:eastAsia="es-ES"/>
        </w:rPr>
      </w:pPr>
      <w:r w:rsidRPr="00DB3EEA">
        <w:rPr>
          <w:rFonts w:ascii="Times New Roman" w:hAnsi="Times New Roman" w:cs="Times New Roman"/>
          <w:i/>
          <w:iCs/>
          <w:sz w:val="28"/>
          <w:szCs w:val="28"/>
          <w:lang w:val="es-ES_tradnl" w:eastAsia="es-ES"/>
        </w:rPr>
        <w:t>(…)</w:t>
      </w:r>
    </w:p>
    <w:p w:rsidR="009057B0" w:rsidRPr="00DB3EEA" w:rsidRDefault="00DB3EEA" w:rsidP="009057B0">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left="567" w:right="51"/>
        <w:jc w:val="both"/>
        <w:rPr>
          <w:rFonts w:ascii="Times New Roman" w:hAnsi="Times New Roman" w:cs="Times New Roman"/>
          <w:i/>
          <w:iCs/>
          <w:sz w:val="28"/>
          <w:szCs w:val="28"/>
          <w:lang w:val="es-ES_tradnl" w:eastAsia="es-ES"/>
        </w:rPr>
      </w:pPr>
    </w:p>
    <w:p w:rsidR="009057B0" w:rsidRPr="00DB3EEA" w:rsidRDefault="00DB3EEA" w:rsidP="77F9EEE0">
      <w:pPr>
        <w:tabs>
          <w:tab w:val="left" w:pos="567"/>
        </w:tabs>
        <w:autoSpaceDE w:val="0"/>
        <w:autoSpaceDN w:val="0"/>
        <w:ind w:left="567" w:right="51"/>
        <w:jc w:val="both"/>
        <w:rPr>
          <w:rFonts w:ascii="Times New Roman" w:hAnsi="Times New Roman" w:cs="Times New Roman"/>
          <w:i/>
          <w:iCs/>
          <w:sz w:val="28"/>
          <w:szCs w:val="28"/>
          <w:lang w:val="es-ES" w:eastAsia="es-ES"/>
        </w:rPr>
      </w:pPr>
      <w:r w:rsidRPr="00DB3EEA">
        <w:rPr>
          <w:rFonts w:ascii="Times New Roman" w:hAnsi="Times New Roman" w:cs="Times New Roman"/>
          <w:i/>
          <w:iCs/>
          <w:sz w:val="28"/>
          <w:szCs w:val="28"/>
          <w:lang w:val="es-ES" w:eastAsia="es-ES"/>
        </w:rPr>
        <w:t xml:space="preserve">Siendo ello así, entonces tampoco viola la igualdad que la ley establezca dos </w:t>
      </w:r>
      <w:r w:rsidRPr="00DB3EEA">
        <w:rPr>
          <w:rFonts w:ascii="Times New Roman" w:hAnsi="Times New Roman" w:cs="Times New Roman"/>
          <w:i/>
          <w:iCs/>
          <w:sz w:val="28"/>
          <w:szCs w:val="28"/>
          <w:lang w:val="es-ES" w:eastAsia="es-ES"/>
        </w:rPr>
        <w:t xml:space="preserve">sistemas de cálculo distintos para la determinación de la base gravable, a saber, para la producción nacional, el precio facturado a los expendedores en la capital de departamento en donde se encuentra la fábrica, mientras que para los importadores es  el </w:t>
      </w:r>
      <w:r w:rsidRPr="00DB3EEA">
        <w:rPr>
          <w:rFonts w:ascii="Times New Roman" w:hAnsi="Times New Roman" w:cs="Times New Roman"/>
          <w:i/>
          <w:iCs/>
          <w:sz w:val="28"/>
          <w:szCs w:val="28"/>
          <w:lang w:val="es-ES" w:eastAsia="es-ES"/>
        </w:rPr>
        <w:t>precio CIF de importación, más aranceles, adicionado por un margen de comercialización del treinta por ciento. Se trata pues de un margen de comercialización presumido por la ley, pero que no por ello es inconstitucional, pues esta Corporación ya había ace</w:t>
      </w:r>
      <w:r w:rsidRPr="00DB3EEA">
        <w:rPr>
          <w:rFonts w:ascii="Times New Roman" w:hAnsi="Times New Roman" w:cs="Times New Roman"/>
          <w:i/>
          <w:iCs/>
          <w:sz w:val="28"/>
          <w:szCs w:val="28"/>
          <w:lang w:val="es-ES" w:eastAsia="es-ES"/>
        </w:rPr>
        <w:t xml:space="preserve">ptado la legitimidad de las presunciones en el campo tributario.  </w:t>
      </w:r>
    </w:p>
    <w:p w:rsidR="009057B0" w:rsidRPr="00DB3EEA" w:rsidRDefault="00DB3EEA" w:rsidP="009057B0">
      <w:pPr>
        <w:tabs>
          <w:tab w:val="left" w:pos="567"/>
        </w:tabs>
        <w:autoSpaceDE w:val="0"/>
        <w:autoSpaceDN w:val="0"/>
        <w:ind w:left="567" w:right="51"/>
        <w:jc w:val="both"/>
        <w:rPr>
          <w:rFonts w:ascii="Times New Roman" w:hAnsi="Times New Roman" w:cs="Times New Roman"/>
          <w:i/>
          <w:iCs/>
          <w:sz w:val="28"/>
          <w:szCs w:val="28"/>
          <w:lang w:val="es-ES_tradnl" w:eastAsia="es-ES"/>
        </w:rPr>
      </w:pPr>
    </w:p>
    <w:p w:rsidR="009057B0" w:rsidRPr="00DB3EEA" w:rsidRDefault="00DB3EEA" w:rsidP="009057B0">
      <w:pPr>
        <w:tabs>
          <w:tab w:val="left" w:pos="567"/>
        </w:tabs>
        <w:autoSpaceDE w:val="0"/>
        <w:autoSpaceDN w:val="0"/>
        <w:ind w:left="567" w:right="51"/>
        <w:jc w:val="both"/>
        <w:rPr>
          <w:rFonts w:ascii="Times New Roman" w:hAnsi="Times New Roman" w:cs="Times New Roman"/>
          <w:i/>
          <w:iCs/>
          <w:sz w:val="28"/>
          <w:szCs w:val="28"/>
          <w:lang w:val="es-ES_tradnl" w:eastAsia="es-ES"/>
        </w:rPr>
      </w:pPr>
      <w:r w:rsidRPr="00DB3EEA">
        <w:rPr>
          <w:rFonts w:ascii="Times New Roman" w:hAnsi="Times New Roman" w:cs="Times New Roman"/>
          <w:i/>
          <w:iCs/>
          <w:sz w:val="28"/>
          <w:szCs w:val="28"/>
          <w:lang w:val="es-ES_tradnl" w:eastAsia="es-ES"/>
        </w:rPr>
        <w:t>(…)</w:t>
      </w:r>
    </w:p>
    <w:p w:rsidR="00591601" w:rsidRPr="00DB3EEA" w:rsidRDefault="00DB3EEA" w:rsidP="009057B0">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left="567" w:right="51"/>
        <w:jc w:val="both"/>
        <w:rPr>
          <w:rFonts w:ascii="Times New Roman" w:hAnsi="Times New Roman" w:cs="Times New Roman"/>
          <w:i/>
          <w:iCs/>
          <w:sz w:val="28"/>
          <w:szCs w:val="28"/>
          <w:lang w:val="es-ES_tradnl" w:eastAsia="es-ES"/>
        </w:rPr>
      </w:pPr>
    </w:p>
    <w:p w:rsidR="009057B0" w:rsidRPr="00DB3EEA" w:rsidRDefault="00DB3EEA" w:rsidP="77F9EEE0">
      <w:pPr>
        <w:tabs>
          <w:tab w:val="left" w:pos="567"/>
          <w:tab w:val="left" w:pos="720"/>
          <w:tab w:val="left" w:pos="1440"/>
          <w:tab w:val="left" w:pos="2160"/>
          <w:tab w:val="left" w:pos="2880"/>
          <w:tab w:val="left" w:pos="3600"/>
          <w:tab w:val="left" w:pos="4320"/>
          <w:tab w:val="left" w:pos="5040"/>
          <w:tab w:val="left" w:pos="5760"/>
          <w:tab w:val="left" w:pos="6480"/>
          <w:tab w:val="left" w:pos="7200"/>
          <w:tab w:val="left" w:pos="7920"/>
        </w:tabs>
        <w:autoSpaceDE w:val="0"/>
        <w:autoSpaceDN w:val="0"/>
        <w:ind w:left="567" w:right="51"/>
        <w:jc w:val="both"/>
        <w:rPr>
          <w:rFonts w:ascii="Times New Roman" w:hAnsi="Times New Roman" w:cs="Times New Roman"/>
          <w:i/>
          <w:iCs/>
          <w:sz w:val="28"/>
          <w:szCs w:val="28"/>
          <w:lang w:val="es-ES" w:eastAsia="es-ES"/>
        </w:rPr>
      </w:pPr>
      <w:r w:rsidRPr="00DB3EEA">
        <w:rPr>
          <w:rFonts w:ascii="Times New Roman" w:hAnsi="Times New Roman" w:cs="Times New Roman"/>
          <w:i/>
          <w:iCs/>
          <w:sz w:val="28"/>
          <w:szCs w:val="28"/>
          <w:lang w:val="es-ES" w:eastAsia="es-ES"/>
        </w:rPr>
        <w:t>Además, esta presunción no parece arbitraria, si se tiene en cuenta que de esa manera se pretende equilibrar el valor declarado de un bien importado en puerto, con el precio al detall</w:t>
      </w:r>
      <w:r w:rsidRPr="00DB3EEA">
        <w:rPr>
          <w:rFonts w:ascii="Times New Roman" w:hAnsi="Times New Roman" w:cs="Times New Roman"/>
          <w:i/>
          <w:iCs/>
          <w:sz w:val="28"/>
          <w:szCs w:val="28"/>
          <w:lang w:val="es-ES" w:eastAsia="es-ES"/>
        </w:rPr>
        <w:t>ista de una cerveza nacional ya colocada en el punto de expendio. En efecto, el precio de la cerveza nacional ya incluye el margen de ganancia del productor, y no tiene grandes costos de transporte y distribución, pues es el facturado a los expendedores en</w:t>
      </w:r>
      <w:r w:rsidRPr="00DB3EEA">
        <w:rPr>
          <w:rFonts w:ascii="Times New Roman" w:hAnsi="Times New Roman" w:cs="Times New Roman"/>
          <w:i/>
          <w:iCs/>
          <w:sz w:val="28"/>
          <w:szCs w:val="28"/>
          <w:lang w:val="es-ES" w:eastAsia="es-ES"/>
        </w:rPr>
        <w:t xml:space="preserve"> la capital del departamento en donde esta situada la fabrica. En cambio, a la cerveza importada es necesario adicionarle los márgenes de utilidad del importador, así como los fletes de reparto, que son los componentes usuales del precio de venta al detall</w:t>
      </w:r>
      <w:r w:rsidRPr="00DB3EEA">
        <w:rPr>
          <w:rFonts w:ascii="Times New Roman" w:hAnsi="Times New Roman" w:cs="Times New Roman"/>
          <w:i/>
          <w:iCs/>
          <w:sz w:val="28"/>
          <w:szCs w:val="28"/>
          <w:lang w:val="es-ES" w:eastAsia="es-ES"/>
        </w:rPr>
        <w:t>ista del producto importado. No es pues una presunción legal arbitraria pues, según lo señala uno de los intervinientes, diversos estudios estadísticos de la Dirección de Apoyo Fiscal del Ministerio de Hacienda y Crédito Público han concluido que en esta c</w:t>
      </w:r>
      <w:r w:rsidRPr="00DB3EEA">
        <w:rPr>
          <w:rFonts w:ascii="Times New Roman" w:hAnsi="Times New Roman" w:cs="Times New Roman"/>
          <w:i/>
          <w:iCs/>
          <w:sz w:val="28"/>
          <w:szCs w:val="28"/>
          <w:lang w:val="es-ES" w:eastAsia="es-ES"/>
        </w:rPr>
        <w:t>lase de actividades éste es el porcentaje promedio que se agrega al producto importado al momento de comercializarlo.</w:t>
      </w:r>
      <w:r w:rsidRPr="00DB3EEA">
        <w:rPr>
          <w:rFonts w:ascii="Times New Roman" w:hAnsi="Times New Roman" w:cs="Times New Roman"/>
          <w:i/>
          <w:iCs/>
          <w:sz w:val="28"/>
          <w:szCs w:val="28"/>
          <w:lang w:val="es-ES" w:eastAsia="es-ES"/>
        </w:rPr>
        <w:t>”</w:t>
      </w:r>
    </w:p>
    <w:p w:rsidR="00F114BF" w:rsidRPr="00DB3EEA" w:rsidRDefault="00DB3EEA" w:rsidP="00F114BF">
      <w:pPr>
        <w:pStyle w:val="Prrafodelista"/>
        <w:ind w:left="0"/>
        <w:jc w:val="both"/>
        <w:rPr>
          <w:rFonts w:ascii="Times New Roman" w:hAnsi="Times New Roman" w:cs="Times New Roman"/>
          <w:sz w:val="28"/>
          <w:szCs w:val="28"/>
        </w:rPr>
      </w:pPr>
    </w:p>
    <w:p w:rsidR="00092EE0" w:rsidRPr="00DB3EEA" w:rsidRDefault="00DB3EEA" w:rsidP="00BF0DD0">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Establecido entonces que </w:t>
      </w:r>
      <w:r w:rsidRPr="00DB3EEA">
        <w:rPr>
          <w:rFonts w:ascii="Times New Roman" w:hAnsi="Times New Roman" w:cs="Times New Roman"/>
          <w:sz w:val="28"/>
          <w:szCs w:val="28"/>
        </w:rPr>
        <w:t xml:space="preserve">no resulta comparable </w:t>
      </w:r>
      <w:r w:rsidRPr="00DB3EEA">
        <w:rPr>
          <w:rFonts w:ascii="Times New Roman" w:hAnsi="Times New Roman" w:cs="Times New Roman"/>
          <w:sz w:val="28"/>
          <w:szCs w:val="28"/>
        </w:rPr>
        <w:t xml:space="preserve">el productor nacional y el importador de comestibles ultraprocesados, </w:t>
      </w:r>
      <w:r w:rsidRPr="00DB3EEA">
        <w:rPr>
          <w:rFonts w:ascii="Times New Roman" w:hAnsi="Times New Roman" w:cs="Times New Roman"/>
          <w:sz w:val="28"/>
          <w:szCs w:val="28"/>
        </w:rPr>
        <w:t xml:space="preserve">ni tampoco en los productos por ellos producidos, </w:t>
      </w:r>
      <w:r w:rsidRPr="00DB3EEA">
        <w:rPr>
          <w:rFonts w:ascii="Times New Roman" w:hAnsi="Times New Roman" w:cs="Times New Roman"/>
          <w:sz w:val="28"/>
          <w:szCs w:val="28"/>
        </w:rPr>
        <w:t>no resulta procedente la realización del juicio integrado de igualdad. En efecto, como fue señalado previamente, la aplicación de dicho juicio está precedida de la existencia de dos presupuestos, a saber: (</w:t>
      </w:r>
      <w:r w:rsidRPr="00DB3EEA">
        <w:rPr>
          <w:rFonts w:ascii="Times New Roman" w:hAnsi="Times New Roman" w:cs="Times New Roman"/>
          <w:sz w:val="28"/>
          <w:szCs w:val="28"/>
        </w:rPr>
        <w:t>i) “los términos de comparación, esto es, las personas, elementos, hechos o situaciones que efectivamente son comparables” y (ii) el tratamiento o “trato desigual”</w:t>
      </w:r>
      <w:r w:rsidRPr="00DB3EEA">
        <w:rPr>
          <w:rStyle w:val="Refdenotaalpie"/>
          <w:rFonts w:ascii="Times New Roman" w:hAnsi="Times New Roman" w:cs="Times New Roman"/>
          <w:sz w:val="28"/>
          <w:szCs w:val="28"/>
        </w:rPr>
        <w:footnoteReference w:id="190"/>
      </w:r>
      <w:r w:rsidRPr="00DB3EEA">
        <w:rPr>
          <w:rFonts w:ascii="Times New Roman" w:hAnsi="Times New Roman" w:cs="Times New Roman"/>
          <w:sz w:val="28"/>
          <w:szCs w:val="28"/>
        </w:rPr>
        <w:t>.</w:t>
      </w:r>
    </w:p>
    <w:p w:rsidR="00092EE0" w:rsidRPr="00DB3EEA" w:rsidRDefault="00DB3EEA" w:rsidP="00092EE0">
      <w:pPr>
        <w:pStyle w:val="Prrafodelista"/>
        <w:rPr>
          <w:rFonts w:ascii="Times New Roman" w:hAnsi="Times New Roman" w:cs="Times New Roman"/>
          <w:sz w:val="28"/>
          <w:szCs w:val="28"/>
        </w:rPr>
      </w:pPr>
    </w:p>
    <w:p w:rsidR="00092EE0" w:rsidRPr="00DB3EEA" w:rsidRDefault="00DB3EEA" w:rsidP="00092EE0">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En ese orden el cargo por vulneración del derecho a la igualdad no está llamado a </w:t>
      </w:r>
      <w:r w:rsidRPr="00DB3EEA">
        <w:rPr>
          <w:rFonts w:ascii="Times New Roman" w:hAnsi="Times New Roman" w:cs="Times New Roman"/>
          <w:sz w:val="28"/>
          <w:szCs w:val="28"/>
        </w:rPr>
        <w:t>prosperar y, en consecuencia, la norma acusada tampoco transgrede el principio de equidad tributaria, previsto en los artículos 95.9 y 363 de la Constitución Política. Se reitera que el control constitucional de la equidad tributaria admite un doble enfoqu</w:t>
      </w:r>
      <w:r w:rsidRPr="00DB3EEA">
        <w:rPr>
          <w:rFonts w:ascii="Times New Roman" w:hAnsi="Times New Roman" w:cs="Times New Roman"/>
          <w:sz w:val="28"/>
          <w:szCs w:val="28"/>
        </w:rPr>
        <w:t>e. En su dimensión estructural, exige que el sistema en su conjunto preserve una distribución razonable y coherente de las cargas y beneficios, evitando privilegios sistemáticos o regresividades injustificadas. En su dimensión individual, exige que cada di</w:t>
      </w:r>
      <w:r w:rsidRPr="00DB3EEA">
        <w:rPr>
          <w:rFonts w:ascii="Times New Roman" w:hAnsi="Times New Roman" w:cs="Times New Roman"/>
          <w:sz w:val="28"/>
          <w:szCs w:val="28"/>
        </w:rPr>
        <w:t>sposición particular respete la capacidad contributiva y se funde en razones objetivas verificables.</w:t>
      </w:r>
    </w:p>
    <w:p w:rsidR="00092EE0" w:rsidRPr="00DB3EEA" w:rsidRDefault="00DB3EEA" w:rsidP="00092EE0">
      <w:pPr>
        <w:pStyle w:val="Prrafodelista"/>
        <w:rPr>
          <w:rFonts w:ascii="Times New Roman" w:hAnsi="Times New Roman" w:cs="Times New Roman"/>
          <w:sz w:val="28"/>
          <w:szCs w:val="28"/>
        </w:rPr>
      </w:pPr>
    </w:p>
    <w:p w:rsidR="00092EE0" w:rsidRPr="00DB3EEA" w:rsidRDefault="00DB3EEA" w:rsidP="00092EE0">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Así, </w:t>
      </w:r>
      <w:r w:rsidRPr="00DB3EEA">
        <w:rPr>
          <w:rFonts w:ascii="Times New Roman" w:eastAsiaTheme="minorHAnsi" w:hAnsi="Times New Roman" w:cs="Times New Roman"/>
          <w:sz w:val="28"/>
          <w:szCs w:val="28"/>
        </w:rPr>
        <w:t>“</w:t>
      </w:r>
      <w:r w:rsidRPr="00DB3EEA">
        <w:rPr>
          <w:rFonts w:ascii="Times New Roman" w:eastAsiaTheme="minorHAnsi" w:hAnsi="Times New Roman" w:cs="Times New Roman"/>
          <w:i/>
          <w:sz w:val="28"/>
          <w:szCs w:val="28"/>
        </w:rPr>
        <w:t>la jurisprudencia ha reiterado que el control judicial de la equidad y la igualdad tributaria no busca uniformar el diseño de los tributos ni sustit</w:t>
      </w:r>
      <w:r w:rsidRPr="00DB3EEA">
        <w:rPr>
          <w:rFonts w:ascii="Times New Roman" w:eastAsiaTheme="minorHAnsi" w:hAnsi="Times New Roman" w:cs="Times New Roman"/>
          <w:i/>
          <w:sz w:val="28"/>
          <w:szCs w:val="28"/>
        </w:rPr>
        <w:t>uir la deliberación democrática, sino garantizar que las diferencias normativas obedezcan a razones constitucionalmente válidas. Por ello, la equidad no es un principio de identidad perfecta, sino de racionalidad normativa. En la medida en que la configura</w:t>
      </w:r>
      <w:r w:rsidRPr="00DB3EEA">
        <w:rPr>
          <w:rFonts w:ascii="Times New Roman" w:eastAsiaTheme="minorHAnsi" w:hAnsi="Times New Roman" w:cs="Times New Roman"/>
          <w:i/>
          <w:sz w:val="28"/>
          <w:szCs w:val="28"/>
        </w:rPr>
        <w:t>ción fiscal descansa sobre valoraciones empíricas y técnicas, el juez constitucional debe ejercer un control deferente pero efectivo, orientado a descartar tratamientos caprichosos o desconectados de la capacidad económica y de los fines de interés general</w:t>
      </w:r>
      <w:r w:rsidRPr="00DB3EEA">
        <w:rPr>
          <w:rFonts w:ascii="Times New Roman" w:eastAsiaTheme="minorHAnsi" w:hAnsi="Times New Roman" w:cs="Times New Roman"/>
          <w:i/>
          <w:sz w:val="28"/>
          <w:szCs w:val="28"/>
        </w:rPr>
        <w:t>.”</w:t>
      </w:r>
      <w:r w:rsidRPr="00DB3EEA">
        <w:rPr>
          <w:rFonts w:ascii="Times New Roman" w:eastAsiaTheme="minorHAnsi" w:hAnsi="Times New Roman" w:cs="Times New Roman"/>
          <w:sz w:val="28"/>
          <w:szCs w:val="28"/>
          <w:vertAlign w:val="superscript"/>
        </w:rPr>
        <w:footnoteReference w:id="191"/>
      </w:r>
    </w:p>
    <w:p w:rsidR="00A56D01" w:rsidRPr="00DB3EEA" w:rsidRDefault="00DB3EEA" w:rsidP="00A56D01">
      <w:pPr>
        <w:pStyle w:val="Prrafodelista"/>
        <w:rPr>
          <w:rFonts w:ascii="Times New Roman" w:hAnsi="Times New Roman" w:cs="Times New Roman"/>
          <w:sz w:val="28"/>
          <w:szCs w:val="28"/>
        </w:rPr>
      </w:pPr>
    </w:p>
    <w:p w:rsidR="00A56D01" w:rsidRPr="00DB3EEA" w:rsidRDefault="00DB3EEA" w:rsidP="00C34B22">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Estas mismas consideraciones permiten concluir que tampoco se desconoce el principio de </w:t>
      </w:r>
      <w:r w:rsidRPr="00DB3EEA">
        <w:rPr>
          <w:rFonts w:ascii="Times New Roman" w:hAnsi="Times New Roman" w:cs="Times New Roman"/>
          <w:sz w:val="28"/>
          <w:szCs w:val="28"/>
        </w:rPr>
        <w:t>equidad tributaria</w:t>
      </w:r>
      <w:r w:rsidRPr="00DB3EEA">
        <w:rPr>
          <w:rFonts w:ascii="Times New Roman" w:hAnsi="Times New Roman" w:cs="Times New Roman"/>
          <w:sz w:val="28"/>
          <w:szCs w:val="28"/>
        </w:rPr>
        <w:t xml:space="preserve">. Dicho mandato </w:t>
      </w:r>
      <w:r w:rsidRPr="00DB3EEA">
        <w:rPr>
          <w:rFonts w:ascii="Times New Roman" w:hAnsi="Times New Roman" w:cs="Times New Roman"/>
          <w:bCs/>
          <w:sz w:val="28"/>
          <w:szCs w:val="28"/>
          <w:bdr w:val="none" w:sz="0" w:space="0" w:color="auto" w:frame="1"/>
          <w:shd w:val="clear" w:color="auto" w:fill="FFFFFF"/>
          <w:lang w:eastAsia="es-ES_tradnl"/>
        </w:rPr>
        <w:t xml:space="preserve">exige que el </w:t>
      </w:r>
      <w:r w:rsidRPr="00DB3EEA">
        <w:rPr>
          <w:rFonts w:ascii="Times New Roman" w:hAnsi="Times New Roman" w:cs="Times New Roman"/>
          <w:bCs/>
          <w:sz w:val="28"/>
          <w:szCs w:val="28"/>
          <w:bdr w:val="none" w:sz="0" w:space="0" w:color="auto" w:frame="1"/>
          <w:shd w:val="clear" w:color="auto" w:fill="FFFFFF"/>
          <w:lang w:eastAsia="es-ES_tradnl"/>
        </w:rPr>
        <w:t>legislador</w:t>
      </w:r>
      <w:r w:rsidRPr="00DB3EEA">
        <w:rPr>
          <w:rFonts w:ascii="Times New Roman" w:hAnsi="Times New Roman" w:cs="Times New Roman"/>
          <w:bCs/>
          <w:sz w:val="28"/>
          <w:szCs w:val="28"/>
          <w:bdr w:val="none" w:sz="0" w:space="0" w:color="auto" w:frame="1"/>
          <w:shd w:val="clear" w:color="auto" w:fill="FFFFFF"/>
          <w:lang w:eastAsia="es-ES_tradnl"/>
        </w:rPr>
        <w:t xml:space="preserve"> disponga una “justa distribución”</w:t>
      </w:r>
      <w:r w:rsidRPr="00DB3EEA">
        <w:rPr>
          <w:rFonts w:ascii="Times New Roman" w:hAnsi="Times New Roman" w:cs="Times New Roman"/>
          <w:sz w:val="28"/>
          <w:szCs w:val="28"/>
          <w:bdr w:val="none" w:sz="0" w:space="0" w:color="auto" w:frame="1"/>
          <w:shd w:val="clear" w:color="auto" w:fill="FFFFFF"/>
          <w:vertAlign w:val="superscript"/>
          <w:lang w:eastAsia="es-ES_tradnl"/>
        </w:rPr>
        <w:footnoteReference w:id="192"/>
      </w:r>
      <w:r w:rsidRPr="00DB3EEA">
        <w:rPr>
          <w:rFonts w:ascii="Times New Roman" w:hAnsi="Times New Roman" w:cs="Times New Roman"/>
          <w:bCs/>
          <w:sz w:val="28"/>
          <w:szCs w:val="28"/>
          <w:bdr w:val="none" w:sz="0" w:space="0" w:color="auto" w:frame="1"/>
          <w:shd w:val="clear" w:color="auto" w:fill="FFFFFF"/>
          <w:lang w:eastAsia="es-ES_tradnl"/>
        </w:rPr>
        <w:t xml:space="preserve"> de las obligaciones fiscales “según criterios de generalidad, uniformidad y progresividad”</w:t>
      </w:r>
      <w:r w:rsidRPr="00DB3EEA">
        <w:rPr>
          <w:rFonts w:ascii="Times New Roman" w:hAnsi="Times New Roman" w:cs="Times New Roman"/>
          <w:sz w:val="28"/>
          <w:szCs w:val="28"/>
          <w:bdr w:val="none" w:sz="0" w:space="0" w:color="auto" w:frame="1"/>
          <w:shd w:val="clear" w:color="auto" w:fill="FFFFFF"/>
          <w:vertAlign w:val="superscript"/>
          <w:lang w:eastAsia="es-ES_tradnl"/>
        </w:rPr>
        <w:footnoteReference w:id="193"/>
      </w:r>
      <w:r w:rsidRPr="00DB3EEA">
        <w:rPr>
          <w:rFonts w:ascii="Times New Roman" w:hAnsi="Times New Roman" w:cs="Times New Roman"/>
          <w:bCs/>
          <w:sz w:val="28"/>
          <w:szCs w:val="28"/>
          <w:bdr w:val="none" w:sz="0" w:space="0" w:color="auto" w:frame="1"/>
          <w:shd w:val="clear" w:color="auto" w:fill="FFFFFF"/>
          <w:lang w:eastAsia="es-ES_tradnl"/>
        </w:rPr>
        <w:t xml:space="preserve"> y, de esa forma, se abstenga de instituir “cargas excesivas o beneficios [tributarios] exagerados”</w:t>
      </w:r>
      <w:r w:rsidRPr="00DB3EEA">
        <w:rPr>
          <w:rFonts w:ascii="Times New Roman" w:hAnsi="Times New Roman" w:cs="Times New Roman"/>
          <w:sz w:val="28"/>
          <w:szCs w:val="28"/>
          <w:bdr w:val="none" w:sz="0" w:space="0" w:color="auto" w:frame="1"/>
          <w:shd w:val="clear" w:color="auto" w:fill="FFFFFF"/>
          <w:vertAlign w:val="superscript"/>
          <w:lang w:eastAsia="es-ES_tradnl"/>
        </w:rPr>
        <w:footnoteReference w:id="194"/>
      </w:r>
      <w:r w:rsidRPr="00DB3EEA">
        <w:rPr>
          <w:rFonts w:ascii="Times New Roman" w:hAnsi="Times New Roman" w:cs="Times New Roman"/>
          <w:bCs/>
          <w:sz w:val="28"/>
          <w:szCs w:val="28"/>
          <w:bdr w:val="none" w:sz="0" w:space="0" w:color="auto" w:frame="1"/>
          <w:shd w:val="clear" w:color="auto" w:fill="FFFFFF"/>
          <w:lang w:eastAsia="es-ES_tradnl"/>
        </w:rPr>
        <w:t xml:space="preserve"> que no consulten “la capacidad económica de los sujetos pasivos</w:t>
      </w:r>
      <w:r w:rsidRPr="00DB3EEA">
        <w:rPr>
          <w:rFonts w:ascii="Times New Roman" w:hAnsi="Times New Roman" w:cs="Times New Roman"/>
          <w:bCs/>
          <w:sz w:val="28"/>
          <w:szCs w:val="28"/>
          <w:bdr w:val="none" w:sz="0" w:space="0" w:color="auto" w:frame="1"/>
          <w:shd w:val="clear" w:color="auto" w:fill="FFFFFF"/>
          <w:lang w:eastAsia="es-ES_tradnl"/>
        </w:rPr>
        <w:t xml:space="preserve"> en razón a la naturaleza y fines del impuesto en cuestión”</w:t>
      </w:r>
      <w:r w:rsidRPr="00DB3EEA">
        <w:rPr>
          <w:rFonts w:ascii="Times New Roman" w:hAnsi="Times New Roman" w:cs="Times New Roman"/>
          <w:sz w:val="28"/>
          <w:szCs w:val="28"/>
          <w:bdr w:val="none" w:sz="0" w:space="0" w:color="auto" w:frame="1"/>
          <w:shd w:val="clear" w:color="auto" w:fill="FFFFFF"/>
          <w:vertAlign w:val="superscript"/>
          <w:lang w:eastAsia="es-ES_tradnl"/>
        </w:rPr>
        <w:footnoteReference w:id="195"/>
      </w:r>
      <w:r w:rsidRPr="00DB3EEA">
        <w:rPr>
          <w:rFonts w:ascii="Times New Roman" w:hAnsi="Times New Roman" w:cs="Times New Roman"/>
          <w:bCs/>
          <w:sz w:val="28"/>
          <w:szCs w:val="28"/>
          <w:bdr w:val="none" w:sz="0" w:space="0" w:color="auto" w:frame="1"/>
          <w:shd w:val="clear" w:color="auto" w:fill="FFFFFF"/>
          <w:lang w:eastAsia="es-ES_tradnl"/>
        </w:rPr>
        <w:t>, tal y como lo reiteró la sentencia C-099 de 2025.</w:t>
      </w:r>
    </w:p>
    <w:p w:rsidR="00A46F1C" w:rsidRPr="00DB3EEA" w:rsidRDefault="00DB3EEA" w:rsidP="00A46F1C">
      <w:pPr>
        <w:pStyle w:val="Prrafodelista"/>
        <w:rPr>
          <w:rFonts w:ascii="Times New Roman" w:hAnsi="Times New Roman" w:cs="Times New Roman"/>
          <w:sz w:val="28"/>
          <w:szCs w:val="28"/>
        </w:rPr>
      </w:pPr>
    </w:p>
    <w:p w:rsidR="00A56D01" w:rsidRPr="00DB3EEA" w:rsidRDefault="00DB3EEA" w:rsidP="00036655">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Como se señaló de forma precedente</w:t>
      </w:r>
      <w:r w:rsidRPr="00DB3EEA">
        <w:rPr>
          <w:rFonts w:ascii="Times New Roman" w:hAnsi="Times New Roman" w:cs="Times New Roman"/>
          <w:sz w:val="28"/>
          <w:szCs w:val="28"/>
        </w:rPr>
        <w:t xml:space="preserve">, </w:t>
      </w:r>
      <w:r w:rsidRPr="00DB3EEA">
        <w:rPr>
          <w:rFonts w:ascii="Times New Roman" w:hAnsi="Times New Roman" w:cs="Times New Roman"/>
          <w:bCs/>
          <w:sz w:val="28"/>
          <w:szCs w:val="28"/>
          <w:bdr w:val="none" w:sz="0" w:space="0" w:color="auto" w:frame="1"/>
          <w:shd w:val="clear" w:color="auto" w:fill="FFFFFF"/>
          <w:lang w:eastAsia="es-ES_tradnl"/>
        </w:rPr>
        <w:t>e</w:t>
      </w:r>
      <w:r w:rsidRPr="00DB3EEA">
        <w:rPr>
          <w:rFonts w:ascii="Times New Roman" w:hAnsi="Times New Roman" w:cs="Times New Roman"/>
          <w:bCs/>
          <w:sz w:val="28"/>
          <w:szCs w:val="28"/>
          <w:bdr w:val="none" w:sz="0" w:space="0" w:color="auto" w:frame="1"/>
          <w:shd w:val="clear" w:color="auto" w:fill="FFFFFF"/>
          <w:lang w:eastAsia="es-ES_tradnl"/>
        </w:rPr>
        <w:t>l principio de equidad tributaria tiene dos dimensiones</w:t>
      </w:r>
      <w:r w:rsidRPr="00DB3EEA">
        <w:rPr>
          <w:rFonts w:ascii="Times New Roman" w:eastAsia="Yu Gothic Light" w:hAnsi="Times New Roman" w:cs="Times New Roman"/>
          <w:sz w:val="28"/>
          <w:szCs w:val="28"/>
          <w:bdr w:val="none" w:sz="0" w:space="0" w:color="auto" w:frame="1"/>
          <w:shd w:val="clear" w:color="auto" w:fill="FFFFFF"/>
          <w:vertAlign w:val="superscript"/>
          <w:lang w:eastAsia="es-ES_tradnl"/>
        </w:rPr>
        <w:footnoteReference w:id="196"/>
      </w:r>
      <w:r w:rsidRPr="00DB3EEA">
        <w:rPr>
          <w:rFonts w:ascii="Times New Roman" w:hAnsi="Times New Roman" w:cs="Times New Roman"/>
          <w:bCs/>
          <w:sz w:val="28"/>
          <w:szCs w:val="28"/>
          <w:bdr w:val="none" w:sz="0" w:space="0" w:color="auto" w:frame="1"/>
          <w:shd w:val="clear" w:color="auto" w:fill="FFFFFF"/>
          <w:lang w:eastAsia="es-ES_tradnl"/>
        </w:rPr>
        <w:t xml:space="preserve">: vertical y horizontal. La </w:t>
      </w:r>
      <w:r w:rsidRPr="00DB3EEA">
        <w:rPr>
          <w:rFonts w:ascii="Times New Roman" w:hAnsi="Times New Roman" w:cs="Times New Roman"/>
          <w:bCs/>
          <w:i/>
          <w:iCs/>
          <w:sz w:val="28"/>
          <w:szCs w:val="28"/>
          <w:bdr w:val="none" w:sz="0" w:space="0" w:color="auto" w:frame="1"/>
          <w:shd w:val="clear" w:color="auto" w:fill="FFFFFF"/>
          <w:lang w:eastAsia="es-ES_tradnl"/>
        </w:rPr>
        <w:t>dimensión</w:t>
      </w:r>
      <w:r w:rsidRPr="00DB3EEA">
        <w:rPr>
          <w:rFonts w:ascii="Times New Roman" w:hAnsi="Times New Roman" w:cs="Times New Roman"/>
          <w:bCs/>
          <w:sz w:val="28"/>
          <w:szCs w:val="28"/>
          <w:bdr w:val="none" w:sz="0" w:space="0" w:color="auto" w:frame="1"/>
          <w:shd w:val="clear" w:color="auto" w:fill="FFFFFF"/>
          <w:lang w:eastAsia="es-ES_tradnl"/>
        </w:rPr>
        <w:t xml:space="preserve"> </w:t>
      </w:r>
      <w:r w:rsidRPr="00DB3EEA">
        <w:rPr>
          <w:rFonts w:ascii="Times New Roman" w:hAnsi="Times New Roman" w:cs="Times New Roman"/>
          <w:bCs/>
          <w:i/>
          <w:iCs/>
          <w:sz w:val="28"/>
          <w:szCs w:val="28"/>
          <w:bdr w:val="none" w:sz="0" w:space="0" w:color="auto" w:frame="1"/>
          <w:shd w:val="clear" w:color="auto" w:fill="FFFFFF"/>
          <w:lang w:eastAsia="es-ES_tradnl"/>
        </w:rPr>
        <w:t>vertical</w:t>
      </w:r>
      <w:r w:rsidRPr="00DB3EEA">
        <w:rPr>
          <w:rFonts w:ascii="Times New Roman" w:hAnsi="Times New Roman" w:cs="Times New Roman"/>
          <w:bCs/>
          <w:sz w:val="28"/>
          <w:szCs w:val="28"/>
          <w:bdr w:val="none" w:sz="0" w:space="0" w:color="auto" w:frame="1"/>
          <w:shd w:val="clear" w:color="auto" w:fill="FFFFFF"/>
          <w:lang w:eastAsia="es-ES_tradnl"/>
        </w:rPr>
        <w:t>, id</w:t>
      </w:r>
      <w:r w:rsidRPr="00DB3EEA">
        <w:rPr>
          <w:rFonts w:ascii="Times New Roman" w:hAnsi="Times New Roman" w:cs="Times New Roman"/>
          <w:bCs/>
          <w:sz w:val="28"/>
          <w:szCs w:val="28"/>
          <w:bdr w:val="none" w:sz="0" w:space="0" w:color="auto" w:frame="1"/>
          <w:shd w:val="clear" w:color="auto" w:fill="FFFFFF"/>
          <w:lang w:eastAsia="es-ES_tradnl"/>
        </w:rPr>
        <w:t>entificada con la exigencia de progresividad, exige que “el sistema tributario en su integridad sea equitativo”</w:t>
      </w:r>
      <w:r w:rsidRPr="00DB3EEA">
        <w:rPr>
          <w:rFonts w:ascii="Times New Roman" w:eastAsia="Yu Gothic Light" w:hAnsi="Times New Roman" w:cs="Times New Roman"/>
          <w:sz w:val="28"/>
          <w:szCs w:val="28"/>
          <w:bdr w:val="none" w:sz="0" w:space="0" w:color="auto" w:frame="1"/>
          <w:shd w:val="clear" w:color="auto" w:fill="FFFFFF"/>
          <w:vertAlign w:val="superscript"/>
          <w:lang w:eastAsia="es-ES_tradnl"/>
        </w:rPr>
        <w:footnoteReference w:id="197"/>
      </w:r>
      <w:r w:rsidRPr="00DB3EEA">
        <w:rPr>
          <w:rFonts w:ascii="Times New Roman" w:hAnsi="Times New Roman" w:cs="Times New Roman"/>
          <w:bCs/>
          <w:sz w:val="28"/>
          <w:szCs w:val="28"/>
          <w:bdr w:val="none" w:sz="0" w:space="0" w:color="auto" w:frame="1"/>
          <w:shd w:val="clear" w:color="auto" w:fill="FFFFFF"/>
          <w:lang w:eastAsia="es-ES_tradnl"/>
        </w:rPr>
        <w:t xml:space="preserve"> y ordena “distribuir la carga tributaria de forma que quienes tienen mayor capacidad económica soporten una mayor proporción de gravamen”</w:t>
      </w:r>
      <w:r w:rsidRPr="00DB3EEA">
        <w:rPr>
          <w:rFonts w:ascii="Times New Roman" w:eastAsia="Yu Gothic Light" w:hAnsi="Times New Roman" w:cs="Times New Roman"/>
          <w:sz w:val="28"/>
          <w:szCs w:val="28"/>
          <w:bdr w:val="none" w:sz="0" w:space="0" w:color="auto" w:frame="1"/>
          <w:shd w:val="clear" w:color="auto" w:fill="FFFFFF"/>
          <w:vertAlign w:val="superscript"/>
          <w:lang w:eastAsia="es-ES_tradnl"/>
        </w:rPr>
        <w:footnoteReference w:id="198"/>
      </w:r>
      <w:r w:rsidRPr="00DB3EEA">
        <w:rPr>
          <w:rFonts w:ascii="Times New Roman" w:hAnsi="Times New Roman" w:cs="Times New Roman"/>
          <w:bCs/>
          <w:sz w:val="28"/>
          <w:szCs w:val="28"/>
          <w:bdr w:val="none" w:sz="0" w:space="0" w:color="auto" w:frame="1"/>
          <w:shd w:val="clear" w:color="auto" w:fill="FFFFFF"/>
          <w:lang w:eastAsia="es-ES_tradnl"/>
        </w:rPr>
        <w:t>.</w:t>
      </w:r>
      <w:r w:rsidRPr="00DB3EEA">
        <w:rPr>
          <w:rFonts w:ascii="Times New Roman" w:hAnsi="Times New Roman" w:cs="Times New Roman"/>
          <w:bCs/>
          <w:i/>
          <w:iCs/>
          <w:sz w:val="28"/>
          <w:szCs w:val="28"/>
          <w:bdr w:val="none" w:sz="0" w:space="0" w:color="auto" w:frame="1"/>
          <w:shd w:val="clear" w:color="auto" w:fill="FFFFFF"/>
          <w:lang w:eastAsia="es-ES_tradnl"/>
        </w:rPr>
        <w:t xml:space="preserve"> </w:t>
      </w:r>
      <w:r w:rsidRPr="00DB3EEA">
        <w:rPr>
          <w:rFonts w:ascii="Times New Roman" w:hAnsi="Times New Roman" w:cs="Times New Roman"/>
          <w:bCs/>
          <w:sz w:val="28"/>
          <w:szCs w:val="28"/>
          <w:bdr w:val="none" w:sz="0" w:space="0" w:color="auto" w:frame="1"/>
          <w:shd w:val="clear" w:color="auto" w:fill="FFFFFF"/>
          <w:lang w:eastAsia="es-ES_tradnl"/>
        </w:rPr>
        <w:t xml:space="preserve">La </w:t>
      </w:r>
      <w:r w:rsidRPr="00DB3EEA">
        <w:rPr>
          <w:rFonts w:ascii="Times New Roman" w:hAnsi="Times New Roman" w:cs="Times New Roman"/>
          <w:bCs/>
          <w:i/>
          <w:iCs/>
          <w:sz w:val="28"/>
          <w:szCs w:val="28"/>
          <w:bdr w:val="none" w:sz="0" w:space="0" w:color="auto" w:frame="1"/>
          <w:shd w:val="clear" w:color="auto" w:fill="FFFFFF"/>
          <w:lang w:eastAsia="es-ES_tradnl"/>
        </w:rPr>
        <w:t>dimensión horizontal</w:t>
      </w:r>
      <w:r w:rsidRPr="00DB3EEA">
        <w:rPr>
          <w:rFonts w:ascii="Times New Roman" w:hAnsi="Times New Roman" w:cs="Times New Roman"/>
          <w:bCs/>
          <w:sz w:val="28"/>
          <w:szCs w:val="28"/>
          <w:bdr w:val="none" w:sz="0" w:space="0" w:color="auto" w:frame="1"/>
          <w:shd w:val="clear" w:color="auto" w:fill="FFFFFF"/>
          <w:lang w:eastAsia="es-ES_tradnl"/>
        </w:rPr>
        <w:t xml:space="preserve">, por su parte, impone al </w:t>
      </w:r>
      <w:r w:rsidRPr="00DB3EEA">
        <w:rPr>
          <w:rFonts w:ascii="Times New Roman" w:hAnsi="Times New Roman" w:cs="Times New Roman"/>
          <w:bCs/>
          <w:sz w:val="28"/>
          <w:szCs w:val="28"/>
          <w:bdr w:val="none" w:sz="0" w:space="0" w:color="auto" w:frame="1"/>
          <w:shd w:val="clear" w:color="auto" w:fill="FFFFFF"/>
          <w:lang w:eastAsia="es-ES_tradnl"/>
        </w:rPr>
        <w:t>legislador</w:t>
      </w:r>
      <w:r w:rsidRPr="00DB3EEA">
        <w:rPr>
          <w:rFonts w:ascii="Times New Roman" w:hAnsi="Times New Roman" w:cs="Times New Roman"/>
          <w:bCs/>
          <w:sz w:val="28"/>
          <w:szCs w:val="28"/>
          <w:bdr w:val="none" w:sz="0" w:space="0" w:color="auto" w:frame="1"/>
          <w:shd w:val="clear" w:color="auto" w:fill="FFFFFF"/>
          <w:lang w:eastAsia="es-ES_tradnl"/>
        </w:rPr>
        <w:t xml:space="preserve"> el deber de propender por que los individuos “con capacidad económica igual, o bajo una misma situación fáctica, contribuyan de igual manera”</w:t>
      </w:r>
      <w:r w:rsidRPr="00DB3EEA">
        <w:rPr>
          <w:rFonts w:ascii="Times New Roman" w:eastAsia="Yu Gothic Light" w:hAnsi="Times New Roman" w:cs="Times New Roman"/>
          <w:sz w:val="28"/>
          <w:szCs w:val="28"/>
          <w:bdr w:val="none" w:sz="0" w:space="0" w:color="auto" w:frame="1"/>
          <w:shd w:val="clear" w:color="auto" w:fill="FFFFFF"/>
          <w:vertAlign w:val="superscript"/>
          <w:lang w:eastAsia="es-ES_tradnl"/>
        </w:rPr>
        <w:footnoteReference w:id="199"/>
      </w:r>
      <w:r w:rsidRPr="00DB3EEA">
        <w:rPr>
          <w:rFonts w:ascii="Times New Roman" w:hAnsi="Times New Roman" w:cs="Times New Roman"/>
          <w:bCs/>
          <w:sz w:val="28"/>
          <w:szCs w:val="28"/>
          <w:bdr w:val="none" w:sz="0" w:space="0" w:color="auto" w:frame="1"/>
          <w:shd w:val="clear" w:color="auto" w:fill="FFFFFF"/>
          <w:lang w:eastAsia="es-ES_tradnl"/>
        </w:rPr>
        <w:t>. En otras palabras, “exige que los contribuyentes o hech</w:t>
      </w:r>
      <w:r w:rsidRPr="00DB3EEA">
        <w:rPr>
          <w:rFonts w:ascii="Times New Roman" w:hAnsi="Times New Roman" w:cs="Times New Roman"/>
          <w:bCs/>
          <w:sz w:val="28"/>
          <w:szCs w:val="28"/>
          <w:bdr w:val="none" w:sz="0" w:space="0" w:color="auto" w:frame="1"/>
          <w:shd w:val="clear" w:color="auto" w:fill="FFFFFF"/>
          <w:lang w:eastAsia="es-ES_tradnl"/>
        </w:rPr>
        <w:t>os económicos que sean análogos reciban un tratamiento tributario similar”</w:t>
      </w:r>
      <w:r w:rsidRPr="00DB3EEA">
        <w:rPr>
          <w:rFonts w:ascii="Times New Roman" w:eastAsia="Yu Gothic Light" w:hAnsi="Times New Roman" w:cs="Times New Roman"/>
          <w:sz w:val="28"/>
          <w:szCs w:val="28"/>
          <w:bdr w:val="none" w:sz="0" w:space="0" w:color="auto" w:frame="1"/>
          <w:shd w:val="clear" w:color="auto" w:fill="FFFFFF"/>
          <w:vertAlign w:val="superscript"/>
          <w:lang w:eastAsia="es-ES_tradnl"/>
        </w:rPr>
        <w:footnoteReference w:id="200"/>
      </w:r>
      <w:r w:rsidRPr="00DB3EEA">
        <w:rPr>
          <w:rFonts w:ascii="Times New Roman" w:hAnsi="Times New Roman" w:cs="Times New Roman"/>
          <w:bCs/>
          <w:sz w:val="28"/>
          <w:szCs w:val="28"/>
          <w:bdr w:val="none" w:sz="0" w:space="0" w:color="auto" w:frame="1"/>
          <w:shd w:val="clear" w:color="auto" w:fill="FFFFFF"/>
          <w:lang w:eastAsia="es-ES_tradnl"/>
        </w:rPr>
        <w:t xml:space="preserve">. </w:t>
      </w:r>
    </w:p>
    <w:p w:rsidR="00092EE0" w:rsidRPr="00DB3EEA" w:rsidRDefault="00DB3EEA" w:rsidP="00092EE0">
      <w:pPr>
        <w:pStyle w:val="Prrafodelista"/>
        <w:rPr>
          <w:rFonts w:ascii="Times New Roman" w:hAnsi="Times New Roman" w:cs="Times New Roman"/>
          <w:sz w:val="28"/>
          <w:szCs w:val="28"/>
        </w:rPr>
      </w:pPr>
    </w:p>
    <w:p w:rsidR="009519B3" w:rsidRPr="00DB3EEA" w:rsidRDefault="00DB3EEA" w:rsidP="00092EE0">
      <w:pPr>
        <w:pStyle w:val="Prrafodelista"/>
        <w:numPr>
          <w:ilvl w:val="0"/>
          <w:numId w:val="1"/>
        </w:numPr>
        <w:ind w:left="0" w:firstLine="0"/>
        <w:jc w:val="both"/>
        <w:rPr>
          <w:rFonts w:ascii="Times New Roman" w:eastAsia="Aptos" w:hAnsi="Times New Roman" w:cs="Times New Roman"/>
          <w:kern w:val="2"/>
          <w:sz w:val="28"/>
          <w:szCs w:val="28"/>
          <w14:ligatures w14:val="standardContextual"/>
        </w:rPr>
      </w:pPr>
      <w:r w:rsidRPr="00DB3EEA">
        <w:rPr>
          <w:rFonts w:ascii="Times New Roman" w:hAnsi="Times New Roman" w:cs="Times New Roman"/>
          <w:sz w:val="28"/>
          <w:szCs w:val="28"/>
        </w:rPr>
        <w:t xml:space="preserve">En ese orden, como lo puso de presente el Instituto </w:t>
      </w:r>
      <w:r w:rsidRPr="00DB3EEA">
        <w:rPr>
          <w:rFonts w:ascii="Times New Roman" w:hAnsi="Times New Roman" w:cs="Times New Roman"/>
          <w:sz w:val="28"/>
          <w:szCs w:val="28"/>
        </w:rPr>
        <w:t xml:space="preserve">Colombiano </w:t>
      </w:r>
      <w:r w:rsidRPr="00DB3EEA">
        <w:rPr>
          <w:rFonts w:ascii="Times New Roman" w:hAnsi="Times New Roman" w:cs="Times New Roman"/>
          <w:sz w:val="28"/>
          <w:szCs w:val="28"/>
        </w:rPr>
        <w:t>de Derecho Tributario, para desestimular el consumo de bienes de esta condición importados, el legislador, en su l</w:t>
      </w:r>
      <w:r w:rsidRPr="00DB3EEA">
        <w:rPr>
          <w:rFonts w:ascii="Times New Roman" w:hAnsi="Times New Roman" w:cs="Times New Roman"/>
          <w:sz w:val="28"/>
          <w:szCs w:val="28"/>
        </w:rPr>
        <w:t>ibertad de configuración, estableció una base gravable que no está demostrado que conduzca a situaciones confiscatorias, desproporcionadas o inequitativas, pues a todos los importadores se le aplican de la misma forma y cuantía”</w:t>
      </w:r>
      <w:r w:rsidRPr="00DB3EEA">
        <w:rPr>
          <w:rStyle w:val="Refdenotaalpie"/>
          <w:rFonts w:ascii="Times New Roman" w:hAnsi="Times New Roman" w:cs="Times New Roman"/>
          <w:sz w:val="28"/>
          <w:szCs w:val="28"/>
        </w:rPr>
        <w:footnoteReference w:id="201"/>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De igual forma, no discri</w:t>
      </w:r>
      <w:r w:rsidRPr="00DB3EEA">
        <w:rPr>
          <w:rFonts w:ascii="Times New Roman" w:hAnsi="Times New Roman" w:cs="Times New Roman"/>
          <w:sz w:val="28"/>
          <w:szCs w:val="28"/>
        </w:rPr>
        <w:t>min</w:t>
      </w:r>
      <w:r w:rsidRPr="00DB3EEA">
        <w:rPr>
          <w:rFonts w:ascii="Times New Roman" w:hAnsi="Times New Roman" w:cs="Times New Roman"/>
          <w:sz w:val="28"/>
          <w:szCs w:val="28"/>
        </w:rPr>
        <w:t>a</w:t>
      </w:r>
      <w:r w:rsidRPr="00DB3EEA">
        <w:rPr>
          <w:rFonts w:ascii="Times New Roman" w:hAnsi="Times New Roman" w:cs="Times New Roman"/>
          <w:sz w:val="28"/>
          <w:szCs w:val="28"/>
        </w:rPr>
        <w:t xml:space="preserve"> en ninguna forma </w:t>
      </w:r>
      <w:r w:rsidRPr="00DB3EEA">
        <w:rPr>
          <w:rFonts w:ascii="Times New Roman" w:hAnsi="Times New Roman" w:cs="Times New Roman"/>
          <w:sz w:val="28"/>
          <w:szCs w:val="28"/>
        </w:rPr>
        <w:t>la capacidad contributiva, sino que considera las características especiales de los productos,</w:t>
      </w:r>
      <w:r w:rsidRPr="00DB3EEA">
        <w:rPr>
          <w:rFonts w:ascii="Times New Roman" w:hAnsi="Times New Roman" w:cs="Times New Roman"/>
          <w:sz w:val="28"/>
          <w:szCs w:val="28"/>
        </w:rPr>
        <w:t xml:space="preserve"> para la determinación de la base gravable de los importados y nacionales.</w:t>
      </w:r>
      <w:r w:rsidRPr="00DB3EEA">
        <w:rPr>
          <w:rFonts w:ascii="Times New Roman" w:hAnsi="Times New Roman" w:cs="Times New Roman"/>
          <w:sz w:val="28"/>
          <w:szCs w:val="28"/>
        </w:rPr>
        <w:t xml:space="preserve"> </w:t>
      </w:r>
    </w:p>
    <w:p w:rsidR="00C25367" w:rsidRPr="00DB3EEA" w:rsidRDefault="00DB3EEA" w:rsidP="00C25367">
      <w:pPr>
        <w:pStyle w:val="Prrafodelista"/>
        <w:rPr>
          <w:rFonts w:ascii="Times New Roman" w:eastAsia="Aptos" w:hAnsi="Times New Roman" w:cs="Times New Roman"/>
          <w:kern w:val="2"/>
          <w:sz w:val="28"/>
          <w:szCs w:val="28"/>
          <w14:ligatures w14:val="standardContextual"/>
        </w:rPr>
      </w:pPr>
    </w:p>
    <w:p w:rsidR="00930CC6" w:rsidRPr="00DB3EEA" w:rsidRDefault="00DB3EEA" w:rsidP="00930CC6">
      <w:pPr>
        <w:pStyle w:val="Prrafodelista"/>
        <w:numPr>
          <w:ilvl w:val="0"/>
          <w:numId w:val="1"/>
        </w:numPr>
        <w:ind w:left="0" w:firstLine="0"/>
        <w:jc w:val="both"/>
        <w:rPr>
          <w:rFonts w:ascii="Times New Roman" w:eastAsia="Aptos" w:hAnsi="Times New Roman" w:cs="Times New Roman"/>
          <w:kern w:val="2"/>
          <w:sz w:val="28"/>
          <w:szCs w:val="28"/>
          <w14:ligatures w14:val="standardContextual"/>
        </w:rPr>
      </w:pPr>
      <w:r w:rsidRPr="00DB3EEA">
        <w:rPr>
          <w:rFonts w:ascii="Times New Roman" w:eastAsia="Aptos" w:hAnsi="Times New Roman" w:cs="Times New Roman"/>
          <w:kern w:val="2"/>
          <w:sz w:val="28"/>
          <w:szCs w:val="28"/>
          <w14:ligatures w14:val="standardContextual"/>
        </w:rPr>
        <w:t xml:space="preserve">No sobra recordar, como se dijo en la parte considerativa de esta providencia que el principio de equidad en su dimensión horizontal implica la </w:t>
      </w:r>
      <w:r w:rsidRPr="00DB3EEA">
        <w:rPr>
          <w:rFonts w:ascii="Times New Roman" w:hAnsi="Times New Roman" w:cs="Times New Roman"/>
          <w:sz w:val="28"/>
          <w:szCs w:val="28"/>
          <w:lang w:val="es-ES" w:eastAsia="en-US"/>
        </w:rPr>
        <w:t>la prohibición de que el orden jurídico imponga obligaciones excesivas o beneficios desbordados al contribuyente</w:t>
      </w:r>
      <w:r w:rsidRPr="00DB3EEA">
        <w:rPr>
          <w:rFonts w:ascii="Times New Roman" w:hAnsi="Times New Roman" w:cs="Times New Roman"/>
          <w:sz w:val="28"/>
          <w:szCs w:val="28"/>
          <w:lang w:val="es-ES" w:eastAsia="en-US"/>
        </w:rPr>
        <w:t xml:space="preserve">, tal y como lo ha desarrollado la jurisprudencia </w:t>
      </w:r>
      <w:r w:rsidRPr="00DB3EEA">
        <w:rPr>
          <w:rFonts w:ascii="Times New Roman" w:hAnsi="Times New Roman" w:cs="Times New Roman"/>
          <w:sz w:val="28"/>
          <w:szCs w:val="28"/>
          <w:lang w:val="es-ES" w:eastAsia="en-US"/>
        </w:rPr>
        <w:t>en las sentencias C-600 de 2015</w:t>
      </w:r>
      <w:r w:rsidRPr="00DB3EEA">
        <w:rPr>
          <w:rFonts w:ascii="Times New Roman" w:hAnsi="Times New Roman" w:cs="Times New Roman"/>
          <w:sz w:val="28"/>
          <w:vertAlign w:val="superscript"/>
          <w:lang w:val="es-ES" w:eastAsia="en-US"/>
        </w:rPr>
        <w:footnoteReference w:id="202"/>
      </w:r>
      <w:r w:rsidRPr="00DB3EEA">
        <w:rPr>
          <w:rFonts w:ascii="Times New Roman" w:hAnsi="Times New Roman" w:cs="Times New Roman"/>
          <w:sz w:val="28"/>
          <w:szCs w:val="28"/>
          <w:lang w:val="es-ES" w:eastAsia="en-US"/>
        </w:rPr>
        <w:t>, C-266 de 2019</w:t>
      </w:r>
      <w:r w:rsidRPr="00DB3EEA">
        <w:rPr>
          <w:rFonts w:ascii="Times New Roman" w:hAnsi="Times New Roman" w:cs="Times New Roman"/>
          <w:sz w:val="28"/>
          <w:vertAlign w:val="superscript"/>
          <w:lang w:val="es-ES" w:eastAsia="en-US"/>
        </w:rPr>
        <w:footnoteReference w:id="203"/>
      </w:r>
      <w:r w:rsidRPr="00DB3EEA">
        <w:rPr>
          <w:rFonts w:ascii="Times New Roman" w:hAnsi="Times New Roman" w:cs="Times New Roman"/>
          <w:sz w:val="28"/>
          <w:szCs w:val="28"/>
          <w:lang w:val="es-ES" w:eastAsia="en-US"/>
        </w:rPr>
        <w:t>, C-431 de 2020</w:t>
      </w:r>
      <w:r w:rsidRPr="00DB3EEA">
        <w:rPr>
          <w:rFonts w:ascii="Times New Roman" w:hAnsi="Times New Roman" w:cs="Times New Roman"/>
          <w:sz w:val="28"/>
          <w:vertAlign w:val="superscript"/>
          <w:lang w:val="es-ES" w:eastAsia="en-US"/>
        </w:rPr>
        <w:footnoteReference w:id="204"/>
      </w:r>
      <w:r w:rsidRPr="00DB3EEA">
        <w:rPr>
          <w:rFonts w:ascii="Times New Roman" w:hAnsi="Times New Roman" w:cs="Times New Roman"/>
          <w:sz w:val="28"/>
          <w:szCs w:val="28"/>
          <w:lang w:val="es-ES" w:eastAsia="en-US"/>
        </w:rPr>
        <w:t xml:space="preserve"> y C-059 de 2021</w:t>
      </w:r>
      <w:r w:rsidRPr="00DB3EEA">
        <w:rPr>
          <w:rFonts w:ascii="Times New Roman" w:hAnsi="Times New Roman" w:cs="Times New Roman"/>
          <w:sz w:val="28"/>
          <w:vertAlign w:val="superscript"/>
          <w:lang w:val="es-ES" w:eastAsia="en-US"/>
        </w:rPr>
        <w:footnoteReference w:id="205"/>
      </w:r>
      <w:r w:rsidRPr="00DB3EEA">
        <w:rPr>
          <w:rFonts w:ascii="Times New Roman" w:hAnsi="Times New Roman" w:cs="Times New Roman"/>
          <w:sz w:val="28"/>
          <w:szCs w:val="28"/>
          <w:lang w:val="es-ES" w:eastAsia="en-US"/>
        </w:rPr>
        <w:t>.</w:t>
      </w:r>
      <w:r w:rsidRPr="00DB3EEA">
        <w:rPr>
          <w:rFonts w:ascii="Times New Roman" w:hAnsi="Times New Roman" w:cs="Times New Roman"/>
          <w:sz w:val="28"/>
          <w:szCs w:val="28"/>
          <w:lang w:val="es-ES" w:eastAsia="en-US"/>
        </w:rPr>
        <w:t xml:space="preserve"> La equidad horizontal implica que</w:t>
      </w:r>
      <w:r w:rsidRPr="00DB3EEA">
        <w:rPr>
          <w:rFonts w:ascii="Times New Roman" w:eastAsia="Aptos" w:hAnsi="Times New Roman" w:cs="Times New Roman"/>
          <w:kern w:val="2"/>
          <w:sz w:val="28"/>
          <w:szCs w:val="28"/>
          <w14:ligatures w14:val="standardContextual"/>
        </w:rPr>
        <w:t xml:space="preserve"> </w:t>
      </w:r>
      <w:r w:rsidRPr="00DB3EEA">
        <w:rPr>
          <w:rFonts w:ascii="Times New Roman" w:eastAsiaTheme="minorHAnsi" w:hAnsi="Times New Roman" w:cs="Times New Roman"/>
          <w:sz w:val="28"/>
          <w:szCs w:val="28"/>
          <w:lang w:eastAsia="en-US"/>
        </w:rPr>
        <w:t>el sistema tributario debe tratar de idéntica manera a las personas que, antes de tributa</w:t>
      </w:r>
      <w:r w:rsidRPr="00DB3EEA">
        <w:rPr>
          <w:rFonts w:ascii="Times New Roman" w:eastAsiaTheme="minorHAnsi" w:hAnsi="Times New Roman" w:cs="Times New Roman"/>
          <w:sz w:val="28"/>
          <w:szCs w:val="28"/>
          <w:lang w:eastAsia="en-US"/>
        </w:rPr>
        <w:t>r, gozan de la misma capacidad económica, de modo tal que queden situadas en el mismo nivel después de pagar sus contribuciones.</w:t>
      </w:r>
      <w:r w:rsidRPr="00DB3EEA">
        <w:rPr>
          <w:rFonts w:ascii="Times New Roman" w:eastAsiaTheme="minorHAnsi" w:hAnsi="Times New Roman" w:cs="Times New Roman"/>
          <w:sz w:val="28"/>
          <w:szCs w:val="28"/>
          <w:lang w:eastAsia="en-US"/>
        </w:rPr>
        <w:t xml:space="preserve"> Esta situación se produce, como se ha explicado, en el caso concreto.</w:t>
      </w:r>
    </w:p>
    <w:p w:rsidR="00930CC6" w:rsidRPr="00DB3EEA" w:rsidRDefault="00DB3EEA" w:rsidP="00930CC6">
      <w:pPr>
        <w:pStyle w:val="Prrafodelista"/>
        <w:ind w:left="0"/>
        <w:jc w:val="both"/>
        <w:rPr>
          <w:rFonts w:ascii="Times New Roman" w:eastAsia="Aptos" w:hAnsi="Times New Roman" w:cs="Times New Roman"/>
          <w:kern w:val="2"/>
          <w:sz w:val="28"/>
          <w:szCs w:val="28"/>
          <w14:ligatures w14:val="standardContextual"/>
        </w:rPr>
      </w:pPr>
    </w:p>
    <w:p w:rsidR="001112D5" w:rsidRPr="00DB3EEA" w:rsidRDefault="00DB3EEA">
      <w:pPr>
        <w:pStyle w:val="Prrafodelista"/>
        <w:numPr>
          <w:ilvl w:val="0"/>
          <w:numId w:val="6"/>
        </w:numPr>
        <w:tabs>
          <w:tab w:val="left" w:pos="284"/>
          <w:tab w:val="left" w:pos="426"/>
        </w:tabs>
        <w:ind w:left="714" w:hanging="357"/>
        <w:jc w:val="both"/>
        <w:outlineLvl w:val="1"/>
        <w:rPr>
          <w:rFonts w:ascii="Times New Roman" w:eastAsia="Calibri" w:hAnsi="Times New Roman" w:cs="Times New Roman"/>
          <w:sz w:val="28"/>
          <w:szCs w:val="28"/>
          <w:lang w:eastAsia="es-ES"/>
        </w:rPr>
      </w:pPr>
      <w:bookmarkStart w:id="15" w:name="_Hlk219952014"/>
      <w:r w:rsidRPr="00DB3EEA">
        <w:rPr>
          <w:rFonts w:ascii="Times New Roman" w:eastAsia="Calibri" w:hAnsi="Times New Roman" w:cs="Times New Roman"/>
          <w:b/>
          <w:sz w:val="28"/>
          <w:szCs w:val="28"/>
          <w:lang w:eastAsia="es-ES"/>
        </w:rPr>
        <w:t xml:space="preserve">Análisis del cargo </w:t>
      </w:r>
      <w:r w:rsidRPr="00DB3EEA">
        <w:rPr>
          <w:rFonts w:ascii="Times New Roman" w:eastAsia="Calibri" w:hAnsi="Times New Roman" w:cs="Times New Roman"/>
          <w:b/>
          <w:sz w:val="28"/>
          <w:szCs w:val="28"/>
          <w:lang w:eastAsia="es-ES"/>
        </w:rPr>
        <w:t xml:space="preserve">de </w:t>
      </w:r>
      <w:r w:rsidRPr="00DB3EEA">
        <w:rPr>
          <w:rFonts w:ascii="Times New Roman" w:eastAsia="Calibri" w:hAnsi="Times New Roman" w:cs="Times New Roman"/>
          <w:b/>
          <w:sz w:val="28"/>
          <w:szCs w:val="28"/>
          <w:lang w:eastAsia="es-ES"/>
        </w:rPr>
        <w:t>presunta vulneración</w:t>
      </w:r>
      <w:r w:rsidRPr="00DB3EEA">
        <w:rPr>
          <w:rFonts w:ascii="Times New Roman" w:eastAsia="Calibri" w:hAnsi="Times New Roman" w:cs="Times New Roman"/>
          <w:b/>
          <w:sz w:val="28"/>
          <w:szCs w:val="28"/>
          <w:lang w:eastAsia="es-ES"/>
        </w:rPr>
        <w:t xml:space="preserve"> a la reserva de ley marco en materia </w:t>
      </w:r>
      <w:bookmarkEnd w:id="15"/>
      <w:r w:rsidRPr="00DB3EEA">
        <w:rPr>
          <w:rFonts w:ascii="Times New Roman" w:eastAsia="Calibri" w:hAnsi="Times New Roman" w:cs="Times New Roman"/>
          <w:b/>
          <w:bCs/>
          <w:sz w:val="28"/>
          <w:szCs w:val="28"/>
          <w:lang w:eastAsia="es-ES"/>
        </w:rPr>
        <w:t>a</w:t>
      </w:r>
      <w:r w:rsidRPr="00DB3EEA">
        <w:rPr>
          <w:rFonts w:ascii="Times New Roman" w:eastAsia="Calibri" w:hAnsi="Times New Roman" w:cs="Times New Roman"/>
          <w:b/>
          <w:bCs/>
          <w:sz w:val="28"/>
          <w:szCs w:val="28"/>
          <w:lang w:eastAsia="es-ES"/>
        </w:rPr>
        <w:t>duanera</w:t>
      </w:r>
    </w:p>
    <w:p w:rsidR="00B92D15" w:rsidRPr="00DB3EEA" w:rsidRDefault="00DB3EEA" w:rsidP="00B92D15">
      <w:pPr>
        <w:pStyle w:val="Prrafodelista"/>
        <w:tabs>
          <w:tab w:val="left" w:pos="284"/>
          <w:tab w:val="left" w:pos="426"/>
        </w:tabs>
        <w:ind w:left="714"/>
        <w:jc w:val="both"/>
        <w:outlineLvl w:val="1"/>
        <w:rPr>
          <w:rFonts w:ascii="Times New Roman" w:eastAsia="Calibri" w:hAnsi="Times New Roman" w:cs="Times New Roman"/>
          <w:sz w:val="28"/>
          <w:szCs w:val="28"/>
          <w:lang w:eastAsia="es-ES"/>
        </w:rPr>
      </w:pPr>
    </w:p>
    <w:p w:rsidR="00A03133" w:rsidRPr="00DB3EEA" w:rsidRDefault="00DB3EEA" w:rsidP="00A03133">
      <w:pPr>
        <w:pStyle w:val="Prrafodelista"/>
        <w:numPr>
          <w:ilvl w:val="0"/>
          <w:numId w:val="1"/>
        </w:numPr>
        <w:shd w:val="clear" w:color="auto" w:fill="FFFFFF"/>
        <w:ind w:left="0" w:firstLine="0"/>
        <w:jc w:val="both"/>
        <w:textAlignment w:val="baseline"/>
        <w:rPr>
          <w:rFonts w:ascii="Times New Roman" w:hAnsi="Times New Roman" w:cs="Times New Roman"/>
          <w:sz w:val="28"/>
          <w:szCs w:val="28"/>
        </w:rPr>
      </w:pPr>
      <w:r w:rsidRPr="00DB3EEA">
        <w:rPr>
          <w:rFonts w:ascii="Times New Roman" w:hAnsi="Times New Roman" w:cs="Times New Roman"/>
          <w:sz w:val="28"/>
          <w:szCs w:val="28"/>
        </w:rPr>
        <w:t xml:space="preserve">De acuerdo con la demanda y su corrección, el uso del término </w:t>
      </w:r>
      <w:r w:rsidRPr="00DB3EEA">
        <w:rPr>
          <w:rFonts w:ascii="Times New Roman" w:hAnsi="Times New Roman" w:cs="Times New Roman"/>
          <w:i/>
          <w:iCs/>
          <w:sz w:val="28"/>
          <w:szCs w:val="28"/>
        </w:rPr>
        <w:t>tributos aduaneros</w:t>
      </w:r>
      <w:r w:rsidRPr="00DB3EEA">
        <w:rPr>
          <w:rFonts w:ascii="Times New Roman" w:hAnsi="Times New Roman" w:cs="Times New Roman"/>
          <w:sz w:val="28"/>
          <w:szCs w:val="28"/>
        </w:rPr>
        <w:t xml:space="preserve"> en lugar de </w:t>
      </w:r>
      <w:r w:rsidRPr="00DB3EEA">
        <w:rPr>
          <w:rFonts w:ascii="Times New Roman" w:hAnsi="Times New Roman" w:cs="Times New Roman"/>
          <w:i/>
          <w:iCs/>
          <w:sz w:val="28"/>
          <w:szCs w:val="28"/>
        </w:rPr>
        <w:t>derechos de aduana</w:t>
      </w:r>
      <w:r w:rsidRPr="00DB3EEA">
        <w:rPr>
          <w:rFonts w:ascii="Times New Roman" w:hAnsi="Times New Roman" w:cs="Times New Roman"/>
          <w:sz w:val="28"/>
          <w:szCs w:val="28"/>
        </w:rPr>
        <w:t xml:space="preserve"> agregó a la base gravable de los productos importados el valor del IVA</w:t>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 xml:space="preserve">lo que —según los </w:t>
      </w:r>
      <w:r w:rsidRPr="00DB3EEA">
        <w:rPr>
          <w:rFonts w:ascii="Times New Roman" w:hAnsi="Times New Roman" w:cs="Times New Roman"/>
          <w:sz w:val="28"/>
          <w:szCs w:val="28"/>
        </w:rPr>
        <w:t xml:space="preserve">demandantes— genera una situación de inequidad frente a los productores nacionales. Afirman que, dado que este trato diferencial no se encuentra justificado ni en los debates del Congreso ni en la exposición de motivos de la norma cuestionada, su adopción </w:t>
      </w:r>
      <w:r w:rsidRPr="00DB3EEA">
        <w:rPr>
          <w:rFonts w:ascii="Times New Roman" w:hAnsi="Times New Roman" w:cs="Times New Roman"/>
          <w:sz w:val="28"/>
          <w:szCs w:val="28"/>
        </w:rPr>
        <w:t>respondería a razones de política comercial orientadas a favorecer los productos nacionales frente a los importados.</w:t>
      </w:r>
    </w:p>
    <w:p w:rsidR="00A03133" w:rsidRPr="00DB3EEA" w:rsidRDefault="00DB3EEA" w:rsidP="00A03133">
      <w:pPr>
        <w:pStyle w:val="Prrafodelista"/>
        <w:shd w:val="clear" w:color="auto" w:fill="FFFFFF"/>
        <w:ind w:left="0"/>
        <w:jc w:val="both"/>
        <w:textAlignment w:val="baseline"/>
        <w:rPr>
          <w:rFonts w:ascii="Times New Roman" w:hAnsi="Times New Roman" w:cs="Times New Roman"/>
          <w:sz w:val="28"/>
          <w:szCs w:val="28"/>
        </w:rPr>
      </w:pPr>
    </w:p>
    <w:p w:rsidR="00A03133" w:rsidRPr="00DB3EEA" w:rsidRDefault="00DB3EEA" w:rsidP="00A03133">
      <w:pPr>
        <w:pStyle w:val="Prrafodelista"/>
        <w:numPr>
          <w:ilvl w:val="0"/>
          <w:numId w:val="1"/>
        </w:numPr>
        <w:shd w:val="clear" w:color="auto" w:fill="FFFFFF"/>
        <w:ind w:left="0" w:firstLine="0"/>
        <w:jc w:val="both"/>
        <w:textAlignment w:val="baseline"/>
        <w:rPr>
          <w:rFonts w:ascii="Times New Roman" w:hAnsi="Times New Roman" w:cs="Times New Roman"/>
          <w:sz w:val="28"/>
          <w:szCs w:val="28"/>
        </w:rPr>
      </w:pPr>
      <w:r w:rsidRPr="00DB3EEA">
        <w:rPr>
          <w:rFonts w:ascii="Times New Roman" w:hAnsi="Times New Roman" w:cs="Times New Roman"/>
          <w:sz w:val="28"/>
          <w:szCs w:val="28"/>
        </w:rPr>
        <w:t xml:space="preserve">A juicio de los demandantes, esta circunstancia </w:t>
      </w:r>
      <w:bookmarkStart w:id="16" w:name="_Hlk219947311"/>
      <w:r w:rsidRPr="00DB3EEA">
        <w:rPr>
          <w:rFonts w:ascii="Times New Roman" w:hAnsi="Times New Roman" w:cs="Times New Roman"/>
          <w:sz w:val="28"/>
          <w:szCs w:val="28"/>
        </w:rPr>
        <w:t xml:space="preserve">configura una vulneración de la reserva de ley marco en materia </w:t>
      </w:r>
      <w:r w:rsidRPr="00DB3EEA">
        <w:rPr>
          <w:rFonts w:ascii="Times New Roman" w:hAnsi="Times New Roman" w:cs="Times New Roman"/>
          <w:sz w:val="28"/>
          <w:szCs w:val="28"/>
        </w:rPr>
        <w:t>aduanera</w:t>
      </w:r>
      <w:r w:rsidRPr="00DB3EEA">
        <w:rPr>
          <w:rFonts w:ascii="Times New Roman" w:hAnsi="Times New Roman" w:cs="Times New Roman"/>
          <w:sz w:val="28"/>
          <w:szCs w:val="28"/>
        </w:rPr>
        <w:t xml:space="preserve"> prevista en los a</w:t>
      </w:r>
      <w:r w:rsidRPr="00DB3EEA">
        <w:rPr>
          <w:rFonts w:ascii="Times New Roman" w:hAnsi="Times New Roman" w:cs="Times New Roman"/>
          <w:sz w:val="28"/>
          <w:szCs w:val="28"/>
        </w:rPr>
        <w:t xml:space="preserve">rtículos 150-19, literal c), y 189-25 de la Constitución Política, en la medida en que el </w:t>
      </w:r>
      <w:r w:rsidRPr="00DB3EEA">
        <w:rPr>
          <w:rFonts w:ascii="Times New Roman" w:hAnsi="Times New Roman" w:cs="Times New Roman"/>
          <w:sz w:val="28"/>
          <w:szCs w:val="28"/>
        </w:rPr>
        <w:t>legislador</w:t>
      </w:r>
      <w:r w:rsidRPr="00DB3EEA">
        <w:rPr>
          <w:rFonts w:ascii="Times New Roman" w:hAnsi="Times New Roman" w:cs="Times New Roman"/>
          <w:sz w:val="28"/>
          <w:szCs w:val="28"/>
        </w:rPr>
        <w:t xml:space="preserve"> habría definido elementos propios del arancel “sin que el Gobierno Nacional haya tenido, o pueda tener en el futuro, la oportunidad de evaluar la convenien</w:t>
      </w:r>
      <w:r w:rsidRPr="00DB3EEA">
        <w:rPr>
          <w:rFonts w:ascii="Times New Roman" w:hAnsi="Times New Roman" w:cs="Times New Roman"/>
          <w:sz w:val="28"/>
          <w:szCs w:val="28"/>
        </w:rPr>
        <w:t>cia de este arancel a la luz de la política comercial, con el fin de aumentarlo o disminuirlo</w:t>
      </w:r>
      <w:bookmarkEnd w:id="16"/>
      <w:r w:rsidRPr="00DB3EEA">
        <w:rPr>
          <w:rFonts w:ascii="Times New Roman" w:hAnsi="Times New Roman" w:cs="Times New Roman"/>
          <w:sz w:val="28"/>
          <w:szCs w:val="28"/>
        </w:rPr>
        <w:t>”</w:t>
      </w:r>
      <w:r w:rsidRPr="00DB3EEA">
        <w:rPr>
          <w:rStyle w:val="Refdenotaalpie"/>
          <w:rFonts w:ascii="Times New Roman" w:hAnsi="Times New Roman" w:cs="Times New Roman"/>
          <w:sz w:val="28"/>
          <w:szCs w:val="28"/>
        </w:rPr>
        <w:footnoteReference w:id="206"/>
      </w:r>
      <w:r w:rsidRPr="00DB3EEA">
        <w:rPr>
          <w:rFonts w:ascii="Times New Roman" w:hAnsi="Times New Roman" w:cs="Times New Roman"/>
          <w:sz w:val="28"/>
          <w:szCs w:val="28"/>
        </w:rPr>
        <w:t>. Esta postura es compartida por algunas intervenciones, que sostienen que, al fundarse exclusivamente en el origen del bien, la diferencia tributaria constituye</w:t>
      </w:r>
      <w:r w:rsidRPr="00DB3EEA">
        <w:rPr>
          <w:rFonts w:ascii="Times New Roman" w:hAnsi="Times New Roman" w:cs="Times New Roman"/>
          <w:sz w:val="28"/>
          <w:szCs w:val="28"/>
        </w:rPr>
        <w:t xml:space="preserve"> materialmente un arancel con fines de política comercial.</w:t>
      </w:r>
    </w:p>
    <w:p w:rsidR="00A03133" w:rsidRPr="00DB3EEA" w:rsidRDefault="00DB3EEA" w:rsidP="00A03133">
      <w:pPr>
        <w:pStyle w:val="Prrafodelista"/>
        <w:rPr>
          <w:rFonts w:ascii="Times New Roman" w:hAnsi="Times New Roman" w:cs="Times New Roman"/>
          <w:sz w:val="28"/>
          <w:szCs w:val="28"/>
        </w:rPr>
      </w:pPr>
    </w:p>
    <w:p w:rsidR="00A03133" w:rsidRPr="00DB3EEA" w:rsidRDefault="00DB3EEA" w:rsidP="42094F8C">
      <w:pPr>
        <w:pStyle w:val="Prrafodelista"/>
        <w:numPr>
          <w:ilvl w:val="0"/>
          <w:numId w:val="1"/>
        </w:numPr>
        <w:shd w:val="clear" w:color="auto" w:fill="FFFFFF" w:themeFill="background1"/>
        <w:ind w:left="0" w:firstLine="0"/>
        <w:jc w:val="both"/>
        <w:textAlignment w:val="baseline"/>
        <w:rPr>
          <w:rFonts w:ascii="Times New Roman" w:hAnsi="Times New Roman" w:cs="Times New Roman"/>
          <w:sz w:val="28"/>
          <w:szCs w:val="28"/>
        </w:rPr>
      </w:pPr>
      <w:r w:rsidRPr="00DB3EEA">
        <w:rPr>
          <w:rFonts w:ascii="Times New Roman" w:hAnsi="Times New Roman" w:cs="Times New Roman"/>
          <w:sz w:val="28"/>
          <w:szCs w:val="28"/>
        </w:rPr>
        <w:t xml:space="preserve">En contraposición, otros intervinientes discrepan de esta postura y sostienen: (i) que no existe una distinción real entre las bases gravables que pueda ser entendida como un arancel; o (ii) que, </w:t>
      </w:r>
      <w:r w:rsidRPr="00DB3EEA">
        <w:rPr>
          <w:rFonts w:ascii="Times New Roman" w:hAnsi="Times New Roman" w:cs="Times New Roman"/>
          <w:sz w:val="28"/>
          <w:szCs w:val="28"/>
        </w:rPr>
        <w:t>en todo caso, la diferencia en las bases gravables no persigue ningún fin comercial, sino exclusivamente fines fiscales, por lo que la interpretación de los accionantes resulta subjetiva.</w:t>
      </w:r>
    </w:p>
    <w:p w:rsidR="00A03133" w:rsidRPr="00DB3EEA" w:rsidRDefault="00DB3EEA" w:rsidP="42094F8C">
      <w:pPr>
        <w:pStyle w:val="Prrafodelista"/>
        <w:rPr>
          <w:rFonts w:ascii="Times New Roman" w:hAnsi="Times New Roman" w:cs="Times New Roman"/>
          <w:sz w:val="28"/>
          <w:szCs w:val="28"/>
        </w:rPr>
      </w:pPr>
    </w:p>
    <w:p w:rsidR="00B447A4" w:rsidRPr="00DB3EEA" w:rsidRDefault="00DB3EEA" w:rsidP="00B447A4">
      <w:pPr>
        <w:pStyle w:val="Prrafodelista"/>
        <w:numPr>
          <w:ilvl w:val="0"/>
          <w:numId w:val="1"/>
        </w:numPr>
        <w:shd w:val="clear" w:color="auto" w:fill="FFFFFF" w:themeFill="background1"/>
        <w:ind w:left="0" w:firstLine="0"/>
        <w:jc w:val="both"/>
        <w:textAlignment w:val="baseline"/>
        <w:rPr>
          <w:rFonts w:ascii="Times New Roman" w:hAnsi="Times New Roman" w:cs="Times New Roman"/>
          <w:sz w:val="28"/>
          <w:szCs w:val="28"/>
        </w:rPr>
      </w:pPr>
      <w:bookmarkStart w:id="17" w:name="_Hlk219948537"/>
      <w:bookmarkStart w:id="18" w:name="_Hlk219952059"/>
      <w:r w:rsidRPr="00DB3EEA">
        <w:rPr>
          <w:rFonts w:ascii="Times New Roman" w:hAnsi="Times New Roman" w:cs="Times New Roman"/>
          <w:sz w:val="28"/>
          <w:szCs w:val="28"/>
        </w:rPr>
        <w:t xml:space="preserve">Según la jurisprudencia de la Corte, la reserva de ley marco —como </w:t>
      </w:r>
      <w:r w:rsidRPr="00DB3EEA">
        <w:rPr>
          <w:rFonts w:ascii="Times New Roman" w:hAnsi="Times New Roman" w:cs="Times New Roman"/>
          <w:sz w:val="28"/>
          <w:szCs w:val="28"/>
        </w:rPr>
        <w:t xml:space="preserve">técnica legislativa de carácter excepcional— se circunscribe únicamente a los escenarios expresamente previstos en la Constitución Política. En materia </w:t>
      </w:r>
      <w:r w:rsidRPr="00DB3EEA">
        <w:rPr>
          <w:rFonts w:ascii="Times New Roman" w:hAnsi="Times New Roman" w:cs="Times New Roman"/>
          <w:sz w:val="28"/>
          <w:szCs w:val="28"/>
        </w:rPr>
        <w:t>aduanera</w:t>
      </w:r>
      <w:r w:rsidRPr="00DB3EEA">
        <w:rPr>
          <w:rFonts w:ascii="Times New Roman" w:hAnsi="Times New Roman" w:cs="Times New Roman"/>
          <w:sz w:val="28"/>
          <w:szCs w:val="28"/>
        </w:rPr>
        <w:t>, ello implica que su aplicación se limita a “razones de política comercial”</w:t>
      </w:r>
      <w:bookmarkEnd w:id="17"/>
      <w:r w:rsidRPr="00DB3EEA">
        <w:rPr>
          <w:rStyle w:val="Refdenotaalpie"/>
          <w:rFonts w:ascii="Times New Roman" w:hAnsi="Times New Roman" w:cs="Times New Roman"/>
          <w:sz w:val="28"/>
          <w:szCs w:val="28"/>
        </w:rPr>
        <w:footnoteReference w:id="207"/>
      </w:r>
      <w:r w:rsidRPr="00DB3EEA">
        <w:rPr>
          <w:rFonts w:ascii="Times New Roman" w:hAnsi="Times New Roman" w:cs="Times New Roman"/>
          <w:sz w:val="28"/>
          <w:szCs w:val="28"/>
        </w:rPr>
        <w:t>, es decir, “</w:t>
      </w:r>
      <w:r w:rsidRPr="00DB3EEA">
        <w:rPr>
          <w:rFonts w:ascii="Times New Roman" w:hAnsi="Times New Roman" w:cs="Times New Roman"/>
          <w:i/>
          <w:iCs/>
          <w:sz w:val="28"/>
          <w:szCs w:val="28"/>
        </w:rPr>
        <w:t xml:space="preserve">al </w:t>
      </w:r>
      <w:r w:rsidRPr="00DB3EEA">
        <w:rPr>
          <w:rFonts w:ascii="Times New Roman" w:hAnsi="Times New Roman" w:cs="Times New Roman"/>
          <w:i/>
          <w:iCs/>
          <w:sz w:val="28"/>
          <w:szCs w:val="28"/>
        </w:rPr>
        <w:t>logro de objetivos que tengan un claro y marcado propósito comercial y que, además, obedezcan al carácter dinámico y altamente especializado que caracteriza a las materias objeto de dicha regulación especial</w:t>
      </w:r>
      <w:r w:rsidRPr="00DB3EEA">
        <w:rPr>
          <w:rFonts w:ascii="Times New Roman" w:hAnsi="Times New Roman" w:cs="Times New Roman"/>
          <w:sz w:val="28"/>
          <w:szCs w:val="28"/>
        </w:rPr>
        <w:t>”</w:t>
      </w:r>
      <w:r w:rsidRPr="00DB3EEA">
        <w:rPr>
          <w:rStyle w:val="Refdenotaalpie"/>
          <w:rFonts w:ascii="Times New Roman" w:hAnsi="Times New Roman" w:cs="Times New Roman"/>
          <w:sz w:val="28"/>
          <w:szCs w:val="28"/>
        </w:rPr>
        <w:footnoteReference w:id="208"/>
      </w:r>
      <w:r w:rsidRPr="00DB3EEA">
        <w:rPr>
          <w:rFonts w:ascii="Times New Roman" w:hAnsi="Times New Roman" w:cs="Times New Roman"/>
          <w:sz w:val="28"/>
          <w:szCs w:val="28"/>
        </w:rPr>
        <w:t>.</w:t>
      </w:r>
    </w:p>
    <w:p w:rsidR="00B447A4" w:rsidRPr="00DB3EEA" w:rsidRDefault="00DB3EEA" w:rsidP="00B447A4">
      <w:pPr>
        <w:pStyle w:val="Prrafodelista"/>
        <w:rPr>
          <w:rFonts w:ascii="Times New Roman" w:hAnsi="Times New Roman" w:cs="Times New Roman"/>
          <w:sz w:val="28"/>
          <w:szCs w:val="28"/>
        </w:rPr>
      </w:pPr>
    </w:p>
    <w:p w:rsidR="00CE4CFA" w:rsidRPr="00DB3EEA" w:rsidRDefault="00DB3EEA" w:rsidP="00CE4CFA">
      <w:pPr>
        <w:pStyle w:val="Prrafodelista"/>
        <w:numPr>
          <w:ilvl w:val="0"/>
          <w:numId w:val="1"/>
        </w:numPr>
        <w:shd w:val="clear" w:color="auto" w:fill="FFFFFF" w:themeFill="background1"/>
        <w:ind w:left="0" w:firstLine="0"/>
        <w:jc w:val="both"/>
        <w:textAlignment w:val="baseline"/>
        <w:rPr>
          <w:rFonts w:ascii="Times New Roman" w:hAnsi="Times New Roman" w:cs="Times New Roman"/>
          <w:sz w:val="28"/>
          <w:szCs w:val="28"/>
        </w:rPr>
      </w:pPr>
      <w:r w:rsidRPr="00DB3EEA">
        <w:rPr>
          <w:rFonts w:ascii="Times New Roman" w:hAnsi="Times New Roman" w:cs="Times New Roman"/>
          <w:sz w:val="28"/>
          <w:szCs w:val="28"/>
        </w:rPr>
        <w:t>En ese sentido,</w:t>
      </w:r>
      <w:r w:rsidRPr="00DB3EEA">
        <w:rPr>
          <w:rFonts w:ascii="Times New Roman" w:hAnsi="Times New Roman" w:cs="Times New Roman"/>
          <w:sz w:val="28"/>
          <w:szCs w:val="28"/>
        </w:rPr>
        <w:t xml:space="preserve"> la </w:t>
      </w:r>
      <w:r w:rsidRPr="00DB3EEA">
        <w:rPr>
          <w:rFonts w:ascii="Times New Roman" w:hAnsi="Times New Roman" w:cs="Times New Roman"/>
          <w:sz w:val="28"/>
          <w:szCs w:val="28"/>
        </w:rPr>
        <w:t xml:space="preserve">Constitución establece una distribución de competencias: Al Congreso de la República le </w:t>
      </w:r>
      <w:r w:rsidRPr="00DB3EEA">
        <w:rPr>
          <w:rFonts w:ascii="Times New Roman" w:hAnsi="Times New Roman" w:cs="Times New Roman"/>
          <w:sz w:val="28"/>
          <w:szCs w:val="28"/>
        </w:rPr>
        <w:t xml:space="preserve">corresponde </w:t>
      </w:r>
      <w:r w:rsidRPr="00DB3EEA">
        <w:rPr>
          <w:rFonts w:ascii="Times New Roman" w:hAnsi="Times New Roman" w:cs="Times New Roman"/>
          <w:sz w:val="28"/>
          <w:szCs w:val="28"/>
        </w:rPr>
        <w:t>f</w:t>
      </w:r>
      <w:r w:rsidRPr="00DB3EEA">
        <w:rPr>
          <w:rFonts w:ascii="Times New Roman" w:hAnsi="Times New Roman" w:cs="Times New Roman"/>
          <w:sz w:val="28"/>
          <w:szCs w:val="28"/>
        </w:rPr>
        <w:t xml:space="preserve">ijar los objetivos y criterios generales en la materia, mientras que </w:t>
      </w:r>
      <w:r w:rsidRPr="00DB3EEA">
        <w:rPr>
          <w:rFonts w:ascii="Times New Roman" w:hAnsi="Times New Roman" w:cs="Times New Roman"/>
          <w:sz w:val="28"/>
          <w:szCs w:val="28"/>
        </w:rPr>
        <w:t>al Gobierno Nacional</w:t>
      </w:r>
      <w:r w:rsidRPr="00DB3EEA">
        <w:rPr>
          <w:rFonts w:ascii="Times New Roman" w:hAnsi="Times New Roman" w:cs="Times New Roman"/>
          <w:sz w:val="28"/>
          <w:szCs w:val="28"/>
        </w:rPr>
        <w:t xml:space="preserve"> le compete expedir los decretos ejecutivos dirigidos a regular de</w:t>
      </w:r>
      <w:r w:rsidRPr="00DB3EEA">
        <w:rPr>
          <w:rFonts w:ascii="Times New Roman" w:hAnsi="Times New Roman" w:cs="Times New Roman"/>
          <w:sz w:val="28"/>
          <w:szCs w:val="28"/>
        </w:rPr>
        <w:t xml:space="preserve"> manera detallada los asuntos de política comercial relacionados con aranceles y tarifas del régimen de aduanas</w:t>
      </w:r>
      <w:r w:rsidRPr="00DB3EEA">
        <w:rPr>
          <w:rStyle w:val="Refdenotaalpie"/>
          <w:rFonts w:ascii="Times New Roman" w:hAnsi="Times New Roman" w:cs="Times New Roman"/>
          <w:sz w:val="28"/>
          <w:szCs w:val="28"/>
        </w:rPr>
        <w:footnoteReference w:id="209"/>
      </w:r>
      <w:r w:rsidRPr="00DB3EEA">
        <w:rPr>
          <w:rFonts w:ascii="Times New Roman" w:hAnsi="Times New Roman" w:cs="Times New Roman"/>
          <w:sz w:val="28"/>
          <w:szCs w:val="28"/>
        </w:rPr>
        <w:t>.</w:t>
      </w:r>
      <w:bookmarkStart w:id="19" w:name="_Hlk219948375"/>
    </w:p>
    <w:p w:rsidR="00CE4CFA" w:rsidRPr="00DB3EEA" w:rsidRDefault="00DB3EEA" w:rsidP="00CE4CFA">
      <w:pPr>
        <w:pStyle w:val="Prrafodelista"/>
        <w:rPr>
          <w:rFonts w:ascii="Times New Roman" w:hAnsi="Times New Roman" w:cs="Times New Roman"/>
          <w:sz w:val="28"/>
          <w:szCs w:val="28"/>
        </w:rPr>
      </w:pPr>
    </w:p>
    <w:p w:rsidR="00466990" w:rsidRPr="00DB3EEA" w:rsidRDefault="00DB3EEA" w:rsidP="00466990">
      <w:pPr>
        <w:pStyle w:val="Prrafodelista"/>
        <w:numPr>
          <w:ilvl w:val="0"/>
          <w:numId w:val="1"/>
        </w:numPr>
        <w:shd w:val="clear" w:color="auto" w:fill="FFFFFF" w:themeFill="background1"/>
        <w:ind w:left="0" w:firstLine="0"/>
        <w:jc w:val="both"/>
        <w:textAlignment w:val="baseline"/>
        <w:rPr>
          <w:rFonts w:ascii="Times New Roman" w:hAnsi="Times New Roman" w:cs="Times New Roman"/>
          <w:sz w:val="28"/>
          <w:szCs w:val="28"/>
        </w:rPr>
      </w:pPr>
      <w:r w:rsidRPr="00DB3EEA">
        <w:rPr>
          <w:rFonts w:ascii="Times New Roman" w:hAnsi="Times New Roman" w:cs="Times New Roman"/>
          <w:sz w:val="28"/>
          <w:szCs w:val="28"/>
        </w:rPr>
        <w:t xml:space="preserve">En consecuencia, se vulnera la reserva de ley marco en materia aduanera cuando el </w:t>
      </w:r>
      <w:r w:rsidRPr="00DB3EEA">
        <w:rPr>
          <w:rFonts w:ascii="Times New Roman" w:hAnsi="Times New Roman" w:cs="Times New Roman"/>
          <w:sz w:val="28"/>
          <w:szCs w:val="28"/>
        </w:rPr>
        <w:t>legislador</w:t>
      </w:r>
      <w:r w:rsidRPr="00DB3EEA">
        <w:rPr>
          <w:rFonts w:ascii="Times New Roman" w:hAnsi="Times New Roman" w:cs="Times New Roman"/>
          <w:sz w:val="28"/>
          <w:szCs w:val="28"/>
        </w:rPr>
        <w:t xml:space="preserve"> adopta una medida impositiva orientada a fines p</w:t>
      </w:r>
      <w:r w:rsidRPr="00DB3EEA">
        <w:rPr>
          <w:rFonts w:ascii="Times New Roman" w:hAnsi="Times New Roman" w:cs="Times New Roman"/>
          <w:sz w:val="28"/>
          <w:szCs w:val="28"/>
        </w:rPr>
        <w:t>ropiamente comerciales, tales como proteger la industria nacional, regular las importaciones, promover la sustitución de importaciones</w:t>
      </w:r>
      <w:r w:rsidRPr="00DB3EEA">
        <w:rPr>
          <w:rFonts w:ascii="Times New Roman" w:hAnsi="Times New Roman" w:cs="Times New Roman"/>
          <w:sz w:val="28"/>
          <w:szCs w:val="28"/>
        </w:rPr>
        <w:t>, incentivar</w:t>
      </w:r>
      <w:r w:rsidRPr="00DB3EEA">
        <w:rPr>
          <w:rFonts w:ascii="Times New Roman" w:hAnsi="Times New Roman" w:cs="Times New Roman"/>
          <w:sz w:val="28"/>
          <w:szCs w:val="28"/>
        </w:rPr>
        <w:t xml:space="preserve"> la inversión internacional, o atender compromisos derivados de procesos de integración económica</w:t>
      </w:r>
      <w:r w:rsidRPr="00DB3EEA">
        <w:rPr>
          <w:rFonts w:ascii="Times New Roman" w:hAnsi="Times New Roman" w:cs="Times New Roman"/>
          <w:sz w:val="28"/>
          <w:szCs w:val="28"/>
        </w:rPr>
        <w:t>. E</w:t>
      </w:r>
      <w:r w:rsidRPr="00DB3EEA">
        <w:rPr>
          <w:rFonts w:ascii="Times New Roman" w:hAnsi="Times New Roman" w:cs="Times New Roman"/>
          <w:sz w:val="28"/>
          <w:szCs w:val="28"/>
        </w:rPr>
        <w:t>n contr</w:t>
      </w:r>
      <w:r w:rsidRPr="00DB3EEA">
        <w:rPr>
          <w:rFonts w:ascii="Times New Roman" w:hAnsi="Times New Roman" w:cs="Times New Roman"/>
          <w:sz w:val="28"/>
          <w:szCs w:val="28"/>
        </w:rPr>
        <w:t>aste</w:t>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la competencia del Ejecutivo se circunscribe a</w:t>
      </w:r>
      <w:r w:rsidRPr="00DB3EEA">
        <w:rPr>
          <w:rFonts w:ascii="Times New Roman" w:hAnsi="Times New Roman" w:cs="Times New Roman"/>
          <w:sz w:val="28"/>
          <w:szCs w:val="28"/>
        </w:rPr>
        <w:t xml:space="preserve"> la regulación </w:t>
      </w:r>
      <w:r w:rsidRPr="00DB3EEA">
        <w:rPr>
          <w:rFonts w:ascii="Times New Roman" w:hAnsi="Times New Roman" w:cs="Times New Roman"/>
          <w:sz w:val="28"/>
          <w:szCs w:val="28"/>
        </w:rPr>
        <w:t xml:space="preserve">específica </w:t>
      </w:r>
      <w:r w:rsidRPr="00DB3EEA">
        <w:rPr>
          <w:rFonts w:ascii="Times New Roman" w:hAnsi="Times New Roman" w:cs="Times New Roman"/>
          <w:sz w:val="28"/>
          <w:szCs w:val="28"/>
        </w:rPr>
        <w:t>de los asuntos de</w:t>
      </w:r>
      <w:r w:rsidRPr="00DB3EEA">
        <w:rPr>
          <w:rFonts w:ascii="Times New Roman" w:hAnsi="Times New Roman" w:cs="Times New Roman"/>
          <w:sz w:val="28"/>
          <w:szCs w:val="28"/>
        </w:rPr>
        <w:t xml:space="preserve"> naturaleza comercial</w:t>
      </w:r>
      <w:r w:rsidRPr="00DB3EEA">
        <w:rPr>
          <w:rFonts w:ascii="Times New Roman" w:hAnsi="Times New Roman" w:cs="Times New Roman"/>
          <w:sz w:val="28"/>
          <w:szCs w:val="28"/>
        </w:rPr>
        <w:t>, debiéndose impedir que se ingrese “en la órbita de lo político y de las cuestiones de fondo y fundamentales” que corresponden al Congreso</w:t>
      </w:r>
      <w:r w:rsidRPr="00DB3EEA">
        <w:rPr>
          <w:rStyle w:val="Refdenotaalpie"/>
          <w:rFonts w:ascii="Times New Roman" w:hAnsi="Times New Roman" w:cs="Times New Roman"/>
          <w:sz w:val="28"/>
          <w:szCs w:val="28"/>
        </w:rPr>
        <w:footnoteReference w:id="210"/>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 </w:t>
      </w:r>
    </w:p>
    <w:p w:rsidR="00466990" w:rsidRPr="00DB3EEA" w:rsidRDefault="00DB3EEA" w:rsidP="00466990">
      <w:pPr>
        <w:pStyle w:val="Prrafodelista"/>
        <w:rPr>
          <w:rFonts w:ascii="Times New Roman" w:hAnsi="Times New Roman" w:cs="Times New Roman"/>
          <w:sz w:val="28"/>
          <w:szCs w:val="28"/>
        </w:rPr>
      </w:pPr>
    </w:p>
    <w:p w:rsidR="00A45116" w:rsidRPr="00DB3EEA" w:rsidRDefault="00DB3EEA" w:rsidP="00A45116">
      <w:pPr>
        <w:pStyle w:val="Prrafodelista"/>
        <w:numPr>
          <w:ilvl w:val="0"/>
          <w:numId w:val="1"/>
        </w:numPr>
        <w:shd w:val="clear" w:color="auto" w:fill="FFFFFF" w:themeFill="background1"/>
        <w:ind w:left="0" w:firstLine="0"/>
        <w:jc w:val="both"/>
        <w:textAlignment w:val="baseline"/>
        <w:rPr>
          <w:rFonts w:ascii="Times New Roman" w:hAnsi="Times New Roman" w:cs="Times New Roman"/>
          <w:sz w:val="28"/>
          <w:szCs w:val="28"/>
        </w:rPr>
      </w:pPr>
      <w:r w:rsidRPr="00DB3EEA">
        <w:rPr>
          <w:rFonts w:ascii="Times New Roman" w:hAnsi="Times New Roman" w:cs="Times New Roman"/>
          <w:sz w:val="28"/>
          <w:szCs w:val="28"/>
        </w:rPr>
        <w:t>Ahora bien, el hecho de que un impuesto se cause con ocasión de la importación de un bien no es, por sí solo, suficiente para atribuirle una finalidad de política comercial. Como lo precisó la Corte en la Sentencia C-510 de 1992,</w:t>
      </w:r>
    </w:p>
    <w:p w:rsidR="00A45116" w:rsidRPr="00DB3EEA" w:rsidRDefault="00DB3EEA" w:rsidP="00A45116">
      <w:pPr>
        <w:pStyle w:val="Prrafodelista"/>
        <w:rPr>
          <w:rFonts w:ascii="Times New Roman" w:hAnsi="Times New Roman" w:cs="Times New Roman"/>
          <w:sz w:val="28"/>
          <w:szCs w:val="28"/>
        </w:rPr>
      </w:pPr>
    </w:p>
    <w:p w:rsidR="00A45116" w:rsidRPr="00DB3EEA" w:rsidRDefault="00DB3EEA" w:rsidP="00636B4D">
      <w:pPr>
        <w:pStyle w:val="Prrafodelista"/>
        <w:shd w:val="clear" w:color="auto" w:fill="FFFFFF" w:themeFill="background1"/>
        <w:ind w:left="708"/>
        <w:jc w:val="both"/>
        <w:textAlignment w:val="baseline"/>
        <w:rPr>
          <w:rFonts w:ascii="Times New Roman" w:hAnsi="Times New Roman" w:cs="Times New Roman"/>
          <w:sz w:val="28"/>
          <w:szCs w:val="28"/>
        </w:rPr>
      </w:pPr>
      <w:r w:rsidRPr="00DB3EEA">
        <w:rPr>
          <w:rFonts w:ascii="Times New Roman" w:hAnsi="Times New Roman" w:cs="Times New Roman"/>
          <w:i/>
          <w:iCs/>
          <w:sz w:val="28"/>
          <w:szCs w:val="28"/>
        </w:rPr>
        <w:t>“el arancel de aduana</w:t>
      </w:r>
      <w:r w:rsidRPr="00DB3EEA">
        <w:rPr>
          <w:rFonts w:ascii="Times New Roman" w:hAnsi="Times New Roman" w:cs="Times New Roman"/>
          <w:i/>
          <w:iCs/>
          <w:sz w:val="28"/>
          <w:szCs w:val="28"/>
        </w:rPr>
        <w:t xml:space="preserve">s es una especie de prestación pecuniaria exigida a los particulares por el Estado, sin contraprestación alguna, para atender a las necesidades del servicio público. El arancel </w:t>
      </w:r>
      <w:r w:rsidRPr="00DB3EEA">
        <w:rPr>
          <w:rFonts w:ascii="Times New Roman" w:hAnsi="Times New Roman" w:cs="Times New Roman"/>
          <w:i/>
          <w:iCs/>
          <w:sz w:val="28"/>
          <w:szCs w:val="28"/>
        </w:rPr>
        <w:t>reúne</w:t>
      </w:r>
      <w:r w:rsidRPr="00DB3EEA">
        <w:rPr>
          <w:rFonts w:ascii="Times New Roman" w:hAnsi="Times New Roman" w:cs="Times New Roman"/>
          <w:i/>
          <w:iCs/>
          <w:sz w:val="28"/>
          <w:szCs w:val="28"/>
        </w:rPr>
        <w:t xml:space="preserve"> a cabalidad los caracteres distintivos de los impuestos y de ahí que en la literatura especializada se lo conozca con el nombre de impuesto de aduanas. (…) Los autores coinciden en destacar el doble carácter o función de estos impuestos: fiscal (instrumen</w:t>
      </w:r>
      <w:r w:rsidRPr="00DB3EEA">
        <w:rPr>
          <w:rFonts w:ascii="Times New Roman" w:hAnsi="Times New Roman" w:cs="Times New Roman"/>
          <w:i/>
          <w:iCs/>
          <w:sz w:val="28"/>
          <w:szCs w:val="28"/>
        </w:rPr>
        <w:t>to de recaudo público) y económico (instrumento de desarrollo y estabilidad económicas). (…) Por el aspecto económico, el impuesto de aduanas (…) se utiliza (…) como instrumento de políticas orientadas a favorecer la producción nacional (…) y promover la e</w:t>
      </w:r>
      <w:r w:rsidRPr="00DB3EEA">
        <w:rPr>
          <w:rFonts w:ascii="Times New Roman" w:hAnsi="Times New Roman" w:cs="Times New Roman"/>
          <w:i/>
          <w:iCs/>
          <w:sz w:val="28"/>
          <w:szCs w:val="28"/>
        </w:rPr>
        <w:t>stabilidad económica”</w:t>
      </w:r>
      <w:r w:rsidRPr="00DB3EEA">
        <w:rPr>
          <w:rStyle w:val="Refdenotaalpie"/>
          <w:rFonts w:ascii="Times New Roman" w:hAnsi="Times New Roman" w:cs="Times New Roman"/>
          <w:i/>
          <w:iCs/>
          <w:sz w:val="28"/>
          <w:szCs w:val="28"/>
        </w:rPr>
        <w:footnoteReference w:id="211"/>
      </w:r>
      <w:r w:rsidRPr="00DB3EEA">
        <w:rPr>
          <w:rFonts w:ascii="Times New Roman" w:hAnsi="Times New Roman" w:cs="Times New Roman"/>
          <w:i/>
          <w:iCs/>
          <w:sz w:val="28"/>
          <w:szCs w:val="28"/>
        </w:rPr>
        <w:t>.</w:t>
      </w:r>
    </w:p>
    <w:p w:rsidR="00636B4D" w:rsidRPr="00DB3EEA" w:rsidRDefault="00DB3EEA" w:rsidP="00636B4D">
      <w:pPr>
        <w:pStyle w:val="Prrafodelista"/>
        <w:shd w:val="clear" w:color="auto" w:fill="FFFFFF" w:themeFill="background1"/>
        <w:ind w:left="0"/>
        <w:jc w:val="both"/>
        <w:textAlignment w:val="baseline"/>
        <w:rPr>
          <w:rFonts w:ascii="Times New Roman" w:hAnsi="Times New Roman" w:cs="Times New Roman"/>
          <w:sz w:val="28"/>
          <w:szCs w:val="28"/>
        </w:rPr>
      </w:pPr>
    </w:p>
    <w:p w:rsidR="00C77248" w:rsidRPr="00DB3EEA" w:rsidRDefault="00DB3EEA" w:rsidP="00A45116">
      <w:pPr>
        <w:pStyle w:val="Prrafodelista"/>
        <w:numPr>
          <w:ilvl w:val="0"/>
          <w:numId w:val="1"/>
        </w:numPr>
        <w:shd w:val="clear" w:color="auto" w:fill="FFFFFF" w:themeFill="background1"/>
        <w:ind w:left="0" w:firstLine="0"/>
        <w:jc w:val="both"/>
        <w:textAlignment w:val="baseline"/>
        <w:rPr>
          <w:rFonts w:ascii="Times New Roman" w:hAnsi="Times New Roman" w:cs="Times New Roman"/>
          <w:sz w:val="28"/>
          <w:szCs w:val="28"/>
        </w:rPr>
      </w:pPr>
      <w:r w:rsidRPr="00DB3EEA">
        <w:rPr>
          <w:rFonts w:ascii="Times New Roman" w:hAnsi="Times New Roman" w:cs="Times New Roman"/>
          <w:sz w:val="28"/>
          <w:szCs w:val="28"/>
        </w:rPr>
        <w:t>De esta caracterización se desprende que, aunque un tributo interno causado en la importación pueda producir efectos económicos análogos a los de un arancel, ello no lo convierte automáticamente en una medida de política comercial.</w:t>
      </w:r>
      <w:r w:rsidRPr="00DB3EEA">
        <w:rPr>
          <w:rFonts w:ascii="Times New Roman" w:hAnsi="Times New Roman" w:cs="Times New Roman"/>
          <w:sz w:val="28"/>
          <w:szCs w:val="28"/>
        </w:rPr>
        <w:t xml:space="preserve"> La calificación </w:t>
      </w:r>
      <w:r w:rsidRPr="00DB3EEA">
        <w:rPr>
          <w:rFonts w:ascii="Times New Roman" w:hAnsi="Times New Roman" w:cs="Times New Roman"/>
          <w:sz w:val="28"/>
          <w:szCs w:val="28"/>
        </w:rPr>
        <w:t>jurídica</w:t>
      </w:r>
      <w:r w:rsidRPr="00DB3EEA">
        <w:rPr>
          <w:rFonts w:ascii="Times New Roman" w:hAnsi="Times New Roman" w:cs="Times New Roman"/>
          <w:sz w:val="28"/>
          <w:szCs w:val="28"/>
        </w:rPr>
        <w:t xml:space="preserve"> depende de su finalidad y diseño normativo, no exclusivamente del momento en que se causa.</w:t>
      </w:r>
    </w:p>
    <w:p w:rsidR="00A03133" w:rsidRPr="00DB3EEA" w:rsidRDefault="00DB3EEA" w:rsidP="42094F8C">
      <w:pPr>
        <w:pStyle w:val="Prrafodelista"/>
        <w:ind w:left="0"/>
        <w:jc w:val="both"/>
        <w:rPr>
          <w:rFonts w:ascii="Times New Roman" w:hAnsi="Times New Roman" w:cs="Times New Roman"/>
          <w:kern w:val="2"/>
          <w:sz w:val="28"/>
          <w:szCs w:val="28"/>
          <w:lang w:eastAsia="en-US"/>
          <w14:ligatures w14:val="standardContextual"/>
        </w:rPr>
      </w:pPr>
    </w:p>
    <w:bookmarkEnd w:id="19"/>
    <w:p w:rsidR="009464ED" w:rsidRPr="00DB3EEA" w:rsidRDefault="00DB3EEA" w:rsidP="009464ED">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En el caso concreto, la Sala no advierte la existencia de un trato desigual y desfavorable para los importadores, ni encuentra que la </w:t>
      </w:r>
      <w:r w:rsidRPr="00DB3EEA">
        <w:rPr>
          <w:rFonts w:ascii="Times New Roman" w:hAnsi="Times New Roman" w:cs="Times New Roman"/>
          <w:sz w:val="28"/>
          <w:szCs w:val="28"/>
        </w:rPr>
        <w:t>eventual diferencia en las bases gravables pueda asociarse razonablemente a una finalidad de política comercial.</w:t>
      </w:r>
      <w:bookmarkEnd w:id="18"/>
    </w:p>
    <w:p w:rsidR="009464ED" w:rsidRPr="00DB3EEA" w:rsidRDefault="00DB3EEA" w:rsidP="009464ED">
      <w:pPr>
        <w:pStyle w:val="Prrafodelista"/>
        <w:rPr>
          <w:rFonts w:ascii="Times New Roman" w:hAnsi="Times New Roman" w:cs="Times New Roman"/>
          <w:sz w:val="28"/>
          <w:szCs w:val="28"/>
        </w:rPr>
      </w:pPr>
    </w:p>
    <w:p w:rsidR="009464ED" w:rsidRPr="00DB3EEA" w:rsidRDefault="00DB3EEA">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Como se indicó previamente, dada la amplia gama de productos objeto del ICUI y la diversidad de gravámenes aplicables, no es posible concluir </w:t>
      </w:r>
      <w:r w:rsidRPr="00DB3EEA">
        <w:rPr>
          <w:rFonts w:ascii="Times New Roman" w:hAnsi="Times New Roman" w:cs="Times New Roman"/>
          <w:sz w:val="28"/>
          <w:szCs w:val="28"/>
        </w:rPr>
        <w:t xml:space="preserve">que el impuesto resulte más gravoso para los importadores que para los productores nacionales. </w:t>
      </w:r>
    </w:p>
    <w:p w:rsidR="006F5E8D" w:rsidRPr="00DB3EEA" w:rsidRDefault="00DB3EEA" w:rsidP="006F5E8D">
      <w:pPr>
        <w:pStyle w:val="Prrafodelista"/>
        <w:ind w:left="0"/>
        <w:jc w:val="both"/>
        <w:rPr>
          <w:rFonts w:ascii="Times New Roman" w:hAnsi="Times New Roman" w:cs="Times New Roman"/>
          <w:sz w:val="28"/>
          <w:szCs w:val="28"/>
        </w:rPr>
      </w:pPr>
    </w:p>
    <w:p w:rsidR="00F47F02" w:rsidRPr="00DB3EEA" w:rsidRDefault="00DB3EEA" w:rsidP="00F47F02">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kern w:val="2"/>
          <w:sz w:val="28"/>
          <w:szCs w:val="28"/>
          <w:lang w:eastAsia="en-US"/>
          <w14:ligatures w14:val="standardContextual"/>
        </w:rPr>
        <w:t>De acuerdo con</w:t>
      </w:r>
      <w:r w:rsidRPr="00DB3EEA">
        <w:rPr>
          <w:rFonts w:ascii="Times New Roman" w:hAnsi="Times New Roman" w:cs="Times New Roman"/>
          <w:kern w:val="2"/>
          <w:sz w:val="28"/>
          <w:szCs w:val="28"/>
          <w:lang w:eastAsia="en-US"/>
          <w14:ligatures w14:val="standardContextual"/>
        </w:rPr>
        <w:t xml:space="preserve"> lo expuesto por el Ministerio de Hacienda, la DIAN y el Instituto Colombiano de Derecho Tributario, la base gravable </w:t>
      </w:r>
      <w:r w:rsidRPr="00DB3EEA">
        <w:rPr>
          <w:rFonts w:ascii="Times New Roman" w:hAnsi="Times New Roman" w:cs="Times New Roman"/>
          <w:kern w:val="2"/>
          <w:sz w:val="28"/>
          <w:szCs w:val="28"/>
          <w:lang w:eastAsia="en-US"/>
          <w14:ligatures w14:val="standardContextual"/>
        </w:rPr>
        <w:t xml:space="preserve">establecida en la disposición demandada </w:t>
      </w:r>
      <w:r w:rsidRPr="00DB3EEA">
        <w:rPr>
          <w:rFonts w:ascii="Times New Roman" w:hAnsi="Times New Roman" w:cs="Times New Roman"/>
          <w:kern w:val="2"/>
          <w:sz w:val="28"/>
          <w:szCs w:val="28"/>
          <w:lang w:eastAsia="en-US"/>
          <w14:ligatures w14:val="standardContextual"/>
        </w:rPr>
        <w:t>tuvo como propósito ajustar el valor del bien en frontera para efectos del cobro del impuesto saludable</w:t>
      </w:r>
      <w:r w:rsidRPr="00DB3EEA">
        <w:rPr>
          <w:rFonts w:ascii="Times New Roman" w:hAnsi="Times New Roman" w:cs="Times New Roman"/>
          <w:kern w:val="2"/>
          <w:sz w:val="28"/>
          <w:szCs w:val="28"/>
          <w:lang w:eastAsia="en-US"/>
          <w14:ligatures w14:val="standardContextual"/>
        </w:rPr>
        <w:t>, a fin de asegurar que todos los productos sujetos a este impuesto indirecto fueran efectivamente gravados</w:t>
      </w:r>
      <w:r w:rsidRPr="00DB3EEA">
        <w:rPr>
          <w:rFonts w:ascii="Times New Roman" w:hAnsi="Times New Roman" w:cs="Times New Roman"/>
          <w:kern w:val="2"/>
          <w:sz w:val="28"/>
          <w:szCs w:val="28"/>
          <w:lang w:eastAsia="en-US"/>
          <w14:ligatures w14:val="standardContextual"/>
        </w:rPr>
        <w:t>, inde</w:t>
      </w:r>
      <w:r w:rsidRPr="00DB3EEA">
        <w:rPr>
          <w:rFonts w:ascii="Times New Roman" w:hAnsi="Times New Roman" w:cs="Times New Roman"/>
          <w:kern w:val="2"/>
          <w:sz w:val="28"/>
          <w:szCs w:val="28"/>
          <w:lang w:eastAsia="en-US"/>
          <w14:ligatures w14:val="standardContextual"/>
        </w:rPr>
        <w:t>pendientemente de su origen</w:t>
      </w:r>
      <w:r w:rsidRPr="00DB3EEA">
        <w:rPr>
          <w:rStyle w:val="Refdenotaalpie"/>
          <w:rFonts w:ascii="Times New Roman" w:hAnsi="Times New Roman" w:cs="Times New Roman"/>
          <w:kern w:val="2"/>
          <w:sz w:val="28"/>
          <w:szCs w:val="28"/>
          <w:lang w:eastAsia="en-US"/>
          <w14:ligatures w14:val="standardContextual"/>
        </w:rPr>
        <w:footnoteReference w:id="212"/>
      </w:r>
      <w:r w:rsidRPr="00DB3EEA">
        <w:rPr>
          <w:rFonts w:ascii="Times New Roman" w:hAnsi="Times New Roman" w:cs="Times New Roman"/>
          <w:kern w:val="2"/>
          <w:sz w:val="28"/>
          <w:szCs w:val="28"/>
          <w:lang w:eastAsia="en-US"/>
          <w14:ligatures w14:val="standardContextual"/>
        </w:rPr>
        <w:t>.</w:t>
      </w:r>
    </w:p>
    <w:p w:rsidR="00F47F02" w:rsidRPr="00DB3EEA" w:rsidRDefault="00DB3EEA" w:rsidP="00F47F02">
      <w:pPr>
        <w:pStyle w:val="Prrafodelista"/>
        <w:rPr>
          <w:rFonts w:ascii="Times New Roman" w:hAnsi="Times New Roman" w:cs="Times New Roman"/>
          <w:sz w:val="28"/>
          <w:szCs w:val="28"/>
        </w:rPr>
      </w:pPr>
    </w:p>
    <w:p w:rsidR="00A245A2" w:rsidRPr="00DB3EEA" w:rsidRDefault="00DB3EEA" w:rsidP="00F47F02">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En ese contexto, la diferencia en la fórmula de determinación de la base gravable entre productos nacionales e importados no constituye un gravamen superior ni un arancel encubierto, </w:t>
      </w:r>
      <w:r w:rsidRPr="00DB3EEA">
        <w:rPr>
          <w:rFonts w:ascii="Times New Roman" w:hAnsi="Times New Roman" w:cs="Times New Roman"/>
          <w:sz w:val="28"/>
          <w:szCs w:val="28"/>
        </w:rPr>
        <w:t>sino un mecanismo técnico orientado a aseg</w:t>
      </w:r>
      <w:r w:rsidRPr="00DB3EEA">
        <w:rPr>
          <w:rFonts w:ascii="Times New Roman" w:hAnsi="Times New Roman" w:cs="Times New Roman"/>
          <w:sz w:val="28"/>
          <w:szCs w:val="28"/>
        </w:rPr>
        <w:t>urar condiciones equivalentes de causación del tributo.</w:t>
      </w:r>
    </w:p>
    <w:p w:rsidR="006F5E8D" w:rsidRPr="00DB3EEA" w:rsidRDefault="00DB3EEA" w:rsidP="006F5E8D">
      <w:pPr>
        <w:pStyle w:val="Prrafodelista"/>
        <w:rPr>
          <w:rFonts w:ascii="Times New Roman" w:hAnsi="Times New Roman" w:cs="Times New Roman"/>
          <w:sz w:val="28"/>
          <w:szCs w:val="28"/>
        </w:rPr>
      </w:pPr>
    </w:p>
    <w:p w:rsidR="006F5E8D" w:rsidRPr="00DB3EEA" w:rsidRDefault="00DB3EEA" w:rsidP="006F5E8D">
      <w:pPr>
        <w:pStyle w:val="Prrafodelista"/>
        <w:numPr>
          <w:ilvl w:val="0"/>
          <w:numId w:val="1"/>
        </w:numPr>
        <w:ind w:left="0" w:firstLine="0"/>
        <w:jc w:val="both"/>
        <w:rPr>
          <w:rFonts w:ascii="Times New Roman" w:hAnsi="Times New Roman" w:cs="Times New Roman"/>
          <w:sz w:val="28"/>
          <w:szCs w:val="28"/>
        </w:rPr>
      </w:pPr>
      <w:r w:rsidRPr="00DB3EEA">
        <w:rPr>
          <w:rFonts w:ascii="Times New Roman" w:hAnsi="Times New Roman" w:cs="Times New Roman"/>
          <w:sz w:val="28"/>
          <w:szCs w:val="28"/>
        </w:rPr>
        <w:t xml:space="preserve">Además, de la información presentada en el proceso, </w:t>
      </w:r>
      <w:r w:rsidRPr="00DB3EEA">
        <w:rPr>
          <w:rFonts w:ascii="Times New Roman" w:hAnsi="Times New Roman" w:cs="Times New Roman"/>
          <w:sz w:val="28"/>
          <w:szCs w:val="28"/>
        </w:rPr>
        <w:t>no es posible determinar que la base gravable prevista para los productos importados obedezca a un propósito comercial.</w:t>
      </w:r>
    </w:p>
    <w:p w:rsidR="00F47F02" w:rsidRPr="00DB3EEA" w:rsidRDefault="00DB3EEA" w:rsidP="00F47F02">
      <w:pPr>
        <w:pStyle w:val="Prrafodelista"/>
        <w:ind w:left="0"/>
        <w:jc w:val="both"/>
        <w:rPr>
          <w:rFonts w:ascii="Times New Roman" w:hAnsi="Times New Roman" w:cs="Times New Roman"/>
          <w:sz w:val="28"/>
          <w:szCs w:val="28"/>
        </w:rPr>
      </w:pPr>
    </w:p>
    <w:p w:rsidR="0009772C" w:rsidRPr="00DB3EEA" w:rsidRDefault="00DB3EEA" w:rsidP="000C34CD">
      <w:pPr>
        <w:pStyle w:val="Prrafodelista"/>
        <w:numPr>
          <w:ilvl w:val="0"/>
          <w:numId w:val="1"/>
        </w:numPr>
        <w:ind w:left="0" w:firstLine="0"/>
        <w:jc w:val="both"/>
        <w:rPr>
          <w:rFonts w:ascii="Times New Roman" w:hAnsi="Times New Roman" w:cs="Times New Roman"/>
          <w:kern w:val="2"/>
          <w:sz w:val="28"/>
          <w:szCs w:val="28"/>
          <w:lang w:eastAsia="en-US"/>
          <w14:ligatures w14:val="standardContextual"/>
        </w:rPr>
      </w:pPr>
      <w:r w:rsidRPr="00DB3EEA">
        <w:rPr>
          <w:rFonts w:ascii="Times New Roman" w:hAnsi="Times New Roman" w:cs="Times New Roman"/>
          <w:kern w:val="2"/>
          <w:sz w:val="28"/>
          <w:szCs w:val="28"/>
          <w:lang w:eastAsia="en-US"/>
          <w14:ligatures w14:val="standardContextual"/>
        </w:rPr>
        <w:t xml:space="preserve">Al respecto, </w:t>
      </w:r>
      <w:r w:rsidRPr="00DB3EEA">
        <w:rPr>
          <w:rFonts w:ascii="Times New Roman" w:hAnsi="Times New Roman" w:cs="Times New Roman"/>
          <w:kern w:val="2"/>
          <w:sz w:val="28"/>
          <w:szCs w:val="28"/>
          <w:lang w:eastAsia="en-US"/>
          <w14:ligatures w14:val="standardContextual"/>
        </w:rPr>
        <w:t>c</w:t>
      </w:r>
      <w:r w:rsidRPr="00DB3EEA">
        <w:rPr>
          <w:rFonts w:ascii="Times New Roman" w:hAnsi="Times New Roman" w:cs="Times New Roman"/>
          <w:kern w:val="2"/>
          <w:sz w:val="28"/>
          <w:szCs w:val="28"/>
          <w:lang w:eastAsia="en-US"/>
          <w14:ligatures w14:val="standardContextual"/>
        </w:rPr>
        <w:t>onviene reco</w:t>
      </w:r>
      <w:r w:rsidRPr="00DB3EEA">
        <w:rPr>
          <w:rFonts w:ascii="Times New Roman" w:hAnsi="Times New Roman" w:cs="Times New Roman"/>
          <w:kern w:val="2"/>
          <w:sz w:val="28"/>
          <w:szCs w:val="28"/>
          <w:lang w:eastAsia="en-US"/>
          <w14:ligatures w14:val="standardContextual"/>
        </w:rPr>
        <w:t xml:space="preserve">rdar que el artículo demandado regula la base gravable del impuesto a los productos comestibles ultraprocesados, integrante de los impuestos saludables introducidos por la Ley 2277 de 2022. Estos tributos, de carácter indirecto y naturaleza pigouviana, no </w:t>
      </w:r>
      <w:r w:rsidRPr="00DB3EEA">
        <w:rPr>
          <w:rFonts w:ascii="Times New Roman" w:hAnsi="Times New Roman" w:cs="Times New Roman"/>
          <w:kern w:val="2"/>
          <w:sz w:val="28"/>
          <w:szCs w:val="28"/>
          <w:lang w:eastAsia="en-US"/>
          <w14:ligatures w14:val="standardContextual"/>
        </w:rPr>
        <w:t xml:space="preserve">tienen como finalidad principal incrementar el recaudo, sino contrarrestar externalidades negativas derivadas del consumo de determinados productos. En la Sentencia C-435 de 2023, la Corte precisó que “el propósito fundamental de los impuestos pigouvianos </w:t>
      </w:r>
      <w:r w:rsidRPr="00DB3EEA">
        <w:rPr>
          <w:rFonts w:ascii="Times New Roman" w:hAnsi="Times New Roman" w:cs="Times New Roman"/>
          <w:kern w:val="2"/>
          <w:sz w:val="28"/>
          <w:szCs w:val="28"/>
          <w:lang w:eastAsia="en-US"/>
          <w14:ligatures w14:val="standardContextual"/>
        </w:rPr>
        <w:t>no consiste en generar mayor recaudo, sino atajar un hecho o circunstancia que genera un impacto social deletéreo, mediante la asignación de costos adicionales para quien los realiza”</w:t>
      </w:r>
      <w:r w:rsidRPr="00DB3EEA">
        <w:rPr>
          <w:rStyle w:val="Refdenotaalpie"/>
          <w:rFonts w:ascii="Times New Roman" w:hAnsi="Times New Roman" w:cs="Times New Roman"/>
          <w:kern w:val="2"/>
          <w:sz w:val="28"/>
          <w:szCs w:val="28"/>
          <w:lang w:eastAsia="en-US"/>
          <w14:ligatures w14:val="standardContextual"/>
        </w:rPr>
        <w:footnoteReference w:id="213"/>
      </w:r>
      <w:r w:rsidRPr="00DB3EEA">
        <w:rPr>
          <w:rFonts w:ascii="Times New Roman" w:hAnsi="Times New Roman" w:cs="Times New Roman"/>
          <w:kern w:val="2"/>
          <w:sz w:val="28"/>
          <w:szCs w:val="28"/>
          <w:lang w:eastAsia="en-US"/>
          <w14:ligatures w14:val="standardContextual"/>
        </w:rPr>
        <w:t xml:space="preserve">. Esta función encuentra respaldo constitucional, pues “el uso del </w:t>
      </w:r>
      <w:r w:rsidRPr="00DB3EEA">
        <w:rPr>
          <w:rFonts w:ascii="Times New Roman" w:hAnsi="Times New Roman" w:cs="Times New Roman"/>
          <w:kern w:val="2"/>
          <w:sz w:val="28"/>
          <w:szCs w:val="28"/>
          <w:lang w:eastAsia="en-US"/>
          <w14:ligatures w14:val="standardContextual"/>
        </w:rPr>
        <w:t>sistema tributario para desincentivar actividades, conductas y hechos económicos que llevan aparejadas externalidades negativas, con importante impacto para la comunidad, pueden ser compatibles con la Constitución”</w:t>
      </w:r>
      <w:r w:rsidRPr="00DB3EEA">
        <w:rPr>
          <w:rStyle w:val="Refdenotaalpie"/>
          <w:rFonts w:ascii="Times New Roman" w:hAnsi="Times New Roman" w:cs="Times New Roman"/>
          <w:kern w:val="2"/>
          <w:sz w:val="28"/>
          <w:szCs w:val="28"/>
          <w:lang w:eastAsia="en-US"/>
          <w14:ligatures w14:val="standardContextual"/>
        </w:rPr>
        <w:footnoteReference w:id="214"/>
      </w:r>
      <w:r w:rsidRPr="00DB3EEA">
        <w:rPr>
          <w:rFonts w:ascii="Times New Roman" w:hAnsi="Times New Roman" w:cs="Times New Roman"/>
          <w:kern w:val="2"/>
          <w:sz w:val="28"/>
          <w:szCs w:val="28"/>
          <w:lang w:eastAsia="en-US"/>
          <w14:ligatures w14:val="standardContextual"/>
        </w:rPr>
        <w:t xml:space="preserve">. </w:t>
      </w:r>
      <w:r w:rsidRPr="00DB3EEA">
        <w:rPr>
          <w:rFonts w:ascii="Times New Roman" w:hAnsi="Times New Roman" w:cs="Times New Roman"/>
          <w:kern w:val="2"/>
          <w:sz w:val="28"/>
          <w:szCs w:val="28"/>
          <w:lang w:eastAsia="en-US"/>
          <w14:ligatures w14:val="standardContextual"/>
        </w:rPr>
        <w:t>De forma tal que</w:t>
      </w:r>
      <w:r w:rsidRPr="00DB3EEA">
        <w:rPr>
          <w:rFonts w:ascii="Times New Roman" w:hAnsi="Times New Roman" w:cs="Times New Roman"/>
          <w:kern w:val="2"/>
          <w:sz w:val="28"/>
          <w:szCs w:val="28"/>
          <w:lang w:eastAsia="en-US"/>
          <w14:ligatures w14:val="standardContextual"/>
        </w:rPr>
        <w:t xml:space="preserve">, el </w:t>
      </w:r>
      <w:r w:rsidRPr="00DB3EEA">
        <w:rPr>
          <w:rFonts w:ascii="Times New Roman" w:hAnsi="Times New Roman" w:cs="Times New Roman"/>
          <w:kern w:val="2"/>
          <w:sz w:val="28"/>
          <w:szCs w:val="28"/>
          <w:lang w:eastAsia="en-US"/>
          <w14:ligatures w14:val="standardContextual"/>
        </w:rPr>
        <w:t>legislador</w:t>
      </w:r>
      <w:r w:rsidRPr="00DB3EEA">
        <w:rPr>
          <w:rFonts w:ascii="Times New Roman" w:hAnsi="Times New Roman" w:cs="Times New Roman"/>
          <w:kern w:val="2"/>
          <w:sz w:val="28"/>
          <w:szCs w:val="28"/>
          <w:lang w:eastAsia="en-US"/>
          <w14:ligatures w14:val="standardContextual"/>
        </w:rPr>
        <w:t xml:space="preserve"> puede “</w:t>
      </w:r>
      <w:r w:rsidRPr="00DB3EEA">
        <w:rPr>
          <w:rFonts w:ascii="Times New Roman" w:hAnsi="Times New Roman" w:cs="Times New Roman"/>
          <w:kern w:val="2"/>
          <w:sz w:val="28"/>
          <w:szCs w:val="28"/>
          <w:lang w:eastAsia="en-US"/>
          <w14:ligatures w14:val="standardContextual"/>
        </w:rPr>
        <w:t>reconocer y catalogar las conductas nocivas para la sociedad, así como para cuantificar el costo social y determinar el mecanismo adecuado para compensarlo, de modo que se genere un desincentivo relevante y eficaz para la actividad nociva”</w:t>
      </w:r>
      <w:r w:rsidRPr="00DB3EEA">
        <w:rPr>
          <w:rStyle w:val="Refdenotaalpie"/>
          <w:rFonts w:ascii="Times New Roman" w:hAnsi="Times New Roman" w:cs="Times New Roman"/>
          <w:kern w:val="2"/>
          <w:sz w:val="28"/>
          <w:szCs w:val="28"/>
          <w:lang w:eastAsia="en-US"/>
          <w14:ligatures w14:val="standardContextual"/>
        </w:rPr>
        <w:footnoteReference w:id="215"/>
      </w:r>
      <w:r w:rsidRPr="00DB3EEA">
        <w:rPr>
          <w:rFonts w:ascii="Times New Roman" w:hAnsi="Times New Roman" w:cs="Times New Roman"/>
          <w:kern w:val="2"/>
          <w:sz w:val="28"/>
          <w:szCs w:val="28"/>
          <w:lang w:eastAsia="en-US"/>
          <w14:ligatures w14:val="standardContextual"/>
        </w:rPr>
        <w:t>.</w:t>
      </w:r>
    </w:p>
    <w:p w:rsidR="0009772C" w:rsidRPr="00DB3EEA" w:rsidRDefault="00DB3EEA" w:rsidP="009B06C3">
      <w:pPr>
        <w:pStyle w:val="Prrafodelista"/>
        <w:ind w:left="0"/>
        <w:jc w:val="both"/>
        <w:rPr>
          <w:rFonts w:ascii="Times New Roman" w:hAnsi="Times New Roman" w:cs="Times New Roman"/>
          <w:kern w:val="2"/>
          <w:sz w:val="28"/>
          <w:szCs w:val="28"/>
          <w:lang w:eastAsia="en-US"/>
          <w14:ligatures w14:val="standardContextual"/>
        </w:rPr>
      </w:pPr>
    </w:p>
    <w:p w:rsidR="000C34CD" w:rsidRPr="00DB3EEA" w:rsidRDefault="00DB3EEA" w:rsidP="000C34CD">
      <w:pPr>
        <w:pStyle w:val="Prrafodelista"/>
        <w:numPr>
          <w:ilvl w:val="0"/>
          <w:numId w:val="1"/>
        </w:numPr>
        <w:ind w:left="0" w:firstLine="0"/>
        <w:jc w:val="both"/>
        <w:rPr>
          <w:rFonts w:ascii="Times New Roman" w:hAnsi="Times New Roman" w:cs="Times New Roman"/>
          <w:kern w:val="2"/>
          <w:sz w:val="28"/>
          <w:szCs w:val="28"/>
          <w:lang w:eastAsia="en-US"/>
          <w14:ligatures w14:val="standardContextual"/>
        </w:rPr>
      </w:pPr>
      <w:r w:rsidRPr="00DB3EEA">
        <w:rPr>
          <w:rFonts w:ascii="Times New Roman" w:hAnsi="Times New Roman" w:cs="Times New Roman"/>
          <w:kern w:val="2"/>
          <w:sz w:val="28"/>
          <w:szCs w:val="28"/>
          <w:lang w:eastAsia="en-US"/>
          <w14:ligatures w14:val="standardContextual"/>
        </w:rPr>
        <w:t xml:space="preserve">De lo </w:t>
      </w:r>
      <w:r w:rsidRPr="00DB3EEA">
        <w:rPr>
          <w:rFonts w:ascii="Times New Roman" w:hAnsi="Times New Roman" w:cs="Times New Roman"/>
          <w:kern w:val="2"/>
          <w:sz w:val="28"/>
          <w:szCs w:val="28"/>
          <w:lang w:eastAsia="en-US"/>
          <w14:ligatures w14:val="standardContextual"/>
        </w:rPr>
        <w:t>anterior es claro que</w:t>
      </w:r>
      <w:r w:rsidRPr="00DB3EEA">
        <w:rPr>
          <w:rFonts w:ascii="Times New Roman" w:hAnsi="Times New Roman" w:cs="Times New Roman"/>
          <w:kern w:val="2"/>
          <w:sz w:val="28"/>
          <w:szCs w:val="28"/>
          <w:lang w:eastAsia="en-US"/>
          <w14:ligatures w14:val="standardContextual"/>
        </w:rPr>
        <w:t xml:space="preserve"> el ICUI persigue una finalidad prevalente extrafiscal orientada a inducir a los individuos a internalizar los costos sociales derivados de externalidades negativas. </w:t>
      </w:r>
      <w:r w:rsidRPr="00DB3EEA">
        <w:rPr>
          <w:rFonts w:ascii="Times New Roman" w:hAnsi="Times New Roman" w:cs="Times New Roman"/>
          <w:kern w:val="2"/>
          <w:sz w:val="28"/>
          <w:szCs w:val="28"/>
          <w:lang w:eastAsia="en-US"/>
          <w14:ligatures w14:val="standardContextual"/>
        </w:rPr>
        <w:t>Por ello, l</w:t>
      </w:r>
      <w:r w:rsidRPr="00DB3EEA">
        <w:rPr>
          <w:rFonts w:ascii="Times New Roman" w:hAnsi="Times New Roman" w:cs="Times New Roman"/>
          <w:kern w:val="2"/>
          <w:sz w:val="28"/>
          <w:szCs w:val="28"/>
          <w:lang w:eastAsia="en-US"/>
          <w14:ligatures w14:val="standardContextual"/>
        </w:rPr>
        <w:t>a determinación de su base gravable, diseñada para garanti</w:t>
      </w:r>
      <w:r w:rsidRPr="00DB3EEA">
        <w:rPr>
          <w:rFonts w:ascii="Times New Roman" w:hAnsi="Times New Roman" w:cs="Times New Roman"/>
          <w:kern w:val="2"/>
          <w:sz w:val="28"/>
          <w:szCs w:val="28"/>
          <w:lang w:eastAsia="en-US"/>
          <w14:ligatures w14:val="standardContextual"/>
        </w:rPr>
        <w:t>zar el cobro efectivo del impuesto en condiciones equiparables a las del producto nacional, responde a una decisión de política tributaria interna.</w:t>
      </w:r>
    </w:p>
    <w:p w:rsidR="009B06C3" w:rsidRPr="00DB3EEA" w:rsidRDefault="00DB3EEA" w:rsidP="009B06C3">
      <w:pPr>
        <w:pStyle w:val="Prrafodelista"/>
        <w:ind w:left="0"/>
        <w:jc w:val="both"/>
        <w:rPr>
          <w:rFonts w:ascii="Times New Roman" w:hAnsi="Times New Roman" w:cs="Times New Roman"/>
          <w:kern w:val="2"/>
          <w:sz w:val="28"/>
          <w:szCs w:val="28"/>
          <w:lang w:eastAsia="en-US"/>
          <w14:ligatures w14:val="standardContextual"/>
        </w:rPr>
      </w:pPr>
    </w:p>
    <w:p w:rsidR="003359E4" w:rsidRPr="00DB3EEA" w:rsidRDefault="00DB3EEA" w:rsidP="003359E4">
      <w:pPr>
        <w:pStyle w:val="Prrafodelista"/>
        <w:numPr>
          <w:ilvl w:val="0"/>
          <w:numId w:val="1"/>
        </w:numPr>
        <w:ind w:left="0" w:firstLine="0"/>
        <w:jc w:val="both"/>
        <w:rPr>
          <w:rFonts w:ascii="Times New Roman" w:hAnsi="Times New Roman" w:cs="Times New Roman"/>
          <w:kern w:val="2"/>
          <w:sz w:val="28"/>
          <w:szCs w:val="28"/>
          <w:lang w:eastAsia="en-US"/>
          <w14:ligatures w14:val="standardContextual"/>
        </w:rPr>
      </w:pPr>
      <w:r w:rsidRPr="00DB3EEA">
        <w:rPr>
          <w:rFonts w:ascii="Times New Roman" w:hAnsi="Times New Roman" w:cs="Times New Roman"/>
          <w:sz w:val="28"/>
          <w:szCs w:val="28"/>
        </w:rPr>
        <w:t xml:space="preserve">Con eso claro, </w:t>
      </w:r>
      <w:r w:rsidRPr="00DB3EEA">
        <w:rPr>
          <w:rFonts w:ascii="Times New Roman" w:hAnsi="Times New Roman" w:cs="Times New Roman"/>
          <w:sz w:val="28"/>
          <w:szCs w:val="28"/>
        </w:rPr>
        <w:t xml:space="preserve">para la Sala, </w:t>
      </w:r>
      <w:r w:rsidRPr="00DB3EEA">
        <w:rPr>
          <w:rFonts w:ascii="Times New Roman" w:hAnsi="Times New Roman" w:cs="Times New Roman"/>
          <w:sz w:val="28"/>
          <w:szCs w:val="28"/>
        </w:rPr>
        <w:t>incluso</w:t>
      </w:r>
      <w:r w:rsidRPr="00DB3EEA">
        <w:rPr>
          <w:rFonts w:ascii="Times New Roman" w:hAnsi="Times New Roman" w:cs="Times New Roman"/>
          <w:sz w:val="28"/>
          <w:szCs w:val="28"/>
        </w:rPr>
        <w:t xml:space="preserve"> en el escenario hipotético planteado por los accionantes —según el cual la base gravable de los productos importados resultaría superior al precio de venta o al valor comercial de los productos nacionales—, tal diferencia no</w:t>
      </w:r>
      <w:r w:rsidRPr="00DB3EEA">
        <w:rPr>
          <w:rFonts w:ascii="Times New Roman" w:hAnsi="Times New Roman" w:cs="Times New Roman"/>
          <w:sz w:val="28"/>
          <w:szCs w:val="28"/>
        </w:rPr>
        <w:t xml:space="preserve"> es</w:t>
      </w:r>
      <w:r w:rsidRPr="00DB3EEA">
        <w:rPr>
          <w:rFonts w:ascii="Times New Roman" w:hAnsi="Times New Roman" w:cs="Times New Roman"/>
          <w:sz w:val="28"/>
          <w:szCs w:val="28"/>
        </w:rPr>
        <w:t xml:space="preserve"> vincula</w:t>
      </w:r>
      <w:r w:rsidRPr="00DB3EEA">
        <w:rPr>
          <w:rFonts w:ascii="Times New Roman" w:hAnsi="Times New Roman" w:cs="Times New Roman"/>
          <w:sz w:val="28"/>
          <w:szCs w:val="28"/>
        </w:rPr>
        <w:t>ble a fines de natur</w:t>
      </w:r>
      <w:r w:rsidRPr="00DB3EEA">
        <w:rPr>
          <w:rFonts w:ascii="Times New Roman" w:hAnsi="Times New Roman" w:cs="Times New Roman"/>
          <w:sz w:val="28"/>
          <w:szCs w:val="28"/>
        </w:rPr>
        <w:t>aleza comercial</w:t>
      </w:r>
      <w:r w:rsidRPr="00DB3EEA">
        <w:rPr>
          <w:rFonts w:ascii="Times New Roman" w:hAnsi="Times New Roman" w:cs="Times New Roman"/>
          <w:sz w:val="28"/>
          <w:szCs w:val="28"/>
        </w:rPr>
        <w:t>. La fórmula adoptada no persigue (i) facilitar convenios o tratados internacionales, (ii) fomentar o proteger la producción nacional, (iii) facilitar o agilizar las operaciones de comercio exterior, (iv) promover el uso de tecnologías y med</w:t>
      </w:r>
      <w:r w:rsidRPr="00DB3EEA">
        <w:rPr>
          <w:rFonts w:ascii="Times New Roman" w:hAnsi="Times New Roman" w:cs="Times New Roman"/>
          <w:sz w:val="28"/>
          <w:szCs w:val="28"/>
        </w:rPr>
        <w:t>ios de comunicación modernos, ni (v) adoptar procedimientos orientados a la facilitación del comercio. Por el contrario, busca garantizar el pago del impuesto</w:t>
      </w:r>
      <w:r w:rsidRPr="00DB3EEA">
        <w:rPr>
          <w:rFonts w:ascii="Times New Roman" w:hAnsi="Times New Roman" w:cs="Times New Roman"/>
          <w:sz w:val="28"/>
          <w:szCs w:val="28"/>
        </w:rPr>
        <w:t xml:space="preserve"> pigouviano</w:t>
      </w:r>
      <w:r w:rsidRPr="00DB3EEA">
        <w:rPr>
          <w:rFonts w:ascii="Times New Roman" w:hAnsi="Times New Roman" w:cs="Times New Roman"/>
          <w:sz w:val="28"/>
          <w:szCs w:val="28"/>
        </w:rPr>
        <w:t xml:space="preserve"> conforme a los principios de legalidad y certeza tributaria, dado que “[en] la importa</w:t>
      </w:r>
      <w:r w:rsidRPr="00DB3EEA">
        <w:rPr>
          <w:rFonts w:ascii="Times New Roman" w:hAnsi="Times New Roman" w:cs="Times New Roman"/>
          <w:sz w:val="28"/>
          <w:szCs w:val="28"/>
        </w:rPr>
        <w:t>ción no se puede exigir el precio de venta como base gravable”.</w:t>
      </w:r>
    </w:p>
    <w:p w:rsidR="003359E4" w:rsidRPr="00DB3EEA" w:rsidRDefault="00DB3EEA" w:rsidP="003359E4">
      <w:pPr>
        <w:pStyle w:val="Prrafodelista"/>
        <w:rPr>
          <w:rFonts w:ascii="Times New Roman" w:hAnsi="Times New Roman" w:cs="Times New Roman"/>
          <w:color w:val="2D2D2D"/>
          <w:sz w:val="28"/>
          <w:szCs w:val="28"/>
        </w:rPr>
      </w:pPr>
    </w:p>
    <w:p w:rsidR="00C85E9F" w:rsidRPr="00DB3EEA" w:rsidRDefault="00DB3EEA" w:rsidP="003359E4">
      <w:pPr>
        <w:pStyle w:val="Prrafodelista"/>
        <w:numPr>
          <w:ilvl w:val="0"/>
          <w:numId w:val="1"/>
        </w:numPr>
        <w:ind w:left="0" w:firstLine="0"/>
        <w:jc w:val="both"/>
        <w:rPr>
          <w:rFonts w:ascii="Times New Roman" w:hAnsi="Times New Roman" w:cs="Times New Roman"/>
          <w:kern w:val="2"/>
          <w:sz w:val="28"/>
          <w:szCs w:val="28"/>
          <w:lang w:eastAsia="en-US"/>
          <w14:ligatures w14:val="standardContextual"/>
        </w:rPr>
      </w:pPr>
      <w:r w:rsidRPr="00DB3EEA">
        <w:rPr>
          <w:rFonts w:ascii="Times New Roman" w:hAnsi="Times New Roman" w:cs="Times New Roman"/>
          <w:color w:val="2D2D2D"/>
          <w:sz w:val="28"/>
          <w:szCs w:val="28"/>
        </w:rPr>
        <w:t>En consecuencia</w:t>
      </w:r>
      <w:r w:rsidRPr="00DB3EEA">
        <w:rPr>
          <w:rFonts w:ascii="Times New Roman" w:hAnsi="Times New Roman" w:cs="Times New Roman"/>
          <w:color w:val="2D2D2D"/>
          <w:sz w:val="28"/>
          <w:szCs w:val="28"/>
        </w:rPr>
        <w:t>, la determinación de la base gravable para los productos importados no vulnera la reserva de ley marco en materia aduanera. Aun si se admitiera la existencia de alguna diferen</w:t>
      </w:r>
      <w:r w:rsidRPr="00DB3EEA">
        <w:rPr>
          <w:rFonts w:ascii="Times New Roman" w:hAnsi="Times New Roman" w:cs="Times New Roman"/>
          <w:color w:val="2D2D2D"/>
          <w:sz w:val="28"/>
          <w:szCs w:val="28"/>
        </w:rPr>
        <w:t>cia, esta obedecería exclusivamente a la necesidad de asegurar la legalidad y certeza en la liquidación de un impuesto interno de finalidad extrafiscal, y no a objetivos de política comercial</w:t>
      </w:r>
      <w:r w:rsidRPr="00DB3EEA">
        <w:rPr>
          <w:rFonts w:ascii="Times New Roman" w:hAnsi="Times New Roman" w:cs="Times New Roman"/>
          <w:color w:val="2D2D2D"/>
          <w:sz w:val="28"/>
          <w:szCs w:val="28"/>
        </w:rPr>
        <w:t xml:space="preserve">. Conforme a lo anterior, </w:t>
      </w:r>
      <w:r w:rsidRPr="00DB3EEA">
        <w:rPr>
          <w:rFonts w:ascii="Times New Roman" w:hAnsi="Times New Roman" w:cs="Times New Roman"/>
          <w:color w:val="2D2D2D"/>
          <w:sz w:val="28"/>
          <w:szCs w:val="28"/>
        </w:rPr>
        <w:t>la medida se mantiene dentro de la comp</w:t>
      </w:r>
      <w:r w:rsidRPr="00DB3EEA">
        <w:rPr>
          <w:rFonts w:ascii="Times New Roman" w:hAnsi="Times New Roman" w:cs="Times New Roman"/>
          <w:color w:val="2D2D2D"/>
          <w:sz w:val="28"/>
          <w:szCs w:val="28"/>
        </w:rPr>
        <w:t>etencia fiscal del Congreso</w:t>
      </w:r>
      <w:r w:rsidRPr="00DB3EEA">
        <w:rPr>
          <w:rFonts w:ascii="Times New Roman" w:hAnsi="Times New Roman" w:cs="Times New Roman"/>
          <w:color w:val="2D2D2D"/>
          <w:sz w:val="28"/>
          <w:szCs w:val="28"/>
        </w:rPr>
        <w:t xml:space="preserve"> y es concordante con la distribución de competencias fijada por la técnica de ley</w:t>
      </w:r>
      <w:r w:rsidRPr="00DB3EEA">
        <w:rPr>
          <w:rFonts w:ascii="Times New Roman" w:hAnsi="Times New Roman" w:cs="Times New Roman"/>
          <w:color w:val="2D2D2D"/>
          <w:sz w:val="28"/>
          <w:szCs w:val="28"/>
        </w:rPr>
        <w:t>es</w:t>
      </w:r>
      <w:r w:rsidRPr="00DB3EEA">
        <w:rPr>
          <w:rFonts w:ascii="Times New Roman" w:hAnsi="Times New Roman" w:cs="Times New Roman"/>
          <w:color w:val="2D2D2D"/>
          <w:sz w:val="28"/>
          <w:szCs w:val="28"/>
        </w:rPr>
        <w:t xml:space="preserve"> marco</w:t>
      </w:r>
      <w:r w:rsidRPr="00DB3EEA">
        <w:rPr>
          <w:rFonts w:ascii="Times New Roman" w:hAnsi="Times New Roman" w:cs="Times New Roman"/>
          <w:color w:val="2D2D2D"/>
          <w:sz w:val="28"/>
          <w:szCs w:val="28"/>
        </w:rPr>
        <w:t>.</w:t>
      </w:r>
    </w:p>
    <w:p w:rsidR="003359E4" w:rsidRPr="00DB3EEA" w:rsidRDefault="00DB3EEA" w:rsidP="003359E4">
      <w:pPr>
        <w:pStyle w:val="Prrafodelista"/>
        <w:ind w:left="0"/>
        <w:jc w:val="both"/>
        <w:rPr>
          <w:rFonts w:ascii="Times New Roman" w:hAnsi="Times New Roman" w:cs="Times New Roman"/>
          <w:kern w:val="2"/>
          <w:sz w:val="28"/>
          <w:szCs w:val="28"/>
          <w:lang w:eastAsia="en-US"/>
          <w14:ligatures w14:val="standardContextual"/>
        </w:rPr>
      </w:pPr>
    </w:p>
    <w:p w:rsidR="00CF6C41" w:rsidRPr="00DB3EEA" w:rsidRDefault="00DB3EEA" w:rsidP="007D36D5">
      <w:pPr>
        <w:tabs>
          <w:tab w:val="left" w:pos="284"/>
        </w:tabs>
        <w:jc w:val="both"/>
        <w:outlineLvl w:val="0"/>
        <w:rPr>
          <w:rFonts w:ascii="Times New Roman" w:eastAsia="Calibri" w:hAnsi="Times New Roman" w:cs="Times New Roman"/>
          <w:sz w:val="28"/>
          <w:szCs w:val="28"/>
          <w:lang w:eastAsia="es-ES"/>
        </w:rPr>
      </w:pPr>
      <w:r w:rsidRPr="00DB3EEA">
        <w:rPr>
          <w:rFonts w:ascii="Times New Roman" w:eastAsia="Calibri" w:hAnsi="Times New Roman" w:cs="Times New Roman"/>
          <w:b/>
          <w:sz w:val="28"/>
          <w:szCs w:val="28"/>
          <w:lang w:eastAsia="es-ES"/>
        </w:rPr>
        <w:t xml:space="preserve">IV. </w:t>
      </w:r>
      <w:r w:rsidRPr="00DB3EEA">
        <w:rPr>
          <w:rFonts w:ascii="Times New Roman" w:eastAsia="Calibri" w:hAnsi="Times New Roman" w:cs="Times New Roman"/>
          <w:b/>
          <w:sz w:val="28"/>
          <w:szCs w:val="28"/>
          <w:lang w:eastAsia="es-ES"/>
        </w:rPr>
        <w:t>DECISIÓN</w:t>
      </w:r>
    </w:p>
    <w:p w:rsidR="00CF6C41" w:rsidRPr="00DB3EEA" w:rsidRDefault="00DB3EEA" w:rsidP="00376DDD">
      <w:pPr>
        <w:pStyle w:val="Prrafodelista"/>
        <w:tabs>
          <w:tab w:val="left" w:pos="426"/>
          <w:tab w:val="left" w:pos="567"/>
        </w:tabs>
        <w:ind w:left="0"/>
        <w:jc w:val="both"/>
        <w:rPr>
          <w:rFonts w:ascii="Times New Roman" w:eastAsia="Calibri" w:hAnsi="Times New Roman" w:cs="Times New Roman"/>
          <w:sz w:val="28"/>
          <w:szCs w:val="28"/>
          <w:lang w:eastAsia="es-ES"/>
        </w:rPr>
      </w:pPr>
    </w:p>
    <w:p w:rsidR="00CF6C41" w:rsidRPr="00DB3EEA" w:rsidRDefault="00DB3EEA" w:rsidP="00376DDD">
      <w:pPr>
        <w:pStyle w:val="Prrafodelista"/>
        <w:tabs>
          <w:tab w:val="left" w:pos="426"/>
        </w:tabs>
        <w:ind w:left="0"/>
        <w:jc w:val="both"/>
        <w:rPr>
          <w:rFonts w:ascii="Times New Roman" w:eastAsia="Calibri" w:hAnsi="Times New Roman" w:cs="Times New Roman"/>
          <w:bCs/>
          <w:sz w:val="28"/>
          <w:szCs w:val="28"/>
          <w:lang w:eastAsia="es-ES"/>
        </w:rPr>
      </w:pPr>
      <w:r w:rsidRPr="00DB3EEA">
        <w:rPr>
          <w:rFonts w:ascii="Times New Roman" w:eastAsia="Calibri" w:hAnsi="Times New Roman" w:cs="Times New Roman"/>
          <w:bCs/>
          <w:sz w:val="28"/>
          <w:szCs w:val="28"/>
          <w:lang w:eastAsia="es-ES"/>
        </w:rPr>
        <w:t xml:space="preserve">En mérito de lo expuesto, la Sala Plena de la Corte Constitucional, administrando justicia en nombre del pueblo y por </w:t>
      </w:r>
      <w:r w:rsidRPr="00DB3EEA">
        <w:rPr>
          <w:rFonts w:ascii="Times New Roman" w:eastAsia="Calibri" w:hAnsi="Times New Roman" w:cs="Times New Roman"/>
          <w:bCs/>
          <w:sz w:val="28"/>
          <w:szCs w:val="28"/>
          <w:lang w:eastAsia="es-ES"/>
        </w:rPr>
        <w:t>mandato de la Constitución,</w:t>
      </w:r>
    </w:p>
    <w:p w:rsidR="00CF6C41" w:rsidRPr="00DB3EEA" w:rsidRDefault="00DB3EEA" w:rsidP="00836901">
      <w:pPr>
        <w:pStyle w:val="Prrafodelista"/>
        <w:tabs>
          <w:tab w:val="left" w:pos="426"/>
        </w:tabs>
        <w:ind w:left="0"/>
        <w:jc w:val="center"/>
        <w:rPr>
          <w:rFonts w:ascii="Times New Roman" w:eastAsia="Calibri" w:hAnsi="Times New Roman" w:cs="Times New Roman"/>
          <w:bCs/>
          <w:sz w:val="28"/>
          <w:szCs w:val="28"/>
          <w:lang w:eastAsia="es-ES"/>
        </w:rPr>
      </w:pPr>
    </w:p>
    <w:p w:rsidR="00836901" w:rsidRPr="00DB3EEA" w:rsidRDefault="00DB3EEA" w:rsidP="00836901">
      <w:pPr>
        <w:pStyle w:val="Prrafodelista"/>
        <w:tabs>
          <w:tab w:val="left" w:pos="426"/>
        </w:tabs>
        <w:ind w:left="0"/>
        <w:jc w:val="center"/>
        <w:rPr>
          <w:rFonts w:ascii="Times New Roman" w:eastAsia="Calibri" w:hAnsi="Times New Roman" w:cs="Times New Roman"/>
          <w:bCs/>
          <w:sz w:val="28"/>
          <w:szCs w:val="28"/>
          <w:lang w:eastAsia="es-ES"/>
        </w:rPr>
      </w:pPr>
    </w:p>
    <w:p w:rsidR="00CF6C41" w:rsidRPr="00DB3EEA" w:rsidRDefault="00DB3EEA" w:rsidP="00836901">
      <w:pPr>
        <w:pStyle w:val="Prrafodelista"/>
        <w:tabs>
          <w:tab w:val="left" w:pos="426"/>
        </w:tabs>
        <w:ind w:left="0"/>
        <w:jc w:val="center"/>
        <w:rPr>
          <w:rFonts w:ascii="Times New Roman" w:eastAsia="Calibri" w:hAnsi="Times New Roman" w:cs="Times New Roman"/>
          <w:bCs/>
          <w:sz w:val="28"/>
          <w:szCs w:val="28"/>
          <w:lang w:eastAsia="es-ES"/>
        </w:rPr>
      </w:pPr>
      <w:r w:rsidRPr="00DB3EEA">
        <w:rPr>
          <w:rFonts w:ascii="Times New Roman" w:eastAsia="Calibri" w:hAnsi="Times New Roman" w:cs="Times New Roman"/>
          <w:b/>
          <w:sz w:val="28"/>
          <w:szCs w:val="28"/>
          <w:lang w:eastAsia="es-ES"/>
        </w:rPr>
        <w:t>RESUELVE</w:t>
      </w:r>
    </w:p>
    <w:p w:rsidR="00CF6C41" w:rsidRPr="00DB3EEA" w:rsidRDefault="00DB3EEA" w:rsidP="00376DDD">
      <w:pPr>
        <w:pStyle w:val="Prrafodelista"/>
        <w:tabs>
          <w:tab w:val="left" w:pos="426"/>
        </w:tabs>
        <w:ind w:left="0"/>
        <w:jc w:val="both"/>
        <w:rPr>
          <w:rFonts w:ascii="Times New Roman" w:eastAsia="Calibri" w:hAnsi="Times New Roman" w:cs="Times New Roman"/>
          <w:bCs/>
          <w:sz w:val="28"/>
          <w:szCs w:val="28"/>
          <w:lang w:eastAsia="es-ES"/>
        </w:rPr>
      </w:pPr>
    </w:p>
    <w:p w:rsidR="00836901" w:rsidRPr="00DB3EEA" w:rsidRDefault="00DB3EEA" w:rsidP="00836901">
      <w:pPr>
        <w:pStyle w:val="Prrafodelista"/>
        <w:tabs>
          <w:tab w:val="left" w:pos="426"/>
        </w:tabs>
        <w:ind w:left="0"/>
        <w:jc w:val="both"/>
        <w:rPr>
          <w:rFonts w:ascii="Times New Roman" w:eastAsia="Calibri" w:hAnsi="Times New Roman" w:cs="Times New Roman"/>
          <w:bCs/>
          <w:sz w:val="28"/>
          <w:szCs w:val="28"/>
          <w:lang w:eastAsia="es-ES"/>
        </w:rPr>
      </w:pPr>
      <w:r w:rsidRPr="00DB3EEA">
        <w:rPr>
          <w:rFonts w:ascii="Times New Roman" w:eastAsia="Calibri" w:hAnsi="Times New Roman" w:cs="Times New Roman"/>
          <w:b/>
          <w:bCs/>
          <w:sz w:val="28"/>
          <w:szCs w:val="28"/>
          <w:lang w:eastAsia="es-ES"/>
        </w:rPr>
        <w:t>ÚNIC</w:t>
      </w:r>
      <w:r w:rsidRPr="00DB3EEA">
        <w:rPr>
          <w:rFonts w:ascii="Times New Roman" w:eastAsia="Calibri" w:hAnsi="Times New Roman" w:cs="Times New Roman"/>
          <w:b/>
          <w:bCs/>
          <w:sz w:val="28"/>
          <w:szCs w:val="28"/>
          <w:lang w:eastAsia="es-ES"/>
        </w:rPr>
        <w:t>O</w:t>
      </w:r>
      <w:r w:rsidRPr="00DB3EEA">
        <w:rPr>
          <w:rFonts w:ascii="Times New Roman" w:eastAsia="Calibri" w:hAnsi="Times New Roman" w:cs="Times New Roman"/>
          <w:b/>
          <w:bCs/>
          <w:sz w:val="28"/>
          <w:szCs w:val="28"/>
          <w:lang w:eastAsia="es-ES"/>
        </w:rPr>
        <w:t>.</w:t>
      </w:r>
      <w:r w:rsidRPr="00DB3EEA">
        <w:rPr>
          <w:rFonts w:ascii="Times New Roman" w:eastAsia="Calibri" w:hAnsi="Times New Roman" w:cs="Times New Roman"/>
          <w:bCs/>
          <w:sz w:val="28"/>
          <w:szCs w:val="28"/>
          <w:lang w:eastAsia="es-ES"/>
        </w:rPr>
        <w:t xml:space="preserve"> Declarar </w:t>
      </w:r>
      <w:r w:rsidRPr="00DB3EEA">
        <w:rPr>
          <w:rFonts w:ascii="Times New Roman" w:eastAsia="Calibri" w:hAnsi="Times New Roman" w:cs="Times New Roman"/>
          <w:b/>
          <w:sz w:val="28"/>
          <w:szCs w:val="28"/>
          <w:lang w:eastAsia="es-ES"/>
        </w:rPr>
        <w:t>EXEQUIBLE</w:t>
      </w:r>
      <w:r w:rsidRPr="00DB3EEA">
        <w:rPr>
          <w:rFonts w:ascii="Times New Roman" w:eastAsia="Calibri" w:hAnsi="Times New Roman" w:cs="Times New Roman"/>
          <w:bCs/>
          <w:sz w:val="28"/>
          <w:szCs w:val="28"/>
          <w:lang w:eastAsia="es-ES"/>
        </w:rPr>
        <w:t xml:space="preserve">, </w:t>
      </w:r>
      <w:r w:rsidRPr="00DB3EEA">
        <w:rPr>
          <w:rFonts w:ascii="Times New Roman" w:eastAsia="Calibri" w:hAnsi="Times New Roman" w:cs="Times New Roman"/>
          <w:bCs/>
          <w:sz w:val="28"/>
          <w:szCs w:val="28"/>
          <w:lang w:eastAsia="es-ES"/>
        </w:rPr>
        <w:t>las expresiones “</w:t>
      </w:r>
      <w:r w:rsidRPr="00DB3EEA">
        <w:rPr>
          <w:rFonts w:ascii="Times New Roman" w:hAnsi="Times New Roman" w:cs="Times New Roman"/>
          <w:i/>
          <w:iCs/>
          <w:sz w:val="28"/>
          <w:szCs w:val="28"/>
          <w:u w:val="single"/>
        </w:rPr>
        <w:t>En el caso de las mercancías importadas, la base gravable sobre la cual se liquida el impuesto a los productos comestibles ultraprocesados</w:t>
      </w:r>
      <w:r w:rsidRPr="00DB3EEA">
        <w:rPr>
          <w:rFonts w:ascii="Times New Roman" w:hAnsi="Times New Roman" w:cs="Times New Roman"/>
          <w:i/>
          <w:iCs/>
          <w:sz w:val="28"/>
          <w:szCs w:val="28"/>
          <w:u w:val="single"/>
        </w:rPr>
        <w:t xml:space="preserve"> y/o con alto contenido de azúcares añadidos, sodio o grasas saturadas, será la misma que se tiene en cuenta para liquidar los tributos aduaneros, adicionados con el valor de este gravamen.”</w:t>
      </w:r>
      <w:r w:rsidRPr="00DB3EEA">
        <w:rPr>
          <w:rFonts w:ascii="Times New Roman" w:hAnsi="Times New Roman" w:cs="Times New Roman"/>
          <w:sz w:val="28"/>
          <w:szCs w:val="28"/>
        </w:rPr>
        <w:t xml:space="preserve"> y</w:t>
      </w:r>
      <w:r w:rsidRPr="00DB3EEA">
        <w:rPr>
          <w:rFonts w:ascii="Times New Roman" w:hAnsi="Times New Roman" w:cs="Times New Roman"/>
          <w:i/>
          <w:iCs/>
          <w:sz w:val="28"/>
          <w:szCs w:val="28"/>
          <w:u w:val="single"/>
        </w:rPr>
        <w:t xml:space="preserve"> </w:t>
      </w:r>
    </w:p>
    <w:p w:rsidR="00CF6C41" w:rsidRPr="00DB3EEA" w:rsidRDefault="00DB3EEA" w:rsidP="00836901">
      <w:pPr>
        <w:autoSpaceDE w:val="0"/>
        <w:autoSpaceDN w:val="0"/>
        <w:adjustRightInd w:val="0"/>
        <w:jc w:val="both"/>
        <w:rPr>
          <w:rFonts w:ascii="Times New Roman" w:hAnsi="Times New Roman" w:cs="Times New Roman"/>
          <w:i/>
          <w:iCs/>
          <w:sz w:val="28"/>
          <w:szCs w:val="28"/>
          <w:u w:val="single"/>
        </w:rPr>
      </w:pPr>
      <w:r w:rsidRPr="00DB3EEA">
        <w:rPr>
          <w:rFonts w:ascii="Times New Roman" w:hAnsi="Times New Roman" w:cs="Times New Roman"/>
          <w:i/>
          <w:iCs/>
          <w:sz w:val="28"/>
          <w:szCs w:val="28"/>
          <w:u w:val="single"/>
        </w:rPr>
        <w:t>“Tratándose de productos terminados producidos en zona franca,</w:t>
      </w:r>
      <w:r w:rsidRPr="00DB3EEA">
        <w:rPr>
          <w:rFonts w:ascii="Times New Roman" w:hAnsi="Times New Roman" w:cs="Times New Roman"/>
          <w:i/>
          <w:iCs/>
          <w:sz w:val="28"/>
          <w:szCs w:val="28"/>
          <w:u w:val="single"/>
        </w:rPr>
        <w:t xml:space="preserve"> la base gravable será el valor de todos los costos y gastos de producción de conformidad con el certificado de integración, más el valor de los tributos aduaneros. Cuando el importador sea el comprador o cliente en territorio aduanero nacional, la base gr</w:t>
      </w:r>
      <w:r w:rsidRPr="00DB3EEA">
        <w:rPr>
          <w:rFonts w:ascii="Times New Roman" w:hAnsi="Times New Roman" w:cs="Times New Roman"/>
          <w:i/>
          <w:iCs/>
          <w:sz w:val="28"/>
          <w:szCs w:val="28"/>
          <w:u w:val="single"/>
        </w:rPr>
        <w:t>avable será el valor de la factura más los tributos aduaneros”,</w:t>
      </w:r>
      <w:r w:rsidRPr="00DB3EEA">
        <w:rPr>
          <w:rFonts w:ascii="Times New Roman" w:hAnsi="Times New Roman" w:cs="Times New Roman"/>
          <w:sz w:val="28"/>
          <w:szCs w:val="28"/>
        </w:rPr>
        <w:t xml:space="preserve"> contenidas en </w:t>
      </w:r>
      <w:r w:rsidRPr="00DB3EEA">
        <w:rPr>
          <w:rFonts w:ascii="Times New Roman" w:hAnsi="Times New Roman" w:cs="Times New Roman"/>
          <w:sz w:val="28"/>
          <w:szCs w:val="28"/>
        </w:rPr>
        <w:t xml:space="preserve">artículo </w:t>
      </w:r>
      <w:r w:rsidRPr="00DB3EEA">
        <w:rPr>
          <w:rFonts w:ascii="Times New Roman" w:hAnsi="Times New Roman" w:cs="Times New Roman"/>
          <w:sz w:val="28"/>
          <w:szCs w:val="28"/>
        </w:rPr>
        <w:t>513</w:t>
      </w:r>
      <w:r w:rsidRPr="00DB3EEA">
        <w:rPr>
          <w:rFonts w:ascii="Times New Roman" w:hAnsi="Times New Roman" w:cs="Times New Roman"/>
          <w:sz w:val="28"/>
          <w:szCs w:val="28"/>
        </w:rPr>
        <w:t>-</w:t>
      </w:r>
      <w:r w:rsidRPr="00DB3EEA">
        <w:rPr>
          <w:rFonts w:ascii="Times New Roman" w:hAnsi="Times New Roman" w:cs="Times New Roman"/>
          <w:sz w:val="28"/>
          <w:szCs w:val="28"/>
        </w:rPr>
        <w:t>8</w:t>
      </w:r>
      <w:r w:rsidRPr="00DB3EEA">
        <w:rPr>
          <w:rFonts w:ascii="Times New Roman" w:hAnsi="Times New Roman" w:cs="Times New Roman"/>
          <w:sz w:val="28"/>
          <w:szCs w:val="28"/>
        </w:rPr>
        <w:t xml:space="preserve"> del Decreto 624 de 1989, Estatuto Tributario, modificado por el artículo </w:t>
      </w:r>
      <w:r w:rsidRPr="00DB3EEA">
        <w:rPr>
          <w:rFonts w:ascii="Times New Roman" w:hAnsi="Times New Roman" w:cs="Times New Roman"/>
          <w:sz w:val="28"/>
          <w:szCs w:val="28"/>
        </w:rPr>
        <w:t>54</w:t>
      </w:r>
      <w:r w:rsidRPr="00DB3EEA">
        <w:rPr>
          <w:rFonts w:ascii="Times New Roman" w:hAnsi="Times New Roman" w:cs="Times New Roman"/>
          <w:sz w:val="28"/>
          <w:szCs w:val="28"/>
        </w:rPr>
        <w:t xml:space="preserve"> de la Ley 2277 de 2022</w:t>
      </w:r>
      <w:r w:rsidRPr="00DB3EEA">
        <w:rPr>
          <w:rFonts w:ascii="Times New Roman" w:hAnsi="Times New Roman" w:cs="Times New Roman"/>
          <w:sz w:val="28"/>
          <w:szCs w:val="28"/>
        </w:rPr>
        <w:t xml:space="preserve">, </w:t>
      </w:r>
      <w:r w:rsidRPr="00DB3EEA">
        <w:rPr>
          <w:rFonts w:ascii="Times New Roman" w:hAnsi="Times New Roman" w:cs="Times New Roman"/>
          <w:sz w:val="28"/>
          <w:szCs w:val="28"/>
        </w:rPr>
        <w:t>“</w:t>
      </w:r>
      <w:r w:rsidRPr="00DB3EEA">
        <w:rPr>
          <w:rFonts w:ascii="Times New Roman" w:hAnsi="Times New Roman" w:cs="Times New Roman"/>
          <w:sz w:val="28"/>
          <w:szCs w:val="28"/>
        </w:rPr>
        <w:t xml:space="preserve">Por medio de la cual se adopta una reforma tributaria para la </w:t>
      </w:r>
      <w:r w:rsidRPr="00DB3EEA">
        <w:rPr>
          <w:rFonts w:ascii="Times New Roman" w:hAnsi="Times New Roman" w:cs="Times New Roman"/>
          <w:sz w:val="28"/>
          <w:szCs w:val="28"/>
        </w:rPr>
        <w:t>igualdad y la justicia social y se dictan otras disposiciones</w:t>
      </w:r>
      <w:r w:rsidRPr="00DB3EEA">
        <w:rPr>
          <w:rFonts w:ascii="Times New Roman" w:hAnsi="Times New Roman" w:cs="Times New Roman"/>
          <w:sz w:val="28"/>
          <w:szCs w:val="28"/>
        </w:rPr>
        <w:t>”</w:t>
      </w:r>
      <w:r w:rsidRPr="00DB3EEA">
        <w:rPr>
          <w:rFonts w:ascii="Times New Roman" w:hAnsi="Times New Roman" w:cs="Times New Roman"/>
          <w:sz w:val="28"/>
          <w:szCs w:val="28"/>
        </w:rPr>
        <w:t>, por los cargos estudiados.</w:t>
      </w:r>
    </w:p>
    <w:p w:rsidR="00CF6C41" w:rsidRPr="00DB3EEA" w:rsidRDefault="00DB3EEA" w:rsidP="00376DDD">
      <w:pPr>
        <w:pStyle w:val="Prrafodelista"/>
        <w:tabs>
          <w:tab w:val="left" w:pos="426"/>
        </w:tabs>
        <w:ind w:left="0"/>
        <w:jc w:val="both"/>
        <w:rPr>
          <w:rFonts w:ascii="Times New Roman" w:eastAsia="Calibri" w:hAnsi="Times New Roman" w:cs="Times New Roman"/>
          <w:bCs/>
          <w:sz w:val="28"/>
          <w:szCs w:val="28"/>
          <w:lang w:eastAsia="es-ES"/>
        </w:rPr>
      </w:pPr>
    </w:p>
    <w:p w:rsidR="00BB5500" w:rsidRPr="00DB3EEA" w:rsidRDefault="00DB3EEA" w:rsidP="00BB5500">
      <w:pPr>
        <w:jc w:val="both"/>
        <w:textAlignment w:val="baseline"/>
        <w:rPr>
          <w:rFonts w:ascii="Times New Roman" w:hAnsi="Times New Roman" w:cs="Times New Roman"/>
          <w:sz w:val="28"/>
          <w:szCs w:val="28"/>
          <w:shd w:val="clear" w:color="auto" w:fill="FFFFFF"/>
          <w:lang w:eastAsia="es-ES_tradnl"/>
        </w:rPr>
      </w:pPr>
      <w:r w:rsidRPr="00DB3EEA">
        <w:rPr>
          <w:rFonts w:ascii="Times New Roman" w:hAnsi="Times New Roman" w:cs="Times New Roman"/>
          <w:sz w:val="28"/>
          <w:szCs w:val="28"/>
          <w:bdr w:val="none" w:sz="0" w:space="0" w:color="auto" w:frame="1"/>
          <w:lang w:eastAsia="es-ES_tradnl"/>
        </w:rPr>
        <w:t>Notifíquese, comuníquese y cúmplase</w:t>
      </w:r>
      <w:r w:rsidRPr="00DB3EEA">
        <w:rPr>
          <w:rFonts w:ascii="Times New Roman" w:hAnsi="Times New Roman" w:cs="Times New Roman"/>
          <w:sz w:val="28"/>
          <w:szCs w:val="28"/>
          <w:shd w:val="clear" w:color="auto" w:fill="FFFFFF"/>
          <w:lang w:eastAsia="es-ES_tradnl"/>
        </w:rPr>
        <w:t xml:space="preserve">. </w:t>
      </w:r>
    </w:p>
    <w:p w:rsidR="00BB5500" w:rsidRPr="00DB3EEA" w:rsidRDefault="00DB3EEA" w:rsidP="00712087">
      <w:pPr>
        <w:suppressAutoHyphens/>
        <w:ind w:right="50"/>
        <w:contextualSpacing/>
        <w:rPr>
          <w:rFonts w:ascii="Times New Roman" w:eastAsiaTheme="minorHAnsi" w:hAnsi="Times New Roman" w:cs="Times New Roman"/>
          <w:bCs/>
          <w:color w:val="000000" w:themeColor="text1"/>
          <w:sz w:val="28"/>
          <w:szCs w:val="28"/>
          <w:lang w:eastAsia="en-US"/>
        </w:rPr>
      </w:pPr>
    </w:p>
    <w:p w:rsidR="0008383C" w:rsidRPr="00DB3EEA" w:rsidRDefault="00DB3EEA" w:rsidP="00712087">
      <w:pPr>
        <w:suppressAutoHyphens/>
        <w:ind w:right="50"/>
        <w:contextualSpacing/>
        <w:rPr>
          <w:rFonts w:ascii="Times New Roman" w:eastAsiaTheme="minorHAnsi" w:hAnsi="Times New Roman" w:cs="Times New Roman"/>
          <w:bCs/>
          <w:color w:val="000000" w:themeColor="text1"/>
          <w:sz w:val="28"/>
          <w:szCs w:val="28"/>
          <w:lang w:eastAsia="en-US"/>
        </w:rPr>
      </w:pPr>
    </w:p>
    <w:p w:rsidR="0008383C" w:rsidRPr="00DB3EEA" w:rsidRDefault="00DB3EEA" w:rsidP="00712087">
      <w:pPr>
        <w:suppressAutoHyphens/>
        <w:ind w:right="50"/>
        <w:contextualSpacing/>
        <w:rPr>
          <w:rFonts w:ascii="Times New Roman" w:eastAsiaTheme="minorHAnsi" w:hAnsi="Times New Roman" w:cs="Times New Roman"/>
          <w:bCs/>
          <w:color w:val="000000" w:themeColor="text1"/>
          <w:sz w:val="28"/>
          <w:szCs w:val="28"/>
          <w:lang w:eastAsia="en-US"/>
        </w:rPr>
      </w:pP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JORGE ENRIQUE IBÁÑEZ NAJAR</w:t>
      </w: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Presidente</w:t>
      </w: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Con aclaración de voto</w:t>
      </w: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NATALIA ÁNGEL CABO</w:t>
      </w: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Magistrada</w:t>
      </w: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CARLOS CAMARGO ASSIS</w:t>
      </w: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Magistrado</w:t>
      </w: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Con aclaración de voto</w:t>
      </w: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HECTOR ALFONSO CARVAJAL LONDOÑO</w:t>
      </w: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Magistrado</w:t>
      </w: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JUAN CARLOS CORTÉS GONZÁLEZ</w:t>
      </w: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Magistrado</w:t>
      </w: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LINA MARCELA ESCOBAR MARTÍNEZ</w:t>
      </w: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Magistrada</w:t>
      </w: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VLADIMIR FERNÁNDEZ ANDRADE</w:t>
      </w: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Magistrado</w:t>
      </w: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Con impedimento aceptado</w:t>
      </w: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 xml:space="preserve">PAOLA ANDREA MENESES </w:t>
      </w:r>
      <w:r w:rsidRPr="00DB3EEA">
        <w:rPr>
          <w:rFonts w:ascii="Times New Roman" w:hAnsi="Times New Roman" w:cs="Times New Roman"/>
          <w:sz w:val="28"/>
          <w:szCs w:val="28"/>
        </w:rPr>
        <w:t>MOSQUERA</w:t>
      </w: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Magistrada</w:t>
      </w: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MIGUEL POLO ROSERO</w:t>
      </w: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Magistrado</w:t>
      </w: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08383C" w:rsidRPr="00DB3EEA" w:rsidRDefault="00DB3EEA" w:rsidP="00134A85">
      <w:pPr>
        <w:pStyle w:val="Prrafodelista"/>
        <w:tabs>
          <w:tab w:val="left" w:pos="426"/>
        </w:tabs>
        <w:ind w:left="0"/>
        <w:jc w:val="center"/>
        <w:rPr>
          <w:rFonts w:ascii="Times New Roman" w:hAnsi="Times New Roman" w:cs="Times New Roman"/>
          <w:sz w:val="28"/>
          <w:szCs w:val="28"/>
        </w:rPr>
      </w:pP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ANDREA LILIANA ROMERO LOPEZ</w:t>
      </w:r>
    </w:p>
    <w:p w:rsidR="00134A85" w:rsidRPr="00DB3EEA" w:rsidRDefault="00DB3EEA" w:rsidP="00134A85">
      <w:pPr>
        <w:pStyle w:val="Prrafodelista"/>
        <w:tabs>
          <w:tab w:val="left" w:pos="426"/>
        </w:tabs>
        <w:ind w:left="0"/>
        <w:jc w:val="center"/>
        <w:rPr>
          <w:rFonts w:ascii="Times New Roman" w:hAnsi="Times New Roman" w:cs="Times New Roman"/>
          <w:sz w:val="28"/>
          <w:szCs w:val="28"/>
        </w:rPr>
      </w:pPr>
      <w:r w:rsidRPr="00DB3EEA">
        <w:rPr>
          <w:rFonts w:ascii="Times New Roman" w:hAnsi="Times New Roman" w:cs="Times New Roman"/>
          <w:sz w:val="28"/>
          <w:szCs w:val="28"/>
        </w:rPr>
        <w:t>Secretaria General</w:t>
      </w:r>
    </w:p>
    <w:sectPr w:rsidR="00134A85" w:rsidRPr="00DB3EEA">
      <w:pgSz w:w="12240" w:h="15840"/>
      <w:pgMar w:top="1417" w:right="1701" w:bottom="1417" w:left="1701" w:header="720" w:footer="720" w:gutter="0"/>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00000" w:rsidRDefault="00DB3EEA">
      <w:pPr>
        <w:spacing w:after="0" w:line="240" w:lineRule="auto"/>
      </w:pPr>
      <w:r>
        <w:separator/>
      </w:r>
    </w:p>
  </w:endnote>
  <w:endnote w:type="continuationSeparator" w:id="0">
    <w:p w:rsidR="00000000" w:rsidRDefault="00DB3E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Arial Unicode MS">
    <w:panose1 w:val="020B0604020202020204"/>
    <w:charset w:val="00"/>
    <w:family w:val="roman"/>
    <w:pitch w:val="variable"/>
    <w:sig w:usb0="00000003" w:usb1="00000000" w:usb2="00000000" w:usb3="00000000" w:csb0="00000001"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Yu Gothic Light">
    <w:panose1 w:val="020B0300000000000000"/>
    <w:charset w:val="80"/>
    <w:family w:val="swiss"/>
    <w:pitch w:val="variable"/>
    <w:sig w:usb0="E00002FF" w:usb1="2AC7FDFF" w:usb2="00000016"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00000" w:rsidRDefault="00DB3EEA">
      <w:pPr>
        <w:spacing w:after="0" w:line="240" w:lineRule="auto"/>
      </w:pPr>
      <w:r>
        <w:separator/>
      </w:r>
    </w:p>
  </w:footnote>
  <w:footnote w:type="continuationSeparator" w:id="0">
    <w:p w:rsidR="00000000" w:rsidRDefault="00DB3EEA">
      <w:pPr>
        <w:spacing w:after="0" w:line="240" w:lineRule="auto"/>
      </w:pPr>
      <w:r>
        <w:continuationSeparator/>
      </w:r>
    </w:p>
  </w:footnote>
  <w:footnote w:id="1">
    <w:p w:rsidR="00D05208" w:rsidRPr="00C25367" w:rsidRDefault="00DB3EEA" w:rsidP="00C25367">
      <w:pPr>
        <w:pStyle w:val="Textonotapie"/>
        <w:jc w:val="both"/>
      </w:pPr>
      <w:r w:rsidRPr="00C25367">
        <w:rPr>
          <w:rStyle w:val="Refdenotaalpie"/>
        </w:rPr>
        <w:footnoteRef/>
      </w:r>
      <w:r w:rsidRPr="00C25367">
        <w:t xml:space="preserve"> </w:t>
      </w:r>
      <w:r w:rsidRPr="00C25367">
        <w:t xml:space="preserve">El Auto del </w:t>
      </w:r>
      <w:r w:rsidRPr="00C25367">
        <w:t>6</w:t>
      </w:r>
      <w:r w:rsidRPr="00C25367">
        <w:t xml:space="preserve"> de </w:t>
      </w:r>
      <w:r w:rsidRPr="00C25367">
        <w:t>diciembre</w:t>
      </w:r>
      <w:r w:rsidRPr="00C25367">
        <w:t xml:space="preserve"> de 2024 </w:t>
      </w:r>
      <w:r w:rsidRPr="00C25367">
        <w:t xml:space="preserve">inadmitió inicialmente la demanda y por medio de oficio de corrección de 13 de diciembre de 2024 los </w:t>
      </w:r>
      <w:r w:rsidRPr="00C25367">
        <w:t xml:space="preserve">parcialmente la demanda </w:t>
      </w:r>
      <w:r w:rsidRPr="00C25367">
        <w:t>en relación con la violación de los principios de solidaridad y justicia tributaria.</w:t>
      </w:r>
    </w:p>
  </w:footnote>
  <w:footnote w:id="2">
    <w:p w:rsidR="00F148F7" w:rsidRPr="00C25367" w:rsidRDefault="00DB3EEA" w:rsidP="00C25367">
      <w:pPr>
        <w:pStyle w:val="Textonotapie"/>
        <w:spacing w:line="0" w:lineRule="atLeast"/>
        <w:jc w:val="both"/>
      </w:pPr>
      <w:r w:rsidRPr="00C25367">
        <w:rPr>
          <w:rStyle w:val="Refdenotaalpie"/>
        </w:rPr>
        <w:footnoteRef/>
      </w:r>
      <w:r w:rsidRPr="00C25367">
        <w:t xml:space="preserve"> Los invitados fueron </w:t>
      </w:r>
      <w:r w:rsidRPr="00C25367">
        <w:rPr>
          <w:bCs/>
          <w:iCs/>
        </w:rPr>
        <w:t>el Instituto Colombiano de Derecho Tributario; la Academia Colombiana de Jurisprudencia; la Asociación Nacional de Empresari</w:t>
      </w:r>
      <w:r w:rsidRPr="00C25367">
        <w:rPr>
          <w:bCs/>
          <w:iCs/>
        </w:rPr>
        <w:t>os – ANDI; el Sindicato Nacional de Trabajadores y la Industria de las Bebidas, Alimentos, Sistema Agroalimentario, Afines y similares del Colombia – SINALTRAINBEC; el Centro de Investigaciones Económicas, Administrativas y Contables de Universidad de Mede</w:t>
      </w:r>
      <w:r w:rsidRPr="00C25367">
        <w:rPr>
          <w:bCs/>
          <w:iCs/>
        </w:rPr>
        <w:t>llín (CIECA); el Observatorio Fiscal de la Universidad Javeriana; y las Facultades de Derecho de las Universidades Nacional de Colombia, Javeriana, Externado de Colombia, EAFIT, del Rosario, de Antioquia, de los Andes, de Cartagena y de La Sabana.</w:t>
      </w:r>
    </w:p>
  </w:footnote>
  <w:footnote w:id="3">
    <w:p w:rsidR="00EA2953" w:rsidRPr="00C25367" w:rsidRDefault="00DB3EEA" w:rsidP="00C25367">
      <w:pPr>
        <w:pStyle w:val="Textonotapie"/>
        <w:jc w:val="both"/>
      </w:pPr>
      <w:r w:rsidRPr="00C25367">
        <w:rPr>
          <w:rStyle w:val="Refdenotaalpie"/>
        </w:rPr>
        <w:footnoteRef/>
      </w:r>
      <w:r w:rsidRPr="00C25367">
        <w:t xml:space="preserve"> </w:t>
      </w:r>
      <w:r w:rsidRPr="00C25367">
        <w:t>Expedi</w:t>
      </w:r>
      <w:r w:rsidRPr="00C25367">
        <w:t xml:space="preserve">ente digital, archivo “Demanda ciudadana”, folio 3. Disponible en: </w:t>
      </w:r>
      <w:hyperlink r:id="rId1" w:history="1">
        <w:r w:rsidRPr="00C25367">
          <w:rPr>
            <w:rStyle w:val="Hipervnculo"/>
          </w:rPr>
          <w:t>https://www.corteconstitucional.gov.co/secret</w:t>
        </w:r>
        <w:r w:rsidRPr="00C25367">
          <w:rPr>
            <w:rStyle w:val="Hipervnculo"/>
          </w:rPr>
          <w:t>aria/expediente?proceso=1&amp;expediente=D0016314&amp;lista=datosExpedientes_1761103971974</w:t>
        </w:r>
      </w:hyperlink>
    </w:p>
  </w:footnote>
  <w:footnote w:id="4">
    <w:p w:rsidR="00EA2953"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“Demanda ciudadana”, folio 16. Disponible en: </w:t>
      </w:r>
      <w:hyperlink r:id="rId2" w:history="1">
        <w:r w:rsidRPr="00C25367">
          <w:rPr>
            <w:rStyle w:val="Hipervnculo"/>
          </w:rPr>
          <w:t>https://www.corteconstitucional.gov.co/secretaria/expediente?proceso=1&amp;expediente=D0016314&amp;lista=datosExpedientes_1761103971974</w:t>
        </w:r>
      </w:hyperlink>
    </w:p>
  </w:footnote>
  <w:footnote w:id="5">
    <w:p w:rsidR="00EA2953"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“Demanda ciudadana”, folio 3 a 5. Disponible en: </w:t>
      </w:r>
      <w:hyperlink r:id="rId3" w:history="1">
        <w:r w:rsidRPr="00C25367">
          <w:rPr>
            <w:rStyle w:val="Hipervnculo"/>
          </w:rPr>
          <w:t>https://www.corteconstitucional.gov.co/secretaria/expediente?proceso=1&amp;expediente=D0016314&amp;lista=datosExpedientes_</w:t>
        </w:r>
        <w:r w:rsidRPr="00C25367">
          <w:rPr>
            <w:rStyle w:val="Hipervnculo"/>
          </w:rPr>
          <w:t>1761103971974</w:t>
        </w:r>
      </w:hyperlink>
    </w:p>
  </w:footnote>
  <w:footnote w:id="6">
    <w:p w:rsidR="00EA2953"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“Demanda ciudadana”, folio 4. Disponible en: </w:t>
      </w:r>
      <w:hyperlink r:id="rId4" w:history="1">
        <w:r w:rsidRPr="00C25367">
          <w:rPr>
            <w:rStyle w:val="Hipervnculo"/>
          </w:rPr>
          <w:t>https://www.corteconsti</w:t>
        </w:r>
        <w:r w:rsidRPr="00C25367">
          <w:rPr>
            <w:rStyle w:val="Hipervnculo"/>
          </w:rPr>
          <w:t>tucional.gov.co/secretaria/expediente?proceso=1&amp;expediente=D0016314&amp;lista=datosExpedientes_1761103971974</w:t>
        </w:r>
      </w:hyperlink>
    </w:p>
  </w:footnote>
  <w:footnote w:id="7">
    <w:p w:rsidR="0088014B"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“Demanda ciudadana”, folio 4. Disponible en: </w:t>
      </w:r>
      <w:hyperlink r:id="rId5" w:history="1">
        <w:r w:rsidRPr="00C25367">
          <w:rPr>
            <w:rStyle w:val="Hipervnculo"/>
          </w:rPr>
          <w:t>https://www.corteconstitucional.gov.co/secretaria/expediente?proceso=1&amp;expediente=D0016314&amp;lista=datosExpedientes_1761103971974</w:t>
        </w:r>
      </w:hyperlink>
    </w:p>
  </w:footnote>
  <w:footnote w:id="8">
    <w:p w:rsidR="0088014B" w:rsidRPr="00C25367" w:rsidRDefault="00DB3EEA" w:rsidP="00C25367">
      <w:pPr>
        <w:pStyle w:val="Textonotapie"/>
        <w:jc w:val="both"/>
      </w:pPr>
      <w:r w:rsidRPr="00C25367">
        <w:rPr>
          <w:rStyle w:val="Refdenotaalpie"/>
        </w:rPr>
        <w:footnoteRef/>
      </w:r>
      <w:r w:rsidRPr="00C25367">
        <w:t xml:space="preserve"> </w:t>
      </w:r>
      <w:r w:rsidRPr="00C25367">
        <w:t>Expediente digital, archivo “Demanda ciudadana”. Disponibl</w:t>
      </w:r>
      <w:r w:rsidRPr="00C25367">
        <w:t xml:space="preserve">e en: </w:t>
      </w:r>
      <w:hyperlink r:id="rId6" w:history="1">
        <w:r w:rsidRPr="00C25367">
          <w:rPr>
            <w:rStyle w:val="Hipervnculo"/>
          </w:rPr>
          <w:t>https://www.corteconstitucional.gov.co/secretaria/expediente?proceso=1&amp;expediente=D0016314&amp;lista=datosExpedientes_1761103971974</w:t>
        </w:r>
      </w:hyperlink>
    </w:p>
  </w:footnote>
  <w:footnote w:id="9">
    <w:p w:rsidR="003A41A8"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“Demanda ciudadana”. Folio 5. Disponible en: </w:t>
      </w:r>
      <w:hyperlink r:id="rId7" w:history="1">
        <w:r w:rsidRPr="00C25367">
          <w:rPr>
            <w:rStyle w:val="Hipervnculo"/>
          </w:rPr>
          <w:t>https://www.corteconstitucional.gov.co/secretaria/expediente?proceso=1&amp;expediente=D0016314&amp;lista=datosExpedientes_1761103971974</w:t>
        </w:r>
      </w:hyperlink>
    </w:p>
  </w:footnote>
  <w:footnote w:id="10">
    <w:p w:rsidR="003A41A8" w:rsidRPr="00C25367" w:rsidRDefault="00DB3EEA" w:rsidP="00C25367">
      <w:pPr>
        <w:pStyle w:val="Textonotapie"/>
        <w:jc w:val="both"/>
      </w:pPr>
      <w:r w:rsidRPr="00C25367">
        <w:rPr>
          <w:rStyle w:val="Refdenotaalpie"/>
        </w:rPr>
        <w:footnoteRef/>
      </w:r>
      <w:r w:rsidRPr="00C25367">
        <w:t xml:space="preserve"> </w:t>
      </w:r>
      <w:r w:rsidRPr="00C25367">
        <w:t>Expediente digital, archivo “Demand</w:t>
      </w:r>
      <w:r w:rsidRPr="00C25367">
        <w:t xml:space="preserve">a ciudadana”. Folio 8. Disponible en: </w:t>
      </w:r>
      <w:hyperlink r:id="rId8" w:history="1">
        <w:r w:rsidRPr="00C25367">
          <w:rPr>
            <w:rStyle w:val="Hipervnculo"/>
          </w:rPr>
          <w:t>https://www.corteconstitucional.gov.co/secretaria/expediente?proceso=1&amp;exp</w:t>
        </w:r>
        <w:r w:rsidRPr="00C25367">
          <w:rPr>
            <w:rStyle w:val="Hipervnculo"/>
          </w:rPr>
          <w:t>ediente=D0016314&amp;lista=datosExpedientes_1761103971974</w:t>
        </w:r>
      </w:hyperlink>
    </w:p>
  </w:footnote>
  <w:footnote w:id="11">
    <w:p w:rsidR="009D11D0" w:rsidRPr="00C25367" w:rsidRDefault="00DB3EEA" w:rsidP="00C25367">
      <w:pPr>
        <w:pStyle w:val="Textonotapie"/>
        <w:jc w:val="both"/>
      </w:pPr>
      <w:r w:rsidRPr="00C25367">
        <w:rPr>
          <w:rStyle w:val="Refdenotaalpie"/>
        </w:rPr>
        <w:footnoteRef/>
      </w:r>
      <w:r w:rsidRPr="00C25367">
        <w:t xml:space="preserve"> Expediente digital, archivo “Corrección a la demanda”. Folios 3 a 6. Disponible en: </w:t>
      </w:r>
      <w:hyperlink r:id="rId9" w:history="1">
        <w:r w:rsidRPr="00C25367">
          <w:rPr>
            <w:rStyle w:val="Hipervnculo"/>
          </w:rPr>
          <w:t>https://www.corteconstitucional.gov.co/secretaria/expediente?proceso=1&amp;expediente=D0016314&amp;lista=datosExpedientes_1761103971974</w:t>
        </w:r>
      </w:hyperlink>
    </w:p>
  </w:footnote>
  <w:footnote w:id="12">
    <w:p w:rsidR="00E04E63" w:rsidRPr="00C25367" w:rsidRDefault="00DB3EEA" w:rsidP="00C25367">
      <w:pPr>
        <w:pStyle w:val="Textonotapie"/>
        <w:jc w:val="both"/>
      </w:pPr>
      <w:r w:rsidRPr="00C25367">
        <w:rPr>
          <w:rStyle w:val="Refdenotaalpie"/>
        </w:rPr>
        <w:footnoteRef/>
      </w:r>
      <w:r w:rsidRPr="00C25367">
        <w:t xml:space="preserve"> Expediente digital, archivo “Auto que inadmite la demanda”. Folio 12. Disponible en: </w:t>
      </w:r>
      <w:hyperlink r:id="rId10" w:history="1">
        <w:r w:rsidRPr="00C25367">
          <w:rPr>
            <w:rStyle w:val="Hipervnculo"/>
          </w:rPr>
          <w:t>https://www.corteconstitucional.gov.co/secretaria/expediente?proceso=1&amp;expediente=D0016314&amp;lista=datosExpedientes_17611039719</w:t>
        </w:r>
        <w:r w:rsidRPr="00C25367">
          <w:rPr>
            <w:rStyle w:val="Hipervnculo"/>
          </w:rPr>
          <w:t>74</w:t>
        </w:r>
      </w:hyperlink>
    </w:p>
  </w:footnote>
  <w:footnote w:id="13">
    <w:p w:rsidR="008C1039" w:rsidRPr="00C25367" w:rsidRDefault="00DB3EEA" w:rsidP="00C25367">
      <w:pPr>
        <w:pStyle w:val="Textonotapie"/>
        <w:jc w:val="both"/>
      </w:pPr>
      <w:r w:rsidRPr="00C25367">
        <w:rPr>
          <w:rStyle w:val="Refdenotaalpie"/>
        </w:rPr>
        <w:footnoteRef/>
      </w:r>
      <w:r w:rsidRPr="00C25367">
        <w:t xml:space="preserve"> Fundamento jurídico 9. </w:t>
      </w:r>
    </w:p>
  </w:footnote>
  <w:footnote w:id="14">
    <w:p w:rsidR="003A41A8"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“Corrección a la demanda”. Folio 8. Disponible en: </w:t>
      </w:r>
      <w:hyperlink r:id="rId11" w:history="1">
        <w:r w:rsidRPr="00C25367">
          <w:rPr>
            <w:rStyle w:val="Hipervnculo"/>
          </w:rPr>
          <w:t>ht</w:t>
        </w:r>
        <w:r w:rsidRPr="00C25367">
          <w:rPr>
            <w:rStyle w:val="Hipervnculo"/>
          </w:rPr>
          <w:t>tps://www.corteconstitucional.gov.co/secretaria/expediente?proceso=1&amp;expediente=D0016314&amp;lista=datosExpedientes_1761103971974</w:t>
        </w:r>
      </w:hyperlink>
    </w:p>
  </w:footnote>
  <w:footnote w:id="15">
    <w:p w:rsidR="003A41A8"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“Corrección a la demanda”. Folio 7. Disponible en: </w:t>
      </w:r>
      <w:hyperlink r:id="rId12" w:history="1">
        <w:r w:rsidRPr="00C25367">
          <w:rPr>
            <w:rStyle w:val="Hipervnculo"/>
          </w:rPr>
          <w:t>https://www.corteconstitucional.gov.co/secretaria/expediente?proceso=1&amp;expediente=D0016314&amp;lista=datosExpedientes_1761103971974</w:t>
        </w:r>
      </w:hyperlink>
    </w:p>
  </w:footnote>
  <w:footnote w:id="16">
    <w:p w:rsidR="00320DF8"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“Corrección a la demanda”. Folio 10. Disponible en: </w:t>
      </w:r>
      <w:hyperlink r:id="rId13" w:history="1">
        <w:r w:rsidRPr="00C25367">
          <w:rPr>
            <w:rStyle w:val="Hipervnculo"/>
          </w:rPr>
          <w:t>https://www.corteconstitucional.gov.co/secretaria/expediente?proceso=1&amp;expediente=D0016314&amp;lista=datosExpedientes_1761103971974</w:t>
        </w:r>
      </w:hyperlink>
    </w:p>
  </w:footnote>
  <w:footnote w:id="17">
    <w:p w:rsidR="00320DF8"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“Corrección a la demanda”. Folio 12. Disponible en: </w:t>
      </w:r>
      <w:hyperlink r:id="rId14" w:history="1">
        <w:r w:rsidRPr="00C25367">
          <w:rPr>
            <w:rStyle w:val="Hipervnculo"/>
          </w:rPr>
          <w:t>https://www.corteconstitucional.gov.co/secretaria/expediente?proceso=1&amp;expediente=D0016314&amp;lista=datosExpedientes_1761103971974</w:t>
        </w:r>
      </w:hyperlink>
    </w:p>
  </w:footnote>
  <w:footnote w:id="18">
    <w:p w:rsidR="00320DF8"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w:t>
      </w:r>
      <w:r w:rsidRPr="00C25367">
        <w:t xml:space="preserve">“Corrección a la demanda”. Folios 12 y 13. Disponible en: </w:t>
      </w:r>
      <w:hyperlink r:id="rId15" w:history="1">
        <w:r w:rsidRPr="00C25367">
          <w:rPr>
            <w:rStyle w:val="Hipervnculo"/>
          </w:rPr>
          <w:t>https://www.corteconstitucional.gov.co/secretaria/expe</w:t>
        </w:r>
        <w:r w:rsidRPr="00C25367">
          <w:rPr>
            <w:rStyle w:val="Hipervnculo"/>
          </w:rPr>
          <w:t>diente?proceso=1&amp;expediente=D0016314&amp;lista=datosExpedientes_1761103971974</w:t>
        </w:r>
      </w:hyperlink>
    </w:p>
  </w:footnote>
  <w:footnote w:id="19">
    <w:p w:rsidR="009D11D0" w:rsidRPr="00C25367" w:rsidRDefault="00DB3EEA" w:rsidP="00C25367">
      <w:pPr>
        <w:pStyle w:val="Textonotapie"/>
        <w:jc w:val="both"/>
      </w:pPr>
      <w:r w:rsidRPr="00C25367">
        <w:rPr>
          <w:rStyle w:val="Refdenotaalpie"/>
        </w:rPr>
        <w:footnoteRef/>
      </w:r>
      <w:r w:rsidRPr="00C25367">
        <w:t xml:space="preserve"> Expediente digital, archivo “Demanda ciudadana”. Folio 10. Disponible en: </w:t>
      </w:r>
      <w:hyperlink r:id="rId16" w:history="1">
        <w:r w:rsidRPr="00C25367">
          <w:rPr>
            <w:rStyle w:val="Hipervnculo"/>
          </w:rPr>
          <w:t>https://www.corteconstitucional.gov.co/secretaria/expediente?proceso=1&amp;expediente=D0016314&amp;lista=datosExpedientes_1761103971974</w:t>
        </w:r>
      </w:hyperlink>
    </w:p>
  </w:footnote>
  <w:footnote w:id="20">
    <w:p w:rsidR="00320DF8"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“Demanda ciudadana”. Folio 11. Disponible en: </w:t>
      </w:r>
      <w:hyperlink r:id="rId17" w:history="1">
        <w:r w:rsidRPr="00C25367">
          <w:rPr>
            <w:rStyle w:val="Hipervnculo"/>
          </w:rPr>
          <w:t>https://www.corteconstitucional.gov.co/secretaria/expediente?proceso=1&amp;expediente=D0016314&amp;lista=datosExpedientes_176110397197</w:t>
        </w:r>
        <w:r w:rsidRPr="00C25367">
          <w:rPr>
            <w:rStyle w:val="Hipervnculo"/>
          </w:rPr>
          <w:t>4</w:t>
        </w:r>
      </w:hyperlink>
    </w:p>
  </w:footnote>
  <w:footnote w:id="21">
    <w:p w:rsidR="00320DF8"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“Demanda ciudadana”. Folio 11. Disponible en: </w:t>
      </w:r>
      <w:hyperlink r:id="rId18" w:history="1">
        <w:r w:rsidRPr="00C25367">
          <w:rPr>
            <w:rStyle w:val="Hipervnculo"/>
          </w:rPr>
          <w:t>https://www.corteconstitucional.go</w:t>
        </w:r>
        <w:r w:rsidRPr="00C25367">
          <w:rPr>
            <w:rStyle w:val="Hipervnculo"/>
          </w:rPr>
          <w:t>v.co/secretaria/expediente?proceso=1&amp;expediente=D0016314&amp;lista=datosExpedientes_1761103971974</w:t>
        </w:r>
      </w:hyperlink>
    </w:p>
  </w:footnote>
  <w:footnote w:id="22">
    <w:p w:rsidR="00320DF8"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“Corrección a la demanda”. Folio 14. Disponible en: </w:t>
      </w:r>
      <w:hyperlink r:id="rId19" w:history="1">
        <w:r w:rsidRPr="00C25367">
          <w:rPr>
            <w:rStyle w:val="Hipervnculo"/>
          </w:rPr>
          <w:t>https://www.corteconstitucional.gov.co/secretaria/expediente?proceso=1&amp;expediente=D0016314&amp;lista=datosExpedientes_1761103971974</w:t>
        </w:r>
      </w:hyperlink>
    </w:p>
  </w:footnote>
  <w:footnote w:id="23">
    <w:p w:rsidR="00F85B13" w:rsidRPr="00C25367" w:rsidRDefault="00DB3EEA" w:rsidP="00C25367">
      <w:pPr>
        <w:pStyle w:val="Textonotapie"/>
        <w:jc w:val="both"/>
      </w:pPr>
      <w:r w:rsidRPr="00C25367">
        <w:rPr>
          <w:rStyle w:val="Refdenotaalpie"/>
        </w:rPr>
        <w:footnoteRef/>
      </w:r>
      <w:r w:rsidRPr="00C25367">
        <w:t xml:space="preserve"> </w:t>
      </w:r>
      <w:r w:rsidRPr="00C25367">
        <w:t>Expediente digital, archivo “Corrección a la demanda”. Folio 1</w:t>
      </w:r>
      <w:r w:rsidRPr="00C25367">
        <w:t xml:space="preserve">4. Disponible en: </w:t>
      </w:r>
      <w:hyperlink r:id="rId20" w:history="1">
        <w:r w:rsidRPr="00C25367">
          <w:rPr>
            <w:rStyle w:val="Hipervnculo"/>
          </w:rPr>
          <w:t>https://www.corteconstitucional.gov.co/secretaria/expediente?proceso=1&amp;expediente=D0016314&amp;lis</w:t>
        </w:r>
        <w:r w:rsidRPr="00C25367">
          <w:rPr>
            <w:rStyle w:val="Hipervnculo"/>
          </w:rPr>
          <w:t>ta=datosExpedientes_1761103971974</w:t>
        </w:r>
      </w:hyperlink>
    </w:p>
  </w:footnote>
  <w:footnote w:id="24">
    <w:p w:rsidR="00F85B13"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“Corrección a la demanda”. Folio 15. Disponible en: </w:t>
      </w:r>
      <w:hyperlink r:id="rId21" w:history="1">
        <w:r w:rsidRPr="00C25367">
          <w:rPr>
            <w:rStyle w:val="Hipervnculo"/>
          </w:rPr>
          <w:t>https://www.corteconstitucional.gov.co/secretaria/expediente?proceso=1&amp;expediente=D0016314&amp;lista=datosExpedientes_1761103971974</w:t>
        </w:r>
      </w:hyperlink>
    </w:p>
  </w:footnote>
  <w:footnote w:id="25">
    <w:p w:rsidR="00F85B13"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“Corrección a la demanda”. Folio 16. Disponible en: </w:t>
      </w:r>
      <w:hyperlink r:id="rId22" w:history="1">
        <w:r w:rsidRPr="00C25367">
          <w:rPr>
            <w:rStyle w:val="Hipervnculo"/>
          </w:rPr>
          <w:t>https://www.corteconstitucional.gov.co/secretaria/expediente?proceso=1&amp;expediente=D0016314&amp;lista=datosExpedientes_</w:t>
        </w:r>
        <w:r w:rsidRPr="00C25367">
          <w:rPr>
            <w:rStyle w:val="Hipervnculo"/>
          </w:rPr>
          <w:t>1761103971974</w:t>
        </w:r>
      </w:hyperlink>
    </w:p>
  </w:footnote>
  <w:footnote w:id="26">
    <w:p w:rsidR="00F85B13"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“Demanda ciudadana”. Folio 12. Disponible en: </w:t>
      </w:r>
      <w:hyperlink r:id="rId23" w:history="1">
        <w:r w:rsidRPr="00C25367">
          <w:rPr>
            <w:rStyle w:val="Hipervnculo"/>
          </w:rPr>
          <w:t>https://www.corteconst</w:t>
        </w:r>
        <w:r w:rsidRPr="00C25367">
          <w:rPr>
            <w:rStyle w:val="Hipervnculo"/>
          </w:rPr>
          <w:t>itucional.gov.co/secretaria/expediente?proceso=1&amp;expediente=D0016314&amp;lista=datosExpedientes_1761103971974</w:t>
        </w:r>
      </w:hyperlink>
    </w:p>
  </w:footnote>
  <w:footnote w:id="27">
    <w:p w:rsidR="00F85B13"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“Corrección a la demanda”. Folio 20. Disponible en: </w:t>
      </w:r>
      <w:hyperlink r:id="rId24" w:history="1">
        <w:r w:rsidRPr="00C25367">
          <w:rPr>
            <w:rStyle w:val="Hipervnculo"/>
          </w:rPr>
          <w:t>https://www.corteconstitucional.gov.co/secretaria/expediente?proceso=1&amp;expediente=D0016314&amp;lista=datosExpedientes_1761103971974</w:t>
        </w:r>
      </w:hyperlink>
    </w:p>
  </w:footnote>
  <w:footnote w:id="28">
    <w:p w:rsidR="00F85B13" w:rsidRPr="00C25367" w:rsidRDefault="00DB3EEA" w:rsidP="00C25367">
      <w:pPr>
        <w:pStyle w:val="Textonotapie"/>
        <w:jc w:val="both"/>
      </w:pPr>
      <w:r w:rsidRPr="00C25367">
        <w:rPr>
          <w:rStyle w:val="Refdenotaalpie"/>
        </w:rPr>
        <w:footnoteRef/>
      </w:r>
      <w:r w:rsidRPr="00C25367">
        <w:t xml:space="preserve"> </w:t>
      </w:r>
      <w:r w:rsidRPr="00C25367">
        <w:t>Expediente digital, archivo “Corrección a la deman</w:t>
      </w:r>
      <w:r w:rsidRPr="00C25367">
        <w:t xml:space="preserve">da”. Folio 21. Disponible en: </w:t>
      </w:r>
      <w:hyperlink r:id="rId25" w:history="1">
        <w:r w:rsidRPr="00C25367">
          <w:rPr>
            <w:rStyle w:val="Hipervnculo"/>
          </w:rPr>
          <w:t>https://www.corteconstitucional.gov.co/secretaria/expediente?proceso=1&amp;expediente=</w:t>
        </w:r>
        <w:r w:rsidRPr="00C25367">
          <w:rPr>
            <w:rStyle w:val="Hipervnculo"/>
          </w:rPr>
          <w:t>D0016314&amp;lista=datosExpedientes_1761103971974</w:t>
        </w:r>
      </w:hyperlink>
    </w:p>
  </w:footnote>
  <w:footnote w:id="29">
    <w:p w:rsidR="00F85B13"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“Corrección a la demanda”. Folio 20. Disponible en: </w:t>
      </w:r>
      <w:hyperlink r:id="rId26" w:history="1">
        <w:r w:rsidRPr="00C25367">
          <w:rPr>
            <w:rStyle w:val="Hipervnculo"/>
          </w:rPr>
          <w:t>https://www.corteconstitucional.gov.co/secretaria/expediente?proceso=1&amp;expediente=D0016314&amp;lista=datosExpedientes_1761103971974</w:t>
        </w:r>
      </w:hyperlink>
    </w:p>
  </w:footnote>
  <w:footnote w:id="30">
    <w:p w:rsidR="00F85B13"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“Demanda ciudadana”. Folio 15. Disponible en: </w:t>
      </w:r>
      <w:hyperlink r:id="rId27" w:history="1">
        <w:r w:rsidRPr="00C25367">
          <w:rPr>
            <w:rStyle w:val="Hipervnculo"/>
          </w:rPr>
          <w:t>https://www.corteconstitucional.gov.co/secretaria/expediente?proceso=1&amp;expediente=D0016314&amp;lista=datosExpedientes_1761103971974</w:t>
        </w:r>
      </w:hyperlink>
    </w:p>
  </w:footnote>
  <w:footnote w:id="31">
    <w:p w:rsidR="00F85B13" w:rsidRPr="00C25367" w:rsidRDefault="00DB3EEA" w:rsidP="00C25367">
      <w:pPr>
        <w:pStyle w:val="Textonotapie"/>
        <w:jc w:val="both"/>
      </w:pPr>
      <w:r w:rsidRPr="00C25367">
        <w:rPr>
          <w:rStyle w:val="Refdenotaalpie"/>
        </w:rPr>
        <w:footnoteRef/>
      </w:r>
      <w:r w:rsidRPr="00C25367">
        <w:t xml:space="preserve"> </w:t>
      </w:r>
      <w:r w:rsidRPr="00C25367">
        <w:t>Expediente digital</w:t>
      </w:r>
      <w:r w:rsidRPr="00C25367">
        <w:t xml:space="preserve">, archivo “Corrección a la demanda”. Folio 21. Disponible en: </w:t>
      </w:r>
      <w:hyperlink r:id="rId28" w:history="1">
        <w:r w:rsidRPr="00C25367">
          <w:rPr>
            <w:rStyle w:val="Hipervnculo"/>
          </w:rPr>
          <w:t>https://www.corteconstitucional.gov.co/secretaria/</w:t>
        </w:r>
        <w:r w:rsidRPr="00C25367">
          <w:rPr>
            <w:rStyle w:val="Hipervnculo"/>
          </w:rPr>
          <w:t>expediente?proceso=1&amp;expediente=D0016314&amp;lista=datosExpedientes_1761103971974</w:t>
        </w:r>
      </w:hyperlink>
    </w:p>
  </w:footnote>
  <w:footnote w:id="32">
    <w:p w:rsidR="00F85B13"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“Corrección a la demanda”. Folio 22. Disponible en: </w:t>
      </w:r>
      <w:hyperlink r:id="rId29" w:history="1">
        <w:r w:rsidRPr="00C25367">
          <w:rPr>
            <w:rStyle w:val="Hipervnculo"/>
          </w:rPr>
          <w:t>https://www.corteconstitucional.gov.co/secretaria/expediente?proceso=1&amp;expediente=D0016314&amp;lista=datosExpedientes_1761103971974</w:t>
        </w:r>
      </w:hyperlink>
    </w:p>
  </w:footnote>
  <w:footnote w:id="33">
    <w:p w:rsidR="00F85B13"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“Corrección a la demanda”. Folio 23. Disponible en: </w:t>
      </w:r>
      <w:hyperlink r:id="rId30" w:history="1">
        <w:r w:rsidRPr="00C25367">
          <w:rPr>
            <w:rStyle w:val="Hipervnculo"/>
          </w:rPr>
          <w:t>https://www.corteconstitucional.</w:t>
        </w:r>
        <w:r w:rsidRPr="00C25367">
          <w:rPr>
            <w:rStyle w:val="Hipervnculo"/>
          </w:rPr>
          <w:t>gov.co/secretaria/expediente?proceso=1&amp;expediente=D0016314&amp;lista=datosExpedientes_1761103971974</w:t>
        </w:r>
      </w:hyperlink>
    </w:p>
  </w:footnote>
  <w:footnote w:id="34">
    <w:p w:rsidR="00F85B13"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“Corrección a la demanda”. Folio 24. Disponible en: </w:t>
      </w:r>
      <w:hyperlink r:id="rId31" w:history="1">
        <w:r w:rsidRPr="00C25367">
          <w:rPr>
            <w:rStyle w:val="Hipervnculo"/>
          </w:rPr>
          <w:t>https://www.corteconstitucional.gov.co/secretaria/expediente?proceso=1&amp;expediente=D0016314&amp;lista=datosExpedientes_1761103971974</w:t>
        </w:r>
      </w:hyperlink>
    </w:p>
  </w:footnote>
  <w:footnote w:id="35">
    <w:p w:rsidR="00F85B13" w:rsidRPr="00C25367" w:rsidRDefault="00DB3EEA" w:rsidP="00C25367">
      <w:pPr>
        <w:pStyle w:val="Textonotapie"/>
        <w:jc w:val="both"/>
      </w:pPr>
      <w:r w:rsidRPr="00C25367">
        <w:rPr>
          <w:rStyle w:val="Refdenotaalpie"/>
        </w:rPr>
        <w:footnoteRef/>
      </w:r>
      <w:r w:rsidRPr="00C25367">
        <w:t xml:space="preserve"> </w:t>
      </w:r>
      <w:r w:rsidRPr="00C25367">
        <w:t>Expediente digital, archivo “Demanda ciudadana”. Folio 13. D</w:t>
      </w:r>
      <w:r w:rsidRPr="00C25367">
        <w:t xml:space="preserve">isponible en: </w:t>
      </w:r>
      <w:hyperlink r:id="rId32" w:history="1">
        <w:r w:rsidRPr="00C25367">
          <w:rPr>
            <w:rStyle w:val="Hipervnculo"/>
          </w:rPr>
          <w:t>https://www.corteconstitucional.gov.co/secretaria/expediente?proceso=1&amp;expediente=D0016314&amp;lista=d</w:t>
        </w:r>
        <w:r w:rsidRPr="00C25367">
          <w:rPr>
            <w:rStyle w:val="Hipervnculo"/>
          </w:rPr>
          <w:t>atosExpedientes_1761103971974</w:t>
        </w:r>
      </w:hyperlink>
    </w:p>
  </w:footnote>
  <w:footnote w:id="36">
    <w:p w:rsidR="00F85B13"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“Corrección a la demanda”. Folio 24. Disponible en: </w:t>
      </w:r>
      <w:hyperlink r:id="rId33" w:history="1">
        <w:r w:rsidRPr="00C25367">
          <w:rPr>
            <w:rStyle w:val="Hipervnculo"/>
          </w:rPr>
          <w:t>https://www.corteconstitucional.gov.co/secretaria/expediente?proceso=1&amp;expediente=D0016314&amp;lista=datosExpedientes_1761103971974</w:t>
        </w:r>
      </w:hyperlink>
    </w:p>
  </w:footnote>
  <w:footnote w:id="37">
    <w:p w:rsidR="00760F98" w:rsidRPr="00C25367" w:rsidRDefault="00DB3EEA" w:rsidP="00C25367">
      <w:pPr>
        <w:pStyle w:val="Textonotapie"/>
        <w:jc w:val="both"/>
      </w:pPr>
      <w:r w:rsidRPr="00C25367">
        <w:rPr>
          <w:rStyle w:val="Refdenotaalpie"/>
        </w:rPr>
        <w:footnoteRef/>
      </w:r>
      <w:r w:rsidRPr="00C25367">
        <w:t xml:space="preserve"> En el proceso también presentaron concepto la Universidad Externado de Colombia y la Universidad de Antioquia. No obstante, co</w:t>
      </w:r>
      <w:r w:rsidRPr="00C25367">
        <w:t xml:space="preserve">mo sus intervenciones fueron recibidas con posterioridad al vencimiento del término de fijación en lista, no se encuentran resumidas en este acápite de la sentencia.  </w:t>
      </w:r>
    </w:p>
  </w:footnote>
  <w:footnote w:id="38">
    <w:p w:rsidR="004857B3"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Ministerio de Hacienda y DIAN”. Folio 28. </w:t>
      </w:r>
      <w:r w:rsidRPr="00C25367">
        <w:t xml:space="preserve">Disponible en: </w:t>
      </w:r>
      <w:hyperlink r:id="rId34" w:history="1">
        <w:r w:rsidRPr="00C25367">
          <w:rPr>
            <w:rStyle w:val="Hipervnculo"/>
            <w:rFonts w:eastAsiaTheme="majorEastAsia"/>
          </w:rPr>
          <w:t>https://www.corteconstitucional.gov.co/secretaria/expediente?proceso=1&amp;expediente=D0016314&amp;lista=</w:t>
        </w:r>
        <w:r w:rsidRPr="00C25367">
          <w:rPr>
            <w:rStyle w:val="Hipervnculo"/>
            <w:rFonts w:eastAsiaTheme="majorEastAsia"/>
          </w:rPr>
          <w:t>datosExpedientes_1761103971974</w:t>
        </w:r>
      </w:hyperlink>
    </w:p>
  </w:footnote>
  <w:footnote w:id="39">
    <w:p w:rsidR="004857B3" w:rsidRPr="00C25367" w:rsidRDefault="00DB3EEA" w:rsidP="00C25367">
      <w:pPr>
        <w:pStyle w:val="Textonotapie"/>
        <w:jc w:val="both"/>
      </w:pPr>
      <w:r w:rsidRPr="00C25367">
        <w:rPr>
          <w:rStyle w:val="Refdenotaalpie"/>
          <w:rFonts w:eastAsiaTheme="majorEastAsia"/>
        </w:rPr>
        <w:footnoteRef/>
      </w:r>
      <w:r w:rsidRPr="00C25367">
        <w:t xml:space="preserve"> La intervención deja constancia que los doctores Mauricio Plazas Vega, María Catalina Plazas Molina, Angélica Peña Preciado, Juan de Dios Bravo González y César Camilo Cermeño, miembros del Consejo Directivo de este Institu</w:t>
      </w:r>
      <w:r w:rsidRPr="00C25367">
        <w:t>to, ante un posible conflicto de intereses, se declararon impedidos para participar en la discusión y aprobación de este concepto, con lo cual no participaron en la reunión.</w:t>
      </w:r>
    </w:p>
  </w:footnote>
  <w:footnote w:id="40">
    <w:p w:rsidR="00ED0B78"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Ministerio de Hacienda y DIAN”. Foli</w:t>
      </w:r>
      <w:r w:rsidRPr="00C25367">
        <w:t xml:space="preserve">o 5. Disponible en: </w:t>
      </w:r>
      <w:hyperlink r:id="rId35" w:history="1">
        <w:r w:rsidRPr="00C25367">
          <w:rPr>
            <w:rStyle w:val="Hipervnculo"/>
            <w:rFonts w:eastAsiaTheme="majorEastAsia"/>
          </w:rPr>
          <w:t>https://www.corteconstitucional.gov.co/secretaria/expediente?proceso=1&amp;expediente=D0016314&amp;l</w:t>
        </w:r>
        <w:r w:rsidRPr="00C25367">
          <w:rPr>
            <w:rStyle w:val="Hipervnculo"/>
            <w:rFonts w:eastAsiaTheme="majorEastAsia"/>
          </w:rPr>
          <w:t>ista=datosExpedientes_1761103971974</w:t>
        </w:r>
      </w:hyperlink>
    </w:p>
  </w:footnote>
  <w:footnote w:id="41">
    <w:p w:rsidR="00ED0B78"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Ministerio de Hacienda y DIAN”. Folio 5. Disponible en: </w:t>
      </w:r>
      <w:hyperlink r:id="rId36" w:history="1">
        <w:r w:rsidRPr="00C25367">
          <w:rPr>
            <w:rStyle w:val="Hipervnculo"/>
            <w:rFonts w:eastAsiaTheme="majorEastAsia"/>
          </w:rPr>
          <w:t>https://www.corteconstitucional.gov.co/secretaria/expediente?proceso=1&amp;expediente=D0016314&amp;lista=datosExpedientes_1761103971974</w:t>
        </w:r>
      </w:hyperlink>
      <w:r w:rsidRPr="00C25367">
        <w:t xml:space="preserve"> en ese punto afirma que al legislador no le es exigible trazar “exactitud sino una aproximación para gravar adecuada y equitativamente cuando fija los elementos del tributo”. </w:t>
      </w:r>
    </w:p>
  </w:footnote>
  <w:footnote w:id="42">
    <w:p w:rsidR="008840AA"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Ministerio de Hacienda y DIAN”. F</w:t>
      </w:r>
      <w:r w:rsidRPr="00C25367">
        <w:t xml:space="preserve">olio 7. Disponible en: </w:t>
      </w:r>
      <w:hyperlink r:id="rId37" w:history="1">
        <w:r w:rsidRPr="00C25367">
          <w:rPr>
            <w:rStyle w:val="Hipervnculo"/>
            <w:rFonts w:eastAsiaTheme="majorEastAsia"/>
          </w:rPr>
          <w:t>https://www.corteconstitucional.gov.co/secretaria/expediente?proceso=1&amp;expediente=D001631</w:t>
        </w:r>
        <w:r w:rsidRPr="00C25367">
          <w:rPr>
            <w:rStyle w:val="Hipervnculo"/>
            <w:rFonts w:eastAsiaTheme="majorEastAsia"/>
          </w:rPr>
          <w:t>4&amp;lista=datosExpedientes_1761103971974</w:t>
        </w:r>
      </w:hyperlink>
    </w:p>
  </w:footnote>
  <w:footnote w:id="43">
    <w:p w:rsidR="00FE24DE"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Ministerio de Hacienda y DIAN”. Folio 8. Disponible en: </w:t>
      </w:r>
      <w:hyperlink r:id="rId38" w:history="1">
        <w:r w:rsidRPr="00C25367">
          <w:rPr>
            <w:rStyle w:val="Hipervnculo"/>
            <w:rFonts w:eastAsiaTheme="majorEastAsia"/>
          </w:rPr>
          <w:t>https://www.corteconstitucional.gov.co/secretaria/expediente?proceso=1&amp;expediente=D0016314&amp;lista=datosExpedientes_1761103971974</w:t>
        </w:r>
      </w:hyperlink>
    </w:p>
  </w:footnote>
  <w:footnote w:id="44">
    <w:p w:rsidR="00D30275"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Ministerio de Hacienda y DIAN”. Folio 10. Disponible en: </w:t>
      </w:r>
      <w:hyperlink r:id="rId39" w:history="1">
        <w:r w:rsidRPr="00C25367">
          <w:rPr>
            <w:rStyle w:val="Hipervnculo"/>
            <w:rFonts w:eastAsiaTheme="majorEastAsia"/>
          </w:rPr>
          <w:t>https://ww</w:t>
        </w:r>
        <w:r w:rsidRPr="00C25367">
          <w:rPr>
            <w:rStyle w:val="Hipervnculo"/>
            <w:rFonts w:eastAsiaTheme="majorEastAsia"/>
          </w:rPr>
          <w:t>w.corteconstitucional.gov.co/secretaria/expediente?proceso=1&amp;expediente=D0016314&amp;lista=datosExpedientes_1761103971974</w:t>
        </w:r>
      </w:hyperlink>
    </w:p>
  </w:footnote>
  <w:footnote w:id="45">
    <w:p w:rsidR="00966E4F"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Ministerio de Hacienda y DIAN”. Folio 8. Disponible en: </w:t>
      </w:r>
      <w:hyperlink r:id="rId40" w:history="1">
        <w:r w:rsidRPr="00C25367">
          <w:rPr>
            <w:rStyle w:val="Hipervnculo"/>
            <w:rFonts w:eastAsiaTheme="majorEastAsia"/>
          </w:rPr>
          <w:t>https://www.corteconstitucional.gov.co/secretaria/expediente?proceso=1&amp;expediente=D0016314&amp;lista=datosExpedientes_1761103971974</w:t>
        </w:r>
      </w:hyperlink>
    </w:p>
  </w:footnote>
  <w:footnote w:id="46">
    <w:p w:rsidR="000D6CC5" w:rsidRPr="00C25367" w:rsidRDefault="00DB3EEA" w:rsidP="00C25367">
      <w:pPr>
        <w:pStyle w:val="Textonotapie"/>
        <w:jc w:val="both"/>
      </w:pPr>
      <w:r w:rsidRPr="00C25367">
        <w:rPr>
          <w:rStyle w:val="Refdenotaalpie"/>
          <w:rFonts w:eastAsiaTheme="majorEastAsia"/>
        </w:rPr>
        <w:footnoteRef/>
      </w:r>
      <w:r w:rsidRPr="00C25367">
        <w:t xml:space="preserve"> Expediente digital</w:t>
      </w:r>
      <w:r w:rsidRPr="00C25367">
        <w:t xml:space="preserve">, archivo “Intervención – Ministerio de Hacienda y DIAN”. Folio 12. Disponible en: </w:t>
      </w:r>
      <w:hyperlink r:id="rId41" w:history="1">
        <w:r w:rsidRPr="00C25367">
          <w:rPr>
            <w:rStyle w:val="Hipervnculo"/>
            <w:rFonts w:eastAsiaTheme="majorEastAsia"/>
          </w:rPr>
          <w:t>https://www.corteconstitucional.gov.co/secretaria/expediente?proceso=1&amp;expediente=D0016314&amp;lista=datosExpedientes_1761103971974</w:t>
        </w:r>
      </w:hyperlink>
    </w:p>
  </w:footnote>
  <w:footnote w:id="47">
    <w:p w:rsidR="00747664"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Ministerio de Hacienda y DIAN”. Folio 12. Disponible en: </w:t>
      </w:r>
      <w:hyperlink r:id="rId42" w:history="1">
        <w:r w:rsidRPr="00C25367">
          <w:rPr>
            <w:rStyle w:val="Hipervnculo"/>
            <w:rFonts w:eastAsiaTheme="majorEastAsia"/>
          </w:rPr>
          <w:t>https://www.corteconstitucional.gov.co/secretaria/expediente?proceso=1&amp;expediente=D0016314&amp;lista=datosExpedientes_1761103971974</w:t>
        </w:r>
      </w:hyperlink>
    </w:p>
  </w:footnote>
  <w:footnote w:id="48">
    <w:p w:rsidR="008142B5" w:rsidRPr="00C25367" w:rsidRDefault="00DB3EEA" w:rsidP="00C25367">
      <w:pPr>
        <w:pStyle w:val="Textonotapie"/>
        <w:jc w:val="both"/>
      </w:pPr>
      <w:r w:rsidRPr="00C25367">
        <w:rPr>
          <w:rStyle w:val="Refdenotaalpie"/>
          <w:rFonts w:eastAsiaTheme="majorEastAsia"/>
        </w:rPr>
        <w:footnoteRef/>
      </w:r>
      <w:r w:rsidRPr="00C25367">
        <w:t xml:space="preserve"> Expedie</w:t>
      </w:r>
      <w:r w:rsidRPr="00C25367">
        <w:t xml:space="preserve">nte digital, archivo “Intervención – Ministerio de Hacienda y DIAN”. Folio 13. Disponible en: </w:t>
      </w:r>
      <w:hyperlink r:id="rId43" w:history="1">
        <w:r w:rsidRPr="00C25367">
          <w:rPr>
            <w:rStyle w:val="Hipervnculo"/>
            <w:rFonts w:eastAsiaTheme="majorEastAsia"/>
          </w:rPr>
          <w:t>https://www.cortec</w:t>
        </w:r>
        <w:r w:rsidRPr="00C25367">
          <w:rPr>
            <w:rStyle w:val="Hipervnculo"/>
            <w:rFonts w:eastAsiaTheme="majorEastAsia"/>
          </w:rPr>
          <w:t>onstitucional.gov.co/secretaria/expediente?proceso=1&amp;expediente=D0016314&amp;lista=datosExpedientes_1761103971974</w:t>
        </w:r>
      </w:hyperlink>
    </w:p>
  </w:footnote>
  <w:footnote w:id="49">
    <w:p w:rsidR="00D61160"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Ministerio de Hacienda y DIAN”. Folio 13. Disponible en: </w:t>
      </w:r>
      <w:hyperlink r:id="rId44" w:history="1">
        <w:r w:rsidRPr="00C25367">
          <w:rPr>
            <w:rStyle w:val="Hipervnculo"/>
            <w:rFonts w:eastAsiaTheme="majorEastAsia"/>
          </w:rPr>
          <w:t>https://www.corteconstitucional.gov.co/secretaria/expediente?proceso=1&amp;expediente=D0016314&amp;lista=datosExpedientes_1761103971974</w:t>
        </w:r>
      </w:hyperlink>
    </w:p>
  </w:footnote>
  <w:footnote w:id="50">
    <w:p w:rsidR="00C40B88" w:rsidRPr="00C25367" w:rsidRDefault="00DB3EEA" w:rsidP="00C25367">
      <w:pPr>
        <w:pStyle w:val="Textonotapie"/>
        <w:jc w:val="both"/>
      </w:pPr>
      <w:r w:rsidRPr="00C25367">
        <w:rPr>
          <w:rStyle w:val="Refdenotaalpie"/>
          <w:rFonts w:eastAsiaTheme="majorEastAsia"/>
        </w:rPr>
        <w:footnoteRef/>
      </w:r>
      <w:r w:rsidRPr="00C25367">
        <w:t xml:space="preserve"> Expediente digital, archi</w:t>
      </w:r>
      <w:r w:rsidRPr="00C25367">
        <w:t xml:space="preserve">vo “Intervención – Ministerio de Hacienda y DIAN”. Folio 14. Citando la Sentencia C-252 de 1997. Disponible en: </w:t>
      </w:r>
      <w:hyperlink r:id="rId45" w:history="1">
        <w:r w:rsidRPr="00C25367">
          <w:rPr>
            <w:rStyle w:val="Hipervnculo"/>
            <w:rFonts w:eastAsiaTheme="majorEastAsia"/>
          </w:rPr>
          <w:t>https://www.corteconstitucional.gov.co/secretaria/expediente?proceso=1&amp;expediente=D0016314&amp;lista=datosExpedientes_1761103971974</w:t>
        </w:r>
      </w:hyperlink>
    </w:p>
  </w:footnote>
  <w:footnote w:id="51">
    <w:p w:rsidR="00AF519C"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Ministerio de Hacienda y DIAN”. Folio 18. Disponible en: </w:t>
      </w:r>
      <w:hyperlink r:id="rId46" w:history="1">
        <w:r w:rsidRPr="00C25367">
          <w:rPr>
            <w:rStyle w:val="Hipervnculo"/>
            <w:rFonts w:eastAsiaTheme="majorEastAsia"/>
          </w:rPr>
          <w:t>https://www.corteconstitucional.gov.co/secretaria/expediente?proceso=1&amp;expediente=D0016314&amp;lista=datosExpedientes_1761103971974</w:t>
        </w:r>
      </w:hyperlink>
    </w:p>
  </w:footnote>
  <w:footnote w:id="52">
    <w:p w:rsidR="0079333A"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Ministerio de Hacienda y DIAN”. Folio 16. Disponible en: </w:t>
      </w:r>
      <w:hyperlink r:id="rId47" w:history="1">
        <w:r w:rsidRPr="00C25367">
          <w:rPr>
            <w:rStyle w:val="Hipervnculo"/>
            <w:rFonts w:eastAsiaTheme="majorEastAsia"/>
          </w:rPr>
          <w:t>https://ww</w:t>
        </w:r>
        <w:r w:rsidRPr="00C25367">
          <w:rPr>
            <w:rStyle w:val="Hipervnculo"/>
            <w:rFonts w:eastAsiaTheme="majorEastAsia"/>
          </w:rPr>
          <w:t>w.corteconstitucional.gov.co/secretaria/expediente?proceso=1&amp;expediente=D0016314&amp;lista=datosExpedientes_1761103971974</w:t>
        </w:r>
      </w:hyperlink>
    </w:p>
  </w:footnote>
  <w:footnote w:id="53">
    <w:p w:rsidR="002B406C"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Ministerio de Hacienda y DIAN”. Folio 18. Disponible en: </w:t>
      </w:r>
      <w:hyperlink r:id="rId48" w:history="1">
        <w:r w:rsidRPr="00C25367">
          <w:rPr>
            <w:rStyle w:val="Hipervnculo"/>
            <w:rFonts w:eastAsiaTheme="majorEastAsia"/>
          </w:rPr>
          <w:t>https://www.corteconstitucional.gov.co/secretaria/expediente?proceso=1&amp;expediente=D0016314&amp;lista=datosExpedientes_1761103971974</w:t>
        </w:r>
      </w:hyperlink>
    </w:p>
  </w:footnote>
  <w:footnote w:id="54">
    <w:p w:rsidR="00662AEE" w:rsidRPr="00C25367" w:rsidRDefault="00DB3EEA" w:rsidP="00C25367">
      <w:pPr>
        <w:pStyle w:val="Textonotapie"/>
        <w:jc w:val="both"/>
      </w:pPr>
      <w:r w:rsidRPr="00C25367">
        <w:rPr>
          <w:rStyle w:val="Refdenotaalpie"/>
          <w:rFonts w:eastAsiaTheme="majorEastAsia"/>
        </w:rPr>
        <w:footnoteRef/>
      </w:r>
      <w:r w:rsidRPr="00C25367">
        <w:t xml:space="preserve"> Expediente digita</w:t>
      </w:r>
      <w:r w:rsidRPr="00C25367">
        <w:t xml:space="preserve">l, archivo “Intervención – Ministerio de Hacienda y DIAN”. Folio 19. Disponible en: </w:t>
      </w:r>
      <w:hyperlink r:id="rId49" w:history="1">
        <w:r w:rsidRPr="00C25367">
          <w:rPr>
            <w:rStyle w:val="Hipervnculo"/>
            <w:rFonts w:eastAsiaTheme="majorEastAsia"/>
          </w:rPr>
          <w:t>https://www.corteconstitucio</w:t>
        </w:r>
        <w:r w:rsidRPr="00C25367">
          <w:rPr>
            <w:rStyle w:val="Hipervnculo"/>
            <w:rFonts w:eastAsiaTheme="majorEastAsia"/>
          </w:rPr>
          <w:t>nal.gov.co/secretaria/expediente?proceso=1&amp;expediente=D0016314&amp;lista=datosExpedientes_1761103971974</w:t>
        </w:r>
      </w:hyperlink>
    </w:p>
  </w:footnote>
  <w:footnote w:id="55">
    <w:p w:rsidR="008113CD"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Ministerio de Hacienda y DIAN”. Folio 25. Disponible en: </w:t>
      </w:r>
      <w:hyperlink r:id="rId50" w:history="1">
        <w:r w:rsidRPr="00C25367">
          <w:rPr>
            <w:rStyle w:val="Hipervnculo"/>
            <w:rFonts w:eastAsiaTheme="majorEastAsia"/>
          </w:rPr>
          <w:t>https://www.corteconstitucional.gov.co/secretaria/expediente?proceso=1&amp;expediente=D0016314&amp;lista=datosExpedientes_1761103971974</w:t>
        </w:r>
      </w:hyperlink>
    </w:p>
  </w:footnote>
  <w:footnote w:id="56">
    <w:p w:rsidR="0079069B"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w:t>
      </w:r>
      <w:r w:rsidRPr="00C25367">
        <w:t xml:space="preserve">ención – Ministerio de Hacienda y DIAN”. Folio 26. Disponible en: </w:t>
      </w:r>
      <w:hyperlink r:id="rId51" w:history="1">
        <w:r w:rsidRPr="00C25367">
          <w:rPr>
            <w:rStyle w:val="Hipervnculo"/>
            <w:rFonts w:eastAsiaTheme="majorEastAsia"/>
          </w:rPr>
          <w:t>https://www.corteconstitucional.gov.co/secreta</w:t>
        </w:r>
        <w:r w:rsidRPr="00C25367">
          <w:rPr>
            <w:rStyle w:val="Hipervnculo"/>
            <w:rFonts w:eastAsiaTheme="majorEastAsia"/>
          </w:rPr>
          <w:t>ria/expediente?proceso=1&amp;expediente=D0016314&amp;lista=datosExpedientes_1761103971974</w:t>
        </w:r>
      </w:hyperlink>
    </w:p>
  </w:footnote>
  <w:footnote w:id="57">
    <w:p w:rsidR="00F8034C" w:rsidRPr="00C25367" w:rsidRDefault="00DB3EEA" w:rsidP="00C25367">
      <w:pPr>
        <w:pStyle w:val="Textonotapie"/>
        <w:jc w:val="both"/>
      </w:pPr>
      <w:r w:rsidRPr="00C25367">
        <w:rPr>
          <w:rStyle w:val="Refdenotaalpie"/>
          <w:rFonts w:eastAsiaTheme="majorEastAsia"/>
        </w:rPr>
        <w:footnoteRef/>
      </w:r>
      <w:r w:rsidRPr="00C25367">
        <w:t xml:space="preserve"> Expediente digital, archivo “Concepto – Instituto Colombiano de Derecho Tributario”. Folio 7. Disponible en: </w:t>
      </w:r>
      <w:hyperlink r:id="rId52" w:history="1">
        <w:r w:rsidRPr="00C25367">
          <w:rPr>
            <w:rStyle w:val="Hipervnculo"/>
            <w:rFonts w:eastAsiaTheme="majorEastAsia"/>
          </w:rPr>
          <w:t>https://www.corteconstitucional.gov.co/secretaria/expediente?proceso=1&amp;expediente=D0016314&amp;lista=datosExpedientes_</w:t>
        </w:r>
        <w:r w:rsidRPr="00C25367">
          <w:rPr>
            <w:rStyle w:val="Hipervnculo"/>
            <w:rFonts w:eastAsiaTheme="majorEastAsia"/>
          </w:rPr>
          <w:t>1761103971974</w:t>
        </w:r>
      </w:hyperlink>
    </w:p>
  </w:footnote>
  <w:footnote w:id="58">
    <w:p w:rsidR="00DC232E" w:rsidRPr="00C25367" w:rsidRDefault="00DB3EEA" w:rsidP="00C25367">
      <w:pPr>
        <w:pStyle w:val="Textonotapie"/>
        <w:jc w:val="both"/>
      </w:pPr>
      <w:r w:rsidRPr="00C25367">
        <w:rPr>
          <w:rStyle w:val="Refdenotaalpie"/>
          <w:rFonts w:eastAsiaTheme="majorEastAsia"/>
        </w:rPr>
        <w:footnoteRef/>
      </w:r>
      <w:r w:rsidRPr="00C25367">
        <w:t xml:space="preserve"> Expediente digital, archivo “Concepto – Instituto Colombiano de Derecho Tributario”. Folio 8. Disponible en: </w:t>
      </w:r>
      <w:hyperlink r:id="rId53" w:history="1">
        <w:r w:rsidRPr="00C25367">
          <w:rPr>
            <w:rStyle w:val="Hipervnculo"/>
            <w:rFonts w:eastAsiaTheme="majorEastAsia"/>
          </w:rPr>
          <w:t>https://www.corteconstitucional.gov.co/secretaria/expediente?proceso=1&amp;expediente=D0016314&amp;lista=datosExpedientes_1761103971974</w:t>
        </w:r>
      </w:hyperlink>
    </w:p>
  </w:footnote>
  <w:footnote w:id="59">
    <w:p w:rsidR="00A06C95" w:rsidRPr="00C25367" w:rsidRDefault="00DB3EEA" w:rsidP="00C25367">
      <w:pPr>
        <w:pStyle w:val="Textonotapie"/>
        <w:jc w:val="both"/>
      </w:pPr>
      <w:r w:rsidRPr="00C25367">
        <w:rPr>
          <w:rStyle w:val="Refdenotaalpie"/>
          <w:rFonts w:eastAsiaTheme="majorEastAsia"/>
        </w:rPr>
        <w:footnoteRef/>
      </w:r>
      <w:r w:rsidRPr="00C25367">
        <w:t xml:space="preserve"> Expediente digital, archivo “Concepto – Instituto Colombiano de Derecho Tributario”. Folio 9. Disponible en: </w:t>
      </w:r>
      <w:hyperlink r:id="rId54" w:history="1">
        <w:r w:rsidRPr="00C25367">
          <w:rPr>
            <w:rStyle w:val="Hipervnculo"/>
            <w:rFonts w:eastAsiaTheme="majorEastAsia"/>
          </w:rPr>
          <w:t>https://www.corteconstitucional.gov.co/secretaria/expediente?proceso=1&amp;expediente=D0016314&amp;lista=datosExpedientes_17</w:t>
        </w:r>
        <w:r w:rsidRPr="00C25367">
          <w:rPr>
            <w:rStyle w:val="Hipervnculo"/>
            <w:rFonts w:eastAsiaTheme="majorEastAsia"/>
          </w:rPr>
          <w:t>61103971974</w:t>
        </w:r>
      </w:hyperlink>
    </w:p>
  </w:footnote>
  <w:footnote w:id="60">
    <w:p w:rsidR="00D46603" w:rsidRPr="00C25367" w:rsidRDefault="00DB3EEA" w:rsidP="00C25367">
      <w:pPr>
        <w:pStyle w:val="Textonotapie"/>
        <w:jc w:val="both"/>
      </w:pPr>
      <w:r w:rsidRPr="00C25367">
        <w:rPr>
          <w:rStyle w:val="Refdenotaalpie"/>
          <w:rFonts w:eastAsiaTheme="majorEastAsia"/>
        </w:rPr>
        <w:footnoteRef/>
      </w:r>
      <w:r w:rsidRPr="00C25367">
        <w:t xml:space="preserve"> Expediente digital, archivo “Concepto – Instituto Colombiano de Derecho Tributario”. Folio 10. Disponible en: </w:t>
      </w:r>
      <w:hyperlink r:id="rId55" w:history="1">
        <w:r w:rsidRPr="00C25367">
          <w:rPr>
            <w:rStyle w:val="Hipervnculo"/>
            <w:rFonts w:eastAsiaTheme="majorEastAsia"/>
          </w:rPr>
          <w:t>https://www.corteconstitucional.gov.co/secretaria/expediente?proceso=1&amp;expediente=D0016314&amp;lista=datosExpedientes_1761103971974</w:t>
        </w:r>
      </w:hyperlink>
    </w:p>
  </w:footnote>
  <w:footnote w:id="61">
    <w:p w:rsidR="00AD4414" w:rsidRPr="00C25367" w:rsidRDefault="00DB3EEA" w:rsidP="00C25367">
      <w:pPr>
        <w:pStyle w:val="Textonotapie"/>
        <w:jc w:val="both"/>
      </w:pPr>
      <w:r w:rsidRPr="00C25367">
        <w:rPr>
          <w:rStyle w:val="Refdenotaalpie"/>
          <w:rFonts w:eastAsiaTheme="majorEastAsia"/>
        </w:rPr>
        <w:footnoteRef/>
      </w:r>
      <w:r w:rsidRPr="00C25367">
        <w:t xml:space="preserve"> Expediente digital, archivo “Concepto – Instituto Colombiano de Derecho Tributario”. Folio 10. Disponible en: </w:t>
      </w:r>
      <w:hyperlink r:id="rId56" w:history="1">
        <w:r w:rsidRPr="00C25367">
          <w:rPr>
            <w:rStyle w:val="Hipervnculo"/>
            <w:rFonts w:eastAsiaTheme="majorEastAsia"/>
          </w:rPr>
          <w:t>https://www.corteconstitucional.gov.co/secretaria/expediente?proceso=1&amp;expediente=D0016314&amp;lista=datosExpedientes_17</w:t>
        </w:r>
        <w:r w:rsidRPr="00C25367">
          <w:rPr>
            <w:rStyle w:val="Hipervnculo"/>
            <w:rFonts w:eastAsiaTheme="majorEastAsia"/>
          </w:rPr>
          <w:t>61103971974</w:t>
        </w:r>
      </w:hyperlink>
    </w:p>
  </w:footnote>
  <w:footnote w:id="62">
    <w:p w:rsidR="00AD4414" w:rsidRPr="00C25367" w:rsidRDefault="00DB3EEA" w:rsidP="00C25367">
      <w:pPr>
        <w:pStyle w:val="Textonotapie"/>
        <w:jc w:val="both"/>
      </w:pPr>
      <w:r w:rsidRPr="00C25367">
        <w:rPr>
          <w:rStyle w:val="Refdenotaalpie"/>
          <w:rFonts w:eastAsiaTheme="majorEastAsia"/>
        </w:rPr>
        <w:footnoteRef/>
      </w:r>
      <w:r w:rsidRPr="00C25367">
        <w:t xml:space="preserve"> Expediente digital, archivo “Concepto – Instituto Colombiano de Derecho Tributario”. Folio 11. Disponible en: </w:t>
      </w:r>
      <w:hyperlink r:id="rId57" w:history="1">
        <w:r w:rsidRPr="00C25367">
          <w:rPr>
            <w:rStyle w:val="Hipervnculo"/>
            <w:rFonts w:eastAsiaTheme="majorEastAsia"/>
          </w:rPr>
          <w:t>https://www.corteconstitucional.gov.co/secretaria/expediente?proceso=1&amp;expediente=D0016314&amp;lista=datosExpedientes_</w:t>
        </w:r>
        <w:r w:rsidRPr="00C25367">
          <w:rPr>
            <w:rStyle w:val="Hipervnculo"/>
            <w:rFonts w:eastAsiaTheme="majorEastAsia"/>
          </w:rPr>
          <w:t>1761103971974</w:t>
        </w:r>
      </w:hyperlink>
    </w:p>
  </w:footnote>
  <w:footnote w:id="63">
    <w:p w:rsidR="004E3B1E" w:rsidRPr="00C25367" w:rsidRDefault="00DB3EEA" w:rsidP="00C25367">
      <w:pPr>
        <w:pStyle w:val="Textonotapie"/>
        <w:jc w:val="both"/>
      </w:pPr>
      <w:r w:rsidRPr="00C25367">
        <w:rPr>
          <w:rStyle w:val="Refdenotaalpie"/>
          <w:rFonts w:eastAsiaTheme="majorEastAsia"/>
        </w:rPr>
        <w:footnoteRef/>
      </w:r>
      <w:r w:rsidRPr="00C25367">
        <w:t xml:space="preserve"> Expediente digital, archivo “Concepto – Instituto Colombiano de Derecho Tributario”. Folio 11. Disponible en: </w:t>
      </w:r>
      <w:hyperlink r:id="rId58" w:history="1">
        <w:r w:rsidRPr="00C25367">
          <w:rPr>
            <w:rStyle w:val="Hipervnculo"/>
            <w:rFonts w:eastAsiaTheme="majorEastAsia"/>
          </w:rPr>
          <w:t>https://www.corteconstitucional.gov.co/secretaria/expediente?proceso=1&amp;expediente=D0016314&amp;lista=datosExpedientes_1761103971974</w:t>
        </w:r>
      </w:hyperlink>
    </w:p>
  </w:footnote>
  <w:footnote w:id="64">
    <w:p w:rsidR="007C746F" w:rsidRPr="00C25367" w:rsidRDefault="00DB3EEA" w:rsidP="00C25367">
      <w:pPr>
        <w:pStyle w:val="Textonotapie"/>
        <w:jc w:val="both"/>
      </w:pPr>
      <w:r w:rsidRPr="00C25367">
        <w:rPr>
          <w:rStyle w:val="Refdenotaalpie"/>
          <w:rFonts w:eastAsiaTheme="majorEastAsia"/>
        </w:rPr>
        <w:footnoteRef/>
      </w:r>
      <w:r w:rsidRPr="00C25367">
        <w:t xml:space="preserve"> Expediente digital, archivo “Concepto – Academia Colombiana de Jurisprudencia”. Folio 7. Disponible en: </w:t>
      </w:r>
      <w:hyperlink r:id="rId59" w:history="1">
        <w:r w:rsidRPr="00C25367">
          <w:rPr>
            <w:rStyle w:val="Hipervnculo"/>
            <w:rFonts w:eastAsiaTheme="majorEastAsia"/>
          </w:rPr>
          <w:t>https://www.corteconstitucional.gov.co/secretaria/expediente?proceso=1&amp;expediente=D0016314&amp;lista=datosExpedientes_176110</w:t>
        </w:r>
        <w:r w:rsidRPr="00C25367">
          <w:rPr>
            <w:rStyle w:val="Hipervnculo"/>
            <w:rFonts w:eastAsiaTheme="majorEastAsia"/>
          </w:rPr>
          <w:t>3971974</w:t>
        </w:r>
      </w:hyperlink>
    </w:p>
  </w:footnote>
  <w:footnote w:id="65">
    <w:p w:rsidR="007C746F" w:rsidRPr="00C25367" w:rsidRDefault="00DB3EEA" w:rsidP="00C25367">
      <w:pPr>
        <w:pStyle w:val="Textonotapie"/>
        <w:jc w:val="both"/>
      </w:pPr>
      <w:r w:rsidRPr="00C25367">
        <w:rPr>
          <w:rStyle w:val="Refdenotaalpie"/>
          <w:rFonts w:eastAsiaTheme="majorEastAsia"/>
        </w:rPr>
        <w:footnoteRef/>
      </w:r>
      <w:r w:rsidRPr="00C25367">
        <w:t xml:space="preserve"> Por medio de su Catedrático Oswaldo Andrés González Barrera. </w:t>
      </w:r>
    </w:p>
  </w:footnote>
  <w:footnote w:id="66">
    <w:p w:rsidR="007C746F" w:rsidRPr="00C25367" w:rsidRDefault="00DB3EEA" w:rsidP="00C25367">
      <w:pPr>
        <w:pStyle w:val="Textonotapie"/>
        <w:jc w:val="both"/>
      </w:pPr>
      <w:r w:rsidRPr="00C25367">
        <w:rPr>
          <w:rStyle w:val="Refdenotaalpie"/>
        </w:rPr>
        <w:footnoteRef/>
      </w:r>
      <w:r w:rsidRPr="00C25367">
        <w:t xml:space="preserve"> Expediente digital, archivo “Concepto – Academia Colombiana de Jurisprudencia”. Folios 8. Disponible en: </w:t>
      </w:r>
      <w:hyperlink r:id="rId60" w:history="1">
        <w:r w:rsidRPr="00C25367">
          <w:rPr>
            <w:rStyle w:val="Hipervnculo"/>
          </w:rPr>
          <w:t>https://www.corteconstitucional.gov.co/secretaria/archivo.php?id=99158</w:t>
        </w:r>
      </w:hyperlink>
      <w:r w:rsidRPr="00C25367">
        <w:t xml:space="preserve">. </w:t>
      </w:r>
    </w:p>
  </w:footnote>
  <w:footnote w:id="67">
    <w:p w:rsidR="007C746F" w:rsidRPr="00C25367" w:rsidRDefault="00DB3EEA" w:rsidP="00C25367">
      <w:pPr>
        <w:pStyle w:val="Textonotapie"/>
        <w:jc w:val="both"/>
      </w:pPr>
      <w:r w:rsidRPr="00C25367">
        <w:rPr>
          <w:rStyle w:val="Refdenotaalpie"/>
        </w:rPr>
        <w:footnoteRef/>
      </w:r>
      <w:r w:rsidRPr="00C25367">
        <w:t xml:space="preserve"> Expediente digital, archivo “Intervención ciudadana”. Folios 3. Disponible en: </w:t>
      </w:r>
      <w:hyperlink r:id="rId61" w:history="1">
        <w:r w:rsidRPr="00C25367">
          <w:rPr>
            <w:rStyle w:val="Hipervnculo"/>
          </w:rPr>
          <w:t>https</w:t>
        </w:r>
        <w:r w:rsidRPr="00C25367">
          <w:rPr>
            <w:rStyle w:val="Hipervnculo"/>
          </w:rPr>
          <w:t>://www.corteconstitucional.gov.co/secretaria/archivo.php?id=99524</w:t>
        </w:r>
      </w:hyperlink>
      <w:r w:rsidRPr="00C25367">
        <w:t>.</w:t>
      </w:r>
    </w:p>
  </w:footnote>
  <w:footnote w:id="68">
    <w:p w:rsidR="007C746F" w:rsidRPr="00C25367" w:rsidRDefault="00DB3EEA" w:rsidP="00C25367">
      <w:pPr>
        <w:pStyle w:val="Textonotapie"/>
        <w:jc w:val="both"/>
      </w:pPr>
      <w:r w:rsidRPr="00C25367">
        <w:rPr>
          <w:rStyle w:val="Refdenotaalpie"/>
        </w:rPr>
        <w:footnoteRef/>
      </w:r>
      <w:r w:rsidRPr="00C25367">
        <w:t xml:space="preserve"> Expediente digital, archivo “Concepto – Academia Colombiana de Jurisprudencia”. Folios 9. Disponible en: </w:t>
      </w:r>
      <w:hyperlink r:id="rId62" w:history="1">
        <w:r w:rsidRPr="00C25367">
          <w:rPr>
            <w:rStyle w:val="Hipervnculo"/>
          </w:rPr>
          <w:t>https://www.corteconstitucional.gov.co/secretaria/archivo.php?id=99158</w:t>
        </w:r>
      </w:hyperlink>
      <w:r w:rsidRPr="00C25367">
        <w:t>.</w:t>
      </w:r>
    </w:p>
  </w:footnote>
  <w:footnote w:id="69">
    <w:p w:rsidR="007C746F" w:rsidRPr="00C25367" w:rsidRDefault="00DB3EEA" w:rsidP="00C25367">
      <w:pPr>
        <w:pStyle w:val="Textonotapie"/>
        <w:jc w:val="both"/>
      </w:pPr>
      <w:r w:rsidRPr="00C25367">
        <w:rPr>
          <w:rStyle w:val="Refdenotaalpie"/>
        </w:rPr>
        <w:footnoteRef/>
      </w:r>
      <w:r w:rsidRPr="00C25367">
        <w:t xml:space="preserve"> Expediente digital, archivo “Intervención ciudadana”. Folios 7. Disponible en: </w:t>
      </w:r>
      <w:hyperlink r:id="rId63" w:history="1">
        <w:r w:rsidRPr="00C25367">
          <w:rPr>
            <w:rStyle w:val="Hipervnculo"/>
          </w:rPr>
          <w:t>https://www</w:t>
        </w:r>
        <w:r w:rsidRPr="00C25367">
          <w:rPr>
            <w:rStyle w:val="Hipervnculo"/>
          </w:rPr>
          <w:t>.corteconstitucional.gov.co/secretaria/archivo.php?id=99524</w:t>
        </w:r>
      </w:hyperlink>
      <w:r w:rsidRPr="00C25367">
        <w:t>.</w:t>
      </w:r>
    </w:p>
  </w:footnote>
  <w:footnote w:id="70">
    <w:p w:rsidR="007C746F" w:rsidRPr="00C25367" w:rsidRDefault="00DB3EEA" w:rsidP="00C25367">
      <w:pPr>
        <w:pStyle w:val="Textonotapie"/>
        <w:jc w:val="both"/>
      </w:pPr>
      <w:r w:rsidRPr="00C25367">
        <w:rPr>
          <w:rStyle w:val="Refdenotaalpie"/>
          <w:rFonts w:eastAsiaTheme="majorEastAsia"/>
        </w:rPr>
        <w:footnoteRef/>
      </w:r>
      <w:r w:rsidRPr="00C25367">
        <w:t xml:space="preserve"> Expediente digital, archivo “Concepto – Academia Colombiana de Jurisprudencia”. Folio 10. Disponible en: </w:t>
      </w:r>
      <w:hyperlink r:id="rId64" w:history="1">
        <w:r w:rsidRPr="00C25367">
          <w:rPr>
            <w:rStyle w:val="Hipervnculo"/>
          </w:rPr>
          <w:t>https://www.corteconstitucional.gov.co/secretaria/archivo.php?id=99158</w:t>
        </w:r>
      </w:hyperlink>
      <w:r w:rsidRPr="00C25367">
        <w:t>.</w:t>
      </w:r>
    </w:p>
  </w:footnote>
  <w:footnote w:id="71">
    <w:p w:rsidR="007C746F" w:rsidRPr="00C25367" w:rsidRDefault="00DB3EEA" w:rsidP="00C25367">
      <w:pPr>
        <w:pStyle w:val="Textonotapie"/>
        <w:jc w:val="both"/>
      </w:pPr>
      <w:r w:rsidRPr="00C25367">
        <w:rPr>
          <w:rStyle w:val="Refdenotaalpie"/>
        </w:rPr>
        <w:footnoteRef/>
      </w:r>
      <w:r w:rsidRPr="00C25367">
        <w:t xml:space="preserve"> Expediente digital, archivo “Intervención ciudadana”. Folios 5. Disponible en: </w:t>
      </w:r>
      <w:hyperlink r:id="rId65" w:history="1">
        <w:r w:rsidRPr="00C25367">
          <w:rPr>
            <w:rStyle w:val="Hipervnculo"/>
          </w:rPr>
          <w:t>https://www.cort</w:t>
        </w:r>
        <w:r w:rsidRPr="00C25367">
          <w:rPr>
            <w:rStyle w:val="Hipervnculo"/>
          </w:rPr>
          <w:t>econstitucional.gov.co/secretaria/archivo.php?id=99524</w:t>
        </w:r>
      </w:hyperlink>
      <w:r w:rsidRPr="00C25367">
        <w:t>.</w:t>
      </w:r>
    </w:p>
  </w:footnote>
  <w:footnote w:id="72">
    <w:p w:rsidR="007C746F" w:rsidRPr="00C25367" w:rsidRDefault="00DB3EEA" w:rsidP="00C25367">
      <w:pPr>
        <w:pStyle w:val="Textonotapie"/>
        <w:jc w:val="both"/>
      </w:pPr>
      <w:r w:rsidRPr="00C25367">
        <w:rPr>
          <w:rStyle w:val="Refdenotaalpie"/>
        </w:rPr>
        <w:footnoteRef/>
      </w:r>
      <w:r w:rsidRPr="00C25367">
        <w:t xml:space="preserve"> Expediente digital, archivo “Intervención ciudadana”. Folios 5. Disponible en: </w:t>
      </w:r>
      <w:hyperlink r:id="rId66" w:history="1">
        <w:r w:rsidRPr="00C25367">
          <w:rPr>
            <w:rStyle w:val="Hipervnculo"/>
          </w:rPr>
          <w:t>https://www.corteconstitucional.gov.co/secretaria/archivo.php?id=99522</w:t>
        </w:r>
      </w:hyperlink>
      <w:r w:rsidRPr="00C25367">
        <w:t xml:space="preserve">. </w:t>
      </w:r>
    </w:p>
  </w:footnote>
  <w:footnote w:id="73">
    <w:p w:rsidR="007C746F" w:rsidRPr="00C25367" w:rsidRDefault="00DB3EEA" w:rsidP="00C25367">
      <w:pPr>
        <w:pStyle w:val="Textonotapie"/>
        <w:jc w:val="both"/>
      </w:pPr>
      <w:r w:rsidRPr="00C25367">
        <w:rPr>
          <w:rStyle w:val="Refdenotaalpie"/>
        </w:rPr>
        <w:footnoteRef/>
      </w:r>
      <w:r w:rsidRPr="00C25367">
        <w:t xml:space="preserve"> Expediente digital, archivo “Intervención ciudadana”. Folios 10. Disponible en: </w:t>
      </w:r>
      <w:hyperlink r:id="rId67" w:history="1">
        <w:r w:rsidRPr="00C25367">
          <w:rPr>
            <w:rStyle w:val="Hipervnculo"/>
          </w:rPr>
          <w:t>https://www.co</w:t>
        </w:r>
        <w:r w:rsidRPr="00C25367">
          <w:rPr>
            <w:rStyle w:val="Hipervnculo"/>
          </w:rPr>
          <w:t>rteconstitucional.gov.co/secretaria/archivo.php?id=99524</w:t>
        </w:r>
      </w:hyperlink>
      <w:r w:rsidRPr="00C25367">
        <w:t>.</w:t>
      </w:r>
    </w:p>
  </w:footnote>
  <w:footnote w:id="74">
    <w:p w:rsidR="007C746F"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Universidad del Rosario”. Folio 5. Disponible en: </w:t>
      </w:r>
      <w:hyperlink r:id="rId68" w:history="1">
        <w:r w:rsidRPr="00C25367">
          <w:rPr>
            <w:rStyle w:val="Hipervnculo"/>
            <w:rFonts w:eastAsiaTheme="majorEastAsia"/>
          </w:rPr>
          <w:t>https://www.corteconstitucional.gov.co/secretaria/expediente?proceso=1&amp;expediente=D0016314&amp;lista=datosExpedientes_1761103971974</w:t>
        </w:r>
      </w:hyperlink>
    </w:p>
  </w:footnote>
  <w:footnote w:id="75">
    <w:p w:rsidR="007C746F"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Universidad del Rosario”. Folio 6. Dispo</w:t>
      </w:r>
      <w:r w:rsidRPr="00C25367">
        <w:t xml:space="preserve">nible en: </w:t>
      </w:r>
      <w:hyperlink r:id="rId69" w:history="1">
        <w:r w:rsidRPr="00C25367">
          <w:rPr>
            <w:rStyle w:val="Hipervnculo"/>
            <w:rFonts w:eastAsiaTheme="majorEastAsia"/>
          </w:rPr>
          <w:t>https://www.corteconstitucional.gov.co/secretaria/expediente?proceso=1&amp;expediente=D0016314&amp;lista=datos</w:t>
        </w:r>
        <w:r w:rsidRPr="00C25367">
          <w:rPr>
            <w:rStyle w:val="Hipervnculo"/>
            <w:rFonts w:eastAsiaTheme="majorEastAsia"/>
          </w:rPr>
          <w:t>Expedientes_1761103971974</w:t>
        </w:r>
      </w:hyperlink>
    </w:p>
  </w:footnote>
  <w:footnote w:id="76">
    <w:p w:rsidR="007C746F"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ciudadana”. Folios 5. Disponible en: </w:t>
      </w:r>
      <w:hyperlink r:id="rId70" w:history="1">
        <w:r w:rsidRPr="00C25367">
          <w:rPr>
            <w:rStyle w:val="Hipervnculo"/>
            <w:rFonts w:eastAsiaTheme="majorEastAsia"/>
          </w:rPr>
          <w:t>https</w:t>
        </w:r>
        <w:r w:rsidRPr="00C25367">
          <w:rPr>
            <w:rStyle w:val="Hipervnculo"/>
            <w:rFonts w:eastAsiaTheme="majorEastAsia"/>
          </w:rPr>
          <w:t>://www.corteconstitucional.gov.co/secretaria/expediente?proceso=1&amp;expediente=D0016314&amp;lista=datosExpedientes_1761103971974</w:t>
        </w:r>
      </w:hyperlink>
    </w:p>
  </w:footnote>
  <w:footnote w:id="77">
    <w:p w:rsidR="007C746F"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ciudadana”. Folio 9. Disponible en: </w:t>
      </w:r>
      <w:hyperlink r:id="rId71" w:history="1">
        <w:r w:rsidRPr="00C25367">
          <w:rPr>
            <w:rStyle w:val="Hipervnculo"/>
            <w:rFonts w:eastAsiaTheme="majorEastAsia"/>
          </w:rPr>
          <w:t>https://www.corteconstitucional.gov.co/secretaria/expediente?proceso=1&amp;expediente=D0016314&amp;lista=datosExpedientes_1761103971974</w:t>
        </w:r>
      </w:hyperlink>
    </w:p>
  </w:footnote>
  <w:footnote w:id="78">
    <w:p w:rsidR="009B7843" w:rsidRPr="00C25367" w:rsidRDefault="00DB3EEA" w:rsidP="00C25367">
      <w:pPr>
        <w:pStyle w:val="Textonotapie"/>
        <w:jc w:val="both"/>
      </w:pPr>
      <w:r w:rsidRPr="00C25367">
        <w:rPr>
          <w:rStyle w:val="Refdenotaalpie"/>
        </w:rPr>
        <w:footnoteRef/>
      </w:r>
      <w:r w:rsidRPr="00C25367">
        <w:t xml:space="preserve"> Expediente digital, archivo “Interv</w:t>
      </w:r>
      <w:r w:rsidRPr="00C25367">
        <w:t xml:space="preserve">ención ciudadana”. Folio </w:t>
      </w:r>
      <w:r w:rsidRPr="00C25367">
        <w:t>17</w:t>
      </w:r>
      <w:r w:rsidRPr="00C25367">
        <w:t xml:space="preserve">. Disponible en: </w:t>
      </w:r>
      <w:hyperlink r:id="rId72" w:history="1">
        <w:r w:rsidRPr="00C25367">
          <w:rPr>
            <w:rStyle w:val="Hipervnculo"/>
          </w:rPr>
          <w:t>https://www.corteconstitucional.gov.co/secretaria/archivo.php?id=99412</w:t>
        </w:r>
      </w:hyperlink>
      <w:r w:rsidRPr="00C25367">
        <w:t xml:space="preserve">.  </w:t>
      </w:r>
    </w:p>
  </w:footnote>
  <w:footnote w:id="79">
    <w:p w:rsidR="007C746F"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Unive</w:t>
      </w:r>
      <w:r w:rsidRPr="00C25367">
        <w:t xml:space="preserve">rsidad del Rosario”. Folio 6. Disponible en: </w:t>
      </w:r>
      <w:hyperlink r:id="rId73" w:history="1">
        <w:r w:rsidRPr="00C25367">
          <w:rPr>
            <w:rStyle w:val="Hipervnculo"/>
            <w:rFonts w:eastAsiaTheme="majorEastAsia"/>
          </w:rPr>
          <w:t>https://www.corteconstitucional.gov.co/secretaria/expediente?proceso=1&amp;expediente=D0016314&amp;lista=datosExpedientes_1761103971974</w:t>
        </w:r>
      </w:hyperlink>
    </w:p>
  </w:footnote>
  <w:footnote w:id="80">
    <w:p w:rsidR="00FD13D1"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“Intervención ciudadana”. Folio 9. Disponible en: </w:t>
      </w:r>
      <w:hyperlink r:id="rId74" w:history="1">
        <w:r w:rsidRPr="00C25367">
          <w:rPr>
            <w:rStyle w:val="Hipervnculo"/>
            <w:rFonts w:eastAsiaTheme="majorEastAsia"/>
          </w:rPr>
          <w:t>https://www.corteconstitucional.gov.co/secretaria/expediente?proceso=1&amp;expediente=D0016314&amp;lista=datosExpedientes_1761103971974</w:t>
        </w:r>
      </w:hyperlink>
    </w:p>
  </w:footnote>
  <w:footnote w:id="81">
    <w:p w:rsidR="007C746F"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w:t>
      </w:r>
      <w:r w:rsidRPr="00C25367">
        <w:t xml:space="preserve">ntervención – Universidad del Rosario”. Folio 8. Disponible en: </w:t>
      </w:r>
      <w:hyperlink r:id="rId75" w:history="1">
        <w:r w:rsidRPr="00C25367">
          <w:rPr>
            <w:rStyle w:val="Hipervnculo"/>
            <w:rFonts w:eastAsiaTheme="majorEastAsia"/>
          </w:rPr>
          <w:t>https://www.corteconstitucional.gov.co/secretari</w:t>
        </w:r>
        <w:r w:rsidRPr="00C25367">
          <w:rPr>
            <w:rStyle w:val="Hipervnculo"/>
            <w:rFonts w:eastAsiaTheme="majorEastAsia"/>
          </w:rPr>
          <w:t>a/expediente?proceso=1&amp;expediente=D0016314&amp;lista=datosExpedientes_1761103971974</w:t>
        </w:r>
      </w:hyperlink>
    </w:p>
  </w:footnote>
  <w:footnote w:id="82">
    <w:p w:rsidR="007C746F" w:rsidRPr="00C25367" w:rsidRDefault="00DB3EEA" w:rsidP="00C25367">
      <w:pPr>
        <w:pStyle w:val="Textonotapie"/>
        <w:jc w:val="both"/>
      </w:pPr>
      <w:r w:rsidRPr="00C25367">
        <w:rPr>
          <w:rStyle w:val="Refdenotaalpie"/>
          <w:rFonts w:eastAsiaTheme="majorEastAsia"/>
        </w:rPr>
        <w:footnoteRef/>
      </w:r>
      <w:r w:rsidRPr="00C25367">
        <w:t xml:space="preserve"> Según la Universidad, (i) existen disposiciones claras señaladas en la demanda; (ii) dichas normas excluyen de sus consecuencias jurídicas la exclusión o no inclusión del IVA</w:t>
      </w:r>
      <w:r w:rsidRPr="00C25367">
        <w:t xml:space="preserve"> en el cálculo del impuesto de consumo monofásico, siendo ello esencial para armonizar el tributo con los principios de equidad y progresividad; (iii) la omisión carece de una justificación razonable o suficiente, de modo que parece derivarse de “una confu</w:t>
      </w:r>
      <w:r w:rsidRPr="00C25367">
        <w:t>sión en la redacción entre la base gravable de un impuesto plurifásico, el IVA en la importación de mercancías, y un impuesto monofásico, el impuesto a los alimentos ultraprocesados” ; (iv) la omisión genera una desigualdad negativa que afecta a los produc</w:t>
      </w:r>
      <w:r w:rsidRPr="00C25367">
        <w:t>tos ultraprocesados de origen importado frente a los nacionales, “y también frente a los demás impuestos de consumo monofásico de carácter nacional” ; y (v) constituye un verdadero incumplimiento del deber de respeto a los límites constitucionales del marg</w:t>
      </w:r>
      <w:r w:rsidRPr="00C25367">
        <w:t xml:space="preserve">en de configuración legislativa en materia tributaria. Por ello, considera que la Corte debe realizar de oficio una evaluación de omisión legislativa relativa. Expediente digital, archivo “Intervención – Universidad del Rosario”. Folio 9. Disponible en: </w:t>
      </w:r>
      <w:hyperlink r:id="rId76" w:history="1">
        <w:r w:rsidRPr="00C25367">
          <w:rPr>
            <w:rStyle w:val="Hipervnculo"/>
            <w:rFonts w:eastAsiaTheme="majorEastAsia"/>
          </w:rPr>
          <w:t>https://www.corteconstitucional.gov.co/secretaria/expediente?proceso=1&amp;expediente=D0016314&amp;lista=datosExpedientes_</w:t>
        </w:r>
        <w:r w:rsidRPr="00C25367">
          <w:rPr>
            <w:rStyle w:val="Hipervnculo"/>
            <w:rFonts w:eastAsiaTheme="majorEastAsia"/>
          </w:rPr>
          <w:t>1761103971974</w:t>
        </w:r>
      </w:hyperlink>
    </w:p>
  </w:footnote>
  <w:footnote w:id="83">
    <w:p w:rsidR="00697159" w:rsidRPr="00C25367" w:rsidRDefault="00DB3EEA" w:rsidP="00C25367">
      <w:pPr>
        <w:pStyle w:val="Textonotapie"/>
        <w:jc w:val="both"/>
      </w:pPr>
      <w:r w:rsidRPr="00C25367">
        <w:rPr>
          <w:rStyle w:val="Refdenotaalpie"/>
        </w:rPr>
        <w:footnoteRef/>
      </w:r>
      <w:r w:rsidRPr="00C25367">
        <w:t xml:space="preserve"> Expediente digital, archivo “Intervención – Universidad del Rosario”. Folio 12. Disponible en: </w:t>
      </w:r>
      <w:hyperlink r:id="rId77" w:history="1">
        <w:r w:rsidRPr="00C25367">
          <w:rPr>
            <w:rStyle w:val="Hipervnculo"/>
            <w:rFonts w:eastAsiaTheme="majorEastAsia"/>
          </w:rPr>
          <w:t>h</w:t>
        </w:r>
        <w:r w:rsidRPr="00C25367">
          <w:rPr>
            <w:rStyle w:val="Hipervnculo"/>
            <w:rFonts w:eastAsiaTheme="majorEastAsia"/>
          </w:rPr>
          <w:t>ttps://www.corteconstitucional.gov.co/secretaria/expediente?proceso=1&amp;expediente=D0016314&amp;lista=datosExpedientes_1761103971974</w:t>
        </w:r>
      </w:hyperlink>
    </w:p>
  </w:footnote>
  <w:footnote w:id="84">
    <w:p w:rsidR="007C746F"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 Universidad del Rosario”. Folio 12. Disponible en: </w:t>
      </w:r>
      <w:hyperlink r:id="rId78" w:history="1">
        <w:r w:rsidRPr="00C25367">
          <w:rPr>
            <w:rStyle w:val="Hipervnculo"/>
            <w:rFonts w:eastAsiaTheme="majorEastAsia"/>
          </w:rPr>
          <w:t>https://www.corteconstitucional.gov.co/secretaria/expediente?proceso=1&amp;expediente=D0016314&amp;lista=datosExpedientes_1761103971974</w:t>
        </w:r>
      </w:hyperlink>
    </w:p>
  </w:footnote>
  <w:footnote w:id="85">
    <w:p w:rsidR="007C746F" w:rsidRPr="00C25367" w:rsidRDefault="00DB3EEA" w:rsidP="00C25367">
      <w:pPr>
        <w:pStyle w:val="Textonotapie"/>
        <w:jc w:val="both"/>
      </w:pPr>
      <w:r w:rsidRPr="00C25367">
        <w:rPr>
          <w:rStyle w:val="Refdenotaalpie"/>
          <w:rFonts w:eastAsiaTheme="majorEastAsia"/>
        </w:rPr>
        <w:footnoteRef/>
      </w:r>
      <w:r w:rsidRPr="00C25367">
        <w:t xml:space="preserve"> Expediente dig</w:t>
      </w:r>
      <w:r w:rsidRPr="00C25367">
        <w:t xml:space="preserve">ital, archivo “Intervención ciudadana”. Folio 9. Disponible en: </w:t>
      </w:r>
      <w:hyperlink r:id="rId79" w:history="1">
        <w:r w:rsidRPr="00C25367">
          <w:rPr>
            <w:rStyle w:val="Hipervnculo"/>
            <w:rFonts w:eastAsiaTheme="majorEastAsia"/>
          </w:rPr>
          <w:t>https://www.corteconstitucional.gov.co/secretari</w:t>
        </w:r>
        <w:r w:rsidRPr="00C25367">
          <w:rPr>
            <w:rStyle w:val="Hipervnculo"/>
            <w:rFonts w:eastAsiaTheme="majorEastAsia"/>
          </w:rPr>
          <w:t>a/expediente?proceso=1&amp;expediente=D0016314&amp;lista=datosExpedientes_1761103971974</w:t>
        </w:r>
      </w:hyperlink>
    </w:p>
  </w:footnote>
  <w:footnote w:id="86">
    <w:p w:rsidR="00D54E61" w:rsidRPr="00C25367" w:rsidRDefault="00DB3EEA" w:rsidP="00C25367">
      <w:pPr>
        <w:pStyle w:val="Textonotapie"/>
        <w:jc w:val="both"/>
      </w:pPr>
      <w:r w:rsidRPr="00C25367">
        <w:rPr>
          <w:rStyle w:val="Refdenotaalpie"/>
        </w:rPr>
        <w:footnoteRef/>
      </w:r>
      <w:r w:rsidRPr="00C25367">
        <w:t xml:space="preserve"> Expediente digital, archivo “Intervención ciudadana”. Folio 15. Disponible en: </w:t>
      </w:r>
      <w:hyperlink r:id="rId80" w:history="1">
        <w:r w:rsidRPr="00C25367">
          <w:rPr>
            <w:rStyle w:val="Hipervnculo"/>
            <w:rFonts w:eastAsiaTheme="majorEastAsia"/>
          </w:rPr>
          <w:t>https://www.corteconstitucional.gov.co/secretaria/expediente?proceso=1&amp;expediente=D0016314&amp;lista=datosExpedientes_1761103971974</w:t>
        </w:r>
      </w:hyperlink>
    </w:p>
  </w:footnote>
  <w:footnote w:id="87">
    <w:p w:rsidR="00DD4F63" w:rsidRPr="00C25367" w:rsidRDefault="00DB3EEA" w:rsidP="00C25367">
      <w:pPr>
        <w:pStyle w:val="Textonotapie"/>
        <w:jc w:val="both"/>
      </w:pPr>
      <w:r w:rsidRPr="00C25367">
        <w:rPr>
          <w:rStyle w:val="Refdenotaalpie"/>
        </w:rPr>
        <w:footnoteRef/>
      </w:r>
      <w:r w:rsidRPr="00C25367">
        <w:t xml:space="preserve"> Expediente digital, archivo “Intervención ciudadana”. Folio </w:t>
      </w:r>
      <w:r w:rsidRPr="00C25367">
        <w:t>17</w:t>
      </w:r>
      <w:r w:rsidRPr="00C25367">
        <w:t xml:space="preserve">. Disponible en: </w:t>
      </w:r>
      <w:hyperlink r:id="rId81" w:history="1">
        <w:r w:rsidRPr="00C25367">
          <w:rPr>
            <w:rStyle w:val="Hipervnculo"/>
          </w:rPr>
          <w:t>https://www.corteconstitucional.gov.co/secretaria/archivo.php?id=99414</w:t>
        </w:r>
      </w:hyperlink>
      <w:r w:rsidRPr="00C25367">
        <w:t xml:space="preserve">. </w:t>
      </w:r>
    </w:p>
  </w:footnote>
  <w:footnote w:id="88">
    <w:p w:rsidR="007C746F"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ciudadana”. Folio 5. Disponible en:</w:t>
      </w:r>
      <w:r w:rsidRPr="00C25367">
        <w:t xml:space="preserve"> </w:t>
      </w:r>
      <w:hyperlink r:id="rId82" w:history="1">
        <w:r w:rsidRPr="00C25367">
          <w:rPr>
            <w:rStyle w:val="Hipervnculo"/>
            <w:rFonts w:eastAsiaTheme="majorEastAsia"/>
          </w:rPr>
          <w:t>https://www.corteconstitucional.gov.co/secretaria/expediente?proceso=1&amp;expediente=D0016314&amp;lista=datosExpedient</w:t>
        </w:r>
        <w:r w:rsidRPr="00C25367">
          <w:rPr>
            <w:rStyle w:val="Hipervnculo"/>
            <w:rFonts w:eastAsiaTheme="majorEastAsia"/>
          </w:rPr>
          <w:t>es_1761103971974</w:t>
        </w:r>
      </w:hyperlink>
    </w:p>
  </w:footnote>
  <w:footnote w:id="89">
    <w:p w:rsidR="007C746F"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ciudadana”. Folio 5. Disponible en: </w:t>
      </w:r>
      <w:hyperlink r:id="rId83" w:history="1">
        <w:r w:rsidRPr="00C25367">
          <w:rPr>
            <w:rStyle w:val="Hipervnculo"/>
            <w:rFonts w:eastAsiaTheme="majorEastAsia"/>
          </w:rPr>
          <w:t>https://www.cor</w:t>
        </w:r>
        <w:r w:rsidRPr="00C25367">
          <w:rPr>
            <w:rStyle w:val="Hipervnculo"/>
            <w:rFonts w:eastAsiaTheme="majorEastAsia"/>
          </w:rPr>
          <w:t>teconstitucional.gov.co/secretaria/expediente?proceso=1&amp;expediente=D0016314&amp;lista=datosExpedientes_1761103971974</w:t>
        </w:r>
      </w:hyperlink>
    </w:p>
  </w:footnote>
  <w:footnote w:id="90">
    <w:p w:rsidR="007C746F" w:rsidRPr="00C25367" w:rsidRDefault="00DB3EEA" w:rsidP="00C25367">
      <w:pPr>
        <w:pStyle w:val="Textonotapie"/>
        <w:jc w:val="both"/>
      </w:pPr>
      <w:r w:rsidRPr="00C25367">
        <w:rPr>
          <w:rStyle w:val="Refdenotaalpie"/>
          <w:rFonts w:eastAsiaTheme="majorEastAsia"/>
        </w:rPr>
        <w:footnoteRef/>
      </w:r>
      <w:r w:rsidRPr="00C25367">
        <w:t xml:space="preserve"> Expediente digital, archivo “Intervención ciudadana”. Folio 6. Disponible en: </w:t>
      </w:r>
      <w:hyperlink r:id="rId84" w:history="1">
        <w:r w:rsidRPr="00C25367">
          <w:rPr>
            <w:rStyle w:val="Hipervnculo"/>
            <w:rFonts w:eastAsiaTheme="majorEastAsia"/>
          </w:rPr>
          <w:t>https://www.corteconstitucional.gov.co/secretaria/expediente?proceso=1&amp;expediente=D0016314&amp;lista=datosExpedientes_1761103971974</w:t>
        </w:r>
      </w:hyperlink>
    </w:p>
  </w:footnote>
  <w:footnote w:id="91">
    <w:p w:rsidR="00D3461C" w:rsidRPr="00C25367" w:rsidRDefault="00DB3EEA" w:rsidP="00C25367">
      <w:pPr>
        <w:pStyle w:val="Textonotapie"/>
        <w:jc w:val="both"/>
      </w:pPr>
      <w:r w:rsidRPr="00C25367">
        <w:rPr>
          <w:rStyle w:val="Refdenotaalpie"/>
        </w:rPr>
        <w:footnoteRef/>
      </w:r>
      <w:r w:rsidRPr="00C25367">
        <w:t xml:space="preserve"> </w:t>
      </w:r>
      <w:r w:rsidRPr="00C25367">
        <w:t>Expediente digital, archivo “Concepto Procura</w:t>
      </w:r>
      <w:r w:rsidRPr="00C25367">
        <w:t xml:space="preserve">duría General de la Nación”. Folio </w:t>
      </w:r>
      <w:r w:rsidRPr="00C25367">
        <w:t>21</w:t>
      </w:r>
      <w:r w:rsidRPr="00C25367">
        <w:t xml:space="preserve">. Disponible en: </w:t>
      </w:r>
      <w:hyperlink r:id="rId85" w:history="1">
        <w:r w:rsidRPr="00C25367">
          <w:rPr>
            <w:rStyle w:val="Hipervnculo"/>
          </w:rPr>
          <w:t>https://www.corteconstitucional.gov.co/secretaria/expedien</w:t>
        </w:r>
        <w:r w:rsidRPr="00C25367">
          <w:rPr>
            <w:rStyle w:val="Hipervnculo"/>
          </w:rPr>
          <w:t>te?proceso=1&amp;expediente=D0016314&amp;lista=datosExpedientes_1761103971974</w:t>
        </w:r>
      </w:hyperlink>
    </w:p>
  </w:footnote>
  <w:footnote w:id="92">
    <w:p w:rsidR="00CF57DF" w:rsidRPr="00C25367" w:rsidRDefault="00DB3EEA" w:rsidP="00C25367">
      <w:pPr>
        <w:pStyle w:val="Textonotapie"/>
        <w:jc w:val="both"/>
        <w:rPr>
          <w:lang w:val="es-ES"/>
        </w:rPr>
      </w:pPr>
      <w:r w:rsidRPr="00C25367">
        <w:rPr>
          <w:rStyle w:val="Refdenotaalpie"/>
        </w:rPr>
        <w:footnoteRef/>
      </w:r>
      <w:r w:rsidRPr="00C25367">
        <w:t xml:space="preserve"> Expediente digital, archivo “Concepto Procuraduría General de la Nación”. Folios 4 y 5. Disponible en: </w:t>
      </w:r>
      <w:hyperlink r:id="rId86" w:history="1">
        <w:r w:rsidRPr="00C25367">
          <w:rPr>
            <w:rStyle w:val="Hipervnculo"/>
          </w:rPr>
          <w:t>https://www.corteconstitucional.gov.co/secretaria/expediente?proceso=1&amp;expediente=D0016314&amp;lista=datosExpedientes_</w:t>
        </w:r>
        <w:r w:rsidRPr="00C25367">
          <w:rPr>
            <w:rStyle w:val="Hipervnculo"/>
          </w:rPr>
          <w:t>1761103971974</w:t>
        </w:r>
      </w:hyperlink>
    </w:p>
  </w:footnote>
  <w:footnote w:id="93">
    <w:p w:rsidR="0048451B" w:rsidRPr="00C25367" w:rsidRDefault="00DB3EEA" w:rsidP="00C25367">
      <w:pPr>
        <w:pStyle w:val="Textonotapie"/>
        <w:jc w:val="both"/>
      </w:pPr>
      <w:r w:rsidRPr="00C25367">
        <w:rPr>
          <w:rStyle w:val="Refdenotaalpie"/>
        </w:rPr>
        <w:footnoteRef/>
      </w:r>
      <w:r w:rsidRPr="00C25367">
        <w:t xml:space="preserve"> Expediente digital, archivo “Concepto Procuraduría General de la Nación”. Folio 6. Citando lo dispuesto en la </w:t>
      </w:r>
      <w:r w:rsidRPr="00C25367">
        <w:t xml:space="preserve">Sentencia C-183 de 1998. </w:t>
      </w:r>
      <w:r w:rsidRPr="00C25367">
        <w:t xml:space="preserve"> Disponible en: </w:t>
      </w:r>
      <w:hyperlink r:id="rId87" w:history="1">
        <w:r w:rsidRPr="00C25367">
          <w:rPr>
            <w:rStyle w:val="Hipervnculo"/>
          </w:rPr>
          <w:t>https://www.corteconstitucional.gov.co/secretaria/expediente?proceso=1&amp;expediente=D0016314&amp;lista=datosExpedientes_1761103971974</w:t>
        </w:r>
      </w:hyperlink>
    </w:p>
  </w:footnote>
  <w:footnote w:id="94">
    <w:p w:rsidR="00933EDC" w:rsidRPr="00C25367" w:rsidRDefault="00DB3EEA" w:rsidP="00C25367">
      <w:pPr>
        <w:pStyle w:val="Textonotapie"/>
        <w:jc w:val="both"/>
      </w:pPr>
      <w:r w:rsidRPr="00C25367">
        <w:rPr>
          <w:rStyle w:val="Refdenotaalpie"/>
        </w:rPr>
        <w:footnoteRef/>
      </w:r>
      <w:r w:rsidRPr="00C25367">
        <w:t xml:space="preserve"> Expediente digital, archivo “Concepto Procuraduría General de la Nación</w:t>
      </w:r>
      <w:r w:rsidRPr="00C25367">
        <w:t xml:space="preserve">”. Folio </w:t>
      </w:r>
      <w:r w:rsidRPr="00C25367">
        <w:t>6 y 7</w:t>
      </w:r>
      <w:r w:rsidRPr="00C25367">
        <w:t>. Citando lo dispuesto en la Sentencia C-</w:t>
      </w:r>
      <w:r w:rsidRPr="00C25367">
        <w:t>734</w:t>
      </w:r>
      <w:r w:rsidRPr="00C25367">
        <w:t xml:space="preserve"> de </w:t>
      </w:r>
      <w:r w:rsidRPr="00C25367">
        <w:t>2002</w:t>
      </w:r>
      <w:r w:rsidRPr="00C25367">
        <w:t xml:space="preserve">.  Disponible en: </w:t>
      </w:r>
      <w:hyperlink r:id="rId88" w:history="1">
        <w:r w:rsidRPr="00C25367">
          <w:rPr>
            <w:rStyle w:val="Hipervnculo"/>
          </w:rPr>
          <w:t>https://www.corteconstitucio</w:t>
        </w:r>
        <w:r w:rsidRPr="00C25367">
          <w:rPr>
            <w:rStyle w:val="Hipervnculo"/>
          </w:rPr>
          <w:t>nal.gov.co/secretaria/expediente?proceso=1&amp;expediente=D0016314&amp;lista=datosExpedientes_1761103971974</w:t>
        </w:r>
      </w:hyperlink>
    </w:p>
  </w:footnote>
  <w:footnote w:id="95">
    <w:p w:rsidR="001C13EB" w:rsidRPr="00C25367" w:rsidRDefault="00DB3EEA" w:rsidP="00C25367">
      <w:pPr>
        <w:pStyle w:val="Textonotapie"/>
        <w:jc w:val="both"/>
      </w:pPr>
      <w:r w:rsidRPr="00C25367">
        <w:rPr>
          <w:rStyle w:val="Refdenotaalpie"/>
        </w:rPr>
        <w:footnoteRef/>
      </w:r>
      <w:r w:rsidRPr="00C25367">
        <w:t xml:space="preserve"> Expediente digital, archivo “Concepto Procuraduría General de la Nación”. Folio 6 y 7. Citando lo dispuesto en la Sentencia C-435 de 2023.  Disponible en:</w:t>
      </w:r>
      <w:r w:rsidRPr="00C25367">
        <w:t xml:space="preserve"> </w:t>
      </w:r>
      <w:hyperlink r:id="rId89" w:history="1">
        <w:r w:rsidRPr="00C25367">
          <w:rPr>
            <w:rStyle w:val="Hipervnculo"/>
          </w:rPr>
          <w:t>https://www.corteconstitucional.gov.co/secretaria/expediente?proceso=1&amp;expediente=D0016314&amp;lista=datosExpedient</w:t>
        </w:r>
        <w:r w:rsidRPr="00C25367">
          <w:rPr>
            <w:rStyle w:val="Hipervnculo"/>
          </w:rPr>
          <w:t>es_1761103971974</w:t>
        </w:r>
      </w:hyperlink>
    </w:p>
  </w:footnote>
  <w:footnote w:id="96">
    <w:p w:rsidR="009E0B0B"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“Concepto Procuraduría General de la Nación”. Folio 6 y 7. Citando lo dispuesto en la Sentencia C-435 de 2023 en relación con la sentencia C-059 de 2021.  Disponible en: </w:t>
      </w:r>
      <w:hyperlink r:id="rId90" w:history="1">
        <w:r w:rsidRPr="00C25367">
          <w:rPr>
            <w:rStyle w:val="Hipervnculo"/>
          </w:rPr>
          <w:t>https://www.corteconstitucional.gov.co/secretaria/expediente?proceso=1&amp;expediente=D0016314&amp;lista=datosExpedientes_1761103971974</w:t>
        </w:r>
      </w:hyperlink>
    </w:p>
  </w:footnote>
  <w:footnote w:id="97">
    <w:p w:rsidR="00314230" w:rsidRPr="00C25367" w:rsidRDefault="00DB3EEA" w:rsidP="00C25367">
      <w:pPr>
        <w:pStyle w:val="Textonotapie"/>
        <w:jc w:val="both"/>
      </w:pPr>
      <w:r w:rsidRPr="00C25367">
        <w:rPr>
          <w:rStyle w:val="Refdenotaalpie"/>
        </w:rPr>
        <w:footnoteRef/>
      </w:r>
      <w:r w:rsidRPr="00C25367">
        <w:t xml:space="preserve"> Expediente digital, archivo “Concepto Procuraduría General de la Nación”. Folio 9. Citando lo dispuesto en la Sentencia C-435 de 2023.  Disponible en: </w:t>
      </w:r>
      <w:hyperlink r:id="rId91" w:history="1">
        <w:r w:rsidRPr="00C25367">
          <w:rPr>
            <w:rStyle w:val="Hipervnculo"/>
          </w:rPr>
          <w:t>https://www.corteconstitucional.gov.co/secretaria/expediente?proceso=1&amp;expediente=D0016314&amp;lista=datosExpedientes_1761103971974</w:t>
        </w:r>
      </w:hyperlink>
    </w:p>
  </w:footnote>
  <w:footnote w:id="98">
    <w:p w:rsidR="00977E98" w:rsidRPr="00C25367" w:rsidRDefault="00DB3EEA" w:rsidP="00C25367">
      <w:pPr>
        <w:pStyle w:val="Textonotapie"/>
        <w:jc w:val="both"/>
      </w:pPr>
      <w:r w:rsidRPr="00C25367">
        <w:rPr>
          <w:rStyle w:val="Refdenotaalpie"/>
        </w:rPr>
        <w:footnoteRef/>
      </w:r>
      <w:r w:rsidRPr="00C25367">
        <w:t xml:space="preserve"> Expediente digital, archivo “Concepto Procuraduría General de la Nación”. Folio 9.  Di</w:t>
      </w:r>
      <w:r w:rsidRPr="00C25367">
        <w:t xml:space="preserve">sponible en: </w:t>
      </w:r>
      <w:hyperlink r:id="rId92" w:history="1">
        <w:r w:rsidRPr="00C25367">
          <w:rPr>
            <w:rStyle w:val="Hipervnculo"/>
          </w:rPr>
          <w:t>https://www.corteconstitucional.gov.co/secretaria/expediente?proceso=1&amp;expediente=D0016314&amp;lista=da</w:t>
        </w:r>
        <w:r w:rsidRPr="00C25367">
          <w:rPr>
            <w:rStyle w:val="Hipervnculo"/>
          </w:rPr>
          <w:t>tosExpedientes_1761103971974</w:t>
        </w:r>
      </w:hyperlink>
    </w:p>
  </w:footnote>
  <w:footnote w:id="99">
    <w:p w:rsidR="0033716B" w:rsidRPr="00C25367" w:rsidRDefault="00DB3EEA" w:rsidP="00C25367">
      <w:pPr>
        <w:pStyle w:val="Textonotapie"/>
        <w:jc w:val="both"/>
      </w:pPr>
      <w:r w:rsidRPr="00C25367">
        <w:rPr>
          <w:rStyle w:val="Refdenotaalpie"/>
        </w:rPr>
        <w:footnoteRef/>
      </w:r>
      <w:r w:rsidRPr="00C25367">
        <w:t xml:space="preserve"> Expediente digital, archivo “Concepto Procuraduría General de la Nación”. Folio 9. Citando lo dispuesto en la Sentencia C-026 de 2020.  Disponible en: </w:t>
      </w:r>
      <w:hyperlink r:id="rId93" w:history="1">
        <w:r w:rsidRPr="00C25367">
          <w:rPr>
            <w:rStyle w:val="Hipervnculo"/>
          </w:rPr>
          <w:t>https://www.corteconstitucional.gov.co/secretaria/expediente?proceso=1&amp;expediente=D0016314&amp;lista=datosExpedientes_1761103971974</w:t>
        </w:r>
      </w:hyperlink>
    </w:p>
  </w:footnote>
  <w:footnote w:id="100">
    <w:p w:rsidR="00C40E9D" w:rsidRPr="00C25367" w:rsidRDefault="00DB3EEA" w:rsidP="00C25367">
      <w:pPr>
        <w:pStyle w:val="Textonotapie"/>
        <w:jc w:val="both"/>
      </w:pPr>
      <w:r w:rsidRPr="00C25367">
        <w:rPr>
          <w:rStyle w:val="Refdenotaalpie"/>
        </w:rPr>
        <w:footnoteRef/>
      </w:r>
      <w:r w:rsidRPr="00C25367">
        <w:t xml:space="preserve"> </w:t>
      </w:r>
      <w:r w:rsidRPr="00C25367">
        <w:t xml:space="preserve">Expediente digital, archivo “Concepto Procuraduría General de la Nación”. Folio </w:t>
      </w:r>
      <w:r w:rsidRPr="00C25367">
        <w:t>10</w:t>
      </w:r>
      <w:r w:rsidRPr="00C25367">
        <w:t xml:space="preserve">. Citando lo dispuesto en la Sentencia C-026 de 2020, reiterando lo dispuesto en la C-438 de 2011.  Disponible en: </w:t>
      </w:r>
      <w:hyperlink r:id="rId94" w:history="1">
        <w:r w:rsidRPr="00C25367">
          <w:rPr>
            <w:rStyle w:val="Hipervnculo"/>
          </w:rPr>
          <w:t>https://www.corteconstitucional.gov.co/secretaria/expediente?proceso=1&amp;expediente=D0016314&amp;lista=datosExpedientes_1761103971974</w:t>
        </w:r>
      </w:hyperlink>
    </w:p>
  </w:footnote>
  <w:footnote w:id="101">
    <w:p w:rsidR="00F817F0" w:rsidRPr="00C25367" w:rsidRDefault="00DB3EEA" w:rsidP="00C25367">
      <w:pPr>
        <w:pStyle w:val="Textonotapie"/>
        <w:jc w:val="both"/>
      </w:pPr>
      <w:r w:rsidRPr="00C25367">
        <w:rPr>
          <w:rStyle w:val="Refdenotaalpie"/>
        </w:rPr>
        <w:footnoteRef/>
      </w:r>
      <w:r w:rsidRPr="00C25367">
        <w:t xml:space="preserve"> </w:t>
      </w:r>
      <w:r w:rsidRPr="00C25367">
        <w:t>Expediente digital, archivo “Concepto Pro</w:t>
      </w:r>
      <w:r w:rsidRPr="00C25367">
        <w:t xml:space="preserve">curaduría General de la Nación”. Folio 10. Citando lo dispuesto en la Sentencia C-438 de 2011.  Disponible en: </w:t>
      </w:r>
      <w:hyperlink r:id="rId95" w:history="1">
        <w:r w:rsidRPr="00C25367">
          <w:rPr>
            <w:rStyle w:val="Hipervnculo"/>
          </w:rPr>
          <w:t>h</w:t>
        </w:r>
        <w:r w:rsidRPr="00C25367">
          <w:rPr>
            <w:rStyle w:val="Hipervnculo"/>
          </w:rPr>
          <w:t>ttps://www.corteconstitucional.gov.co/secretaria/expediente?proceso=1&amp;expediente=D0016314&amp;lista=datosExpedientes_1761103971974</w:t>
        </w:r>
      </w:hyperlink>
    </w:p>
  </w:footnote>
  <w:footnote w:id="102">
    <w:p w:rsidR="00765591" w:rsidRPr="00C25367" w:rsidRDefault="00DB3EEA" w:rsidP="00C25367">
      <w:pPr>
        <w:pStyle w:val="Textonotapie"/>
        <w:jc w:val="both"/>
      </w:pPr>
      <w:r w:rsidRPr="00C25367">
        <w:rPr>
          <w:rStyle w:val="Refdenotaalpie"/>
        </w:rPr>
        <w:footnoteRef/>
      </w:r>
      <w:r w:rsidRPr="00C25367">
        <w:t xml:space="preserve"> Expediente digital, archivo “Concepto Procuraduría General de la Nación”. Folios 11 y 12. Citando lo dispuesto en la Sentencia C-435 de 2023.  Disponible en: </w:t>
      </w:r>
      <w:hyperlink r:id="rId96" w:history="1">
        <w:r w:rsidRPr="00C25367">
          <w:rPr>
            <w:rStyle w:val="Hipervnculo"/>
          </w:rPr>
          <w:t>https://www.corteconstitucional.gov.co/secretaria/expediente?proceso=1&amp;expediente=D0016314&amp;lista=datosExpedientes_1761103971974</w:t>
        </w:r>
      </w:hyperlink>
    </w:p>
  </w:footnote>
  <w:footnote w:id="103">
    <w:p w:rsidR="00971B63" w:rsidRPr="00C25367" w:rsidRDefault="00DB3EEA" w:rsidP="00C25367">
      <w:pPr>
        <w:pStyle w:val="Textonotapie"/>
        <w:jc w:val="both"/>
      </w:pPr>
      <w:r w:rsidRPr="00C25367">
        <w:rPr>
          <w:rStyle w:val="Refdenotaalpie"/>
        </w:rPr>
        <w:footnoteRef/>
      </w:r>
      <w:r w:rsidRPr="00C25367">
        <w:t xml:space="preserve"> Expediente digital, archivo “Concepto Procuraduría General de la Nación”. Folio</w:t>
      </w:r>
      <w:r w:rsidRPr="00C25367">
        <w:t xml:space="preserve"> 14.  Disponible en: </w:t>
      </w:r>
      <w:hyperlink r:id="rId97" w:history="1">
        <w:r w:rsidRPr="00C25367">
          <w:rPr>
            <w:rStyle w:val="Hipervnculo"/>
          </w:rPr>
          <w:t>https://www.corteconstitucional.gov.co/secretaria/expediente?proceso=1&amp;expediente=D0016314&amp;</w:t>
        </w:r>
        <w:r w:rsidRPr="00C25367">
          <w:rPr>
            <w:rStyle w:val="Hipervnculo"/>
          </w:rPr>
          <w:t>lista=datosExpedientes_1761103971974</w:t>
        </w:r>
      </w:hyperlink>
    </w:p>
  </w:footnote>
  <w:footnote w:id="104">
    <w:p w:rsidR="00012FFA" w:rsidRPr="00C25367" w:rsidRDefault="00DB3EEA" w:rsidP="00C25367">
      <w:pPr>
        <w:pStyle w:val="Textonotapie"/>
        <w:jc w:val="both"/>
      </w:pPr>
      <w:r w:rsidRPr="00C25367">
        <w:rPr>
          <w:rStyle w:val="Refdenotaalpie"/>
        </w:rPr>
        <w:footnoteRef/>
      </w:r>
      <w:r w:rsidRPr="00C25367">
        <w:t xml:space="preserve"> Expediente digital, archivo “Concepto Procuraduría General de la Nación”. Folio 14.  Disponible en: </w:t>
      </w:r>
      <w:hyperlink r:id="rId98" w:history="1">
        <w:r w:rsidRPr="00C25367">
          <w:rPr>
            <w:rStyle w:val="Hipervnculo"/>
          </w:rPr>
          <w:t>https://www.corteconstitucional.gov.co/secretaria/expediente?proceso=1&amp;expediente=D0016314&amp;lista=datosExpedientes_1761103971974</w:t>
        </w:r>
      </w:hyperlink>
    </w:p>
  </w:footnote>
  <w:footnote w:id="105">
    <w:p w:rsidR="003E693B" w:rsidRPr="00C25367" w:rsidRDefault="00DB3EEA" w:rsidP="00C25367">
      <w:pPr>
        <w:pStyle w:val="Textonotapie"/>
        <w:jc w:val="both"/>
      </w:pPr>
      <w:r w:rsidRPr="00C25367">
        <w:rPr>
          <w:rStyle w:val="Refdenotaalpie"/>
        </w:rPr>
        <w:footnoteRef/>
      </w:r>
      <w:r w:rsidRPr="00C25367">
        <w:t xml:space="preserve"> Expediente digital, archivo “Concepto Procuraduría General de la Nación”. Folio 14.  Disponible en:</w:t>
      </w:r>
      <w:r w:rsidRPr="00C25367">
        <w:t xml:space="preserve"> </w:t>
      </w:r>
      <w:hyperlink r:id="rId99" w:history="1">
        <w:r w:rsidRPr="00C25367">
          <w:rPr>
            <w:rStyle w:val="Hipervnculo"/>
          </w:rPr>
          <w:t>https://www.corteconstitucional.gov.co/secretaria/expediente?proceso=1&amp;expediente=D0016314&amp;lista=datosExpedient</w:t>
        </w:r>
        <w:r w:rsidRPr="00C25367">
          <w:rPr>
            <w:rStyle w:val="Hipervnculo"/>
          </w:rPr>
          <w:t>es_1761103971974</w:t>
        </w:r>
      </w:hyperlink>
    </w:p>
    <w:p w:rsidR="003E693B" w:rsidRPr="00C25367" w:rsidRDefault="00DB3EEA" w:rsidP="00C25367">
      <w:pPr>
        <w:pStyle w:val="Textonotapie"/>
        <w:jc w:val="both"/>
      </w:pPr>
    </w:p>
  </w:footnote>
  <w:footnote w:id="106">
    <w:p w:rsidR="00B9669F" w:rsidRPr="00C25367" w:rsidRDefault="00DB3EEA" w:rsidP="00C25367">
      <w:pPr>
        <w:pStyle w:val="Textonotapie"/>
        <w:jc w:val="both"/>
      </w:pPr>
      <w:r w:rsidRPr="00C25367">
        <w:rPr>
          <w:rStyle w:val="Refdenotaalpie"/>
        </w:rPr>
        <w:footnoteRef/>
      </w:r>
      <w:r w:rsidRPr="00C25367">
        <w:t xml:space="preserve"> Expediente digital, archivo “Concepto Procuraduría General de la Nación”. Folio 15.  Disponible en: </w:t>
      </w:r>
      <w:hyperlink r:id="rId100" w:history="1">
        <w:r w:rsidRPr="00C25367">
          <w:rPr>
            <w:rStyle w:val="Hipervnculo"/>
          </w:rPr>
          <w:t>https://www.corteconstitucional.gov.co/secretaria/expediente?proceso=1&amp;expediente=D0016314&amp;lista=datosExpedientes_1761103971974</w:t>
        </w:r>
      </w:hyperlink>
    </w:p>
  </w:footnote>
  <w:footnote w:id="107">
    <w:p w:rsidR="001945D6" w:rsidRPr="00C25367" w:rsidRDefault="00DB3EEA" w:rsidP="00C25367">
      <w:pPr>
        <w:pStyle w:val="Textonotapie"/>
        <w:jc w:val="both"/>
      </w:pPr>
      <w:r w:rsidRPr="00C25367">
        <w:rPr>
          <w:rStyle w:val="Refdenotaalpie"/>
        </w:rPr>
        <w:footnoteRef/>
      </w:r>
      <w:r w:rsidRPr="00C25367">
        <w:t xml:space="preserve"> Expediente digital, archivo “Concepto Procuraduría General de la Nación”. Folio 17.  Disponible en: </w:t>
      </w:r>
      <w:hyperlink r:id="rId101" w:history="1">
        <w:r w:rsidRPr="00C25367">
          <w:rPr>
            <w:rStyle w:val="Hipervnculo"/>
          </w:rPr>
          <w:t>https://www.corteconstitucional.gov.co/secretaria/expediente?proceso=1&amp;expediente=D0016314&amp;lista=datosExpedientes_1761103971974</w:t>
        </w:r>
      </w:hyperlink>
    </w:p>
  </w:footnote>
  <w:footnote w:id="108">
    <w:p w:rsidR="009654A7" w:rsidRPr="00C25367" w:rsidRDefault="00DB3EEA" w:rsidP="00C25367">
      <w:pPr>
        <w:pStyle w:val="Textonotapie"/>
        <w:jc w:val="both"/>
      </w:pPr>
      <w:r w:rsidRPr="00C25367">
        <w:rPr>
          <w:rStyle w:val="Refdenotaalpie"/>
        </w:rPr>
        <w:footnoteRef/>
      </w:r>
      <w:r w:rsidRPr="00C25367">
        <w:t xml:space="preserve"> Expediente digital, archivo “Concepto Procuraduría General de la Nación”. Folio 1</w:t>
      </w:r>
      <w:r w:rsidRPr="00C25367">
        <w:t>8</w:t>
      </w:r>
      <w:r w:rsidRPr="00C25367">
        <w:t xml:space="preserve">.  Disponible en: </w:t>
      </w:r>
      <w:hyperlink r:id="rId102" w:history="1">
        <w:r w:rsidRPr="00C25367">
          <w:rPr>
            <w:rStyle w:val="Hipervnculo"/>
          </w:rPr>
          <w:t>https://www</w:t>
        </w:r>
        <w:r w:rsidRPr="00C25367">
          <w:rPr>
            <w:rStyle w:val="Hipervnculo"/>
          </w:rPr>
          <w:t>.corteconstitucional.gov.co/secretaria/expediente?proceso=1&amp;expediente=D0016314&amp;lista=datosExpedientes_1761103971974</w:t>
        </w:r>
      </w:hyperlink>
    </w:p>
  </w:footnote>
  <w:footnote w:id="109">
    <w:p w:rsidR="00823E0B" w:rsidRPr="00C25367" w:rsidRDefault="00DB3EEA" w:rsidP="00C25367">
      <w:pPr>
        <w:pStyle w:val="Textonotapie"/>
        <w:jc w:val="both"/>
      </w:pPr>
      <w:r w:rsidRPr="00C25367">
        <w:rPr>
          <w:rStyle w:val="Refdenotaalpie"/>
        </w:rPr>
        <w:footnoteRef/>
      </w:r>
      <w:r w:rsidRPr="00C25367">
        <w:t xml:space="preserve"> Expediente digital, archivo “Concepto Procuraduría General de la Nación”. Folio 20.  Disponible en: </w:t>
      </w:r>
      <w:hyperlink r:id="rId103" w:history="1">
        <w:r w:rsidRPr="00C25367">
          <w:rPr>
            <w:rStyle w:val="Hipervnculo"/>
          </w:rPr>
          <w:t>https://www.corteconstitucional.gov.co/secretaria/expediente?proceso=1&amp;expediente=D0016314&amp;lista=datosExpedientes_1761103971974</w:t>
        </w:r>
      </w:hyperlink>
    </w:p>
  </w:footnote>
  <w:footnote w:id="110">
    <w:p w:rsidR="00E347AE" w:rsidRPr="00C25367" w:rsidRDefault="00DB3EEA" w:rsidP="00C25367">
      <w:pPr>
        <w:pStyle w:val="Textonotapie"/>
        <w:jc w:val="both"/>
      </w:pPr>
      <w:r w:rsidRPr="00C25367">
        <w:rPr>
          <w:rStyle w:val="Refdenotaalpie"/>
        </w:rPr>
        <w:footnoteRef/>
      </w:r>
      <w:r w:rsidRPr="00C25367">
        <w:t xml:space="preserve"> Expediente digital,</w:t>
      </w:r>
      <w:r w:rsidRPr="00C25367">
        <w:t xml:space="preserve"> archivo “Concepto Procuraduría General de la Nación”. Folio 20.  Disponible en: </w:t>
      </w:r>
      <w:hyperlink r:id="rId104" w:history="1">
        <w:r w:rsidRPr="00C25367">
          <w:rPr>
            <w:rStyle w:val="Hipervnculo"/>
          </w:rPr>
          <w:t>https://www.corteconstitucional</w:t>
        </w:r>
        <w:r w:rsidRPr="00C25367">
          <w:rPr>
            <w:rStyle w:val="Hipervnculo"/>
          </w:rPr>
          <w:t>.gov.co/secretaria/expediente?proceso=1&amp;expediente=D0016314&amp;lista=datosExpedientes_1761103971974</w:t>
        </w:r>
      </w:hyperlink>
    </w:p>
  </w:footnote>
  <w:footnote w:id="111">
    <w:p w:rsidR="002E4A92" w:rsidRPr="00C25367" w:rsidRDefault="00DB3EEA" w:rsidP="00C25367">
      <w:pPr>
        <w:pStyle w:val="Textonotapie"/>
        <w:jc w:val="both"/>
      </w:pPr>
      <w:r w:rsidRPr="00C25367">
        <w:rPr>
          <w:rStyle w:val="Refdenotaalpie"/>
        </w:rPr>
        <w:footnoteRef/>
      </w:r>
      <w:r w:rsidRPr="00C25367">
        <w:t xml:space="preserve"> Expediente digital, archivo “Concepto Procuraduría General de la Nación”. Folio 20.  Disponible en: </w:t>
      </w:r>
      <w:hyperlink r:id="rId105" w:history="1">
        <w:r w:rsidRPr="00C25367">
          <w:rPr>
            <w:rStyle w:val="Hipervnculo"/>
          </w:rPr>
          <w:t>https://www.corteconstitucional.gov.co/secretaria/expediente?proceso=1&amp;expediente=D0016314&amp;lista=datosExpedientes_1761103971974</w:t>
        </w:r>
      </w:hyperlink>
    </w:p>
  </w:footnote>
  <w:footnote w:id="112">
    <w:p w:rsidR="00E6031E" w:rsidRPr="00C25367" w:rsidRDefault="00DB3EEA" w:rsidP="00C25367">
      <w:pPr>
        <w:pStyle w:val="Textonotapie"/>
        <w:jc w:val="both"/>
      </w:pPr>
      <w:r w:rsidRPr="00C25367">
        <w:rPr>
          <w:rStyle w:val="Refdenotaalpie"/>
        </w:rPr>
        <w:footnoteRef/>
      </w:r>
      <w:r w:rsidRPr="00C25367">
        <w:t xml:space="preserve"> Expediente digital, archivo “Concepto P</w:t>
      </w:r>
      <w:r w:rsidRPr="00C25367">
        <w:t xml:space="preserve">rocuraduría General de la Nación”. Folio 20.  Disponible en: </w:t>
      </w:r>
      <w:hyperlink r:id="rId106" w:history="1">
        <w:r w:rsidRPr="00C25367">
          <w:rPr>
            <w:rStyle w:val="Hipervnculo"/>
          </w:rPr>
          <w:t>https://www.corteconstitucional.gov.co/secretaria/e</w:t>
        </w:r>
        <w:r w:rsidRPr="00C25367">
          <w:rPr>
            <w:rStyle w:val="Hipervnculo"/>
          </w:rPr>
          <w:t>xpediente?proceso=1&amp;expediente=D0016314&amp;lista=datosExpedientes_1761103971974</w:t>
        </w:r>
      </w:hyperlink>
    </w:p>
  </w:footnote>
  <w:footnote w:id="113">
    <w:p w:rsidR="00751AE9" w:rsidRPr="00C25367" w:rsidRDefault="00DB3EEA" w:rsidP="00C25367">
      <w:pPr>
        <w:pStyle w:val="Textonotapie"/>
        <w:jc w:val="both"/>
      </w:pPr>
      <w:r w:rsidRPr="00C25367">
        <w:rPr>
          <w:rStyle w:val="Refdenotaalpie"/>
        </w:rPr>
        <w:footnoteRef/>
      </w:r>
      <w:r w:rsidRPr="00C25367">
        <w:t xml:space="preserve"> </w:t>
      </w:r>
      <w:r w:rsidRPr="00C25367">
        <w:rPr>
          <w:lang w:val="es-MX"/>
        </w:rPr>
        <w:t>Particularmente, el Ministerio de Hacienda y Crédito Público y la DIAN sostuvieron que “[l]</w:t>
      </w:r>
      <w:r w:rsidRPr="00C25367">
        <w:t xml:space="preserve">a demanda no reúne los requisitos de aptitud y por ello la Corte debe declararla inepta”. Expediente digital, archivo “Intervención – Ministerio de Hacienda y DIAN”. Folio 5. Disponible en: </w:t>
      </w:r>
      <w:hyperlink r:id="rId107" w:history="1">
        <w:r w:rsidRPr="00C25367">
          <w:rPr>
            <w:rStyle w:val="Hipervnculo"/>
          </w:rPr>
          <w:t>https://www.corteconstitucional.gov.co/secretaria/expediente?proceso=1&amp;expediente=D0016314&amp;lista=datosExpedientes_1761103971974</w:t>
        </w:r>
      </w:hyperlink>
      <w:r w:rsidRPr="00C25367">
        <w:t>.</w:t>
      </w:r>
    </w:p>
  </w:footnote>
  <w:footnote w:id="114">
    <w:p w:rsidR="00751AE9" w:rsidRPr="00C25367" w:rsidRDefault="00DB3EEA" w:rsidP="00C25367">
      <w:pPr>
        <w:pStyle w:val="FootnoteTextCharCharCharCharCharChar11"/>
        <w:jc w:val="both"/>
        <w:rPr>
          <w:rFonts w:ascii="Times New Roman" w:hAnsi="Times New Roman" w:cs="Times New Roman"/>
          <w:lang w:val="es-ES_tradnl"/>
        </w:rPr>
      </w:pPr>
      <w:r w:rsidRPr="00C25367">
        <w:rPr>
          <w:rStyle w:val="Refdenotaalpie"/>
          <w:rFonts w:ascii="Times New Roman" w:hAnsi="Times New Roman" w:cs="Times New Roman"/>
        </w:rPr>
        <w:footnoteRef/>
      </w:r>
      <w:r w:rsidRPr="00C25367">
        <w:rPr>
          <w:rFonts w:ascii="Times New Roman" w:hAnsi="Times New Roman" w:cs="Times New Roman"/>
        </w:rPr>
        <w:t xml:space="preserve"> Artículo 2 del Decreto 2067 de 1991: «Las deman</w:t>
      </w:r>
      <w:r w:rsidRPr="00C25367">
        <w:rPr>
          <w:rFonts w:ascii="Times New Roman" w:hAnsi="Times New Roman" w:cs="Times New Roman"/>
        </w:rPr>
        <w:t>das en las acciones públicas de inconstitucionalidad se presentarán por escrito, en duplicado, y contendrán: […] 3. Las razones por las cuales dichos textos [constitucionales] se estiman violados».</w:t>
      </w:r>
    </w:p>
  </w:footnote>
  <w:footnote w:id="115">
    <w:p w:rsidR="00751AE9" w:rsidRPr="00C25367" w:rsidRDefault="00DB3EEA" w:rsidP="00C25367">
      <w:pPr>
        <w:pStyle w:val="FootnoteTextCharCharCharCharCharChar11"/>
        <w:jc w:val="both"/>
        <w:rPr>
          <w:rFonts w:ascii="Times New Roman" w:hAnsi="Times New Roman" w:cs="Times New Roman"/>
          <w:lang w:val="es-ES_tradnl"/>
        </w:rPr>
      </w:pPr>
      <w:r w:rsidRPr="00C25367">
        <w:rPr>
          <w:rStyle w:val="Refdenotaalpie"/>
          <w:rFonts w:ascii="Times New Roman" w:hAnsi="Times New Roman" w:cs="Times New Roman"/>
        </w:rPr>
        <w:footnoteRef/>
      </w:r>
      <w:r w:rsidRPr="00C25367">
        <w:rPr>
          <w:rFonts w:ascii="Times New Roman" w:hAnsi="Times New Roman" w:cs="Times New Roman"/>
        </w:rPr>
        <w:t xml:space="preserve"> </w:t>
      </w:r>
      <w:r w:rsidRPr="00C25367">
        <w:rPr>
          <w:rFonts w:ascii="Times New Roman" w:hAnsi="Times New Roman" w:cs="Times New Roman"/>
          <w:lang w:val="es-ES_tradnl"/>
        </w:rPr>
        <w:t xml:space="preserve">Véanse, entre otras, las sentencias C-1052 de 2001, </w:t>
      </w:r>
      <w:r w:rsidRPr="00C25367">
        <w:rPr>
          <w:rFonts w:ascii="Times New Roman" w:hAnsi="Times New Roman" w:cs="Times New Roman"/>
          <w:color w:val="000000"/>
        </w:rPr>
        <w:t>C-11</w:t>
      </w:r>
      <w:r w:rsidRPr="00C25367">
        <w:rPr>
          <w:rFonts w:ascii="Times New Roman" w:hAnsi="Times New Roman" w:cs="Times New Roman"/>
          <w:color w:val="000000"/>
        </w:rPr>
        <w:t>23 de 2008, C-603 de 2019, C-094 de 2020 y C-018 de 2022.</w:t>
      </w:r>
    </w:p>
  </w:footnote>
  <w:footnote w:id="116">
    <w:p w:rsidR="00751AE9" w:rsidRPr="00C25367" w:rsidRDefault="00DB3EEA" w:rsidP="00C25367">
      <w:pPr>
        <w:pStyle w:val="Textonotapie"/>
        <w:jc w:val="both"/>
        <w:rPr>
          <w:lang w:val="es-MX"/>
        </w:rPr>
      </w:pPr>
      <w:r w:rsidRPr="00C25367">
        <w:rPr>
          <w:rStyle w:val="Refdenotaalpie"/>
        </w:rPr>
        <w:footnoteRef/>
      </w:r>
      <w:r w:rsidRPr="00C25367">
        <w:t xml:space="preserve"> </w:t>
      </w:r>
      <w:r w:rsidRPr="00C25367">
        <w:rPr>
          <w:lang w:val="es-ES_tradnl"/>
        </w:rPr>
        <w:t>Véanse, entre otras, las sentencias C-079 de 2025 y C-009 de 2023.</w:t>
      </w:r>
    </w:p>
  </w:footnote>
  <w:footnote w:id="117">
    <w:p w:rsidR="00751AE9" w:rsidRPr="00C25367" w:rsidRDefault="00DB3EEA" w:rsidP="00C25367">
      <w:pPr>
        <w:pStyle w:val="Textonotapie"/>
        <w:mirrorIndents/>
        <w:jc w:val="both"/>
      </w:pPr>
      <w:r w:rsidRPr="00C25367">
        <w:rPr>
          <w:rStyle w:val="Refdenotaalpie"/>
        </w:rPr>
        <w:footnoteRef/>
      </w:r>
      <w:r w:rsidRPr="00C25367">
        <w:t xml:space="preserve"> Sentencias C-382 de 2012 y C-227 de 2015.</w:t>
      </w:r>
    </w:p>
  </w:footnote>
  <w:footnote w:id="118">
    <w:p w:rsidR="00751AE9" w:rsidRPr="00C25367" w:rsidRDefault="00DB3EEA" w:rsidP="00C25367">
      <w:pPr>
        <w:pStyle w:val="Textonotapie"/>
        <w:mirrorIndents/>
        <w:jc w:val="both"/>
      </w:pPr>
      <w:r w:rsidRPr="00C25367">
        <w:rPr>
          <w:rStyle w:val="Refdenotaalpie"/>
        </w:rPr>
        <w:footnoteRef/>
      </w:r>
      <w:r w:rsidRPr="00C25367">
        <w:t xml:space="preserve"> Sentencias </w:t>
      </w:r>
      <w:r w:rsidRPr="00C25367">
        <w:rPr>
          <w:rFonts w:eastAsia="Arial Unicode MS"/>
          <w:bCs/>
          <w:bdr w:val="none" w:sz="0" w:space="0" w:color="auto" w:frame="1"/>
        </w:rPr>
        <w:t>C-913 de 2004, C-1154 de 2005 y C-619 de 2015.</w:t>
      </w:r>
    </w:p>
  </w:footnote>
  <w:footnote w:id="119">
    <w:p w:rsidR="00751AE9" w:rsidRPr="00C25367" w:rsidRDefault="00DB3EEA" w:rsidP="00C25367">
      <w:pPr>
        <w:mirrorIndents/>
        <w:jc w:val="both"/>
        <w:rPr>
          <w:sz w:val="20"/>
          <w:szCs w:val="20"/>
        </w:rPr>
      </w:pPr>
      <w:r w:rsidRPr="00C25367">
        <w:rPr>
          <w:rStyle w:val="Refdenotaalpie"/>
          <w:sz w:val="20"/>
          <w:szCs w:val="20"/>
        </w:rPr>
        <w:footnoteRef/>
      </w:r>
      <w:r w:rsidRPr="00C25367">
        <w:rPr>
          <w:sz w:val="20"/>
          <w:szCs w:val="20"/>
        </w:rPr>
        <w:t xml:space="preserve"> Sentencias C-555 de 200</w:t>
      </w:r>
      <w:r w:rsidRPr="00C25367">
        <w:rPr>
          <w:sz w:val="20"/>
          <w:szCs w:val="20"/>
        </w:rPr>
        <w:t>5 y</w:t>
      </w:r>
      <w:r w:rsidRPr="00C25367">
        <w:rPr>
          <w:sz w:val="20"/>
          <w:szCs w:val="20"/>
          <w:shd w:val="clear" w:color="auto" w:fill="FFFFFF"/>
        </w:rPr>
        <w:t xml:space="preserve"> C-614 de 2013.</w:t>
      </w:r>
    </w:p>
  </w:footnote>
  <w:footnote w:id="120">
    <w:p w:rsidR="00751AE9" w:rsidRPr="00C25367" w:rsidRDefault="00DB3EEA" w:rsidP="00C25367">
      <w:pPr>
        <w:shd w:val="clear" w:color="auto" w:fill="FFFFFF"/>
        <w:mirrorIndents/>
        <w:jc w:val="both"/>
        <w:rPr>
          <w:sz w:val="20"/>
          <w:szCs w:val="20"/>
        </w:rPr>
      </w:pPr>
      <w:r w:rsidRPr="00C25367">
        <w:rPr>
          <w:rStyle w:val="Refdenotaalpie"/>
          <w:sz w:val="20"/>
          <w:szCs w:val="20"/>
        </w:rPr>
        <w:footnoteRef/>
      </w:r>
      <w:r w:rsidRPr="00C25367">
        <w:rPr>
          <w:sz w:val="20"/>
          <w:szCs w:val="20"/>
        </w:rPr>
        <w:t xml:space="preserve"> Sentencias C-259 de 2008 y</w:t>
      </w:r>
      <w:r w:rsidRPr="00C25367">
        <w:rPr>
          <w:iCs/>
          <w:sz w:val="20"/>
          <w:szCs w:val="20"/>
          <w:bdr w:val="none" w:sz="0" w:space="0" w:color="auto" w:frame="1"/>
        </w:rPr>
        <w:t xml:space="preserve"> C-229 de 2015</w:t>
      </w:r>
      <w:r w:rsidRPr="00C25367">
        <w:rPr>
          <w:sz w:val="20"/>
          <w:szCs w:val="20"/>
          <w:bdr w:val="none" w:sz="0" w:space="0" w:color="auto" w:frame="1"/>
        </w:rPr>
        <w:t>.</w:t>
      </w:r>
    </w:p>
  </w:footnote>
  <w:footnote w:id="121">
    <w:p w:rsidR="00751AE9" w:rsidRPr="00C25367" w:rsidRDefault="00DB3EEA" w:rsidP="00C25367">
      <w:pPr>
        <w:pStyle w:val="Textonotapie"/>
        <w:mirrorIndents/>
        <w:jc w:val="both"/>
      </w:pPr>
      <w:r w:rsidRPr="00C25367">
        <w:rPr>
          <w:rStyle w:val="Refdenotaalpie"/>
        </w:rPr>
        <w:footnoteRef/>
      </w:r>
      <w:r w:rsidRPr="00C25367">
        <w:t xml:space="preserve"> Sentencias C-048 de 2006 y C-819 de 2011.</w:t>
      </w:r>
    </w:p>
  </w:footnote>
  <w:footnote w:id="122">
    <w:p w:rsidR="00751AE9" w:rsidRPr="00C25367" w:rsidRDefault="00DB3EEA" w:rsidP="00C25367">
      <w:pPr>
        <w:pStyle w:val="Textonotapie"/>
        <w:jc w:val="both"/>
      </w:pPr>
      <w:r w:rsidRPr="00C25367">
        <w:rPr>
          <w:rStyle w:val="Refdenotaalpie"/>
        </w:rPr>
        <w:footnoteRef/>
      </w:r>
      <w:r w:rsidRPr="00C25367">
        <w:t xml:space="preserve"> Sentencias C-025 de 2020 y C-243 de 2025.</w:t>
      </w:r>
    </w:p>
  </w:footnote>
  <w:footnote w:id="123">
    <w:p w:rsidR="00C867FF" w:rsidRPr="00C25367" w:rsidRDefault="00DB3EEA" w:rsidP="00C25367">
      <w:pPr>
        <w:pStyle w:val="Textonotapie"/>
        <w:jc w:val="both"/>
      </w:pPr>
      <w:r w:rsidRPr="00C25367">
        <w:rPr>
          <w:rStyle w:val="Refdenotaalpie"/>
        </w:rPr>
        <w:footnoteRef/>
      </w:r>
      <w:r w:rsidRPr="00C25367">
        <w:t xml:space="preserve"> Expediente digital, archivo “Corrección a la demanda”. Folio 8. Disponible en: </w:t>
      </w:r>
      <w:hyperlink r:id="rId108" w:history="1">
        <w:r w:rsidRPr="00C25367">
          <w:rPr>
            <w:rStyle w:val="Hipervnculo"/>
          </w:rPr>
          <w:t>https://www.corteconstitucional.gov.co/secretaria/expediente?proceso=1&amp;expediente=D0016314&amp;lista=datosExpedientes_</w:t>
        </w:r>
        <w:r w:rsidRPr="00C25367">
          <w:rPr>
            <w:rStyle w:val="Hipervnculo"/>
          </w:rPr>
          <w:t>1761103971974</w:t>
        </w:r>
      </w:hyperlink>
    </w:p>
  </w:footnote>
  <w:footnote w:id="124">
    <w:p w:rsidR="00C867FF" w:rsidRPr="00C25367" w:rsidRDefault="00DB3EEA" w:rsidP="00C25367">
      <w:pPr>
        <w:pStyle w:val="Textonotapie"/>
        <w:jc w:val="both"/>
      </w:pPr>
      <w:r w:rsidRPr="00C25367">
        <w:rPr>
          <w:rStyle w:val="Refdenotaalpie"/>
        </w:rPr>
        <w:footnoteRef/>
      </w:r>
      <w:r w:rsidRPr="00C25367">
        <w:t xml:space="preserve"> Expediente digital, archivo “Corrección a la demanda”. Folio 7. Disponible en: </w:t>
      </w:r>
      <w:hyperlink r:id="rId109" w:history="1">
        <w:r w:rsidRPr="00C25367">
          <w:rPr>
            <w:rStyle w:val="Hipervnculo"/>
          </w:rPr>
          <w:t>https://www.corte</w:t>
        </w:r>
        <w:r w:rsidRPr="00C25367">
          <w:rPr>
            <w:rStyle w:val="Hipervnculo"/>
          </w:rPr>
          <w:t>constitucional.gov.co/secretaria/expediente?proceso=1&amp;expediente=D0016314&amp;lista=datosExpedientes_1761103971974</w:t>
        </w:r>
      </w:hyperlink>
    </w:p>
  </w:footnote>
  <w:footnote w:id="125">
    <w:p w:rsidR="00C867FF" w:rsidRPr="00C25367" w:rsidRDefault="00DB3EEA" w:rsidP="00C25367">
      <w:pPr>
        <w:pStyle w:val="Textonotapie"/>
        <w:jc w:val="both"/>
      </w:pPr>
      <w:r w:rsidRPr="00C25367">
        <w:rPr>
          <w:rStyle w:val="Refdenotaalpie"/>
        </w:rPr>
        <w:footnoteRef/>
      </w:r>
      <w:r w:rsidRPr="00C25367">
        <w:t xml:space="preserve"> Expediente digital, archivo “Corrección a la demanda”. Folio 10. Disponible en: </w:t>
      </w:r>
      <w:hyperlink r:id="rId110" w:history="1">
        <w:r w:rsidRPr="00C25367">
          <w:rPr>
            <w:rStyle w:val="Hipervnculo"/>
          </w:rPr>
          <w:t>https://www.corteconstitucional.gov.co/secretaria/expediente?proceso=1&amp;expediente=D0016314&amp;lista=datosExpedientes_1761103971974</w:t>
        </w:r>
      </w:hyperlink>
    </w:p>
  </w:footnote>
  <w:footnote w:id="126">
    <w:p w:rsidR="00C867FF" w:rsidRPr="00C25367" w:rsidRDefault="00DB3EEA" w:rsidP="00C25367">
      <w:pPr>
        <w:pStyle w:val="Textonotapie"/>
        <w:jc w:val="both"/>
      </w:pPr>
      <w:r w:rsidRPr="00C25367">
        <w:rPr>
          <w:rStyle w:val="Refdenotaalpie"/>
        </w:rPr>
        <w:footnoteRef/>
      </w:r>
      <w:r w:rsidRPr="00C25367">
        <w:t xml:space="preserve"> Expediente digital, archivo “Corrección a la </w:t>
      </w:r>
      <w:r w:rsidRPr="00C25367">
        <w:t xml:space="preserve">demanda”. Folio 12. Disponible en: </w:t>
      </w:r>
      <w:hyperlink r:id="rId111" w:history="1">
        <w:r w:rsidRPr="00C25367">
          <w:rPr>
            <w:rStyle w:val="Hipervnculo"/>
          </w:rPr>
          <w:t>https://www.corteconstitucional.gov.co/secretaria/expediente?proceso=1&amp;expedi</w:t>
        </w:r>
        <w:r w:rsidRPr="00C25367">
          <w:rPr>
            <w:rStyle w:val="Hipervnculo"/>
          </w:rPr>
          <w:t>ente=D0016314&amp;lista=datosExpedientes_1761103971974</w:t>
        </w:r>
      </w:hyperlink>
    </w:p>
  </w:footnote>
  <w:footnote w:id="127">
    <w:p w:rsidR="00B10E21" w:rsidRPr="00C25367" w:rsidRDefault="00DB3EEA" w:rsidP="00C25367">
      <w:pPr>
        <w:pStyle w:val="Textonotapie"/>
        <w:jc w:val="both"/>
        <w:rPr>
          <w:lang w:val="es-MX"/>
        </w:rPr>
      </w:pPr>
      <w:r w:rsidRPr="00C25367">
        <w:rPr>
          <w:rStyle w:val="Refdenotaalpie"/>
        </w:rPr>
        <w:footnoteRef/>
      </w:r>
      <w:r w:rsidRPr="00C25367">
        <w:t xml:space="preserve"> Esto es, el acápite denominado “Planteamiento de los problemas jurídicos y de la metodología de la decisión”.</w:t>
      </w:r>
    </w:p>
  </w:footnote>
  <w:footnote w:id="128">
    <w:p w:rsidR="00925F44" w:rsidRPr="00C25367" w:rsidRDefault="00DB3EEA" w:rsidP="00C25367">
      <w:pPr>
        <w:pStyle w:val="Textonotapie"/>
        <w:jc w:val="both"/>
      </w:pPr>
      <w:r w:rsidRPr="00C25367">
        <w:rPr>
          <w:rStyle w:val="Refdenotaalpie"/>
        </w:rPr>
        <w:footnoteRef/>
      </w:r>
      <w:r w:rsidRPr="00C25367">
        <w:t xml:space="preserve"> Expediente digital, archivo “</w:t>
      </w:r>
      <w:r w:rsidRPr="00C25367">
        <w:t>Demanda ciudadana</w:t>
      </w:r>
      <w:r w:rsidRPr="00C25367">
        <w:t>”. Folio 1</w:t>
      </w:r>
      <w:r w:rsidRPr="00C25367">
        <w:t>4</w:t>
      </w:r>
      <w:r w:rsidRPr="00C25367">
        <w:t xml:space="preserve">. Disponible en: </w:t>
      </w:r>
      <w:hyperlink r:id="rId112" w:history="1">
        <w:r w:rsidRPr="00C25367">
          <w:rPr>
            <w:rStyle w:val="Hipervnculo"/>
          </w:rPr>
          <w:t>https://www.corteconstitucional.gov.co/secretaria/expediente?proceso=1&amp;expediente=D0016314&amp;lista=datosExpedientes_</w:t>
        </w:r>
        <w:r w:rsidRPr="00C25367">
          <w:rPr>
            <w:rStyle w:val="Hipervnculo"/>
          </w:rPr>
          <w:t>1761103971974</w:t>
        </w:r>
      </w:hyperlink>
    </w:p>
  </w:footnote>
  <w:footnote w:id="129">
    <w:p w:rsidR="00751AE9" w:rsidRPr="00C25367" w:rsidRDefault="00DB3EEA" w:rsidP="00C25367">
      <w:pPr>
        <w:pStyle w:val="Textonotapie"/>
        <w:jc w:val="both"/>
        <w:rPr>
          <w:lang w:val="es-MX"/>
        </w:rPr>
      </w:pPr>
      <w:r w:rsidRPr="00C25367">
        <w:rPr>
          <w:rStyle w:val="Refdenotaalpie"/>
        </w:rPr>
        <w:footnoteRef/>
      </w:r>
      <w:r w:rsidRPr="00C25367">
        <w:t xml:space="preserve"> </w:t>
      </w:r>
      <w:r w:rsidRPr="00C25367">
        <w:t>Expediente digital, archivo “</w:t>
      </w:r>
      <w:r w:rsidRPr="00C25367">
        <w:t>Demanda ciudadana</w:t>
      </w:r>
      <w:r w:rsidRPr="00C25367">
        <w:t xml:space="preserve">”. Folio 12. Disponible en: </w:t>
      </w:r>
      <w:hyperlink r:id="rId113" w:history="1">
        <w:r w:rsidRPr="00C25367">
          <w:rPr>
            <w:rStyle w:val="Hipervnculo"/>
          </w:rPr>
          <w:t>https://www.corteconst</w:t>
        </w:r>
        <w:r w:rsidRPr="00C25367">
          <w:rPr>
            <w:rStyle w:val="Hipervnculo"/>
          </w:rPr>
          <w:t>itucional.gov.co/secretaria/expediente?proceso=1&amp;expediente=D0016314&amp;lista=datosExpedientes_1761103971974</w:t>
        </w:r>
      </w:hyperlink>
    </w:p>
  </w:footnote>
  <w:footnote w:id="130">
    <w:p w:rsidR="00751AE9" w:rsidRPr="00C25367" w:rsidRDefault="00DB3EEA" w:rsidP="00C25367">
      <w:pPr>
        <w:pStyle w:val="Textonotapie"/>
        <w:jc w:val="both"/>
        <w:rPr>
          <w:lang w:val="es-MX"/>
        </w:rPr>
      </w:pPr>
      <w:r w:rsidRPr="00C25367">
        <w:rPr>
          <w:rStyle w:val="Refdenotaalpie"/>
        </w:rPr>
        <w:footnoteRef/>
      </w:r>
      <w:r w:rsidRPr="00C25367">
        <w:t xml:space="preserve"> </w:t>
      </w:r>
      <w:r w:rsidRPr="00C25367">
        <w:rPr>
          <w:lang w:val="es-MX"/>
        </w:rPr>
        <w:t>Folio 13, escrito de demanda.</w:t>
      </w:r>
    </w:p>
  </w:footnote>
  <w:footnote w:id="131">
    <w:p w:rsidR="00751AE9" w:rsidRPr="00C25367" w:rsidRDefault="00DB3EEA" w:rsidP="00C25367">
      <w:pPr>
        <w:pStyle w:val="Textonotapie"/>
        <w:jc w:val="both"/>
        <w:rPr>
          <w:lang w:val="es-MX"/>
        </w:rPr>
      </w:pPr>
      <w:r w:rsidRPr="00C25367">
        <w:rPr>
          <w:rStyle w:val="Refdenotaalpie"/>
        </w:rPr>
        <w:footnoteRef/>
      </w:r>
      <w:r w:rsidRPr="00C25367">
        <w:t xml:space="preserve"> Al respecto, la Corte ha sostenido que existe falta de certeza cuando “se refieren consecuencias expuestas de manera</w:t>
      </w:r>
      <w:r w:rsidRPr="00C25367">
        <w:t xml:space="preserve"> subjetiva por el demandante y no se desprenden del contenido de la norma demandada” (Sentencia C-469 de 2024) o “se pretende atacar una presunta consecuencia inconstitucional que no se deduce del contenido normativo atacado” (Sentencia C-009 de 2023). </w:t>
      </w:r>
    </w:p>
  </w:footnote>
  <w:footnote w:id="132">
    <w:p w:rsidR="007E1002" w:rsidRPr="00C25367" w:rsidRDefault="00DB3EEA" w:rsidP="00C25367">
      <w:pPr>
        <w:pStyle w:val="Textonotapie"/>
        <w:jc w:val="both"/>
      </w:pPr>
      <w:r w:rsidRPr="00C25367">
        <w:rPr>
          <w:rStyle w:val="Refdenotaalpie"/>
        </w:rPr>
        <w:footnoteRef/>
      </w:r>
      <w:r w:rsidRPr="00C25367">
        <w:t xml:space="preserve"> </w:t>
      </w:r>
      <w:r w:rsidRPr="00C25367">
        <w:t>Al respecto, es ilustrativo abordar algunos casos en los que la Sala Plena ha estudiado la posible transgresión del principio de libre competencia económica respecto de normas tributarias. Por ejemplo, en la Sentencia C-766 de 2013, la Corte declaró la ine</w:t>
      </w:r>
      <w:r w:rsidRPr="00C25367">
        <w:t xml:space="preserve">xequibilidad de algunas expresiones contenidas en el artículo 132 de la Ley 1607 de 2012, por estimar que “la creación de un incentivo particular, que carece de un fin constitucional legítimo, produce como efecto directo un desestimulo hacia quienes no se </w:t>
      </w:r>
      <w:r w:rsidRPr="00C25367">
        <w:t>hallan en dicha situación, con el efecto de generar asimetrías fiscales que distorsionan el funcionamiento de los mercados”. Igualmente, en la Sentencia C-183 de 1998 esta Corporación explicó el concepto de “indicio de arbitrariedad” que afecta la competen</w:t>
      </w:r>
      <w:r w:rsidRPr="00C25367">
        <w:t>cia en materia tributaria implica que “la intervención unilateral del Estado pueda objetivamente calificarse como arbitraria, inaceptable o no soportable”. Ello ocurre, por ejemplo, cuando se “deja de gravar sin razón válida aparente el mismo tipo de ingre</w:t>
      </w:r>
      <w:r w:rsidRPr="00C25367">
        <w:t>so de su competidor, generando una ventaja que reduce notoriamente las posibilidades de emular en cantidad, calidad y precio”.</w:t>
      </w:r>
    </w:p>
  </w:footnote>
  <w:footnote w:id="133">
    <w:p w:rsidR="00AA1697" w:rsidRPr="00C25367" w:rsidRDefault="00DB3EEA" w:rsidP="00C25367">
      <w:pPr>
        <w:jc w:val="both"/>
        <w:rPr>
          <w:sz w:val="20"/>
          <w:szCs w:val="20"/>
        </w:rPr>
      </w:pPr>
      <w:r w:rsidRPr="00C25367">
        <w:rPr>
          <w:sz w:val="20"/>
          <w:szCs w:val="20"/>
          <w:vertAlign w:val="superscript"/>
        </w:rPr>
        <w:footnoteRef/>
      </w:r>
      <w:r w:rsidRPr="00C25367">
        <w:rPr>
          <w:sz w:val="20"/>
          <w:szCs w:val="20"/>
        </w:rPr>
        <w:t xml:space="preserve"> C-488 de 2024. </w:t>
      </w:r>
    </w:p>
  </w:footnote>
  <w:footnote w:id="134">
    <w:p w:rsidR="00AA1697" w:rsidRPr="00C25367" w:rsidRDefault="00DB3EEA" w:rsidP="00C25367">
      <w:pPr>
        <w:jc w:val="both"/>
        <w:rPr>
          <w:sz w:val="20"/>
          <w:szCs w:val="20"/>
        </w:rPr>
      </w:pPr>
      <w:r w:rsidRPr="00C25367">
        <w:rPr>
          <w:sz w:val="20"/>
          <w:szCs w:val="20"/>
          <w:vertAlign w:val="superscript"/>
        </w:rPr>
        <w:footnoteRef/>
      </w:r>
      <w:r w:rsidRPr="00C25367">
        <w:rPr>
          <w:sz w:val="20"/>
          <w:szCs w:val="20"/>
        </w:rPr>
        <w:t xml:space="preserve"> C-488 de 2024. </w:t>
      </w:r>
    </w:p>
  </w:footnote>
  <w:footnote w:id="135">
    <w:p w:rsidR="00AA1697" w:rsidRPr="00C25367" w:rsidRDefault="00DB3EEA" w:rsidP="00C25367">
      <w:pPr>
        <w:jc w:val="both"/>
        <w:rPr>
          <w:sz w:val="20"/>
          <w:szCs w:val="20"/>
        </w:rPr>
      </w:pPr>
      <w:r w:rsidRPr="00C25367">
        <w:rPr>
          <w:sz w:val="20"/>
          <w:szCs w:val="20"/>
          <w:vertAlign w:val="superscript"/>
        </w:rPr>
        <w:footnoteRef/>
      </w:r>
      <w:r w:rsidRPr="00C25367">
        <w:rPr>
          <w:sz w:val="20"/>
          <w:szCs w:val="20"/>
        </w:rPr>
        <w:t xml:space="preserve"> C-592 de 2019. </w:t>
      </w:r>
    </w:p>
  </w:footnote>
  <w:footnote w:id="136">
    <w:p w:rsidR="00AA1697" w:rsidRPr="00C25367" w:rsidRDefault="00DB3EEA" w:rsidP="00C25367">
      <w:pPr>
        <w:jc w:val="both"/>
        <w:rPr>
          <w:sz w:val="20"/>
          <w:szCs w:val="20"/>
        </w:rPr>
      </w:pPr>
      <w:r w:rsidRPr="00C25367">
        <w:rPr>
          <w:sz w:val="20"/>
          <w:szCs w:val="20"/>
          <w:vertAlign w:val="superscript"/>
        </w:rPr>
        <w:footnoteRef/>
      </w:r>
      <w:r w:rsidRPr="00C25367">
        <w:rPr>
          <w:sz w:val="20"/>
          <w:szCs w:val="20"/>
        </w:rPr>
        <w:t xml:space="preserve"> C-057 de 2021. </w:t>
      </w:r>
    </w:p>
  </w:footnote>
  <w:footnote w:id="137">
    <w:p w:rsidR="00AA1697" w:rsidRPr="00C25367" w:rsidRDefault="00DB3EEA" w:rsidP="00C25367">
      <w:pPr>
        <w:jc w:val="both"/>
        <w:rPr>
          <w:sz w:val="20"/>
          <w:szCs w:val="20"/>
        </w:rPr>
      </w:pPr>
      <w:r w:rsidRPr="00C25367">
        <w:rPr>
          <w:sz w:val="20"/>
          <w:szCs w:val="20"/>
          <w:vertAlign w:val="superscript"/>
        </w:rPr>
        <w:footnoteRef/>
      </w:r>
      <w:r w:rsidRPr="00C25367">
        <w:rPr>
          <w:sz w:val="20"/>
          <w:szCs w:val="20"/>
        </w:rPr>
        <w:t xml:space="preserve"> </w:t>
      </w:r>
      <w:r w:rsidRPr="00C25367">
        <w:rPr>
          <w:color w:val="2D2D2D"/>
          <w:sz w:val="20"/>
          <w:szCs w:val="20"/>
        </w:rPr>
        <w:t>Sentencias C-488 de 2024, C-489 de 2023, C-057 de 2021,</w:t>
      </w:r>
      <w:r w:rsidRPr="00C25367">
        <w:rPr>
          <w:color w:val="2D2D2D"/>
          <w:sz w:val="20"/>
          <w:szCs w:val="20"/>
        </w:rPr>
        <w:t xml:space="preserve"> C-057 de 2021 y C-606 de 2019.</w:t>
      </w:r>
    </w:p>
  </w:footnote>
  <w:footnote w:id="138">
    <w:p w:rsidR="00AA1697" w:rsidRPr="00C25367" w:rsidRDefault="00DB3EEA" w:rsidP="00C25367">
      <w:pPr>
        <w:jc w:val="both"/>
        <w:rPr>
          <w:sz w:val="20"/>
          <w:szCs w:val="20"/>
        </w:rPr>
      </w:pPr>
      <w:r w:rsidRPr="00C25367">
        <w:rPr>
          <w:sz w:val="20"/>
          <w:szCs w:val="20"/>
          <w:vertAlign w:val="superscript"/>
        </w:rPr>
        <w:footnoteRef/>
      </w:r>
      <w:r w:rsidRPr="00C25367">
        <w:rPr>
          <w:sz w:val="20"/>
          <w:szCs w:val="20"/>
        </w:rPr>
        <w:t xml:space="preserve"> Sentencia C-488 de 2024. </w:t>
      </w:r>
    </w:p>
  </w:footnote>
  <w:footnote w:id="139">
    <w:p w:rsidR="00AA1697" w:rsidRPr="00C25367" w:rsidRDefault="00DB3EEA" w:rsidP="00C25367">
      <w:pPr>
        <w:jc w:val="both"/>
        <w:rPr>
          <w:sz w:val="20"/>
          <w:szCs w:val="20"/>
        </w:rPr>
      </w:pPr>
      <w:r w:rsidRPr="00C25367">
        <w:rPr>
          <w:sz w:val="20"/>
          <w:szCs w:val="20"/>
          <w:vertAlign w:val="superscript"/>
        </w:rPr>
        <w:footnoteRef/>
      </w:r>
      <w:r w:rsidRPr="00C25367">
        <w:rPr>
          <w:sz w:val="20"/>
          <w:szCs w:val="20"/>
        </w:rPr>
        <w:t xml:space="preserve"> </w:t>
      </w:r>
      <w:r w:rsidRPr="00C25367">
        <w:rPr>
          <w:color w:val="2D2D2D"/>
          <w:sz w:val="20"/>
          <w:szCs w:val="20"/>
        </w:rPr>
        <w:t xml:space="preserve">Sentencias C-711 de 2001, C-606 de 2019 y C-057 de 2021. </w:t>
      </w:r>
    </w:p>
  </w:footnote>
  <w:footnote w:id="140">
    <w:p w:rsidR="00206667" w:rsidRPr="00C25367" w:rsidRDefault="00DB3EEA" w:rsidP="00C25367">
      <w:pPr>
        <w:pStyle w:val="Textonotapie"/>
        <w:jc w:val="both"/>
        <w:rPr>
          <w:lang w:val="es-ES"/>
        </w:rPr>
      </w:pPr>
      <w:r w:rsidRPr="00C25367">
        <w:rPr>
          <w:rStyle w:val="Refdenotaalpie"/>
        </w:rPr>
        <w:footnoteRef/>
      </w:r>
      <w:r w:rsidRPr="00C25367">
        <w:t xml:space="preserve"> </w:t>
      </w:r>
      <w:r w:rsidRPr="00C25367">
        <w:rPr>
          <w:lang w:val="es-ES"/>
        </w:rPr>
        <w:t>M</w:t>
      </w:r>
      <w:r w:rsidRPr="00C25367">
        <w:rPr>
          <w:lang w:val="es-ES"/>
        </w:rPr>
        <w:t>.P</w:t>
      </w:r>
      <w:r w:rsidRPr="00C25367">
        <w:rPr>
          <w:lang w:val="es-ES"/>
        </w:rPr>
        <w:t xml:space="preserve"> Gloria Stella Ortiz Delgado.</w:t>
      </w:r>
    </w:p>
  </w:footnote>
  <w:footnote w:id="141">
    <w:p w:rsidR="00206667" w:rsidRPr="00C25367" w:rsidRDefault="00DB3EEA" w:rsidP="00C25367">
      <w:pPr>
        <w:pStyle w:val="Textonotapie"/>
        <w:jc w:val="both"/>
        <w:rPr>
          <w:lang w:val="es-ES"/>
        </w:rPr>
      </w:pPr>
      <w:r w:rsidRPr="00C25367">
        <w:rPr>
          <w:rStyle w:val="Refdenotaalpie"/>
        </w:rPr>
        <w:footnoteRef/>
      </w:r>
      <w:r w:rsidRPr="00C25367">
        <w:t xml:space="preserve"> </w:t>
      </w:r>
      <w:r w:rsidRPr="00C25367">
        <w:rPr>
          <w:lang w:val="es-ES"/>
        </w:rPr>
        <w:t>M</w:t>
      </w:r>
      <w:r w:rsidRPr="00C25367">
        <w:rPr>
          <w:lang w:val="es-ES"/>
        </w:rPr>
        <w:t>.P</w:t>
      </w:r>
      <w:r w:rsidRPr="00C25367">
        <w:rPr>
          <w:lang w:val="es-ES"/>
        </w:rPr>
        <w:t xml:space="preserve"> Gloria Stella Ortiz Delgado.</w:t>
      </w:r>
    </w:p>
  </w:footnote>
  <w:footnote w:id="142">
    <w:p w:rsidR="00206667" w:rsidRPr="00C25367" w:rsidRDefault="00DB3EEA" w:rsidP="00C25367">
      <w:pPr>
        <w:pStyle w:val="Textonotapie"/>
        <w:jc w:val="both"/>
        <w:rPr>
          <w:lang w:val="es-ES"/>
        </w:rPr>
      </w:pPr>
      <w:r w:rsidRPr="00C25367">
        <w:rPr>
          <w:rStyle w:val="Refdenotaalpie"/>
        </w:rPr>
        <w:footnoteRef/>
      </w:r>
      <w:r w:rsidRPr="00C25367">
        <w:t xml:space="preserve"> </w:t>
      </w:r>
      <w:r w:rsidRPr="00C25367">
        <w:rPr>
          <w:lang w:val="es-ES"/>
        </w:rPr>
        <w:t xml:space="preserve">M.P. </w:t>
      </w:r>
      <w:r w:rsidRPr="00C25367">
        <w:rPr>
          <w:lang w:val="es-ES"/>
        </w:rPr>
        <w:t>Jaime Córdoba Triviño.</w:t>
      </w:r>
    </w:p>
  </w:footnote>
  <w:footnote w:id="143">
    <w:p w:rsidR="00206667" w:rsidRPr="00C25367" w:rsidRDefault="00DB3EEA" w:rsidP="00C25367">
      <w:pPr>
        <w:pStyle w:val="Textonotapie"/>
        <w:jc w:val="both"/>
        <w:rPr>
          <w:lang w:val="es-ES"/>
        </w:rPr>
      </w:pPr>
      <w:r w:rsidRPr="00C25367">
        <w:rPr>
          <w:rStyle w:val="Refdenotaalpie"/>
        </w:rPr>
        <w:footnoteRef/>
      </w:r>
      <w:r w:rsidRPr="00C25367">
        <w:t xml:space="preserve"> </w:t>
      </w:r>
      <w:r w:rsidRPr="00C25367">
        <w:rPr>
          <w:lang w:val="es-ES"/>
        </w:rPr>
        <w:t>M</w:t>
      </w:r>
      <w:r w:rsidRPr="00C25367">
        <w:rPr>
          <w:lang w:val="es-ES"/>
        </w:rPr>
        <w:t xml:space="preserve">.P </w:t>
      </w:r>
      <w:r w:rsidRPr="00C25367">
        <w:rPr>
          <w:lang w:val="es-ES"/>
        </w:rPr>
        <w:t>María Victoria Calle Correa.</w:t>
      </w:r>
    </w:p>
  </w:footnote>
  <w:footnote w:id="144">
    <w:p w:rsidR="00206667" w:rsidRPr="00C25367" w:rsidRDefault="00DB3EEA" w:rsidP="00C25367">
      <w:pPr>
        <w:pStyle w:val="Textonotapie"/>
        <w:jc w:val="both"/>
      </w:pPr>
      <w:r w:rsidRPr="00C25367">
        <w:rPr>
          <w:rStyle w:val="Refdenotaalpie"/>
        </w:rPr>
        <w:footnoteRef/>
      </w:r>
      <w:r w:rsidRPr="00C25367">
        <w:t xml:space="preserve"> M</w:t>
      </w:r>
      <w:r w:rsidRPr="00C25367">
        <w:t>.P</w:t>
      </w:r>
      <w:r w:rsidRPr="00C25367">
        <w:t xml:space="preserve"> Gloria Stella Ortiz Delgado</w:t>
      </w:r>
    </w:p>
  </w:footnote>
  <w:footnote w:id="145">
    <w:p w:rsidR="00206667" w:rsidRPr="00C25367" w:rsidRDefault="00DB3EEA" w:rsidP="00C25367">
      <w:pPr>
        <w:pStyle w:val="Textonotapie"/>
        <w:jc w:val="both"/>
      </w:pPr>
      <w:r w:rsidRPr="00C25367">
        <w:rPr>
          <w:rStyle w:val="Refdenotaalpie"/>
        </w:rPr>
        <w:footnoteRef/>
      </w:r>
      <w:r w:rsidRPr="00C25367">
        <w:t xml:space="preserve"> M</w:t>
      </w:r>
      <w:r w:rsidRPr="00C25367">
        <w:t>.P</w:t>
      </w:r>
      <w:r w:rsidRPr="00C25367">
        <w:t xml:space="preserve"> Alejandro Linares Cantillo.</w:t>
      </w:r>
    </w:p>
  </w:footnote>
  <w:footnote w:id="146">
    <w:p w:rsidR="00206667" w:rsidRPr="00C25367" w:rsidRDefault="00DB3EEA" w:rsidP="00C25367">
      <w:pPr>
        <w:pStyle w:val="Textonotapie"/>
        <w:jc w:val="both"/>
      </w:pPr>
      <w:r w:rsidRPr="00C25367">
        <w:rPr>
          <w:rStyle w:val="Refdenotaalpie"/>
        </w:rPr>
        <w:footnoteRef/>
      </w:r>
      <w:r w:rsidRPr="00C25367">
        <w:t xml:space="preserve"> M</w:t>
      </w:r>
      <w:r w:rsidRPr="00C25367">
        <w:t>.P</w:t>
      </w:r>
      <w:r w:rsidRPr="00C25367">
        <w:t xml:space="preserve"> Alberto Rojas Ríos.</w:t>
      </w:r>
    </w:p>
  </w:footnote>
  <w:footnote w:id="147">
    <w:p w:rsidR="00206667" w:rsidRPr="00C25367" w:rsidRDefault="00DB3EEA" w:rsidP="00C25367">
      <w:pPr>
        <w:pStyle w:val="Textonotapie"/>
        <w:jc w:val="both"/>
        <w:rPr>
          <w:lang w:val="es-ES"/>
        </w:rPr>
      </w:pPr>
      <w:r w:rsidRPr="00C25367">
        <w:rPr>
          <w:rStyle w:val="Refdenotaalpie"/>
        </w:rPr>
        <w:footnoteRef/>
      </w:r>
      <w:r w:rsidRPr="00C25367">
        <w:t xml:space="preserve"> </w:t>
      </w:r>
      <w:r w:rsidRPr="00C25367">
        <w:rPr>
          <w:lang w:val="es-ES"/>
        </w:rPr>
        <w:t>M</w:t>
      </w:r>
      <w:r w:rsidRPr="00C25367">
        <w:rPr>
          <w:lang w:val="es-ES"/>
        </w:rPr>
        <w:t>.P</w:t>
      </w:r>
      <w:r w:rsidRPr="00C25367">
        <w:rPr>
          <w:lang w:val="es-ES"/>
        </w:rPr>
        <w:t xml:space="preserve"> Jaime Córdoba Triviño.</w:t>
      </w:r>
    </w:p>
  </w:footnote>
  <w:footnote w:id="148">
    <w:p w:rsidR="00206667" w:rsidRPr="00C25367" w:rsidRDefault="00DB3EEA" w:rsidP="00C25367">
      <w:pPr>
        <w:pStyle w:val="Textonotapie"/>
        <w:jc w:val="both"/>
        <w:rPr>
          <w:lang w:val="es-ES"/>
        </w:rPr>
      </w:pPr>
      <w:r w:rsidRPr="00C25367">
        <w:rPr>
          <w:rStyle w:val="Refdenotaalpie"/>
        </w:rPr>
        <w:footnoteRef/>
      </w:r>
      <w:r w:rsidRPr="00C25367">
        <w:t xml:space="preserve"> </w:t>
      </w:r>
      <w:r w:rsidRPr="00C25367">
        <w:rPr>
          <w:lang w:val="es-ES"/>
        </w:rPr>
        <w:t xml:space="preserve">M.P. </w:t>
      </w:r>
      <w:r w:rsidRPr="00C25367">
        <w:rPr>
          <w:lang w:val="es-ES"/>
        </w:rPr>
        <w:t>Paola Andrea Meneses Mosquera.</w:t>
      </w:r>
    </w:p>
  </w:footnote>
  <w:footnote w:id="149">
    <w:p w:rsidR="00915769" w:rsidRPr="00C25367" w:rsidRDefault="00DB3EEA" w:rsidP="00C25367">
      <w:pPr>
        <w:pStyle w:val="Prrafodelista"/>
        <w:ind w:left="0"/>
        <w:jc w:val="both"/>
        <w:rPr>
          <w:i/>
          <w:iCs/>
          <w:color w:val="2D2D2D"/>
          <w:sz w:val="20"/>
          <w:szCs w:val="20"/>
        </w:rPr>
      </w:pPr>
      <w:r w:rsidRPr="00C25367">
        <w:rPr>
          <w:rStyle w:val="Refdenotaalpie"/>
          <w:sz w:val="20"/>
          <w:szCs w:val="20"/>
        </w:rPr>
        <w:footnoteRef/>
      </w:r>
      <w:r w:rsidRPr="00C25367">
        <w:rPr>
          <w:sz w:val="20"/>
          <w:szCs w:val="20"/>
        </w:rPr>
        <w:t xml:space="preserve">En esta ocasión, los demandantes alegaron la vulneración del principio de capacidad contributiva, dado que el </w:t>
      </w:r>
      <w:r w:rsidRPr="00C25367">
        <w:rPr>
          <w:sz w:val="20"/>
          <w:szCs w:val="20"/>
        </w:rPr>
        <w:t>legislador</w:t>
      </w:r>
      <w:r w:rsidRPr="00C25367">
        <w:rPr>
          <w:sz w:val="20"/>
          <w:szCs w:val="20"/>
        </w:rPr>
        <w:t xml:space="preserve"> incluyó la utilidad contable (UC) dentro de la fórmula para calcular la utilidad depurada (UD), </w:t>
      </w:r>
      <w:r w:rsidRPr="00C25367">
        <w:rPr>
          <w:i/>
          <w:iCs/>
          <w:sz w:val="20"/>
          <w:szCs w:val="20"/>
        </w:rPr>
        <w:t xml:space="preserve">“la cual fue establecida por el </w:t>
      </w:r>
      <w:r w:rsidRPr="00C25367">
        <w:rPr>
          <w:i/>
          <w:iCs/>
          <w:sz w:val="20"/>
          <w:szCs w:val="20"/>
        </w:rPr>
        <w:t>legisla</w:t>
      </w:r>
      <w:r w:rsidRPr="00C25367">
        <w:rPr>
          <w:i/>
          <w:iCs/>
          <w:sz w:val="20"/>
          <w:szCs w:val="20"/>
        </w:rPr>
        <w:t>dor</w:t>
      </w:r>
      <w:r w:rsidRPr="00C25367">
        <w:rPr>
          <w:i/>
          <w:iCs/>
          <w:sz w:val="20"/>
          <w:szCs w:val="20"/>
        </w:rPr>
        <w:t xml:space="preserve"> con el propósito de exigir a los contribuyentes referidos en los artículos 240 y 240-1 del Estatuto Tributario el pago de una tasa mínima de tributación. Dicha tasa se conoce en la disposición como Tasa de Tributación Depurada (TTD)”</w:t>
      </w:r>
      <w:r w:rsidRPr="00C25367">
        <w:rPr>
          <w:sz w:val="20"/>
          <w:szCs w:val="20"/>
        </w:rPr>
        <w:t>. A su juicio, inco</w:t>
      </w:r>
      <w:r w:rsidRPr="00C25367">
        <w:rPr>
          <w:sz w:val="20"/>
          <w:szCs w:val="20"/>
        </w:rPr>
        <w:t xml:space="preserve">rporar la UC desconoció que el impuesto de renta debe gravar el </w:t>
      </w:r>
      <w:r w:rsidRPr="00C25367">
        <w:rPr>
          <w:i/>
          <w:iCs/>
          <w:sz w:val="20"/>
          <w:szCs w:val="20"/>
        </w:rPr>
        <w:t>“incremento neto del patrimonio”</w:t>
      </w:r>
      <w:r w:rsidRPr="00C25367">
        <w:rPr>
          <w:sz w:val="20"/>
          <w:szCs w:val="20"/>
        </w:rPr>
        <w:t>, hecho generador definido en el artículo 26 del Estatuto Tributario, pues la utilidad contable puede incluir ingresos no realizados, basados en estimaciones, q</w:t>
      </w:r>
      <w:r w:rsidRPr="00C25367">
        <w:rPr>
          <w:sz w:val="20"/>
          <w:szCs w:val="20"/>
        </w:rPr>
        <w:t>ue no reflejan la capacidad económica real del contribuyente.</w:t>
      </w:r>
    </w:p>
    <w:p w:rsidR="00915769" w:rsidRPr="00C25367" w:rsidRDefault="00DB3EEA" w:rsidP="00C25367">
      <w:pPr>
        <w:pStyle w:val="Prrafodelista"/>
        <w:ind w:left="0"/>
        <w:jc w:val="both"/>
        <w:rPr>
          <w:i/>
          <w:iCs/>
          <w:color w:val="2D2D2D"/>
          <w:sz w:val="20"/>
          <w:szCs w:val="20"/>
        </w:rPr>
      </w:pPr>
      <w:r w:rsidRPr="00C25367">
        <w:rPr>
          <w:sz w:val="20"/>
          <w:szCs w:val="20"/>
        </w:rPr>
        <w:t xml:space="preserve">En esta oportunidad, la Corte resaltó que, conforme a la jurisprudencia constitucional, se ha unificado el concepto de capacidad contributiva, entendiéndolo como </w:t>
      </w:r>
      <w:r w:rsidRPr="00C25367">
        <w:rPr>
          <w:i/>
          <w:iCs/>
          <w:sz w:val="20"/>
          <w:szCs w:val="20"/>
        </w:rPr>
        <w:t>“un principio derivado de la equ</w:t>
      </w:r>
      <w:r w:rsidRPr="00C25367">
        <w:rPr>
          <w:i/>
          <w:iCs/>
          <w:sz w:val="20"/>
          <w:szCs w:val="20"/>
        </w:rPr>
        <w:t>idad tributaria”</w:t>
      </w:r>
      <w:r w:rsidRPr="00C25367">
        <w:rPr>
          <w:sz w:val="20"/>
          <w:szCs w:val="20"/>
        </w:rPr>
        <w:t xml:space="preserve"> parámetro clave en el análisis efectuado en este caso. En consecuencia, declaró la exequibilidad de la norma, al concluir que la inclusión de la utilidad contable (UC) en la fórmula para calcular la utilidad depurada (UD) no vulneró dicho </w:t>
      </w:r>
      <w:r w:rsidRPr="00C25367">
        <w:rPr>
          <w:sz w:val="20"/>
          <w:szCs w:val="20"/>
        </w:rPr>
        <w:t xml:space="preserve">principio. De esta manera, al aplicar un test de proporcionalidad leve, recordó, con base en la Sentencia C-052 de 2016, que el artículo 26 no constituye un parámetro de constitucionalidad. Por tal motivo, </w:t>
      </w:r>
      <w:r w:rsidRPr="00C25367">
        <w:rPr>
          <w:i/>
          <w:iCs/>
          <w:sz w:val="20"/>
          <w:szCs w:val="20"/>
        </w:rPr>
        <w:t xml:space="preserve">“no puede ser empleado para el juzgamiento de las </w:t>
      </w:r>
      <w:r w:rsidRPr="00C25367">
        <w:rPr>
          <w:i/>
          <w:iCs/>
          <w:sz w:val="20"/>
          <w:szCs w:val="20"/>
        </w:rPr>
        <w:t xml:space="preserve">normas tributarias por la eventual violación del principio de capacidad contributiva”. </w:t>
      </w:r>
      <w:r w:rsidRPr="00C25367">
        <w:rPr>
          <w:sz w:val="20"/>
          <w:szCs w:val="20"/>
        </w:rPr>
        <w:t xml:space="preserve">De ahí que el impuesto de renta no esté limitado a gravar únicamente el </w:t>
      </w:r>
      <w:r w:rsidRPr="00C25367">
        <w:rPr>
          <w:i/>
          <w:iCs/>
          <w:sz w:val="20"/>
          <w:szCs w:val="20"/>
        </w:rPr>
        <w:t>“incremento neto del patrimonio”</w:t>
      </w:r>
      <w:r w:rsidRPr="00C25367">
        <w:rPr>
          <w:sz w:val="20"/>
          <w:szCs w:val="20"/>
        </w:rPr>
        <w:t xml:space="preserve">. Asimismo, recordó lo dispuesto por la sentencia C-489 de 2023, </w:t>
      </w:r>
      <w:r w:rsidRPr="00C25367">
        <w:rPr>
          <w:sz w:val="20"/>
          <w:szCs w:val="20"/>
        </w:rPr>
        <w:t xml:space="preserve">donde la Sala Plena reafirmó que </w:t>
      </w:r>
      <w:r w:rsidRPr="00C25367">
        <w:rPr>
          <w:i/>
          <w:iCs/>
          <w:sz w:val="20"/>
          <w:szCs w:val="20"/>
        </w:rPr>
        <w:t xml:space="preserve">“la Constitución no contiene una definición del impuesto sobre la renta. Tampoco una regla que vincule dicho impuesto a la utilidad comercial o contable del sujeto pasivo de esa obligación tributaria”. </w:t>
      </w:r>
      <w:r w:rsidRPr="00C25367">
        <w:rPr>
          <w:sz w:val="20"/>
          <w:szCs w:val="20"/>
        </w:rPr>
        <w:t>Finalmente, la Sala e</w:t>
      </w:r>
      <w:r w:rsidRPr="00C25367">
        <w:rPr>
          <w:sz w:val="20"/>
          <w:szCs w:val="20"/>
        </w:rPr>
        <w:t>ncontró que, en el caso en comento, la disposición acusada perseguía fines legítimos como la prevención de la elusión fiscal y el incremento del recaudo del erario. Además, era potencialmente adecuada para alcanzar las finalidades que persigue la norma. El</w:t>
      </w:r>
      <w:r w:rsidRPr="00C25367">
        <w:rPr>
          <w:sz w:val="20"/>
          <w:szCs w:val="20"/>
        </w:rPr>
        <w:t xml:space="preserve">lo, dado que </w:t>
      </w:r>
      <w:r w:rsidRPr="00C25367">
        <w:rPr>
          <w:i/>
          <w:iCs/>
          <w:sz w:val="20"/>
          <w:szCs w:val="20"/>
        </w:rPr>
        <w:t>“la Tasa de Tributación Depurada que establece la norma asegura que los contribuyentes paguen un porcentaje mínimo, correspondiente al 15%, de su utilidad depurada. De esta manera, se controla el efecto que pudiera tener la acumulación de bene</w:t>
      </w:r>
      <w:r w:rsidRPr="00C25367">
        <w:rPr>
          <w:i/>
          <w:iCs/>
          <w:sz w:val="20"/>
          <w:szCs w:val="20"/>
        </w:rPr>
        <w:t>ficios tributarios, que es una práctica emblemática de la elusión fiscal. En lo que se refiere al incremento del recaudo, es evidente que la norma —en la medida en que establece una tasa mínima de tributación—, es apropiada para aumentar los recursos del f</w:t>
      </w:r>
      <w:r w:rsidRPr="00C25367">
        <w:rPr>
          <w:i/>
          <w:iCs/>
          <w:sz w:val="20"/>
          <w:szCs w:val="20"/>
        </w:rPr>
        <w:t xml:space="preserve">isco”. </w:t>
      </w:r>
    </w:p>
    <w:p w:rsidR="00915769" w:rsidRPr="00C25367" w:rsidRDefault="00DB3EEA" w:rsidP="00C25367">
      <w:pPr>
        <w:pStyle w:val="Textonotapie"/>
        <w:jc w:val="both"/>
        <w:rPr>
          <w:lang w:val="es-ES"/>
        </w:rPr>
      </w:pPr>
    </w:p>
  </w:footnote>
  <w:footnote w:id="150">
    <w:p w:rsidR="00AA1697" w:rsidRPr="00C25367" w:rsidRDefault="00DB3EEA" w:rsidP="00C25367">
      <w:pPr>
        <w:jc w:val="both"/>
        <w:rPr>
          <w:sz w:val="20"/>
          <w:szCs w:val="20"/>
        </w:rPr>
      </w:pPr>
      <w:r w:rsidRPr="00C25367">
        <w:rPr>
          <w:sz w:val="20"/>
          <w:szCs w:val="20"/>
          <w:vertAlign w:val="superscript"/>
        </w:rPr>
        <w:footnoteRef/>
      </w:r>
      <w:r w:rsidRPr="00C25367">
        <w:rPr>
          <w:sz w:val="20"/>
          <w:szCs w:val="20"/>
        </w:rPr>
        <w:t xml:space="preserve"> Corte constitucional, Sentencia C-488 de 2024. </w:t>
      </w:r>
    </w:p>
  </w:footnote>
  <w:footnote w:id="151">
    <w:p w:rsidR="00206667" w:rsidRPr="00C25367" w:rsidRDefault="00DB3EEA" w:rsidP="00C25367">
      <w:pPr>
        <w:pStyle w:val="Textonotapie"/>
        <w:jc w:val="both"/>
      </w:pPr>
      <w:r w:rsidRPr="00C25367">
        <w:rPr>
          <w:rStyle w:val="Refdenotaalpie"/>
        </w:rPr>
        <w:footnoteRef/>
      </w:r>
      <w:r w:rsidRPr="00C25367">
        <w:t xml:space="preserve"> </w:t>
      </w:r>
      <w:r w:rsidRPr="00C25367">
        <w:rPr>
          <w:i/>
          <w:iCs/>
        </w:rPr>
        <w:t xml:space="preserve">Cfr. </w:t>
      </w:r>
      <w:r w:rsidRPr="00C25367">
        <w:t>Corte Constitucional. Sentencia C-161 de 2001.</w:t>
      </w:r>
    </w:p>
  </w:footnote>
  <w:footnote w:id="152">
    <w:p w:rsidR="002F2207" w:rsidRPr="00C25367" w:rsidRDefault="00DB3EEA" w:rsidP="00C25367">
      <w:pPr>
        <w:pStyle w:val="Textonotapie"/>
        <w:jc w:val="both"/>
      </w:pPr>
      <w:r w:rsidRPr="00C25367">
        <w:rPr>
          <w:rStyle w:val="Refdenotaalpie"/>
        </w:rPr>
        <w:footnoteRef/>
      </w:r>
      <w:r w:rsidRPr="00C25367">
        <w:t xml:space="preserve"> </w:t>
      </w:r>
      <w:r w:rsidRPr="00C25367">
        <w:rPr>
          <w:i/>
          <w:iCs/>
        </w:rPr>
        <w:t xml:space="preserve">Cfr. </w:t>
      </w:r>
      <w:r w:rsidRPr="00C25367">
        <w:t>Corte Constitucional. Sentencias C-669 de 2002, C-117 de 2018, C-521 de 2019, C-293 de 2020 y C-489 de 2023.</w:t>
      </w:r>
    </w:p>
  </w:footnote>
  <w:footnote w:id="153">
    <w:p w:rsidR="006E13BE" w:rsidRPr="00C25367" w:rsidRDefault="00DB3EEA" w:rsidP="00C25367">
      <w:pPr>
        <w:pStyle w:val="Textonotapie"/>
        <w:jc w:val="both"/>
      </w:pPr>
      <w:r w:rsidRPr="00C25367">
        <w:rPr>
          <w:rStyle w:val="Refdenotaalpie"/>
        </w:rPr>
        <w:footnoteRef/>
      </w:r>
      <w:r w:rsidRPr="00C25367">
        <w:t xml:space="preserve"> Sentencia C-345 de 2019. En esta sentencia, la Corte precisó que </w:t>
      </w:r>
      <w:r w:rsidRPr="00C25367">
        <w:rPr>
          <w:i/>
          <w:iCs/>
        </w:rPr>
        <w:t xml:space="preserve">“la proporcionalidad en sentido estricto en el juicio integrado de igualdad leve no debe ser analizada por el juez constitucional, puesto que ello es una tarea que le corresponde al </w:t>
      </w:r>
      <w:r w:rsidRPr="00C25367">
        <w:rPr>
          <w:i/>
          <w:iCs/>
        </w:rPr>
        <w:t>legislad</w:t>
      </w:r>
      <w:r w:rsidRPr="00C25367">
        <w:rPr>
          <w:i/>
          <w:iCs/>
        </w:rPr>
        <w:t>or</w:t>
      </w:r>
      <w:r w:rsidRPr="00C25367">
        <w:rPr>
          <w:i/>
          <w:iCs/>
        </w:rPr>
        <w:t xml:space="preserve">, ya que en esta intensidad del test la deferencia hacia el Congreso es mayor, luego es este el que debe realizar las ponderaciones del caso. Al contrario, el juez constitucional debe evaluar la proporcionalidad en sentido estricto en los eventos en los </w:t>
      </w:r>
      <w:r w:rsidRPr="00C25367">
        <w:rPr>
          <w:i/>
          <w:iCs/>
        </w:rPr>
        <w:t xml:space="preserve">que aplica un juicio integrado de igualdad de intensidad intermedia o estricta, pues en dichos casos el margen de apreciación del </w:t>
      </w:r>
      <w:r w:rsidRPr="00C25367">
        <w:rPr>
          <w:i/>
          <w:iCs/>
        </w:rPr>
        <w:t>legislador</w:t>
      </w:r>
      <w:r w:rsidRPr="00C25367">
        <w:rPr>
          <w:i/>
          <w:iCs/>
        </w:rPr>
        <w:t xml:space="preserve"> disminuye en virtud de ciertos mandatos constitucionales que debe respetar. En esta línea de argumentación, la prop</w:t>
      </w:r>
      <w:r w:rsidRPr="00C25367">
        <w:rPr>
          <w:i/>
          <w:iCs/>
        </w:rPr>
        <w:t>orcionalidad en sentido estricto en el juicio intermedio supone constatar que la norma que establece un trato asimétrico no es evidentemente desproporcionada, en tanto que, en el juicio estricto, se debe verificar que no es desproporcionada”</w:t>
      </w:r>
      <w:r w:rsidRPr="00C25367">
        <w:t>.  </w:t>
      </w:r>
    </w:p>
  </w:footnote>
  <w:footnote w:id="154">
    <w:p w:rsidR="006E13BE" w:rsidRPr="00C25367" w:rsidRDefault="00DB3EEA" w:rsidP="00C25367">
      <w:pPr>
        <w:pStyle w:val="Textonotapie"/>
        <w:jc w:val="both"/>
      </w:pPr>
      <w:r w:rsidRPr="00C25367">
        <w:rPr>
          <w:vertAlign w:val="superscript"/>
        </w:rPr>
        <w:footnoteRef/>
      </w:r>
      <w:r w:rsidRPr="00C25367">
        <w:t xml:space="preserve"> Sentencia</w:t>
      </w:r>
      <w:r w:rsidRPr="00C25367">
        <w:t xml:space="preserve">s C-345 de 2019, C-101 de 2018 y C-673 de 2001. </w:t>
      </w:r>
    </w:p>
  </w:footnote>
  <w:footnote w:id="155">
    <w:p w:rsidR="00D1401D" w:rsidRPr="00C25367" w:rsidRDefault="00DB3EEA" w:rsidP="00C25367">
      <w:pPr>
        <w:pStyle w:val="Textonotapie"/>
        <w:jc w:val="both"/>
      </w:pPr>
      <w:r w:rsidRPr="00C25367">
        <w:rPr>
          <w:rStyle w:val="Refdenotaalpie"/>
        </w:rPr>
        <w:footnoteRef/>
      </w:r>
      <w:r w:rsidRPr="00C25367">
        <w:t xml:space="preserve"> Presidencia de la República de Colombia, </w:t>
      </w:r>
      <w:r w:rsidRPr="00C25367">
        <w:rPr>
          <w:u w:val="single"/>
        </w:rPr>
        <w:t>Historia de la Reforma Constitucional de 1968</w:t>
      </w:r>
      <w:r w:rsidRPr="00C25367">
        <w:t>, Imprenta Nacional (1969) p. 44-47. En su momento La Corte Suprema de Justicia sostuvo que dicha determinación se enco</w:t>
      </w:r>
      <w:r w:rsidRPr="00C25367">
        <w:t>ntraba debidamente justificada “en la condición esencialmente mutable de aquellos fenómenos que exigen una regulación flexible o dúctil que se adecúe a las cambiantes circunstancias del suceder aludido, de tal manera que solo al Gobierno incumbe crear la n</w:t>
      </w:r>
      <w:r w:rsidRPr="00C25367">
        <w:t>ormatividad jurídica que aquellos fenómenos reclaman y lo hace por medio de decretos que deben ajustarse a los parámetros o marcos’ dados por el legislador quien al señalarlos, queda con aptitud legislativa recortada en las materias que la precitada dispos</w:t>
      </w:r>
      <w:r w:rsidRPr="00C25367">
        <w:t>ición constitucional enuncia”. (Corte Suprema de Justicia, sentencia 73 de septiembre 18 de 1986.)</w:t>
      </w:r>
    </w:p>
  </w:footnote>
  <w:footnote w:id="156">
    <w:p w:rsidR="00D1401D" w:rsidRPr="00C25367" w:rsidRDefault="00DB3EEA" w:rsidP="00C25367">
      <w:pPr>
        <w:pStyle w:val="Textonotapie"/>
        <w:jc w:val="both"/>
      </w:pPr>
      <w:r w:rsidRPr="00C25367">
        <w:rPr>
          <w:rStyle w:val="Refdenotaalpie"/>
        </w:rPr>
        <w:footnoteRef/>
      </w:r>
      <w:r w:rsidRPr="00C25367">
        <w:t xml:space="preserve"> Asamblea Nacional Constituyente. “Regulación Financiera, Crédito, Deuda Externa, Comercio Exterior, Régimen de Aduanas.” Informe - Ponencia. Gaceta Constit</w:t>
      </w:r>
      <w:r w:rsidRPr="00C25367">
        <w:t>ucional No. 53, Bogotá D.E, jueves 18 de abril de 1991, p. 12. En el mismo sentido, véase, Informe - Ponencia para Primer Debate en Plenaria. Rafael Ignacio Molina Giraldo, Rodrigo Lloreda Caicedo, Miguel Antonio Yepes Parra, Carlos Ossa Escobar, Carlos Le</w:t>
      </w:r>
      <w:r w:rsidRPr="00C25367">
        <w:t>mos Simmons y Oscar Hoyos Naranjo. Gaceta Constitucional No. 74, Bogotá D.E, miércoles 15 de mayo de 1991, p. 7.</w:t>
      </w:r>
    </w:p>
  </w:footnote>
  <w:footnote w:id="157">
    <w:p w:rsidR="00D1401D" w:rsidRPr="00C25367" w:rsidRDefault="00DB3EEA" w:rsidP="00C25367">
      <w:pPr>
        <w:pStyle w:val="Textonotapie"/>
        <w:jc w:val="both"/>
      </w:pPr>
      <w:r w:rsidRPr="00C25367">
        <w:rPr>
          <w:rStyle w:val="Refdenotaalpie"/>
        </w:rPr>
        <w:footnoteRef/>
      </w:r>
      <w:r w:rsidRPr="00C25367">
        <w:t xml:space="preserve"> Constitución Política de Colombia. Artículo 150-19 ordinal C.</w:t>
      </w:r>
    </w:p>
  </w:footnote>
  <w:footnote w:id="158">
    <w:p w:rsidR="00D1401D" w:rsidRPr="00C25367" w:rsidRDefault="00DB3EEA" w:rsidP="00C25367">
      <w:pPr>
        <w:pStyle w:val="Textonotapie"/>
        <w:jc w:val="both"/>
      </w:pPr>
      <w:r w:rsidRPr="00C25367">
        <w:rPr>
          <w:rStyle w:val="Refdenotaalpie"/>
        </w:rPr>
        <w:footnoteRef/>
      </w:r>
      <w:r w:rsidRPr="00C25367">
        <w:t xml:space="preserve"> Corte Constitucional. Sentencia C-510 de 1992. Acápite 4. </w:t>
      </w:r>
    </w:p>
  </w:footnote>
  <w:footnote w:id="159">
    <w:p w:rsidR="00D1401D" w:rsidRPr="00C25367" w:rsidRDefault="00DB3EEA" w:rsidP="00C25367">
      <w:pPr>
        <w:pStyle w:val="Textonotapie"/>
        <w:jc w:val="both"/>
      </w:pPr>
      <w:r w:rsidRPr="00C25367">
        <w:rPr>
          <w:rStyle w:val="Refdenotaalpie"/>
        </w:rPr>
        <w:footnoteRef/>
      </w:r>
      <w:r w:rsidRPr="00C25367">
        <w:t xml:space="preserve"> Corte Constituci</w:t>
      </w:r>
      <w:r w:rsidRPr="00C25367">
        <w:t>onal. Sentencia C-510 de 1992. Acápite 5.</w:t>
      </w:r>
    </w:p>
  </w:footnote>
  <w:footnote w:id="160">
    <w:p w:rsidR="00D1401D" w:rsidRPr="00C25367" w:rsidRDefault="00DB3EEA" w:rsidP="00C25367">
      <w:pPr>
        <w:pStyle w:val="Textonotapie"/>
        <w:jc w:val="both"/>
      </w:pPr>
      <w:r w:rsidRPr="00C25367">
        <w:rPr>
          <w:rStyle w:val="Refdenotaalpie"/>
        </w:rPr>
        <w:footnoteRef/>
      </w:r>
      <w:r w:rsidRPr="00C25367">
        <w:t xml:space="preserve"> Corte Constitucional. Sentencia C-798 de 2004. </w:t>
      </w:r>
    </w:p>
  </w:footnote>
  <w:footnote w:id="161">
    <w:p w:rsidR="00D1401D" w:rsidRPr="00C25367" w:rsidRDefault="00DB3EEA" w:rsidP="00C25367">
      <w:pPr>
        <w:pStyle w:val="Textonotapie"/>
        <w:jc w:val="both"/>
      </w:pPr>
      <w:r w:rsidRPr="00C25367">
        <w:rPr>
          <w:rStyle w:val="Refdenotaalpie"/>
        </w:rPr>
        <w:footnoteRef/>
      </w:r>
      <w:r w:rsidRPr="00C25367">
        <w:t xml:space="preserve"> Corte Constitucional. Sentencia C-140 de 2007.</w:t>
      </w:r>
    </w:p>
  </w:footnote>
  <w:footnote w:id="162">
    <w:p w:rsidR="00D1401D" w:rsidRPr="00C25367" w:rsidRDefault="00DB3EEA" w:rsidP="00C25367">
      <w:pPr>
        <w:pStyle w:val="Textonotapie"/>
        <w:jc w:val="both"/>
      </w:pPr>
      <w:r w:rsidRPr="00C25367">
        <w:rPr>
          <w:rStyle w:val="Refdenotaalpie"/>
        </w:rPr>
        <w:footnoteRef/>
      </w:r>
      <w:r w:rsidRPr="00C25367">
        <w:t xml:space="preserve"> Corte Constitucional. Sentencia C-026 de 2020.</w:t>
      </w:r>
    </w:p>
  </w:footnote>
  <w:footnote w:id="163">
    <w:p w:rsidR="00D1401D" w:rsidRPr="00C25367" w:rsidRDefault="00DB3EEA" w:rsidP="00C25367">
      <w:pPr>
        <w:pStyle w:val="Textonotapie"/>
        <w:jc w:val="both"/>
      </w:pPr>
      <w:r w:rsidRPr="00C25367">
        <w:rPr>
          <w:rStyle w:val="Refdenotaalpie"/>
        </w:rPr>
        <w:footnoteRef/>
      </w:r>
      <w:r w:rsidRPr="00C25367">
        <w:t xml:space="preserve"> Corte Constitucional. Sentencia C-441 de 2021.</w:t>
      </w:r>
    </w:p>
  </w:footnote>
  <w:footnote w:id="164">
    <w:p w:rsidR="00D1401D" w:rsidRPr="00C25367" w:rsidRDefault="00DB3EEA" w:rsidP="00C25367">
      <w:pPr>
        <w:pStyle w:val="Textonotapie"/>
        <w:jc w:val="both"/>
      </w:pPr>
      <w:r w:rsidRPr="00C25367">
        <w:rPr>
          <w:rStyle w:val="Refdenotaalpie"/>
        </w:rPr>
        <w:footnoteRef/>
      </w:r>
      <w:r w:rsidRPr="00C25367">
        <w:t xml:space="preserve"> Corte Constituc</w:t>
      </w:r>
      <w:r w:rsidRPr="00C25367">
        <w:t>ional. Sentencia C-441 de 2021. M.P. Párrafo 122</w:t>
      </w:r>
    </w:p>
  </w:footnote>
  <w:footnote w:id="165">
    <w:p w:rsidR="00D1401D" w:rsidRPr="00C25367" w:rsidRDefault="00DB3EEA" w:rsidP="00C25367">
      <w:pPr>
        <w:pStyle w:val="Textonotapie"/>
        <w:jc w:val="both"/>
      </w:pPr>
      <w:r w:rsidRPr="00C25367">
        <w:rPr>
          <w:rStyle w:val="Refdenotaalpie"/>
        </w:rPr>
        <w:footnoteRef/>
      </w:r>
      <w:r w:rsidRPr="00C25367">
        <w:t xml:space="preserve"> Corte Constitucional. Sentencia C-510 de 1992.</w:t>
      </w:r>
    </w:p>
  </w:footnote>
  <w:footnote w:id="166">
    <w:p w:rsidR="00D1401D" w:rsidRPr="00C25367" w:rsidRDefault="00DB3EEA" w:rsidP="00C25367">
      <w:pPr>
        <w:pStyle w:val="Textonotapie"/>
        <w:jc w:val="both"/>
      </w:pPr>
      <w:r w:rsidRPr="00C25367">
        <w:rPr>
          <w:rStyle w:val="Refdenotaalpie"/>
        </w:rPr>
        <w:footnoteRef/>
      </w:r>
      <w:r w:rsidRPr="00C25367">
        <w:t xml:space="preserve"> Corte Constitucional. Sentencia C-798 de 2004.</w:t>
      </w:r>
    </w:p>
  </w:footnote>
  <w:footnote w:id="167">
    <w:p w:rsidR="00D1401D" w:rsidRPr="00C25367" w:rsidRDefault="00DB3EEA" w:rsidP="00C25367">
      <w:pPr>
        <w:pStyle w:val="Textonotapie"/>
        <w:jc w:val="both"/>
      </w:pPr>
      <w:r w:rsidRPr="00C25367">
        <w:rPr>
          <w:rStyle w:val="Refdenotaalpie"/>
        </w:rPr>
        <w:footnoteRef/>
      </w:r>
      <w:r w:rsidRPr="00C25367">
        <w:t xml:space="preserve"> El primer artículo de la nueva norma explica que “El Gobierno Nacional, al modificar los aranceles, tarifas</w:t>
      </w:r>
      <w:r w:rsidRPr="00C25367">
        <w:t xml:space="preserve"> y demás disposiciones concernientes al régimen de aduanas, no podrá exceder los términos establecidos en la presente ley, sin entrar a regular aspectos o materias que correspondan privativamente al Congreso de la República, ni este hacer desarrollos norma</w:t>
      </w:r>
      <w:r w:rsidRPr="00C25367">
        <w:t>tivos que son propios del Ejecutivo. De la misma forma el Congreso de la República al ejercer la facultad legislativa en estos aspectos, deberá tener en cuenta la responsabilidad social en procura de mantener la estabilidad jurídica nacional, sin asumir co</w:t>
      </w:r>
      <w:r w:rsidRPr="00C25367">
        <w:t>mpetencias que</w:t>
      </w:r>
      <w:r w:rsidRPr="00C25367">
        <w:t>,</w:t>
      </w:r>
      <w:r w:rsidRPr="00C25367">
        <w:t xml:space="preserve"> frente a estas materias, correspondan al Gobierno Nacional”.</w:t>
      </w:r>
    </w:p>
  </w:footnote>
  <w:footnote w:id="168">
    <w:p w:rsidR="00D1401D" w:rsidRPr="00C25367" w:rsidRDefault="00DB3EEA" w:rsidP="00C25367">
      <w:pPr>
        <w:pStyle w:val="Textonotapie"/>
        <w:jc w:val="both"/>
      </w:pPr>
      <w:r w:rsidRPr="00C25367">
        <w:rPr>
          <w:rStyle w:val="Refdenotaalpie"/>
        </w:rPr>
        <w:footnoteRef/>
      </w:r>
      <w:r w:rsidRPr="00C25367">
        <w:t xml:space="preserve"> Congreso de la República de Colombia. </w:t>
      </w:r>
      <w:r w:rsidRPr="00C25367">
        <w:t>Ley 6 de 1971.</w:t>
      </w:r>
    </w:p>
  </w:footnote>
  <w:footnote w:id="169">
    <w:p w:rsidR="001E0E30" w:rsidRPr="00C25367" w:rsidRDefault="00DB3EEA" w:rsidP="00C25367">
      <w:pPr>
        <w:pStyle w:val="Textonotapie"/>
        <w:jc w:val="both"/>
      </w:pPr>
      <w:r w:rsidRPr="00C25367">
        <w:rPr>
          <w:rStyle w:val="Refdenotaalpie"/>
        </w:rPr>
        <w:footnoteRef/>
      </w:r>
      <w:r w:rsidRPr="00C25367">
        <w:t xml:space="preserve"> Expediente digital, archivo “Demanda ciudadana”, folio 3. Disponible en: </w:t>
      </w:r>
      <w:hyperlink r:id="rId114" w:history="1">
        <w:r w:rsidRPr="00C25367">
          <w:rPr>
            <w:rStyle w:val="Hipervnculo"/>
          </w:rPr>
          <w:t>https://www.corteconstitucional.gov.co/secretaria/expediente?proceso=1&amp;expediente=D0016314&amp;lista=datosExpedientes_1761103971974</w:t>
        </w:r>
      </w:hyperlink>
    </w:p>
  </w:footnote>
  <w:footnote w:id="170">
    <w:p w:rsidR="001E0E30" w:rsidRPr="00C25367" w:rsidRDefault="00DB3EEA" w:rsidP="00C25367">
      <w:pPr>
        <w:pStyle w:val="Textonotapie"/>
        <w:jc w:val="both"/>
      </w:pPr>
      <w:r w:rsidRPr="00C25367">
        <w:rPr>
          <w:rStyle w:val="Refdenotaalpie"/>
        </w:rPr>
        <w:footnoteRef/>
      </w:r>
      <w:r w:rsidRPr="00C25367">
        <w:t xml:space="preserve"> Expediente digital, archivo “Demanda ciudadana”, folio 16. Disponible en: </w:t>
      </w:r>
      <w:hyperlink r:id="rId115" w:history="1">
        <w:r w:rsidRPr="00C25367">
          <w:rPr>
            <w:rStyle w:val="Hipervnculo"/>
          </w:rPr>
          <w:t>https://www.corteconstitucional.gov.c</w:t>
        </w:r>
        <w:r w:rsidRPr="00C25367">
          <w:rPr>
            <w:rStyle w:val="Hipervnculo"/>
          </w:rPr>
          <w:t>o/secretaria/expediente?proceso=1&amp;expediente=D0016314&amp;lista=datosExpedientes_1761103971974</w:t>
        </w:r>
      </w:hyperlink>
    </w:p>
  </w:footnote>
  <w:footnote w:id="171">
    <w:p w:rsidR="001E0E30" w:rsidRPr="00C25367" w:rsidRDefault="00DB3EEA" w:rsidP="00C25367">
      <w:pPr>
        <w:pStyle w:val="Textonotapie"/>
        <w:jc w:val="both"/>
      </w:pPr>
      <w:r w:rsidRPr="00C25367">
        <w:rPr>
          <w:rStyle w:val="Refdenotaalpie"/>
        </w:rPr>
        <w:footnoteRef/>
      </w:r>
      <w:r w:rsidRPr="00C25367">
        <w:t xml:space="preserve"> Expediente digital, archivo “Demanda ciudadana”, folio 3 a 5. Disponible en: </w:t>
      </w:r>
      <w:hyperlink r:id="rId116" w:history="1">
        <w:r w:rsidRPr="00C25367">
          <w:rPr>
            <w:rStyle w:val="Hipervnculo"/>
          </w:rPr>
          <w:t>https://www.corteconstitucional.gov.co/secretaria/expediente?proceso=1&amp;expediente=D0016314&amp;lista=datosExpedientes_1761103971974</w:t>
        </w:r>
      </w:hyperlink>
    </w:p>
  </w:footnote>
  <w:footnote w:id="172">
    <w:p w:rsidR="001E0E30" w:rsidRPr="00C25367" w:rsidRDefault="00DB3EEA" w:rsidP="00C25367">
      <w:pPr>
        <w:pStyle w:val="Textonotapie"/>
        <w:jc w:val="both"/>
      </w:pPr>
      <w:r w:rsidRPr="00C25367">
        <w:rPr>
          <w:rStyle w:val="Refdenotaalpie"/>
        </w:rPr>
        <w:footnoteRef/>
      </w:r>
      <w:r w:rsidRPr="00C25367">
        <w:t xml:space="preserve"> Expediente digital, archivo “Demanda ciudadana”, folio 4. Disponible</w:t>
      </w:r>
      <w:r w:rsidRPr="00C25367">
        <w:t xml:space="preserve"> en: </w:t>
      </w:r>
      <w:hyperlink r:id="rId117" w:history="1">
        <w:r w:rsidRPr="00C25367">
          <w:rPr>
            <w:rStyle w:val="Hipervnculo"/>
          </w:rPr>
          <w:t>https://www.corteconstitucional.gov.co/secretaria/expediente?proceso=1&amp;expediente=D0016314&amp;lista=datosExped</w:t>
        </w:r>
        <w:r w:rsidRPr="00C25367">
          <w:rPr>
            <w:rStyle w:val="Hipervnculo"/>
          </w:rPr>
          <w:t>ientes_1761103971974</w:t>
        </w:r>
      </w:hyperlink>
    </w:p>
  </w:footnote>
  <w:footnote w:id="173">
    <w:p w:rsidR="001E0E30" w:rsidRPr="00C25367" w:rsidRDefault="00DB3EEA" w:rsidP="00C25367">
      <w:pPr>
        <w:pStyle w:val="Textonotapie"/>
        <w:jc w:val="both"/>
      </w:pPr>
      <w:r w:rsidRPr="00C25367">
        <w:rPr>
          <w:rStyle w:val="Refdenotaalpie"/>
        </w:rPr>
        <w:footnoteRef/>
      </w:r>
      <w:r w:rsidRPr="00C25367">
        <w:t xml:space="preserve"> Expediente digital, archivo “Demanda ciudadana”. Disponible en: </w:t>
      </w:r>
      <w:hyperlink r:id="rId118" w:history="1">
        <w:r w:rsidRPr="00C25367">
          <w:rPr>
            <w:rStyle w:val="Hipervnculo"/>
          </w:rPr>
          <w:t>https://www.corteconstitucional.gov.co/secretaria/expediente?proceso=1&amp;expediente=D0016314&amp;lista=datosExpedientes_1761103971974</w:t>
        </w:r>
      </w:hyperlink>
    </w:p>
  </w:footnote>
  <w:footnote w:id="174">
    <w:p w:rsidR="00947009" w:rsidRPr="00C25367" w:rsidRDefault="00DB3EEA" w:rsidP="00C25367">
      <w:pPr>
        <w:pStyle w:val="Textonotapie"/>
        <w:jc w:val="both"/>
      </w:pPr>
      <w:r w:rsidRPr="00C25367">
        <w:rPr>
          <w:rStyle w:val="Refdenotaalpie"/>
        </w:rPr>
        <w:footnoteRef/>
      </w:r>
      <w:r w:rsidRPr="00C25367">
        <w:t xml:space="preserve"> Consejo de Estado. Sección Cuarta. Sentencia del 18 de septiembre de 2025, exp. 29694; Sentencia del 9 de septiembre de 2024, </w:t>
      </w:r>
      <w:r w:rsidRPr="00C25367">
        <w:t>exp. 28704; Sentencia del 24 de octubre de 2019, exp. 22081.</w:t>
      </w:r>
    </w:p>
  </w:footnote>
  <w:footnote w:id="175">
    <w:p w:rsidR="00947009" w:rsidRPr="00C25367" w:rsidRDefault="00DB3EEA" w:rsidP="00C25367">
      <w:pPr>
        <w:pStyle w:val="Textonotapie"/>
        <w:jc w:val="both"/>
      </w:pPr>
      <w:r w:rsidRPr="00C25367">
        <w:rPr>
          <w:rStyle w:val="Refdenotaalpie"/>
        </w:rPr>
        <w:footnoteRef/>
      </w:r>
      <w:r w:rsidRPr="00C25367">
        <w:t xml:space="preserve"> Corte Constitucional. Sentencias C-435 de 2023.</w:t>
      </w:r>
    </w:p>
  </w:footnote>
  <w:footnote w:id="176">
    <w:p w:rsidR="009F2FBF" w:rsidRPr="00C25367" w:rsidRDefault="00DB3EEA" w:rsidP="00C25367">
      <w:pPr>
        <w:pStyle w:val="Textonotapie"/>
        <w:jc w:val="both"/>
      </w:pPr>
      <w:r w:rsidRPr="00C25367">
        <w:rPr>
          <w:rStyle w:val="Refdenotaalpie"/>
        </w:rPr>
        <w:footnoteRef/>
      </w:r>
      <w:r w:rsidRPr="00C25367">
        <w:t xml:space="preserve"> El Ministerio de Hacienda y Crédito Público y la DIAN, y la Universidad del Rosario. </w:t>
      </w:r>
    </w:p>
  </w:footnote>
  <w:footnote w:id="177">
    <w:p w:rsidR="009F2FBF" w:rsidRPr="00C25367" w:rsidRDefault="00DB3EEA" w:rsidP="00C25367">
      <w:pPr>
        <w:pStyle w:val="Textonotapie"/>
        <w:jc w:val="both"/>
      </w:pPr>
      <w:r w:rsidRPr="00C25367">
        <w:rPr>
          <w:rStyle w:val="Refdenotaalpie"/>
        </w:rPr>
        <w:footnoteRef/>
      </w:r>
      <w:r w:rsidRPr="00C25367">
        <w:t xml:space="preserve"> DIAN. 28 de Marzo de 2023. CONCEPTO 003744 int 383 DE 2</w:t>
      </w:r>
      <w:r w:rsidRPr="00C25367">
        <w:t xml:space="preserve">023. Extraído desde: </w:t>
      </w:r>
      <w:hyperlink r:id="rId119" w:history="1">
        <w:r w:rsidRPr="00C25367">
          <w:rPr>
            <w:rStyle w:val="Hipervnculo"/>
          </w:rPr>
          <w:t>https://normograma.dian.gov.co/dian/compilacion/docs/oficio_dian_3744_2023.htm</w:t>
        </w:r>
      </w:hyperlink>
      <w:r w:rsidRPr="00C25367">
        <w:t xml:space="preserve">. </w:t>
      </w:r>
    </w:p>
  </w:footnote>
  <w:footnote w:id="178">
    <w:p w:rsidR="00975B92" w:rsidRPr="00C25367" w:rsidRDefault="00DB3EEA" w:rsidP="00C25367">
      <w:pPr>
        <w:pStyle w:val="Textonotapie"/>
        <w:jc w:val="both"/>
      </w:pPr>
      <w:r w:rsidRPr="00C25367">
        <w:rPr>
          <w:rStyle w:val="Refdenotaalpie"/>
        </w:rPr>
        <w:footnoteRef/>
      </w:r>
      <w:r w:rsidRPr="00C25367">
        <w:t xml:space="preserve"> </w:t>
      </w:r>
      <w:r w:rsidRPr="00C25367">
        <w:t>Es importante precisar que, cuando un producto comestible</w:t>
      </w:r>
      <w:r w:rsidRPr="00C25367">
        <w:t xml:space="preserve"> gravado se emplea como insumo en la elaboración de un nuevo producto ultraprocesado, este último queda sujeto al impuesto en la medida en que constituye un bien autónomo respecto del cual no se ha causado previamente el gravamen, pese a que alguno de sus </w:t>
      </w:r>
      <w:r w:rsidRPr="00C25367">
        <w:t>componentes ya hubiera estado sometido a tributación.</w:t>
      </w:r>
    </w:p>
  </w:footnote>
  <w:footnote w:id="179">
    <w:p w:rsidR="006F3916" w:rsidRPr="00C25367" w:rsidRDefault="00DB3EEA" w:rsidP="00C25367">
      <w:pPr>
        <w:pStyle w:val="Textonotapie"/>
        <w:jc w:val="both"/>
      </w:pPr>
      <w:r w:rsidRPr="00C25367">
        <w:rPr>
          <w:rStyle w:val="Refdenotaalpie"/>
        </w:rPr>
        <w:footnoteRef/>
      </w:r>
      <w:r w:rsidRPr="00C25367">
        <w:t xml:space="preserve"> Sentencia C-125 de 2018.</w:t>
      </w:r>
    </w:p>
  </w:footnote>
  <w:footnote w:id="180">
    <w:p w:rsidR="006F3916" w:rsidRPr="00C25367" w:rsidRDefault="00DB3EEA" w:rsidP="00C25367">
      <w:pPr>
        <w:pStyle w:val="Textonotapie"/>
        <w:jc w:val="both"/>
      </w:pPr>
      <w:r w:rsidRPr="00C25367">
        <w:rPr>
          <w:rStyle w:val="Refdenotaalpie"/>
        </w:rPr>
        <w:footnoteRef/>
      </w:r>
      <w:r w:rsidRPr="00C25367">
        <w:t xml:space="preserve"> Sentencias C-114 de 2017 y C-505 de 1999. </w:t>
      </w:r>
    </w:p>
  </w:footnote>
  <w:footnote w:id="181">
    <w:p w:rsidR="006F3916" w:rsidRPr="00C25367" w:rsidRDefault="00DB3EEA" w:rsidP="00C25367">
      <w:pPr>
        <w:pStyle w:val="Textonotapie"/>
        <w:jc w:val="both"/>
      </w:pPr>
      <w:r w:rsidRPr="00C25367">
        <w:rPr>
          <w:rStyle w:val="Refdenotaalpie"/>
        </w:rPr>
        <w:footnoteRef/>
      </w:r>
      <w:r w:rsidRPr="00C25367">
        <w:t xml:space="preserve"> Sentencias C-179 de 2016, C-551 de 2015, C-601 de 2015 y C-1125 de 2008.</w:t>
      </w:r>
    </w:p>
  </w:footnote>
  <w:footnote w:id="182">
    <w:p w:rsidR="006F3916" w:rsidRPr="00C25367" w:rsidRDefault="00DB3EEA" w:rsidP="00C25367">
      <w:pPr>
        <w:pStyle w:val="Textonotapie"/>
        <w:jc w:val="both"/>
      </w:pPr>
      <w:r w:rsidRPr="00C25367">
        <w:rPr>
          <w:rStyle w:val="Refdenotaalpie"/>
        </w:rPr>
        <w:footnoteRef/>
      </w:r>
      <w:r w:rsidRPr="00C25367">
        <w:rPr>
          <w:lang w:val="pt-BR"/>
        </w:rPr>
        <w:t xml:space="preserve"> Ib. </w:t>
      </w:r>
    </w:p>
  </w:footnote>
  <w:footnote w:id="183">
    <w:p w:rsidR="006F3916" w:rsidRPr="00C25367" w:rsidRDefault="00DB3EEA" w:rsidP="00C25367">
      <w:pPr>
        <w:pStyle w:val="Textonotapie"/>
        <w:jc w:val="both"/>
      </w:pPr>
      <w:r w:rsidRPr="00C25367">
        <w:rPr>
          <w:rStyle w:val="Refdenotaalpie"/>
        </w:rPr>
        <w:footnoteRef/>
      </w:r>
      <w:r w:rsidRPr="00C25367">
        <w:rPr>
          <w:lang w:val="pt-BR"/>
        </w:rPr>
        <w:t xml:space="preserve"> Ib. </w:t>
      </w:r>
    </w:p>
  </w:footnote>
  <w:footnote w:id="184">
    <w:p w:rsidR="006F3916" w:rsidRPr="00C25367" w:rsidRDefault="00DB3EEA" w:rsidP="00C25367">
      <w:pPr>
        <w:pStyle w:val="Textonotapie"/>
        <w:jc w:val="both"/>
      </w:pPr>
      <w:r w:rsidRPr="00C25367">
        <w:rPr>
          <w:rStyle w:val="Refdenotaalpie"/>
        </w:rPr>
        <w:footnoteRef/>
      </w:r>
      <w:r w:rsidRPr="00C25367">
        <w:rPr>
          <w:lang w:val="pt-BR"/>
        </w:rPr>
        <w:t xml:space="preserve"> Ib. </w:t>
      </w:r>
    </w:p>
  </w:footnote>
  <w:footnote w:id="185">
    <w:p w:rsidR="006F3916" w:rsidRPr="00C25367" w:rsidRDefault="00DB3EEA" w:rsidP="00C25367">
      <w:pPr>
        <w:pStyle w:val="Textonotapie"/>
        <w:jc w:val="both"/>
      </w:pPr>
      <w:r w:rsidRPr="00C25367">
        <w:rPr>
          <w:rStyle w:val="Refdenotaalpie"/>
        </w:rPr>
        <w:footnoteRef/>
      </w:r>
      <w:r w:rsidRPr="00C25367">
        <w:t xml:space="preserve"> Sentencias C-266 de 2019, C-551 de 2015 y C-601 de 2015.</w:t>
      </w:r>
    </w:p>
  </w:footnote>
  <w:footnote w:id="186">
    <w:p w:rsidR="006F3916" w:rsidRPr="00C25367" w:rsidRDefault="00DB3EEA" w:rsidP="00C25367">
      <w:pPr>
        <w:pStyle w:val="Textonotapie"/>
        <w:jc w:val="both"/>
      </w:pPr>
      <w:r w:rsidRPr="00C25367">
        <w:rPr>
          <w:rStyle w:val="Refdenotaalpie"/>
        </w:rPr>
        <w:footnoteRef/>
      </w:r>
      <w:r w:rsidRPr="00C25367">
        <w:t xml:space="preserve"> Sentencias C-006 de 2018 y C-006 de 2017. </w:t>
      </w:r>
    </w:p>
  </w:footnote>
  <w:footnote w:id="187">
    <w:p w:rsidR="006F3916" w:rsidRPr="00C25367" w:rsidRDefault="00DB3EEA" w:rsidP="00C25367">
      <w:pPr>
        <w:pStyle w:val="Textonotapie"/>
        <w:jc w:val="both"/>
      </w:pPr>
      <w:r w:rsidRPr="00C25367">
        <w:rPr>
          <w:rStyle w:val="Refdenotaalpie"/>
        </w:rPr>
        <w:footnoteRef/>
      </w:r>
      <w:r w:rsidRPr="00C25367">
        <w:t xml:space="preserve"> Sentencias C-743 de 2015, C-250 de 2012 y C-818 de 2010.</w:t>
      </w:r>
    </w:p>
  </w:footnote>
  <w:footnote w:id="188">
    <w:p w:rsidR="006F3916" w:rsidRPr="00C25367" w:rsidRDefault="00DB3EEA" w:rsidP="00C25367">
      <w:pPr>
        <w:pStyle w:val="Textonotapie"/>
        <w:jc w:val="both"/>
      </w:pPr>
      <w:r w:rsidRPr="00C25367">
        <w:rPr>
          <w:vertAlign w:val="superscript"/>
        </w:rPr>
        <w:footnoteRef/>
      </w:r>
      <w:r w:rsidRPr="00C25367">
        <w:t xml:space="preserve"> Sobre la aplicación de estos dos presupuestos de procedibilidad del test de igualdad, puede </w:t>
      </w:r>
      <w:r w:rsidRPr="00C25367">
        <w:t>verse, por ejemplo, la Sentencia C-053 de 2018 M.P. Gloria Stella Ortiz Delgado, en la cual se analizó una norma que ordenaba tramitar el grado jurisdiccional de consulta en caso de proferimiento de fallos disciplinarios absolutorios en primera instancia e</w:t>
      </w:r>
      <w:r w:rsidRPr="00C25367">
        <w:t xml:space="preserve">n contra de miembros de las Fuerzas Militares, lo cual, de acuerdo con los demandantes, violaba la igualdad porque en ningún otro régimen disciplinario procedía la consulta en esos casos. En dicha providencia se dijo que </w:t>
      </w:r>
      <w:r w:rsidRPr="00C25367">
        <w:rPr>
          <w:i/>
        </w:rPr>
        <w:t>“es claro que el patrón de igualdad</w:t>
      </w:r>
      <w:r w:rsidRPr="00C25367">
        <w:rPr>
          <w:i/>
        </w:rPr>
        <w:t xml:space="preserve"> está marcado por el tratamiento que se da a la procedencia del grado de consulta, ya que el derecho a un trato igual ante la Ley es predicable de todos los servidores públicos, como una categoría general. […] Atendiendo a ese patrón de igualdad, la Corte </w:t>
      </w:r>
      <w:r w:rsidRPr="00C25367">
        <w:rPr>
          <w:i/>
        </w:rPr>
        <w:t>estima que en efecto hay un trato desigual respecto del grado de consulta en los distintos procedimientos disciplinarios. Por ende, pasa a revisar si ese trato desigual que se presenta respecto del grado jurisdiccional de consulta entre los distintos regím</w:t>
      </w:r>
      <w:r w:rsidRPr="00C25367">
        <w:rPr>
          <w:i/>
        </w:rPr>
        <w:t>enes disciplinarios supera o no un test de igualdad”</w:t>
      </w:r>
      <w:r w:rsidRPr="00C25367">
        <w:t xml:space="preserve">.    </w:t>
      </w:r>
    </w:p>
  </w:footnote>
  <w:footnote w:id="189">
    <w:p w:rsidR="00D127F3" w:rsidRPr="00C25367" w:rsidRDefault="00DB3EEA" w:rsidP="00C25367">
      <w:pPr>
        <w:pStyle w:val="Textonotapie"/>
        <w:jc w:val="both"/>
      </w:pPr>
      <w:r w:rsidRPr="00C25367">
        <w:rPr>
          <w:rStyle w:val="Refdenotaalpie"/>
        </w:rPr>
        <w:footnoteRef/>
      </w:r>
      <w:r w:rsidRPr="00C25367">
        <w:t xml:space="preserve"> </w:t>
      </w:r>
      <w:r w:rsidRPr="00C25367">
        <w:t xml:space="preserve">Los bienes importados son productos que no tuvieron que soportar las mismas cargas productivas que los productos elaborados en el territorio aduanero. Esa es precisamente la diferencia que existe </w:t>
      </w:r>
      <w:r w:rsidRPr="00C25367">
        <w:t>entre las zonas francas y el resto del territorio colombiano: las transacciones de producción ejercidas en esos territorios están eximidas de diversas cargas económicas. En ese marco, es claro que el valor de un producto que tuvo que asumir impuestos y obl</w:t>
      </w:r>
      <w:r w:rsidRPr="00C25367">
        <w:t>igaciones tributarias difiere evidentemente del de aquel que no lo hizo.</w:t>
      </w:r>
    </w:p>
  </w:footnote>
  <w:footnote w:id="190">
    <w:p w:rsidR="00092EE0" w:rsidRPr="00C25367" w:rsidRDefault="00DB3EEA" w:rsidP="00C25367">
      <w:pPr>
        <w:pStyle w:val="Textonotapie"/>
        <w:jc w:val="both"/>
      </w:pPr>
      <w:r w:rsidRPr="00C25367">
        <w:rPr>
          <w:rStyle w:val="Refdenotaalpie"/>
        </w:rPr>
        <w:footnoteRef/>
      </w:r>
      <w:r w:rsidRPr="00C25367">
        <w:t xml:space="preserve"> </w:t>
      </w:r>
      <w:r w:rsidRPr="00C25367">
        <w:rPr>
          <w:lang w:val="es-ES"/>
        </w:rPr>
        <w:t>Corte Constitucional. Sentencia C-345 de 2019.</w:t>
      </w:r>
    </w:p>
  </w:footnote>
  <w:footnote w:id="191">
    <w:p w:rsidR="00092EE0" w:rsidRPr="00C25367" w:rsidRDefault="00DB3EEA" w:rsidP="00C25367">
      <w:pPr>
        <w:pStyle w:val="Textonotapie"/>
        <w:jc w:val="both"/>
      </w:pPr>
      <w:r w:rsidRPr="00C25367">
        <w:rPr>
          <w:rStyle w:val="Refdenotaalpie"/>
        </w:rPr>
        <w:footnoteRef/>
      </w:r>
      <w:r w:rsidRPr="00C25367">
        <w:t xml:space="preserve"> </w:t>
      </w:r>
      <w:r w:rsidRPr="00C25367">
        <w:rPr>
          <w:i/>
          <w:iCs/>
        </w:rPr>
        <w:t xml:space="preserve">Cfr. </w:t>
      </w:r>
      <w:r w:rsidRPr="00C25367">
        <w:t>Corte Constitucional. Sentencia C-036 de 2024.</w:t>
      </w:r>
    </w:p>
  </w:footnote>
  <w:footnote w:id="192">
    <w:p w:rsidR="00A56D01" w:rsidRPr="00C25367" w:rsidRDefault="00DB3EEA" w:rsidP="00C25367">
      <w:pPr>
        <w:pStyle w:val="Textonotapie"/>
        <w:jc w:val="both"/>
      </w:pPr>
      <w:r w:rsidRPr="00C25367">
        <w:rPr>
          <w:rStyle w:val="Refdenotaalpie"/>
          <w:rFonts w:eastAsia="Calibri"/>
        </w:rPr>
        <w:footnoteRef/>
      </w:r>
      <w:r w:rsidRPr="00C25367">
        <w:t xml:space="preserve"> Corte Constitucional, sentencia C-1064 de 2001, reiterada en la sentencia C-10</w:t>
      </w:r>
      <w:r w:rsidRPr="00C25367">
        <w:t xml:space="preserve">0 de 2013. </w:t>
      </w:r>
    </w:p>
  </w:footnote>
  <w:footnote w:id="193">
    <w:p w:rsidR="00A56D01" w:rsidRPr="00C25367" w:rsidRDefault="00DB3EEA" w:rsidP="00C25367">
      <w:pPr>
        <w:pStyle w:val="Textonotapie"/>
        <w:jc w:val="both"/>
      </w:pPr>
      <w:r w:rsidRPr="00C25367">
        <w:rPr>
          <w:rStyle w:val="Refdenotaalpie"/>
          <w:rFonts w:eastAsia="Calibri"/>
        </w:rPr>
        <w:footnoteRef/>
      </w:r>
      <w:r w:rsidRPr="00C25367">
        <w:t xml:space="preserve"> Corte Constitucional, sentencia C-304 de 2019.</w:t>
      </w:r>
    </w:p>
  </w:footnote>
  <w:footnote w:id="194">
    <w:p w:rsidR="00A56D01" w:rsidRPr="00C25367" w:rsidRDefault="00DB3EEA" w:rsidP="00C25367">
      <w:pPr>
        <w:pStyle w:val="Textonotapie"/>
        <w:jc w:val="both"/>
      </w:pPr>
      <w:r w:rsidRPr="00C25367">
        <w:rPr>
          <w:rStyle w:val="Refdenotaalpie"/>
          <w:rFonts w:eastAsia="Calibri"/>
        </w:rPr>
        <w:footnoteRef/>
      </w:r>
      <w:r w:rsidRPr="00C25367">
        <w:t xml:space="preserve"> Corte Constitucional, sentencias C-606 de 2019 y C-056 de 2019.</w:t>
      </w:r>
    </w:p>
  </w:footnote>
  <w:footnote w:id="195">
    <w:p w:rsidR="00A56D01" w:rsidRPr="00C25367" w:rsidRDefault="00DB3EEA" w:rsidP="00C25367">
      <w:pPr>
        <w:pStyle w:val="Textonotapie"/>
        <w:jc w:val="both"/>
      </w:pPr>
      <w:r w:rsidRPr="00C25367">
        <w:rPr>
          <w:rStyle w:val="Refdenotaalpie"/>
          <w:rFonts w:eastAsia="Calibri"/>
        </w:rPr>
        <w:footnoteRef/>
      </w:r>
      <w:r w:rsidRPr="00C25367">
        <w:t xml:space="preserve"> Corte Constitucional, sentencia C-056 de 2019. Ver también, sentencias C-600 de 2015 y C-169 de 2014.</w:t>
      </w:r>
    </w:p>
  </w:footnote>
  <w:footnote w:id="196">
    <w:p w:rsidR="00A56D01" w:rsidRPr="00C25367" w:rsidRDefault="00DB3EEA" w:rsidP="00C25367">
      <w:pPr>
        <w:pStyle w:val="Textonotapie"/>
        <w:jc w:val="both"/>
      </w:pPr>
      <w:r w:rsidRPr="00C25367">
        <w:rPr>
          <w:rStyle w:val="Refdenotaalpie"/>
          <w:rFonts w:eastAsia="Yu Gothic Light"/>
        </w:rPr>
        <w:footnoteRef/>
      </w:r>
      <w:r w:rsidRPr="00C25367">
        <w:t xml:space="preserve"> Corte Constitucional, s</w:t>
      </w:r>
      <w:r w:rsidRPr="00C25367">
        <w:t>entencias C-600 de 2015, C-120 de 2018 y C-056 de 2019.</w:t>
      </w:r>
    </w:p>
  </w:footnote>
  <w:footnote w:id="197">
    <w:p w:rsidR="00A56D01" w:rsidRPr="00C25367" w:rsidRDefault="00DB3EEA" w:rsidP="00C25367">
      <w:pPr>
        <w:pStyle w:val="Textonotapie"/>
        <w:jc w:val="both"/>
      </w:pPr>
      <w:r w:rsidRPr="00C25367">
        <w:rPr>
          <w:rStyle w:val="Refdenotaalpie"/>
          <w:rFonts w:eastAsia="Yu Gothic Light"/>
        </w:rPr>
        <w:footnoteRef/>
      </w:r>
      <w:r w:rsidRPr="00C25367">
        <w:t xml:space="preserve"> Corte Constitucional, sentencia C-169 de 2014. </w:t>
      </w:r>
    </w:p>
  </w:footnote>
  <w:footnote w:id="198">
    <w:p w:rsidR="00A56D01" w:rsidRPr="00C25367" w:rsidRDefault="00DB3EEA" w:rsidP="00C25367">
      <w:pPr>
        <w:pStyle w:val="Textonotapie"/>
        <w:jc w:val="both"/>
      </w:pPr>
      <w:r w:rsidRPr="00C25367">
        <w:rPr>
          <w:rStyle w:val="Refdenotaalpie"/>
          <w:rFonts w:eastAsia="Yu Gothic Light"/>
        </w:rPr>
        <w:footnoteRef/>
      </w:r>
      <w:r w:rsidRPr="00C25367">
        <w:t xml:space="preserve"> Corte Constitucional, sentencia C-606 de 2019.</w:t>
      </w:r>
    </w:p>
  </w:footnote>
  <w:footnote w:id="199">
    <w:p w:rsidR="00A56D01" w:rsidRPr="00C25367" w:rsidRDefault="00DB3EEA" w:rsidP="00C25367">
      <w:pPr>
        <w:pStyle w:val="Textonotapie"/>
        <w:jc w:val="both"/>
      </w:pPr>
      <w:r w:rsidRPr="00C25367">
        <w:rPr>
          <w:rStyle w:val="Refdenotaalpie"/>
          <w:rFonts w:eastAsia="Yu Gothic Light"/>
        </w:rPr>
        <w:footnoteRef/>
      </w:r>
      <w:r w:rsidRPr="00C25367">
        <w:t xml:space="preserve"> Corte Constitucional, sentencias C-100 de 2014, C-249 de 2013 y C-203 de 2021. </w:t>
      </w:r>
    </w:p>
  </w:footnote>
  <w:footnote w:id="200">
    <w:p w:rsidR="00A56D01" w:rsidRPr="00C25367" w:rsidRDefault="00DB3EEA" w:rsidP="00C25367">
      <w:pPr>
        <w:pStyle w:val="Textonotapie"/>
        <w:jc w:val="both"/>
      </w:pPr>
      <w:r w:rsidRPr="00C25367">
        <w:rPr>
          <w:rStyle w:val="Refdenotaalpie"/>
          <w:rFonts w:eastAsia="Yu Gothic Light"/>
        </w:rPr>
        <w:footnoteRef/>
      </w:r>
      <w:r w:rsidRPr="00C25367">
        <w:t xml:space="preserve"> Corte Constitucional, sentencia C-266 de 2019.</w:t>
      </w:r>
    </w:p>
  </w:footnote>
  <w:footnote w:id="201">
    <w:p w:rsidR="00092EE0" w:rsidRPr="00C25367" w:rsidRDefault="00DB3EEA" w:rsidP="00C25367">
      <w:pPr>
        <w:pStyle w:val="Textonotapie"/>
        <w:jc w:val="both"/>
      </w:pPr>
      <w:r w:rsidRPr="00C25367">
        <w:rPr>
          <w:rStyle w:val="Refdenotaalpie"/>
        </w:rPr>
        <w:footnoteRef/>
      </w:r>
      <w:r w:rsidRPr="00C25367">
        <w:t xml:space="preserve"> Expediente digital, archivo “Concepto – Instituto Colombiano de Derecho Tributario”. Folio 10. Disponible en: </w:t>
      </w:r>
      <w:hyperlink r:id="rId120" w:history="1">
        <w:r w:rsidRPr="00C25367">
          <w:rPr>
            <w:rStyle w:val="Hipervnculo"/>
          </w:rPr>
          <w:t>https://www.corteconstitucional.gov.co/secretaria/expediente?proceso=1&amp;expediente=D0016314&amp;lista=datosExpedientes_</w:t>
        </w:r>
        <w:r w:rsidRPr="00C25367">
          <w:rPr>
            <w:rStyle w:val="Hipervnculo"/>
          </w:rPr>
          <w:t>1761103971974</w:t>
        </w:r>
      </w:hyperlink>
      <w:r w:rsidRPr="00C25367">
        <w:t xml:space="preserve"> </w:t>
      </w:r>
    </w:p>
  </w:footnote>
  <w:footnote w:id="202">
    <w:p w:rsidR="00C25367" w:rsidRPr="00C25367" w:rsidRDefault="00DB3EEA" w:rsidP="00C25367">
      <w:pPr>
        <w:pStyle w:val="Textonotapie"/>
        <w:jc w:val="both"/>
        <w:rPr>
          <w:lang w:val="es-ES"/>
        </w:rPr>
      </w:pPr>
      <w:r w:rsidRPr="00C25367">
        <w:rPr>
          <w:rStyle w:val="Refdenotaalpie"/>
        </w:rPr>
        <w:footnoteRef/>
      </w:r>
      <w:r w:rsidRPr="00C25367">
        <w:t xml:space="preserve"> </w:t>
      </w:r>
      <w:r w:rsidRPr="00C25367">
        <w:rPr>
          <w:lang w:val="es-ES"/>
        </w:rPr>
        <w:t>M.P María Victoria Calle Correa.</w:t>
      </w:r>
    </w:p>
  </w:footnote>
  <w:footnote w:id="203">
    <w:p w:rsidR="00C25367" w:rsidRPr="00C25367" w:rsidRDefault="00DB3EEA" w:rsidP="00C25367">
      <w:pPr>
        <w:pStyle w:val="Textonotapie"/>
        <w:jc w:val="both"/>
      </w:pPr>
      <w:r w:rsidRPr="00C25367">
        <w:rPr>
          <w:rStyle w:val="Refdenotaalpie"/>
        </w:rPr>
        <w:footnoteRef/>
      </w:r>
      <w:r w:rsidRPr="00C25367">
        <w:t xml:space="preserve"> M.P Gloria Stella Ortiz Delgado</w:t>
      </w:r>
    </w:p>
  </w:footnote>
  <w:footnote w:id="204">
    <w:p w:rsidR="00C25367" w:rsidRPr="00C25367" w:rsidRDefault="00DB3EEA" w:rsidP="00C25367">
      <w:pPr>
        <w:pStyle w:val="Textonotapie"/>
        <w:jc w:val="both"/>
      </w:pPr>
      <w:r w:rsidRPr="00C25367">
        <w:rPr>
          <w:rStyle w:val="Refdenotaalpie"/>
        </w:rPr>
        <w:footnoteRef/>
      </w:r>
      <w:r w:rsidRPr="00C25367">
        <w:t xml:space="preserve"> M.P Alejandro Linares Cantillo.</w:t>
      </w:r>
    </w:p>
  </w:footnote>
  <w:footnote w:id="205">
    <w:p w:rsidR="00C25367" w:rsidRPr="00C25367" w:rsidRDefault="00DB3EEA" w:rsidP="00C25367">
      <w:pPr>
        <w:pStyle w:val="Textonotapie"/>
        <w:jc w:val="both"/>
      </w:pPr>
      <w:r w:rsidRPr="00C25367">
        <w:rPr>
          <w:rStyle w:val="Refdenotaalpie"/>
        </w:rPr>
        <w:footnoteRef/>
      </w:r>
      <w:r w:rsidRPr="00C25367">
        <w:t xml:space="preserve"> M.P Alberto Rojas Ríos.</w:t>
      </w:r>
    </w:p>
  </w:footnote>
  <w:footnote w:id="206">
    <w:p w:rsidR="00A03133" w:rsidRPr="00C25367" w:rsidRDefault="00DB3EEA" w:rsidP="00C25367">
      <w:pPr>
        <w:pStyle w:val="Textonotapie"/>
        <w:jc w:val="both"/>
      </w:pPr>
      <w:r w:rsidRPr="00C25367">
        <w:rPr>
          <w:rStyle w:val="Refdenotaalpie"/>
        </w:rPr>
        <w:footnoteRef/>
      </w:r>
      <w:r w:rsidRPr="00C25367">
        <w:t xml:space="preserve"> Expediente digital, archivo “Demanda ciudadana”, folio 15. Disponible en: </w:t>
      </w:r>
      <w:hyperlink r:id="rId121" w:history="1">
        <w:r w:rsidRPr="00C25367">
          <w:rPr>
            <w:rStyle w:val="Hipervnculo"/>
          </w:rPr>
          <w:t>https://www.corteconstitucional.gov.co/secretaria/expediente?proceso=1&amp;expediente=D0016314&amp;lista=datosExpedientes_1761103971974</w:t>
        </w:r>
      </w:hyperlink>
    </w:p>
  </w:footnote>
  <w:footnote w:id="207">
    <w:p w:rsidR="00A03133" w:rsidRPr="00C25367" w:rsidRDefault="00DB3EEA" w:rsidP="00C25367">
      <w:pPr>
        <w:pStyle w:val="Textonotapie"/>
        <w:jc w:val="both"/>
      </w:pPr>
      <w:r w:rsidRPr="00C25367">
        <w:rPr>
          <w:rStyle w:val="Refdenotaalpie"/>
        </w:rPr>
        <w:footnoteRef/>
      </w:r>
      <w:r w:rsidRPr="00C25367">
        <w:t xml:space="preserve"> Constitución Polít</w:t>
      </w:r>
      <w:r w:rsidRPr="00C25367">
        <w:t>ica de Colombia. Artículo 150-19, ordinal c)</w:t>
      </w:r>
    </w:p>
  </w:footnote>
  <w:footnote w:id="208">
    <w:p w:rsidR="00A03133" w:rsidRPr="00C25367" w:rsidRDefault="00DB3EEA" w:rsidP="00C25367">
      <w:pPr>
        <w:pStyle w:val="Textonotapie"/>
        <w:jc w:val="both"/>
      </w:pPr>
      <w:r w:rsidRPr="00C25367">
        <w:rPr>
          <w:rStyle w:val="Refdenotaalpie"/>
        </w:rPr>
        <w:footnoteRef/>
      </w:r>
      <w:r w:rsidRPr="00C25367">
        <w:t xml:space="preserve"> Corte Constitucional. Sentencia C-441 de 2021.</w:t>
      </w:r>
    </w:p>
  </w:footnote>
  <w:footnote w:id="209">
    <w:p w:rsidR="00B447A4" w:rsidRPr="00C25367" w:rsidRDefault="00DB3EEA" w:rsidP="00C25367">
      <w:pPr>
        <w:pStyle w:val="Textonotapie"/>
        <w:jc w:val="both"/>
      </w:pPr>
      <w:r w:rsidRPr="00C25367">
        <w:rPr>
          <w:rStyle w:val="Refdenotaalpie"/>
        </w:rPr>
        <w:footnoteRef/>
      </w:r>
      <w:r w:rsidRPr="00C25367">
        <w:t xml:space="preserve"> Corte Constitucional. Sentencia C-026 de 2020. M.P. Alejandro Linares Cantillo. Fundamento Jurídico 34.</w:t>
      </w:r>
    </w:p>
  </w:footnote>
  <w:footnote w:id="210">
    <w:p w:rsidR="00E630B4" w:rsidRPr="00C25367" w:rsidRDefault="00DB3EEA" w:rsidP="00C25367">
      <w:pPr>
        <w:pStyle w:val="Textonotapie"/>
        <w:jc w:val="both"/>
      </w:pPr>
      <w:r w:rsidRPr="00C25367">
        <w:rPr>
          <w:rStyle w:val="Refdenotaalpie"/>
        </w:rPr>
        <w:footnoteRef/>
      </w:r>
      <w:r w:rsidRPr="00C25367">
        <w:t xml:space="preserve"> </w:t>
      </w:r>
      <w:r w:rsidRPr="00C25367">
        <w:t>Corte Constitucional. Sentencia C-026 de 2020. M.P. Al</w:t>
      </w:r>
      <w:r w:rsidRPr="00C25367">
        <w:t>ejandro Linares Cantillo. Fundamento Jurídico 41.</w:t>
      </w:r>
    </w:p>
  </w:footnote>
  <w:footnote w:id="211">
    <w:p w:rsidR="001F77B4" w:rsidRPr="00C25367" w:rsidRDefault="00DB3EEA" w:rsidP="00C25367">
      <w:pPr>
        <w:pStyle w:val="Textonotapie"/>
        <w:jc w:val="both"/>
      </w:pPr>
      <w:r w:rsidRPr="00C25367">
        <w:rPr>
          <w:rStyle w:val="Refdenotaalpie"/>
        </w:rPr>
        <w:footnoteRef/>
      </w:r>
      <w:r w:rsidRPr="00C25367">
        <w:t xml:space="preserve"> </w:t>
      </w:r>
      <w:r w:rsidRPr="00C25367">
        <w:t>Corte Constitucional. Sentencia C-510 de 1992. Acápite 4.</w:t>
      </w:r>
    </w:p>
  </w:footnote>
  <w:footnote w:id="212">
    <w:p w:rsidR="001A27C3" w:rsidRPr="00C25367" w:rsidRDefault="00DB3EEA" w:rsidP="00C25367">
      <w:pPr>
        <w:pStyle w:val="Textonotapie"/>
        <w:jc w:val="both"/>
      </w:pPr>
      <w:r w:rsidRPr="00C25367">
        <w:rPr>
          <w:rStyle w:val="Refdenotaalpie"/>
        </w:rPr>
        <w:footnoteRef/>
      </w:r>
      <w:r w:rsidRPr="00C25367">
        <w:t xml:space="preserve"> El Ministerio de Hacienda y Crédito Público, ex</w:t>
      </w:r>
      <w:r w:rsidRPr="00C25367">
        <w:t xml:space="preserve">plicaron que la determinación cuestionada se limita a establecer la base gravable reconociendo </w:t>
      </w:r>
      <w:r w:rsidRPr="00C25367">
        <w:t>las diferencias de los hechos generados. Además, se fundamentó en l</w:t>
      </w:r>
      <w:r w:rsidRPr="00C25367">
        <w:t xml:space="preserve">a formula empleada en el artículo 459 del Estatuto Tributario. </w:t>
      </w:r>
    </w:p>
  </w:footnote>
  <w:footnote w:id="213">
    <w:p w:rsidR="00DD3C01" w:rsidRPr="00C25367" w:rsidRDefault="00DB3EEA" w:rsidP="00C25367">
      <w:pPr>
        <w:pStyle w:val="Textonotapie"/>
        <w:jc w:val="both"/>
      </w:pPr>
      <w:r w:rsidRPr="00C25367">
        <w:rPr>
          <w:rStyle w:val="Refdenotaalpie"/>
        </w:rPr>
        <w:footnoteRef/>
      </w:r>
      <w:r w:rsidRPr="00C25367">
        <w:t xml:space="preserve"> </w:t>
      </w:r>
      <w:r w:rsidRPr="00C25367">
        <w:t xml:space="preserve">Corte Constitucional. Sentencia C-435 de 2023. Fundamento Jurídico </w:t>
      </w:r>
      <w:r w:rsidRPr="00C25367">
        <w:t>96.</w:t>
      </w:r>
    </w:p>
  </w:footnote>
  <w:footnote w:id="214">
    <w:p w:rsidR="00AB1046" w:rsidRPr="00C25367" w:rsidRDefault="00DB3EEA" w:rsidP="00C25367">
      <w:pPr>
        <w:pStyle w:val="Textonotapie"/>
        <w:jc w:val="both"/>
      </w:pPr>
      <w:r w:rsidRPr="00C25367">
        <w:rPr>
          <w:rStyle w:val="Refdenotaalpie"/>
        </w:rPr>
        <w:footnoteRef/>
      </w:r>
      <w:r w:rsidRPr="00C25367">
        <w:t xml:space="preserve"> </w:t>
      </w:r>
      <w:r w:rsidRPr="00C25367">
        <w:t>Corte Constitucional. Sentencia C-435 de 2023. Fun</w:t>
      </w:r>
      <w:r w:rsidRPr="00C25367">
        <w:t>damento Jurídico 107.</w:t>
      </w:r>
    </w:p>
  </w:footnote>
  <w:footnote w:id="215">
    <w:p w:rsidR="007B5FE8" w:rsidRDefault="00DB3EEA" w:rsidP="00C25367">
      <w:pPr>
        <w:pStyle w:val="Textonotapie"/>
        <w:jc w:val="both"/>
      </w:pPr>
      <w:r w:rsidRPr="00C25367">
        <w:rPr>
          <w:rStyle w:val="Refdenotaalpie"/>
        </w:rPr>
        <w:footnoteRef/>
      </w:r>
      <w:r w:rsidRPr="00C25367">
        <w:t xml:space="preserve"> Ibidem.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9E351B"/>
    <w:multiLevelType w:val="hybridMultilevel"/>
    <w:tmpl w:val="2DDE22EE"/>
    <w:lvl w:ilvl="0" w:tplc="5A76D76E">
      <w:start w:val="1"/>
      <w:numFmt w:val="lowerRoman"/>
      <w:suff w:val="space"/>
      <w:lvlText w:val="(%1)"/>
      <w:lvlJc w:val="left"/>
      <w:pPr>
        <w:ind w:left="0" w:firstLine="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11077701"/>
    <w:multiLevelType w:val="multilevel"/>
    <w:tmpl w:val="C0507532"/>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2" w15:restartNumberingAfterBreak="0">
    <w:nsid w:val="4ABB39F4"/>
    <w:multiLevelType w:val="hybridMultilevel"/>
    <w:tmpl w:val="BA863AF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5F1E571F"/>
    <w:multiLevelType w:val="hybridMultilevel"/>
    <w:tmpl w:val="ECE46E0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6E225A13"/>
    <w:multiLevelType w:val="hybridMultilevel"/>
    <w:tmpl w:val="8E84EA88"/>
    <w:lvl w:ilvl="0" w:tplc="A4F4BD46">
      <w:start w:val="1"/>
      <w:numFmt w:val="decimal"/>
      <w:lvlText w:val="%1."/>
      <w:lvlJc w:val="left"/>
      <w:pPr>
        <w:ind w:left="1070" w:hanging="360"/>
      </w:pPr>
      <w:rPr>
        <w:rFonts w:hint="default"/>
        <w:b w:val="0"/>
        <w:bCs w:val="0"/>
        <w:i w:val="0"/>
        <w:iCs w:val="0"/>
        <w:sz w:val="28"/>
        <w:szCs w:val="28"/>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5" w15:restartNumberingAfterBreak="0">
    <w:nsid w:val="706D49BF"/>
    <w:multiLevelType w:val="multilevel"/>
    <w:tmpl w:val="136C752A"/>
    <w:lvl w:ilvl="0">
      <w:start w:val="1"/>
      <w:numFmt w:val="decimal"/>
      <w:lvlText w:val="%1."/>
      <w:lvlJc w:val="left"/>
      <w:pPr>
        <w:ind w:left="360" w:hanging="360"/>
      </w:pPr>
      <w:rPr>
        <w:rFonts w:hint="default"/>
        <w:b/>
      </w:rPr>
    </w:lvl>
    <w:lvl w:ilvl="1">
      <w:start w:val="1"/>
      <w:numFmt w:val="decimal"/>
      <w:isLgl/>
      <w:lvlText w:val="%1.%2."/>
      <w:lvlJc w:val="left"/>
      <w:pPr>
        <w:ind w:left="720" w:hanging="720"/>
      </w:pPr>
      <w:rPr>
        <w:rFonts w:hint="default"/>
        <w:b/>
        <w:bCs w:val="0"/>
        <w:u w:val="none"/>
      </w:rPr>
    </w:lvl>
    <w:lvl w:ilvl="2">
      <w:start w:val="1"/>
      <w:numFmt w:val="decimal"/>
      <w:isLgl/>
      <w:lvlText w:val="%1.%2.%3."/>
      <w:lvlJc w:val="left"/>
      <w:pPr>
        <w:ind w:left="720" w:hanging="720"/>
      </w:pPr>
      <w:rPr>
        <w:rFonts w:hint="default"/>
        <w:b w:val="0"/>
        <w:bCs/>
        <w:u w:val="single"/>
      </w:rPr>
    </w:lvl>
    <w:lvl w:ilvl="3">
      <w:start w:val="1"/>
      <w:numFmt w:val="decimal"/>
      <w:isLgl/>
      <w:lvlText w:val="%1.%2.%3.%4."/>
      <w:lvlJc w:val="left"/>
      <w:pPr>
        <w:ind w:left="1080" w:hanging="1080"/>
      </w:pPr>
      <w:rPr>
        <w:rFonts w:hint="default"/>
        <w:b/>
      </w:rPr>
    </w:lvl>
    <w:lvl w:ilvl="4">
      <w:start w:val="1"/>
      <w:numFmt w:val="decimal"/>
      <w:isLgl/>
      <w:lvlText w:val="%1.%2.%3.%4.%5."/>
      <w:lvlJc w:val="left"/>
      <w:pPr>
        <w:ind w:left="1080" w:hanging="1080"/>
      </w:pPr>
      <w:rPr>
        <w:rFonts w:hint="default"/>
        <w:b/>
      </w:rPr>
    </w:lvl>
    <w:lvl w:ilvl="5">
      <w:start w:val="1"/>
      <w:numFmt w:val="decimal"/>
      <w:isLgl/>
      <w:lvlText w:val="%1.%2.%3.%4.%5.%6."/>
      <w:lvlJc w:val="left"/>
      <w:pPr>
        <w:ind w:left="1440" w:hanging="1440"/>
      </w:pPr>
      <w:rPr>
        <w:rFonts w:hint="default"/>
        <w:b/>
      </w:rPr>
    </w:lvl>
    <w:lvl w:ilvl="6">
      <w:start w:val="1"/>
      <w:numFmt w:val="decimal"/>
      <w:isLgl/>
      <w:lvlText w:val="%1.%2.%3.%4.%5.%6.%7."/>
      <w:lvlJc w:val="left"/>
      <w:pPr>
        <w:ind w:left="1800" w:hanging="1800"/>
      </w:pPr>
      <w:rPr>
        <w:rFonts w:hint="default"/>
        <w:b/>
      </w:rPr>
    </w:lvl>
    <w:lvl w:ilvl="7">
      <w:start w:val="1"/>
      <w:numFmt w:val="decimal"/>
      <w:isLgl/>
      <w:lvlText w:val="%1.%2.%3.%4.%5.%6.%7.%8."/>
      <w:lvlJc w:val="left"/>
      <w:pPr>
        <w:ind w:left="1800" w:hanging="1800"/>
      </w:pPr>
      <w:rPr>
        <w:rFonts w:hint="default"/>
        <w:b/>
      </w:rPr>
    </w:lvl>
    <w:lvl w:ilvl="8">
      <w:start w:val="1"/>
      <w:numFmt w:val="decimal"/>
      <w:isLgl/>
      <w:lvlText w:val="%1.%2.%3.%4.%5.%6.%7.%8.%9."/>
      <w:lvlJc w:val="left"/>
      <w:pPr>
        <w:ind w:left="2160" w:hanging="2160"/>
      </w:pPr>
      <w:rPr>
        <w:rFonts w:hint="default"/>
        <w:b/>
      </w:rPr>
    </w:lvl>
  </w:abstractNum>
  <w:num w:numId="1">
    <w:abstractNumId w:val="4"/>
  </w:num>
  <w:num w:numId="2">
    <w:abstractNumId w:val="5"/>
  </w:num>
  <w:num w:numId="3">
    <w:abstractNumId w:val="1"/>
  </w:num>
  <w:num w:numId="4">
    <w:abstractNumId w:val="0"/>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100"/>
  <w:embedSystemFonts/>
  <w:bordersDoNotSurroundHeader/>
  <w:bordersDoNotSurroundFooter/>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Setting w:name="useWord2013TrackBottomHyphenation" w:uri="http://schemas.microsoft.com/office/word" w:val="0"/>
  </w:compat>
  <w:rsids>
    <w:rsidRoot w:val="00396362"/>
    <w:rsid w:val="00396362"/>
    <w:rsid w:val="00794F0C"/>
    <w:rsid w:val="00DB3EE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efaultImageDpi w14:val="0"/>
  <w15:docId w15:val="{2F01179C-7FFE-4C63-B234-78C4212DA5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2">
    <w:name w:val="heading 2"/>
    <w:basedOn w:val="Normal"/>
    <w:next w:val="Normal"/>
    <w:link w:val="Ttulo2Car"/>
    <w:uiPriority w:val="9"/>
    <w:semiHidden/>
    <w:unhideWhenUsed/>
    <w:qFormat/>
    <w:rsid w:val="00434109"/>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930A5C"/>
    <w:pPr>
      <w:keepNext/>
      <w:keepLines/>
      <w:spacing w:before="40"/>
      <w:outlineLvl w:val="2"/>
    </w:pPr>
    <w:rPr>
      <w:rFonts w:asciiTheme="majorHAnsi" w:eastAsiaTheme="majorEastAsia" w:hAnsiTheme="majorHAnsi" w:cstheme="majorBidi"/>
      <w:color w:val="1F3763" w:themeColor="accent1" w:themeShade="7F"/>
    </w:rPr>
  </w:style>
  <w:style w:type="paragraph" w:styleId="Ttulo6">
    <w:name w:val="heading 6"/>
    <w:basedOn w:val="Normal"/>
    <w:next w:val="Normal"/>
    <w:link w:val="Ttulo6Car"/>
    <w:uiPriority w:val="9"/>
    <w:semiHidden/>
    <w:unhideWhenUsed/>
    <w:qFormat/>
    <w:rsid w:val="00902297"/>
    <w:pPr>
      <w:keepNext/>
      <w:keepLines/>
      <w:spacing w:before="40"/>
      <w:outlineLvl w:val="5"/>
    </w:pPr>
    <w:rPr>
      <w:rFonts w:eastAsiaTheme="majorEastAsia" w:cstheme="majorBidi"/>
      <w:i/>
      <w:iCs/>
      <w:color w:val="595959" w:themeColor="text1" w:themeTint="A6"/>
      <w:kern w:val="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uiPriority w:val="9"/>
    <w:semiHidden/>
    <w:rsid w:val="00434109"/>
    <w:rPr>
      <w:rFonts w:asciiTheme="majorHAnsi" w:eastAsiaTheme="majorEastAsia" w:hAnsiTheme="majorHAnsi" w:cstheme="majorBidi"/>
      <w:color w:val="2F5496" w:themeColor="accent1" w:themeShade="BF"/>
      <w:sz w:val="26"/>
      <w:szCs w:val="26"/>
      <w:lang w:eastAsia="es-MX"/>
    </w:rPr>
  </w:style>
  <w:style w:type="character" w:customStyle="1" w:styleId="Ttulo3Car">
    <w:name w:val="Título 3 Car"/>
    <w:basedOn w:val="Fuentedeprrafopredeter"/>
    <w:link w:val="Ttulo3"/>
    <w:uiPriority w:val="9"/>
    <w:semiHidden/>
    <w:rsid w:val="00930A5C"/>
    <w:rPr>
      <w:rFonts w:asciiTheme="majorHAnsi" w:eastAsiaTheme="majorEastAsia" w:hAnsiTheme="majorHAnsi" w:cstheme="majorBidi"/>
      <w:color w:val="1F3763" w:themeColor="accent1" w:themeShade="7F"/>
      <w:sz w:val="24"/>
      <w:szCs w:val="24"/>
      <w:lang w:eastAsia="es-MX"/>
    </w:rPr>
  </w:style>
  <w:style w:type="character" w:customStyle="1" w:styleId="Ttulo6Car">
    <w:name w:val="Título 6 Car"/>
    <w:basedOn w:val="Fuentedeprrafopredeter"/>
    <w:link w:val="Ttulo6"/>
    <w:uiPriority w:val="9"/>
    <w:semiHidden/>
    <w:rsid w:val="00902297"/>
    <w:rPr>
      <w:rFonts w:asciiTheme="minorHAnsi" w:eastAsiaTheme="majorEastAsia" w:hAnsiTheme="minorHAnsi" w:cstheme="majorBidi"/>
      <w:i/>
      <w:iCs/>
      <w:color w:val="595959" w:themeColor="text1" w:themeTint="A6"/>
      <w:kern w:val="2"/>
    </w:rPr>
  </w:style>
  <w:style w:type="paragraph" w:styleId="Textonotapie">
    <w:name w:val="footnote text"/>
    <w:aliases w:val="Footnote Text Char Char Char Char Char,Footnote Text Char Char Char Char,Footnote reference,FA Fu,texto de nota al pie,Footnote Text Char Char Char,Footnote Text Char,Footnote Text Char Char Char Char Char Char Char Cha,Ref. de nota al pi"/>
    <w:basedOn w:val="Normal"/>
    <w:link w:val="TextonotapieCar"/>
    <w:uiPriority w:val="99"/>
    <w:unhideWhenUsed/>
    <w:qFormat/>
    <w:rsid w:val="00673952"/>
    <w:rPr>
      <w:sz w:val="20"/>
      <w:szCs w:val="20"/>
    </w:rPr>
  </w:style>
  <w:style w:type="character" w:customStyle="1" w:styleId="TextonotapieCar">
    <w:name w:val="Texto nota pie Car"/>
    <w:aliases w:val="Footnote Text Char Char Char Char Char Car1,Footnote Text Char Char Char Char Car1,Footnote reference Car1,FA Fu Car1,texto de nota al pie Car1,Footnote Text Char Char Char Car1,Footnote Text Char Car1,Ref. de nota al pi Car"/>
    <w:basedOn w:val="Fuentedeprrafopredeter"/>
    <w:link w:val="Textonotapie"/>
    <w:uiPriority w:val="99"/>
    <w:qFormat/>
    <w:rsid w:val="00673952"/>
    <w:rPr>
      <w:sz w:val="20"/>
      <w:szCs w:val="20"/>
    </w:rPr>
  </w:style>
  <w:style w:type="character" w:styleId="Refdenotaalpie">
    <w:name w:val="footnote reference"/>
    <w:aliases w:val="Texto de nota al pie,Footnotes refss,Appel note de bas de page,Ref. de nota al pie 2,referencia nota al pie,Fago Fußnotenzeichen,Footnote number,BVI fnr,f,4_G,16 Point,Superscript 6 Point,Texto nota al pie,Footnote Reference Char3,FC"/>
    <w:basedOn w:val="Fuentedeprrafopredeter"/>
    <w:link w:val="4GChar"/>
    <w:uiPriority w:val="99"/>
    <w:unhideWhenUsed/>
    <w:qFormat/>
    <w:rsid w:val="00673952"/>
    <w:rPr>
      <w:vertAlign w:val="superscript"/>
    </w:rPr>
  </w:style>
  <w:style w:type="paragraph" w:customStyle="1" w:styleId="4GChar">
    <w:name w:val="4_G Char"/>
    <w:aliases w:val="Appel note de bas de page Char,Appel note de bas de page Char Char Char Char Char Char Char Char Char Char Char Char Char Char Char Char Char Char Char,Appel note de bas de page Char Char Char Char"/>
    <w:basedOn w:val="Normal"/>
    <w:link w:val="Refdenotaalpie"/>
    <w:uiPriority w:val="99"/>
    <w:qFormat/>
    <w:rsid w:val="00A5492F"/>
    <w:rPr>
      <w:vertAlign w:val="superscript"/>
    </w:rPr>
  </w:style>
  <w:style w:type="character" w:styleId="Hipervnculo">
    <w:name w:val="Hyperlink"/>
    <w:basedOn w:val="Fuentedeprrafopredeter"/>
    <w:uiPriority w:val="99"/>
    <w:unhideWhenUsed/>
    <w:rsid w:val="00673952"/>
    <w:rPr>
      <w:color w:val="0563C1" w:themeColor="hyperlink"/>
      <w:u w:val="single"/>
    </w:rPr>
  </w:style>
  <w:style w:type="character" w:styleId="Mencinsinresolver">
    <w:name w:val="Unresolved Mention"/>
    <w:basedOn w:val="Fuentedeprrafopredeter"/>
    <w:uiPriority w:val="99"/>
    <w:semiHidden/>
    <w:unhideWhenUsed/>
    <w:rsid w:val="00673952"/>
    <w:rPr>
      <w:color w:val="605E5C"/>
      <w:shd w:val="clear" w:color="auto" w:fill="E1DFDD"/>
    </w:rPr>
  </w:style>
  <w:style w:type="paragraph" w:styleId="Prrafodelista">
    <w:name w:val="List Paragraph"/>
    <w:aliases w:val="List1,titulo 3,Párrafo de lista1,Bullets,Párrafo de lista2,Dot pt,F5 List Paragraph,Normal1,párrafos sentencia,Colorful List - Accent 11,Ha,List Paragraph1,lp1,List Paragraph2,Lista vistosa - Énfasis 11,Normal2,No Spacing1,Lista1"/>
    <w:basedOn w:val="Normal"/>
    <w:link w:val="PrrafodelistaCar"/>
    <w:uiPriority w:val="34"/>
    <w:qFormat/>
    <w:rsid w:val="00673952"/>
    <w:pPr>
      <w:ind w:left="720"/>
      <w:contextualSpacing/>
    </w:pPr>
  </w:style>
  <w:style w:type="character" w:customStyle="1" w:styleId="PrrafodelistaCar">
    <w:name w:val="Párrafo de lista Car"/>
    <w:aliases w:val="List1 Car,titulo 3 Car,Párrafo de lista1 Car,Bullets Car,Párrafo de lista2 Car,Dot pt Car,F5 List Paragraph Car,Normal1 Car,párrafos sentencia Car,Colorful List - Accent 11 Car,Ha Car,List Paragraph1 Car,lp1 Car,List Paragraph2 Car"/>
    <w:link w:val="Prrafodelista"/>
    <w:uiPriority w:val="34"/>
    <w:qFormat/>
    <w:locked/>
    <w:rsid w:val="00B9100B"/>
    <w:rPr>
      <w:rFonts w:eastAsia="Times New Roman" w:cs="Times New Roman"/>
      <w:sz w:val="24"/>
      <w:szCs w:val="24"/>
      <w:lang w:eastAsia="es-MX"/>
    </w:rPr>
  </w:style>
  <w:style w:type="character" w:customStyle="1" w:styleId="TextonotapieCar1">
    <w:name w:val="Texto nota pie Car1"/>
    <w:aliases w:val="Footnote Text Char Char Char Char Char Car,Footnote Text Char Char Char Char Car,Footnote reference Car,FA Fu Car,texto de nota al pie Car,Footnote Text Char Char Char Car,Footnote Text Char Car,Ref. de nota al pie1 Car,ft Car"/>
    <w:uiPriority w:val="99"/>
    <w:qFormat/>
    <w:locked/>
    <w:rsid w:val="00A5492F"/>
    <w:rPr>
      <w:rFonts w:ascii="Times New Roman" w:eastAsia="Calibri" w:hAnsi="Times New Roman" w:cs="Times New Roman"/>
      <w:sz w:val="20"/>
      <w:szCs w:val="20"/>
      <w:lang w:val="es-ES" w:eastAsia="es-ES"/>
    </w:rPr>
  </w:style>
  <w:style w:type="paragraph" w:styleId="Encabezado">
    <w:name w:val="header"/>
    <w:basedOn w:val="Normal"/>
    <w:link w:val="EncabezadoCar"/>
    <w:uiPriority w:val="99"/>
    <w:unhideWhenUsed/>
    <w:rsid w:val="00A5492F"/>
    <w:pPr>
      <w:tabs>
        <w:tab w:val="center" w:pos="4419"/>
        <w:tab w:val="right" w:pos="8838"/>
      </w:tabs>
    </w:pPr>
  </w:style>
  <w:style w:type="character" w:customStyle="1" w:styleId="EncabezadoCar">
    <w:name w:val="Encabezado Car"/>
    <w:basedOn w:val="Fuentedeprrafopredeter"/>
    <w:link w:val="Encabezado"/>
    <w:uiPriority w:val="99"/>
    <w:rsid w:val="00A5492F"/>
  </w:style>
  <w:style w:type="paragraph" w:styleId="Piedepgina">
    <w:name w:val="footer"/>
    <w:basedOn w:val="Normal"/>
    <w:link w:val="PiedepginaCar"/>
    <w:uiPriority w:val="99"/>
    <w:unhideWhenUsed/>
    <w:rsid w:val="00A5492F"/>
    <w:pPr>
      <w:tabs>
        <w:tab w:val="center" w:pos="4419"/>
        <w:tab w:val="right" w:pos="8838"/>
      </w:tabs>
    </w:pPr>
  </w:style>
  <w:style w:type="character" w:customStyle="1" w:styleId="PiedepginaCar">
    <w:name w:val="Pie de página Car"/>
    <w:basedOn w:val="Fuentedeprrafopredeter"/>
    <w:link w:val="Piedepgina"/>
    <w:uiPriority w:val="99"/>
    <w:rsid w:val="00A5492F"/>
  </w:style>
  <w:style w:type="paragraph" w:styleId="NormalWeb">
    <w:name w:val="Normal (Web)"/>
    <w:basedOn w:val="Normal"/>
    <w:uiPriority w:val="99"/>
    <w:unhideWhenUsed/>
    <w:rsid w:val="003B3285"/>
  </w:style>
  <w:style w:type="character" w:customStyle="1" w:styleId="CommentReference1">
    <w:name w:val="Comment Reference1"/>
    <w:basedOn w:val="Fuentedeprrafopredeter"/>
    <w:uiPriority w:val="99"/>
    <w:semiHidden/>
    <w:unhideWhenUsed/>
    <w:rsid w:val="00D2117B"/>
    <w:rPr>
      <w:sz w:val="16"/>
      <w:szCs w:val="16"/>
    </w:rPr>
  </w:style>
  <w:style w:type="paragraph" w:styleId="Revisin">
    <w:name w:val="Revision"/>
    <w:hidden/>
    <w:uiPriority w:val="99"/>
    <w:semiHidden/>
    <w:rsid w:val="0089624B"/>
  </w:style>
  <w:style w:type="paragraph" w:customStyle="1" w:styleId="Refdenotaalpie2">
    <w:name w:val="Ref. de nota al pie2"/>
    <w:aliases w:val="Pie de pagina,Nota de pie"/>
    <w:basedOn w:val="Normal"/>
    <w:uiPriority w:val="99"/>
    <w:qFormat/>
    <w:rsid w:val="00AE40CB"/>
    <w:pPr>
      <w:spacing w:line="240" w:lineRule="exact"/>
    </w:pPr>
    <w:rPr>
      <w:rFonts w:ascii="Calibri" w:eastAsia="Calibri" w:hAnsi="Calibri" w:cs="Calibri"/>
      <w:vertAlign w:val="superscript"/>
    </w:rPr>
  </w:style>
  <w:style w:type="character" w:styleId="Hipervnculovisitado">
    <w:name w:val="FollowedHyperlink"/>
    <w:basedOn w:val="Fuentedeprrafopredeter"/>
    <w:uiPriority w:val="99"/>
    <w:semiHidden/>
    <w:unhideWhenUsed/>
    <w:rsid w:val="00FC40E7"/>
    <w:rPr>
      <w:color w:val="954F72" w:themeColor="followedHyperlink"/>
      <w:u w:val="single"/>
    </w:rPr>
  </w:style>
  <w:style w:type="paragraph" w:styleId="Textodeglobo">
    <w:name w:val="Balloon Text"/>
    <w:basedOn w:val="Normal"/>
    <w:link w:val="TextodegloboCar"/>
    <w:uiPriority w:val="99"/>
    <w:semiHidden/>
    <w:unhideWhenUsed/>
    <w:rsid w:val="00257E30"/>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57E30"/>
    <w:rPr>
      <w:rFonts w:ascii="Segoe UI" w:hAnsi="Segoe UI" w:cs="Segoe UI"/>
      <w:sz w:val="18"/>
      <w:szCs w:val="18"/>
    </w:rPr>
  </w:style>
  <w:style w:type="table" w:styleId="Tablaconcuadrcula">
    <w:name w:val="Table Grid"/>
    <w:basedOn w:val="Tablanormal"/>
    <w:uiPriority w:val="39"/>
    <w:rsid w:val="00F055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tentpasted0">
    <w:name w:val="contentpasted0"/>
    <w:basedOn w:val="Fuentedeprrafopredeter"/>
    <w:rsid w:val="00420B15"/>
  </w:style>
  <w:style w:type="character" w:customStyle="1" w:styleId="apple-converted-space">
    <w:name w:val="apple-converted-space"/>
    <w:basedOn w:val="Fuentedeprrafopredeter"/>
    <w:rsid w:val="00A4510F"/>
  </w:style>
  <w:style w:type="paragraph" w:styleId="Sinespaciado">
    <w:name w:val="No Spacing"/>
    <w:uiPriority w:val="1"/>
    <w:qFormat/>
    <w:rsid w:val="00B9100B"/>
    <w:rPr>
      <w:rFonts w:eastAsia="Times New Roman" w:cs="Times New Roman"/>
      <w:sz w:val="24"/>
      <w:szCs w:val="24"/>
      <w:lang w:eastAsia="es-ES_tradnl"/>
    </w:rPr>
  </w:style>
  <w:style w:type="character" w:styleId="Nmerodepgina">
    <w:name w:val="page number"/>
    <w:basedOn w:val="Fuentedeprrafopredeter"/>
    <w:uiPriority w:val="99"/>
    <w:rsid w:val="00434109"/>
    <w:rPr>
      <w:rFonts w:cs="Times New Roman"/>
    </w:rPr>
  </w:style>
  <w:style w:type="paragraph" w:customStyle="1" w:styleId="Body">
    <w:name w:val="Body"/>
    <w:rsid w:val="00434109"/>
    <w:pPr>
      <w:pBdr>
        <w:top w:val="none" w:sz="96" w:space="31" w:color="FFFFFF" w:frame="1"/>
        <w:left w:val="none" w:sz="96" w:space="31" w:color="FFFFFF" w:frame="1"/>
        <w:bottom w:val="none" w:sz="96" w:space="31" w:color="FFFFFF" w:frame="1"/>
        <w:right w:val="none" w:sz="96" w:space="31" w:color="FFFFFF" w:frame="1"/>
      </w:pBdr>
    </w:pPr>
    <w:rPr>
      <w:rFonts w:eastAsia="Times New Roman" w:cs="Times New Roman"/>
      <w:color w:val="000000"/>
      <w:sz w:val="20"/>
      <w:szCs w:val="20"/>
      <w:u w:color="000000"/>
      <w:lang w:val="es-ES" w:eastAsia="es-ES"/>
    </w:rPr>
  </w:style>
  <w:style w:type="paragraph" w:customStyle="1" w:styleId="Cuadrculaclara-nfasis31">
    <w:name w:val="Cuadrícula clara - Énfasis 31"/>
    <w:basedOn w:val="Normal"/>
    <w:link w:val="Cuadrculaclara-nfasis3Car"/>
    <w:uiPriority w:val="34"/>
    <w:qFormat/>
    <w:rsid w:val="00E03343"/>
    <w:pPr>
      <w:ind w:left="708"/>
    </w:pPr>
  </w:style>
  <w:style w:type="character" w:customStyle="1" w:styleId="Cuadrculaclara-nfasis3Car">
    <w:name w:val="Cuadrícula clara - Énfasis 3 Car"/>
    <w:link w:val="Cuadrculaclara-nfasis31"/>
    <w:uiPriority w:val="34"/>
    <w:locked/>
    <w:rsid w:val="00E03343"/>
    <w:rPr>
      <w:rFonts w:eastAsia="Times New Roman" w:cs="Times New Roman"/>
      <w:sz w:val="24"/>
      <w:szCs w:val="24"/>
      <w:lang w:eastAsia="es-MX"/>
    </w:rPr>
  </w:style>
  <w:style w:type="paragraph" w:styleId="Lista">
    <w:name w:val="List"/>
    <w:basedOn w:val="Normal"/>
    <w:uiPriority w:val="99"/>
    <w:unhideWhenUsed/>
    <w:rsid w:val="00E704D9"/>
    <w:pPr>
      <w:spacing w:before="100" w:beforeAutospacing="1" w:after="100" w:afterAutospacing="1"/>
    </w:pPr>
  </w:style>
  <w:style w:type="character" w:styleId="Textoennegrita">
    <w:name w:val="Strong"/>
    <w:basedOn w:val="Fuentedeprrafopredeter"/>
    <w:uiPriority w:val="22"/>
    <w:qFormat/>
    <w:rsid w:val="002322FA"/>
    <w:rPr>
      <w:b/>
      <w:bCs/>
    </w:rPr>
  </w:style>
  <w:style w:type="paragraph" w:styleId="Textosinformato">
    <w:name w:val="Plain Text"/>
    <w:basedOn w:val="Normal"/>
    <w:link w:val="TextosinformatoCar"/>
    <w:uiPriority w:val="99"/>
    <w:rsid w:val="00F871FE"/>
    <w:rPr>
      <w:rFonts w:ascii="Courier New" w:hAnsi="Courier New" w:cs="Courier New"/>
      <w:sz w:val="20"/>
      <w:szCs w:val="20"/>
      <w:lang w:eastAsia="es-ES"/>
    </w:rPr>
  </w:style>
  <w:style w:type="character" w:customStyle="1" w:styleId="TextosinformatoCar">
    <w:name w:val="Texto sin formato Car"/>
    <w:basedOn w:val="Fuentedeprrafopredeter"/>
    <w:link w:val="Textosinformato"/>
    <w:uiPriority w:val="99"/>
    <w:rsid w:val="00F871FE"/>
    <w:rPr>
      <w:rFonts w:ascii="Courier New" w:eastAsia="Times New Roman" w:hAnsi="Courier New" w:cs="Courier New"/>
      <w:sz w:val="20"/>
      <w:szCs w:val="20"/>
      <w:lang w:eastAsia="es-ES"/>
    </w:rPr>
  </w:style>
  <w:style w:type="paragraph" w:customStyle="1" w:styleId="p1">
    <w:name w:val="p1"/>
    <w:basedOn w:val="Normal"/>
    <w:rsid w:val="007E6B30"/>
    <w:rPr>
      <w:rFonts w:ascii="Arial" w:hAnsi="Arial" w:cs="Arial"/>
      <w:color w:val="000000"/>
      <w:sz w:val="17"/>
      <w:szCs w:val="17"/>
    </w:rPr>
  </w:style>
  <w:style w:type="paragraph" w:customStyle="1" w:styleId="Default">
    <w:name w:val="Default"/>
    <w:rsid w:val="00425F5E"/>
    <w:pPr>
      <w:autoSpaceDE w:val="0"/>
      <w:autoSpaceDN w:val="0"/>
      <w:adjustRightInd w:val="0"/>
    </w:pPr>
    <w:rPr>
      <w:rFonts w:ascii="Palatino Linotype" w:hAnsi="Palatino Linotype" w:cs="Palatino Linotype"/>
      <w:color w:val="000000"/>
      <w:sz w:val="24"/>
      <w:szCs w:val="24"/>
    </w:rPr>
  </w:style>
  <w:style w:type="paragraph" w:styleId="Textoindependiente">
    <w:name w:val="Body Text"/>
    <w:basedOn w:val="Normal"/>
    <w:link w:val="TextoindependienteCar"/>
    <w:uiPriority w:val="1"/>
    <w:qFormat/>
    <w:rsid w:val="00B65B38"/>
    <w:pPr>
      <w:widowControl w:val="0"/>
      <w:autoSpaceDE w:val="0"/>
      <w:autoSpaceDN w:val="0"/>
    </w:pPr>
    <w:rPr>
      <w:rFonts w:ascii="Arial" w:eastAsia="Arial" w:hAnsi="Arial" w:cs="Arial"/>
      <w:lang w:val="es-ES" w:eastAsia="en-US"/>
    </w:rPr>
  </w:style>
  <w:style w:type="character" w:customStyle="1" w:styleId="TextoindependienteCar">
    <w:name w:val="Texto independiente Car"/>
    <w:basedOn w:val="Fuentedeprrafopredeter"/>
    <w:link w:val="Textoindependiente"/>
    <w:uiPriority w:val="1"/>
    <w:rsid w:val="00B65B38"/>
    <w:rPr>
      <w:rFonts w:ascii="Arial" w:eastAsia="Arial" w:hAnsi="Arial" w:cs="Arial"/>
      <w:sz w:val="24"/>
      <w:szCs w:val="24"/>
      <w:lang w:val="es-ES"/>
    </w:rPr>
  </w:style>
  <w:style w:type="paragraph" w:styleId="Textonotaalfinal">
    <w:name w:val="endnote text"/>
    <w:basedOn w:val="Normal"/>
    <w:link w:val="TextonotaalfinalCar"/>
    <w:uiPriority w:val="99"/>
    <w:semiHidden/>
    <w:unhideWhenUsed/>
    <w:rsid w:val="005345C8"/>
    <w:rPr>
      <w:sz w:val="20"/>
      <w:szCs w:val="20"/>
    </w:rPr>
  </w:style>
  <w:style w:type="character" w:customStyle="1" w:styleId="TextonotaalfinalCar">
    <w:name w:val="Texto nota al final Car"/>
    <w:basedOn w:val="Fuentedeprrafopredeter"/>
    <w:link w:val="Textonotaalfinal"/>
    <w:uiPriority w:val="99"/>
    <w:semiHidden/>
    <w:rsid w:val="005345C8"/>
    <w:rPr>
      <w:rFonts w:eastAsia="Times New Roman" w:cs="Times New Roman"/>
      <w:sz w:val="20"/>
      <w:szCs w:val="20"/>
      <w:lang w:eastAsia="es-MX"/>
    </w:rPr>
  </w:style>
  <w:style w:type="character" w:styleId="Refdenotaalfinal">
    <w:name w:val="endnote reference"/>
    <w:basedOn w:val="Fuentedeprrafopredeter"/>
    <w:uiPriority w:val="99"/>
    <w:semiHidden/>
    <w:unhideWhenUsed/>
    <w:rsid w:val="005345C8"/>
    <w:rPr>
      <w:vertAlign w:val="superscript"/>
    </w:rPr>
  </w:style>
  <w:style w:type="paragraph" w:customStyle="1" w:styleId="FootnoteTextCharCharCharCharCharChar11">
    <w:name w:val="Footnote Text Char Char Char Char Char Char11"/>
    <w:basedOn w:val="Normal"/>
    <w:next w:val="Textonotapie"/>
    <w:uiPriority w:val="99"/>
    <w:unhideWhenUsed/>
    <w:qFormat/>
    <w:rsid w:val="00751AE9"/>
    <w:rPr>
      <w:sz w:val="20"/>
      <w:szCs w:val="20"/>
      <w:lang w:eastAsia="en-US"/>
    </w:rPr>
  </w:style>
  <w:style w:type="paragraph" w:customStyle="1" w:styleId="TableParagraph">
    <w:name w:val="Table Paragraph"/>
    <w:basedOn w:val="Normal"/>
    <w:uiPriority w:val="1"/>
    <w:qFormat/>
    <w:rsid w:val="00BB3C88"/>
    <w:pPr>
      <w:widowControl w:val="0"/>
      <w:autoSpaceDE w:val="0"/>
      <w:autoSpaceDN w:val="0"/>
      <w:ind w:left="107"/>
    </w:pPr>
    <w:rPr>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26" Type="http://schemas.openxmlformats.org/officeDocument/2006/relationships/hyperlink" Target="https://www.corteconstitucional.gov.co/secretaria/expediente?proceso=1&amp;expediente=D0016314&amp;lista=datosExpedientes_1761103971974" TargetMode="External"/><Relationship Id="rId117" Type="http://schemas.openxmlformats.org/officeDocument/2006/relationships/hyperlink" Target="https://www.corteconstitucional.gov.co/secretaria/expediente?proceso=1&amp;expediente=D0016314&amp;lista=datosExpedientes_1761103971974" TargetMode="External"/><Relationship Id="rId21" Type="http://schemas.openxmlformats.org/officeDocument/2006/relationships/hyperlink" Target="https://www.corteconstitucional.gov.co/secretaria/expediente?proceso=1&amp;expediente=D0016314&amp;lista=datosExpedientes_1761103971974" TargetMode="External"/><Relationship Id="rId42" Type="http://schemas.openxmlformats.org/officeDocument/2006/relationships/hyperlink" Target="https://www.corteconstitucional.gov.co/secretaria/expediente?proceso=1&amp;expediente=D0016314&amp;lista=datosExpedientes_1761103971974" TargetMode="External"/><Relationship Id="rId47" Type="http://schemas.openxmlformats.org/officeDocument/2006/relationships/hyperlink" Target="https://www.corteconstitucional.gov.co/secretaria/expediente?proceso=1&amp;expediente=D0016314&amp;lista=datosExpedientes_1761103971974" TargetMode="External"/><Relationship Id="rId63" Type="http://schemas.openxmlformats.org/officeDocument/2006/relationships/hyperlink" Target="https://www.corteconstitucional.gov.co/secretaria/archivo.php?id=99524" TargetMode="External"/><Relationship Id="rId68" Type="http://schemas.openxmlformats.org/officeDocument/2006/relationships/hyperlink" Target="https://www.corteconstitucional.gov.co/secretaria/expediente?proceso=1&amp;expediente=D0016314&amp;lista=datosExpedientes_1761103971974" TargetMode="External"/><Relationship Id="rId84" Type="http://schemas.openxmlformats.org/officeDocument/2006/relationships/hyperlink" Target="https://www.corteconstitucional.gov.co/secretaria/expediente?proceso=1&amp;expediente=D0016314&amp;lista=datosExpedientes_1761103971974" TargetMode="External"/><Relationship Id="rId89" Type="http://schemas.openxmlformats.org/officeDocument/2006/relationships/hyperlink" Target="https://www.corteconstitucional.gov.co/secretaria/expediente?proceso=1&amp;expediente=D0016314&amp;lista=datosExpedientes_1761103971974" TargetMode="External"/><Relationship Id="rId112" Type="http://schemas.openxmlformats.org/officeDocument/2006/relationships/hyperlink" Target="https://www.corteconstitucional.gov.co/secretaria/expediente?proceso=1&amp;expediente=D0016314&amp;lista=datosExpedientes_1761103971974" TargetMode="External"/><Relationship Id="rId16" Type="http://schemas.openxmlformats.org/officeDocument/2006/relationships/hyperlink" Target="https://www.corteconstitucional.gov.co/secretaria/expediente?proceso=1&amp;expediente=D0016314&amp;lista=datosExpedientes_1761103971974" TargetMode="External"/><Relationship Id="rId107" Type="http://schemas.openxmlformats.org/officeDocument/2006/relationships/hyperlink" Target="https://www.corteconstitucional.gov.co/secretaria/expediente?proceso=1&amp;expediente=D0016314&amp;lista=datosExpedientes_1761103971974" TargetMode="External"/><Relationship Id="rId11" Type="http://schemas.openxmlformats.org/officeDocument/2006/relationships/hyperlink" Target="https://www.corteconstitucional.gov.co/secretaria/expediente?proceso=1&amp;expediente=D0016314&amp;lista=datosExpedientes_1761103971974" TargetMode="External"/><Relationship Id="rId32" Type="http://schemas.openxmlformats.org/officeDocument/2006/relationships/hyperlink" Target="https://www.corteconstitucional.gov.co/secretaria/expediente?proceso=1&amp;expediente=D0016314&amp;lista=datosExpedientes_1761103971974" TargetMode="External"/><Relationship Id="rId37" Type="http://schemas.openxmlformats.org/officeDocument/2006/relationships/hyperlink" Target="https://www.corteconstitucional.gov.co/secretaria/expediente?proceso=1&amp;expediente=D0016314&amp;lista=datosExpedientes_1761103971974" TargetMode="External"/><Relationship Id="rId53" Type="http://schemas.openxmlformats.org/officeDocument/2006/relationships/hyperlink" Target="https://www.corteconstitucional.gov.co/secretaria/expediente?proceso=1&amp;expediente=D0016314&amp;lista=datosExpedientes_1761103971974" TargetMode="External"/><Relationship Id="rId58" Type="http://schemas.openxmlformats.org/officeDocument/2006/relationships/hyperlink" Target="https://www.corteconstitucional.gov.co/secretaria/expediente?proceso=1&amp;expediente=D0016314&amp;lista=datosExpedientes_1761103971974" TargetMode="External"/><Relationship Id="rId74" Type="http://schemas.openxmlformats.org/officeDocument/2006/relationships/hyperlink" Target="https://www.corteconstitucional.gov.co/secretaria/expediente?proceso=1&amp;expediente=D0016314&amp;lista=datosExpedientes_1761103971974" TargetMode="External"/><Relationship Id="rId79" Type="http://schemas.openxmlformats.org/officeDocument/2006/relationships/hyperlink" Target="https://www.corteconstitucional.gov.co/secretaria/expediente?proceso=1&amp;expediente=D0016314&amp;lista=datosExpedientes_1761103971974" TargetMode="External"/><Relationship Id="rId102" Type="http://schemas.openxmlformats.org/officeDocument/2006/relationships/hyperlink" Target="https://www.corteconstitucional.gov.co/secretaria/expediente?proceso=1&amp;expediente=D0016314&amp;lista=datosExpedientes_1761103971974" TargetMode="External"/><Relationship Id="rId5" Type="http://schemas.openxmlformats.org/officeDocument/2006/relationships/hyperlink" Target="https://www.corteconstitucional.gov.co/secretaria/expediente?proceso=1&amp;expediente=D0016314&amp;lista=datosExpedientes_1761103971974" TargetMode="External"/><Relationship Id="rId90" Type="http://schemas.openxmlformats.org/officeDocument/2006/relationships/hyperlink" Target="https://www.corteconstitucional.gov.co/secretaria/expediente?proceso=1&amp;expediente=D0016314&amp;lista=datosExpedientes_1761103971974" TargetMode="External"/><Relationship Id="rId95" Type="http://schemas.openxmlformats.org/officeDocument/2006/relationships/hyperlink" Target="https://www.corteconstitucional.gov.co/secretaria/expediente?proceso=1&amp;expediente=D0016314&amp;lista=datosExpedientes_1761103971974" TargetMode="External"/><Relationship Id="rId22" Type="http://schemas.openxmlformats.org/officeDocument/2006/relationships/hyperlink" Target="https://www.corteconstitucional.gov.co/secretaria/expediente?proceso=1&amp;expediente=D0016314&amp;lista=datosExpedientes_1761103971974" TargetMode="External"/><Relationship Id="rId27" Type="http://schemas.openxmlformats.org/officeDocument/2006/relationships/hyperlink" Target="https://www.corteconstitucional.gov.co/secretaria/expediente?proceso=1&amp;expediente=D0016314&amp;lista=datosExpedientes_1761103971974" TargetMode="External"/><Relationship Id="rId43" Type="http://schemas.openxmlformats.org/officeDocument/2006/relationships/hyperlink" Target="https://www.corteconstitucional.gov.co/secretaria/expediente?proceso=1&amp;expediente=D0016314&amp;lista=datosExpedientes_1761103971974" TargetMode="External"/><Relationship Id="rId48" Type="http://schemas.openxmlformats.org/officeDocument/2006/relationships/hyperlink" Target="https://www.corteconstitucional.gov.co/secretaria/expediente?proceso=1&amp;expediente=D0016314&amp;lista=datosExpedientes_1761103971974" TargetMode="External"/><Relationship Id="rId64" Type="http://schemas.openxmlformats.org/officeDocument/2006/relationships/hyperlink" Target="https://www.corteconstitucional.gov.co/secretaria/archivo.php?id=99158" TargetMode="External"/><Relationship Id="rId69" Type="http://schemas.openxmlformats.org/officeDocument/2006/relationships/hyperlink" Target="https://www.corteconstitucional.gov.co/secretaria/expediente?proceso=1&amp;expediente=D0016314&amp;lista=datosExpedientes_1761103971974" TargetMode="External"/><Relationship Id="rId113" Type="http://schemas.openxmlformats.org/officeDocument/2006/relationships/hyperlink" Target="https://www.corteconstitucional.gov.co/secretaria/expediente?proceso=1&amp;expediente=D0016314&amp;lista=datosExpedientes_1761103971974" TargetMode="External"/><Relationship Id="rId118" Type="http://schemas.openxmlformats.org/officeDocument/2006/relationships/hyperlink" Target="https://www.corteconstitucional.gov.co/secretaria/expediente?proceso=1&amp;expediente=D0016314&amp;lista=datosExpedientes_1761103971974" TargetMode="External"/><Relationship Id="rId80" Type="http://schemas.openxmlformats.org/officeDocument/2006/relationships/hyperlink" Target="https://www.corteconstitucional.gov.co/secretaria/expediente?proceso=1&amp;expediente=D0016314&amp;lista=datosExpedientes_1761103971974" TargetMode="External"/><Relationship Id="rId85" Type="http://schemas.openxmlformats.org/officeDocument/2006/relationships/hyperlink" Target="https://www.corteconstitucional.gov.co/secretaria/expediente?proceso=1&amp;expediente=D0016314&amp;lista=datosExpedientes_1761103971974" TargetMode="External"/><Relationship Id="rId12" Type="http://schemas.openxmlformats.org/officeDocument/2006/relationships/hyperlink" Target="https://www.corteconstitucional.gov.co/secretaria/expediente?proceso=1&amp;expediente=D0016314&amp;lista=datosExpedientes_1761103971974" TargetMode="External"/><Relationship Id="rId17" Type="http://schemas.openxmlformats.org/officeDocument/2006/relationships/hyperlink" Target="https://www.corteconstitucional.gov.co/secretaria/expediente?proceso=1&amp;expediente=D0016314&amp;lista=datosExpedientes_1761103971974" TargetMode="External"/><Relationship Id="rId33" Type="http://schemas.openxmlformats.org/officeDocument/2006/relationships/hyperlink" Target="https://www.corteconstitucional.gov.co/secretaria/expediente?proceso=1&amp;expediente=D0016314&amp;lista=datosExpedientes_1761103971974" TargetMode="External"/><Relationship Id="rId38" Type="http://schemas.openxmlformats.org/officeDocument/2006/relationships/hyperlink" Target="https://www.corteconstitucional.gov.co/secretaria/expediente?proceso=1&amp;expediente=D0016314&amp;lista=datosExpedientes_1761103971974" TargetMode="External"/><Relationship Id="rId59" Type="http://schemas.openxmlformats.org/officeDocument/2006/relationships/hyperlink" Target="https://www.corteconstitucional.gov.co/secretaria/expediente?proceso=1&amp;expediente=D0016314&amp;lista=datosExpedientes_1761103971974" TargetMode="External"/><Relationship Id="rId103" Type="http://schemas.openxmlformats.org/officeDocument/2006/relationships/hyperlink" Target="https://www.corteconstitucional.gov.co/secretaria/expediente?proceso=1&amp;expediente=D0016314&amp;lista=datosExpedientes_1761103971974" TargetMode="External"/><Relationship Id="rId108" Type="http://schemas.openxmlformats.org/officeDocument/2006/relationships/hyperlink" Target="https://www.corteconstitucional.gov.co/secretaria/expediente?proceso=1&amp;expediente=D0016314&amp;lista=datosExpedientes_1761103971974" TargetMode="External"/><Relationship Id="rId54" Type="http://schemas.openxmlformats.org/officeDocument/2006/relationships/hyperlink" Target="https://www.corteconstitucional.gov.co/secretaria/expediente?proceso=1&amp;expediente=D0016314&amp;lista=datosExpedientes_1761103971974" TargetMode="External"/><Relationship Id="rId70" Type="http://schemas.openxmlformats.org/officeDocument/2006/relationships/hyperlink" Target="https://www.corteconstitucional.gov.co/secretaria/expediente?proceso=1&amp;expediente=D0016314&amp;lista=datosExpedientes_1761103971974" TargetMode="External"/><Relationship Id="rId75" Type="http://schemas.openxmlformats.org/officeDocument/2006/relationships/hyperlink" Target="https://www.corteconstitucional.gov.co/secretaria/expediente?proceso=1&amp;expediente=D0016314&amp;lista=datosExpedientes_1761103971974" TargetMode="External"/><Relationship Id="rId91" Type="http://schemas.openxmlformats.org/officeDocument/2006/relationships/hyperlink" Target="https://www.corteconstitucional.gov.co/secretaria/expediente?proceso=1&amp;expediente=D0016314&amp;lista=datosExpedientes_1761103971974" TargetMode="External"/><Relationship Id="rId96" Type="http://schemas.openxmlformats.org/officeDocument/2006/relationships/hyperlink" Target="https://www.corteconstitucional.gov.co/secretaria/expediente?proceso=1&amp;expediente=D0016314&amp;lista=datosExpedientes_1761103971974" TargetMode="External"/><Relationship Id="rId1" Type="http://schemas.openxmlformats.org/officeDocument/2006/relationships/hyperlink" Target="https://www.corteconstitucional.gov.co/secretaria/expediente?proceso=1&amp;expediente=D0016314&amp;lista=datosExpedientes_1761103971974" TargetMode="External"/><Relationship Id="rId6" Type="http://schemas.openxmlformats.org/officeDocument/2006/relationships/hyperlink" Target="https://www.corteconstitucional.gov.co/secretaria/expediente?proceso=1&amp;expediente=D0016314&amp;lista=datosExpedientes_1761103971974" TargetMode="External"/><Relationship Id="rId23" Type="http://schemas.openxmlformats.org/officeDocument/2006/relationships/hyperlink" Target="https://www.corteconstitucional.gov.co/secretaria/expediente?proceso=1&amp;expediente=D0016314&amp;lista=datosExpedientes_1761103971974" TargetMode="External"/><Relationship Id="rId28" Type="http://schemas.openxmlformats.org/officeDocument/2006/relationships/hyperlink" Target="https://www.corteconstitucional.gov.co/secretaria/expediente?proceso=1&amp;expediente=D0016314&amp;lista=datosExpedientes_1761103971974" TargetMode="External"/><Relationship Id="rId49" Type="http://schemas.openxmlformats.org/officeDocument/2006/relationships/hyperlink" Target="https://www.corteconstitucional.gov.co/secretaria/expediente?proceso=1&amp;expediente=D0016314&amp;lista=datosExpedientes_1761103971974" TargetMode="External"/><Relationship Id="rId114" Type="http://schemas.openxmlformats.org/officeDocument/2006/relationships/hyperlink" Target="https://www.corteconstitucional.gov.co/secretaria/expediente?proceso=1&amp;expediente=D0016314&amp;lista=datosExpedientes_1761103971974" TargetMode="External"/><Relationship Id="rId119" Type="http://schemas.openxmlformats.org/officeDocument/2006/relationships/hyperlink" Target="https://normograma.dian.gov.co/dian/compilacion/docs/oficio_dian_3744_2023.htm" TargetMode="External"/><Relationship Id="rId44" Type="http://schemas.openxmlformats.org/officeDocument/2006/relationships/hyperlink" Target="https://www.corteconstitucional.gov.co/secretaria/expediente?proceso=1&amp;expediente=D0016314&amp;lista=datosExpedientes_1761103971974" TargetMode="External"/><Relationship Id="rId60" Type="http://schemas.openxmlformats.org/officeDocument/2006/relationships/hyperlink" Target="https://www.corteconstitucional.gov.co/secretaria/archivo.php?id=99158" TargetMode="External"/><Relationship Id="rId65" Type="http://schemas.openxmlformats.org/officeDocument/2006/relationships/hyperlink" Target="https://www.corteconstitucional.gov.co/secretaria/archivo.php?id=99524" TargetMode="External"/><Relationship Id="rId81" Type="http://schemas.openxmlformats.org/officeDocument/2006/relationships/hyperlink" Target="https://www.corteconstitucional.gov.co/secretaria/archivo.php?id=99414" TargetMode="External"/><Relationship Id="rId86" Type="http://schemas.openxmlformats.org/officeDocument/2006/relationships/hyperlink" Target="https://www.corteconstitucional.gov.co/secretaria/expediente?proceso=1&amp;expediente=D0016314&amp;lista=datosExpedientes_1761103971974" TargetMode="External"/><Relationship Id="rId4" Type="http://schemas.openxmlformats.org/officeDocument/2006/relationships/hyperlink" Target="https://www.corteconstitucional.gov.co/secretaria/expediente?proceso=1&amp;expediente=D0016314&amp;lista=datosExpedientes_1761103971974" TargetMode="External"/><Relationship Id="rId9" Type="http://schemas.openxmlformats.org/officeDocument/2006/relationships/hyperlink" Target="https://www.corteconstitucional.gov.co/secretaria/expediente?proceso=1&amp;expediente=D0016314&amp;lista=datosExpedientes_1761103971974" TargetMode="External"/><Relationship Id="rId13" Type="http://schemas.openxmlformats.org/officeDocument/2006/relationships/hyperlink" Target="https://www.corteconstitucional.gov.co/secretaria/expediente?proceso=1&amp;expediente=D0016314&amp;lista=datosExpedientes_1761103971974" TargetMode="External"/><Relationship Id="rId18" Type="http://schemas.openxmlformats.org/officeDocument/2006/relationships/hyperlink" Target="https://www.corteconstitucional.gov.co/secretaria/expediente?proceso=1&amp;expediente=D0016314&amp;lista=datosExpedientes_1761103971974" TargetMode="External"/><Relationship Id="rId39" Type="http://schemas.openxmlformats.org/officeDocument/2006/relationships/hyperlink" Target="https://www.corteconstitucional.gov.co/secretaria/expediente?proceso=1&amp;expediente=D0016314&amp;lista=datosExpedientes_1761103971974" TargetMode="External"/><Relationship Id="rId109" Type="http://schemas.openxmlformats.org/officeDocument/2006/relationships/hyperlink" Target="https://www.corteconstitucional.gov.co/secretaria/expediente?proceso=1&amp;expediente=D0016314&amp;lista=datosExpedientes_1761103971974" TargetMode="External"/><Relationship Id="rId34" Type="http://schemas.openxmlformats.org/officeDocument/2006/relationships/hyperlink" Target="https://www.corteconstitucional.gov.co/secretaria/expediente?proceso=1&amp;expediente=D0016314&amp;lista=datosExpedientes_1761103971974" TargetMode="External"/><Relationship Id="rId50" Type="http://schemas.openxmlformats.org/officeDocument/2006/relationships/hyperlink" Target="https://www.corteconstitucional.gov.co/secretaria/expediente?proceso=1&amp;expediente=D0016314&amp;lista=datosExpedientes_1761103971974" TargetMode="External"/><Relationship Id="rId55" Type="http://schemas.openxmlformats.org/officeDocument/2006/relationships/hyperlink" Target="https://www.corteconstitucional.gov.co/secretaria/expediente?proceso=1&amp;expediente=D0016314&amp;lista=datosExpedientes_1761103971974" TargetMode="External"/><Relationship Id="rId76" Type="http://schemas.openxmlformats.org/officeDocument/2006/relationships/hyperlink" Target="https://www.corteconstitucional.gov.co/secretaria/expediente?proceso=1&amp;expediente=D0016314&amp;lista=datosExpedientes_1761103971974" TargetMode="External"/><Relationship Id="rId97" Type="http://schemas.openxmlformats.org/officeDocument/2006/relationships/hyperlink" Target="https://www.corteconstitucional.gov.co/secretaria/expediente?proceso=1&amp;expediente=D0016314&amp;lista=datosExpedientes_1761103971974" TargetMode="External"/><Relationship Id="rId104" Type="http://schemas.openxmlformats.org/officeDocument/2006/relationships/hyperlink" Target="https://www.corteconstitucional.gov.co/secretaria/expediente?proceso=1&amp;expediente=D0016314&amp;lista=datosExpedientes_1761103971974" TargetMode="External"/><Relationship Id="rId120" Type="http://schemas.openxmlformats.org/officeDocument/2006/relationships/hyperlink" Target="https://www.corteconstitucional.gov.co/secretaria/expediente?proceso=1&amp;expediente=D0016314&amp;lista=datosExpedientes_1761103971974" TargetMode="External"/><Relationship Id="rId7" Type="http://schemas.openxmlformats.org/officeDocument/2006/relationships/hyperlink" Target="https://www.corteconstitucional.gov.co/secretaria/expediente?proceso=1&amp;expediente=D0016314&amp;lista=datosExpedientes_1761103971974" TargetMode="External"/><Relationship Id="rId71" Type="http://schemas.openxmlformats.org/officeDocument/2006/relationships/hyperlink" Target="https://www.corteconstitucional.gov.co/secretaria/expediente?proceso=1&amp;expediente=D0016314&amp;lista=datosExpedientes_1761103971974" TargetMode="External"/><Relationship Id="rId92" Type="http://schemas.openxmlformats.org/officeDocument/2006/relationships/hyperlink" Target="https://www.corteconstitucional.gov.co/secretaria/expediente?proceso=1&amp;expediente=D0016314&amp;lista=datosExpedientes_1761103971974" TargetMode="External"/><Relationship Id="rId2" Type="http://schemas.openxmlformats.org/officeDocument/2006/relationships/hyperlink" Target="https://www.corteconstitucional.gov.co/secretaria/expediente?proceso=1&amp;expediente=D0016314&amp;lista=datosExpedientes_1761103971974" TargetMode="External"/><Relationship Id="rId29" Type="http://schemas.openxmlformats.org/officeDocument/2006/relationships/hyperlink" Target="https://www.corteconstitucional.gov.co/secretaria/expediente?proceso=1&amp;expediente=D0016314&amp;lista=datosExpedientes_1761103971974" TargetMode="External"/><Relationship Id="rId24" Type="http://schemas.openxmlformats.org/officeDocument/2006/relationships/hyperlink" Target="https://www.corteconstitucional.gov.co/secretaria/expediente?proceso=1&amp;expediente=D0016314&amp;lista=datosExpedientes_1761103971974" TargetMode="External"/><Relationship Id="rId40" Type="http://schemas.openxmlformats.org/officeDocument/2006/relationships/hyperlink" Target="https://www.corteconstitucional.gov.co/secretaria/expediente?proceso=1&amp;expediente=D0016314&amp;lista=datosExpedientes_1761103971974" TargetMode="External"/><Relationship Id="rId45" Type="http://schemas.openxmlformats.org/officeDocument/2006/relationships/hyperlink" Target="https://www.corteconstitucional.gov.co/secretaria/expediente?proceso=1&amp;expediente=D0016314&amp;lista=datosExpedientes_1761103971974" TargetMode="External"/><Relationship Id="rId66" Type="http://schemas.openxmlformats.org/officeDocument/2006/relationships/hyperlink" Target="https://www.corteconstitucional.gov.co/secretaria/archivo.php?id=99522" TargetMode="External"/><Relationship Id="rId87" Type="http://schemas.openxmlformats.org/officeDocument/2006/relationships/hyperlink" Target="https://www.corteconstitucional.gov.co/secretaria/expediente?proceso=1&amp;expediente=D0016314&amp;lista=datosExpedientes_1761103971974" TargetMode="External"/><Relationship Id="rId110" Type="http://schemas.openxmlformats.org/officeDocument/2006/relationships/hyperlink" Target="https://www.corteconstitucional.gov.co/secretaria/expediente?proceso=1&amp;expediente=D0016314&amp;lista=datosExpedientes_1761103971974" TargetMode="External"/><Relationship Id="rId115" Type="http://schemas.openxmlformats.org/officeDocument/2006/relationships/hyperlink" Target="https://www.corteconstitucional.gov.co/secretaria/expediente?proceso=1&amp;expediente=D0016314&amp;lista=datosExpedientes_1761103971974" TargetMode="External"/><Relationship Id="rId61" Type="http://schemas.openxmlformats.org/officeDocument/2006/relationships/hyperlink" Target="https://www.corteconstitucional.gov.co/secretaria/archivo.php?id=99524" TargetMode="External"/><Relationship Id="rId82" Type="http://schemas.openxmlformats.org/officeDocument/2006/relationships/hyperlink" Target="https://www.corteconstitucional.gov.co/secretaria/expediente?proceso=1&amp;expediente=D0016314&amp;lista=datosExpedientes_1761103971974" TargetMode="External"/><Relationship Id="rId19" Type="http://schemas.openxmlformats.org/officeDocument/2006/relationships/hyperlink" Target="https://www.corteconstitucional.gov.co/secretaria/expediente?proceso=1&amp;expediente=D0016314&amp;lista=datosExpedientes_1761103971974" TargetMode="External"/><Relationship Id="rId14" Type="http://schemas.openxmlformats.org/officeDocument/2006/relationships/hyperlink" Target="https://www.corteconstitucional.gov.co/secretaria/expediente?proceso=1&amp;expediente=D0016314&amp;lista=datosExpedientes_1761103971974" TargetMode="External"/><Relationship Id="rId30" Type="http://schemas.openxmlformats.org/officeDocument/2006/relationships/hyperlink" Target="https://www.corteconstitucional.gov.co/secretaria/expediente?proceso=1&amp;expediente=D0016314&amp;lista=datosExpedientes_1761103971974" TargetMode="External"/><Relationship Id="rId35" Type="http://schemas.openxmlformats.org/officeDocument/2006/relationships/hyperlink" Target="https://www.corteconstitucional.gov.co/secretaria/expediente?proceso=1&amp;expediente=D0016314&amp;lista=datosExpedientes_1761103971974" TargetMode="External"/><Relationship Id="rId56" Type="http://schemas.openxmlformats.org/officeDocument/2006/relationships/hyperlink" Target="https://www.corteconstitucional.gov.co/secretaria/expediente?proceso=1&amp;expediente=D0016314&amp;lista=datosExpedientes_1761103971974" TargetMode="External"/><Relationship Id="rId77" Type="http://schemas.openxmlformats.org/officeDocument/2006/relationships/hyperlink" Target="https://www.corteconstitucional.gov.co/secretaria/expediente?proceso=1&amp;expediente=D0016314&amp;lista=datosExpedientes_1761103971974" TargetMode="External"/><Relationship Id="rId100" Type="http://schemas.openxmlformats.org/officeDocument/2006/relationships/hyperlink" Target="https://www.corteconstitucional.gov.co/secretaria/expediente?proceso=1&amp;expediente=D0016314&amp;lista=datosExpedientes_1761103971974" TargetMode="External"/><Relationship Id="rId105" Type="http://schemas.openxmlformats.org/officeDocument/2006/relationships/hyperlink" Target="https://www.corteconstitucional.gov.co/secretaria/expediente?proceso=1&amp;expediente=D0016314&amp;lista=datosExpedientes_1761103971974" TargetMode="External"/><Relationship Id="rId8" Type="http://schemas.openxmlformats.org/officeDocument/2006/relationships/hyperlink" Target="https://www.corteconstitucional.gov.co/secretaria/expediente?proceso=1&amp;expediente=D0016314&amp;lista=datosExpedientes_1761103971974" TargetMode="External"/><Relationship Id="rId51" Type="http://schemas.openxmlformats.org/officeDocument/2006/relationships/hyperlink" Target="https://www.corteconstitucional.gov.co/secretaria/expediente?proceso=1&amp;expediente=D0016314&amp;lista=datosExpedientes_1761103971974" TargetMode="External"/><Relationship Id="rId72" Type="http://schemas.openxmlformats.org/officeDocument/2006/relationships/hyperlink" Target="https://www.corteconstitucional.gov.co/secretaria/archivo.php?id=99412" TargetMode="External"/><Relationship Id="rId93" Type="http://schemas.openxmlformats.org/officeDocument/2006/relationships/hyperlink" Target="https://www.corteconstitucional.gov.co/secretaria/expediente?proceso=1&amp;expediente=D0016314&amp;lista=datosExpedientes_1761103971974" TargetMode="External"/><Relationship Id="rId98" Type="http://schemas.openxmlformats.org/officeDocument/2006/relationships/hyperlink" Target="https://www.corteconstitucional.gov.co/secretaria/expediente?proceso=1&amp;expediente=D0016314&amp;lista=datosExpedientes_1761103971974" TargetMode="External"/><Relationship Id="rId121" Type="http://schemas.openxmlformats.org/officeDocument/2006/relationships/hyperlink" Target="https://www.corteconstitucional.gov.co/secretaria/expediente?proceso=1&amp;expediente=D0016314&amp;lista=datosExpedientes_1761103971974" TargetMode="External"/><Relationship Id="rId3" Type="http://schemas.openxmlformats.org/officeDocument/2006/relationships/hyperlink" Target="https://www.corteconstitucional.gov.co/secretaria/expediente?proceso=1&amp;expediente=D0016314&amp;lista=datosExpedientes_1761103971974" TargetMode="External"/><Relationship Id="rId25" Type="http://schemas.openxmlformats.org/officeDocument/2006/relationships/hyperlink" Target="https://www.corteconstitucional.gov.co/secretaria/expediente?proceso=1&amp;expediente=D0016314&amp;lista=datosExpedientes_1761103971974" TargetMode="External"/><Relationship Id="rId46" Type="http://schemas.openxmlformats.org/officeDocument/2006/relationships/hyperlink" Target="https://www.corteconstitucional.gov.co/secretaria/expediente?proceso=1&amp;expediente=D0016314&amp;lista=datosExpedientes_1761103971974" TargetMode="External"/><Relationship Id="rId67" Type="http://schemas.openxmlformats.org/officeDocument/2006/relationships/hyperlink" Target="https://www.corteconstitucional.gov.co/secretaria/archivo.php?id=99524" TargetMode="External"/><Relationship Id="rId116" Type="http://schemas.openxmlformats.org/officeDocument/2006/relationships/hyperlink" Target="https://www.corteconstitucional.gov.co/secretaria/expediente?proceso=1&amp;expediente=D0016314&amp;lista=datosExpedientes_1761103971974" TargetMode="External"/><Relationship Id="rId20" Type="http://schemas.openxmlformats.org/officeDocument/2006/relationships/hyperlink" Target="https://www.corteconstitucional.gov.co/secretaria/expediente?proceso=1&amp;expediente=D0016314&amp;lista=datosExpedientes_1761103971974" TargetMode="External"/><Relationship Id="rId41" Type="http://schemas.openxmlformats.org/officeDocument/2006/relationships/hyperlink" Target="https://www.corteconstitucional.gov.co/secretaria/expediente?proceso=1&amp;expediente=D0016314&amp;lista=datosExpedientes_1761103971974" TargetMode="External"/><Relationship Id="rId62" Type="http://schemas.openxmlformats.org/officeDocument/2006/relationships/hyperlink" Target="https://www.corteconstitucional.gov.co/secretaria/archivo.php?id=99158" TargetMode="External"/><Relationship Id="rId83" Type="http://schemas.openxmlformats.org/officeDocument/2006/relationships/hyperlink" Target="https://www.corteconstitucional.gov.co/secretaria/expediente?proceso=1&amp;expediente=D0016314&amp;lista=datosExpedientes_1761103971974" TargetMode="External"/><Relationship Id="rId88" Type="http://schemas.openxmlformats.org/officeDocument/2006/relationships/hyperlink" Target="https://www.corteconstitucional.gov.co/secretaria/expediente?proceso=1&amp;expediente=D0016314&amp;lista=datosExpedientes_1761103971974" TargetMode="External"/><Relationship Id="rId111" Type="http://schemas.openxmlformats.org/officeDocument/2006/relationships/hyperlink" Target="https://www.corteconstitucional.gov.co/secretaria/expediente?proceso=1&amp;expediente=D0016314&amp;lista=datosExpedientes_1761103971974" TargetMode="External"/><Relationship Id="rId15" Type="http://schemas.openxmlformats.org/officeDocument/2006/relationships/hyperlink" Target="https://www.corteconstitucional.gov.co/secretaria/expediente?proceso=1&amp;expediente=D0016314&amp;lista=datosExpedientes_1761103971974" TargetMode="External"/><Relationship Id="rId36" Type="http://schemas.openxmlformats.org/officeDocument/2006/relationships/hyperlink" Target="https://www.corteconstitucional.gov.co/secretaria/expediente?proceso=1&amp;expediente=D0016314&amp;lista=datosExpedientes_1761103971974" TargetMode="External"/><Relationship Id="rId57" Type="http://schemas.openxmlformats.org/officeDocument/2006/relationships/hyperlink" Target="https://www.corteconstitucional.gov.co/secretaria/expediente?proceso=1&amp;expediente=D0016314&amp;lista=datosExpedientes_1761103971974" TargetMode="External"/><Relationship Id="rId106" Type="http://schemas.openxmlformats.org/officeDocument/2006/relationships/hyperlink" Target="https://www.corteconstitucional.gov.co/secretaria/expediente?proceso=1&amp;expediente=D0016314&amp;lista=datosExpedientes_1761103971974" TargetMode="External"/><Relationship Id="rId10" Type="http://schemas.openxmlformats.org/officeDocument/2006/relationships/hyperlink" Target="https://www.corteconstitucional.gov.co/secretaria/expediente?proceso=1&amp;expediente=D0016314&amp;lista=datosExpedientes_1761103971974" TargetMode="External"/><Relationship Id="rId31" Type="http://schemas.openxmlformats.org/officeDocument/2006/relationships/hyperlink" Target="https://www.corteconstitucional.gov.co/secretaria/expediente?proceso=1&amp;expediente=D0016314&amp;lista=datosExpedientes_1761103971974" TargetMode="External"/><Relationship Id="rId52" Type="http://schemas.openxmlformats.org/officeDocument/2006/relationships/hyperlink" Target="https://www.corteconstitucional.gov.co/secretaria/expediente?proceso=1&amp;expediente=D0016314&amp;lista=datosExpedientes_1761103971974" TargetMode="External"/><Relationship Id="rId73" Type="http://schemas.openxmlformats.org/officeDocument/2006/relationships/hyperlink" Target="https://www.corteconstitucional.gov.co/secretaria/expediente?proceso=1&amp;expediente=D0016314&amp;lista=datosExpedientes_1761103971974" TargetMode="External"/><Relationship Id="rId78" Type="http://schemas.openxmlformats.org/officeDocument/2006/relationships/hyperlink" Target="https://www.corteconstitucional.gov.co/secretaria/expediente?proceso=1&amp;expediente=D0016314&amp;lista=datosExpedientes_1761103971974" TargetMode="External"/><Relationship Id="rId94" Type="http://schemas.openxmlformats.org/officeDocument/2006/relationships/hyperlink" Target="https://www.corteconstitucional.gov.co/secretaria/expediente?proceso=1&amp;expediente=D0016314&amp;lista=datosExpedientes_1761103971974" TargetMode="External"/><Relationship Id="rId99" Type="http://schemas.openxmlformats.org/officeDocument/2006/relationships/hyperlink" Target="https://www.corteconstitucional.gov.co/secretaria/expediente?proceso=1&amp;expediente=D0016314&amp;lista=datosExpedientes_1761103971974" TargetMode="External"/><Relationship Id="rId101" Type="http://schemas.openxmlformats.org/officeDocument/2006/relationships/hyperlink" Target="https://www.corteconstitucional.gov.co/secretaria/expediente?proceso=1&amp;expediente=D0016314&amp;lista=datosExpedientes_1761103971974"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29522</Words>
  <Characters>162373</Characters>
  <Application>Microsoft Office Word</Application>
  <DocSecurity>0</DocSecurity>
  <Lines>1353</Lines>
  <Paragraphs>383</Paragraphs>
  <ScaleCrop>false</ScaleCrop>
  <Company/>
  <LinksUpToDate>false</LinksUpToDate>
  <CharactersWithSpaces>191512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wilmancc</dc:creator>
  <cp:keywords/>
  <dc:description/>
  <cp:lastModifiedBy>wilmancc</cp:lastModifiedBy>
  <cp:revision>2</cp:revision>
  <dcterms:created xsi:type="dcterms:W3CDTF">2026-06-18T13:58:00Z</dcterms:created>
  <dcterms:modified xsi:type="dcterms:W3CDTF">2026-06-18T13:58:00Z</dcterms:modified>
</cp:coreProperties>
</file>