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0984F" w14:textId="3ADE2824" w:rsidR="0013349B" w:rsidRPr="00D44E58" w:rsidRDefault="00D03EB5" w:rsidP="001A6F0E">
      <w:pPr>
        <w:ind w:right="51"/>
        <w:jc w:val="center"/>
        <w:rPr>
          <w:b/>
          <w:color w:val="000000" w:themeColor="text1"/>
          <w:sz w:val="28"/>
          <w:szCs w:val="28"/>
        </w:rPr>
      </w:pPr>
      <w:bookmarkStart w:id="0" w:name="_Hlk215666131"/>
      <w:bookmarkStart w:id="1" w:name="_Hlk216107010"/>
      <w:bookmarkStart w:id="2" w:name="_GoBack"/>
      <w:bookmarkEnd w:id="2"/>
      <w:r w:rsidRPr="00D44E58">
        <w:rPr>
          <w:b/>
          <w:color w:val="000000" w:themeColor="text1"/>
          <w:sz w:val="28"/>
          <w:szCs w:val="28"/>
        </w:rPr>
        <w:t xml:space="preserve"> </w:t>
      </w:r>
    </w:p>
    <w:p w14:paraId="07E9E995" w14:textId="3B11D120" w:rsidR="00796BE5" w:rsidRPr="005304B4" w:rsidRDefault="00796BE5" w:rsidP="001A6F0E">
      <w:pPr>
        <w:ind w:right="51"/>
        <w:jc w:val="center"/>
        <w:rPr>
          <w:color w:val="000000" w:themeColor="text1"/>
          <w:sz w:val="28"/>
          <w:szCs w:val="28"/>
        </w:rPr>
      </w:pPr>
      <w:r w:rsidRPr="005304B4">
        <w:rPr>
          <w:b/>
          <w:color w:val="000000" w:themeColor="text1"/>
          <w:sz w:val="28"/>
          <w:szCs w:val="28"/>
        </w:rPr>
        <w:t>REPÚBLICA DE COLOMBI</w:t>
      </w:r>
      <w:r w:rsidR="00524962" w:rsidRPr="005304B4">
        <w:rPr>
          <w:b/>
          <w:color w:val="000000" w:themeColor="text1"/>
          <w:sz w:val="28"/>
          <w:szCs w:val="28"/>
        </w:rPr>
        <w:t>A</w:t>
      </w:r>
    </w:p>
    <w:p w14:paraId="33B2B97E" w14:textId="7F60FA2F" w:rsidR="00796BE5" w:rsidRPr="005304B4" w:rsidRDefault="00741402" w:rsidP="001A6F0E">
      <w:pPr>
        <w:ind w:right="51"/>
        <w:jc w:val="center"/>
        <w:rPr>
          <w:color w:val="000000" w:themeColor="text1"/>
          <w:sz w:val="28"/>
          <w:szCs w:val="28"/>
        </w:rPr>
      </w:pPr>
      <w:r w:rsidRPr="005304B4">
        <w:rPr>
          <w:noProof/>
          <w:color w:val="000000" w:themeColor="text1"/>
          <w:sz w:val="28"/>
          <w:szCs w:val="28"/>
          <w:lang w:eastAsia="es-CO"/>
        </w:rPr>
        <w:drawing>
          <wp:inline distT="0" distB="0" distL="0" distR="0" wp14:anchorId="0668B2E9" wp14:editId="79A44B1D">
            <wp:extent cx="829945" cy="829945"/>
            <wp:effectExtent l="0" t="0" r="8255" b="8255"/>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9945" cy="829945"/>
                    </a:xfrm>
                    <a:prstGeom prst="rect">
                      <a:avLst/>
                    </a:prstGeom>
                  </pic:spPr>
                </pic:pic>
              </a:graphicData>
            </a:graphic>
          </wp:inline>
        </w:drawing>
      </w:r>
    </w:p>
    <w:p w14:paraId="6A82F1BC" w14:textId="77777777" w:rsidR="00796BE5" w:rsidRPr="005304B4" w:rsidRDefault="00796BE5" w:rsidP="001A6F0E">
      <w:pPr>
        <w:ind w:right="51"/>
        <w:jc w:val="center"/>
        <w:rPr>
          <w:color w:val="000000" w:themeColor="text1"/>
          <w:sz w:val="28"/>
          <w:szCs w:val="28"/>
          <w:lang w:val="pt-BR"/>
        </w:rPr>
      </w:pPr>
      <w:r w:rsidRPr="005304B4">
        <w:rPr>
          <w:b/>
          <w:color w:val="000000" w:themeColor="text1"/>
          <w:sz w:val="28"/>
          <w:szCs w:val="28"/>
          <w:lang w:val="pt-BR"/>
        </w:rPr>
        <w:t>CORTE CONSTITUCIONAL</w:t>
      </w:r>
    </w:p>
    <w:p w14:paraId="184FF801" w14:textId="77777777" w:rsidR="00845B55" w:rsidRPr="005304B4" w:rsidRDefault="00845B55" w:rsidP="001A6F0E">
      <w:pPr>
        <w:tabs>
          <w:tab w:val="left" w:pos="4320"/>
        </w:tabs>
        <w:ind w:left="3969" w:right="51"/>
        <w:rPr>
          <w:color w:val="000000" w:themeColor="text1"/>
          <w:sz w:val="28"/>
          <w:szCs w:val="28"/>
          <w:lang w:val="pt-BR"/>
        </w:rPr>
      </w:pPr>
    </w:p>
    <w:p w14:paraId="159649B6" w14:textId="77621573" w:rsidR="00796BE5" w:rsidRPr="005304B4" w:rsidRDefault="00796BE5" w:rsidP="001A6F0E">
      <w:pPr>
        <w:tabs>
          <w:tab w:val="left" w:pos="4320"/>
        </w:tabs>
        <w:ind w:right="51"/>
        <w:jc w:val="center"/>
        <w:rPr>
          <w:b/>
          <w:color w:val="000000" w:themeColor="text1"/>
          <w:sz w:val="28"/>
          <w:szCs w:val="28"/>
          <w:lang w:val="pt-BR"/>
        </w:rPr>
      </w:pPr>
      <w:r w:rsidRPr="005304B4">
        <w:rPr>
          <w:b/>
          <w:color w:val="000000" w:themeColor="text1"/>
          <w:sz w:val="28"/>
          <w:szCs w:val="28"/>
          <w:lang w:val="pt-BR"/>
        </w:rPr>
        <w:t>SENTENCIA</w:t>
      </w:r>
      <w:r w:rsidR="0060399A" w:rsidRPr="005304B4">
        <w:rPr>
          <w:b/>
          <w:color w:val="000000" w:themeColor="text1"/>
          <w:sz w:val="28"/>
          <w:szCs w:val="28"/>
          <w:lang w:val="pt-BR"/>
        </w:rPr>
        <w:t xml:space="preserve"> </w:t>
      </w:r>
      <w:r w:rsidR="001E1D9D" w:rsidRPr="005304B4">
        <w:rPr>
          <w:b/>
          <w:color w:val="000000" w:themeColor="text1"/>
          <w:sz w:val="28"/>
          <w:szCs w:val="28"/>
          <w:lang w:val="pt-BR"/>
        </w:rPr>
        <w:t>C</w:t>
      </w:r>
      <w:r w:rsidR="00BD03C4" w:rsidRPr="005304B4">
        <w:rPr>
          <w:b/>
          <w:color w:val="000000" w:themeColor="text1"/>
          <w:sz w:val="28"/>
          <w:szCs w:val="28"/>
          <w:lang w:val="pt-BR"/>
        </w:rPr>
        <w:t>-026</w:t>
      </w:r>
      <w:r w:rsidRPr="005304B4">
        <w:rPr>
          <w:b/>
          <w:color w:val="000000" w:themeColor="text1"/>
          <w:sz w:val="28"/>
          <w:szCs w:val="28"/>
          <w:lang w:val="pt-BR"/>
        </w:rPr>
        <w:t xml:space="preserve"> </w:t>
      </w:r>
      <w:r w:rsidR="00854B94" w:rsidRPr="005304B4">
        <w:rPr>
          <w:b/>
          <w:color w:val="000000" w:themeColor="text1"/>
          <w:sz w:val="28"/>
          <w:szCs w:val="28"/>
          <w:lang w:val="pt-BR"/>
        </w:rPr>
        <w:t>DE</w:t>
      </w:r>
      <w:r w:rsidRPr="005304B4">
        <w:rPr>
          <w:b/>
          <w:color w:val="000000" w:themeColor="text1"/>
          <w:sz w:val="28"/>
          <w:szCs w:val="28"/>
          <w:lang w:val="pt-BR"/>
        </w:rPr>
        <w:t xml:space="preserve"> 20</w:t>
      </w:r>
      <w:r w:rsidR="00751D46" w:rsidRPr="005304B4">
        <w:rPr>
          <w:b/>
          <w:color w:val="000000" w:themeColor="text1"/>
          <w:sz w:val="28"/>
          <w:szCs w:val="28"/>
          <w:lang w:val="pt-BR"/>
        </w:rPr>
        <w:t>2</w:t>
      </w:r>
      <w:r w:rsidR="00A360A7" w:rsidRPr="005304B4">
        <w:rPr>
          <w:b/>
          <w:color w:val="000000" w:themeColor="text1"/>
          <w:sz w:val="28"/>
          <w:szCs w:val="28"/>
          <w:lang w:val="pt-BR"/>
        </w:rPr>
        <w:t>6</w:t>
      </w:r>
    </w:p>
    <w:p w14:paraId="008AE6CD" w14:textId="7C13C034" w:rsidR="00845B55" w:rsidRPr="005304B4" w:rsidRDefault="006F39AC" w:rsidP="001A6F0E">
      <w:pPr>
        <w:tabs>
          <w:tab w:val="left" w:pos="4320"/>
        </w:tabs>
        <w:ind w:left="2694" w:right="51"/>
        <w:rPr>
          <w:color w:val="000000" w:themeColor="text1"/>
          <w:sz w:val="28"/>
          <w:szCs w:val="28"/>
          <w:lang w:val="pt-BR"/>
        </w:rPr>
      </w:pPr>
      <w:r w:rsidRPr="005304B4">
        <w:rPr>
          <w:color w:val="000000" w:themeColor="text1"/>
          <w:sz w:val="28"/>
          <w:szCs w:val="28"/>
          <w:lang w:val="pt-BR"/>
        </w:rPr>
        <w:t xml:space="preserve"> </w:t>
      </w:r>
    </w:p>
    <w:p w14:paraId="460DBFF8" w14:textId="77777777" w:rsidR="004807A0" w:rsidRPr="005304B4" w:rsidRDefault="004807A0" w:rsidP="001A6F0E">
      <w:pPr>
        <w:tabs>
          <w:tab w:val="left" w:pos="4320"/>
        </w:tabs>
        <w:ind w:left="2694" w:right="51"/>
        <w:rPr>
          <w:color w:val="000000" w:themeColor="text1"/>
          <w:sz w:val="28"/>
          <w:szCs w:val="28"/>
          <w:lang w:val="pt-BR"/>
        </w:rPr>
      </w:pPr>
    </w:p>
    <w:p w14:paraId="13F675DA" w14:textId="62088AE4" w:rsidR="006B7825" w:rsidRPr="005304B4" w:rsidRDefault="00DD72B8" w:rsidP="000E457F">
      <w:pPr>
        <w:tabs>
          <w:tab w:val="left" w:pos="3686"/>
        </w:tabs>
        <w:ind w:left="4248" w:right="51"/>
        <w:jc w:val="both"/>
        <w:rPr>
          <w:bCs/>
          <w:color w:val="000000" w:themeColor="text1"/>
          <w:sz w:val="28"/>
          <w:szCs w:val="28"/>
        </w:rPr>
      </w:pPr>
      <w:r w:rsidRPr="005304B4">
        <w:rPr>
          <w:b/>
          <w:color w:val="000000" w:themeColor="text1"/>
          <w:sz w:val="28"/>
          <w:szCs w:val="28"/>
        </w:rPr>
        <w:t>Ref</w:t>
      </w:r>
      <w:r w:rsidR="00AC28AE" w:rsidRPr="005304B4">
        <w:rPr>
          <w:b/>
          <w:color w:val="000000" w:themeColor="text1"/>
          <w:sz w:val="28"/>
          <w:szCs w:val="28"/>
        </w:rPr>
        <w:t xml:space="preserve">erencia: </w:t>
      </w:r>
      <w:r w:rsidR="006F2E0C" w:rsidRPr="005304B4">
        <w:rPr>
          <w:sz w:val="28"/>
          <w:szCs w:val="28"/>
        </w:rPr>
        <w:t>e</w:t>
      </w:r>
      <w:r w:rsidRPr="005304B4">
        <w:rPr>
          <w:sz w:val="28"/>
          <w:szCs w:val="28"/>
        </w:rPr>
        <w:t>xpedi</w:t>
      </w:r>
      <w:r w:rsidR="00187762" w:rsidRPr="005304B4">
        <w:rPr>
          <w:sz w:val="28"/>
          <w:szCs w:val="28"/>
        </w:rPr>
        <w:t>ente</w:t>
      </w:r>
      <w:r w:rsidR="00187762" w:rsidRPr="005304B4">
        <w:rPr>
          <w:bCs/>
          <w:color w:val="000000" w:themeColor="text1"/>
          <w:sz w:val="28"/>
          <w:szCs w:val="28"/>
        </w:rPr>
        <w:t xml:space="preserve"> D-16</w:t>
      </w:r>
      <w:r w:rsidR="008A557B" w:rsidRPr="005304B4">
        <w:rPr>
          <w:bCs/>
          <w:color w:val="000000" w:themeColor="text1"/>
          <w:sz w:val="28"/>
          <w:szCs w:val="28"/>
        </w:rPr>
        <w:t>.</w:t>
      </w:r>
      <w:r w:rsidR="00187762" w:rsidRPr="005304B4">
        <w:rPr>
          <w:bCs/>
          <w:color w:val="000000" w:themeColor="text1"/>
          <w:sz w:val="28"/>
          <w:szCs w:val="28"/>
        </w:rPr>
        <w:t>635</w:t>
      </w:r>
    </w:p>
    <w:p w14:paraId="7113E7C3" w14:textId="77777777" w:rsidR="006B7825" w:rsidRPr="005304B4" w:rsidRDefault="006B7825" w:rsidP="001A6F0E">
      <w:pPr>
        <w:tabs>
          <w:tab w:val="left" w:pos="3686"/>
        </w:tabs>
        <w:ind w:left="3686" w:right="51"/>
        <w:jc w:val="both"/>
        <w:rPr>
          <w:bCs/>
          <w:color w:val="000000" w:themeColor="text1"/>
          <w:sz w:val="28"/>
          <w:szCs w:val="28"/>
        </w:rPr>
      </w:pPr>
    </w:p>
    <w:p w14:paraId="63CC721F" w14:textId="1FC732DF" w:rsidR="00752A54" w:rsidRPr="005304B4" w:rsidRDefault="00BE7A30" w:rsidP="00ED2698">
      <w:pPr>
        <w:tabs>
          <w:tab w:val="left" w:pos="3686"/>
        </w:tabs>
        <w:ind w:left="4248" w:right="51"/>
        <w:jc w:val="both"/>
        <w:rPr>
          <w:color w:val="000000" w:themeColor="text1"/>
          <w:sz w:val="28"/>
          <w:szCs w:val="28"/>
        </w:rPr>
      </w:pPr>
      <w:r w:rsidRPr="005304B4">
        <w:rPr>
          <w:b/>
          <w:color w:val="000000" w:themeColor="text1"/>
          <w:sz w:val="28"/>
          <w:szCs w:val="28"/>
        </w:rPr>
        <w:t>Asunto</w:t>
      </w:r>
      <w:r w:rsidRPr="005304B4">
        <w:rPr>
          <w:bCs/>
          <w:color w:val="000000" w:themeColor="text1"/>
          <w:sz w:val="28"/>
          <w:szCs w:val="28"/>
        </w:rPr>
        <w:t xml:space="preserve">: </w:t>
      </w:r>
      <w:r w:rsidR="009D4BCE" w:rsidRPr="005304B4">
        <w:rPr>
          <w:sz w:val="28"/>
          <w:szCs w:val="28"/>
        </w:rPr>
        <w:t xml:space="preserve">demanda </w:t>
      </w:r>
      <w:r w:rsidR="00187762" w:rsidRPr="005304B4">
        <w:rPr>
          <w:sz w:val="28"/>
          <w:szCs w:val="28"/>
        </w:rPr>
        <w:t>de inconstitucionalidad contra el numeral 4 (parcial) del artículo 2 de la Ley 2114 de 2021, “por medio de la cual se amplía la licencia de paternidad, se crea la licencia parental compartida, la licencia parental flexible de tiempo parcial, se modifica el artículo 236 y se adiciona el artículo 241A del Código Sustantivo del Trabajo, y se dictan otras disposiciones”.</w:t>
      </w:r>
    </w:p>
    <w:p w14:paraId="4A183972" w14:textId="77777777" w:rsidR="00767291" w:rsidRPr="005304B4" w:rsidRDefault="00767291" w:rsidP="00ED2698">
      <w:pPr>
        <w:tabs>
          <w:tab w:val="left" w:pos="3686"/>
        </w:tabs>
        <w:ind w:left="4248" w:right="51"/>
        <w:jc w:val="both"/>
        <w:rPr>
          <w:color w:val="000000" w:themeColor="text1"/>
          <w:sz w:val="28"/>
          <w:szCs w:val="28"/>
        </w:rPr>
      </w:pPr>
    </w:p>
    <w:p w14:paraId="73054FCD" w14:textId="4AF90DD9" w:rsidR="00F554E4" w:rsidRPr="005304B4" w:rsidRDefault="00187762" w:rsidP="00ED2698">
      <w:pPr>
        <w:tabs>
          <w:tab w:val="left" w:pos="3686"/>
        </w:tabs>
        <w:ind w:left="4248" w:right="51"/>
        <w:jc w:val="both"/>
        <w:rPr>
          <w:color w:val="000000" w:themeColor="text1"/>
          <w:sz w:val="28"/>
          <w:szCs w:val="28"/>
        </w:rPr>
      </w:pPr>
      <w:r w:rsidRPr="005304B4">
        <w:rPr>
          <w:b/>
          <w:bCs/>
          <w:color w:val="000000" w:themeColor="text1"/>
          <w:sz w:val="28"/>
          <w:szCs w:val="28"/>
        </w:rPr>
        <w:t>Demandantes</w:t>
      </w:r>
      <w:r w:rsidR="00767291" w:rsidRPr="005304B4">
        <w:rPr>
          <w:color w:val="000000" w:themeColor="text1"/>
          <w:sz w:val="28"/>
          <w:szCs w:val="28"/>
        </w:rPr>
        <w:t>:</w:t>
      </w:r>
      <w:r w:rsidRPr="005304B4">
        <w:rPr>
          <w:color w:val="000000" w:themeColor="text1"/>
          <w:sz w:val="28"/>
          <w:szCs w:val="28"/>
        </w:rPr>
        <w:t xml:space="preserve"> Andrés Ricardo González Toloza y otros</w:t>
      </w:r>
      <w:r w:rsidR="00557EF0" w:rsidRPr="005304B4">
        <w:rPr>
          <w:color w:val="000000" w:themeColor="text1"/>
          <w:sz w:val="28"/>
          <w:szCs w:val="28"/>
        </w:rPr>
        <w:t>.</w:t>
      </w:r>
    </w:p>
    <w:p w14:paraId="2826D739" w14:textId="77777777" w:rsidR="00557EF0" w:rsidRPr="005304B4" w:rsidRDefault="00557EF0" w:rsidP="00ED2698">
      <w:pPr>
        <w:tabs>
          <w:tab w:val="left" w:pos="3686"/>
        </w:tabs>
        <w:ind w:left="4248" w:right="51"/>
        <w:jc w:val="both"/>
        <w:rPr>
          <w:color w:val="000000" w:themeColor="text1"/>
          <w:sz w:val="28"/>
          <w:szCs w:val="28"/>
        </w:rPr>
      </w:pPr>
    </w:p>
    <w:p w14:paraId="3E6C2787" w14:textId="366B2EB4" w:rsidR="00187762" w:rsidRPr="005304B4" w:rsidRDefault="00785327" w:rsidP="00ED2698">
      <w:pPr>
        <w:tabs>
          <w:tab w:val="left" w:pos="3686"/>
        </w:tabs>
        <w:ind w:left="4248" w:right="51"/>
        <w:jc w:val="both"/>
        <w:rPr>
          <w:color w:val="000000" w:themeColor="text1"/>
          <w:sz w:val="28"/>
          <w:szCs w:val="28"/>
        </w:rPr>
      </w:pPr>
      <w:r w:rsidRPr="005304B4">
        <w:rPr>
          <w:b/>
          <w:bCs/>
          <w:color w:val="000000" w:themeColor="text1"/>
          <w:sz w:val="28"/>
          <w:szCs w:val="28"/>
        </w:rPr>
        <w:t>Tema</w:t>
      </w:r>
      <w:r w:rsidR="00557EF0" w:rsidRPr="005304B4">
        <w:rPr>
          <w:b/>
          <w:bCs/>
          <w:color w:val="000000" w:themeColor="text1"/>
          <w:sz w:val="28"/>
          <w:szCs w:val="28"/>
        </w:rPr>
        <w:t>:</w:t>
      </w:r>
      <w:r w:rsidR="00557EF0" w:rsidRPr="005304B4">
        <w:rPr>
          <w:color w:val="000000" w:themeColor="text1"/>
          <w:sz w:val="28"/>
          <w:szCs w:val="28"/>
        </w:rPr>
        <w:t xml:space="preserve"> </w:t>
      </w:r>
      <w:r w:rsidR="000E457F" w:rsidRPr="005304B4">
        <w:rPr>
          <w:color w:val="000000" w:themeColor="text1"/>
          <w:sz w:val="28"/>
          <w:szCs w:val="28"/>
        </w:rPr>
        <w:t xml:space="preserve">licencias parentales </w:t>
      </w:r>
      <w:r w:rsidR="009D4BCE" w:rsidRPr="005304B4">
        <w:rPr>
          <w:color w:val="000000" w:themeColor="text1"/>
          <w:sz w:val="28"/>
          <w:szCs w:val="28"/>
        </w:rPr>
        <w:t>en caso de adopción.</w:t>
      </w:r>
    </w:p>
    <w:p w14:paraId="71FD2BEE" w14:textId="77777777" w:rsidR="00956DE5" w:rsidRPr="005304B4" w:rsidRDefault="00956DE5" w:rsidP="00ED2698">
      <w:pPr>
        <w:tabs>
          <w:tab w:val="left" w:pos="3686"/>
        </w:tabs>
        <w:ind w:left="562" w:right="51"/>
        <w:jc w:val="both"/>
        <w:rPr>
          <w:color w:val="000000" w:themeColor="text1"/>
          <w:sz w:val="28"/>
          <w:szCs w:val="28"/>
        </w:rPr>
      </w:pPr>
    </w:p>
    <w:p w14:paraId="5DD559D4" w14:textId="77777777" w:rsidR="005C0B4E" w:rsidRPr="005304B4" w:rsidRDefault="005C0B4E" w:rsidP="00ED2698">
      <w:pPr>
        <w:tabs>
          <w:tab w:val="left" w:pos="3686"/>
        </w:tabs>
        <w:ind w:left="4248" w:right="51"/>
        <w:jc w:val="both"/>
        <w:rPr>
          <w:color w:val="000000" w:themeColor="text1"/>
          <w:sz w:val="28"/>
          <w:szCs w:val="28"/>
        </w:rPr>
      </w:pPr>
      <w:r w:rsidRPr="005304B4">
        <w:rPr>
          <w:b/>
          <w:color w:val="000000" w:themeColor="text1"/>
          <w:sz w:val="28"/>
          <w:szCs w:val="28"/>
        </w:rPr>
        <w:t xml:space="preserve">Magistrada ponente: </w:t>
      </w:r>
      <w:r w:rsidRPr="005304B4">
        <w:rPr>
          <w:color w:val="000000" w:themeColor="text1"/>
          <w:sz w:val="28"/>
          <w:szCs w:val="28"/>
        </w:rPr>
        <w:t>Lina Marcela Escobar Martínez.</w:t>
      </w:r>
    </w:p>
    <w:p w14:paraId="5CE41545" w14:textId="77777777" w:rsidR="005C0B4E" w:rsidRPr="005304B4" w:rsidRDefault="005C0B4E" w:rsidP="005C0B4E">
      <w:pPr>
        <w:ind w:right="51"/>
        <w:rPr>
          <w:color w:val="000000" w:themeColor="text1"/>
          <w:sz w:val="28"/>
          <w:szCs w:val="28"/>
        </w:rPr>
      </w:pPr>
    </w:p>
    <w:p w14:paraId="3510F08D" w14:textId="7A3A54CA" w:rsidR="005C0B4E" w:rsidRPr="005304B4" w:rsidRDefault="005C0B4E" w:rsidP="005C0B4E">
      <w:pPr>
        <w:ind w:right="51"/>
        <w:rPr>
          <w:color w:val="000000" w:themeColor="text1"/>
          <w:sz w:val="28"/>
          <w:szCs w:val="28"/>
        </w:rPr>
      </w:pPr>
      <w:r w:rsidRPr="005304B4">
        <w:rPr>
          <w:color w:val="000000" w:themeColor="text1"/>
          <w:sz w:val="28"/>
          <w:szCs w:val="28"/>
        </w:rPr>
        <w:t xml:space="preserve">Bogotá, D.C., </w:t>
      </w:r>
      <w:r w:rsidR="003063F7" w:rsidRPr="005304B4">
        <w:rPr>
          <w:color w:val="000000" w:themeColor="text1"/>
          <w:sz w:val="28"/>
          <w:szCs w:val="28"/>
        </w:rPr>
        <w:t>dieciocho</w:t>
      </w:r>
      <w:r w:rsidRPr="005304B4">
        <w:rPr>
          <w:color w:val="000000" w:themeColor="text1"/>
          <w:sz w:val="28"/>
          <w:szCs w:val="28"/>
        </w:rPr>
        <w:t xml:space="preserve"> (</w:t>
      </w:r>
      <w:r w:rsidR="003063F7" w:rsidRPr="005304B4">
        <w:rPr>
          <w:color w:val="000000" w:themeColor="text1"/>
          <w:sz w:val="28"/>
          <w:szCs w:val="28"/>
        </w:rPr>
        <w:t>18</w:t>
      </w:r>
      <w:r w:rsidRPr="005304B4">
        <w:rPr>
          <w:color w:val="000000" w:themeColor="text1"/>
          <w:sz w:val="28"/>
          <w:szCs w:val="28"/>
        </w:rPr>
        <w:t xml:space="preserve">) de </w:t>
      </w:r>
      <w:r w:rsidR="00557EF0" w:rsidRPr="005304B4">
        <w:rPr>
          <w:color w:val="000000" w:themeColor="text1"/>
          <w:sz w:val="28"/>
          <w:szCs w:val="28"/>
        </w:rPr>
        <w:t>febrero</w:t>
      </w:r>
      <w:r w:rsidR="00A360A7" w:rsidRPr="005304B4">
        <w:rPr>
          <w:color w:val="000000" w:themeColor="text1"/>
          <w:sz w:val="28"/>
          <w:szCs w:val="28"/>
        </w:rPr>
        <w:t xml:space="preserve"> de dos mil veintiséis</w:t>
      </w:r>
      <w:r w:rsidRPr="005304B4">
        <w:rPr>
          <w:color w:val="000000" w:themeColor="text1"/>
          <w:sz w:val="28"/>
          <w:szCs w:val="28"/>
        </w:rPr>
        <w:t xml:space="preserve"> (202</w:t>
      </w:r>
      <w:r w:rsidR="00A360A7" w:rsidRPr="005304B4">
        <w:rPr>
          <w:color w:val="000000" w:themeColor="text1"/>
          <w:sz w:val="28"/>
          <w:szCs w:val="28"/>
        </w:rPr>
        <w:t>6</w:t>
      </w:r>
      <w:r w:rsidRPr="005304B4">
        <w:rPr>
          <w:color w:val="000000" w:themeColor="text1"/>
          <w:sz w:val="28"/>
          <w:szCs w:val="28"/>
        </w:rPr>
        <w:t>)</w:t>
      </w:r>
      <w:r w:rsidR="00557EF0" w:rsidRPr="005304B4">
        <w:rPr>
          <w:color w:val="000000" w:themeColor="text1"/>
          <w:sz w:val="28"/>
          <w:szCs w:val="28"/>
        </w:rPr>
        <w:t>.</w:t>
      </w:r>
    </w:p>
    <w:p w14:paraId="27125761" w14:textId="571C62D1" w:rsidR="00796BE5" w:rsidRPr="005304B4" w:rsidRDefault="00796BE5" w:rsidP="001A6F0E">
      <w:pPr>
        <w:ind w:right="51"/>
        <w:rPr>
          <w:color w:val="000000" w:themeColor="text1"/>
          <w:sz w:val="28"/>
          <w:szCs w:val="28"/>
        </w:rPr>
      </w:pPr>
    </w:p>
    <w:p w14:paraId="7E520063" w14:textId="6D51A150" w:rsidR="00EA2FE1" w:rsidRPr="005304B4" w:rsidRDefault="00EA2FE1" w:rsidP="001A6F0E">
      <w:pPr>
        <w:ind w:right="51"/>
        <w:jc w:val="both"/>
        <w:rPr>
          <w:color w:val="000000" w:themeColor="text1"/>
          <w:sz w:val="28"/>
          <w:szCs w:val="28"/>
          <w:bdr w:val="none" w:sz="0" w:space="0" w:color="auto" w:frame="1"/>
        </w:rPr>
      </w:pPr>
      <w:r w:rsidRPr="005304B4">
        <w:rPr>
          <w:color w:val="000000" w:themeColor="text1"/>
          <w:sz w:val="28"/>
          <w:szCs w:val="28"/>
          <w:bdr w:val="none" w:sz="0" w:space="0" w:color="auto" w:frame="1"/>
        </w:rPr>
        <w:t xml:space="preserve">La Sala </w:t>
      </w:r>
      <w:r w:rsidR="00187762" w:rsidRPr="005304B4">
        <w:rPr>
          <w:color w:val="000000" w:themeColor="text1"/>
          <w:sz w:val="28"/>
          <w:szCs w:val="28"/>
          <w:bdr w:val="none" w:sz="0" w:space="0" w:color="auto" w:frame="1"/>
        </w:rPr>
        <w:t>Plena de la Corte Constitucional, en ejercicio de sus atribuciones constitucionales y en cumplimiento de los requisitos y trámites establecidos en el Decreto Ley 2067 de 1991, ha proferido la siguiente</w:t>
      </w:r>
    </w:p>
    <w:p w14:paraId="403B764B" w14:textId="77777777" w:rsidR="00733DC2" w:rsidRPr="005304B4" w:rsidRDefault="00733DC2" w:rsidP="001A6F0E">
      <w:pPr>
        <w:ind w:right="51"/>
        <w:rPr>
          <w:color w:val="000000" w:themeColor="text1"/>
          <w:sz w:val="28"/>
          <w:szCs w:val="28"/>
        </w:rPr>
      </w:pPr>
    </w:p>
    <w:p w14:paraId="66CE4A3A" w14:textId="5A838553" w:rsidR="00733DC2" w:rsidRPr="005304B4" w:rsidRDefault="00796BE5" w:rsidP="00845DB0">
      <w:pPr>
        <w:ind w:right="51"/>
        <w:jc w:val="center"/>
        <w:rPr>
          <w:b/>
          <w:color w:val="000000" w:themeColor="text1"/>
          <w:sz w:val="28"/>
          <w:szCs w:val="28"/>
        </w:rPr>
      </w:pPr>
      <w:r w:rsidRPr="005304B4">
        <w:rPr>
          <w:b/>
          <w:color w:val="000000" w:themeColor="text1"/>
          <w:sz w:val="28"/>
          <w:szCs w:val="28"/>
        </w:rPr>
        <w:t>SENTENCIA</w:t>
      </w:r>
    </w:p>
    <w:p w14:paraId="6FF67462" w14:textId="77777777" w:rsidR="00447E16" w:rsidRPr="005304B4" w:rsidRDefault="00447E16" w:rsidP="00845DB0">
      <w:pPr>
        <w:ind w:right="51"/>
        <w:jc w:val="center"/>
        <w:rPr>
          <w:b/>
          <w:color w:val="000000" w:themeColor="text1"/>
          <w:sz w:val="28"/>
          <w:szCs w:val="28"/>
        </w:rPr>
      </w:pPr>
    </w:p>
    <w:p w14:paraId="78F49099" w14:textId="0E5310FA" w:rsidR="00447E16" w:rsidRPr="005304B4" w:rsidRDefault="00447E16" w:rsidP="00447E16">
      <w:pPr>
        <w:ind w:right="51"/>
        <w:jc w:val="both"/>
        <w:rPr>
          <w:b/>
          <w:color w:val="000000" w:themeColor="text1"/>
          <w:sz w:val="28"/>
          <w:szCs w:val="28"/>
        </w:rPr>
      </w:pPr>
      <w:r w:rsidRPr="005304B4">
        <w:rPr>
          <w:b/>
          <w:color w:val="000000" w:themeColor="text1"/>
          <w:sz w:val="28"/>
          <w:szCs w:val="28"/>
        </w:rPr>
        <w:t>SÍNTESIS DE LA DECISIÓN</w:t>
      </w:r>
    </w:p>
    <w:p w14:paraId="7401BFD5" w14:textId="77777777" w:rsidR="00447E16" w:rsidRPr="005304B4" w:rsidRDefault="00447E16" w:rsidP="00447E16">
      <w:pPr>
        <w:ind w:right="51"/>
        <w:jc w:val="both"/>
        <w:rPr>
          <w:b/>
          <w:color w:val="000000" w:themeColor="text1"/>
          <w:sz w:val="28"/>
          <w:szCs w:val="28"/>
        </w:rPr>
      </w:pPr>
    </w:p>
    <w:p w14:paraId="5E64F683"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La Sala Plena de la Corte Constitucional estudió una demanda de inconstitucionalidad contra el numeral 4 (parcial) del artículo 2 de la Ley 2114 de 2021, “por medio de la cual se amplía la licencia de paternidad, se crea la licencia parental compartida, la licencia parental flexible de tiempo parcial, se modifica el artículo 236 y se adiciona el artículo 241A del Código Sustantivo del Trabajo, y se dictan otras disposiciones”. </w:t>
      </w:r>
    </w:p>
    <w:p w14:paraId="6251F899"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 </w:t>
      </w:r>
    </w:p>
    <w:p w14:paraId="7DBAECD4"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De acuerdo con los accionantes, la expresión “la madre adoptante” contenida en dicha disposición resultaba contraria al principio de igualdad incorporado en el artículo 13 de la Constitución Política. En tal sentido, reprocharon que, en el caso de las parejas heteroparentales adoptantes, el texto normativo objeto de censura asignaba de manera automática, y con base en estereotipos de género, la licencia de maternidad a la madre adoptante, sin que la pareja pudiese elegir cuál de sus integrantes accedería a dicha prestación. Adicionalmente, indicaron que la situación anterior daba lugar a un tratamiento desigual de estas parejas en relación con las del mismo sexo adoptantes, a las cuales, en la Sentencia C-415 de 2022, se les permitió elegir, por una única vez, cuál de sus miembros accedería a cada una de las licencias parentales. </w:t>
      </w:r>
    </w:p>
    <w:p w14:paraId="071C8CC3"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 </w:t>
      </w:r>
    </w:p>
    <w:p w14:paraId="6D50BF2C"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En consecuencia, los demandantes solicitaron que se declarara condicionalmente exequible el aparte de la disposición acusada “bajo el entendido que se incluya también al padre adoptante atendiendo a las garantías establecidas en la ley. Permitiéndosele a la familia heteroparental adoptante elegir quien ejercerá cada prestación, tal como lo hace la familia homoparental adoptante”. </w:t>
      </w:r>
    </w:p>
    <w:p w14:paraId="4DC2ECE0" w14:textId="77777777" w:rsidR="00C50948" w:rsidRPr="005304B4" w:rsidRDefault="00C50948" w:rsidP="00C50948">
      <w:pPr>
        <w:pStyle w:val="Prrafodelista"/>
        <w:tabs>
          <w:tab w:val="left" w:pos="284"/>
          <w:tab w:val="left" w:pos="426"/>
        </w:tabs>
        <w:ind w:left="0"/>
        <w:rPr>
          <w:lang w:eastAsia="es-ES_tradnl"/>
        </w:rPr>
      </w:pPr>
    </w:p>
    <w:p w14:paraId="4A062ACF" w14:textId="5A13FDFF"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Antes de abordar el fondo del asunto, la Corte Constitucional analizó tres cuestiones previas. </w:t>
      </w:r>
      <w:r w:rsidRPr="005304B4">
        <w:rPr>
          <w:i/>
          <w:iCs/>
          <w:lang w:eastAsia="es-ES_tradnl"/>
        </w:rPr>
        <w:t>Primero</w:t>
      </w:r>
      <w:r w:rsidRPr="005304B4">
        <w:rPr>
          <w:lang w:eastAsia="es-ES_tradnl"/>
        </w:rPr>
        <w:t xml:space="preserve">, la Sala Plena </w:t>
      </w:r>
      <w:r w:rsidR="009B6E23" w:rsidRPr="005304B4">
        <w:rPr>
          <w:lang w:eastAsia="es-ES_tradnl"/>
        </w:rPr>
        <w:t>examinó</w:t>
      </w:r>
      <w:r w:rsidRPr="005304B4">
        <w:rPr>
          <w:lang w:eastAsia="es-ES_tradnl"/>
        </w:rPr>
        <w:t xml:space="preserve"> el cargo por violación del principio de igualdad formulado en la demanda, cuya aptitud fue cuestionada por la Defensoría del Pueblo por presuntamente incumplir el requisito de certeza, y determinó que este cumplía con los requisitos de claridad, certeza, especificidad, pertinencia y suficiencia. </w:t>
      </w:r>
      <w:r w:rsidRPr="005304B4">
        <w:rPr>
          <w:i/>
          <w:iCs/>
          <w:lang w:eastAsia="es-ES_tradnl"/>
        </w:rPr>
        <w:t>Segundo</w:t>
      </w:r>
      <w:r w:rsidRPr="005304B4">
        <w:rPr>
          <w:lang w:eastAsia="es-ES_tradnl"/>
        </w:rPr>
        <w:t xml:space="preserve">, estableció que las sentencias C-415 de 2022 y C-324 de 2023 hicieron tránsito a cosa juzgada relativa implícita, lo que no impedía un pronunciamiento de fondo porque el cargo analizado en esta ocasión era distinto en su </w:t>
      </w:r>
      <w:r w:rsidRPr="005304B4">
        <w:rPr>
          <w:i/>
          <w:iCs/>
          <w:lang w:eastAsia="es-ES_tradnl"/>
        </w:rPr>
        <w:t>causa petendi</w:t>
      </w:r>
      <w:r w:rsidRPr="005304B4">
        <w:rPr>
          <w:lang w:eastAsia="es-ES_tradnl"/>
        </w:rPr>
        <w:t xml:space="preserve"> al abordado en dichas providencias. Y, </w:t>
      </w:r>
      <w:r w:rsidRPr="005304B4">
        <w:rPr>
          <w:i/>
          <w:iCs/>
          <w:lang w:eastAsia="es-ES_tradnl"/>
        </w:rPr>
        <w:t>tercero</w:t>
      </w:r>
      <w:r w:rsidRPr="005304B4">
        <w:rPr>
          <w:lang w:eastAsia="es-ES_tradnl"/>
        </w:rPr>
        <w:t xml:space="preserve">, estimó necesario efectuar una integración de la unidad normativa entre la frase demandada y la expresión “el padre adoptante”, incorporada en el inciso segundo del parágrafo 2 del artículo 2 de la Ley 2114 de 2021. </w:t>
      </w:r>
    </w:p>
    <w:p w14:paraId="69A53471"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 </w:t>
      </w:r>
    </w:p>
    <w:p w14:paraId="01D9CCD0" w14:textId="4CDABD81" w:rsidR="00C50948" w:rsidRPr="005304B4" w:rsidRDefault="00C50948" w:rsidP="00C50948">
      <w:pPr>
        <w:pStyle w:val="Prrafodelista"/>
        <w:tabs>
          <w:tab w:val="left" w:pos="284"/>
          <w:tab w:val="left" w:pos="426"/>
        </w:tabs>
        <w:ind w:left="0"/>
        <w:rPr>
          <w:lang w:eastAsia="es-ES_tradnl"/>
        </w:rPr>
      </w:pPr>
      <w:r w:rsidRPr="005304B4">
        <w:rPr>
          <w:lang w:eastAsia="es-ES_tradnl"/>
        </w:rPr>
        <w:t>La Sala Plena formuló el problema jurídico a resolver en los siguientes términos: ¿las expresiones “la madre adoptante” y “el padre adoptante” contenidas en el numeral 4, y en el inciso segundo del parágrafo 2 del artículo 2 de la Ley 2114 de 2021, respectivamente, vulneran el principio de igualdad contemplado en el artículo 13 de la Constitución Política al: (i) negarle la posibilidad a la pareja heteroparental adoptante de elegir cuál de ellos accederá a cada una de las licencias</w:t>
      </w:r>
      <w:r w:rsidR="00604781" w:rsidRPr="005304B4">
        <w:rPr>
          <w:lang w:eastAsia="es-ES_tradnl"/>
        </w:rPr>
        <w:t xml:space="preserve"> parentales</w:t>
      </w:r>
      <w:r w:rsidRPr="005304B4">
        <w:rPr>
          <w:lang w:eastAsia="es-ES_tradnl"/>
        </w:rPr>
        <w:t xml:space="preserve">, en contraste con lo que ocurre en el caso de las parejas del mismo sexo que adoptan y (ii) al asignar de manera automática a los miembros de la pareja de distinto sexo adoptante las correspondientes licencias parentales con base en criterios de género específicos? </w:t>
      </w:r>
    </w:p>
    <w:p w14:paraId="1B930169"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 </w:t>
      </w:r>
    </w:p>
    <w:p w14:paraId="71A9D550"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Para resolver el problema jurídico planteado, la Sala: (i) reiteró la jurisprudencia sobre el principio de igualdad y no discriminación, especialmente sobre la prohibición de discriminar por razones de sexo y orientación sexual; (ii) se pronunció sobre la incompatibilidad de las normas que asignan beneficios o cargas sociales con base en estereotipos de género con la Constitución Política y el bloque de constitucionalidad; (iii) abordó el derecho fundamental al cuidado, la igualdad y la corresponsabilidad familiar en su ejercicio, así como la persistente desigualdad en la distribución de las labores domésticas entre hombres y mujeres; (iv) analizó la regulación de las licencias parentales en el ordenamiento jurídico interno, y (v) reiteró su jurisprudencia sobre el interés superior de los niños, niñas y adolescentes, sus derechos al cuidado y a tener una familia, y la adopción como medida de protección. </w:t>
      </w:r>
    </w:p>
    <w:p w14:paraId="1B694970"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 </w:t>
      </w:r>
    </w:p>
    <w:p w14:paraId="31330C67" w14:textId="7EA4D0A8" w:rsidR="00C50948" w:rsidRPr="005304B4" w:rsidRDefault="00C50948" w:rsidP="00C50948">
      <w:pPr>
        <w:pStyle w:val="Prrafodelista"/>
        <w:tabs>
          <w:tab w:val="left" w:pos="284"/>
          <w:tab w:val="left" w:pos="426"/>
        </w:tabs>
        <w:ind w:left="0"/>
        <w:rPr>
          <w:lang w:eastAsia="es-ES_tradnl"/>
        </w:rPr>
      </w:pPr>
      <w:r w:rsidRPr="005304B4">
        <w:rPr>
          <w:lang w:eastAsia="es-ES_tradnl"/>
        </w:rPr>
        <w:t xml:space="preserve">Al descender al caso concreto, la Sala Plena precisó las hipótesis normativas y los contornos del debate constitucional. A continuación, aplicó un test estricto de igualdad y concluyó que, en efecto, el condicionamiento efectuado por esta Corte en la Sentencia C-415 de 2022, en conjunción con el texto del artículo 2 de la Ley 2114 de 2021, inadvertidamente dieron lugar a un tratamiento jurídico diferencial injustificado entre parejas homo y heteroparentales adoptantes, en relación con la posibilidad de elegir cuál de sus integrantes accedería a las licencias de maternidad y paternidad, lo que resultaba contrario al principio de igualdad establecido en el artículo 13 de la Constitución Política. </w:t>
      </w:r>
    </w:p>
    <w:p w14:paraId="0E6FA689" w14:textId="77777777" w:rsidR="00C50948" w:rsidRPr="005304B4" w:rsidRDefault="00C50948" w:rsidP="00C50948">
      <w:pPr>
        <w:pStyle w:val="Prrafodelista"/>
        <w:tabs>
          <w:tab w:val="left" w:pos="284"/>
          <w:tab w:val="left" w:pos="426"/>
        </w:tabs>
        <w:ind w:left="0"/>
        <w:rPr>
          <w:lang w:eastAsia="es-ES_tradnl"/>
        </w:rPr>
      </w:pPr>
    </w:p>
    <w:p w14:paraId="6C548473" w14:textId="77777777" w:rsidR="00C50948" w:rsidRPr="005304B4" w:rsidRDefault="00C50948" w:rsidP="00C50948">
      <w:pPr>
        <w:pStyle w:val="Prrafodelista"/>
        <w:tabs>
          <w:tab w:val="left" w:pos="284"/>
          <w:tab w:val="left" w:pos="426"/>
        </w:tabs>
        <w:ind w:left="0"/>
        <w:rPr>
          <w:lang w:eastAsia="es-ES_tradnl"/>
        </w:rPr>
      </w:pPr>
      <w:r w:rsidRPr="005304B4">
        <w:rPr>
          <w:lang w:eastAsia="es-ES_tradnl"/>
        </w:rPr>
        <w:t>Adicionalmente, dichas expresiones también desconocieron el principio de igualdad porque efectuaban una asignación automática de las licencias parentales en el caso de parejas adoptantes de distinto sexo con base en estereotipos de género prescriptivos, en especial, aquellos que imponen a las mujeres la carga principal de cuidado en relación con la crianza de los hijos.</w:t>
      </w:r>
    </w:p>
    <w:p w14:paraId="016A0FD7" w14:textId="77777777" w:rsidR="00C50948" w:rsidRPr="005304B4" w:rsidRDefault="00C50948" w:rsidP="00C50948">
      <w:pPr>
        <w:pStyle w:val="Prrafodelista"/>
        <w:tabs>
          <w:tab w:val="left" w:pos="284"/>
          <w:tab w:val="left" w:pos="426"/>
        </w:tabs>
        <w:rPr>
          <w:bCs/>
          <w:color w:val="000000" w:themeColor="text1"/>
          <w:lang w:eastAsia="es-MX"/>
        </w:rPr>
      </w:pPr>
    </w:p>
    <w:p w14:paraId="72F1CB1B" w14:textId="77C41676" w:rsidR="0093736B" w:rsidRPr="005304B4" w:rsidRDefault="00037AC4" w:rsidP="00C50948">
      <w:pPr>
        <w:pStyle w:val="Prrafodelista"/>
        <w:tabs>
          <w:tab w:val="left" w:pos="284"/>
          <w:tab w:val="left" w:pos="426"/>
        </w:tabs>
        <w:ind w:left="0"/>
        <w:rPr>
          <w:bCs/>
          <w:color w:val="000000" w:themeColor="text1"/>
        </w:rPr>
      </w:pPr>
      <w:r w:rsidRPr="005304B4">
        <w:rPr>
          <w:lang w:eastAsia="es-ES_tradnl"/>
        </w:rPr>
        <w:t>Como consecuencia de todo lo anterior, la Sala declaró exequibles las expresiones “la madre adoptante” y “el padre adoptante” contenidas en el numeral 4 y e</w:t>
      </w:r>
      <w:r w:rsidR="00CF2B83" w:rsidRPr="005304B4">
        <w:rPr>
          <w:lang w:eastAsia="es-ES_tradnl"/>
        </w:rPr>
        <w:t>l</w:t>
      </w:r>
      <w:r w:rsidRPr="005304B4">
        <w:rPr>
          <w:lang w:eastAsia="es-ES_tradnl"/>
        </w:rPr>
        <w:t xml:space="preserve"> inciso segundo del parágrafo 2 del artículo 2 de la Ley 2114 de 2021, respectivamente, </w:t>
      </w:r>
      <w:r w:rsidR="00C50948" w:rsidRPr="005304B4">
        <w:rPr>
          <w:bCs/>
          <w:lang w:eastAsia="es-ES_tradnl"/>
        </w:rPr>
        <w:t>en el entendido de que la pareja adoptante, definirá de común acuerdo, por una sola vez, cuál de ellos, con independencia de su género, gozará de la licencia de maternidad y cuál de la licencia de paternidad.</w:t>
      </w:r>
    </w:p>
    <w:sdt>
      <w:sdtPr>
        <w:rPr>
          <w:rFonts w:ascii="Times New Roman" w:eastAsia="Times New Roman" w:hAnsi="Times New Roman" w:cs="Times New Roman"/>
          <w:color w:val="auto"/>
          <w:sz w:val="28"/>
          <w:szCs w:val="28"/>
          <w:lang w:val="es-ES" w:eastAsia="es-MX"/>
        </w:rPr>
        <w:id w:val="2089187057"/>
        <w:docPartObj>
          <w:docPartGallery w:val="Table of Contents"/>
          <w:docPartUnique/>
        </w:docPartObj>
      </w:sdtPr>
      <w:sdtEndPr>
        <w:rPr>
          <w:b/>
          <w:bCs/>
        </w:rPr>
      </w:sdtEndPr>
      <w:sdtContent>
        <w:p w14:paraId="691FF34B" w14:textId="6DF0C97C" w:rsidR="00557EF0" w:rsidRPr="005304B4" w:rsidRDefault="00557EF0">
          <w:pPr>
            <w:pStyle w:val="TtuloTDC"/>
            <w:rPr>
              <w:rFonts w:ascii="Times New Roman" w:hAnsi="Times New Roman" w:cs="Times New Roman"/>
              <w:sz w:val="28"/>
              <w:szCs w:val="28"/>
            </w:rPr>
          </w:pPr>
          <w:r w:rsidRPr="005304B4">
            <w:rPr>
              <w:rFonts w:ascii="Times New Roman" w:hAnsi="Times New Roman" w:cs="Times New Roman"/>
              <w:sz w:val="28"/>
              <w:szCs w:val="28"/>
              <w:lang w:val="es-ES"/>
            </w:rPr>
            <w:t>Tabla de contenido</w:t>
          </w:r>
        </w:p>
        <w:p w14:paraId="457CDB94" w14:textId="280FC224" w:rsidR="005A4B9F" w:rsidRPr="005304B4" w:rsidRDefault="00557EF0">
          <w:pPr>
            <w:pStyle w:val="TDC1"/>
            <w:tabs>
              <w:tab w:val="right" w:leader="dot" w:pos="8830"/>
            </w:tabs>
            <w:rPr>
              <w:rFonts w:asciiTheme="minorHAnsi" w:eastAsiaTheme="minorEastAsia" w:hAnsiTheme="minorHAnsi" w:cstheme="minorBidi"/>
              <w:noProof/>
              <w:kern w:val="2"/>
              <w:lang w:eastAsia="es-CO"/>
              <w14:ligatures w14:val="standardContextual"/>
            </w:rPr>
          </w:pPr>
          <w:r w:rsidRPr="005304B4">
            <w:rPr>
              <w:sz w:val="28"/>
              <w:szCs w:val="28"/>
            </w:rPr>
            <w:fldChar w:fldCharType="begin"/>
          </w:r>
          <w:r w:rsidRPr="005304B4">
            <w:rPr>
              <w:sz w:val="28"/>
              <w:szCs w:val="28"/>
            </w:rPr>
            <w:instrText xml:space="preserve"> TOC \o "1-3" \h \z \u </w:instrText>
          </w:r>
          <w:r w:rsidRPr="005304B4">
            <w:rPr>
              <w:sz w:val="28"/>
              <w:szCs w:val="28"/>
            </w:rPr>
            <w:fldChar w:fldCharType="separate"/>
          </w:r>
          <w:hyperlink w:anchor="_Toc224553729" w:history="1">
            <w:r w:rsidR="005A4B9F" w:rsidRPr="005304B4">
              <w:rPr>
                <w:rStyle w:val="Hipervnculo"/>
                <w:noProof/>
              </w:rPr>
              <w:t>I. ANTECEDENTES</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_Toc224553729 \h </w:instrText>
            </w:r>
            <w:r w:rsidR="005A4B9F" w:rsidRPr="005304B4">
              <w:rPr>
                <w:noProof/>
                <w:webHidden/>
              </w:rPr>
            </w:r>
            <w:r w:rsidR="005A4B9F" w:rsidRPr="005304B4">
              <w:rPr>
                <w:noProof/>
                <w:webHidden/>
              </w:rPr>
              <w:fldChar w:fldCharType="separate"/>
            </w:r>
            <w:r w:rsidR="00CD1D34" w:rsidRPr="005304B4">
              <w:rPr>
                <w:noProof/>
                <w:webHidden/>
              </w:rPr>
              <w:t>4</w:t>
            </w:r>
            <w:r w:rsidR="005A4B9F" w:rsidRPr="005304B4">
              <w:rPr>
                <w:noProof/>
                <w:webHidden/>
              </w:rPr>
              <w:fldChar w:fldCharType="end"/>
            </w:r>
          </w:hyperlink>
        </w:p>
        <w:p w14:paraId="6200A36A" w14:textId="56E14624" w:rsidR="005A4B9F" w:rsidRPr="005304B4" w:rsidRDefault="007A77E1">
          <w:pPr>
            <w:pStyle w:val="TDC1"/>
            <w:tabs>
              <w:tab w:val="right" w:leader="dot" w:pos="8830"/>
            </w:tabs>
            <w:rPr>
              <w:rFonts w:asciiTheme="minorHAnsi" w:eastAsiaTheme="minorEastAsia" w:hAnsiTheme="minorHAnsi" w:cstheme="minorBidi"/>
              <w:noProof/>
              <w:kern w:val="2"/>
              <w:lang w:eastAsia="es-CO"/>
              <w14:ligatures w14:val="standardContextual"/>
            </w:rPr>
          </w:pPr>
          <w:hyperlink w:anchor="_Toc224553730" w:history="1">
            <w:r w:rsidR="005A4B9F" w:rsidRPr="005304B4">
              <w:rPr>
                <w:rStyle w:val="Hipervnculo"/>
                <w:noProof/>
              </w:rPr>
              <w:t>II. NORMA DEMANDADA</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_Toc224553730 \h </w:instrText>
            </w:r>
            <w:r w:rsidR="005A4B9F" w:rsidRPr="005304B4">
              <w:rPr>
                <w:noProof/>
                <w:webHidden/>
              </w:rPr>
            </w:r>
            <w:r w:rsidR="005A4B9F" w:rsidRPr="005304B4">
              <w:rPr>
                <w:noProof/>
                <w:webHidden/>
              </w:rPr>
              <w:fldChar w:fldCharType="separate"/>
            </w:r>
            <w:r w:rsidR="00CD1D34" w:rsidRPr="005304B4">
              <w:rPr>
                <w:noProof/>
                <w:webHidden/>
              </w:rPr>
              <w:t>5</w:t>
            </w:r>
            <w:r w:rsidR="005A4B9F" w:rsidRPr="005304B4">
              <w:rPr>
                <w:noProof/>
                <w:webHidden/>
              </w:rPr>
              <w:fldChar w:fldCharType="end"/>
            </w:r>
          </w:hyperlink>
        </w:p>
        <w:p w14:paraId="4D8A13DD" w14:textId="69BD4C15" w:rsidR="005A4B9F" w:rsidRPr="005304B4" w:rsidRDefault="007A77E1">
          <w:pPr>
            <w:pStyle w:val="TDC1"/>
            <w:tabs>
              <w:tab w:val="right" w:leader="dot" w:pos="8830"/>
            </w:tabs>
            <w:rPr>
              <w:rFonts w:asciiTheme="minorHAnsi" w:eastAsiaTheme="minorEastAsia" w:hAnsiTheme="minorHAnsi" w:cstheme="minorBidi"/>
              <w:noProof/>
              <w:kern w:val="2"/>
              <w:lang w:eastAsia="es-CO"/>
              <w14:ligatures w14:val="standardContextual"/>
            </w:rPr>
          </w:pPr>
          <w:hyperlink w:anchor="_Toc224553731" w:history="1">
            <w:r w:rsidR="005A4B9F" w:rsidRPr="005304B4">
              <w:rPr>
                <w:rStyle w:val="Hipervnculo"/>
                <w:noProof/>
              </w:rPr>
              <w:t>III. LA DEMANDA</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_Toc224553731 \h </w:instrText>
            </w:r>
            <w:r w:rsidR="005A4B9F" w:rsidRPr="005304B4">
              <w:rPr>
                <w:noProof/>
                <w:webHidden/>
              </w:rPr>
            </w:r>
            <w:r w:rsidR="005A4B9F" w:rsidRPr="005304B4">
              <w:rPr>
                <w:noProof/>
                <w:webHidden/>
              </w:rPr>
              <w:fldChar w:fldCharType="separate"/>
            </w:r>
            <w:r w:rsidR="00CD1D34" w:rsidRPr="005304B4">
              <w:rPr>
                <w:noProof/>
                <w:webHidden/>
              </w:rPr>
              <w:t>6</w:t>
            </w:r>
            <w:r w:rsidR="005A4B9F" w:rsidRPr="005304B4">
              <w:rPr>
                <w:noProof/>
                <w:webHidden/>
              </w:rPr>
              <w:fldChar w:fldCharType="end"/>
            </w:r>
          </w:hyperlink>
        </w:p>
        <w:p w14:paraId="4528F6E0" w14:textId="4BFDAB53" w:rsidR="005A4B9F" w:rsidRPr="005304B4" w:rsidRDefault="007A77E1">
          <w:pPr>
            <w:pStyle w:val="TDC1"/>
            <w:tabs>
              <w:tab w:val="right" w:leader="dot" w:pos="8830"/>
            </w:tabs>
            <w:rPr>
              <w:rFonts w:asciiTheme="minorHAnsi" w:eastAsiaTheme="minorEastAsia" w:hAnsiTheme="minorHAnsi" w:cstheme="minorBidi"/>
              <w:noProof/>
              <w:kern w:val="2"/>
              <w:lang w:eastAsia="es-CO"/>
              <w14:ligatures w14:val="standardContextual"/>
            </w:rPr>
          </w:pPr>
          <w:hyperlink w:anchor="_Toc224553732" w:history="1">
            <w:r w:rsidR="005A4B9F" w:rsidRPr="005304B4">
              <w:rPr>
                <w:rStyle w:val="Hipervnculo"/>
                <w:noProof/>
              </w:rPr>
              <w:t>IV. INTERVENCIONES</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_Toc224553732 \h </w:instrText>
            </w:r>
            <w:r w:rsidR="005A4B9F" w:rsidRPr="005304B4">
              <w:rPr>
                <w:noProof/>
                <w:webHidden/>
              </w:rPr>
            </w:r>
            <w:r w:rsidR="005A4B9F" w:rsidRPr="005304B4">
              <w:rPr>
                <w:noProof/>
                <w:webHidden/>
              </w:rPr>
              <w:fldChar w:fldCharType="separate"/>
            </w:r>
            <w:r w:rsidR="00CD1D34" w:rsidRPr="005304B4">
              <w:rPr>
                <w:noProof/>
                <w:webHidden/>
              </w:rPr>
              <w:t>9</w:t>
            </w:r>
            <w:r w:rsidR="005A4B9F" w:rsidRPr="005304B4">
              <w:rPr>
                <w:noProof/>
                <w:webHidden/>
              </w:rPr>
              <w:fldChar w:fldCharType="end"/>
            </w:r>
          </w:hyperlink>
        </w:p>
        <w:p w14:paraId="4F93D74D" w14:textId="3A270F82"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33" w:history="1">
            <w:r w:rsidR="005A4B9F" w:rsidRPr="005304B4">
              <w:rPr>
                <w:rStyle w:val="Hipervnculo"/>
                <w:noProof/>
              </w:rPr>
              <w:t>1. Ministerio de la Igualdad y Equidad</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_Toc224553733 \h </w:instrText>
            </w:r>
            <w:r w:rsidR="005A4B9F" w:rsidRPr="005304B4">
              <w:rPr>
                <w:noProof/>
                <w:webHidden/>
              </w:rPr>
            </w:r>
            <w:r w:rsidR="005A4B9F" w:rsidRPr="005304B4">
              <w:rPr>
                <w:noProof/>
                <w:webHidden/>
              </w:rPr>
              <w:fldChar w:fldCharType="separate"/>
            </w:r>
            <w:r w:rsidR="00CD1D34" w:rsidRPr="005304B4">
              <w:rPr>
                <w:noProof/>
                <w:webHidden/>
              </w:rPr>
              <w:t>10</w:t>
            </w:r>
            <w:r w:rsidR="005A4B9F" w:rsidRPr="005304B4">
              <w:rPr>
                <w:noProof/>
                <w:webHidden/>
              </w:rPr>
              <w:fldChar w:fldCharType="end"/>
            </w:r>
          </w:hyperlink>
        </w:p>
        <w:p w14:paraId="75B77C56" w14:textId="6FE83FD7"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34" w:history="1">
            <w:r w:rsidR="005A4B9F" w:rsidRPr="005304B4">
              <w:rPr>
                <w:rStyle w:val="Hipervnculo"/>
                <w:noProof/>
              </w:rPr>
              <w:t>2. Semillero de Derecho Internacional y de los Derechos Humanos Antonio Augusto Cançado Trindade de la Universidad Católica de Colombia</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_Toc224553734 \h </w:instrText>
            </w:r>
            <w:r w:rsidR="005A4B9F" w:rsidRPr="005304B4">
              <w:rPr>
                <w:noProof/>
                <w:webHidden/>
              </w:rPr>
            </w:r>
            <w:r w:rsidR="005A4B9F" w:rsidRPr="005304B4">
              <w:rPr>
                <w:noProof/>
                <w:webHidden/>
              </w:rPr>
              <w:fldChar w:fldCharType="separate"/>
            </w:r>
            <w:r w:rsidR="00CD1D34" w:rsidRPr="005304B4">
              <w:rPr>
                <w:noProof/>
                <w:webHidden/>
              </w:rPr>
              <w:t>11</w:t>
            </w:r>
            <w:r w:rsidR="005A4B9F" w:rsidRPr="005304B4">
              <w:rPr>
                <w:noProof/>
                <w:webHidden/>
              </w:rPr>
              <w:fldChar w:fldCharType="end"/>
            </w:r>
          </w:hyperlink>
        </w:p>
        <w:p w14:paraId="1B29E781" w14:textId="0348732E"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35" w:history="1">
            <w:r w:rsidR="005A4B9F" w:rsidRPr="005304B4">
              <w:rPr>
                <w:rStyle w:val="Hipervnculo"/>
                <w:noProof/>
              </w:rPr>
              <w:t>3. Clínica Jurídica de la Escuela de Derecho y Ciencias Políticas de la Universidad Pontificia Bolivariana de Medellín</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_Toc224553735 \h </w:instrText>
            </w:r>
            <w:r w:rsidR="005A4B9F" w:rsidRPr="005304B4">
              <w:rPr>
                <w:noProof/>
                <w:webHidden/>
              </w:rPr>
            </w:r>
            <w:r w:rsidR="005A4B9F" w:rsidRPr="005304B4">
              <w:rPr>
                <w:noProof/>
                <w:webHidden/>
              </w:rPr>
              <w:fldChar w:fldCharType="separate"/>
            </w:r>
            <w:r w:rsidR="00CD1D34" w:rsidRPr="005304B4">
              <w:rPr>
                <w:noProof/>
                <w:webHidden/>
              </w:rPr>
              <w:t>12</w:t>
            </w:r>
            <w:r w:rsidR="005A4B9F" w:rsidRPr="005304B4">
              <w:rPr>
                <w:noProof/>
                <w:webHidden/>
              </w:rPr>
              <w:fldChar w:fldCharType="end"/>
            </w:r>
          </w:hyperlink>
        </w:p>
        <w:p w14:paraId="31A307DF" w14:textId="3807208D"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36" w:history="1">
            <w:r w:rsidR="005A4B9F" w:rsidRPr="005304B4">
              <w:rPr>
                <w:rStyle w:val="Hipervnculo"/>
                <w:noProof/>
              </w:rPr>
              <w:t>4. Instituto Colombiano de Bienestar Familiar</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_Toc224553736 \h </w:instrText>
            </w:r>
            <w:r w:rsidR="005A4B9F" w:rsidRPr="005304B4">
              <w:rPr>
                <w:noProof/>
                <w:webHidden/>
              </w:rPr>
            </w:r>
            <w:r w:rsidR="005A4B9F" w:rsidRPr="005304B4">
              <w:rPr>
                <w:noProof/>
                <w:webHidden/>
              </w:rPr>
              <w:fldChar w:fldCharType="separate"/>
            </w:r>
            <w:r w:rsidR="00CD1D34" w:rsidRPr="005304B4">
              <w:rPr>
                <w:noProof/>
                <w:webHidden/>
              </w:rPr>
              <w:t>13</w:t>
            </w:r>
            <w:r w:rsidR="005A4B9F" w:rsidRPr="005304B4">
              <w:rPr>
                <w:noProof/>
                <w:webHidden/>
              </w:rPr>
              <w:fldChar w:fldCharType="end"/>
            </w:r>
          </w:hyperlink>
        </w:p>
        <w:p w14:paraId="5671BED7" w14:textId="21B3888E"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37" w:history="1">
            <w:r w:rsidR="005A4B9F" w:rsidRPr="005304B4">
              <w:rPr>
                <w:rStyle w:val="Hipervnculo"/>
                <w:noProof/>
              </w:rPr>
              <w:t>5. Programa de Acción por la Igualdad y la Inclusión Social (PAIIS) del Consultorio Jurídico de la Universidad de los Andes y Temblores ONG</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_Toc224553737 \h </w:instrText>
            </w:r>
            <w:r w:rsidR="005A4B9F" w:rsidRPr="005304B4">
              <w:rPr>
                <w:noProof/>
                <w:webHidden/>
              </w:rPr>
            </w:r>
            <w:r w:rsidR="005A4B9F" w:rsidRPr="005304B4">
              <w:rPr>
                <w:noProof/>
                <w:webHidden/>
              </w:rPr>
              <w:fldChar w:fldCharType="separate"/>
            </w:r>
            <w:r w:rsidR="00CD1D34" w:rsidRPr="005304B4">
              <w:rPr>
                <w:noProof/>
                <w:webHidden/>
              </w:rPr>
              <w:t>13</w:t>
            </w:r>
            <w:r w:rsidR="005A4B9F" w:rsidRPr="005304B4">
              <w:rPr>
                <w:noProof/>
                <w:webHidden/>
              </w:rPr>
              <w:fldChar w:fldCharType="end"/>
            </w:r>
          </w:hyperlink>
        </w:p>
        <w:p w14:paraId="64B32D39" w14:textId="7F17BFAA"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38" w:history="1">
            <w:r w:rsidR="005A4B9F" w:rsidRPr="005304B4">
              <w:rPr>
                <w:rStyle w:val="Hipervnculo"/>
                <w:noProof/>
              </w:rPr>
              <w:t>6. Facultad de Derecho de la Universidad Libre de Bogotá</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_Toc224553738 \h </w:instrText>
            </w:r>
            <w:r w:rsidR="005A4B9F" w:rsidRPr="005304B4">
              <w:rPr>
                <w:noProof/>
                <w:webHidden/>
              </w:rPr>
            </w:r>
            <w:r w:rsidR="005A4B9F" w:rsidRPr="005304B4">
              <w:rPr>
                <w:noProof/>
                <w:webHidden/>
              </w:rPr>
              <w:fldChar w:fldCharType="separate"/>
            </w:r>
            <w:r w:rsidR="00CD1D34" w:rsidRPr="005304B4">
              <w:rPr>
                <w:noProof/>
                <w:webHidden/>
              </w:rPr>
              <w:t>14</w:t>
            </w:r>
            <w:r w:rsidR="005A4B9F" w:rsidRPr="005304B4">
              <w:rPr>
                <w:noProof/>
                <w:webHidden/>
              </w:rPr>
              <w:fldChar w:fldCharType="end"/>
            </w:r>
          </w:hyperlink>
        </w:p>
        <w:p w14:paraId="48DACBDB" w14:textId="015F1465"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39" w:history="1">
            <w:r w:rsidR="005A4B9F" w:rsidRPr="005304B4">
              <w:rPr>
                <w:rStyle w:val="Hipervnculo"/>
                <w:noProof/>
              </w:rPr>
              <w:t>7. Facultad de Derecho y Ciencias Políticas de la Universidad del Valle</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_Toc224553739 \h </w:instrText>
            </w:r>
            <w:r w:rsidR="005A4B9F" w:rsidRPr="005304B4">
              <w:rPr>
                <w:noProof/>
                <w:webHidden/>
              </w:rPr>
            </w:r>
            <w:r w:rsidR="005A4B9F" w:rsidRPr="005304B4">
              <w:rPr>
                <w:noProof/>
                <w:webHidden/>
              </w:rPr>
              <w:fldChar w:fldCharType="separate"/>
            </w:r>
            <w:r w:rsidR="00CD1D34" w:rsidRPr="005304B4">
              <w:rPr>
                <w:noProof/>
                <w:webHidden/>
              </w:rPr>
              <w:t>15</w:t>
            </w:r>
            <w:r w:rsidR="005A4B9F" w:rsidRPr="005304B4">
              <w:rPr>
                <w:noProof/>
                <w:webHidden/>
              </w:rPr>
              <w:fldChar w:fldCharType="end"/>
            </w:r>
          </w:hyperlink>
        </w:p>
        <w:p w14:paraId="0CCB7CD5" w14:textId="44FA70D7"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40" w:history="1">
            <w:r w:rsidR="005A4B9F" w:rsidRPr="005304B4">
              <w:rPr>
                <w:rStyle w:val="Hipervnculo"/>
                <w:noProof/>
              </w:rPr>
              <w:t>8. Ministerio de Salud y Protección Social</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_Toc224553740 \h </w:instrText>
            </w:r>
            <w:r w:rsidR="005A4B9F" w:rsidRPr="005304B4">
              <w:rPr>
                <w:noProof/>
                <w:webHidden/>
              </w:rPr>
            </w:r>
            <w:r w:rsidR="005A4B9F" w:rsidRPr="005304B4">
              <w:rPr>
                <w:noProof/>
                <w:webHidden/>
              </w:rPr>
              <w:fldChar w:fldCharType="separate"/>
            </w:r>
            <w:r w:rsidR="00CD1D34" w:rsidRPr="005304B4">
              <w:rPr>
                <w:noProof/>
                <w:webHidden/>
              </w:rPr>
              <w:t>15</w:t>
            </w:r>
            <w:r w:rsidR="005A4B9F" w:rsidRPr="005304B4">
              <w:rPr>
                <w:noProof/>
                <w:webHidden/>
              </w:rPr>
              <w:fldChar w:fldCharType="end"/>
            </w:r>
          </w:hyperlink>
        </w:p>
        <w:p w14:paraId="7580BCE9" w14:textId="495F6777"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41" w:history="1">
            <w:r w:rsidR="005A4B9F" w:rsidRPr="005304B4">
              <w:rPr>
                <w:rStyle w:val="Hipervnculo"/>
                <w:noProof/>
              </w:rPr>
              <w:t>9. Defensoría del Pueblo</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_Toc224553741 \h </w:instrText>
            </w:r>
            <w:r w:rsidR="005A4B9F" w:rsidRPr="005304B4">
              <w:rPr>
                <w:noProof/>
                <w:webHidden/>
              </w:rPr>
            </w:r>
            <w:r w:rsidR="005A4B9F" w:rsidRPr="005304B4">
              <w:rPr>
                <w:noProof/>
                <w:webHidden/>
              </w:rPr>
              <w:fldChar w:fldCharType="separate"/>
            </w:r>
            <w:r w:rsidR="00CD1D34" w:rsidRPr="005304B4">
              <w:rPr>
                <w:noProof/>
                <w:webHidden/>
              </w:rPr>
              <w:t>16</w:t>
            </w:r>
            <w:r w:rsidR="005A4B9F" w:rsidRPr="005304B4">
              <w:rPr>
                <w:noProof/>
                <w:webHidden/>
              </w:rPr>
              <w:fldChar w:fldCharType="end"/>
            </w:r>
          </w:hyperlink>
        </w:p>
        <w:p w14:paraId="66DC2610" w14:textId="65B206C3" w:rsidR="005A4B9F" w:rsidRPr="005304B4" w:rsidRDefault="007A77E1">
          <w:pPr>
            <w:pStyle w:val="TDC1"/>
            <w:tabs>
              <w:tab w:val="right" w:leader="dot" w:pos="8830"/>
            </w:tabs>
            <w:rPr>
              <w:rFonts w:asciiTheme="minorHAnsi" w:eastAsiaTheme="minorEastAsia" w:hAnsiTheme="minorHAnsi" w:cstheme="minorBidi"/>
              <w:noProof/>
              <w:kern w:val="2"/>
              <w:lang w:eastAsia="es-CO"/>
              <w14:ligatures w14:val="standardContextual"/>
            </w:rPr>
          </w:pPr>
          <w:hyperlink w:anchor="_Toc224553742" w:history="1">
            <w:r w:rsidR="005A4B9F" w:rsidRPr="005304B4">
              <w:rPr>
                <w:rStyle w:val="Hipervnculo"/>
                <w:noProof/>
              </w:rPr>
              <w:t>V. CONCEPTO DE LA PROCURADURÍA GENERAL DE LA NACIÓN</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_Toc224553742 \h </w:instrText>
            </w:r>
            <w:r w:rsidR="005A4B9F" w:rsidRPr="005304B4">
              <w:rPr>
                <w:noProof/>
                <w:webHidden/>
              </w:rPr>
            </w:r>
            <w:r w:rsidR="005A4B9F" w:rsidRPr="005304B4">
              <w:rPr>
                <w:noProof/>
                <w:webHidden/>
              </w:rPr>
              <w:fldChar w:fldCharType="separate"/>
            </w:r>
            <w:r w:rsidR="00CD1D34" w:rsidRPr="005304B4">
              <w:rPr>
                <w:noProof/>
                <w:webHidden/>
              </w:rPr>
              <w:t>16</w:t>
            </w:r>
            <w:r w:rsidR="005A4B9F" w:rsidRPr="005304B4">
              <w:rPr>
                <w:noProof/>
                <w:webHidden/>
              </w:rPr>
              <w:fldChar w:fldCharType="end"/>
            </w:r>
          </w:hyperlink>
        </w:p>
        <w:p w14:paraId="26AD118D" w14:textId="7D9473BC" w:rsidR="005A4B9F" w:rsidRPr="005304B4" w:rsidRDefault="007A77E1">
          <w:pPr>
            <w:pStyle w:val="TDC1"/>
            <w:tabs>
              <w:tab w:val="right" w:leader="dot" w:pos="8830"/>
            </w:tabs>
            <w:rPr>
              <w:rFonts w:asciiTheme="minorHAnsi" w:eastAsiaTheme="minorEastAsia" w:hAnsiTheme="minorHAnsi" w:cstheme="minorBidi"/>
              <w:noProof/>
              <w:kern w:val="2"/>
              <w:lang w:eastAsia="es-CO"/>
              <w14:ligatures w14:val="standardContextual"/>
            </w:rPr>
          </w:pPr>
          <w:hyperlink w:anchor="_Toc224553743" w:history="1">
            <w:r w:rsidR="005A4B9F" w:rsidRPr="005304B4">
              <w:rPr>
                <w:rStyle w:val="Hipervnculo"/>
                <w:noProof/>
              </w:rPr>
              <w:t>VI. CONSIDERACIONES</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_Toc224553743 \h </w:instrText>
            </w:r>
            <w:r w:rsidR="005A4B9F" w:rsidRPr="005304B4">
              <w:rPr>
                <w:noProof/>
                <w:webHidden/>
              </w:rPr>
            </w:r>
            <w:r w:rsidR="005A4B9F" w:rsidRPr="005304B4">
              <w:rPr>
                <w:noProof/>
                <w:webHidden/>
              </w:rPr>
              <w:fldChar w:fldCharType="separate"/>
            </w:r>
            <w:r w:rsidR="00CD1D34" w:rsidRPr="005304B4">
              <w:rPr>
                <w:noProof/>
                <w:webHidden/>
              </w:rPr>
              <w:t>17</w:t>
            </w:r>
            <w:r w:rsidR="005A4B9F" w:rsidRPr="005304B4">
              <w:rPr>
                <w:noProof/>
                <w:webHidden/>
              </w:rPr>
              <w:fldChar w:fldCharType="end"/>
            </w:r>
          </w:hyperlink>
        </w:p>
        <w:p w14:paraId="58870A9D" w14:textId="160F3BDE"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44" w:history="1">
            <w:r w:rsidR="005A4B9F" w:rsidRPr="005304B4">
              <w:rPr>
                <w:rStyle w:val="Hipervnculo"/>
                <w:noProof/>
              </w:rPr>
              <w:t>1. Competencia</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_Toc224553744 \h </w:instrText>
            </w:r>
            <w:r w:rsidR="005A4B9F" w:rsidRPr="005304B4">
              <w:rPr>
                <w:noProof/>
                <w:webHidden/>
              </w:rPr>
            </w:r>
            <w:r w:rsidR="005A4B9F" w:rsidRPr="005304B4">
              <w:rPr>
                <w:noProof/>
                <w:webHidden/>
              </w:rPr>
              <w:fldChar w:fldCharType="separate"/>
            </w:r>
            <w:r w:rsidR="00CD1D34" w:rsidRPr="005304B4">
              <w:rPr>
                <w:noProof/>
                <w:webHidden/>
              </w:rPr>
              <w:t>17</w:t>
            </w:r>
            <w:r w:rsidR="005A4B9F" w:rsidRPr="005304B4">
              <w:rPr>
                <w:noProof/>
                <w:webHidden/>
              </w:rPr>
              <w:fldChar w:fldCharType="end"/>
            </w:r>
          </w:hyperlink>
        </w:p>
        <w:p w14:paraId="4FAF124F" w14:textId="6737F8D5"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45" w:history="1">
            <w:r w:rsidR="005A4B9F" w:rsidRPr="005304B4">
              <w:rPr>
                <w:rStyle w:val="Hipervnculo"/>
                <w:noProof/>
              </w:rPr>
              <w:t>2. Presentación del caso</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_Toc224553745 \h </w:instrText>
            </w:r>
            <w:r w:rsidR="005A4B9F" w:rsidRPr="005304B4">
              <w:rPr>
                <w:noProof/>
                <w:webHidden/>
              </w:rPr>
            </w:r>
            <w:r w:rsidR="005A4B9F" w:rsidRPr="005304B4">
              <w:rPr>
                <w:noProof/>
                <w:webHidden/>
              </w:rPr>
              <w:fldChar w:fldCharType="separate"/>
            </w:r>
            <w:r w:rsidR="00CD1D34" w:rsidRPr="005304B4">
              <w:rPr>
                <w:noProof/>
                <w:webHidden/>
              </w:rPr>
              <w:t>17</w:t>
            </w:r>
            <w:r w:rsidR="005A4B9F" w:rsidRPr="005304B4">
              <w:rPr>
                <w:noProof/>
                <w:webHidden/>
              </w:rPr>
              <w:fldChar w:fldCharType="end"/>
            </w:r>
          </w:hyperlink>
        </w:p>
        <w:p w14:paraId="0A5E4269" w14:textId="07DF39A5"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46" w:history="1">
            <w:r w:rsidR="005A4B9F" w:rsidRPr="005304B4">
              <w:rPr>
                <w:rStyle w:val="Hipervnculo"/>
                <w:noProof/>
              </w:rPr>
              <w:t>3. Cuestiones previas</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_Toc224553746 \h </w:instrText>
            </w:r>
            <w:r w:rsidR="005A4B9F" w:rsidRPr="005304B4">
              <w:rPr>
                <w:noProof/>
                <w:webHidden/>
              </w:rPr>
            </w:r>
            <w:r w:rsidR="005A4B9F" w:rsidRPr="005304B4">
              <w:rPr>
                <w:noProof/>
                <w:webHidden/>
              </w:rPr>
              <w:fldChar w:fldCharType="separate"/>
            </w:r>
            <w:r w:rsidR="00CD1D34" w:rsidRPr="005304B4">
              <w:rPr>
                <w:noProof/>
                <w:webHidden/>
              </w:rPr>
              <w:t>19</w:t>
            </w:r>
            <w:r w:rsidR="005A4B9F" w:rsidRPr="005304B4">
              <w:rPr>
                <w:noProof/>
                <w:webHidden/>
              </w:rPr>
              <w:fldChar w:fldCharType="end"/>
            </w:r>
          </w:hyperlink>
        </w:p>
        <w:p w14:paraId="5D266439" w14:textId="07E8D84C"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47" w:history="1">
            <w:r w:rsidR="005A4B9F" w:rsidRPr="005304B4">
              <w:rPr>
                <w:rStyle w:val="Hipervnculo"/>
                <w:noProof/>
              </w:rPr>
              <w:t>3.1. Primera cuestión previa: la demanda cumple con los requisitos necesarios para su admisión</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_Toc224553747 \h </w:instrText>
            </w:r>
            <w:r w:rsidR="005A4B9F" w:rsidRPr="005304B4">
              <w:rPr>
                <w:noProof/>
                <w:webHidden/>
              </w:rPr>
            </w:r>
            <w:r w:rsidR="005A4B9F" w:rsidRPr="005304B4">
              <w:rPr>
                <w:noProof/>
                <w:webHidden/>
              </w:rPr>
              <w:fldChar w:fldCharType="separate"/>
            </w:r>
            <w:r w:rsidR="00CD1D34" w:rsidRPr="005304B4">
              <w:rPr>
                <w:noProof/>
                <w:webHidden/>
              </w:rPr>
              <w:t>19</w:t>
            </w:r>
            <w:r w:rsidR="005A4B9F" w:rsidRPr="005304B4">
              <w:rPr>
                <w:noProof/>
                <w:webHidden/>
              </w:rPr>
              <w:fldChar w:fldCharType="end"/>
            </w:r>
          </w:hyperlink>
        </w:p>
        <w:p w14:paraId="24DFD3BF" w14:textId="4C1C69CF"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48" w:history="1">
            <w:r w:rsidR="005A4B9F" w:rsidRPr="005304B4">
              <w:rPr>
                <w:rStyle w:val="Hipervnculo"/>
                <w:noProof/>
              </w:rPr>
              <w:t>3.2. Segunda cuestión previa: sobre la cosa juzgada constitucional respecto del artículo 2° de la Ley 2114 de 2021</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_Toc224553748 \h </w:instrText>
            </w:r>
            <w:r w:rsidR="005A4B9F" w:rsidRPr="005304B4">
              <w:rPr>
                <w:noProof/>
                <w:webHidden/>
              </w:rPr>
            </w:r>
            <w:r w:rsidR="005A4B9F" w:rsidRPr="005304B4">
              <w:rPr>
                <w:noProof/>
                <w:webHidden/>
              </w:rPr>
              <w:fldChar w:fldCharType="separate"/>
            </w:r>
            <w:r w:rsidR="00CD1D34" w:rsidRPr="005304B4">
              <w:rPr>
                <w:noProof/>
                <w:webHidden/>
              </w:rPr>
              <w:t>25</w:t>
            </w:r>
            <w:r w:rsidR="005A4B9F" w:rsidRPr="005304B4">
              <w:rPr>
                <w:noProof/>
                <w:webHidden/>
              </w:rPr>
              <w:fldChar w:fldCharType="end"/>
            </w:r>
          </w:hyperlink>
        </w:p>
        <w:p w14:paraId="39CB1596" w14:textId="119DD1C8"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49" w:history="1">
            <w:r w:rsidR="005A4B9F" w:rsidRPr="005304B4">
              <w:rPr>
                <w:rStyle w:val="Hipervnculo"/>
                <w:noProof/>
              </w:rPr>
              <w:t>3.3. Tercera cuestión previa: integración de la unidad normativa</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_Toc224553749 \h </w:instrText>
            </w:r>
            <w:r w:rsidR="005A4B9F" w:rsidRPr="005304B4">
              <w:rPr>
                <w:noProof/>
                <w:webHidden/>
              </w:rPr>
            </w:r>
            <w:r w:rsidR="005A4B9F" w:rsidRPr="005304B4">
              <w:rPr>
                <w:noProof/>
                <w:webHidden/>
              </w:rPr>
              <w:fldChar w:fldCharType="separate"/>
            </w:r>
            <w:r w:rsidR="00CD1D34" w:rsidRPr="005304B4">
              <w:rPr>
                <w:noProof/>
                <w:webHidden/>
              </w:rPr>
              <w:t>30</w:t>
            </w:r>
            <w:r w:rsidR="005A4B9F" w:rsidRPr="005304B4">
              <w:rPr>
                <w:noProof/>
                <w:webHidden/>
              </w:rPr>
              <w:fldChar w:fldCharType="end"/>
            </w:r>
          </w:hyperlink>
        </w:p>
        <w:p w14:paraId="3F07F51B" w14:textId="14FD4E49"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50" w:history="1">
            <w:r w:rsidR="005A4B9F" w:rsidRPr="005304B4">
              <w:rPr>
                <w:rStyle w:val="Hipervnculo"/>
                <w:noProof/>
              </w:rPr>
              <w:t>4. Planteamiento del problema jurídico y metodología de la decisión</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_Toc224553750 \h </w:instrText>
            </w:r>
            <w:r w:rsidR="005A4B9F" w:rsidRPr="005304B4">
              <w:rPr>
                <w:noProof/>
                <w:webHidden/>
              </w:rPr>
            </w:r>
            <w:r w:rsidR="005A4B9F" w:rsidRPr="005304B4">
              <w:rPr>
                <w:noProof/>
                <w:webHidden/>
              </w:rPr>
              <w:fldChar w:fldCharType="separate"/>
            </w:r>
            <w:r w:rsidR="00CD1D34" w:rsidRPr="005304B4">
              <w:rPr>
                <w:noProof/>
                <w:webHidden/>
              </w:rPr>
              <w:t>32</w:t>
            </w:r>
            <w:r w:rsidR="005A4B9F" w:rsidRPr="005304B4">
              <w:rPr>
                <w:noProof/>
                <w:webHidden/>
              </w:rPr>
              <w:fldChar w:fldCharType="end"/>
            </w:r>
          </w:hyperlink>
        </w:p>
        <w:p w14:paraId="2F52EFF1" w14:textId="2844D157"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51" w:history="1">
            <w:r w:rsidR="005A4B9F" w:rsidRPr="005304B4">
              <w:rPr>
                <w:rStyle w:val="Hipervnculo"/>
                <w:noProof/>
                <w:bdr w:val="none" w:sz="0" w:space="0" w:color="auto" w:frame="1"/>
              </w:rPr>
              <w:t>5. El principio de igualdad y la prohibición de discriminación. Reiteración de jurisprudencia</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_Toc224553751 \h </w:instrText>
            </w:r>
            <w:r w:rsidR="005A4B9F" w:rsidRPr="005304B4">
              <w:rPr>
                <w:noProof/>
                <w:webHidden/>
              </w:rPr>
            </w:r>
            <w:r w:rsidR="005A4B9F" w:rsidRPr="005304B4">
              <w:rPr>
                <w:noProof/>
                <w:webHidden/>
              </w:rPr>
              <w:fldChar w:fldCharType="separate"/>
            </w:r>
            <w:r w:rsidR="00CD1D34" w:rsidRPr="005304B4">
              <w:rPr>
                <w:noProof/>
                <w:webHidden/>
              </w:rPr>
              <w:t>33</w:t>
            </w:r>
            <w:r w:rsidR="005A4B9F" w:rsidRPr="005304B4">
              <w:rPr>
                <w:noProof/>
                <w:webHidden/>
              </w:rPr>
              <w:fldChar w:fldCharType="end"/>
            </w:r>
          </w:hyperlink>
        </w:p>
        <w:p w14:paraId="1BCBAFF1" w14:textId="2378DA86"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52" w:history="1">
            <w:r w:rsidR="005A4B9F" w:rsidRPr="005304B4">
              <w:rPr>
                <w:rStyle w:val="Hipervnculo"/>
                <w:noProof/>
                <w:lang w:val="es-ES"/>
              </w:rPr>
              <w:t>5.1. La prohibición de discriminación en razón del sexo, el género y la orientación sexual</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_Toc224553752 \h </w:instrText>
            </w:r>
            <w:r w:rsidR="005A4B9F" w:rsidRPr="005304B4">
              <w:rPr>
                <w:noProof/>
                <w:webHidden/>
              </w:rPr>
            </w:r>
            <w:r w:rsidR="005A4B9F" w:rsidRPr="005304B4">
              <w:rPr>
                <w:noProof/>
                <w:webHidden/>
              </w:rPr>
              <w:fldChar w:fldCharType="separate"/>
            </w:r>
            <w:r w:rsidR="00CD1D34" w:rsidRPr="005304B4">
              <w:rPr>
                <w:noProof/>
                <w:webHidden/>
              </w:rPr>
              <w:t>37</w:t>
            </w:r>
            <w:r w:rsidR="005A4B9F" w:rsidRPr="005304B4">
              <w:rPr>
                <w:noProof/>
                <w:webHidden/>
              </w:rPr>
              <w:fldChar w:fldCharType="end"/>
            </w:r>
          </w:hyperlink>
        </w:p>
        <w:p w14:paraId="70297DA6" w14:textId="0EED8646"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53" w:history="1">
            <w:r w:rsidR="005A4B9F" w:rsidRPr="005304B4">
              <w:rPr>
                <w:rStyle w:val="Hipervnculo"/>
                <w:noProof/>
              </w:rPr>
              <w:t>5.2. Incompatibilidad de las normas que se basan en estereotipos de género con la Constitución Política y el bloque de constitucionalidad</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_Toc224553753 \h </w:instrText>
            </w:r>
            <w:r w:rsidR="005A4B9F" w:rsidRPr="005304B4">
              <w:rPr>
                <w:noProof/>
                <w:webHidden/>
              </w:rPr>
            </w:r>
            <w:r w:rsidR="005A4B9F" w:rsidRPr="005304B4">
              <w:rPr>
                <w:noProof/>
                <w:webHidden/>
              </w:rPr>
              <w:fldChar w:fldCharType="separate"/>
            </w:r>
            <w:r w:rsidR="00CD1D34" w:rsidRPr="005304B4">
              <w:rPr>
                <w:noProof/>
                <w:webHidden/>
              </w:rPr>
              <w:t>39</w:t>
            </w:r>
            <w:r w:rsidR="005A4B9F" w:rsidRPr="005304B4">
              <w:rPr>
                <w:noProof/>
                <w:webHidden/>
              </w:rPr>
              <w:fldChar w:fldCharType="end"/>
            </w:r>
          </w:hyperlink>
        </w:p>
        <w:p w14:paraId="02C645FD" w14:textId="70F1C9EB"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54" w:history="1">
            <w:r w:rsidR="005A4B9F" w:rsidRPr="005304B4">
              <w:rPr>
                <w:rStyle w:val="Hipervnculo"/>
                <w:noProof/>
              </w:rPr>
              <w:t>5.3. El derecho fundamental al cuidado</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_Toc224553754 \h </w:instrText>
            </w:r>
            <w:r w:rsidR="005A4B9F" w:rsidRPr="005304B4">
              <w:rPr>
                <w:noProof/>
                <w:webHidden/>
              </w:rPr>
            </w:r>
            <w:r w:rsidR="005A4B9F" w:rsidRPr="005304B4">
              <w:rPr>
                <w:noProof/>
                <w:webHidden/>
              </w:rPr>
              <w:fldChar w:fldCharType="separate"/>
            </w:r>
            <w:r w:rsidR="00CD1D34" w:rsidRPr="005304B4">
              <w:rPr>
                <w:noProof/>
                <w:webHidden/>
              </w:rPr>
              <w:t>43</w:t>
            </w:r>
            <w:r w:rsidR="005A4B9F" w:rsidRPr="005304B4">
              <w:rPr>
                <w:noProof/>
                <w:webHidden/>
              </w:rPr>
              <w:fldChar w:fldCharType="end"/>
            </w:r>
          </w:hyperlink>
        </w:p>
        <w:p w14:paraId="0B77B7FB" w14:textId="47B1004F"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55" w:history="1">
            <w:r w:rsidR="005A4B9F" w:rsidRPr="005304B4">
              <w:rPr>
                <w:rStyle w:val="Hipervnculo"/>
                <w:bCs/>
                <w:i/>
                <w:noProof/>
              </w:rPr>
              <w:t>Desigualdad en la distribución de las labores de cuidado no remunerado en el hogar.</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_Toc224553755 \h </w:instrText>
            </w:r>
            <w:r w:rsidR="005A4B9F" w:rsidRPr="005304B4">
              <w:rPr>
                <w:noProof/>
                <w:webHidden/>
              </w:rPr>
            </w:r>
            <w:r w:rsidR="005A4B9F" w:rsidRPr="005304B4">
              <w:rPr>
                <w:noProof/>
                <w:webHidden/>
              </w:rPr>
              <w:fldChar w:fldCharType="separate"/>
            </w:r>
            <w:r w:rsidR="00CD1D34" w:rsidRPr="005304B4">
              <w:rPr>
                <w:noProof/>
                <w:webHidden/>
              </w:rPr>
              <w:t>49</w:t>
            </w:r>
            <w:r w:rsidR="005A4B9F" w:rsidRPr="005304B4">
              <w:rPr>
                <w:noProof/>
                <w:webHidden/>
              </w:rPr>
              <w:fldChar w:fldCharType="end"/>
            </w:r>
          </w:hyperlink>
        </w:p>
        <w:p w14:paraId="0AD9CD17" w14:textId="12A2E1C9"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56" w:history="1">
            <w:r w:rsidR="005A4B9F" w:rsidRPr="005304B4">
              <w:rPr>
                <w:rStyle w:val="Hipervnculo"/>
                <w:noProof/>
              </w:rPr>
              <w:t>6. Las licencias parentales en el ordenamiento jurídico colombiano</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_Toc224553756 \h </w:instrText>
            </w:r>
            <w:r w:rsidR="005A4B9F" w:rsidRPr="005304B4">
              <w:rPr>
                <w:noProof/>
                <w:webHidden/>
              </w:rPr>
            </w:r>
            <w:r w:rsidR="005A4B9F" w:rsidRPr="005304B4">
              <w:rPr>
                <w:noProof/>
                <w:webHidden/>
              </w:rPr>
              <w:fldChar w:fldCharType="separate"/>
            </w:r>
            <w:r w:rsidR="00CD1D34" w:rsidRPr="005304B4">
              <w:rPr>
                <w:noProof/>
                <w:webHidden/>
              </w:rPr>
              <w:t>51</w:t>
            </w:r>
            <w:r w:rsidR="005A4B9F" w:rsidRPr="005304B4">
              <w:rPr>
                <w:noProof/>
                <w:webHidden/>
              </w:rPr>
              <w:fldChar w:fldCharType="end"/>
            </w:r>
          </w:hyperlink>
        </w:p>
        <w:p w14:paraId="609D989A" w14:textId="1566D1FC"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57" w:history="1">
            <w:r w:rsidR="005A4B9F" w:rsidRPr="005304B4">
              <w:rPr>
                <w:rStyle w:val="Hipervnculo"/>
                <w:noProof/>
              </w:rPr>
              <w:t>7. El interés superior de los niños, niñas y adolescentes, sus derechos al cuidado y a tener una familia y la adopción como medida de protección</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_Toc224553757 \h </w:instrText>
            </w:r>
            <w:r w:rsidR="005A4B9F" w:rsidRPr="005304B4">
              <w:rPr>
                <w:noProof/>
                <w:webHidden/>
              </w:rPr>
            </w:r>
            <w:r w:rsidR="005A4B9F" w:rsidRPr="005304B4">
              <w:rPr>
                <w:noProof/>
                <w:webHidden/>
              </w:rPr>
              <w:fldChar w:fldCharType="separate"/>
            </w:r>
            <w:r w:rsidR="00CD1D34" w:rsidRPr="005304B4">
              <w:rPr>
                <w:noProof/>
                <w:webHidden/>
              </w:rPr>
              <w:t>57</w:t>
            </w:r>
            <w:r w:rsidR="005A4B9F" w:rsidRPr="005304B4">
              <w:rPr>
                <w:noProof/>
                <w:webHidden/>
              </w:rPr>
              <w:fldChar w:fldCharType="end"/>
            </w:r>
          </w:hyperlink>
        </w:p>
        <w:p w14:paraId="18F431CE" w14:textId="20B7B8F9"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58" w:history="1">
            <w:r w:rsidR="005A4B9F" w:rsidRPr="005304B4">
              <w:rPr>
                <w:rStyle w:val="Hipervnculo"/>
                <w:noProof/>
              </w:rPr>
              <w:t>7.1. El interés superior de la niñez y su derecho al cuidado</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_Toc224553758 \h </w:instrText>
            </w:r>
            <w:r w:rsidR="005A4B9F" w:rsidRPr="005304B4">
              <w:rPr>
                <w:noProof/>
                <w:webHidden/>
              </w:rPr>
            </w:r>
            <w:r w:rsidR="005A4B9F" w:rsidRPr="005304B4">
              <w:rPr>
                <w:noProof/>
                <w:webHidden/>
              </w:rPr>
              <w:fldChar w:fldCharType="separate"/>
            </w:r>
            <w:r w:rsidR="00CD1D34" w:rsidRPr="005304B4">
              <w:rPr>
                <w:noProof/>
                <w:webHidden/>
              </w:rPr>
              <w:t>57</w:t>
            </w:r>
            <w:r w:rsidR="005A4B9F" w:rsidRPr="005304B4">
              <w:rPr>
                <w:noProof/>
                <w:webHidden/>
              </w:rPr>
              <w:fldChar w:fldCharType="end"/>
            </w:r>
          </w:hyperlink>
        </w:p>
        <w:p w14:paraId="6B2760F5" w14:textId="05A59D53"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59" w:history="1">
            <w:r w:rsidR="005A4B9F" w:rsidRPr="005304B4">
              <w:rPr>
                <w:rStyle w:val="Hipervnculo"/>
                <w:noProof/>
              </w:rPr>
              <w:t>7.2. El derecho a tener una familia y la adopción como medida de protección</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_Toc224553759 \h </w:instrText>
            </w:r>
            <w:r w:rsidR="005A4B9F" w:rsidRPr="005304B4">
              <w:rPr>
                <w:noProof/>
                <w:webHidden/>
              </w:rPr>
            </w:r>
            <w:r w:rsidR="005A4B9F" w:rsidRPr="005304B4">
              <w:rPr>
                <w:noProof/>
                <w:webHidden/>
              </w:rPr>
              <w:fldChar w:fldCharType="separate"/>
            </w:r>
            <w:r w:rsidR="00CD1D34" w:rsidRPr="005304B4">
              <w:rPr>
                <w:noProof/>
                <w:webHidden/>
              </w:rPr>
              <w:t>60</w:t>
            </w:r>
            <w:r w:rsidR="005A4B9F" w:rsidRPr="005304B4">
              <w:rPr>
                <w:noProof/>
                <w:webHidden/>
              </w:rPr>
              <w:fldChar w:fldCharType="end"/>
            </w:r>
          </w:hyperlink>
        </w:p>
        <w:p w14:paraId="60BF8EE3" w14:textId="06BD1EE7"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60" w:history="1">
            <w:r w:rsidR="005A4B9F" w:rsidRPr="005304B4">
              <w:rPr>
                <w:rStyle w:val="Hipervnculo"/>
                <w:noProof/>
              </w:rPr>
              <w:t>8. Solución del problema jurídico. Las expresiones objeto de control constitucional desconocen el principio de igualdad</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_Toc224553760 \h </w:instrText>
            </w:r>
            <w:r w:rsidR="005A4B9F" w:rsidRPr="005304B4">
              <w:rPr>
                <w:noProof/>
                <w:webHidden/>
              </w:rPr>
            </w:r>
            <w:r w:rsidR="005A4B9F" w:rsidRPr="005304B4">
              <w:rPr>
                <w:noProof/>
                <w:webHidden/>
              </w:rPr>
              <w:fldChar w:fldCharType="separate"/>
            </w:r>
            <w:r w:rsidR="00CD1D34" w:rsidRPr="005304B4">
              <w:rPr>
                <w:noProof/>
                <w:webHidden/>
              </w:rPr>
              <w:t>63</w:t>
            </w:r>
            <w:r w:rsidR="005A4B9F" w:rsidRPr="005304B4">
              <w:rPr>
                <w:noProof/>
                <w:webHidden/>
              </w:rPr>
              <w:fldChar w:fldCharType="end"/>
            </w:r>
          </w:hyperlink>
        </w:p>
        <w:p w14:paraId="2FD98C48" w14:textId="4EC0DAAC"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61" w:history="1">
            <w:r w:rsidR="005A4B9F" w:rsidRPr="005304B4">
              <w:rPr>
                <w:rStyle w:val="Hipervnculo"/>
                <w:noProof/>
              </w:rPr>
              <w:t>8.1. Hipótesis normativas y contornos del presente debate constitucional</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_Toc224553761 \h </w:instrText>
            </w:r>
            <w:r w:rsidR="005A4B9F" w:rsidRPr="005304B4">
              <w:rPr>
                <w:noProof/>
                <w:webHidden/>
              </w:rPr>
            </w:r>
            <w:r w:rsidR="005A4B9F" w:rsidRPr="005304B4">
              <w:rPr>
                <w:noProof/>
                <w:webHidden/>
              </w:rPr>
              <w:fldChar w:fldCharType="separate"/>
            </w:r>
            <w:r w:rsidR="00CD1D34" w:rsidRPr="005304B4">
              <w:rPr>
                <w:noProof/>
                <w:webHidden/>
              </w:rPr>
              <w:t>65</w:t>
            </w:r>
            <w:r w:rsidR="005A4B9F" w:rsidRPr="005304B4">
              <w:rPr>
                <w:noProof/>
                <w:webHidden/>
              </w:rPr>
              <w:fldChar w:fldCharType="end"/>
            </w:r>
          </w:hyperlink>
        </w:p>
        <w:p w14:paraId="47E77CA0" w14:textId="0F195905" w:rsidR="005A4B9F" w:rsidRPr="005304B4" w:rsidRDefault="007A77E1">
          <w:pPr>
            <w:pStyle w:val="TDC3"/>
            <w:tabs>
              <w:tab w:val="right" w:leader="dot" w:pos="8830"/>
            </w:tabs>
            <w:rPr>
              <w:rFonts w:asciiTheme="minorHAnsi" w:eastAsiaTheme="minorEastAsia" w:hAnsiTheme="minorHAnsi" w:cstheme="minorBidi"/>
              <w:noProof/>
              <w:kern w:val="2"/>
              <w:lang w:eastAsia="es-CO"/>
              <w14:ligatures w14:val="standardContextual"/>
            </w:rPr>
          </w:pPr>
          <w:hyperlink w:anchor="_Toc224553762" w:history="1">
            <w:r w:rsidR="005A4B9F" w:rsidRPr="005304B4">
              <w:rPr>
                <w:rStyle w:val="Hipervnculo"/>
                <w:noProof/>
              </w:rPr>
              <w:t>8.2. El condicionamiento efectuado por esta Corte en la Sentencia C-415 de 2022, en conjunción con el texto del artículo 2 de la Ley 2114 de 2021, dieron lugar a un tratamiento jurídico diferencial e injustificado entre parejas heteroparentales y homoparentales adoptantes en materia de posibilidad de elección sobre el acceso de sus miembros a las licencias parentales, el cual no supera el test integrado de igualdad</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_Toc224553762 \h </w:instrText>
            </w:r>
            <w:r w:rsidR="005A4B9F" w:rsidRPr="005304B4">
              <w:rPr>
                <w:noProof/>
                <w:webHidden/>
              </w:rPr>
            </w:r>
            <w:r w:rsidR="005A4B9F" w:rsidRPr="005304B4">
              <w:rPr>
                <w:noProof/>
                <w:webHidden/>
              </w:rPr>
              <w:fldChar w:fldCharType="separate"/>
            </w:r>
            <w:r w:rsidR="00CD1D34" w:rsidRPr="005304B4">
              <w:rPr>
                <w:noProof/>
                <w:webHidden/>
              </w:rPr>
              <w:t>67</w:t>
            </w:r>
            <w:r w:rsidR="005A4B9F" w:rsidRPr="005304B4">
              <w:rPr>
                <w:noProof/>
                <w:webHidden/>
              </w:rPr>
              <w:fldChar w:fldCharType="end"/>
            </w:r>
          </w:hyperlink>
        </w:p>
        <w:p w14:paraId="16A4D122" w14:textId="66583A89" w:rsidR="005A4B9F" w:rsidRPr="005304B4" w:rsidRDefault="007A77E1">
          <w:pPr>
            <w:pStyle w:val="TDC2"/>
            <w:tabs>
              <w:tab w:val="right" w:leader="dot" w:pos="8830"/>
            </w:tabs>
            <w:rPr>
              <w:rFonts w:asciiTheme="minorHAnsi" w:eastAsiaTheme="minorEastAsia" w:hAnsiTheme="minorHAnsi" w:cstheme="minorBidi"/>
              <w:noProof/>
              <w:kern w:val="2"/>
              <w:lang w:eastAsia="es-CO"/>
              <w14:ligatures w14:val="standardContextual"/>
            </w:rPr>
          </w:pPr>
          <w:hyperlink w:anchor="_Toc224553763" w:history="1">
            <w:r w:rsidR="005A4B9F" w:rsidRPr="005304B4">
              <w:rPr>
                <w:rStyle w:val="Hipervnculo"/>
                <w:noProof/>
              </w:rPr>
              <w:t>9. Remedio constitucional a adoptar</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_Toc224553763 \h </w:instrText>
            </w:r>
            <w:r w:rsidR="005A4B9F" w:rsidRPr="005304B4">
              <w:rPr>
                <w:noProof/>
                <w:webHidden/>
              </w:rPr>
            </w:r>
            <w:r w:rsidR="005A4B9F" w:rsidRPr="005304B4">
              <w:rPr>
                <w:noProof/>
                <w:webHidden/>
              </w:rPr>
              <w:fldChar w:fldCharType="separate"/>
            </w:r>
            <w:r w:rsidR="00CD1D34" w:rsidRPr="005304B4">
              <w:rPr>
                <w:noProof/>
                <w:webHidden/>
              </w:rPr>
              <w:t>78</w:t>
            </w:r>
            <w:r w:rsidR="005A4B9F" w:rsidRPr="005304B4">
              <w:rPr>
                <w:noProof/>
                <w:webHidden/>
              </w:rPr>
              <w:fldChar w:fldCharType="end"/>
            </w:r>
          </w:hyperlink>
        </w:p>
        <w:p w14:paraId="4BF7B202" w14:textId="347BF763" w:rsidR="005A4B9F" w:rsidRPr="005304B4" w:rsidRDefault="007A77E1">
          <w:pPr>
            <w:pStyle w:val="TDC1"/>
            <w:tabs>
              <w:tab w:val="right" w:leader="dot" w:pos="8830"/>
            </w:tabs>
            <w:rPr>
              <w:rFonts w:asciiTheme="minorHAnsi" w:eastAsiaTheme="minorEastAsia" w:hAnsiTheme="minorHAnsi" w:cstheme="minorBidi"/>
              <w:noProof/>
              <w:kern w:val="2"/>
              <w:lang w:eastAsia="es-CO"/>
              <w14:ligatures w14:val="standardContextual"/>
            </w:rPr>
          </w:pPr>
          <w:hyperlink w:anchor="_Toc224553764" w:history="1">
            <w:r w:rsidR="005A4B9F" w:rsidRPr="005304B4">
              <w:rPr>
                <w:rStyle w:val="Hipervnculo"/>
                <w:noProof/>
              </w:rPr>
              <w:t>VII. DECISIÓN</w:t>
            </w:r>
            <w:r w:rsidR="005A4B9F" w:rsidRPr="005304B4">
              <w:rPr>
                <w:noProof/>
                <w:webHidden/>
              </w:rPr>
              <w:tab/>
            </w:r>
            <w:r w:rsidR="005A4B9F" w:rsidRPr="005304B4">
              <w:rPr>
                <w:noProof/>
                <w:webHidden/>
              </w:rPr>
              <w:fldChar w:fldCharType="begin"/>
            </w:r>
            <w:r w:rsidR="005A4B9F" w:rsidRPr="005304B4">
              <w:rPr>
                <w:noProof/>
                <w:webHidden/>
              </w:rPr>
              <w:instrText xml:space="preserve"> PAGEREF _Toc224553764 \h </w:instrText>
            </w:r>
            <w:r w:rsidR="005A4B9F" w:rsidRPr="005304B4">
              <w:rPr>
                <w:noProof/>
                <w:webHidden/>
              </w:rPr>
            </w:r>
            <w:r w:rsidR="005A4B9F" w:rsidRPr="005304B4">
              <w:rPr>
                <w:noProof/>
                <w:webHidden/>
              </w:rPr>
              <w:fldChar w:fldCharType="separate"/>
            </w:r>
            <w:r w:rsidR="00CD1D34" w:rsidRPr="005304B4">
              <w:rPr>
                <w:noProof/>
                <w:webHidden/>
              </w:rPr>
              <w:t>80</w:t>
            </w:r>
            <w:r w:rsidR="005A4B9F" w:rsidRPr="005304B4">
              <w:rPr>
                <w:noProof/>
                <w:webHidden/>
              </w:rPr>
              <w:fldChar w:fldCharType="end"/>
            </w:r>
          </w:hyperlink>
        </w:p>
        <w:p w14:paraId="665FF1CE" w14:textId="7874DA74" w:rsidR="00B4679D" w:rsidRPr="005304B4" w:rsidRDefault="00557EF0" w:rsidP="00C849B1">
          <w:pPr>
            <w:rPr>
              <w:sz w:val="28"/>
              <w:szCs w:val="28"/>
            </w:rPr>
          </w:pPr>
          <w:r w:rsidRPr="005304B4">
            <w:rPr>
              <w:b/>
              <w:bCs/>
              <w:sz w:val="28"/>
              <w:szCs w:val="28"/>
              <w:lang w:val="es-ES"/>
            </w:rPr>
            <w:fldChar w:fldCharType="end"/>
          </w:r>
        </w:p>
      </w:sdtContent>
    </w:sdt>
    <w:p w14:paraId="292A9D59" w14:textId="1B5BF3D2" w:rsidR="00796BE5" w:rsidRPr="005304B4" w:rsidRDefault="001E1D9D" w:rsidP="001E1D9D">
      <w:pPr>
        <w:pStyle w:val="Ttulo1"/>
        <w:jc w:val="both"/>
        <w:rPr>
          <w:color w:val="000000" w:themeColor="text1"/>
        </w:rPr>
      </w:pPr>
      <w:bookmarkStart w:id="3" w:name="_Toc224553729"/>
      <w:r w:rsidRPr="005304B4">
        <w:rPr>
          <w:color w:val="000000" w:themeColor="text1"/>
        </w:rPr>
        <w:t xml:space="preserve">I. </w:t>
      </w:r>
      <w:r w:rsidR="00796BE5" w:rsidRPr="005304B4">
        <w:rPr>
          <w:color w:val="000000" w:themeColor="text1"/>
        </w:rPr>
        <w:t>ANTECEDENTES</w:t>
      </w:r>
      <w:bookmarkEnd w:id="3"/>
    </w:p>
    <w:p w14:paraId="20916B78" w14:textId="77777777" w:rsidR="000F0BB8" w:rsidRPr="005304B4" w:rsidRDefault="000F0BB8" w:rsidP="000F0BB8">
      <w:pPr>
        <w:rPr>
          <w:sz w:val="28"/>
          <w:szCs w:val="28"/>
          <w:lang w:eastAsia="es-CO"/>
        </w:rPr>
      </w:pPr>
    </w:p>
    <w:p w14:paraId="71FE4B83" w14:textId="42798DDD" w:rsidR="003F5A21" w:rsidRPr="005304B4" w:rsidRDefault="001C4F9C" w:rsidP="001C4F9C">
      <w:pPr>
        <w:pStyle w:val="Prrafodelista"/>
        <w:numPr>
          <w:ilvl w:val="0"/>
          <w:numId w:val="40"/>
        </w:numPr>
        <w:tabs>
          <w:tab w:val="left" w:pos="284"/>
        </w:tabs>
        <w:ind w:left="0" w:firstLine="0"/>
        <w:rPr>
          <w:b/>
          <w:bCs/>
          <w:color w:val="000000" w:themeColor="text1"/>
        </w:rPr>
      </w:pPr>
      <w:r w:rsidRPr="005304B4">
        <w:rPr>
          <w:color w:val="000000" w:themeColor="text1"/>
        </w:rPr>
        <w:t>En ejercicio de la acción pública prevista en el artículo 241.4 de la Constitución Polític</w:t>
      </w:r>
      <w:r w:rsidR="00557EF0" w:rsidRPr="005304B4">
        <w:rPr>
          <w:color w:val="000000" w:themeColor="text1"/>
        </w:rPr>
        <w:t>a</w:t>
      </w:r>
      <w:r w:rsidRPr="005304B4">
        <w:rPr>
          <w:color w:val="000000" w:themeColor="text1"/>
        </w:rPr>
        <w:t xml:space="preserve">, </w:t>
      </w:r>
      <w:r w:rsidR="00187762" w:rsidRPr="005304B4">
        <w:t>Andrés Ricardo González Toloza y otros</w:t>
      </w:r>
      <w:r w:rsidR="000F0BB8" w:rsidRPr="005304B4">
        <w:rPr>
          <w:rStyle w:val="Refdenotaalpie"/>
        </w:rPr>
        <w:footnoteReference w:id="2"/>
      </w:r>
      <w:r w:rsidR="000F0BB8" w:rsidRPr="005304B4">
        <w:t xml:space="preserve"> </w:t>
      </w:r>
      <w:r w:rsidRPr="005304B4">
        <w:t>demandaron el</w:t>
      </w:r>
      <w:r w:rsidR="00187762" w:rsidRPr="005304B4">
        <w:t xml:space="preserve"> numeral 4 (parcial) del artículo 2 de la Ley 2114 de 2021, “por medio de la cual se amplía la licencia de paternidad, se crea la licencia parental compartida, la licencia parental flexible de tiempo parcial, se modifica el artículo 236 y se adiciona el artículo 241A del Código Sustantivo del Trabajo, y se dictan otras disposiciones”</w:t>
      </w:r>
      <w:r w:rsidR="003F5A21" w:rsidRPr="005304B4">
        <w:t xml:space="preserve">, por considerar que vulnera el artículo 13 de la Constitución Política. </w:t>
      </w:r>
    </w:p>
    <w:p w14:paraId="18005789" w14:textId="77777777" w:rsidR="003F5A21" w:rsidRPr="005304B4" w:rsidRDefault="003F5A21" w:rsidP="003F5A21">
      <w:pPr>
        <w:pStyle w:val="Prrafodelista"/>
        <w:tabs>
          <w:tab w:val="left" w:pos="284"/>
        </w:tabs>
        <w:ind w:left="0"/>
        <w:rPr>
          <w:b/>
          <w:bCs/>
          <w:color w:val="000000" w:themeColor="text1"/>
        </w:rPr>
      </w:pPr>
    </w:p>
    <w:p w14:paraId="1D94F77C" w14:textId="48622125" w:rsidR="003F5A21" w:rsidRPr="005304B4" w:rsidRDefault="003F5A21" w:rsidP="001C4F9C">
      <w:pPr>
        <w:pStyle w:val="Prrafodelista"/>
        <w:numPr>
          <w:ilvl w:val="0"/>
          <w:numId w:val="40"/>
        </w:numPr>
        <w:tabs>
          <w:tab w:val="left" w:pos="284"/>
        </w:tabs>
        <w:ind w:left="0" w:firstLine="0"/>
        <w:rPr>
          <w:b/>
          <w:bCs/>
          <w:color w:val="000000" w:themeColor="text1"/>
        </w:rPr>
      </w:pPr>
      <w:r w:rsidRPr="005304B4">
        <w:rPr>
          <w:color w:val="000000" w:themeColor="text1"/>
        </w:rPr>
        <w:t xml:space="preserve">Inicialmente, </w:t>
      </w:r>
      <w:r w:rsidR="009141D2" w:rsidRPr="005304B4">
        <w:rPr>
          <w:color w:val="000000" w:themeColor="text1"/>
        </w:rPr>
        <w:t>la acción pública de inconstitucionalidad</w:t>
      </w:r>
      <w:r w:rsidRPr="005304B4">
        <w:rPr>
          <w:color w:val="000000" w:themeColor="text1"/>
        </w:rPr>
        <w:t xml:space="preserve"> fue inadmitida </w:t>
      </w:r>
      <w:r w:rsidR="004A036F" w:rsidRPr="005304B4">
        <w:rPr>
          <w:color w:val="000000" w:themeColor="text1"/>
        </w:rPr>
        <w:t xml:space="preserve">mediante el </w:t>
      </w:r>
      <w:r w:rsidR="009141D2" w:rsidRPr="005304B4">
        <w:rPr>
          <w:color w:val="000000" w:themeColor="text1"/>
        </w:rPr>
        <w:t>A</w:t>
      </w:r>
      <w:r w:rsidR="004A036F" w:rsidRPr="005304B4">
        <w:rPr>
          <w:color w:val="000000" w:themeColor="text1"/>
        </w:rPr>
        <w:t>uto de 8 de julio de 2025</w:t>
      </w:r>
      <w:r w:rsidR="004A036F" w:rsidRPr="005304B4">
        <w:rPr>
          <w:rStyle w:val="Refdenotaalpie"/>
          <w:color w:val="000000" w:themeColor="text1"/>
        </w:rPr>
        <w:footnoteReference w:id="3"/>
      </w:r>
      <w:r w:rsidR="009141D2" w:rsidRPr="005304B4">
        <w:rPr>
          <w:color w:val="000000" w:themeColor="text1"/>
        </w:rPr>
        <w:t xml:space="preserve">. </w:t>
      </w:r>
      <w:r w:rsidR="00A1284C" w:rsidRPr="005304B4">
        <w:rPr>
          <w:color w:val="000000" w:themeColor="text1"/>
        </w:rPr>
        <w:t>Corregida la demanda,</w:t>
      </w:r>
      <w:r w:rsidR="009141D2" w:rsidRPr="005304B4">
        <w:rPr>
          <w:color w:val="000000" w:themeColor="text1"/>
        </w:rPr>
        <w:t xml:space="preserve"> mediante Auto del 25 de julio de 2025</w:t>
      </w:r>
      <w:r w:rsidR="00557EF0" w:rsidRPr="005304B4">
        <w:rPr>
          <w:color w:val="000000" w:themeColor="text1"/>
        </w:rPr>
        <w:t>,</w:t>
      </w:r>
      <w:r w:rsidR="00565AB9" w:rsidRPr="005304B4">
        <w:rPr>
          <w:color w:val="000000" w:themeColor="text1"/>
        </w:rPr>
        <w:t xml:space="preserve"> se admitió</w:t>
      </w:r>
      <w:r w:rsidR="009141D2" w:rsidRPr="005304B4">
        <w:rPr>
          <w:rStyle w:val="Refdenotaalpie"/>
          <w:color w:val="000000" w:themeColor="text1"/>
        </w:rPr>
        <w:footnoteReference w:id="4"/>
      </w:r>
      <w:r w:rsidR="00565AB9" w:rsidRPr="005304B4">
        <w:rPr>
          <w:color w:val="000000" w:themeColor="text1"/>
        </w:rPr>
        <w:t xml:space="preserve"> y se ordenó (i) correr traslado al Procurador General de la Nación;</w:t>
      </w:r>
      <w:r w:rsidR="00CE6B51" w:rsidRPr="005304B4">
        <w:rPr>
          <w:color w:val="000000" w:themeColor="text1"/>
        </w:rPr>
        <w:t xml:space="preserve"> (ii) fijar en lista la disposición acusada;</w:t>
      </w:r>
      <w:r w:rsidR="00565AB9" w:rsidRPr="005304B4">
        <w:rPr>
          <w:color w:val="000000" w:themeColor="text1"/>
        </w:rPr>
        <w:t xml:space="preserve"> (</w:t>
      </w:r>
      <w:r w:rsidR="00CE6B51" w:rsidRPr="005304B4">
        <w:rPr>
          <w:color w:val="000000" w:themeColor="text1"/>
        </w:rPr>
        <w:t>i</w:t>
      </w:r>
      <w:r w:rsidR="00565AB9" w:rsidRPr="005304B4">
        <w:rPr>
          <w:color w:val="000000" w:themeColor="text1"/>
        </w:rPr>
        <w:t>ii</w:t>
      </w:r>
      <w:r w:rsidR="001A4E94" w:rsidRPr="005304B4">
        <w:rPr>
          <w:color w:val="000000" w:themeColor="text1"/>
        </w:rPr>
        <w:t xml:space="preserve">) </w:t>
      </w:r>
      <w:r w:rsidR="001A4E94" w:rsidRPr="005304B4">
        <w:rPr>
          <w:color w:val="2D2D2D"/>
          <w:shd w:val="clear" w:color="auto" w:fill="FFFFFF"/>
          <w:lang w:val="es-ES_tradnl"/>
        </w:rPr>
        <w:t>comunicar el inicio </w:t>
      </w:r>
      <w:r w:rsidR="001A4E94" w:rsidRPr="005304B4">
        <w:rPr>
          <w:color w:val="2D2D2D"/>
          <w:shd w:val="clear" w:color="auto" w:fill="FFFFFF"/>
        </w:rPr>
        <w:t xml:space="preserve">del trámite al </w:t>
      </w:r>
      <w:r w:rsidR="006541DC" w:rsidRPr="005304B4">
        <w:rPr>
          <w:color w:val="2D2D2D"/>
          <w:shd w:val="clear" w:color="auto" w:fill="FFFFFF"/>
        </w:rPr>
        <w:t>p</w:t>
      </w:r>
      <w:r w:rsidR="001A4E94" w:rsidRPr="005304B4">
        <w:rPr>
          <w:color w:val="2D2D2D"/>
          <w:shd w:val="clear" w:color="auto" w:fill="FFFFFF"/>
        </w:rPr>
        <w:t xml:space="preserve">residente de la República, al </w:t>
      </w:r>
      <w:r w:rsidR="006541DC" w:rsidRPr="005304B4">
        <w:rPr>
          <w:color w:val="2D2D2D"/>
          <w:shd w:val="clear" w:color="auto" w:fill="FFFFFF"/>
        </w:rPr>
        <w:t>p</w:t>
      </w:r>
      <w:r w:rsidR="001A4E94" w:rsidRPr="005304B4">
        <w:rPr>
          <w:color w:val="2D2D2D"/>
          <w:shd w:val="clear" w:color="auto" w:fill="FFFFFF"/>
        </w:rPr>
        <w:t xml:space="preserve">residente del Congreso, a los ministros de Justicia y del Derecho, de Salud y Protección Social y del Trabajo, así como al Instituto Colombiano de Bienestar Familiar. </w:t>
      </w:r>
      <w:r w:rsidR="00CE6B51" w:rsidRPr="005304B4">
        <w:rPr>
          <w:color w:val="2D2D2D"/>
          <w:shd w:val="clear" w:color="auto" w:fill="FFFFFF"/>
        </w:rPr>
        <w:t>De igual forma</w:t>
      </w:r>
      <w:r w:rsidR="003A1BFF" w:rsidRPr="005304B4">
        <w:rPr>
          <w:color w:val="2D2D2D"/>
          <w:shd w:val="clear" w:color="auto" w:fill="FFFFFF"/>
        </w:rPr>
        <w:t xml:space="preserve">, </w:t>
      </w:r>
      <w:r w:rsidR="00CE6B51" w:rsidRPr="005304B4">
        <w:rPr>
          <w:color w:val="2D2D2D"/>
          <w:shd w:val="clear" w:color="auto" w:fill="FFFFFF"/>
        </w:rPr>
        <w:t xml:space="preserve">(iv) </w:t>
      </w:r>
      <w:r w:rsidR="001A4E94" w:rsidRPr="005304B4">
        <w:rPr>
          <w:color w:val="2D2D2D"/>
          <w:shd w:val="clear" w:color="auto" w:fill="FFFFFF"/>
        </w:rPr>
        <w:t>invitó a participar a distintas instituciones y organizaciones, de conformidad con lo previsto en el artículo 13 del Decreto 2067 de 1991, para que emitieran concepto sobre la constitucionalidad de la norma</w:t>
      </w:r>
      <w:r w:rsidR="001A4E94" w:rsidRPr="005304B4">
        <w:rPr>
          <w:rStyle w:val="Refdenotaalpie"/>
          <w:color w:val="2D2D2D"/>
          <w:shd w:val="clear" w:color="auto" w:fill="FFFFFF"/>
        </w:rPr>
        <w:footnoteReference w:id="5"/>
      </w:r>
      <w:r w:rsidR="001A4E94" w:rsidRPr="005304B4">
        <w:rPr>
          <w:color w:val="2D2D2D"/>
          <w:shd w:val="clear" w:color="auto" w:fill="FFFFFF"/>
        </w:rPr>
        <w:t xml:space="preserve">. </w:t>
      </w:r>
    </w:p>
    <w:p w14:paraId="28F39EBF" w14:textId="77777777" w:rsidR="00056F1A" w:rsidRPr="005304B4" w:rsidRDefault="00056F1A" w:rsidP="00056F1A">
      <w:pPr>
        <w:pStyle w:val="Prrafodelista"/>
        <w:rPr>
          <w:b/>
          <w:bCs/>
          <w:color w:val="000000" w:themeColor="text1"/>
        </w:rPr>
      </w:pPr>
    </w:p>
    <w:p w14:paraId="2117CBD6" w14:textId="4EFFEC51" w:rsidR="00056F1A" w:rsidRPr="005304B4" w:rsidRDefault="00CE6B51" w:rsidP="001C4F9C">
      <w:pPr>
        <w:pStyle w:val="Prrafodelista"/>
        <w:numPr>
          <w:ilvl w:val="0"/>
          <w:numId w:val="40"/>
        </w:numPr>
        <w:tabs>
          <w:tab w:val="left" w:pos="284"/>
        </w:tabs>
        <w:ind w:left="0" w:firstLine="0"/>
        <w:rPr>
          <w:b/>
          <w:bCs/>
          <w:color w:val="000000" w:themeColor="text1"/>
        </w:rPr>
      </w:pPr>
      <w:r w:rsidRPr="005304B4">
        <w:rPr>
          <w:color w:val="000000" w:themeColor="text1"/>
        </w:rPr>
        <w:t>Una vez cumplidos los trámites previstos en el artículo 242 de la Constitución</w:t>
      </w:r>
      <w:r w:rsidR="00557EF0" w:rsidRPr="005304B4">
        <w:rPr>
          <w:color w:val="000000" w:themeColor="text1"/>
        </w:rPr>
        <w:t xml:space="preserve"> Política</w:t>
      </w:r>
      <w:r w:rsidRPr="005304B4">
        <w:rPr>
          <w:color w:val="000000" w:themeColor="text1"/>
        </w:rPr>
        <w:t xml:space="preserve"> y en el Decreto Ley 2067 de 1991, la Corte procede a resolver sobre la demanda de la referencia. </w:t>
      </w:r>
    </w:p>
    <w:p w14:paraId="4300562D" w14:textId="778F0F62" w:rsidR="00187762" w:rsidRPr="005304B4" w:rsidRDefault="00187762" w:rsidP="00CE6B51">
      <w:pPr>
        <w:pStyle w:val="Prrafodelista"/>
        <w:tabs>
          <w:tab w:val="left" w:pos="284"/>
        </w:tabs>
        <w:ind w:left="0"/>
        <w:rPr>
          <w:b/>
          <w:bCs/>
          <w:color w:val="000000" w:themeColor="text1"/>
        </w:rPr>
      </w:pPr>
    </w:p>
    <w:p w14:paraId="3CC29FCB" w14:textId="1E8DCBC2" w:rsidR="00CE6B51" w:rsidRPr="005304B4" w:rsidRDefault="001E1D9D" w:rsidP="00557EF0">
      <w:pPr>
        <w:pStyle w:val="Ttulo1"/>
        <w:jc w:val="both"/>
      </w:pPr>
      <w:bookmarkStart w:id="4" w:name="_Toc224553730"/>
      <w:r w:rsidRPr="005304B4">
        <w:t xml:space="preserve">II. </w:t>
      </w:r>
      <w:r w:rsidR="00CE6B51" w:rsidRPr="005304B4">
        <w:t>NORMA DEMANDADA</w:t>
      </w:r>
      <w:bookmarkEnd w:id="4"/>
    </w:p>
    <w:p w14:paraId="10294CD6" w14:textId="77777777" w:rsidR="000F0BB8" w:rsidRPr="005304B4" w:rsidRDefault="000F0BB8" w:rsidP="000F0BB8">
      <w:pPr>
        <w:tabs>
          <w:tab w:val="left" w:pos="567"/>
        </w:tabs>
        <w:rPr>
          <w:b/>
          <w:bCs/>
          <w:color w:val="000000" w:themeColor="text1"/>
          <w:sz w:val="28"/>
          <w:szCs w:val="28"/>
        </w:rPr>
      </w:pPr>
    </w:p>
    <w:p w14:paraId="08C95096" w14:textId="729E37EE" w:rsidR="000F0BB8" w:rsidRPr="005304B4" w:rsidRDefault="00557EF0" w:rsidP="00557EF0">
      <w:pPr>
        <w:shd w:val="clear" w:color="auto" w:fill="FFFFFF"/>
        <w:ind w:left="567" w:right="567"/>
        <w:jc w:val="center"/>
        <w:rPr>
          <w:b/>
          <w:bCs/>
          <w:color w:val="000000" w:themeColor="text1"/>
          <w:sz w:val="28"/>
          <w:szCs w:val="28"/>
        </w:rPr>
      </w:pPr>
      <w:r w:rsidRPr="005304B4">
        <w:rPr>
          <w:rStyle w:val="Textoennegrita"/>
          <w:b w:val="0"/>
          <w:bCs w:val="0"/>
          <w:color w:val="000000" w:themeColor="text1"/>
          <w:sz w:val="28"/>
          <w:szCs w:val="28"/>
        </w:rPr>
        <w:t>“</w:t>
      </w:r>
      <w:r w:rsidR="000F0BB8" w:rsidRPr="005304B4">
        <w:rPr>
          <w:rStyle w:val="Textoennegrita"/>
          <w:b w:val="0"/>
          <w:bCs w:val="0"/>
          <w:color w:val="000000" w:themeColor="text1"/>
          <w:sz w:val="28"/>
          <w:szCs w:val="28"/>
        </w:rPr>
        <w:t>LEY 2114 DE 2021</w:t>
      </w:r>
    </w:p>
    <w:p w14:paraId="2E2533C7" w14:textId="77777777" w:rsidR="000F0BB8" w:rsidRPr="005304B4" w:rsidRDefault="000F0BB8" w:rsidP="00557EF0">
      <w:pPr>
        <w:shd w:val="clear" w:color="auto" w:fill="FFFFFF"/>
        <w:ind w:left="567" w:right="567"/>
        <w:jc w:val="center"/>
        <w:rPr>
          <w:rStyle w:val="Textoennegrita"/>
          <w:b w:val="0"/>
          <w:bCs w:val="0"/>
          <w:color w:val="000000" w:themeColor="text1"/>
          <w:sz w:val="28"/>
          <w:szCs w:val="28"/>
        </w:rPr>
      </w:pPr>
      <w:r w:rsidRPr="005304B4">
        <w:rPr>
          <w:rStyle w:val="Textoennegrita"/>
          <w:b w:val="0"/>
          <w:bCs w:val="0"/>
          <w:color w:val="000000" w:themeColor="text1"/>
          <w:sz w:val="28"/>
          <w:szCs w:val="28"/>
        </w:rPr>
        <w:t>(Julio 29)</w:t>
      </w:r>
    </w:p>
    <w:p w14:paraId="4C86DF94" w14:textId="4E14CA50" w:rsidR="000F0BB8" w:rsidRPr="005304B4" w:rsidRDefault="000F0BB8" w:rsidP="00557EF0">
      <w:pPr>
        <w:shd w:val="clear" w:color="auto" w:fill="FFFFFF"/>
        <w:ind w:left="567" w:right="567"/>
        <w:jc w:val="center"/>
        <w:rPr>
          <w:rStyle w:val="Textoennegrita"/>
          <w:b w:val="0"/>
          <w:bCs w:val="0"/>
          <w:color w:val="000000" w:themeColor="text1"/>
          <w:sz w:val="28"/>
          <w:szCs w:val="28"/>
        </w:rPr>
      </w:pPr>
      <w:r w:rsidRPr="005304B4">
        <w:rPr>
          <w:rStyle w:val="Textoennegrita"/>
          <w:b w:val="0"/>
          <w:bCs w:val="0"/>
          <w:color w:val="000000" w:themeColor="text1"/>
          <w:sz w:val="28"/>
          <w:szCs w:val="28"/>
        </w:rPr>
        <w:t xml:space="preserve">Diario Oficial N° 51.750 de 29 de julio de 2021 </w:t>
      </w:r>
    </w:p>
    <w:p w14:paraId="03AF6217" w14:textId="77777777" w:rsidR="000F0BB8" w:rsidRPr="005304B4" w:rsidRDefault="000F0BB8" w:rsidP="00557EF0">
      <w:pPr>
        <w:shd w:val="clear" w:color="auto" w:fill="FFFFFF"/>
        <w:ind w:left="567" w:right="567"/>
        <w:jc w:val="center"/>
        <w:rPr>
          <w:b/>
          <w:bCs/>
          <w:color w:val="000000" w:themeColor="text1"/>
          <w:sz w:val="28"/>
          <w:szCs w:val="28"/>
        </w:rPr>
      </w:pPr>
    </w:p>
    <w:p w14:paraId="6440365A" w14:textId="779E729D" w:rsidR="000F0BB8" w:rsidRPr="005304B4" w:rsidRDefault="00557EF0" w:rsidP="00557EF0">
      <w:pPr>
        <w:shd w:val="clear" w:color="auto" w:fill="FFFFFF"/>
        <w:ind w:left="567" w:right="567"/>
        <w:jc w:val="center"/>
        <w:rPr>
          <w:rStyle w:val="Textoennegrita"/>
          <w:b w:val="0"/>
          <w:bCs w:val="0"/>
          <w:i/>
          <w:iCs/>
          <w:color w:val="000000" w:themeColor="text1"/>
          <w:sz w:val="28"/>
          <w:szCs w:val="28"/>
        </w:rPr>
      </w:pPr>
      <w:r w:rsidRPr="005304B4">
        <w:rPr>
          <w:rStyle w:val="Textoennegrita"/>
          <w:b w:val="0"/>
          <w:bCs w:val="0"/>
          <w:i/>
          <w:iCs/>
          <w:color w:val="000000" w:themeColor="text1"/>
          <w:sz w:val="28"/>
          <w:szCs w:val="28"/>
        </w:rPr>
        <w:t>‘</w:t>
      </w:r>
      <w:r w:rsidR="000F0BB8" w:rsidRPr="005304B4">
        <w:rPr>
          <w:rStyle w:val="Textoennegrita"/>
          <w:b w:val="0"/>
          <w:bCs w:val="0"/>
          <w:i/>
          <w:iCs/>
          <w:color w:val="000000" w:themeColor="text1"/>
          <w:sz w:val="28"/>
          <w:szCs w:val="28"/>
        </w:rPr>
        <w:t>Por medio de la cual se amplía la licencia de paternidad, se crea la licencia parental compartida, la licencia parental flexible de tiempo parcial, se modifica el artículo</w:t>
      </w:r>
      <w:r w:rsidR="000F0BB8" w:rsidRPr="005304B4">
        <w:rPr>
          <w:rStyle w:val="Textoennegrita"/>
          <w:color w:val="000000" w:themeColor="text1"/>
          <w:sz w:val="28"/>
          <w:szCs w:val="28"/>
        </w:rPr>
        <w:t> </w:t>
      </w:r>
      <w:hyperlink r:id="rId9" w:anchor="236" w:history="1">
        <w:r w:rsidR="000F0BB8" w:rsidRPr="005304B4">
          <w:rPr>
            <w:rStyle w:val="Hipervnculo"/>
            <w:color w:val="000000" w:themeColor="text1"/>
            <w:sz w:val="28"/>
            <w:szCs w:val="28"/>
            <w:u w:val="none"/>
          </w:rPr>
          <w:t>236 </w:t>
        </w:r>
      </w:hyperlink>
      <w:r w:rsidR="000F0BB8" w:rsidRPr="005304B4">
        <w:rPr>
          <w:rStyle w:val="Textoennegrita"/>
          <w:b w:val="0"/>
          <w:bCs w:val="0"/>
          <w:i/>
          <w:iCs/>
          <w:color w:val="000000" w:themeColor="text1"/>
          <w:sz w:val="28"/>
          <w:szCs w:val="28"/>
        </w:rPr>
        <w:t xml:space="preserve"> y se adiciona el artículo </w:t>
      </w:r>
      <w:hyperlink r:id="rId10" w:anchor="241A" w:history="1">
        <w:r w:rsidR="000F0BB8" w:rsidRPr="005304B4">
          <w:rPr>
            <w:rStyle w:val="Hipervnculo"/>
            <w:color w:val="000000" w:themeColor="text1"/>
            <w:sz w:val="28"/>
            <w:szCs w:val="28"/>
            <w:u w:val="none"/>
          </w:rPr>
          <w:t>241a</w:t>
        </w:r>
      </w:hyperlink>
      <w:r w:rsidR="00D44E58" w:rsidRPr="005304B4">
        <w:rPr>
          <w:rStyle w:val="Textoennegrita"/>
          <w:b w:val="0"/>
          <w:bCs w:val="0"/>
          <w:i/>
          <w:iCs/>
          <w:color w:val="000000" w:themeColor="text1"/>
          <w:sz w:val="28"/>
          <w:szCs w:val="28"/>
        </w:rPr>
        <w:t xml:space="preserve"> </w:t>
      </w:r>
      <w:r w:rsidR="000F0BB8" w:rsidRPr="005304B4">
        <w:rPr>
          <w:rStyle w:val="Textoennegrita"/>
          <w:b w:val="0"/>
          <w:bCs w:val="0"/>
          <w:i/>
          <w:iCs/>
          <w:color w:val="000000" w:themeColor="text1"/>
          <w:sz w:val="28"/>
          <w:szCs w:val="28"/>
        </w:rPr>
        <w:t>del código sustantivo del trabajo, y se dictan otras disposiciones</w:t>
      </w:r>
      <w:r w:rsidRPr="005304B4">
        <w:rPr>
          <w:rStyle w:val="Textoennegrita"/>
          <w:b w:val="0"/>
          <w:bCs w:val="0"/>
          <w:i/>
          <w:iCs/>
          <w:color w:val="000000" w:themeColor="text1"/>
          <w:sz w:val="28"/>
          <w:szCs w:val="28"/>
        </w:rPr>
        <w:t>’</w:t>
      </w:r>
    </w:p>
    <w:p w14:paraId="3E527EBE" w14:textId="77777777" w:rsidR="000F0BB8" w:rsidRPr="005304B4" w:rsidRDefault="000F0BB8" w:rsidP="00557EF0">
      <w:pPr>
        <w:shd w:val="clear" w:color="auto" w:fill="FFFFFF"/>
        <w:ind w:left="567" w:right="567"/>
        <w:jc w:val="center"/>
        <w:rPr>
          <w:rStyle w:val="Textoennegrita"/>
          <w:b w:val="0"/>
          <w:bCs w:val="0"/>
          <w:i/>
          <w:iCs/>
          <w:color w:val="000000" w:themeColor="text1"/>
          <w:sz w:val="28"/>
          <w:szCs w:val="28"/>
        </w:rPr>
      </w:pPr>
    </w:p>
    <w:p w14:paraId="601F6CE0" w14:textId="57116EC2" w:rsidR="000F0BB8" w:rsidRPr="005304B4" w:rsidRDefault="000F0BB8" w:rsidP="00557EF0">
      <w:pPr>
        <w:shd w:val="clear" w:color="auto" w:fill="FFFFFF"/>
        <w:ind w:left="567" w:right="567"/>
        <w:rPr>
          <w:rStyle w:val="Textoennegrita"/>
          <w:b w:val="0"/>
          <w:bCs w:val="0"/>
          <w:color w:val="000000" w:themeColor="text1"/>
          <w:sz w:val="28"/>
          <w:szCs w:val="28"/>
        </w:rPr>
      </w:pPr>
      <w:r w:rsidRPr="005304B4">
        <w:rPr>
          <w:rStyle w:val="Textoennegrita"/>
          <w:b w:val="0"/>
          <w:bCs w:val="0"/>
          <w:color w:val="000000" w:themeColor="text1"/>
          <w:sz w:val="28"/>
          <w:szCs w:val="28"/>
        </w:rPr>
        <w:t xml:space="preserve">(…) </w:t>
      </w:r>
    </w:p>
    <w:p w14:paraId="19668E83" w14:textId="77777777" w:rsidR="000F0BB8" w:rsidRPr="005304B4" w:rsidRDefault="000F0BB8" w:rsidP="00557EF0">
      <w:pPr>
        <w:shd w:val="clear" w:color="auto" w:fill="FFFFFF"/>
        <w:ind w:left="567" w:right="567"/>
        <w:rPr>
          <w:rStyle w:val="Textoennegrita"/>
          <w:b w:val="0"/>
          <w:bCs w:val="0"/>
          <w:i/>
          <w:iCs/>
          <w:color w:val="000000" w:themeColor="text1"/>
          <w:sz w:val="28"/>
          <w:szCs w:val="28"/>
        </w:rPr>
      </w:pPr>
    </w:p>
    <w:p w14:paraId="6003979A" w14:textId="173DE63D" w:rsidR="000F0BB8" w:rsidRPr="005304B4" w:rsidRDefault="000F0BB8" w:rsidP="00557EF0">
      <w:pPr>
        <w:shd w:val="clear" w:color="auto" w:fill="FFFFFF"/>
        <w:ind w:left="567" w:right="567"/>
        <w:rPr>
          <w:rStyle w:val="Textoennegrita"/>
          <w:b w:val="0"/>
          <w:bCs w:val="0"/>
          <w:color w:val="000000" w:themeColor="text1"/>
          <w:sz w:val="28"/>
          <w:szCs w:val="28"/>
        </w:rPr>
      </w:pPr>
      <w:r w:rsidRPr="005304B4">
        <w:rPr>
          <w:rStyle w:val="Textoennegrita"/>
          <w:b w:val="0"/>
          <w:bCs w:val="0"/>
          <w:color w:val="000000" w:themeColor="text1"/>
          <w:sz w:val="28"/>
          <w:szCs w:val="28"/>
        </w:rPr>
        <w:t>Artículo 2° Modifíquese el artículo 236 del Código Sustantivo del Trabajo, el cual quedará así:</w:t>
      </w:r>
    </w:p>
    <w:p w14:paraId="3B7D1A5D" w14:textId="77777777" w:rsidR="000F0BB8" w:rsidRPr="005304B4" w:rsidRDefault="000F0BB8" w:rsidP="00557EF0">
      <w:pPr>
        <w:shd w:val="clear" w:color="auto" w:fill="FFFFFF"/>
        <w:ind w:left="567" w:right="567"/>
        <w:rPr>
          <w:rStyle w:val="Textoennegrita"/>
          <w:b w:val="0"/>
          <w:bCs w:val="0"/>
          <w:color w:val="000000" w:themeColor="text1"/>
          <w:sz w:val="28"/>
          <w:szCs w:val="28"/>
        </w:rPr>
      </w:pPr>
    </w:p>
    <w:p w14:paraId="63582F5C" w14:textId="46740222" w:rsidR="000F0BB8" w:rsidRPr="005304B4" w:rsidRDefault="000F0BB8" w:rsidP="00557EF0">
      <w:pPr>
        <w:shd w:val="clear" w:color="auto" w:fill="FFFFFF"/>
        <w:ind w:left="567" w:right="567"/>
        <w:jc w:val="both"/>
        <w:rPr>
          <w:rStyle w:val="Textoennegrita"/>
          <w:b w:val="0"/>
          <w:bCs w:val="0"/>
          <w:color w:val="000000" w:themeColor="text1"/>
          <w:sz w:val="28"/>
          <w:szCs w:val="28"/>
        </w:rPr>
      </w:pPr>
      <w:r w:rsidRPr="005304B4">
        <w:rPr>
          <w:rStyle w:val="Textoennegrita"/>
          <w:b w:val="0"/>
          <w:bCs w:val="0"/>
          <w:color w:val="000000" w:themeColor="text1"/>
          <w:sz w:val="28"/>
          <w:szCs w:val="28"/>
        </w:rPr>
        <w:t xml:space="preserve">Artículo 236: Licencia en época del parto e incentivos para la adecuada atención y cuidado del recién nacido. Artículo modificado </w:t>
      </w:r>
      <w:r w:rsidR="00340DFA" w:rsidRPr="005304B4">
        <w:rPr>
          <w:rStyle w:val="Textoennegrita"/>
          <w:b w:val="0"/>
          <w:bCs w:val="0"/>
          <w:color w:val="000000" w:themeColor="text1"/>
          <w:sz w:val="28"/>
          <w:szCs w:val="28"/>
        </w:rPr>
        <w:t>por el artículo 1 de la Ley 1822 de 2017.</w:t>
      </w:r>
    </w:p>
    <w:p w14:paraId="51FBA266" w14:textId="26B656CF" w:rsidR="00340DFA" w:rsidRPr="005304B4" w:rsidRDefault="00340DFA" w:rsidP="00557EF0">
      <w:pPr>
        <w:shd w:val="clear" w:color="auto" w:fill="FFFFFF"/>
        <w:ind w:left="567" w:right="567"/>
        <w:jc w:val="both"/>
        <w:rPr>
          <w:rStyle w:val="Textoennegrita"/>
          <w:b w:val="0"/>
          <w:bCs w:val="0"/>
          <w:color w:val="000000" w:themeColor="text1"/>
          <w:sz w:val="28"/>
          <w:szCs w:val="28"/>
        </w:rPr>
      </w:pPr>
    </w:p>
    <w:p w14:paraId="29CB59CA" w14:textId="06D80EE9" w:rsidR="00340DFA" w:rsidRPr="005304B4" w:rsidRDefault="00340DFA" w:rsidP="00557EF0">
      <w:pPr>
        <w:shd w:val="clear" w:color="auto" w:fill="FFFFFF"/>
        <w:ind w:left="567" w:right="567"/>
        <w:jc w:val="both"/>
        <w:rPr>
          <w:rStyle w:val="Textoennegrita"/>
          <w:b w:val="0"/>
          <w:bCs w:val="0"/>
          <w:color w:val="000000" w:themeColor="text1"/>
          <w:sz w:val="28"/>
          <w:szCs w:val="28"/>
        </w:rPr>
      </w:pPr>
      <w:r w:rsidRPr="005304B4">
        <w:rPr>
          <w:rStyle w:val="Textoennegrita"/>
          <w:b w:val="0"/>
          <w:bCs w:val="0"/>
          <w:color w:val="000000" w:themeColor="text1"/>
          <w:sz w:val="28"/>
          <w:szCs w:val="28"/>
        </w:rPr>
        <w:t>(…)</w:t>
      </w:r>
    </w:p>
    <w:p w14:paraId="5E722176" w14:textId="77777777" w:rsidR="00340DFA" w:rsidRPr="005304B4" w:rsidRDefault="00340DFA" w:rsidP="00557EF0">
      <w:pPr>
        <w:shd w:val="clear" w:color="auto" w:fill="FFFFFF"/>
        <w:ind w:left="567" w:right="567"/>
        <w:jc w:val="both"/>
        <w:rPr>
          <w:rStyle w:val="Textoennegrita"/>
          <w:b w:val="0"/>
          <w:bCs w:val="0"/>
          <w:color w:val="333333"/>
          <w:sz w:val="28"/>
          <w:szCs w:val="28"/>
        </w:rPr>
      </w:pPr>
    </w:p>
    <w:p w14:paraId="0B20FC16" w14:textId="0AA01F35" w:rsidR="00340DFA" w:rsidRPr="005304B4" w:rsidRDefault="00340DFA" w:rsidP="00557EF0">
      <w:pPr>
        <w:shd w:val="clear" w:color="auto" w:fill="FFFFFF"/>
        <w:ind w:left="567" w:right="567"/>
        <w:jc w:val="both"/>
        <w:rPr>
          <w:color w:val="000000" w:themeColor="text1"/>
          <w:sz w:val="28"/>
          <w:szCs w:val="28"/>
        </w:rPr>
      </w:pPr>
      <w:r w:rsidRPr="005304B4">
        <w:rPr>
          <w:rStyle w:val="Textoennegrita"/>
          <w:b w:val="0"/>
          <w:bCs w:val="0"/>
          <w:color w:val="000000" w:themeColor="text1"/>
          <w:sz w:val="28"/>
          <w:szCs w:val="28"/>
        </w:rPr>
        <w:t xml:space="preserve">4. </w:t>
      </w:r>
      <w:r w:rsidRPr="005304B4">
        <w:rPr>
          <w:color w:val="000000" w:themeColor="text1"/>
          <w:sz w:val="28"/>
          <w:szCs w:val="28"/>
        </w:rPr>
        <w:t xml:space="preserve">Todas las provisiones y garantías establecidas en la presente ley para la madre biológica se hacen extensivas en los mismos términos y en cuanto fuere procedente a </w:t>
      </w:r>
      <w:r w:rsidRPr="005304B4">
        <w:rPr>
          <w:b/>
          <w:bCs/>
          <w:i/>
          <w:iCs/>
          <w:color w:val="000000" w:themeColor="text1"/>
          <w:sz w:val="28"/>
          <w:szCs w:val="28"/>
          <w:u w:val="single"/>
        </w:rPr>
        <w:t>la madre adoptante</w:t>
      </w:r>
      <w:r w:rsidRPr="005304B4">
        <w:rPr>
          <w:color w:val="000000" w:themeColor="text1"/>
          <w:sz w:val="28"/>
          <w:szCs w:val="28"/>
        </w:rPr>
        <w:t>, o al padre que quede a cargo del recién nacido sin apoyo de la madre, sea por enfermedad, abandono o muerte, asimilando la fecha del parto a la de la entrega oficial del menor que se ha adoptado, o del que adquiere custodia justo después del nacimiento. En ese sentido, la licencia materna se extiende al padre en caso de fallecimiento, abandono o enfermedad de la madre, el empleador del padre del niño le concederá una licencia de duración equivalente al tiempo que falta para expirar el periodo de la licencia posterior al parto concedida a la madre</w:t>
      </w:r>
      <w:r w:rsidR="00557EF0" w:rsidRPr="005304B4">
        <w:rPr>
          <w:color w:val="000000" w:themeColor="text1"/>
          <w:sz w:val="28"/>
          <w:szCs w:val="28"/>
        </w:rPr>
        <w:t>”</w:t>
      </w:r>
      <w:r w:rsidRPr="005304B4">
        <w:rPr>
          <w:color w:val="000000" w:themeColor="text1"/>
          <w:sz w:val="28"/>
          <w:szCs w:val="28"/>
        </w:rPr>
        <w:t xml:space="preserve">. (énfasis añadido). </w:t>
      </w:r>
    </w:p>
    <w:p w14:paraId="75B47C1F" w14:textId="77777777" w:rsidR="00340DFA" w:rsidRPr="005304B4" w:rsidRDefault="00340DFA" w:rsidP="000F0BB8">
      <w:pPr>
        <w:shd w:val="clear" w:color="auto" w:fill="FFFFFF"/>
        <w:jc w:val="both"/>
        <w:rPr>
          <w:sz w:val="28"/>
          <w:szCs w:val="28"/>
        </w:rPr>
      </w:pPr>
    </w:p>
    <w:p w14:paraId="39F41A42" w14:textId="30B6CC60" w:rsidR="00340DFA" w:rsidRPr="005304B4" w:rsidRDefault="001E1D9D" w:rsidP="00183E3F">
      <w:pPr>
        <w:pStyle w:val="Ttulo1"/>
        <w:jc w:val="left"/>
        <w:rPr>
          <w:rStyle w:val="Textoennegrita"/>
          <w:b/>
          <w:bCs w:val="0"/>
        </w:rPr>
      </w:pPr>
      <w:bookmarkStart w:id="5" w:name="_Toc224553731"/>
      <w:r w:rsidRPr="005304B4">
        <w:rPr>
          <w:rStyle w:val="Textoennegrita"/>
          <w:b/>
          <w:bCs w:val="0"/>
        </w:rPr>
        <w:t xml:space="preserve">III. </w:t>
      </w:r>
      <w:r w:rsidR="00CE6B51" w:rsidRPr="005304B4">
        <w:rPr>
          <w:rStyle w:val="Textoennegrita"/>
          <w:b/>
          <w:bCs w:val="0"/>
        </w:rPr>
        <w:t>LA DEMANDA</w:t>
      </w:r>
      <w:r w:rsidR="00F761B0" w:rsidRPr="005304B4">
        <w:rPr>
          <w:rStyle w:val="Refdenotaalpie"/>
          <w:b w:val="0"/>
          <w:bCs/>
        </w:rPr>
        <w:footnoteReference w:id="6"/>
      </w:r>
      <w:bookmarkEnd w:id="5"/>
    </w:p>
    <w:p w14:paraId="2DB2DF5F" w14:textId="77777777" w:rsidR="000F0BB8" w:rsidRPr="005304B4" w:rsidRDefault="000F0BB8" w:rsidP="000F0BB8">
      <w:pPr>
        <w:pStyle w:val="Prrafodelista"/>
        <w:tabs>
          <w:tab w:val="left" w:pos="567"/>
        </w:tabs>
        <w:ind w:left="0"/>
        <w:rPr>
          <w:b/>
          <w:bCs/>
          <w:color w:val="000000" w:themeColor="text1"/>
        </w:rPr>
      </w:pPr>
    </w:p>
    <w:p w14:paraId="19764953" w14:textId="34434D2D" w:rsidR="00731413" w:rsidRPr="005304B4" w:rsidRDefault="00CE6B51" w:rsidP="00351BB1">
      <w:pPr>
        <w:pStyle w:val="Prrafodelista"/>
        <w:numPr>
          <w:ilvl w:val="0"/>
          <w:numId w:val="40"/>
        </w:numPr>
        <w:tabs>
          <w:tab w:val="left" w:pos="284"/>
        </w:tabs>
        <w:ind w:left="0" w:firstLine="0"/>
        <w:rPr>
          <w:color w:val="000000" w:themeColor="text1"/>
        </w:rPr>
      </w:pPr>
      <w:r w:rsidRPr="005304B4">
        <w:t>L</w:t>
      </w:r>
      <w:r w:rsidR="00340DFA" w:rsidRPr="005304B4">
        <w:t xml:space="preserve">os accionantes </w:t>
      </w:r>
      <w:r w:rsidR="0098775F" w:rsidRPr="005304B4">
        <w:t xml:space="preserve">demandaron </w:t>
      </w:r>
      <w:r w:rsidR="00340DFA" w:rsidRPr="005304B4">
        <w:t>la expresión “la madre adoptante” incorporada en el numeral 4 del artículo 2 de la Ley 2114 de 202</w:t>
      </w:r>
      <w:r w:rsidR="00480ED7" w:rsidRPr="005304B4">
        <w:t>1</w:t>
      </w:r>
      <w:r w:rsidR="00B0131F" w:rsidRPr="005304B4">
        <w:t>,</w:t>
      </w:r>
      <w:r w:rsidR="00CA359F" w:rsidRPr="005304B4">
        <w:t xml:space="preserve"> </w:t>
      </w:r>
      <w:r w:rsidR="0098775F" w:rsidRPr="005304B4">
        <w:t>al considerar que vulnera el principio de igualdad, consagrado en el artículo 13 de la Constitución Política</w:t>
      </w:r>
      <w:r w:rsidR="00547869" w:rsidRPr="005304B4">
        <w:rPr>
          <w:rStyle w:val="Refdenotaalpie"/>
        </w:rPr>
        <w:footnoteReference w:id="7"/>
      </w:r>
      <w:r w:rsidR="00351BB1" w:rsidRPr="005304B4">
        <w:t xml:space="preserve">. </w:t>
      </w:r>
      <w:r w:rsidR="0098775F" w:rsidRPr="005304B4">
        <w:t>A juicio de los demandantes, la norma genera una desigualdad injustificada debido a que</w:t>
      </w:r>
      <w:r w:rsidR="00B41605" w:rsidRPr="005304B4">
        <w:t xml:space="preserve"> impide a las parejas </w:t>
      </w:r>
      <w:r w:rsidR="009D4BCE" w:rsidRPr="005304B4">
        <w:t>heteroparental</w:t>
      </w:r>
      <w:r w:rsidR="00B41605" w:rsidRPr="005304B4">
        <w:t>es adoptantes</w:t>
      </w:r>
      <w:r w:rsidR="00557EF0" w:rsidRPr="005304B4">
        <w:rPr>
          <w:rStyle w:val="Refdenotaalpie"/>
        </w:rPr>
        <w:footnoteReference w:id="8"/>
      </w:r>
      <w:r w:rsidR="00B41605" w:rsidRPr="005304B4">
        <w:t xml:space="preserve"> elegir, de manera libre, cuál de sus miembros accederá a la licencia de maternidad, puesto que, de manera automática, </w:t>
      </w:r>
      <w:r w:rsidR="00731413" w:rsidRPr="005304B4">
        <w:t xml:space="preserve">la ley </w:t>
      </w:r>
      <w:r w:rsidR="00557EF0" w:rsidRPr="005304B4">
        <w:t>ordena</w:t>
      </w:r>
      <w:r w:rsidR="00731413" w:rsidRPr="005304B4">
        <w:t xml:space="preserve"> que la madre adoptante gozará de </w:t>
      </w:r>
      <w:r w:rsidR="00484D22" w:rsidRPr="005304B4">
        <w:t>dicha licencia</w:t>
      </w:r>
      <w:r w:rsidR="00731413" w:rsidRPr="005304B4">
        <w:t>, mientras que el padre adoptante solo podrá beneficiarse de esta en circunstancias excepcionales (muerte, abandono o enfermedad de la madre).</w:t>
      </w:r>
      <w:r w:rsidR="00EC743F" w:rsidRPr="005304B4">
        <w:t xml:space="preserve"> Esta asignación, aducen, se fundamenta en estereotipos de género en materia de la distribución de obligaciones de cuidado entre hombres y mujeres.</w:t>
      </w:r>
    </w:p>
    <w:p w14:paraId="2F2B74C6" w14:textId="77777777" w:rsidR="00243E4F" w:rsidRPr="005304B4" w:rsidRDefault="00243E4F" w:rsidP="00243E4F">
      <w:pPr>
        <w:pStyle w:val="Prrafodelista"/>
        <w:tabs>
          <w:tab w:val="left" w:pos="284"/>
        </w:tabs>
        <w:ind w:left="0"/>
        <w:rPr>
          <w:color w:val="000000" w:themeColor="text1"/>
        </w:rPr>
      </w:pPr>
    </w:p>
    <w:p w14:paraId="3534BCB0" w14:textId="614860CF" w:rsidR="00F761B0" w:rsidRPr="005304B4" w:rsidRDefault="00EC743F" w:rsidP="00F761B0">
      <w:pPr>
        <w:pStyle w:val="Prrafodelista"/>
        <w:numPr>
          <w:ilvl w:val="0"/>
          <w:numId w:val="40"/>
        </w:numPr>
        <w:tabs>
          <w:tab w:val="left" w:pos="142"/>
          <w:tab w:val="left" w:pos="426"/>
        </w:tabs>
        <w:ind w:left="0" w:firstLine="0"/>
      </w:pPr>
      <w:r w:rsidRPr="005304B4">
        <w:t>Así mismo, l</w:t>
      </w:r>
      <w:r w:rsidR="00534C7C" w:rsidRPr="005304B4">
        <w:t>os</w:t>
      </w:r>
      <w:r w:rsidR="003C7963" w:rsidRPr="005304B4">
        <w:t xml:space="preserve"> actores señalaron que</w:t>
      </w:r>
      <w:r w:rsidR="00082463" w:rsidRPr="005304B4">
        <w:t xml:space="preserve">, </w:t>
      </w:r>
      <w:r w:rsidR="00B64B93" w:rsidRPr="005304B4">
        <w:t>a diferencia de</w:t>
      </w:r>
      <w:r w:rsidR="00243E4F" w:rsidRPr="005304B4">
        <w:t xml:space="preserve"> las familias h</w:t>
      </w:r>
      <w:r w:rsidR="00B64B93" w:rsidRPr="005304B4">
        <w:t>etero</w:t>
      </w:r>
      <w:r w:rsidR="00243E4F" w:rsidRPr="005304B4">
        <w:t>parentales adoptantes</w:t>
      </w:r>
      <w:r w:rsidR="00082463" w:rsidRPr="005304B4">
        <w:t>,</w:t>
      </w:r>
      <w:r w:rsidR="00B64B93" w:rsidRPr="005304B4">
        <w:t xml:space="preserve"> l</w:t>
      </w:r>
      <w:r w:rsidR="00243E4F" w:rsidRPr="005304B4">
        <w:t>a Sentencia C-415 de 2022</w:t>
      </w:r>
      <w:r w:rsidR="00A02628" w:rsidRPr="005304B4">
        <w:t xml:space="preserve"> </w:t>
      </w:r>
      <w:r w:rsidR="00243E4F" w:rsidRPr="005304B4">
        <w:t>les otorgó la facultad</w:t>
      </w:r>
      <w:r w:rsidR="00B64B93" w:rsidRPr="005304B4">
        <w:t xml:space="preserve"> a las </w:t>
      </w:r>
      <w:r w:rsidRPr="005304B4">
        <w:t>parejas</w:t>
      </w:r>
      <w:r w:rsidR="00B64B93" w:rsidRPr="005304B4">
        <w:t xml:space="preserve"> homoparentales</w:t>
      </w:r>
      <w:r w:rsidR="00243E4F" w:rsidRPr="005304B4">
        <w:t xml:space="preserve"> </w:t>
      </w:r>
      <w:r w:rsidR="00B0131F" w:rsidRPr="005304B4">
        <w:t>adoptantes</w:t>
      </w:r>
      <w:r w:rsidR="00E05A3A" w:rsidRPr="005304B4">
        <w:rPr>
          <w:rStyle w:val="Refdenotaalpie"/>
        </w:rPr>
        <w:footnoteReference w:id="9"/>
      </w:r>
      <w:r w:rsidR="00243E4F" w:rsidRPr="005304B4">
        <w:t xml:space="preserve"> </w:t>
      </w:r>
      <w:r w:rsidR="00E05A3A" w:rsidRPr="005304B4">
        <w:t xml:space="preserve">de </w:t>
      </w:r>
      <w:r w:rsidR="00243E4F" w:rsidRPr="005304B4">
        <w:t>definir, por una única vez, cu</w:t>
      </w:r>
      <w:r w:rsidR="00B0131F" w:rsidRPr="005304B4">
        <w:t>a</w:t>
      </w:r>
      <w:r w:rsidR="00243E4F" w:rsidRPr="005304B4">
        <w:t>l de sus integrantes gozará de cada prestación (licencia parental de maternidad o de paternidad)</w:t>
      </w:r>
      <w:r w:rsidR="008F1D9D" w:rsidRPr="005304B4">
        <w:t>.</w:t>
      </w:r>
      <w:r w:rsidR="00F761B0" w:rsidRPr="005304B4">
        <w:t xml:space="preserve"> En todo caso, limitaron el alcance de la demanda. En ese sentido, advirtieron que esta “se centra exclusivamente en las familias heteroparentales adoptantes, por lo que no incluye a las familias monoparentales adoptantes, ya que, conforme a lo establecido en la ley, en estos casos, la licencia corresponderá directamente al único padre, madre o el que conforma la familia monoparental”</w:t>
      </w:r>
      <w:r w:rsidR="00F761B0" w:rsidRPr="005304B4">
        <w:rPr>
          <w:rStyle w:val="Refdenotaalpie"/>
        </w:rPr>
        <w:footnoteReference w:id="10"/>
      </w:r>
      <w:r w:rsidR="00F761B0" w:rsidRPr="005304B4">
        <w:t xml:space="preserve">. </w:t>
      </w:r>
    </w:p>
    <w:p w14:paraId="191D646B" w14:textId="77777777" w:rsidR="00731413" w:rsidRPr="005304B4" w:rsidRDefault="00731413" w:rsidP="00F761B0">
      <w:pPr>
        <w:pStyle w:val="Prrafodelista"/>
        <w:tabs>
          <w:tab w:val="left" w:pos="284"/>
        </w:tabs>
        <w:ind w:left="0"/>
        <w:rPr>
          <w:color w:val="000000" w:themeColor="text1"/>
        </w:rPr>
      </w:pPr>
    </w:p>
    <w:p w14:paraId="5033B0B5" w14:textId="149FD9A3" w:rsidR="00340DFA" w:rsidRPr="005304B4" w:rsidRDefault="00340DFA" w:rsidP="00B40621">
      <w:pPr>
        <w:pStyle w:val="Prrafodelista"/>
        <w:numPr>
          <w:ilvl w:val="0"/>
          <w:numId w:val="40"/>
        </w:numPr>
        <w:tabs>
          <w:tab w:val="left" w:pos="284"/>
        </w:tabs>
        <w:ind w:left="0" w:firstLine="0"/>
        <w:rPr>
          <w:color w:val="000000" w:themeColor="text1"/>
        </w:rPr>
      </w:pPr>
      <w:r w:rsidRPr="005304B4">
        <w:t xml:space="preserve">De acuerdo con los accionantes, la Corte Constitucional ha acogido una interpretación amplia y progresiva del concepto de familia, </w:t>
      </w:r>
      <w:r w:rsidR="00CF6E8D" w:rsidRPr="005304B4">
        <w:t>en la que ha precisado</w:t>
      </w:r>
      <w:r w:rsidRPr="005304B4">
        <w:t xml:space="preserve"> que esta no solo se limita a un “único modelo tradicional”</w:t>
      </w:r>
      <w:r w:rsidR="0027445F" w:rsidRPr="005304B4">
        <w:t>, sino que es</w:t>
      </w:r>
      <w:r w:rsidR="00A02628" w:rsidRPr="005304B4">
        <w:t xml:space="preserve"> una comunidad </w:t>
      </w:r>
      <w:r w:rsidR="00485215" w:rsidRPr="005304B4">
        <w:t xml:space="preserve">de personas emparentadas entre sí por vínculos naturales </w:t>
      </w:r>
      <w:r w:rsidR="00A04820" w:rsidRPr="005304B4">
        <w:t>o jurídicos, que funda su existencia en el amor, el respeto y la solidaridad</w:t>
      </w:r>
      <w:r w:rsidR="00A04820" w:rsidRPr="005304B4">
        <w:rPr>
          <w:rStyle w:val="Refdenotaalpie"/>
        </w:rPr>
        <w:footnoteReference w:id="11"/>
      </w:r>
      <w:r w:rsidR="00B40621" w:rsidRPr="005304B4">
        <w:t xml:space="preserve">. </w:t>
      </w:r>
      <w:r w:rsidRPr="005304B4">
        <w:t>Igualmente, destacan que la Corte ha reconocido distintas modalidades de familia</w:t>
      </w:r>
      <w:r w:rsidR="00B67311" w:rsidRPr="005304B4">
        <w:t xml:space="preserve"> </w:t>
      </w:r>
      <w:r w:rsidR="00E05A3A" w:rsidRPr="005304B4">
        <w:t>(</w:t>
      </w:r>
      <w:r w:rsidR="00B67311" w:rsidRPr="005304B4">
        <w:t>homoparentales, heteroparentales, familias de crianza, etc</w:t>
      </w:r>
      <w:r w:rsidR="006541DC" w:rsidRPr="005304B4">
        <w:t>.</w:t>
      </w:r>
      <w:r w:rsidR="00E05A3A" w:rsidRPr="005304B4">
        <w:t>)</w:t>
      </w:r>
      <w:r w:rsidRPr="005304B4">
        <w:t xml:space="preserve">, </w:t>
      </w:r>
      <w:r w:rsidR="00B67311" w:rsidRPr="005304B4">
        <w:t>las cuales</w:t>
      </w:r>
      <w:r w:rsidR="00E05A3A" w:rsidRPr="005304B4">
        <w:t xml:space="preserve"> merecen igual protección jurídica</w:t>
      </w:r>
      <w:r w:rsidRPr="005304B4">
        <w:t xml:space="preserve"> por parte del Estado.</w:t>
      </w:r>
    </w:p>
    <w:p w14:paraId="600BBB92" w14:textId="77777777" w:rsidR="00340DFA" w:rsidRPr="005304B4" w:rsidRDefault="00340DFA" w:rsidP="0027445F">
      <w:pPr>
        <w:rPr>
          <w:color w:val="000000" w:themeColor="text1"/>
          <w:sz w:val="28"/>
          <w:szCs w:val="28"/>
        </w:rPr>
      </w:pPr>
    </w:p>
    <w:p w14:paraId="51F37BC2" w14:textId="4F9ABEED" w:rsidR="003871D9" w:rsidRPr="005304B4" w:rsidRDefault="00CF6E8D" w:rsidP="003871D9">
      <w:pPr>
        <w:pStyle w:val="Prrafodelista"/>
        <w:numPr>
          <w:ilvl w:val="0"/>
          <w:numId w:val="40"/>
        </w:numPr>
        <w:tabs>
          <w:tab w:val="left" w:pos="284"/>
        </w:tabs>
        <w:ind w:left="0" w:firstLine="0"/>
        <w:rPr>
          <w:color w:val="000000" w:themeColor="text1"/>
        </w:rPr>
      </w:pPr>
      <w:r w:rsidRPr="005304B4">
        <w:t xml:space="preserve">Para sustentar </w:t>
      </w:r>
      <w:r w:rsidR="00E05A3A" w:rsidRPr="005304B4">
        <w:t>el cargo</w:t>
      </w:r>
      <w:r w:rsidRPr="005304B4">
        <w:t>,</w:t>
      </w:r>
      <w:r w:rsidR="00B143F0" w:rsidRPr="005304B4">
        <w:t xml:space="preserve"> los demandantes</w:t>
      </w:r>
      <w:r w:rsidRPr="005304B4">
        <w:t xml:space="preserve"> se </w:t>
      </w:r>
      <w:r w:rsidR="00484D22" w:rsidRPr="005304B4">
        <w:t xml:space="preserve">refirieron </w:t>
      </w:r>
      <w:r w:rsidR="00340DFA" w:rsidRPr="005304B4">
        <w:t xml:space="preserve">al test de igualdad, </w:t>
      </w:r>
      <w:r w:rsidRPr="005304B4">
        <w:t xml:space="preserve">metodología que </w:t>
      </w:r>
      <w:r w:rsidR="00340DFA" w:rsidRPr="005304B4">
        <w:t xml:space="preserve">exige un </w:t>
      </w:r>
      <w:r w:rsidR="00340DFA" w:rsidRPr="005304B4">
        <w:rPr>
          <w:i/>
          <w:iCs/>
        </w:rPr>
        <w:t>tertium comparationis</w:t>
      </w:r>
      <w:r w:rsidR="00340DFA" w:rsidRPr="005304B4">
        <w:t xml:space="preserve"> o punto de referencia válido, que permita determinar si existe un tratamiento diferenciado entre sujetos que se encuentran en situaciones equiparables. Frente a esto, </w:t>
      </w:r>
      <w:r w:rsidR="00F35362" w:rsidRPr="005304B4">
        <w:t>recordaron</w:t>
      </w:r>
      <w:r w:rsidR="00340DFA" w:rsidRPr="005304B4">
        <w:t xml:space="preserve"> que, en la Sentencia C-415 de 2022, la Corte expresó que las parejas del mismo sexo y aquellas de distinto sexo cumplen roles de cuidado idénticos, por lo que, en casos de adopción, ambos tipos de familia son asimilables.</w:t>
      </w:r>
    </w:p>
    <w:p w14:paraId="04DFB266" w14:textId="77777777" w:rsidR="003871D9" w:rsidRPr="005304B4" w:rsidRDefault="003871D9" w:rsidP="003871D9">
      <w:pPr>
        <w:pStyle w:val="Prrafodelista"/>
      </w:pPr>
    </w:p>
    <w:p w14:paraId="46B1E408" w14:textId="6359B05B" w:rsidR="00340DFA" w:rsidRPr="005304B4" w:rsidRDefault="00340DFA" w:rsidP="00CC7673">
      <w:pPr>
        <w:pStyle w:val="Prrafodelista"/>
        <w:numPr>
          <w:ilvl w:val="0"/>
          <w:numId w:val="40"/>
        </w:numPr>
        <w:tabs>
          <w:tab w:val="left" w:pos="284"/>
        </w:tabs>
        <w:ind w:left="0" w:firstLine="0"/>
        <w:rPr>
          <w:color w:val="000000" w:themeColor="text1"/>
        </w:rPr>
      </w:pPr>
      <w:r w:rsidRPr="005304B4">
        <w:t>En virtud de lo anterior, explica</w:t>
      </w:r>
      <w:r w:rsidR="00F35362" w:rsidRPr="005304B4">
        <w:t>ron</w:t>
      </w:r>
      <w:r w:rsidR="003871D9" w:rsidRPr="005304B4">
        <w:t xml:space="preserve"> que</w:t>
      </w:r>
      <w:r w:rsidRPr="005304B4">
        <w:t xml:space="preserve"> mientras en las familias heteroparentales adoptantes “el género determina el rol”, en las homoparentales prima la decisión voluntaria. Lo anterior, </w:t>
      </w:r>
      <w:r w:rsidR="00CC7673" w:rsidRPr="005304B4">
        <w:t>de acuerdo con los actores</w:t>
      </w:r>
      <w:r w:rsidRPr="005304B4">
        <w:t>, lleva a que se perpetúen roles de género particulares en la familia heteroparental, en contraste con las familias homoparentales, en las que se “promueve equidad”.</w:t>
      </w:r>
    </w:p>
    <w:p w14:paraId="654CA9D1" w14:textId="77777777" w:rsidR="00340DFA" w:rsidRPr="005304B4" w:rsidRDefault="00340DFA" w:rsidP="00340DFA">
      <w:pPr>
        <w:pStyle w:val="Prrafodelista"/>
        <w:rPr>
          <w:color w:val="000000" w:themeColor="text1"/>
        </w:rPr>
      </w:pPr>
    </w:p>
    <w:p w14:paraId="6BDBB16F" w14:textId="6B5D97F9" w:rsidR="005F2318" w:rsidRPr="005304B4" w:rsidRDefault="00340DFA" w:rsidP="005F2318">
      <w:pPr>
        <w:pStyle w:val="Prrafodelista"/>
        <w:numPr>
          <w:ilvl w:val="0"/>
          <w:numId w:val="40"/>
        </w:numPr>
        <w:tabs>
          <w:tab w:val="left" w:pos="284"/>
        </w:tabs>
        <w:ind w:left="0" w:firstLine="0"/>
        <w:rPr>
          <w:color w:val="000000" w:themeColor="text1"/>
        </w:rPr>
      </w:pPr>
      <w:r w:rsidRPr="005304B4">
        <w:t xml:space="preserve">De igual forma, </w:t>
      </w:r>
      <w:r w:rsidR="00284C42" w:rsidRPr="005304B4">
        <w:t>aseguran</w:t>
      </w:r>
      <w:r w:rsidRPr="005304B4">
        <w:t xml:space="preserve"> que la disposición acusada restringe la autonomía de las parejas adoptantes de distinto sexo cuando se les compara con las parejas conformadas por personas del mismo sexo que adoptan, lo que implica que, mientras que en el primer caso la norma condiciona la estructura familiar, en el segundo se protege su pluralidad.</w:t>
      </w:r>
      <w:r w:rsidR="005F2318" w:rsidRPr="005304B4">
        <w:rPr>
          <w:color w:val="000000" w:themeColor="text1"/>
        </w:rPr>
        <w:t xml:space="preserve"> </w:t>
      </w:r>
    </w:p>
    <w:p w14:paraId="47E816AF" w14:textId="77777777" w:rsidR="005F2318" w:rsidRPr="005304B4" w:rsidRDefault="005F2318" w:rsidP="005F2318">
      <w:pPr>
        <w:pStyle w:val="Prrafodelista"/>
        <w:rPr>
          <w:color w:val="000000" w:themeColor="text1"/>
        </w:rPr>
      </w:pPr>
    </w:p>
    <w:p w14:paraId="778EDAE9" w14:textId="536D0B92" w:rsidR="00376D1B" w:rsidRPr="005304B4" w:rsidRDefault="005F2318" w:rsidP="00DA2DE2">
      <w:pPr>
        <w:pStyle w:val="Prrafodelista"/>
        <w:numPr>
          <w:ilvl w:val="0"/>
          <w:numId w:val="40"/>
        </w:numPr>
        <w:tabs>
          <w:tab w:val="left" w:pos="426"/>
          <w:tab w:val="left" w:pos="709"/>
        </w:tabs>
        <w:ind w:left="0" w:firstLine="0"/>
        <w:rPr>
          <w:color w:val="000000" w:themeColor="text1"/>
        </w:rPr>
      </w:pPr>
      <w:r w:rsidRPr="005304B4">
        <w:rPr>
          <w:color w:val="000000" w:themeColor="text1"/>
        </w:rPr>
        <w:t>En esa misma línea,</w:t>
      </w:r>
      <w:r w:rsidR="00376D1B" w:rsidRPr="005304B4">
        <w:t xml:space="preserve"> los demandantes sostienen que, conforme a la jurisprudencia de la Corte Constitucional, los estereotipos de género </w:t>
      </w:r>
      <w:r w:rsidR="00DA2DE2" w:rsidRPr="005304B4">
        <w:t>constituyen</w:t>
      </w:r>
      <w:r w:rsidR="00376D1B" w:rsidRPr="005304B4">
        <w:t xml:space="preserve"> formas sutiles</w:t>
      </w:r>
      <w:r w:rsidR="006541DC" w:rsidRPr="005304B4">
        <w:t>,</w:t>
      </w:r>
      <w:r w:rsidR="00376D1B" w:rsidRPr="005304B4">
        <w:t xml:space="preserve"> pero profundamente arraigadas de discriminación, que perpetúan desigualdades materiales al asignar roles diferenciados a hombres y mujeres. </w:t>
      </w:r>
      <w:r w:rsidR="00DA2DE2" w:rsidRPr="005304B4">
        <w:t xml:space="preserve">De ahí que </w:t>
      </w:r>
      <w:r w:rsidR="00376D1B" w:rsidRPr="005304B4">
        <w:t>el Estado t</w:t>
      </w:r>
      <w:r w:rsidR="00DA2DE2" w:rsidRPr="005304B4">
        <w:t>enga</w:t>
      </w:r>
      <w:r w:rsidR="00376D1B" w:rsidRPr="005304B4">
        <w:t xml:space="preserve"> el deber de intervenir para corregir dichas desigualdades y garantizar la igualdad real y efectiva. En consecuencia, todas las medidas legislativas que busquen regular la distribución de los roles familiares deben promover la corresponsabilidad entre los géneros y evitar la reproducción de modelos tradicionales basados en presupuestos biológicos</w:t>
      </w:r>
      <w:r w:rsidR="00DA2DE2" w:rsidRPr="005304B4">
        <w:rPr>
          <w:rStyle w:val="Refdenotaalpie"/>
        </w:rPr>
        <w:footnoteReference w:id="12"/>
      </w:r>
      <w:r w:rsidR="00376D1B" w:rsidRPr="005304B4">
        <w:t>.</w:t>
      </w:r>
    </w:p>
    <w:p w14:paraId="6632EC14" w14:textId="77777777" w:rsidR="005F2318" w:rsidRPr="005304B4" w:rsidRDefault="005F2318" w:rsidP="00DA2DE2">
      <w:pPr>
        <w:pStyle w:val="Prrafodelista"/>
        <w:tabs>
          <w:tab w:val="left" w:pos="426"/>
          <w:tab w:val="left" w:pos="709"/>
        </w:tabs>
        <w:ind w:left="0"/>
        <w:rPr>
          <w:color w:val="000000" w:themeColor="text1"/>
        </w:rPr>
      </w:pPr>
    </w:p>
    <w:p w14:paraId="72F0703D" w14:textId="79747A9D" w:rsidR="005F2318" w:rsidRPr="005304B4" w:rsidRDefault="00340DFA" w:rsidP="005F2318">
      <w:pPr>
        <w:pStyle w:val="Prrafodelista"/>
        <w:numPr>
          <w:ilvl w:val="0"/>
          <w:numId w:val="40"/>
        </w:numPr>
        <w:tabs>
          <w:tab w:val="left" w:pos="284"/>
          <w:tab w:val="left" w:pos="426"/>
          <w:tab w:val="left" w:pos="567"/>
        </w:tabs>
        <w:ind w:left="0" w:firstLine="0"/>
        <w:rPr>
          <w:color w:val="000000" w:themeColor="text1"/>
        </w:rPr>
      </w:pPr>
      <w:r w:rsidRPr="005304B4">
        <w:t>En dicho sentido, precisa</w:t>
      </w:r>
      <w:r w:rsidR="00F35362" w:rsidRPr="005304B4">
        <w:t>ron</w:t>
      </w:r>
      <w:r w:rsidRPr="005304B4">
        <w:t xml:space="preserve"> que es necesario entender que la división de trabajo y roles de crianza no pueden “mantenerse bajo las prácticas derivadas de un modelo patriarcal, sino que deben resultar conformes a la evolución y a los patrones culturales de una sociedad actual, más igualitaria, pues la economía del cuidado es responsabilidad de todas las personas”.</w:t>
      </w:r>
      <w:r w:rsidR="005F2318" w:rsidRPr="005304B4">
        <w:rPr>
          <w:color w:val="000000" w:themeColor="text1"/>
        </w:rPr>
        <w:t xml:space="preserve"> </w:t>
      </w:r>
    </w:p>
    <w:p w14:paraId="7E87C68C" w14:textId="4A19F234" w:rsidR="00340DFA" w:rsidRPr="005304B4" w:rsidRDefault="00340DFA" w:rsidP="00FF086D">
      <w:pPr>
        <w:pStyle w:val="Prrafodelista"/>
        <w:tabs>
          <w:tab w:val="left" w:pos="426"/>
          <w:tab w:val="left" w:pos="709"/>
        </w:tabs>
        <w:ind w:left="0"/>
        <w:rPr>
          <w:color w:val="000000" w:themeColor="text1"/>
        </w:rPr>
      </w:pPr>
    </w:p>
    <w:p w14:paraId="3DAFD2AA" w14:textId="76E5CDC3" w:rsidR="00706F75" w:rsidRPr="005304B4" w:rsidRDefault="003871D9" w:rsidP="00284C42">
      <w:pPr>
        <w:pStyle w:val="Prrafodelista"/>
        <w:numPr>
          <w:ilvl w:val="0"/>
          <w:numId w:val="40"/>
        </w:numPr>
        <w:tabs>
          <w:tab w:val="left" w:pos="426"/>
          <w:tab w:val="left" w:pos="709"/>
        </w:tabs>
        <w:ind w:left="0" w:firstLine="0"/>
        <w:rPr>
          <w:color w:val="000000" w:themeColor="text1"/>
        </w:rPr>
      </w:pPr>
      <w:r w:rsidRPr="005304B4">
        <w:t>Entonces, p</w:t>
      </w:r>
      <w:r w:rsidR="00284C42" w:rsidRPr="005304B4">
        <w:t xml:space="preserve">ara los accionantes, como </w:t>
      </w:r>
      <w:r w:rsidR="00340DFA" w:rsidRPr="005304B4">
        <w:t xml:space="preserve">el mandato de igualdad </w:t>
      </w:r>
      <w:r w:rsidR="00706F75" w:rsidRPr="005304B4">
        <w:t xml:space="preserve">sustantiva </w:t>
      </w:r>
      <w:r w:rsidR="00340DFA" w:rsidRPr="005304B4">
        <w:t>que se deriva del artículo 13 de la Constitución implica eliminar las barreras estructurales y patrones socioculturales que han generado formas de discriminación histórica</w:t>
      </w:r>
      <w:r w:rsidR="00284C42" w:rsidRPr="005304B4">
        <w:t>,</w:t>
      </w:r>
      <w:r w:rsidR="00340DFA" w:rsidRPr="005304B4">
        <w:t xml:space="preserve"> </w:t>
      </w:r>
      <w:r w:rsidRPr="005304B4">
        <w:t>solicitan que</w:t>
      </w:r>
      <w:r w:rsidR="00284C42" w:rsidRPr="005304B4">
        <w:t xml:space="preserve">, en virtud de este, se haga extensivo </w:t>
      </w:r>
      <w:r w:rsidRPr="005304B4">
        <w:t xml:space="preserve">el </w:t>
      </w:r>
      <w:r w:rsidR="00340DFA" w:rsidRPr="005304B4">
        <w:t>estándar de protección acogido en la Sentencia C-415 de 2022 para las parejas del mismo sexo</w:t>
      </w:r>
      <w:r w:rsidR="00284C42" w:rsidRPr="005304B4">
        <w:t xml:space="preserve">. Es decir, que se les permita a </w:t>
      </w:r>
      <w:r w:rsidR="00340DFA" w:rsidRPr="005304B4">
        <w:t xml:space="preserve">las parejas </w:t>
      </w:r>
      <w:r w:rsidR="009D4BCE" w:rsidRPr="005304B4">
        <w:t>heteroparental</w:t>
      </w:r>
      <w:r w:rsidR="00340DFA" w:rsidRPr="005304B4">
        <w:t>es que adopten</w:t>
      </w:r>
      <w:r w:rsidR="00284C42" w:rsidRPr="005304B4">
        <w:t xml:space="preserve"> elegir al cuidador principal del</w:t>
      </w:r>
      <w:r w:rsidR="00706F75" w:rsidRPr="005304B4">
        <w:t xml:space="preserve"> </w:t>
      </w:r>
      <w:r w:rsidR="00E05A3A" w:rsidRPr="005304B4">
        <w:t>hijo adoptivo</w:t>
      </w:r>
      <w:r w:rsidR="00284C42" w:rsidRPr="005304B4">
        <w:t>,</w:t>
      </w:r>
      <w:r w:rsidR="00484D22" w:rsidRPr="005304B4">
        <w:t xml:space="preserve"> el cual recibiría acceso a la licencia parental de maternidad,</w:t>
      </w:r>
      <w:r w:rsidR="00284C42" w:rsidRPr="005304B4">
        <w:t xml:space="preserve"> </w:t>
      </w:r>
      <w:r w:rsidR="00706F75" w:rsidRPr="005304B4">
        <w:t>pues ninguno de los padres ostenta un vínculo biológico con este “y ambos se encuentran en idénticas condiciones jurídicas frente a sus deberes y derechos parentales</w:t>
      </w:r>
      <w:r w:rsidR="006C75BF" w:rsidRPr="005304B4">
        <w:t>”</w:t>
      </w:r>
      <w:r w:rsidR="00706F75" w:rsidRPr="005304B4">
        <w:t>.</w:t>
      </w:r>
    </w:p>
    <w:p w14:paraId="6D926BE4" w14:textId="77777777" w:rsidR="00706F75" w:rsidRPr="005304B4" w:rsidRDefault="00706F75" w:rsidP="00706F75">
      <w:pPr>
        <w:pStyle w:val="Prrafodelista"/>
        <w:rPr>
          <w:color w:val="000000" w:themeColor="text1"/>
        </w:rPr>
      </w:pPr>
    </w:p>
    <w:p w14:paraId="15620CD1" w14:textId="5364F93D" w:rsidR="00706F75" w:rsidRPr="005304B4" w:rsidRDefault="00706F75" w:rsidP="00284C42">
      <w:pPr>
        <w:pStyle w:val="Prrafodelista"/>
        <w:numPr>
          <w:ilvl w:val="0"/>
          <w:numId w:val="40"/>
        </w:numPr>
        <w:tabs>
          <w:tab w:val="left" w:pos="426"/>
          <w:tab w:val="left" w:pos="709"/>
        </w:tabs>
        <w:ind w:left="0" w:firstLine="0"/>
        <w:rPr>
          <w:color w:val="000000" w:themeColor="text1"/>
        </w:rPr>
      </w:pPr>
      <w:r w:rsidRPr="005304B4">
        <w:rPr>
          <w:color w:val="000000" w:themeColor="text1"/>
        </w:rPr>
        <w:t>En ese sentido</w:t>
      </w:r>
      <w:r w:rsidR="00A91D0C" w:rsidRPr="005304B4">
        <w:rPr>
          <w:color w:val="000000" w:themeColor="text1"/>
        </w:rPr>
        <w:t xml:space="preserve">, argumentan que no existe </w:t>
      </w:r>
      <w:r w:rsidRPr="005304B4">
        <w:rPr>
          <w:color w:val="000000" w:themeColor="text1"/>
        </w:rPr>
        <w:t xml:space="preserve">una justificación </w:t>
      </w:r>
      <w:r w:rsidR="00A91D0C" w:rsidRPr="005304B4">
        <w:rPr>
          <w:color w:val="000000" w:themeColor="text1"/>
        </w:rPr>
        <w:t>constitucional admisible</w:t>
      </w:r>
      <w:r w:rsidRPr="005304B4">
        <w:rPr>
          <w:color w:val="000000" w:themeColor="text1"/>
        </w:rPr>
        <w:t xml:space="preserve"> que permita una distinción en el trato </w:t>
      </w:r>
      <w:r w:rsidR="00A91D0C" w:rsidRPr="005304B4">
        <w:rPr>
          <w:color w:val="000000" w:themeColor="text1"/>
        </w:rPr>
        <w:t xml:space="preserve">entre familias hetero y homo parentales </w:t>
      </w:r>
      <w:r w:rsidR="00A26333" w:rsidRPr="005304B4">
        <w:rPr>
          <w:color w:val="000000" w:themeColor="text1"/>
        </w:rPr>
        <w:t>adoptantes en el marco de los roles parentales. Por tanto, para los demandantes, el tratamiento normativo determinado en el numeral 4 del artículo 2 de la Ley 2114 de 2021 constituye una forma de discriminación</w:t>
      </w:r>
      <w:r w:rsidR="008B3E7B" w:rsidRPr="005304B4">
        <w:rPr>
          <w:color w:val="000000" w:themeColor="text1"/>
        </w:rPr>
        <w:t xml:space="preserve"> que excluye </w:t>
      </w:r>
      <w:r w:rsidR="009E1A41" w:rsidRPr="005304B4">
        <w:rPr>
          <w:color w:val="000000" w:themeColor="text1"/>
        </w:rPr>
        <w:t>“</w:t>
      </w:r>
      <w:r w:rsidR="008B3E7B" w:rsidRPr="005304B4">
        <w:rPr>
          <w:color w:val="000000" w:themeColor="text1"/>
        </w:rPr>
        <w:t>la posibilidad de que el cuidado del menor sea asumido por quien, dentro de la familia, se encuentre mejor capacitado o disponible para garantizar su desarrollo integral”</w:t>
      </w:r>
      <w:r w:rsidR="009E1A41" w:rsidRPr="005304B4">
        <w:rPr>
          <w:color w:val="000000" w:themeColor="text1"/>
        </w:rPr>
        <w:t>.</w:t>
      </w:r>
    </w:p>
    <w:p w14:paraId="36D99F16" w14:textId="77777777" w:rsidR="00340DFA" w:rsidRPr="005304B4" w:rsidRDefault="00340DFA" w:rsidP="00706F75">
      <w:pPr>
        <w:rPr>
          <w:color w:val="000000" w:themeColor="text1"/>
          <w:sz w:val="28"/>
          <w:szCs w:val="28"/>
        </w:rPr>
      </w:pPr>
    </w:p>
    <w:p w14:paraId="0D2746F3" w14:textId="5A901CD0" w:rsidR="00340DFA" w:rsidRPr="005304B4" w:rsidRDefault="00340DFA" w:rsidP="00340DFA">
      <w:pPr>
        <w:pStyle w:val="Prrafodelista"/>
        <w:numPr>
          <w:ilvl w:val="0"/>
          <w:numId w:val="40"/>
        </w:numPr>
        <w:tabs>
          <w:tab w:val="left" w:pos="426"/>
          <w:tab w:val="left" w:pos="709"/>
        </w:tabs>
        <w:ind w:left="0" w:firstLine="0"/>
        <w:rPr>
          <w:color w:val="000000" w:themeColor="text1"/>
        </w:rPr>
      </w:pPr>
      <w:r w:rsidRPr="005304B4">
        <w:t>En consecuencia, los demandantes solicitan que se declare condicionalmente exequible el aparte de la disposición acusada “bajo el entendido que se incluya también al padre adoptante atendiendo a las garantías establecidas en la ley. Permitiéndoseles a la familia heteroparental adoptante elegir quien ejercerá cada prestación, tal como lo hace la familia homoparental adoptante”.</w:t>
      </w:r>
    </w:p>
    <w:p w14:paraId="2A936C91" w14:textId="77777777" w:rsidR="00243E4F" w:rsidRPr="005304B4" w:rsidRDefault="00243E4F" w:rsidP="00243E4F">
      <w:pPr>
        <w:pStyle w:val="Prrafodelista"/>
        <w:rPr>
          <w:color w:val="000000" w:themeColor="text1"/>
        </w:rPr>
      </w:pPr>
    </w:p>
    <w:p w14:paraId="250BF686" w14:textId="2E30C2DB" w:rsidR="001C4F9C" w:rsidRPr="005304B4" w:rsidRDefault="00CB2C74" w:rsidP="00236C8D">
      <w:pPr>
        <w:pStyle w:val="Prrafodelista"/>
        <w:numPr>
          <w:ilvl w:val="0"/>
          <w:numId w:val="40"/>
        </w:numPr>
        <w:tabs>
          <w:tab w:val="left" w:pos="284"/>
          <w:tab w:val="left" w:pos="426"/>
        </w:tabs>
        <w:ind w:left="0" w:firstLine="0"/>
      </w:pPr>
      <w:r w:rsidRPr="005304B4">
        <w:t>Finalmente,</w:t>
      </w:r>
      <w:r w:rsidR="00243E4F" w:rsidRPr="005304B4">
        <w:t xml:space="preserve"> los actores afirman qu</w:t>
      </w:r>
      <w:r w:rsidR="009B3E2B" w:rsidRPr="005304B4">
        <w:t>e</w:t>
      </w:r>
      <w:r w:rsidR="00E05A3A" w:rsidRPr="005304B4">
        <w:t>,</w:t>
      </w:r>
      <w:r w:rsidR="00236C8D" w:rsidRPr="005304B4">
        <w:t xml:space="preserve"> desde</w:t>
      </w:r>
      <w:r w:rsidR="009B3E2B" w:rsidRPr="005304B4">
        <w:t xml:space="preserve"> una perspectiva puramente formalista</w:t>
      </w:r>
      <w:r w:rsidR="00E05A3A" w:rsidRPr="005304B4">
        <w:t>,</w:t>
      </w:r>
      <w:r w:rsidR="009B3E2B" w:rsidRPr="005304B4">
        <w:t xml:space="preserve"> podría parecer que existe cosa juzgada</w:t>
      </w:r>
      <w:r w:rsidR="00236C8D" w:rsidRPr="005304B4">
        <w:t xml:space="preserve"> debido a que la Corte Constitucional estudió la constitucionalidad de la norma demandada mediante las sentencias C-415 de 2022 y C-324 de 2023. No obstante, “</w:t>
      </w:r>
      <w:r w:rsidR="009B3E2B" w:rsidRPr="005304B4">
        <w:t xml:space="preserve">al realizar un análisis material de la </w:t>
      </w:r>
      <w:r w:rsidR="009B3E2B" w:rsidRPr="005304B4">
        <w:rPr>
          <w:i/>
          <w:iCs/>
        </w:rPr>
        <w:t>ratio decidendi</w:t>
      </w:r>
      <w:r w:rsidR="009B3E2B" w:rsidRPr="005304B4">
        <w:t xml:space="preserve"> de los fallos</w:t>
      </w:r>
      <w:r w:rsidR="00236C8D" w:rsidRPr="005304B4">
        <w:t xml:space="preserve"> y </w:t>
      </w:r>
      <w:r w:rsidR="009B3E2B" w:rsidRPr="005304B4">
        <w:t>de los cargos formulados en la presente demanda, se concluye que no se configura cosa juzgada aplicable al caso concreto”. En todo caso,</w:t>
      </w:r>
      <w:r w:rsidR="00236C8D" w:rsidRPr="005304B4">
        <w:t xml:space="preserve"> señalan que, </w:t>
      </w:r>
      <w:r w:rsidR="009B3E2B" w:rsidRPr="005304B4">
        <w:t>de estimarse su existencia, sería relativa, motivo por lo que la Corte se podría pronunciar de fondo.</w:t>
      </w:r>
    </w:p>
    <w:p w14:paraId="54C5F236" w14:textId="77777777" w:rsidR="009B3E2B" w:rsidRPr="005304B4" w:rsidRDefault="009B3E2B" w:rsidP="009B3E2B">
      <w:pPr>
        <w:pStyle w:val="Prrafodelista"/>
      </w:pPr>
    </w:p>
    <w:p w14:paraId="7DB07544" w14:textId="1DC1B813" w:rsidR="001E1D9D" w:rsidRPr="005304B4" w:rsidRDefault="00236C8D" w:rsidP="001E1D9D">
      <w:pPr>
        <w:pStyle w:val="Prrafodelista"/>
        <w:numPr>
          <w:ilvl w:val="0"/>
          <w:numId w:val="40"/>
        </w:numPr>
        <w:tabs>
          <w:tab w:val="left" w:pos="142"/>
          <w:tab w:val="left" w:pos="426"/>
        </w:tabs>
        <w:ind w:left="0" w:firstLine="0"/>
      </w:pPr>
      <w:r w:rsidRPr="005304B4">
        <w:t>Para sustentar lo anterior</w:t>
      </w:r>
      <w:r w:rsidR="00F9068B" w:rsidRPr="005304B4">
        <w:t xml:space="preserve">, </w:t>
      </w:r>
      <w:r w:rsidRPr="005304B4">
        <w:t>indican los demandantes que el</w:t>
      </w:r>
      <w:r w:rsidR="00F9068B" w:rsidRPr="005304B4">
        <w:t xml:space="preserve"> objeto de la Sentencia C-415 de 2022</w:t>
      </w:r>
      <w:r w:rsidRPr="005304B4">
        <w:t xml:space="preserve"> y C-324 de 2023 fue específico y limitado</w:t>
      </w:r>
      <w:r w:rsidR="00F9068B" w:rsidRPr="005304B4">
        <w:t>,</w:t>
      </w:r>
      <w:r w:rsidRPr="005304B4">
        <w:t xml:space="preserve"> en la medida en que la primera sentencia</w:t>
      </w:r>
      <w:r w:rsidR="00F9068B" w:rsidRPr="005304B4">
        <w:t xml:space="preserve"> se circunscribió a “determinar la exclusión de las parejas adoptantes del mismo sexo del ámbito de aplicación de la norma</w:t>
      </w:r>
      <w:r w:rsidRPr="005304B4">
        <w:t>”</w:t>
      </w:r>
      <w:r w:rsidR="00D44E58" w:rsidRPr="005304B4">
        <w:t xml:space="preserve"> </w:t>
      </w:r>
      <w:r w:rsidRPr="005304B4">
        <w:t xml:space="preserve">y, la segunda, </w:t>
      </w:r>
      <w:r w:rsidR="00984AA1" w:rsidRPr="005304B4">
        <w:t>se limitó a determinar “si el uso del lenguaje ‘mujer’, ‘madre’ y ‘trabajadora’ en el precepto demandado desconoce la identidad de género y, por ende, la igualdad de las personas trans y no binarias”. Estos objetos demuestran que las sentencias referidas “no abordaron la regla de asignación automática de la licencia a la madre adoptante en las familias heteroparentales, aspecto que es precisamente el objeto de la presente demanda”</w:t>
      </w:r>
      <w:r w:rsidR="001E1D9D" w:rsidRPr="005304B4">
        <w:t>.</w:t>
      </w:r>
    </w:p>
    <w:p w14:paraId="0EE9BD48" w14:textId="77777777" w:rsidR="001E1D9D" w:rsidRPr="005304B4" w:rsidRDefault="001E1D9D" w:rsidP="00F761B0"/>
    <w:p w14:paraId="15E07325" w14:textId="1FB017D7" w:rsidR="001E1D9D" w:rsidRPr="005304B4" w:rsidRDefault="001E1D9D" w:rsidP="00E05A3A">
      <w:pPr>
        <w:pStyle w:val="Ttulo1"/>
        <w:jc w:val="both"/>
      </w:pPr>
      <w:bookmarkStart w:id="6" w:name="_Toc224553732"/>
      <w:r w:rsidRPr="005304B4">
        <w:t>IV. INTERVENCIONES</w:t>
      </w:r>
      <w:bookmarkEnd w:id="6"/>
    </w:p>
    <w:p w14:paraId="3B98FD6F" w14:textId="77777777" w:rsidR="001E1D9D" w:rsidRPr="005304B4" w:rsidRDefault="001E1D9D" w:rsidP="004E324F">
      <w:pPr>
        <w:rPr>
          <w:sz w:val="28"/>
          <w:szCs w:val="28"/>
        </w:rPr>
      </w:pPr>
    </w:p>
    <w:p w14:paraId="6110353F" w14:textId="13E840BC" w:rsidR="00A53263" w:rsidRPr="005304B4" w:rsidRDefault="001E1D9D" w:rsidP="00C66CE0">
      <w:pPr>
        <w:pStyle w:val="Prrafodelista"/>
        <w:numPr>
          <w:ilvl w:val="0"/>
          <w:numId w:val="40"/>
        </w:numPr>
        <w:tabs>
          <w:tab w:val="left" w:pos="142"/>
          <w:tab w:val="left" w:pos="426"/>
        </w:tabs>
        <w:ind w:left="0" w:firstLine="0"/>
      </w:pPr>
      <w:r w:rsidRPr="005304B4">
        <w:t xml:space="preserve"> </w:t>
      </w:r>
      <w:r w:rsidR="0031775E" w:rsidRPr="005304B4">
        <w:rPr>
          <w:color w:val="000000"/>
        </w:rPr>
        <w:t>Durante el término de fijación en lista</w:t>
      </w:r>
      <w:r w:rsidR="00E05A3A" w:rsidRPr="005304B4">
        <w:rPr>
          <w:color w:val="000000"/>
        </w:rPr>
        <w:t>,</w:t>
      </w:r>
      <w:r w:rsidR="0031775E" w:rsidRPr="005304B4">
        <w:rPr>
          <w:color w:val="000000"/>
        </w:rPr>
        <w:t xml:space="preserve"> se </w:t>
      </w:r>
      <w:r w:rsidR="00513ABF" w:rsidRPr="005304B4">
        <w:rPr>
          <w:color w:val="000000"/>
        </w:rPr>
        <w:t>recibieron 9</w:t>
      </w:r>
      <w:r w:rsidR="000622B2" w:rsidRPr="005304B4">
        <w:rPr>
          <w:color w:val="000000"/>
        </w:rPr>
        <w:t xml:space="preserve"> escritos</w:t>
      </w:r>
      <w:r w:rsidR="00CC0E95" w:rsidRPr="005304B4">
        <w:rPr>
          <w:color w:val="000000"/>
        </w:rPr>
        <w:t xml:space="preserve"> </w:t>
      </w:r>
      <w:r w:rsidR="0031775E" w:rsidRPr="005304B4">
        <w:rPr>
          <w:color w:val="000000"/>
        </w:rPr>
        <w:t>respecto de la constitucionalidad de la norma demandada.</w:t>
      </w:r>
      <w:r w:rsidR="002900CF" w:rsidRPr="005304B4">
        <w:rPr>
          <w:color w:val="000000"/>
        </w:rPr>
        <w:t xml:space="preserve"> </w:t>
      </w:r>
      <w:r w:rsidR="00513ABF" w:rsidRPr="005304B4">
        <w:rPr>
          <w:color w:val="000000"/>
        </w:rPr>
        <w:t>De estos, 7 son conceptos técnicos</w:t>
      </w:r>
      <w:r w:rsidR="00513ABF" w:rsidRPr="005304B4">
        <w:rPr>
          <w:rStyle w:val="Refdenotaalpie"/>
          <w:color w:val="000000"/>
        </w:rPr>
        <w:footnoteReference w:id="13"/>
      </w:r>
      <w:r w:rsidR="00513ABF" w:rsidRPr="005304B4">
        <w:rPr>
          <w:color w:val="000000"/>
        </w:rPr>
        <w:t xml:space="preserve"> remitidos en respuesta al auto admisorio de la demanda y 2 son intervenciones</w:t>
      </w:r>
      <w:r w:rsidR="00513ABF" w:rsidRPr="005304B4">
        <w:rPr>
          <w:rStyle w:val="Refdenotaalpie"/>
          <w:color w:val="000000"/>
        </w:rPr>
        <w:footnoteReference w:id="14"/>
      </w:r>
      <w:r w:rsidR="00513ABF" w:rsidRPr="005304B4">
        <w:rPr>
          <w:color w:val="000000"/>
        </w:rPr>
        <w:t xml:space="preserve">. </w:t>
      </w:r>
      <w:r w:rsidR="002900CF" w:rsidRPr="005304B4">
        <w:rPr>
          <w:color w:val="000000"/>
        </w:rPr>
        <w:t xml:space="preserve">Además, </w:t>
      </w:r>
      <w:r w:rsidR="00690CE1" w:rsidRPr="005304B4">
        <w:rPr>
          <w:color w:val="000000"/>
        </w:rPr>
        <w:t xml:space="preserve">se </w:t>
      </w:r>
      <w:r w:rsidR="002900CF" w:rsidRPr="005304B4">
        <w:rPr>
          <w:color w:val="000000"/>
        </w:rPr>
        <w:t xml:space="preserve">recibió el concepto de la Procuraduría General de la Nación. </w:t>
      </w:r>
    </w:p>
    <w:p w14:paraId="1AF7FC0D" w14:textId="77777777" w:rsidR="00513ABF" w:rsidRPr="005304B4" w:rsidRDefault="00513ABF" w:rsidP="00851570">
      <w:pPr>
        <w:jc w:val="center"/>
        <w:rPr>
          <w:sz w:val="28"/>
          <w:szCs w:val="28"/>
        </w:rPr>
      </w:pPr>
    </w:p>
    <w:p w14:paraId="11E17637" w14:textId="2EC75D98" w:rsidR="00851570" w:rsidRPr="005304B4" w:rsidRDefault="00851570" w:rsidP="00851570">
      <w:pPr>
        <w:jc w:val="center"/>
        <w:rPr>
          <w:b/>
          <w:bCs/>
          <w:sz w:val="20"/>
          <w:szCs w:val="20"/>
        </w:rPr>
      </w:pPr>
      <w:r w:rsidRPr="005304B4">
        <w:rPr>
          <w:b/>
          <w:bCs/>
          <w:sz w:val="20"/>
          <w:szCs w:val="20"/>
        </w:rPr>
        <w:t>Tabla 1</w:t>
      </w:r>
    </w:p>
    <w:tbl>
      <w:tblPr>
        <w:tblStyle w:val="Tablaconcuadrcula1"/>
        <w:tblW w:w="0" w:type="auto"/>
        <w:tblLook w:val="04A0" w:firstRow="1" w:lastRow="0" w:firstColumn="1" w:lastColumn="0" w:noHBand="0" w:noVBand="1"/>
      </w:tblPr>
      <w:tblGrid>
        <w:gridCol w:w="4415"/>
        <w:gridCol w:w="4415"/>
      </w:tblGrid>
      <w:tr w:rsidR="00513ABF" w:rsidRPr="005304B4" w14:paraId="61AC019F" w14:textId="77777777" w:rsidTr="00F35362">
        <w:tc>
          <w:tcPr>
            <w:tcW w:w="8830" w:type="dxa"/>
            <w:gridSpan w:val="2"/>
            <w:shd w:val="clear" w:color="auto" w:fill="AEAAAA" w:themeFill="background2" w:themeFillShade="BF"/>
          </w:tcPr>
          <w:p w14:paraId="368D3160" w14:textId="77777777" w:rsidR="00513ABF" w:rsidRPr="005304B4" w:rsidRDefault="00513ABF" w:rsidP="00C77FF8">
            <w:pPr>
              <w:jc w:val="center"/>
              <w:rPr>
                <w:color w:val="000000" w:themeColor="text1"/>
                <w:sz w:val="20"/>
                <w:szCs w:val="20"/>
              </w:rPr>
            </w:pPr>
            <w:r w:rsidRPr="005304B4">
              <w:rPr>
                <w:b/>
                <w:bCs/>
                <w:color w:val="000000" w:themeColor="text1"/>
                <w:sz w:val="20"/>
                <w:szCs w:val="20"/>
              </w:rPr>
              <w:t>Solicitudes de los conceptos e intervenciones</w:t>
            </w:r>
          </w:p>
        </w:tc>
      </w:tr>
      <w:tr w:rsidR="00513ABF" w:rsidRPr="005304B4" w14:paraId="57C38E46" w14:textId="77777777" w:rsidTr="00F35362">
        <w:tc>
          <w:tcPr>
            <w:tcW w:w="4415" w:type="dxa"/>
            <w:shd w:val="clear" w:color="auto" w:fill="D0CECE" w:themeFill="background2" w:themeFillShade="E6"/>
          </w:tcPr>
          <w:p w14:paraId="1EC7111F" w14:textId="77777777" w:rsidR="00513ABF" w:rsidRPr="005304B4" w:rsidRDefault="00513ABF" w:rsidP="00C77FF8">
            <w:pPr>
              <w:jc w:val="center"/>
              <w:rPr>
                <w:b/>
                <w:bCs/>
                <w:color w:val="000000" w:themeColor="text1"/>
                <w:sz w:val="20"/>
                <w:szCs w:val="20"/>
              </w:rPr>
            </w:pPr>
            <w:r w:rsidRPr="005304B4">
              <w:rPr>
                <w:b/>
                <w:bCs/>
                <w:color w:val="000000" w:themeColor="text1"/>
                <w:sz w:val="20"/>
                <w:szCs w:val="20"/>
              </w:rPr>
              <w:t>Postura</w:t>
            </w:r>
          </w:p>
        </w:tc>
        <w:tc>
          <w:tcPr>
            <w:tcW w:w="4415" w:type="dxa"/>
            <w:shd w:val="clear" w:color="auto" w:fill="D0CECE" w:themeFill="background2" w:themeFillShade="E6"/>
          </w:tcPr>
          <w:p w14:paraId="55E89C5D" w14:textId="77777777" w:rsidR="00513ABF" w:rsidRPr="005304B4" w:rsidRDefault="00513ABF" w:rsidP="00C77FF8">
            <w:pPr>
              <w:jc w:val="center"/>
              <w:rPr>
                <w:b/>
                <w:bCs/>
                <w:color w:val="000000" w:themeColor="text1"/>
                <w:sz w:val="20"/>
                <w:szCs w:val="20"/>
              </w:rPr>
            </w:pPr>
            <w:r w:rsidRPr="005304B4">
              <w:rPr>
                <w:b/>
                <w:bCs/>
                <w:color w:val="000000" w:themeColor="text1"/>
                <w:sz w:val="20"/>
                <w:szCs w:val="20"/>
              </w:rPr>
              <w:t>Institución o entidad</w:t>
            </w:r>
          </w:p>
        </w:tc>
      </w:tr>
      <w:tr w:rsidR="00513ABF" w:rsidRPr="005304B4" w14:paraId="0D807B6E" w14:textId="77777777" w:rsidTr="00F35362">
        <w:tc>
          <w:tcPr>
            <w:tcW w:w="4415" w:type="dxa"/>
            <w:vMerge w:val="restart"/>
            <w:shd w:val="clear" w:color="auto" w:fill="E7E6E6" w:themeFill="background2"/>
          </w:tcPr>
          <w:p w14:paraId="04360241" w14:textId="77777777" w:rsidR="00513ABF" w:rsidRPr="005304B4" w:rsidRDefault="00513ABF" w:rsidP="00C77FF8">
            <w:pPr>
              <w:jc w:val="center"/>
              <w:rPr>
                <w:color w:val="000000" w:themeColor="text1"/>
                <w:sz w:val="20"/>
                <w:szCs w:val="20"/>
              </w:rPr>
            </w:pPr>
          </w:p>
          <w:p w14:paraId="27011D87" w14:textId="77777777" w:rsidR="00513ABF" w:rsidRPr="005304B4" w:rsidRDefault="00513ABF" w:rsidP="00C77FF8">
            <w:pPr>
              <w:jc w:val="center"/>
              <w:rPr>
                <w:b/>
                <w:bCs/>
                <w:color w:val="000000" w:themeColor="text1"/>
                <w:sz w:val="20"/>
                <w:szCs w:val="20"/>
              </w:rPr>
            </w:pPr>
          </w:p>
          <w:p w14:paraId="70D69A6F" w14:textId="77777777" w:rsidR="00513ABF" w:rsidRPr="005304B4" w:rsidRDefault="00513ABF" w:rsidP="00C77FF8">
            <w:pPr>
              <w:jc w:val="center"/>
              <w:rPr>
                <w:b/>
                <w:bCs/>
                <w:color w:val="000000" w:themeColor="text1"/>
                <w:sz w:val="20"/>
                <w:szCs w:val="20"/>
              </w:rPr>
            </w:pPr>
          </w:p>
          <w:p w14:paraId="73EF7EB8" w14:textId="77777777" w:rsidR="00513ABF" w:rsidRPr="005304B4" w:rsidRDefault="00513ABF" w:rsidP="00C77FF8">
            <w:pPr>
              <w:jc w:val="center"/>
              <w:rPr>
                <w:b/>
                <w:bCs/>
                <w:color w:val="000000" w:themeColor="text1"/>
                <w:sz w:val="20"/>
                <w:szCs w:val="20"/>
              </w:rPr>
            </w:pPr>
          </w:p>
          <w:p w14:paraId="45DD5659" w14:textId="77777777" w:rsidR="00513ABF" w:rsidRPr="005304B4" w:rsidRDefault="00513ABF" w:rsidP="00C77FF8">
            <w:pPr>
              <w:jc w:val="center"/>
              <w:rPr>
                <w:b/>
                <w:bCs/>
                <w:color w:val="000000" w:themeColor="text1"/>
                <w:sz w:val="20"/>
                <w:szCs w:val="20"/>
              </w:rPr>
            </w:pPr>
          </w:p>
          <w:p w14:paraId="574677C3" w14:textId="77777777" w:rsidR="00513ABF" w:rsidRPr="005304B4" w:rsidRDefault="00513ABF" w:rsidP="00C77FF8">
            <w:pPr>
              <w:jc w:val="center"/>
              <w:rPr>
                <w:b/>
                <w:bCs/>
                <w:color w:val="000000" w:themeColor="text1"/>
                <w:sz w:val="20"/>
                <w:szCs w:val="20"/>
              </w:rPr>
            </w:pPr>
            <w:r w:rsidRPr="005304B4">
              <w:rPr>
                <w:b/>
                <w:bCs/>
                <w:color w:val="000000" w:themeColor="text1"/>
                <w:sz w:val="20"/>
                <w:szCs w:val="20"/>
              </w:rPr>
              <w:t>Exequibilidad condicionada</w:t>
            </w:r>
          </w:p>
        </w:tc>
        <w:tc>
          <w:tcPr>
            <w:tcW w:w="4415" w:type="dxa"/>
            <w:shd w:val="clear" w:color="auto" w:fill="E7E6E6" w:themeFill="background2"/>
          </w:tcPr>
          <w:p w14:paraId="456D4F1A" w14:textId="77777777" w:rsidR="00513ABF" w:rsidRPr="005304B4" w:rsidRDefault="00513ABF" w:rsidP="00C77FF8">
            <w:pPr>
              <w:rPr>
                <w:color w:val="000000" w:themeColor="text1"/>
                <w:sz w:val="20"/>
                <w:szCs w:val="20"/>
              </w:rPr>
            </w:pPr>
            <w:r w:rsidRPr="005304B4">
              <w:rPr>
                <w:color w:val="000000" w:themeColor="text1"/>
                <w:sz w:val="20"/>
                <w:szCs w:val="20"/>
              </w:rPr>
              <w:t>Ministerio de Igualdad y Equidad</w:t>
            </w:r>
          </w:p>
        </w:tc>
      </w:tr>
      <w:tr w:rsidR="00513ABF" w:rsidRPr="005304B4" w14:paraId="2381B7C4" w14:textId="77777777" w:rsidTr="00F35362">
        <w:tc>
          <w:tcPr>
            <w:tcW w:w="4415" w:type="dxa"/>
            <w:vMerge/>
            <w:shd w:val="clear" w:color="auto" w:fill="E7E6E6" w:themeFill="background2"/>
          </w:tcPr>
          <w:p w14:paraId="150BDC6B" w14:textId="77777777" w:rsidR="00513ABF" w:rsidRPr="005304B4" w:rsidRDefault="00513ABF" w:rsidP="00C77FF8">
            <w:pPr>
              <w:rPr>
                <w:color w:val="000000" w:themeColor="text1"/>
                <w:sz w:val="20"/>
                <w:szCs w:val="20"/>
              </w:rPr>
            </w:pPr>
          </w:p>
        </w:tc>
        <w:tc>
          <w:tcPr>
            <w:tcW w:w="4415" w:type="dxa"/>
            <w:shd w:val="clear" w:color="auto" w:fill="E7E6E6" w:themeFill="background2"/>
          </w:tcPr>
          <w:p w14:paraId="0313A3DB" w14:textId="77777777" w:rsidR="00513ABF" w:rsidRPr="005304B4" w:rsidRDefault="00513ABF" w:rsidP="00C77FF8">
            <w:pPr>
              <w:rPr>
                <w:color w:val="000000" w:themeColor="text1"/>
                <w:sz w:val="20"/>
                <w:szCs w:val="20"/>
              </w:rPr>
            </w:pPr>
            <w:r w:rsidRPr="005304B4">
              <w:rPr>
                <w:color w:val="000000" w:themeColor="text1"/>
                <w:sz w:val="20"/>
                <w:szCs w:val="20"/>
              </w:rPr>
              <w:t>Universidad Católica de Colombia</w:t>
            </w:r>
          </w:p>
        </w:tc>
      </w:tr>
      <w:tr w:rsidR="00513ABF" w:rsidRPr="005304B4" w14:paraId="117C8C85" w14:textId="77777777" w:rsidTr="00F35362">
        <w:tc>
          <w:tcPr>
            <w:tcW w:w="4415" w:type="dxa"/>
            <w:vMerge/>
            <w:shd w:val="clear" w:color="auto" w:fill="E7E6E6" w:themeFill="background2"/>
          </w:tcPr>
          <w:p w14:paraId="42739E51" w14:textId="77777777" w:rsidR="00513ABF" w:rsidRPr="005304B4" w:rsidRDefault="00513ABF" w:rsidP="00C77FF8">
            <w:pPr>
              <w:rPr>
                <w:color w:val="000000" w:themeColor="text1"/>
                <w:sz w:val="20"/>
                <w:szCs w:val="20"/>
              </w:rPr>
            </w:pPr>
          </w:p>
        </w:tc>
        <w:tc>
          <w:tcPr>
            <w:tcW w:w="4415" w:type="dxa"/>
            <w:shd w:val="clear" w:color="auto" w:fill="E7E6E6" w:themeFill="background2"/>
          </w:tcPr>
          <w:p w14:paraId="688D582C" w14:textId="77777777" w:rsidR="00513ABF" w:rsidRPr="005304B4" w:rsidRDefault="00513ABF" w:rsidP="00C77FF8">
            <w:pPr>
              <w:rPr>
                <w:color w:val="000000" w:themeColor="text1"/>
                <w:sz w:val="20"/>
                <w:szCs w:val="20"/>
              </w:rPr>
            </w:pPr>
            <w:r w:rsidRPr="005304B4">
              <w:rPr>
                <w:color w:val="000000" w:themeColor="text1"/>
                <w:sz w:val="20"/>
                <w:szCs w:val="20"/>
              </w:rPr>
              <w:t>Universidad Pontificia Bolivariana</w:t>
            </w:r>
          </w:p>
        </w:tc>
      </w:tr>
      <w:tr w:rsidR="00513ABF" w:rsidRPr="005304B4" w14:paraId="74363299" w14:textId="77777777" w:rsidTr="00F35362">
        <w:tc>
          <w:tcPr>
            <w:tcW w:w="4415" w:type="dxa"/>
            <w:vMerge/>
            <w:shd w:val="clear" w:color="auto" w:fill="E7E6E6" w:themeFill="background2"/>
          </w:tcPr>
          <w:p w14:paraId="72277972" w14:textId="77777777" w:rsidR="00513ABF" w:rsidRPr="005304B4" w:rsidRDefault="00513ABF" w:rsidP="00C77FF8">
            <w:pPr>
              <w:rPr>
                <w:color w:val="000000" w:themeColor="text1"/>
                <w:sz w:val="20"/>
                <w:szCs w:val="20"/>
              </w:rPr>
            </w:pPr>
          </w:p>
        </w:tc>
        <w:tc>
          <w:tcPr>
            <w:tcW w:w="4415" w:type="dxa"/>
            <w:shd w:val="clear" w:color="auto" w:fill="E7E6E6" w:themeFill="background2"/>
          </w:tcPr>
          <w:p w14:paraId="6F6AEDEB" w14:textId="77777777" w:rsidR="00513ABF" w:rsidRPr="005304B4" w:rsidRDefault="00513ABF" w:rsidP="00C77FF8">
            <w:pPr>
              <w:rPr>
                <w:color w:val="000000" w:themeColor="text1"/>
                <w:sz w:val="20"/>
                <w:szCs w:val="20"/>
              </w:rPr>
            </w:pPr>
            <w:r w:rsidRPr="005304B4">
              <w:rPr>
                <w:color w:val="000000" w:themeColor="text1"/>
                <w:sz w:val="20"/>
                <w:szCs w:val="20"/>
              </w:rPr>
              <w:t>Instituto Colombiano de Bienestar Familiar</w:t>
            </w:r>
          </w:p>
        </w:tc>
      </w:tr>
      <w:tr w:rsidR="00513ABF" w:rsidRPr="005304B4" w14:paraId="1E649F21" w14:textId="77777777" w:rsidTr="00F35362">
        <w:tc>
          <w:tcPr>
            <w:tcW w:w="4415" w:type="dxa"/>
            <w:vMerge/>
            <w:shd w:val="clear" w:color="auto" w:fill="E7E6E6" w:themeFill="background2"/>
          </w:tcPr>
          <w:p w14:paraId="5E401CE1" w14:textId="77777777" w:rsidR="00513ABF" w:rsidRPr="005304B4" w:rsidRDefault="00513ABF" w:rsidP="00C77FF8">
            <w:pPr>
              <w:rPr>
                <w:color w:val="000000" w:themeColor="text1"/>
                <w:sz w:val="20"/>
                <w:szCs w:val="20"/>
              </w:rPr>
            </w:pPr>
          </w:p>
        </w:tc>
        <w:tc>
          <w:tcPr>
            <w:tcW w:w="4415" w:type="dxa"/>
            <w:shd w:val="clear" w:color="auto" w:fill="E7E6E6" w:themeFill="background2"/>
          </w:tcPr>
          <w:p w14:paraId="5CA0C2F9" w14:textId="77777777" w:rsidR="00513ABF" w:rsidRPr="005304B4" w:rsidRDefault="00513ABF" w:rsidP="00C77FF8">
            <w:pPr>
              <w:rPr>
                <w:color w:val="000000" w:themeColor="text1"/>
                <w:sz w:val="20"/>
                <w:szCs w:val="20"/>
                <w:lang w:val="en-US"/>
              </w:rPr>
            </w:pPr>
            <w:r w:rsidRPr="005304B4">
              <w:rPr>
                <w:color w:val="000000" w:themeColor="text1"/>
                <w:sz w:val="20"/>
                <w:szCs w:val="20"/>
                <w:lang w:val="en-US"/>
              </w:rPr>
              <w:t>PAIIS y ONG Temblores</w:t>
            </w:r>
          </w:p>
        </w:tc>
      </w:tr>
      <w:tr w:rsidR="00513ABF" w:rsidRPr="005304B4" w14:paraId="25923318" w14:textId="77777777" w:rsidTr="00F35362">
        <w:tc>
          <w:tcPr>
            <w:tcW w:w="4415" w:type="dxa"/>
            <w:vMerge/>
            <w:shd w:val="clear" w:color="auto" w:fill="E7E6E6" w:themeFill="background2"/>
          </w:tcPr>
          <w:p w14:paraId="15397235" w14:textId="77777777" w:rsidR="00513ABF" w:rsidRPr="005304B4" w:rsidRDefault="00513ABF" w:rsidP="00C77FF8">
            <w:pPr>
              <w:rPr>
                <w:color w:val="000000" w:themeColor="text1"/>
                <w:sz w:val="20"/>
                <w:szCs w:val="20"/>
                <w:lang w:val="en-US"/>
              </w:rPr>
            </w:pPr>
          </w:p>
        </w:tc>
        <w:tc>
          <w:tcPr>
            <w:tcW w:w="4415" w:type="dxa"/>
            <w:shd w:val="clear" w:color="auto" w:fill="E7E6E6" w:themeFill="background2"/>
          </w:tcPr>
          <w:p w14:paraId="57DF1E17" w14:textId="77777777" w:rsidR="00513ABF" w:rsidRPr="005304B4" w:rsidRDefault="00513ABF" w:rsidP="00C77FF8">
            <w:pPr>
              <w:rPr>
                <w:color w:val="000000" w:themeColor="text1"/>
                <w:sz w:val="20"/>
                <w:szCs w:val="20"/>
              </w:rPr>
            </w:pPr>
            <w:r w:rsidRPr="005304B4">
              <w:rPr>
                <w:color w:val="000000" w:themeColor="text1"/>
                <w:sz w:val="20"/>
                <w:szCs w:val="20"/>
              </w:rPr>
              <w:t>Universidad Libre de Colombia - ITVC</w:t>
            </w:r>
          </w:p>
        </w:tc>
      </w:tr>
      <w:tr w:rsidR="00513ABF" w:rsidRPr="005304B4" w14:paraId="28090916" w14:textId="77777777" w:rsidTr="00F35362">
        <w:tc>
          <w:tcPr>
            <w:tcW w:w="4415" w:type="dxa"/>
            <w:vMerge/>
            <w:shd w:val="clear" w:color="auto" w:fill="E7E6E6" w:themeFill="background2"/>
          </w:tcPr>
          <w:p w14:paraId="74BEF848" w14:textId="77777777" w:rsidR="00513ABF" w:rsidRPr="005304B4" w:rsidRDefault="00513ABF" w:rsidP="00C77FF8">
            <w:pPr>
              <w:rPr>
                <w:color w:val="000000" w:themeColor="text1"/>
                <w:sz w:val="20"/>
                <w:szCs w:val="20"/>
              </w:rPr>
            </w:pPr>
          </w:p>
        </w:tc>
        <w:tc>
          <w:tcPr>
            <w:tcW w:w="4415" w:type="dxa"/>
            <w:shd w:val="clear" w:color="auto" w:fill="E7E6E6" w:themeFill="background2"/>
          </w:tcPr>
          <w:p w14:paraId="5D47D6D1" w14:textId="77777777" w:rsidR="00513ABF" w:rsidRPr="005304B4" w:rsidRDefault="00513ABF" w:rsidP="00C77FF8">
            <w:pPr>
              <w:rPr>
                <w:color w:val="000000" w:themeColor="text1"/>
                <w:sz w:val="20"/>
                <w:szCs w:val="20"/>
              </w:rPr>
            </w:pPr>
            <w:r w:rsidRPr="005304B4">
              <w:rPr>
                <w:color w:val="000000" w:themeColor="text1"/>
                <w:sz w:val="20"/>
                <w:szCs w:val="20"/>
              </w:rPr>
              <w:t>Facultad de Derecho y Ciencia Política Universidad del Valle</w:t>
            </w:r>
          </w:p>
        </w:tc>
      </w:tr>
      <w:tr w:rsidR="00513ABF" w:rsidRPr="005304B4" w14:paraId="5421E142" w14:textId="77777777" w:rsidTr="00F35362">
        <w:tc>
          <w:tcPr>
            <w:tcW w:w="4415" w:type="dxa"/>
            <w:vMerge/>
            <w:shd w:val="clear" w:color="auto" w:fill="E7E6E6" w:themeFill="background2"/>
          </w:tcPr>
          <w:p w14:paraId="7DAE5FD0" w14:textId="77777777" w:rsidR="00513ABF" w:rsidRPr="005304B4" w:rsidRDefault="00513ABF" w:rsidP="00C77FF8">
            <w:pPr>
              <w:rPr>
                <w:color w:val="000000" w:themeColor="text1"/>
                <w:sz w:val="20"/>
                <w:szCs w:val="20"/>
              </w:rPr>
            </w:pPr>
          </w:p>
        </w:tc>
        <w:tc>
          <w:tcPr>
            <w:tcW w:w="4415" w:type="dxa"/>
            <w:shd w:val="clear" w:color="auto" w:fill="E7E6E6" w:themeFill="background2"/>
          </w:tcPr>
          <w:p w14:paraId="259EB210" w14:textId="77777777" w:rsidR="00513ABF" w:rsidRPr="005304B4" w:rsidRDefault="00513ABF" w:rsidP="00C77FF8">
            <w:pPr>
              <w:rPr>
                <w:color w:val="000000" w:themeColor="text1"/>
                <w:sz w:val="20"/>
                <w:szCs w:val="20"/>
              </w:rPr>
            </w:pPr>
            <w:r w:rsidRPr="005304B4">
              <w:rPr>
                <w:color w:val="000000" w:themeColor="text1"/>
                <w:sz w:val="20"/>
                <w:szCs w:val="20"/>
              </w:rPr>
              <w:t>Ministerio de Salud y Protección Social</w:t>
            </w:r>
          </w:p>
        </w:tc>
      </w:tr>
      <w:tr w:rsidR="00513ABF" w:rsidRPr="005304B4" w14:paraId="70A32D26" w14:textId="77777777" w:rsidTr="00F35362">
        <w:tc>
          <w:tcPr>
            <w:tcW w:w="4415" w:type="dxa"/>
            <w:vMerge/>
            <w:shd w:val="clear" w:color="auto" w:fill="E7E6E6" w:themeFill="background2"/>
          </w:tcPr>
          <w:p w14:paraId="32CB8BD3" w14:textId="77777777" w:rsidR="00513ABF" w:rsidRPr="005304B4" w:rsidRDefault="00513ABF" w:rsidP="00C77FF8">
            <w:pPr>
              <w:rPr>
                <w:color w:val="000000" w:themeColor="text1"/>
                <w:sz w:val="20"/>
                <w:szCs w:val="20"/>
              </w:rPr>
            </w:pPr>
          </w:p>
        </w:tc>
        <w:tc>
          <w:tcPr>
            <w:tcW w:w="4415" w:type="dxa"/>
            <w:shd w:val="clear" w:color="auto" w:fill="E7E6E6" w:themeFill="background2"/>
          </w:tcPr>
          <w:p w14:paraId="45BFF83E" w14:textId="77777777" w:rsidR="00513ABF" w:rsidRPr="005304B4" w:rsidRDefault="00513ABF" w:rsidP="00C77FF8">
            <w:pPr>
              <w:rPr>
                <w:color w:val="000000" w:themeColor="text1"/>
                <w:sz w:val="20"/>
                <w:szCs w:val="20"/>
              </w:rPr>
            </w:pPr>
            <w:r w:rsidRPr="005304B4">
              <w:rPr>
                <w:color w:val="000000" w:themeColor="text1"/>
                <w:sz w:val="20"/>
                <w:szCs w:val="20"/>
              </w:rPr>
              <w:t>Procuraduría General de la Nación</w:t>
            </w:r>
          </w:p>
        </w:tc>
      </w:tr>
      <w:tr w:rsidR="00513ABF" w:rsidRPr="005304B4" w14:paraId="0FAC5821" w14:textId="77777777" w:rsidTr="00F35362">
        <w:tc>
          <w:tcPr>
            <w:tcW w:w="4415" w:type="dxa"/>
            <w:shd w:val="clear" w:color="auto" w:fill="E7E6E6" w:themeFill="background2"/>
          </w:tcPr>
          <w:p w14:paraId="3F0807B6" w14:textId="77777777" w:rsidR="00513ABF" w:rsidRPr="005304B4" w:rsidRDefault="00513ABF" w:rsidP="00C77FF8">
            <w:pPr>
              <w:jc w:val="center"/>
              <w:rPr>
                <w:b/>
                <w:bCs/>
                <w:color w:val="000000" w:themeColor="text1"/>
                <w:sz w:val="20"/>
                <w:szCs w:val="20"/>
              </w:rPr>
            </w:pPr>
            <w:r w:rsidRPr="005304B4">
              <w:rPr>
                <w:b/>
                <w:bCs/>
                <w:color w:val="000000" w:themeColor="text1"/>
                <w:sz w:val="20"/>
                <w:szCs w:val="20"/>
              </w:rPr>
              <w:t>Inhibición</w:t>
            </w:r>
          </w:p>
        </w:tc>
        <w:tc>
          <w:tcPr>
            <w:tcW w:w="4415" w:type="dxa"/>
            <w:shd w:val="clear" w:color="auto" w:fill="E7E6E6" w:themeFill="background2"/>
          </w:tcPr>
          <w:p w14:paraId="321CA32A" w14:textId="77777777" w:rsidR="00513ABF" w:rsidRPr="005304B4" w:rsidRDefault="00513ABF" w:rsidP="00C77FF8">
            <w:pPr>
              <w:rPr>
                <w:color w:val="000000" w:themeColor="text1"/>
                <w:sz w:val="20"/>
                <w:szCs w:val="20"/>
              </w:rPr>
            </w:pPr>
            <w:r w:rsidRPr="005304B4">
              <w:rPr>
                <w:color w:val="000000" w:themeColor="text1"/>
                <w:sz w:val="20"/>
                <w:szCs w:val="20"/>
              </w:rPr>
              <w:t>Defensoría del Pueblo</w:t>
            </w:r>
          </w:p>
        </w:tc>
      </w:tr>
    </w:tbl>
    <w:p w14:paraId="61BDA39B" w14:textId="0FEBAE50" w:rsidR="00513ABF" w:rsidRPr="005304B4" w:rsidRDefault="00851570" w:rsidP="00513ABF">
      <w:pPr>
        <w:jc w:val="center"/>
        <w:rPr>
          <w:sz w:val="20"/>
          <w:szCs w:val="20"/>
        </w:rPr>
      </w:pPr>
      <w:r w:rsidRPr="005304B4">
        <w:rPr>
          <w:sz w:val="20"/>
          <w:szCs w:val="20"/>
        </w:rPr>
        <w:t>Fuente: e</w:t>
      </w:r>
      <w:r w:rsidR="00513ABF" w:rsidRPr="005304B4">
        <w:rPr>
          <w:i/>
          <w:iCs/>
          <w:sz w:val="20"/>
          <w:szCs w:val="20"/>
        </w:rPr>
        <w:t>laboración propia con base en la información del expediente D-16635.</w:t>
      </w:r>
    </w:p>
    <w:p w14:paraId="7C796950" w14:textId="77777777" w:rsidR="00A53263" w:rsidRPr="005304B4" w:rsidRDefault="00A53263" w:rsidP="00A53263">
      <w:pPr>
        <w:pStyle w:val="Prrafodelista"/>
        <w:tabs>
          <w:tab w:val="left" w:pos="142"/>
          <w:tab w:val="left" w:pos="426"/>
        </w:tabs>
        <w:ind w:left="0"/>
      </w:pPr>
    </w:p>
    <w:p w14:paraId="01068952" w14:textId="4087BE1F" w:rsidR="00A53263" w:rsidRPr="005304B4" w:rsidRDefault="00513ABF" w:rsidP="00A53263">
      <w:pPr>
        <w:pStyle w:val="Prrafodelista"/>
        <w:numPr>
          <w:ilvl w:val="0"/>
          <w:numId w:val="40"/>
        </w:numPr>
        <w:tabs>
          <w:tab w:val="left" w:pos="142"/>
          <w:tab w:val="left" w:pos="426"/>
        </w:tabs>
        <w:ind w:left="0" w:firstLine="0"/>
      </w:pPr>
      <w:r w:rsidRPr="005304B4">
        <w:rPr>
          <w:color w:val="000000"/>
        </w:rPr>
        <w:t>Según se puede apreciar, d</w:t>
      </w:r>
      <w:r w:rsidR="00E05A3A" w:rsidRPr="005304B4">
        <w:rPr>
          <w:color w:val="000000"/>
        </w:rPr>
        <w:t xml:space="preserve">el total de escritos recibidos, 9 </w:t>
      </w:r>
      <w:r w:rsidR="0031775E" w:rsidRPr="005304B4">
        <w:rPr>
          <w:color w:val="000000"/>
        </w:rPr>
        <w:t>consideraron que el cargo único formulado por los demandantes debía prosperar, al estimar que la disposición demandada asigna de manera automática la licencia de maternidad a la madre adoptante en parejas heteroparentales, con fundamento en una concepción</w:t>
      </w:r>
      <w:r w:rsidR="0031775E" w:rsidRPr="005304B4">
        <w:rPr>
          <w:rStyle w:val="apple-converted-space"/>
          <w:color w:val="000000"/>
        </w:rPr>
        <w:t> </w:t>
      </w:r>
      <w:r w:rsidR="0031775E" w:rsidRPr="005304B4">
        <w:rPr>
          <w:rStyle w:val="Textoennegrita"/>
          <w:b w:val="0"/>
          <w:bCs w:val="0"/>
          <w:color w:val="000000"/>
        </w:rPr>
        <w:t>biologicista</w:t>
      </w:r>
      <w:r w:rsidR="0031775E" w:rsidRPr="005304B4">
        <w:rPr>
          <w:rStyle w:val="apple-converted-space"/>
          <w:color w:val="000000"/>
        </w:rPr>
        <w:t> </w:t>
      </w:r>
      <w:r w:rsidR="0031775E" w:rsidRPr="005304B4">
        <w:rPr>
          <w:color w:val="000000"/>
        </w:rPr>
        <w:t>del cuidad</w:t>
      </w:r>
      <w:r w:rsidR="00E05A3A" w:rsidRPr="005304B4">
        <w:rPr>
          <w:color w:val="000000"/>
        </w:rPr>
        <w:t>o</w:t>
      </w:r>
      <w:r w:rsidR="0031775E" w:rsidRPr="005304B4">
        <w:rPr>
          <w:color w:val="000000"/>
        </w:rPr>
        <w:t>. Tal enfoque, según señalaron, reproduce estereotipos de género negativos</w:t>
      </w:r>
      <w:r w:rsidR="00254ECD" w:rsidRPr="005304B4">
        <w:rPr>
          <w:color w:val="000000"/>
        </w:rPr>
        <w:t xml:space="preserve"> basados en roles familiares y de sexo,</w:t>
      </w:r>
      <w:r w:rsidR="00123094" w:rsidRPr="005304B4">
        <w:rPr>
          <w:color w:val="000000"/>
        </w:rPr>
        <w:t xml:space="preserve"> </w:t>
      </w:r>
      <w:r w:rsidR="0031775E" w:rsidRPr="005304B4">
        <w:rPr>
          <w:color w:val="000000"/>
        </w:rPr>
        <w:t>perpetúa la desigual</w:t>
      </w:r>
      <w:r w:rsidR="005E5BD3" w:rsidRPr="005304B4">
        <w:rPr>
          <w:color w:val="000000"/>
        </w:rPr>
        <w:t>dad</w:t>
      </w:r>
      <w:r w:rsidR="007F3CE5" w:rsidRPr="005304B4">
        <w:rPr>
          <w:color w:val="000000"/>
        </w:rPr>
        <w:t xml:space="preserve"> histórica </w:t>
      </w:r>
      <w:r w:rsidR="00F861D0" w:rsidRPr="005304B4">
        <w:rPr>
          <w:color w:val="000000"/>
        </w:rPr>
        <w:t xml:space="preserve">en la </w:t>
      </w:r>
      <w:r w:rsidR="0031775E" w:rsidRPr="005304B4">
        <w:rPr>
          <w:color w:val="000000"/>
        </w:rPr>
        <w:t>distribución de las responsabilidades de cuidado entre hombres y mujeres</w:t>
      </w:r>
      <w:r w:rsidR="00F861D0" w:rsidRPr="005304B4">
        <w:rPr>
          <w:color w:val="000000"/>
        </w:rPr>
        <w:t xml:space="preserve">, </w:t>
      </w:r>
      <w:r w:rsidR="00123094" w:rsidRPr="005304B4">
        <w:rPr>
          <w:color w:val="000000"/>
        </w:rPr>
        <w:t xml:space="preserve">y desconoce el principio de igualdad sustantiva y autonomía familiar. </w:t>
      </w:r>
      <w:r w:rsidR="0031775E" w:rsidRPr="005304B4">
        <w:rPr>
          <w:color w:val="000000"/>
        </w:rPr>
        <w:t>En consecuencia, solicitaron a la Corte declarar la</w:t>
      </w:r>
      <w:r w:rsidR="0031775E" w:rsidRPr="005304B4">
        <w:rPr>
          <w:rStyle w:val="apple-converted-space"/>
          <w:color w:val="000000"/>
        </w:rPr>
        <w:t> </w:t>
      </w:r>
      <w:r w:rsidR="0031775E" w:rsidRPr="005304B4">
        <w:rPr>
          <w:rStyle w:val="Textoennegrita"/>
          <w:b w:val="0"/>
          <w:bCs w:val="0"/>
          <w:color w:val="000000"/>
        </w:rPr>
        <w:t>exequibilidad condicionada</w:t>
      </w:r>
      <w:r w:rsidR="0031775E" w:rsidRPr="005304B4">
        <w:rPr>
          <w:rStyle w:val="apple-converted-space"/>
          <w:color w:val="000000"/>
        </w:rPr>
        <w:t> </w:t>
      </w:r>
      <w:r w:rsidR="0031775E" w:rsidRPr="005304B4">
        <w:rPr>
          <w:color w:val="000000"/>
        </w:rPr>
        <w:t xml:space="preserve">de la norma demandada, en el entendido de que </w:t>
      </w:r>
      <w:r w:rsidR="007F3CE5" w:rsidRPr="005304B4">
        <w:rPr>
          <w:color w:val="000000"/>
        </w:rPr>
        <w:t>la licencia de maternidad</w:t>
      </w:r>
      <w:r w:rsidR="0031775E" w:rsidRPr="005304B4">
        <w:rPr>
          <w:color w:val="000000"/>
        </w:rPr>
        <w:t xml:space="preserve"> pueda reconocerse a cualquiera de los adoptantes, según lo acuerden entre ellos</w:t>
      </w:r>
      <w:r w:rsidR="007473E7" w:rsidRPr="005304B4">
        <w:rPr>
          <w:color w:val="000000"/>
        </w:rPr>
        <w:t>, por una única vez</w:t>
      </w:r>
      <w:r w:rsidR="004336FF" w:rsidRPr="005304B4">
        <w:t xml:space="preserve">. </w:t>
      </w:r>
    </w:p>
    <w:p w14:paraId="7ECC15B8" w14:textId="77777777" w:rsidR="00A53263" w:rsidRPr="005304B4" w:rsidRDefault="00A53263" w:rsidP="00A53263">
      <w:pPr>
        <w:pStyle w:val="Prrafodelista"/>
        <w:tabs>
          <w:tab w:val="left" w:pos="142"/>
          <w:tab w:val="left" w:pos="426"/>
        </w:tabs>
        <w:ind w:left="0"/>
      </w:pPr>
    </w:p>
    <w:p w14:paraId="743E41E6" w14:textId="1028865D" w:rsidR="00513ABF" w:rsidRPr="005304B4" w:rsidRDefault="004336FF" w:rsidP="00A53263">
      <w:pPr>
        <w:pStyle w:val="Prrafodelista"/>
        <w:numPr>
          <w:ilvl w:val="0"/>
          <w:numId w:val="40"/>
        </w:numPr>
        <w:tabs>
          <w:tab w:val="left" w:pos="142"/>
          <w:tab w:val="left" w:pos="426"/>
        </w:tabs>
        <w:ind w:left="0" w:firstLine="0"/>
      </w:pPr>
      <w:r w:rsidRPr="005304B4">
        <w:t xml:space="preserve">En contraste, la Defensoría del Pueblo consideró que </w:t>
      </w:r>
      <w:r w:rsidR="00982CC0" w:rsidRPr="005304B4">
        <w:t>la Corte debía declararse inhibida</w:t>
      </w:r>
      <w:r w:rsidR="00A53263" w:rsidRPr="005304B4">
        <w:t>, al considerar que la demanda era inepta por</w:t>
      </w:r>
      <w:r w:rsidR="00982CC0" w:rsidRPr="005304B4">
        <w:t xml:space="preserve"> incumplir el </w:t>
      </w:r>
      <w:r w:rsidR="00A53263" w:rsidRPr="005304B4">
        <w:t>requisito</w:t>
      </w:r>
      <w:r w:rsidR="00982CC0" w:rsidRPr="005304B4">
        <w:t xml:space="preserve"> de certeza, pues</w:t>
      </w:r>
      <w:r w:rsidR="006D2D90" w:rsidRPr="005304B4">
        <w:t>to que los demandantes se basan en escenarios que no son reales</w:t>
      </w:r>
      <w:r w:rsidR="00A53263" w:rsidRPr="005304B4">
        <w:t xml:space="preserve"> y</w:t>
      </w:r>
      <w:r w:rsidR="006D2D90" w:rsidRPr="005304B4">
        <w:t xml:space="preserve"> porque</w:t>
      </w:r>
      <w:r w:rsidR="00982CC0" w:rsidRPr="005304B4">
        <w:t xml:space="preserve"> la Sentencia C-415 de 2022 se pronunció sobre la norma </w:t>
      </w:r>
      <w:r w:rsidR="00CE7C17" w:rsidRPr="005304B4">
        <w:t xml:space="preserve">demandada y estableció una interpretación amplia que </w:t>
      </w:r>
      <w:r w:rsidR="0023456C" w:rsidRPr="005304B4">
        <w:t>abarca</w:t>
      </w:r>
      <w:r w:rsidR="00CE7C17" w:rsidRPr="005304B4">
        <w:t xml:space="preserve"> el supuesto fáctico los demandantes</w:t>
      </w:r>
      <w:r w:rsidR="0023456C" w:rsidRPr="005304B4">
        <w:t xml:space="preserve"> consideran</w:t>
      </w:r>
      <w:r w:rsidR="00CE7C17" w:rsidRPr="005304B4">
        <w:t xml:space="preserve"> </w:t>
      </w:r>
      <w:r w:rsidR="005C2F06" w:rsidRPr="005304B4">
        <w:t>inconstitucional.</w:t>
      </w:r>
      <w:r w:rsidR="00513ABF" w:rsidRPr="005304B4">
        <w:t xml:space="preserve"> </w:t>
      </w:r>
    </w:p>
    <w:p w14:paraId="3CCE57D1" w14:textId="77777777" w:rsidR="00513ABF" w:rsidRPr="005304B4" w:rsidRDefault="00513ABF" w:rsidP="00513ABF">
      <w:pPr>
        <w:pStyle w:val="Prrafodelista"/>
        <w:tabs>
          <w:tab w:val="left" w:pos="142"/>
          <w:tab w:val="left" w:pos="426"/>
        </w:tabs>
        <w:ind w:left="0"/>
      </w:pPr>
    </w:p>
    <w:p w14:paraId="046BEE13" w14:textId="2B53E8A2" w:rsidR="001E1D9D" w:rsidRPr="005304B4" w:rsidRDefault="00513ABF" w:rsidP="00A53263">
      <w:pPr>
        <w:pStyle w:val="Prrafodelista"/>
        <w:numPr>
          <w:ilvl w:val="0"/>
          <w:numId w:val="40"/>
        </w:numPr>
        <w:tabs>
          <w:tab w:val="left" w:pos="142"/>
          <w:tab w:val="left" w:pos="426"/>
        </w:tabs>
        <w:ind w:left="0" w:firstLine="0"/>
      </w:pPr>
      <w:r w:rsidRPr="005304B4">
        <w:t>A continuación, se presenta el contenido de los escritos recibidos.</w:t>
      </w:r>
    </w:p>
    <w:p w14:paraId="63095B19" w14:textId="77777777" w:rsidR="00A96B61" w:rsidRPr="005304B4" w:rsidRDefault="00A96B61" w:rsidP="00A96B61">
      <w:pPr>
        <w:rPr>
          <w:sz w:val="28"/>
          <w:szCs w:val="28"/>
        </w:rPr>
      </w:pPr>
    </w:p>
    <w:p w14:paraId="38149C57" w14:textId="3C4B2582" w:rsidR="00292128" w:rsidRPr="005304B4" w:rsidRDefault="00A53263" w:rsidP="00A53263">
      <w:pPr>
        <w:pStyle w:val="Ttulo2"/>
      </w:pPr>
      <w:bookmarkStart w:id="7" w:name="_Toc224553733"/>
      <w:r w:rsidRPr="005304B4">
        <w:t>1. Ministerio de la Igualdad y Equidad</w:t>
      </w:r>
      <w:bookmarkEnd w:id="7"/>
    </w:p>
    <w:p w14:paraId="4451283E" w14:textId="77777777" w:rsidR="00292128" w:rsidRPr="005304B4" w:rsidRDefault="00292128" w:rsidP="00292128">
      <w:pPr>
        <w:pStyle w:val="Prrafodelista"/>
      </w:pPr>
    </w:p>
    <w:p w14:paraId="0349897C" w14:textId="5424E9EB" w:rsidR="00FF38CB" w:rsidRPr="005304B4" w:rsidRDefault="008C3C51" w:rsidP="001347D8">
      <w:pPr>
        <w:pStyle w:val="Prrafodelista"/>
        <w:numPr>
          <w:ilvl w:val="0"/>
          <w:numId w:val="40"/>
        </w:numPr>
        <w:tabs>
          <w:tab w:val="left" w:pos="142"/>
          <w:tab w:val="left" w:pos="426"/>
        </w:tabs>
        <w:ind w:left="0" w:firstLine="0"/>
      </w:pPr>
      <w:r w:rsidRPr="005304B4">
        <w:t xml:space="preserve">El </w:t>
      </w:r>
      <w:r w:rsidR="006541DC" w:rsidRPr="005304B4">
        <w:t>j</w:t>
      </w:r>
      <w:r w:rsidRPr="005304B4">
        <w:t>efe de la Oficina Jurídica de la entidad</w:t>
      </w:r>
      <w:r w:rsidR="001347D8" w:rsidRPr="005304B4">
        <w:rPr>
          <w:rStyle w:val="Refdenotaalpie"/>
          <w:color w:val="000000" w:themeColor="text1"/>
        </w:rPr>
        <w:footnoteReference w:id="15"/>
      </w:r>
      <w:r w:rsidRPr="005304B4">
        <w:t xml:space="preserve"> </w:t>
      </w:r>
      <w:r w:rsidR="00A53263" w:rsidRPr="005304B4">
        <w:t>conceptuó</w:t>
      </w:r>
      <w:r w:rsidR="00FF38CB" w:rsidRPr="005304B4">
        <w:t xml:space="preserve"> que, en efecto, la norma demandada impone un trato desigual a las familias </w:t>
      </w:r>
      <w:r w:rsidR="009D4BCE" w:rsidRPr="005304B4">
        <w:t>heteroparental</w:t>
      </w:r>
      <w:r w:rsidR="00FF38CB" w:rsidRPr="005304B4">
        <w:t xml:space="preserve">es y homoparentales adoptantes en el acceso a las licencias parentales. Por ello, solicitó </w:t>
      </w:r>
      <w:r w:rsidR="0041704B" w:rsidRPr="005304B4">
        <w:t>a</w:t>
      </w:r>
      <w:r w:rsidR="00FF38CB" w:rsidRPr="005304B4">
        <w:t xml:space="preserve"> la Corte Constitucional </w:t>
      </w:r>
      <w:r w:rsidR="0041704B" w:rsidRPr="005304B4">
        <w:t xml:space="preserve">que </w:t>
      </w:r>
      <w:r w:rsidR="00FF38CB" w:rsidRPr="005304B4">
        <w:t xml:space="preserve">declarara la exequibilidad condicionada del artículo 2, numeral 4 de la Ley 2114 de 2021, bajo el entendido de que todas las familias adoptantes, “sin distinción por orientación sexual o composición, puedan decidir libremente quien asume el fuero de maternidad y las licencias parentales, conforme a criterios de idoneidad, disponibilidad y corresponsabilidad”. </w:t>
      </w:r>
      <w:r w:rsidR="0041704B" w:rsidRPr="005304B4">
        <w:t>De esta manera</w:t>
      </w:r>
      <w:r w:rsidR="003C1728" w:rsidRPr="005304B4">
        <w:t>,</w:t>
      </w:r>
      <w:r w:rsidR="00BE6984" w:rsidRPr="005304B4">
        <w:t xml:space="preserve"> según </w:t>
      </w:r>
      <w:r w:rsidR="00F42D14" w:rsidRPr="005304B4">
        <w:t>la entidad</w:t>
      </w:r>
      <w:r w:rsidR="00BE6984" w:rsidRPr="005304B4">
        <w:t>,</w:t>
      </w:r>
      <w:r w:rsidR="0041704B" w:rsidRPr="005304B4">
        <w:t xml:space="preserve"> se </w:t>
      </w:r>
      <w:r w:rsidR="003C1728" w:rsidRPr="005304B4">
        <w:t>avanza</w:t>
      </w:r>
      <w:r w:rsidR="0041704B" w:rsidRPr="005304B4">
        <w:t xml:space="preserve"> hacia una legislación más inclusiva, justa y respetuosa de la diversidad familiar. </w:t>
      </w:r>
    </w:p>
    <w:p w14:paraId="2DC2655D" w14:textId="77777777" w:rsidR="00FF38CB" w:rsidRPr="005304B4" w:rsidRDefault="00FF38CB" w:rsidP="00FF38CB">
      <w:pPr>
        <w:pStyle w:val="Prrafodelista"/>
        <w:tabs>
          <w:tab w:val="left" w:pos="142"/>
          <w:tab w:val="left" w:pos="426"/>
        </w:tabs>
        <w:ind w:left="0"/>
      </w:pPr>
    </w:p>
    <w:p w14:paraId="0DF6E941" w14:textId="6672D8A5" w:rsidR="0071263D" w:rsidRPr="005304B4" w:rsidRDefault="00FF38CB" w:rsidP="0071263D">
      <w:pPr>
        <w:pStyle w:val="Prrafodelista"/>
        <w:numPr>
          <w:ilvl w:val="0"/>
          <w:numId w:val="40"/>
        </w:numPr>
        <w:tabs>
          <w:tab w:val="left" w:pos="142"/>
          <w:tab w:val="left" w:pos="426"/>
        </w:tabs>
        <w:ind w:left="0" w:firstLine="0"/>
      </w:pPr>
      <w:r w:rsidRPr="005304B4">
        <w:t xml:space="preserve">Para sustentar su solicitud, </w:t>
      </w:r>
      <w:r w:rsidR="00756BED" w:rsidRPr="005304B4">
        <w:t xml:space="preserve">el </w:t>
      </w:r>
      <w:r w:rsidR="00F42D14" w:rsidRPr="005304B4">
        <w:t>m</w:t>
      </w:r>
      <w:r w:rsidR="00756BED" w:rsidRPr="005304B4">
        <w:t>inisterio</w:t>
      </w:r>
      <w:r w:rsidR="0071263D" w:rsidRPr="005304B4">
        <w:t xml:space="preserve">, </w:t>
      </w:r>
      <w:r w:rsidR="0071263D" w:rsidRPr="005304B4">
        <w:rPr>
          <w:i/>
          <w:iCs/>
        </w:rPr>
        <w:t>en primer lugar</w:t>
      </w:r>
      <w:r w:rsidR="0071263D" w:rsidRPr="005304B4">
        <w:t>,</w:t>
      </w:r>
      <w:r w:rsidR="00756BED" w:rsidRPr="005304B4">
        <w:t xml:space="preserve"> </w:t>
      </w:r>
      <w:r w:rsidR="0071263D" w:rsidRPr="005304B4">
        <w:t>señaló</w:t>
      </w:r>
      <w:r w:rsidR="00756BED" w:rsidRPr="005304B4">
        <w:t xml:space="preserve"> </w:t>
      </w:r>
      <w:r w:rsidRPr="005304B4">
        <w:t>que</w:t>
      </w:r>
      <w:r w:rsidR="00756BED" w:rsidRPr="005304B4">
        <w:t>,</w:t>
      </w:r>
      <w:r w:rsidRPr="005304B4">
        <w:t xml:space="preserve"> </w:t>
      </w:r>
      <w:r w:rsidR="00FD377E" w:rsidRPr="005304B4">
        <w:t xml:space="preserve">de acuerdo con la jurisprudencia constitucional, </w:t>
      </w:r>
      <w:r w:rsidR="00756BED" w:rsidRPr="005304B4">
        <w:t>las diferencias normativas deben fundarse en factores relevantes y el Estado debe eliminar estereotipos de género en la asignación de roles parentales, como, por ejemplo, reconociendo que el cuidado no es un rol exclusivo de las mujeres. No obstante</w:t>
      </w:r>
      <w:r w:rsidR="003C1728" w:rsidRPr="005304B4">
        <w:t>,</w:t>
      </w:r>
      <w:r w:rsidR="00756BED" w:rsidRPr="005304B4">
        <w:t xml:space="preserve"> la</w:t>
      </w:r>
      <w:r w:rsidR="00F30C03" w:rsidRPr="005304B4">
        <w:t xml:space="preserve"> norma</w:t>
      </w:r>
      <w:r w:rsidR="00756BED" w:rsidRPr="005304B4">
        <w:t xml:space="preserve"> demanda</w:t>
      </w:r>
      <w:r w:rsidR="00F30C03" w:rsidRPr="005304B4">
        <w:t>da</w:t>
      </w:r>
      <w:r w:rsidR="00756BED" w:rsidRPr="005304B4">
        <w:t xml:space="preserve"> establece un trato diferenciado entre las familias adoptantes que </w:t>
      </w:r>
      <w:r w:rsidR="001C7F05" w:rsidRPr="005304B4">
        <w:t xml:space="preserve">no </w:t>
      </w:r>
      <w:r w:rsidR="00756BED" w:rsidRPr="005304B4">
        <w:t>responde a criterios constitucionalmente válidos</w:t>
      </w:r>
      <w:r w:rsidR="0071263D" w:rsidRPr="005304B4">
        <w:t xml:space="preserve">. </w:t>
      </w:r>
    </w:p>
    <w:p w14:paraId="7E85E47B" w14:textId="77777777" w:rsidR="0071263D" w:rsidRPr="005304B4" w:rsidRDefault="0071263D" w:rsidP="0071263D">
      <w:pPr>
        <w:pStyle w:val="Prrafodelista"/>
      </w:pPr>
    </w:p>
    <w:p w14:paraId="6687B05E" w14:textId="60AFA089" w:rsidR="0071263D" w:rsidRPr="005304B4" w:rsidRDefault="0071263D" w:rsidP="0071263D">
      <w:pPr>
        <w:pStyle w:val="Prrafodelista"/>
        <w:numPr>
          <w:ilvl w:val="0"/>
          <w:numId w:val="40"/>
        </w:numPr>
        <w:tabs>
          <w:tab w:val="left" w:pos="142"/>
          <w:tab w:val="left" w:pos="426"/>
        </w:tabs>
        <w:ind w:left="0" w:firstLine="0"/>
      </w:pPr>
      <w:r w:rsidRPr="005304B4">
        <w:t xml:space="preserve">A </w:t>
      </w:r>
      <w:r w:rsidR="00E45926" w:rsidRPr="005304B4">
        <w:t>su juicio</w:t>
      </w:r>
      <w:r w:rsidRPr="005304B4">
        <w:t>, la asignación automática de la licencia de maternidad a la madre adoptante en parejas hetero</w:t>
      </w:r>
      <w:r w:rsidR="00711B83" w:rsidRPr="005304B4">
        <w:t>parentales</w:t>
      </w:r>
      <w:r w:rsidRPr="005304B4">
        <w:t xml:space="preserve"> es una medida regresiva que perpetúa una visión biologicista del cuidado. </w:t>
      </w:r>
      <w:r w:rsidR="00F42D14" w:rsidRPr="005304B4">
        <w:t>Lo anterior,</w:t>
      </w:r>
      <w:r w:rsidRPr="005304B4">
        <w:t xml:space="preserve"> en la medida en que parte de la presunción de que la mujer, por su género, debe asumir el rol de cuidadora principal. Por tanto, se invisibiliza la capacidad de los hombres adoptantes para ejercer el cuidado primario y refuerza la distribución basada en estereotipos de género. Además, impide que los hombres que están en mejor</w:t>
      </w:r>
      <w:r w:rsidR="006541DC" w:rsidRPr="005304B4">
        <w:t>es</w:t>
      </w:r>
      <w:r w:rsidRPr="005304B4">
        <w:t xml:space="preserve"> condiciones para ejercer el cuidado de</w:t>
      </w:r>
      <w:r w:rsidR="003E7324" w:rsidRPr="005304B4">
        <w:t>l</w:t>
      </w:r>
      <w:r w:rsidRPr="005304B4">
        <w:t xml:space="preserve"> adoptado</w:t>
      </w:r>
      <w:r w:rsidR="006541DC" w:rsidRPr="005304B4">
        <w:t xml:space="preserve"> </w:t>
      </w:r>
      <w:r w:rsidRPr="005304B4">
        <w:t>pueda</w:t>
      </w:r>
      <w:r w:rsidR="00F42D14" w:rsidRPr="005304B4">
        <w:t>n</w:t>
      </w:r>
      <w:r w:rsidRPr="005304B4">
        <w:t xml:space="preserve"> </w:t>
      </w:r>
      <w:r w:rsidR="00F42D14" w:rsidRPr="005304B4">
        <w:t>asumirlo</w:t>
      </w:r>
      <w:r w:rsidRPr="005304B4">
        <w:t>.</w:t>
      </w:r>
    </w:p>
    <w:p w14:paraId="652EBBDA" w14:textId="77777777" w:rsidR="0071263D" w:rsidRPr="005304B4" w:rsidRDefault="0071263D" w:rsidP="0071263D">
      <w:pPr>
        <w:pStyle w:val="Prrafodelista"/>
      </w:pPr>
    </w:p>
    <w:p w14:paraId="7E0E45E5" w14:textId="785DBDB4" w:rsidR="00235ECC" w:rsidRPr="005304B4" w:rsidRDefault="0071263D" w:rsidP="0071263D">
      <w:pPr>
        <w:pStyle w:val="Prrafodelista"/>
        <w:numPr>
          <w:ilvl w:val="0"/>
          <w:numId w:val="40"/>
        </w:numPr>
        <w:tabs>
          <w:tab w:val="left" w:pos="142"/>
          <w:tab w:val="left" w:pos="426"/>
        </w:tabs>
        <w:ind w:left="0" w:firstLine="0"/>
      </w:pPr>
      <w:r w:rsidRPr="005304B4">
        <w:t xml:space="preserve">Por tanto, </w:t>
      </w:r>
      <w:r w:rsidR="00F42D14" w:rsidRPr="005304B4">
        <w:t>el ministerio afirma que la norma</w:t>
      </w:r>
      <w:r w:rsidRPr="005304B4">
        <w:t xml:space="preserve"> demandada </w:t>
      </w:r>
      <w:r w:rsidR="00756BED" w:rsidRPr="005304B4">
        <w:t>perpetúa estereotipos</w:t>
      </w:r>
      <w:r w:rsidR="001C7F05" w:rsidRPr="005304B4">
        <w:t xml:space="preserve"> </w:t>
      </w:r>
      <w:r w:rsidR="00235ECC" w:rsidRPr="005304B4">
        <w:t>de género</w:t>
      </w:r>
      <w:r w:rsidRPr="005304B4">
        <w:t>, al</w:t>
      </w:r>
      <w:r w:rsidR="001C7F05" w:rsidRPr="005304B4">
        <w:t xml:space="preserve"> impone</w:t>
      </w:r>
      <w:r w:rsidRPr="005304B4">
        <w:t xml:space="preserve">r </w:t>
      </w:r>
      <w:r w:rsidR="001C7F05" w:rsidRPr="005304B4">
        <w:t xml:space="preserve">una estructura rígida de roles que limita la autonomía familiar. </w:t>
      </w:r>
      <w:r w:rsidR="00235ECC" w:rsidRPr="005304B4">
        <w:t>Dicho trato, entonces, desconoce no solo la prohibición de discriminación arbitraria dispuesta en el artículo 24 de la Convención Americana de Derechos Humanos sino, a su vez, la Opinión Consultiva 24</w:t>
      </w:r>
      <w:r w:rsidR="00F30C03" w:rsidRPr="005304B4">
        <w:t xml:space="preserve"> de 20</w:t>
      </w:r>
      <w:r w:rsidR="00235ECC" w:rsidRPr="005304B4">
        <w:t>17 de la C</w:t>
      </w:r>
      <w:r w:rsidR="00F42D14" w:rsidRPr="005304B4">
        <w:t>omisión Interamericana de Derechos Humanos (CIDH)</w:t>
      </w:r>
      <w:r w:rsidR="00235ECC" w:rsidRPr="005304B4">
        <w:t>, que reconoce que estos dos tipo</w:t>
      </w:r>
      <w:r w:rsidR="006541DC" w:rsidRPr="005304B4">
        <w:t>s</w:t>
      </w:r>
      <w:r w:rsidR="00235ECC" w:rsidRPr="005304B4">
        <w:t xml:space="preserve"> de familias deben gozar de “igual dignidad y derechos”</w:t>
      </w:r>
      <w:r w:rsidR="00235ECC" w:rsidRPr="005304B4">
        <w:rPr>
          <w:rStyle w:val="Refdenotaalpie"/>
        </w:rPr>
        <w:footnoteReference w:id="16"/>
      </w:r>
      <w:r w:rsidR="00235ECC" w:rsidRPr="005304B4">
        <w:t xml:space="preserve">. </w:t>
      </w:r>
    </w:p>
    <w:p w14:paraId="049C6372" w14:textId="77777777" w:rsidR="00235ECC" w:rsidRPr="005304B4" w:rsidRDefault="00235ECC" w:rsidP="00235ECC">
      <w:pPr>
        <w:pStyle w:val="Prrafodelista"/>
      </w:pPr>
    </w:p>
    <w:p w14:paraId="5BD0A2AA" w14:textId="6AAECCFE" w:rsidR="007F7163" w:rsidRPr="005304B4" w:rsidRDefault="00235ECC" w:rsidP="007F7163">
      <w:pPr>
        <w:pStyle w:val="Prrafodelista"/>
        <w:numPr>
          <w:ilvl w:val="0"/>
          <w:numId w:val="40"/>
        </w:numPr>
        <w:tabs>
          <w:tab w:val="left" w:pos="142"/>
          <w:tab w:val="left" w:pos="426"/>
        </w:tabs>
        <w:ind w:left="0" w:firstLine="0"/>
      </w:pPr>
      <w:r w:rsidRPr="005304B4">
        <w:t xml:space="preserve"> </w:t>
      </w:r>
      <w:r w:rsidR="00F42D14" w:rsidRPr="005304B4">
        <w:rPr>
          <w:i/>
          <w:iCs/>
        </w:rPr>
        <w:t>E</w:t>
      </w:r>
      <w:r w:rsidR="0071263D" w:rsidRPr="005304B4">
        <w:rPr>
          <w:i/>
          <w:iCs/>
        </w:rPr>
        <w:t>n segundo lugar</w:t>
      </w:r>
      <w:r w:rsidR="00F30C03" w:rsidRPr="005304B4">
        <w:t xml:space="preserve">, la entidad </w:t>
      </w:r>
      <w:r w:rsidR="0071263D" w:rsidRPr="005304B4">
        <w:t>sostuvo</w:t>
      </w:r>
      <w:r w:rsidR="00F30C03" w:rsidRPr="005304B4">
        <w:t xml:space="preserve"> que la </w:t>
      </w:r>
      <w:r w:rsidR="005C0005" w:rsidRPr="005304B4">
        <w:t xml:space="preserve">disposición demandada </w:t>
      </w:r>
      <w:r w:rsidR="00F30C03" w:rsidRPr="005304B4">
        <w:t xml:space="preserve">incurre en </w:t>
      </w:r>
      <w:r w:rsidR="003E7324" w:rsidRPr="005304B4">
        <w:t xml:space="preserve">una </w:t>
      </w:r>
      <w:r w:rsidR="00F30C03" w:rsidRPr="005304B4">
        <w:t>omisión legislativa relativa al no extender las consecuencias jurídicas de la norma a casos equivalentes</w:t>
      </w:r>
      <w:r w:rsidR="005C0005" w:rsidRPr="005304B4">
        <w:t xml:space="preserve">. Así, al excluir a la familia heteroparental adoptante de la elección del tipo de licencia, se vulnera el principio de igualdad </w:t>
      </w:r>
      <w:r w:rsidR="00F42D14" w:rsidRPr="005304B4">
        <w:t>(</w:t>
      </w:r>
      <w:r w:rsidR="007F1912" w:rsidRPr="005304B4">
        <w:t>art. 13 de la Constitución Política</w:t>
      </w:r>
      <w:r w:rsidR="00F42D14" w:rsidRPr="005304B4">
        <w:t>)</w:t>
      </w:r>
      <w:r w:rsidR="007F1912" w:rsidRPr="005304B4">
        <w:t xml:space="preserve"> </w:t>
      </w:r>
      <w:r w:rsidR="005C0005" w:rsidRPr="005304B4">
        <w:t>y el deber del legislador de garantizar un trato equitativo a sujetos en condiciones jurídicas similares, dado que</w:t>
      </w:r>
      <w:r w:rsidR="00F42D14" w:rsidRPr="005304B4">
        <w:t>,</w:t>
      </w:r>
      <w:r w:rsidR="005C0005" w:rsidRPr="005304B4">
        <w:t xml:space="preserve"> en ambos casos</w:t>
      </w:r>
      <w:r w:rsidR="00F42D14" w:rsidRPr="005304B4">
        <w:t>,</w:t>
      </w:r>
      <w:r w:rsidR="005C0005" w:rsidRPr="005304B4">
        <w:t xml:space="preserve"> se trata de personas que no tienen un vínculo</w:t>
      </w:r>
      <w:r w:rsidR="00D44E58" w:rsidRPr="005304B4">
        <w:t xml:space="preserve"> </w:t>
      </w:r>
      <w:r w:rsidR="005C0005" w:rsidRPr="005304B4">
        <w:t xml:space="preserve">biológico con el </w:t>
      </w:r>
      <w:r w:rsidR="00F42D14" w:rsidRPr="005304B4">
        <w:t>hijo adoptivo</w:t>
      </w:r>
      <w:r w:rsidR="005C0005" w:rsidRPr="005304B4">
        <w:t xml:space="preserve">. Por tanto, se excluye al padre </w:t>
      </w:r>
      <w:r w:rsidR="00E26DEB" w:rsidRPr="005304B4">
        <w:t xml:space="preserve">heterosexual </w:t>
      </w:r>
      <w:r w:rsidR="005C0005" w:rsidRPr="005304B4">
        <w:t xml:space="preserve">adoptante </w:t>
      </w:r>
      <w:r w:rsidR="00E26DEB" w:rsidRPr="005304B4">
        <w:t>de manera injustificada de la opción de elegir la licencia de maternidad</w:t>
      </w:r>
      <w:r w:rsidR="00D957BD" w:rsidRPr="005304B4">
        <w:rPr>
          <w:rStyle w:val="Refdenotaalpie"/>
        </w:rPr>
        <w:footnoteReference w:id="17"/>
      </w:r>
      <w:r w:rsidR="00E26DEB" w:rsidRPr="005304B4">
        <w:t>.</w:t>
      </w:r>
      <w:r w:rsidR="00D957BD" w:rsidRPr="005304B4">
        <w:t xml:space="preserve"> </w:t>
      </w:r>
    </w:p>
    <w:p w14:paraId="0195B9B9" w14:textId="77777777" w:rsidR="007F7163" w:rsidRPr="005304B4" w:rsidRDefault="007F7163" w:rsidP="007F7163">
      <w:pPr>
        <w:pStyle w:val="Prrafodelista"/>
      </w:pPr>
    </w:p>
    <w:p w14:paraId="6CAE9BA3" w14:textId="388264F7" w:rsidR="007F7163" w:rsidRPr="005304B4" w:rsidRDefault="00F42D14" w:rsidP="00826E5C">
      <w:pPr>
        <w:pStyle w:val="Ttulo2"/>
      </w:pPr>
      <w:bookmarkStart w:id="8" w:name="_Toc224553734"/>
      <w:r w:rsidRPr="005304B4">
        <w:t>2. Semillero de Derecho Internacional y de los Derechos Humanos Antonio Augusto Cançado Trindade de la Universidad Católica de Colombia</w:t>
      </w:r>
      <w:bookmarkEnd w:id="8"/>
    </w:p>
    <w:p w14:paraId="6DFD377C" w14:textId="77777777" w:rsidR="007F7163" w:rsidRPr="005304B4" w:rsidRDefault="007F7163" w:rsidP="007F7163">
      <w:pPr>
        <w:pStyle w:val="Prrafodelista"/>
      </w:pPr>
    </w:p>
    <w:p w14:paraId="59FE9966" w14:textId="7D681CBC" w:rsidR="00A3536D" w:rsidRPr="005304B4" w:rsidRDefault="00895237" w:rsidP="007F7163">
      <w:pPr>
        <w:pStyle w:val="Prrafodelista"/>
        <w:numPr>
          <w:ilvl w:val="0"/>
          <w:numId w:val="40"/>
        </w:numPr>
        <w:tabs>
          <w:tab w:val="left" w:pos="142"/>
          <w:tab w:val="left" w:pos="426"/>
        </w:tabs>
        <w:ind w:left="0" w:firstLine="0"/>
      </w:pPr>
      <w:r w:rsidRPr="005304B4">
        <w:t xml:space="preserve">Los integrantes del semillero de </w:t>
      </w:r>
      <w:r w:rsidR="007527D3" w:rsidRPr="005304B4">
        <w:t>D</w:t>
      </w:r>
      <w:r w:rsidRPr="005304B4">
        <w:t xml:space="preserve">erecho </w:t>
      </w:r>
      <w:r w:rsidR="007527D3" w:rsidRPr="005304B4">
        <w:t>I</w:t>
      </w:r>
      <w:r w:rsidRPr="005304B4">
        <w:t>nternacional y de los Derechos Humanos Antonio Augusto Cançado Trindade de la Universidad</w:t>
      </w:r>
      <w:r w:rsidR="00A245B9" w:rsidRPr="005304B4">
        <w:t xml:space="preserve"> Católica de Colombia</w:t>
      </w:r>
      <w:r w:rsidR="00A3536D" w:rsidRPr="005304B4">
        <w:rPr>
          <w:rStyle w:val="Refdenotaalpie"/>
        </w:rPr>
        <w:footnoteReference w:id="18"/>
      </w:r>
      <w:r w:rsidRPr="005304B4">
        <w:t xml:space="preserve"> solicitaron que</w:t>
      </w:r>
      <w:r w:rsidR="00A3536D" w:rsidRPr="005304B4">
        <w:t xml:space="preserve"> la norma demandada se declare condicionalmente exequible, bajo el entendido de que “la licencia de paternidad en casos de adopción no podrá condicionarse a la ausencia de la madre adoptante, sino que deberá reconocerse en todos los casos en que el padre adoptante cumpla con los requisitos generales de ley, con independencia de que la madre esté presente o no en la vida del menor”. </w:t>
      </w:r>
    </w:p>
    <w:p w14:paraId="6AFABF15" w14:textId="77777777" w:rsidR="00A3536D" w:rsidRPr="005304B4" w:rsidRDefault="00A3536D" w:rsidP="00A3536D">
      <w:pPr>
        <w:pStyle w:val="Prrafodelista"/>
        <w:tabs>
          <w:tab w:val="left" w:pos="142"/>
          <w:tab w:val="left" w:pos="426"/>
        </w:tabs>
        <w:ind w:left="0"/>
      </w:pPr>
    </w:p>
    <w:p w14:paraId="779D57CD" w14:textId="5788A185" w:rsidR="00026826" w:rsidRPr="005304B4" w:rsidRDefault="00A3536D" w:rsidP="00CC1C32">
      <w:pPr>
        <w:pStyle w:val="Prrafodelista"/>
        <w:numPr>
          <w:ilvl w:val="0"/>
          <w:numId w:val="40"/>
        </w:numPr>
        <w:tabs>
          <w:tab w:val="left" w:pos="142"/>
          <w:tab w:val="left" w:pos="426"/>
        </w:tabs>
        <w:ind w:left="0" w:firstLine="0"/>
      </w:pPr>
      <w:r w:rsidRPr="005304B4">
        <w:t xml:space="preserve"> Para el semillero de investigació</w:t>
      </w:r>
      <w:r w:rsidR="007F7163" w:rsidRPr="005304B4">
        <w:t xml:space="preserve">n, la norma demandada perpetúa la desigualdad estructural de la mujer al condicionar </w:t>
      </w:r>
      <w:r w:rsidR="00CC1C32" w:rsidRPr="005304B4">
        <w:t>el acceso al padre adoptante a la ausencia de la madre. Dich</w:t>
      </w:r>
      <w:r w:rsidR="006541DC" w:rsidRPr="005304B4">
        <w:t>o</w:t>
      </w:r>
      <w:r w:rsidR="00CC1C32" w:rsidRPr="005304B4">
        <w:t xml:space="preserve"> condicionamiento niega la corresponsabilidad que le asiste a los hombres de participar activamente en la crianza y en el cuidado, y da a entender que este es un deber exclusivo de las mujeres. Por tanto, la norma demanda</w:t>
      </w:r>
      <w:r w:rsidR="00A62101" w:rsidRPr="005304B4">
        <w:t>da</w:t>
      </w:r>
      <w:r w:rsidR="00CC1C32" w:rsidRPr="005304B4">
        <w:t xml:space="preserve"> discrimina de manera indirecta</w:t>
      </w:r>
      <w:r w:rsidR="00A62101" w:rsidRPr="005304B4">
        <w:t xml:space="preserve"> a las mujeres bajo el argumento de “responsabilidades familiares”, lo que desconoce el Convenio 156</w:t>
      </w:r>
      <w:r w:rsidR="00EE1BF3" w:rsidRPr="005304B4">
        <w:t xml:space="preserve">, </w:t>
      </w:r>
      <w:r w:rsidR="00A62101" w:rsidRPr="005304B4">
        <w:t>la Recomendación 165 de la Organización Internacional del Trabajo</w:t>
      </w:r>
      <w:r w:rsidR="00EE1BF3" w:rsidRPr="005304B4">
        <w:t xml:space="preserve">, el artículo 13 superior </w:t>
      </w:r>
      <w:r w:rsidR="007645B9" w:rsidRPr="005304B4">
        <w:t xml:space="preserve">en armonía con la Convención sobre la </w:t>
      </w:r>
      <w:r w:rsidR="00F62E21" w:rsidRPr="005304B4">
        <w:t>E</w:t>
      </w:r>
      <w:r w:rsidR="007645B9" w:rsidRPr="005304B4">
        <w:t xml:space="preserve">liminación de todas las </w:t>
      </w:r>
      <w:r w:rsidR="00F62E21" w:rsidRPr="005304B4">
        <w:t>F</w:t>
      </w:r>
      <w:r w:rsidR="007645B9" w:rsidRPr="005304B4">
        <w:t xml:space="preserve">ormas de </w:t>
      </w:r>
      <w:r w:rsidR="00F62E21" w:rsidRPr="005304B4">
        <w:t>D</w:t>
      </w:r>
      <w:r w:rsidR="007645B9" w:rsidRPr="005304B4">
        <w:t xml:space="preserve">iscriminación contra la </w:t>
      </w:r>
      <w:r w:rsidR="00F62E21" w:rsidRPr="005304B4">
        <w:t>M</w:t>
      </w:r>
      <w:r w:rsidR="007645B9" w:rsidRPr="005304B4">
        <w:t xml:space="preserve">ujer </w:t>
      </w:r>
      <w:r w:rsidR="00826E5C" w:rsidRPr="005304B4">
        <w:t>(CEDAW).</w:t>
      </w:r>
      <w:r w:rsidR="007645B9" w:rsidRPr="005304B4">
        <w:t xml:space="preserve"> </w:t>
      </w:r>
    </w:p>
    <w:p w14:paraId="574B1459" w14:textId="77777777" w:rsidR="00A62101" w:rsidRPr="005304B4" w:rsidRDefault="00A62101" w:rsidP="00A62101">
      <w:pPr>
        <w:pStyle w:val="Prrafodelista"/>
      </w:pPr>
    </w:p>
    <w:p w14:paraId="371C6492" w14:textId="0D21B699" w:rsidR="00A62101" w:rsidRPr="005304B4" w:rsidRDefault="00DA283B" w:rsidP="00CE6B02">
      <w:pPr>
        <w:pStyle w:val="Prrafodelista"/>
        <w:numPr>
          <w:ilvl w:val="0"/>
          <w:numId w:val="40"/>
        </w:numPr>
        <w:tabs>
          <w:tab w:val="left" w:pos="142"/>
          <w:tab w:val="left" w:pos="426"/>
        </w:tabs>
        <w:ind w:left="0" w:firstLine="0"/>
      </w:pPr>
      <w:r w:rsidRPr="005304B4">
        <w:t>En línea con lo anterior, el semillero señaló que</w:t>
      </w:r>
      <w:r w:rsidR="00CE6B02" w:rsidRPr="005304B4">
        <w:t xml:space="preserve">, de acuerdo </w:t>
      </w:r>
      <w:r w:rsidR="00CF2B83" w:rsidRPr="005304B4">
        <w:t xml:space="preserve">con </w:t>
      </w:r>
      <w:r w:rsidR="00B90297" w:rsidRPr="005304B4">
        <w:t xml:space="preserve">varias sentencias de la Corte Constitucional, en particular, </w:t>
      </w:r>
      <w:r w:rsidR="00CE6B02" w:rsidRPr="005304B4">
        <w:t>con la</w:t>
      </w:r>
      <w:r w:rsidR="00F25C03" w:rsidRPr="005304B4">
        <w:t>s S</w:t>
      </w:r>
      <w:r w:rsidR="00CE6B02" w:rsidRPr="005304B4">
        <w:t>entencia</w:t>
      </w:r>
      <w:r w:rsidRPr="005304B4">
        <w:t xml:space="preserve"> </w:t>
      </w:r>
      <w:r w:rsidR="00F25C03" w:rsidRPr="005304B4">
        <w:t xml:space="preserve">C-517 de 2024 y </w:t>
      </w:r>
      <w:r w:rsidRPr="005304B4">
        <w:t>T-259 de 2024</w:t>
      </w:r>
      <w:r w:rsidR="00CE6B02" w:rsidRPr="005304B4">
        <w:t xml:space="preserve">, </w:t>
      </w:r>
      <w:r w:rsidR="005E2E73" w:rsidRPr="005304B4">
        <w:t xml:space="preserve">la licencia de paternidad </w:t>
      </w:r>
      <w:r w:rsidR="00A04B7D" w:rsidRPr="005304B4">
        <w:t>es una herramienta jurídica que garantiza el cuidado, la seguridad y la estabilidad emocional de</w:t>
      </w:r>
      <w:r w:rsidR="00826E5C" w:rsidRPr="005304B4">
        <w:t xml:space="preserve"> la niñez</w:t>
      </w:r>
      <w:r w:rsidR="00F25C03" w:rsidRPr="005304B4">
        <w:t xml:space="preserve"> y responde a </w:t>
      </w:r>
      <w:r w:rsidR="00DF5835" w:rsidRPr="005304B4">
        <w:t xml:space="preserve">la obligación de que los hombres y las mujeres compartan, en igualdad, la crianza, el cuidado y el sostenimiento económico del hogar. </w:t>
      </w:r>
      <w:r w:rsidR="000C70BD" w:rsidRPr="005304B4">
        <w:t xml:space="preserve">Por ello, la limitación que impone la norma demandada a circunstancias excepcionales </w:t>
      </w:r>
      <w:r w:rsidR="00826E5C" w:rsidRPr="005304B4">
        <w:t>(</w:t>
      </w:r>
      <w:r w:rsidR="00EE1BF3" w:rsidRPr="005304B4">
        <w:t>ausencia, incapacidad o fallecimiento de la madre</w:t>
      </w:r>
      <w:r w:rsidR="00826E5C" w:rsidRPr="005304B4">
        <w:t>), para que el padre pueda acceder a la licencia de maternidad,</w:t>
      </w:r>
      <w:r w:rsidR="00EE1BF3" w:rsidRPr="005304B4">
        <w:t xml:space="preserve"> “vacía de contenido la protección integral que caracteriza la adopción y reduce injustificadamente el alcance del ejercicio paterno. </w:t>
      </w:r>
    </w:p>
    <w:p w14:paraId="646D5B3F" w14:textId="77777777" w:rsidR="00F62E21" w:rsidRPr="005304B4" w:rsidRDefault="00F62E21" w:rsidP="007527D3">
      <w:pPr>
        <w:pStyle w:val="Prrafodelista"/>
        <w:tabs>
          <w:tab w:val="left" w:pos="142"/>
          <w:tab w:val="left" w:pos="426"/>
        </w:tabs>
        <w:ind w:left="0"/>
        <w:rPr>
          <w:b/>
          <w:bCs/>
        </w:rPr>
      </w:pPr>
    </w:p>
    <w:p w14:paraId="65D7AF3E" w14:textId="291FF323" w:rsidR="00D04FF1" w:rsidRPr="005304B4" w:rsidRDefault="00826E5C" w:rsidP="00826E5C">
      <w:pPr>
        <w:pStyle w:val="Ttulo2"/>
      </w:pPr>
      <w:bookmarkStart w:id="9" w:name="_Toc224553735"/>
      <w:r w:rsidRPr="005304B4">
        <w:t>3. Clínica Jurídica de la Escuela de Derecho y Ciencias Políticas de la Universidad Pontific</w:t>
      </w:r>
      <w:r w:rsidR="00D35C24" w:rsidRPr="005304B4">
        <w:t>i</w:t>
      </w:r>
      <w:r w:rsidRPr="005304B4">
        <w:t>a Bolivariana de Medellín</w:t>
      </w:r>
      <w:bookmarkEnd w:id="9"/>
    </w:p>
    <w:p w14:paraId="4FF7E4B2" w14:textId="77777777" w:rsidR="007527D3" w:rsidRPr="005304B4" w:rsidRDefault="007527D3" w:rsidP="007527D3">
      <w:pPr>
        <w:jc w:val="both"/>
        <w:rPr>
          <w:b/>
          <w:bCs/>
          <w:sz w:val="28"/>
          <w:szCs w:val="28"/>
        </w:rPr>
      </w:pPr>
    </w:p>
    <w:p w14:paraId="2D3CB3FC" w14:textId="50E26035" w:rsidR="00EE1BF3" w:rsidRPr="005304B4" w:rsidRDefault="00A245B9" w:rsidP="00CE6B02">
      <w:pPr>
        <w:pStyle w:val="Prrafodelista"/>
        <w:numPr>
          <w:ilvl w:val="0"/>
          <w:numId w:val="40"/>
        </w:numPr>
        <w:tabs>
          <w:tab w:val="left" w:pos="142"/>
          <w:tab w:val="left" w:pos="426"/>
        </w:tabs>
        <w:ind w:left="0" w:firstLine="0"/>
      </w:pPr>
      <w:r w:rsidRPr="005304B4">
        <w:t>Profesores y estudiantes de la Clínica Jurídica de la Escuela de Derecho y Ciencias Políticas de la Universidad Pontifica Bolivariana de Medellín</w:t>
      </w:r>
      <w:r w:rsidR="008D7FA1" w:rsidRPr="005304B4">
        <w:rPr>
          <w:rStyle w:val="Refdenotaalpie"/>
        </w:rPr>
        <w:footnoteReference w:id="19"/>
      </w:r>
      <w:r w:rsidRPr="005304B4">
        <w:t xml:space="preserve"> </w:t>
      </w:r>
      <w:r w:rsidR="00615E54" w:rsidRPr="005304B4">
        <w:t xml:space="preserve">solicitaron a la Corte Constitucional que declarara la exequibilidad condicionada del artículo 2 de la Ley 2114 de 2021, bajo el entendido de que “la pareja heteroparental adoptante definirá, por una sola vez, quien de ellos gozará de cada prestación en las mismas condiciones previstas para las parejas adoptantes del mismo sexo”. </w:t>
      </w:r>
    </w:p>
    <w:p w14:paraId="1A952118" w14:textId="77777777" w:rsidR="00615E54" w:rsidRPr="005304B4" w:rsidRDefault="00615E54" w:rsidP="00615E54">
      <w:pPr>
        <w:pStyle w:val="Prrafodelista"/>
        <w:tabs>
          <w:tab w:val="left" w:pos="142"/>
          <w:tab w:val="left" w:pos="426"/>
        </w:tabs>
        <w:ind w:left="0"/>
      </w:pPr>
    </w:p>
    <w:p w14:paraId="6BE828BF" w14:textId="5706CB09" w:rsidR="00615E54" w:rsidRPr="005304B4" w:rsidRDefault="00B65B0F" w:rsidP="00CE6B02">
      <w:pPr>
        <w:pStyle w:val="Prrafodelista"/>
        <w:numPr>
          <w:ilvl w:val="0"/>
          <w:numId w:val="40"/>
        </w:numPr>
        <w:tabs>
          <w:tab w:val="left" w:pos="142"/>
          <w:tab w:val="left" w:pos="426"/>
        </w:tabs>
        <w:ind w:left="0" w:firstLine="0"/>
      </w:pPr>
      <w:r w:rsidRPr="005304B4">
        <w:t xml:space="preserve">Para fundamentar su solicitud, </w:t>
      </w:r>
      <w:r w:rsidR="00D73439" w:rsidRPr="005304B4">
        <w:t xml:space="preserve">precisaron, como </w:t>
      </w:r>
      <w:r w:rsidR="00D73439" w:rsidRPr="005304B4">
        <w:rPr>
          <w:i/>
          <w:iCs/>
        </w:rPr>
        <w:t>primer punto</w:t>
      </w:r>
      <w:r w:rsidR="00D73439" w:rsidRPr="005304B4">
        <w:t xml:space="preserve">, </w:t>
      </w:r>
      <w:r w:rsidRPr="005304B4">
        <w:t xml:space="preserve">que </w:t>
      </w:r>
      <w:r w:rsidR="00235860" w:rsidRPr="005304B4">
        <w:t>la</w:t>
      </w:r>
      <w:r w:rsidR="00B43134" w:rsidRPr="005304B4">
        <w:t xml:space="preserve"> omisión legislativa relativa </w:t>
      </w:r>
      <w:r w:rsidR="00235860" w:rsidRPr="005304B4">
        <w:t>surgió debido a la incompleta declaratoria de exequibilidad condicionada que dictó la Sentencia C-415 de 2022</w:t>
      </w:r>
      <w:r w:rsidR="000F4F43" w:rsidRPr="005304B4">
        <w:t>,</w:t>
      </w:r>
      <w:r w:rsidR="00D02045" w:rsidRPr="005304B4">
        <w:t xml:space="preserve"> mas no de la redacción original del texto legal.</w:t>
      </w:r>
      <w:r w:rsidR="000F4F43" w:rsidRPr="005304B4">
        <w:t xml:space="preserve"> </w:t>
      </w:r>
      <w:r w:rsidR="002211AD" w:rsidRPr="005304B4">
        <w:t xml:space="preserve">Como </w:t>
      </w:r>
      <w:r w:rsidR="002211AD" w:rsidRPr="005304B4">
        <w:rPr>
          <w:i/>
          <w:iCs/>
        </w:rPr>
        <w:t>segundo punto</w:t>
      </w:r>
      <w:r w:rsidR="000F4F43" w:rsidRPr="005304B4">
        <w:t xml:space="preserve">, </w:t>
      </w:r>
      <w:r w:rsidR="007E55CD" w:rsidRPr="005304B4">
        <w:t>señalaron que</w:t>
      </w:r>
      <w:r w:rsidR="00A1775F" w:rsidRPr="005304B4">
        <w:t>,</w:t>
      </w:r>
      <w:r w:rsidR="00307592" w:rsidRPr="005304B4">
        <w:t xml:space="preserve"> de acuerdo con </w:t>
      </w:r>
      <w:r w:rsidR="002A7E47" w:rsidRPr="005304B4">
        <w:t xml:space="preserve">el test integrado de igualdad, </w:t>
      </w:r>
      <w:r w:rsidR="00015ECB" w:rsidRPr="005304B4">
        <w:t xml:space="preserve">de un lado, </w:t>
      </w:r>
      <w:r w:rsidR="007E55CD" w:rsidRPr="005304B4">
        <w:t xml:space="preserve">existe un trato desigual entre iguales, pues mientras las parejas homoparentales adoptantes pueden elegir quien </w:t>
      </w:r>
      <w:r w:rsidR="00062875" w:rsidRPr="005304B4">
        <w:t>será el cuidador principal</w:t>
      </w:r>
      <w:r w:rsidR="00BF573E" w:rsidRPr="005304B4">
        <w:t xml:space="preserve"> del adoptado</w:t>
      </w:r>
      <w:r w:rsidR="00062875" w:rsidRPr="005304B4">
        <w:t xml:space="preserve">, </w:t>
      </w:r>
      <w:r w:rsidR="004E2274" w:rsidRPr="005304B4">
        <w:t xml:space="preserve">la </w:t>
      </w:r>
      <w:r w:rsidR="009D4BCE" w:rsidRPr="005304B4">
        <w:t>heteroparental</w:t>
      </w:r>
      <w:r w:rsidR="004E2274" w:rsidRPr="005304B4">
        <w:t>es adoptantes no</w:t>
      </w:r>
      <w:r w:rsidR="00826E5C" w:rsidRPr="005304B4">
        <w:t xml:space="preserve"> pueden hacerlo</w:t>
      </w:r>
      <w:r w:rsidR="004E2274" w:rsidRPr="005304B4">
        <w:t>, pues “solo con base en los estereotipos de género, se obliga</w:t>
      </w:r>
      <w:r w:rsidR="00BF573E" w:rsidRPr="005304B4">
        <w:t xml:space="preserve"> a</w:t>
      </w:r>
      <w:r w:rsidR="004E2274" w:rsidRPr="005304B4">
        <w:t xml:space="preserve"> la madre a asumir tal rol”. Por consiguiente, la disposición demanda</w:t>
      </w:r>
      <w:r w:rsidR="00AF7320" w:rsidRPr="005304B4">
        <w:t>da</w:t>
      </w:r>
      <w:r w:rsidR="004E2274" w:rsidRPr="005304B4">
        <w:t xml:space="preserve"> discrimina a las parejas adoptantes </w:t>
      </w:r>
      <w:r w:rsidR="00BF573E" w:rsidRPr="005304B4">
        <w:t xml:space="preserve">heteroparentales adoptantes. </w:t>
      </w:r>
    </w:p>
    <w:p w14:paraId="1A231C4E" w14:textId="77777777" w:rsidR="004E2274" w:rsidRPr="005304B4" w:rsidRDefault="004E2274" w:rsidP="004E2274">
      <w:pPr>
        <w:pStyle w:val="Prrafodelista"/>
      </w:pPr>
    </w:p>
    <w:p w14:paraId="2AD03861" w14:textId="3549AB52" w:rsidR="00BB2928" w:rsidRPr="005304B4" w:rsidRDefault="00015ECB" w:rsidP="00CE6B02">
      <w:pPr>
        <w:pStyle w:val="Prrafodelista"/>
        <w:numPr>
          <w:ilvl w:val="0"/>
          <w:numId w:val="40"/>
        </w:numPr>
        <w:tabs>
          <w:tab w:val="left" w:pos="142"/>
          <w:tab w:val="left" w:pos="426"/>
        </w:tabs>
        <w:ind w:left="0" w:firstLine="0"/>
      </w:pPr>
      <w:r w:rsidRPr="005304B4">
        <w:t xml:space="preserve"> </w:t>
      </w:r>
      <w:r w:rsidR="00826E5C" w:rsidRPr="005304B4">
        <w:t xml:space="preserve">Como </w:t>
      </w:r>
      <w:r w:rsidR="00826E5C" w:rsidRPr="005304B4">
        <w:rPr>
          <w:i/>
          <w:iCs/>
        </w:rPr>
        <w:t>tercer punto</w:t>
      </w:r>
      <w:r w:rsidRPr="005304B4">
        <w:t xml:space="preserve">, </w:t>
      </w:r>
      <w:r w:rsidR="007B33C9" w:rsidRPr="005304B4">
        <w:t xml:space="preserve">la </w:t>
      </w:r>
      <w:r w:rsidR="00826E5C" w:rsidRPr="005304B4">
        <w:t>c</w:t>
      </w:r>
      <w:r w:rsidR="007B33C9" w:rsidRPr="005304B4">
        <w:t xml:space="preserve">línica </w:t>
      </w:r>
      <w:r w:rsidR="00826E5C" w:rsidRPr="005304B4">
        <w:t>j</w:t>
      </w:r>
      <w:r w:rsidR="007B33C9" w:rsidRPr="005304B4">
        <w:t xml:space="preserve">urídica aseguró que la disposición demandada introdujo un trato jurídico </w:t>
      </w:r>
      <w:r w:rsidR="00BE252D" w:rsidRPr="005304B4">
        <w:t xml:space="preserve">basado en la filiación familiar, lo cual es una “categoría sospechosa de discriminación”, de acuerdo con la Sentencia C-075 de 2021. </w:t>
      </w:r>
      <w:r w:rsidR="004061FF" w:rsidRPr="005304B4">
        <w:t>Por ello, el nivel de intensidad del escrutinio del test debe ser estricto</w:t>
      </w:r>
      <w:r w:rsidR="00FD0551" w:rsidRPr="005304B4">
        <w:t xml:space="preserve"> y que, a la luz de dicho nivel, la norma no es idónea, necesaria ni proporcional porque (i) </w:t>
      </w:r>
      <w:r w:rsidR="00627EC4" w:rsidRPr="005304B4">
        <w:t xml:space="preserve">no existe razón constitucionalmente válida para ofrecer un trato diferencial a las parejas sujetas de comparación; (ii) la omisión es innecesaria </w:t>
      </w:r>
      <w:r w:rsidR="00C8129D" w:rsidRPr="005304B4">
        <w:t>pues la intención del legislador fue</w:t>
      </w:r>
      <w:r w:rsidR="00EF03BB" w:rsidRPr="005304B4">
        <w:t xml:space="preserve"> promover el derecho a la igualdad; y (iii) </w:t>
      </w:r>
      <w:r w:rsidR="00D93400" w:rsidRPr="005304B4">
        <w:t xml:space="preserve">es desproporcionada porque desconoce el derecho a la igualdad, la prohibición de discriminación por razones familiares, la justicia y el orden justo. </w:t>
      </w:r>
    </w:p>
    <w:p w14:paraId="110FB78F" w14:textId="77777777" w:rsidR="00BB2928" w:rsidRPr="005304B4" w:rsidRDefault="00BB2928" w:rsidP="00BB2928">
      <w:pPr>
        <w:pStyle w:val="Prrafodelista"/>
      </w:pPr>
    </w:p>
    <w:p w14:paraId="51AAA259" w14:textId="4A48330F" w:rsidR="004E2274" w:rsidRPr="005304B4" w:rsidRDefault="00BB2928" w:rsidP="00CE6B02">
      <w:pPr>
        <w:pStyle w:val="Prrafodelista"/>
        <w:numPr>
          <w:ilvl w:val="0"/>
          <w:numId w:val="40"/>
        </w:numPr>
        <w:tabs>
          <w:tab w:val="left" w:pos="142"/>
          <w:tab w:val="left" w:pos="426"/>
        </w:tabs>
        <w:ind w:left="0" w:firstLine="0"/>
      </w:pPr>
      <w:r w:rsidRPr="005304B4">
        <w:rPr>
          <w:i/>
          <w:iCs/>
        </w:rPr>
        <w:t>Finalmente</w:t>
      </w:r>
      <w:r w:rsidRPr="005304B4">
        <w:t>, para los intervinientes</w:t>
      </w:r>
      <w:r w:rsidR="00F93FBB" w:rsidRPr="005304B4">
        <w:t xml:space="preserve"> la disposición demandada (a)</w:t>
      </w:r>
      <w:r w:rsidRPr="005304B4">
        <w:t xml:space="preserve"> limita el derecho al cuidado, </w:t>
      </w:r>
      <w:r w:rsidR="002932C2" w:rsidRPr="005304B4">
        <w:t>pues olvida, justamente, que todas las persona</w:t>
      </w:r>
      <w:r w:rsidR="00A96604" w:rsidRPr="005304B4">
        <w:t>s</w:t>
      </w:r>
      <w:r w:rsidR="002932C2" w:rsidRPr="005304B4">
        <w:t xml:space="preserve">, con independencia de su sexo, </w:t>
      </w:r>
      <w:r w:rsidR="00F93FBB" w:rsidRPr="005304B4">
        <w:t xml:space="preserve">deben ser corresponsables con el cuidado, por lo que es necesario adoptar un enfoque de género que no limite este rol a las mujeres; y (b) </w:t>
      </w:r>
      <w:r w:rsidR="005B4C69" w:rsidRPr="005304B4">
        <w:t xml:space="preserve">reproduce estereotipos de género, al asignar a la mujer la responsabilidad del cuidado inicial del hijo adoptado. </w:t>
      </w:r>
    </w:p>
    <w:p w14:paraId="21C37CCF" w14:textId="77777777" w:rsidR="005871A0" w:rsidRPr="005304B4" w:rsidRDefault="005871A0" w:rsidP="005871A0">
      <w:pPr>
        <w:rPr>
          <w:sz w:val="28"/>
          <w:szCs w:val="28"/>
        </w:rPr>
      </w:pPr>
    </w:p>
    <w:p w14:paraId="778B7BD8" w14:textId="15CCF300" w:rsidR="005871A0" w:rsidRPr="005304B4" w:rsidRDefault="00826E5C" w:rsidP="00826E5C">
      <w:pPr>
        <w:pStyle w:val="Ttulo2"/>
      </w:pPr>
      <w:bookmarkStart w:id="10" w:name="_Toc224553736"/>
      <w:r w:rsidRPr="005304B4">
        <w:t>4. Instituto Colombiano de Bienestar Familiar</w:t>
      </w:r>
      <w:bookmarkEnd w:id="10"/>
    </w:p>
    <w:p w14:paraId="4173464B" w14:textId="77777777" w:rsidR="00826E5C" w:rsidRPr="005304B4" w:rsidRDefault="00826E5C" w:rsidP="005871A0">
      <w:pPr>
        <w:pStyle w:val="Prrafodelista"/>
        <w:tabs>
          <w:tab w:val="left" w:pos="142"/>
          <w:tab w:val="left" w:pos="426"/>
        </w:tabs>
        <w:ind w:left="0"/>
      </w:pPr>
    </w:p>
    <w:p w14:paraId="3D1B09DA" w14:textId="1A207A84" w:rsidR="005871A0" w:rsidRPr="005304B4" w:rsidRDefault="00415BA2" w:rsidP="005871A0">
      <w:pPr>
        <w:pStyle w:val="Prrafodelista"/>
        <w:numPr>
          <w:ilvl w:val="0"/>
          <w:numId w:val="40"/>
        </w:numPr>
        <w:tabs>
          <w:tab w:val="left" w:pos="142"/>
          <w:tab w:val="left" w:pos="426"/>
        </w:tabs>
        <w:ind w:left="0" w:firstLine="0"/>
      </w:pPr>
      <w:r w:rsidRPr="005304B4">
        <w:t>El jefe de la Oficina Asesora Jurídica del Instituto Colombiano de Bienestar Familiar</w:t>
      </w:r>
      <w:r w:rsidR="005871A0" w:rsidRPr="005304B4">
        <w:rPr>
          <w:rStyle w:val="Refdenotaalpie"/>
        </w:rPr>
        <w:footnoteReference w:id="20"/>
      </w:r>
      <w:r w:rsidRPr="005304B4">
        <w:t>, solicitó que la</w:t>
      </w:r>
      <w:r w:rsidR="00DB185E" w:rsidRPr="005304B4">
        <w:t xml:space="preserve"> expresió</w:t>
      </w:r>
      <w:r w:rsidR="004E3F65" w:rsidRPr="005304B4">
        <w:t>n</w:t>
      </w:r>
      <w:r w:rsidRPr="005304B4">
        <w:t xml:space="preserve"> </w:t>
      </w:r>
      <w:r w:rsidR="00DB185E" w:rsidRPr="005304B4">
        <w:t xml:space="preserve">“la madre adoptante” </w:t>
      </w:r>
      <w:r w:rsidRPr="005304B4">
        <w:t>se declar</w:t>
      </w:r>
      <w:r w:rsidR="00DB185E" w:rsidRPr="005304B4">
        <w:t>e</w:t>
      </w:r>
      <w:r w:rsidRPr="005304B4">
        <w:t xml:space="preserve"> exe</w:t>
      </w:r>
      <w:r w:rsidR="00003F15" w:rsidRPr="005304B4">
        <w:t xml:space="preserve">quible </w:t>
      </w:r>
      <w:r w:rsidR="004E3F65" w:rsidRPr="005304B4">
        <w:t xml:space="preserve">de </w:t>
      </w:r>
      <w:r w:rsidR="00003F15" w:rsidRPr="005304B4">
        <w:t xml:space="preserve">manera condicionada, en el entendido de que </w:t>
      </w:r>
      <w:r w:rsidR="0093593F" w:rsidRPr="005304B4">
        <w:t>“</w:t>
      </w:r>
      <w:r w:rsidR="00003F15" w:rsidRPr="005304B4">
        <w:t xml:space="preserve">se incluye al padre adoptante </w:t>
      </w:r>
      <w:r w:rsidR="0093593F" w:rsidRPr="005304B4">
        <w:t xml:space="preserve">y en tal sentido, la familia adoptante podrá definir quien ejercerá las licencias de paternidad y maternidad establecidas en la Ley 2114 de 2021”. </w:t>
      </w:r>
      <w:r w:rsidR="00FA7763" w:rsidRPr="005304B4">
        <w:t>Esto, porque</w:t>
      </w:r>
      <w:r w:rsidR="00D74AEE" w:rsidRPr="005304B4">
        <w:t xml:space="preserve"> considera que</w:t>
      </w:r>
      <w:r w:rsidR="00FA7763" w:rsidRPr="005304B4">
        <w:t xml:space="preserve"> el cargo</w:t>
      </w:r>
      <w:r w:rsidR="00C86A57" w:rsidRPr="005304B4">
        <w:t xml:space="preserve"> de inconstitucionalidad</w:t>
      </w:r>
      <w:r w:rsidR="00D74AEE" w:rsidRPr="005304B4">
        <w:t xml:space="preserve"> por desconocimiento del principio de igualdad</w:t>
      </w:r>
      <w:r w:rsidR="00FA7763" w:rsidRPr="005304B4">
        <w:t xml:space="preserve"> presentado por los demandantes está llamado a prosperar</w:t>
      </w:r>
      <w:r w:rsidR="00E30668" w:rsidRPr="005304B4">
        <w:t>, debido a que establece un trato diferenciado injustificado entre familias homoparentales y heteroparentales adoptantes.</w:t>
      </w:r>
      <w:r w:rsidR="00D44E58" w:rsidRPr="005304B4">
        <w:t xml:space="preserve"> </w:t>
      </w:r>
    </w:p>
    <w:p w14:paraId="18714A7E" w14:textId="77777777" w:rsidR="00DE04E4" w:rsidRPr="005304B4" w:rsidRDefault="00DE04E4" w:rsidP="00DE04E4">
      <w:pPr>
        <w:pStyle w:val="Prrafodelista"/>
        <w:tabs>
          <w:tab w:val="left" w:pos="142"/>
          <w:tab w:val="left" w:pos="426"/>
        </w:tabs>
        <w:ind w:left="0"/>
      </w:pPr>
    </w:p>
    <w:p w14:paraId="48D3FB67" w14:textId="5E39F3A7" w:rsidR="00DE04E4" w:rsidRPr="005304B4" w:rsidRDefault="00DE04E4" w:rsidP="005871A0">
      <w:pPr>
        <w:pStyle w:val="Prrafodelista"/>
        <w:numPr>
          <w:ilvl w:val="0"/>
          <w:numId w:val="40"/>
        </w:numPr>
        <w:tabs>
          <w:tab w:val="left" w:pos="142"/>
          <w:tab w:val="left" w:pos="426"/>
        </w:tabs>
        <w:ind w:left="0" w:firstLine="0"/>
      </w:pPr>
      <w:r w:rsidRPr="005304B4">
        <w:t>De acuerdo con la entidad,</w:t>
      </w:r>
      <w:r w:rsidR="004E3F65" w:rsidRPr="005304B4">
        <w:t xml:space="preserve"> lo anterior se debe a que, en </w:t>
      </w:r>
      <w:r w:rsidR="004E3F65" w:rsidRPr="005304B4">
        <w:rPr>
          <w:i/>
          <w:iCs/>
        </w:rPr>
        <w:t>primer lugar</w:t>
      </w:r>
      <w:r w:rsidR="004E3F65" w:rsidRPr="005304B4">
        <w:t xml:space="preserve">, </w:t>
      </w:r>
      <w:r w:rsidR="0022359B" w:rsidRPr="005304B4">
        <w:t xml:space="preserve">la asignación </w:t>
      </w:r>
      <w:r w:rsidR="00ED5B66" w:rsidRPr="005304B4">
        <w:t>de roles de género determinada por la disposición demandada no tiene en cuenta las situaciones particu</w:t>
      </w:r>
      <w:r w:rsidR="00DF0F8E" w:rsidRPr="005304B4">
        <w:t>lares que se pueden suscitar al interior de las familias adoptantes</w:t>
      </w:r>
      <w:r w:rsidR="00C86A57" w:rsidRPr="005304B4">
        <w:t xml:space="preserve">. </w:t>
      </w:r>
      <w:r w:rsidR="004E3F65" w:rsidRPr="005304B4">
        <w:t xml:space="preserve">En </w:t>
      </w:r>
      <w:r w:rsidR="004E3F65" w:rsidRPr="005304B4">
        <w:rPr>
          <w:i/>
          <w:iCs/>
        </w:rPr>
        <w:t>segundo lugar</w:t>
      </w:r>
      <w:r w:rsidR="004E3F65" w:rsidRPr="005304B4">
        <w:t xml:space="preserve">, </w:t>
      </w:r>
      <w:r w:rsidR="00C86A57" w:rsidRPr="005304B4">
        <w:t>la</w:t>
      </w:r>
      <w:r w:rsidR="0042342F" w:rsidRPr="005304B4">
        <w:t xml:space="preserve"> posibilidad de determinar la manera en que los adoptantes tomen las licencias parentales debe orientarse hacia la satisfacción del interés superior del </w:t>
      </w:r>
      <w:r w:rsidR="00826E5C" w:rsidRPr="005304B4">
        <w:t>niño</w:t>
      </w:r>
      <w:r w:rsidR="0042342F" w:rsidRPr="005304B4">
        <w:t xml:space="preserve"> adoptado y no como una simple prerrogativa de los adoptantes</w:t>
      </w:r>
      <w:r w:rsidR="008A7C4E" w:rsidRPr="005304B4">
        <w:t>. En ese sentido,</w:t>
      </w:r>
      <w:r w:rsidR="00801AD8" w:rsidRPr="005304B4">
        <w:t xml:space="preserve"> una asignación estereotípica </w:t>
      </w:r>
      <w:r w:rsidR="00742D46" w:rsidRPr="005304B4">
        <w:t>basada en roles de género</w:t>
      </w:r>
      <w:r w:rsidR="008A7C4E" w:rsidRPr="005304B4">
        <w:t xml:space="preserve"> -como lo hace la norma-</w:t>
      </w:r>
      <w:r w:rsidR="00742D46" w:rsidRPr="005304B4">
        <w:t xml:space="preserve"> no satisface el verdadero objetivo de las licencias. </w:t>
      </w:r>
      <w:r w:rsidR="00826E5C" w:rsidRPr="005304B4">
        <w:t>Lo anterior</w:t>
      </w:r>
      <w:r w:rsidR="00742D46" w:rsidRPr="005304B4">
        <w:t xml:space="preserve"> en la medida en que buscan garantizar al</w:t>
      </w:r>
      <w:r w:rsidR="0023456C" w:rsidRPr="005304B4">
        <w:t xml:space="preserve"> hijo</w:t>
      </w:r>
      <w:r w:rsidR="00742D46" w:rsidRPr="005304B4">
        <w:t xml:space="preserve"> </w:t>
      </w:r>
      <w:r w:rsidR="00826E5C" w:rsidRPr="005304B4">
        <w:t>adoptivo</w:t>
      </w:r>
      <w:r w:rsidR="00742D46" w:rsidRPr="005304B4">
        <w:t xml:space="preserve"> el cuidado adecuado en </w:t>
      </w:r>
      <w:r w:rsidR="00826E5C" w:rsidRPr="005304B4">
        <w:t>el</w:t>
      </w:r>
      <w:r w:rsidR="00742D46" w:rsidRPr="005304B4">
        <w:t xml:space="preserve"> per</w:t>
      </w:r>
      <w:r w:rsidR="00826E5C" w:rsidRPr="005304B4">
        <w:t>í</w:t>
      </w:r>
      <w:r w:rsidR="00742D46" w:rsidRPr="005304B4">
        <w:t>odo crític</w:t>
      </w:r>
      <w:r w:rsidR="008A7C4E" w:rsidRPr="005304B4">
        <w:t>o</w:t>
      </w:r>
      <w:r w:rsidR="00742D46" w:rsidRPr="005304B4">
        <w:t xml:space="preserve"> de adaptación familiar. </w:t>
      </w:r>
    </w:p>
    <w:p w14:paraId="6AC93D7D" w14:textId="77777777" w:rsidR="00826E5C" w:rsidRPr="005304B4" w:rsidRDefault="00826E5C" w:rsidP="00826E5C">
      <w:pPr>
        <w:rPr>
          <w:sz w:val="28"/>
          <w:szCs w:val="28"/>
        </w:rPr>
      </w:pPr>
    </w:p>
    <w:p w14:paraId="3AB74028" w14:textId="45494A55" w:rsidR="00615E54" w:rsidRPr="005304B4" w:rsidRDefault="00826E5C" w:rsidP="00826E5C">
      <w:pPr>
        <w:pStyle w:val="Ttulo2"/>
      </w:pPr>
      <w:bookmarkStart w:id="11" w:name="_Toc224553737"/>
      <w:r w:rsidRPr="005304B4">
        <w:t>5. Programa de Acción por la Igualdad y la Inclusión Social (PAIIS) del Consultorio Jurídico de la Universidad de los Andes y Temblores ONG</w:t>
      </w:r>
      <w:bookmarkEnd w:id="11"/>
    </w:p>
    <w:p w14:paraId="27F96156" w14:textId="77777777" w:rsidR="00826E5C" w:rsidRPr="005304B4" w:rsidRDefault="00826E5C" w:rsidP="00615E54">
      <w:pPr>
        <w:pStyle w:val="Prrafodelista"/>
      </w:pPr>
    </w:p>
    <w:p w14:paraId="223D7F83" w14:textId="09B7706E" w:rsidR="00E26DEB" w:rsidRPr="005304B4" w:rsidRDefault="005717E5" w:rsidP="00D957BD">
      <w:pPr>
        <w:pStyle w:val="Prrafodelista"/>
        <w:numPr>
          <w:ilvl w:val="0"/>
          <w:numId w:val="40"/>
        </w:numPr>
        <w:tabs>
          <w:tab w:val="left" w:pos="142"/>
          <w:tab w:val="left" w:pos="426"/>
        </w:tabs>
        <w:ind w:left="0" w:firstLine="0"/>
      </w:pPr>
      <w:r w:rsidRPr="005304B4">
        <w:t>El Programa de Acción por la Igualdad y la Inclusión Social (PAIIS) del Consultorio Jurídico de la Universidad de los Andes y la ONG Temblores</w:t>
      </w:r>
      <w:r w:rsidR="002E0106" w:rsidRPr="005304B4">
        <w:rPr>
          <w:rStyle w:val="Refdenotaalpie"/>
        </w:rPr>
        <w:footnoteReference w:id="21"/>
      </w:r>
      <w:r w:rsidRPr="005304B4">
        <w:t>, solici</w:t>
      </w:r>
      <w:r w:rsidR="002E0106" w:rsidRPr="005304B4">
        <w:t>taron</w:t>
      </w:r>
      <w:r w:rsidR="00CB2CF0" w:rsidRPr="005304B4">
        <w:t xml:space="preserve"> declara</w:t>
      </w:r>
      <w:r w:rsidR="00435070" w:rsidRPr="005304B4">
        <w:t>r</w:t>
      </w:r>
      <w:r w:rsidR="00CB2CF0" w:rsidRPr="005304B4">
        <w:t xml:space="preserve"> la exequibilidad condicionada del numeral 4 del artículo 2 de la Ley 2114 de 2021, de tal forma que se “ent</w:t>
      </w:r>
      <w:r w:rsidR="00FC2D96" w:rsidRPr="005304B4">
        <w:t xml:space="preserve">ienda que en el caso de las parejas adoptantes –incluidas las heteroparentales– corresponde a ellas definir libremente, por una sola vez, quien de sus integrantes gozará de cada prestación”. </w:t>
      </w:r>
      <w:r w:rsidR="003527DF" w:rsidRPr="005304B4">
        <w:t>Ello, con el fin de que se garantice la igualdad sustantiva y la autonomía familiar, así como desmontar los estereotipos de género que históricamente ha</w:t>
      </w:r>
      <w:r w:rsidR="00435070" w:rsidRPr="005304B4">
        <w:t>n</w:t>
      </w:r>
      <w:r w:rsidR="003527DF" w:rsidRPr="005304B4">
        <w:t xml:space="preserve"> limitado el ejercicio de las mujeres.</w:t>
      </w:r>
    </w:p>
    <w:p w14:paraId="57298AA3" w14:textId="77777777" w:rsidR="003527DF" w:rsidRPr="005304B4" w:rsidRDefault="003527DF" w:rsidP="003527DF">
      <w:pPr>
        <w:pStyle w:val="Prrafodelista"/>
        <w:tabs>
          <w:tab w:val="left" w:pos="142"/>
          <w:tab w:val="left" w:pos="426"/>
        </w:tabs>
        <w:ind w:left="0"/>
      </w:pPr>
    </w:p>
    <w:p w14:paraId="2B011758" w14:textId="77777777" w:rsidR="00762E81" w:rsidRPr="005304B4" w:rsidRDefault="003527DF" w:rsidP="00D957BD">
      <w:pPr>
        <w:pStyle w:val="Prrafodelista"/>
        <w:numPr>
          <w:ilvl w:val="0"/>
          <w:numId w:val="40"/>
        </w:numPr>
        <w:tabs>
          <w:tab w:val="left" w:pos="142"/>
          <w:tab w:val="left" w:pos="426"/>
        </w:tabs>
        <w:ind w:left="0" w:firstLine="0"/>
      </w:pPr>
      <w:r w:rsidRPr="005304B4">
        <w:t xml:space="preserve">Los intervinientes sustentaron su solicitud en que </w:t>
      </w:r>
      <w:r w:rsidR="00FC6023" w:rsidRPr="005304B4">
        <w:t xml:space="preserve">la disposición demandada </w:t>
      </w:r>
      <w:r w:rsidR="009E1C05" w:rsidRPr="005304B4">
        <w:t xml:space="preserve">genera una desigualdad injustificada por </w:t>
      </w:r>
      <w:r w:rsidR="00935283" w:rsidRPr="005304B4">
        <w:t>tres</w:t>
      </w:r>
      <w:r w:rsidR="009E1C05" w:rsidRPr="005304B4">
        <w:t xml:space="preserve"> razones. </w:t>
      </w:r>
      <w:r w:rsidR="00F07E6A" w:rsidRPr="005304B4">
        <w:t xml:space="preserve">En </w:t>
      </w:r>
      <w:r w:rsidR="00F07E6A" w:rsidRPr="005304B4">
        <w:rPr>
          <w:i/>
          <w:iCs/>
        </w:rPr>
        <w:t>primer lugar</w:t>
      </w:r>
      <w:r w:rsidR="00F07E6A" w:rsidRPr="005304B4">
        <w:t xml:space="preserve">, </w:t>
      </w:r>
      <w:r w:rsidR="009E1C05" w:rsidRPr="005304B4">
        <w:t xml:space="preserve">consideraron que el reconocimiento de la </w:t>
      </w:r>
      <w:r w:rsidR="002B43E4" w:rsidRPr="005304B4">
        <w:t>licencia no debía limitarse a un rol impuesto por adecuaciones biológicas, sino por la capacidad y disponibilidad efectiva de c</w:t>
      </w:r>
      <w:r w:rsidR="00F07E6A" w:rsidRPr="005304B4">
        <w:t>ui</w:t>
      </w:r>
      <w:r w:rsidR="002B43E4" w:rsidRPr="005304B4">
        <w:t xml:space="preserve">dado que los miembros de la familia posean. </w:t>
      </w:r>
    </w:p>
    <w:p w14:paraId="0846937C" w14:textId="77777777" w:rsidR="00762E81" w:rsidRPr="005304B4" w:rsidRDefault="00762E81" w:rsidP="00762E81">
      <w:pPr>
        <w:pStyle w:val="Prrafodelista"/>
        <w:tabs>
          <w:tab w:val="left" w:pos="142"/>
          <w:tab w:val="left" w:pos="426"/>
        </w:tabs>
        <w:ind w:left="0"/>
      </w:pPr>
    </w:p>
    <w:p w14:paraId="525A88F6" w14:textId="63E94D47" w:rsidR="003527DF" w:rsidRPr="005304B4" w:rsidRDefault="00935283" w:rsidP="00D957BD">
      <w:pPr>
        <w:pStyle w:val="Prrafodelista"/>
        <w:numPr>
          <w:ilvl w:val="0"/>
          <w:numId w:val="40"/>
        </w:numPr>
        <w:tabs>
          <w:tab w:val="left" w:pos="142"/>
          <w:tab w:val="left" w:pos="426"/>
        </w:tabs>
        <w:ind w:left="0" w:firstLine="0"/>
      </w:pPr>
      <w:r w:rsidRPr="005304B4">
        <w:t>E</w:t>
      </w:r>
      <w:r w:rsidR="00F07E6A" w:rsidRPr="005304B4">
        <w:t xml:space="preserve">n </w:t>
      </w:r>
      <w:r w:rsidR="00F07E6A" w:rsidRPr="005304B4">
        <w:rPr>
          <w:i/>
          <w:iCs/>
        </w:rPr>
        <w:t>segundo lugar</w:t>
      </w:r>
      <w:r w:rsidR="00F07E6A" w:rsidRPr="005304B4">
        <w:t xml:space="preserve">, argumentaron que </w:t>
      </w:r>
      <w:r w:rsidR="00250158" w:rsidRPr="005304B4">
        <w:t xml:space="preserve">se desconocía el principio de igualdad sustantiva </w:t>
      </w:r>
      <w:r w:rsidR="008B14B6" w:rsidRPr="005304B4">
        <w:t>previsto en el artículo 1</w:t>
      </w:r>
      <w:r w:rsidR="00762E81" w:rsidRPr="005304B4">
        <w:t>3</w:t>
      </w:r>
      <w:r w:rsidR="008B14B6" w:rsidRPr="005304B4">
        <w:t xml:space="preserve"> </w:t>
      </w:r>
      <w:r w:rsidR="00762E81" w:rsidRPr="005304B4">
        <w:t>S</w:t>
      </w:r>
      <w:r w:rsidR="008B14B6" w:rsidRPr="005304B4">
        <w:t>uperior y</w:t>
      </w:r>
      <w:r w:rsidR="00762E81" w:rsidRPr="005304B4">
        <w:t xml:space="preserve"> en la CEDAW</w:t>
      </w:r>
      <w:r w:rsidR="0066083B" w:rsidRPr="005304B4">
        <w:t xml:space="preserve">, </w:t>
      </w:r>
      <w:r w:rsidR="00762E81" w:rsidRPr="005304B4">
        <w:t>los cuales</w:t>
      </w:r>
      <w:r w:rsidR="0066083B" w:rsidRPr="005304B4">
        <w:t xml:space="preserve"> </w:t>
      </w:r>
      <w:r w:rsidR="00762E81" w:rsidRPr="005304B4">
        <w:t>exigen</w:t>
      </w:r>
      <w:r w:rsidR="008B14B6" w:rsidRPr="005304B4">
        <w:t xml:space="preserve"> al Estado evitar la reproducción de estereotipos de género</w:t>
      </w:r>
      <w:r w:rsidR="0066083B" w:rsidRPr="005304B4">
        <w:t xml:space="preserve">. </w:t>
      </w:r>
    </w:p>
    <w:p w14:paraId="42F26D3F" w14:textId="77777777" w:rsidR="00935283" w:rsidRPr="005304B4" w:rsidRDefault="00935283" w:rsidP="00935283">
      <w:pPr>
        <w:pStyle w:val="Prrafodelista"/>
      </w:pPr>
    </w:p>
    <w:p w14:paraId="1684DF8E" w14:textId="08BA3C06" w:rsidR="007C4A18" w:rsidRPr="005304B4" w:rsidRDefault="008F4CBE" w:rsidP="002F03A9">
      <w:pPr>
        <w:pStyle w:val="Prrafodelista"/>
        <w:numPr>
          <w:ilvl w:val="0"/>
          <w:numId w:val="40"/>
        </w:numPr>
        <w:tabs>
          <w:tab w:val="left" w:pos="142"/>
          <w:tab w:val="left" w:pos="426"/>
        </w:tabs>
        <w:ind w:left="0" w:firstLine="0"/>
      </w:pPr>
      <w:r w:rsidRPr="005304B4">
        <w:t xml:space="preserve">En </w:t>
      </w:r>
      <w:r w:rsidRPr="005304B4">
        <w:rPr>
          <w:i/>
          <w:iCs/>
        </w:rPr>
        <w:t>tercer lugar</w:t>
      </w:r>
      <w:r w:rsidRPr="005304B4">
        <w:t xml:space="preserve">, señalaron que no existe una diferencia material que permita sostener que las dinámicas de las parejas adoptantes heteroparentales difieran sustancialmente de las de las parejas homoparentales, ya que en ambos casos los integrantes pueden asumir los mismos roles parentales. Por ello, la exclusión prevista en la norma demandada obedece únicamente a la imposición de roles familiares sustentados en </w:t>
      </w:r>
      <w:r w:rsidR="00762E81" w:rsidRPr="005304B4">
        <w:t xml:space="preserve">el </w:t>
      </w:r>
      <w:r w:rsidRPr="005304B4">
        <w:t xml:space="preserve">determinismo de género. En consecuencia, </w:t>
      </w:r>
      <w:r w:rsidR="0028290B" w:rsidRPr="005304B4">
        <w:t xml:space="preserve">para ellos, </w:t>
      </w:r>
      <w:r w:rsidRPr="005304B4">
        <w:t>se vulneran los derechos a la igualdad y a la no discriminación, al reforzarse estereotipos que atribuyen a las mujeres la función principal de cuidadoras.</w:t>
      </w:r>
    </w:p>
    <w:p w14:paraId="028102B6" w14:textId="77777777" w:rsidR="007C4A18" w:rsidRPr="005304B4" w:rsidRDefault="007C4A18" w:rsidP="007C4A18">
      <w:pPr>
        <w:pStyle w:val="Prrafodelista"/>
      </w:pPr>
    </w:p>
    <w:p w14:paraId="284CEB77" w14:textId="00E8ACD5" w:rsidR="00FA7908" w:rsidRPr="005304B4" w:rsidRDefault="007C4A18" w:rsidP="00F02873">
      <w:pPr>
        <w:pStyle w:val="Prrafodelista"/>
        <w:numPr>
          <w:ilvl w:val="0"/>
          <w:numId w:val="40"/>
        </w:numPr>
        <w:tabs>
          <w:tab w:val="left" w:pos="142"/>
          <w:tab w:val="left" w:pos="426"/>
        </w:tabs>
        <w:ind w:left="0" w:firstLine="0"/>
      </w:pPr>
      <w:r w:rsidRPr="005304B4">
        <w:t xml:space="preserve">En ese sentido, PAIIS y </w:t>
      </w:r>
      <w:r w:rsidR="008A7F59" w:rsidRPr="005304B4">
        <w:t>Temblores</w:t>
      </w:r>
      <w:r w:rsidRPr="005304B4">
        <w:t xml:space="preserve"> concluyeron que la norma establece una limitación evidente, por lo cual resulta necesario que las familias heteroparentales adoptantes puedan decidir cuál de los dos adoptantes asumirá la licencia, dado que las responsabilidades de cuidado pueden recaer indistintamente en la madre o en el padre. En tanto, para ellos, la exclusión prevista por la disposición demandada se torna inconstitucional</w:t>
      </w:r>
      <w:r w:rsidR="00D83107" w:rsidRPr="005304B4">
        <w:t xml:space="preserve"> al</w:t>
      </w:r>
      <w:r w:rsidR="00762E81" w:rsidRPr="005304B4">
        <w:t>:</w:t>
      </w:r>
      <w:r w:rsidR="00D83107" w:rsidRPr="005304B4">
        <w:t xml:space="preserve"> (i) reproducir estereotipos de género; (ii) reforzar la feminización histórica del cuidado</w:t>
      </w:r>
      <w:r w:rsidR="00887EBC" w:rsidRPr="005304B4">
        <w:t>;</w:t>
      </w:r>
      <w:r w:rsidR="00D83107" w:rsidRPr="005304B4">
        <w:t xml:space="preserve"> (iii) desconocer la diversidad de configuraciones familiares</w:t>
      </w:r>
      <w:r w:rsidR="00887EBC" w:rsidRPr="005304B4">
        <w:t>, y (</w:t>
      </w:r>
      <w:r w:rsidR="00D90B51" w:rsidRPr="005304B4">
        <w:t xml:space="preserve">iv) afecta el interés superior del </w:t>
      </w:r>
      <w:r w:rsidR="00762E81" w:rsidRPr="005304B4">
        <w:t>niño,</w:t>
      </w:r>
      <w:r w:rsidR="00D90B51" w:rsidRPr="005304B4">
        <w:t xml:space="preserve"> al limitar la posibilidad de que el cuidado sea ejercido por quien esté en mejores condiciones</w:t>
      </w:r>
      <w:r w:rsidR="00762E81" w:rsidRPr="005304B4">
        <w:t xml:space="preserve"> para suministrarlo.</w:t>
      </w:r>
    </w:p>
    <w:p w14:paraId="1DA851D6" w14:textId="77777777" w:rsidR="002A3586" w:rsidRPr="005304B4" w:rsidRDefault="002A3586" w:rsidP="002A3586">
      <w:pPr>
        <w:tabs>
          <w:tab w:val="left" w:pos="142"/>
          <w:tab w:val="left" w:pos="426"/>
        </w:tabs>
        <w:rPr>
          <w:sz w:val="28"/>
          <w:szCs w:val="28"/>
        </w:rPr>
      </w:pPr>
    </w:p>
    <w:p w14:paraId="6F95E0CA" w14:textId="44343F34" w:rsidR="000172C9" w:rsidRPr="005304B4" w:rsidRDefault="00762E81" w:rsidP="00762E81">
      <w:pPr>
        <w:pStyle w:val="Ttulo2"/>
      </w:pPr>
      <w:bookmarkStart w:id="12" w:name="_Toc224553738"/>
      <w:r w:rsidRPr="005304B4">
        <w:t xml:space="preserve">6. Facultad de </w:t>
      </w:r>
      <w:r w:rsidR="00691166" w:rsidRPr="005304B4">
        <w:t>D</w:t>
      </w:r>
      <w:r w:rsidRPr="005304B4">
        <w:t>erecho de la Universidad Libre de Bogotá</w:t>
      </w:r>
      <w:bookmarkEnd w:id="12"/>
    </w:p>
    <w:p w14:paraId="622158A2" w14:textId="77777777" w:rsidR="00762E81" w:rsidRPr="005304B4" w:rsidRDefault="00762E81" w:rsidP="002A3586">
      <w:pPr>
        <w:tabs>
          <w:tab w:val="left" w:pos="142"/>
          <w:tab w:val="left" w:pos="426"/>
        </w:tabs>
        <w:rPr>
          <w:b/>
          <w:bCs/>
          <w:sz w:val="28"/>
          <w:szCs w:val="28"/>
        </w:rPr>
      </w:pPr>
    </w:p>
    <w:p w14:paraId="45C944C0" w14:textId="66C531C6" w:rsidR="00D724E0" w:rsidRPr="005304B4" w:rsidRDefault="00890CB1" w:rsidP="00D724E0">
      <w:pPr>
        <w:pStyle w:val="Prrafodelista"/>
        <w:numPr>
          <w:ilvl w:val="0"/>
          <w:numId w:val="40"/>
        </w:numPr>
        <w:tabs>
          <w:tab w:val="left" w:pos="142"/>
          <w:tab w:val="left" w:pos="426"/>
        </w:tabs>
        <w:ind w:left="0" w:firstLine="0"/>
      </w:pPr>
      <w:r w:rsidRPr="005304B4">
        <w:t>Integrantes del</w:t>
      </w:r>
      <w:r w:rsidR="00583665" w:rsidRPr="005304B4">
        <w:t xml:space="preserve"> Observatorio de Intervención Ciudadana Constitucional</w:t>
      </w:r>
      <w:r w:rsidRPr="005304B4">
        <w:t xml:space="preserve"> y el Observatorio de Intervención Ciudadana Constitucional, los dos de la Facultad de derecho de la Universidad Libre de Bogotá</w:t>
      </w:r>
      <w:r w:rsidR="001120AC" w:rsidRPr="005304B4">
        <w:rPr>
          <w:rStyle w:val="Refdenotaalpie"/>
        </w:rPr>
        <w:footnoteReference w:id="22"/>
      </w:r>
      <w:r w:rsidR="00762E81" w:rsidRPr="005304B4">
        <w:t>,</w:t>
      </w:r>
      <w:r w:rsidRPr="005304B4">
        <w:t xml:space="preserve"> </w:t>
      </w:r>
      <w:r w:rsidR="001120AC" w:rsidRPr="005304B4">
        <w:t xml:space="preserve">solicitaron declarar la exequibilidad condicionada de </w:t>
      </w:r>
      <w:r w:rsidR="00D67249" w:rsidRPr="005304B4">
        <w:t>la expresión “la madre adoptante” de la disposición demandada, en el entendido que “la licencia en casos de adopción pueda ser tomada indistintamente por el padre o la madre adoptante, según su libre elección</w:t>
      </w:r>
      <w:r w:rsidR="00D724E0" w:rsidRPr="005304B4">
        <w:t>”.</w:t>
      </w:r>
    </w:p>
    <w:p w14:paraId="131BAD67" w14:textId="77777777" w:rsidR="00D724E0" w:rsidRPr="005304B4" w:rsidRDefault="00D724E0" w:rsidP="00D724E0">
      <w:pPr>
        <w:pStyle w:val="Prrafodelista"/>
        <w:tabs>
          <w:tab w:val="left" w:pos="142"/>
          <w:tab w:val="left" w:pos="426"/>
        </w:tabs>
        <w:ind w:left="0"/>
      </w:pPr>
    </w:p>
    <w:p w14:paraId="7E13AED0" w14:textId="0ECEEE17" w:rsidR="00B73CBF" w:rsidRPr="005304B4" w:rsidRDefault="004C490B" w:rsidP="00F716FB">
      <w:pPr>
        <w:pStyle w:val="Prrafodelista"/>
        <w:numPr>
          <w:ilvl w:val="0"/>
          <w:numId w:val="40"/>
        </w:numPr>
        <w:tabs>
          <w:tab w:val="left" w:pos="142"/>
          <w:tab w:val="left" w:pos="426"/>
        </w:tabs>
        <w:ind w:left="0" w:firstLine="0"/>
        <w:rPr>
          <w:b/>
          <w:bCs/>
        </w:rPr>
      </w:pPr>
      <w:r w:rsidRPr="005304B4">
        <w:t>L</w:t>
      </w:r>
      <w:r w:rsidR="00A314B4" w:rsidRPr="005304B4">
        <w:t xml:space="preserve">uego de explicar </w:t>
      </w:r>
      <w:r w:rsidR="00D23E2A" w:rsidRPr="005304B4">
        <w:t xml:space="preserve">que la Corte Constitucional ha transitado de una perspectiva de género centrada exclusivamente en la mujer, hacia una comprensión </w:t>
      </w:r>
      <w:r w:rsidR="00EE1B8F" w:rsidRPr="005304B4">
        <w:t>de que los hombres requieren protección frente a estereotipos que restringen su papel en la familia</w:t>
      </w:r>
      <w:r w:rsidR="00EE1B8F" w:rsidRPr="005304B4">
        <w:rPr>
          <w:rStyle w:val="Refdenotaalpie"/>
        </w:rPr>
        <w:footnoteReference w:id="23"/>
      </w:r>
      <w:r w:rsidRPr="005304B4">
        <w:t xml:space="preserve">, los observatorios, concluyeron que </w:t>
      </w:r>
      <w:r w:rsidR="007D6E06" w:rsidRPr="005304B4">
        <w:t>la disposición demandada contradice dicha evolución</w:t>
      </w:r>
      <w:r w:rsidR="003239BE" w:rsidRPr="005304B4">
        <w:t>,</w:t>
      </w:r>
      <w:r w:rsidR="00050D27" w:rsidRPr="005304B4">
        <w:t xml:space="preserve"> puesto que</w:t>
      </w:r>
      <w:r w:rsidR="007D6E06" w:rsidRPr="005304B4">
        <w:t xml:space="preserve"> perpetúa un modelo excluyente</w:t>
      </w:r>
      <w:r w:rsidR="003239BE" w:rsidRPr="005304B4">
        <w:t xml:space="preserve"> y establece una diferencia injustificada entre hombres y mujeres adoptantes.</w:t>
      </w:r>
      <w:r w:rsidR="00080BB0" w:rsidRPr="005304B4">
        <w:t xml:space="preserve"> </w:t>
      </w:r>
    </w:p>
    <w:p w14:paraId="542669A2" w14:textId="77777777" w:rsidR="00B73CBF" w:rsidRPr="005304B4" w:rsidRDefault="00B73CBF" w:rsidP="00B73CBF">
      <w:pPr>
        <w:pStyle w:val="Prrafodelista"/>
      </w:pPr>
    </w:p>
    <w:p w14:paraId="20E8CB73" w14:textId="1BB71C1C" w:rsidR="000172C9" w:rsidRPr="005304B4" w:rsidRDefault="00080BB0" w:rsidP="00F716FB">
      <w:pPr>
        <w:pStyle w:val="Prrafodelista"/>
        <w:numPr>
          <w:ilvl w:val="0"/>
          <w:numId w:val="40"/>
        </w:numPr>
        <w:tabs>
          <w:tab w:val="left" w:pos="142"/>
          <w:tab w:val="left" w:pos="426"/>
        </w:tabs>
        <w:ind w:left="0" w:firstLine="0"/>
        <w:rPr>
          <w:b/>
          <w:bCs/>
        </w:rPr>
      </w:pPr>
      <w:r w:rsidRPr="005304B4">
        <w:t>Tal exclusión</w:t>
      </w:r>
      <w:r w:rsidR="00B73CBF" w:rsidRPr="005304B4">
        <w:t>, de acuerdo con el observatorio,</w:t>
      </w:r>
      <w:r w:rsidRPr="005304B4">
        <w:t xml:space="preserve"> afecta, además, al </w:t>
      </w:r>
      <w:r w:rsidR="00762E81" w:rsidRPr="005304B4">
        <w:t>niño</w:t>
      </w:r>
      <w:r w:rsidRPr="005304B4">
        <w:t xml:space="preserve"> adoptado</w:t>
      </w:r>
      <w:r w:rsidR="00F01B18" w:rsidRPr="005304B4">
        <w:t xml:space="preserve">, puesto que se ve impedido de recibir el cuidado principal de su padre. </w:t>
      </w:r>
      <w:r w:rsidR="003F294D" w:rsidRPr="005304B4">
        <w:t>Así, solicitaron a la Corte desmotar una estructura de desigualdad y</w:t>
      </w:r>
      <w:r w:rsidR="00B73CBF" w:rsidRPr="005304B4">
        <w:t xml:space="preserve"> permitir un modelo de familia donde el cuidado viva como un derecho compartido</w:t>
      </w:r>
      <w:r w:rsidR="007C60EE" w:rsidRPr="005304B4">
        <w:t xml:space="preserve"> y en el marco de la corresponsabilidad</w:t>
      </w:r>
      <w:r w:rsidR="00B73CBF" w:rsidRPr="005304B4">
        <w:t xml:space="preserve">. </w:t>
      </w:r>
    </w:p>
    <w:p w14:paraId="4ADB6503" w14:textId="77777777" w:rsidR="00F01B18" w:rsidRPr="005304B4" w:rsidRDefault="00F01B18" w:rsidP="00F01B18">
      <w:pPr>
        <w:pStyle w:val="Prrafodelista"/>
        <w:rPr>
          <w:b/>
          <w:bCs/>
        </w:rPr>
      </w:pPr>
    </w:p>
    <w:p w14:paraId="11FBDBEE" w14:textId="572A9184" w:rsidR="007D6E06" w:rsidRPr="005304B4" w:rsidRDefault="009426E9" w:rsidP="00BE67E2">
      <w:pPr>
        <w:pStyle w:val="Prrafodelista"/>
        <w:numPr>
          <w:ilvl w:val="0"/>
          <w:numId w:val="40"/>
        </w:numPr>
        <w:tabs>
          <w:tab w:val="left" w:pos="142"/>
          <w:tab w:val="left" w:pos="426"/>
        </w:tabs>
        <w:ind w:left="0" w:firstLine="0"/>
        <w:rPr>
          <w:b/>
          <w:bCs/>
        </w:rPr>
      </w:pPr>
      <w:r w:rsidRPr="005304B4">
        <w:t xml:space="preserve">Por último, </w:t>
      </w:r>
      <w:r w:rsidR="00396B10" w:rsidRPr="005304B4">
        <w:t xml:space="preserve">los intervinientes solicitaron que, en virtud de la integración normativa, </w:t>
      </w:r>
      <w:r w:rsidR="007C60EE" w:rsidRPr="005304B4">
        <w:t xml:space="preserve">se </w:t>
      </w:r>
      <w:r w:rsidR="00396B10" w:rsidRPr="005304B4">
        <w:t>ext</w:t>
      </w:r>
      <w:r w:rsidR="007C60EE" w:rsidRPr="005304B4">
        <w:t>iendan</w:t>
      </w:r>
      <w:r w:rsidR="00396B10" w:rsidRPr="005304B4">
        <w:t xml:space="preserve"> los efectos de la decisión, en lo que corresponda, a las licencias de paternidad, parental flexible y </w:t>
      </w:r>
      <w:r w:rsidR="00441D68" w:rsidRPr="005304B4">
        <w:t>compartida. Para los observatorio</w:t>
      </w:r>
      <w:r w:rsidR="00762E81" w:rsidRPr="005304B4">
        <w:t>s</w:t>
      </w:r>
      <w:r w:rsidR="00441D68" w:rsidRPr="005304B4">
        <w:t>, esta integración es importante, pues de admitirse que la licencia parental puede ser disfrutada tanto por el padre como por la madre, se corrigen los estereotipos que persisten en estas licencias</w:t>
      </w:r>
      <w:r w:rsidR="00BE67E2" w:rsidRPr="005304B4">
        <w:t>, ya que estas únicamente permiten que sea la madre quien pueda disfrutar de las primeras 12 semana</w:t>
      </w:r>
      <w:r w:rsidR="00762E81" w:rsidRPr="005304B4">
        <w:t>s</w:t>
      </w:r>
      <w:r w:rsidR="00BE67E2" w:rsidRPr="005304B4">
        <w:t>, visión que es maternalista</w:t>
      </w:r>
      <w:r w:rsidR="00762E81" w:rsidRPr="005304B4">
        <w:t>,</w:t>
      </w:r>
      <w:r w:rsidR="00BE67E2" w:rsidRPr="005304B4">
        <w:t xml:space="preserve"> invisibiliza la diversidad de las familias y desplaza al padre de sus obligaciones de crianza.</w:t>
      </w:r>
    </w:p>
    <w:p w14:paraId="37B4F77D" w14:textId="77777777" w:rsidR="00D23E2A" w:rsidRPr="005304B4" w:rsidRDefault="00D23E2A" w:rsidP="00BE67E2">
      <w:pPr>
        <w:pStyle w:val="Prrafodelista"/>
        <w:tabs>
          <w:tab w:val="left" w:pos="142"/>
          <w:tab w:val="left" w:pos="426"/>
        </w:tabs>
        <w:ind w:left="0"/>
        <w:rPr>
          <w:b/>
          <w:bCs/>
        </w:rPr>
      </w:pPr>
    </w:p>
    <w:p w14:paraId="500047BA" w14:textId="6A80F2E6" w:rsidR="00F856E7" w:rsidRPr="005304B4" w:rsidRDefault="00762E81" w:rsidP="00691166">
      <w:pPr>
        <w:pStyle w:val="Ttulo2"/>
      </w:pPr>
      <w:bookmarkStart w:id="13" w:name="_Toc224553739"/>
      <w:r w:rsidRPr="005304B4">
        <w:t>7. Facultad de Derecho y Ciencias Políticas de la Universidad del Valle</w:t>
      </w:r>
      <w:bookmarkEnd w:id="13"/>
    </w:p>
    <w:p w14:paraId="19155F63" w14:textId="77777777" w:rsidR="00762E81" w:rsidRPr="005304B4" w:rsidRDefault="00762E81" w:rsidP="000172C9">
      <w:pPr>
        <w:pStyle w:val="Prrafodelista"/>
        <w:tabs>
          <w:tab w:val="left" w:pos="142"/>
          <w:tab w:val="left" w:pos="426"/>
        </w:tabs>
        <w:ind w:left="0"/>
        <w:rPr>
          <w:b/>
          <w:bCs/>
        </w:rPr>
      </w:pPr>
    </w:p>
    <w:p w14:paraId="7CD9D464" w14:textId="61466A6C" w:rsidR="000172C9" w:rsidRPr="005304B4" w:rsidRDefault="00F856E7" w:rsidP="00D957BD">
      <w:pPr>
        <w:pStyle w:val="Prrafodelista"/>
        <w:numPr>
          <w:ilvl w:val="0"/>
          <w:numId w:val="40"/>
        </w:numPr>
        <w:tabs>
          <w:tab w:val="left" w:pos="142"/>
          <w:tab w:val="left" w:pos="426"/>
        </w:tabs>
        <w:ind w:left="0" w:firstLine="0"/>
      </w:pPr>
      <w:r w:rsidRPr="005304B4">
        <w:t>La decana</w:t>
      </w:r>
      <w:r w:rsidR="00CC0E95" w:rsidRPr="005304B4">
        <w:t xml:space="preserve"> de la Facultad de Derecho y Ciencias Políticas de la</w:t>
      </w:r>
      <w:r w:rsidRPr="005304B4">
        <w:t xml:space="preserve"> Universidad del Valle</w:t>
      </w:r>
      <w:r w:rsidR="000172C9" w:rsidRPr="005304B4">
        <w:rPr>
          <w:rStyle w:val="Refdenotaalpie"/>
        </w:rPr>
        <w:footnoteReference w:id="24"/>
      </w:r>
      <w:r w:rsidR="0093423D" w:rsidRPr="005304B4">
        <w:t xml:space="preserve"> solicitó que la disposición demandada se declarara exequible de manera condicionada. </w:t>
      </w:r>
      <w:r w:rsidR="00247DA5" w:rsidRPr="005304B4">
        <w:t>C</w:t>
      </w:r>
      <w:r w:rsidR="00647C14" w:rsidRPr="005304B4">
        <w:t>onsideró que la equidad de género “no conlleva</w:t>
      </w:r>
      <w:r w:rsidR="00247DA5" w:rsidRPr="005304B4">
        <w:t xml:space="preserve"> a</w:t>
      </w:r>
      <w:r w:rsidR="00647C14" w:rsidRPr="005304B4">
        <w:t xml:space="preserve"> asignar un rol específico </w:t>
      </w:r>
      <w:r w:rsidR="00D47B16" w:rsidRPr="005304B4">
        <w:t>para hacerse cargo de los niños, niñas y adolescentes</w:t>
      </w:r>
      <w:r w:rsidR="00247DA5" w:rsidRPr="005304B4">
        <w:t>” y, por tanto, nada imp</w:t>
      </w:r>
      <w:r w:rsidR="001919F9" w:rsidRPr="005304B4">
        <w:t>i</w:t>
      </w:r>
      <w:r w:rsidR="00247DA5" w:rsidRPr="005304B4">
        <w:t>d</w:t>
      </w:r>
      <w:r w:rsidR="002007BD" w:rsidRPr="005304B4">
        <w:t>e</w:t>
      </w:r>
      <w:r w:rsidR="00247DA5" w:rsidRPr="005304B4">
        <w:t xml:space="preserve"> que</w:t>
      </w:r>
      <w:r w:rsidR="001919F9" w:rsidRPr="005304B4">
        <w:t xml:space="preserve"> la licencia de maternidad,</w:t>
      </w:r>
      <w:r w:rsidR="00247DA5" w:rsidRPr="005304B4">
        <w:t xml:space="preserve"> en el caso de la adopción, </w:t>
      </w:r>
      <w:r w:rsidR="009201F4" w:rsidRPr="005304B4">
        <w:t xml:space="preserve">pueda recibirla </w:t>
      </w:r>
      <w:r w:rsidR="002007BD" w:rsidRPr="005304B4">
        <w:t>la madre o el padre</w:t>
      </w:r>
      <w:r w:rsidR="009201F4" w:rsidRPr="005304B4">
        <w:t>,</w:t>
      </w:r>
      <w:r w:rsidR="002007BD" w:rsidRPr="005304B4">
        <w:t xml:space="preserve"> independientemente del rol que cumplan en la labor del cuidado. </w:t>
      </w:r>
      <w:r w:rsidR="00C10C68" w:rsidRPr="005304B4">
        <w:t>Por consiguiente,</w:t>
      </w:r>
      <w:r w:rsidR="009201F4" w:rsidRPr="005304B4">
        <w:t xml:space="preserve"> argumentó que</w:t>
      </w:r>
      <w:r w:rsidR="00C10C68" w:rsidRPr="005304B4">
        <w:t xml:space="preserve"> </w:t>
      </w:r>
      <w:r w:rsidR="002B0501" w:rsidRPr="005304B4">
        <w:t>la disposición demandada es contraria a una perspectiva de género</w:t>
      </w:r>
      <w:r w:rsidR="00904F94" w:rsidRPr="005304B4">
        <w:t xml:space="preserve">. </w:t>
      </w:r>
    </w:p>
    <w:p w14:paraId="047692E3" w14:textId="77777777" w:rsidR="00BC2326" w:rsidRPr="005304B4" w:rsidRDefault="00BC2326" w:rsidP="00BC2326">
      <w:pPr>
        <w:pStyle w:val="Prrafodelista"/>
        <w:tabs>
          <w:tab w:val="left" w:pos="142"/>
          <w:tab w:val="left" w:pos="426"/>
        </w:tabs>
        <w:ind w:left="0"/>
      </w:pPr>
    </w:p>
    <w:p w14:paraId="6C2A8E1E" w14:textId="73B28D70" w:rsidR="00BC2326" w:rsidRPr="005304B4" w:rsidRDefault="00762E81" w:rsidP="00691166">
      <w:pPr>
        <w:pStyle w:val="Ttulo2"/>
      </w:pPr>
      <w:bookmarkStart w:id="14" w:name="_Toc224553740"/>
      <w:r w:rsidRPr="005304B4">
        <w:t>8. Ministerio de Salud y Protección Social</w:t>
      </w:r>
      <w:bookmarkEnd w:id="14"/>
    </w:p>
    <w:p w14:paraId="63418BB4" w14:textId="77777777" w:rsidR="00BC2326" w:rsidRPr="005304B4" w:rsidRDefault="00BC2326" w:rsidP="00BC2326">
      <w:pPr>
        <w:pStyle w:val="Prrafodelista"/>
        <w:tabs>
          <w:tab w:val="left" w:pos="142"/>
          <w:tab w:val="left" w:pos="426"/>
        </w:tabs>
        <w:ind w:left="0"/>
      </w:pPr>
    </w:p>
    <w:p w14:paraId="55840B99" w14:textId="0EBA17B4" w:rsidR="00813519" w:rsidRPr="005304B4" w:rsidRDefault="00B527AE" w:rsidP="00D957BD">
      <w:pPr>
        <w:pStyle w:val="Prrafodelista"/>
        <w:numPr>
          <w:ilvl w:val="0"/>
          <w:numId w:val="40"/>
        </w:numPr>
        <w:tabs>
          <w:tab w:val="left" w:pos="142"/>
          <w:tab w:val="left" w:pos="426"/>
        </w:tabs>
        <w:ind w:left="0" w:firstLine="0"/>
      </w:pPr>
      <w:r w:rsidRPr="005304B4">
        <w:t>La entidad</w:t>
      </w:r>
      <w:r w:rsidR="00762E81" w:rsidRPr="005304B4">
        <w:rPr>
          <w:rStyle w:val="Refdenotaalpie"/>
        </w:rPr>
        <w:footnoteReference w:id="25"/>
      </w:r>
      <w:r w:rsidRPr="005304B4">
        <w:t xml:space="preserve"> </w:t>
      </w:r>
      <w:r w:rsidR="00550A35" w:rsidRPr="005304B4">
        <w:t xml:space="preserve">solicitó a la Corte Constitucional que se declarara </w:t>
      </w:r>
      <w:r w:rsidR="00AB3ED3" w:rsidRPr="005304B4">
        <w:t xml:space="preserve">la exequibilidad condicionada de la disposición demandada, </w:t>
      </w:r>
      <w:r w:rsidR="00BB4B73" w:rsidRPr="005304B4">
        <w:t>en el entendido de que “se aplique tanto a madres como a padres adoptantes, según ellos elijan</w:t>
      </w:r>
      <w:r w:rsidR="00AB3ED3" w:rsidRPr="005304B4">
        <w:t>”</w:t>
      </w:r>
      <w:r w:rsidR="008B5492" w:rsidRPr="005304B4">
        <w:t xml:space="preserve">. Para sustentar </w:t>
      </w:r>
      <w:r w:rsidR="001E6060" w:rsidRPr="005304B4">
        <w:t>la</w:t>
      </w:r>
      <w:r w:rsidR="008B5492" w:rsidRPr="005304B4">
        <w:t xml:space="preserve"> solicitud, </w:t>
      </w:r>
      <w:r w:rsidR="001E6060" w:rsidRPr="005304B4">
        <w:t xml:space="preserve">como primer punto, consideró que no resulta justificado asumir </w:t>
      </w:r>
      <w:r w:rsidR="00E77BB0" w:rsidRPr="005304B4">
        <w:t xml:space="preserve">que el otorgamiento del tiempo de la licencia de maternidad deba </w:t>
      </w:r>
      <w:r w:rsidR="0023456C" w:rsidRPr="005304B4">
        <w:t>amparar</w:t>
      </w:r>
      <w:r w:rsidR="00E77BB0" w:rsidRPr="005304B4">
        <w:t xml:space="preserve"> exclusivamente a la mujer por el hecho de serlo, pues “denota la persistencia de roles de género</w:t>
      </w:r>
      <w:r w:rsidR="00CA746B" w:rsidRPr="005304B4">
        <w:t xml:space="preserve"> que asocian el rol materno con el de un mayor deber o disposición de cuidado”.</w:t>
      </w:r>
      <w:r w:rsidR="00CD3FEF" w:rsidRPr="005304B4">
        <w:t xml:space="preserve"> </w:t>
      </w:r>
    </w:p>
    <w:p w14:paraId="1FE46735" w14:textId="77777777" w:rsidR="00813519" w:rsidRPr="005304B4" w:rsidRDefault="00813519" w:rsidP="00813519">
      <w:pPr>
        <w:pStyle w:val="Prrafodelista"/>
        <w:tabs>
          <w:tab w:val="left" w:pos="142"/>
          <w:tab w:val="left" w:pos="426"/>
        </w:tabs>
        <w:ind w:left="0"/>
      </w:pPr>
    </w:p>
    <w:p w14:paraId="0A2990CD" w14:textId="2E4C7B32" w:rsidR="00BC2326" w:rsidRPr="005304B4" w:rsidRDefault="00CD3FEF" w:rsidP="00D957BD">
      <w:pPr>
        <w:pStyle w:val="Prrafodelista"/>
        <w:numPr>
          <w:ilvl w:val="0"/>
          <w:numId w:val="40"/>
        </w:numPr>
        <w:tabs>
          <w:tab w:val="left" w:pos="142"/>
          <w:tab w:val="left" w:pos="426"/>
        </w:tabs>
        <w:ind w:left="0" w:firstLine="0"/>
      </w:pPr>
      <w:r w:rsidRPr="005304B4">
        <w:t xml:space="preserve">A </w:t>
      </w:r>
      <w:r w:rsidR="00813519" w:rsidRPr="005304B4">
        <w:t xml:space="preserve">juicio </w:t>
      </w:r>
      <w:r w:rsidRPr="005304B4">
        <w:t xml:space="preserve">de la entidad, </w:t>
      </w:r>
      <w:r w:rsidR="00813519" w:rsidRPr="005304B4">
        <w:t xml:space="preserve">dicha asignación </w:t>
      </w:r>
      <w:r w:rsidRPr="005304B4">
        <w:t>genera desigualdad y limita las oportunidades de desarrollo para los hombres y las mujeres</w:t>
      </w:r>
      <w:r w:rsidR="00813519" w:rsidRPr="005304B4">
        <w:t>. En ese sentido, las medidas</w:t>
      </w:r>
      <w:r w:rsidR="00A354C9" w:rsidRPr="005304B4">
        <w:t>, programas y políticas</w:t>
      </w:r>
      <w:r w:rsidR="00813519" w:rsidRPr="005304B4">
        <w:t xml:space="preserve"> que se adopten relacionadas con </w:t>
      </w:r>
      <w:r w:rsidR="0074342A" w:rsidRPr="005304B4">
        <w:t xml:space="preserve">la redistribución del </w:t>
      </w:r>
      <w:r w:rsidR="00813519" w:rsidRPr="005304B4">
        <w:t>cuidado</w:t>
      </w:r>
      <w:r w:rsidR="0074342A" w:rsidRPr="005304B4">
        <w:t>,</w:t>
      </w:r>
      <w:r w:rsidR="00813519" w:rsidRPr="005304B4">
        <w:t xml:space="preserve"> debe</w:t>
      </w:r>
      <w:r w:rsidR="0074342A" w:rsidRPr="005304B4">
        <w:t>n</w:t>
      </w:r>
      <w:r w:rsidR="00813519" w:rsidRPr="005304B4">
        <w:t xml:space="preserve"> </w:t>
      </w:r>
      <w:r w:rsidR="00B11D6C" w:rsidRPr="005304B4">
        <w:t xml:space="preserve">incluir una perspectiva de género. </w:t>
      </w:r>
    </w:p>
    <w:p w14:paraId="50692301" w14:textId="77777777" w:rsidR="00CA746B" w:rsidRPr="005304B4" w:rsidRDefault="00CA746B" w:rsidP="00CA746B">
      <w:pPr>
        <w:pStyle w:val="Prrafodelista"/>
        <w:tabs>
          <w:tab w:val="left" w:pos="142"/>
          <w:tab w:val="left" w:pos="426"/>
        </w:tabs>
        <w:ind w:left="0"/>
      </w:pPr>
    </w:p>
    <w:p w14:paraId="2271B431" w14:textId="77777777" w:rsidR="00E87896" w:rsidRPr="005304B4" w:rsidRDefault="006327E5" w:rsidP="001E1D9D">
      <w:pPr>
        <w:pStyle w:val="Prrafodelista"/>
        <w:numPr>
          <w:ilvl w:val="0"/>
          <w:numId w:val="40"/>
        </w:numPr>
        <w:tabs>
          <w:tab w:val="left" w:pos="142"/>
          <w:tab w:val="left" w:pos="426"/>
        </w:tabs>
        <w:ind w:left="0" w:firstLine="0"/>
      </w:pPr>
      <w:r w:rsidRPr="005304B4">
        <w:t xml:space="preserve">Como segundo punto, el Ministerio de Salud </w:t>
      </w:r>
      <w:r w:rsidR="000316B6" w:rsidRPr="005304B4">
        <w:t xml:space="preserve">sostuvo que </w:t>
      </w:r>
      <w:r w:rsidR="00BD09CD" w:rsidRPr="005304B4">
        <w:t xml:space="preserve">la Convención Interamericana de </w:t>
      </w:r>
      <w:r w:rsidR="00E169F8" w:rsidRPr="005304B4">
        <w:t>Belem do Pará consagró la obligación de los Estado</w:t>
      </w:r>
      <w:r w:rsidR="00EE0807" w:rsidRPr="005304B4">
        <w:t>s</w:t>
      </w:r>
      <w:r w:rsidR="00E169F8" w:rsidRPr="005304B4">
        <w:t xml:space="preserve"> de modificar patrones socioculturales basados en la inferioridad o superioridad de cualquiera de los géneros</w:t>
      </w:r>
      <w:r w:rsidR="00132DC3" w:rsidRPr="005304B4">
        <w:t>. A su vez, enfatizó que</w:t>
      </w:r>
      <w:r w:rsidR="00B8643A" w:rsidRPr="005304B4">
        <w:t xml:space="preserve"> la Corte Constitucional ha </w:t>
      </w:r>
      <w:r w:rsidR="00EE0807" w:rsidRPr="005304B4">
        <w:t>señalado</w:t>
      </w:r>
      <w:r w:rsidR="00B8643A" w:rsidRPr="005304B4">
        <w:t xml:space="preserve"> que </w:t>
      </w:r>
      <w:r w:rsidR="00132DC3" w:rsidRPr="005304B4">
        <w:t xml:space="preserve">las medidas laborales de protección no deben basarse en estereotipos de género, sino en la realidad del cuidado y de la crianza que ambos progenitores pueden </w:t>
      </w:r>
      <w:r w:rsidR="00EE0807" w:rsidRPr="005304B4">
        <w:t>asumir,</w:t>
      </w:r>
      <w:r w:rsidR="0054027E" w:rsidRPr="005304B4">
        <w:t xml:space="preserve"> ya que los dos pueden asumir esta tarea. </w:t>
      </w:r>
    </w:p>
    <w:p w14:paraId="7F1A7471" w14:textId="77777777" w:rsidR="00E87896" w:rsidRPr="005304B4" w:rsidRDefault="00E87896" w:rsidP="00E87896">
      <w:pPr>
        <w:pStyle w:val="Prrafodelista"/>
      </w:pPr>
    </w:p>
    <w:p w14:paraId="0D0A6A6C" w14:textId="61C9321D" w:rsidR="008C3C51" w:rsidRPr="005304B4" w:rsidRDefault="0054027E" w:rsidP="001E1D9D">
      <w:pPr>
        <w:pStyle w:val="Prrafodelista"/>
        <w:numPr>
          <w:ilvl w:val="0"/>
          <w:numId w:val="40"/>
        </w:numPr>
        <w:tabs>
          <w:tab w:val="left" w:pos="142"/>
          <w:tab w:val="left" w:pos="426"/>
        </w:tabs>
        <w:ind w:left="0" w:firstLine="0"/>
      </w:pPr>
      <w:r w:rsidRPr="005304B4">
        <w:t xml:space="preserve">En ese sentido, </w:t>
      </w:r>
      <w:r w:rsidR="00E87896" w:rsidRPr="005304B4">
        <w:t xml:space="preserve">según la cartera ministerial, </w:t>
      </w:r>
      <w:r w:rsidRPr="005304B4">
        <w:t xml:space="preserve">no </w:t>
      </w:r>
      <w:r w:rsidR="004C1273" w:rsidRPr="005304B4">
        <w:t>existe razón objetiva</w:t>
      </w:r>
      <w:r w:rsidR="009601D4" w:rsidRPr="005304B4">
        <w:t>, en el caso de las parejas heterosexuales adoptante</w:t>
      </w:r>
      <w:r w:rsidR="00711B83" w:rsidRPr="005304B4">
        <w:t>s</w:t>
      </w:r>
      <w:r w:rsidR="009601D4" w:rsidRPr="005304B4">
        <w:t>,</w:t>
      </w:r>
      <w:r w:rsidR="004C1273" w:rsidRPr="005304B4">
        <w:t xml:space="preserve"> </w:t>
      </w:r>
      <w:r w:rsidR="008A7F59" w:rsidRPr="005304B4">
        <w:t xml:space="preserve">para </w:t>
      </w:r>
      <w:r w:rsidR="004C1273" w:rsidRPr="005304B4">
        <w:t xml:space="preserve">privilegiar </w:t>
      </w:r>
      <w:r w:rsidR="000622B2" w:rsidRPr="005304B4">
        <w:t xml:space="preserve">a </w:t>
      </w:r>
      <w:r w:rsidR="004C1273" w:rsidRPr="005304B4">
        <w:t>uno sobre otro</w:t>
      </w:r>
      <w:r w:rsidR="000622B2" w:rsidRPr="005304B4">
        <w:t>,</w:t>
      </w:r>
      <w:r w:rsidR="004C1273" w:rsidRPr="005304B4">
        <w:t xml:space="preserve"> por razones </w:t>
      </w:r>
      <w:r w:rsidR="006A35EF" w:rsidRPr="005304B4">
        <w:t xml:space="preserve">de </w:t>
      </w:r>
      <w:r w:rsidR="004C1273" w:rsidRPr="005304B4">
        <w:t>sexo</w:t>
      </w:r>
      <w:r w:rsidR="000622B2" w:rsidRPr="005304B4">
        <w:t>,</w:t>
      </w:r>
      <w:r w:rsidR="00E87896" w:rsidRPr="005304B4">
        <w:t xml:space="preserve"> en</w:t>
      </w:r>
      <w:r w:rsidR="000622B2" w:rsidRPr="005304B4">
        <w:t xml:space="preserve"> las</w:t>
      </w:r>
      <w:r w:rsidR="00E87896" w:rsidRPr="005304B4">
        <w:t xml:space="preserve"> labores del cuidado</w:t>
      </w:r>
      <w:r w:rsidR="004C1273" w:rsidRPr="005304B4">
        <w:t>. Por consiguiente, permitir la elecció</w:t>
      </w:r>
      <w:r w:rsidR="00CF26A7" w:rsidRPr="005304B4">
        <w:t>n de la pareja</w:t>
      </w:r>
      <w:r w:rsidR="00043858" w:rsidRPr="005304B4">
        <w:t xml:space="preserve"> heterosexual</w:t>
      </w:r>
      <w:r w:rsidR="00CF26A7" w:rsidRPr="005304B4">
        <w:t xml:space="preserve"> sobre la licencia que desean asumir, reconoce la corresponsabilidad parental y la autonomía familiar. </w:t>
      </w:r>
      <w:r w:rsidR="000622B2" w:rsidRPr="005304B4">
        <w:t>Lo anterior</w:t>
      </w:r>
      <w:r w:rsidR="00043858" w:rsidRPr="005304B4">
        <w:t xml:space="preserve"> debido a que dicha prestación no se concibe como un beneficio ligado al hecho biológico del parto o la condición de mujer, sino como media de protección especial para el</w:t>
      </w:r>
      <w:r w:rsidR="009E0599" w:rsidRPr="005304B4">
        <w:t xml:space="preserve"> hijo o la hija recibida.</w:t>
      </w:r>
    </w:p>
    <w:p w14:paraId="56A51C13" w14:textId="77777777" w:rsidR="002900CF" w:rsidRPr="005304B4" w:rsidRDefault="002900CF" w:rsidP="002900CF">
      <w:pPr>
        <w:pStyle w:val="Prrafodelista"/>
        <w:tabs>
          <w:tab w:val="left" w:pos="142"/>
          <w:tab w:val="left" w:pos="426"/>
        </w:tabs>
        <w:ind w:left="0"/>
      </w:pPr>
    </w:p>
    <w:p w14:paraId="2FE5DB96" w14:textId="4A1A7DEC" w:rsidR="00F02873" w:rsidRPr="005304B4" w:rsidRDefault="000622B2" w:rsidP="000622B2">
      <w:pPr>
        <w:pStyle w:val="Ttulo2"/>
      </w:pPr>
      <w:bookmarkStart w:id="15" w:name="_Toc224553741"/>
      <w:r w:rsidRPr="005304B4">
        <w:t>9. Defensoría del Pueblo</w:t>
      </w:r>
      <w:bookmarkEnd w:id="15"/>
    </w:p>
    <w:p w14:paraId="2025E6EE" w14:textId="77777777" w:rsidR="00F02873" w:rsidRPr="005304B4" w:rsidRDefault="00F02873" w:rsidP="00F02873">
      <w:pPr>
        <w:pStyle w:val="Prrafodelista"/>
        <w:tabs>
          <w:tab w:val="left" w:pos="142"/>
          <w:tab w:val="left" w:pos="426"/>
        </w:tabs>
        <w:ind w:left="0"/>
      </w:pPr>
    </w:p>
    <w:p w14:paraId="6918FF57" w14:textId="506E5483" w:rsidR="00F02873" w:rsidRPr="005304B4" w:rsidRDefault="00F02873" w:rsidP="00F02873">
      <w:pPr>
        <w:pStyle w:val="Prrafodelista"/>
        <w:numPr>
          <w:ilvl w:val="0"/>
          <w:numId w:val="40"/>
        </w:numPr>
        <w:tabs>
          <w:tab w:val="left" w:pos="142"/>
          <w:tab w:val="left" w:pos="426"/>
        </w:tabs>
        <w:ind w:left="0" w:firstLine="0"/>
      </w:pPr>
      <w:r w:rsidRPr="005304B4">
        <w:t>La Defensoría del Pueblo solicitó en su intervención</w:t>
      </w:r>
      <w:r w:rsidRPr="005304B4">
        <w:rPr>
          <w:rStyle w:val="Refdenotaalpie"/>
        </w:rPr>
        <w:footnoteReference w:id="26"/>
      </w:r>
      <w:r w:rsidRPr="005304B4">
        <w:t xml:space="preserve"> que la Corte se declare inhibida para conocer el asunto de fondo, debido a que el cargo único presentado carece de certeza porque “parte de una interpretación posible de la </w:t>
      </w:r>
      <w:r w:rsidR="2AC9B6EA" w:rsidRPr="005304B4">
        <w:t>norma,</w:t>
      </w:r>
      <w:r w:rsidRPr="005304B4">
        <w:t xml:space="preserve"> pero no jurídica real y existente”. A juicio de la entidad, los demandantes entienden el artículo 2 de la Ley 2114 de 2021 de manera exegética y literal, pese a que la Corte, en la Sentencia C-415 de 2022, descartó expresamente esta lectura. Así, en esta providencia se determinó que la norma demandada se ajustaba a la Constitución Política bajo el principio de igualdad para que las parejas del mismo sexo pudieran acceder a dichas prestaciones con las mismas condiciones de las familias heteroparentales adoptantes.</w:t>
      </w:r>
    </w:p>
    <w:p w14:paraId="7F08A65C" w14:textId="77777777" w:rsidR="00F02873" w:rsidRPr="005304B4" w:rsidRDefault="00F02873" w:rsidP="00F02873">
      <w:pPr>
        <w:pStyle w:val="Prrafodelista"/>
        <w:tabs>
          <w:tab w:val="left" w:pos="142"/>
          <w:tab w:val="left" w:pos="426"/>
        </w:tabs>
        <w:ind w:left="0"/>
      </w:pPr>
    </w:p>
    <w:p w14:paraId="4A3F67FA" w14:textId="1AF31F04" w:rsidR="002900CF" w:rsidRPr="005304B4" w:rsidRDefault="00F02873" w:rsidP="002116EB">
      <w:pPr>
        <w:pStyle w:val="Prrafodelista"/>
        <w:numPr>
          <w:ilvl w:val="0"/>
          <w:numId w:val="40"/>
        </w:numPr>
        <w:tabs>
          <w:tab w:val="left" w:pos="142"/>
          <w:tab w:val="left" w:pos="426"/>
        </w:tabs>
        <w:ind w:left="0" w:firstLine="0"/>
      </w:pPr>
      <w:r w:rsidRPr="005304B4">
        <w:t xml:space="preserve">Lo anterior, de acuerdo con la intervención de la Defensoría, implica que una interpretación sustantiva y material se aplica a todas las hipótesis en las que se vayan a materializar el contenido del artículo, incluida la interpretación de los demandantes. Con todo, precisó que, con el propósito de que no se vuelvan a presentar dudas sobre la interpretación de la disposición demandada, le solicitó a la Corte que determinara en la decisión que se excluye cualquier interpretación literal. </w:t>
      </w:r>
    </w:p>
    <w:p w14:paraId="731D858F" w14:textId="77777777" w:rsidR="002900CF" w:rsidRPr="005304B4" w:rsidRDefault="002900CF" w:rsidP="002900CF">
      <w:pPr>
        <w:rPr>
          <w:b/>
          <w:bCs/>
          <w:sz w:val="28"/>
          <w:szCs w:val="28"/>
        </w:rPr>
      </w:pPr>
    </w:p>
    <w:p w14:paraId="4E99BA95" w14:textId="7AF87679" w:rsidR="002900CF" w:rsidRPr="005304B4" w:rsidRDefault="002116EB" w:rsidP="000622B2">
      <w:pPr>
        <w:pStyle w:val="Ttulo1"/>
        <w:jc w:val="both"/>
      </w:pPr>
      <w:bookmarkStart w:id="16" w:name="_Toc224553742"/>
      <w:r w:rsidRPr="005304B4">
        <w:t xml:space="preserve">V. </w:t>
      </w:r>
      <w:r w:rsidR="00E55C68" w:rsidRPr="005304B4">
        <w:t>CONCEPTO DE LA PROCURADURÍA GENERAL DE LA NACIÓN</w:t>
      </w:r>
      <w:bookmarkEnd w:id="16"/>
    </w:p>
    <w:p w14:paraId="7A97B4BA" w14:textId="77777777" w:rsidR="002900CF" w:rsidRPr="005304B4" w:rsidRDefault="002900CF" w:rsidP="002900CF">
      <w:pPr>
        <w:pStyle w:val="Prrafodelista"/>
      </w:pPr>
    </w:p>
    <w:p w14:paraId="28FD322B" w14:textId="1A5064DE" w:rsidR="002900CF" w:rsidRPr="005304B4" w:rsidRDefault="002900CF" w:rsidP="002900CF">
      <w:pPr>
        <w:pStyle w:val="Prrafodelista"/>
        <w:numPr>
          <w:ilvl w:val="0"/>
          <w:numId w:val="40"/>
        </w:numPr>
        <w:tabs>
          <w:tab w:val="left" w:pos="142"/>
          <w:tab w:val="left" w:pos="426"/>
        </w:tabs>
        <w:ind w:left="0" w:firstLine="0"/>
      </w:pPr>
      <w:r w:rsidRPr="005304B4">
        <w:t>El Procurador General de la Nación</w:t>
      </w:r>
      <w:r w:rsidRPr="005304B4">
        <w:rPr>
          <w:rStyle w:val="Refdenotaalpie"/>
        </w:rPr>
        <w:footnoteReference w:id="27"/>
      </w:r>
      <w:r w:rsidRPr="005304B4">
        <w:t xml:space="preserve"> solicitó a la Corte Constitucional que declare la exequibilidad condicionada de la expresión </w:t>
      </w:r>
      <w:r w:rsidR="007746C5" w:rsidRPr="005304B4">
        <w:t>“la madre adoptante”</w:t>
      </w:r>
      <w:r w:rsidRPr="005304B4">
        <w:t>, bajo el entendido de “que las parejas adoptantes definirán, por una sola vez, quien de ellos gozará cada prestación”. Para el Ministerio</w:t>
      </w:r>
      <w:r w:rsidR="00711B83" w:rsidRPr="005304B4">
        <w:t xml:space="preserve"> Público</w:t>
      </w:r>
      <w:r w:rsidRPr="005304B4">
        <w:t>, aunque la norma objeto de reproche tiene un fin legítimo e imperioso, no es conducente para el propósito que persigue.</w:t>
      </w:r>
    </w:p>
    <w:p w14:paraId="147A52FF" w14:textId="77777777" w:rsidR="002900CF" w:rsidRPr="005304B4" w:rsidRDefault="002900CF" w:rsidP="002900CF">
      <w:pPr>
        <w:pStyle w:val="Prrafodelista"/>
        <w:tabs>
          <w:tab w:val="left" w:pos="142"/>
          <w:tab w:val="left" w:pos="426"/>
        </w:tabs>
        <w:ind w:left="0"/>
      </w:pPr>
    </w:p>
    <w:p w14:paraId="33CEBD08" w14:textId="289C8B46" w:rsidR="002900CF" w:rsidRPr="005304B4" w:rsidRDefault="002900CF" w:rsidP="002900CF">
      <w:pPr>
        <w:pStyle w:val="Prrafodelista"/>
        <w:numPr>
          <w:ilvl w:val="0"/>
          <w:numId w:val="40"/>
        </w:numPr>
        <w:tabs>
          <w:tab w:val="left" w:pos="142"/>
          <w:tab w:val="left" w:pos="426"/>
        </w:tabs>
        <w:ind w:left="0" w:firstLine="0"/>
      </w:pPr>
      <w:r w:rsidRPr="005304B4">
        <w:t xml:space="preserve">Para explicar su posición, señaló que las parejas heterosexuales adoptantes no tienen la posibilidad de elegir cuál de sus integrantes gozará de la respectiva licencia de maternidad y paternidad, sin que exista una razón que lo justifique. Según su concepto, estas parejas son equiparables a las homoparentales adoptantes en términos fácticos y jurídicos. Dicha restricción, a juicio del Ministerio Público, es “sumamente lesiva” para los derechos de la pareja y del </w:t>
      </w:r>
      <w:r w:rsidR="000622B2" w:rsidRPr="005304B4">
        <w:t xml:space="preserve">niño </w:t>
      </w:r>
      <w:r w:rsidRPr="005304B4">
        <w:t>adoptado, dado que reproduce estereotipos de género asociados al rol de cuidado en cabeza de la mujer y desconoce que los hombres pueden tener una paternidad activa, presente y emocionalmente comprometida</w:t>
      </w:r>
      <w:r w:rsidR="00A860A5" w:rsidRPr="005304B4">
        <w:t>.</w:t>
      </w:r>
    </w:p>
    <w:p w14:paraId="1D369ED2" w14:textId="77777777" w:rsidR="002900CF" w:rsidRPr="005304B4" w:rsidRDefault="002900CF" w:rsidP="002900CF">
      <w:pPr>
        <w:pStyle w:val="Prrafodelista"/>
      </w:pPr>
    </w:p>
    <w:p w14:paraId="537799A2" w14:textId="0DD449EE" w:rsidR="002900CF" w:rsidRPr="005304B4" w:rsidRDefault="002900CF" w:rsidP="002900CF">
      <w:pPr>
        <w:pStyle w:val="Prrafodelista"/>
        <w:numPr>
          <w:ilvl w:val="0"/>
          <w:numId w:val="40"/>
        </w:numPr>
        <w:tabs>
          <w:tab w:val="left" w:pos="142"/>
          <w:tab w:val="left" w:pos="426"/>
        </w:tabs>
        <w:ind w:left="0" w:firstLine="0"/>
      </w:pPr>
      <w:r w:rsidRPr="005304B4">
        <w:t>De ahí que resulte necesario que todas las parejas heterosexuales adoptantes puedan elegir libremente el tiempo que cada uno destinará al cuidado del niño o la niña adopt</w:t>
      </w:r>
      <w:r w:rsidR="000622B2" w:rsidRPr="005304B4">
        <w:t>ivo</w:t>
      </w:r>
      <w:r w:rsidRPr="005304B4">
        <w:t xml:space="preserve">, en iguales términos que los hacen las parejas homoparentales. Ahora bien, reconoció que, aunque existe la licencia parental compartida, argumentó que esta no es un medio conducente para satisfacer en mayor medida los derechos fundamentales de las familias. </w:t>
      </w:r>
    </w:p>
    <w:p w14:paraId="2E4DB04C" w14:textId="77777777" w:rsidR="002900CF" w:rsidRPr="005304B4" w:rsidRDefault="002900CF" w:rsidP="002900CF">
      <w:pPr>
        <w:pStyle w:val="Prrafodelista"/>
      </w:pPr>
    </w:p>
    <w:p w14:paraId="26705A9B" w14:textId="2424D59A" w:rsidR="0020517C" w:rsidRPr="005304B4" w:rsidRDefault="002900CF" w:rsidP="0020517C">
      <w:pPr>
        <w:pStyle w:val="Prrafodelista"/>
        <w:numPr>
          <w:ilvl w:val="0"/>
          <w:numId w:val="40"/>
        </w:numPr>
        <w:tabs>
          <w:tab w:val="left" w:pos="142"/>
          <w:tab w:val="left" w:pos="426"/>
        </w:tabs>
        <w:ind w:left="0" w:firstLine="0"/>
      </w:pPr>
      <w:r w:rsidRPr="005304B4">
        <w:t xml:space="preserve">Finalmente, advirtió que, en consecuencia, el tratamiento diferenciado entre las referidas parejas, no supera un test de proporcionalidad en sentido estricto, “pues limitar la libertad de elegir quien de sus integrantes disfrutará de la licencia de paternidad y/o maternidad, implica una discriminación por el sexo de sus integrantes. Por tanto, para </w:t>
      </w:r>
      <w:r w:rsidR="007D62F4" w:rsidRPr="005304B4">
        <w:t>la Vista Fiscal</w:t>
      </w:r>
      <w:r w:rsidRPr="005304B4">
        <w:t>, las mujeres y los hombres adoptantes deberán poder repartir el tiempo de la</w:t>
      </w:r>
      <w:r w:rsidR="006541DC" w:rsidRPr="005304B4">
        <w:t>s</w:t>
      </w:r>
      <w:r w:rsidRPr="005304B4">
        <w:t xml:space="preserve"> licencias, sin razones asociadas al sexo.</w:t>
      </w:r>
    </w:p>
    <w:p w14:paraId="062476F9" w14:textId="77777777" w:rsidR="007D62F4" w:rsidRPr="005304B4" w:rsidRDefault="007D62F4" w:rsidP="007D62F4">
      <w:pPr>
        <w:pStyle w:val="Prrafodelista"/>
        <w:tabs>
          <w:tab w:val="left" w:pos="142"/>
          <w:tab w:val="left" w:pos="426"/>
        </w:tabs>
        <w:ind w:left="0"/>
      </w:pPr>
    </w:p>
    <w:p w14:paraId="530E64FF" w14:textId="36D0AF11" w:rsidR="0020517C" w:rsidRPr="005304B4" w:rsidRDefault="0020517C" w:rsidP="007D62F4">
      <w:pPr>
        <w:pStyle w:val="Ttulo1"/>
        <w:jc w:val="both"/>
      </w:pPr>
      <w:bookmarkStart w:id="17" w:name="_Toc224553743"/>
      <w:r w:rsidRPr="005304B4">
        <w:t>V</w:t>
      </w:r>
      <w:r w:rsidR="00073880" w:rsidRPr="005304B4">
        <w:t>I</w:t>
      </w:r>
      <w:r w:rsidRPr="005304B4">
        <w:t>. CONSIDERACIONES</w:t>
      </w:r>
      <w:bookmarkEnd w:id="17"/>
    </w:p>
    <w:p w14:paraId="6A45612D" w14:textId="77777777" w:rsidR="0020517C" w:rsidRPr="005304B4" w:rsidRDefault="0020517C" w:rsidP="0020517C">
      <w:pPr>
        <w:tabs>
          <w:tab w:val="left" w:pos="567"/>
        </w:tabs>
        <w:jc w:val="both"/>
        <w:rPr>
          <w:b/>
          <w:bCs/>
          <w:color w:val="000000" w:themeColor="text1"/>
          <w:sz w:val="28"/>
          <w:szCs w:val="28"/>
        </w:rPr>
      </w:pPr>
    </w:p>
    <w:p w14:paraId="02ADF3B0" w14:textId="7265FCB5" w:rsidR="0020517C" w:rsidRPr="005304B4" w:rsidRDefault="007D62F4" w:rsidP="007D62F4">
      <w:pPr>
        <w:pStyle w:val="Ttulo2"/>
      </w:pPr>
      <w:bookmarkStart w:id="18" w:name="_Toc224553744"/>
      <w:r w:rsidRPr="005304B4">
        <w:t xml:space="preserve">1. </w:t>
      </w:r>
      <w:r w:rsidR="0020517C" w:rsidRPr="005304B4">
        <w:t>Competencia</w:t>
      </w:r>
      <w:bookmarkEnd w:id="18"/>
    </w:p>
    <w:p w14:paraId="666A4F79" w14:textId="77777777" w:rsidR="0020517C" w:rsidRPr="005304B4" w:rsidRDefault="0020517C" w:rsidP="0020517C">
      <w:pPr>
        <w:rPr>
          <w:sz w:val="28"/>
          <w:szCs w:val="28"/>
        </w:rPr>
      </w:pPr>
    </w:p>
    <w:p w14:paraId="1777B911" w14:textId="54A42A87" w:rsidR="0020517C" w:rsidRPr="005304B4" w:rsidRDefault="0020517C" w:rsidP="0020517C">
      <w:pPr>
        <w:pStyle w:val="Prrafodelista"/>
        <w:numPr>
          <w:ilvl w:val="0"/>
          <w:numId w:val="40"/>
        </w:numPr>
        <w:tabs>
          <w:tab w:val="left" w:pos="142"/>
          <w:tab w:val="left" w:pos="426"/>
        </w:tabs>
        <w:ind w:left="0" w:firstLine="0"/>
      </w:pPr>
      <w:r w:rsidRPr="005304B4">
        <w:t>De conformidad con lo establecido en el numeral 4° del artículo 2</w:t>
      </w:r>
      <w:r w:rsidR="00711B83" w:rsidRPr="005304B4">
        <w:t>41</w:t>
      </w:r>
      <w:r w:rsidRPr="005304B4">
        <w:t xml:space="preserve"> de la Constitución, la Corte Constitucional es competente para conocer de la demanda de la referencia, en la medida en que la disposición acusada está contenida en una ley de la República. </w:t>
      </w:r>
    </w:p>
    <w:p w14:paraId="67037F11" w14:textId="77777777" w:rsidR="0020517C" w:rsidRPr="005304B4" w:rsidRDefault="0020517C" w:rsidP="0020517C">
      <w:pPr>
        <w:rPr>
          <w:sz w:val="28"/>
          <w:szCs w:val="28"/>
        </w:rPr>
      </w:pPr>
    </w:p>
    <w:p w14:paraId="0C2E8A5E" w14:textId="04CF908B" w:rsidR="0020517C" w:rsidRPr="005304B4" w:rsidRDefault="007D62F4" w:rsidP="007D62F4">
      <w:pPr>
        <w:pStyle w:val="Ttulo2"/>
      </w:pPr>
      <w:bookmarkStart w:id="19" w:name="_Toc224553745"/>
      <w:r w:rsidRPr="005304B4">
        <w:t xml:space="preserve">2. </w:t>
      </w:r>
      <w:r w:rsidR="0020517C" w:rsidRPr="005304B4">
        <w:t>Presentación del caso</w:t>
      </w:r>
      <w:bookmarkEnd w:id="19"/>
    </w:p>
    <w:p w14:paraId="707EEDCB" w14:textId="77777777" w:rsidR="0020517C" w:rsidRPr="005304B4" w:rsidRDefault="0020517C" w:rsidP="0020517C">
      <w:pPr>
        <w:rPr>
          <w:sz w:val="28"/>
          <w:szCs w:val="28"/>
        </w:rPr>
      </w:pPr>
    </w:p>
    <w:p w14:paraId="2C3D7C32" w14:textId="401D038C" w:rsidR="00CC217A" w:rsidRPr="005304B4" w:rsidRDefault="00FF5907" w:rsidP="007D75D8">
      <w:pPr>
        <w:pStyle w:val="Prrafodelista"/>
        <w:numPr>
          <w:ilvl w:val="0"/>
          <w:numId w:val="40"/>
        </w:numPr>
        <w:tabs>
          <w:tab w:val="left" w:pos="426"/>
          <w:tab w:val="left" w:pos="709"/>
        </w:tabs>
        <w:ind w:left="0" w:firstLine="0"/>
        <w:rPr>
          <w:color w:val="000000" w:themeColor="text1"/>
        </w:rPr>
      </w:pPr>
      <w:r w:rsidRPr="005304B4">
        <w:rPr>
          <w:color w:val="000000" w:themeColor="text1"/>
        </w:rPr>
        <w:t>Los accionantes demandaron la expresión “</w:t>
      </w:r>
      <w:r w:rsidR="00E91F8D" w:rsidRPr="005304B4">
        <w:rPr>
          <w:color w:val="000000" w:themeColor="text1"/>
        </w:rPr>
        <w:t xml:space="preserve">la </w:t>
      </w:r>
      <w:r w:rsidRPr="005304B4">
        <w:rPr>
          <w:color w:val="000000" w:themeColor="text1"/>
        </w:rPr>
        <w:t>madre adoptante” del numeral 4 del artículo 2 de la Ley 2114 de 2021 por considerar que vulnera el principio</w:t>
      </w:r>
      <w:r w:rsidR="007D62F4" w:rsidRPr="005304B4">
        <w:rPr>
          <w:color w:val="000000" w:themeColor="text1"/>
        </w:rPr>
        <w:t xml:space="preserve"> constitucional</w:t>
      </w:r>
      <w:r w:rsidRPr="005304B4">
        <w:rPr>
          <w:color w:val="000000" w:themeColor="text1"/>
        </w:rPr>
        <w:t xml:space="preserve"> de igualdad</w:t>
      </w:r>
      <w:r w:rsidR="007D62F4" w:rsidRPr="005304B4">
        <w:rPr>
          <w:color w:val="000000" w:themeColor="text1"/>
        </w:rPr>
        <w:t xml:space="preserve"> (art. 13 C.P.)</w:t>
      </w:r>
      <w:r w:rsidRPr="005304B4">
        <w:rPr>
          <w:color w:val="000000" w:themeColor="text1"/>
        </w:rPr>
        <w:t>, al asignar de manera automática la licencia de maternidad a la madre en</w:t>
      </w:r>
      <w:r w:rsidR="007D62F4" w:rsidRPr="005304B4">
        <w:rPr>
          <w:color w:val="000000" w:themeColor="text1"/>
        </w:rPr>
        <w:t xml:space="preserve"> el caso de</w:t>
      </w:r>
      <w:r w:rsidRPr="005304B4">
        <w:rPr>
          <w:color w:val="000000" w:themeColor="text1"/>
        </w:rPr>
        <w:t xml:space="preserve"> las parejas heteroparentales adoptantes e impedir que </w:t>
      </w:r>
      <w:r w:rsidR="007D62F4" w:rsidRPr="005304B4">
        <w:rPr>
          <w:color w:val="000000" w:themeColor="text1"/>
        </w:rPr>
        <w:t>ambos miembros de la pareja</w:t>
      </w:r>
      <w:r w:rsidRPr="005304B4">
        <w:rPr>
          <w:color w:val="000000" w:themeColor="text1"/>
        </w:rPr>
        <w:t xml:space="preserve"> decidan libremente cuál de </w:t>
      </w:r>
      <w:r w:rsidR="007D62F4" w:rsidRPr="005304B4">
        <w:rPr>
          <w:color w:val="000000" w:themeColor="text1"/>
        </w:rPr>
        <w:t>ellos</w:t>
      </w:r>
      <w:r w:rsidRPr="005304B4">
        <w:rPr>
          <w:color w:val="000000" w:themeColor="text1"/>
        </w:rPr>
        <w:t xml:space="preserve"> accederá a dicha prestación</w:t>
      </w:r>
      <w:r w:rsidR="00923975" w:rsidRPr="005304B4">
        <w:rPr>
          <w:color w:val="000000" w:themeColor="text1"/>
        </w:rPr>
        <w:t>.</w:t>
      </w:r>
    </w:p>
    <w:p w14:paraId="08112F0A" w14:textId="77777777" w:rsidR="009B6E23" w:rsidRPr="005304B4" w:rsidRDefault="009B6E23" w:rsidP="009B6E23">
      <w:pPr>
        <w:pStyle w:val="Prrafodelista"/>
        <w:tabs>
          <w:tab w:val="left" w:pos="426"/>
          <w:tab w:val="left" w:pos="709"/>
        </w:tabs>
        <w:ind w:left="0"/>
        <w:rPr>
          <w:color w:val="000000" w:themeColor="text1"/>
        </w:rPr>
      </w:pPr>
    </w:p>
    <w:p w14:paraId="7B388013" w14:textId="68A07826" w:rsidR="009B6E23" w:rsidRPr="005304B4" w:rsidRDefault="009B6E23" w:rsidP="009B6E23">
      <w:pPr>
        <w:pStyle w:val="Prrafodelista"/>
        <w:numPr>
          <w:ilvl w:val="0"/>
          <w:numId w:val="40"/>
        </w:numPr>
        <w:tabs>
          <w:tab w:val="left" w:pos="426"/>
          <w:tab w:val="left" w:pos="709"/>
        </w:tabs>
        <w:ind w:left="0" w:firstLine="0"/>
        <w:rPr>
          <w:color w:val="000000" w:themeColor="text1"/>
        </w:rPr>
      </w:pPr>
      <w:r w:rsidRPr="005304B4">
        <w:t>La censura sostiene que la disposición genera una desigualdad injustificada entre las parejas homo y heteroparentales adoptantes, a partir del alcance interpretativo fijado en la Sentencia C-415 de 2022, mediante la cual la Corte Constitucional reconoció únicamente a las parejas del mismo sexo adoptantes la posibilidad de decidir, de manera libre y por una sola vez, cuál de sus integrantes accederá a las licencias parentales a las que tienen derecho.</w:t>
      </w:r>
    </w:p>
    <w:p w14:paraId="1A9B5451" w14:textId="77777777" w:rsidR="00CC217A" w:rsidRPr="005304B4" w:rsidRDefault="00CC217A" w:rsidP="00CC217A">
      <w:pPr>
        <w:pStyle w:val="Prrafodelista"/>
        <w:tabs>
          <w:tab w:val="left" w:pos="426"/>
          <w:tab w:val="left" w:pos="709"/>
        </w:tabs>
        <w:ind w:left="0"/>
        <w:rPr>
          <w:color w:val="000000" w:themeColor="text1"/>
        </w:rPr>
      </w:pPr>
    </w:p>
    <w:p w14:paraId="5D4A7844" w14:textId="7C8915F7" w:rsidR="007D62F4" w:rsidRPr="005304B4" w:rsidRDefault="009B6E23" w:rsidP="007D62F4">
      <w:pPr>
        <w:pStyle w:val="Prrafodelista"/>
        <w:numPr>
          <w:ilvl w:val="0"/>
          <w:numId w:val="40"/>
        </w:numPr>
        <w:tabs>
          <w:tab w:val="left" w:pos="426"/>
          <w:tab w:val="left" w:pos="709"/>
        </w:tabs>
        <w:ind w:left="0" w:firstLine="0"/>
        <w:rPr>
          <w:color w:val="000000" w:themeColor="text1"/>
        </w:rPr>
      </w:pPr>
      <w:r w:rsidRPr="005304B4">
        <w:rPr>
          <w:color w:val="000000" w:themeColor="text1"/>
        </w:rPr>
        <w:t>Además, indican que dicha asignación</w:t>
      </w:r>
      <w:r w:rsidR="00E91F8D" w:rsidRPr="005304B4">
        <w:rPr>
          <w:color w:val="000000" w:themeColor="text1"/>
        </w:rPr>
        <w:t xml:space="preserve"> </w:t>
      </w:r>
      <w:r w:rsidR="00CC217A" w:rsidRPr="005304B4">
        <w:t>perpetúa estereotipos de género y refuerza la división tradicional de roles familiares, al asignar el cuidado primario del adoptivo a la madre, en razón de su género; lo que desconoce el principio de corresponsabilidad en las tareas de cuidado entre hombres y mujeres.</w:t>
      </w:r>
    </w:p>
    <w:p w14:paraId="47CAAC67" w14:textId="77777777" w:rsidR="0020517C" w:rsidRPr="005304B4" w:rsidRDefault="0020517C" w:rsidP="0020517C">
      <w:pPr>
        <w:pStyle w:val="Prrafodelista"/>
        <w:tabs>
          <w:tab w:val="left" w:pos="284"/>
          <w:tab w:val="left" w:pos="426"/>
        </w:tabs>
        <w:ind w:left="0"/>
        <w:rPr>
          <w:color w:val="000000" w:themeColor="text1"/>
        </w:rPr>
      </w:pPr>
    </w:p>
    <w:p w14:paraId="4544CB7A" w14:textId="5B6E2F4E" w:rsidR="0020517C" w:rsidRPr="005304B4" w:rsidRDefault="0020517C" w:rsidP="00CC217A">
      <w:pPr>
        <w:pStyle w:val="Prrafodelista"/>
        <w:numPr>
          <w:ilvl w:val="0"/>
          <w:numId w:val="40"/>
        </w:numPr>
        <w:tabs>
          <w:tab w:val="left" w:pos="284"/>
          <w:tab w:val="left" w:pos="426"/>
        </w:tabs>
        <w:ind w:left="0" w:firstLine="0"/>
        <w:rPr>
          <w:color w:val="000000" w:themeColor="text1"/>
        </w:rPr>
      </w:pPr>
      <w:r w:rsidRPr="005304B4">
        <w:t>A juicio de los actores, esta diferencia de trato desconoce que las parejas</w:t>
      </w:r>
      <w:r w:rsidR="00C83BE6" w:rsidRPr="005304B4">
        <w:t xml:space="preserve"> adoptantes</w:t>
      </w:r>
      <w:r w:rsidRPr="005304B4">
        <w:t xml:space="preserve"> del mismo sexo y las de distinto sexo desempeñan roles de cuidado equivalentes, </w:t>
      </w:r>
      <w:r w:rsidR="007D62F4" w:rsidRPr="005304B4">
        <w:t>puesto</w:t>
      </w:r>
      <w:r w:rsidRPr="005304B4">
        <w:t xml:space="preserve"> que</w:t>
      </w:r>
      <w:r w:rsidR="00C83BE6" w:rsidRPr="005304B4">
        <w:t>,</w:t>
      </w:r>
      <w:r w:rsidRPr="005304B4">
        <w:t xml:space="preserve"> en ambos casos</w:t>
      </w:r>
      <w:r w:rsidR="00C83BE6" w:rsidRPr="005304B4">
        <w:t>,</w:t>
      </w:r>
      <w:r w:rsidRPr="005304B4">
        <w:t xml:space="preserve"> ninguno de los adoptantes mantiene un vínculo biológico con el</w:t>
      </w:r>
      <w:r w:rsidR="0023456C" w:rsidRPr="005304B4">
        <w:t xml:space="preserve"> hijo o hija</w:t>
      </w:r>
      <w:r w:rsidRPr="005304B4">
        <w:t xml:space="preserve"> </w:t>
      </w:r>
      <w:r w:rsidR="007D62F4" w:rsidRPr="005304B4">
        <w:t>adoptiv</w:t>
      </w:r>
      <w:r w:rsidR="0023456C" w:rsidRPr="005304B4">
        <w:t>a</w:t>
      </w:r>
      <w:r w:rsidRPr="005304B4">
        <w:t>. En consecuencia, en los procesos de adopción</w:t>
      </w:r>
      <w:r w:rsidR="007D62F4" w:rsidRPr="005304B4">
        <w:t>,</w:t>
      </w:r>
      <w:r w:rsidRPr="005304B4">
        <w:t xml:space="preserve"> </w:t>
      </w:r>
      <w:r w:rsidR="00C83BE6" w:rsidRPr="005304B4">
        <w:t xml:space="preserve">ambos tipos de familia </w:t>
      </w:r>
      <w:r w:rsidRPr="005304B4">
        <w:t>resultan asimilables.</w:t>
      </w:r>
    </w:p>
    <w:p w14:paraId="7B3EDBE9" w14:textId="77777777" w:rsidR="0020517C" w:rsidRPr="005304B4" w:rsidRDefault="0020517C" w:rsidP="0020517C">
      <w:pPr>
        <w:pStyle w:val="Prrafodelista"/>
        <w:rPr>
          <w:lang w:eastAsia="es-MX"/>
        </w:rPr>
      </w:pPr>
    </w:p>
    <w:p w14:paraId="35877C9F" w14:textId="5CF7D36F" w:rsidR="0020517C" w:rsidRPr="005304B4" w:rsidRDefault="0020517C" w:rsidP="0020517C">
      <w:pPr>
        <w:pStyle w:val="Prrafodelista"/>
        <w:numPr>
          <w:ilvl w:val="0"/>
          <w:numId w:val="40"/>
        </w:numPr>
        <w:tabs>
          <w:tab w:val="left" w:pos="284"/>
          <w:tab w:val="left" w:pos="426"/>
        </w:tabs>
        <w:ind w:left="0" w:firstLine="0"/>
        <w:rPr>
          <w:color w:val="000000" w:themeColor="text1"/>
        </w:rPr>
      </w:pPr>
      <w:r w:rsidRPr="005304B4">
        <w:rPr>
          <w:lang w:eastAsia="es-MX"/>
        </w:rPr>
        <w:t xml:space="preserve">En el trámite de la presente acción pública de inconstitucionalidad se recibieron </w:t>
      </w:r>
      <w:r w:rsidR="007D62F4" w:rsidRPr="005304B4">
        <w:rPr>
          <w:lang w:eastAsia="es-MX"/>
        </w:rPr>
        <w:t>9</w:t>
      </w:r>
      <w:r w:rsidRPr="005304B4">
        <w:rPr>
          <w:lang w:eastAsia="es-MX"/>
        </w:rPr>
        <w:t xml:space="preserve"> </w:t>
      </w:r>
      <w:r w:rsidR="00E91F8D" w:rsidRPr="005304B4">
        <w:rPr>
          <w:lang w:eastAsia="es-MX"/>
        </w:rPr>
        <w:t>escritos, entre conceptos e intervenciones</w:t>
      </w:r>
      <w:r w:rsidR="00C83BE6" w:rsidRPr="005304B4">
        <w:rPr>
          <w:lang w:eastAsia="es-MX"/>
        </w:rPr>
        <w:t xml:space="preserve">, de las cuales 8, </w:t>
      </w:r>
      <w:r w:rsidRPr="005304B4">
        <w:rPr>
          <w:lang w:eastAsia="es-MX"/>
        </w:rPr>
        <w:t>coincidieron con los argumentos de los demandantes y solicitaron a esta Corporación</w:t>
      </w:r>
      <w:r w:rsidR="00E91F8D" w:rsidRPr="005304B4">
        <w:rPr>
          <w:lang w:eastAsia="es-MX"/>
        </w:rPr>
        <w:t xml:space="preserve">, </w:t>
      </w:r>
      <w:r w:rsidR="00CC217A" w:rsidRPr="005304B4">
        <w:rPr>
          <w:lang w:eastAsia="es-MX"/>
        </w:rPr>
        <w:t>en distintos términos</w:t>
      </w:r>
      <w:r w:rsidR="00E91F8D" w:rsidRPr="005304B4">
        <w:rPr>
          <w:lang w:eastAsia="es-MX"/>
        </w:rPr>
        <w:t>,</w:t>
      </w:r>
      <w:r w:rsidRPr="005304B4">
        <w:rPr>
          <w:lang w:eastAsia="es-MX"/>
        </w:rPr>
        <w:t xml:space="preserve"> declarar la exequibilidad condicionada de la disposición demandada, en el entendido de que</w:t>
      </w:r>
      <w:r w:rsidR="00E52FE5" w:rsidRPr="005304B4">
        <w:rPr>
          <w:lang w:eastAsia="es-MX"/>
        </w:rPr>
        <w:t xml:space="preserve"> también</w:t>
      </w:r>
      <w:r w:rsidRPr="005304B4">
        <w:rPr>
          <w:lang w:eastAsia="es-MX"/>
        </w:rPr>
        <w:t xml:space="preserve"> se permita a las familias heteroparentales decidir, por una sola vez, cuál de sus integrantes podrá disfrutar de la licencia de maternidad.</w:t>
      </w:r>
      <w:r w:rsidR="00C83BE6" w:rsidRPr="005304B4">
        <w:rPr>
          <w:lang w:eastAsia="es-MX"/>
        </w:rPr>
        <w:t xml:space="preserve"> Dicha posición es, además, compartida por la Procuraduría General de la Nación.</w:t>
      </w:r>
    </w:p>
    <w:p w14:paraId="29C4A6B8" w14:textId="77777777" w:rsidR="0020517C" w:rsidRPr="005304B4" w:rsidRDefault="0020517C" w:rsidP="0020517C">
      <w:pPr>
        <w:pStyle w:val="Prrafodelista"/>
        <w:rPr>
          <w:lang w:eastAsia="es-MX"/>
        </w:rPr>
      </w:pPr>
    </w:p>
    <w:p w14:paraId="61FB55F8" w14:textId="39C0A9BE" w:rsidR="00C83BE6" w:rsidRPr="005304B4" w:rsidRDefault="0020517C" w:rsidP="00FF00AC">
      <w:pPr>
        <w:pStyle w:val="Prrafodelista"/>
        <w:numPr>
          <w:ilvl w:val="0"/>
          <w:numId w:val="40"/>
        </w:numPr>
        <w:tabs>
          <w:tab w:val="left" w:pos="284"/>
          <w:tab w:val="left" w:pos="426"/>
        </w:tabs>
        <w:ind w:left="0" w:firstLine="0"/>
        <w:rPr>
          <w:color w:val="000000" w:themeColor="text1"/>
        </w:rPr>
      </w:pPr>
      <w:r w:rsidRPr="005304B4">
        <w:rPr>
          <w:lang w:eastAsia="es-MX"/>
        </w:rPr>
        <w:t xml:space="preserve">Por su parte, la Defensoría del Pueblo solicitó a la Corte inhibirse de emitir un pronunciamiento de fondo, al considerar que la demanda </w:t>
      </w:r>
      <w:r w:rsidR="00F84BD2" w:rsidRPr="005304B4">
        <w:rPr>
          <w:lang w:eastAsia="es-MX"/>
        </w:rPr>
        <w:t>es inepta al incumplir</w:t>
      </w:r>
      <w:r w:rsidRPr="005304B4">
        <w:rPr>
          <w:lang w:eastAsia="es-MX"/>
        </w:rPr>
        <w:t xml:space="preserve"> el requisito de certeza. A su juicio, los demandantes parten de “una interpretación posible de la norma, pero no jurídica, real ni existente</w:t>
      </w:r>
      <w:r w:rsidR="00CC217A" w:rsidRPr="005304B4">
        <w:rPr>
          <w:lang w:eastAsia="es-MX"/>
        </w:rPr>
        <w:t>”, y desconoce la interpretación de la norma realizada en la Sentencia C-415 de 2022</w:t>
      </w:r>
      <w:r w:rsidRPr="005304B4">
        <w:rPr>
          <w:lang w:eastAsia="es-MX"/>
        </w:rPr>
        <w:t xml:space="preserve">. </w:t>
      </w:r>
    </w:p>
    <w:p w14:paraId="021E012F" w14:textId="77777777" w:rsidR="00C83BE6" w:rsidRPr="005304B4" w:rsidRDefault="00C83BE6" w:rsidP="00E328DC">
      <w:pPr>
        <w:pStyle w:val="Prrafodelista"/>
        <w:rPr>
          <w:lang w:eastAsia="es-MX"/>
        </w:rPr>
      </w:pPr>
    </w:p>
    <w:p w14:paraId="317ED055" w14:textId="4B90589D" w:rsidR="00C83BE6" w:rsidRPr="005304B4" w:rsidRDefault="00C83BE6" w:rsidP="00C83BE6">
      <w:pPr>
        <w:pStyle w:val="Prrafodelista"/>
        <w:numPr>
          <w:ilvl w:val="0"/>
          <w:numId w:val="40"/>
        </w:numPr>
        <w:tabs>
          <w:tab w:val="left" w:pos="284"/>
          <w:tab w:val="left" w:pos="426"/>
        </w:tabs>
        <w:ind w:left="0" w:firstLine="0"/>
        <w:rPr>
          <w:color w:val="000000" w:themeColor="text1"/>
        </w:rPr>
      </w:pPr>
      <w:r w:rsidRPr="005304B4">
        <w:rPr>
          <w:lang w:eastAsia="es-MX"/>
        </w:rPr>
        <w:t>Toda vez que la Defensoría del Pueblo cuestionó la aptitud de la demanda de inconstitucionalidad</w:t>
      </w:r>
      <w:r w:rsidR="0020517C" w:rsidRPr="005304B4">
        <w:rPr>
          <w:lang w:eastAsia="es-MX"/>
        </w:rPr>
        <w:t xml:space="preserve">, </w:t>
      </w:r>
      <w:r w:rsidRPr="005304B4">
        <w:rPr>
          <w:lang w:eastAsia="es-MX"/>
        </w:rPr>
        <w:t xml:space="preserve">la Sala procederá a analizar, como </w:t>
      </w:r>
      <w:r w:rsidR="001620AE" w:rsidRPr="005304B4">
        <w:rPr>
          <w:i/>
          <w:iCs/>
          <w:lang w:eastAsia="es-MX"/>
        </w:rPr>
        <w:t xml:space="preserve">primera </w:t>
      </w:r>
      <w:r w:rsidRPr="005304B4">
        <w:rPr>
          <w:i/>
          <w:iCs/>
          <w:lang w:eastAsia="es-MX"/>
        </w:rPr>
        <w:t>cuestión previa</w:t>
      </w:r>
      <w:r w:rsidRPr="005304B4">
        <w:rPr>
          <w:lang w:eastAsia="es-MX"/>
        </w:rPr>
        <w:t xml:space="preserve">, si la demanda cumple con los requisitos establecidos </w:t>
      </w:r>
      <w:r w:rsidR="00F84BD2" w:rsidRPr="005304B4">
        <w:rPr>
          <w:lang w:eastAsia="es-MX"/>
        </w:rPr>
        <w:t xml:space="preserve">constitucional, </w:t>
      </w:r>
      <w:r w:rsidRPr="005304B4">
        <w:rPr>
          <w:lang w:eastAsia="es-MX"/>
        </w:rPr>
        <w:t>legal y jurisprudencialmente para su admisión</w:t>
      </w:r>
      <w:r w:rsidR="0020517C" w:rsidRPr="005304B4">
        <w:rPr>
          <w:lang w:eastAsia="es-MX"/>
        </w:rPr>
        <w:t>.</w:t>
      </w:r>
    </w:p>
    <w:p w14:paraId="690B18EE" w14:textId="77777777" w:rsidR="00C83BE6" w:rsidRPr="005304B4" w:rsidRDefault="00C83BE6" w:rsidP="00E328DC">
      <w:pPr>
        <w:pStyle w:val="Prrafodelista"/>
        <w:rPr>
          <w:color w:val="000000" w:themeColor="text1"/>
          <w:lang w:eastAsia="es-MX"/>
        </w:rPr>
      </w:pPr>
    </w:p>
    <w:p w14:paraId="21F1D02F" w14:textId="25BDB7BC" w:rsidR="00F84BD2" w:rsidRPr="005304B4" w:rsidRDefault="00F84BD2" w:rsidP="001620AE">
      <w:pPr>
        <w:pStyle w:val="Prrafodelista"/>
        <w:numPr>
          <w:ilvl w:val="0"/>
          <w:numId w:val="40"/>
        </w:numPr>
        <w:tabs>
          <w:tab w:val="left" w:pos="284"/>
          <w:tab w:val="left" w:pos="426"/>
        </w:tabs>
        <w:ind w:left="0" w:firstLine="0"/>
        <w:rPr>
          <w:color w:val="000000" w:themeColor="text1"/>
        </w:rPr>
      </w:pPr>
      <w:r w:rsidRPr="005304B4">
        <w:rPr>
          <w:color w:val="000000" w:themeColor="text1"/>
          <w:lang w:eastAsia="es-MX"/>
        </w:rPr>
        <w:t>En caso de que la demanda llegare a considerarse apta,</w:t>
      </w:r>
      <w:r w:rsidR="00700772" w:rsidRPr="005304B4">
        <w:rPr>
          <w:color w:val="000000" w:themeColor="text1"/>
          <w:lang w:eastAsia="es-MX"/>
        </w:rPr>
        <w:t xml:space="preserve"> </w:t>
      </w:r>
      <w:r w:rsidR="00C83BE6" w:rsidRPr="005304B4">
        <w:rPr>
          <w:color w:val="000000" w:themeColor="text1"/>
          <w:lang w:eastAsia="es-MX"/>
        </w:rPr>
        <w:t xml:space="preserve">la Sala </w:t>
      </w:r>
      <w:r w:rsidR="00375AED" w:rsidRPr="005304B4">
        <w:rPr>
          <w:color w:val="000000" w:themeColor="text1"/>
          <w:lang w:eastAsia="es-MX"/>
        </w:rPr>
        <w:t xml:space="preserve">advierte la necesidad de </w:t>
      </w:r>
      <w:r w:rsidRPr="005304B4">
        <w:rPr>
          <w:color w:val="000000" w:themeColor="text1"/>
          <w:lang w:eastAsia="es-MX"/>
        </w:rPr>
        <w:t>abordar una</w:t>
      </w:r>
      <w:r w:rsidR="0086459B" w:rsidRPr="005304B4">
        <w:rPr>
          <w:color w:val="000000" w:themeColor="text1"/>
          <w:lang w:eastAsia="es-MX"/>
        </w:rPr>
        <w:t xml:space="preserve"> </w:t>
      </w:r>
      <w:r w:rsidR="00DC74B7" w:rsidRPr="005304B4">
        <w:rPr>
          <w:i/>
          <w:iCs/>
          <w:color w:val="000000" w:themeColor="text1"/>
          <w:lang w:eastAsia="es-MX"/>
        </w:rPr>
        <w:t>segunda</w:t>
      </w:r>
      <w:r w:rsidRPr="005304B4">
        <w:rPr>
          <w:i/>
          <w:iCs/>
          <w:color w:val="000000" w:themeColor="text1"/>
          <w:lang w:eastAsia="es-MX"/>
        </w:rPr>
        <w:t xml:space="preserve"> cuestión previa,</w:t>
      </w:r>
      <w:r w:rsidR="0086459B" w:rsidRPr="005304B4">
        <w:rPr>
          <w:color w:val="000000" w:themeColor="text1"/>
          <w:lang w:eastAsia="es-MX"/>
        </w:rPr>
        <w:t xml:space="preserve"> </w:t>
      </w:r>
      <w:r w:rsidRPr="005304B4">
        <w:rPr>
          <w:color w:val="000000" w:themeColor="text1"/>
          <w:lang w:eastAsia="es-MX"/>
        </w:rPr>
        <w:t>relativa</w:t>
      </w:r>
      <w:r w:rsidR="00D03AE1" w:rsidRPr="005304B4">
        <w:rPr>
          <w:color w:val="000000" w:themeColor="text1"/>
          <w:lang w:eastAsia="es-MX"/>
        </w:rPr>
        <w:t xml:space="preserve"> a</w:t>
      </w:r>
      <w:r w:rsidR="00F03918" w:rsidRPr="005304B4">
        <w:rPr>
          <w:color w:val="000000" w:themeColor="text1"/>
          <w:lang w:eastAsia="es-MX"/>
        </w:rPr>
        <w:t xml:space="preserve"> una posible configuración de cosa juzgada</w:t>
      </w:r>
      <w:r w:rsidRPr="005304B4">
        <w:rPr>
          <w:color w:val="000000" w:themeColor="text1"/>
          <w:lang w:eastAsia="es-MX"/>
        </w:rPr>
        <w:t xml:space="preserve"> constitucional</w:t>
      </w:r>
      <w:r w:rsidR="00AE3FDC" w:rsidRPr="005304B4">
        <w:rPr>
          <w:color w:val="000000" w:themeColor="text1"/>
          <w:lang w:eastAsia="es-MX"/>
        </w:rPr>
        <w:t xml:space="preserve">, puesto que </w:t>
      </w:r>
      <w:r w:rsidR="000E5CE4" w:rsidRPr="005304B4">
        <w:rPr>
          <w:color w:val="000000" w:themeColor="text1"/>
          <w:lang w:eastAsia="es-MX"/>
        </w:rPr>
        <w:t xml:space="preserve">esta </w:t>
      </w:r>
      <w:r w:rsidR="00AE3FDC" w:rsidRPr="005304B4">
        <w:rPr>
          <w:color w:val="000000" w:themeColor="text1"/>
          <w:lang w:eastAsia="es-MX"/>
        </w:rPr>
        <w:t xml:space="preserve">Corte, </w:t>
      </w:r>
      <w:r w:rsidR="000E5CE4" w:rsidRPr="005304B4">
        <w:rPr>
          <w:color w:val="000000" w:themeColor="text1"/>
        </w:rPr>
        <w:t>en las sentencias C-415 de 2022 y C-324 de 2023, estudió la constitucionalidad del artículo 236 del Código Sustantivo del Trabajo, modificado por el artículo 2º de la Ley 2114 de 2021. En ese sentido,</w:t>
      </w:r>
      <w:r w:rsidRPr="005304B4">
        <w:rPr>
          <w:color w:val="000000" w:themeColor="text1"/>
        </w:rPr>
        <w:t xml:space="preserve"> se </w:t>
      </w:r>
      <w:r w:rsidR="00A01AB4" w:rsidRPr="005304B4">
        <w:rPr>
          <w:color w:val="000000" w:themeColor="text1"/>
        </w:rPr>
        <w:t xml:space="preserve">debe examinar si estos pronunciamientos previos </w:t>
      </w:r>
      <w:r w:rsidRPr="005304B4">
        <w:rPr>
          <w:color w:val="000000" w:themeColor="text1"/>
        </w:rPr>
        <w:t>precluyen</w:t>
      </w:r>
      <w:r w:rsidR="00A01AB4" w:rsidRPr="005304B4">
        <w:rPr>
          <w:color w:val="000000" w:themeColor="text1"/>
        </w:rPr>
        <w:t xml:space="preserve"> un nuevo estudio </w:t>
      </w:r>
      <w:r w:rsidRPr="005304B4">
        <w:rPr>
          <w:color w:val="000000" w:themeColor="text1"/>
        </w:rPr>
        <w:t xml:space="preserve">de fondo </w:t>
      </w:r>
      <w:r w:rsidR="00A01AB4" w:rsidRPr="005304B4">
        <w:rPr>
          <w:color w:val="000000" w:themeColor="text1"/>
        </w:rPr>
        <w:t xml:space="preserve">sobre la expresión demandada. </w:t>
      </w:r>
    </w:p>
    <w:p w14:paraId="13B884C3" w14:textId="77777777" w:rsidR="00F84BD2" w:rsidRPr="005304B4" w:rsidRDefault="00F84BD2" w:rsidP="00F84BD2">
      <w:pPr>
        <w:pStyle w:val="Prrafodelista"/>
        <w:tabs>
          <w:tab w:val="left" w:pos="284"/>
          <w:tab w:val="left" w:pos="426"/>
        </w:tabs>
        <w:ind w:left="0"/>
        <w:rPr>
          <w:color w:val="000000" w:themeColor="text1"/>
        </w:rPr>
      </w:pPr>
    </w:p>
    <w:p w14:paraId="4CE6BC57" w14:textId="0FADC7AB" w:rsidR="0020517C" w:rsidRPr="005304B4" w:rsidRDefault="00F84BD2" w:rsidP="001620AE">
      <w:pPr>
        <w:pStyle w:val="Prrafodelista"/>
        <w:numPr>
          <w:ilvl w:val="0"/>
          <w:numId w:val="40"/>
        </w:numPr>
        <w:tabs>
          <w:tab w:val="left" w:pos="284"/>
          <w:tab w:val="left" w:pos="426"/>
        </w:tabs>
        <w:ind w:left="0" w:firstLine="0"/>
        <w:rPr>
          <w:color w:val="000000" w:themeColor="text1"/>
        </w:rPr>
      </w:pPr>
      <w:r w:rsidRPr="005304B4">
        <w:rPr>
          <w:color w:val="000000" w:themeColor="text1"/>
        </w:rPr>
        <w:t>Por último, la Sala detecta que, en caso de superarse satisfactoriamente las dos cuestiones previas anteriores, sería necesario abordar una</w:t>
      </w:r>
      <w:r w:rsidR="0086459B" w:rsidRPr="005304B4">
        <w:rPr>
          <w:color w:val="000000" w:themeColor="text1"/>
        </w:rPr>
        <w:t xml:space="preserve"> </w:t>
      </w:r>
      <w:r w:rsidR="00DC74B7" w:rsidRPr="005304B4">
        <w:rPr>
          <w:i/>
          <w:iCs/>
          <w:color w:val="000000" w:themeColor="text1"/>
        </w:rPr>
        <w:t>tercera</w:t>
      </w:r>
      <w:r w:rsidR="001620AE" w:rsidRPr="005304B4">
        <w:rPr>
          <w:i/>
          <w:iCs/>
          <w:color w:val="000000" w:themeColor="text1"/>
        </w:rPr>
        <w:t xml:space="preserve"> cuestión previa</w:t>
      </w:r>
      <w:r w:rsidR="00CC217A" w:rsidRPr="005304B4">
        <w:rPr>
          <w:i/>
          <w:iCs/>
          <w:color w:val="000000" w:themeColor="text1"/>
        </w:rPr>
        <w:t>,</w:t>
      </w:r>
      <w:r w:rsidR="001620AE" w:rsidRPr="005304B4">
        <w:rPr>
          <w:color w:val="000000" w:themeColor="text1"/>
        </w:rPr>
        <w:t xml:space="preserve"> </w:t>
      </w:r>
      <w:r w:rsidRPr="005304B4">
        <w:rPr>
          <w:color w:val="000000" w:themeColor="text1"/>
        </w:rPr>
        <w:t>relacionada con</w:t>
      </w:r>
      <w:r w:rsidR="0086459B" w:rsidRPr="005304B4">
        <w:rPr>
          <w:color w:val="000000" w:themeColor="text1"/>
        </w:rPr>
        <w:t xml:space="preserve"> una eventual integración normativa</w:t>
      </w:r>
      <w:r w:rsidRPr="005304B4">
        <w:rPr>
          <w:color w:val="000000" w:themeColor="text1"/>
        </w:rPr>
        <w:t xml:space="preserve"> de otros apartes del artículo acusado</w:t>
      </w:r>
      <w:r w:rsidR="00167821" w:rsidRPr="005304B4">
        <w:rPr>
          <w:color w:val="000000" w:themeColor="text1"/>
        </w:rPr>
        <w:t xml:space="preserve">. </w:t>
      </w:r>
    </w:p>
    <w:p w14:paraId="38C9E749" w14:textId="77777777" w:rsidR="00B31B5A" w:rsidRPr="005304B4" w:rsidRDefault="00B31B5A" w:rsidP="00B31B5A">
      <w:pPr>
        <w:pStyle w:val="Prrafodelista"/>
        <w:tabs>
          <w:tab w:val="left" w:pos="284"/>
          <w:tab w:val="left" w:pos="426"/>
        </w:tabs>
        <w:ind w:left="0"/>
        <w:rPr>
          <w:color w:val="000000" w:themeColor="text1"/>
        </w:rPr>
      </w:pPr>
    </w:p>
    <w:p w14:paraId="4AD43896" w14:textId="01EEC1F0" w:rsidR="0020517C" w:rsidRPr="005304B4" w:rsidRDefault="00F84BD2" w:rsidP="00F84BD2">
      <w:pPr>
        <w:pStyle w:val="Ttulo2"/>
      </w:pPr>
      <w:bookmarkStart w:id="20" w:name="_Toc224553746"/>
      <w:r w:rsidRPr="005304B4">
        <w:t xml:space="preserve">3. </w:t>
      </w:r>
      <w:r w:rsidR="0020517C" w:rsidRPr="005304B4">
        <w:t>Cuesti</w:t>
      </w:r>
      <w:r w:rsidR="00BD508F" w:rsidRPr="005304B4">
        <w:t>ones</w:t>
      </w:r>
      <w:r w:rsidR="0020517C" w:rsidRPr="005304B4">
        <w:t xml:space="preserve"> previa</w:t>
      </w:r>
      <w:r w:rsidR="00BD508F" w:rsidRPr="005304B4">
        <w:t>s</w:t>
      </w:r>
      <w:bookmarkEnd w:id="20"/>
    </w:p>
    <w:p w14:paraId="4A8BAA4F" w14:textId="77777777" w:rsidR="0020517C" w:rsidRPr="005304B4" w:rsidRDefault="0020517C" w:rsidP="0020517C">
      <w:pPr>
        <w:pStyle w:val="Prrafodelista"/>
        <w:tabs>
          <w:tab w:val="left" w:pos="284"/>
          <w:tab w:val="left" w:pos="426"/>
        </w:tabs>
        <w:rPr>
          <w:b/>
          <w:bCs/>
          <w:color w:val="000000" w:themeColor="text1"/>
        </w:rPr>
      </w:pPr>
    </w:p>
    <w:p w14:paraId="6B116E0A" w14:textId="39ED5FA7" w:rsidR="0020517C" w:rsidRPr="005304B4" w:rsidRDefault="00F84BD2" w:rsidP="00F84BD2">
      <w:pPr>
        <w:pStyle w:val="Ttulo3"/>
      </w:pPr>
      <w:bookmarkStart w:id="21" w:name="_Toc224553747"/>
      <w:r w:rsidRPr="005304B4">
        <w:t xml:space="preserve">3.1. </w:t>
      </w:r>
      <w:r w:rsidR="00627F5E" w:rsidRPr="005304B4">
        <w:t xml:space="preserve">Primera cuestión previa: </w:t>
      </w:r>
      <w:r w:rsidRPr="005304B4">
        <w:t>la demanda cumple con los requisitos necesarios para su admisión</w:t>
      </w:r>
      <w:bookmarkEnd w:id="21"/>
    </w:p>
    <w:p w14:paraId="16B77191" w14:textId="77777777" w:rsidR="0020517C" w:rsidRPr="005304B4" w:rsidRDefault="0020517C" w:rsidP="0020517C">
      <w:pPr>
        <w:tabs>
          <w:tab w:val="left" w:pos="284"/>
          <w:tab w:val="left" w:pos="426"/>
        </w:tabs>
        <w:rPr>
          <w:i/>
          <w:iCs/>
          <w:color w:val="000000" w:themeColor="text1"/>
          <w:sz w:val="28"/>
          <w:szCs w:val="28"/>
        </w:rPr>
      </w:pPr>
    </w:p>
    <w:p w14:paraId="0293FA56" w14:textId="77777777" w:rsidR="00F84BD2" w:rsidRPr="005304B4" w:rsidRDefault="00F84BD2" w:rsidP="00700772">
      <w:pPr>
        <w:pStyle w:val="Prrafodelista"/>
        <w:numPr>
          <w:ilvl w:val="0"/>
          <w:numId w:val="40"/>
        </w:numPr>
        <w:tabs>
          <w:tab w:val="left" w:pos="284"/>
          <w:tab w:val="left" w:pos="426"/>
        </w:tabs>
        <w:ind w:left="0" w:firstLine="0"/>
        <w:rPr>
          <w:color w:val="000000" w:themeColor="text1"/>
        </w:rPr>
      </w:pPr>
      <w:r w:rsidRPr="005304B4">
        <w:rPr>
          <w:color w:val="000000" w:themeColor="text1"/>
        </w:rPr>
        <w:t>La</w:t>
      </w:r>
      <w:r w:rsidR="0020517C" w:rsidRPr="005304B4">
        <w:rPr>
          <w:color w:val="000000" w:themeColor="text1"/>
        </w:rPr>
        <w:t xml:space="preserve"> Sala Plena</w:t>
      </w:r>
      <w:r w:rsidRPr="005304B4">
        <w:rPr>
          <w:color w:val="000000" w:themeColor="text1"/>
        </w:rPr>
        <w:t xml:space="preserve"> procede a </w:t>
      </w:r>
      <w:r w:rsidR="0020517C" w:rsidRPr="005304B4">
        <w:rPr>
          <w:color w:val="000000" w:themeColor="text1"/>
        </w:rPr>
        <w:t>abordar la aptitud del cargo de inconstitucionalidad</w:t>
      </w:r>
      <w:r w:rsidR="00700772" w:rsidRPr="005304B4">
        <w:rPr>
          <w:color w:val="000000" w:themeColor="text1"/>
        </w:rPr>
        <w:t xml:space="preserve"> formulado por los demandantes en contra</w:t>
      </w:r>
      <w:r w:rsidR="0020517C" w:rsidRPr="005304B4">
        <w:rPr>
          <w:color w:val="000000" w:themeColor="text1"/>
        </w:rPr>
        <w:t xml:space="preserve"> del artículo 2 (parcial) de la Ley 2114 de 2021</w:t>
      </w:r>
      <w:r w:rsidR="00700772" w:rsidRPr="005304B4">
        <w:rPr>
          <w:rStyle w:val="Refdenotaalpie"/>
        </w:rPr>
        <w:footnoteReference w:id="28"/>
      </w:r>
      <w:r w:rsidR="0020517C" w:rsidRPr="005304B4">
        <w:rPr>
          <w:color w:val="000000" w:themeColor="text1"/>
        </w:rPr>
        <w:t xml:space="preserve">. </w:t>
      </w:r>
      <w:r w:rsidRPr="005304B4">
        <w:rPr>
          <w:color w:val="000000" w:themeColor="text1"/>
        </w:rPr>
        <w:t>C</w:t>
      </w:r>
      <w:r w:rsidR="00700772" w:rsidRPr="005304B4">
        <w:rPr>
          <w:color w:val="000000" w:themeColor="text1"/>
        </w:rPr>
        <w:t>omo lo ha advertido esta Corporación,</w:t>
      </w:r>
      <w:r w:rsidR="0020517C" w:rsidRPr="005304B4">
        <w:rPr>
          <w:color w:val="000000" w:themeColor="text1"/>
        </w:rPr>
        <w:t xml:space="preserve"> la etapa de admisión</w:t>
      </w:r>
      <w:r w:rsidRPr="005304B4">
        <w:rPr>
          <w:color w:val="000000" w:themeColor="text1"/>
        </w:rPr>
        <w:t xml:space="preserve"> a cargo del magistrado sustanciador</w:t>
      </w:r>
      <w:r w:rsidR="0020517C" w:rsidRPr="005304B4">
        <w:rPr>
          <w:color w:val="000000" w:themeColor="text1"/>
        </w:rPr>
        <w:t xml:space="preserve"> “no compromete ni limita la competencia de la Sala Plena de la Corte, para analizar la aptitud sustantiva de la demanda, al conocer el proceso”</w:t>
      </w:r>
      <w:r w:rsidR="0020517C" w:rsidRPr="005304B4">
        <w:rPr>
          <w:rStyle w:val="Refdenotaalpie"/>
          <w:color w:val="000000" w:themeColor="text1"/>
        </w:rPr>
        <w:footnoteReference w:id="29"/>
      </w:r>
      <w:r w:rsidR="0020517C" w:rsidRPr="005304B4">
        <w:rPr>
          <w:color w:val="000000" w:themeColor="text1"/>
        </w:rPr>
        <w:t xml:space="preserve">. </w:t>
      </w:r>
    </w:p>
    <w:p w14:paraId="0C1FE505" w14:textId="77777777" w:rsidR="00F84BD2" w:rsidRPr="005304B4" w:rsidRDefault="00F84BD2" w:rsidP="00F84BD2">
      <w:pPr>
        <w:pStyle w:val="Prrafodelista"/>
        <w:tabs>
          <w:tab w:val="left" w:pos="284"/>
          <w:tab w:val="left" w:pos="426"/>
        </w:tabs>
        <w:ind w:left="0"/>
        <w:rPr>
          <w:color w:val="000000" w:themeColor="text1"/>
        </w:rPr>
      </w:pPr>
    </w:p>
    <w:p w14:paraId="6E6C4E74" w14:textId="7A8DC518" w:rsidR="0020517C" w:rsidRPr="005304B4" w:rsidRDefault="00F84BD2" w:rsidP="00303353">
      <w:pPr>
        <w:pStyle w:val="Prrafodelista"/>
        <w:numPr>
          <w:ilvl w:val="0"/>
          <w:numId w:val="40"/>
        </w:numPr>
        <w:tabs>
          <w:tab w:val="left" w:pos="284"/>
          <w:tab w:val="left" w:pos="426"/>
        </w:tabs>
        <w:ind w:left="0" w:firstLine="0"/>
        <w:rPr>
          <w:color w:val="000000" w:themeColor="text1"/>
        </w:rPr>
      </w:pPr>
      <w:r w:rsidRPr="005304B4">
        <w:rPr>
          <w:color w:val="000000" w:themeColor="text1"/>
        </w:rPr>
        <w:t>Según lo ha señalado esta Corte,</w:t>
      </w:r>
      <w:r w:rsidR="0020517C" w:rsidRPr="005304B4">
        <w:rPr>
          <w:color w:val="000000" w:themeColor="text1"/>
        </w:rPr>
        <w:t xml:space="preserve"> la acción pública de inconstitucionalidad es la expresión del derecho de participación de una democracia, y</w:t>
      </w:r>
      <w:r w:rsidR="002A1756" w:rsidRPr="005304B4">
        <w:rPr>
          <w:color w:val="000000" w:themeColor="text1"/>
        </w:rPr>
        <w:t xml:space="preserve"> </w:t>
      </w:r>
      <w:r w:rsidR="0020517C" w:rsidRPr="005304B4">
        <w:rPr>
          <w:color w:val="000000" w:themeColor="text1"/>
        </w:rPr>
        <w:t>constituye un instrumento de control sobre el poder de configuración normativa que radica, de manera principal, en el Congreso de la República</w:t>
      </w:r>
      <w:r w:rsidR="0020517C" w:rsidRPr="005304B4">
        <w:rPr>
          <w:rStyle w:val="Refdenotaalpie"/>
          <w:color w:val="000000" w:themeColor="text1"/>
        </w:rPr>
        <w:footnoteReference w:id="30"/>
      </w:r>
      <w:r w:rsidR="0020517C" w:rsidRPr="005304B4">
        <w:rPr>
          <w:color w:val="000000" w:themeColor="text1"/>
        </w:rPr>
        <w:t xml:space="preserve">. Con todo, </w:t>
      </w:r>
      <w:r w:rsidR="00A15BCA" w:rsidRPr="005304B4">
        <w:rPr>
          <w:color w:val="000000" w:themeColor="text1"/>
        </w:rPr>
        <w:t>el</w:t>
      </w:r>
      <w:r w:rsidR="0020517C" w:rsidRPr="005304B4">
        <w:rPr>
          <w:color w:val="000000" w:themeColor="text1"/>
        </w:rPr>
        <w:t xml:space="preserve"> ejercicio</w:t>
      </w:r>
      <w:r w:rsidR="00A15BCA" w:rsidRPr="005304B4">
        <w:rPr>
          <w:color w:val="000000" w:themeColor="text1"/>
        </w:rPr>
        <w:t xml:space="preserve"> de </w:t>
      </w:r>
      <w:r w:rsidRPr="005304B4">
        <w:rPr>
          <w:color w:val="000000" w:themeColor="text1"/>
        </w:rPr>
        <w:t>esta prerrogativa</w:t>
      </w:r>
      <w:r w:rsidR="00A15BCA" w:rsidRPr="005304B4">
        <w:rPr>
          <w:color w:val="000000" w:themeColor="text1"/>
        </w:rPr>
        <w:t xml:space="preserve"> </w:t>
      </w:r>
      <w:r w:rsidR="0020517C" w:rsidRPr="005304B4">
        <w:rPr>
          <w:color w:val="000000" w:themeColor="text1"/>
        </w:rPr>
        <w:t>no está desprovisto de exigencias que, si bien no pueden constituirse en barreras para el acceso a la administración, están orientadas a dar cuenta de</w:t>
      </w:r>
      <w:r w:rsidRPr="005304B4">
        <w:rPr>
          <w:color w:val="000000" w:themeColor="text1"/>
        </w:rPr>
        <w:t>:</w:t>
      </w:r>
      <w:r w:rsidR="0020517C" w:rsidRPr="005304B4">
        <w:rPr>
          <w:color w:val="000000" w:themeColor="text1"/>
        </w:rPr>
        <w:t xml:space="preserve"> (i) la presunción de corrección de las </w:t>
      </w:r>
      <w:r w:rsidR="000B6BCA" w:rsidRPr="005304B4">
        <w:rPr>
          <w:color w:val="000000" w:themeColor="text1"/>
        </w:rPr>
        <w:t>l</w:t>
      </w:r>
      <w:r w:rsidR="0020517C" w:rsidRPr="005304B4">
        <w:rPr>
          <w:color w:val="000000" w:themeColor="text1"/>
        </w:rPr>
        <w:t>eyes, con mayor precisión e intensidad y de la pretensión de estabilidad del ordenamiento jurídico</w:t>
      </w:r>
      <w:r w:rsidR="00C238B7" w:rsidRPr="005304B4">
        <w:rPr>
          <w:color w:val="000000" w:themeColor="text1"/>
        </w:rPr>
        <w:t xml:space="preserve">; </w:t>
      </w:r>
      <w:r w:rsidR="0020517C" w:rsidRPr="005304B4">
        <w:rPr>
          <w:color w:val="000000" w:themeColor="text1"/>
        </w:rPr>
        <w:t>y (ii) del ejercicio ponderado de la competencia del juez constitucional, que, por un lado, no debe asumir por sí mismo la carga de formular acusaciones contra las normas que luego debe estudiar con imparcialidad; y, por el otro, debe garantizar un escenario en el que el escrito de la demanda permita orientar la participación y el debate ciudadano</w:t>
      </w:r>
      <w:r w:rsidR="0020517C" w:rsidRPr="005304B4">
        <w:rPr>
          <w:rStyle w:val="Refdenotaalpie"/>
          <w:color w:val="000000" w:themeColor="text1"/>
        </w:rPr>
        <w:footnoteReference w:id="31"/>
      </w:r>
      <w:r w:rsidR="0020517C" w:rsidRPr="005304B4">
        <w:rPr>
          <w:color w:val="000000" w:themeColor="text1"/>
        </w:rPr>
        <w:t xml:space="preserve">. </w:t>
      </w:r>
    </w:p>
    <w:p w14:paraId="4C0AA157" w14:textId="77777777" w:rsidR="0020517C" w:rsidRPr="005304B4" w:rsidRDefault="0020517C" w:rsidP="0020517C">
      <w:pPr>
        <w:pStyle w:val="Prrafodelista"/>
        <w:rPr>
          <w:color w:val="000000" w:themeColor="text1"/>
        </w:rPr>
      </w:pPr>
    </w:p>
    <w:p w14:paraId="4EDC6158" w14:textId="5A916C1D" w:rsidR="0020517C" w:rsidRPr="005304B4" w:rsidRDefault="0020517C" w:rsidP="0020517C">
      <w:pPr>
        <w:pStyle w:val="Prrafodelista"/>
        <w:numPr>
          <w:ilvl w:val="0"/>
          <w:numId w:val="40"/>
        </w:numPr>
        <w:tabs>
          <w:tab w:val="left" w:pos="284"/>
          <w:tab w:val="left" w:pos="426"/>
        </w:tabs>
        <w:ind w:left="0" w:firstLine="0"/>
        <w:rPr>
          <w:color w:val="000000" w:themeColor="text1"/>
        </w:rPr>
      </w:pPr>
      <w:r w:rsidRPr="005304B4">
        <w:rPr>
          <w:color w:val="000000" w:themeColor="text1"/>
        </w:rPr>
        <w:t>De ahí que la demanda de inconstitucionalidad, de acuerdo con el Decreto 2067 de 1991 y la jurisprudencia constitucional, deba someterse a exigencias de tipo formal y material, destinadas a la consolidación de un verdadero problema de constitucionalidad</w:t>
      </w:r>
      <w:r w:rsidRPr="005304B4">
        <w:rPr>
          <w:rStyle w:val="Refdenotaalpie"/>
          <w:color w:val="000000" w:themeColor="text1"/>
        </w:rPr>
        <w:footnoteReference w:id="32"/>
      </w:r>
      <w:r w:rsidRPr="005304B4">
        <w:rPr>
          <w:color w:val="000000" w:themeColor="text1"/>
        </w:rPr>
        <w:t xml:space="preserve">. En concreto, el artículo 2° del referido decreto, establece que la acción pública de inconstitucionalidad debe contener los siguientes elementos esenciales: (i) </w:t>
      </w:r>
      <w:r w:rsidRPr="005304B4">
        <w:rPr>
          <w:color w:val="000000" w:themeColor="text1"/>
          <w:shd w:val="clear" w:color="auto" w:fill="FFFFFF"/>
        </w:rPr>
        <w:t>señalar con precisión el objeto demandado; (ii) indicar las disposiciones superiores que estiman infringidas</w:t>
      </w:r>
      <w:r w:rsidR="00C238B7" w:rsidRPr="005304B4">
        <w:rPr>
          <w:color w:val="000000" w:themeColor="text1"/>
          <w:shd w:val="clear" w:color="auto" w:fill="FFFFFF"/>
        </w:rPr>
        <w:t>,</w:t>
      </w:r>
      <w:r w:rsidRPr="005304B4">
        <w:rPr>
          <w:color w:val="000000" w:themeColor="text1"/>
          <w:shd w:val="clear" w:color="auto" w:fill="FFFFFF"/>
        </w:rPr>
        <w:t xml:space="preserve"> y (iii) exponer las razones o motivos por los cuales la norma acusada viola la Constitución Política. En otras palabras, formular por lo menos un cargo </w:t>
      </w:r>
      <w:r w:rsidR="000B6BCA" w:rsidRPr="005304B4">
        <w:rPr>
          <w:color w:val="000000" w:themeColor="text1"/>
          <w:shd w:val="clear" w:color="auto" w:fill="FFFFFF"/>
        </w:rPr>
        <w:t xml:space="preserve">apto </w:t>
      </w:r>
      <w:r w:rsidRPr="005304B4">
        <w:rPr>
          <w:color w:val="000000" w:themeColor="text1"/>
          <w:shd w:val="clear" w:color="auto" w:fill="FFFFFF"/>
        </w:rPr>
        <w:t>de inconstitucionalidad. De igual forma, (iv) debe explicar la razón por la cual estima que la Corte Constitucional es competente</w:t>
      </w:r>
      <w:r w:rsidRPr="005304B4">
        <w:rPr>
          <w:rStyle w:val="Refdenotaalpie"/>
          <w:color w:val="000000" w:themeColor="text1"/>
          <w:shd w:val="clear" w:color="auto" w:fill="FFFFFF"/>
        </w:rPr>
        <w:footnoteReference w:id="33"/>
      </w:r>
      <w:r w:rsidRPr="005304B4">
        <w:rPr>
          <w:color w:val="000000" w:themeColor="text1"/>
          <w:shd w:val="clear" w:color="auto" w:fill="FFFFFF"/>
        </w:rPr>
        <w:t xml:space="preserve">. </w:t>
      </w:r>
    </w:p>
    <w:p w14:paraId="778F4588" w14:textId="77777777" w:rsidR="0020517C" w:rsidRPr="005304B4" w:rsidRDefault="0020517C" w:rsidP="0020517C">
      <w:pPr>
        <w:pStyle w:val="Prrafodelista"/>
        <w:rPr>
          <w:color w:val="000000" w:themeColor="text1"/>
        </w:rPr>
      </w:pPr>
    </w:p>
    <w:p w14:paraId="4E6B6712" w14:textId="77777777" w:rsidR="0020517C" w:rsidRPr="005304B4" w:rsidRDefault="0020517C" w:rsidP="0020517C">
      <w:pPr>
        <w:pStyle w:val="Prrafodelista"/>
        <w:numPr>
          <w:ilvl w:val="0"/>
          <w:numId w:val="40"/>
        </w:numPr>
        <w:tabs>
          <w:tab w:val="left" w:pos="284"/>
          <w:tab w:val="left" w:pos="426"/>
        </w:tabs>
        <w:ind w:left="0" w:firstLine="0"/>
        <w:rPr>
          <w:color w:val="000000" w:themeColor="text1"/>
        </w:rPr>
      </w:pPr>
      <w:r w:rsidRPr="005304B4">
        <w:rPr>
          <w:color w:val="000000" w:themeColor="text1"/>
        </w:rPr>
        <w:t>Las dos primeras exigencias están encaminadas a determinar, de un lado, de manera clara y precisa el objeto sobre el que versa la acusación, esto es, la identificación de las normas que se demandan como inconstitucionales. Esta se cumple con la transcripción literal de las mismas por cualquier medio o con la inclusión en la demanda de un ejemplar de la publicación oficial</w:t>
      </w:r>
      <w:r w:rsidRPr="005304B4">
        <w:rPr>
          <w:rStyle w:val="Refdenotaalpie"/>
          <w:color w:val="000000" w:themeColor="text1"/>
        </w:rPr>
        <w:footnoteReference w:id="34"/>
      </w:r>
      <w:r w:rsidRPr="005304B4">
        <w:rPr>
          <w:color w:val="000000" w:themeColor="text1"/>
        </w:rPr>
        <w:t xml:space="preserve">. De otro lado, </w:t>
      </w:r>
      <w:r w:rsidRPr="005304B4">
        <w:rPr>
          <w:color w:val="000000" w:themeColor="text1"/>
          <w:shd w:val="clear" w:color="auto" w:fill="FFFFFF"/>
        </w:rPr>
        <w:t>la exposición clara de las disposiciones constitucionales que el demandante estima vulneradas por las normas acusadas y que son relevantes para el juicio.</w:t>
      </w:r>
    </w:p>
    <w:p w14:paraId="095DF057" w14:textId="77777777" w:rsidR="0020517C" w:rsidRPr="005304B4" w:rsidRDefault="0020517C" w:rsidP="0020517C">
      <w:pPr>
        <w:pStyle w:val="Prrafodelista"/>
        <w:rPr>
          <w:color w:val="000000" w:themeColor="text1"/>
        </w:rPr>
      </w:pPr>
    </w:p>
    <w:p w14:paraId="73D9E210" w14:textId="4A2518F0" w:rsidR="0020517C" w:rsidRPr="005304B4" w:rsidRDefault="0020517C" w:rsidP="0020517C">
      <w:pPr>
        <w:pStyle w:val="Prrafodelista"/>
        <w:numPr>
          <w:ilvl w:val="0"/>
          <w:numId w:val="40"/>
        </w:numPr>
        <w:tabs>
          <w:tab w:val="left" w:pos="284"/>
          <w:tab w:val="left" w:pos="426"/>
        </w:tabs>
        <w:ind w:left="0" w:firstLine="0"/>
        <w:rPr>
          <w:color w:val="000000" w:themeColor="text1"/>
        </w:rPr>
      </w:pPr>
      <w:r w:rsidRPr="005304B4">
        <w:rPr>
          <w:color w:val="000000" w:themeColor="text1"/>
        </w:rPr>
        <w:t xml:space="preserve">El tercero de los requisitos mencionados, que se conoce como el concepto de la violación, implica una </w:t>
      </w:r>
      <w:r w:rsidRPr="005304B4">
        <w:t xml:space="preserve">carga argumentativa mínima para el demandante, pues debe exponer las razones por las cuales estima que las disposiciones acusadas son contrarias a la Constitución. </w:t>
      </w:r>
      <w:r w:rsidRPr="005304B4">
        <w:rPr>
          <w:color w:val="000000" w:themeColor="text1"/>
        </w:rPr>
        <w:t>Esta exigencia impone a los ciudadanos que los motivos para sustentar cabalmente la censura constitucional sean claro</w:t>
      </w:r>
      <w:r w:rsidR="00E52FE5" w:rsidRPr="005304B4">
        <w:rPr>
          <w:color w:val="000000" w:themeColor="text1"/>
        </w:rPr>
        <w:t>s</w:t>
      </w:r>
      <w:r w:rsidRPr="005304B4">
        <w:rPr>
          <w:color w:val="000000" w:themeColor="text1"/>
        </w:rPr>
        <w:t xml:space="preserve">, ciertos, específicos, pertinentes y suficientes, con el propósito de establecer una posición objetiva </w:t>
      </w:r>
      <w:r w:rsidR="005F49B3" w:rsidRPr="005304B4">
        <w:rPr>
          <w:color w:val="000000" w:themeColor="text1"/>
        </w:rPr>
        <w:t>y</w:t>
      </w:r>
      <w:r w:rsidRPr="005304B4">
        <w:rPr>
          <w:color w:val="000000" w:themeColor="text1"/>
        </w:rPr>
        <w:t xml:space="preserve"> verificable entre la norma impugnada y el conjunto de las disposiciones constitucionales. </w:t>
      </w:r>
      <w:r w:rsidR="000B6BCA" w:rsidRPr="005304B4">
        <w:rPr>
          <w:color w:val="000000" w:themeColor="text1"/>
        </w:rPr>
        <w:t>L</w:t>
      </w:r>
      <w:r w:rsidRPr="005304B4">
        <w:rPr>
          <w:color w:val="000000" w:themeColor="text1"/>
        </w:rPr>
        <w:t xml:space="preserve">a </w:t>
      </w:r>
      <w:r w:rsidRPr="005304B4">
        <w:t>Sentencia C-1052 de 2001,</w:t>
      </w:r>
      <w:r w:rsidR="00EE3AC1" w:rsidRPr="005304B4">
        <w:t xml:space="preserve"> y la jurisprudencia constitucional subsiguiente, han precisado</w:t>
      </w:r>
      <w:r w:rsidRPr="005304B4">
        <w:t xml:space="preserve"> </w:t>
      </w:r>
      <w:r w:rsidR="000B6BCA" w:rsidRPr="005304B4">
        <w:t xml:space="preserve">dichas cargas argumentativas </w:t>
      </w:r>
      <w:r w:rsidRPr="005304B4">
        <w:t>de la siguiente forma:</w:t>
      </w:r>
    </w:p>
    <w:p w14:paraId="08C28351" w14:textId="77777777" w:rsidR="0020517C" w:rsidRPr="005304B4" w:rsidRDefault="0020517C" w:rsidP="0020517C">
      <w:pPr>
        <w:rPr>
          <w:sz w:val="28"/>
          <w:szCs w:val="28"/>
        </w:rPr>
      </w:pPr>
    </w:p>
    <w:p w14:paraId="1C5D6418" w14:textId="6E259487" w:rsidR="00851570" w:rsidRPr="005304B4" w:rsidRDefault="00851570" w:rsidP="00851570">
      <w:pPr>
        <w:jc w:val="center"/>
        <w:rPr>
          <w:b/>
          <w:bCs/>
          <w:sz w:val="20"/>
          <w:szCs w:val="20"/>
        </w:rPr>
      </w:pPr>
      <w:r w:rsidRPr="005304B4">
        <w:rPr>
          <w:b/>
          <w:bCs/>
          <w:sz w:val="20"/>
          <w:szCs w:val="20"/>
        </w:rPr>
        <w:t>Tabla 2</w:t>
      </w:r>
    </w:p>
    <w:tbl>
      <w:tblPr>
        <w:tblStyle w:val="Tablaconcuadrcula1"/>
        <w:tblW w:w="0" w:type="auto"/>
        <w:tblLook w:val="04A0" w:firstRow="1" w:lastRow="0" w:firstColumn="1" w:lastColumn="0" w:noHBand="0" w:noVBand="1"/>
      </w:tblPr>
      <w:tblGrid>
        <w:gridCol w:w="2539"/>
        <w:gridCol w:w="6291"/>
      </w:tblGrid>
      <w:tr w:rsidR="00EE3AC1" w:rsidRPr="005304B4" w14:paraId="3F656ADA" w14:textId="77777777" w:rsidTr="00DB5046">
        <w:trPr>
          <w:trHeight w:val="371"/>
        </w:trPr>
        <w:tc>
          <w:tcPr>
            <w:tcW w:w="2539" w:type="dxa"/>
            <w:shd w:val="clear" w:color="auto" w:fill="AEAAAA" w:themeFill="background2" w:themeFillShade="BF"/>
          </w:tcPr>
          <w:p w14:paraId="73C71352" w14:textId="577CA4AE" w:rsidR="00EE3AC1" w:rsidRPr="005304B4" w:rsidRDefault="00EE3AC1" w:rsidP="00EE3AC1">
            <w:pPr>
              <w:tabs>
                <w:tab w:val="left" w:pos="284"/>
              </w:tabs>
              <w:jc w:val="center"/>
              <w:rPr>
                <w:b/>
                <w:bCs/>
                <w:sz w:val="20"/>
                <w:szCs w:val="20"/>
              </w:rPr>
            </w:pPr>
            <w:r w:rsidRPr="005304B4">
              <w:rPr>
                <w:b/>
                <w:bCs/>
                <w:sz w:val="20"/>
                <w:szCs w:val="20"/>
              </w:rPr>
              <w:t>Requisito</w:t>
            </w:r>
          </w:p>
        </w:tc>
        <w:tc>
          <w:tcPr>
            <w:tcW w:w="6291" w:type="dxa"/>
            <w:shd w:val="clear" w:color="auto" w:fill="AEAAAA" w:themeFill="background2" w:themeFillShade="BF"/>
          </w:tcPr>
          <w:p w14:paraId="373D229B" w14:textId="74122C41" w:rsidR="00EE3AC1" w:rsidRPr="005304B4" w:rsidRDefault="00EE3AC1" w:rsidP="00EE3AC1">
            <w:pPr>
              <w:tabs>
                <w:tab w:val="left" w:pos="284"/>
              </w:tabs>
              <w:jc w:val="center"/>
              <w:rPr>
                <w:b/>
                <w:bCs/>
                <w:sz w:val="20"/>
                <w:szCs w:val="20"/>
              </w:rPr>
            </w:pPr>
            <w:r w:rsidRPr="005304B4">
              <w:rPr>
                <w:b/>
                <w:bCs/>
                <w:sz w:val="20"/>
                <w:szCs w:val="20"/>
              </w:rPr>
              <w:t>Contenido</w:t>
            </w:r>
          </w:p>
        </w:tc>
      </w:tr>
      <w:tr w:rsidR="00EE3AC1" w:rsidRPr="005304B4" w14:paraId="5D07610C" w14:textId="77777777" w:rsidTr="00DB5046">
        <w:trPr>
          <w:trHeight w:val="697"/>
        </w:trPr>
        <w:tc>
          <w:tcPr>
            <w:tcW w:w="2539" w:type="dxa"/>
            <w:shd w:val="clear" w:color="auto" w:fill="E7E6E6" w:themeFill="background2"/>
          </w:tcPr>
          <w:p w14:paraId="0A79EB15" w14:textId="77777777" w:rsidR="00EE3AC1" w:rsidRPr="005304B4" w:rsidRDefault="00EE3AC1" w:rsidP="00EE3AC1">
            <w:pPr>
              <w:tabs>
                <w:tab w:val="left" w:pos="284"/>
              </w:tabs>
              <w:rPr>
                <w:b/>
                <w:bCs/>
                <w:sz w:val="20"/>
                <w:szCs w:val="20"/>
              </w:rPr>
            </w:pPr>
            <w:r w:rsidRPr="005304B4">
              <w:rPr>
                <w:b/>
                <w:bCs/>
                <w:sz w:val="20"/>
                <w:szCs w:val="20"/>
              </w:rPr>
              <w:t>Claridad</w:t>
            </w:r>
          </w:p>
        </w:tc>
        <w:tc>
          <w:tcPr>
            <w:tcW w:w="6291" w:type="dxa"/>
            <w:shd w:val="clear" w:color="auto" w:fill="E7E6E6" w:themeFill="background2"/>
          </w:tcPr>
          <w:p w14:paraId="023C43F3" w14:textId="6D35E8D5" w:rsidR="00EE3AC1" w:rsidRPr="005304B4" w:rsidRDefault="00EE3AC1" w:rsidP="001065D8">
            <w:pPr>
              <w:tabs>
                <w:tab w:val="left" w:pos="284"/>
              </w:tabs>
              <w:jc w:val="both"/>
              <w:rPr>
                <w:sz w:val="20"/>
                <w:szCs w:val="20"/>
              </w:rPr>
            </w:pPr>
            <w:r w:rsidRPr="005304B4">
              <w:rPr>
                <w:sz w:val="20"/>
                <w:szCs w:val="20"/>
              </w:rPr>
              <w:t>Que la acusación sea suficientemente comprensible y de fácil entendimiento. Los argumentos deben ser determinados,</w:t>
            </w:r>
            <w:r w:rsidR="001065D8" w:rsidRPr="005304B4">
              <w:rPr>
                <w:sz w:val="20"/>
                <w:szCs w:val="20"/>
              </w:rPr>
              <w:t xml:space="preserve"> p</w:t>
            </w:r>
            <w:r w:rsidRPr="005304B4">
              <w:rPr>
                <w:sz w:val="20"/>
                <w:szCs w:val="20"/>
              </w:rPr>
              <w:t xml:space="preserve">recisos y entendibles. No contradictorios, ilógicos ni anfibológicos de manera que se pueda identificar exactamente el alcance o el sentido de lo pretendido y de qué manera el texto que se controvierte infringe la Carta. </w:t>
            </w:r>
          </w:p>
        </w:tc>
      </w:tr>
      <w:tr w:rsidR="00EE3AC1" w:rsidRPr="005304B4" w14:paraId="54ED834C" w14:textId="77777777" w:rsidTr="00DB5046">
        <w:trPr>
          <w:trHeight w:val="1685"/>
        </w:trPr>
        <w:tc>
          <w:tcPr>
            <w:tcW w:w="2539" w:type="dxa"/>
            <w:shd w:val="clear" w:color="auto" w:fill="E7E6E6" w:themeFill="background2"/>
          </w:tcPr>
          <w:p w14:paraId="7F22E3CC" w14:textId="77777777" w:rsidR="00EE3AC1" w:rsidRPr="005304B4" w:rsidRDefault="00EE3AC1" w:rsidP="00EE3AC1">
            <w:pPr>
              <w:tabs>
                <w:tab w:val="left" w:pos="284"/>
              </w:tabs>
              <w:rPr>
                <w:b/>
                <w:bCs/>
                <w:sz w:val="20"/>
                <w:szCs w:val="20"/>
              </w:rPr>
            </w:pPr>
            <w:r w:rsidRPr="005304B4">
              <w:rPr>
                <w:b/>
                <w:bCs/>
                <w:sz w:val="20"/>
                <w:szCs w:val="20"/>
              </w:rPr>
              <w:t>Certeza</w:t>
            </w:r>
          </w:p>
        </w:tc>
        <w:tc>
          <w:tcPr>
            <w:tcW w:w="6291" w:type="dxa"/>
            <w:shd w:val="clear" w:color="auto" w:fill="E7E6E6" w:themeFill="background2"/>
          </w:tcPr>
          <w:p w14:paraId="788A032A" w14:textId="77777777" w:rsidR="00EE3AC1" w:rsidRPr="005304B4" w:rsidRDefault="00EE3AC1" w:rsidP="001065D8">
            <w:pPr>
              <w:tabs>
                <w:tab w:val="left" w:pos="284"/>
              </w:tabs>
              <w:jc w:val="both"/>
              <w:rPr>
                <w:sz w:val="20"/>
                <w:szCs w:val="20"/>
              </w:rPr>
            </w:pPr>
            <w:r w:rsidRPr="005304B4">
              <w:rPr>
                <w:sz w:val="20"/>
                <w:szCs w:val="20"/>
              </w:rPr>
              <w:t>Que la acusación recaiga directamente sobre el contenido de la disposición demandada y no sobre una proposición jurídica inferida o deducida por el actor e incluso sobre otras normas vigentes que, en todo caso, no son el objeto concreto de la demanda.</w:t>
            </w:r>
          </w:p>
          <w:p w14:paraId="61A85E6A" w14:textId="77777777" w:rsidR="00EE3AC1" w:rsidRPr="005304B4" w:rsidRDefault="00EE3AC1" w:rsidP="00C77FF8">
            <w:pPr>
              <w:tabs>
                <w:tab w:val="left" w:pos="284"/>
              </w:tabs>
              <w:rPr>
                <w:sz w:val="20"/>
                <w:szCs w:val="20"/>
              </w:rPr>
            </w:pPr>
          </w:p>
          <w:p w14:paraId="133AE19A" w14:textId="77777777" w:rsidR="00EE3AC1" w:rsidRPr="005304B4" w:rsidRDefault="00EE3AC1" w:rsidP="001065D8">
            <w:pPr>
              <w:tabs>
                <w:tab w:val="left" w:pos="284"/>
              </w:tabs>
              <w:jc w:val="both"/>
              <w:rPr>
                <w:sz w:val="20"/>
                <w:szCs w:val="20"/>
              </w:rPr>
            </w:pPr>
            <w:r w:rsidRPr="005304B4">
              <w:rPr>
                <w:sz w:val="20"/>
                <w:szCs w:val="20"/>
              </w:rPr>
              <w:t>Se requiere que los cargos tengan por objeto un enunciado normativo perteneciente al ordenamiento jurídico e ir dirigidos a impugnar la disposición señalada en la demanda. La norma demandada debe ser susceptible de inferirse del enunciado acusado y no ser fruto de una construcción exclusivamente subjetiva, con base en presunciones, conjeturas o sospechas del actor.</w:t>
            </w:r>
          </w:p>
        </w:tc>
      </w:tr>
      <w:tr w:rsidR="00EE3AC1" w:rsidRPr="005304B4" w14:paraId="207B2248" w14:textId="77777777" w:rsidTr="00DB5046">
        <w:trPr>
          <w:trHeight w:val="1290"/>
        </w:trPr>
        <w:tc>
          <w:tcPr>
            <w:tcW w:w="2539" w:type="dxa"/>
            <w:shd w:val="clear" w:color="auto" w:fill="E7E6E6" w:themeFill="background2"/>
          </w:tcPr>
          <w:p w14:paraId="36D2D6D9" w14:textId="77777777" w:rsidR="00EE3AC1" w:rsidRPr="005304B4" w:rsidRDefault="00EE3AC1" w:rsidP="00EE3AC1">
            <w:pPr>
              <w:tabs>
                <w:tab w:val="left" w:pos="284"/>
              </w:tabs>
              <w:rPr>
                <w:b/>
                <w:bCs/>
                <w:sz w:val="20"/>
                <w:szCs w:val="20"/>
              </w:rPr>
            </w:pPr>
            <w:r w:rsidRPr="005304B4">
              <w:rPr>
                <w:b/>
                <w:bCs/>
                <w:sz w:val="20"/>
                <w:szCs w:val="20"/>
              </w:rPr>
              <w:t>Especificidad</w:t>
            </w:r>
          </w:p>
        </w:tc>
        <w:tc>
          <w:tcPr>
            <w:tcW w:w="6291" w:type="dxa"/>
            <w:shd w:val="clear" w:color="auto" w:fill="E7E6E6" w:themeFill="background2"/>
          </w:tcPr>
          <w:p w14:paraId="51890D4F" w14:textId="4B02EF0A" w:rsidR="00EE3AC1" w:rsidRPr="005304B4" w:rsidRDefault="00EE3AC1" w:rsidP="001065D8">
            <w:pPr>
              <w:tabs>
                <w:tab w:val="left" w:pos="284"/>
              </w:tabs>
              <w:jc w:val="both"/>
              <w:rPr>
                <w:sz w:val="20"/>
                <w:szCs w:val="20"/>
              </w:rPr>
            </w:pPr>
            <w:bookmarkStart w:id="22" w:name="_Hlk212119088"/>
            <w:r w:rsidRPr="005304B4">
              <w:rPr>
                <w:sz w:val="20"/>
                <w:szCs w:val="20"/>
              </w:rPr>
              <w:t>Que se demuestre la manera cómo la disposición vulnera la Constitución Política, mediante argumentos determinados, concretos, precisos y particulares sobre la norma en juicio.</w:t>
            </w:r>
            <w:r w:rsidR="00D44E58" w:rsidRPr="005304B4">
              <w:rPr>
                <w:sz w:val="20"/>
                <w:szCs w:val="20"/>
              </w:rPr>
              <w:t xml:space="preserve"> </w:t>
            </w:r>
            <w:r w:rsidRPr="005304B4">
              <w:rPr>
                <w:sz w:val="20"/>
                <w:szCs w:val="20"/>
              </w:rPr>
              <w:t>Se debe establecer diáfanamente la manera como la norma demandada vulnera la Constitución.</w:t>
            </w:r>
            <w:bookmarkEnd w:id="22"/>
          </w:p>
          <w:p w14:paraId="11D07EAC" w14:textId="77777777" w:rsidR="00EE3AC1" w:rsidRPr="005304B4" w:rsidRDefault="00EE3AC1" w:rsidP="00C77FF8">
            <w:pPr>
              <w:tabs>
                <w:tab w:val="left" w:pos="284"/>
              </w:tabs>
              <w:rPr>
                <w:sz w:val="20"/>
                <w:szCs w:val="20"/>
              </w:rPr>
            </w:pPr>
          </w:p>
          <w:p w14:paraId="06984057" w14:textId="77777777" w:rsidR="00EE3AC1" w:rsidRPr="005304B4" w:rsidRDefault="00EE3AC1" w:rsidP="001065D8">
            <w:pPr>
              <w:tabs>
                <w:tab w:val="left" w:pos="284"/>
              </w:tabs>
              <w:jc w:val="both"/>
              <w:rPr>
                <w:sz w:val="20"/>
                <w:szCs w:val="20"/>
              </w:rPr>
            </w:pPr>
            <w:r w:rsidRPr="005304B4">
              <w:rPr>
                <w:sz w:val="20"/>
                <w:szCs w:val="20"/>
              </w:rPr>
              <w:t xml:space="preserve">La </w:t>
            </w:r>
            <w:r w:rsidRPr="005304B4">
              <w:rPr>
                <w:i/>
                <w:sz w:val="20"/>
                <w:szCs w:val="20"/>
              </w:rPr>
              <w:t xml:space="preserve">especificidad </w:t>
            </w:r>
            <w:r w:rsidRPr="005304B4">
              <w:rPr>
                <w:sz w:val="20"/>
                <w:szCs w:val="20"/>
              </w:rPr>
              <w:t xml:space="preserve">de los cargos exige concreción y puntualidad en la censura, es decir, la demostración de que el enunciado normativo exhibe un problema de validez constitucional y la explicación de la manera en que esa consecuencia le es atribuible. </w:t>
            </w:r>
          </w:p>
          <w:p w14:paraId="19E8F165" w14:textId="77777777" w:rsidR="00EE3AC1" w:rsidRPr="005304B4" w:rsidRDefault="00EE3AC1" w:rsidP="00C77FF8">
            <w:pPr>
              <w:tabs>
                <w:tab w:val="left" w:pos="284"/>
              </w:tabs>
              <w:rPr>
                <w:sz w:val="20"/>
                <w:szCs w:val="20"/>
              </w:rPr>
            </w:pPr>
          </w:p>
          <w:p w14:paraId="6F40B560" w14:textId="39EA7CDD" w:rsidR="00EE3AC1" w:rsidRPr="005304B4" w:rsidRDefault="00EE3AC1" w:rsidP="001065D8">
            <w:pPr>
              <w:tabs>
                <w:tab w:val="left" w:pos="284"/>
              </w:tabs>
              <w:jc w:val="both"/>
              <w:rPr>
                <w:sz w:val="20"/>
                <w:szCs w:val="20"/>
              </w:rPr>
            </w:pPr>
            <w:r w:rsidRPr="005304B4">
              <w:rPr>
                <w:sz w:val="20"/>
                <w:szCs w:val="20"/>
              </w:rPr>
              <w:t>Se debe establecer si realmente existe una oposición objetiva y verificable entre el contenido de la ley y el texto de la Constitución Política, resultando inadmisible que se deba resolver sobre su inexequibilidad a partir de argumentos vagos, indeterminados, indirectos, abstractos y globales que no se relacionan concreta y directamente con las disposiciones que se acusan.</w:t>
            </w:r>
          </w:p>
        </w:tc>
      </w:tr>
      <w:tr w:rsidR="00EE3AC1" w:rsidRPr="005304B4" w14:paraId="347D9D23" w14:textId="77777777" w:rsidTr="00DB5046">
        <w:trPr>
          <w:trHeight w:val="1124"/>
        </w:trPr>
        <w:tc>
          <w:tcPr>
            <w:tcW w:w="2539" w:type="dxa"/>
            <w:shd w:val="clear" w:color="auto" w:fill="E7E6E6" w:themeFill="background2"/>
          </w:tcPr>
          <w:p w14:paraId="2EDEE81E" w14:textId="77777777" w:rsidR="00EE3AC1" w:rsidRPr="005304B4" w:rsidRDefault="00EE3AC1" w:rsidP="00EE3AC1">
            <w:pPr>
              <w:tabs>
                <w:tab w:val="left" w:pos="284"/>
              </w:tabs>
              <w:rPr>
                <w:b/>
                <w:bCs/>
                <w:sz w:val="20"/>
                <w:szCs w:val="20"/>
              </w:rPr>
            </w:pPr>
            <w:r w:rsidRPr="005304B4">
              <w:rPr>
                <w:b/>
                <w:bCs/>
                <w:sz w:val="20"/>
                <w:szCs w:val="20"/>
              </w:rPr>
              <w:t>Pertinencia</w:t>
            </w:r>
          </w:p>
        </w:tc>
        <w:tc>
          <w:tcPr>
            <w:tcW w:w="6291" w:type="dxa"/>
            <w:shd w:val="clear" w:color="auto" w:fill="E7E6E6" w:themeFill="background2"/>
          </w:tcPr>
          <w:p w14:paraId="387B9713" w14:textId="77777777" w:rsidR="00EE3AC1" w:rsidRPr="005304B4" w:rsidRDefault="00EE3AC1" w:rsidP="001065D8">
            <w:pPr>
              <w:tabs>
                <w:tab w:val="left" w:pos="284"/>
              </w:tabs>
              <w:jc w:val="both"/>
              <w:rPr>
                <w:sz w:val="20"/>
                <w:szCs w:val="20"/>
              </w:rPr>
            </w:pPr>
            <w:r w:rsidRPr="005304B4">
              <w:rPr>
                <w:sz w:val="20"/>
                <w:szCs w:val="20"/>
              </w:rPr>
              <w:t>Que se utilicen argumentos de naturaleza estrictamente constitucional y no razones de orden legal, personal, doctrinal o de simple conveniencia.</w:t>
            </w:r>
          </w:p>
          <w:p w14:paraId="785F7503" w14:textId="77777777" w:rsidR="00EE3AC1" w:rsidRPr="005304B4" w:rsidRDefault="00EE3AC1" w:rsidP="00C77FF8">
            <w:pPr>
              <w:tabs>
                <w:tab w:val="left" w:pos="284"/>
              </w:tabs>
              <w:rPr>
                <w:sz w:val="20"/>
                <w:szCs w:val="20"/>
              </w:rPr>
            </w:pPr>
          </w:p>
          <w:p w14:paraId="0118EE61" w14:textId="77777777" w:rsidR="00EE3AC1" w:rsidRPr="005304B4" w:rsidRDefault="00EE3AC1" w:rsidP="001065D8">
            <w:pPr>
              <w:tabs>
                <w:tab w:val="left" w:pos="284"/>
              </w:tabs>
              <w:jc w:val="both"/>
              <w:rPr>
                <w:sz w:val="20"/>
                <w:szCs w:val="20"/>
              </w:rPr>
            </w:pPr>
            <w:r w:rsidRPr="005304B4">
              <w:rPr>
                <w:sz w:val="20"/>
                <w:szCs w:val="20"/>
              </w:rPr>
              <w:t>Es necesario que los cargos planteen un juicio de contradicción normativa entre una disposición legal y una de jerarquía constitucional. Adicionalmente, el razonamiento que funda la presunta inconstitucionalidad debe ser de relevancia constitucional, no legal, doctrinal, político o moral. El cargo no es pertinente si el argumento en que se sostiene se basa en hipótesis acerca de situaciones de hecho, reales o de eventual ocurrencia, o ejemplos en los que podría ser o es aplicada la disposición.</w:t>
            </w:r>
          </w:p>
        </w:tc>
      </w:tr>
      <w:tr w:rsidR="00EE3AC1" w:rsidRPr="005304B4" w14:paraId="32B4D370" w14:textId="77777777" w:rsidTr="00DB5046">
        <w:trPr>
          <w:trHeight w:val="865"/>
        </w:trPr>
        <w:tc>
          <w:tcPr>
            <w:tcW w:w="2539" w:type="dxa"/>
            <w:shd w:val="clear" w:color="auto" w:fill="E7E6E6" w:themeFill="background2"/>
          </w:tcPr>
          <w:p w14:paraId="52020D66" w14:textId="77777777" w:rsidR="00EE3AC1" w:rsidRPr="005304B4" w:rsidRDefault="00EE3AC1" w:rsidP="00EE3AC1">
            <w:pPr>
              <w:tabs>
                <w:tab w:val="left" w:pos="284"/>
              </w:tabs>
              <w:rPr>
                <w:b/>
                <w:bCs/>
                <w:sz w:val="20"/>
                <w:szCs w:val="20"/>
              </w:rPr>
            </w:pPr>
            <w:r w:rsidRPr="005304B4">
              <w:rPr>
                <w:b/>
                <w:bCs/>
                <w:sz w:val="20"/>
                <w:szCs w:val="20"/>
              </w:rPr>
              <w:t>Suficiencia</w:t>
            </w:r>
          </w:p>
        </w:tc>
        <w:tc>
          <w:tcPr>
            <w:tcW w:w="6291" w:type="dxa"/>
            <w:shd w:val="clear" w:color="auto" w:fill="E7E6E6" w:themeFill="background2"/>
          </w:tcPr>
          <w:p w14:paraId="33C8E48D" w14:textId="77777777" w:rsidR="00EE3AC1" w:rsidRPr="005304B4" w:rsidRDefault="00EE3AC1" w:rsidP="001065D8">
            <w:pPr>
              <w:tabs>
                <w:tab w:val="left" w:pos="284"/>
              </w:tabs>
              <w:jc w:val="both"/>
              <w:rPr>
                <w:sz w:val="20"/>
                <w:szCs w:val="20"/>
              </w:rPr>
            </w:pPr>
            <w:r w:rsidRPr="005304B4">
              <w:rPr>
                <w:sz w:val="20"/>
                <w:szCs w:val="20"/>
              </w:rPr>
              <w:t>Que la acusación contenga todos los elementos fácticos y probatorios necesarios para adelantar el juicio de inconstitucionalidad, de forma que genere por lo menos una sospecha o duda mínima sobre la constitucionalidad del precepto acusado.</w:t>
            </w:r>
          </w:p>
          <w:p w14:paraId="3CF4B2F7" w14:textId="77777777" w:rsidR="00EE3AC1" w:rsidRPr="005304B4" w:rsidRDefault="00EE3AC1" w:rsidP="00C77FF8">
            <w:pPr>
              <w:tabs>
                <w:tab w:val="left" w:pos="284"/>
              </w:tabs>
              <w:rPr>
                <w:sz w:val="20"/>
                <w:szCs w:val="20"/>
              </w:rPr>
            </w:pPr>
          </w:p>
          <w:p w14:paraId="12827AFC" w14:textId="501B75EB" w:rsidR="00EE3AC1" w:rsidRPr="005304B4" w:rsidRDefault="00EE3AC1" w:rsidP="001065D8">
            <w:pPr>
              <w:tabs>
                <w:tab w:val="left" w:pos="284"/>
              </w:tabs>
              <w:jc w:val="both"/>
              <w:rPr>
                <w:sz w:val="20"/>
                <w:szCs w:val="20"/>
              </w:rPr>
            </w:pPr>
            <w:r w:rsidRPr="005304B4">
              <w:rPr>
                <w:sz w:val="20"/>
                <w:szCs w:val="20"/>
              </w:rPr>
              <w:t>La suficiencia implica que la demostración de los cargos contenga un mínimo desarrollo, en orden a demostrar la inconstitucionalidad que se le imputa al texto demandado. El cargo debe proporcionar razones, por lo menos básicas, que logren poner en entredicho la presunción de constitucionalidad de las leyes, derivada del principio democrático, que justifique llevar a cabo un control jurídico sobre el resultado del acto político del legislador.</w:t>
            </w:r>
          </w:p>
        </w:tc>
      </w:tr>
    </w:tbl>
    <w:p w14:paraId="7858DFB9" w14:textId="16E3FCFA" w:rsidR="009959F4" w:rsidRPr="005304B4" w:rsidRDefault="00851570" w:rsidP="00EE3AC1">
      <w:pPr>
        <w:jc w:val="center"/>
        <w:rPr>
          <w:color w:val="000000" w:themeColor="text1"/>
          <w:sz w:val="22"/>
          <w:szCs w:val="22"/>
        </w:rPr>
      </w:pPr>
      <w:r w:rsidRPr="005304B4">
        <w:rPr>
          <w:color w:val="000000" w:themeColor="text1"/>
          <w:sz w:val="22"/>
          <w:szCs w:val="22"/>
        </w:rPr>
        <w:t>Fuente:</w:t>
      </w:r>
      <w:r w:rsidR="009959F4" w:rsidRPr="005304B4">
        <w:rPr>
          <w:color w:val="000000" w:themeColor="text1"/>
          <w:sz w:val="22"/>
          <w:szCs w:val="22"/>
        </w:rPr>
        <w:t xml:space="preserve"> </w:t>
      </w:r>
      <w:r w:rsidRPr="005304B4">
        <w:rPr>
          <w:color w:val="000000" w:themeColor="text1"/>
          <w:sz w:val="22"/>
          <w:szCs w:val="22"/>
        </w:rPr>
        <w:t>e</w:t>
      </w:r>
      <w:r w:rsidR="009959F4" w:rsidRPr="005304B4">
        <w:rPr>
          <w:i/>
          <w:iCs/>
          <w:color w:val="000000" w:themeColor="text1"/>
          <w:sz w:val="22"/>
          <w:szCs w:val="22"/>
        </w:rPr>
        <w:t>laboración propi</w:t>
      </w:r>
      <w:r w:rsidR="00EE3AC1" w:rsidRPr="005304B4">
        <w:rPr>
          <w:i/>
          <w:iCs/>
          <w:color w:val="000000" w:themeColor="text1"/>
          <w:sz w:val="22"/>
          <w:szCs w:val="22"/>
        </w:rPr>
        <w:t>a con base en la jurisprudencia constitucional aplicable</w:t>
      </w:r>
    </w:p>
    <w:p w14:paraId="172A6587" w14:textId="77777777" w:rsidR="009959F4" w:rsidRPr="005304B4" w:rsidRDefault="009959F4" w:rsidP="00DD4A32">
      <w:pPr>
        <w:rPr>
          <w:color w:val="000000" w:themeColor="text1"/>
          <w:sz w:val="28"/>
          <w:szCs w:val="28"/>
        </w:rPr>
      </w:pPr>
    </w:p>
    <w:p w14:paraId="5E4CB94A" w14:textId="72F355A7" w:rsidR="00AB235F" w:rsidRPr="005304B4" w:rsidRDefault="00630C6E" w:rsidP="00345107">
      <w:pPr>
        <w:pStyle w:val="Prrafodelista"/>
        <w:numPr>
          <w:ilvl w:val="0"/>
          <w:numId w:val="40"/>
        </w:numPr>
        <w:tabs>
          <w:tab w:val="left" w:pos="284"/>
          <w:tab w:val="left" w:pos="426"/>
        </w:tabs>
        <w:ind w:left="0" w:firstLine="0"/>
        <w:rPr>
          <w:color w:val="000000" w:themeColor="text1"/>
        </w:rPr>
      </w:pPr>
      <w:r w:rsidRPr="005304B4">
        <w:rPr>
          <w:color w:val="000000" w:themeColor="text1"/>
        </w:rPr>
        <w:t xml:space="preserve"> Adicionalmente, la jurisprudencia constitucional ha determinado que</w:t>
      </w:r>
      <w:r w:rsidR="00EE3AC1" w:rsidRPr="005304B4">
        <w:rPr>
          <w:color w:val="000000" w:themeColor="text1"/>
        </w:rPr>
        <w:t>,</w:t>
      </w:r>
      <w:r w:rsidRPr="005304B4">
        <w:rPr>
          <w:color w:val="000000" w:themeColor="text1"/>
        </w:rPr>
        <w:t xml:space="preserve"> cuando se cuestiona una norma por violación del principio de igualdad, el requisito de </w:t>
      </w:r>
      <w:r w:rsidRPr="005304B4">
        <w:rPr>
          <w:i/>
          <w:iCs/>
          <w:color w:val="000000" w:themeColor="text1"/>
        </w:rPr>
        <w:t xml:space="preserve">especificidad </w:t>
      </w:r>
      <w:r w:rsidR="00AB235F" w:rsidRPr="005304B4">
        <w:rPr>
          <w:color w:val="000000" w:themeColor="text1"/>
        </w:rPr>
        <w:t xml:space="preserve">del cargo también exige que, </w:t>
      </w:r>
      <w:r w:rsidR="00E52FE5" w:rsidRPr="005304B4">
        <w:rPr>
          <w:color w:val="000000" w:themeColor="text1"/>
        </w:rPr>
        <w:t>adicionalmente</w:t>
      </w:r>
      <w:r w:rsidR="00AB235F" w:rsidRPr="005304B4">
        <w:rPr>
          <w:color w:val="000000" w:themeColor="text1"/>
        </w:rPr>
        <w:t>, el demandante:</w:t>
      </w:r>
      <w:r w:rsidR="00AB235F" w:rsidRPr="005304B4">
        <w:t xml:space="preserve"> </w:t>
      </w:r>
      <w:r w:rsidR="00345107" w:rsidRPr="005304B4">
        <w:rPr>
          <w:color w:val="000000"/>
        </w:rPr>
        <w:t>(i) identifique los grupos o situaciones que, en su criterio, son comparables; (ii) explique las razones por las que los grupos o situaciones son comparables; (iii) precise cuál es el trato diferencial que el ordenamiento jurídico prevé o que fue introducido por la disposición acusada y, finalmente, (iv) destaque la razón por la cual, en su opinión y con fundamento en el ordenamiento, el trato no está constitucionalmente justificado</w:t>
      </w:r>
      <w:r w:rsidR="00345107" w:rsidRPr="005304B4">
        <w:rPr>
          <w:rStyle w:val="Refdenotaalpie"/>
          <w:color w:val="000000"/>
        </w:rPr>
        <w:footnoteReference w:id="35"/>
      </w:r>
      <w:r w:rsidR="00AB235F" w:rsidRPr="005304B4">
        <w:t>. Lo anterior se requiere en la medida en que la igualdad exige analizar el contexto relacional de los sujetos que se pretenden comparar, para lo cual, de manera consistente, esta corporación ha acudido a su análisis a través del juicio integrado de igualdad</w:t>
      </w:r>
      <w:r w:rsidR="00AB235F" w:rsidRPr="005304B4">
        <w:rPr>
          <w:rStyle w:val="Refdenotaalpie"/>
        </w:rPr>
        <w:footnoteReference w:id="36"/>
      </w:r>
      <w:r w:rsidR="00AB235F" w:rsidRPr="005304B4">
        <w:t>.</w:t>
      </w:r>
    </w:p>
    <w:p w14:paraId="3028C83E" w14:textId="77777777" w:rsidR="000507B5" w:rsidRPr="005304B4" w:rsidRDefault="000507B5" w:rsidP="000507B5">
      <w:pPr>
        <w:pStyle w:val="Prrafodelista"/>
        <w:tabs>
          <w:tab w:val="left" w:pos="284"/>
          <w:tab w:val="left" w:pos="426"/>
        </w:tabs>
        <w:ind w:left="0"/>
        <w:rPr>
          <w:color w:val="000000" w:themeColor="text1"/>
        </w:rPr>
      </w:pPr>
    </w:p>
    <w:p w14:paraId="039A18A9" w14:textId="76FF2545" w:rsidR="001578CF" w:rsidRPr="005304B4" w:rsidRDefault="000507B5" w:rsidP="001578CF">
      <w:pPr>
        <w:pStyle w:val="Prrafodelista"/>
        <w:numPr>
          <w:ilvl w:val="0"/>
          <w:numId w:val="40"/>
        </w:numPr>
        <w:tabs>
          <w:tab w:val="left" w:pos="284"/>
          <w:tab w:val="left" w:pos="426"/>
        </w:tabs>
        <w:ind w:left="0" w:firstLine="0"/>
        <w:rPr>
          <w:color w:val="000000" w:themeColor="text1"/>
        </w:rPr>
      </w:pPr>
      <w:r w:rsidRPr="005304B4">
        <w:rPr>
          <w:color w:val="000000" w:themeColor="text1"/>
          <w:shd w:val="clear" w:color="auto" w:fill="FFFFFF"/>
          <w:lang w:eastAsia="es-ES_tradnl"/>
        </w:rPr>
        <w:t xml:space="preserve">Los anteriores requisitos deben ser verificados al admitir la demanda. Sin embargo, </w:t>
      </w:r>
      <w:r w:rsidR="00EE3AC1" w:rsidRPr="005304B4">
        <w:rPr>
          <w:color w:val="000000" w:themeColor="text1"/>
          <w:shd w:val="clear" w:color="auto" w:fill="FFFFFF"/>
          <w:lang w:eastAsia="es-ES_tradnl"/>
        </w:rPr>
        <w:t xml:space="preserve">como se mencionó previamente, </w:t>
      </w:r>
      <w:r w:rsidRPr="005304B4">
        <w:rPr>
          <w:color w:val="000000" w:themeColor="text1"/>
          <w:shd w:val="clear" w:color="auto" w:fill="FFFFFF"/>
          <w:lang w:eastAsia="es-ES_tradnl"/>
        </w:rPr>
        <w:t>este análisis inicial no impide que la Sala Plena, a la hora de resolver el asunto</w:t>
      </w:r>
      <w:r w:rsidRPr="005304B4">
        <w:rPr>
          <w:color w:val="000000" w:themeColor="text1"/>
          <w:shd w:val="clear" w:color="auto" w:fill="FFFFFF"/>
        </w:rPr>
        <w:t xml:space="preserve">, concluya que todos o alguno de los cargos </w:t>
      </w:r>
      <w:r w:rsidR="000B6BCA" w:rsidRPr="005304B4">
        <w:rPr>
          <w:color w:val="000000" w:themeColor="text1"/>
          <w:shd w:val="clear" w:color="auto" w:fill="FFFFFF"/>
        </w:rPr>
        <w:t xml:space="preserve">carecen </w:t>
      </w:r>
      <w:r w:rsidRPr="005304B4">
        <w:rPr>
          <w:color w:val="000000" w:themeColor="text1"/>
          <w:shd w:val="clear" w:color="auto" w:fill="FFFFFF"/>
        </w:rPr>
        <w:t>de esa aptitud sustantiva requerida, evento en el cual se impone la adopción de un fallo inhibitorio</w:t>
      </w:r>
      <w:r w:rsidR="00CA5F50" w:rsidRPr="005304B4">
        <w:rPr>
          <w:color w:val="000000" w:themeColor="text1"/>
          <w:shd w:val="clear" w:color="auto" w:fill="FFFFFF"/>
        </w:rPr>
        <w:t>.</w:t>
      </w:r>
      <w:r w:rsidR="001578CF" w:rsidRPr="005304B4">
        <w:rPr>
          <w:color w:val="000000" w:themeColor="text1"/>
        </w:rPr>
        <w:t xml:space="preserve"> Este ejercicio tiene el propósito de propender porque el uso de la acción ciudadana sea racional y eficiente, </w:t>
      </w:r>
      <w:r w:rsidR="000B6BCA" w:rsidRPr="005304B4">
        <w:rPr>
          <w:color w:val="000000" w:themeColor="text1"/>
        </w:rPr>
        <w:t>pues</w:t>
      </w:r>
      <w:r w:rsidR="00CA5F50" w:rsidRPr="005304B4">
        <w:rPr>
          <w:color w:val="000000" w:themeColor="text1"/>
        </w:rPr>
        <w:t xml:space="preserve"> la presunción de constitucionalidad que se predica de las </w:t>
      </w:r>
      <w:r w:rsidR="000B6BCA" w:rsidRPr="005304B4">
        <w:rPr>
          <w:color w:val="000000" w:themeColor="text1"/>
        </w:rPr>
        <w:t>leyes</w:t>
      </w:r>
      <w:r w:rsidR="00CA5F50" w:rsidRPr="005304B4">
        <w:rPr>
          <w:color w:val="000000" w:themeColor="text1"/>
        </w:rPr>
        <w:t xml:space="preserve"> exige que el control que le corresponde </w:t>
      </w:r>
      <w:r w:rsidR="0023456C" w:rsidRPr="005304B4">
        <w:rPr>
          <w:color w:val="000000" w:themeColor="text1"/>
        </w:rPr>
        <w:t>realizar</w:t>
      </w:r>
      <w:r w:rsidR="00CA5F50" w:rsidRPr="005304B4">
        <w:rPr>
          <w:color w:val="000000" w:themeColor="text1"/>
        </w:rPr>
        <w:t xml:space="preserve"> a la Corte sólo se active cuando </w:t>
      </w:r>
      <w:r w:rsidR="000B6BCA" w:rsidRPr="005304B4">
        <w:rPr>
          <w:color w:val="000000" w:themeColor="text1"/>
        </w:rPr>
        <w:t>quien demanda</w:t>
      </w:r>
      <w:r w:rsidR="00CA5F50" w:rsidRPr="005304B4">
        <w:rPr>
          <w:color w:val="000000" w:themeColor="text1"/>
        </w:rPr>
        <w:t xml:space="preserve"> proponga cargos que generen al menos una mínima duda sobre la validez de la norma acusada, y que por tanto justifiquen la apertura del debate</w:t>
      </w:r>
      <w:r w:rsidR="000B6BCA" w:rsidRPr="005304B4">
        <w:rPr>
          <w:color w:val="000000" w:themeColor="text1"/>
        </w:rPr>
        <w:t xml:space="preserve"> constitucional de fondo</w:t>
      </w:r>
      <w:r w:rsidR="00CA5F50" w:rsidRPr="005304B4">
        <w:rPr>
          <w:rStyle w:val="Refdenotaalpie"/>
          <w:color w:val="000000"/>
          <w:shd w:val="clear" w:color="auto" w:fill="FFFFFF"/>
        </w:rPr>
        <w:footnoteReference w:id="37"/>
      </w:r>
      <w:r w:rsidR="00CA5F50" w:rsidRPr="005304B4">
        <w:rPr>
          <w:color w:val="000000" w:themeColor="text1"/>
        </w:rPr>
        <w:t>.</w:t>
      </w:r>
    </w:p>
    <w:p w14:paraId="4C8D1259" w14:textId="77777777" w:rsidR="00CA5F50" w:rsidRPr="005304B4" w:rsidRDefault="00CA5F50" w:rsidP="00CA5F50">
      <w:pPr>
        <w:pStyle w:val="Prrafodelista"/>
        <w:rPr>
          <w:color w:val="000000" w:themeColor="text1"/>
        </w:rPr>
      </w:pPr>
    </w:p>
    <w:p w14:paraId="610D2A2A" w14:textId="0DEC843C" w:rsidR="00C7327D" w:rsidRPr="005304B4" w:rsidRDefault="00CA5F50" w:rsidP="00C7327D">
      <w:pPr>
        <w:pStyle w:val="Prrafodelista"/>
        <w:numPr>
          <w:ilvl w:val="0"/>
          <w:numId w:val="40"/>
        </w:numPr>
        <w:tabs>
          <w:tab w:val="left" w:pos="284"/>
          <w:tab w:val="left" w:pos="426"/>
        </w:tabs>
        <w:ind w:left="0" w:firstLine="0"/>
        <w:rPr>
          <w:color w:val="000000" w:themeColor="text1"/>
        </w:rPr>
      </w:pPr>
      <w:r w:rsidRPr="005304B4">
        <w:rPr>
          <w:color w:val="000000" w:themeColor="text1"/>
        </w:rPr>
        <w:t xml:space="preserve">Conforme a los parámetros expuestos, la Sala constata </w:t>
      </w:r>
      <w:r w:rsidR="0057157E" w:rsidRPr="005304B4">
        <w:rPr>
          <w:color w:val="000000" w:themeColor="text1"/>
        </w:rPr>
        <w:t>que</w:t>
      </w:r>
      <w:r w:rsidR="00EE3AC1" w:rsidRPr="005304B4">
        <w:rPr>
          <w:color w:val="000000" w:themeColor="text1"/>
        </w:rPr>
        <w:t>, contrario a lo que sugiere la Defensoría del Pueblo,</w:t>
      </w:r>
      <w:r w:rsidR="0057157E" w:rsidRPr="005304B4">
        <w:rPr>
          <w:color w:val="000000" w:themeColor="text1"/>
        </w:rPr>
        <w:t xml:space="preserve"> </w:t>
      </w:r>
      <w:r w:rsidR="0057157E" w:rsidRPr="005304B4">
        <w:rPr>
          <w:b/>
          <w:bCs/>
          <w:i/>
          <w:iCs/>
          <w:color w:val="000000" w:themeColor="text1"/>
        </w:rPr>
        <w:t xml:space="preserve">la demanda de inconstitucionalidad presentada por los ciudadanos </w:t>
      </w:r>
      <w:r w:rsidR="0057157E" w:rsidRPr="005304B4">
        <w:rPr>
          <w:b/>
          <w:bCs/>
          <w:i/>
          <w:iCs/>
        </w:rPr>
        <w:t>contra el numeral 4 (parcial) del artículo 2 de la Ley 2114 de 2021 es apta</w:t>
      </w:r>
      <w:r w:rsidR="0057157E" w:rsidRPr="005304B4">
        <w:t xml:space="preserve"> para provocar un pronunciamiento de fondo por parte de esta Corporación, toda vez que cumple con los referidos </w:t>
      </w:r>
      <w:r w:rsidR="001C2457" w:rsidRPr="005304B4">
        <w:t>presupuestos para tal efecto, como se pasa a explicar</w:t>
      </w:r>
      <w:r w:rsidR="00DB5046" w:rsidRPr="005304B4">
        <w:t>.</w:t>
      </w:r>
    </w:p>
    <w:p w14:paraId="511781C5" w14:textId="77777777" w:rsidR="00C7327D" w:rsidRPr="005304B4" w:rsidRDefault="00C7327D" w:rsidP="00C7327D">
      <w:pPr>
        <w:pStyle w:val="Prrafodelista"/>
        <w:rPr>
          <w:color w:val="000000" w:themeColor="text1"/>
        </w:rPr>
      </w:pPr>
    </w:p>
    <w:p w14:paraId="74D7F5AB" w14:textId="46704AC6" w:rsidR="00C7327D" w:rsidRPr="005304B4" w:rsidRDefault="00C7327D" w:rsidP="00C7327D">
      <w:pPr>
        <w:pStyle w:val="Prrafodelista"/>
        <w:numPr>
          <w:ilvl w:val="0"/>
          <w:numId w:val="40"/>
        </w:numPr>
        <w:tabs>
          <w:tab w:val="left" w:pos="284"/>
          <w:tab w:val="left" w:pos="426"/>
        </w:tabs>
        <w:ind w:left="0" w:firstLine="0"/>
        <w:rPr>
          <w:color w:val="000000" w:themeColor="text1"/>
        </w:rPr>
      </w:pPr>
      <w:r w:rsidRPr="005304B4">
        <w:rPr>
          <w:i/>
          <w:iCs/>
          <w:color w:val="000000" w:themeColor="text1"/>
        </w:rPr>
        <w:t>El cargo cumple con el requisito de claridad</w:t>
      </w:r>
      <w:r w:rsidRPr="005304B4">
        <w:rPr>
          <w:color w:val="000000" w:themeColor="text1"/>
        </w:rPr>
        <w:t xml:space="preserve">. </w:t>
      </w:r>
      <w:r w:rsidRPr="005304B4">
        <w:t xml:space="preserve">La argumentación de los demandantes es comprensible, no conduce a ningún tipo de confusión y expone un hilo conductor en la argumentación que permite comprender su contenido y las justificaciones que la sustentan. En concreto, consideran que la expresión </w:t>
      </w:r>
      <w:r w:rsidR="007746C5" w:rsidRPr="005304B4">
        <w:t>“la madre adoptante”</w:t>
      </w:r>
      <w:r w:rsidRPr="005304B4">
        <w:t xml:space="preserve"> contenida en el numeral 4 del artículo 2 de la Ley 2114 de 2021, vulnera el principio de igualdad consagrado en el artículo 13 de la Constitución. </w:t>
      </w:r>
    </w:p>
    <w:p w14:paraId="1BF88C0C" w14:textId="77777777" w:rsidR="00C7327D" w:rsidRPr="005304B4" w:rsidRDefault="00C7327D" w:rsidP="00C7327D">
      <w:pPr>
        <w:contextualSpacing/>
        <w:rPr>
          <w:sz w:val="28"/>
          <w:szCs w:val="28"/>
        </w:rPr>
      </w:pPr>
    </w:p>
    <w:p w14:paraId="3B9546CE" w14:textId="77777777" w:rsidR="00F761B0" w:rsidRPr="005304B4" w:rsidRDefault="00C7327D" w:rsidP="00F761B0">
      <w:pPr>
        <w:pStyle w:val="Prrafodelista"/>
        <w:numPr>
          <w:ilvl w:val="0"/>
          <w:numId w:val="40"/>
        </w:numPr>
        <w:tabs>
          <w:tab w:val="left" w:pos="284"/>
          <w:tab w:val="left" w:pos="426"/>
        </w:tabs>
        <w:ind w:left="0" w:firstLine="0"/>
        <w:rPr>
          <w:color w:val="000000" w:themeColor="text1"/>
        </w:rPr>
      </w:pPr>
      <w:r w:rsidRPr="005304B4">
        <w:t xml:space="preserve">A juicio de los actores, </w:t>
      </w:r>
      <w:r w:rsidR="00DB5046" w:rsidRPr="005304B4">
        <w:t xml:space="preserve">la expresión da lugar a una asignación automática de la licencia de maternidad a la madre adoptante con base en estereotipos de género y sin una justificación suficiente. Además, estiman que </w:t>
      </w:r>
      <w:r w:rsidRPr="005304B4">
        <w:t>establece una desigualdad injustificada entre las familias heteroparentale</w:t>
      </w:r>
      <w:r w:rsidRPr="005304B4">
        <w:rPr>
          <w:i/>
          <w:iCs/>
        </w:rPr>
        <w:t>s</w:t>
      </w:r>
      <w:r w:rsidRPr="005304B4">
        <w:t xml:space="preserve"> y homoparentales adoptantes, pues</w:t>
      </w:r>
      <w:r w:rsidR="000B6BCA" w:rsidRPr="005304B4">
        <w:t>,</w:t>
      </w:r>
      <w:r w:rsidRPr="005304B4">
        <w:t xml:space="preserve"> en el primer caso</w:t>
      </w:r>
      <w:r w:rsidR="000B6BCA" w:rsidRPr="005304B4">
        <w:t>,</w:t>
      </w:r>
      <w:r w:rsidRPr="005304B4">
        <w:t xml:space="preserve"> la ley asigna automáticamente la licencia de maternidad a la madre adoptante, restringiendo la posibilidad de que la pareja decida libremente cuál de sus miembros la disfrutará. En contraste, sostienen que, en el segundo caso, de acuerdo con la Sentencia C-415 de 2022, las parejas homoparentales adoptantes sí pueden determinar, por una sola vez, cuál de sus integrantes accederá a las prestaciones de maternidad o paternidad, lo que genera un trato diferenciado sin </w:t>
      </w:r>
      <w:r w:rsidR="00EE3AC1" w:rsidRPr="005304B4">
        <w:t xml:space="preserve">una </w:t>
      </w:r>
      <w:r w:rsidRPr="005304B4">
        <w:t xml:space="preserve">justificación </w:t>
      </w:r>
      <w:r w:rsidR="00EE3AC1" w:rsidRPr="005304B4">
        <w:t>razonable.</w:t>
      </w:r>
    </w:p>
    <w:p w14:paraId="68CA294C" w14:textId="77777777" w:rsidR="00F761B0" w:rsidRPr="005304B4" w:rsidRDefault="00F761B0" w:rsidP="00F761B0">
      <w:pPr>
        <w:pStyle w:val="Prrafodelista"/>
        <w:rPr>
          <w:i/>
          <w:iCs/>
          <w:color w:val="000000" w:themeColor="text1"/>
        </w:rPr>
      </w:pPr>
    </w:p>
    <w:p w14:paraId="671E72D3" w14:textId="448EB633" w:rsidR="004447BC" w:rsidRPr="005304B4" w:rsidRDefault="00C7327D" w:rsidP="00F761B0">
      <w:pPr>
        <w:pStyle w:val="Prrafodelista"/>
        <w:numPr>
          <w:ilvl w:val="0"/>
          <w:numId w:val="40"/>
        </w:numPr>
        <w:tabs>
          <w:tab w:val="left" w:pos="284"/>
          <w:tab w:val="left" w:pos="426"/>
        </w:tabs>
        <w:ind w:left="0" w:firstLine="0"/>
        <w:rPr>
          <w:color w:val="000000" w:themeColor="text1"/>
        </w:rPr>
      </w:pPr>
      <w:r w:rsidRPr="005304B4">
        <w:rPr>
          <w:i/>
          <w:iCs/>
          <w:color w:val="000000" w:themeColor="text1"/>
        </w:rPr>
        <w:t xml:space="preserve">El cargo </w:t>
      </w:r>
      <w:r w:rsidR="004E6EC5" w:rsidRPr="005304B4">
        <w:rPr>
          <w:i/>
          <w:iCs/>
          <w:color w:val="000000" w:themeColor="text1"/>
        </w:rPr>
        <w:t>cumple con el requisito de</w:t>
      </w:r>
      <w:r w:rsidRPr="005304B4">
        <w:rPr>
          <w:i/>
          <w:iCs/>
          <w:color w:val="000000" w:themeColor="text1"/>
        </w:rPr>
        <w:t xml:space="preserve"> c</w:t>
      </w:r>
      <w:r w:rsidR="004E6EC5" w:rsidRPr="005304B4">
        <w:rPr>
          <w:i/>
          <w:iCs/>
          <w:color w:val="000000" w:themeColor="text1"/>
        </w:rPr>
        <w:t>erteza</w:t>
      </w:r>
      <w:r w:rsidRPr="005304B4">
        <w:rPr>
          <w:color w:val="000000" w:themeColor="text1"/>
        </w:rPr>
        <w:t xml:space="preserve">. </w:t>
      </w:r>
      <w:r w:rsidR="003639F1" w:rsidRPr="005304B4">
        <w:rPr>
          <w:color w:val="000000" w:themeColor="text1"/>
        </w:rPr>
        <w:t>El cargo cumple con el requisito de certeza</w:t>
      </w:r>
      <w:r w:rsidRPr="005304B4">
        <w:rPr>
          <w:color w:val="000000" w:themeColor="text1"/>
        </w:rPr>
        <w:t xml:space="preserve"> porque, por un lado, recae sobre una proposición jurídica real y existente</w:t>
      </w:r>
      <w:r w:rsidR="00F044DC" w:rsidRPr="005304B4">
        <w:rPr>
          <w:color w:val="000000" w:themeColor="text1"/>
        </w:rPr>
        <w:t>,</w:t>
      </w:r>
      <w:r w:rsidRPr="005304B4">
        <w:rPr>
          <w:color w:val="000000" w:themeColor="text1"/>
        </w:rPr>
        <w:t xml:space="preserve"> contenida en el numeral 4 </w:t>
      </w:r>
      <w:r w:rsidR="00923975" w:rsidRPr="005304B4">
        <w:rPr>
          <w:color w:val="000000" w:themeColor="text1"/>
        </w:rPr>
        <w:t xml:space="preserve">del artículo 2 </w:t>
      </w:r>
      <w:r w:rsidRPr="005304B4">
        <w:rPr>
          <w:color w:val="000000" w:themeColor="text1"/>
        </w:rPr>
        <w:t xml:space="preserve">de </w:t>
      </w:r>
      <w:r w:rsidR="006A35EF" w:rsidRPr="005304B4">
        <w:rPr>
          <w:color w:val="000000" w:themeColor="text1"/>
        </w:rPr>
        <w:t xml:space="preserve">la </w:t>
      </w:r>
      <w:r w:rsidRPr="005304B4">
        <w:rPr>
          <w:color w:val="000000" w:themeColor="text1"/>
        </w:rPr>
        <w:t>Ley 2114 de 2021</w:t>
      </w:r>
      <w:r w:rsidR="00F761B0" w:rsidRPr="005304B4">
        <w:rPr>
          <w:color w:val="000000" w:themeColor="text1"/>
        </w:rPr>
        <w:t>. En efecto, la norma establece que “[t]odas las provisiones y garantías establecidas en la presente ley para la madre biológica se hacen extensivas en los mismos términos y en cuanto fuere procedente a la madre adoptante, o al padre que quede a cargo del recién nacido sin apoyo de la madre, sea por enfermedad, abandono o muerte”. Es decir, a</w:t>
      </w:r>
      <w:r w:rsidR="004447BC" w:rsidRPr="005304B4">
        <w:rPr>
          <w:color w:val="000000" w:themeColor="text1"/>
        </w:rPr>
        <w:t xml:space="preserve"> menos de que concurra enfermedad, abandono o muerte de la madre adoptante, será esta quien deba disfrutar de la licencia de maternidad de 18 semanas </w:t>
      </w:r>
      <w:r w:rsidR="00F044DC" w:rsidRPr="005304B4">
        <w:rPr>
          <w:color w:val="000000" w:themeColor="text1"/>
        </w:rPr>
        <w:t>que se reconozca con ocasión de</w:t>
      </w:r>
      <w:r w:rsidR="004447BC" w:rsidRPr="005304B4">
        <w:rPr>
          <w:color w:val="000000" w:themeColor="text1"/>
        </w:rPr>
        <w:t xml:space="preserve"> la adopción del niño o la niña que se integra al núcleo familiar. </w:t>
      </w:r>
    </w:p>
    <w:p w14:paraId="10C0760D" w14:textId="77777777" w:rsidR="00C7327D" w:rsidRPr="005304B4" w:rsidRDefault="00C7327D" w:rsidP="004447BC">
      <w:pPr>
        <w:rPr>
          <w:color w:val="000000" w:themeColor="text1"/>
          <w:sz w:val="28"/>
          <w:szCs w:val="28"/>
        </w:rPr>
      </w:pPr>
    </w:p>
    <w:p w14:paraId="1D1E208C" w14:textId="578289D4" w:rsidR="00DB5046" w:rsidRPr="005304B4" w:rsidRDefault="00C7327D" w:rsidP="00DB5046">
      <w:pPr>
        <w:pStyle w:val="Prrafodelista"/>
        <w:numPr>
          <w:ilvl w:val="0"/>
          <w:numId w:val="40"/>
        </w:numPr>
        <w:tabs>
          <w:tab w:val="left" w:pos="284"/>
          <w:tab w:val="left" w:pos="426"/>
        </w:tabs>
        <w:ind w:left="0" w:firstLine="0"/>
      </w:pPr>
      <w:r w:rsidRPr="005304B4">
        <w:rPr>
          <w:color w:val="000000" w:themeColor="text1"/>
        </w:rPr>
        <w:t>Al respecto, la Defensoría de Pueblo, en su concepto técnico, argumentó que la demanda carecía de certeza, ya que parte de una interpretación posible de la norma</w:t>
      </w:r>
      <w:r w:rsidR="003D2679" w:rsidRPr="005304B4">
        <w:rPr>
          <w:color w:val="000000" w:themeColor="text1"/>
        </w:rPr>
        <w:t>,</w:t>
      </w:r>
      <w:r w:rsidRPr="005304B4">
        <w:rPr>
          <w:color w:val="000000" w:themeColor="text1"/>
        </w:rPr>
        <w:t xml:space="preserve"> pero no jurídica</w:t>
      </w:r>
      <w:r w:rsidR="001B06B5" w:rsidRPr="005304B4">
        <w:rPr>
          <w:color w:val="000000" w:themeColor="text1"/>
        </w:rPr>
        <w:t>,</w:t>
      </w:r>
      <w:r w:rsidRPr="005304B4">
        <w:rPr>
          <w:color w:val="000000" w:themeColor="text1"/>
        </w:rPr>
        <w:t xml:space="preserve"> real y existente</w:t>
      </w:r>
      <w:r w:rsidR="00DB5046" w:rsidRPr="005304B4">
        <w:rPr>
          <w:color w:val="000000" w:themeColor="text1"/>
        </w:rPr>
        <w:t xml:space="preserve"> y que desconoce la interpretación de la disposición efectuada en la Sentencia C-415 de 2022.</w:t>
      </w:r>
    </w:p>
    <w:p w14:paraId="1EC13E7C" w14:textId="77777777" w:rsidR="00DB5046" w:rsidRPr="005304B4" w:rsidRDefault="00DB5046" w:rsidP="00DB5046">
      <w:pPr>
        <w:pStyle w:val="Prrafodelista"/>
        <w:tabs>
          <w:tab w:val="left" w:pos="284"/>
          <w:tab w:val="left" w:pos="426"/>
        </w:tabs>
        <w:ind w:left="0"/>
      </w:pPr>
    </w:p>
    <w:p w14:paraId="59ACCA05" w14:textId="33EA64F5" w:rsidR="00F044DC" w:rsidRPr="005304B4" w:rsidRDefault="00C7327D" w:rsidP="00726E6E">
      <w:pPr>
        <w:pStyle w:val="Prrafodelista"/>
        <w:numPr>
          <w:ilvl w:val="0"/>
          <w:numId w:val="40"/>
        </w:numPr>
        <w:tabs>
          <w:tab w:val="left" w:pos="284"/>
          <w:tab w:val="left" w:pos="426"/>
        </w:tabs>
        <w:ind w:left="0" w:firstLine="0"/>
        <w:rPr>
          <w:color w:val="000000" w:themeColor="text1"/>
        </w:rPr>
      </w:pPr>
      <w:r w:rsidRPr="005304B4">
        <w:t xml:space="preserve">La Sala Plena </w:t>
      </w:r>
      <w:r w:rsidR="003D2679" w:rsidRPr="005304B4">
        <w:t>disiente de la lectura de la Defensoría del Pueblo</w:t>
      </w:r>
      <w:r w:rsidRPr="005304B4">
        <w:t xml:space="preserve"> pues </w:t>
      </w:r>
      <w:r w:rsidR="004447BC" w:rsidRPr="005304B4">
        <w:t>debe recodarse que, en la Sentencia C-415 de 2022, la Corte Constitucional se refirió de manera específica a la situación de las parejas del mismo sexo en relación con las licencias parentales que se regulan en el artículo 2 de la Ley 2114 de 2021</w:t>
      </w:r>
      <w:r w:rsidR="006128D8" w:rsidRPr="005304B4">
        <w:t>. En particular</w:t>
      </w:r>
      <w:r w:rsidR="002A1756" w:rsidRPr="005304B4">
        <w:t>,</w:t>
      </w:r>
      <w:r w:rsidR="006128D8" w:rsidRPr="005304B4">
        <w:t xml:space="preserve"> la Corte analizó si se presentaba una omisión legislativa relativa en relación con dicho enunciado debido a que su texto no contemplaba a </w:t>
      </w:r>
      <w:r w:rsidR="00F044DC" w:rsidRPr="005304B4">
        <w:t>esta tipología familiar</w:t>
      </w:r>
      <w:r w:rsidR="006128D8" w:rsidRPr="005304B4">
        <w:t xml:space="preserve"> como beneficiari</w:t>
      </w:r>
      <w:r w:rsidR="00F044DC" w:rsidRPr="005304B4">
        <w:t>a</w:t>
      </w:r>
      <w:r w:rsidR="006128D8" w:rsidRPr="005304B4">
        <w:t xml:space="preserve"> expres</w:t>
      </w:r>
      <w:r w:rsidR="00F044DC" w:rsidRPr="005304B4">
        <w:t>a</w:t>
      </w:r>
      <w:r w:rsidR="006128D8" w:rsidRPr="005304B4">
        <w:t xml:space="preserve"> de las prestaciones económicas allí establecidas.</w:t>
      </w:r>
      <w:r w:rsidR="006128D8" w:rsidRPr="005304B4">
        <w:rPr>
          <w:color w:val="000000" w:themeColor="text1"/>
        </w:rPr>
        <w:t xml:space="preserve"> </w:t>
      </w:r>
    </w:p>
    <w:p w14:paraId="282B1912" w14:textId="77777777" w:rsidR="00F044DC" w:rsidRPr="005304B4" w:rsidRDefault="00F044DC" w:rsidP="00F044DC">
      <w:pPr>
        <w:pStyle w:val="Prrafodelista"/>
        <w:tabs>
          <w:tab w:val="left" w:pos="284"/>
          <w:tab w:val="left" w:pos="426"/>
        </w:tabs>
        <w:ind w:left="0"/>
        <w:rPr>
          <w:color w:val="000000" w:themeColor="text1"/>
        </w:rPr>
      </w:pPr>
    </w:p>
    <w:p w14:paraId="3C9EE868" w14:textId="4449EE34" w:rsidR="00F044DC" w:rsidRPr="005304B4" w:rsidRDefault="006128D8" w:rsidP="00F044DC">
      <w:pPr>
        <w:pStyle w:val="Prrafodelista"/>
        <w:numPr>
          <w:ilvl w:val="0"/>
          <w:numId w:val="40"/>
        </w:numPr>
        <w:tabs>
          <w:tab w:val="left" w:pos="284"/>
          <w:tab w:val="left" w:pos="426"/>
        </w:tabs>
        <w:ind w:left="0" w:firstLine="0"/>
        <w:rPr>
          <w:color w:val="000000" w:themeColor="text1"/>
        </w:rPr>
      </w:pPr>
      <w:r w:rsidRPr="005304B4">
        <w:t xml:space="preserve">Así las cosas, en la providencia antes mencionada, la Corte Constitucional no abordó de manera específica si la disposición normativa objeto de censura contemplaba o no la posibilidad de que las parejas </w:t>
      </w:r>
      <w:r w:rsidR="0023456C" w:rsidRPr="005304B4">
        <w:t>heteroparentales</w:t>
      </w:r>
      <w:r w:rsidRPr="005304B4">
        <w:t xml:space="preserve"> eligieran cuál de sus integrantes disfrutaría de la licencia de maternidad establecida en dicha disposición.</w:t>
      </w:r>
      <w:r w:rsidR="00F044DC" w:rsidRPr="005304B4">
        <w:rPr>
          <w:color w:val="000000" w:themeColor="text1"/>
        </w:rPr>
        <w:t xml:space="preserve"> </w:t>
      </w:r>
      <w:r w:rsidR="00C7327D" w:rsidRPr="005304B4">
        <w:t>En efecto, el alcance de dicha decisión se limitó a reconocer la libertad de elección sobre las licencias parentales</w:t>
      </w:r>
      <w:r w:rsidR="00F044DC" w:rsidRPr="005304B4">
        <w:t>,</w:t>
      </w:r>
      <w:r w:rsidR="00C7327D" w:rsidRPr="005304B4">
        <w:t xml:space="preserve"> exclusivamente</w:t>
      </w:r>
      <w:r w:rsidR="00F044DC" w:rsidRPr="005304B4">
        <w:t>,</w:t>
      </w:r>
      <w:r w:rsidR="00C7327D" w:rsidRPr="005304B4">
        <w:t xml:space="preserve"> para las parejas homoparentales adoptantes, sin </w:t>
      </w:r>
      <w:r w:rsidR="003D2679" w:rsidRPr="005304B4">
        <w:t>abordar</w:t>
      </w:r>
      <w:r w:rsidR="00416A2F" w:rsidRPr="005304B4">
        <w:t xml:space="preserve"> de manera comprehensiva</w:t>
      </w:r>
      <w:r w:rsidR="003D2679" w:rsidRPr="005304B4">
        <w:t xml:space="preserve"> la situación de las</w:t>
      </w:r>
      <w:r w:rsidR="00C7327D" w:rsidRPr="005304B4">
        <w:t xml:space="preserve"> parejas heteroparentales</w:t>
      </w:r>
      <w:r w:rsidR="003D2679" w:rsidRPr="005304B4">
        <w:t xml:space="preserve"> adoptantes</w:t>
      </w:r>
      <w:r w:rsidR="00C7327D" w:rsidRPr="005304B4">
        <w:t>.</w:t>
      </w:r>
    </w:p>
    <w:p w14:paraId="7F53AB33" w14:textId="77777777" w:rsidR="00C7327D" w:rsidRPr="005304B4" w:rsidRDefault="00C7327D" w:rsidP="00C7327D">
      <w:pPr>
        <w:contextualSpacing/>
        <w:rPr>
          <w:color w:val="000000" w:themeColor="text1"/>
          <w:sz w:val="28"/>
          <w:szCs w:val="28"/>
        </w:rPr>
      </w:pPr>
    </w:p>
    <w:p w14:paraId="7300252E" w14:textId="1BDCF49F" w:rsidR="0041153F" w:rsidRPr="005304B4" w:rsidRDefault="00C7327D" w:rsidP="002437F6">
      <w:pPr>
        <w:pStyle w:val="Prrafodelista"/>
        <w:numPr>
          <w:ilvl w:val="0"/>
          <w:numId w:val="40"/>
        </w:numPr>
        <w:tabs>
          <w:tab w:val="left" w:pos="284"/>
          <w:tab w:val="left" w:pos="426"/>
        </w:tabs>
        <w:ind w:left="0" w:firstLine="0"/>
        <w:rPr>
          <w:i/>
          <w:iCs/>
          <w:color w:val="000000" w:themeColor="text1"/>
        </w:rPr>
      </w:pPr>
      <w:r w:rsidRPr="005304B4">
        <w:t xml:space="preserve">Así, al condicionar la exequibilidad del numeral 4 del artículo </w:t>
      </w:r>
      <w:r w:rsidR="00E458C9" w:rsidRPr="005304B4">
        <w:t>2</w:t>
      </w:r>
      <w:r w:rsidRPr="005304B4">
        <w:t xml:space="preserve"> de la Ley 2114 de 2021</w:t>
      </w:r>
      <w:r w:rsidR="00F044DC" w:rsidRPr="005304B4">
        <w:t>,</w:t>
      </w:r>
      <w:r w:rsidRPr="005304B4">
        <w:t xml:space="preserve"> únicamente respecto de las parejas del mismo sexo, la Corte no estableció una regla general aplicable a todos los tipos de familia, sino </w:t>
      </w:r>
      <w:r w:rsidR="003D2679" w:rsidRPr="005304B4">
        <w:t xml:space="preserve">que se refirió de manera concreta a una </w:t>
      </w:r>
      <w:r w:rsidR="00DB5046" w:rsidRPr="005304B4">
        <w:t>modalidad</w:t>
      </w:r>
      <w:r w:rsidR="003D2679" w:rsidRPr="005304B4">
        <w:t xml:space="preserve"> de </w:t>
      </w:r>
      <w:r w:rsidR="00DB5046" w:rsidRPr="005304B4">
        <w:t>esta</w:t>
      </w:r>
      <w:r w:rsidR="003D2679" w:rsidRPr="005304B4">
        <w:t>: las parejas del mismo sexo que adoptan</w:t>
      </w:r>
      <w:r w:rsidRPr="005304B4">
        <w:t xml:space="preserve">. </w:t>
      </w:r>
    </w:p>
    <w:p w14:paraId="634E8AC1" w14:textId="77777777" w:rsidR="0041153F" w:rsidRPr="005304B4" w:rsidRDefault="0041153F" w:rsidP="0041153F">
      <w:pPr>
        <w:pStyle w:val="Prrafodelista"/>
        <w:tabs>
          <w:tab w:val="left" w:pos="284"/>
          <w:tab w:val="left" w:pos="426"/>
        </w:tabs>
        <w:ind w:left="0"/>
        <w:rPr>
          <w:i/>
          <w:iCs/>
          <w:color w:val="000000" w:themeColor="text1"/>
        </w:rPr>
      </w:pPr>
    </w:p>
    <w:p w14:paraId="54BF1300" w14:textId="47388528" w:rsidR="00C7327D" w:rsidRPr="005304B4" w:rsidRDefault="00C7327D" w:rsidP="002437F6">
      <w:pPr>
        <w:pStyle w:val="Prrafodelista"/>
        <w:numPr>
          <w:ilvl w:val="0"/>
          <w:numId w:val="40"/>
        </w:numPr>
        <w:tabs>
          <w:tab w:val="left" w:pos="284"/>
          <w:tab w:val="left" w:pos="426"/>
        </w:tabs>
        <w:ind w:left="0" w:firstLine="0"/>
        <w:rPr>
          <w:i/>
          <w:iCs/>
          <w:color w:val="000000" w:themeColor="text1"/>
        </w:rPr>
      </w:pPr>
      <w:r w:rsidRPr="005304B4">
        <w:t xml:space="preserve">En consecuencia, </w:t>
      </w:r>
      <w:r w:rsidR="006128D8" w:rsidRPr="005304B4">
        <w:t>el cargo cumple con el requisito de</w:t>
      </w:r>
      <w:r w:rsidRPr="005304B4">
        <w:t xml:space="preserve"> </w:t>
      </w:r>
      <w:r w:rsidR="006128D8" w:rsidRPr="005304B4">
        <w:t>certeza</w:t>
      </w:r>
      <w:r w:rsidRPr="005304B4">
        <w:t xml:space="preserve"> porque recae sobre un contenido normativo</w:t>
      </w:r>
      <w:r w:rsidR="006128D8" w:rsidRPr="005304B4">
        <w:t xml:space="preserve"> que</w:t>
      </w:r>
      <w:r w:rsidR="0041153F" w:rsidRPr="005304B4">
        <w:t>, razonablemente,</w:t>
      </w:r>
      <w:r w:rsidR="006128D8" w:rsidRPr="005304B4">
        <w:t xml:space="preserve"> </w:t>
      </w:r>
      <w:r w:rsidR="0041153F" w:rsidRPr="005304B4">
        <w:t>puede inferirse</w:t>
      </w:r>
      <w:r w:rsidR="006128D8" w:rsidRPr="005304B4">
        <w:t xml:space="preserve"> de la disposición acusada</w:t>
      </w:r>
      <w:r w:rsidR="00DB5046" w:rsidRPr="005304B4">
        <w:t>,</w:t>
      </w:r>
      <w:r w:rsidR="006128D8" w:rsidRPr="005304B4">
        <w:t xml:space="preserve"> tal como fue condicionada por la Sentencia C-415 de 2022</w:t>
      </w:r>
      <w:r w:rsidR="00DB5046" w:rsidRPr="005304B4">
        <w:t>;</w:t>
      </w:r>
      <w:r w:rsidR="0041153F" w:rsidRPr="005304B4">
        <w:t xml:space="preserve"> la cual facultó a las parejas del mismo sexo a elegir, de manera libre y por una única vez, cuál de sus integrantes disfrutaría de cada una de las licencias parentales allí contempladas, sin </w:t>
      </w:r>
      <w:r w:rsidR="00416A2F" w:rsidRPr="005304B4">
        <w:t>fijar reglas sobre</w:t>
      </w:r>
      <w:r w:rsidR="0041153F" w:rsidRPr="005304B4">
        <w:t xml:space="preserve"> </w:t>
      </w:r>
      <w:r w:rsidR="00F044DC" w:rsidRPr="005304B4">
        <w:t>la posibilidad de elección de</w:t>
      </w:r>
      <w:r w:rsidR="0041153F" w:rsidRPr="005304B4">
        <w:t xml:space="preserve"> las parejas </w:t>
      </w:r>
      <w:r w:rsidR="009D4BCE" w:rsidRPr="005304B4">
        <w:t>heteroparental</w:t>
      </w:r>
      <w:r w:rsidR="0041153F" w:rsidRPr="005304B4">
        <w:t>es adoptantes</w:t>
      </w:r>
      <w:r w:rsidR="00F044DC" w:rsidRPr="005304B4">
        <w:t>.</w:t>
      </w:r>
      <w:r w:rsidR="00F761B0" w:rsidRPr="005304B4">
        <w:t xml:space="preserve"> Es decir, a los integrantes de las parejas heteroparentales adoptantes se les hacen extensivas las mismas reglas previstas en la norma para las parejas heteroparentales biológicas, en lugar de otorgárseles los beneficios diseñados a favor de los integrantes de las parejas homoparentales adoptantes (</w:t>
      </w:r>
      <w:r w:rsidR="00F761B0" w:rsidRPr="005304B4">
        <w:rPr>
          <w:i/>
          <w:iCs/>
        </w:rPr>
        <w:t>supra</w:t>
      </w:r>
      <w:r w:rsidR="00F761B0" w:rsidRPr="005304B4">
        <w:t xml:space="preserve">, párr. 75). </w:t>
      </w:r>
    </w:p>
    <w:p w14:paraId="41258316" w14:textId="77777777" w:rsidR="001467ED" w:rsidRPr="005304B4" w:rsidRDefault="001467ED" w:rsidP="001467ED">
      <w:pPr>
        <w:pStyle w:val="Prrafodelista"/>
        <w:tabs>
          <w:tab w:val="left" w:pos="284"/>
          <w:tab w:val="left" w:pos="426"/>
        </w:tabs>
        <w:ind w:left="0"/>
        <w:rPr>
          <w:i/>
          <w:iCs/>
          <w:color w:val="000000" w:themeColor="text1"/>
        </w:rPr>
      </w:pPr>
    </w:p>
    <w:p w14:paraId="1BFE8DEC" w14:textId="561DD231" w:rsidR="001467ED" w:rsidRPr="005304B4" w:rsidRDefault="001467ED" w:rsidP="002437F6">
      <w:pPr>
        <w:pStyle w:val="Prrafodelista"/>
        <w:numPr>
          <w:ilvl w:val="0"/>
          <w:numId w:val="40"/>
        </w:numPr>
        <w:tabs>
          <w:tab w:val="left" w:pos="284"/>
          <w:tab w:val="left" w:pos="426"/>
        </w:tabs>
        <w:ind w:left="0" w:firstLine="0"/>
        <w:rPr>
          <w:i/>
          <w:iCs/>
          <w:color w:val="000000" w:themeColor="text1"/>
        </w:rPr>
      </w:pPr>
      <w:r w:rsidRPr="005304B4">
        <w:t>Así las cosas, toda vez que del texto de la disposición se desprende que, a menos de que concurran circunstancias extraordinarias (muerte, enfermedad o abandono) será la madre adoptante quien deberá disfrutar de la licencia de maternidad contemplada en el artículo demandado</w:t>
      </w:r>
      <w:r w:rsidR="00416A2F" w:rsidRPr="005304B4">
        <w:t>;</w:t>
      </w:r>
      <w:r w:rsidRPr="005304B4">
        <w:t xml:space="preserve"> y que</w:t>
      </w:r>
      <w:r w:rsidR="00416A2F" w:rsidRPr="005304B4">
        <w:t>,</w:t>
      </w:r>
      <w:r w:rsidRPr="005304B4">
        <w:t xml:space="preserve"> al efectuar </w:t>
      </w:r>
      <w:r w:rsidR="005F49B3" w:rsidRPr="005304B4">
        <w:t>un</w:t>
      </w:r>
      <w:r w:rsidRPr="005304B4">
        <w:t xml:space="preserve"> condicionamiento del </w:t>
      </w:r>
      <w:r w:rsidR="001B06B5" w:rsidRPr="005304B4">
        <w:t>artículo 2 de la Ley 2114 de 2021, la Sentencia C-415 de 2022 no se refirió a las parejas de distinto sexo que adoptan, la interpretación de la disposición acusada efectuada por los demandantes resulta razonable, lo que permite afirmar el cumplimiento del requisito de certeza</w:t>
      </w:r>
      <w:r w:rsidR="00570EE3" w:rsidRPr="005304B4">
        <w:t xml:space="preserve"> del cargo.</w:t>
      </w:r>
    </w:p>
    <w:p w14:paraId="221C61DA" w14:textId="77777777" w:rsidR="006128D8" w:rsidRPr="005304B4" w:rsidRDefault="006128D8" w:rsidP="006128D8">
      <w:pPr>
        <w:pStyle w:val="Prrafodelista"/>
        <w:tabs>
          <w:tab w:val="left" w:pos="284"/>
          <w:tab w:val="left" w:pos="426"/>
        </w:tabs>
        <w:ind w:left="0"/>
        <w:rPr>
          <w:i/>
          <w:iCs/>
          <w:color w:val="000000" w:themeColor="text1"/>
        </w:rPr>
      </w:pPr>
    </w:p>
    <w:p w14:paraId="656E7CE8" w14:textId="4D903559" w:rsidR="00C7327D" w:rsidRPr="005304B4" w:rsidRDefault="00C7327D" w:rsidP="00C7327D">
      <w:pPr>
        <w:pStyle w:val="Prrafodelista"/>
        <w:numPr>
          <w:ilvl w:val="0"/>
          <w:numId w:val="40"/>
        </w:numPr>
        <w:tabs>
          <w:tab w:val="left" w:pos="284"/>
          <w:tab w:val="left" w:pos="426"/>
        </w:tabs>
        <w:ind w:left="0" w:firstLine="0"/>
        <w:rPr>
          <w:color w:val="000000" w:themeColor="text1"/>
        </w:rPr>
      </w:pPr>
      <w:r w:rsidRPr="005304B4">
        <w:rPr>
          <w:i/>
          <w:iCs/>
          <w:color w:val="000000" w:themeColor="text1"/>
        </w:rPr>
        <w:t xml:space="preserve">El cargo cumple con </w:t>
      </w:r>
      <w:r w:rsidR="006541DC" w:rsidRPr="005304B4">
        <w:rPr>
          <w:i/>
          <w:iCs/>
          <w:color w:val="000000" w:themeColor="text1"/>
        </w:rPr>
        <w:t>el</w:t>
      </w:r>
      <w:r w:rsidRPr="005304B4">
        <w:rPr>
          <w:i/>
          <w:iCs/>
          <w:color w:val="000000" w:themeColor="text1"/>
        </w:rPr>
        <w:t xml:space="preserve"> requisito de especifi</w:t>
      </w:r>
      <w:r w:rsidR="004E6EC5" w:rsidRPr="005304B4">
        <w:rPr>
          <w:i/>
          <w:iCs/>
          <w:color w:val="000000" w:themeColor="text1"/>
        </w:rPr>
        <w:t>ci</w:t>
      </w:r>
      <w:r w:rsidRPr="005304B4">
        <w:rPr>
          <w:i/>
          <w:iCs/>
          <w:color w:val="000000" w:themeColor="text1"/>
        </w:rPr>
        <w:t xml:space="preserve">dad. </w:t>
      </w:r>
      <w:r w:rsidRPr="005304B4">
        <w:t xml:space="preserve">Los demandantes desarrollan las razones por las cuales consideran que la norma demandada es contraria a una norma de la Constitución. Además, los argumentos no son vagos ni abstractos, sino que están directamente ligados a la disposición demandada. Puntualmente, los ciudadanos sostienen que: </w:t>
      </w:r>
    </w:p>
    <w:p w14:paraId="5ABAC791" w14:textId="77777777" w:rsidR="00C7327D" w:rsidRPr="005304B4" w:rsidRDefault="00C7327D" w:rsidP="00C7327D">
      <w:pPr>
        <w:pStyle w:val="Prrafodelista"/>
      </w:pPr>
    </w:p>
    <w:p w14:paraId="7645F915" w14:textId="17631A73" w:rsidR="00F761B0" w:rsidRPr="005304B4" w:rsidRDefault="00C7327D" w:rsidP="00F761B0">
      <w:pPr>
        <w:pStyle w:val="Prrafodelista"/>
        <w:numPr>
          <w:ilvl w:val="0"/>
          <w:numId w:val="40"/>
        </w:numPr>
        <w:tabs>
          <w:tab w:val="left" w:pos="284"/>
          <w:tab w:val="left" w:pos="426"/>
        </w:tabs>
        <w:ind w:left="0" w:firstLine="0"/>
        <w:rPr>
          <w:color w:val="000000" w:themeColor="text1"/>
        </w:rPr>
      </w:pPr>
      <w:r w:rsidRPr="005304B4">
        <w:t xml:space="preserve">(i) </w:t>
      </w:r>
      <w:r w:rsidR="00570EE3" w:rsidRPr="005304B4">
        <w:t>Afirman que l</w:t>
      </w:r>
      <w:r w:rsidRPr="005304B4">
        <w:t xml:space="preserve">a expresión </w:t>
      </w:r>
      <w:r w:rsidR="007746C5" w:rsidRPr="005304B4">
        <w:t>“la madre adoptante”</w:t>
      </w:r>
      <w:r w:rsidRPr="005304B4">
        <w:t xml:space="preserve"> vulnera el principio de igualdad</w:t>
      </w:r>
      <w:r w:rsidR="00F761B0" w:rsidRPr="005304B4">
        <w:t>, así como los derechos a</w:t>
      </w:r>
      <w:r w:rsidRPr="005304B4">
        <w:t xml:space="preserve"> </w:t>
      </w:r>
      <w:r w:rsidR="00F761B0" w:rsidRPr="005304B4">
        <w:t xml:space="preserve">la protección integral a la familia y de los </w:t>
      </w:r>
      <w:r w:rsidR="61831750" w:rsidRPr="005304B4">
        <w:t>derechos a</w:t>
      </w:r>
      <w:r w:rsidR="00F761B0" w:rsidRPr="005304B4">
        <w:t xml:space="preserve"> los niños, niñas, y adolescentes, consagrados respectivamente en los </w:t>
      </w:r>
      <w:r w:rsidR="00F761B0" w:rsidRPr="005304B4">
        <w:rPr>
          <w:color w:val="000000" w:themeColor="text1"/>
        </w:rPr>
        <w:t xml:space="preserve">artículos </w:t>
      </w:r>
      <w:r w:rsidRPr="005304B4">
        <w:t>13</w:t>
      </w:r>
      <w:r w:rsidR="00F761B0" w:rsidRPr="005304B4">
        <w:t xml:space="preserve">, 42 y </w:t>
      </w:r>
      <w:r w:rsidR="74096C9E" w:rsidRPr="005304B4">
        <w:t>44 de</w:t>
      </w:r>
      <w:r w:rsidRPr="005304B4">
        <w:t xml:space="preserve"> la Constitución Política</w:t>
      </w:r>
      <w:r w:rsidR="00F761B0" w:rsidRPr="005304B4">
        <w:t>.</w:t>
      </w:r>
      <w:r w:rsidR="00F761B0" w:rsidRPr="005304B4">
        <w:rPr>
          <w:color w:val="000000" w:themeColor="text1"/>
        </w:rPr>
        <w:t xml:space="preserve"> Ello, debido a que, con sustento</w:t>
      </w:r>
      <w:r w:rsidR="00DB5046" w:rsidRPr="005304B4">
        <w:t xml:space="preserve"> en estereotipos de género,</w:t>
      </w:r>
      <w:r w:rsidRPr="005304B4">
        <w:t xml:space="preserve"> </w:t>
      </w:r>
      <w:r w:rsidR="0A45CF30" w:rsidRPr="005304B4">
        <w:t>les</w:t>
      </w:r>
      <w:r w:rsidRPr="005304B4">
        <w:t xml:space="preserve"> impide a las parejas heteroparentales</w:t>
      </w:r>
      <w:r w:rsidR="00DB5046" w:rsidRPr="005304B4">
        <w:t xml:space="preserve"> adoptantes</w:t>
      </w:r>
      <w:r w:rsidRPr="005304B4">
        <w:t xml:space="preserve"> elegir, de manera libre, cuál de sus miembros accederá a la licencia parental de maternidad, pues se le asigna automáticamente a la madre la licencia de maternidad, puesto que así sucede con la madre biológica</w:t>
      </w:r>
      <w:r w:rsidR="00F761B0" w:rsidRPr="005304B4">
        <w:t xml:space="preserve">. </w:t>
      </w:r>
      <w:r w:rsidRPr="005304B4">
        <w:t xml:space="preserve"> </w:t>
      </w:r>
    </w:p>
    <w:p w14:paraId="75719BF4" w14:textId="77777777" w:rsidR="00F761B0" w:rsidRPr="005304B4" w:rsidRDefault="00F761B0" w:rsidP="00F761B0">
      <w:pPr>
        <w:pStyle w:val="Prrafodelista"/>
      </w:pPr>
    </w:p>
    <w:p w14:paraId="60C2F6E1" w14:textId="5B6FF7C6" w:rsidR="00C7327D" w:rsidRPr="005304B4" w:rsidRDefault="00F761B0" w:rsidP="00F761B0">
      <w:pPr>
        <w:pStyle w:val="Prrafodelista"/>
        <w:numPr>
          <w:ilvl w:val="0"/>
          <w:numId w:val="40"/>
        </w:numPr>
        <w:tabs>
          <w:tab w:val="left" w:pos="284"/>
          <w:tab w:val="left" w:pos="426"/>
        </w:tabs>
        <w:ind w:left="0" w:firstLine="0"/>
        <w:rPr>
          <w:color w:val="000000" w:themeColor="text1"/>
        </w:rPr>
      </w:pPr>
      <w:r w:rsidRPr="005304B4">
        <w:t xml:space="preserve">En línea con anterior, </w:t>
      </w:r>
      <w:r w:rsidR="00C7327D" w:rsidRPr="005304B4">
        <w:t xml:space="preserve">(ii) </w:t>
      </w:r>
      <w:r w:rsidR="001A7AE5" w:rsidRPr="005304B4">
        <w:t>a</w:t>
      </w:r>
      <w:r w:rsidR="00C7327D" w:rsidRPr="005304B4">
        <w:t xml:space="preserve"> juicio</w:t>
      </w:r>
      <w:r w:rsidR="001A7AE5" w:rsidRPr="005304B4">
        <w:t xml:space="preserve"> de los actores</w:t>
      </w:r>
      <w:r w:rsidR="00C7327D" w:rsidRPr="005304B4">
        <w:t xml:space="preserve">, no existen argumentos razonables para que las parejas del mismo sexo puedan elegir al cuidador principal del sujeto adoptado y las parejas heteroparentales no, dado que </w:t>
      </w:r>
      <w:r w:rsidR="56251DE9" w:rsidRPr="005304B4">
        <w:t>ninguna de las dos ostenta</w:t>
      </w:r>
      <w:r w:rsidR="00C7327D" w:rsidRPr="005304B4">
        <w:t xml:space="preserve"> un vínculo biológico con el </w:t>
      </w:r>
      <w:r w:rsidR="00F35362" w:rsidRPr="005304B4">
        <w:t>adoptivo</w:t>
      </w:r>
      <w:r w:rsidR="00C7327D" w:rsidRPr="005304B4">
        <w:t xml:space="preserve">. Lo anterior implica que ambos se encuentran en “idénticas condiciones jurídicas frente a sus deberes”. </w:t>
      </w:r>
    </w:p>
    <w:p w14:paraId="3285F426" w14:textId="77777777" w:rsidR="00C7327D" w:rsidRPr="005304B4" w:rsidRDefault="00C7327D" w:rsidP="00C7327D">
      <w:pPr>
        <w:rPr>
          <w:sz w:val="28"/>
          <w:szCs w:val="28"/>
        </w:rPr>
      </w:pPr>
    </w:p>
    <w:p w14:paraId="46AE311F" w14:textId="1E136D7F" w:rsidR="00C7327D" w:rsidRPr="005304B4" w:rsidRDefault="00C7327D" w:rsidP="00C7327D">
      <w:pPr>
        <w:pStyle w:val="Prrafodelista"/>
        <w:numPr>
          <w:ilvl w:val="0"/>
          <w:numId w:val="40"/>
        </w:numPr>
        <w:tabs>
          <w:tab w:val="left" w:pos="284"/>
          <w:tab w:val="left" w:pos="426"/>
        </w:tabs>
        <w:ind w:left="0" w:firstLine="0"/>
        <w:rPr>
          <w:i/>
          <w:iCs/>
          <w:color w:val="000000" w:themeColor="text1"/>
        </w:rPr>
      </w:pPr>
      <w:r w:rsidRPr="005304B4">
        <w:t>Por consiguiente</w:t>
      </w:r>
      <w:r w:rsidR="00570EE3" w:rsidRPr="005304B4">
        <w:t>, estiman que</w:t>
      </w:r>
      <w:r w:rsidRPr="005304B4">
        <w:t xml:space="preserve"> (i</w:t>
      </w:r>
      <w:r w:rsidR="00F761B0" w:rsidRPr="005304B4">
        <w:t>i</w:t>
      </w:r>
      <w:r w:rsidRPr="005304B4">
        <w:t>i) al asignar de manera automática el rol de cuidado a la mujer, se</w:t>
      </w:r>
      <w:r w:rsidR="001A7AE5" w:rsidRPr="005304B4">
        <w:t xml:space="preserve"> </w:t>
      </w:r>
      <w:r w:rsidRPr="005304B4">
        <w:t>reproduce</w:t>
      </w:r>
      <w:r w:rsidR="00570EE3" w:rsidRPr="005304B4">
        <w:t>n</w:t>
      </w:r>
      <w:r w:rsidRPr="005304B4">
        <w:t xml:space="preserve"> estereotipos de género que “perpetúa</w:t>
      </w:r>
      <w:r w:rsidR="00570EE3" w:rsidRPr="005304B4">
        <w:t>n</w:t>
      </w:r>
      <w:r w:rsidRPr="005304B4">
        <w:t xml:space="preserve"> estructuras patriarcales que excluyen la posibilidad de que el cuidado del adoptado sea asumido por quien, dentro de la familia, se encuentre mejor capacitado o disponible para garantizar su desarrollo integral”.</w:t>
      </w:r>
    </w:p>
    <w:p w14:paraId="1C6072B6" w14:textId="77777777" w:rsidR="00D32673" w:rsidRPr="005304B4" w:rsidRDefault="00D32673" w:rsidP="00D32673">
      <w:pPr>
        <w:pStyle w:val="Prrafodelista"/>
        <w:rPr>
          <w:i/>
          <w:iCs/>
          <w:color w:val="000000" w:themeColor="text1"/>
        </w:rPr>
      </w:pPr>
    </w:p>
    <w:p w14:paraId="6392F254" w14:textId="5AA33B93" w:rsidR="00D32673" w:rsidRPr="005304B4" w:rsidRDefault="00D32673" w:rsidP="00C7327D">
      <w:pPr>
        <w:pStyle w:val="Prrafodelista"/>
        <w:numPr>
          <w:ilvl w:val="0"/>
          <w:numId w:val="40"/>
        </w:numPr>
        <w:tabs>
          <w:tab w:val="left" w:pos="284"/>
          <w:tab w:val="left" w:pos="426"/>
        </w:tabs>
        <w:ind w:left="0" w:firstLine="0"/>
        <w:rPr>
          <w:i/>
          <w:iCs/>
          <w:color w:val="000000" w:themeColor="text1"/>
        </w:rPr>
      </w:pPr>
      <w:r w:rsidRPr="005304B4">
        <w:t xml:space="preserve">Por otro lado, la demanda cumple con los elementos </w:t>
      </w:r>
      <w:r w:rsidR="003D2679" w:rsidRPr="005304B4">
        <w:t xml:space="preserve">específicos </w:t>
      </w:r>
      <w:r w:rsidRPr="005304B4">
        <w:t xml:space="preserve">exigidos para sustentar el cargo de igualdad, en la medida en que (i) identifican con claridad los dos grupos poblacionales sujetos de comparación, pues señalan que se trata diferente a las familias heteroparentales adoptantes y las homoparentales adoptantes en la asignación de licencias parentales; (ii) especifican que existe en el plano fáctico y jurídico un trato desigual discriminatorio entre estas familias que se encuentran en una situación equivalente, puesto que a las parejas del mismo sexo adoptantes se les permite elegir libremente cuál de sus integrantes accederá a la licencia parental de maternidad </w:t>
      </w:r>
      <w:r w:rsidR="00570EE3" w:rsidRPr="005304B4">
        <w:t>(</w:t>
      </w:r>
      <w:r w:rsidRPr="005304B4">
        <w:t>de acuerdo con la Sentencia C-415 de 2022</w:t>
      </w:r>
      <w:r w:rsidR="00570EE3" w:rsidRPr="005304B4">
        <w:t>)</w:t>
      </w:r>
      <w:r w:rsidRPr="005304B4">
        <w:t>, mientras que las parejas heteroparentales adoptantes no se les otorga esta facultad.</w:t>
      </w:r>
    </w:p>
    <w:p w14:paraId="17677063" w14:textId="77777777" w:rsidR="00D32673" w:rsidRPr="005304B4" w:rsidRDefault="00D32673" w:rsidP="00D32673">
      <w:pPr>
        <w:pStyle w:val="Prrafodelista"/>
      </w:pPr>
    </w:p>
    <w:p w14:paraId="60BF0CF1" w14:textId="64F84DB3" w:rsidR="00D32673" w:rsidRPr="005304B4" w:rsidRDefault="00D32673" w:rsidP="00C7327D">
      <w:pPr>
        <w:pStyle w:val="Prrafodelista"/>
        <w:numPr>
          <w:ilvl w:val="0"/>
          <w:numId w:val="40"/>
        </w:numPr>
        <w:tabs>
          <w:tab w:val="left" w:pos="284"/>
          <w:tab w:val="left" w:pos="426"/>
        </w:tabs>
        <w:ind w:left="0" w:firstLine="0"/>
        <w:rPr>
          <w:i/>
          <w:iCs/>
          <w:color w:val="000000" w:themeColor="text1"/>
        </w:rPr>
      </w:pPr>
      <w:r w:rsidRPr="005304B4">
        <w:t xml:space="preserve">Finalmente, (iii) argumentan que la diferencia de trato no está justificada constitucionalmente debido a que, entre otros aspectos, en el contexto adoptivo (a) la capacidad de cuidado no depende del género; (b) ninguno de los padres tiene un vínculo biológico con el </w:t>
      </w:r>
      <w:r w:rsidR="00F35362" w:rsidRPr="005304B4">
        <w:t>hijo</w:t>
      </w:r>
      <w:r w:rsidRPr="005304B4">
        <w:t xml:space="preserve"> adopt</w:t>
      </w:r>
      <w:r w:rsidR="00F35362" w:rsidRPr="005304B4">
        <w:t>ivo</w:t>
      </w:r>
      <w:r w:rsidRPr="005304B4">
        <w:t xml:space="preserve">, por lo que no existe justificación razonable para privilegiar automáticamente a la </w:t>
      </w:r>
      <w:r w:rsidR="00570EE3" w:rsidRPr="005304B4">
        <w:t>madre adoptante</w:t>
      </w:r>
      <w:r w:rsidRPr="005304B4">
        <w:t xml:space="preserve"> basándose en presupuestos biológicos, y (c) </w:t>
      </w:r>
      <w:r w:rsidR="00570EE3" w:rsidRPr="005304B4">
        <w:t xml:space="preserve">es necesario que la determinación del adoptante que disfrutará la licencia de maternidad se </w:t>
      </w:r>
      <w:r w:rsidR="00993621" w:rsidRPr="005304B4">
        <w:t>armonice</w:t>
      </w:r>
      <w:r w:rsidR="00570EE3" w:rsidRPr="005304B4">
        <w:t xml:space="preserve"> con </w:t>
      </w:r>
      <w:r w:rsidRPr="005304B4">
        <w:t xml:space="preserve">el interés superior del </w:t>
      </w:r>
      <w:r w:rsidR="00570EE3" w:rsidRPr="005304B4">
        <w:t xml:space="preserve">niño </w:t>
      </w:r>
      <w:r w:rsidRPr="005304B4">
        <w:t>adoptado</w:t>
      </w:r>
      <w:r w:rsidR="00570EE3" w:rsidRPr="005304B4">
        <w:t>,</w:t>
      </w:r>
      <w:r w:rsidRPr="005304B4">
        <w:t xml:space="preserve"> </w:t>
      </w:r>
      <w:r w:rsidR="00570EE3" w:rsidRPr="005304B4">
        <w:t>de tal forma que sea la persona</w:t>
      </w:r>
      <w:r w:rsidRPr="005304B4">
        <w:t xml:space="preserve"> que esté en mejores condiciones</w:t>
      </w:r>
      <w:r w:rsidR="00570EE3" w:rsidRPr="005304B4">
        <w:t xml:space="preserve"> </w:t>
      </w:r>
      <w:r w:rsidR="00711B83" w:rsidRPr="005304B4">
        <w:t xml:space="preserve">de </w:t>
      </w:r>
      <w:r w:rsidR="00570EE3" w:rsidRPr="005304B4">
        <w:t>asumir las labores de cuidado</w:t>
      </w:r>
      <w:r w:rsidRPr="005304B4">
        <w:t>, independiente de su género</w:t>
      </w:r>
      <w:r w:rsidR="00570EE3" w:rsidRPr="005304B4">
        <w:t>, quien lo haga.</w:t>
      </w:r>
    </w:p>
    <w:p w14:paraId="446CECCC" w14:textId="77777777" w:rsidR="001C2457" w:rsidRPr="005304B4" w:rsidRDefault="001C2457" w:rsidP="004E6EC5">
      <w:pPr>
        <w:rPr>
          <w:color w:val="000000" w:themeColor="text1"/>
          <w:sz w:val="28"/>
          <w:szCs w:val="28"/>
        </w:rPr>
      </w:pPr>
    </w:p>
    <w:p w14:paraId="14887F44" w14:textId="21289063" w:rsidR="004E6EC5" w:rsidRPr="005304B4" w:rsidRDefault="004E6EC5" w:rsidP="00545634">
      <w:pPr>
        <w:pStyle w:val="Prrafodelista"/>
        <w:numPr>
          <w:ilvl w:val="0"/>
          <w:numId w:val="40"/>
        </w:numPr>
        <w:tabs>
          <w:tab w:val="left" w:pos="284"/>
          <w:tab w:val="left" w:pos="426"/>
        </w:tabs>
        <w:ind w:left="0" w:firstLine="0"/>
        <w:rPr>
          <w:i/>
          <w:iCs/>
          <w:color w:val="000000" w:themeColor="text1"/>
        </w:rPr>
      </w:pPr>
      <w:r w:rsidRPr="005304B4">
        <w:rPr>
          <w:i/>
          <w:iCs/>
          <w:color w:val="000000" w:themeColor="text1"/>
        </w:rPr>
        <w:t>El cargo cumple con el requisito de</w:t>
      </w:r>
      <w:r w:rsidR="00D44E58" w:rsidRPr="005304B4">
        <w:rPr>
          <w:i/>
          <w:iCs/>
          <w:color w:val="000000" w:themeColor="text1"/>
        </w:rPr>
        <w:t xml:space="preserve"> </w:t>
      </w:r>
      <w:r w:rsidRPr="005304B4">
        <w:rPr>
          <w:i/>
          <w:iCs/>
          <w:color w:val="000000" w:themeColor="text1"/>
        </w:rPr>
        <w:t>pertinencia</w:t>
      </w:r>
      <w:r w:rsidRPr="005304B4">
        <w:rPr>
          <w:color w:val="000000" w:themeColor="text1"/>
        </w:rPr>
        <w:t xml:space="preserve">. </w:t>
      </w:r>
      <w:r w:rsidRPr="005304B4">
        <w:rPr>
          <w:color w:val="000000"/>
          <w:shd w:val="clear" w:color="auto" w:fill="FFFFFF"/>
        </w:rPr>
        <w:t xml:space="preserve">La demanda efectivamente plantea una controversia de orden constitucional, pues se acusa a la </w:t>
      </w:r>
      <w:r w:rsidR="00545634" w:rsidRPr="005304B4">
        <w:rPr>
          <w:color w:val="000000"/>
          <w:shd w:val="clear" w:color="auto" w:fill="FFFFFF"/>
        </w:rPr>
        <w:t>expresión demanda</w:t>
      </w:r>
      <w:r w:rsidR="007C694D" w:rsidRPr="005304B4">
        <w:rPr>
          <w:color w:val="000000"/>
          <w:shd w:val="clear" w:color="auto" w:fill="FFFFFF"/>
        </w:rPr>
        <w:t>da</w:t>
      </w:r>
      <w:r w:rsidRPr="005304B4">
        <w:rPr>
          <w:color w:val="000000"/>
          <w:shd w:val="clear" w:color="auto" w:fill="FFFFFF"/>
        </w:rPr>
        <w:t xml:space="preserve"> de quebrantar el principio de igualdad, consagrado en el artículo 13 de la Constitución Política</w:t>
      </w:r>
      <w:r w:rsidR="00545634" w:rsidRPr="005304B4">
        <w:rPr>
          <w:color w:val="000000"/>
          <w:shd w:val="clear" w:color="auto" w:fill="FFFFFF"/>
        </w:rPr>
        <w:t xml:space="preserve">, con argumentos que no son legales, </w:t>
      </w:r>
      <w:r w:rsidR="00570EE3" w:rsidRPr="005304B4">
        <w:rPr>
          <w:color w:val="000000"/>
          <w:shd w:val="clear" w:color="auto" w:fill="FFFFFF"/>
        </w:rPr>
        <w:t>de conveniencia,</w:t>
      </w:r>
      <w:r w:rsidR="00545634" w:rsidRPr="005304B4">
        <w:rPr>
          <w:color w:val="000000"/>
          <w:shd w:val="clear" w:color="auto" w:fill="FFFFFF"/>
        </w:rPr>
        <w:t xml:space="preserve"> </w:t>
      </w:r>
      <w:r w:rsidR="00570EE3" w:rsidRPr="005304B4">
        <w:rPr>
          <w:color w:val="000000"/>
          <w:shd w:val="clear" w:color="auto" w:fill="FFFFFF"/>
        </w:rPr>
        <w:t>ni basados</w:t>
      </w:r>
      <w:r w:rsidR="00545634" w:rsidRPr="005304B4">
        <w:rPr>
          <w:color w:val="000000"/>
          <w:shd w:val="clear" w:color="auto" w:fill="FFFFFF"/>
        </w:rPr>
        <w:t xml:space="preserve"> en opiniones subjetivas. Esto es así porque sustentan de manera concreta las razones por las cuales la imposibilidad legal de elegir el tipo de licencia plantea una discusión de rango constitucional desde el derecho al cuidado, la corresponsabilidad de los progenitores en las labores del cuidado, el enfoque de género en las normas </w:t>
      </w:r>
      <w:r w:rsidR="00627F5E" w:rsidRPr="005304B4">
        <w:rPr>
          <w:color w:val="000000"/>
          <w:shd w:val="clear" w:color="auto" w:fill="FFFFFF"/>
        </w:rPr>
        <w:t>y el interés superior de l</w:t>
      </w:r>
      <w:r w:rsidR="00570EE3" w:rsidRPr="005304B4">
        <w:rPr>
          <w:color w:val="000000"/>
          <w:shd w:val="clear" w:color="auto" w:fill="FFFFFF"/>
        </w:rPr>
        <w:t>a niñez.</w:t>
      </w:r>
    </w:p>
    <w:p w14:paraId="1285640D" w14:textId="77777777" w:rsidR="00545634" w:rsidRPr="005304B4" w:rsidRDefault="00545634" w:rsidP="00545634">
      <w:pPr>
        <w:rPr>
          <w:i/>
          <w:iCs/>
          <w:color w:val="000000"/>
          <w:sz w:val="28"/>
          <w:szCs w:val="28"/>
        </w:rPr>
      </w:pPr>
    </w:p>
    <w:p w14:paraId="6E017268" w14:textId="502698C5" w:rsidR="004E6EC5" w:rsidRPr="005304B4" w:rsidRDefault="004E6EC5" w:rsidP="004E6EC5">
      <w:pPr>
        <w:pStyle w:val="Prrafodelista"/>
        <w:numPr>
          <w:ilvl w:val="0"/>
          <w:numId w:val="40"/>
        </w:numPr>
        <w:tabs>
          <w:tab w:val="left" w:pos="284"/>
          <w:tab w:val="left" w:pos="426"/>
        </w:tabs>
        <w:ind w:left="0" w:firstLine="0"/>
        <w:rPr>
          <w:i/>
          <w:iCs/>
          <w:color w:val="000000" w:themeColor="text1"/>
        </w:rPr>
      </w:pPr>
      <w:r w:rsidRPr="005304B4">
        <w:rPr>
          <w:i/>
          <w:iCs/>
          <w:color w:val="000000"/>
          <w:lang w:eastAsia="es-MX"/>
        </w:rPr>
        <w:t>El cargo cumple con el requisito de suficiencia. </w:t>
      </w:r>
      <w:r w:rsidRPr="005304B4">
        <w:rPr>
          <w:color w:val="000000"/>
          <w:lang w:eastAsia="es-MX"/>
        </w:rPr>
        <w:t xml:space="preserve">Los planteamientos de la </w:t>
      </w:r>
      <w:r w:rsidR="007C694D" w:rsidRPr="005304B4">
        <w:rPr>
          <w:color w:val="000000"/>
          <w:lang w:eastAsia="es-MX"/>
        </w:rPr>
        <w:t xml:space="preserve">parte </w:t>
      </w:r>
      <w:r w:rsidRPr="005304B4">
        <w:rPr>
          <w:color w:val="000000"/>
          <w:lang w:eastAsia="es-MX"/>
        </w:rPr>
        <w:t xml:space="preserve">demandante, al margen de que sean o no acertados, sí generan una mínima duda en torno a la conformidad de la </w:t>
      </w:r>
      <w:r w:rsidR="00627F5E" w:rsidRPr="005304B4">
        <w:rPr>
          <w:color w:val="000000"/>
          <w:lang w:eastAsia="es-MX"/>
        </w:rPr>
        <w:t>disposición</w:t>
      </w:r>
      <w:r w:rsidRPr="005304B4">
        <w:rPr>
          <w:color w:val="000000"/>
          <w:lang w:eastAsia="es-MX"/>
        </w:rPr>
        <w:t xml:space="preserve"> acusada con la Carta</w:t>
      </w:r>
      <w:r w:rsidR="003D2679" w:rsidRPr="005304B4">
        <w:rPr>
          <w:color w:val="000000"/>
          <w:lang w:eastAsia="es-MX"/>
        </w:rPr>
        <w:t>.</w:t>
      </w:r>
      <w:r w:rsidRPr="005304B4">
        <w:rPr>
          <w:color w:val="000000"/>
          <w:lang w:eastAsia="es-MX"/>
        </w:rPr>
        <w:t xml:space="preserve"> </w:t>
      </w:r>
      <w:r w:rsidR="003D2679" w:rsidRPr="005304B4">
        <w:rPr>
          <w:color w:val="000000"/>
          <w:lang w:eastAsia="es-MX"/>
        </w:rPr>
        <w:t>E</w:t>
      </w:r>
      <w:r w:rsidRPr="005304B4">
        <w:rPr>
          <w:color w:val="000000"/>
          <w:lang w:eastAsia="es-MX"/>
        </w:rPr>
        <w:t>s decir, son lo suficientemente persuasivos para llevar a cabo el control de constitucionalidad del artículo en discusión, todo lo cual lleva a concluir que la demanda es apta para provocar un pronunciamiento de fondo.</w:t>
      </w:r>
    </w:p>
    <w:p w14:paraId="15B0E06B" w14:textId="77777777" w:rsidR="00191358" w:rsidRPr="005304B4" w:rsidRDefault="00191358" w:rsidP="00191358">
      <w:pPr>
        <w:pStyle w:val="Prrafodelista"/>
        <w:rPr>
          <w:i/>
          <w:iCs/>
          <w:color w:val="000000" w:themeColor="text1"/>
        </w:rPr>
      </w:pPr>
    </w:p>
    <w:p w14:paraId="1F947533" w14:textId="0C6E2954" w:rsidR="00191358" w:rsidRPr="005304B4" w:rsidRDefault="006F3994" w:rsidP="006F3994">
      <w:pPr>
        <w:pStyle w:val="Ttulo3"/>
      </w:pPr>
      <w:bookmarkStart w:id="23" w:name="_Toc224553748"/>
      <w:r w:rsidRPr="005304B4">
        <w:t xml:space="preserve">3.2. </w:t>
      </w:r>
      <w:r w:rsidR="002B605D" w:rsidRPr="005304B4">
        <w:t xml:space="preserve">Segunda cuestión previa: </w:t>
      </w:r>
      <w:r w:rsidR="00191358" w:rsidRPr="005304B4">
        <w:t>sobre la cosa juzgada constitucional respecto del artículo 2° de la Ley 2114 de 2021</w:t>
      </w:r>
      <w:bookmarkEnd w:id="23"/>
    </w:p>
    <w:p w14:paraId="1D60FB9F" w14:textId="77777777" w:rsidR="00191358" w:rsidRPr="005304B4" w:rsidRDefault="00191358" w:rsidP="00191358">
      <w:pPr>
        <w:pStyle w:val="Prrafodelista"/>
        <w:rPr>
          <w:i/>
          <w:iCs/>
          <w:color w:val="000000" w:themeColor="text1"/>
        </w:rPr>
      </w:pPr>
    </w:p>
    <w:p w14:paraId="2CA1D14A" w14:textId="5A69C968" w:rsidR="00191358" w:rsidRPr="005304B4" w:rsidRDefault="00191358" w:rsidP="00191358">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De acuerdo con los artículos 243 de la Constitución, 46 y 48 de la Ley 270 de 1996 y 22 del Decreto 2067 de 1991, los fallos dictados por la Corte Constitucional en sede de control abstracto de constitucionalidad hacen tránsito a cosa juzgada. En tal sentido, son definitivos, de obligatorio cumplimiento y tienen efectos </w:t>
      </w:r>
      <w:r w:rsidRPr="005304B4">
        <w:rPr>
          <w:i/>
          <w:iCs/>
          <w:color w:val="000000" w:themeColor="text1"/>
        </w:rPr>
        <w:t>erga omnes</w:t>
      </w:r>
      <w:r w:rsidRPr="005304B4">
        <w:rPr>
          <w:rStyle w:val="Refdenotaalpie"/>
          <w:color w:val="000000" w:themeColor="text1"/>
        </w:rPr>
        <w:footnoteReference w:id="38"/>
      </w:r>
      <w:r w:rsidRPr="005304B4">
        <w:rPr>
          <w:color w:val="000000" w:themeColor="text1"/>
        </w:rPr>
        <w:t xml:space="preserve">. Por </w:t>
      </w:r>
      <w:r w:rsidR="00BB6A3E" w:rsidRPr="005304B4">
        <w:rPr>
          <w:color w:val="000000" w:themeColor="text1"/>
        </w:rPr>
        <w:t xml:space="preserve">lo </w:t>
      </w:r>
      <w:r w:rsidRPr="005304B4">
        <w:rPr>
          <w:color w:val="000000" w:themeColor="text1"/>
        </w:rPr>
        <w:t>tanto, cuando la cosa juzgada se configura, surge</w:t>
      </w:r>
      <w:r w:rsidR="00BB6A3E" w:rsidRPr="005304B4">
        <w:rPr>
          <w:color w:val="000000" w:themeColor="text1"/>
        </w:rPr>
        <w:t>n</w:t>
      </w:r>
      <w:r w:rsidRPr="005304B4">
        <w:rPr>
          <w:color w:val="000000" w:themeColor="text1"/>
        </w:rPr>
        <w:t xml:space="preserve">, entre otros efectos, la prohibición e imposibilidad para el juez constitucional </w:t>
      </w:r>
      <w:r w:rsidR="00711B83" w:rsidRPr="005304B4">
        <w:rPr>
          <w:color w:val="000000" w:themeColor="text1"/>
        </w:rPr>
        <w:t xml:space="preserve">de </w:t>
      </w:r>
      <w:r w:rsidRPr="005304B4">
        <w:rPr>
          <w:color w:val="000000" w:themeColor="text1"/>
        </w:rPr>
        <w:t>conocer y decidir de fondo sobre lo ya debatido y resuelto. Esta figura tiene como propósito asegurar la supremacía de la Carta Política y garantizar los principios de seguridad jurídica, igualdad y confianza legítima.</w:t>
      </w:r>
    </w:p>
    <w:p w14:paraId="56E6C525" w14:textId="77777777" w:rsidR="00191358" w:rsidRPr="005304B4" w:rsidRDefault="00191358" w:rsidP="00191358">
      <w:pPr>
        <w:pStyle w:val="Prrafodelista"/>
        <w:tabs>
          <w:tab w:val="left" w:pos="284"/>
          <w:tab w:val="left" w:pos="426"/>
        </w:tabs>
        <w:ind w:left="0"/>
        <w:rPr>
          <w:i/>
          <w:iCs/>
          <w:color w:val="000000" w:themeColor="text1"/>
        </w:rPr>
      </w:pPr>
    </w:p>
    <w:p w14:paraId="6E25FE4C" w14:textId="77777777" w:rsidR="00191358" w:rsidRPr="005304B4" w:rsidRDefault="00191358" w:rsidP="00191358">
      <w:pPr>
        <w:pStyle w:val="Prrafodelista"/>
        <w:numPr>
          <w:ilvl w:val="0"/>
          <w:numId w:val="40"/>
        </w:numPr>
        <w:tabs>
          <w:tab w:val="left" w:pos="284"/>
          <w:tab w:val="left" w:pos="426"/>
        </w:tabs>
        <w:ind w:left="0" w:firstLine="0"/>
        <w:rPr>
          <w:color w:val="000000" w:themeColor="text1"/>
        </w:rPr>
      </w:pPr>
      <w:r w:rsidRPr="005304B4">
        <w:rPr>
          <w:color w:val="000000" w:themeColor="text1"/>
        </w:rPr>
        <w:t>No obstante, esta regla no impide que una misma norma legal pueda ser objeto de nuevas demandas. De suerte que esta Corporación deba pronunciarse de fondo sobre su constitucionalidad, cuando, por ejemplo, la sentencia anterior, proferida en ejercicio del control abstracto de constitucionalidad por vía de acción, hubiese analizado cargos distintos a los que se presentan en la nueva demanda</w:t>
      </w:r>
      <w:r w:rsidRPr="005304B4">
        <w:rPr>
          <w:rStyle w:val="Refdenotaalpie"/>
          <w:color w:val="000000" w:themeColor="text1"/>
        </w:rPr>
        <w:footnoteReference w:id="39"/>
      </w:r>
      <w:r w:rsidRPr="005304B4">
        <w:rPr>
          <w:color w:val="000000" w:themeColor="text1"/>
        </w:rPr>
        <w:t>.</w:t>
      </w:r>
    </w:p>
    <w:p w14:paraId="42998BFE" w14:textId="77777777" w:rsidR="00191358" w:rsidRPr="005304B4" w:rsidRDefault="00191358" w:rsidP="00191358">
      <w:pPr>
        <w:pStyle w:val="Prrafodelista"/>
        <w:tabs>
          <w:tab w:val="left" w:pos="284"/>
          <w:tab w:val="left" w:pos="426"/>
        </w:tabs>
        <w:ind w:left="0"/>
        <w:rPr>
          <w:i/>
          <w:iCs/>
          <w:color w:val="000000" w:themeColor="text1"/>
        </w:rPr>
      </w:pPr>
    </w:p>
    <w:p w14:paraId="179C55C9" w14:textId="13E5B239" w:rsidR="00191358" w:rsidRPr="005304B4" w:rsidRDefault="00191358" w:rsidP="00191358">
      <w:pPr>
        <w:pStyle w:val="Prrafodelista"/>
        <w:numPr>
          <w:ilvl w:val="0"/>
          <w:numId w:val="40"/>
        </w:numPr>
        <w:tabs>
          <w:tab w:val="left" w:pos="284"/>
          <w:tab w:val="left" w:pos="426"/>
        </w:tabs>
        <w:ind w:left="0" w:firstLine="0"/>
        <w:rPr>
          <w:color w:val="000000" w:themeColor="text1"/>
        </w:rPr>
      </w:pPr>
      <w:r w:rsidRPr="005304B4">
        <w:rPr>
          <w:color w:val="000000" w:themeColor="text1"/>
        </w:rPr>
        <w:t xml:space="preserve">Entonces, para que, en estos eventos, el fenómeno de cosa juzgada se configure se requieren tres elementos: (i) </w:t>
      </w:r>
      <w:r w:rsidRPr="005304B4">
        <w:rPr>
          <w:i/>
          <w:iCs/>
          <w:color w:val="000000" w:themeColor="text1"/>
        </w:rPr>
        <w:t>identidad del objeto</w:t>
      </w:r>
      <w:r w:rsidRPr="005304B4">
        <w:rPr>
          <w:color w:val="000000" w:themeColor="text1"/>
        </w:rPr>
        <w:t xml:space="preserve">, es decir, que se proponga estudiar el mismo contenido normativo de una proposición jurídica ya estudiada en una sentencia anterior; (ii) </w:t>
      </w:r>
      <w:r w:rsidRPr="005304B4">
        <w:rPr>
          <w:i/>
          <w:iCs/>
          <w:color w:val="000000" w:themeColor="text1"/>
        </w:rPr>
        <w:t>identidad de la causa petendi</w:t>
      </w:r>
      <w:r w:rsidRPr="005304B4">
        <w:rPr>
          <w:color w:val="000000" w:themeColor="text1"/>
        </w:rPr>
        <w:t xml:space="preserve">, esto es, que se presenten las mismas razones o cuestionamientos (esto incluye el referente constitucional o norma presuntamente vulnerada) analizados en ese fallo antecedente; e (iii) </w:t>
      </w:r>
      <w:r w:rsidRPr="005304B4">
        <w:rPr>
          <w:i/>
          <w:iCs/>
          <w:color w:val="000000" w:themeColor="text1"/>
        </w:rPr>
        <w:t>identidad del parámetro de control de constitucionalidad</w:t>
      </w:r>
      <w:r w:rsidRPr="005304B4">
        <w:rPr>
          <w:color w:val="000000" w:themeColor="text1"/>
        </w:rPr>
        <w:t>, que implica que no haya variado el patrón normativo de control.</w:t>
      </w:r>
      <w:r w:rsidRPr="005304B4">
        <w:t xml:space="preserve"> </w:t>
      </w:r>
      <w:r w:rsidRPr="005304B4">
        <w:rPr>
          <w:color w:val="000000" w:themeColor="text1"/>
        </w:rPr>
        <w:t>Estos elementos son, en conjunto, condiciones necesarias y suficientes para declarar la cosa juzgada</w:t>
      </w:r>
      <w:r w:rsidRPr="005304B4">
        <w:rPr>
          <w:rStyle w:val="Refdenotaalpie"/>
          <w:color w:val="000000" w:themeColor="text1"/>
        </w:rPr>
        <w:footnoteReference w:id="40"/>
      </w:r>
      <w:r w:rsidRPr="005304B4">
        <w:rPr>
          <w:color w:val="000000" w:themeColor="text1"/>
        </w:rPr>
        <w:t xml:space="preserve">. </w:t>
      </w:r>
    </w:p>
    <w:p w14:paraId="6393B092" w14:textId="77777777" w:rsidR="00191358" w:rsidRPr="005304B4" w:rsidRDefault="00191358" w:rsidP="00191358">
      <w:pPr>
        <w:pStyle w:val="Prrafodelista"/>
        <w:rPr>
          <w:color w:val="000000" w:themeColor="text1"/>
        </w:rPr>
      </w:pPr>
    </w:p>
    <w:p w14:paraId="55D2D00C" w14:textId="07B0FB6F" w:rsidR="00890DF4" w:rsidRPr="005304B4" w:rsidRDefault="00191358" w:rsidP="00890DF4">
      <w:pPr>
        <w:pStyle w:val="Prrafodelista"/>
        <w:numPr>
          <w:ilvl w:val="0"/>
          <w:numId w:val="40"/>
        </w:numPr>
        <w:tabs>
          <w:tab w:val="left" w:pos="284"/>
          <w:tab w:val="left" w:pos="426"/>
        </w:tabs>
        <w:ind w:left="0" w:firstLine="0"/>
        <w:rPr>
          <w:color w:val="000000" w:themeColor="text1"/>
        </w:rPr>
      </w:pPr>
      <w:r w:rsidRPr="005304B4">
        <w:rPr>
          <w:color w:val="000000" w:themeColor="text1"/>
        </w:rPr>
        <w:t>L</w:t>
      </w:r>
      <w:r w:rsidR="00890DF4" w:rsidRPr="005304B4">
        <w:rPr>
          <w:color w:val="000000" w:themeColor="text1"/>
        </w:rPr>
        <w:t xml:space="preserve">a Corte Constitucional ha establecido que la cosa juzgada constitucional opera tanto </w:t>
      </w:r>
      <w:r w:rsidR="00BB6A3E" w:rsidRPr="005304B4">
        <w:rPr>
          <w:color w:val="000000" w:themeColor="text1"/>
        </w:rPr>
        <w:t xml:space="preserve">respecto </w:t>
      </w:r>
      <w:r w:rsidR="00890DF4" w:rsidRPr="005304B4">
        <w:rPr>
          <w:color w:val="000000" w:themeColor="text1"/>
        </w:rPr>
        <w:t xml:space="preserve">de los fallos de exequibilidad como de inexequibilidad, así como de aquellas decisiones condicionadas, integradoras, sustitutivas y diferidas, en los términos que han sido determinados por la Corte. En su calidad de intérprete autorizado de la Constitución (art. 241 C.P), corresponde </w:t>
      </w:r>
      <w:r w:rsidR="00FF0F7F" w:rsidRPr="005304B4">
        <w:rPr>
          <w:color w:val="000000" w:themeColor="text1"/>
        </w:rPr>
        <w:t xml:space="preserve">a </w:t>
      </w:r>
      <w:r w:rsidR="00890DF4" w:rsidRPr="005304B4">
        <w:rPr>
          <w:color w:val="000000" w:themeColor="text1"/>
        </w:rPr>
        <w:t>est</w:t>
      </w:r>
      <w:r w:rsidR="00FF0F7F" w:rsidRPr="005304B4">
        <w:rPr>
          <w:color w:val="000000" w:themeColor="text1"/>
        </w:rPr>
        <w:t>e</w:t>
      </w:r>
      <w:r w:rsidR="00890DF4" w:rsidRPr="005304B4">
        <w:rPr>
          <w:color w:val="000000" w:themeColor="text1"/>
        </w:rPr>
        <w:t xml:space="preserve"> Tribunal determinar el alcance y los efecto</w:t>
      </w:r>
      <w:r w:rsidR="006541DC" w:rsidRPr="005304B4">
        <w:rPr>
          <w:color w:val="000000" w:themeColor="text1"/>
        </w:rPr>
        <w:t>s</w:t>
      </w:r>
      <w:r w:rsidR="00890DF4" w:rsidRPr="005304B4">
        <w:rPr>
          <w:color w:val="000000" w:themeColor="text1"/>
        </w:rPr>
        <w:t xml:space="preserve"> de cada uno de sus fallos. De ahí que la cosa juzgada tenga varias tipologías, las cuales han sido definidas progresivamente por la jurisprudencia constitucional, según se explica a continuación</w:t>
      </w:r>
      <w:r w:rsidR="00890DF4" w:rsidRPr="005304B4">
        <w:rPr>
          <w:rStyle w:val="Refdenotaalpie"/>
          <w:color w:val="000000" w:themeColor="text1"/>
        </w:rPr>
        <w:footnoteReference w:id="41"/>
      </w:r>
      <w:r w:rsidR="00890DF4" w:rsidRPr="005304B4">
        <w:rPr>
          <w:color w:val="000000" w:themeColor="text1"/>
        </w:rPr>
        <w:t xml:space="preserve">. </w:t>
      </w:r>
    </w:p>
    <w:p w14:paraId="3A2022E1" w14:textId="77777777" w:rsidR="00890DF4" w:rsidRPr="005304B4" w:rsidRDefault="00890DF4" w:rsidP="00890DF4">
      <w:pPr>
        <w:rPr>
          <w:color w:val="000000" w:themeColor="text1"/>
          <w:sz w:val="28"/>
          <w:szCs w:val="28"/>
        </w:rPr>
      </w:pPr>
    </w:p>
    <w:p w14:paraId="2C8A9E05" w14:textId="10467A73" w:rsidR="00047038" w:rsidRPr="005304B4" w:rsidRDefault="00890DF4" w:rsidP="00890DF4">
      <w:pPr>
        <w:pStyle w:val="Prrafodelista"/>
        <w:numPr>
          <w:ilvl w:val="0"/>
          <w:numId w:val="40"/>
        </w:numPr>
        <w:tabs>
          <w:tab w:val="left" w:pos="284"/>
          <w:tab w:val="left" w:pos="426"/>
        </w:tabs>
        <w:ind w:left="0" w:firstLine="0"/>
        <w:rPr>
          <w:color w:val="000000" w:themeColor="text1"/>
        </w:rPr>
      </w:pPr>
      <w:r w:rsidRPr="005304B4">
        <w:rPr>
          <w:color w:val="000000" w:themeColor="text1"/>
        </w:rPr>
        <w:t xml:space="preserve">En primer lugar, puede </w:t>
      </w:r>
      <w:r w:rsidR="00191358" w:rsidRPr="005304B4">
        <w:rPr>
          <w:color w:val="000000" w:themeColor="text1"/>
        </w:rPr>
        <w:t xml:space="preserve">configurarse cosa juzgada formal y cosa juzgada material. </w:t>
      </w:r>
      <w:r w:rsidR="00047038" w:rsidRPr="005304B4">
        <w:rPr>
          <w:color w:val="000000" w:themeColor="text1"/>
        </w:rPr>
        <w:t>La distinción entre estas dos se determina en función del objeto de control y, de manera particular, a partir de la distinción entre el enunciado normativo y la norma</w:t>
      </w:r>
      <w:r w:rsidR="00047038" w:rsidRPr="005304B4">
        <w:rPr>
          <w:rStyle w:val="Refdenotaalpie"/>
          <w:color w:val="000000" w:themeColor="text1"/>
        </w:rPr>
        <w:footnoteReference w:id="42"/>
      </w:r>
      <w:r w:rsidR="00047038" w:rsidRPr="005304B4">
        <w:rPr>
          <w:color w:val="000000" w:themeColor="text1"/>
        </w:rPr>
        <w:t>. Entonces, la cosa juzgada</w:t>
      </w:r>
      <w:r w:rsidR="00191358" w:rsidRPr="005304B4">
        <w:rPr>
          <w:color w:val="000000" w:themeColor="text1"/>
        </w:rPr>
        <w:t xml:space="preserve"> </w:t>
      </w:r>
      <w:r w:rsidR="00191358" w:rsidRPr="005304B4">
        <w:rPr>
          <w:i/>
          <w:iCs/>
          <w:color w:val="000000" w:themeColor="text1"/>
        </w:rPr>
        <w:t>formal</w:t>
      </w:r>
      <w:r w:rsidR="00191358" w:rsidRPr="005304B4">
        <w:rPr>
          <w:color w:val="000000" w:themeColor="text1"/>
        </w:rPr>
        <w:t xml:space="preserve"> se presenta cuando una demanda se dirige contra una disposición </w:t>
      </w:r>
      <w:r w:rsidR="00BB6A3E" w:rsidRPr="005304B4">
        <w:rPr>
          <w:color w:val="000000" w:themeColor="text1"/>
        </w:rPr>
        <w:t>sobre la cual hubo un pronunciamiento de constitucionalidad previo en sede de control abstracto</w:t>
      </w:r>
      <w:r w:rsidR="00191358" w:rsidRPr="005304B4">
        <w:rPr>
          <w:color w:val="000000" w:themeColor="text1"/>
        </w:rPr>
        <w:t xml:space="preserve">, mientras que la cosa juzgada </w:t>
      </w:r>
      <w:r w:rsidR="00191358" w:rsidRPr="005304B4">
        <w:rPr>
          <w:i/>
          <w:iCs/>
          <w:color w:val="000000" w:themeColor="text1"/>
        </w:rPr>
        <w:t>material</w:t>
      </w:r>
      <w:r w:rsidR="00191358" w:rsidRPr="005304B4">
        <w:rPr>
          <w:color w:val="000000" w:themeColor="text1"/>
        </w:rPr>
        <w:t xml:space="preserve"> ocurre cuando se cuestiona la misma norma, aunque se encuentre </w:t>
      </w:r>
      <w:r w:rsidR="00BB6A3E" w:rsidRPr="005304B4">
        <w:rPr>
          <w:color w:val="000000" w:themeColor="text1"/>
        </w:rPr>
        <w:t>adscrita a otra</w:t>
      </w:r>
      <w:r w:rsidR="00191358" w:rsidRPr="005304B4">
        <w:rPr>
          <w:color w:val="000000" w:themeColor="text1"/>
        </w:rPr>
        <w:t xml:space="preserve"> disposición</w:t>
      </w:r>
      <w:r w:rsidR="00BB6A3E" w:rsidRPr="005304B4">
        <w:rPr>
          <w:color w:val="000000" w:themeColor="text1"/>
        </w:rPr>
        <w:t xml:space="preserve"> normativa</w:t>
      </w:r>
      <w:r w:rsidR="00191358" w:rsidRPr="005304B4">
        <w:rPr>
          <w:rStyle w:val="Refdenotaalpie"/>
          <w:color w:val="000000" w:themeColor="text1"/>
        </w:rPr>
        <w:footnoteReference w:id="43"/>
      </w:r>
      <w:r w:rsidR="00191358" w:rsidRPr="005304B4">
        <w:rPr>
          <w:color w:val="000000" w:themeColor="text1"/>
        </w:rPr>
        <w:t>. En otros términos, esta última se configura cuando una sentencia previa examinó una norma equivalente a la demanda</w:t>
      </w:r>
      <w:r w:rsidR="002C6DA7" w:rsidRPr="005304B4">
        <w:rPr>
          <w:color w:val="000000" w:themeColor="text1"/>
        </w:rPr>
        <w:t>da</w:t>
      </w:r>
      <w:r w:rsidR="00191358" w:rsidRPr="005304B4">
        <w:rPr>
          <w:color w:val="000000" w:themeColor="text1"/>
        </w:rPr>
        <w:t>, contenida en un texto normativo distinto. De forma que, aunque se trate de disposiciones formalmente diferentes, producen los mismo</w:t>
      </w:r>
      <w:r w:rsidR="006541DC" w:rsidRPr="005304B4">
        <w:rPr>
          <w:color w:val="000000" w:themeColor="text1"/>
        </w:rPr>
        <w:t>s</w:t>
      </w:r>
      <w:r w:rsidR="00191358" w:rsidRPr="005304B4">
        <w:rPr>
          <w:color w:val="000000" w:themeColor="text1"/>
        </w:rPr>
        <w:t xml:space="preserve"> efectos</w:t>
      </w:r>
      <w:r w:rsidR="00BB6A3E" w:rsidRPr="005304B4">
        <w:rPr>
          <w:color w:val="000000" w:themeColor="text1"/>
        </w:rPr>
        <w:t>,</w:t>
      </w:r>
      <w:r w:rsidR="00191358" w:rsidRPr="005304B4">
        <w:rPr>
          <w:color w:val="000000" w:themeColor="text1"/>
        </w:rPr>
        <w:t xml:space="preserve"> en cuanto contienen la misma regla</w:t>
      </w:r>
      <w:r w:rsidR="00191358" w:rsidRPr="005304B4">
        <w:rPr>
          <w:rStyle w:val="Refdenotaalpie"/>
          <w:color w:val="000000" w:themeColor="text1"/>
        </w:rPr>
        <w:footnoteReference w:id="44"/>
      </w:r>
      <w:r w:rsidR="00191358" w:rsidRPr="005304B4">
        <w:rPr>
          <w:color w:val="000000" w:themeColor="text1"/>
        </w:rPr>
        <w:t xml:space="preserve">. </w:t>
      </w:r>
    </w:p>
    <w:p w14:paraId="2A581CDB" w14:textId="77777777" w:rsidR="00191358" w:rsidRPr="005304B4" w:rsidRDefault="00191358" w:rsidP="00191358">
      <w:pPr>
        <w:pStyle w:val="Prrafodelista"/>
        <w:rPr>
          <w:color w:val="000000" w:themeColor="text1"/>
        </w:rPr>
      </w:pPr>
    </w:p>
    <w:p w14:paraId="1157BD2D" w14:textId="71904E30" w:rsidR="00191358" w:rsidRPr="005304B4" w:rsidRDefault="00890DF4" w:rsidP="00047038">
      <w:pPr>
        <w:pStyle w:val="Prrafodelista"/>
        <w:numPr>
          <w:ilvl w:val="0"/>
          <w:numId w:val="40"/>
        </w:numPr>
        <w:tabs>
          <w:tab w:val="left" w:pos="284"/>
          <w:tab w:val="left" w:pos="426"/>
        </w:tabs>
        <w:ind w:left="0" w:firstLine="0"/>
        <w:rPr>
          <w:color w:val="000000" w:themeColor="text1"/>
        </w:rPr>
      </w:pPr>
      <w:r w:rsidRPr="005304B4">
        <w:rPr>
          <w:color w:val="000000" w:themeColor="text1"/>
        </w:rPr>
        <w:t>En segundo lugar</w:t>
      </w:r>
      <w:r w:rsidR="00191358" w:rsidRPr="005304B4">
        <w:rPr>
          <w:color w:val="000000" w:themeColor="text1"/>
        </w:rPr>
        <w:t xml:space="preserve">, esta Corte ha precisado que </w:t>
      </w:r>
      <w:r w:rsidR="00BB6A3E" w:rsidRPr="005304B4">
        <w:rPr>
          <w:color w:val="000000" w:themeColor="text1"/>
        </w:rPr>
        <w:t>la cosa</w:t>
      </w:r>
      <w:r w:rsidR="00191358" w:rsidRPr="005304B4">
        <w:rPr>
          <w:color w:val="000000" w:themeColor="text1"/>
        </w:rPr>
        <w:t xml:space="preserve"> juzgada</w:t>
      </w:r>
      <w:r w:rsidR="00BB6A3E" w:rsidRPr="005304B4">
        <w:rPr>
          <w:color w:val="000000" w:themeColor="text1"/>
        </w:rPr>
        <w:t xml:space="preserve"> también puede clasificarse en</w:t>
      </w:r>
      <w:r w:rsidR="00191358" w:rsidRPr="005304B4">
        <w:rPr>
          <w:color w:val="000000" w:themeColor="text1"/>
        </w:rPr>
        <w:t xml:space="preserve"> absoluta y relativa.</w:t>
      </w:r>
      <w:r w:rsidR="00047038" w:rsidRPr="005304B4">
        <w:rPr>
          <w:color w:val="000000" w:themeColor="text1"/>
        </w:rPr>
        <w:t xml:space="preserve"> Su diferencia se establece teniendo en cuenta el cargo de inconstitucionalidad </w:t>
      </w:r>
      <w:r w:rsidR="00BB6A3E" w:rsidRPr="005304B4">
        <w:rPr>
          <w:color w:val="000000" w:themeColor="text1"/>
        </w:rPr>
        <w:t>o</w:t>
      </w:r>
      <w:r w:rsidR="00047038" w:rsidRPr="005304B4">
        <w:rPr>
          <w:color w:val="000000" w:themeColor="text1"/>
        </w:rPr>
        <w:t xml:space="preserve"> la amplitud del pronunciamiento previo de la Corte</w:t>
      </w:r>
      <w:r w:rsidR="00047038" w:rsidRPr="005304B4">
        <w:rPr>
          <w:rStyle w:val="Refdenotaalpie"/>
          <w:color w:val="000000" w:themeColor="text1"/>
        </w:rPr>
        <w:footnoteReference w:id="45"/>
      </w:r>
      <w:r w:rsidR="00047038" w:rsidRPr="005304B4">
        <w:rPr>
          <w:color w:val="000000" w:themeColor="text1"/>
        </w:rPr>
        <w:t>.</w:t>
      </w:r>
      <w:r w:rsidR="00191358" w:rsidRPr="005304B4">
        <w:rPr>
          <w:color w:val="000000" w:themeColor="text1"/>
        </w:rPr>
        <w:t xml:space="preserve"> La </w:t>
      </w:r>
      <w:r w:rsidR="005C074C" w:rsidRPr="005304B4">
        <w:rPr>
          <w:i/>
          <w:iCs/>
          <w:color w:val="000000" w:themeColor="text1"/>
        </w:rPr>
        <w:t xml:space="preserve">cosa juzgada </w:t>
      </w:r>
      <w:r w:rsidR="00191358" w:rsidRPr="005304B4">
        <w:rPr>
          <w:i/>
          <w:iCs/>
          <w:color w:val="000000" w:themeColor="text1"/>
        </w:rPr>
        <w:t>absoluta</w:t>
      </w:r>
      <w:r w:rsidR="005C074C" w:rsidRPr="005304B4">
        <w:rPr>
          <w:color w:val="000000" w:themeColor="text1"/>
        </w:rPr>
        <w:t xml:space="preserve"> se configura </w:t>
      </w:r>
      <w:r w:rsidR="00191358" w:rsidRPr="005304B4">
        <w:rPr>
          <w:color w:val="000000" w:themeColor="text1"/>
        </w:rPr>
        <w:t xml:space="preserve">cuando el pronunciamiento de constitucionalidad de una disposición </w:t>
      </w:r>
      <w:r w:rsidR="005C074C" w:rsidRPr="005304B4">
        <w:rPr>
          <w:color w:val="000000" w:themeColor="text1"/>
        </w:rPr>
        <w:t>se realizó examinando su contenido</w:t>
      </w:r>
      <w:r w:rsidR="00191358" w:rsidRPr="005304B4">
        <w:rPr>
          <w:color w:val="000000" w:themeColor="text1"/>
        </w:rPr>
        <w:t xml:space="preserve"> respecto a la integralidad de la Constitución. De ahí que la disposición, por regla, no puede ser objeto de control de constitucionalidad posterior. En cambio, la</w:t>
      </w:r>
      <w:r w:rsidR="00191358" w:rsidRPr="005304B4">
        <w:rPr>
          <w:i/>
          <w:iCs/>
          <w:color w:val="000000" w:themeColor="text1"/>
        </w:rPr>
        <w:t xml:space="preserve"> cosa</w:t>
      </w:r>
      <w:r w:rsidR="00191358" w:rsidRPr="005304B4">
        <w:rPr>
          <w:color w:val="000000" w:themeColor="text1"/>
        </w:rPr>
        <w:t xml:space="preserve"> </w:t>
      </w:r>
      <w:r w:rsidR="00191358" w:rsidRPr="005304B4">
        <w:rPr>
          <w:i/>
          <w:iCs/>
          <w:color w:val="000000" w:themeColor="text1"/>
        </w:rPr>
        <w:t>juzgada</w:t>
      </w:r>
      <w:r w:rsidR="00191358" w:rsidRPr="005304B4">
        <w:rPr>
          <w:color w:val="000000" w:themeColor="text1"/>
        </w:rPr>
        <w:t xml:space="preserve"> </w:t>
      </w:r>
      <w:r w:rsidR="00191358" w:rsidRPr="005304B4">
        <w:rPr>
          <w:i/>
          <w:iCs/>
          <w:color w:val="000000" w:themeColor="text1"/>
        </w:rPr>
        <w:t>relativa</w:t>
      </w:r>
      <w:r w:rsidR="00191358" w:rsidRPr="005304B4">
        <w:rPr>
          <w:color w:val="000000" w:themeColor="text1"/>
        </w:rPr>
        <w:t xml:space="preserve"> se presenta cuando el juez constitucional </w:t>
      </w:r>
      <w:r w:rsidR="005C074C" w:rsidRPr="005304B4">
        <w:rPr>
          <w:color w:val="000000" w:themeColor="text1"/>
        </w:rPr>
        <w:t xml:space="preserve">se pronuncia </w:t>
      </w:r>
      <w:r w:rsidR="002C6DA7" w:rsidRPr="005304B4">
        <w:rPr>
          <w:color w:val="000000" w:themeColor="text1"/>
        </w:rPr>
        <w:t>al</w:t>
      </w:r>
      <w:r w:rsidR="005C074C" w:rsidRPr="005304B4">
        <w:rPr>
          <w:color w:val="000000" w:themeColor="text1"/>
        </w:rPr>
        <w:t xml:space="preserve"> respecto de uno o varios cargos formulados,</w:t>
      </w:r>
      <w:r w:rsidR="00191358" w:rsidRPr="005304B4">
        <w:rPr>
          <w:color w:val="000000" w:themeColor="text1"/>
        </w:rPr>
        <w:t xml:space="preserve"> dejando abierta la posibilidad de formular un cargo distinto al examinado en la decisión anterior</w:t>
      </w:r>
      <w:r w:rsidR="00191358" w:rsidRPr="005304B4">
        <w:rPr>
          <w:rStyle w:val="Refdenotaalpie"/>
          <w:color w:val="000000" w:themeColor="text1"/>
        </w:rPr>
        <w:footnoteReference w:id="46"/>
      </w:r>
      <w:r w:rsidR="00191358" w:rsidRPr="005304B4">
        <w:rPr>
          <w:color w:val="000000" w:themeColor="text1"/>
        </w:rPr>
        <w:t xml:space="preserve">. En este caso será posible examinar la norma acusada desde la perspectiva de </w:t>
      </w:r>
      <w:r w:rsidR="005C074C" w:rsidRPr="005304B4">
        <w:rPr>
          <w:color w:val="000000" w:themeColor="text1"/>
        </w:rPr>
        <w:t>cargos novedosos</w:t>
      </w:r>
      <w:r w:rsidR="00191358" w:rsidRPr="005304B4">
        <w:rPr>
          <w:rStyle w:val="Refdenotaalpie"/>
          <w:color w:val="000000" w:themeColor="text1"/>
        </w:rPr>
        <w:footnoteReference w:id="47"/>
      </w:r>
      <w:r w:rsidR="00191358" w:rsidRPr="005304B4">
        <w:rPr>
          <w:color w:val="000000" w:themeColor="text1"/>
        </w:rPr>
        <w:t xml:space="preserve">. </w:t>
      </w:r>
    </w:p>
    <w:p w14:paraId="7317228F" w14:textId="77777777" w:rsidR="00047038" w:rsidRPr="005304B4" w:rsidRDefault="00047038" w:rsidP="00047038">
      <w:pPr>
        <w:pStyle w:val="Prrafodelista"/>
        <w:rPr>
          <w:color w:val="000000" w:themeColor="text1"/>
        </w:rPr>
      </w:pPr>
    </w:p>
    <w:p w14:paraId="3F45C804" w14:textId="19970FD8" w:rsidR="00047038" w:rsidRPr="005304B4" w:rsidRDefault="00047038" w:rsidP="00191358">
      <w:pPr>
        <w:pStyle w:val="Prrafodelista"/>
        <w:numPr>
          <w:ilvl w:val="0"/>
          <w:numId w:val="40"/>
        </w:numPr>
        <w:tabs>
          <w:tab w:val="left" w:pos="284"/>
          <w:tab w:val="left" w:pos="426"/>
        </w:tabs>
        <w:ind w:left="0" w:firstLine="0"/>
        <w:rPr>
          <w:color w:val="000000" w:themeColor="text1"/>
        </w:rPr>
      </w:pPr>
      <w:r w:rsidRPr="005304B4">
        <w:rPr>
          <w:color w:val="000000" w:themeColor="text1"/>
        </w:rPr>
        <w:t xml:space="preserve">En esta modalidad existen las categorías de </w:t>
      </w:r>
      <w:r w:rsidR="00096FB2" w:rsidRPr="005304B4">
        <w:rPr>
          <w:color w:val="000000" w:themeColor="text1"/>
        </w:rPr>
        <w:t xml:space="preserve">cosa juzgada </w:t>
      </w:r>
      <w:r w:rsidRPr="005304B4">
        <w:rPr>
          <w:color w:val="000000" w:themeColor="text1"/>
        </w:rPr>
        <w:t>relativa</w:t>
      </w:r>
      <w:r w:rsidR="00096FB2" w:rsidRPr="005304B4">
        <w:rPr>
          <w:color w:val="000000" w:themeColor="text1"/>
        </w:rPr>
        <w:t xml:space="preserve"> explícita </w:t>
      </w:r>
      <w:r w:rsidRPr="005304B4">
        <w:rPr>
          <w:color w:val="000000" w:themeColor="text1"/>
        </w:rPr>
        <w:t xml:space="preserve">y relativa </w:t>
      </w:r>
      <w:r w:rsidR="00096FB2" w:rsidRPr="005304B4">
        <w:rPr>
          <w:color w:val="000000" w:themeColor="text1"/>
        </w:rPr>
        <w:t xml:space="preserve">implícita. Será </w:t>
      </w:r>
      <w:r w:rsidR="00096FB2" w:rsidRPr="005304B4">
        <w:rPr>
          <w:i/>
          <w:iCs/>
          <w:color w:val="000000" w:themeColor="text1"/>
        </w:rPr>
        <w:t xml:space="preserve">explícita </w:t>
      </w:r>
      <w:r w:rsidR="00096FB2" w:rsidRPr="005304B4">
        <w:rPr>
          <w:color w:val="000000" w:themeColor="text1"/>
        </w:rPr>
        <w:t xml:space="preserve">cuando la parte resolutiva de la sentencia se establece expresamente </w:t>
      </w:r>
      <w:r w:rsidR="00890DF4" w:rsidRPr="005304B4">
        <w:rPr>
          <w:color w:val="000000" w:themeColor="text1"/>
        </w:rPr>
        <w:t>que el pronunciamiento de la Corte se limita a los cargos analizados y, de igual forma, se limitan los efectos de la decisión</w:t>
      </w:r>
      <w:r w:rsidR="00096FB2" w:rsidRPr="005304B4">
        <w:rPr>
          <w:color w:val="000000" w:themeColor="text1"/>
        </w:rPr>
        <w:t xml:space="preserve">. Por el contrario, </w:t>
      </w:r>
      <w:r w:rsidR="005C074C" w:rsidRPr="005304B4">
        <w:rPr>
          <w:color w:val="000000" w:themeColor="text1"/>
        </w:rPr>
        <w:t>será</w:t>
      </w:r>
      <w:r w:rsidR="00096FB2" w:rsidRPr="005304B4">
        <w:rPr>
          <w:color w:val="000000" w:themeColor="text1"/>
        </w:rPr>
        <w:t xml:space="preserve"> </w:t>
      </w:r>
      <w:r w:rsidR="00096FB2" w:rsidRPr="005304B4">
        <w:rPr>
          <w:i/>
          <w:iCs/>
          <w:color w:val="000000" w:themeColor="text1"/>
        </w:rPr>
        <w:t>implícita</w:t>
      </w:r>
      <w:r w:rsidR="00890DF4" w:rsidRPr="005304B4">
        <w:rPr>
          <w:rStyle w:val="Refdenotaalpie"/>
          <w:color w:val="000000" w:themeColor="text1"/>
        </w:rPr>
        <w:footnoteReference w:id="48"/>
      </w:r>
      <w:r w:rsidR="00096FB2" w:rsidRPr="005304B4">
        <w:rPr>
          <w:i/>
          <w:iCs/>
          <w:color w:val="000000" w:themeColor="text1"/>
        </w:rPr>
        <w:t xml:space="preserve"> </w:t>
      </w:r>
      <w:r w:rsidR="00096FB2" w:rsidRPr="005304B4">
        <w:rPr>
          <w:color w:val="000000" w:themeColor="text1"/>
        </w:rPr>
        <w:t xml:space="preserve">cuando, pese a no hacerse tal referencia en la parte resolutiva, de las consideraciones </w:t>
      </w:r>
      <w:r w:rsidR="00B8446F" w:rsidRPr="005304B4">
        <w:rPr>
          <w:color w:val="000000" w:themeColor="text1"/>
        </w:rPr>
        <w:t xml:space="preserve">de la sentencia se puede desprender que la Corte </w:t>
      </w:r>
      <w:r w:rsidR="005C074C" w:rsidRPr="005304B4">
        <w:rPr>
          <w:color w:val="000000" w:themeColor="text1"/>
        </w:rPr>
        <w:t>limitó su análisis y pronunciamiento</w:t>
      </w:r>
      <w:r w:rsidR="00B8446F" w:rsidRPr="005304B4">
        <w:rPr>
          <w:color w:val="000000" w:themeColor="text1"/>
        </w:rPr>
        <w:t xml:space="preserve"> a determinados cargos</w:t>
      </w:r>
      <w:r w:rsidR="00B8446F" w:rsidRPr="005304B4">
        <w:rPr>
          <w:rStyle w:val="Refdenotaalpie"/>
          <w:color w:val="000000" w:themeColor="text1"/>
        </w:rPr>
        <w:footnoteReference w:id="49"/>
      </w:r>
      <w:r w:rsidR="00890DF4" w:rsidRPr="005304B4">
        <w:rPr>
          <w:color w:val="000000" w:themeColor="text1"/>
        </w:rPr>
        <w:t>.</w:t>
      </w:r>
    </w:p>
    <w:p w14:paraId="6E0122FD" w14:textId="77777777" w:rsidR="00191358" w:rsidRPr="005304B4" w:rsidRDefault="00191358" w:rsidP="005C074C">
      <w:pPr>
        <w:rPr>
          <w:color w:val="000000" w:themeColor="text1"/>
          <w:sz w:val="28"/>
          <w:szCs w:val="28"/>
        </w:rPr>
      </w:pPr>
    </w:p>
    <w:p w14:paraId="3CA8343A" w14:textId="68452660" w:rsidR="00191358" w:rsidRPr="005304B4" w:rsidRDefault="005C074C" w:rsidP="00191358">
      <w:pPr>
        <w:pStyle w:val="Prrafodelista"/>
        <w:numPr>
          <w:ilvl w:val="0"/>
          <w:numId w:val="40"/>
        </w:numPr>
        <w:tabs>
          <w:tab w:val="left" w:pos="284"/>
          <w:tab w:val="left" w:pos="426"/>
        </w:tabs>
        <w:ind w:left="0" w:firstLine="0"/>
        <w:rPr>
          <w:color w:val="000000" w:themeColor="text1"/>
        </w:rPr>
      </w:pPr>
      <w:r w:rsidRPr="005304B4">
        <w:rPr>
          <w:color w:val="000000" w:themeColor="text1"/>
        </w:rPr>
        <w:t>De otro lado</w:t>
      </w:r>
      <w:r w:rsidR="00191358" w:rsidRPr="005304B4">
        <w:rPr>
          <w:color w:val="000000" w:themeColor="text1"/>
        </w:rPr>
        <w:t xml:space="preserve">, la jurisprudencia constitucional ha establecido tres supuestos excepcionales que debilitan los efectos de la cosa juzgada: (i) la modificación del parámetro de control, lo cual sucede cuando se aprueban reformas constitucionales que modifican el contenido mismo de la Carta Política; (ii) </w:t>
      </w:r>
      <w:r w:rsidR="00191358" w:rsidRPr="005304B4">
        <w:rPr>
          <w:color w:val="000000" w:themeColor="text1"/>
          <w:shd w:val="clear" w:color="auto" w:fill="FFFFFF"/>
          <w:lang w:val="es-ES_tradnl"/>
        </w:rPr>
        <w:t>el cambio en el significado material de la Constitución, que se relaciona con modificaciones en el “carácter dinámico de la carta”, y (iii) la variación del contexto normativo de la disposición o norma objeto de control, caso en el cual es necesario llevar a cabo una nueva ponderación de principios constitucionales.</w:t>
      </w:r>
      <w:r w:rsidR="00D44E58" w:rsidRPr="005304B4">
        <w:rPr>
          <w:color w:val="000000" w:themeColor="text1"/>
          <w:shd w:val="clear" w:color="auto" w:fill="FFFFFF"/>
          <w:lang w:val="es-ES_tradnl"/>
        </w:rPr>
        <w:t xml:space="preserve"> </w:t>
      </w:r>
    </w:p>
    <w:p w14:paraId="1BE879B4" w14:textId="77777777" w:rsidR="00191358" w:rsidRPr="005304B4" w:rsidRDefault="00191358" w:rsidP="00191358">
      <w:pPr>
        <w:pStyle w:val="Prrafodelista"/>
        <w:rPr>
          <w:color w:val="000000" w:themeColor="text1"/>
        </w:rPr>
      </w:pPr>
    </w:p>
    <w:p w14:paraId="40919FB2" w14:textId="6834B893" w:rsidR="00191358" w:rsidRPr="005304B4" w:rsidRDefault="00191358" w:rsidP="00191358">
      <w:pPr>
        <w:pStyle w:val="Prrafodelista"/>
        <w:numPr>
          <w:ilvl w:val="0"/>
          <w:numId w:val="40"/>
        </w:numPr>
        <w:tabs>
          <w:tab w:val="left" w:pos="284"/>
          <w:tab w:val="left" w:pos="426"/>
        </w:tabs>
        <w:ind w:left="0" w:firstLine="0"/>
        <w:rPr>
          <w:color w:val="000000" w:themeColor="text1"/>
        </w:rPr>
      </w:pPr>
      <w:r w:rsidRPr="005304B4">
        <w:rPr>
          <w:color w:val="000000" w:themeColor="text1"/>
        </w:rPr>
        <w:t xml:space="preserve">Ahora bien, </w:t>
      </w:r>
      <w:r w:rsidRPr="005304B4">
        <w:rPr>
          <w:color w:val="000000" w:themeColor="text1"/>
          <w:shd w:val="clear" w:color="auto" w:fill="FFFFFF"/>
          <w:lang w:val="es-ES_tradnl"/>
        </w:rPr>
        <w:t xml:space="preserve">esta </w:t>
      </w:r>
      <w:r w:rsidR="00993621" w:rsidRPr="005304B4">
        <w:rPr>
          <w:color w:val="000000" w:themeColor="text1"/>
          <w:shd w:val="clear" w:color="auto" w:fill="FFFFFF"/>
          <w:lang w:val="es-ES_tradnl"/>
        </w:rPr>
        <w:t>C</w:t>
      </w:r>
      <w:r w:rsidRPr="005304B4">
        <w:rPr>
          <w:color w:val="000000" w:themeColor="text1"/>
          <w:shd w:val="clear" w:color="auto" w:fill="FFFFFF"/>
          <w:lang w:val="es-ES_tradnl"/>
        </w:rPr>
        <w:t xml:space="preserve">orporación ha precisado que los efectos de la cosa juzgada dependen de si la norma en cuestión fue declarada exequible o inexequible. En el primer caso, en principio, la Corte deberá estarse a lo resuelto en aquella providencia para garantizar la seguridad jurídica de sus decisiones. No obstante, deberá analizarse si la declaratoria de exequibilidad </w:t>
      </w:r>
      <w:r w:rsidR="005C074C" w:rsidRPr="005304B4">
        <w:rPr>
          <w:color w:val="000000" w:themeColor="text1"/>
          <w:shd w:val="clear" w:color="auto" w:fill="FFFFFF"/>
          <w:lang w:val="es-ES_tradnl"/>
        </w:rPr>
        <w:t>dio lugar a la configuración de cosa juzgada</w:t>
      </w:r>
      <w:r w:rsidRPr="005304B4">
        <w:rPr>
          <w:color w:val="000000" w:themeColor="text1"/>
          <w:shd w:val="clear" w:color="auto" w:fill="FFFFFF"/>
          <w:lang w:val="es-ES_tradnl"/>
        </w:rPr>
        <w:t xml:space="preserve"> absoluta o relativa. En el segundo caso, esto es, si la norma es declarada inexequible, la cosa juzgada será absoluta, toda vez que su declaratoria retira del ordenamiento jurídico la </w:t>
      </w:r>
      <w:r w:rsidR="005C074C" w:rsidRPr="005304B4">
        <w:rPr>
          <w:color w:val="000000" w:themeColor="text1"/>
          <w:shd w:val="clear" w:color="auto" w:fill="FFFFFF"/>
          <w:lang w:val="es-ES_tradnl"/>
        </w:rPr>
        <w:t>disposición</w:t>
      </w:r>
      <w:r w:rsidRPr="005304B4">
        <w:rPr>
          <w:color w:val="000000" w:themeColor="text1"/>
          <w:shd w:val="clear" w:color="auto" w:fill="FFFFFF"/>
          <w:lang w:val="es-ES_tradnl"/>
        </w:rPr>
        <w:t xml:space="preserve"> estudiada independientemente de los cargos invocados</w:t>
      </w:r>
      <w:r w:rsidRPr="005304B4">
        <w:rPr>
          <w:rStyle w:val="Refdenotaalpie"/>
          <w:color w:val="000000" w:themeColor="text1"/>
          <w:shd w:val="clear" w:color="auto" w:fill="FFFFFF"/>
          <w:lang w:val="es-ES_tradnl"/>
        </w:rPr>
        <w:footnoteReference w:id="50"/>
      </w:r>
      <w:r w:rsidRPr="005304B4">
        <w:rPr>
          <w:color w:val="000000" w:themeColor="text1"/>
          <w:shd w:val="clear" w:color="auto" w:fill="FFFFFF"/>
          <w:lang w:val="es-ES_tradnl"/>
        </w:rPr>
        <w:t>.</w:t>
      </w:r>
    </w:p>
    <w:p w14:paraId="2DA83712" w14:textId="77777777" w:rsidR="00191358" w:rsidRPr="005304B4" w:rsidRDefault="00191358" w:rsidP="00191358">
      <w:pPr>
        <w:pStyle w:val="Prrafodelista"/>
        <w:tabs>
          <w:tab w:val="left" w:pos="284"/>
          <w:tab w:val="left" w:pos="426"/>
        </w:tabs>
        <w:ind w:left="0"/>
        <w:rPr>
          <w:b/>
          <w:bCs/>
          <w:color w:val="000000" w:themeColor="text1"/>
        </w:rPr>
      </w:pPr>
    </w:p>
    <w:p w14:paraId="29558B5A" w14:textId="77777777" w:rsidR="00191358" w:rsidRPr="005304B4" w:rsidRDefault="00191358" w:rsidP="00447E16">
      <w:pPr>
        <w:pStyle w:val="Ttulo4"/>
      </w:pPr>
      <w:r w:rsidRPr="005304B4">
        <w:t>El análisis de la cosa juzgada en el caso objeto de estudio</w:t>
      </w:r>
    </w:p>
    <w:p w14:paraId="51CFBF0E" w14:textId="77777777" w:rsidR="00191358" w:rsidRPr="005304B4" w:rsidRDefault="00191358" w:rsidP="00191358">
      <w:pPr>
        <w:pStyle w:val="Prrafodelista"/>
        <w:rPr>
          <w:color w:val="000000" w:themeColor="text1"/>
        </w:rPr>
      </w:pPr>
    </w:p>
    <w:p w14:paraId="29E1613E" w14:textId="2F0EFFA6" w:rsidR="00191358" w:rsidRPr="005304B4" w:rsidRDefault="00447E16" w:rsidP="00191358">
      <w:pPr>
        <w:pStyle w:val="Prrafodelista"/>
        <w:numPr>
          <w:ilvl w:val="0"/>
          <w:numId w:val="40"/>
        </w:numPr>
        <w:tabs>
          <w:tab w:val="left" w:pos="284"/>
          <w:tab w:val="left" w:pos="426"/>
        </w:tabs>
        <w:ind w:left="0" w:firstLine="0"/>
        <w:rPr>
          <w:color w:val="000000" w:themeColor="text1"/>
        </w:rPr>
      </w:pPr>
      <w:r w:rsidRPr="005304B4">
        <w:rPr>
          <w:color w:val="000000" w:themeColor="text1"/>
        </w:rPr>
        <w:t>Según se mencionó previamente, l</w:t>
      </w:r>
      <w:r w:rsidR="00191358" w:rsidRPr="005304B4">
        <w:rPr>
          <w:color w:val="000000" w:themeColor="text1"/>
        </w:rPr>
        <w:t xml:space="preserve">a Corte Constitucional, en las sentencias C-415 de 2022 y C-324 de 2023, analizó la constitucionalidad del artículo 236 del Código Sustantivo del Trabajo, modificado por el artículo 2 de la Ley 2114 de 2021. La primera providencia resolvió una demanda que advertía que se había incurrido en una omisión legislativa relativa porque el precepto acusado fijaba las reglas </w:t>
      </w:r>
      <w:r w:rsidR="00191358" w:rsidRPr="005304B4">
        <w:rPr>
          <w:color w:val="000000" w:themeColor="text1"/>
          <w:shd w:val="clear" w:color="auto" w:fill="FFFFFF"/>
        </w:rPr>
        <w:t xml:space="preserve">de las licencias de maternidad, paternidad y las parentales compartida y flexible, de madres o padres biológicos o adoptantes individualmente considerados o de parejas heterosexuales, pero no regulaba el derecho de las parejas del mismo sexo adoptantes, situación que vulneraba el artículo 13 de la Constitución Política. </w:t>
      </w:r>
    </w:p>
    <w:p w14:paraId="465C433E" w14:textId="77777777" w:rsidR="00191358" w:rsidRPr="005304B4" w:rsidRDefault="00191358" w:rsidP="00191358">
      <w:pPr>
        <w:pStyle w:val="Prrafodelista"/>
        <w:tabs>
          <w:tab w:val="left" w:pos="284"/>
          <w:tab w:val="left" w:pos="426"/>
        </w:tabs>
        <w:ind w:left="0"/>
        <w:rPr>
          <w:color w:val="000000" w:themeColor="text1"/>
        </w:rPr>
      </w:pPr>
    </w:p>
    <w:p w14:paraId="5C8C7272" w14:textId="7AD1C28E" w:rsidR="00191358" w:rsidRPr="005304B4" w:rsidRDefault="00191358" w:rsidP="00191358">
      <w:pPr>
        <w:pStyle w:val="Prrafodelista"/>
        <w:numPr>
          <w:ilvl w:val="0"/>
          <w:numId w:val="40"/>
        </w:numPr>
        <w:tabs>
          <w:tab w:val="left" w:pos="284"/>
          <w:tab w:val="left" w:pos="426"/>
        </w:tabs>
        <w:ind w:left="0" w:firstLine="0"/>
        <w:rPr>
          <w:color w:val="000000" w:themeColor="text1"/>
        </w:rPr>
      </w:pPr>
      <w:r w:rsidRPr="005304B4">
        <w:rPr>
          <w:color w:val="000000" w:themeColor="text1"/>
        </w:rPr>
        <w:t>Al resolver el cargo, planteó el siguiente problema jurídico: “</w:t>
      </w:r>
      <w:r w:rsidRPr="005304B4">
        <w:rPr>
          <w:color w:val="000000"/>
          <w:shd w:val="clear" w:color="auto" w:fill="FFFFFF"/>
        </w:rPr>
        <w:t>¿incurrió el Legislador en una omisión legislativa relativa, al no incorporar a las parejas adoptantes del mismo sexo como beneficiarias expresas en el artículo 2 de la Ley 2114 de 2021 que prevé las licencias de maternidad, de paternidad, parental compartida y parental flexible, así como las reglas específicas de adjudicación y además vulneró el deber especial de protección a la niñez?”</w:t>
      </w:r>
      <w:r w:rsidR="00447E16" w:rsidRPr="005304B4">
        <w:rPr>
          <w:color w:val="000000"/>
          <w:shd w:val="clear" w:color="auto" w:fill="FFFFFF"/>
        </w:rPr>
        <w:t>.</w:t>
      </w:r>
      <w:r w:rsidRPr="005304B4">
        <w:rPr>
          <w:color w:val="000000"/>
          <w:shd w:val="clear" w:color="auto" w:fill="FFFFFF"/>
        </w:rPr>
        <w:t xml:space="preserve"> Para resolverlo, </w:t>
      </w:r>
      <w:r w:rsidR="00447E16" w:rsidRPr="005304B4">
        <w:rPr>
          <w:color w:val="000000"/>
          <w:shd w:val="clear" w:color="auto" w:fill="FFFFFF"/>
        </w:rPr>
        <w:t>la Corte analizó</w:t>
      </w:r>
      <w:r w:rsidRPr="005304B4">
        <w:rPr>
          <w:color w:val="000000"/>
          <w:shd w:val="clear" w:color="auto" w:fill="FFFFFF"/>
        </w:rPr>
        <w:t xml:space="preserve"> el artículo 2 de la referida ley</w:t>
      </w:r>
      <w:r w:rsidR="00447E16" w:rsidRPr="005304B4">
        <w:rPr>
          <w:color w:val="000000"/>
          <w:shd w:val="clear" w:color="auto" w:fill="FFFFFF"/>
        </w:rPr>
        <w:t>, incluyendo las</w:t>
      </w:r>
      <w:r w:rsidRPr="005304B4">
        <w:rPr>
          <w:color w:val="000000"/>
          <w:shd w:val="clear" w:color="auto" w:fill="FFFFFF"/>
        </w:rPr>
        <w:t xml:space="preserve"> expresiones que </w:t>
      </w:r>
      <w:r w:rsidR="00447E16" w:rsidRPr="005304B4">
        <w:rPr>
          <w:color w:val="000000"/>
          <w:shd w:val="clear" w:color="auto" w:fill="FFFFFF"/>
        </w:rPr>
        <w:t>son objeto de demanda en esta ocasión.</w:t>
      </w:r>
    </w:p>
    <w:p w14:paraId="130F5FDA" w14:textId="77777777" w:rsidR="00191358" w:rsidRPr="005304B4" w:rsidRDefault="00191358" w:rsidP="00191358">
      <w:pPr>
        <w:pStyle w:val="Prrafodelista"/>
        <w:rPr>
          <w:color w:val="000000" w:themeColor="text1"/>
        </w:rPr>
      </w:pPr>
    </w:p>
    <w:p w14:paraId="4FDCD8E7" w14:textId="34A89B44" w:rsidR="00191358" w:rsidRPr="005304B4" w:rsidRDefault="00447E16" w:rsidP="00191358">
      <w:pPr>
        <w:pStyle w:val="Prrafodelista"/>
        <w:numPr>
          <w:ilvl w:val="0"/>
          <w:numId w:val="40"/>
        </w:numPr>
        <w:tabs>
          <w:tab w:val="left" w:pos="284"/>
          <w:tab w:val="left" w:pos="426"/>
        </w:tabs>
        <w:ind w:left="0" w:firstLine="0"/>
        <w:rPr>
          <w:color w:val="000000" w:themeColor="text1"/>
        </w:rPr>
      </w:pPr>
      <w:r w:rsidRPr="005304B4">
        <w:rPr>
          <w:color w:val="000000" w:themeColor="text1"/>
        </w:rPr>
        <w:t>Por su parte, e</w:t>
      </w:r>
      <w:r w:rsidR="00191358" w:rsidRPr="005304B4">
        <w:rPr>
          <w:color w:val="000000" w:themeColor="text1"/>
        </w:rPr>
        <w:t xml:space="preserve">n la Sentencia C-324 de 2023, la Corte Constitucional resolvió una demanda contra </w:t>
      </w:r>
      <w:r w:rsidR="00191358" w:rsidRPr="005304B4">
        <w:rPr>
          <w:color w:val="000000"/>
          <w:shd w:val="clear" w:color="auto" w:fill="FFFFFF"/>
        </w:rPr>
        <w:t xml:space="preserve">las expresiones </w:t>
      </w:r>
      <w:r w:rsidR="00191358" w:rsidRPr="005304B4">
        <w:rPr>
          <w:color w:val="2D2D2D"/>
          <w:shd w:val="clear" w:color="auto" w:fill="FFFFFF"/>
        </w:rPr>
        <w:t xml:space="preserve">“trabajadora”, “madre”, y “mujer” </w:t>
      </w:r>
      <w:r w:rsidR="00191358" w:rsidRPr="005304B4">
        <w:rPr>
          <w:color w:val="000000"/>
          <w:shd w:val="clear" w:color="auto" w:fill="FFFFFF"/>
        </w:rPr>
        <w:t>contenidas en el mencionado artículo 2 de la Ley 2114 de 2021, al considerar que estas no incluían a los hombres trans ni a las personas de género no binario en estado de embarazo, exclusión que impedía su acceso a la licencia en época de parto.</w:t>
      </w:r>
    </w:p>
    <w:p w14:paraId="667A0449" w14:textId="77777777" w:rsidR="00191358" w:rsidRPr="005304B4" w:rsidRDefault="00191358" w:rsidP="00191358">
      <w:pPr>
        <w:pStyle w:val="Prrafodelista"/>
        <w:tabs>
          <w:tab w:val="left" w:pos="284"/>
          <w:tab w:val="left" w:pos="426"/>
        </w:tabs>
        <w:ind w:left="0"/>
        <w:rPr>
          <w:color w:val="000000" w:themeColor="text1"/>
        </w:rPr>
      </w:pPr>
    </w:p>
    <w:p w14:paraId="720353B6" w14:textId="6A03444F" w:rsidR="00191358" w:rsidRPr="005304B4" w:rsidRDefault="00191358" w:rsidP="001065D8">
      <w:pPr>
        <w:pStyle w:val="Prrafodelista"/>
        <w:numPr>
          <w:ilvl w:val="0"/>
          <w:numId w:val="40"/>
        </w:numPr>
        <w:shd w:val="clear" w:color="auto" w:fill="FFFFFF" w:themeFill="background1"/>
        <w:tabs>
          <w:tab w:val="left" w:pos="284"/>
          <w:tab w:val="left" w:pos="426"/>
        </w:tabs>
        <w:ind w:left="0" w:firstLine="0"/>
        <w:rPr>
          <w:color w:val="000000" w:themeColor="text1"/>
        </w:rPr>
      </w:pPr>
      <w:r w:rsidRPr="005304B4">
        <w:rPr>
          <w:color w:val="000000" w:themeColor="text1"/>
        </w:rPr>
        <w:t xml:space="preserve">Para analizar </w:t>
      </w:r>
      <w:bookmarkStart w:id="24" w:name="_Hlk114135594"/>
      <w:r w:rsidRPr="005304B4">
        <w:rPr>
          <w:color w:val="000000" w:themeColor="text1"/>
        </w:rPr>
        <w:t>la demanda, la Sala Plena formuló el siguiente problema jurídico</w:t>
      </w:r>
      <w:r w:rsidR="00447E16" w:rsidRPr="005304B4">
        <w:rPr>
          <w:color w:val="000000" w:themeColor="text1"/>
        </w:rPr>
        <w:t>:</w:t>
      </w:r>
      <w:r w:rsidRPr="005304B4">
        <w:rPr>
          <w:color w:val="000000" w:themeColor="text1"/>
        </w:rPr>
        <w:t xml:space="preserve"> </w:t>
      </w:r>
      <w:r w:rsidR="00447E16" w:rsidRPr="005304B4">
        <w:rPr>
          <w:color w:val="000000" w:themeColor="text1"/>
        </w:rPr>
        <w:t>“</w:t>
      </w:r>
      <w:r w:rsidRPr="005304B4">
        <w:rPr>
          <w:color w:val="000000"/>
          <w:bdr w:val="none" w:sz="0" w:space="0" w:color="auto" w:frame="1"/>
          <w:lang w:eastAsia="es-MX"/>
        </w:rPr>
        <w:t>¿el artículo 236 del Código Sustantivo del Trabajo, modificado por el artículo 2° de la Ley 2114 de 2021, incurre en una omisión legislativa relativa que desconoce los derechos a la igualdad y a la seguridad social, al incluir las expresiones «mujer», «trabajadora» y «madre» y contemplar como titulares de </w:t>
      </w:r>
      <w:bookmarkEnd w:id="24"/>
      <w:r w:rsidRPr="005304B4">
        <w:rPr>
          <w:color w:val="000000"/>
          <w:lang w:eastAsia="es-MX"/>
        </w:rPr>
        <w:t>las licencias en la época del parto a las mujeres, sin considerar explícitamente a los hombres trans o a las personas no binarias?</w:t>
      </w:r>
      <w:r w:rsidR="00447E16" w:rsidRPr="005304B4">
        <w:rPr>
          <w:color w:val="000000"/>
          <w:lang w:eastAsia="es-MX"/>
        </w:rPr>
        <w:t>”</w:t>
      </w:r>
      <w:r w:rsidRPr="005304B4">
        <w:rPr>
          <w:color w:val="000000"/>
          <w:lang w:eastAsia="es-MX"/>
        </w:rPr>
        <w:t>.</w:t>
      </w:r>
    </w:p>
    <w:p w14:paraId="04AF5C3D" w14:textId="77777777" w:rsidR="00191358" w:rsidRPr="005304B4" w:rsidRDefault="00191358" w:rsidP="001065D8">
      <w:pPr>
        <w:pStyle w:val="Prrafodelista"/>
        <w:shd w:val="clear" w:color="auto" w:fill="FFFFFF" w:themeFill="background1"/>
        <w:rPr>
          <w:color w:val="000000" w:themeColor="text1"/>
        </w:rPr>
      </w:pPr>
    </w:p>
    <w:p w14:paraId="56725205" w14:textId="555D0F42" w:rsidR="00191358" w:rsidRPr="005304B4" w:rsidRDefault="00191358" w:rsidP="001065D8">
      <w:pPr>
        <w:pStyle w:val="Prrafodelista"/>
        <w:numPr>
          <w:ilvl w:val="0"/>
          <w:numId w:val="40"/>
        </w:numPr>
        <w:shd w:val="clear" w:color="auto" w:fill="FFFFFF" w:themeFill="background1"/>
        <w:tabs>
          <w:tab w:val="left" w:pos="284"/>
          <w:tab w:val="left" w:pos="426"/>
        </w:tabs>
        <w:ind w:left="0" w:firstLine="0"/>
        <w:rPr>
          <w:color w:val="2D2D2D"/>
          <w:lang w:eastAsia="es-MX"/>
        </w:rPr>
      </w:pPr>
      <w:r w:rsidRPr="005304B4">
        <w:rPr>
          <w:color w:val="000000" w:themeColor="text1"/>
        </w:rPr>
        <w:t>En ambas sentencias la Corte Constitucional declaró la exequibilidad condicionada</w:t>
      </w:r>
      <w:r w:rsidR="00F059E1" w:rsidRPr="005304B4">
        <w:rPr>
          <w:color w:val="000000" w:themeColor="text1"/>
        </w:rPr>
        <w:t xml:space="preserve"> del artículo 2 de la Ley 2114 de 2021 pero el condicionamiento de ambas se refirió a contenidos normativos distintos, puesto que</w:t>
      </w:r>
      <w:r w:rsidR="00447E16" w:rsidRPr="005304B4">
        <w:rPr>
          <w:color w:val="000000" w:themeColor="text1"/>
        </w:rPr>
        <w:t>, en la primera,</w:t>
      </w:r>
      <w:r w:rsidR="00F059E1" w:rsidRPr="005304B4">
        <w:rPr>
          <w:color w:val="000000" w:themeColor="text1"/>
        </w:rPr>
        <w:t xml:space="preserve"> se condicionó </w:t>
      </w:r>
      <w:r w:rsidR="00447E16" w:rsidRPr="005304B4">
        <w:rPr>
          <w:color w:val="000000" w:themeColor="text1"/>
        </w:rPr>
        <w:t>la totalidad</w:t>
      </w:r>
      <w:r w:rsidR="00F059E1" w:rsidRPr="005304B4">
        <w:rPr>
          <w:color w:val="000000" w:themeColor="text1"/>
        </w:rPr>
        <w:t xml:space="preserve"> </w:t>
      </w:r>
      <w:r w:rsidR="00447E16" w:rsidRPr="005304B4">
        <w:rPr>
          <w:color w:val="000000" w:themeColor="text1"/>
        </w:rPr>
        <w:t>d</w:t>
      </w:r>
      <w:r w:rsidR="00F059E1" w:rsidRPr="005304B4">
        <w:rPr>
          <w:color w:val="000000" w:themeColor="text1"/>
        </w:rPr>
        <w:t>el artículo, mientras que</w:t>
      </w:r>
      <w:r w:rsidR="00447E16" w:rsidRPr="005304B4">
        <w:rPr>
          <w:color w:val="000000" w:themeColor="text1"/>
        </w:rPr>
        <w:t>,</w:t>
      </w:r>
      <w:r w:rsidR="00F059E1" w:rsidRPr="005304B4">
        <w:rPr>
          <w:color w:val="000000" w:themeColor="text1"/>
        </w:rPr>
        <w:t xml:space="preserve"> </w:t>
      </w:r>
      <w:r w:rsidR="00447E16" w:rsidRPr="005304B4">
        <w:rPr>
          <w:color w:val="000000" w:themeColor="text1"/>
        </w:rPr>
        <w:t>en la segunda,</w:t>
      </w:r>
      <w:r w:rsidR="00F059E1" w:rsidRPr="005304B4">
        <w:rPr>
          <w:color w:val="000000" w:themeColor="text1"/>
        </w:rPr>
        <w:t xml:space="preserve"> solo</w:t>
      </w:r>
      <w:r w:rsidR="00447E16" w:rsidRPr="005304B4">
        <w:rPr>
          <w:color w:val="000000" w:themeColor="text1"/>
        </w:rPr>
        <w:t xml:space="preserve"> se condicionaron</w:t>
      </w:r>
      <w:r w:rsidR="00F059E1" w:rsidRPr="005304B4">
        <w:rPr>
          <w:color w:val="000000" w:themeColor="text1"/>
        </w:rPr>
        <w:t xml:space="preserve"> las expresiones demandadas</w:t>
      </w:r>
      <w:r w:rsidRPr="005304B4">
        <w:rPr>
          <w:color w:val="000000" w:themeColor="text1"/>
        </w:rPr>
        <w:t xml:space="preserve">. </w:t>
      </w:r>
      <w:r w:rsidR="00447E16" w:rsidRPr="005304B4">
        <w:rPr>
          <w:color w:val="000000" w:themeColor="text1"/>
        </w:rPr>
        <w:t>Así, en la Sentencia</w:t>
      </w:r>
      <w:r w:rsidRPr="005304B4">
        <w:rPr>
          <w:color w:val="000000" w:themeColor="text1"/>
        </w:rPr>
        <w:t xml:space="preserve"> C-415 de 2022,</w:t>
      </w:r>
      <w:r w:rsidR="00174F89" w:rsidRPr="005304B4">
        <w:rPr>
          <w:color w:val="000000" w:themeColor="text1"/>
        </w:rPr>
        <w:t xml:space="preserve"> declaró exequible</w:t>
      </w:r>
      <w:r w:rsidR="00F059E1" w:rsidRPr="005304B4">
        <w:rPr>
          <w:color w:val="000000" w:themeColor="text1"/>
        </w:rPr>
        <w:t xml:space="preserve"> </w:t>
      </w:r>
      <w:r w:rsidR="00447E16" w:rsidRPr="005304B4">
        <w:rPr>
          <w:color w:val="000000" w:themeColor="text1"/>
        </w:rPr>
        <w:t>el artículo acusado</w:t>
      </w:r>
      <w:r w:rsidRPr="005304B4">
        <w:rPr>
          <w:color w:val="000000" w:themeColor="text1"/>
        </w:rPr>
        <w:t xml:space="preserve"> “bajo el entendido de que la pareja adoptante del mismo sexo definirá, por una sola vez, quien de ellos gozará de cada prestación en las mismas condiciones previstas para las familias heteroparentales adoptantes”. </w:t>
      </w:r>
      <w:r w:rsidR="00447E16" w:rsidRPr="005304B4">
        <w:rPr>
          <w:color w:val="000000" w:themeColor="text1"/>
        </w:rPr>
        <w:t>En contraste, en la Sentencia</w:t>
      </w:r>
      <w:r w:rsidRPr="005304B4">
        <w:rPr>
          <w:color w:val="000000" w:themeColor="text1"/>
        </w:rPr>
        <w:t xml:space="preserve"> C-324 de 2023</w:t>
      </w:r>
      <w:r w:rsidR="00F940D9" w:rsidRPr="005304B4">
        <w:rPr>
          <w:color w:val="000000" w:themeColor="text1"/>
        </w:rPr>
        <w:t xml:space="preserve"> se </w:t>
      </w:r>
      <w:r w:rsidR="00F059E1" w:rsidRPr="005304B4">
        <w:rPr>
          <w:color w:val="000000" w:themeColor="text1"/>
        </w:rPr>
        <w:t>declar</w:t>
      </w:r>
      <w:r w:rsidR="001A1F9A" w:rsidRPr="005304B4">
        <w:rPr>
          <w:color w:val="000000" w:themeColor="text1"/>
        </w:rPr>
        <w:t>aron</w:t>
      </w:r>
      <w:r w:rsidR="00F059E1" w:rsidRPr="005304B4">
        <w:rPr>
          <w:color w:val="000000" w:themeColor="text1"/>
        </w:rPr>
        <w:t xml:space="preserve"> exequibles las expresiones “trabajadora”, “madre”, y “mujer,</w:t>
      </w:r>
      <w:r w:rsidRPr="005304B4">
        <w:rPr>
          <w:color w:val="000000" w:themeColor="text1"/>
        </w:rPr>
        <w:t xml:space="preserve"> “</w:t>
      </w:r>
      <w:r w:rsidRPr="005304B4">
        <w:rPr>
          <w:color w:val="000000"/>
          <w:lang w:val="es-ES" w:eastAsia="es-MX"/>
        </w:rPr>
        <w:t>en el entendido de que </w:t>
      </w:r>
      <w:r w:rsidRPr="005304B4">
        <w:rPr>
          <w:color w:val="000000"/>
          <w:lang w:eastAsia="es-MX"/>
        </w:rPr>
        <w:t>las licencias en la época del parto también son aplicables a los hombres trans y personas no binarias, en los términos señalados en esta sentencia”.</w:t>
      </w:r>
    </w:p>
    <w:p w14:paraId="7AC17D0E" w14:textId="77777777" w:rsidR="00191358" w:rsidRPr="005304B4" w:rsidRDefault="00191358" w:rsidP="001065D8">
      <w:pPr>
        <w:pStyle w:val="Prrafodelista"/>
        <w:shd w:val="clear" w:color="auto" w:fill="FFFFFF" w:themeFill="background1"/>
        <w:tabs>
          <w:tab w:val="left" w:pos="284"/>
          <w:tab w:val="left" w:pos="426"/>
        </w:tabs>
        <w:ind w:left="0"/>
        <w:rPr>
          <w:color w:val="2D2D2D"/>
          <w:lang w:eastAsia="es-MX"/>
        </w:rPr>
      </w:pPr>
    </w:p>
    <w:p w14:paraId="4AD55EE0" w14:textId="77777777" w:rsidR="00B6465D" w:rsidRPr="005304B4" w:rsidRDefault="00F940D9" w:rsidP="001065D8">
      <w:pPr>
        <w:pStyle w:val="Prrafodelista"/>
        <w:numPr>
          <w:ilvl w:val="0"/>
          <w:numId w:val="40"/>
        </w:numPr>
        <w:shd w:val="clear" w:color="auto" w:fill="FFFFFF" w:themeFill="background1"/>
        <w:tabs>
          <w:tab w:val="left" w:pos="284"/>
          <w:tab w:val="left" w:pos="426"/>
        </w:tabs>
        <w:ind w:left="0" w:firstLine="0"/>
        <w:rPr>
          <w:color w:val="000000" w:themeColor="text1"/>
        </w:rPr>
      </w:pPr>
      <w:r w:rsidRPr="005304B4">
        <w:rPr>
          <w:color w:val="000000" w:themeColor="text1"/>
        </w:rPr>
        <w:t>T</w:t>
      </w:r>
      <w:r w:rsidR="00F059E1" w:rsidRPr="005304B4">
        <w:rPr>
          <w:color w:val="000000" w:themeColor="text1"/>
        </w:rPr>
        <w:t>oda vez que el artículo</w:t>
      </w:r>
      <w:r w:rsidR="00447E16" w:rsidRPr="005304B4">
        <w:rPr>
          <w:color w:val="000000" w:themeColor="text1"/>
        </w:rPr>
        <w:t xml:space="preserve"> en cuyo </w:t>
      </w:r>
      <w:r w:rsidR="00DF553C" w:rsidRPr="005304B4">
        <w:rPr>
          <w:color w:val="000000" w:themeColor="text1"/>
        </w:rPr>
        <w:t>numeral</w:t>
      </w:r>
      <w:r w:rsidR="00447E16" w:rsidRPr="005304B4">
        <w:rPr>
          <w:color w:val="000000" w:themeColor="text1"/>
        </w:rPr>
        <w:t xml:space="preserve"> cuarto se aloja la expresión “la madre adoptante”, que constituye el objeto de la demanda bajo estudio,</w:t>
      </w:r>
      <w:r w:rsidR="00F059E1" w:rsidRPr="005304B4">
        <w:rPr>
          <w:color w:val="000000" w:themeColor="text1"/>
        </w:rPr>
        <w:t xml:space="preserve"> ha sido objeto de pronunciamientos previos relacionados con la vulneración del derecho a la igualdad, cab</w:t>
      </w:r>
      <w:r w:rsidR="00447E16" w:rsidRPr="005304B4">
        <w:rPr>
          <w:color w:val="000000" w:themeColor="text1"/>
        </w:rPr>
        <w:t>e</w:t>
      </w:r>
      <w:r w:rsidR="00F059E1" w:rsidRPr="005304B4">
        <w:rPr>
          <w:color w:val="000000" w:themeColor="text1"/>
        </w:rPr>
        <w:t xml:space="preserve"> la duda sobre si </w:t>
      </w:r>
      <w:r w:rsidR="00447E16" w:rsidRPr="005304B4">
        <w:rPr>
          <w:color w:val="000000" w:themeColor="text1"/>
        </w:rPr>
        <w:t xml:space="preserve">en relación con el cargo propuesto se ha configurado </w:t>
      </w:r>
      <w:r w:rsidR="00416A2F" w:rsidRPr="005304B4">
        <w:rPr>
          <w:color w:val="000000" w:themeColor="text1"/>
        </w:rPr>
        <w:t xml:space="preserve">la </w:t>
      </w:r>
      <w:r w:rsidR="00447E16" w:rsidRPr="005304B4">
        <w:rPr>
          <w:color w:val="000000" w:themeColor="text1"/>
        </w:rPr>
        <w:t xml:space="preserve">cosa juzgada constitucional, </w:t>
      </w:r>
      <w:r w:rsidR="00416A2F" w:rsidRPr="005304B4">
        <w:rPr>
          <w:color w:val="000000" w:themeColor="text1"/>
        </w:rPr>
        <w:t>impidiendo así</w:t>
      </w:r>
      <w:r w:rsidR="00447E16" w:rsidRPr="005304B4">
        <w:rPr>
          <w:color w:val="000000" w:themeColor="text1"/>
        </w:rPr>
        <w:t xml:space="preserve"> un fallo de fondo</w:t>
      </w:r>
      <w:r w:rsidR="00F059E1" w:rsidRPr="005304B4">
        <w:rPr>
          <w:color w:val="000000" w:themeColor="text1"/>
        </w:rPr>
        <w:t xml:space="preserve">. </w:t>
      </w:r>
    </w:p>
    <w:p w14:paraId="76A59735" w14:textId="77777777" w:rsidR="00B6465D" w:rsidRPr="005304B4" w:rsidRDefault="00B6465D" w:rsidP="00B6465D">
      <w:pPr>
        <w:pStyle w:val="Prrafodelista"/>
        <w:rPr>
          <w:color w:val="000000" w:themeColor="text1"/>
        </w:rPr>
      </w:pPr>
    </w:p>
    <w:p w14:paraId="1DB18D74" w14:textId="7549CA6D" w:rsidR="003F4995" w:rsidRPr="005304B4" w:rsidRDefault="00F059E1" w:rsidP="00083193">
      <w:pPr>
        <w:pStyle w:val="Prrafodelista"/>
        <w:numPr>
          <w:ilvl w:val="0"/>
          <w:numId w:val="40"/>
        </w:numPr>
        <w:shd w:val="clear" w:color="auto" w:fill="FFFFFF" w:themeFill="background1"/>
        <w:tabs>
          <w:tab w:val="left" w:pos="284"/>
          <w:tab w:val="left" w:pos="426"/>
        </w:tabs>
        <w:ind w:left="0" w:firstLine="0"/>
      </w:pPr>
      <w:r w:rsidRPr="005304B4">
        <w:rPr>
          <w:color w:val="000000" w:themeColor="text1"/>
        </w:rPr>
        <w:t xml:space="preserve">No obstante, </w:t>
      </w:r>
      <w:r w:rsidR="00DF553C" w:rsidRPr="005304B4">
        <w:rPr>
          <w:color w:val="000000" w:themeColor="text1"/>
        </w:rPr>
        <w:t>al analizar la demanda</w:t>
      </w:r>
      <w:r w:rsidRPr="005304B4">
        <w:rPr>
          <w:color w:val="000000" w:themeColor="text1"/>
        </w:rPr>
        <w:t xml:space="preserve">, la Sala advierte que </w:t>
      </w:r>
      <w:r w:rsidR="00DF553C" w:rsidRPr="005304B4">
        <w:rPr>
          <w:color w:val="000000" w:themeColor="text1"/>
        </w:rPr>
        <w:t>s</w:t>
      </w:r>
      <w:r w:rsidR="00D44E58" w:rsidRPr="005304B4">
        <w:rPr>
          <w:color w:val="000000" w:themeColor="text1"/>
        </w:rPr>
        <w:t xml:space="preserve">i bien </w:t>
      </w:r>
      <w:r w:rsidR="00DF553C" w:rsidRPr="005304B4">
        <w:rPr>
          <w:color w:val="000000" w:themeColor="text1"/>
        </w:rPr>
        <w:t xml:space="preserve">las </w:t>
      </w:r>
      <w:r w:rsidR="00416A2F" w:rsidRPr="005304B4">
        <w:rPr>
          <w:color w:val="000000" w:themeColor="text1"/>
        </w:rPr>
        <w:t>s</w:t>
      </w:r>
      <w:r w:rsidR="00DF553C" w:rsidRPr="005304B4">
        <w:rPr>
          <w:color w:val="000000" w:themeColor="text1"/>
        </w:rPr>
        <w:t>entencias C-415 de 2022 y C-324 de 2023</w:t>
      </w:r>
      <w:r w:rsidR="00D44E58" w:rsidRPr="005304B4">
        <w:rPr>
          <w:color w:val="000000" w:themeColor="text1"/>
        </w:rPr>
        <w:t xml:space="preserve"> abordaron cargos por violación del principio de igualdad en relación con la expresión acusada</w:t>
      </w:r>
      <w:r w:rsidR="00447E16" w:rsidRPr="005304B4">
        <w:rPr>
          <w:color w:val="000000" w:themeColor="text1"/>
        </w:rPr>
        <w:t xml:space="preserve">, </w:t>
      </w:r>
      <w:r w:rsidR="00DF553C" w:rsidRPr="005304B4">
        <w:rPr>
          <w:color w:val="000000" w:themeColor="text1"/>
        </w:rPr>
        <w:t>ello</w:t>
      </w:r>
      <w:r w:rsidR="00447E16" w:rsidRPr="005304B4">
        <w:rPr>
          <w:color w:val="000000" w:themeColor="text1"/>
        </w:rPr>
        <w:t xml:space="preserve"> </w:t>
      </w:r>
      <w:r w:rsidR="00191358" w:rsidRPr="005304B4">
        <w:rPr>
          <w:color w:val="000000" w:themeColor="text1"/>
        </w:rPr>
        <w:t>no impide un nuevo pronunciamiento, pues el cargo que se estudia</w:t>
      </w:r>
      <w:r w:rsidR="00DF553C" w:rsidRPr="005304B4">
        <w:rPr>
          <w:color w:val="000000" w:themeColor="text1"/>
        </w:rPr>
        <w:t xml:space="preserve"> en esta ocasión</w:t>
      </w:r>
      <w:r w:rsidR="00191358" w:rsidRPr="005304B4">
        <w:rPr>
          <w:color w:val="000000" w:themeColor="text1"/>
        </w:rPr>
        <w:t xml:space="preserve"> es distinto a los analizados por esta Corte</w:t>
      </w:r>
      <w:r w:rsidR="00DF553C" w:rsidRPr="005304B4">
        <w:rPr>
          <w:color w:val="000000" w:themeColor="text1"/>
        </w:rPr>
        <w:t xml:space="preserve"> en las dos sentencias mencionadas</w:t>
      </w:r>
      <w:r w:rsidR="005F2844" w:rsidRPr="005304B4">
        <w:rPr>
          <w:color w:val="000000" w:themeColor="text1"/>
        </w:rPr>
        <w:t>.</w:t>
      </w:r>
    </w:p>
    <w:p w14:paraId="15B12E97" w14:textId="77777777" w:rsidR="005F2844" w:rsidRPr="005304B4" w:rsidRDefault="005F2844" w:rsidP="005F2844">
      <w:pPr>
        <w:pStyle w:val="Prrafodelista"/>
        <w:shd w:val="clear" w:color="auto" w:fill="FFFFFF" w:themeFill="background1"/>
        <w:tabs>
          <w:tab w:val="left" w:pos="284"/>
          <w:tab w:val="left" w:pos="426"/>
        </w:tabs>
        <w:ind w:left="0"/>
      </w:pPr>
    </w:p>
    <w:p w14:paraId="436ACC20" w14:textId="5ACAB896" w:rsidR="003F4995" w:rsidRPr="005304B4" w:rsidRDefault="003F4995" w:rsidP="001065D8">
      <w:pPr>
        <w:pStyle w:val="Prrafodelista"/>
        <w:numPr>
          <w:ilvl w:val="0"/>
          <w:numId w:val="40"/>
        </w:numPr>
        <w:shd w:val="clear" w:color="auto" w:fill="FFFFFF" w:themeFill="background1"/>
        <w:tabs>
          <w:tab w:val="left" w:pos="284"/>
          <w:tab w:val="left" w:pos="426"/>
          <w:tab w:val="left" w:pos="567"/>
          <w:tab w:val="left" w:pos="709"/>
        </w:tabs>
        <w:ind w:left="0" w:firstLine="0"/>
        <w:rPr>
          <w:color w:val="000000" w:themeColor="text1"/>
        </w:rPr>
      </w:pPr>
      <w:r w:rsidRPr="005304B4">
        <w:t xml:space="preserve">Para </w:t>
      </w:r>
      <w:r w:rsidR="00DF553C" w:rsidRPr="005304B4">
        <w:t>sustentar dicha conclusión</w:t>
      </w:r>
      <w:r w:rsidRPr="005304B4">
        <w:t>, a continuación</w:t>
      </w:r>
      <w:r w:rsidR="006541DC" w:rsidRPr="005304B4">
        <w:t>,</w:t>
      </w:r>
      <w:r w:rsidRPr="005304B4">
        <w:t xml:space="preserve"> se presenta el siguiente cuadro comparativo, en el que se estudia cómo se relacionan el </w:t>
      </w:r>
      <w:r w:rsidRPr="005304B4">
        <w:rPr>
          <w:i/>
          <w:iCs/>
        </w:rPr>
        <w:t>objeto de control</w:t>
      </w:r>
      <w:r w:rsidRPr="005304B4">
        <w:t xml:space="preserve">, </w:t>
      </w:r>
      <w:r w:rsidRPr="005304B4">
        <w:rPr>
          <w:i/>
          <w:iCs/>
        </w:rPr>
        <w:t>el parámetro de constitucionalidad</w:t>
      </w:r>
      <w:r w:rsidRPr="005304B4">
        <w:t xml:space="preserve"> y la </w:t>
      </w:r>
      <w:r w:rsidRPr="005304B4">
        <w:rPr>
          <w:i/>
          <w:iCs/>
        </w:rPr>
        <w:t>causa petendi</w:t>
      </w:r>
      <w:r w:rsidRPr="005304B4">
        <w:t xml:space="preserve"> de</w:t>
      </w:r>
      <w:r w:rsidR="001065D8" w:rsidRPr="005304B4">
        <w:t xml:space="preserve"> los cargos analizados en</w:t>
      </w:r>
      <w:r w:rsidRPr="005304B4">
        <w:t xml:space="preserve"> las sentencias anteriores</w:t>
      </w:r>
      <w:r w:rsidR="001065D8" w:rsidRPr="005304B4">
        <w:t>,</w:t>
      </w:r>
      <w:r w:rsidRPr="005304B4">
        <w:t xml:space="preserve"> con los elementos que fundamentan el cargo </w:t>
      </w:r>
      <w:r w:rsidR="00DF553C" w:rsidRPr="005304B4">
        <w:t>propuesto por los demandantes en esta ocasión.</w:t>
      </w:r>
      <w:r w:rsidR="00324BD2" w:rsidRPr="005304B4">
        <w:t xml:space="preserve"> </w:t>
      </w:r>
    </w:p>
    <w:p w14:paraId="3EA92463" w14:textId="77777777" w:rsidR="008C3428" w:rsidRPr="005304B4" w:rsidRDefault="008C3428" w:rsidP="001065D8">
      <w:pPr>
        <w:shd w:val="clear" w:color="auto" w:fill="FFFFFF" w:themeFill="background1"/>
        <w:rPr>
          <w:i/>
          <w:iCs/>
          <w:color w:val="000000" w:themeColor="text1"/>
          <w:sz w:val="28"/>
          <w:szCs w:val="28"/>
        </w:rPr>
      </w:pPr>
    </w:p>
    <w:p w14:paraId="631C1055" w14:textId="40B0A435" w:rsidR="00BC065A" w:rsidRPr="005304B4" w:rsidRDefault="00BC065A" w:rsidP="00BC065A">
      <w:pPr>
        <w:shd w:val="clear" w:color="auto" w:fill="FFFFFF" w:themeFill="background1"/>
        <w:jc w:val="center"/>
        <w:rPr>
          <w:b/>
          <w:bCs/>
          <w:color w:val="000000" w:themeColor="text1"/>
          <w:sz w:val="20"/>
          <w:szCs w:val="20"/>
        </w:rPr>
      </w:pPr>
      <w:r w:rsidRPr="005304B4">
        <w:rPr>
          <w:b/>
          <w:bCs/>
          <w:color w:val="000000" w:themeColor="text1"/>
          <w:sz w:val="20"/>
          <w:szCs w:val="20"/>
        </w:rPr>
        <w:t xml:space="preserve">Tabla </w:t>
      </w:r>
      <w:r w:rsidR="00851570" w:rsidRPr="005304B4">
        <w:rPr>
          <w:b/>
          <w:bCs/>
          <w:color w:val="000000" w:themeColor="text1"/>
          <w:sz w:val="20"/>
          <w:szCs w:val="20"/>
        </w:rPr>
        <w:t>3</w:t>
      </w:r>
      <w:r w:rsidRPr="005304B4">
        <w:rPr>
          <w:b/>
          <w:bCs/>
          <w:color w:val="000000" w:themeColor="text1"/>
          <w:sz w:val="20"/>
          <w:szCs w:val="20"/>
        </w:rPr>
        <w:t>.</w:t>
      </w:r>
    </w:p>
    <w:tbl>
      <w:tblPr>
        <w:tblStyle w:val="Tablaconcuadrcula2"/>
        <w:tblW w:w="8647" w:type="dxa"/>
        <w:tblLayout w:type="fixed"/>
        <w:tblLook w:val="04A0" w:firstRow="1" w:lastRow="0" w:firstColumn="1" w:lastColumn="0" w:noHBand="0" w:noVBand="1"/>
      </w:tblPr>
      <w:tblGrid>
        <w:gridCol w:w="1413"/>
        <w:gridCol w:w="2131"/>
        <w:gridCol w:w="2410"/>
        <w:gridCol w:w="2693"/>
      </w:tblGrid>
      <w:tr w:rsidR="00DF553C" w:rsidRPr="005304B4" w14:paraId="25F46D24" w14:textId="77777777" w:rsidTr="47A29002">
        <w:tc>
          <w:tcPr>
            <w:tcW w:w="8647" w:type="dxa"/>
            <w:gridSpan w:val="4"/>
          </w:tcPr>
          <w:p w14:paraId="5196EC4F" w14:textId="6DC8ED2B" w:rsidR="00DF553C" w:rsidRPr="005304B4" w:rsidRDefault="00DF553C" w:rsidP="001065D8">
            <w:pPr>
              <w:pStyle w:val="Prrafodelista"/>
              <w:shd w:val="clear" w:color="auto" w:fill="FFFFFF" w:themeFill="background1"/>
              <w:tabs>
                <w:tab w:val="left" w:pos="284"/>
                <w:tab w:val="left" w:pos="426"/>
              </w:tabs>
              <w:ind w:left="0"/>
              <w:jc w:val="center"/>
              <w:rPr>
                <w:b/>
                <w:bCs/>
                <w:color w:val="000000" w:themeColor="text1"/>
                <w:sz w:val="20"/>
                <w:szCs w:val="20"/>
              </w:rPr>
            </w:pPr>
            <w:r w:rsidRPr="005304B4">
              <w:rPr>
                <w:b/>
                <w:bCs/>
                <w:color w:val="000000" w:themeColor="text1"/>
                <w:sz w:val="20"/>
                <w:szCs w:val="20"/>
              </w:rPr>
              <w:t>Análisis de la cosa juzgada constitucional</w:t>
            </w:r>
          </w:p>
        </w:tc>
      </w:tr>
      <w:tr w:rsidR="001B0E58" w:rsidRPr="005304B4" w14:paraId="541E388F" w14:textId="6E8E63D1" w:rsidTr="47A29002">
        <w:tc>
          <w:tcPr>
            <w:tcW w:w="1413" w:type="dxa"/>
          </w:tcPr>
          <w:p w14:paraId="54B77AAE" w14:textId="4E910DD9" w:rsidR="008C3428" w:rsidRPr="005304B4" w:rsidRDefault="008C3428" w:rsidP="001065D8">
            <w:pPr>
              <w:pStyle w:val="Prrafodelista"/>
              <w:shd w:val="clear" w:color="auto" w:fill="FFFFFF" w:themeFill="background1"/>
              <w:tabs>
                <w:tab w:val="left" w:pos="284"/>
                <w:tab w:val="left" w:pos="426"/>
              </w:tabs>
              <w:ind w:left="0"/>
              <w:jc w:val="center"/>
              <w:rPr>
                <w:b/>
                <w:bCs/>
                <w:color w:val="000000" w:themeColor="text1"/>
                <w:sz w:val="20"/>
                <w:szCs w:val="20"/>
              </w:rPr>
            </w:pPr>
            <w:r w:rsidRPr="005304B4">
              <w:rPr>
                <w:b/>
                <w:bCs/>
                <w:color w:val="000000" w:themeColor="text1"/>
                <w:sz w:val="20"/>
                <w:szCs w:val="20"/>
              </w:rPr>
              <w:t>Elemento</w:t>
            </w:r>
          </w:p>
        </w:tc>
        <w:tc>
          <w:tcPr>
            <w:tcW w:w="2131" w:type="dxa"/>
          </w:tcPr>
          <w:p w14:paraId="1DEA372F" w14:textId="62D22905" w:rsidR="008C3428" w:rsidRPr="005304B4" w:rsidRDefault="002F20C2" w:rsidP="001065D8">
            <w:pPr>
              <w:pStyle w:val="Prrafodelista"/>
              <w:shd w:val="clear" w:color="auto" w:fill="FFFFFF" w:themeFill="background1"/>
              <w:tabs>
                <w:tab w:val="left" w:pos="284"/>
                <w:tab w:val="left" w:pos="426"/>
              </w:tabs>
              <w:ind w:left="0"/>
              <w:jc w:val="center"/>
              <w:rPr>
                <w:b/>
                <w:bCs/>
                <w:color w:val="000000" w:themeColor="text1"/>
                <w:sz w:val="20"/>
                <w:szCs w:val="20"/>
              </w:rPr>
            </w:pPr>
            <w:r w:rsidRPr="005304B4">
              <w:rPr>
                <w:b/>
                <w:bCs/>
                <w:color w:val="000000" w:themeColor="text1"/>
                <w:sz w:val="20"/>
                <w:szCs w:val="20"/>
              </w:rPr>
              <w:t>Sentencias previas</w:t>
            </w:r>
          </w:p>
        </w:tc>
        <w:tc>
          <w:tcPr>
            <w:tcW w:w="2410" w:type="dxa"/>
          </w:tcPr>
          <w:p w14:paraId="3D53D4F9" w14:textId="296277AB" w:rsidR="008C3428" w:rsidRPr="005304B4" w:rsidRDefault="008C3428" w:rsidP="001065D8">
            <w:pPr>
              <w:pStyle w:val="Prrafodelista"/>
              <w:shd w:val="clear" w:color="auto" w:fill="FFFFFF" w:themeFill="background1"/>
              <w:tabs>
                <w:tab w:val="left" w:pos="284"/>
                <w:tab w:val="left" w:pos="426"/>
              </w:tabs>
              <w:ind w:left="0"/>
              <w:jc w:val="center"/>
              <w:rPr>
                <w:b/>
                <w:bCs/>
                <w:color w:val="000000" w:themeColor="text1"/>
                <w:sz w:val="20"/>
                <w:szCs w:val="20"/>
              </w:rPr>
            </w:pPr>
            <w:r w:rsidRPr="005304B4">
              <w:rPr>
                <w:b/>
                <w:bCs/>
                <w:color w:val="000000" w:themeColor="text1"/>
                <w:sz w:val="20"/>
                <w:szCs w:val="20"/>
              </w:rPr>
              <w:t>Demanda actual</w:t>
            </w:r>
          </w:p>
        </w:tc>
        <w:tc>
          <w:tcPr>
            <w:tcW w:w="2693" w:type="dxa"/>
          </w:tcPr>
          <w:p w14:paraId="67982F20" w14:textId="67E9BCDC" w:rsidR="008C3428" w:rsidRPr="005304B4" w:rsidRDefault="008C3428" w:rsidP="001065D8">
            <w:pPr>
              <w:pStyle w:val="Prrafodelista"/>
              <w:shd w:val="clear" w:color="auto" w:fill="FFFFFF" w:themeFill="background1"/>
              <w:tabs>
                <w:tab w:val="left" w:pos="284"/>
                <w:tab w:val="left" w:pos="426"/>
              </w:tabs>
              <w:ind w:left="0"/>
              <w:jc w:val="center"/>
              <w:rPr>
                <w:b/>
                <w:bCs/>
                <w:color w:val="000000" w:themeColor="text1"/>
                <w:sz w:val="20"/>
                <w:szCs w:val="20"/>
              </w:rPr>
            </w:pPr>
            <w:r w:rsidRPr="005304B4">
              <w:rPr>
                <w:b/>
                <w:bCs/>
                <w:color w:val="000000" w:themeColor="text1"/>
                <w:sz w:val="20"/>
                <w:szCs w:val="20"/>
              </w:rPr>
              <w:t>Identidad</w:t>
            </w:r>
          </w:p>
        </w:tc>
      </w:tr>
      <w:tr w:rsidR="001B0E58" w:rsidRPr="005304B4" w14:paraId="4CEC85E1" w14:textId="5454D589" w:rsidTr="47A29002">
        <w:tc>
          <w:tcPr>
            <w:tcW w:w="1413" w:type="dxa"/>
          </w:tcPr>
          <w:p w14:paraId="380103CC" w14:textId="7640766C" w:rsidR="008C3428" w:rsidRPr="005304B4" w:rsidRDefault="008C3428" w:rsidP="001065D8">
            <w:pPr>
              <w:pStyle w:val="Prrafodelista"/>
              <w:shd w:val="clear" w:color="auto" w:fill="FFFFFF" w:themeFill="background1"/>
              <w:tabs>
                <w:tab w:val="left" w:pos="284"/>
                <w:tab w:val="left" w:pos="426"/>
              </w:tabs>
              <w:ind w:left="0"/>
              <w:rPr>
                <w:b/>
                <w:bCs/>
                <w:i/>
                <w:iCs/>
                <w:color w:val="000000" w:themeColor="text1"/>
                <w:sz w:val="20"/>
                <w:szCs w:val="20"/>
              </w:rPr>
            </w:pPr>
            <w:r w:rsidRPr="005304B4">
              <w:rPr>
                <w:b/>
                <w:bCs/>
                <w:i/>
                <w:iCs/>
                <w:color w:val="000000" w:themeColor="text1"/>
                <w:sz w:val="20"/>
                <w:szCs w:val="20"/>
              </w:rPr>
              <w:t>Objeto de control</w:t>
            </w:r>
            <w:r w:rsidR="00675BD6" w:rsidRPr="005304B4">
              <w:rPr>
                <w:rStyle w:val="Refdenotaalpie"/>
                <w:b/>
                <w:bCs/>
                <w:i/>
                <w:iCs/>
                <w:color w:val="000000" w:themeColor="text1"/>
                <w:sz w:val="20"/>
                <w:szCs w:val="20"/>
              </w:rPr>
              <w:footnoteReference w:id="51"/>
            </w:r>
          </w:p>
        </w:tc>
        <w:tc>
          <w:tcPr>
            <w:tcW w:w="2131" w:type="dxa"/>
          </w:tcPr>
          <w:p w14:paraId="52FFEC44" w14:textId="77777777" w:rsidR="008C3428" w:rsidRPr="005304B4" w:rsidRDefault="008C3428" w:rsidP="001065D8">
            <w:pPr>
              <w:pStyle w:val="Prrafodelista"/>
              <w:shd w:val="clear" w:color="auto" w:fill="FFFFFF" w:themeFill="background1"/>
              <w:tabs>
                <w:tab w:val="left" w:pos="284"/>
                <w:tab w:val="left" w:pos="426"/>
              </w:tabs>
              <w:ind w:left="0"/>
              <w:rPr>
                <w:sz w:val="20"/>
                <w:szCs w:val="20"/>
              </w:rPr>
            </w:pPr>
            <w:r w:rsidRPr="005304B4">
              <w:rPr>
                <w:sz w:val="20"/>
                <w:szCs w:val="20"/>
              </w:rPr>
              <w:t>Artículo 236 CST, modificado por el artículo 2 de la Ley 2114 de 2021.</w:t>
            </w:r>
          </w:p>
          <w:p w14:paraId="19FB746A" w14:textId="41F00ED3" w:rsidR="008C3428" w:rsidRPr="005304B4" w:rsidRDefault="008C3428" w:rsidP="001065D8">
            <w:pPr>
              <w:pStyle w:val="Prrafodelista"/>
              <w:shd w:val="clear" w:color="auto" w:fill="FFFFFF" w:themeFill="background1"/>
              <w:tabs>
                <w:tab w:val="left" w:pos="284"/>
                <w:tab w:val="left" w:pos="426"/>
              </w:tabs>
              <w:ind w:left="0"/>
              <w:rPr>
                <w:i/>
                <w:iCs/>
                <w:color w:val="000000" w:themeColor="text1"/>
                <w:sz w:val="20"/>
                <w:szCs w:val="20"/>
              </w:rPr>
            </w:pPr>
            <w:r w:rsidRPr="005304B4">
              <w:rPr>
                <w:sz w:val="20"/>
                <w:szCs w:val="20"/>
              </w:rPr>
              <w:t xml:space="preserve"> </w:t>
            </w:r>
            <w:r w:rsidRPr="005304B4">
              <w:rPr>
                <w:sz w:val="20"/>
                <w:szCs w:val="20"/>
              </w:rPr>
              <w:br/>
            </w:r>
            <w:r w:rsidR="001B0E58" w:rsidRPr="005304B4">
              <w:rPr>
                <w:sz w:val="20"/>
                <w:szCs w:val="20"/>
              </w:rPr>
              <w:t xml:space="preserve">– </w:t>
            </w:r>
            <w:r w:rsidRPr="005304B4">
              <w:rPr>
                <w:sz w:val="20"/>
                <w:szCs w:val="20"/>
              </w:rPr>
              <w:t>En</w:t>
            </w:r>
            <w:r w:rsidR="00711B83" w:rsidRPr="005304B4">
              <w:rPr>
                <w:sz w:val="20"/>
                <w:szCs w:val="20"/>
              </w:rPr>
              <w:t xml:space="preserve"> Sentencia</w:t>
            </w:r>
            <w:r w:rsidRPr="005304B4">
              <w:rPr>
                <w:sz w:val="20"/>
                <w:szCs w:val="20"/>
              </w:rPr>
              <w:t xml:space="preserve"> C-415</w:t>
            </w:r>
            <w:r w:rsidR="00324BD2" w:rsidRPr="005304B4">
              <w:rPr>
                <w:sz w:val="20"/>
                <w:szCs w:val="20"/>
              </w:rPr>
              <w:t xml:space="preserve"> de 20</w:t>
            </w:r>
            <w:r w:rsidRPr="005304B4">
              <w:rPr>
                <w:sz w:val="20"/>
                <w:szCs w:val="20"/>
              </w:rPr>
              <w:t xml:space="preserve">22: revisión de todo el artículo. </w:t>
            </w:r>
            <w:r w:rsidRPr="005304B4">
              <w:rPr>
                <w:sz w:val="20"/>
                <w:szCs w:val="20"/>
              </w:rPr>
              <w:br/>
            </w:r>
            <w:r w:rsidR="001B0E58" w:rsidRPr="005304B4">
              <w:rPr>
                <w:sz w:val="20"/>
                <w:szCs w:val="20"/>
              </w:rPr>
              <w:t xml:space="preserve">– </w:t>
            </w:r>
            <w:r w:rsidRPr="005304B4">
              <w:rPr>
                <w:sz w:val="20"/>
                <w:szCs w:val="20"/>
              </w:rPr>
              <w:t xml:space="preserve">En </w:t>
            </w:r>
            <w:r w:rsidR="00711B83" w:rsidRPr="005304B4">
              <w:rPr>
                <w:sz w:val="20"/>
                <w:szCs w:val="20"/>
              </w:rPr>
              <w:t xml:space="preserve">Sentencia </w:t>
            </w:r>
            <w:r w:rsidRPr="005304B4">
              <w:rPr>
                <w:sz w:val="20"/>
                <w:szCs w:val="20"/>
              </w:rPr>
              <w:t>C-324</w:t>
            </w:r>
            <w:r w:rsidR="00324BD2" w:rsidRPr="005304B4">
              <w:rPr>
                <w:sz w:val="20"/>
                <w:szCs w:val="20"/>
              </w:rPr>
              <w:t xml:space="preserve"> de 20</w:t>
            </w:r>
            <w:r w:rsidRPr="005304B4">
              <w:rPr>
                <w:sz w:val="20"/>
                <w:szCs w:val="20"/>
              </w:rPr>
              <w:t>23: revisión solo de las expresiones “trabajadora”, “madre”</w:t>
            </w:r>
            <w:r w:rsidR="00324BD2" w:rsidRPr="005304B4">
              <w:rPr>
                <w:sz w:val="20"/>
                <w:szCs w:val="20"/>
              </w:rPr>
              <w:t xml:space="preserve"> y </w:t>
            </w:r>
            <w:r w:rsidRPr="005304B4">
              <w:rPr>
                <w:sz w:val="20"/>
                <w:szCs w:val="20"/>
              </w:rPr>
              <w:t>“mujer”</w:t>
            </w:r>
            <w:r w:rsidR="00DF553C" w:rsidRPr="005304B4">
              <w:rPr>
                <w:sz w:val="20"/>
                <w:szCs w:val="20"/>
              </w:rPr>
              <w:t xml:space="preserve"> contenidas en el artículo.</w:t>
            </w:r>
          </w:p>
        </w:tc>
        <w:tc>
          <w:tcPr>
            <w:tcW w:w="2410" w:type="dxa"/>
          </w:tcPr>
          <w:p w14:paraId="5EADCF09" w14:textId="1BB6E267" w:rsidR="008C3428" w:rsidRPr="005304B4" w:rsidRDefault="008C3428" w:rsidP="001065D8">
            <w:pPr>
              <w:pStyle w:val="Prrafodelista"/>
              <w:shd w:val="clear" w:color="auto" w:fill="FFFFFF" w:themeFill="background1"/>
              <w:tabs>
                <w:tab w:val="left" w:pos="284"/>
                <w:tab w:val="left" w:pos="426"/>
              </w:tabs>
              <w:ind w:left="0"/>
              <w:rPr>
                <w:b/>
                <w:bCs/>
                <w:i/>
                <w:iCs/>
                <w:color w:val="000000" w:themeColor="text1"/>
                <w:sz w:val="20"/>
                <w:szCs w:val="20"/>
              </w:rPr>
            </w:pPr>
            <w:r w:rsidRPr="005304B4">
              <w:rPr>
                <w:rStyle w:val="Textoennegrita"/>
                <w:b w:val="0"/>
                <w:bCs w:val="0"/>
                <w:sz w:val="20"/>
                <w:szCs w:val="20"/>
              </w:rPr>
              <w:t>Expresi</w:t>
            </w:r>
            <w:r w:rsidR="005E55B3" w:rsidRPr="005304B4">
              <w:rPr>
                <w:rStyle w:val="Textoennegrita"/>
                <w:b w:val="0"/>
                <w:bCs w:val="0"/>
                <w:sz w:val="20"/>
                <w:szCs w:val="20"/>
              </w:rPr>
              <w:t>ón</w:t>
            </w:r>
            <w:r w:rsidR="006541DC" w:rsidRPr="005304B4">
              <w:rPr>
                <w:rStyle w:val="Textoennegrita"/>
                <w:b w:val="0"/>
                <w:bCs w:val="0"/>
                <w:sz w:val="20"/>
                <w:szCs w:val="20"/>
              </w:rPr>
              <w:t xml:space="preserve"> </w:t>
            </w:r>
            <w:r w:rsidR="007746C5" w:rsidRPr="005304B4">
              <w:rPr>
                <w:rStyle w:val="Textoennegrita"/>
                <w:b w:val="0"/>
                <w:bCs w:val="0"/>
                <w:sz w:val="20"/>
                <w:szCs w:val="20"/>
              </w:rPr>
              <w:t>“la madre adoptante”</w:t>
            </w:r>
            <w:r w:rsidRPr="005304B4">
              <w:rPr>
                <w:rStyle w:val="Textoennegrita"/>
                <w:b w:val="0"/>
                <w:bCs w:val="0"/>
                <w:sz w:val="20"/>
                <w:szCs w:val="20"/>
              </w:rPr>
              <w:t xml:space="preserve"> (numeral 4)</w:t>
            </w:r>
            <w:r w:rsidRPr="005304B4">
              <w:rPr>
                <w:b/>
                <w:bCs/>
                <w:sz w:val="20"/>
                <w:szCs w:val="20"/>
              </w:rPr>
              <w:t xml:space="preserve"> </w:t>
            </w:r>
            <w:r w:rsidRPr="005304B4">
              <w:rPr>
                <w:sz w:val="20"/>
                <w:szCs w:val="20"/>
              </w:rPr>
              <w:t>del artículo 2 de la Ley 2114 de 2021.</w:t>
            </w:r>
          </w:p>
        </w:tc>
        <w:tc>
          <w:tcPr>
            <w:tcW w:w="2693" w:type="dxa"/>
          </w:tcPr>
          <w:p w14:paraId="5590CCB9" w14:textId="7EE061B0" w:rsidR="008C3428" w:rsidRPr="005304B4" w:rsidRDefault="008C3428" w:rsidP="001065D8">
            <w:pPr>
              <w:pStyle w:val="Prrafodelista"/>
              <w:shd w:val="clear" w:color="auto" w:fill="FFFFFF" w:themeFill="background1"/>
              <w:tabs>
                <w:tab w:val="left" w:pos="284"/>
                <w:tab w:val="left" w:pos="426"/>
              </w:tabs>
              <w:ind w:left="0"/>
              <w:rPr>
                <w:i/>
                <w:iCs/>
                <w:color w:val="000000" w:themeColor="text1"/>
                <w:sz w:val="20"/>
                <w:szCs w:val="20"/>
              </w:rPr>
            </w:pPr>
            <w:r w:rsidRPr="005304B4">
              <w:rPr>
                <w:b/>
                <w:bCs/>
                <w:sz w:val="20"/>
                <w:szCs w:val="20"/>
              </w:rPr>
              <w:t>Identidad parcial de objeto</w:t>
            </w:r>
            <w:r w:rsidR="001B0E58" w:rsidRPr="005304B4">
              <w:rPr>
                <w:b/>
                <w:bCs/>
                <w:sz w:val="20"/>
                <w:szCs w:val="20"/>
              </w:rPr>
              <w:t xml:space="preserve"> de control</w:t>
            </w:r>
            <w:r w:rsidRPr="005304B4">
              <w:rPr>
                <w:sz w:val="20"/>
                <w:szCs w:val="20"/>
              </w:rPr>
              <w:t xml:space="preserve">: </w:t>
            </w:r>
            <w:r w:rsidR="00DF553C" w:rsidRPr="005304B4">
              <w:rPr>
                <w:sz w:val="20"/>
                <w:szCs w:val="20"/>
              </w:rPr>
              <w:t xml:space="preserve">La expresión “la madre adoptante”, objeto de demanda parcial en esta ocasión, se sobrepone parcialmente con la expresión “madre”, analizada en la Sentencia C-324 de 2023. Así mismo, esta se inserta en el numeral 4 del art. 2 de la Ley 2114 de 2021, cuyo contenido </w:t>
            </w:r>
            <w:r w:rsidR="002A1756" w:rsidRPr="005304B4">
              <w:rPr>
                <w:sz w:val="20"/>
                <w:szCs w:val="20"/>
              </w:rPr>
              <w:t>fue</w:t>
            </w:r>
            <w:r w:rsidR="00DF553C" w:rsidRPr="005304B4">
              <w:rPr>
                <w:sz w:val="20"/>
                <w:szCs w:val="20"/>
              </w:rPr>
              <w:t xml:space="preserve"> objeto de control en la Sentencia C-415 de 2022.</w:t>
            </w:r>
          </w:p>
        </w:tc>
      </w:tr>
      <w:tr w:rsidR="001B0E58" w:rsidRPr="005304B4" w14:paraId="764DA402" w14:textId="2F0ABAE3" w:rsidTr="47A29002">
        <w:tc>
          <w:tcPr>
            <w:tcW w:w="1413" w:type="dxa"/>
          </w:tcPr>
          <w:p w14:paraId="28D8DB03" w14:textId="6BCFF612" w:rsidR="008C3428" w:rsidRPr="005304B4" w:rsidRDefault="008C3428" w:rsidP="001065D8">
            <w:pPr>
              <w:pStyle w:val="Prrafodelista"/>
              <w:shd w:val="clear" w:color="auto" w:fill="FFFFFF" w:themeFill="background1"/>
              <w:tabs>
                <w:tab w:val="left" w:pos="284"/>
                <w:tab w:val="left" w:pos="426"/>
              </w:tabs>
              <w:ind w:left="0"/>
              <w:rPr>
                <w:b/>
                <w:bCs/>
                <w:i/>
                <w:iCs/>
                <w:color w:val="000000" w:themeColor="text1"/>
                <w:sz w:val="20"/>
                <w:szCs w:val="20"/>
              </w:rPr>
            </w:pPr>
            <w:r w:rsidRPr="005304B4">
              <w:rPr>
                <w:b/>
                <w:bCs/>
                <w:i/>
                <w:iCs/>
                <w:color w:val="000000" w:themeColor="text1"/>
                <w:sz w:val="20"/>
                <w:szCs w:val="20"/>
              </w:rPr>
              <w:t>Parámetro de control de constitucionalidad</w:t>
            </w:r>
          </w:p>
        </w:tc>
        <w:tc>
          <w:tcPr>
            <w:tcW w:w="2131" w:type="dxa"/>
          </w:tcPr>
          <w:p w14:paraId="2256C680" w14:textId="6EA6A89D" w:rsidR="008C3428" w:rsidRPr="005304B4" w:rsidRDefault="001B0E58" w:rsidP="001065D8">
            <w:pPr>
              <w:pStyle w:val="Prrafodelista"/>
              <w:shd w:val="clear" w:color="auto" w:fill="FFFFFF" w:themeFill="background1"/>
              <w:tabs>
                <w:tab w:val="left" w:pos="284"/>
                <w:tab w:val="left" w:pos="426"/>
              </w:tabs>
              <w:ind w:left="0"/>
              <w:rPr>
                <w:sz w:val="20"/>
                <w:szCs w:val="20"/>
              </w:rPr>
            </w:pPr>
            <w:r w:rsidRPr="005304B4">
              <w:rPr>
                <w:sz w:val="20"/>
                <w:szCs w:val="20"/>
              </w:rPr>
              <w:t>–</w:t>
            </w:r>
            <w:r w:rsidR="00711B83" w:rsidRPr="005304B4">
              <w:rPr>
                <w:sz w:val="20"/>
                <w:szCs w:val="20"/>
              </w:rPr>
              <w:t xml:space="preserve"> Sentencia </w:t>
            </w:r>
            <w:r w:rsidRPr="005304B4">
              <w:rPr>
                <w:sz w:val="20"/>
                <w:szCs w:val="20"/>
              </w:rPr>
              <w:t>C-415 de 2022:</w:t>
            </w:r>
            <w:r w:rsidR="00324BD2" w:rsidRPr="005304B4">
              <w:rPr>
                <w:sz w:val="20"/>
                <w:szCs w:val="20"/>
              </w:rPr>
              <w:t xml:space="preserve"> Artículo 13 de la C.P. (igualdad) por </w:t>
            </w:r>
            <w:r w:rsidRPr="005304B4">
              <w:rPr>
                <w:sz w:val="20"/>
                <w:szCs w:val="20"/>
              </w:rPr>
              <w:t xml:space="preserve">omisión legislativa relativa </w:t>
            </w:r>
            <w:r w:rsidR="00324BD2" w:rsidRPr="005304B4">
              <w:rPr>
                <w:sz w:val="20"/>
                <w:szCs w:val="20"/>
              </w:rPr>
              <w:t>al</w:t>
            </w:r>
            <w:r w:rsidRPr="005304B4">
              <w:rPr>
                <w:sz w:val="20"/>
                <w:szCs w:val="20"/>
              </w:rPr>
              <w:t xml:space="preserve"> exclu</w:t>
            </w:r>
            <w:r w:rsidR="00324BD2" w:rsidRPr="005304B4">
              <w:rPr>
                <w:sz w:val="20"/>
                <w:szCs w:val="20"/>
              </w:rPr>
              <w:t>irse</w:t>
            </w:r>
            <w:r w:rsidRPr="005304B4">
              <w:rPr>
                <w:sz w:val="20"/>
                <w:szCs w:val="20"/>
              </w:rPr>
              <w:t xml:space="preserve"> </w:t>
            </w:r>
            <w:r w:rsidR="00324BD2" w:rsidRPr="005304B4">
              <w:rPr>
                <w:sz w:val="20"/>
                <w:szCs w:val="20"/>
              </w:rPr>
              <w:t>las</w:t>
            </w:r>
            <w:r w:rsidRPr="005304B4">
              <w:rPr>
                <w:sz w:val="20"/>
                <w:szCs w:val="20"/>
              </w:rPr>
              <w:t xml:space="preserve"> parejas del mismo sexo adoptantes. </w:t>
            </w:r>
            <w:r w:rsidRPr="005304B4">
              <w:rPr>
                <w:sz w:val="20"/>
                <w:szCs w:val="20"/>
              </w:rPr>
              <w:br/>
              <w:t>–</w:t>
            </w:r>
            <w:r w:rsidR="00711B83" w:rsidRPr="005304B4">
              <w:rPr>
                <w:sz w:val="20"/>
                <w:szCs w:val="20"/>
              </w:rPr>
              <w:t xml:space="preserve"> Sentencia </w:t>
            </w:r>
            <w:r w:rsidRPr="005304B4">
              <w:rPr>
                <w:sz w:val="20"/>
                <w:szCs w:val="20"/>
              </w:rPr>
              <w:t>C-324 de 2023:</w:t>
            </w:r>
            <w:r w:rsidR="00324BD2" w:rsidRPr="005304B4">
              <w:rPr>
                <w:sz w:val="20"/>
                <w:szCs w:val="20"/>
              </w:rPr>
              <w:t xml:space="preserve"> Artículo 13 de la C.P</w:t>
            </w:r>
            <w:r w:rsidR="007378DE" w:rsidRPr="005304B4">
              <w:rPr>
                <w:sz w:val="20"/>
                <w:szCs w:val="20"/>
              </w:rPr>
              <w:t>.</w:t>
            </w:r>
            <w:r w:rsidR="00324BD2" w:rsidRPr="005304B4">
              <w:rPr>
                <w:sz w:val="20"/>
                <w:szCs w:val="20"/>
              </w:rPr>
              <w:t xml:space="preserve"> (igualdad) y el artículo 53 (seguridad social)</w:t>
            </w:r>
            <w:r w:rsidR="009D49C6" w:rsidRPr="005304B4">
              <w:rPr>
                <w:sz w:val="20"/>
                <w:szCs w:val="20"/>
              </w:rPr>
              <w:t xml:space="preserve"> por</w:t>
            </w:r>
            <w:r w:rsidRPr="005304B4">
              <w:rPr>
                <w:sz w:val="20"/>
                <w:szCs w:val="20"/>
              </w:rPr>
              <w:t xml:space="preserve"> omisión legislativa relativa por exclusión de hombres trans y personas no binarias gestantes.</w:t>
            </w:r>
          </w:p>
        </w:tc>
        <w:tc>
          <w:tcPr>
            <w:tcW w:w="2410" w:type="dxa"/>
          </w:tcPr>
          <w:p w14:paraId="7609F01E" w14:textId="46A1B19E" w:rsidR="008C3428" w:rsidRPr="005304B4" w:rsidRDefault="001B0E58" w:rsidP="001065D8">
            <w:pPr>
              <w:pStyle w:val="Prrafodelista"/>
              <w:shd w:val="clear" w:color="auto" w:fill="FFFFFF" w:themeFill="background1"/>
              <w:tabs>
                <w:tab w:val="left" w:pos="284"/>
                <w:tab w:val="left" w:pos="426"/>
              </w:tabs>
              <w:ind w:left="0"/>
              <w:rPr>
                <w:color w:val="000000" w:themeColor="text1"/>
                <w:sz w:val="20"/>
                <w:szCs w:val="20"/>
              </w:rPr>
            </w:pPr>
            <w:r w:rsidRPr="005304B4">
              <w:rPr>
                <w:sz w:val="20"/>
                <w:szCs w:val="20"/>
              </w:rPr>
              <w:t xml:space="preserve">Artículo 13 de la </w:t>
            </w:r>
            <w:r w:rsidR="00324BD2" w:rsidRPr="005304B4">
              <w:rPr>
                <w:sz w:val="20"/>
                <w:szCs w:val="20"/>
              </w:rPr>
              <w:t xml:space="preserve">C.P. </w:t>
            </w:r>
            <w:r w:rsidRPr="005304B4">
              <w:rPr>
                <w:sz w:val="20"/>
                <w:szCs w:val="20"/>
              </w:rPr>
              <w:t>(igualdad)</w:t>
            </w:r>
            <w:r w:rsidR="002674AC" w:rsidRPr="005304B4">
              <w:rPr>
                <w:sz w:val="20"/>
                <w:szCs w:val="20"/>
              </w:rPr>
              <w:t xml:space="preserve"> porque a las parejas heteroparentales adoptantes no se les permite elegir </w:t>
            </w:r>
            <w:r w:rsidR="002F20C2" w:rsidRPr="005304B4">
              <w:rPr>
                <w:sz w:val="20"/>
                <w:szCs w:val="20"/>
              </w:rPr>
              <w:t>cuál de sus miembros accederá a la licencia de maternidad.</w:t>
            </w:r>
          </w:p>
        </w:tc>
        <w:tc>
          <w:tcPr>
            <w:tcW w:w="2693" w:type="dxa"/>
          </w:tcPr>
          <w:p w14:paraId="49B05C99" w14:textId="632157BD" w:rsidR="008C3428" w:rsidRPr="005304B4" w:rsidRDefault="53A979A0" w:rsidP="47A29002">
            <w:pPr>
              <w:pStyle w:val="Prrafodelista"/>
              <w:shd w:val="clear" w:color="auto" w:fill="FFFFFF" w:themeFill="background1"/>
              <w:tabs>
                <w:tab w:val="left" w:pos="284"/>
                <w:tab w:val="left" w:pos="426"/>
              </w:tabs>
              <w:ind w:left="0"/>
              <w:rPr>
                <w:b/>
                <w:bCs/>
                <w:i/>
                <w:iCs/>
                <w:color w:val="000000" w:themeColor="text1"/>
                <w:sz w:val="20"/>
                <w:szCs w:val="20"/>
              </w:rPr>
            </w:pPr>
            <w:r w:rsidRPr="005304B4">
              <w:rPr>
                <w:rStyle w:val="Textoennegrita"/>
                <w:sz w:val="20"/>
                <w:szCs w:val="20"/>
              </w:rPr>
              <w:t xml:space="preserve">Identidad </w:t>
            </w:r>
            <w:r w:rsidR="00F761B0" w:rsidRPr="005304B4">
              <w:rPr>
                <w:rStyle w:val="Textoennegrita"/>
                <w:sz w:val="20"/>
                <w:szCs w:val="20"/>
              </w:rPr>
              <w:t>parcial</w:t>
            </w:r>
            <w:r w:rsidRPr="005304B4">
              <w:rPr>
                <w:rStyle w:val="Textoennegrita"/>
                <w:sz w:val="20"/>
                <w:szCs w:val="20"/>
              </w:rPr>
              <w:t xml:space="preserve"> del parámetro de control</w:t>
            </w:r>
            <w:r w:rsidRPr="005304B4">
              <w:rPr>
                <w:rStyle w:val="Textoennegrita"/>
                <w:b w:val="0"/>
                <w:bCs w:val="0"/>
                <w:sz w:val="20"/>
                <w:szCs w:val="20"/>
              </w:rPr>
              <w:t>:</w:t>
            </w:r>
            <w:r w:rsidRPr="005304B4">
              <w:rPr>
                <w:sz w:val="20"/>
                <w:szCs w:val="20"/>
              </w:rPr>
              <w:t xml:space="preserve"> En todos los casos se alega </w:t>
            </w:r>
            <w:r w:rsidR="1D8AEC76" w:rsidRPr="005304B4">
              <w:rPr>
                <w:sz w:val="20"/>
                <w:szCs w:val="20"/>
              </w:rPr>
              <w:t xml:space="preserve">como desconocido </w:t>
            </w:r>
            <w:r w:rsidRPr="005304B4">
              <w:rPr>
                <w:sz w:val="20"/>
                <w:szCs w:val="20"/>
              </w:rPr>
              <w:t xml:space="preserve">el </w:t>
            </w:r>
            <w:r w:rsidR="002F20C2" w:rsidRPr="005304B4">
              <w:rPr>
                <w:sz w:val="20"/>
                <w:szCs w:val="20"/>
              </w:rPr>
              <w:t xml:space="preserve">principio constitucional de igualdad, incorporado en el </w:t>
            </w:r>
            <w:r w:rsidRPr="005304B4">
              <w:rPr>
                <w:sz w:val="20"/>
                <w:szCs w:val="20"/>
              </w:rPr>
              <w:t xml:space="preserve">artículo 13 de la </w:t>
            </w:r>
            <w:r w:rsidR="1D8AEC76" w:rsidRPr="005304B4">
              <w:rPr>
                <w:sz w:val="20"/>
                <w:szCs w:val="20"/>
              </w:rPr>
              <w:t>Constitución Política.</w:t>
            </w:r>
            <w:r w:rsidR="00F761B0" w:rsidRPr="005304B4">
              <w:rPr>
                <w:sz w:val="20"/>
                <w:szCs w:val="20"/>
              </w:rPr>
              <w:t xml:space="preserve"> No obstante, el marco de análisis </w:t>
            </w:r>
            <w:r w:rsidR="44C22A38" w:rsidRPr="005304B4">
              <w:rPr>
                <w:sz w:val="20"/>
                <w:szCs w:val="20"/>
              </w:rPr>
              <w:t>de las</w:t>
            </w:r>
            <w:r w:rsidR="00F761B0" w:rsidRPr="005304B4">
              <w:rPr>
                <w:sz w:val="20"/>
                <w:szCs w:val="20"/>
              </w:rPr>
              <w:t xml:space="preserve"> sentencias C-415 de 2022 y C-324 de 2023, se centró en analizar una omisión legislativa relativa. </w:t>
            </w:r>
          </w:p>
        </w:tc>
      </w:tr>
      <w:tr w:rsidR="001B0E58" w:rsidRPr="005304B4" w14:paraId="7F4EC0FF" w14:textId="0DDD3406" w:rsidTr="47A29002">
        <w:tc>
          <w:tcPr>
            <w:tcW w:w="1413" w:type="dxa"/>
          </w:tcPr>
          <w:p w14:paraId="1B5F99B9" w14:textId="6DF2EB7A" w:rsidR="008C3428" w:rsidRPr="005304B4" w:rsidRDefault="008C3428" w:rsidP="001065D8">
            <w:pPr>
              <w:pStyle w:val="Prrafodelista"/>
              <w:shd w:val="clear" w:color="auto" w:fill="FFFFFF" w:themeFill="background1"/>
              <w:tabs>
                <w:tab w:val="left" w:pos="284"/>
                <w:tab w:val="left" w:pos="426"/>
              </w:tabs>
              <w:ind w:left="0"/>
              <w:rPr>
                <w:b/>
                <w:bCs/>
                <w:i/>
                <w:iCs/>
                <w:color w:val="000000" w:themeColor="text1"/>
                <w:sz w:val="20"/>
                <w:szCs w:val="20"/>
              </w:rPr>
            </w:pPr>
            <w:r w:rsidRPr="005304B4">
              <w:rPr>
                <w:b/>
                <w:bCs/>
                <w:i/>
                <w:iCs/>
                <w:color w:val="000000" w:themeColor="text1"/>
                <w:sz w:val="20"/>
                <w:szCs w:val="20"/>
              </w:rPr>
              <w:t>Causa petendi</w:t>
            </w:r>
          </w:p>
          <w:p w14:paraId="4AB30A43" w14:textId="14C1C58A" w:rsidR="001B0E58" w:rsidRPr="005304B4" w:rsidRDefault="001B0E58" w:rsidP="001065D8">
            <w:pPr>
              <w:pStyle w:val="Prrafodelista"/>
              <w:shd w:val="clear" w:color="auto" w:fill="FFFFFF" w:themeFill="background1"/>
              <w:tabs>
                <w:tab w:val="left" w:pos="284"/>
                <w:tab w:val="left" w:pos="426"/>
              </w:tabs>
              <w:ind w:left="0"/>
              <w:rPr>
                <w:b/>
                <w:bCs/>
                <w:i/>
                <w:iCs/>
                <w:color w:val="000000" w:themeColor="text1"/>
                <w:sz w:val="20"/>
                <w:szCs w:val="20"/>
              </w:rPr>
            </w:pPr>
            <w:r w:rsidRPr="005304B4">
              <w:rPr>
                <w:b/>
                <w:bCs/>
                <w:i/>
                <w:iCs/>
                <w:color w:val="000000" w:themeColor="text1"/>
                <w:sz w:val="20"/>
                <w:szCs w:val="20"/>
              </w:rPr>
              <w:t>(fundamento del cargo)</w:t>
            </w:r>
          </w:p>
        </w:tc>
        <w:tc>
          <w:tcPr>
            <w:tcW w:w="2131" w:type="dxa"/>
          </w:tcPr>
          <w:p w14:paraId="7F584FE8" w14:textId="2960E79C" w:rsidR="001B0E58" w:rsidRPr="005304B4" w:rsidRDefault="001B0E58" w:rsidP="001065D8">
            <w:pPr>
              <w:shd w:val="clear" w:color="auto" w:fill="FFFFFF" w:themeFill="background1"/>
              <w:tabs>
                <w:tab w:val="left" w:pos="175"/>
              </w:tabs>
              <w:rPr>
                <w:color w:val="000000" w:themeColor="text1"/>
                <w:sz w:val="20"/>
                <w:szCs w:val="20"/>
              </w:rPr>
            </w:pPr>
            <w:r w:rsidRPr="005304B4">
              <w:rPr>
                <w:color w:val="000000" w:themeColor="text1"/>
                <w:sz w:val="20"/>
                <w:szCs w:val="20"/>
              </w:rPr>
              <w:t>–</w:t>
            </w:r>
            <w:r w:rsidR="00711B83" w:rsidRPr="005304B4">
              <w:rPr>
                <w:color w:val="000000" w:themeColor="text1"/>
                <w:sz w:val="20"/>
                <w:szCs w:val="20"/>
              </w:rPr>
              <w:t xml:space="preserve"> </w:t>
            </w:r>
            <w:r w:rsidR="00711B83" w:rsidRPr="005304B4">
              <w:rPr>
                <w:sz w:val="20"/>
                <w:szCs w:val="20"/>
              </w:rPr>
              <w:t>Sentencia</w:t>
            </w:r>
            <w:r w:rsidR="00711B83" w:rsidRPr="005304B4">
              <w:rPr>
                <w:color w:val="000000" w:themeColor="text1"/>
                <w:sz w:val="20"/>
                <w:szCs w:val="20"/>
              </w:rPr>
              <w:t xml:space="preserve"> </w:t>
            </w:r>
            <w:r w:rsidRPr="005304B4">
              <w:rPr>
                <w:color w:val="000000" w:themeColor="text1"/>
                <w:sz w:val="20"/>
                <w:szCs w:val="20"/>
              </w:rPr>
              <w:t xml:space="preserve">C-415 de 2022: </w:t>
            </w:r>
            <w:r w:rsidR="002F20C2" w:rsidRPr="005304B4">
              <w:rPr>
                <w:color w:val="000000" w:themeColor="text1"/>
                <w:sz w:val="20"/>
                <w:szCs w:val="20"/>
              </w:rPr>
              <w:t xml:space="preserve">el cargo se fundamentaba en la </w:t>
            </w:r>
            <w:r w:rsidRPr="005304B4">
              <w:rPr>
                <w:color w:val="000000" w:themeColor="text1"/>
                <w:sz w:val="20"/>
                <w:szCs w:val="20"/>
              </w:rPr>
              <w:t xml:space="preserve">no inclusión de parejas del mismo sexo adoptantes </w:t>
            </w:r>
            <w:r w:rsidR="009D49C6" w:rsidRPr="005304B4">
              <w:rPr>
                <w:color w:val="000000" w:themeColor="text1"/>
                <w:sz w:val="20"/>
                <w:szCs w:val="20"/>
              </w:rPr>
              <w:t>como titulares de las</w:t>
            </w:r>
            <w:r w:rsidRPr="005304B4">
              <w:rPr>
                <w:color w:val="000000" w:themeColor="text1"/>
                <w:sz w:val="20"/>
                <w:szCs w:val="20"/>
              </w:rPr>
              <w:t xml:space="preserve"> licencias parentales</w:t>
            </w:r>
            <w:r w:rsidR="002F20C2" w:rsidRPr="005304B4">
              <w:rPr>
                <w:color w:val="000000" w:themeColor="text1"/>
                <w:sz w:val="20"/>
                <w:szCs w:val="20"/>
              </w:rPr>
              <w:t xml:space="preserve"> contempladas en la disposición.</w:t>
            </w:r>
          </w:p>
          <w:p w14:paraId="519D995C" w14:textId="797983D8" w:rsidR="008C3428" w:rsidRPr="005304B4" w:rsidRDefault="001B0E58" w:rsidP="001065D8">
            <w:pPr>
              <w:shd w:val="clear" w:color="auto" w:fill="FFFFFF" w:themeFill="background1"/>
              <w:tabs>
                <w:tab w:val="left" w:pos="284"/>
                <w:tab w:val="left" w:pos="426"/>
              </w:tabs>
              <w:rPr>
                <w:color w:val="000000" w:themeColor="text1"/>
                <w:sz w:val="20"/>
                <w:szCs w:val="20"/>
              </w:rPr>
            </w:pPr>
            <w:r w:rsidRPr="005304B4">
              <w:rPr>
                <w:color w:val="000000" w:themeColor="text1"/>
                <w:sz w:val="20"/>
                <w:szCs w:val="20"/>
              </w:rPr>
              <w:t>–</w:t>
            </w:r>
            <w:r w:rsidR="00711B83" w:rsidRPr="005304B4">
              <w:rPr>
                <w:color w:val="000000" w:themeColor="text1"/>
                <w:sz w:val="20"/>
                <w:szCs w:val="20"/>
              </w:rPr>
              <w:t xml:space="preserve"> </w:t>
            </w:r>
            <w:r w:rsidR="00711B83" w:rsidRPr="005304B4">
              <w:rPr>
                <w:sz w:val="20"/>
                <w:szCs w:val="20"/>
              </w:rPr>
              <w:t>Sentencia</w:t>
            </w:r>
            <w:r w:rsidR="00711B83" w:rsidRPr="005304B4">
              <w:rPr>
                <w:color w:val="000000" w:themeColor="text1"/>
                <w:sz w:val="20"/>
                <w:szCs w:val="20"/>
              </w:rPr>
              <w:t xml:space="preserve"> </w:t>
            </w:r>
            <w:r w:rsidRPr="005304B4">
              <w:rPr>
                <w:color w:val="000000" w:themeColor="text1"/>
                <w:sz w:val="20"/>
                <w:szCs w:val="20"/>
              </w:rPr>
              <w:t xml:space="preserve">C-324 de 2023: </w:t>
            </w:r>
            <w:r w:rsidR="002F20C2" w:rsidRPr="005304B4">
              <w:rPr>
                <w:color w:val="000000" w:themeColor="text1"/>
                <w:sz w:val="20"/>
                <w:szCs w:val="20"/>
              </w:rPr>
              <w:t xml:space="preserve">el cargo se fundamentaba en la </w:t>
            </w:r>
            <w:r w:rsidRPr="005304B4">
              <w:rPr>
                <w:color w:val="000000" w:themeColor="text1"/>
                <w:sz w:val="20"/>
                <w:szCs w:val="20"/>
              </w:rPr>
              <w:t>no inclusión de hombres trans y personas no binarias como titulares de la licencia en época de parto.</w:t>
            </w:r>
          </w:p>
        </w:tc>
        <w:tc>
          <w:tcPr>
            <w:tcW w:w="2410" w:type="dxa"/>
          </w:tcPr>
          <w:p w14:paraId="26114347" w14:textId="52E9E21D" w:rsidR="008C3428" w:rsidRPr="005304B4" w:rsidRDefault="002F20C2" w:rsidP="001065D8">
            <w:pPr>
              <w:pStyle w:val="Prrafodelista"/>
              <w:shd w:val="clear" w:color="auto" w:fill="FFFFFF" w:themeFill="background1"/>
              <w:tabs>
                <w:tab w:val="left" w:pos="284"/>
                <w:tab w:val="left" w:pos="426"/>
              </w:tabs>
              <w:ind w:left="0"/>
              <w:rPr>
                <w:color w:val="000000" w:themeColor="text1"/>
                <w:sz w:val="20"/>
                <w:szCs w:val="20"/>
              </w:rPr>
            </w:pPr>
            <w:r w:rsidRPr="005304B4">
              <w:rPr>
                <w:color w:val="000000" w:themeColor="text1"/>
                <w:sz w:val="20"/>
                <w:szCs w:val="20"/>
              </w:rPr>
              <w:t>El cargo se fundamenta en l</w:t>
            </w:r>
            <w:r w:rsidR="001B0E58" w:rsidRPr="005304B4">
              <w:rPr>
                <w:color w:val="000000" w:themeColor="text1"/>
                <w:sz w:val="20"/>
                <w:szCs w:val="20"/>
              </w:rPr>
              <w:t>a asignación automática de licencias parentales para parejas heteroparentales adoptantes según el género</w:t>
            </w:r>
            <w:r w:rsidR="005E55B3" w:rsidRPr="005304B4">
              <w:rPr>
                <w:color w:val="000000" w:themeColor="text1"/>
                <w:sz w:val="20"/>
                <w:szCs w:val="20"/>
              </w:rPr>
              <w:t xml:space="preserve">, </w:t>
            </w:r>
            <w:r w:rsidR="001B0E58" w:rsidRPr="005304B4">
              <w:rPr>
                <w:color w:val="000000" w:themeColor="text1"/>
                <w:sz w:val="20"/>
                <w:szCs w:val="20"/>
              </w:rPr>
              <w:t xml:space="preserve">mientras que las parejas del mismo sexo deben elegir por una sola vez </w:t>
            </w:r>
            <w:r w:rsidRPr="005304B4">
              <w:rPr>
                <w:color w:val="000000" w:themeColor="text1"/>
                <w:sz w:val="20"/>
                <w:szCs w:val="20"/>
              </w:rPr>
              <w:t>cuál de sus integrantes</w:t>
            </w:r>
            <w:r w:rsidR="001B0E58" w:rsidRPr="005304B4">
              <w:rPr>
                <w:color w:val="000000" w:themeColor="text1"/>
                <w:sz w:val="20"/>
                <w:szCs w:val="20"/>
              </w:rPr>
              <w:t xml:space="preserve"> accede</w:t>
            </w:r>
            <w:r w:rsidRPr="005304B4">
              <w:rPr>
                <w:color w:val="000000" w:themeColor="text1"/>
                <w:sz w:val="20"/>
                <w:szCs w:val="20"/>
              </w:rPr>
              <w:t>rá</w:t>
            </w:r>
            <w:r w:rsidR="001B0E58" w:rsidRPr="005304B4">
              <w:rPr>
                <w:color w:val="000000" w:themeColor="text1"/>
                <w:sz w:val="20"/>
                <w:szCs w:val="20"/>
              </w:rPr>
              <w:t xml:space="preserve"> a cada licencia</w:t>
            </w:r>
            <w:r w:rsidR="005E55B3" w:rsidRPr="005304B4">
              <w:rPr>
                <w:color w:val="000000" w:themeColor="text1"/>
                <w:sz w:val="20"/>
                <w:szCs w:val="20"/>
              </w:rPr>
              <w:t xml:space="preserve"> </w:t>
            </w:r>
            <w:r w:rsidR="001B0E58" w:rsidRPr="005304B4">
              <w:rPr>
                <w:color w:val="000000" w:themeColor="text1"/>
                <w:sz w:val="20"/>
                <w:szCs w:val="20"/>
              </w:rPr>
              <w:t xml:space="preserve">(condicionamiento </w:t>
            </w:r>
            <w:r w:rsidR="007D4958" w:rsidRPr="005304B4">
              <w:rPr>
                <w:color w:val="000000" w:themeColor="text1"/>
                <w:sz w:val="20"/>
                <w:szCs w:val="20"/>
              </w:rPr>
              <w:t xml:space="preserve">sentencia </w:t>
            </w:r>
            <w:r w:rsidR="001B0E58" w:rsidRPr="005304B4">
              <w:rPr>
                <w:color w:val="000000" w:themeColor="text1"/>
                <w:sz w:val="20"/>
                <w:szCs w:val="20"/>
              </w:rPr>
              <w:t>C-415</w:t>
            </w:r>
            <w:r w:rsidR="009D49C6" w:rsidRPr="005304B4">
              <w:rPr>
                <w:color w:val="000000" w:themeColor="text1"/>
                <w:sz w:val="20"/>
                <w:szCs w:val="20"/>
              </w:rPr>
              <w:t xml:space="preserve"> de 20</w:t>
            </w:r>
            <w:r w:rsidR="001B0E58" w:rsidRPr="005304B4">
              <w:rPr>
                <w:color w:val="000000" w:themeColor="text1"/>
                <w:sz w:val="20"/>
                <w:szCs w:val="20"/>
              </w:rPr>
              <w:t>22)</w:t>
            </w:r>
            <w:r w:rsidRPr="005304B4">
              <w:rPr>
                <w:color w:val="000000" w:themeColor="text1"/>
                <w:sz w:val="20"/>
                <w:szCs w:val="20"/>
              </w:rPr>
              <w:t>.</w:t>
            </w:r>
          </w:p>
        </w:tc>
        <w:tc>
          <w:tcPr>
            <w:tcW w:w="2693" w:type="dxa"/>
          </w:tcPr>
          <w:p w14:paraId="7A2186DE" w14:textId="62394359" w:rsidR="008C3428" w:rsidRPr="005304B4" w:rsidRDefault="001B0E58" w:rsidP="001065D8">
            <w:pPr>
              <w:pStyle w:val="Prrafodelista"/>
              <w:shd w:val="clear" w:color="auto" w:fill="FFFFFF" w:themeFill="background1"/>
              <w:tabs>
                <w:tab w:val="left" w:pos="284"/>
                <w:tab w:val="left" w:pos="426"/>
              </w:tabs>
              <w:ind w:left="0"/>
              <w:rPr>
                <w:color w:val="000000" w:themeColor="text1"/>
                <w:sz w:val="20"/>
                <w:szCs w:val="20"/>
              </w:rPr>
            </w:pPr>
            <w:r w:rsidRPr="005304B4">
              <w:rPr>
                <w:b/>
                <w:bCs/>
                <w:color w:val="000000" w:themeColor="text1"/>
                <w:sz w:val="20"/>
                <w:szCs w:val="20"/>
              </w:rPr>
              <w:t>No hay identidad</w:t>
            </w:r>
            <w:r w:rsidRPr="005304B4">
              <w:rPr>
                <w:i/>
                <w:iCs/>
                <w:color w:val="000000" w:themeColor="text1"/>
                <w:sz w:val="20"/>
                <w:szCs w:val="20"/>
              </w:rPr>
              <w:t xml:space="preserve">. </w:t>
            </w:r>
            <w:r w:rsidR="002F20C2" w:rsidRPr="005304B4">
              <w:rPr>
                <w:color w:val="000000" w:themeColor="text1"/>
                <w:sz w:val="20"/>
                <w:szCs w:val="20"/>
              </w:rPr>
              <w:t>El cargo objeto de demanda en el proceso de la referencia se fundamenta en razones distintas a aquellas que fueron objeto de estudio previo por la Corte Constitucional en las sentencias C-415 de 2022 y C-324 de 2023.</w:t>
            </w:r>
          </w:p>
        </w:tc>
      </w:tr>
    </w:tbl>
    <w:p w14:paraId="418DB3EE" w14:textId="067D19B7" w:rsidR="005A26CE" w:rsidRPr="005304B4" w:rsidRDefault="00851570" w:rsidP="001065D8">
      <w:pPr>
        <w:shd w:val="clear" w:color="auto" w:fill="FFFFFF" w:themeFill="background1"/>
        <w:jc w:val="center"/>
        <w:rPr>
          <w:color w:val="000000" w:themeColor="text1"/>
          <w:sz w:val="20"/>
          <w:szCs w:val="20"/>
        </w:rPr>
      </w:pPr>
      <w:r w:rsidRPr="005304B4">
        <w:rPr>
          <w:color w:val="000000" w:themeColor="text1"/>
          <w:sz w:val="20"/>
          <w:szCs w:val="20"/>
        </w:rPr>
        <w:t>Fuente:</w:t>
      </w:r>
      <w:r w:rsidR="005A26CE" w:rsidRPr="005304B4">
        <w:rPr>
          <w:color w:val="000000" w:themeColor="text1"/>
          <w:sz w:val="20"/>
          <w:szCs w:val="20"/>
        </w:rPr>
        <w:t xml:space="preserve"> </w:t>
      </w:r>
      <w:r w:rsidRPr="005304B4">
        <w:rPr>
          <w:color w:val="000000" w:themeColor="text1"/>
          <w:sz w:val="20"/>
          <w:szCs w:val="20"/>
        </w:rPr>
        <w:t>e</w:t>
      </w:r>
      <w:r w:rsidR="005A26CE" w:rsidRPr="005304B4">
        <w:rPr>
          <w:i/>
          <w:iCs/>
          <w:color w:val="000000" w:themeColor="text1"/>
          <w:sz w:val="20"/>
          <w:szCs w:val="20"/>
        </w:rPr>
        <w:t>laboración propia</w:t>
      </w:r>
      <w:r w:rsidR="002F20C2" w:rsidRPr="005304B4">
        <w:rPr>
          <w:color w:val="000000" w:themeColor="text1"/>
          <w:sz w:val="20"/>
          <w:szCs w:val="20"/>
        </w:rPr>
        <w:t xml:space="preserve"> </w:t>
      </w:r>
      <w:r w:rsidR="002F20C2" w:rsidRPr="005304B4">
        <w:rPr>
          <w:i/>
          <w:iCs/>
          <w:color w:val="000000" w:themeColor="text1"/>
          <w:sz w:val="20"/>
          <w:szCs w:val="20"/>
        </w:rPr>
        <w:t>con base en las sentencias C-415 de 2022 y C-324 de 2023 y el texto de la demanda.</w:t>
      </w:r>
    </w:p>
    <w:p w14:paraId="1A5A58BE" w14:textId="7789DD8C" w:rsidR="008C3428" w:rsidRPr="005304B4" w:rsidRDefault="008C3428" w:rsidP="001065D8">
      <w:pPr>
        <w:shd w:val="clear" w:color="auto" w:fill="FFFFFF" w:themeFill="background1"/>
        <w:rPr>
          <w:color w:val="000000" w:themeColor="text1"/>
          <w:sz w:val="28"/>
          <w:szCs w:val="28"/>
        </w:rPr>
      </w:pPr>
    </w:p>
    <w:p w14:paraId="1AEFF063" w14:textId="4D1B81E7" w:rsidR="005F2844" w:rsidRPr="005304B4" w:rsidRDefault="001065D8" w:rsidP="005F2844">
      <w:pPr>
        <w:pStyle w:val="Prrafodelista"/>
        <w:numPr>
          <w:ilvl w:val="0"/>
          <w:numId w:val="40"/>
        </w:numPr>
        <w:shd w:val="clear" w:color="auto" w:fill="FFFFFF" w:themeFill="background1"/>
        <w:tabs>
          <w:tab w:val="left" w:pos="284"/>
          <w:tab w:val="left" w:pos="426"/>
        </w:tabs>
        <w:ind w:left="0" w:firstLine="0"/>
        <w:rPr>
          <w:color w:val="000000" w:themeColor="text1"/>
        </w:rPr>
      </w:pPr>
      <w:r w:rsidRPr="005304B4">
        <w:rPr>
          <w:i/>
          <w:iCs/>
          <w:color w:val="000000" w:themeColor="text1"/>
        </w:rPr>
        <w:t>Conclusión.</w:t>
      </w:r>
      <w:r w:rsidRPr="005304B4">
        <w:rPr>
          <w:color w:val="000000" w:themeColor="text1"/>
        </w:rPr>
        <w:t xml:space="preserve"> </w:t>
      </w:r>
      <w:r w:rsidR="009D49C6" w:rsidRPr="005304B4">
        <w:rPr>
          <w:color w:val="000000" w:themeColor="text1"/>
        </w:rPr>
        <w:t xml:space="preserve">Como se observa en el cuadro, </w:t>
      </w:r>
      <w:r w:rsidR="00F940D9" w:rsidRPr="005304B4">
        <w:rPr>
          <w:color w:val="000000" w:themeColor="text1"/>
        </w:rPr>
        <w:t>aunque</w:t>
      </w:r>
      <w:r w:rsidR="005F2844" w:rsidRPr="005304B4">
        <w:rPr>
          <w:color w:val="000000" w:themeColor="text1"/>
        </w:rPr>
        <w:t xml:space="preserve"> e</w:t>
      </w:r>
      <w:r w:rsidR="00EF39FF" w:rsidRPr="005304B4">
        <w:rPr>
          <w:color w:val="000000" w:themeColor="text1"/>
        </w:rPr>
        <w:t>n</w:t>
      </w:r>
      <w:r w:rsidR="005F2844" w:rsidRPr="005304B4">
        <w:rPr>
          <w:color w:val="000000" w:themeColor="text1"/>
        </w:rPr>
        <w:t xml:space="preserve"> dichas providencias</w:t>
      </w:r>
      <w:r w:rsidR="00F940D9" w:rsidRPr="005304B4">
        <w:rPr>
          <w:color w:val="000000" w:themeColor="text1"/>
        </w:rPr>
        <w:t xml:space="preserve"> </w:t>
      </w:r>
      <w:r w:rsidR="002F20C2" w:rsidRPr="005304B4">
        <w:rPr>
          <w:color w:val="000000" w:themeColor="text1"/>
        </w:rPr>
        <w:t>la Corte Constitucional analizó si el texto normativo acusado</w:t>
      </w:r>
      <w:r w:rsidR="005E55B3" w:rsidRPr="005304B4">
        <w:rPr>
          <w:color w:val="000000" w:themeColor="text1"/>
        </w:rPr>
        <w:t xml:space="preserve"> </w:t>
      </w:r>
      <w:r w:rsidR="002F20C2" w:rsidRPr="005304B4">
        <w:rPr>
          <w:color w:val="000000" w:themeColor="text1"/>
        </w:rPr>
        <w:t>vulneraba el artículo 13 de la Constitución,</w:t>
      </w:r>
      <w:r w:rsidR="00F940D9" w:rsidRPr="005304B4">
        <w:rPr>
          <w:color w:val="000000" w:themeColor="text1"/>
        </w:rPr>
        <w:t xml:space="preserve"> </w:t>
      </w:r>
      <w:r w:rsidR="002F20C2" w:rsidRPr="005304B4">
        <w:rPr>
          <w:color w:val="000000" w:themeColor="text1"/>
        </w:rPr>
        <w:t xml:space="preserve">ello no impide un pronunciamiento de fondo en esta ocasión, toda vez que la </w:t>
      </w:r>
      <w:r w:rsidR="002F20C2" w:rsidRPr="005304B4">
        <w:rPr>
          <w:i/>
          <w:iCs/>
          <w:color w:val="000000" w:themeColor="text1"/>
        </w:rPr>
        <w:t>causa petendi</w:t>
      </w:r>
      <w:r w:rsidR="002F20C2" w:rsidRPr="005304B4">
        <w:rPr>
          <w:color w:val="000000" w:themeColor="text1"/>
        </w:rPr>
        <w:t xml:space="preserve"> de la demanda actualmente propuesta difiere de aquellas que fueron analizadas en la</w:t>
      </w:r>
      <w:r w:rsidR="006541DC" w:rsidRPr="005304B4">
        <w:rPr>
          <w:color w:val="000000" w:themeColor="text1"/>
        </w:rPr>
        <w:t>s</w:t>
      </w:r>
      <w:r w:rsidR="002F20C2" w:rsidRPr="005304B4">
        <w:rPr>
          <w:color w:val="000000" w:themeColor="text1"/>
        </w:rPr>
        <w:t xml:space="preserve"> sentencias </w:t>
      </w:r>
      <w:r w:rsidRPr="005304B4">
        <w:rPr>
          <w:color w:val="000000" w:themeColor="text1"/>
        </w:rPr>
        <w:t>antes mencionadas</w:t>
      </w:r>
      <w:r w:rsidR="002F20C2" w:rsidRPr="005304B4">
        <w:rPr>
          <w:color w:val="000000" w:themeColor="text1"/>
        </w:rPr>
        <w:t>.</w:t>
      </w:r>
      <w:r w:rsidR="005F2844" w:rsidRPr="005304B4">
        <w:rPr>
          <w:color w:val="000000" w:themeColor="text1"/>
        </w:rPr>
        <w:t xml:space="preserve"> </w:t>
      </w:r>
      <w:r w:rsidR="005F2844" w:rsidRPr="005304B4">
        <w:rPr>
          <w:color w:val="000000"/>
        </w:rPr>
        <w:t>Lo anterior, porque el marco de análisis de aquellas se centró en la omisión legislativa relativa por no contemplar dentro de la norma demandada licencias parentales para las parejas del mismo sexo (Sentencia C-415 de 2022) y las licencias en la época de parto para hombres trans y personas no binarias (Sentencia C-324 de 2023).</w:t>
      </w:r>
    </w:p>
    <w:p w14:paraId="7D863EF6" w14:textId="77777777" w:rsidR="005F2844" w:rsidRPr="005304B4" w:rsidRDefault="005F2844" w:rsidP="005F2844">
      <w:pPr>
        <w:pStyle w:val="Prrafodelista"/>
        <w:shd w:val="clear" w:color="auto" w:fill="FFFFFF" w:themeFill="background1"/>
        <w:tabs>
          <w:tab w:val="left" w:pos="284"/>
          <w:tab w:val="left" w:pos="426"/>
        </w:tabs>
        <w:ind w:left="0"/>
        <w:rPr>
          <w:color w:val="000000" w:themeColor="text1"/>
        </w:rPr>
      </w:pPr>
    </w:p>
    <w:p w14:paraId="22D4E5BB" w14:textId="3231A15A" w:rsidR="005F2844" w:rsidRPr="005304B4" w:rsidRDefault="005F2844" w:rsidP="001065D8">
      <w:pPr>
        <w:pStyle w:val="Prrafodelista"/>
        <w:numPr>
          <w:ilvl w:val="0"/>
          <w:numId w:val="40"/>
        </w:numPr>
        <w:shd w:val="clear" w:color="auto" w:fill="FFFFFF" w:themeFill="background1"/>
        <w:tabs>
          <w:tab w:val="left" w:pos="284"/>
          <w:tab w:val="left" w:pos="426"/>
        </w:tabs>
        <w:ind w:left="0" w:firstLine="0"/>
        <w:rPr>
          <w:color w:val="000000" w:themeColor="text1"/>
        </w:rPr>
      </w:pPr>
      <w:r w:rsidRPr="005304B4">
        <w:rPr>
          <w:color w:val="000000"/>
          <w:sz w:val="27"/>
          <w:szCs w:val="27"/>
        </w:rPr>
        <w:t xml:space="preserve"> </w:t>
      </w:r>
      <w:r w:rsidRPr="005304B4">
        <w:rPr>
          <w:color w:val="000000"/>
        </w:rPr>
        <w:t>En contraste, en esta oportunidad, el cargo se sustenta en el desconocimiento del derecho a la igualdad (art. 13 de la C.P</w:t>
      </w:r>
      <w:r w:rsidR="00BC065A" w:rsidRPr="005304B4">
        <w:rPr>
          <w:color w:val="000000"/>
        </w:rPr>
        <w:t>.</w:t>
      </w:r>
      <w:r w:rsidRPr="005304B4">
        <w:rPr>
          <w:color w:val="000000"/>
        </w:rPr>
        <w:t>) porque la disposición demandada les asigna de manera automática las licencias parentales de las que trata la norma a las parejas heteroparentales adoptantes de acuerdo con su género, mientras que a las del mismo sexo adoptantes, el condicionamiento efectuado en la Sentencia C-415 de 2022 les concedió la prerrogativa de elegir, por una sola vez, el tipo de licencia parental a la que quiera acceder cada integrante de la pareja adoptante.</w:t>
      </w:r>
    </w:p>
    <w:p w14:paraId="3AA78430" w14:textId="77777777" w:rsidR="005F2844" w:rsidRPr="005304B4" w:rsidRDefault="005F2844" w:rsidP="005F2844">
      <w:pPr>
        <w:pStyle w:val="Prrafodelista"/>
        <w:rPr>
          <w:color w:val="000000" w:themeColor="text1"/>
        </w:rPr>
      </w:pPr>
    </w:p>
    <w:p w14:paraId="3E1CE49B" w14:textId="3AD5ABEE" w:rsidR="005F2844" w:rsidRPr="005304B4" w:rsidRDefault="005F2844" w:rsidP="005F2844">
      <w:pPr>
        <w:pStyle w:val="Prrafodelista"/>
        <w:numPr>
          <w:ilvl w:val="0"/>
          <w:numId w:val="40"/>
        </w:numPr>
        <w:shd w:val="clear" w:color="auto" w:fill="FFFFFF" w:themeFill="background1"/>
        <w:tabs>
          <w:tab w:val="left" w:pos="284"/>
          <w:tab w:val="left" w:pos="426"/>
        </w:tabs>
        <w:ind w:left="0" w:firstLine="0"/>
        <w:rPr>
          <w:color w:val="000000" w:themeColor="text1"/>
        </w:rPr>
      </w:pPr>
      <w:r w:rsidRPr="005304B4">
        <w:rPr>
          <w:color w:val="000000" w:themeColor="text1"/>
        </w:rPr>
        <w:t>En otras palabras, en las sentencias anteriores, los</w:t>
      </w:r>
      <w:r w:rsidRPr="005304B4">
        <w:rPr>
          <w:color w:val="000000"/>
        </w:rPr>
        <w:t xml:space="preserve"> cargos se basaron en</w:t>
      </w:r>
      <w:r w:rsidR="00BC065A" w:rsidRPr="005304B4">
        <w:rPr>
          <w:color w:val="000000"/>
        </w:rPr>
        <w:t xml:space="preserve"> la configuración de</w:t>
      </w:r>
      <w:r w:rsidRPr="005304B4">
        <w:rPr>
          <w:color w:val="000000"/>
        </w:rPr>
        <w:t xml:space="preserve"> omisiones legislativas relativas que generaban exclusiones específicas, en la demanda actual no se cuestiona una omisión del legislador, sino un trato desigual derivado de la asignación automática de las licencias parentales según el género en las parejas heteroparentales adoptantes.</w:t>
      </w:r>
    </w:p>
    <w:p w14:paraId="757AEBBE" w14:textId="77777777" w:rsidR="005F2844" w:rsidRPr="005304B4" w:rsidRDefault="005F2844" w:rsidP="005F2844">
      <w:pPr>
        <w:pStyle w:val="Prrafodelista"/>
        <w:rPr>
          <w:color w:val="000000"/>
        </w:rPr>
      </w:pPr>
    </w:p>
    <w:p w14:paraId="6838E378" w14:textId="3D1DFD39" w:rsidR="005F2844" w:rsidRPr="00E070A2" w:rsidRDefault="005F2844" w:rsidP="00E070A2">
      <w:pPr>
        <w:pStyle w:val="Prrafodelista"/>
        <w:numPr>
          <w:ilvl w:val="0"/>
          <w:numId w:val="40"/>
        </w:numPr>
        <w:tabs>
          <w:tab w:val="left" w:pos="284"/>
          <w:tab w:val="left" w:pos="426"/>
        </w:tabs>
        <w:ind w:left="0" w:firstLine="0"/>
        <w:rPr>
          <w:color w:val="000000" w:themeColor="text1"/>
        </w:rPr>
      </w:pPr>
      <w:r w:rsidRPr="005304B4">
        <w:rPr>
          <w:color w:val="000000"/>
        </w:rPr>
        <w:t xml:space="preserve"> Dicho lo anterior, </w:t>
      </w:r>
      <w:r w:rsidRPr="00E070A2">
        <w:rPr>
          <w:color w:val="000000"/>
        </w:rPr>
        <w:t xml:space="preserve">esta Sala concluye </w:t>
      </w:r>
      <w:r w:rsidRPr="00E070A2">
        <w:rPr>
          <w:color w:val="000000" w:themeColor="text1"/>
        </w:rPr>
        <w:t xml:space="preserve">que, en esta ocasión, </w:t>
      </w:r>
      <w:r w:rsidR="00BC065A" w:rsidRPr="00E070A2">
        <w:rPr>
          <w:color w:val="000000" w:themeColor="text1"/>
        </w:rPr>
        <w:t>las sentencias C-415 de 2022 y C-324 de 2023</w:t>
      </w:r>
      <w:r w:rsidRPr="00E070A2">
        <w:rPr>
          <w:color w:val="000000" w:themeColor="text1"/>
        </w:rPr>
        <w:t xml:space="preserve"> hicieron tránsito </w:t>
      </w:r>
      <w:r w:rsidRPr="00E070A2">
        <w:rPr>
          <w:i/>
          <w:iCs/>
          <w:color w:val="000000" w:themeColor="text1"/>
        </w:rPr>
        <w:t>a cosa juzgada relativa implícita</w:t>
      </w:r>
      <w:r w:rsidR="00BC065A" w:rsidRPr="00E070A2">
        <w:rPr>
          <w:i/>
          <w:iCs/>
          <w:color w:val="000000" w:themeColor="text1"/>
        </w:rPr>
        <w:t>,</w:t>
      </w:r>
      <w:r w:rsidRPr="00E070A2">
        <w:rPr>
          <w:i/>
          <w:iCs/>
          <w:color w:val="000000" w:themeColor="text1"/>
        </w:rPr>
        <w:t xml:space="preserve"> </w:t>
      </w:r>
      <w:r w:rsidRPr="00E070A2">
        <w:rPr>
          <w:color w:val="000000" w:themeColor="text1"/>
        </w:rPr>
        <w:t>tal como lo advirtieron los demandantes</w:t>
      </w:r>
      <w:r w:rsidRPr="00E070A2">
        <w:rPr>
          <w:rStyle w:val="Refdenotaalpie"/>
          <w:color w:val="000000" w:themeColor="text1"/>
        </w:rPr>
        <w:footnoteReference w:id="52"/>
      </w:r>
      <w:r w:rsidR="00BC065A" w:rsidRPr="00E070A2">
        <w:rPr>
          <w:color w:val="000000" w:themeColor="text1"/>
        </w:rPr>
        <w:t>. Así, en relación con la demanda bajo estudio</w:t>
      </w:r>
      <w:r w:rsidR="2EDF5742" w:rsidRPr="00E070A2">
        <w:rPr>
          <w:color w:val="000000" w:themeColor="text1"/>
        </w:rPr>
        <w:t>: (</w:t>
      </w:r>
      <w:r w:rsidRPr="00E070A2">
        <w:rPr>
          <w:color w:val="000000" w:themeColor="text1"/>
        </w:rPr>
        <w:t xml:space="preserve">a) la identidad de objeto es </w:t>
      </w:r>
      <w:r w:rsidRPr="00E070A2">
        <w:rPr>
          <w:i/>
          <w:iCs/>
          <w:color w:val="000000" w:themeColor="text1"/>
        </w:rPr>
        <w:t>parcial</w:t>
      </w:r>
      <w:r w:rsidRPr="00E070A2">
        <w:rPr>
          <w:color w:val="000000" w:themeColor="text1"/>
        </w:rPr>
        <w:t xml:space="preserve">; (b) la identidad del parámetro de control es </w:t>
      </w:r>
      <w:r w:rsidRPr="00E070A2">
        <w:rPr>
          <w:i/>
          <w:iCs/>
          <w:color w:val="000000" w:themeColor="text1"/>
        </w:rPr>
        <w:t>parcial</w:t>
      </w:r>
      <w:r w:rsidRPr="00E070A2">
        <w:rPr>
          <w:color w:val="000000" w:themeColor="text1"/>
        </w:rPr>
        <w:t xml:space="preserve">, y (c) no existe una identidad de la </w:t>
      </w:r>
      <w:r w:rsidRPr="00E070A2">
        <w:rPr>
          <w:i/>
          <w:iCs/>
          <w:color w:val="000000" w:themeColor="text1"/>
        </w:rPr>
        <w:t xml:space="preserve">causa petendi. </w:t>
      </w:r>
      <w:r w:rsidRPr="00E070A2">
        <w:rPr>
          <w:color w:val="000000" w:themeColor="text1"/>
        </w:rPr>
        <w:t xml:space="preserve">Además, </w:t>
      </w:r>
      <w:r w:rsidR="00BC065A" w:rsidRPr="00E070A2">
        <w:rPr>
          <w:color w:val="000000" w:themeColor="text1"/>
        </w:rPr>
        <w:t>las sentencias antes mencionadas no cerraron completamente</w:t>
      </w:r>
      <w:r w:rsidR="00BC065A" w:rsidRPr="00E070A2">
        <w:rPr>
          <w:color w:val="000000" w:themeColor="text1"/>
          <w:shd w:val="clear" w:color="auto" w:fill="D9D9D9" w:themeFill="background1" w:themeFillShade="D9"/>
        </w:rPr>
        <w:t xml:space="preserve"> </w:t>
      </w:r>
      <w:r w:rsidR="00BC065A" w:rsidRPr="00E070A2">
        <w:rPr>
          <w:color w:val="000000" w:themeColor="text1"/>
        </w:rPr>
        <w:t>la posibilidad</w:t>
      </w:r>
      <w:r w:rsidRPr="00E070A2">
        <w:rPr>
          <w:color w:val="000000" w:themeColor="text1"/>
        </w:rPr>
        <w:t xml:space="preserve"> de formular cargos distintos a los allí examinados.</w:t>
      </w:r>
    </w:p>
    <w:p w14:paraId="15B20643" w14:textId="77777777" w:rsidR="000F4859" w:rsidRPr="005304B4" w:rsidRDefault="000F4859" w:rsidP="0040011E">
      <w:pPr>
        <w:pStyle w:val="Prrafodelista"/>
        <w:tabs>
          <w:tab w:val="left" w:pos="284"/>
          <w:tab w:val="left" w:pos="426"/>
        </w:tabs>
        <w:ind w:left="0"/>
        <w:rPr>
          <w:b/>
          <w:bCs/>
          <w:color w:val="000000" w:themeColor="text1"/>
        </w:rPr>
      </w:pPr>
    </w:p>
    <w:p w14:paraId="158CD377" w14:textId="581D0E84" w:rsidR="0040011E" w:rsidRPr="005304B4" w:rsidRDefault="001065D8" w:rsidP="001065D8">
      <w:pPr>
        <w:pStyle w:val="Ttulo3"/>
      </w:pPr>
      <w:bookmarkStart w:id="25" w:name="_Toc224553749"/>
      <w:r w:rsidRPr="005304B4">
        <w:t xml:space="preserve">3.3. </w:t>
      </w:r>
      <w:r w:rsidR="00191358" w:rsidRPr="005304B4">
        <w:t xml:space="preserve">Tercera cuestión previa: </w:t>
      </w:r>
      <w:r w:rsidR="0040011E" w:rsidRPr="005304B4">
        <w:t xml:space="preserve">integración </w:t>
      </w:r>
      <w:r w:rsidR="0018172A" w:rsidRPr="005304B4">
        <w:t>de la unidad normativa</w:t>
      </w:r>
      <w:bookmarkEnd w:id="25"/>
    </w:p>
    <w:p w14:paraId="3B917FD2" w14:textId="77777777" w:rsidR="0040011E" w:rsidRPr="005304B4" w:rsidRDefault="0040011E" w:rsidP="0040011E">
      <w:pPr>
        <w:rPr>
          <w:i/>
          <w:iCs/>
          <w:color w:val="000000" w:themeColor="text1"/>
          <w:sz w:val="28"/>
          <w:szCs w:val="28"/>
        </w:rPr>
      </w:pPr>
    </w:p>
    <w:p w14:paraId="7D3BD824" w14:textId="385C5A77" w:rsidR="002810D3" w:rsidRPr="005304B4" w:rsidRDefault="0040011E" w:rsidP="004E6EC5">
      <w:pPr>
        <w:pStyle w:val="Prrafodelista"/>
        <w:numPr>
          <w:ilvl w:val="0"/>
          <w:numId w:val="40"/>
        </w:numPr>
        <w:tabs>
          <w:tab w:val="left" w:pos="284"/>
          <w:tab w:val="left" w:pos="426"/>
        </w:tabs>
        <w:ind w:left="0" w:firstLine="0"/>
        <w:rPr>
          <w:i/>
          <w:iCs/>
          <w:color w:val="000000" w:themeColor="text1"/>
        </w:rPr>
      </w:pPr>
      <w:r w:rsidRPr="005304B4">
        <w:rPr>
          <w:color w:val="000000" w:themeColor="text1"/>
        </w:rPr>
        <w:t>El artículo 6 de</w:t>
      </w:r>
      <w:r w:rsidR="00BC5978" w:rsidRPr="005304B4">
        <w:rPr>
          <w:color w:val="000000" w:themeColor="text1"/>
        </w:rPr>
        <w:t>l</w:t>
      </w:r>
      <w:r w:rsidRPr="005304B4">
        <w:rPr>
          <w:color w:val="000000" w:themeColor="text1"/>
        </w:rPr>
        <w:t xml:space="preserve"> Decreto 2067 de 1991</w:t>
      </w:r>
      <w:r w:rsidR="001065D8" w:rsidRPr="005304B4">
        <w:rPr>
          <w:color w:val="000000" w:themeColor="text1"/>
        </w:rPr>
        <w:t xml:space="preserve"> le</w:t>
      </w:r>
      <w:r w:rsidRPr="005304B4">
        <w:rPr>
          <w:color w:val="000000" w:themeColor="text1"/>
        </w:rPr>
        <w:t xml:space="preserve"> confiere a </w:t>
      </w:r>
      <w:r w:rsidR="002810D3" w:rsidRPr="005304B4">
        <w:rPr>
          <w:color w:val="000000" w:themeColor="text1"/>
        </w:rPr>
        <w:t>la Corte Constitucional</w:t>
      </w:r>
      <w:r w:rsidRPr="005304B4">
        <w:rPr>
          <w:color w:val="000000" w:themeColor="text1"/>
        </w:rPr>
        <w:t xml:space="preserve"> la facultad </w:t>
      </w:r>
      <w:r w:rsidR="00205C1C" w:rsidRPr="005304B4">
        <w:rPr>
          <w:color w:val="000000" w:themeColor="text1"/>
        </w:rPr>
        <w:t>de integrar textos normativos no demandados con aquellos que son objeto de revisión, con el fin de evitar fallos inocuos, o cuando ello sea necesario para el pronunciamiento de fondo</w:t>
      </w:r>
      <w:r w:rsidR="002810D3" w:rsidRPr="005304B4">
        <w:rPr>
          <w:color w:val="000000" w:themeColor="text1"/>
        </w:rPr>
        <w:t>. Esta facultad</w:t>
      </w:r>
      <w:r w:rsidR="001065D8" w:rsidRPr="005304B4">
        <w:rPr>
          <w:color w:val="000000" w:themeColor="text1"/>
        </w:rPr>
        <w:t>,</w:t>
      </w:r>
      <w:r w:rsidR="002810D3" w:rsidRPr="005304B4">
        <w:rPr>
          <w:color w:val="000000" w:themeColor="text1"/>
        </w:rPr>
        <w:t xml:space="preserve"> conocida como la integración normativa</w:t>
      </w:r>
      <w:r w:rsidR="001065D8" w:rsidRPr="005304B4">
        <w:rPr>
          <w:color w:val="000000" w:themeColor="text1"/>
        </w:rPr>
        <w:t>,</w:t>
      </w:r>
      <w:r w:rsidR="002810D3" w:rsidRPr="005304B4">
        <w:rPr>
          <w:color w:val="000000" w:themeColor="text1"/>
        </w:rPr>
        <w:t xml:space="preserve"> materializa importantes principios constitucionales, como la economía procesal y la seguridad jurídica</w:t>
      </w:r>
      <w:r w:rsidR="002810D3" w:rsidRPr="005304B4">
        <w:rPr>
          <w:rStyle w:val="Refdenotaalpie"/>
          <w:color w:val="000000" w:themeColor="text1"/>
        </w:rPr>
        <w:footnoteReference w:id="53"/>
      </w:r>
      <w:r w:rsidR="002810D3" w:rsidRPr="005304B4">
        <w:rPr>
          <w:color w:val="000000" w:themeColor="text1"/>
        </w:rPr>
        <w:t xml:space="preserve">. </w:t>
      </w:r>
    </w:p>
    <w:p w14:paraId="5339675B" w14:textId="77777777" w:rsidR="002810D3" w:rsidRPr="005304B4" w:rsidRDefault="002810D3" w:rsidP="002810D3">
      <w:pPr>
        <w:pStyle w:val="Prrafodelista"/>
        <w:tabs>
          <w:tab w:val="left" w:pos="284"/>
          <w:tab w:val="left" w:pos="426"/>
        </w:tabs>
        <w:ind w:left="0"/>
        <w:rPr>
          <w:i/>
          <w:iCs/>
          <w:color w:val="000000" w:themeColor="text1"/>
        </w:rPr>
      </w:pPr>
    </w:p>
    <w:p w14:paraId="6DD25FDF" w14:textId="497DE467" w:rsidR="0026557B" w:rsidRPr="005304B4" w:rsidRDefault="002810D3" w:rsidP="006575F3">
      <w:pPr>
        <w:pStyle w:val="Prrafodelista"/>
        <w:numPr>
          <w:ilvl w:val="0"/>
          <w:numId w:val="40"/>
        </w:numPr>
        <w:tabs>
          <w:tab w:val="left" w:pos="284"/>
          <w:tab w:val="left" w:pos="426"/>
        </w:tabs>
        <w:ind w:left="0" w:firstLine="0"/>
        <w:rPr>
          <w:i/>
          <w:iCs/>
          <w:color w:val="000000" w:themeColor="text1"/>
        </w:rPr>
      </w:pPr>
      <w:r w:rsidRPr="005304B4">
        <w:rPr>
          <w:color w:val="000000" w:themeColor="text1"/>
        </w:rPr>
        <w:t>Con todo, la jurisprudencia constitucional ha sido enfática en precisar que la potestad de integrar oficiosamente la unidad normativa es de carácter excepcional</w:t>
      </w:r>
      <w:r w:rsidRPr="005304B4">
        <w:rPr>
          <w:rStyle w:val="Refdenotaalpie"/>
          <w:color w:val="000000" w:themeColor="text1"/>
        </w:rPr>
        <w:footnoteReference w:id="54"/>
      </w:r>
      <w:r w:rsidRPr="005304B4">
        <w:rPr>
          <w:color w:val="000000" w:themeColor="text1"/>
        </w:rPr>
        <w:t>, y que</w:t>
      </w:r>
      <w:r w:rsidR="001065D8" w:rsidRPr="005304B4">
        <w:rPr>
          <w:color w:val="000000" w:themeColor="text1"/>
        </w:rPr>
        <w:t>,</w:t>
      </w:r>
      <w:r w:rsidRPr="005304B4">
        <w:rPr>
          <w:color w:val="000000" w:themeColor="text1"/>
        </w:rPr>
        <w:t xml:space="preserve"> por lo tanto, la regla general es la inhibición cuando el demandante haya omitido realizarla</w:t>
      </w:r>
      <w:r w:rsidR="000B1352" w:rsidRPr="005304B4">
        <w:rPr>
          <w:rStyle w:val="Refdenotaalpie"/>
          <w:color w:val="000000" w:themeColor="text1"/>
        </w:rPr>
        <w:footnoteReference w:id="55"/>
      </w:r>
      <w:r w:rsidRPr="005304B4">
        <w:rPr>
          <w:color w:val="000000" w:themeColor="text1"/>
        </w:rPr>
        <w:t xml:space="preserve">. Así pues, la integración normativa solo </w:t>
      </w:r>
      <w:r w:rsidR="00C0450F" w:rsidRPr="005304B4">
        <w:rPr>
          <w:color w:val="000000" w:themeColor="text1"/>
        </w:rPr>
        <w:t xml:space="preserve">procede </w:t>
      </w:r>
      <w:r w:rsidRPr="005304B4">
        <w:rPr>
          <w:color w:val="000000" w:themeColor="text1"/>
        </w:rPr>
        <w:t>cuando (i)</w:t>
      </w:r>
      <w:r w:rsidR="00C0450F" w:rsidRPr="005304B4">
        <w:rPr>
          <w:color w:val="000000" w:themeColor="text1"/>
        </w:rPr>
        <w:t xml:space="preserve"> se demande una disposición cuyo contenido deóntico no sea claro, unívoco o autónomo; (ii) la disposición cuestionada se encuentre reproducida en otras disposiciones que posean el mismo contenido deóntico de aquella</w:t>
      </w:r>
      <w:r w:rsidR="00002625" w:rsidRPr="005304B4">
        <w:rPr>
          <w:color w:val="000000" w:themeColor="text1"/>
        </w:rPr>
        <w:t>;</w:t>
      </w:r>
      <w:r w:rsidR="00D44E58" w:rsidRPr="005304B4">
        <w:rPr>
          <w:color w:val="000000" w:themeColor="text1"/>
        </w:rPr>
        <w:t xml:space="preserve"> </w:t>
      </w:r>
      <w:r w:rsidR="00C0450F" w:rsidRPr="005304B4">
        <w:rPr>
          <w:color w:val="000000" w:themeColor="text1"/>
        </w:rPr>
        <w:t>y finalmente, cuando (iii) la norma se encuentre intrínsecamente relacionada</w:t>
      </w:r>
      <w:r w:rsidR="00C0450F" w:rsidRPr="005304B4">
        <w:rPr>
          <w:color w:val="000000" w:themeColor="text1"/>
          <w:vertAlign w:val="superscript"/>
        </w:rPr>
        <w:t xml:space="preserve"> </w:t>
      </w:r>
      <w:r w:rsidR="00C0450F" w:rsidRPr="005304B4">
        <w:rPr>
          <w:color w:val="000000" w:themeColor="text1"/>
        </w:rPr>
        <w:t>con otra disposición que pueda ser, presumiblemente, inconstitucional</w:t>
      </w:r>
      <w:r w:rsidR="00C0450F" w:rsidRPr="005304B4">
        <w:rPr>
          <w:rStyle w:val="Refdenotaalpie"/>
          <w:color w:val="000000" w:themeColor="text1"/>
        </w:rPr>
        <w:footnoteReference w:id="56"/>
      </w:r>
      <w:r w:rsidR="00C0450F" w:rsidRPr="005304B4">
        <w:rPr>
          <w:color w:val="000000" w:themeColor="text1"/>
        </w:rPr>
        <w:t xml:space="preserve">. </w:t>
      </w:r>
    </w:p>
    <w:p w14:paraId="3AB4D231" w14:textId="77777777" w:rsidR="0026557B" w:rsidRPr="005304B4" w:rsidRDefault="0026557B" w:rsidP="0026557B">
      <w:pPr>
        <w:pStyle w:val="Prrafodelista"/>
        <w:rPr>
          <w:color w:val="000000" w:themeColor="text1"/>
        </w:rPr>
      </w:pPr>
    </w:p>
    <w:p w14:paraId="5427605B" w14:textId="21D7F2AC" w:rsidR="004B63D8" w:rsidRPr="005304B4" w:rsidRDefault="00C0450F" w:rsidP="47A29002">
      <w:pPr>
        <w:pStyle w:val="Prrafodelista"/>
        <w:numPr>
          <w:ilvl w:val="0"/>
          <w:numId w:val="40"/>
        </w:numPr>
        <w:tabs>
          <w:tab w:val="left" w:pos="284"/>
          <w:tab w:val="left" w:pos="426"/>
        </w:tabs>
        <w:ind w:left="0" w:firstLine="0"/>
        <w:rPr>
          <w:i/>
          <w:iCs/>
          <w:color w:val="000000" w:themeColor="text1"/>
        </w:rPr>
      </w:pPr>
      <w:r w:rsidRPr="005304B4">
        <w:rPr>
          <w:color w:val="000000" w:themeColor="text1"/>
        </w:rPr>
        <w:t>Para que proceda la integración normativa en esta última hipótesis</w:t>
      </w:r>
      <w:r w:rsidR="009104E0" w:rsidRPr="005304B4">
        <w:rPr>
          <w:color w:val="000000" w:themeColor="text1"/>
        </w:rPr>
        <w:t xml:space="preserve"> se debe estar frente a casos en los cuales las normas demandadas tienen un sentido regulador y </w:t>
      </w:r>
      <w:r w:rsidR="13BE47EC" w:rsidRPr="005304B4">
        <w:rPr>
          <w:color w:val="000000" w:themeColor="text1"/>
        </w:rPr>
        <w:t>autónomo,</w:t>
      </w:r>
      <w:r w:rsidR="009104E0" w:rsidRPr="005304B4">
        <w:rPr>
          <w:color w:val="000000" w:themeColor="text1"/>
        </w:rPr>
        <w:t xml:space="preserve"> pero</w:t>
      </w:r>
      <w:r w:rsidR="00FD44B0" w:rsidRPr="005304B4">
        <w:rPr>
          <w:color w:val="000000" w:themeColor="text1"/>
        </w:rPr>
        <w:t>,</w:t>
      </w:r>
      <w:r w:rsidR="009104E0" w:rsidRPr="005304B4">
        <w:rPr>
          <w:color w:val="000000" w:themeColor="text1"/>
        </w:rPr>
        <w:t xml:space="preserve"> resulta imposible estudiar la constitucionalidad de una norma sin analizar las otras disposiciones, pues de lo contrario se produciría un fallo inocuo</w:t>
      </w:r>
      <w:r w:rsidR="009104E0" w:rsidRPr="005304B4">
        <w:rPr>
          <w:rStyle w:val="Refdenotaalpie"/>
          <w:color w:val="000000" w:themeColor="text1"/>
        </w:rPr>
        <w:footnoteReference w:id="57"/>
      </w:r>
      <w:r w:rsidR="009104E0" w:rsidRPr="005304B4">
        <w:rPr>
          <w:color w:val="000000" w:themeColor="text1"/>
        </w:rPr>
        <w:t>. Además, se deben dar las siguientes dos circunstancias:</w:t>
      </w:r>
      <w:r w:rsidRPr="005304B4">
        <w:rPr>
          <w:color w:val="000000" w:themeColor="text1"/>
        </w:rPr>
        <w:t xml:space="preserve"> (a) que la disposición demandada tenga estrecha relación con los preceptos que no fueron cuestionados y que conformarían la unidad normativa; y (b) que las normas no acusadas parezcan inconstitucionales</w:t>
      </w:r>
      <w:r w:rsidRPr="005304B4">
        <w:rPr>
          <w:rStyle w:val="Refdenotaalpie"/>
          <w:color w:val="000000" w:themeColor="text1"/>
        </w:rPr>
        <w:footnoteReference w:id="58"/>
      </w:r>
      <w:r w:rsidR="00321CC2" w:rsidRPr="005304B4">
        <w:rPr>
          <w:color w:val="000000" w:themeColor="text1"/>
        </w:rPr>
        <w:t>.</w:t>
      </w:r>
      <w:r w:rsidR="0026557B" w:rsidRPr="005304B4">
        <w:rPr>
          <w:color w:val="000000" w:themeColor="text1"/>
        </w:rPr>
        <w:t xml:space="preserve"> </w:t>
      </w:r>
    </w:p>
    <w:p w14:paraId="0FF0FA7F" w14:textId="77777777" w:rsidR="00C53D1F" w:rsidRPr="005304B4" w:rsidRDefault="00C53D1F" w:rsidP="00420541">
      <w:pPr>
        <w:rPr>
          <w:i/>
          <w:iCs/>
          <w:color w:val="000000" w:themeColor="text1"/>
          <w:sz w:val="28"/>
          <w:szCs w:val="28"/>
        </w:rPr>
      </w:pPr>
    </w:p>
    <w:p w14:paraId="259AF19E" w14:textId="7E17DFBE" w:rsidR="004354D6" w:rsidRPr="005304B4" w:rsidRDefault="005A2392" w:rsidP="00DB3CAA">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Con fundamento en estas reglas jurisprudenciales, la Sala Plena considera que en el </w:t>
      </w:r>
      <w:r w:rsidR="00E64B33" w:rsidRPr="005304B4">
        <w:rPr>
          <w:color w:val="000000" w:themeColor="text1"/>
        </w:rPr>
        <w:t xml:space="preserve">presente caso </w:t>
      </w:r>
      <w:r w:rsidRPr="005304B4">
        <w:rPr>
          <w:color w:val="000000" w:themeColor="text1"/>
        </w:rPr>
        <w:t xml:space="preserve">es </w:t>
      </w:r>
      <w:r w:rsidR="00A8496E" w:rsidRPr="005304B4">
        <w:rPr>
          <w:color w:val="000000" w:themeColor="text1"/>
        </w:rPr>
        <w:t>necesario realizar una</w:t>
      </w:r>
      <w:r w:rsidRPr="005304B4">
        <w:rPr>
          <w:color w:val="000000" w:themeColor="text1"/>
        </w:rPr>
        <w:t xml:space="preserve"> integración de la unidad</w:t>
      </w:r>
      <w:r w:rsidR="00422763" w:rsidRPr="005304B4">
        <w:rPr>
          <w:color w:val="000000" w:themeColor="text1"/>
        </w:rPr>
        <w:t xml:space="preserve"> normativa</w:t>
      </w:r>
      <w:r w:rsidR="00BC6A1A" w:rsidRPr="005304B4">
        <w:rPr>
          <w:color w:val="000000" w:themeColor="text1"/>
        </w:rPr>
        <w:t xml:space="preserve"> por configurarse la tercera hipótesis. </w:t>
      </w:r>
      <w:r w:rsidR="00A8496E" w:rsidRPr="005304B4">
        <w:rPr>
          <w:color w:val="000000" w:themeColor="text1"/>
        </w:rPr>
        <w:t>De manera específica</w:t>
      </w:r>
      <w:r w:rsidRPr="005304B4">
        <w:rPr>
          <w:color w:val="000000" w:themeColor="text1"/>
        </w:rPr>
        <w:t xml:space="preserve">, </w:t>
      </w:r>
      <w:r w:rsidR="00BC6A1A" w:rsidRPr="005304B4">
        <w:rPr>
          <w:color w:val="000000" w:themeColor="text1"/>
        </w:rPr>
        <w:t xml:space="preserve">el análisis de constitucionalidad </w:t>
      </w:r>
      <w:r w:rsidR="00A8496E" w:rsidRPr="005304B4">
        <w:rPr>
          <w:color w:val="000000" w:themeColor="text1"/>
        </w:rPr>
        <w:t xml:space="preserve">al que se procederá </w:t>
      </w:r>
      <w:r w:rsidR="00BC6A1A" w:rsidRPr="005304B4">
        <w:rPr>
          <w:color w:val="000000" w:themeColor="text1"/>
        </w:rPr>
        <w:t>no solo debe hacerse frente a</w:t>
      </w:r>
      <w:r w:rsidRPr="005304B4">
        <w:rPr>
          <w:color w:val="000000" w:themeColor="text1"/>
        </w:rPr>
        <w:t xml:space="preserve"> la expresión demandada </w:t>
      </w:r>
      <w:r w:rsidR="007746C5" w:rsidRPr="005304B4">
        <w:rPr>
          <w:color w:val="000000" w:themeColor="text1"/>
        </w:rPr>
        <w:t>“la madre adoptante”</w:t>
      </w:r>
      <w:r w:rsidR="00002625" w:rsidRPr="005304B4">
        <w:rPr>
          <w:color w:val="000000" w:themeColor="text1"/>
        </w:rPr>
        <w:t>,</w:t>
      </w:r>
      <w:r w:rsidRPr="005304B4">
        <w:rPr>
          <w:color w:val="000000" w:themeColor="text1"/>
        </w:rPr>
        <w:t xml:space="preserve"> contenida en el artículo 2 de la Ley 2114 de 2021</w:t>
      </w:r>
      <w:r w:rsidR="00BC6A1A" w:rsidRPr="005304B4">
        <w:rPr>
          <w:color w:val="000000" w:themeColor="text1"/>
        </w:rPr>
        <w:t xml:space="preserve">, sino que debe </w:t>
      </w:r>
      <w:r w:rsidR="00002625" w:rsidRPr="005304B4">
        <w:rPr>
          <w:color w:val="000000" w:themeColor="text1"/>
        </w:rPr>
        <w:t>referirse, también, a</w:t>
      </w:r>
      <w:r w:rsidR="00BC6A1A" w:rsidRPr="005304B4">
        <w:rPr>
          <w:color w:val="000000" w:themeColor="text1"/>
        </w:rPr>
        <w:t xml:space="preserve"> </w:t>
      </w:r>
      <w:r w:rsidR="00422763" w:rsidRPr="005304B4">
        <w:rPr>
          <w:color w:val="000000" w:themeColor="text1"/>
        </w:rPr>
        <w:t xml:space="preserve">la expresión </w:t>
      </w:r>
      <w:r w:rsidR="007746C5" w:rsidRPr="005304B4">
        <w:rPr>
          <w:color w:val="000000" w:themeColor="text1"/>
        </w:rPr>
        <w:t>“el padre adoptante”</w:t>
      </w:r>
      <w:r w:rsidR="00422763" w:rsidRPr="005304B4">
        <w:rPr>
          <w:color w:val="000000" w:themeColor="text1"/>
        </w:rPr>
        <w:t xml:space="preserve">, </w:t>
      </w:r>
      <w:r w:rsidR="004354D6" w:rsidRPr="005304B4">
        <w:rPr>
          <w:color w:val="000000" w:themeColor="text1"/>
        </w:rPr>
        <w:t>incorporada</w:t>
      </w:r>
      <w:r w:rsidR="00422763" w:rsidRPr="005304B4">
        <w:rPr>
          <w:color w:val="000000" w:themeColor="text1"/>
        </w:rPr>
        <w:t xml:space="preserve"> en el</w:t>
      </w:r>
      <w:r w:rsidR="004354D6" w:rsidRPr="005304B4">
        <w:rPr>
          <w:color w:val="000000" w:themeColor="text1"/>
        </w:rPr>
        <w:t xml:space="preserve"> inciso </w:t>
      </w:r>
      <w:r w:rsidR="00252754" w:rsidRPr="005304B4">
        <w:rPr>
          <w:color w:val="000000" w:themeColor="text1"/>
        </w:rPr>
        <w:t>segundo</w:t>
      </w:r>
      <w:r w:rsidR="004354D6" w:rsidRPr="005304B4">
        <w:rPr>
          <w:color w:val="000000" w:themeColor="text1"/>
        </w:rPr>
        <w:t xml:space="preserve"> del</w:t>
      </w:r>
      <w:r w:rsidR="00422763" w:rsidRPr="005304B4">
        <w:rPr>
          <w:color w:val="000000" w:themeColor="text1"/>
        </w:rPr>
        <w:t xml:space="preserve"> parágrafo </w:t>
      </w:r>
      <w:r w:rsidR="00977283" w:rsidRPr="005304B4">
        <w:rPr>
          <w:color w:val="000000" w:themeColor="text1"/>
        </w:rPr>
        <w:t>2</w:t>
      </w:r>
      <w:r w:rsidR="00422763" w:rsidRPr="005304B4">
        <w:rPr>
          <w:color w:val="000000" w:themeColor="text1"/>
        </w:rPr>
        <w:t xml:space="preserve"> del mismo artículo</w:t>
      </w:r>
      <w:r w:rsidR="00A8496E" w:rsidRPr="005304B4">
        <w:rPr>
          <w:rStyle w:val="Refdenotaalpie"/>
          <w:color w:val="000000" w:themeColor="text1"/>
        </w:rPr>
        <w:footnoteReference w:id="59"/>
      </w:r>
      <w:r w:rsidR="00422763" w:rsidRPr="005304B4">
        <w:rPr>
          <w:color w:val="000000" w:themeColor="text1"/>
        </w:rPr>
        <w:t xml:space="preserve">, toda vez que la expresión </w:t>
      </w:r>
      <w:r w:rsidR="00977283" w:rsidRPr="005304B4">
        <w:rPr>
          <w:color w:val="000000" w:themeColor="text1"/>
        </w:rPr>
        <w:t>cuestionada</w:t>
      </w:r>
      <w:r w:rsidR="00422763" w:rsidRPr="005304B4">
        <w:rPr>
          <w:color w:val="000000" w:themeColor="text1"/>
        </w:rPr>
        <w:t xml:space="preserve"> por los ciudadanos está </w:t>
      </w:r>
      <w:r w:rsidR="00422763" w:rsidRPr="005304B4">
        <w:rPr>
          <w:i/>
          <w:iCs/>
          <w:color w:val="000000" w:themeColor="text1"/>
        </w:rPr>
        <w:t xml:space="preserve">intrínsecamente relacionada </w:t>
      </w:r>
      <w:r w:rsidR="00422763" w:rsidRPr="005304B4">
        <w:rPr>
          <w:color w:val="000000" w:themeColor="text1"/>
        </w:rPr>
        <w:t>con esta</w:t>
      </w:r>
      <w:r w:rsidR="00BC6A1A" w:rsidRPr="005304B4">
        <w:rPr>
          <w:color w:val="000000" w:themeColor="text1"/>
        </w:rPr>
        <w:t xml:space="preserve"> última</w:t>
      </w:r>
      <w:r w:rsidR="00422763" w:rsidRPr="005304B4">
        <w:rPr>
          <w:color w:val="000000" w:themeColor="text1"/>
        </w:rPr>
        <w:t xml:space="preserve">. </w:t>
      </w:r>
    </w:p>
    <w:p w14:paraId="1E2C75BD" w14:textId="77777777" w:rsidR="00DB3CAA" w:rsidRPr="005304B4" w:rsidRDefault="00DB3CAA" w:rsidP="00DB3CAA">
      <w:pPr>
        <w:pStyle w:val="Prrafodelista"/>
        <w:rPr>
          <w:i/>
          <w:iCs/>
          <w:color w:val="000000" w:themeColor="text1"/>
        </w:rPr>
      </w:pPr>
    </w:p>
    <w:p w14:paraId="6350E24E" w14:textId="77777777" w:rsidR="00F761B0" w:rsidRPr="005304B4" w:rsidRDefault="00DB3CAA" w:rsidP="00F761B0">
      <w:pPr>
        <w:pStyle w:val="Prrafodelista"/>
        <w:numPr>
          <w:ilvl w:val="0"/>
          <w:numId w:val="40"/>
        </w:numPr>
        <w:tabs>
          <w:tab w:val="left" w:pos="284"/>
          <w:tab w:val="left" w:pos="426"/>
        </w:tabs>
        <w:ind w:left="0" w:firstLine="0"/>
        <w:rPr>
          <w:i/>
          <w:iCs/>
          <w:color w:val="000000" w:themeColor="text1"/>
        </w:rPr>
      </w:pPr>
      <w:r w:rsidRPr="005304B4">
        <w:t>La relación intrínseca entre ambas expresiones obedece a que hacen parte de un mismo régimen jurídico en materia de licencias parentales por adopción y, además, a que</w:t>
      </w:r>
      <w:r w:rsidR="00A8496E" w:rsidRPr="005304B4">
        <w:t>,</w:t>
      </w:r>
      <w:r w:rsidRPr="005304B4">
        <w:t xml:space="preserve"> en ambos casos</w:t>
      </w:r>
      <w:r w:rsidR="00A8496E" w:rsidRPr="005304B4">
        <w:t>,</w:t>
      </w:r>
      <w:r w:rsidRPr="005304B4">
        <w:t xml:space="preserve"> la norma establece una asignación automática de dichas licencias</w:t>
      </w:r>
      <w:r w:rsidR="00A8496E" w:rsidRPr="005304B4">
        <w:t xml:space="preserve"> con base en el sexo del adoptante, de tal suerte que de la misma forma que la expresión </w:t>
      </w:r>
      <w:r w:rsidR="007746C5" w:rsidRPr="005304B4">
        <w:t>“la madre adoptante”</w:t>
      </w:r>
      <w:r w:rsidR="00A8496E" w:rsidRPr="005304B4">
        <w:t xml:space="preserve"> implica que la licencia de maternidad debe ser disfrutada, salvo circunstancias excepcionales, por esta integrante de la pareja; la expresión</w:t>
      </w:r>
      <w:r w:rsidR="007746C5" w:rsidRPr="005304B4">
        <w:t xml:space="preserve"> “el padre adoptante”</w:t>
      </w:r>
      <w:r w:rsidR="00A8496E" w:rsidRPr="005304B4">
        <w:t xml:space="preserve"> hace lo propio con el miembro masculino de la pareja </w:t>
      </w:r>
      <w:r w:rsidR="009D4BCE" w:rsidRPr="005304B4">
        <w:t>heteroparental</w:t>
      </w:r>
      <w:r w:rsidR="00A8496E" w:rsidRPr="005304B4">
        <w:t xml:space="preserve"> adoptante.</w:t>
      </w:r>
    </w:p>
    <w:p w14:paraId="3106BA0E" w14:textId="77777777" w:rsidR="00F761B0" w:rsidRPr="005304B4" w:rsidRDefault="00F761B0" w:rsidP="00F761B0">
      <w:pPr>
        <w:pStyle w:val="Prrafodelista"/>
        <w:rPr>
          <w:i/>
          <w:iCs/>
          <w:color w:val="000000" w:themeColor="text1"/>
        </w:rPr>
      </w:pPr>
    </w:p>
    <w:p w14:paraId="52B61C5D" w14:textId="43408AAA" w:rsidR="00F761B0" w:rsidRPr="005304B4" w:rsidRDefault="00F761B0" w:rsidP="47A29002">
      <w:pPr>
        <w:pStyle w:val="Prrafodelista"/>
        <w:numPr>
          <w:ilvl w:val="0"/>
          <w:numId w:val="40"/>
        </w:numPr>
        <w:tabs>
          <w:tab w:val="left" w:pos="284"/>
          <w:tab w:val="left" w:pos="426"/>
        </w:tabs>
        <w:ind w:left="0" w:firstLine="0"/>
        <w:rPr>
          <w:i/>
          <w:iCs/>
          <w:color w:val="000000" w:themeColor="text1"/>
        </w:rPr>
      </w:pPr>
      <w:r w:rsidRPr="005304B4">
        <w:rPr>
          <w:i/>
          <w:iCs/>
          <w:color w:val="000000" w:themeColor="text1"/>
        </w:rPr>
        <w:t xml:space="preserve"> </w:t>
      </w:r>
      <w:r w:rsidRPr="005304B4">
        <w:rPr>
          <w:color w:val="000000" w:themeColor="text1"/>
        </w:rPr>
        <w:t xml:space="preserve">En cuanto a una presunta inconstitucionalidad de la expresión “padre adoptante”, se tiene que esta participa del mismo esquema normativo de asignación automática de roles parentales. En ese sentido, y siguiendo la línea argumentativa de los demandantes, se presume la reproducción de un trato diferenciado basado en el género, lo que constituye un factor sospechoso de discriminación, de acuerdo con el artículo 13 de la Constitución Política. Así las cosas, se presenta una apariencia razonable de </w:t>
      </w:r>
      <w:r w:rsidR="7547B7EA" w:rsidRPr="005304B4">
        <w:rPr>
          <w:color w:val="000000" w:themeColor="text1"/>
        </w:rPr>
        <w:t>inconstitucionalidad.</w:t>
      </w:r>
      <w:r w:rsidRPr="005304B4">
        <w:rPr>
          <w:color w:val="000000" w:themeColor="text1"/>
        </w:rPr>
        <w:t xml:space="preserve"> </w:t>
      </w:r>
    </w:p>
    <w:p w14:paraId="3135D143" w14:textId="77777777" w:rsidR="00DB3CAA" w:rsidRPr="005304B4" w:rsidRDefault="00DB3CAA" w:rsidP="00DB3CAA">
      <w:pPr>
        <w:pStyle w:val="Prrafodelista"/>
        <w:tabs>
          <w:tab w:val="left" w:pos="284"/>
          <w:tab w:val="left" w:pos="426"/>
        </w:tabs>
        <w:ind w:left="0"/>
        <w:rPr>
          <w:i/>
          <w:iCs/>
          <w:color w:val="000000" w:themeColor="text1"/>
        </w:rPr>
      </w:pPr>
    </w:p>
    <w:p w14:paraId="478EF281" w14:textId="77777777" w:rsidR="00F761B0" w:rsidRPr="005304B4" w:rsidRDefault="00BC7C8F" w:rsidP="00E64B33">
      <w:pPr>
        <w:pStyle w:val="Prrafodelista"/>
        <w:numPr>
          <w:ilvl w:val="0"/>
          <w:numId w:val="40"/>
        </w:numPr>
        <w:tabs>
          <w:tab w:val="left" w:pos="284"/>
          <w:tab w:val="left" w:pos="426"/>
        </w:tabs>
        <w:ind w:left="0" w:firstLine="0"/>
        <w:rPr>
          <w:i/>
          <w:iCs/>
          <w:color w:val="000000" w:themeColor="text1"/>
        </w:rPr>
      </w:pPr>
      <w:r w:rsidRPr="005304B4">
        <w:rPr>
          <w:color w:val="000000" w:themeColor="text1"/>
        </w:rPr>
        <w:t>De ahí que</w:t>
      </w:r>
      <w:r w:rsidR="00CD139F" w:rsidRPr="005304B4">
        <w:rPr>
          <w:color w:val="000000" w:themeColor="text1"/>
        </w:rPr>
        <w:t xml:space="preserve">, </w:t>
      </w:r>
      <w:r w:rsidRPr="005304B4">
        <w:rPr>
          <w:color w:val="000000" w:themeColor="text1"/>
        </w:rPr>
        <w:t xml:space="preserve">si la Corte </w:t>
      </w:r>
      <w:r w:rsidR="00DB3CAA" w:rsidRPr="005304B4">
        <w:rPr>
          <w:color w:val="000000" w:themeColor="text1"/>
        </w:rPr>
        <w:t>adoptara la postura</w:t>
      </w:r>
      <w:r w:rsidR="00E64B33" w:rsidRPr="005304B4">
        <w:rPr>
          <w:color w:val="000000" w:themeColor="text1"/>
        </w:rPr>
        <w:t xml:space="preserve"> </w:t>
      </w:r>
      <w:r w:rsidR="00A8496E" w:rsidRPr="005304B4">
        <w:rPr>
          <w:color w:val="000000" w:themeColor="text1"/>
        </w:rPr>
        <w:t>propuesta</w:t>
      </w:r>
      <w:r w:rsidR="00E64B33" w:rsidRPr="005304B4">
        <w:rPr>
          <w:color w:val="000000" w:themeColor="text1"/>
        </w:rPr>
        <w:t xml:space="preserve"> por los demandantes</w:t>
      </w:r>
      <w:r w:rsidR="00A8496E" w:rsidRPr="005304B4">
        <w:rPr>
          <w:color w:val="000000" w:themeColor="text1"/>
        </w:rPr>
        <w:t xml:space="preserve"> y analizara la constitucionalidad</w:t>
      </w:r>
      <w:r w:rsidRPr="005304B4">
        <w:rPr>
          <w:color w:val="000000" w:themeColor="text1"/>
        </w:rPr>
        <w:t xml:space="preserve"> únicamente</w:t>
      </w:r>
      <w:r w:rsidR="00E64B33" w:rsidRPr="005304B4">
        <w:rPr>
          <w:color w:val="000000" w:themeColor="text1"/>
        </w:rPr>
        <w:t xml:space="preserve"> de</w:t>
      </w:r>
      <w:r w:rsidRPr="005304B4">
        <w:rPr>
          <w:color w:val="000000" w:themeColor="text1"/>
        </w:rPr>
        <w:t xml:space="preserve"> la expresión </w:t>
      </w:r>
      <w:r w:rsidR="007746C5" w:rsidRPr="005304B4">
        <w:rPr>
          <w:color w:val="000000" w:themeColor="text1"/>
        </w:rPr>
        <w:t>“la madre adoptante”</w:t>
      </w:r>
      <w:r w:rsidRPr="005304B4">
        <w:rPr>
          <w:color w:val="000000" w:themeColor="text1"/>
        </w:rPr>
        <w:t>, la norma seguiría produciendo el efecto jurídico que se cuestiona</w:t>
      </w:r>
      <w:r w:rsidR="00002625" w:rsidRPr="005304B4">
        <w:rPr>
          <w:color w:val="000000" w:themeColor="text1"/>
        </w:rPr>
        <w:t>:</w:t>
      </w:r>
      <w:r w:rsidRPr="005304B4">
        <w:rPr>
          <w:color w:val="000000" w:themeColor="text1"/>
        </w:rPr>
        <w:t xml:space="preserve"> la asignación automática de </w:t>
      </w:r>
      <w:r w:rsidR="00002625" w:rsidRPr="005304B4">
        <w:rPr>
          <w:color w:val="000000" w:themeColor="text1"/>
        </w:rPr>
        <w:t xml:space="preserve">las licencias </w:t>
      </w:r>
      <w:r w:rsidR="00A8496E" w:rsidRPr="005304B4">
        <w:rPr>
          <w:color w:val="000000" w:themeColor="text1"/>
        </w:rPr>
        <w:t>parentales</w:t>
      </w:r>
      <w:r w:rsidR="00002625" w:rsidRPr="005304B4">
        <w:rPr>
          <w:color w:val="000000" w:themeColor="text1"/>
        </w:rPr>
        <w:t xml:space="preserve"> con base en criterios sexo-genéricos específicos</w:t>
      </w:r>
      <w:r w:rsidRPr="005304B4">
        <w:rPr>
          <w:color w:val="000000" w:themeColor="text1"/>
        </w:rPr>
        <w:t xml:space="preserve">. </w:t>
      </w:r>
      <w:r w:rsidRPr="005304B4">
        <w:t xml:space="preserve">De esta manera, el problema de igualdad </w:t>
      </w:r>
      <w:r w:rsidR="00DB3CAA" w:rsidRPr="005304B4">
        <w:t>advertido</w:t>
      </w:r>
      <w:r w:rsidRPr="005304B4">
        <w:t xml:space="preserve"> por los demandantes persistiría y la eventual decisión de la Corte carecería de eficacia rea</w:t>
      </w:r>
      <w:r w:rsidR="00A8496E" w:rsidRPr="005304B4">
        <w:t>l, pudiendo devenir en inocua</w:t>
      </w:r>
      <w:r w:rsidRPr="005304B4">
        <w:t xml:space="preserve">. </w:t>
      </w:r>
    </w:p>
    <w:p w14:paraId="51FA2570" w14:textId="77777777" w:rsidR="00F761B0" w:rsidRPr="005304B4" w:rsidRDefault="00F761B0" w:rsidP="00F761B0"/>
    <w:p w14:paraId="10696AF8" w14:textId="05EBF126" w:rsidR="00E64B33" w:rsidRPr="005304B4" w:rsidRDefault="00BC7C8F" w:rsidP="00E64B33">
      <w:pPr>
        <w:pStyle w:val="Prrafodelista"/>
        <w:numPr>
          <w:ilvl w:val="0"/>
          <w:numId w:val="40"/>
        </w:numPr>
        <w:tabs>
          <w:tab w:val="left" w:pos="284"/>
          <w:tab w:val="left" w:pos="426"/>
        </w:tabs>
        <w:ind w:left="0" w:firstLine="0"/>
        <w:rPr>
          <w:i/>
          <w:iCs/>
          <w:color w:val="000000" w:themeColor="text1"/>
        </w:rPr>
      </w:pPr>
      <w:r w:rsidRPr="005304B4">
        <w:t xml:space="preserve">Por consiguiente, la expresión </w:t>
      </w:r>
      <w:r w:rsidR="007746C5" w:rsidRPr="005304B4">
        <w:t>“el padre adoptante”</w:t>
      </w:r>
      <w:r w:rsidRPr="005304B4">
        <w:t xml:space="preserve"> debe integrarse al objeto de control, pues ambas </w:t>
      </w:r>
      <w:r w:rsidR="00E64B33" w:rsidRPr="005304B4">
        <w:t>expresiones permitirán determinar si la asignación automática</w:t>
      </w:r>
      <w:r w:rsidR="00A8496E" w:rsidRPr="005304B4">
        <w:t xml:space="preserve">, con base en el criterio </w:t>
      </w:r>
      <w:r w:rsidR="007746C5" w:rsidRPr="005304B4">
        <w:t>género</w:t>
      </w:r>
      <w:r w:rsidR="00A8496E" w:rsidRPr="005304B4">
        <w:t>,</w:t>
      </w:r>
      <w:r w:rsidR="00E64B33" w:rsidRPr="005304B4">
        <w:t xml:space="preserve"> de la</w:t>
      </w:r>
      <w:r w:rsidR="00CD139F" w:rsidRPr="005304B4">
        <w:t>s</w:t>
      </w:r>
      <w:r w:rsidR="00E64B33" w:rsidRPr="005304B4">
        <w:t xml:space="preserve"> licencias</w:t>
      </w:r>
      <w:r w:rsidR="00A8496E" w:rsidRPr="005304B4">
        <w:t xml:space="preserve"> parentales</w:t>
      </w:r>
      <w:r w:rsidR="00E64B33" w:rsidRPr="005304B4">
        <w:t xml:space="preserve"> </w:t>
      </w:r>
      <w:r w:rsidR="00A8496E" w:rsidRPr="005304B4">
        <w:t>a los miembros de la pareja heteroparental que adopta</w:t>
      </w:r>
      <w:r w:rsidR="00E64B33" w:rsidRPr="005304B4">
        <w:t>, vulnera el principio de igualdad consagrado en el artículo 13 de la Constitución Política</w:t>
      </w:r>
      <w:r w:rsidR="00A8496E" w:rsidRPr="005304B4">
        <w:t>, en especial cuando se les compara con las parejas del mismo sexo que se encuentran en una situación análoga.</w:t>
      </w:r>
    </w:p>
    <w:p w14:paraId="020AF755" w14:textId="77777777" w:rsidR="00BC7C8F" w:rsidRPr="005304B4" w:rsidRDefault="00BC7C8F" w:rsidP="00BC7C8F">
      <w:pPr>
        <w:pStyle w:val="Prrafodelista"/>
        <w:rPr>
          <w:color w:val="000000" w:themeColor="text1"/>
        </w:rPr>
      </w:pPr>
    </w:p>
    <w:p w14:paraId="4A0B8E51" w14:textId="0921DAAE" w:rsidR="00323B6D" w:rsidRPr="005304B4" w:rsidRDefault="00E64B33" w:rsidP="002B605D">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En consecuencia, la Sala Plena dispondrá la integración de la unidad normativa entre las expresiones </w:t>
      </w:r>
      <w:r w:rsidR="007746C5" w:rsidRPr="005304B4">
        <w:rPr>
          <w:color w:val="000000" w:themeColor="text1"/>
        </w:rPr>
        <w:t>“la madre adoptante”</w:t>
      </w:r>
      <w:r w:rsidRPr="005304B4">
        <w:rPr>
          <w:color w:val="000000" w:themeColor="text1"/>
        </w:rPr>
        <w:t xml:space="preserve"> y</w:t>
      </w:r>
      <w:r w:rsidR="007746C5" w:rsidRPr="005304B4">
        <w:rPr>
          <w:color w:val="000000" w:themeColor="text1"/>
        </w:rPr>
        <w:t xml:space="preserve"> “el padre adoptante”</w:t>
      </w:r>
      <w:r w:rsidR="00002625" w:rsidRPr="005304B4">
        <w:rPr>
          <w:color w:val="000000" w:themeColor="text1"/>
        </w:rPr>
        <w:t>,</w:t>
      </w:r>
      <w:r w:rsidRPr="005304B4">
        <w:rPr>
          <w:color w:val="000000" w:themeColor="text1"/>
        </w:rPr>
        <w:t xml:space="preserve"> contenidas en el</w:t>
      </w:r>
      <w:r w:rsidR="0056371F" w:rsidRPr="005304B4">
        <w:rPr>
          <w:color w:val="000000" w:themeColor="text1"/>
        </w:rPr>
        <w:t xml:space="preserve"> numeral 4 </w:t>
      </w:r>
      <w:r w:rsidR="00A8496E" w:rsidRPr="005304B4">
        <w:rPr>
          <w:color w:val="000000" w:themeColor="text1"/>
        </w:rPr>
        <w:t>y en el</w:t>
      </w:r>
      <w:r w:rsidR="0056371F" w:rsidRPr="005304B4">
        <w:rPr>
          <w:color w:val="000000" w:themeColor="text1"/>
        </w:rPr>
        <w:t xml:space="preserve"> inciso </w:t>
      </w:r>
      <w:r w:rsidR="00C55EA6" w:rsidRPr="005304B4">
        <w:rPr>
          <w:color w:val="000000" w:themeColor="text1"/>
        </w:rPr>
        <w:t>segundo</w:t>
      </w:r>
      <w:r w:rsidR="0056371F" w:rsidRPr="005304B4">
        <w:rPr>
          <w:color w:val="000000" w:themeColor="text1"/>
        </w:rPr>
        <w:t xml:space="preserve"> del parágrafo 2 del</w:t>
      </w:r>
      <w:r w:rsidRPr="005304B4">
        <w:rPr>
          <w:color w:val="000000" w:themeColor="text1"/>
        </w:rPr>
        <w:t xml:space="preserve"> artículo 2 de la Ley 2114 de 2021</w:t>
      </w:r>
      <w:r w:rsidR="0056371F" w:rsidRPr="005304B4">
        <w:rPr>
          <w:color w:val="000000" w:themeColor="text1"/>
        </w:rPr>
        <w:t>, respectivamente</w:t>
      </w:r>
      <w:r w:rsidRPr="005304B4">
        <w:rPr>
          <w:color w:val="000000" w:themeColor="text1"/>
        </w:rPr>
        <w:t>.</w:t>
      </w:r>
      <w:r w:rsidR="004354D6" w:rsidRPr="005304B4">
        <w:rPr>
          <w:color w:val="000000" w:themeColor="text1"/>
        </w:rPr>
        <w:t xml:space="preserve"> Por </w:t>
      </w:r>
      <w:r w:rsidR="00C55EA6" w:rsidRPr="005304B4">
        <w:rPr>
          <w:color w:val="000000" w:themeColor="text1"/>
        </w:rPr>
        <w:t xml:space="preserve">lo </w:t>
      </w:r>
      <w:r w:rsidR="004354D6" w:rsidRPr="005304B4">
        <w:rPr>
          <w:color w:val="000000" w:themeColor="text1"/>
        </w:rPr>
        <w:t>tanto, el estudio de constitucionalidad se circunscribirá a estas expresiones en el marco del cargo por vulneración del principio de la igualdad</w:t>
      </w:r>
      <w:r w:rsidR="0056371F" w:rsidRPr="005304B4">
        <w:rPr>
          <w:color w:val="000000" w:themeColor="text1"/>
        </w:rPr>
        <w:t>.</w:t>
      </w:r>
    </w:p>
    <w:p w14:paraId="2085AB0B" w14:textId="77777777" w:rsidR="00323B6D" w:rsidRPr="005304B4" w:rsidRDefault="00323B6D" w:rsidP="00C55EA6">
      <w:pPr>
        <w:rPr>
          <w:i/>
          <w:iCs/>
          <w:color w:val="000000" w:themeColor="text1"/>
          <w:sz w:val="28"/>
          <w:szCs w:val="28"/>
        </w:rPr>
      </w:pPr>
    </w:p>
    <w:p w14:paraId="62DF3086" w14:textId="1AD16AA8" w:rsidR="00323B6D" w:rsidRPr="005304B4" w:rsidRDefault="00C55EA6" w:rsidP="00C55EA6">
      <w:pPr>
        <w:pStyle w:val="Ttulo2"/>
      </w:pPr>
      <w:bookmarkStart w:id="26" w:name="_Toc224553750"/>
      <w:r w:rsidRPr="005304B4">
        <w:t xml:space="preserve">4. </w:t>
      </w:r>
      <w:r w:rsidR="00323B6D" w:rsidRPr="005304B4">
        <w:t>Planteamiento del problema jurídico y metodología de la decisión</w:t>
      </w:r>
      <w:bookmarkEnd w:id="26"/>
    </w:p>
    <w:p w14:paraId="3D164724" w14:textId="77777777" w:rsidR="00323B6D" w:rsidRPr="005304B4" w:rsidRDefault="00323B6D" w:rsidP="00323B6D">
      <w:pPr>
        <w:rPr>
          <w:i/>
          <w:iCs/>
          <w:color w:val="000000" w:themeColor="text1"/>
          <w:sz w:val="28"/>
          <w:szCs w:val="28"/>
        </w:rPr>
      </w:pPr>
    </w:p>
    <w:p w14:paraId="3786C898" w14:textId="5C6B7E8D" w:rsidR="00E14990" w:rsidRPr="005304B4" w:rsidRDefault="00C55EA6" w:rsidP="00E14990">
      <w:pPr>
        <w:pStyle w:val="Prrafodelista"/>
        <w:numPr>
          <w:ilvl w:val="0"/>
          <w:numId w:val="40"/>
        </w:numPr>
        <w:tabs>
          <w:tab w:val="left" w:pos="284"/>
          <w:tab w:val="left" w:pos="426"/>
        </w:tabs>
        <w:ind w:left="0" w:firstLine="0"/>
        <w:rPr>
          <w:i/>
          <w:iCs/>
          <w:color w:val="000000" w:themeColor="text1"/>
        </w:rPr>
      </w:pPr>
      <w:r w:rsidRPr="005304B4">
        <w:t>En esta ocasión, la Corte Constitucional procede a pronunciarse sobre</w:t>
      </w:r>
      <w:r w:rsidR="00640E47" w:rsidRPr="005304B4">
        <w:t xml:space="preserve"> la </w:t>
      </w:r>
      <w:r w:rsidRPr="005304B4">
        <w:t xml:space="preserve">constitucionalidad de las expresiones </w:t>
      </w:r>
      <w:r w:rsidR="007746C5" w:rsidRPr="005304B4">
        <w:t xml:space="preserve"> “la madre adoptante”</w:t>
      </w:r>
      <w:r w:rsidRPr="005304B4">
        <w:t xml:space="preserve"> y </w:t>
      </w:r>
      <w:r w:rsidR="007746C5" w:rsidRPr="005304B4">
        <w:t xml:space="preserve"> “el padre adoptante”</w:t>
      </w:r>
      <w:r w:rsidRPr="005304B4">
        <w:t xml:space="preserve">, incorporadas en el </w:t>
      </w:r>
      <w:r w:rsidR="007746C5" w:rsidRPr="005304B4">
        <w:t xml:space="preserve">numeral 4 y el </w:t>
      </w:r>
      <w:r w:rsidR="00252754" w:rsidRPr="005304B4">
        <w:t xml:space="preserve">inciso segundo del </w:t>
      </w:r>
      <w:r w:rsidR="007746C5" w:rsidRPr="005304B4">
        <w:t xml:space="preserve">parágrafo 2 del </w:t>
      </w:r>
      <w:r w:rsidRPr="005304B4">
        <w:t>artículo 2 de la Ley 2114 de 2021,</w:t>
      </w:r>
      <w:r w:rsidR="00E14990" w:rsidRPr="005304B4">
        <w:rPr>
          <w:color w:val="000000" w:themeColor="text1"/>
        </w:rPr>
        <w:t xml:space="preserve"> </w:t>
      </w:r>
      <w:r w:rsidR="00E14990" w:rsidRPr="005304B4">
        <w:rPr>
          <w:color w:val="000000" w:themeColor="text1"/>
          <w:shd w:val="clear" w:color="auto" w:fill="FFFFFF"/>
        </w:rPr>
        <w:t>“Por medio de la cual se amplía la licencia de paternidad, se crea la licencia parental compartida, la licencia parental flexible de tiempo parcial, se modifica el artículo 236 y se adiciona el artículo 241A del Código Sustantivo del Trabajo y se dictan otras disposiciones”</w:t>
      </w:r>
      <w:r w:rsidRPr="005304B4">
        <w:rPr>
          <w:color w:val="000000" w:themeColor="text1"/>
          <w:shd w:val="clear" w:color="auto" w:fill="FFFFFF"/>
        </w:rPr>
        <w:t>, las cuales, presuntamente, desconocen el principio de igualdad incorporado en el art. 13 de la Constitución Política.</w:t>
      </w:r>
    </w:p>
    <w:p w14:paraId="4F3EA201" w14:textId="77777777" w:rsidR="00AB4BA4" w:rsidRPr="005304B4" w:rsidRDefault="00AB4BA4" w:rsidP="00AB4BA4">
      <w:pPr>
        <w:pStyle w:val="Prrafodelista"/>
        <w:tabs>
          <w:tab w:val="left" w:pos="284"/>
          <w:tab w:val="left" w:pos="426"/>
        </w:tabs>
        <w:ind w:left="0"/>
        <w:rPr>
          <w:i/>
          <w:iCs/>
          <w:color w:val="000000" w:themeColor="text1"/>
        </w:rPr>
      </w:pPr>
    </w:p>
    <w:p w14:paraId="095AB597" w14:textId="2AD73BA4" w:rsidR="00C57339" w:rsidRPr="005304B4" w:rsidRDefault="00184C82" w:rsidP="009D06FC">
      <w:pPr>
        <w:pStyle w:val="Prrafodelista"/>
        <w:numPr>
          <w:ilvl w:val="0"/>
          <w:numId w:val="40"/>
        </w:numPr>
        <w:tabs>
          <w:tab w:val="left" w:pos="284"/>
          <w:tab w:val="left" w:pos="426"/>
        </w:tabs>
        <w:ind w:left="0" w:firstLine="0"/>
        <w:rPr>
          <w:i/>
          <w:iCs/>
          <w:color w:val="000000" w:themeColor="text1"/>
        </w:rPr>
      </w:pPr>
      <w:r w:rsidRPr="005304B4">
        <w:t xml:space="preserve">El </w:t>
      </w:r>
      <w:r w:rsidR="001D1FA4" w:rsidRPr="005304B4">
        <w:t>análisis constitucional se orienta</w:t>
      </w:r>
      <w:r w:rsidR="00711B83" w:rsidRPr="005304B4">
        <w:t xml:space="preserve"> a</w:t>
      </w:r>
      <w:r w:rsidR="000F603F" w:rsidRPr="005304B4">
        <w:t xml:space="preserve"> determinar si el Legislador desconoció el principio de igualdad al asignar, de manera automática, la licencia de maternidad a</w:t>
      </w:r>
      <w:r w:rsidR="007746C5" w:rsidRPr="005304B4">
        <w:t xml:space="preserve"> “la madre adoptante”</w:t>
      </w:r>
      <w:r w:rsidR="000F603F" w:rsidRPr="005304B4">
        <w:t xml:space="preserve"> y la licencia de paternidad a</w:t>
      </w:r>
      <w:r w:rsidR="007817C5" w:rsidRPr="005304B4">
        <w:t xml:space="preserve"> </w:t>
      </w:r>
      <w:r w:rsidR="007746C5" w:rsidRPr="005304B4">
        <w:t>“el padre adoptante”</w:t>
      </w:r>
      <w:r w:rsidR="000F603F" w:rsidRPr="005304B4">
        <w:t xml:space="preserve">, restringiendo así la posibilidad de que </w:t>
      </w:r>
      <w:r w:rsidR="00C55EA6" w:rsidRPr="005304B4">
        <w:t>los miembros de la</w:t>
      </w:r>
      <w:r w:rsidR="001A1F9A" w:rsidRPr="005304B4">
        <w:t>s</w:t>
      </w:r>
      <w:r w:rsidR="00C55EA6" w:rsidRPr="005304B4">
        <w:t xml:space="preserve"> pareja</w:t>
      </w:r>
      <w:r w:rsidR="001A1F9A" w:rsidRPr="005304B4">
        <w:t>s</w:t>
      </w:r>
      <w:r w:rsidR="00C55EA6" w:rsidRPr="005304B4">
        <w:t xml:space="preserve"> heteroparental</w:t>
      </w:r>
      <w:r w:rsidR="001A1F9A" w:rsidRPr="005304B4">
        <w:t>es</w:t>
      </w:r>
      <w:r w:rsidR="00C55EA6" w:rsidRPr="005304B4">
        <w:t xml:space="preserve"> adoptante</w:t>
      </w:r>
      <w:r w:rsidR="00BC065A" w:rsidRPr="005304B4">
        <w:t>s</w:t>
      </w:r>
      <w:r w:rsidR="000F603F" w:rsidRPr="005304B4">
        <w:t xml:space="preserve"> decidan cuál de sus integrantes asumirá dicha prestación</w:t>
      </w:r>
      <w:r w:rsidR="001D1FA4" w:rsidRPr="005304B4">
        <w:t>, posibilidad que</w:t>
      </w:r>
      <w:r w:rsidR="00C55EA6" w:rsidRPr="005304B4">
        <w:t>, en virtud de la Sentencia C-415 de 2022, fue concedida en el caso de las parejas del mismo sexo que adoptan.</w:t>
      </w:r>
      <w:r w:rsidR="009D06FC" w:rsidRPr="005304B4">
        <w:t xml:space="preserve"> </w:t>
      </w:r>
    </w:p>
    <w:p w14:paraId="77ABA9AE" w14:textId="77777777" w:rsidR="009D06FC" w:rsidRPr="005304B4" w:rsidRDefault="009D06FC" w:rsidP="009D06FC">
      <w:pPr>
        <w:pStyle w:val="Prrafodelista"/>
        <w:rPr>
          <w:i/>
          <w:iCs/>
          <w:color w:val="000000" w:themeColor="text1"/>
        </w:rPr>
      </w:pPr>
    </w:p>
    <w:p w14:paraId="7EF6E856" w14:textId="2B3182C6" w:rsidR="009D06FC" w:rsidRPr="005304B4" w:rsidRDefault="009D06FC" w:rsidP="009D06FC">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En consecuencia, la Sala deberá resolver el siguiente problema jurídico: </w:t>
      </w:r>
      <w:r w:rsidR="00712DB0" w:rsidRPr="005304B4">
        <w:rPr>
          <w:lang w:eastAsia="es-ES_tradnl"/>
        </w:rPr>
        <w:t>“¿las expresiones “la madre adoptante” y “el padre adoptante” contenidas en el numeral 4, y en el inciso segundo del parágrafo 2 del artículo 2 de la Ley 2114 de 2021, respectivamente, vulneran el principio de igualdad contemplado en el artículo 13 de la Constitución Política al: (i) negarle la posibilidad a la pareja heteroparental adoptante de elegir cuál de sus miembros accederá a cada una de las licencias</w:t>
      </w:r>
      <w:r w:rsidR="006C1135" w:rsidRPr="005304B4">
        <w:rPr>
          <w:lang w:eastAsia="es-ES_tradnl"/>
        </w:rPr>
        <w:t xml:space="preserve"> parentales</w:t>
      </w:r>
      <w:r w:rsidR="00712DB0" w:rsidRPr="005304B4">
        <w:rPr>
          <w:lang w:eastAsia="es-ES_tradnl"/>
        </w:rPr>
        <w:t>, en contraste con lo que ocurre en el caso de las parejas del mismo sexo que adoptan y (ii) al asignar de manera automática a los miembros de la pareja de distinto sexo adoptante las correspondientes licencias parentales con base en criterios de género específicos?</w:t>
      </w:r>
    </w:p>
    <w:p w14:paraId="2D150A81" w14:textId="77777777" w:rsidR="00FB163F" w:rsidRPr="005304B4" w:rsidRDefault="00FB163F" w:rsidP="00FB163F">
      <w:pPr>
        <w:pStyle w:val="Prrafodelista"/>
        <w:rPr>
          <w:i/>
          <w:iCs/>
          <w:color w:val="000000" w:themeColor="text1"/>
        </w:rPr>
      </w:pPr>
    </w:p>
    <w:p w14:paraId="1F01A144" w14:textId="4E0ECC85" w:rsidR="00E96938" w:rsidRPr="005304B4" w:rsidRDefault="00FB163F" w:rsidP="00E96938">
      <w:pPr>
        <w:pStyle w:val="Prrafodelista"/>
        <w:numPr>
          <w:ilvl w:val="0"/>
          <w:numId w:val="40"/>
        </w:numPr>
        <w:tabs>
          <w:tab w:val="left" w:pos="284"/>
          <w:tab w:val="left" w:pos="426"/>
        </w:tabs>
        <w:ind w:left="0" w:firstLine="0"/>
        <w:rPr>
          <w:i/>
          <w:iCs/>
          <w:color w:val="000000" w:themeColor="text1"/>
        </w:rPr>
      </w:pPr>
      <w:r w:rsidRPr="005304B4">
        <w:rPr>
          <w:color w:val="000000" w:themeColor="text1"/>
        </w:rPr>
        <w:t>Para resol</w:t>
      </w:r>
      <w:r w:rsidR="007C5EEA" w:rsidRPr="005304B4">
        <w:rPr>
          <w:color w:val="000000" w:themeColor="text1"/>
        </w:rPr>
        <w:t>ver la problemática presentada, la Sala</w:t>
      </w:r>
      <w:r w:rsidR="00D345F0" w:rsidRPr="005304B4">
        <w:rPr>
          <w:color w:val="000000" w:themeColor="text1"/>
        </w:rPr>
        <w:t xml:space="preserve"> Plena procederá a:</w:t>
      </w:r>
      <w:r w:rsidR="007C5EEA" w:rsidRPr="005304B4">
        <w:rPr>
          <w:color w:val="000000" w:themeColor="text1"/>
        </w:rPr>
        <w:t xml:space="preserve"> (i) reiterar </w:t>
      </w:r>
      <w:r w:rsidR="001B6442" w:rsidRPr="005304B4">
        <w:rPr>
          <w:color w:val="000000" w:themeColor="text1"/>
        </w:rPr>
        <w:t xml:space="preserve">la jurisprudencia sobre el principio de igualdad y no discriminación, especialmente sobre la prohibición de discriminar por razones de sexo y orientación sexual; (ii) </w:t>
      </w:r>
      <w:r w:rsidR="00D345F0" w:rsidRPr="005304B4">
        <w:rPr>
          <w:color w:val="000000" w:themeColor="text1"/>
        </w:rPr>
        <w:t>pronunciarse sobre</w:t>
      </w:r>
      <w:r w:rsidR="00C97172" w:rsidRPr="005304B4">
        <w:rPr>
          <w:color w:val="000000" w:themeColor="text1"/>
        </w:rPr>
        <w:t xml:space="preserve"> la incom</w:t>
      </w:r>
      <w:r w:rsidR="00786A22" w:rsidRPr="005304B4">
        <w:rPr>
          <w:color w:val="000000" w:themeColor="text1"/>
        </w:rPr>
        <w:t xml:space="preserve">patibilidad </w:t>
      </w:r>
      <w:r w:rsidR="00C97172" w:rsidRPr="005304B4">
        <w:rPr>
          <w:color w:val="000000" w:themeColor="text1"/>
        </w:rPr>
        <w:t xml:space="preserve">de las normas </w:t>
      </w:r>
      <w:r w:rsidR="00D345F0" w:rsidRPr="005304B4">
        <w:rPr>
          <w:color w:val="000000" w:themeColor="text1"/>
        </w:rPr>
        <w:t>que asignan beneficios o cargas sociales con base</w:t>
      </w:r>
      <w:r w:rsidR="00C97172" w:rsidRPr="005304B4">
        <w:rPr>
          <w:color w:val="000000" w:themeColor="text1"/>
        </w:rPr>
        <w:t xml:space="preserve"> en estereotipos de género con la Constitución Política y el </w:t>
      </w:r>
      <w:r w:rsidR="00786A22" w:rsidRPr="005304B4">
        <w:rPr>
          <w:color w:val="000000" w:themeColor="text1"/>
        </w:rPr>
        <w:t>b</w:t>
      </w:r>
      <w:r w:rsidR="00C97172" w:rsidRPr="005304B4">
        <w:rPr>
          <w:color w:val="000000" w:themeColor="text1"/>
        </w:rPr>
        <w:t>loque de constitucionalidad</w:t>
      </w:r>
      <w:r w:rsidR="00786A22" w:rsidRPr="005304B4">
        <w:rPr>
          <w:color w:val="000000" w:themeColor="text1"/>
        </w:rPr>
        <w:t xml:space="preserve">; (iii) </w:t>
      </w:r>
      <w:r w:rsidR="00D345F0" w:rsidRPr="005304B4">
        <w:rPr>
          <w:color w:val="000000" w:themeColor="text1"/>
        </w:rPr>
        <w:t>referirse a</w:t>
      </w:r>
      <w:r w:rsidR="005C327C" w:rsidRPr="005304B4">
        <w:t xml:space="preserve">l derecho fundamental al cuidado, la igualdad y la corresponsabilidad familiar en su ejercicio, así como la persistente desigualdad en la distribución de las labores domésticas y de cuidado no remunerado entre hombres y mujeres; (iv) </w:t>
      </w:r>
      <w:r w:rsidR="00D345F0" w:rsidRPr="005304B4">
        <w:t>analizar la regulación de</w:t>
      </w:r>
      <w:r w:rsidR="005C327C" w:rsidRPr="005304B4">
        <w:t xml:space="preserve"> </w:t>
      </w:r>
      <w:r w:rsidR="008408A3" w:rsidRPr="005304B4">
        <w:t>las licencias parentales en el ordenamiento</w:t>
      </w:r>
      <w:r w:rsidR="00D345F0" w:rsidRPr="005304B4">
        <w:t xml:space="preserve"> jurídico</w:t>
      </w:r>
      <w:r w:rsidR="008408A3" w:rsidRPr="005304B4">
        <w:t xml:space="preserve"> interno</w:t>
      </w:r>
      <w:r w:rsidR="006472EA" w:rsidRPr="005304B4">
        <w:t>,</w:t>
      </w:r>
      <w:r w:rsidR="008408A3" w:rsidRPr="005304B4">
        <w:t xml:space="preserve"> y </w:t>
      </w:r>
      <w:r w:rsidR="00E96938" w:rsidRPr="005304B4">
        <w:t xml:space="preserve">(v) </w:t>
      </w:r>
      <w:r w:rsidR="008408A3" w:rsidRPr="005304B4">
        <w:t xml:space="preserve">finalmente, </w:t>
      </w:r>
      <w:r w:rsidR="00734F76" w:rsidRPr="005304B4">
        <w:t xml:space="preserve">reiterar </w:t>
      </w:r>
      <w:r w:rsidR="00D345F0" w:rsidRPr="005304B4">
        <w:t>su jurisprudencia sobre el</w:t>
      </w:r>
      <w:r w:rsidR="00E96938" w:rsidRPr="005304B4">
        <w:rPr>
          <w:lang w:eastAsia="es-ES_tradnl"/>
        </w:rPr>
        <w:t xml:space="preserve"> interés superior de los niños, niñas y adolescentes, sus derechos al cuidado y a tener una familia</w:t>
      </w:r>
      <w:r w:rsidR="00D345F0" w:rsidRPr="005304B4">
        <w:rPr>
          <w:lang w:eastAsia="es-ES_tradnl"/>
        </w:rPr>
        <w:t>,</w:t>
      </w:r>
      <w:r w:rsidR="00E96938" w:rsidRPr="005304B4">
        <w:rPr>
          <w:lang w:eastAsia="es-ES_tradnl"/>
        </w:rPr>
        <w:t xml:space="preserve"> y la adopción como medida de protección</w:t>
      </w:r>
      <w:r w:rsidR="003411EF" w:rsidRPr="005304B4">
        <w:rPr>
          <w:lang w:eastAsia="es-ES_tradnl"/>
        </w:rPr>
        <w:t>.</w:t>
      </w:r>
    </w:p>
    <w:p w14:paraId="49DF5D4C" w14:textId="77777777" w:rsidR="00A136BC" w:rsidRPr="005304B4" w:rsidRDefault="00A136BC" w:rsidP="00A136BC">
      <w:pPr>
        <w:rPr>
          <w:i/>
          <w:iCs/>
          <w:color w:val="000000" w:themeColor="text1"/>
          <w:sz w:val="28"/>
          <w:szCs w:val="28"/>
        </w:rPr>
      </w:pPr>
    </w:p>
    <w:p w14:paraId="3D7CF0C7" w14:textId="663D08E5" w:rsidR="00A136BC" w:rsidRPr="005304B4" w:rsidRDefault="00D345F0" w:rsidP="00A136BC">
      <w:pPr>
        <w:pStyle w:val="Ttulo2"/>
        <w:shd w:val="clear" w:color="auto" w:fill="FFFFFF"/>
        <w:ind w:right="51"/>
        <w:textAlignment w:val="baseline"/>
        <w:rPr>
          <w:color w:val="2D2D2D"/>
          <w:lang w:eastAsia="es-MX"/>
        </w:rPr>
      </w:pPr>
      <w:bookmarkStart w:id="27" w:name="_Toc115780330"/>
      <w:bookmarkStart w:id="28" w:name="_Toc224553751"/>
      <w:r w:rsidRPr="005304B4">
        <w:rPr>
          <w:color w:val="0D0D0D"/>
          <w:bdr w:val="none" w:sz="0" w:space="0" w:color="auto" w:frame="1"/>
        </w:rPr>
        <w:t>5. El principio de igualdad</w:t>
      </w:r>
      <w:r w:rsidR="00A136BC" w:rsidRPr="005304B4">
        <w:rPr>
          <w:color w:val="0D0D0D"/>
          <w:bdr w:val="none" w:sz="0" w:space="0" w:color="auto" w:frame="1"/>
        </w:rPr>
        <w:t xml:space="preserve"> y la prohibición de discriminación. Reiteración de jurisprudencia</w:t>
      </w:r>
      <w:bookmarkEnd w:id="27"/>
      <w:bookmarkEnd w:id="28"/>
    </w:p>
    <w:p w14:paraId="48819A59" w14:textId="77777777" w:rsidR="00A136BC" w:rsidRPr="005304B4" w:rsidRDefault="00A136BC" w:rsidP="00A136BC">
      <w:pPr>
        <w:rPr>
          <w:i/>
          <w:iCs/>
          <w:color w:val="000000" w:themeColor="text1"/>
          <w:sz w:val="28"/>
          <w:szCs w:val="28"/>
        </w:rPr>
      </w:pPr>
    </w:p>
    <w:p w14:paraId="593485DE" w14:textId="3D8481D0" w:rsidR="00FC2A07" w:rsidRPr="005304B4" w:rsidRDefault="00A136BC" w:rsidP="00C625C6">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La Constitución Política de 1991 </w:t>
      </w:r>
      <w:r w:rsidR="00FC2A07" w:rsidRPr="005304B4">
        <w:rPr>
          <w:color w:val="000000" w:themeColor="text1"/>
        </w:rPr>
        <w:t>reconoció la igualdad</w:t>
      </w:r>
      <w:r w:rsidRPr="005304B4">
        <w:rPr>
          <w:color w:val="000000" w:themeColor="text1"/>
        </w:rPr>
        <w:t xml:space="preserve"> como uno de los pilares del Estado </w:t>
      </w:r>
      <w:r w:rsidR="00FC2A07" w:rsidRPr="005304B4">
        <w:rPr>
          <w:color w:val="000000" w:themeColor="text1"/>
        </w:rPr>
        <w:t>S</w:t>
      </w:r>
      <w:r w:rsidRPr="005304B4">
        <w:rPr>
          <w:color w:val="000000" w:themeColor="text1"/>
        </w:rPr>
        <w:t xml:space="preserve">ocial de </w:t>
      </w:r>
      <w:r w:rsidR="00FC2A07" w:rsidRPr="005304B4">
        <w:rPr>
          <w:color w:val="000000" w:themeColor="text1"/>
        </w:rPr>
        <w:t>D</w:t>
      </w:r>
      <w:r w:rsidRPr="005304B4">
        <w:rPr>
          <w:color w:val="000000" w:themeColor="text1"/>
        </w:rPr>
        <w:t xml:space="preserve">erecho </w:t>
      </w:r>
      <w:r w:rsidR="00FC2A07" w:rsidRPr="005304B4">
        <w:rPr>
          <w:color w:val="000000" w:themeColor="text1"/>
        </w:rPr>
        <w:t>e incorporó,</w:t>
      </w:r>
      <w:r w:rsidRPr="005304B4">
        <w:rPr>
          <w:color w:val="000000" w:themeColor="text1"/>
        </w:rPr>
        <w:t xml:space="preserve"> de manera expresa</w:t>
      </w:r>
      <w:r w:rsidR="00FC2A07" w:rsidRPr="005304B4">
        <w:rPr>
          <w:color w:val="000000" w:themeColor="text1"/>
        </w:rPr>
        <w:t>,</w:t>
      </w:r>
      <w:r w:rsidRPr="005304B4">
        <w:rPr>
          <w:color w:val="000000" w:themeColor="text1"/>
        </w:rPr>
        <w:t xml:space="preserve"> </w:t>
      </w:r>
      <w:r w:rsidR="00FC2A07" w:rsidRPr="005304B4">
        <w:rPr>
          <w:color w:val="000000" w:themeColor="text1"/>
        </w:rPr>
        <w:t xml:space="preserve">un mandato de </w:t>
      </w:r>
      <w:r w:rsidRPr="005304B4">
        <w:rPr>
          <w:color w:val="000000" w:themeColor="text1"/>
        </w:rPr>
        <w:t>igualdad entre hombres y mujeres, otorgando a estas últimas una protección especial</w:t>
      </w:r>
      <w:r w:rsidR="00FC2A07" w:rsidRPr="005304B4">
        <w:rPr>
          <w:color w:val="000000" w:themeColor="text1"/>
        </w:rPr>
        <w:t xml:space="preserve"> para contrarrestar patrones históricos y arraigados de discriminación</w:t>
      </w:r>
      <w:r w:rsidRPr="005304B4">
        <w:rPr>
          <w:color w:val="000000" w:themeColor="text1"/>
        </w:rPr>
        <w:t xml:space="preserve">. </w:t>
      </w:r>
    </w:p>
    <w:p w14:paraId="605CED96" w14:textId="77777777" w:rsidR="00FC2A07" w:rsidRPr="005304B4" w:rsidRDefault="00FC2A07" w:rsidP="00FC2A07">
      <w:pPr>
        <w:pStyle w:val="Prrafodelista"/>
        <w:tabs>
          <w:tab w:val="left" w:pos="284"/>
          <w:tab w:val="left" w:pos="426"/>
        </w:tabs>
        <w:ind w:left="0"/>
        <w:rPr>
          <w:i/>
          <w:iCs/>
          <w:color w:val="000000" w:themeColor="text1"/>
        </w:rPr>
      </w:pPr>
    </w:p>
    <w:p w14:paraId="67B261DC" w14:textId="369A5759" w:rsidR="00A136BC" w:rsidRPr="005304B4" w:rsidRDefault="00A136BC" w:rsidP="00C625C6">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Por un lado, el artículo 13 </w:t>
      </w:r>
      <w:r w:rsidR="00FC2A07" w:rsidRPr="005304B4">
        <w:rPr>
          <w:color w:val="000000" w:themeColor="text1"/>
        </w:rPr>
        <w:t>S</w:t>
      </w:r>
      <w:r w:rsidRPr="005304B4">
        <w:rPr>
          <w:color w:val="000000" w:themeColor="text1"/>
        </w:rPr>
        <w:t>uperior determina que las personas nacen libres e iguales</w:t>
      </w:r>
      <w:r w:rsidR="00C625C6" w:rsidRPr="005304B4">
        <w:rPr>
          <w:color w:val="000000" w:themeColor="text1"/>
        </w:rPr>
        <w:t xml:space="preserve">, </w:t>
      </w:r>
      <w:r w:rsidR="00C625C6" w:rsidRPr="005304B4">
        <w:t xml:space="preserve">por lo que deben recibir la misma protección y trato por parte de las autoridades y “gozan de los mismos derechos, libertades y oportunidades sin ninguna discriminación por razones de </w:t>
      </w:r>
      <w:r w:rsidR="00C625C6" w:rsidRPr="005304B4">
        <w:rPr>
          <w:b/>
          <w:bCs/>
        </w:rPr>
        <w:t>sexo</w:t>
      </w:r>
      <w:r w:rsidR="00C625C6" w:rsidRPr="005304B4">
        <w:t>, raza, origen nacional o familiar, lengua, religión, opinión política o filosófica”</w:t>
      </w:r>
      <w:r w:rsidR="00FC2A07" w:rsidRPr="005304B4">
        <w:t xml:space="preserve"> (énfasis añadido)</w:t>
      </w:r>
      <w:r w:rsidR="00C625C6" w:rsidRPr="005304B4">
        <w:t xml:space="preserve">. </w:t>
      </w:r>
      <w:r w:rsidRPr="005304B4">
        <w:rPr>
          <w:color w:val="000000" w:themeColor="text1"/>
        </w:rPr>
        <w:t xml:space="preserve">Con todo, </w:t>
      </w:r>
      <w:r w:rsidR="00FC2A07" w:rsidRPr="005304B4">
        <w:rPr>
          <w:color w:val="000000" w:themeColor="text1"/>
        </w:rPr>
        <w:t xml:space="preserve">esta misma cláusula </w:t>
      </w:r>
      <w:r w:rsidRPr="005304B4">
        <w:rPr>
          <w:color w:val="000000" w:themeColor="text1"/>
        </w:rPr>
        <w:t>r</w:t>
      </w:r>
      <w:r w:rsidR="00C625C6" w:rsidRPr="005304B4">
        <w:rPr>
          <w:color w:val="000000" w:themeColor="text1"/>
        </w:rPr>
        <w:t xml:space="preserve">econoce </w:t>
      </w:r>
      <w:r w:rsidRPr="005304B4">
        <w:rPr>
          <w:color w:val="000000" w:themeColor="text1"/>
        </w:rPr>
        <w:t xml:space="preserve">que, como tal máxima </w:t>
      </w:r>
      <w:r w:rsidR="00FC2A07" w:rsidRPr="005304B4">
        <w:rPr>
          <w:color w:val="000000" w:themeColor="text1"/>
        </w:rPr>
        <w:t>no siempre se cumplirá a nivel material</w:t>
      </w:r>
      <w:r w:rsidRPr="005304B4">
        <w:rPr>
          <w:color w:val="000000" w:themeColor="text1"/>
        </w:rPr>
        <w:t xml:space="preserve">, </w:t>
      </w:r>
      <w:r w:rsidR="00FC2A07" w:rsidRPr="005304B4">
        <w:rPr>
          <w:color w:val="000000" w:themeColor="text1"/>
        </w:rPr>
        <w:t>es deber de</w:t>
      </w:r>
      <w:r w:rsidRPr="005304B4">
        <w:rPr>
          <w:color w:val="000000" w:themeColor="text1"/>
        </w:rPr>
        <w:t xml:space="preserve"> las autoridades promover condiciones para que dicha igualdad sea real y efectiva. De otro lado, el artículo 43 reafirma que las mujeres y los hombres tienen iguales derechos y oportunidades y prohíbe cualquier forma de discriminación contra la mujer. </w:t>
      </w:r>
    </w:p>
    <w:p w14:paraId="328FD4DB" w14:textId="77777777" w:rsidR="002E5820" w:rsidRPr="005304B4" w:rsidRDefault="002E5820" w:rsidP="002E5820">
      <w:pPr>
        <w:pStyle w:val="Prrafodelista"/>
        <w:tabs>
          <w:tab w:val="left" w:pos="284"/>
          <w:tab w:val="left" w:pos="426"/>
        </w:tabs>
        <w:ind w:left="0"/>
        <w:rPr>
          <w:i/>
          <w:iCs/>
          <w:color w:val="000000" w:themeColor="text1"/>
        </w:rPr>
      </w:pPr>
    </w:p>
    <w:p w14:paraId="32AABFE0" w14:textId="687990A8" w:rsidR="00DA1BDB" w:rsidRPr="005304B4" w:rsidRDefault="002E5820" w:rsidP="00A75D9B">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 </w:t>
      </w:r>
      <w:r w:rsidR="00C625C6" w:rsidRPr="005304B4">
        <w:rPr>
          <w:color w:val="000000" w:themeColor="text1"/>
        </w:rPr>
        <w:t xml:space="preserve">La Corte Constitucional, dando alcance a la cláusula de igualdad, ha precisado que esta </w:t>
      </w:r>
      <w:r w:rsidRPr="005304B4">
        <w:rPr>
          <w:color w:val="000000" w:themeColor="text1"/>
        </w:rPr>
        <w:t>tiene un triple rol en el ordenamiento jurídico</w:t>
      </w:r>
      <w:r w:rsidR="00870A34" w:rsidRPr="005304B4">
        <w:rPr>
          <w:rStyle w:val="Refdenotaalpie"/>
          <w:color w:val="000000" w:themeColor="text1"/>
        </w:rPr>
        <w:footnoteReference w:id="60"/>
      </w:r>
      <w:r w:rsidRPr="005304B4">
        <w:rPr>
          <w:color w:val="000000" w:themeColor="text1"/>
        </w:rPr>
        <w:t xml:space="preserve">: </w:t>
      </w:r>
      <w:r w:rsidR="008368BB" w:rsidRPr="005304B4">
        <w:rPr>
          <w:color w:val="0D0D0D"/>
          <w:shd w:val="clear" w:color="auto" w:fill="FFFFFF"/>
        </w:rPr>
        <w:t>el de valor, el de principio y el de derecho</w:t>
      </w:r>
      <w:r w:rsidR="000B5E30" w:rsidRPr="005304B4">
        <w:rPr>
          <w:rStyle w:val="Refdenotaalpie"/>
          <w:color w:val="0D0D0D"/>
          <w:shd w:val="clear" w:color="auto" w:fill="FFFFFF"/>
        </w:rPr>
        <w:footnoteReference w:id="61"/>
      </w:r>
      <w:r w:rsidR="008368BB" w:rsidRPr="005304B4">
        <w:rPr>
          <w:color w:val="0D0D0D"/>
          <w:shd w:val="clear" w:color="auto" w:fill="FFFFFF"/>
        </w:rPr>
        <w:t xml:space="preserve"> y carece de un contenido material específico. Es decir que, a diferencia de otros principios constitucionales o derechos fundamentales, no protege ningún ámbito concreto de la esfera de la actividad humana, sino que puede ser alegado ante cualquier trato diferenciado injustificado</w:t>
      </w:r>
      <w:r w:rsidR="008368BB" w:rsidRPr="005304B4">
        <w:rPr>
          <w:rStyle w:val="Refdenotaalpie"/>
          <w:color w:val="0D0D0D"/>
          <w:shd w:val="clear" w:color="auto" w:fill="FFFFFF"/>
        </w:rPr>
        <w:footnoteReference w:id="62"/>
      </w:r>
      <w:r w:rsidR="008368BB" w:rsidRPr="005304B4">
        <w:rPr>
          <w:color w:val="0D0D0D"/>
          <w:shd w:val="clear" w:color="auto" w:fill="FFFFFF"/>
        </w:rPr>
        <w:t>. De ahí surge uno de los principales atributos que l</w:t>
      </w:r>
      <w:r w:rsidR="002E110F" w:rsidRPr="005304B4">
        <w:rPr>
          <w:color w:val="0D0D0D"/>
          <w:shd w:val="clear" w:color="auto" w:fill="FFFFFF"/>
        </w:rPr>
        <w:t>o</w:t>
      </w:r>
      <w:r w:rsidR="008368BB" w:rsidRPr="005304B4">
        <w:rPr>
          <w:color w:val="0D0D0D"/>
          <w:shd w:val="clear" w:color="auto" w:fill="FFFFFF"/>
        </w:rPr>
        <w:t xml:space="preserve"> identifica</w:t>
      </w:r>
      <w:r w:rsidR="002E110F" w:rsidRPr="005304B4">
        <w:rPr>
          <w:color w:val="0D0D0D"/>
          <w:shd w:val="clear" w:color="auto" w:fill="FFFFFF"/>
        </w:rPr>
        <w:t>:</w:t>
      </w:r>
      <w:r w:rsidR="008368BB" w:rsidRPr="005304B4">
        <w:rPr>
          <w:color w:val="0D0D0D"/>
          <w:shd w:val="clear" w:color="auto" w:fill="FFFFFF"/>
        </w:rPr>
        <w:t xml:space="preserve"> su carácter relacional</w:t>
      </w:r>
      <w:r w:rsidR="008368BB" w:rsidRPr="005304B4">
        <w:rPr>
          <w:rStyle w:val="Refdenotaalpie"/>
          <w:color w:val="0D0D0D"/>
          <w:shd w:val="clear" w:color="auto" w:fill="FFFFFF"/>
        </w:rPr>
        <w:footnoteReference w:id="63"/>
      </w:r>
      <w:r w:rsidR="008368BB" w:rsidRPr="005304B4">
        <w:rPr>
          <w:color w:val="0D0D0D"/>
          <w:shd w:val="clear" w:color="auto" w:fill="FFFFFF"/>
        </w:rPr>
        <w:t>.</w:t>
      </w:r>
    </w:p>
    <w:p w14:paraId="2F1240E2" w14:textId="77777777" w:rsidR="00C63FBB" w:rsidRPr="005304B4" w:rsidRDefault="00C63FBB" w:rsidP="00C63FBB">
      <w:pPr>
        <w:pStyle w:val="Prrafodelista"/>
        <w:rPr>
          <w:i/>
          <w:iCs/>
          <w:color w:val="000000" w:themeColor="text1"/>
        </w:rPr>
      </w:pPr>
    </w:p>
    <w:p w14:paraId="274C6C7E" w14:textId="7DD019E9" w:rsidR="00C63FBB" w:rsidRPr="005304B4" w:rsidRDefault="00C63FBB" w:rsidP="00C63FBB">
      <w:pPr>
        <w:pStyle w:val="Prrafodelista"/>
        <w:numPr>
          <w:ilvl w:val="0"/>
          <w:numId w:val="40"/>
        </w:numPr>
        <w:tabs>
          <w:tab w:val="left" w:pos="284"/>
          <w:tab w:val="left" w:pos="426"/>
        </w:tabs>
        <w:ind w:left="0" w:firstLine="0"/>
        <w:rPr>
          <w:i/>
          <w:iCs/>
          <w:color w:val="000000" w:themeColor="text1"/>
        </w:rPr>
      </w:pPr>
      <w:r w:rsidRPr="005304B4">
        <w:rPr>
          <w:color w:val="000000" w:themeColor="text1"/>
        </w:rPr>
        <w:t>El principio de igualdad y no discriminación también encuentra su fundamento en múltiples instrumentos internacionales sobre los derechos humanos. Solo por mencionar algunos, la Declaración Universal de Derechos Humanos, en su artículo 2, garantiza la igualdad ante la ley. La Convención Americana sobre los Derechos Humanos lo consagra en sus artículos 1.1 y 24, que determinan la obligación de los Estados de garantizar el libre ejercicio de los derechos de todas las personas sin discriminación alguna y su consecuente igualdad ante la ley</w:t>
      </w:r>
      <w:r w:rsidRPr="005304B4">
        <w:rPr>
          <w:rStyle w:val="Refdenotaalpie"/>
          <w:color w:val="000000" w:themeColor="text1"/>
        </w:rPr>
        <w:footnoteReference w:id="64"/>
      </w:r>
      <w:r w:rsidRPr="005304B4">
        <w:rPr>
          <w:color w:val="000000" w:themeColor="text1"/>
        </w:rPr>
        <w:t>. Por su parte, el Pacto Internacional de Derecho Civiles y Políticos, en el artículo 26 señala que “todas las personas son iguales ante la ley y prohibirá</w:t>
      </w:r>
      <w:r w:rsidRPr="005304B4">
        <w:rPr>
          <w:i/>
          <w:iCs/>
          <w:color w:val="000000" w:themeColor="text1"/>
        </w:rPr>
        <w:t xml:space="preserve"> </w:t>
      </w:r>
      <w:r w:rsidRPr="005304B4">
        <w:rPr>
          <w:color w:val="000000" w:themeColor="text1"/>
        </w:rPr>
        <w:t>toda discriminación y garantizará a todas las personas protección igual y efectiva contra cualquier discriminación</w:t>
      </w:r>
      <w:r w:rsidRPr="005304B4">
        <w:rPr>
          <w:rStyle w:val="Refdenotaalpie"/>
          <w:color w:val="000000" w:themeColor="text1"/>
        </w:rPr>
        <w:footnoteReference w:id="65"/>
      </w:r>
      <w:r w:rsidRPr="005304B4">
        <w:rPr>
          <w:color w:val="000000" w:themeColor="text1"/>
        </w:rPr>
        <w:t>”.</w:t>
      </w:r>
    </w:p>
    <w:p w14:paraId="39EAEE52" w14:textId="77777777" w:rsidR="00C63FBB" w:rsidRPr="005304B4" w:rsidRDefault="00C63FBB" w:rsidP="00C63FBB">
      <w:pPr>
        <w:rPr>
          <w:i/>
          <w:iCs/>
          <w:color w:val="000000" w:themeColor="text1"/>
        </w:rPr>
      </w:pPr>
    </w:p>
    <w:p w14:paraId="04C5A3BF" w14:textId="77777777" w:rsidR="00C63FBB" w:rsidRPr="005304B4" w:rsidRDefault="00C63FBB" w:rsidP="00C63FBB">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Para la Corte Interamericana de Derechos Humanos (en adelante Corte IDH), el derecho a la igualdad y no discriminación deviene directamente de la unidad de naturaleza del género humano y es inescindible de la dignidad esencial de la persona, frente a la cual es incompatible toda situación que, por considerar superior a un determinado grupo, conduzca a tratarlo con privilegio; o que, a la inversa, por considerarlo inferior, lo trate con hostilidad o de cualquier forma lo discrimine del goce de derechos </w:t>
      </w:r>
      <w:r w:rsidRPr="005304B4">
        <w:t>que sí se reconocen a quienes no se consideran incursos en tal situación</w:t>
      </w:r>
      <w:r w:rsidRPr="005304B4">
        <w:rPr>
          <w:rStyle w:val="Refdenotaalpie"/>
        </w:rPr>
        <w:footnoteReference w:id="66"/>
      </w:r>
      <w:r w:rsidRPr="005304B4">
        <w:t>. Asimismo, dicho elemento abarca dos concepciones. La negativa, que está relacionada con la prohibición de diferencias de trato arbitrarias, y la positiva, que impone una obligación a los Estados de crear condiciones de igualdad real frente a grupos que han sido históricamente excluidos o que se encuentran en riesgo de serlo</w:t>
      </w:r>
      <w:r w:rsidRPr="005304B4">
        <w:rPr>
          <w:rStyle w:val="Refdenotaalpie"/>
        </w:rPr>
        <w:footnoteReference w:id="67"/>
      </w:r>
      <w:r w:rsidRPr="005304B4">
        <w:t>.</w:t>
      </w:r>
    </w:p>
    <w:p w14:paraId="188D5D46" w14:textId="77777777" w:rsidR="00DB38B0" w:rsidRPr="005304B4" w:rsidRDefault="00DB38B0" w:rsidP="00DA1BDB">
      <w:pPr>
        <w:rPr>
          <w:i/>
          <w:iCs/>
          <w:color w:val="000000" w:themeColor="text1"/>
          <w:sz w:val="28"/>
          <w:szCs w:val="28"/>
        </w:rPr>
      </w:pPr>
    </w:p>
    <w:p w14:paraId="6DCE8947" w14:textId="401B13AB" w:rsidR="00A75D9B" w:rsidRPr="005304B4" w:rsidRDefault="002E110F" w:rsidP="008D4E3A">
      <w:pPr>
        <w:pStyle w:val="Prrafodelista"/>
        <w:numPr>
          <w:ilvl w:val="0"/>
          <w:numId w:val="40"/>
        </w:numPr>
        <w:tabs>
          <w:tab w:val="left" w:pos="284"/>
          <w:tab w:val="left" w:pos="426"/>
        </w:tabs>
        <w:ind w:left="0" w:firstLine="0"/>
        <w:rPr>
          <w:i/>
          <w:iCs/>
          <w:color w:val="000000" w:themeColor="text1"/>
        </w:rPr>
      </w:pPr>
      <w:r w:rsidRPr="005304B4">
        <w:rPr>
          <w:color w:val="000000" w:themeColor="text1"/>
        </w:rPr>
        <w:t>El mandato de</w:t>
      </w:r>
      <w:r w:rsidR="009032A2" w:rsidRPr="005304B4">
        <w:rPr>
          <w:color w:val="000000" w:themeColor="text1"/>
        </w:rPr>
        <w:t xml:space="preserve"> igualdad y no discriminación</w:t>
      </w:r>
      <w:r w:rsidR="00DB38B0" w:rsidRPr="005304B4">
        <w:rPr>
          <w:color w:val="000000" w:themeColor="text1"/>
        </w:rPr>
        <w:t xml:space="preserve"> puede aplicarse a múltiples ámbitos del quehacer humano. Así, la igualdad implica: (i) el dar un mismo trato a supuestos de hecho equivalentes, siempre que no haya razones suficientes para darles un trato diferente</w:t>
      </w:r>
      <w:r w:rsidR="00C238B7" w:rsidRPr="005304B4">
        <w:rPr>
          <w:color w:val="000000" w:themeColor="text1"/>
        </w:rPr>
        <w:t>;</w:t>
      </w:r>
      <w:r w:rsidR="00DB38B0" w:rsidRPr="005304B4">
        <w:rPr>
          <w:color w:val="000000" w:themeColor="text1"/>
        </w:rPr>
        <w:t xml:space="preserve"> y (ii) el dar un trato desigual a supuestos de hechos diferentes</w:t>
      </w:r>
      <w:r w:rsidR="00DB38B0" w:rsidRPr="005304B4">
        <w:rPr>
          <w:rStyle w:val="Refdenotaalpie"/>
          <w:color w:val="000000" w:themeColor="text1"/>
        </w:rPr>
        <w:footnoteReference w:id="68"/>
      </w:r>
      <w:r w:rsidR="00DB38B0" w:rsidRPr="005304B4">
        <w:rPr>
          <w:color w:val="000000" w:themeColor="text1"/>
        </w:rPr>
        <w:t>. De estos mandatos se desprenden cuatro reglas</w:t>
      </w:r>
      <w:r w:rsidRPr="005304B4">
        <w:rPr>
          <w:color w:val="000000" w:themeColor="text1"/>
        </w:rPr>
        <w:t xml:space="preserve"> principales</w:t>
      </w:r>
      <w:r w:rsidR="00DB38B0" w:rsidRPr="005304B4">
        <w:rPr>
          <w:color w:val="000000" w:themeColor="text1"/>
        </w:rPr>
        <w:t xml:space="preserve">: (a) dar el mismo trato a situaciones de hecho idénticas; (b) dar un trato diferente a situaciones de hecho que no tienen ningún elemento en común; (c) dar un trato paritario o semejante a situaciones de hecho que presenten similitudes y diferencias, cuando las primeras sean más relevantes que las segundas, y (d) dar un trato diferente a situaciones de hecho que presenten similitudes y diferencias, cuando las segundas </w:t>
      </w:r>
      <w:r w:rsidR="00711B83" w:rsidRPr="005304B4">
        <w:rPr>
          <w:color w:val="000000" w:themeColor="text1"/>
        </w:rPr>
        <w:t>s</w:t>
      </w:r>
      <w:r w:rsidR="00FF0F7F" w:rsidRPr="005304B4">
        <w:rPr>
          <w:color w:val="000000" w:themeColor="text1"/>
        </w:rPr>
        <w:t>ean</w:t>
      </w:r>
      <w:r w:rsidR="00711B83" w:rsidRPr="005304B4">
        <w:rPr>
          <w:color w:val="000000" w:themeColor="text1"/>
        </w:rPr>
        <w:t xml:space="preserve"> </w:t>
      </w:r>
      <w:r w:rsidR="00DB38B0" w:rsidRPr="005304B4">
        <w:rPr>
          <w:color w:val="000000" w:themeColor="text1"/>
        </w:rPr>
        <w:t>más relevantes que las primeras</w:t>
      </w:r>
      <w:r w:rsidR="00DB38B0" w:rsidRPr="005304B4">
        <w:rPr>
          <w:rStyle w:val="Refdenotaalpie"/>
          <w:color w:val="000000" w:themeColor="text1"/>
        </w:rPr>
        <w:footnoteReference w:id="69"/>
      </w:r>
      <w:r w:rsidR="00DB38B0" w:rsidRPr="005304B4">
        <w:rPr>
          <w:color w:val="000000" w:themeColor="text1"/>
        </w:rPr>
        <w:t xml:space="preserve">. </w:t>
      </w:r>
    </w:p>
    <w:p w14:paraId="2B302098" w14:textId="77777777" w:rsidR="00C63FBB" w:rsidRPr="005304B4" w:rsidRDefault="00C63FBB" w:rsidP="00C63FBB">
      <w:pPr>
        <w:pStyle w:val="Prrafodelista"/>
        <w:tabs>
          <w:tab w:val="left" w:pos="284"/>
          <w:tab w:val="left" w:pos="426"/>
        </w:tabs>
        <w:ind w:left="0"/>
        <w:rPr>
          <w:i/>
          <w:iCs/>
          <w:color w:val="000000" w:themeColor="text1"/>
        </w:rPr>
      </w:pPr>
    </w:p>
    <w:p w14:paraId="6FFB8C1F" w14:textId="20D51FF0" w:rsidR="00C63FBB" w:rsidRPr="005304B4" w:rsidRDefault="00870A34" w:rsidP="00C63FBB">
      <w:pPr>
        <w:pStyle w:val="Prrafodelista"/>
        <w:numPr>
          <w:ilvl w:val="0"/>
          <w:numId w:val="40"/>
        </w:numPr>
        <w:tabs>
          <w:tab w:val="left" w:pos="284"/>
          <w:tab w:val="left" w:pos="426"/>
        </w:tabs>
        <w:ind w:left="0" w:firstLine="0"/>
        <w:rPr>
          <w:i/>
          <w:iCs/>
          <w:color w:val="000000" w:themeColor="text1"/>
        </w:rPr>
      </w:pPr>
      <w:r w:rsidRPr="005304B4">
        <w:rPr>
          <w:color w:val="2D2D2D"/>
          <w:shd w:val="clear" w:color="auto" w:fill="FFFFFF"/>
          <w:lang w:eastAsia="es-ES_tradnl"/>
        </w:rPr>
        <w:t> </w:t>
      </w:r>
      <w:r w:rsidR="00C63FBB" w:rsidRPr="005304B4">
        <w:rPr>
          <w:color w:val="0D0D0D"/>
          <w:shd w:val="clear" w:color="auto" w:fill="FFFFFF"/>
          <w:lang w:eastAsia="es-ES_tradnl"/>
        </w:rPr>
        <w:t>Esta</w:t>
      </w:r>
      <w:r w:rsidR="00622743" w:rsidRPr="005304B4">
        <w:rPr>
          <w:color w:val="0D0D0D"/>
          <w:shd w:val="clear" w:color="auto" w:fill="FFFFFF"/>
          <w:lang w:eastAsia="es-ES_tradnl"/>
        </w:rPr>
        <w:t xml:space="preserve"> </w:t>
      </w:r>
      <w:r w:rsidRPr="005304B4">
        <w:rPr>
          <w:color w:val="0D0D0D"/>
          <w:shd w:val="clear" w:color="auto" w:fill="FFFFFF"/>
          <w:lang w:val="es-ES" w:eastAsia="es-ES_tradnl"/>
        </w:rPr>
        <w:t>Corte ha indicado que del artículo 13 de la Constitución Política se derivan los siguientes mandatos (</w:t>
      </w:r>
      <w:r w:rsidRPr="005304B4">
        <w:rPr>
          <w:color w:val="2D2D2D"/>
          <w:shd w:val="clear" w:color="auto" w:fill="FFFFFF"/>
          <w:lang w:val="es-ES" w:eastAsia="es-ES_tradnl"/>
        </w:rPr>
        <w:t>i</w:t>
      </w:r>
      <w:r w:rsidRPr="005304B4">
        <w:rPr>
          <w:color w:val="0D0D0D"/>
          <w:shd w:val="clear" w:color="auto" w:fill="FFFFFF"/>
          <w:lang w:val="es-ES" w:eastAsia="es-ES_tradnl"/>
        </w:rPr>
        <w:t>) igualdad ante la ley; (</w:t>
      </w:r>
      <w:r w:rsidRPr="005304B4">
        <w:rPr>
          <w:color w:val="2D2D2D"/>
          <w:shd w:val="clear" w:color="auto" w:fill="FFFFFF"/>
          <w:lang w:val="es-ES" w:eastAsia="es-ES_tradnl"/>
        </w:rPr>
        <w:t>ii</w:t>
      </w:r>
      <w:r w:rsidRPr="005304B4">
        <w:rPr>
          <w:color w:val="0D0D0D"/>
          <w:shd w:val="clear" w:color="auto" w:fill="FFFFFF"/>
          <w:lang w:val="es-ES" w:eastAsia="es-ES_tradnl"/>
        </w:rPr>
        <w:t>) promoción de la igualdad de oportunidades o igualdad material, comprendido como el deber de ejercer acciones concretas destinadas a beneficiar a los grupos discriminados y marginados, ya sea a través de cambios políticos o prestaciones concretas</w:t>
      </w:r>
      <w:r w:rsidR="002A1756" w:rsidRPr="005304B4">
        <w:rPr>
          <w:color w:val="0D0D0D"/>
          <w:shd w:val="clear" w:color="auto" w:fill="FFFFFF"/>
          <w:lang w:val="es-ES" w:eastAsia="es-ES_tradnl"/>
        </w:rPr>
        <w:t>,</w:t>
      </w:r>
      <w:r w:rsidRPr="005304B4">
        <w:rPr>
          <w:color w:val="0D0D0D"/>
          <w:shd w:val="clear" w:color="auto" w:fill="FFFFFF"/>
          <w:lang w:val="es-ES" w:eastAsia="es-ES_tradnl"/>
        </w:rPr>
        <w:t xml:space="preserve"> y (</w:t>
      </w:r>
      <w:r w:rsidRPr="005304B4">
        <w:rPr>
          <w:color w:val="2D2D2D"/>
          <w:shd w:val="clear" w:color="auto" w:fill="FFFFFF"/>
          <w:lang w:val="es-ES" w:eastAsia="es-ES_tradnl"/>
        </w:rPr>
        <w:t>iii</w:t>
      </w:r>
      <w:r w:rsidRPr="005304B4">
        <w:rPr>
          <w:color w:val="0D0D0D"/>
          <w:shd w:val="clear" w:color="auto" w:fill="FFFFFF"/>
          <w:lang w:val="es-ES" w:eastAsia="es-ES_tradnl"/>
        </w:rPr>
        <w:t>) prohibición de discriminación, previsión que dispone que las actuaciones del Estado y los particulares no deb</w:t>
      </w:r>
      <w:r w:rsidR="002E110F" w:rsidRPr="005304B4">
        <w:rPr>
          <w:color w:val="0D0D0D"/>
          <w:shd w:val="clear" w:color="auto" w:fill="FFFFFF"/>
          <w:lang w:val="es-ES" w:eastAsia="es-ES_tradnl"/>
        </w:rPr>
        <w:t>e</w:t>
      </w:r>
      <w:r w:rsidRPr="005304B4">
        <w:rPr>
          <w:color w:val="0D0D0D"/>
          <w:shd w:val="clear" w:color="auto" w:fill="FFFFFF"/>
          <w:lang w:val="es-ES" w:eastAsia="es-ES_tradnl"/>
        </w:rPr>
        <w:t>n, </w:t>
      </w:r>
      <w:r w:rsidR="002E110F" w:rsidRPr="005304B4">
        <w:rPr>
          <w:color w:val="2D2D2D"/>
          <w:shd w:val="clear" w:color="auto" w:fill="FFFFFF"/>
          <w:lang w:val="es-ES" w:eastAsia="es-ES_tradnl"/>
        </w:rPr>
        <w:t>a primera vista</w:t>
      </w:r>
      <w:r w:rsidRPr="005304B4">
        <w:rPr>
          <w:color w:val="0D0D0D"/>
          <w:shd w:val="clear" w:color="auto" w:fill="FFFFFF"/>
          <w:lang w:val="es-ES" w:eastAsia="es-ES_tradnl"/>
        </w:rPr>
        <w:t>, prodigar tratos desiguales a partir de criterios definidos como “sospechosos” (o semi sospechosos)</w:t>
      </w:r>
      <w:r w:rsidR="002E110F" w:rsidRPr="005304B4">
        <w:rPr>
          <w:color w:val="0D0D0D"/>
          <w:shd w:val="clear" w:color="auto" w:fill="FFFFFF"/>
          <w:lang w:val="es-ES" w:eastAsia="es-ES_tradnl"/>
        </w:rPr>
        <w:t xml:space="preserve">, tales como el sexo, </w:t>
      </w:r>
      <w:r w:rsidRPr="005304B4">
        <w:rPr>
          <w:color w:val="0D0D0D"/>
          <w:shd w:val="clear" w:color="auto" w:fill="FFFFFF"/>
          <w:lang w:val="es-ES" w:eastAsia="es-ES_tradnl"/>
        </w:rPr>
        <w:t xml:space="preserve">género, raza, color, idioma, religión o convicción, opinión política o de otra índole, origen nacional, étnico o social, nacionalidad, edad, situación económica, patrimonio, estado civil, </w:t>
      </w:r>
      <w:r w:rsidR="002E110F" w:rsidRPr="005304B4">
        <w:rPr>
          <w:color w:val="0D0D0D"/>
          <w:shd w:val="clear" w:color="auto" w:fill="FFFFFF"/>
          <w:lang w:val="es-ES" w:eastAsia="es-ES_tradnl"/>
        </w:rPr>
        <w:t xml:space="preserve">la situación de discapacidad, el </w:t>
      </w:r>
      <w:r w:rsidRPr="005304B4">
        <w:rPr>
          <w:color w:val="0D0D0D"/>
          <w:shd w:val="clear" w:color="auto" w:fill="FFFFFF"/>
          <w:lang w:val="es-ES" w:eastAsia="es-ES_tradnl"/>
        </w:rPr>
        <w:t>nacimiento o cualquier otra condición</w:t>
      </w:r>
      <w:r w:rsidR="002E110F" w:rsidRPr="005304B4">
        <w:rPr>
          <w:color w:val="0D0D0D"/>
          <w:shd w:val="clear" w:color="auto" w:fill="FFFFFF"/>
          <w:lang w:val="es-ES" w:eastAsia="es-ES_tradnl"/>
        </w:rPr>
        <w:t xml:space="preserve"> semejante</w:t>
      </w:r>
      <w:r w:rsidR="00DB38B0" w:rsidRPr="005304B4">
        <w:rPr>
          <w:rStyle w:val="Refdenotaalpie"/>
          <w:color w:val="0D0D0D"/>
          <w:shd w:val="clear" w:color="auto" w:fill="FFFFFF"/>
          <w:lang w:val="es-ES" w:eastAsia="es-ES_tradnl"/>
        </w:rPr>
        <w:footnoteReference w:id="70"/>
      </w:r>
      <w:r w:rsidRPr="005304B4">
        <w:rPr>
          <w:color w:val="0D0D0D"/>
          <w:shd w:val="clear" w:color="auto" w:fill="FFFFFF"/>
          <w:lang w:val="es-ES" w:eastAsia="es-ES_tradnl"/>
        </w:rPr>
        <w:t>.</w:t>
      </w:r>
    </w:p>
    <w:p w14:paraId="0125B97E" w14:textId="053A4F0E" w:rsidR="00800CC7" w:rsidRPr="005304B4" w:rsidRDefault="00800CC7" w:rsidP="00A44794">
      <w:pPr>
        <w:rPr>
          <w:i/>
          <w:iCs/>
          <w:color w:val="000000" w:themeColor="text1"/>
          <w:sz w:val="28"/>
          <w:szCs w:val="28"/>
        </w:rPr>
      </w:pPr>
    </w:p>
    <w:p w14:paraId="15DDDD8C" w14:textId="68EE589B" w:rsidR="00232AD8" w:rsidRPr="005304B4" w:rsidRDefault="00C63FBB" w:rsidP="00232AD8">
      <w:pPr>
        <w:pStyle w:val="Prrafodelista"/>
        <w:numPr>
          <w:ilvl w:val="0"/>
          <w:numId w:val="40"/>
        </w:numPr>
        <w:tabs>
          <w:tab w:val="left" w:pos="284"/>
          <w:tab w:val="left" w:pos="426"/>
        </w:tabs>
        <w:ind w:left="0" w:firstLine="0"/>
        <w:rPr>
          <w:i/>
          <w:iCs/>
          <w:color w:val="000000" w:themeColor="text1"/>
        </w:rPr>
      </w:pPr>
      <w:r w:rsidRPr="005304B4">
        <w:rPr>
          <w:color w:val="000000" w:themeColor="text1"/>
        </w:rPr>
        <w:t>Frente a este último mandato, p</w:t>
      </w:r>
      <w:r w:rsidR="00800CC7" w:rsidRPr="005304B4">
        <w:rPr>
          <w:color w:val="000000" w:themeColor="text1"/>
        </w:rPr>
        <w:t xml:space="preserve">ara esta Corporación, </w:t>
      </w:r>
      <w:r w:rsidR="00032DE0" w:rsidRPr="005304B4">
        <w:rPr>
          <w:color w:val="000000" w:themeColor="text1"/>
        </w:rPr>
        <w:t xml:space="preserve">existen dos formas </w:t>
      </w:r>
      <w:r w:rsidR="002E110F" w:rsidRPr="005304B4">
        <w:rPr>
          <w:color w:val="000000" w:themeColor="text1"/>
        </w:rPr>
        <w:t xml:space="preserve">principales </w:t>
      </w:r>
      <w:r w:rsidR="00032DE0" w:rsidRPr="005304B4">
        <w:rPr>
          <w:color w:val="000000" w:themeColor="text1"/>
        </w:rPr>
        <w:t xml:space="preserve">de discriminación: </w:t>
      </w:r>
      <w:r w:rsidR="002E110F" w:rsidRPr="005304B4">
        <w:rPr>
          <w:color w:val="000000" w:themeColor="text1"/>
        </w:rPr>
        <w:t xml:space="preserve">la </w:t>
      </w:r>
      <w:r w:rsidR="00800CC7" w:rsidRPr="005304B4">
        <w:rPr>
          <w:color w:val="000000" w:themeColor="text1"/>
        </w:rPr>
        <w:t xml:space="preserve">directa </w:t>
      </w:r>
      <w:r w:rsidR="002E110F" w:rsidRPr="005304B4">
        <w:rPr>
          <w:color w:val="000000" w:themeColor="text1"/>
        </w:rPr>
        <w:t>y la</w:t>
      </w:r>
      <w:r w:rsidR="00800CC7" w:rsidRPr="005304B4">
        <w:rPr>
          <w:color w:val="000000" w:themeColor="text1"/>
        </w:rPr>
        <w:t xml:space="preserve"> indirecta. La </w:t>
      </w:r>
      <w:r w:rsidR="008D2BD8" w:rsidRPr="005304B4">
        <w:rPr>
          <w:color w:val="000000" w:themeColor="text1"/>
        </w:rPr>
        <w:t xml:space="preserve">primera </w:t>
      </w:r>
      <w:r w:rsidR="00800CC7" w:rsidRPr="005304B4">
        <w:rPr>
          <w:color w:val="000000" w:themeColor="text1"/>
        </w:rPr>
        <w:t>tiene lugar cuando</w:t>
      </w:r>
      <w:r w:rsidR="00800CC7" w:rsidRPr="005304B4">
        <w:rPr>
          <w:color w:val="000000" w:themeColor="text1"/>
          <w:lang w:eastAsia="es-MX"/>
        </w:rPr>
        <w:t xml:space="preserve"> a</w:t>
      </w:r>
      <w:r w:rsidR="00232AD8" w:rsidRPr="005304B4">
        <w:rPr>
          <w:color w:val="000000" w:themeColor="text1"/>
          <w:lang w:eastAsia="es-MX"/>
        </w:rPr>
        <w:t xml:space="preserve"> una</w:t>
      </w:r>
      <w:r w:rsidR="00800CC7" w:rsidRPr="005304B4">
        <w:rPr>
          <w:color w:val="000000" w:themeColor="text1"/>
          <w:lang w:eastAsia="es-MX"/>
        </w:rPr>
        <w:t xml:space="preserve"> determinada persona se le confiere un trato diferenciado desfavorable carente de justificación, fundado en categorías sospechosas o semi sospechos</w:t>
      </w:r>
      <w:r w:rsidR="008D2BD8" w:rsidRPr="005304B4">
        <w:rPr>
          <w:color w:val="000000" w:themeColor="text1"/>
          <w:lang w:eastAsia="es-MX"/>
        </w:rPr>
        <w:t xml:space="preserve">as. </w:t>
      </w:r>
      <w:r w:rsidR="00232AD8" w:rsidRPr="005304B4">
        <w:rPr>
          <w:color w:val="000000" w:themeColor="text1"/>
        </w:rPr>
        <w:t xml:space="preserve">Los criterios sospechosos son aquellos que (i) se fundan en rasgos permanentes de las personas, de las cuales éstas no pueden prescindir por voluntad propia a riesgo de perder su identidad; (ii) esas características han estado sometidas, históricamente, a patrones de valoración cultural que tienden a menospreciarlas; y, (iii) no constituyen, </w:t>
      </w:r>
      <w:r w:rsidR="002E110F" w:rsidRPr="005304B4">
        <w:rPr>
          <w:color w:val="000000" w:themeColor="text1"/>
        </w:rPr>
        <w:t>en sí mismas</w:t>
      </w:r>
      <w:r w:rsidR="00232AD8" w:rsidRPr="005304B4">
        <w:rPr>
          <w:color w:val="000000" w:themeColor="text1"/>
        </w:rPr>
        <w:t>, criterios con base en los cuales sea posible efectuar una distribución o reparto racionales y equitativos de bienes, derechos o cargas sociales</w:t>
      </w:r>
      <w:r w:rsidR="00232AD8" w:rsidRPr="005304B4">
        <w:rPr>
          <w:rStyle w:val="Refdenotaalpie"/>
          <w:color w:val="000000" w:themeColor="text1"/>
        </w:rPr>
        <w:footnoteReference w:id="71"/>
      </w:r>
      <w:r w:rsidR="00232AD8" w:rsidRPr="005304B4">
        <w:rPr>
          <w:color w:val="000000" w:themeColor="text1"/>
        </w:rPr>
        <w:t xml:space="preserve">. </w:t>
      </w:r>
      <w:r w:rsidR="002E110F" w:rsidRPr="005304B4">
        <w:rPr>
          <w:color w:val="000000" w:themeColor="text1"/>
        </w:rPr>
        <w:t>Ejemplos</w:t>
      </w:r>
      <w:r w:rsidR="00C625C6" w:rsidRPr="005304B4">
        <w:rPr>
          <w:color w:val="000000" w:themeColor="text1"/>
        </w:rPr>
        <w:t xml:space="preserve"> de estos son</w:t>
      </w:r>
      <w:r w:rsidR="002E110F" w:rsidRPr="005304B4">
        <w:rPr>
          <w:color w:val="000000" w:themeColor="text1"/>
        </w:rPr>
        <w:t xml:space="preserve"> a</w:t>
      </w:r>
      <w:r w:rsidR="00C625C6" w:rsidRPr="005304B4">
        <w:rPr>
          <w:color w:val="000000" w:themeColor="text1"/>
        </w:rPr>
        <w:t xml:space="preserve"> los que se refiere</w:t>
      </w:r>
      <w:r w:rsidR="002E110F" w:rsidRPr="005304B4">
        <w:rPr>
          <w:color w:val="000000" w:themeColor="text1"/>
        </w:rPr>
        <w:t xml:space="preserve"> de manera expresa</w:t>
      </w:r>
      <w:r w:rsidR="00C625C6" w:rsidRPr="005304B4">
        <w:rPr>
          <w:color w:val="000000" w:themeColor="text1"/>
        </w:rPr>
        <w:t xml:space="preserve"> el artículo 13 de la Constitución a modo de prohibiciones.</w:t>
      </w:r>
    </w:p>
    <w:p w14:paraId="7B88F66F" w14:textId="77777777" w:rsidR="00232AD8" w:rsidRPr="005304B4" w:rsidRDefault="00232AD8" w:rsidP="00C625C6">
      <w:pPr>
        <w:rPr>
          <w:color w:val="000000" w:themeColor="text1"/>
          <w:sz w:val="28"/>
          <w:szCs w:val="28"/>
        </w:rPr>
      </w:pPr>
    </w:p>
    <w:p w14:paraId="3247176B" w14:textId="6A7026DA" w:rsidR="00232AD8" w:rsidRPr="005304B4" w:rsidRDefault="008D2BD8" w:rsidP="00232AD8">
      <w:pPr>
        <w:pStyle w:val="Prrafodelista"/>
        <w:numPr>
          <w:ilvl w:val="0"/>
          <w:numId w:val="40"/>
        </w:numPr>
        <w:tabs>
          <w:tab w:val="left" w:pos="284"/>
          <w:tab w:val="left" w:pos="426"/>
        </w:tabs>
        <w:ind w:left="0" w:firstLine="0"/>
        <w:rPr>
          <w:i/>
          <w:iCs/>
          <w:color w:val="000000" w:themeColor="text1"/>
        </w:rPr>
      </w:pPr>
      <w:r w:rsidRPr="005304B4">
        <w:rPr>
          <w:color w:val="000000" w:themeColor="text1"/>
          <w:lang w:eastAsia="es-MX"/>
        </w:rPr>
        <w:t>La discriminación indirecta, por su parte, ocurre cuando el trato que se le da a una persona es formalmente no discriminatorio</w:t>
      </w:r>
      <w:r w:rsidR="002E110F" w:rsidRPr="005304B4">
        <w:rPr>
          <w:color w:val="000000" w:themeColor="text1"/>
          <w:lang w:eastAsia="es-MX"/>
        </w:rPr>
        <w:t>.</w:t>
      </w:r>
      <w:r w:rsidRPr="005304B4">
        <w:rPr>
          <w:color w:val="000000" w:themeColor="text1"/>
          <w:lang w:eastAsia="es-MX"/>
        </w:rPr>
        <w:t xml:space="preserve"> </w:t>
      </w:r>
      <w:r w:rsidR="002E110F" w:rsidRPr="005304B4">
        <w:rPr>
          <w:color w:val="000000" w:themeColor="text1"/>
          <w:lang w:eastAsia="es-MX"/>
        </w:rPr>
        <w:t>S</w:t>
      </w:r>
      <w:r w:rsidRPr="005304B4">
        <w:rPr>
          <w:color w:val="000000" w:themeColor="text1"/>
          <w:lang w:eastAsia="es-MX"/>
        </w:rPr>
        <w:t xml:space="preserve">in embargo, </w:t>
      </w:r>
      <w:r w:rsidR="002E110F" w:rsidRPr="005304B4">
        <w:rPr>
          <w:color w:val="000000" w:themeColor="text1"/>
          <w:lang w:eastAsia="es-MX"/>
        </w:rPr>
        <w:t xml:space="preserve">en la práctica, este </w:t>
      </w:r>
      <w:r w:rsidRPr="005304B4">
        <w:rPr>
          <w:color w:val="000000" w:themeColor="text1"/>
          <w:lang w:eastAsia="es-MX"/>
        </w:rPr>
        <w:t>desencadena consecuencias fácticas desiguales que lesionan o limitan el goce efectivo de sus derechos</w:t>
      </w:r>
      <w:r w:rsidRPr="005304B4">
        <w:rPr>
          <w:rStyle w:val="Refdenotaalpie"/>
          <w:color w:val="000000" w:themeColor="text1"/>
          <w:lang w:eastAsia="es-MX"/>
        </w:rPr>
        <w:footnoteReference w:id="72"/>
      </w:r>
      <w:r w:rsidRPr="005304B4">
        <w:rPr>
          <w:color w:val="000000" w:themeColor="text1"/>
          <w:lang w:eastAsia="es-MX"/>
        </w:rPr>
        <w:t>.</w:t>
      </w:r>
      <w:r w:rsidR="00D44E58" w:rsidRPr="005304B4">
        <w:rPr>
          <w:color w:val="000000" w:themeColor="text1"/>
          <w:lang w:eastAsia="es-MX"/>
        </w:rPr>
        <w:t xml:space="preserve"> </w:t>
      </w:r>
      <w:r w:rsidR="00232AD8" w:rsidRPr="005304B4">
        <w:rPr>
          <w:color w:val="000000" w:themeColor="text1"/>
          <w:bdr w:val="none" w:sz="0" w:space="0" w:color="auto" w:frame="1"/>
        </w:rPr>
        <w:t>En tales casos, medidas neutrales que</w:t>
      </w:r>
      <w:r w:rsidR="002E110F" w:rsidRPr="005304B4">
        <w:rPr>
          <w:color w:val="000000" w:themeColor="text1"/>
          <w:bdr w:val="none" w:sz="0" w:space="0" w:color="auto" w:frame="1"/>
        </w:rPr>
        <w:t>,</w:t>
      </w:r>
      <w:r w:rsidR="00232AD8" w:rsidRPr="005304B4">
        <w:rPr>
          <w:color w:val="000000" w:themeColor="text1"/>
          <w:bdr w:val="none" w:sz="0" w:space="0" w:color="auto" w:frame="1"/>
        </w:rPr>
        <w:t xml:space="preserve"> en principio</w:t>
      </w:r>
      <w:r w:rsidR="002E110F" w:rsidRPr="005304B4">
        <w:rPr>
          <w:color w:val="000000" w:themeColor="text1"/>
          <w:bdr w:val="none" w:sz="0" w:space="0" w:color="auto" w:frame="1"/>
        </w:rPr>
        <w:t>,</w:t>
      </w:r>
      <w:r w:rsidR="00232AD8" w:rsidRPr="005304B4">
        <w:rPr>
          <w:color w:val="000000" w:themeColor="text1"/>
          <w:bdr w:val="none" w:sz="0" w:space="0" w:color="auto" w:frame="1"/>
        </w:rPr>
        <w:t xml:space="preserve"> no implican factores diferenciadores entre </w:t>
      </w:r>
      <w:r w:rsidR="002E110F" w:rsidRPr="005304B4">
        <w:rPr>
          <w:color w:val="000000" w:themeColor="text1"/>
          <w:bdr w:val="none" w:sz="0" w:space="0" w:color="auto" w:frame="1"/>
        </w:rPr>
        <w:t xml:space="preserve">las </w:t>
      </w:r>
      <w:r w:rsidR="00232AD8" w:rsidRPr="005304B4">
        <w:rPr>
          <w:color w:val="000000" w:themeColor="text1"/>
          <w:bdr w:val="none" w:sz="0" w:space="0" w:color="auto" w:frame="1"/>
        </w:rPr>
        <w:t xml:space="preserve">personas, pueden producir desigualdades </w:t>
      </w:r>
      <w:r w:rsidR="00232AD8" w:rsidRPr="005304B4">
        <w:rPr>
          <w:i/>
          <w:iCs/>
          <w:color w:val="000000" w:themeColor="text1"/>
          <w:bdr w:val="none" w:sz="0" w:space="0" w:color="auto" w:frame="1"/>
        </w:rPr>
        <w:t>de facto</w:t>
      </w:r>
      <w:r w:rsidR="00232AD8" w:rsidRPr="005304B4">
        <w:rPr>
          <w:color w:val="000000" w:themeColor="text1"/>
          <w:bdr w:val="none" w:sz="0" w:space="0" w:color="auto" w:frame="1"/>
        </w:rPr>
        <w:t xml:space="preserve"> entre unas y otras, por su efecto adverso exclusivo, constituyendo un tipo indirecto de discriminación</w:t>
      </w:r>
      <w:r w:rsidR="00232AD8" w:rsidRPr="005304B4">
        <w:rPr>
          <w:color w:val="000000" w:themeColor="text1"/>
          <w:shd w:val="clear" w:color="auto" w:fill="FFFFFF"/>
        </w:rPr>
        <w:t>.</w:t>
      </w:r>
    </w:p>
    <w:p w14:paraId="6C5A3730" w14:textId="77777777" w:rsidR="00232AD8" w:rsidRPr="005304B4" w:rsidRDefault="00232AD8" w:rsidP="00232AD8">
      <w:pPr>
        <w:pStyle w:val="Prrafodelista"/>
        <w:rPr>
          <w:color w:val="2D2D2D"/>
          <w:shd w:val="clear" w:color="auto" w:fill="FFFFFF"/>
        </w:rPr>
      </w:pPr>
    </w:p>
    <w:p w14:paraId="224599AB" w14:textId="19231880" w:rsidR="00232AD8" w:rsidRPr="005304B4" w:rsidRDefault="00232AD8" w:rsidP="00232AD8">
      <w:pPr>
        <w:pStyle w:val="Prrafodelista"/>
        <w:numPr>
          <w:ilvl w:val="0"/>
          <w:numId w:val="40"/>
        </w:numPr>
        <w:tabs>
          <w:tab w:val="left" w:pos="284"/>
          <w:tab w:val="left" w:pos="426"/>
        </w:tabs>
        <w:ind w:left="0" w:firstLine="0"/>
        <w:rPr>
          <w:i/>
          <w:iCs/>
          <w:color w:val="000000" w:themeColor="text1"/>
        </w:rPr>
      </w:pPr>
      <w:r w:rsidRPr="005304B4">
        <w:rPr>
          <w:color w:val="000000" w:themeColor="text1"/>
          <w:shd w:val="clear" w:color="auto" w:fill="FFFFFF"/>
        </w:rPr>
        <w:t xml:space="preserve">Esta modalidad de discriminación se compone de dos criterios: </w:t>
      </w:r>
      <w:r w:rsidR="002E110F" w:rsidRPr="005304B4">
        <w:rPr>
          <w:color w:val="000000" w:themeColor="text1"/>
          <w:shd w:val="clear" w:color="auto" w:fill="FFFFFF"/>
        </w:rPr>
        <w:t>p</w:t>
      </w:r>
      <w:r w:rsidRPr="005304B4">
        <w:rPr>
          <w:color w:val="000000" w:themeColor="text1"/>
          <w:shd w:val="clear" w:color="auto" w:fill="FFFFFF"/>
        </w:rPr>
        <w:t>rimero, la existencia de una medida o una práctica que se aplica a todos de manera aparentemente </w:t>
      </w:r>
      <w:r w:rsidRPr="005304B4">
        <w:rPr>
          <w:i/>
          <w:iCs/>
          <w:color w:val="000000" w:themeColor="text1"/>
          <w:bdr w:val="none" w:sz="0" w:space="0" w:color="auto" w:frame="1"/>
        </w:rPr>
        <w:t>neutra</w:t>
      </w:r>
      <w:r w:rsidRPr="005304B4">
        <w:rPr>
          <w:color w:val="000000" w:themeColor="text1"/>
          <w:shd w:val="clear" w:color="auto" w:fill="FFFFFF"/>
        </w:rPr>
        <w:t>. Segundo, la medida o la práctica pone en una situación </w:t>
      </w:r>
      <w:r w:rsidRPr="005304B4">
        <w:rPr>
          <w:i/>
          <w:iCs/>
          <w:color w:val="000000" w:themeColor="text1"/>
          <w:bdr w:val="none" w:sz="0" w:space="0" w:color="auto" w:frame="1"/>
        </w:rPr>
        <w:t>desaventajada</w:t>
      </w:r>
      <w:r w:rsidRPr="005304B4">
        <w:rPr>
          <w:color w:val="000000" w:themeColor="text1"/>
          <w:shd w:val="clear" w:color="auto" w:fill="FFFFFF"/>
        </w:rPr>
        <w:t> un grupo de personas protegido. Es el segundo criterio de la discriminación indirecta el que difiere de la discriminación directa: el análisis de la discriminación no se focaliza sobre la existencia de un trato diferencial sino sobre los efectos diferenciales</w:t>
      </w:r>
      <w:r w:rsidRPr="005304B4">
        <w:rPr>
          <w:rStyle w:val="Refdenotaalpie"/>
          <w:color w:val="000000" w:themeColor="text1"/>
          <w:shd w:val="clear" w:color="auto" w:fill="FFFFFF"/>
        </w:rPr>
        <w:footnoteReference w:id="73"/>
      </w:r>
      <w:r w:rsidRPr="005304B4">
        <w:rPr>
          <w:color w:val="000000" w:themeColor="text1"/>
          <w:shd w:val="clear" w:color="auto" w:fill="FFFFFF"/>
        </w:rPr>
        <w:t xml:space="preserve">. </w:t>
      </w:r>
    </w:p>
    <w:p w14:paraId="22BC10E8" w14:textId="77777777" w:rsidR="00E964D7" w:rsidRPr="005304B4" w:rsidRDefault="00E964D7" w:rsidP="008D2BD8">
      <w:pPr>
        <w:rPr>
          <w:i/>
          <w:iCs/>
          <w:color w:val="000000" w:themeColor="text1"/>
          <w:sz w:val="28"/>
          <w:szCs w:val="28"/>
        </w:rPr>
      </w:pPr>
    </w:p>
    <w:p w14:paraId="4C40EB3B" w14:textId="2FA7C72C" w:rsidR="0087035B" w:rsidRPr="005304B4" w:rsidRDefault="00E964D7" w:rsidP="0087035B">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En </w:t>
      </w:r>
      <w:r w:rsidR="00622743" w:rsidRPr="005304B4">
        <w:rPr>
          <w:color w:val="000000" w:themeColor="text1"/>
        </w:rPr>
        <w:t>particular, el manda</w:t>
      </w:r>
      <w:r w:rsidR="002E110F" w:rsidRPr="005304B4">
        <w:rPr>
          <w:color w:val="000000" w:themeColor="text1"/>
        </w:rPr>
        <w:t>t</w:t>
      </w:r>
      <w:r w:rsidR="00622743" w:rsidRPr="005304B4">
        <w:rPr>
          <w:color w:val="000000" w:themeColor="text1"/>
        </w:rPr>
        <w:t xml:space="preserve">o de igualdad ante la ley implica que </w:t>
      </w:r>
      <w:r w:rsidR="00A54C84" w:rsidRPr="005304B4">
        <w:rPr>
          <w:color w:val="000000" w:themeColor="text1"/>
        </w:rPr>
        <w:t>las normas deben ser aplicadas de manera simétrica</w:t>
      </w:r>
      <w:r w:rsidR="00622743" w:rsidRPr="005304B4">
        <w:rPr>
          <w:color w:val="000000" w:themeColor="text1"/>
        </w:rPr>
        <w:t xml:space="preserve"> a todas las personas. Su desconocimiento se concreta cuando una ley se aplica de manera diferente a una o varias personas con relación al resto de ellas. </w:t>
      </w:r>
      <w:r w:rsidR="0087035B" w:rsidRPr="005304B4">
        <w:rPr>
          <w:color w:val="000000" w:themeColor="text1"/>
        </w:rPr>
        <w:t>Esta dimensión garantiza que la ley se aplique por igual, pero no que la ley en sí misma trate igual a todas las personas</w:t>
      </w:r>
      <w:r w:rsidR="0087035B" w:rsidRPr="005304B4">
        <w:rPr>
          <w:rStyle w:val="Refdenotaalpie"/>
          <w:color w:val="000000" w:themeColor="text1"/>
        </w:rPr>
        <w:footnoteReference w:id="74"/>
      </w:r>
      <w:r w:rsidR="0087035B" w:rsidRPr="005304B4">
        <w:rPr>
          <w:color w:val="000000" w:themeColor="text1"/>
        </w:rPr>
        <w:t>. Es decir, se debe garantizar a todas las personas que la ley que se va a aplicar no regule de forma diferente la situación de personas que deberían ser tratadas igual</w:t>
      </w:r>
      <w:r w:rsidR="00A54C84" w:rsidRPr="005304B4">
        <w:rPr>
          <w:color w:val="000000" w:themeColor="text1"/>
        </w:rPr>
        <w:t>;</w:t>
      </w:r>
      <w:r w:rsidR="0087035B" w:rsidRPr="005304B4">
        <w:rPr>
          <w:color w:val="000000" w:themeColor="text1"/>
        </w:rPr>
        <w:t xml:space="preserve"> o lo contrario, que regule de forma igual la situación de personas que deben ser tratadas diferente</w:t>
      </w:r>
      <w:r w:rsidR="00A54C84" w:rsidRPr="005304B4">
        <w:rPr>
          <w:color w:val="000000" w:themeColor="text1"/>
        </w:rPr>
        <w:t>.</w:t>
      </w:r>
      <w:r w:rsidR="0087035B" w:rsidRPr="005304B4">
        <w:rPr>
          <w:color w:val="000000" w:themeColor="text1"/>
        </w:rPr>
        <w:t xml:space="preserve"> </w:t>
      </w:r>
    </w:p>
    <w:p w14:paraId="7A4BC49D" w14:textId="77777777" w:rsidR="00A44794" w:rsidRPr="005304B4" w:rsidRDefault="00A44794" w:rsidP="00A44794">
      <w:pPr>
        <w:pStyle w:val="Prrafodelista"/>
        <w:rPr>
          <w:i/>
          <w:iCs/>
          <w:color w:val="000000" w:themeColor="text1"/>
        </w:rPr>
      </w:pPr>
    </w:p>
    <w:p w14:paraId="44E824C5" w14:textId="73FA70F3" w:rsidR="00E45653" w:rsidRPr="005304B4" w:rsidRDefault="00A44794" w:rsidP="00E7238B">
      <w:pPr>
        <w:pStyle w:val="Prrafodelista"/>
        <w:numPr>
          <w:ilvl w:val="0"/>
          <w:numId w:val="40"/>
        </w:numPr>
        <w:tabs>
          <w:tab w:val="left" w:pos="284"/>
          <w:tab w:val="left" w:pos="426"/>
        </w:tabs>
        <w:ind w:left="0" w:firstLine="0"/>
        <w:rPr>
          <w:i/>
          <w:iCs/>
          <w:color w:val="000000" w:themeColor="text1"/>
        </w:rPr>
      </w:pPr>
      <w:r w:rsidRPr="005304B4">
        <w:rPr>
          <w:color w:val="000000" w:themeColor="text1"/>
        </w:rPr>
        <w:t>La Corte</w:t>
      </w:r>
      <w:r w:rsidR="00113E45" w:rsidRPr="005304B4">
        <w:rPr>
          <w:color w:val="000000" w:themeColor="text1"/>
        </w:rPr>
        <w:t xml:space="preserve"> </w:t>
      </w:r>
      <w:r w:rsidRPr="005304B4">
        <w:rPr>
          <w:color w:val="000000" w:themeColor="text1"/>
        </w:rPr>
        <w:t xml:space="preserve">IDH </w:t>
      </w:r>
      <w:r w:rsidR="00E15B6A" w:rsidRPr="005304B4">
        <w:rPr>
          <w:color w:val="000000" w:themeColor="text1"/>
        </w:rPr>
        <w:t xml:space="preserve">se ha referido </w:t>
      </w:r>
      <w:r w:rsidR="00711B83" w:rsidRPr="005304B4">
        <w:rPr>
          <w:color w:val="000000" w:themeColor="text1"/>
        </w:rPr>
        <w:t>a</w:t>
      </w:r>
      <w:r w:rsidR="0060294F" w:rsidRPr="005304B4">
        <w:rPr>
          <w:color w:val="000000" w:themeColor="text1"/>
        </w:rPr>
        <w:t>l principio de</w:t>
      </w:r>
      <w:r w:rsidR="00D44E58" w:rsidRPr="005304B4">
        <w:rPr>
          <w:color w:val="000000" w:themeColor="text1"/>
        </w:rPr>
        <w:t xml:space="preserve"> </w:t>
      </w:r>
      <w:r w:rsidR="00E15B6A" w:rsidRPr="005304B4">
        <w:rPr>
          <w:color w:val="000000" w:themeColor="text1"/>
        </w:rPr>
        <w:t>igualdad de trato</w:t>
      </w:r>
      <w:r w:rsidR="0060294F" w:rsidRPr="005304B4">
        <w:rPr>
          <w:color w:val="000000" w:themeColor="text1"/>
        </w:rPr>
        <w:t xml:space="preserve"> ante la ley y </w:t>
      </w:r>
      <w:r w:rsidR="00A54C84" w:rsidRPr="005304B4">
        <w:rPr>
          <w:color w:val="000000" w:themeColor="text1"/>
        </w:rPr>
        <w:t xml:space="preserve">la </w:t>
      </w:r>
      <w:r w:rsidR="0060294F" w:rsidRPr="005304B4">
        <w:rPr>
          <w:color w:val="000000" w:themeColor="text1"/>
        </w:rPr>
        <w:t>no discriminación</w:t>
      </w:r>
      <w:r w:rsidR="00E15B6A" w:rsidRPr="005304B4">
        <w:rPr>
          <w:color w:val="000000" w:themeColor="text1"/>
        </w:rPr>
        <w:t xml:space="preserve">. En la </w:t>
      </w:r>
      <w:r w:rsidR="00E15B6A" w:rsidRPr="005304B4">
        <w:rPr>
          <w:lang w:eastAsia="es-MX"/>
        </w:rPr>
        <w:t>Opinión Consultiva OC-18</w:t>
      </w:r>
      <w:r w:rsidR="008552E1" w:rsidRPr="005304B4">
        <w:rPr>
          <w:lang w:eastAsia="es-MX"/>
        </w:rPr>
        <w:t xml:space="preserve"> de 20</w:t>
      </w:r>
      <w:r w:rsidR="00E15B6A" w:rsidRPr="005304B4">
        <w:rPr>
          <w:lang w:eastAsia="es-MX"/>
        </w:rPr>
        <w:t>03, sostuvo que los Estados tienen la obligación de no introducir en su ordenamiento jurídico regulaciones discriminatorias, de eliminar</w:t>
      </w:r>
      <w:r w:rsidR="00232AD8" w:rsidRPr="005304B4">
        <w:rPr>
          <w:lang w:eastAsia="es-MX"/>
        </w:rPr>
        <w:t xml:space="preserve"> de </w:t>
      </w:r>
      <w:r w:rsidR="00E15B6A" w:rsidRPr="005304B4">
        <w:rPr>
          <w:lang w:eastAsia="es-MX"/>
        </w:rPr>
        <w:t xml:space="preserve">dicho ordenamiento </w:t>
      </w:r>
      <w:r w:rsidR="00232AD8" w:rsidRPr="005304B4">
        <w:rPr>
          <w:lang w:eastAsia="es-MX"/>
        </w:rPr>
        <w:t xml:space="preserve">dichas </w:t>
      </w:r>
      <w:r w:rsidR="00E15B6A" w:rsidRPr="005304B4">
        <w:rPr>
          <w:lang w:eastAsia="es-MX"/>
        </w:rPr>
        <w:t xml:space="preserve">regulaciones y de combatir las prácticas discriminatorias. </w:t>
      </w:r>
      <w:r w:rsidR="0060294F" w:rsidRPr="005304B4">
        <w:rPr>
          <w:lang w:eastAsia="es-MX"/>
        </w:rPr>
        <w:t xml:space="preserve">También precisó que este principio impregna toda actuación del poder del Estado, en cualquiera de sus manifestaciones, relacionada con el respeto y garantía de los derechos humanos. Finalmente, consideró que la igualdad ante la ley y no discriminación pertenece al </w:t>
      </w:r>
      <w:r w:rsidR="00416A2F" w:rsidRPr="005304B4">
        <w:rPr>
          <w:i/>
          <w:iCs/>
          <w:lang w:eastAsia="es-MX"/>
        </w:rPr>
        <w:t>i</w:t>
      </w:r>
      <w:r w:rsidR="0060294F" w:rsidRPr="005304B4">
        <w:rPr>
          <w:i/>
          <w:iCs/>
          <w:lang w:eastAsia="es-MX"/>
        </w:rPr>
        <w:t xml:space="preserve">us cogens, </w:t>
      </w:r>
      <w:r w:rsidR="0060294F" w:rsidRPr="005304B4">
        <w:rPr>
          <w:lang w:eastAsia="es-MX"/>
        </w:rPr>
        <w:t>puesto que sobre él descansa todo el andamiaje jurídico del orden público nacional e internacional y es un principio que permea todo el ordenamiento jurídico</w:t>
      </w:r>
      <w:r w:rsidR="00E45653" w:rsidRPr="005304B4">
        <w:rPr>
          <w:rStyle w:val="Refdenotaalpie"/>
          <w:lang w:eastAsia="es-MX"/>
        </w:rPr>
        <w:footnoteReference w:id="75"/>
      </w:r>
      <w:r w:rsidR="0060294F" w:rsidRPr="005304B4">
        <w:rPr>
          <w:lang w:eastAsia="es-MX"/>
        </w:rPr>
        <w:t xml:space="preserve">. </w:t>
      </w:r>
    </w:p>
    <w:p w14:paraId="3395FD51" w14:textId="77777777" w:rsidR="0087035B" w:rsidRPr="005304B4" w:rsidRDefault="0087035B" w:rsidP="00E7238B">
      <w:pPr>
        <w:rPr>
          <w:i/>
          <w:iCs/>
          <w:color w:val="000000" w:themeColor="text1"/>
          <w:sz w:val="28"/>
          <w:szCs w:val="28"/>
        </w:rPr>
      </w:pPr>
    </w:p>
    <w:p w14:paraId="1AD505E6" w14:textId="47FC86B7" w:rsidR="00B62E48" w:rsidRPr="005304B4" w:rsidRDefault="00A136BC" w:rsidP="00B62E48">
      <w:pPr>
        <w:pStyle w:val="Prrafodelista"/>
        <w:numPr>
          <w:ilvl w:val="0"/>
          <w:numId w:val="40"/>
        </w:numPr>
        <w:tabs>
          <w:tab w:val="left" w:pos="284"/>
          <w:tab w:val="left" w:pos="426"/>
        </w:tabs>
        <w:ind w:left="0" w:firstLine="0"/>
        <w:rPr>
          <w:i/>
          <w:iCs/>
          <w:color w:val="000000" w:themeColor="text1"/>
        </w:rPr>
      </w:pPr>
      <w:r w:rsidRPr="005304B4">
        <w:rPr>
          <w:color w:val="000000" w:themeColor="text1"/>
        </w:rPr>
        <w:t>De esta manera, la cláusula de igualdad y no discriminación no constituye una mera declaración formal, sino un mandato de acción para contrarrestar los efectos estructurales de la discriminación</w:t>
      </w:r>
      <w:r w:rsidR="00A54C84" w:rsidRPr="005304B4">
        <w:rPr>
          <w:color w:val="000000" w:themeColor="text1"/>
        </w:rPr>
        <w:t>. E</w:t>
      </w:r>
      <w:r w:rsidRPr="005304B4">
        <w:rPr>
          <w:color w:val="000000" w:themeColor="text1"/>
        </w:rPr>
        <w:t>n especial</w:t>
      </w:r>
      <w:r w:rsidR="00A54C84" w:rsidRPr="005304B4">
        <w:rPr>
          <w:color w:val="000000" w:themeColor="text1"/>
        </w:rPr>
        <w:t>,</w:t>
      </w:r>
      <w:r w:rsidRPr="005304B4">
        <w:rPr>
          <w:color w:val="000000" w:themeColor="text1"/>
        </w:rPr>
        <w:t xml:space="preserve"> aquellos derivados de categorías constitucionalmente sospechosas</w:t>
      </w:r>
      <w:r w:rsidR="00A54C84" w:rsidRPr="005304B4">
        <w:rPr>
          <w:color w:val="000000" w:themeColor="text1"/>
        </w:rPr>
        <w:t>,</w:t>
      </w:r>
      <w:r w:rsidRPr="005304B4">
        <w:rPr>
          <w:color w:val="000000" w:themeColor="text1"/>
        </w:rPr>
        <w:t xml:space="preserve"> como el sexo</w:t>
      </w:r>
      <w:r w:rsidR="00232AD8" w:rsidRPr="005304B4">
        <w:rPr>
          <w:color w:val="000000" w:themeColor="text1"/>
        </w:rPr>
        <w:t xml:space="preserve">, </w:t>
      </w:r>
      <w:r w:rsidRPr="005304B4">
        <w:rPr>
          <w:color w:val="000000" w:themeColor="text1"/>
        </w:rPr>
        <w:t>el género</w:t>
      </w:r>
      <w:r w:rsidR="00232AD8" w:rsidRPr="005304B4">
        <w:rPr>
          <w:color w:val="000000" w:themeColor="text1"/>
        </w:rPr>
        <w:t xml:space="preserve"> y la orientación sexual</w:t>
      </w:r>
      <w:r w:rsidRPr="005304B4">
        <w:rPr>
          <w:rStyle w:val="Refdenotaalpie"/>
          <w:color w:val="000000" w:themeColor="text1"/>
        </w:rPr>
        <w:footnoteReference w:id="76"/>
      </w:r>
      <w:r w:rsidRPr="005304B4">
        <w:rPr>
          <w:color w:val="000000" w:themeColor="text1"/>
        </w:rPr>
        <w:t xml:space="preserve">. Por tanto, es un desafío que deben asumir los individuos, la sociedad y el Estado. </w:t>
      </w:r>
    </w:p>
    <w:p w14:paraId="56266853" w14:textId="77777777" w:rsidR="00C625C6" w:rsidRPr="005304B4" w:rsidRDefault="00C625C6" w:rsidP="00C625C6">
      <w:pPr>
        <w:pStyle w:val="Prrafodelista"/>
        <w:rPr>
          <w:i/>
          <w:iCs/>
          <w:color w:val="000000" w:themeColor="text1"/>
        </w:rPr>
      </w:pPr>
    </w:p>
    <w:p w14:paraId="0DFDA16C" w14:textId="0E5C187A" w:rsidR="00C625C6" w:rsidRPr="005304B4" w:rsidRDefault="00A54C84" w:rsidP="00A54C84">
      <w:pPr>
        <w:pStyle w:val="Ttulo3"/>
      </w:pPr>
      <w:bookmarkStart w:id="29" w:name="_Toc224553752"/>
      <w:r w:rsidRPr="005304B4">
        <w:rPr>
          <w:lang w:val="es-ES"/>
        </w:rPr>
        <w:t>5.1. La p</w:t>
      </w:r>
      <w:r w:rsidR="00C625C6" w:rsidRPr="005304B4">
        <w:rPr>
          <w:lang w:val="es-ES"/>
        </w:rPr>
        <w:t xml:space="preserve">rohibición de discriminación en razón del </w:t>
      </w:r>
      <w:r w:rsidR="00416A2F" w:rsidRPr="005304B4">
        <w:rPr>
          <w:lang w:val="es-ES"/>
        </w:rPr>
        <w:t xml:space="preserve">sexo, </w:t>
      </w:r>
      <w:r w:rsidR="00BD65B9" w:rsidRPr="005304B4">
        <w:rPr>
          <w:lang w:val="es-ES"/>
        </w:rPr>
        <w:t xml:space="preserve">el </w:t>
      </w:r>
      <w:r w:rsidR="00416A2F" w:rsidRPr="005304B4">
        <w:rPr>
          <w:lang w:val="es-ES"/>
        </w:rPr>
        <w:t>género</w:t>
      </w:r>
      <w:r w:rsidR="00C625C6" w:rsidRPr="005304B4">
        <w:rPr>
          <w:lang w:val="es-ES"/>
        </w:rPr>
        <w:t xml:space="preserve"> y la orientación sexual</w:t>
      </w:r>
      <w:bookmarkEnd w:id="29"/>
    </w:p>
    <w:p w14:paraId="552D8581" w14:textId="77777777" w:rsidR="00C625C6" w:rsidRPr="005304B4" w:rsidRDefault="00C625C6" w:rsidP="00C625C6">
      <w:pPr>
        <w:pStyle w:val="Prrafodelista"/>
        <w:rPr>
          <w:i/>
          <w:iCs/>
          <w:color w:val="000000" w:themeColor="text1"/>
        </w:rPr>
      </w:pPr>
    </w:p>
    <w:p w14:paraId="202E1F9B" w14:textId="2C41A2D8" w:rsidR="00C625C6" w:rsidRPr="005304B4" w:rsidRDefault="000D3BF9" w:rsidP="00232AD8">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Como se explicó, el artículo 13 de la Constitución Política consagra el principio de igualdad y establece expresamente que todas las personas deben recibir el mismo trato ante la ley, “sin ninguna discriminación”, incluida aquella fundada en el sexo, </w:t>
      </w:r>
      <w:r w:rsidR="009712FE" w:rsidRPr="005304B4">
        <w:rPr>
          <w:color w:val="000000" w:themeColor="text1"/>
        </w:rPr>
        <w:t>de la cual, relacionalmente, surge</w:t>
      </w:r>
      <w:r w:rsidRPr="005304B4">
        <w:rPr>
          <w:color w:val="000000" w:themeColor="text1"/>
        </w:rPr>
        <w:t xml:space="preserve"> la categoría de orientación sexual</w:t>
      </w:r>
      <w:r w:rsidRPr="005304B4">
        <w:rPr>
          <w:rStyle w:val="Refdenotaalpie"/>
          <w:color w:val="000000" w:themeColor="text1"/>
        </w:rPr>
        <w:footnoteReference w:id="77"/>
      </w:r>
      <w:r w:rsidRPr="005304B4">
        <w:rPr>
          <w:color w:val="000000" w:themeColor="text1"/>
        </w:rPr>
        <w:t xml:space="preserve">. </w:t>
      </w:r>
    </w:p>
    <w:p w14:paraId="794FF8A8" w14:textId="77777777" w:rsidR="00B62E48" w:rsidRPr="005304B4" w:rsidRDefault="00B62E48" w:rsidP="00B62E48">
      <w:pPr>
        <w:pStyle w:val="Prrafodelista"/>
        <w:rPr>
          <w:color w:val="000000" w:themeColor="text1"/>
        </w:rPr>
      </w:pPr>
    </w:p>
    <w:p w14:paraId="41AF3F50" w14:textId="2AC18981" w:rsidR="00B62E48" w:rsidRPr="005304B4" w:rsidRDefault="009712FE" w:rsidP="00B62E48">
      <w:pPr>
        <w:pStyle w:val="Prrafodelista"/>
        <w:numPr>
          <w:ilvl w:val="0"/>
          <w:numId w:val="40"/>
        </w:numPr>
        <w:tabs>
          <w:tab w:val="left" w:pos="284"/>
          <w:tab w:val="left" w:pos="426"/>
        </w:tabs>
        <w:ind w:left="0" w:firstLine="0"/>
        <w:rPr>
          <w:i/>
          <w:iCs/>
          <w:color w:val="000000" w:themeColor="text1"/>
        </w:rPr>
      </w:pPr>
      <w:r w:rsidRPr="005304B4">
        <w:rPr>
          <w:color w:val="000000" w:themeColor="text1"/>
        </w:rPr>
        <w:t>D</w:t>
      </w:r>
      <w:r w:rsidR="00512D72" w:rsidRPr="005304B4">
        <w:rPr>
          <w:color w:val="000000" w:themeColor="text1"/>
        </w:rPr>
        <w:t xml:space="preserve">esde sus inicios, </w:t>
      </w:r>
      <w:r w:rsidRPr="005304B4">
        <w:rPr>
          <w:color w:val="000000" w:themeColor="text1"/>
        </w:rPr>
        <w:t xml:space="preserve">esta Corte </w:t>
      </w:r>
      <w:r w:rsidR="00B62E48" w:rsidRPr="005304B4">
        <w:rPr>
          <w:color w:val="000000" w:themeColor="text1"/>
        </w:rPr>
        <w:t xml:space="preserve">ha sido enfática en </w:t>
      </w:r>
      <w:r w:rsidR="00512D72" w:rsidRPr="005304B4">
        <w:rPr>
          <w:color w:val="000000" w:themeColor="text1"/>
        </w:rPr>
        <w:t>precisar</w:t>
      </w:r>
      <w:r w:rsidR="00B62E48" w:rsidRPr="005304B4">
        <w:rPr>
          <w:color w:val="000000" w:themeColor="text1"/>
        </w:rPr>
        <w:t xml:space="preserve"> que la discriminación fundada en razones de sexo se encuentra</w:t>
      </w:r>
      <w:r w:rsidRPr="005304B4">
        <w:rPr>
          <w:color w:val="000000" w:themeColor="text1"/>
        </w:rPr>
        <w:t>, a primera vista,</w:t>
      </w:r>
      <w:r w:rsidR="00B62E48" w:rsidRPr="005304B4">
        <w:rPr>
          <w:color w:val="000000" w:themeColor="text1"/>
        </w:rPr>
        <w:t xml:space="preserve"> prohibida, mientras no exista un motivo constitucionalmente válido que la justifique</w:t>
      </w:r>
      <w:r w:rsidR="00512D72" w:rsidRPr="005304B4">
        <w:rPr>
          <w:color w:val="000000" w:themeColor="text1"/>
        </w:rPr>
        <w:t xml:space="preserve">. </w:t>
      </w:r>
      <w:r w:rsidR="000F4F55" w:rsidRPr="005304B4">
        <w:rPr>
          <w:color w:val="000000" w:themeColor="text1"/>
        </w:rPr>
        <w:t xml:space="preserve">En la Sentencia C-588 de 1992, la Sala Plena precisó que “el hombre y mujer gozan de los mismos derechos y prerrogativas y están obligados por sus deberes en igual forma a la luz de la Constitución (…) </w:t>
      </w:r>
      <w:r w:rsidR="000F4F55" w:rsidRPr="005304B4">
        <w:rPr>
          <w:color w:val="000000" w:themeColor="text1"/>
          <w:shd w:val="clear" w:color="auto" w:fill="FFFFFF"/>
        </w:rPr>
        <w:t>La pertenencia al sexo masculino o al femenino tampoco debe implicar, por sí misma, una razón para obtener beneficios de la ley o para hallarse ante sus normas en inferioridad de condiciones. De allí que sean inconstitucionales las disposiciones que plasman distinciones soportadas única y exclusivamente en ese factor</w:t>
      </w:r>
      <w:r w:rsidR="000F4F55" w:rsidRPr="005304B4">
        <w:rPr>
          <w:color w:val="2D2D2D"/>
          <w:shd w:val="clear" w:color="auto" w:fill="FFFFFF"/>
        </w:rPr>
        <w:t>”.</w:t>
      </w:r>
    </w:p>
    <w:p w14:paraId="23CA8A15" w14:textId="77777777" w:rsidR="000F4F55" w:rsidRPr="005304B4" w:rsidRDefault="000F4F55" w:rsidP="000F4F55">
      <w:pPr>
        <w:pStyle w:val="Prrafodelista"/>
        <w:rPr>
          <w:i/>
          <w:iCs/>
          <w:color w:val="000000" w:themeColor="text1"/>
        </w:rPr>
      </w:pPr>
    </w:p>
    <w:p w14:paraId="2627BC5A" w14:textId="4F2E018E" w:rsidR="005E6134" w:rsidRPr="005304B4" w:rsidRDefault="004C11CC" w:rsidP="005E6134">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Por consiguiente, el sexo </w:t>
      </w:r>
      <w:r w:rsidR="00416A2F" w:rsidRPr="005304B4">
        <w:rPr>
          <w:color w:val="000000" w:themeColor="text1"/>
        </w:rPr>
        <w:t>y el género son categorías</w:t>
      </w:r>
      <w:r w:rsidRPr="005304B4">
        <w:rPr>
          <w:color w:val="000000" w:themeColor="text1"/>
        </w:rPr>
        <w:t xml:space="preserve"> sospechosa</w:t>
      </w:r>
      <w:r w:rsidR="00416A2F" w:rsidRPr="005304B4">
        <w:rPr>
          <w:color w:val="000000" w:themeColor="text1"/>
        </w:rPr>
        <w:t>s</w:t>
      </w:r>
      <w:r w:rsidR="003D5AD6" w:rsidRPr="005304B4">
        <w:rPr>
          <w:color w:val="000000" w:themeColor="text1"/>
        </w:rPr>
        <w:t xml:space="preserve"> de discriminación por mandato de la propia</w:t>
      </w:r>
      <w:r w:rsidRPr="005304B4">
        <w:rPr>
          <w:color w:val="000000" w:themeColor="text1"/>
        </w:rPr>
        <w:t xml:space="preserve"> Constitución. El trato diferenciado que se sustente en este criterio </w:t>
      </w:r>
      <w:r w:rsidR="003D5AD6" w:rsidRPr="005304B4">
        <w:rPr>
          <w:color w:val="000000" w:themeColor="text1"/>
        </w:rPr>
        <w:t xml:space="preserve">se presume que </w:t>
      </w:r>
      <w:r w:rsidRPr="005304B4">
        <w:rPr>
          <w:color w:val="000000" w:themeColor="text1"/>
        </w:rPr>
        <w:t>desconoce el derecho a la igualdad y</w:t>
      </w:r>
      <w:r w:rsidR="003D5AD6" w:rsidRPr="005304B4">
        <w:rPr>
          <w:color w:val="000000" w:themeColor="text1"/>
        </w:rPr>
        <w:t xml:space="preserve">, en tal sentido, es </w:t>
      </w:r>
      <w:r w:rsidRPr="005304B4">
        <w:rPr>
          <w:color w:val="000000" w:themeColor="text1"/>
        </w:rPr>
        <w:t xml:space="preserve">discriminatorio, a menos que se demuestre la razonabilidad y proporcionalidad </w:t>
      </w:r>
      <w:r w:rsidR="003D5AD6" w:rsidRPr="005304B4">
        <w:rPr>
          <w:color w:val="000000" w:themeColor="text1"/>
        </w:rPr>
        <w:t xml:space="preserve">estricta </w:t>
      </w:r>
      <w:r w:rsidRPr="005304B4">
        <w:rPr>
          <w:color w:val="000000" w:themeColor="text1"/>
        </w:rPr>
        <w:t xml:space="preserve">de su uso. </w:t>
      </w:r>
      <w:r w:rsidR="005E6134" w:rsidRPr="005304B4">
        <w:rPr>
          <w:color w:val="000000" w:themeColor="text1"/>
        </w:rPr>
        <w:t xml:space="preserve">Esto es así porque la prohibición expresa de discriminación por razón de sexo de la cláusula de igualdad contempla una excepción: </w:t>
      </w:r>
      <w:r w:rsidR="005E6134" w:rsidRPr="005304B4">
        <w:rPr>
          <w:bCs/>
          <w:color w:val="000000" w:themeColor="text1"/>
        </w:rPr>
        <w:t>el trato normativo diferenciado por razón de sexo que la Constitución prohíbe es aquel que es desfavorable</w:t>
      </w:r>
      <w:r w:rsidR="003D5AD6" w:rsidRPr="005304B4">
        <w:rPr>
          <w:bCs/>
          <w:color w:val="000000" w:themeColor="text1"/>
        </w:rPr>
        <w:t xml:space="preserve"> e injustificado</w:t>
      </w:r>
      <w:r w:rsidR="005E6134" w:rsidRPr="005304B4">
        <w:rPr>
          <w:rStyle w:val="Refdenotaalpie"/>
          <w:bCs/>
          <w:color w:val="000000" w:themeColor="text1"/>
        </w:rPr>
        <w:footnoteReference w:id="78"/>
      </w:r>
      <w:r w:rsidR="005E6134" w:rsidRPr="005304B4">
        <w:rPr>
          <w:bCs/>
          <w:color w:val="000000" w:themeColor="text1"/>
        </w:rPr>
        <w:t>.</w:t>
      </w:r>
    </w:p>
    <w:p w14:paraId="3343FC93" w14:textId="77777777" w:rsidR="005E6134" w:rsidRPr="005304B4" w:rsidRDefault="005E6134" w:rsidP="005E6134">
      <w:pPr>
        <w:pStyle w:val="Prrafodelista"/>
        <w:rPr>
          <w:i/>
          <w:iCs/>
          <w:color w:val="000000" w:themeColor="text1"/>
        </w:rPr>
      </w:pPr>
    </w:p>
    <w:p w14:paraId="279A8809" w14:textId="32FE882B" w:rsidR="00232AD8" w:rsidRPr="005304B4" w:rsidRDefault="005E6134" w:rsidP="00232AD8">
      <w:pPr>
        <w:pStyle w:val="Prrafodelista"/>
        <w:numPr>
          <w:ilvl w:val="0"/>
          <w:numId w:val="40"/>
        </w:numPr>
        <w:tabs>
          <w:tab w:val="left" w:pos="284"/>
          <w:tab w:val="left" w:pos="426"/>
        </w:tabs>
        <w:ind w:left="0" w:firstLine="0"/>
        <w:rPr>
          <w:i/>
          <w:iCs/>
          <w:color w:val="000000" w:themeColor="text1"/>
        </w:rPr>
      </w:pPr>
      <w:r w:rsidRPr="005304B4">
        <w:rPr>
          <w:color w:val="000000" w:themeColor="text1"/>
        </w:rPr>
        <w:t>De acuerdo con los incisos 2 y 3 de los artículo</w:t>
      </w:r>
      <w:r w:rsidR="00F470D8" w:rsidRPr="005304B4">
        <w:rPr>
          <w:color w:val="000000" w:themeColor="text1"/>
        </w:rPr>
        <w:t>s</w:t>
      </w:r>
      <w:r w:rsidRPr="005304B4">
        <w:rPr>
          <w:color w:val="000000" w:themeColor="text1"/>
        </w:rPr>
        <w:t xml:space="preserve"> 13 y 43 de la Constitución, respectivamente, la prohibición de discriminación se debe </w:t>
      </w:r>
      <w:r w:rsidR="003D5AD6" w:rsidRPr="005304B4">
        <w:rPr>
          <w:color w:val="000000" w:themeColor="text1"/>
        </w:rPr>
        <w:t>materializar a través de</w:t>
      </w:r>
      <w:r w:rsidRPr="005304B4">
        <w:rPr>
          <w:color w:val="000000" w:themeColor="text1"/>
        </w:rPr>
        <w:t xml:space="preserve"> medidas necesarias para </w:t>
      </w:r>
      <w:r w:rsidR="003D5AD6" w:rsidRPr="005304B4">
        <w:rPr>
          <w:color w:val="000000" w:themeColor="text1"/>
        </w:rPr>
        <w:t>contrarrestar los efectos de las formas de exclusión históricas</w:t>
      </w:r>
      <w:r w:rsidRPr="005304B4">
        <w:rPr>
          <w:color w:val="000000" w:themeColor="text1"/>
        </w:rPr>
        <w:t>, en especial</w:t>
      </w:r>
      <w:r w:rsidR="003D5AD6" w:rsidRPr="005304B4">
        <w:rPr>
          <w:color w:val="000000" w:themeColor="text1"/>
        </w:rPr>
        <w:t xml:space="preserve"> hacia</w:t>
      </w:r>
      <w:r w:rsidRPr="005304B4">
        <w:rPr>
          <w:color w:val="000000" w:themeColor="text1"/>
        </w:rPr>
        <w:t xml:space="preserve"> a la mujer. </w:t>
      </w:r>
      <w:r w:rsidR="00930159" w:rsidRPr="005304B4">
        <w:rPr>
          <w:color w:val="000000" w:themeColor="text1"/>
        </w:rPr>
        <w:t xml:space="preserve">A partir de estos mandatos superiores, para la Corte es claro que </w:t>
      </w:r>
      <w:r w:rsidR="003D5AD6" w:rsidRPr="005304B4">
        <w:rPr>
          <w:color w:val="000000" w:themeColor="text1"/>
        </w:rPr>
        <w:t>es posible</w:t>
      </w:r>
      <w:r w:rsidR="00930159" w:rsidRPr="005304B4">
        <w:rPr>
          <w:color w:val="000000" w:themeColor="text1"/>
        </w:rPr>
        <w:t xml:space="preserve"> implementar </w:t>
      </w:r>
      <w:r w:rsidR="003D5AD6" w:rsidRPr="005304B4">
        <w:rPr>
          <w:color w:val="000000" w:themeColor="text1"/>
        </w:rPr>
        <w:t>acciones afirmativas</w:t>
      </w:r>
      <w:r w:rsidR="00930159" w:rsidRPr="005304B4">
        <w:rPr>
          <w:color w:val="000000" w:themeColor="text1"/>
        </w:rPr>
        <w:t xml:space="preserve"> con el fin de favorecer a grupos que son objeto de protección especial</w:t>
      </w:r>
      <w:r w:rsidR="003D5AD6" w:rsidRPr="005304B4">
        <w:rPr>
          <w:color w:val="000000" w:themeColor="text1"/>
        </w:rPr>
        <w:t xml:space="preserve"> por enfrentar discriminación social</w:t>
      </w:r>
      <w:r w:rsidR="00930159" w:rsidRPr="005304B4">
        <w:rPr>
          <w:rStyle w:val="Refdenotaalpie"/>
          <w:color w:val="000000" w:themeColor="text1"/>
        </w:rPr>
        <w:footnoteReference w:id="79"/>
      </w:r>
      <w:r w:rsidR="00930159" w:rsidRPr="005304B4">
        <w:rPr>
          <w:color w:val="000000" w:themeColor="text1"/>
        </w:rPr>
        <w:t xml:space="preserve">. </w:t>
      </w:r>
    </w:p>
    <w:p w14:paraId="1809D9FD" w14:textId="77777777" w:rsidR="00232AD8" w:rsidRPr="005304B4" w:rsidRDefault="00232AD8" w:rsidP="00232AD8">
      <w:pPr>
        <w:pStyle w:val="Prrafodelista"/>
        <w:rPr>
          <w:i/>
          <w:iCs/>
          <w:color w:val="000000" w:themeColor="text1"/>
        </w:rPr>
      </w:pPr>
    </w:p>
    <w:p w14:paraId="54C80237" w14:textId="31B992AE" w:rsidR="00232AD8" w:rsidRPr="005304B4" w:rsidRDefault="00BA4CD5" w:rsidP="005E6134">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En cuanto a la prohibición </w:t>
      </w:r>
      <w:r w:rsidR="003D5AD6" w:rsidRPr="005304B4">
        <w:rPr>
          <w:color w:val="000000" w:themeColor="text1"/>
        </w:rPr>
        <w:t xml:space="preserve">de discriminación </w:t>
      </w:r>
      <w:r w:rsidRPr="005304B4">
        <w:rPr>
          <w:color w:val="000000" w:themeColor="text1"/>
        </w:rPr>
        <w:t>por razón de la orientación sexual, esta</w:t>
      </w:r>
      <w:r w:rsidR="00D44E58" w:rsidRPr="005304B4">
        <w:rPr>
          <w:color w:val="000000" w:themeColor="text1"/>
        </w:rPr>
        <w:t xml:space="preserve"> </w:t>
      </w:r>
      <w:r w:rsidRPr="005304B4">
        <w:rPr>
          <w:color w:val="000000" w:themeColor="text1"/>
        </w:rPr>
        <w:t>Corte, desde</w:t>
      </w:r>
      <w:r w:rsidR="00232AD8" w:rsidRPr="005304B4">
        <w:rPr>
          <w:color w:val="000000" w:themeColor="text1"/>
        </w:rPr>
        <w:t xml:space="preserve"> sus inicios, ha determinado que el principio de igualdad </w:t>
      </w:r>
      <w:r w:rsidR="00232AD8" w:rsidRPr="005304B4">
        <w:t>comprende la prohibición de discriminar a las personas con base en su orientación sexual. En efecto, la Sentencia C-098 de 1996, sostuvo que cualquier intento de establecer diferencias legales perjudiciales basadas en orientación sexual vulnera el principio de igualdad. En la Sentencia C-481 de 1998, bajo este mismo enfoque, señaló que un trato distinto fundado en la orientación sexual rara vez cumple algún propósito constitucionalmente relevante porque casi nunca se encuentra relacionada con las capacidades del individuo. En ese sentido, determin</w:t>
      </w:r>
      <w:r w:rsidR="00C625C6" w:rsidRPr="005304B4">
        <w:t xml:space="preserve">ó </w:t>
      </w:r>
      <w:r w:rsidR="00232AD8" w:rsidRPr="005304B4">
        <w:t xml:space="preserve">que </w:t>
      </w:r>
      <w:r w:rsidR="00C625C6" w:rsidRPr="005304B4">
        <w:t>todo trato fundado en este criterio es</w:t>
      </w:r>
      <w:r w:rsidR="00C36527" w:rsidRPr="005304B4">
        <w:t>, en principio,</w:t>
      </w:r>
      <w:r w:rsidR="00C625C6" w:rsidRPr="005304B4">
        <w:t xml:space="preserve"> discriminatorio y</w:t>
      </w:r>
      <w:r w:rsidR="00C36527" w:rsidRPr="005304B4">
        <w:t xml:space="preserve">, por lo tanto, </w:t>
      </w:r>
      <w:r w:rsidR="00C625C6" w:rsidRPr="005304B4">
        <w:t>está constitucionalmente prohibid</w:t>
      </w:r>
      <w:r w:rsidR="00C36527" w:rsidRPr="005304B4">
        <w:t>o</w:t>
      </w:r>
      <w:r w:rsidR="00C625C6" w:rsidRPr="005304B4">
        <w:t xml:space="preserve"> por el artículo 13 superior. </w:t>
      </w:r>
    </w:p>
    <w:p w14:paraId="20D1BBE3" w14:textId="77777777" w:rsidR="00C625C6" w:rsidRPr="005304B4" w:rsidRDefault="00C625C6" w:rsidP="00C625C6">
      <w:pPr>
        <w:pStyle w:val="Prrafodelista"/>
        <w:tabs>
          <w:tab w:val="left" w:pos="284"/>
          <w:tab w:val="left" w:pos="426"/>
        </w:tabs>
        <w:ind w:left="0"/>
        <w:rPr>
          <w:i/>
          <w:iCs/>
          <w:color w:val="000000" w:themeColor="text1"/>
        </w:rPr>
      </w:pPr>
    </w:p>
    <w:p w14:paraId="7D3CFF71" w14:textId="2E59CBC8" w:rsidR="00232AD8" w:rsidRPr="005304B4" w:rsidRDefault="00C625C6" w:rsidP="00232AD8">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El derecho internacional de los derechos humanos también proscribe la diferenciación de trato basada en la orientación sexual. </w:t>
      </w:r>
      <w:r w:rsidR="00BA4CD5" w:rsidRPr="005304B4">
        <w:rPr>
          <w:color w:val="000000" w:themeColor="text1"/>
        </w:rPr>
        <w:t>Además de los mandatos</w:t>
      </w:r>
      <w:r w:rsidR="00D44E58" w:rsidRPr="005304B4">
        <w:rPr>
          <w:color w:val="000000" w:themeColor="text1"/>
        </w:rPr>
        <w:t xml:space="preserve"> </w:t>
      </w:r>
      <w:r w:rsidR="00BA4CD5" w:rsidRPr="005304B4">
        <w:rPr>
          <w:color w:val="000000" w:themeColor="text1"/>
        </w:rPr>
        <w:t>de igualdad señalados en la parte inicial de este capítulo, l</w:t>
      </w:r>
      <w:r w:rsidRPr="005304B4">
        <w:rPr>
          <w:color w:val="000000" w:themeColor="text1"/>
        </w:rPr>
        <w:t>as observaciones generales de algunos instrumentos internacionales han confirmado que los Estados tienen la obligación de proteger a todas las personas de la discriminación por razón de la orientación sexual</w:t>
      </w:r>
      <w:r w:rsidRPr="005304B4">
        <w:rPr>
          <w:rStyle w:val="Refdenotaalpie"/>
          <w:color w:val="000000" w:themeColor="text1"/>
        </w:rPr>
        <w:footnoteReference w:id="80"/>
      </w:r>
      <w:r w:rsidRPr="005304B4">
        <w:rPr>
          <w:color w:val="000000" w:themeColor="text1"/>
        </w:rPr>
        <w:t xml:space="preserve">. En particular, el Comité de Derechos Humanos ha instado a los Estados a garantizar a todas las personas la igualdad de los derechos independientemente de su orientación sexual </w:t>
      </w:r>
      <w:r w:rsidRPr="005304B4">
        <w:t>y ha celebrado la legislación que incluye la orientación sexual entre los motivos prohibidos de discriminación</w:t>
      </w:r>
      <w:r w:rsidRPr="005304B4">
        <w:rPr>
          <w:rStyle w:val="Refdenotaalpie"/>
        </w:rPr>
        <w:footnoteReference w:id="81"/>
      </w:r>
      <w:r w:rsidRPr="005304B4">
        <w:t xml:space="preserve">. </w:t>
      </w:r>
      <w:r w:rsidRPr="005304B4">
        <w:rPr>
          <w:color w:val="000000" w:themeColor="text1"/>
        </w:rPr>
        <w:t>El Comité de Derechos Económicos, por su parte, ha afirmado el principio de no discriminación por razón de orientación sexual</w:t>
      </w:r>
      <w:r w:rsidRPr="005304B4">
        <w:rPr>
          <w:rStyle w:val="Refdenotaalpie"/>
          <w:color w:val="000000" w:themeColor="text1"/>
        </w:rPr>
        <w:footnoteReference w:id="82"/>
      </w:r>
      <w:r w:rsidR="00BA4CD5" w:rsidRPr="005304B4">
        <w:rPr>
          <w:color w:val="000000" w:themeColor="text1"/>
        </w:rPr>
        <w:t xml:space="preserve">. </w:t>
      </w:r>
    </w:p>
    <w:p w14:paraId="41A5CAB1" w14:textId="77777777" w:rsidR="00C625C6" w:rsidRPr="005304B4" w:rsidRDefault="00C625C6" w:rsidP="00C625C6">
      <w:pPr>
        <w:pStyle w:val="Prrafodelista"/>
        <w:rPr>
          <w:i/>
          <w:iCs/>
          <w:color w:val="000000" w:themeColor="text1"/>
        </w:rPr>
      </w:pPr>
    </w:p>
    <w:p w14:paraId="015F5753" w14:textId="09D54E07" w:rsidR="00C625C6" w:rsidRPr="005304B4" w:rsidRDefault="00BA4CD5" w:rsidP="00232AD8">
      <w:pPr>
        <w:pStyle w:val="Prrafodelista"/>
        <w:numPr>
          <w:ilvl w:val="0"/>
          <w:numId w:val="40"/>
        </w:numPr>
        <w:tabs>
          <w:tab w:val="left" w:pos="284"/>
          <w:tab w:val="left" w:pos="426"/>
        </w:tabs>
        <w:ind w:left="0" w:firstLine="0"/>
        <w:rPr>
          <w:i/>
          <w:iCs/>
          <w:color w:val="000000" w:themeColor="text1"/>
        </w:rPr>
      </w:pPr>
      <w:r w:rsidRPr="005304B4">
        <w:rPr>
          <w:color w:val="000000" w:themeColor="text1"/>
        </w:rPr>
        <w:t>La Corte Constitucional, a lo largo de su jurisprudencia, ha sido contundente con esta prohibición. Así, al estudiar casos de discriminación basados en la orientación sexual, ha determinado que (a) esta constituye una categoría sospechosa de discriminación, por lo que todo tratamiento diferencial fundado en ese criterio se presume como discriminatorio a menos que pueda justificarse con la aplicación de un test estricto de proporcionalidad</w:t>
      </w:r>
      <w:r w:rsidRPr="005304B4">
        <w:rPr>
          <w:rStyle w:val="Refdenotaalpie"/>
          <w:color w:val="000000" w:themeColor="text1"/>
        </w:rPr>
        <w:footnoteReference w:id="83"/>
      </w:r>
      <w:r w:rsidR="002A1756" w:rsidRPr="005304B4">
        <w:rPr>
          <w:color w:val="000000" w:themeColor="text1"/>
        </w:rPr>
        <w:t xml:space="preserve"> y</w:t>
      </w:r>
      <w:r w:rsidRPr="005304B4">
        <w:rPr>
          <w:color w:val="000000" w:themeColor="text1"/>
        </w:rPr>
        <w:t xml:space="preserve"> (b) se debe eliminar toda forma o acto de discriminación en razón de la orientación sexual de las personas</w:t>
      </w:r>
      <w:r w:rsidRPr="005304B4">
        <w:rPr>
          <w:rStyle w:val="Refdenotaalpie"/>
          <w:color w:val="000000" w:themeColor="text1"/>
        </w:rPr>
        <w:footnoteReference w:id="84"/>
      </w:r>
      <w:r w:rsidRPr="005304B4">
        <w:rPr>
          <w:color w:val="000000" w:themeColor="text1"/>
        </w:rPr>
        <w:t xml:space="preserve">. </w:t>
      </w:r>
    </w:p>
    <w:p w14:paraId="5F124A79" w14:textId="77777777" w:rsidR="00A136BC" w:rsidRPr="005304B4" w:rsidRDefault="00A136BC" w:rsidP="00A136BC">
      <w:pPr>
        <w:tabs>
          <w:tab w:val="left" w:pos="284"/>
          <w:tab w:val="left" w:pos="426"/>
        </w:tabs>
        <w:rPr>
          <w:i/>
          <w:iCs/>
          <w:color w:val="000000" w:themeColor="text1"/>
          <w:sz w:val="28"/>
          <w:szCs w:val="28"/>
        </w:rPr>
      </w:pPr>
    </w:p>
    <w:p w14:paraId="2CEB9EA2" w14:textId="057DDC57" w:rsidR="002977B2" w:rsidRPr="005304B4" w:rsidRDefault="00C36527" w:rsidP="00C36527">
      <w:pPr>
        <w:pStyle w:val="Ttulo3"/>
      </w:pPr>
      <w:bookmarkStart w:id="30" w:name="_Toc224553753"/>
      <w:bookmarkStart w:id="31" w:name="OLE_LINK7"/>
      <w:bookmarkStart w:id="32" w:name="OLE_LINK8"/>
      <w:bookmarkStart w:id="33" w:name="OLE_LINK9"/>
      <w:r w:rsidRPr="005304B4">
        <w:t xml:space="preserve">5.2. </w:t>
      </w:r>
      <w:r w:rsidR="004C2122" w:rsidRPr="005304B4">
        <w:t>Incompatibilidad de las</w:t>
      </w:r>
      <w:r w:rsidR="00010981" w:rsidRPr="005304B4">
        <w:t xml:space="preserve"> normas </w:t>
      </w:r>
      <w:r w:rsidR="004C2122" w:rsidRPr="005304B4">
        <w:t>que se basan en estereotipos de género con la Constitución Política</w:t>
      </w:r>
      <w:r w:rsidR="00363D09" w:rsidRPr="005304B4">
        <w:t xml:space="preserve"> y el </w:t>
      </w:r>
      <w:r w:rsidRPr="005304B4">
        <w:t>b</w:t>
      </w:r>
      <w:r w:rsidR="00363D09" w:rsidRPr="005304B4">
        <w:t>loque</w:t>
      </w:r>
      <w:r w:rsidR="004C2122" w:rsidRPr="005304B4">
        <w:t xml:space="preserve"> </w:t>
      </w:r>
      <w:r w:rsidR="00D87DF2" w:rsidRPr="005304B4">
        <w:t>de constitucionalidad</w:t>
      </w:r>
      <w:bookmarkEnd w:id="30"/>
      <w:r w:rsidR="00D87DF2" w:rsidRPr="005304B4">
        <w:t xml:space="preserve"> </w:t>
      </w:r>
    </w:p>
    <w:bookmarkEnd w:id="31"/>
    <w:bookmarkEnd w:id="32"/>
    <w:bookmarkEnd w:id="33"/>
    <w:p w14:paraId="66B84C97" w14:textId="77777777" w:rsidR="002C1A7E" w:rsidRPr="005304B4" w:rsidRDefault="002C1A7E" w:rsidP="002C1A7E">
      <w:pPr>
        <w:pStyle w:val="Prrafodelista"/>
      </w:pPr>
    </w:p>
    <w:p w14:paraId="475F35DD" w14:textId="6EFB5E81" w:rsidR="002C1A7E" w:rsidRPr="005304B4" w:rsidRDefault="007B3AE6" w:rsidP="00D3004E">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Esta Corte ha </w:t>
      </w:r>
      <w:r w:rsidR="00D3004E" w:rsidRPr="005304B4">
        <w:rPr>
          <w:color w:val="000000" w:themeColor="text1"/>
        </w:rPr>
        <w:t xml:space="preserve">determinado que la discriminación por razones de sexo o género ha dado lugar a la asignación de roles diferenciados, </w:t>
      </w:r>
      <w:r w:rsidR="00C36527" w:rsidRPr="005304B4">
        <w:rPr>
          <w:color w:val="000000" w:themeColor="text1"/>
        </w:rPr>
        <w:t xml:space="preserve">la </w:t>
      </w:r>
      <w:r w:rsidR="00D3004E" w:rsidRPr="005304B4">
        <w:rPr>
          <w:color w:val="000000" w:themeColor="text1"/>
        </w:rPr>
        <w:t>imposición de cargas desiguales, la concesión de privilegios injustificados y la creación de estereotipos que dificultan el acceso a derechos y perpetúan la discriminación incluso en las instituciones judiciales</w:t>
      </w:r>
      <w:r w:rsidR="00D3004E" w:rsidRPr="005304B4">
        <w:rPr>
          <w:rStyle w:val="Refdenotaalpie"/>
          <w:color w:val="000000" w:themeColor="text1"/>
        </w:rPr>
        <w:footnoteReference w:id="85"/>
      </w:r>
      <w:r w:rsidR="00D3004E" w:rsidRPr="005304B4">
        <w:rPr>
          <w:color w:val="000000" w:themeColor="text1"/>
        </w:rPr>
        <w:t>. También</w:t>
      </w:r>
      <w:r w:rsidR="00D3004E" w:rsidRPr="005304B4">
        <w:rPr>
          <w:i/>
          <w:iCs/>
          <w:color w:val="000000" w:themeColor="text1"/>
        </w:rPr>
        <w:t xml:space="preserve"> </w:t>
      </w:r>
      <w:r w:rsidR="002C1A7E" w:rsidRPr="005304B4">
        <w:t xml:space="preserve">ha advertido que muchas de las diferenciaciones fundadas en el sexo o en los roles asignados tradicionalmente a hombres y mujeres se sustentan en </w:t>
      </w:r>
      <w:r w:rsidR="002C1A7E" w:rsidRPr="005304B4">
        <w:rPr>
          <w:rStyle w:val="Textoennegrita"/>
          <w:b w:val="0"/>
          <w:bCs w:val="0"/>
        </w:rPr>
        <w:t>estereotipos de género</w:t>
      </w:r>
      <w:r w:rsidR="00923D7E" w:rsidRPr="005304B4">
        <w:t>.</w:t>
      </w:r>
    </w:p>
    <w:p w14:paraId="0838384C" w14:textId="77777777" w:rsidR="007B3AE6" w:rsidRPr="005304B4" w:rsidRDefault="007B3AE6" w:rsidP="007B3AE6">
      <w:pPr>
        <w:pStyle w:val="Prrafodelista"/>
        <w:tabs>
          <w:tab w:val="left" w:pos="284"/>
          <w:tab w:val="left" w:pos="426"/>
        </w:tabs>
        <w:ind w:left="0"/>
        <w:rPr>
          <w:i/>
          <w:iCs/>
          <w:color w:val="000000" w:themeColor="text1"/>
        </w:rPr>
      </w:pPr>
    </w:p>
    <w:p w14:paraId="11A7AED5" w14:textId="1167C89C" w:rsidR="007B3AE6" w:rsidRPr="005304B4" w:rsidRDefault="007B3AE6" w:rsidP="007B3AE6">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La Sala Plena de esta Corporación </w:t>
      </w:r>
      <w:r w:rsidRPr="005304B4">
        <w:rPr>
          <w:color w:val="000000" w:themeColor="text1"/>
          <w:shd w:val="clear" w:color="auto" w:fill="FFFFFF"/>
        </w:rPr>
        <w:t xml:space="preserve">ha entendido </w:t>
      </w:r>
      <w:r w:rsidR="008901FD" w:rsidRPr="005304B4">
        <w:rPr>
          <w:color w:val="000000" w:themeColor="text1"/>
          <w:shd w:val="clear" w:color="auto" w:fill="FFFFFF"/>
        </w:rPr>
        <w:t xml:space="preserve">los estereotipos de género </w:t>
      </w:r>
      <w:r w:rsidR="0048283F" w:rsidRPr="005304B4">
        <w:rPr>
          <w:color w:val="000000" w:themeColor="text1"/>
          <w:shd w:val="clear" w:color="auto" w:fill="FFFFFF"/>
        </w:rPr>
        <w:t xml:space="preserve">como aquellos que </w:t>
      </w:r>
      <w:r w:rsidRPr="005304B4">
        <w:rPr>
          <w:color w:val="000000" w:themeColor="text1"/>
          <w:shd w:val="clear" w:color="auto" w:fill="FFFFFF"/>
        </w:rPr>
        <w:t xml:space="preserve">corresponden a </w:t>
      </w:r>
      <w:r w:rsidRPr="005304B4">
        <w:rPr>
          <w:color w:val="000000" w:themeColor="text1"/>
          <w:shd w:val="clear" w:color="auto" w:fill="FFFFFF"/>
          <w:lang w:val="es-ES_tradnl"/>
        </w:rPr>
        <w:t xml:space="preserve">“la construcción social y cultural de hombres y mujeres, en razón de sus diferentes funciones físicas, biológicas, sexuales y sociales” que resultan problemáticos </w:t>
      </w:r>
      <w:r w:rsidRPr="005304B4">
        <w:rPr>
          <w:color w:val="000000" w:themeColor="text1"/>
          <w:shd w:val="clear" w:color="auto" w:fill="FFFFFF"/>
        </w:rPr>
        <w:t>cuando con la estereotipación se pretende “ignorar las características, habilidades, necesidades, deseos y circunstancias individuales, de forma tal que se les niegan a las personas sus derechos y libertades fundamentales y se crean jerarquías de género”. Estos estereotipos son una de las formas más comunes, pero a la vez, más ocultas de discriminación contra la mujer</w:t>
      </w:r>
      <w:r w:rsidRPr="005304B4">
        <w:rPr>
          <w:rStyle w:val="Refdenotaalpie"/>
          <w:color w:val="000000" w:themeColor="text1"/>
          <w:shd w:val="clear" w:color="auto" w:fill="FFFFFF"/>
        </w:rPr>
        <w:footnoteReference w:id="86"/>
      </w:r>
      <w:r w:rsidRPr="005304B4">
        <w:rPr>
          <w:color w:val="000000" w:themeColor="text1"/>
          <w:shd w:val="clear" w:color="auto" w:fill="FFFFFF"/>
        </w:rPr>
        <w:t xml:space="preserve">. </w:t>
      </w:r>
    </w:p>
    <w:p w14:paraId="30DDAC65" w14:textId="77777777" w:rsidR="008901FD" w:rsidRPr="005304B4" w:rsidRDefault="008901FD" w:rsidP="008901FD">
      <w:pPr>
        <w:pStyle w:val="Prrafodelista"/>
        <w:rPr>
          <w:i/>
          <w:iCs/>
          <w:color w:val="000000" w:themeColor="text1"/>
        </w:rPr>
      </w:pPr>
    </w:p>
    <w:p w14:paraId="7C162EA4" w14:textId="4E70A50E" w:rsidR="00545D28" w:rsidRPr="005304B4" w:rsidRDefault="009929B2" w:rsidP="00545D28">
      <w:pPr>
        <w:pStyle w:val="Prrafodelista"/>
        <w:numPr>
          <w:ilvl w:val="0"/>
          <w:numId w:val="40"/>
        </w:numPr>
        <w:tabs>
          <w:tab w:val="left" w:pos="284"/>
          <w:tab w:val="left" w:pos="426"/>
        </w:tabs>
        <w:ind w:left="0" w:firstLine="0"/>
        <w:rPr>
          <w:i/>
          <w:iCs/>
          <w:color w:val="000000" w:themeColor="text1"/>
        </w:rPr>
      </w:pPr>
      <w:r w:rsidRPr="005304B4">
        <w:t xml:space="preserve">En la </w:t>
      </w:r>
      <w:r w:rsidR="008901FD" w:rsidRPr="005304B4">
        <w:t xml:space="preserve">Sentencia C-335 de 2013, </w:t>
      </w:r>
      <w:r w:rsidRPr="005304B4">
        <w:t xml:space="preserve">la Corte </w:t>
      </w:r>
      <w:r w:rsidR="00C36527" w:rsidRPr="005304B4">
        <w:t>explicó</w:t>
      </w:r>
      <w:r w:rsidRPr="005304B4">
        <w:t xml:space="preserve"> </w:t>
      </w:r>
      <w:r w:rsidR="008901FD" w:rsidRPr="005304B4">
        <w:t>que los estereotipos de género han motivado la idea de la independencia, dominancia, agresividad e intelectualidad del hombre y de la emotividad, compasión y sumisión de la mujer, lo cual ha causado la discriminación de las mujeres en roles intelectuales y de liderazgo que históricamente ha sido reforzada mediante la violencia, a través de la agresividad masculina aprendida en la infancia como estereotipo y luego desarrollada como forma de dominación.</w:t>
      </w:r>
      <w:r w:rsidR="00545D28" w:rsidRPr="005304B4">
        <w:t xml:space="preserve"> Por ende,</w:t>
      </w:r>
      <w:r w:rsidR="00545D28" w:rsidRPr="005304B4">
        <w:rPr>
          <w:i/>
          <w:iCs/>
          <w:color w:val="000000" w:themeColor="text1"/>
        </w:rPr>
        <w:t xml:space="preserve"> </w:t>
      </w:r>
      <w:r w:rsidR="00545D28" w:rsidRPr="005304B4">
        <w:rPr>
          <w:color w:val="000000" w:themeColor="text1"/>
          <w:shd w:val="clear" w:color="auto" w:fill="FFFFFF"/>
          <w:lang w:eastAsia="es-ES_tradnl"/>
        </w:rPr>
        <w:t>ha calificado los estereotipos de género como una forma de “discriminación indirecta”</w:t>
      </w:r>
      <w:r w:rsidR="00C36527" w:rsidRPr="005304B4">
        <w:rPr>
          <w:color w:val="000000" w:themeColor="text1"/>
          <w:shd w:val="clear" w:color="auto" w:fill="FFFFFF"/>
          <w:lang w:eastAsia="es-ES_tradnl"/>
        </w:rPr>
        <w:t>, por lo que,</w:t>
      </w:r>
      <w:r w:rsidR="00545D28" w:rsidRPr="005304B4">
        <w:rPr>
          <w:color w:val="000000" w:themeColor="text1"/>
          <w:shd w:val="clear" w:color="auto" w:fill="FFFFFF"/>
          <w:lang w:eastAsia="es-ES_tradnl"/>
        </w:rPr>
        <w:t xml:space="preserve"> al estudiar enunciados normativos inspirados en estos, los ha declar</w:t>
      </w:r>
      <w:r w:rsidR="0048283F" w:rsidRPr="005304B4">
        <w:rPr>
          <w:color w:val="000000" w:themeColor="text1"/>
          <w:shd w:val="clear" w:color="auto" w:fill="FFFFFF"/>
          <w:lang w:eastAsia="es-ES_tradnl"/>
        </w:rPr>
        <w:t>ado</w:t>
      </w:r>
      <w:r w:rsidR="00545D28" w:rsidRPr="005304B4">
        <w:rPr>
          <w:color w:val="000000" w:themeColor="text1"/>
          <w:shd w:val="clear" w:color="auto" w:fill="FFFFFF"/>
          <w:lang w:eastAsia="es-ES_tradnl"/>
        </w:rPr>
        <w:t xml:space="preserve"> inexequibles</w:t>
      </w:r>
      <w:r w:rsidR="00545D28" w:rsidRPr="005304B4">
        <w:rPr>
          <w:rStyle w:val="Refdenotaalpie"/>
          <w:color w:val="000000" w:themeColor="text1"/>
          <w:shd w:val="clear" w:color="auto" w:fill="FFFFFF"/>
          <w:lang w:eastAsia="es-ES_tradnl"/>
        </w:rPr>
        <w:footnoteReference w:id="87"/>
      </w:r>
      <w:r w:rsidR="00545D28" w:rsidRPr="005304B4">
        <w:rPr>
          <w:color w:val="000000" w:themeColor="text1"/>
          <w:shd w:val="clear" w:color="auto" w:fill="FFFFFF"/>
          <w:lang w:eastAsia="es-ES_tradnl"/>
        </w:rPr>
        <w:t xml:space="preserve">. </w:t>
      </w:r>
    </w:p>
    <w:p w14:paraId="09CBADF2" w14:textId="77777777" w:rsidR="008901FD" w:rsidRPr="005304B4" w:rsidRDefault="008901FD" w:rsidP="008901FD">
      <w:pPr>
        <w:rPr>
          <w:i/>
          <w:iCs/>
          <w:color w:val="000000" w:themeColor="text1"/>
          <w:sz w:val="28"/>
          <w:szCs w:val="28"/>
        </w:rPr>
      </w:pPr>
    </w:p>
    <w:p w14:paraId="5F0CC545" w14:textId="1B196B58" w:rsidR="008901FD" w:rsidRPr="005304B4" w:rsidRDefault="008901FD" w:rsidP="008901FD">
      <w:pPr>
        <w:pStyle w:val="Prrafodelista"/>
        <w:numPr>
          <w:ilvl w:val="0"/>
          <w:numId w:val="40"/>
        </w:numPr>
        <w:tabs>
          <w:tab w:val="left" w:pos="284"/>
          <w:tab w:val="left" w:pos="426"/>
        </w:tabs>
        <w:ind w:left="0" w:firstLine="0"/>
        <w:rPr>
          <w:i/>
          <w:iCs/>
          <w:color w:val="000000" w:themeColor="text1"/>
        </w:rPr>
      </w:pPr>
      <w:r w:rsidRPr="005304B4">
        <w:rPr>
          <w:color w:val="000000" w:themeColor="text1"/>
        </w:rPr>
        <w:t>La jurisprudencia constitucional ha resaltado algunas clases de estereotipos de género: (i)</w:t>
      </w:r>
      <w:r w:rsidRPr="005304B4">
        <w:rPr>
          <w:i/>
          <w:iCs/>
          <w:color w:val="000000" w:themeColor="text1"/>
        </w:rPr>
        <w:t xml:space="preserve"> de</w:t>
      </w:r>
      <w:r w:rsidRPr="005304B4">
        <w:rPr>
          <w:color w:val="000000" w:themeColor="text1"/>
        </w:rPr>
        <w:t xml:space="preserve"> </w:t>
      </w:r>
      <w:r w:rsidRPr="005304B4">
        <w:rPr>
          <w:i/>
          <w:iCs/>
          <w:color w:val="000000" w:themeColor="text1"/>
        </w:rPr>
        <w:t xml:space="preserve">sexo, </w:t>
      </w:r>
      <w:r w:rsidRPr="005304B4">
        <w:rPr>
          <w:color w:val="000000" w:themeColor="text1"/>
        </w:rPr>
        <w:t xml:space="preserve">los cuales están centrados en las diferencias físicas y biológicas existentes entre hombres y mujeres; (ii) </w:t>
      </w:r>
      <w:r w:rsidRPr="005304B4">
        <w:rPr>
          <w:i/>
          <w:iCs/>
          <w:color w:val="000000" w:themeColor="text1"/>
        </w:rPr>
        <w:t xml:space="preserve">sexuales, </w:t>
      </w:r>
      <w:r w:rsidRPr="005304B4">
        <w:rPr>
          <w:color w:val="000000" w:themeColor="text1"/>
        </w:rPr>
        <w:t xml:space="preserve">que se refieren a la interacción sexual entre hombres y mujeres; (iii) </w:t>
      </w:r>
      <w:r w:rsidRPr="005304B4">
        <w:rPr>
          <w:i/>
          <w:iCs/>
          <w:color w:val="000000" w:themeColor="text1"/>
        </w:rPr>
        <w:t>roles de género</w:t>
      </w:r>
      <w:r w:rsidRPr="005304B4">
        <w:rPr>
          <w:color w:val="000000" w:themeColor="text1"/>
        </w:rPr>
        <w:t xml:space="preserve">, estereotipos sobre los comportamientos atribuidos y esperados de hombres y mujeres a partir de construcciones sociales y culturales o sobre su físico, y (iv) </w:t>
      </w:r>
      <w:r w:rsidRPr="005304B4">
        <w:rPr>
          <w:i/>
          <w:iCs/>
          <w:color w:val="000000" w:themeColor="text1"/>
        </w:rPr>
        <w:t xml:space="preserve">compuestos, </w:t>
      </w:r>
      <w:r w:rsidRPr="005304B4">
        <w:rPr>
          <w:color w:val="000000" w:themeColor="text1"/>
        </w:rPr>
        <w:t>que son estereotipos que interactúan con otros estereotipos de género atribuyendo roles o características a grupos diversos</w:t>
      </w:r>
      <w:r w:rsidRPr="005304B4">
        <w:rPr>
          <w:rStyle w:val="Refdenotaalpie"/>
          <w:color w:val="000000" w:themeColor="text1"/>
        </w:rPr>
        <w:footnoteReference w:id="88"/>
      </w:r>
      <w:r w:rsidRPr="005304B4">
        <w:rPr>
          <w:color w:val="000000" w:themeColor="text1"/>
        </w:rPr>
        <w:t xml:space="preserve">. </w:t>
      </w:r>
    </w:p>
    <w:p w14:paraId="03B0C514" w14:textId="77777777" w:rsidR="00445711" w:rsidRPr="005304B4" w:rsidRDefault="00445711" w:rsidP="00445711">
      <w:pPr>
        <w:pStyle w:val="Prrafodelista"/>
        <w:rPr>
          <w:i/>
          <w:iCs/>
          <w:color w:val="000000" w:themeColor="text1"/>
        </w:rPr>
      </w:pPr>
    </w:p>
    <w:p w14:paraId="079BEBC6" w14:textId="37E506CB" w:rsidR="00445711" w:rsidRPr="005304B4" w:rsidRDefault="00445711" w:rsidP="00445711">
      <w:pPr>
        <w:pStyle w:val="Prrafodelista"/>
        <w:numPr>
          <w:ilvl w:val="0"/>
          <w:numId w:val="40"/>
        </w:numPr>
        <w:tabs>
          <w:tab w:val="left" w:pos="284"/>
          <w:tab w:val="left" w:pos="426"/>
        </w:tabs>
        <w:ind w:left="0" w:firstLine="0"/>
        <w:rPr>
          <w:i/>
          <w:iCs/>
          <w:color w:val="000000" w:themeColor="text1"/>
        </w:rPr>
      </w:pPr>
      <w:r w:rsidRPr="005304B4">
        <w:rPr>
          <w:color w:val="000000" w:themeColor="text1"/>
        </w:rPr>
        <w:t>Ahora bien, de acuerdo con la Corte IDH, un estereotipo de género es una preconcepción de atributos o características poseídas o roles que son o deberían ser ejecutados por hombres y mujeres</w:t>
      </w:r>
      <w:r w:rsidRPr="005304B4">
        <w:rPr>
          <w:rStyle w:val="Refdenotaalpie"/>
          <w:color w:val="000000" w:themeColor="text1"/>
        </w:rPr>
        <w:footnoteReference w:id="89"/>
      </w:r>
      <w:r w:rsidRPr="005304B4">
        <w:rPr>
          <w:color w:val="000000" w:themeColor="text1"/>
        </w:rPr>
        <w:t>. Estas ideas se fundamentan principalmente en diferencias percibidas, que son el resultado de construcciones sociales y culturales sobre el papel de cada persona o grupos de personas en la sociedad. Estos pueden ser abiertamente hostiles o aparentemente benignos, pero, en cualquier caso, son perjudiciales cuando contribuyen a perpetuar patrones históricos de discriminación</w:t>
      </w:r>
      <w:r w:rsidRPr="005304B4">
        <w:rPr>
          <w:rStyle w:val="Refdenotaalpie"/>
          <w:color w:val="000000" w:themeColor="text1"/>
        </w:rPr>
        <w:footnoteReference w:id="90"/>
      </w:r>
      <w:r w:rsidRPr="005304B4">
        <w:rPr>
          <w:color w:val="000000" w:themeColor="text1"/>
        </w:rPr>
        <w:t>. Naciones Unidas comparte esta visión y, además, considera que estos son perjudiciales y perpetúan desigualdades cuando limitan la capacidad de las mujeres y los hombres para desarrollar sus capacidades personales, seguir sus carreras profesionales y/o tomar decisiones sobre sus vidas</w:t>
      </w:r>
      <w:r w:rsidRPr="005304B4">
        <w:rPr>
          <w:rStyle w:val="Refdenotaalpie"/>
          <w:color w:val="000000" w:themeColor="text1"/>
        </w:rPr>
        <w:footnoteReference w:id="91"/>
      </w:r>
      <w:r w:rsidRPr="005304B4">
        <w:rPr>
          <w:color w:val="000000" w:themeColor="text1"/>
        </w:rPr>
        <w:t xml:space="preserve">. </w:t>
      </w:r>
    </w:p>
    <w:p w14:paraId="7EB2AD6A" w14:textId="77777777" w:rsidR="009929B2" w:rsidRPr="005304B4" w:rsidRDefault="009929B2" w:rsidP="009929B2">
      <w:pPr>
        <w:pStyle w:val="Prrafodelista"/>
        <w:rPr>
          <w:i/>
          <w:iCs/>
          <w:color w:val="000000" w:themeColor="text1"/>
        </w:rPr>
      </w:pPr>
    </w:p>
    <w:p w14:paraId="556A73A4" w14:textId="2F5747FC" w:rsidR="00B942FB" w:rsidRPr="005304B4" w:rsidRDefault="00B942FB" w:rsidP="00B942FB">
      <w:pPr>
        <w:pStyle w:val="Prrafodelista"/>
        <w:numPr>
          <w:ilvl w:val="0"/>
          <w:numId w:val="40"/>
        </w:numPr>
        <w:tabs>
          <w:tab w:val="left" w:pos="284"/>
          <w:tab w:val="left" w:pos="426"/>
        </w:tabs>
        <w:ind w:left="0" w:firstLine="0"/>
        <w:rPr>
          <w:i/>
          <w:iCs/>
          <w:color w:val="000000" w:themeColor="text1"/>
        </w:rPr>
      </w:pPr>
      <w:r w:rsidRPr="005304B4">
        <w:rPr>
          <w:color w:val="000000" w:themeColor="text1"/>
        </w:rPr>
        <w:t>Algunos</w:t>
      </w:r>
      <w:r w:rsidR="009929B2" w:rsidRPr="005304B4">
        <w:rPr>
          <w:color w:val="000000" w:themeColor="text1"/>
        </w:rPr>
        <w:t xml:space="preserve"> </w:t>
      </w:r>
      <w:r w:rsidR="00080A93" w:rsidRPr="005304B4">
        <w:rPr>
          <w:color w:val="000000" w:themeColor="text1"/>
        </w:rPr>
        <w:t>instrumentos</w:t>
      </w:r>
      <w:r w:rsidR="009929B2" w:rsidRPr="005304B4">
        <w:rPr>
          <w:color w:val="000000" w:themeColor="text1"/>
        </w:rPr>
        <w:t xml:space="preserve"> internacionales en materia de derechos humanos han identificado los estereotipos de género como prácticas discriminatorias contrarias al derecho a la igualdad</w:t>
      </w:r>
      <w:r w:rsidR="0048283F" w:rsidRPr="005304B4">
        <w:rPr>
          <w:color w:val="000000" w:themeColor="text1"/>
        </w:rPr>
        <w:t xml:space="preserve"> y que afectan en mayor medida a </w:t>
      </w:r>
      <w:r w:rsidR="00E77EBA" w:rsidRPr="005304B4">
        <w:rPr>
          <w:color w:val="000000" w:themeColor="text1"/>
        </w:rPr>
        <w:t>la</w:t>
      </w:r>
      <w:r w:rsidR="00F84815" w:rsidRPr="005304B4">
        <w:rPr>
          <w:color w:val="000000" w:themeColor="text1"/>
        </w:rPr>
        <w:t>s niñas y las</w:t>
      </w:r>
      <w:r w:rsidR="00E77EBA" w:rsidRPr="005304B4">
        <w:rPr>
          <w:color w:val="000000" w:themeColor="text1"/>
        </w:rPr>
        <w:t xml:space="preserve"> mujer</w:t>
      </w:r>
      <w:r w:rsidR="00F84815" w:rsidRPr="005304B4">
        <w:rPr>
          <w:color w:val="000000" w:themeColor="text1"/>
        </w:rPr>
        <w:t>es</w:t>
      </w:r>
      <w:r w:rsidR="0048283F" w:rsidRPr="005304B4">
        <w:rPr>
          <w:color w:val="000000" w:themeColor="text1"/>
        </w:rPr>
        <w:t xml:space="preserve">. Por tanto, </w:t>
      </w:r>
      <w:r w:rsidR="00636953" w:rsidRPr="005304B4">
        <w:rPr>
          <w:color w:val="000000" w:themeColor="text1"/>
        </w:rPr>
        <w:t>ha</w:t>
      </w:r>
      <w:r w:rsidR="00F3107D" w:rsidRPr="005304B4">
        <w:rPr>
          <w:color w:val="000000" w:themeColor="text1"/>
        </w:rPr>
        <w:t>n</w:t>
      </w:r>
      <w:r w:rsidR="00636953" w:rsidRPr="005304B4">
        <w:rPr>
          <w:color w:val="000000" w:themeColor="text1"/>
        </w:rPr>
        <w:t xml:space="preserve"> instado a combatirlos</w:t>
      </w:r>
      <w:r w:rsidR="009929B2" w:rsidRPr="005304B4">
        <w:rPr>
          <w:color w:val="000000" w:themeColor="text1"/>
        </w:rPr>
        <w:t xml:space="preserve">. Así, </w:t>
      </w:r>
      <w:r w:rsidR="00F3107D" w:rsidRPr="005304B4">
        <w:rPr>
          <w:color w:val="000000" w:themeColor="text1"/>
        </w:rPr>
        <w:t>el artículo</w:t>
      </w:r>
      <w:r w:rsidR="00E70A98" w:rsidRPr="005304B4">
        <w:rPr>
          <w:color w:val="000000" w:themeColor="text1"/>
        </w:rPr>
        <w:t xml:space="preserve"> </w:t>
      </w:r>
      <w:r w:rsidRPr="005304B4">
        <w:rPr>
          <w:color w:val="000000" w:themeColor="text1"/>
        </w:rPr>
        <w:t>2</w:t>
      </w:r>
      <w:r w:rsidR="00E70A98" w:rsidRPr="005304B4">
        <w:rPr>
          <w:color w:val="000000" w:themeColor="text1"/>
        </w:rPr>
        <w:t xml:space="preserve"> de la Convención sobre la Eliminación de Todas las Formas de Discriminación contra la Mujer (</w:t>
      </w:r>
      <w:r w:rsidR="00C36527" w:rsidRPr="005304B4">
        <w:rPr>
          <w:color w:val="000000" w:themeColor="text1"/>
        </w:rPr>
        <w:t>CEDAW</w:t>
      </w:r>
      <w:r w:rsidR="00E70A98" w:rsidRPr="005304B4">
        <w:rPr>
          <w:color w:val="000000" w:themeColor="text1"/>
        </w:rPr>
        <w:t>)</w:t>
      </w:r>
      <w:r w:rsidR="003B49B0" w:rsidRPr="005304B4">
        <w:rPr>
          <w:rStyle w:val="Refdenotaalpie"/>
          <w:color w:val="000000" w:themeColor="text1"/>
        </w:rPr>
        <w:footnoteReference w:id="92"/>
      </w:r>
      <w:r w:rsidR="00E70A98" w:rsidRPr="005304B4">
        <w:rPr>
          <w:color w:val="000000" w:themeColor="text1"/>
        </w:rPr>
        <w:t xml:space="preserve"> impone a los Estado</w:t>
      </w:r>
      <w:r w:rsidR="00C36527" w:rsidRPr="005304B4">
        <w:rPr>
          <w:color w:val="000000" w:themeColor="text1"/>
        </w:rPr>
        <w:t>s los deberes de:</w:t>
      </w:r>
      <w:r w:rsidR="00E70A98" w:rsidRPr="005304B4">
        <w:rPr>
          <w:color w:val="000000" w:themeColor="text1"/>
        </w:rPr>
        <w:t xml:space="preserve"> </w:t>
      </w:r>
      <w:r w:rsidRPr="005304B4">
        <w:rPr>
          <w:color w:val="000000" w:themeColor="text1"/>
        </w:rPr>
        <w:t xml:space="preserve">(i) adoptar medidas legislativas y de otro carácter que prohíban toda discriminación contra la mujer, y (ii) adoptar todas las medidas, incluso de carácter legislativo, para modificar o derogar leyes, reglamentos, usos y prácticas que constituyan discriminación contra la mujer. </w:t>
      </w:r>
    </w:p>
    <w:p w14:paraId="6FE32D39" w14:textId="77777777" w:rsidR="00B942FB" w:rsidRPr="005304B4" w:rsidRDefault="00B942FB" w:rsidP="00B942FB">
      <w:pPr>
        <w:pStyle w:val="Prrafodelista"/>
        <w:rPr>
          <w:color w:val="000000" w:themeColor="text1"/>
        </w:rPr>
      </w:pPr>
    </w:p>
    <w:p w14:paraId="2A01267C" w14:textId="7BAEA64D" w:rsidR="00B942FB" w:rsidRPr="005304B4" w:rsidRDefault="00B942FB" w:rsidP="00B942FB">
      <w:pPr>
        <w:pStyle w:val="Prrafodelista"/>
        <w:numPr>
          <w:ilvl w:val="0"/>
          <w:numId w:val="40"/>
        </w:numPr>
        <w:tabs>
          <w:tab w:val="left" w:pos="284"/>
          <w:tab w:val="left" w:pos="426"/>
        </w:tabs>
        <w:ind w:left="0" w:firstLine="0"/>
        <w:rPr>
          <w:i/>
          <w:iCs/>
          <w:color w:val="000000" w:themeColor="text1"/>
        </w:rPr>
      </w:pPr>
      <w:r w:rsidRPr="005304B4">
        <w:rPr>
          <w:color w:val="000000" w:themeColor="text1"/>
        </w:rPr>
        <w:t xml:space="preserve">Igualmente, </w:t>
      </w:r>
      <w:r w:rsidR="004E12D7" w:rsidRPr="005304B4">
        <w:rPr>
          <w:color w:val="000000" w:themeColor="text1"/>
        </w:rPr>
        <w:t xml:space="preserve">el </w:t>
      </w:r>
      <w:r w:rsidRPr="005304B4">
        <w:rPr>
          <w:color w:val="000000" w:themeColor="text1"/>
        </w:rPr>
        <w:t>artículo 5 de este instrumento determina que se debe</w:t>
      </w:r>
      <w:r w:rsidR="00164A77" w:rsidRPr="005304B4">
        <w:rPr>
          <w:color w:val="000000" w:themeColor="text1"/>
        </w:rPr>
        <w:t>n</w:t>
      </w:r>
      <w:r w:rsidRPr="005304B4">
        <w:rPr>
          <w:color w:val="000000" w:themeColor="text1"/>
        </w:rPr>
        <w:t xml:space="preserve"> </w:t>
      </w:r>
      <w:r w:rsidR="00E70A98" w:rsidRPr="005304B4">
        <w:rPr>
          <w:color w:val="000000" w:themeColor="text1"/>
        </w:rPr>
        <w:t>“modificar los patrones socioculturales de conducta</w:t>
      </w:r>
      <w:r w:rsidR="00E77EBA" w:rsidRPr="005304B4">
        <w:rPr>
          <w:color w:val="000000" w:themeColor="text1"/>
        </w:rPr>
        <w:t>s</w:t>
      </w:r>
      <w:r w:rsidR="00E70A98" w:rsidRPr="005304B4">
        <w:rPr>
          <w:color w:val="000000" w:themeColor="text1"/>
        </w:rPr>
        <w:t xml:space="preserve"> de hombres y mujeres, con miras a alcanzar la eliminación de los prejuicios y las prácticas consuetudinarias</w:t>
      </w:r>
      <w:r w:rsidR="00C36527" w:rsidRPr="005304B4">
        <w:rPr>
          <w:color w:val="000000" w:themeColor="text1"/>
        </w:rPr>
        <w:t>,</w:t>
      </w:r>
      <w:r w:rsidR="00E70A98" w:rsidRPr="005304B4">
        <w:rPr>
          <w:color w:val="000000" w:themeColor="text1"/>
        </w:rPr>
        <w:t xml:space="preserve"> y de cualquier otra índole</w:t>
      </w:r>
      <w:r w:rsidR="00C36527" w:rsidRPr="005304B4">
        <w:rPr>
          <w:color w:val="000000" w:themeColor="text1"/>
        </w:rPr>
        <w:t>,</w:t>
      </w:r>
      <w:r w:rsidR="00E70A98" w:rsidRPr="005304B4">
        <w:rPr>
          <w:color w:val="000000" w:themeColor="text1"/>
        </w:rPr>
        <w:t xml:space="preserve"> que estén basados en la idea de la inferioridad o superioridad de cualquiera de los sexos o en funciones estereotipadas de hombres y mujeres”.</w:t>
      </w:r>
    </w:p>
    <w:p w14:paraId="6791F518" w14:textId="77777777" w:rsidR="00E70A98" w:rsidRPr="005304B4" w:rsidRDefault="00E70A98" w:rsidP="00E70A98">
      <w:pPr>
        <w:pStyle w:val="Prrafodelista"/>
        <w:rPr>
          <w:lang w:eastAsia="es-MX"/>
        </w:rPr>
      </w:pPr>
    </w:p>
    <w:p w14:paraId="426A4C6D" w14:textId="37110F3E" w:rsidR="003E11EE" w:rsidRPr="005304B4" w:rsidRDefault="00E70A98" w:rsidP="003E11EE">
      <w:pPr>
        <w:pStyle w:val="Prrafodelista"/>
        <w:numPr>
          <w:ilvl w:val="0"/>
          <w:numId w:val="40"/>
        </w:numPr>
        <w:tabs>
          <w:tab w:val="left" w:pos="284"/>
          <w:tab w:val="left" w:pos="426"/>
        </w:tabs>
        <w:ind w:left="0" w:firstLine="0"/>
        <w:rPr>
          <w:i/>
          <w:iCs/>
          <w:color w:val="000000" w:themeColor="text1"/>
        </w:rPr>
      </w:pPr>
      <w:r w:rsidRPr="005304B4">
        <w:rPr>
          <w:lang w:eastAsia="es-MX"/>
        </w:rPr>
        <w:t>En</w:t>
      </w:r>
      <w:r w:rsidR="00E77EBA" w:rsidRPr="005304B4">
        <w:rPr>
          <w:lang w:eastAsia="es-MX"/>
        </w:rPr>
        <w:t xml:space="preserve"> virtud d</w:t>
      </w:r>
      <w:r w:rsidRPr="005304B4">
        <w:rPr>
          <w:lang w:eastAsia="es-MX"/>
        </w:rPr>
        <w:t>e</w:t>
      </w:r>
      <w:r w:rsidR="00E77EBA" w:rsidRPr="005304B4">
        <w:rPr>
          <w:lang w:eastAsia="es-MX"/>
        </w:rPr>
        <w:t xml:space="preserve"> est</w:t>
      </w:r>
      <w:r w:rsidR="00B942FB" w:rsidRPr="005304B4">
        <w:rPr>
          <w:lang w:eastAsia="es-MX"/>
        </w:rPr>
        <w:t>os mandatos</w:t>
      </w:r>
      <w:r w:rsidR="00E77EBA" w:rsidRPr="005304B4">
        <w:rPr>
          <w:lang w:eastAsia="es-MX"/>
        </w:rPr>
        <w:t>, el</w:t>
      </w:r>
      <w:r w:rsidRPr="005304B4">
        <w:rPr>
          <w:lang w:eastAsia="es-MX"/>
        </w:rPr>
        <w:t xml:space="preserve"> Comité </w:t>
      </w:r>
      <w:r w:rsidR="00C36527" w:rsidRPr="005304B4">
        <w:rPr>
          <w:lang w:eastAsia="es-MX"/>
        </w:rPr>
        <w:t>de la CEDAW</w:t>
      </w:r>
      <w:r w:rsidR="00E77EBA" w:rsidRPr="005304B4">
        <w:rPr>
          <w:lang w:eastAsia="es-MX"/>
        </w:rPr>
        <w:t xml:space="preserve"> ha hecho hincapié en la obligatoriedad de los Estados parte </w:t>
      </w:r>
      <w:r w:rsidR="00B942FB" w:rsidRPr="005304B4">
        <w:rPr>
          <w:lang w:eastAsia="es-MX"/>
        </w:rPr>
        <w:t>de eliminar todas las formas de estereotipos de género en todas las esferas</w:t>
      </w:r>
      <w:r w:rsidR="00B942FB" w:rsidRPr="005304B4">
        <w:rPr>
          <w:rStyle w:val="Refdenotaalpie"/>
          <w:lang w:eastAsia="es-MX"/>
        </w:rPr>
        <w:footnoteReference w:id="93"/>
      </w:r>
      <w:r w:rsidR="00B942FB" w:rsidRPr="005304B4">
        <w:rPr>
          <w:i/>
          <w:iCs/>
          <w:color w:val="000000" w:themeColor="text1"/>
        </w:rPr>
        <w:t xml:space="preserve">. </w:t>
      </w:r>
      <w:r w:rsidR="00B942FB" w:rsidRPr="005304B4">
        <w:rPr>
          <w:color w:val="000000" w:themeColor="text1"/>
        </w:rPr>
        <w:t>Además, en</w:t>
      </w:r>
      <w:r w:rsidR="00B942FB" w:rsidRPr="005304B4">
        <w:rPr>
          <w:i/>
          <w:iCs/>
          <w:color w:val="000000" w:themeColor="text1"/>
        </w:rPr>
        <w:t xml:space="preserve"> </w:t>
      </w:r>
      <w:r w:rsidRPr="005304B4">
        <w:rPr>
          <w:lang w:eastAsia="es-MX"/>
        </w:rPr>
        <w:t>garantizar que no exista discriminación directa ni indirecta contra la</w:t>
      </w:r>
      <w:r w:rsidR="00F470D8" w:rsidRPr="005304B4">
        <w:rPr>
          <w:lang w:eastAsia="es-MX"/>
        </w:rPr>
        <w:t>s</w:t>
      </w:r>
      <w:r w:rsidRPr="005304B4">
        <w:rPr>
          <w:lang w:eastAsia="es-MX"/>
        </w:rPr>
        <w:t xml:space="preserve"> mujer</w:t>
      </w:r>
      <w:r w:rsidR="00892D08" w:rsidRPr="005304B4">
        <w:rPr>
          <w:lang w:eastAsia="es-MX"/>
        </w:rPr>
        <w:t xml:space="preserve">es </w:t>
      </w:r>
      <w:r w:rsidR="00B942FB" w:rsidRPr="005304B4">
        <w:rPr>
          <w:lang w:eastAsia="es-MX"/>
        </w:rPr>
        <w:t xml:space="preserve">en </w:t>
      </w:r>
      <w:r w:rsidR="00892D08" w:rsidRPr="005304B4">
        <w:rPr>
          <w:lang w:eastAsia="es-MX"/>
        </w:rPr>
        <w:t>la</w:t>
      </w:r>
      <w:r w:rsidR="00B942FB" w:rsidRPr="005304B4">
        <w:rPr>
          <w:lang w:eastAsia="es-MX"/>
        </w:rPr>
        <w:t>s</w:t>
      </w:r>
      <w:r w:rsidR="00892D08" w:rsidRPr="005304B4">
        <w:rPr>
          <w:lang w:eastAsia="es-MX"/>
        </w:rPr>
        <w:t xml:space="preserve"> leyes</w:t>
      </w:r>
      <w:r w:rsidR="00B942FB" w:rsidRPr="005304B4">
        <w:rPr>
          <w:lang w:eastAsia="es-MX"/>
        </w:rPr>
        <w:t xml:space="preserve">, así como hacer </w:t>
      </w:r>
      <w:r w:rsidR="00892D08" w:rsidRPr="005304B4">
        <w:rPr>
          <w:lang w:eastAsia="es-MX"/>
        </w:rPr>
        <w:t xml:space="preserve">frente a las relaciones prevalecientes entre género y a la persistencia de estereotipos basados en el género que afectan a la mujer </w:t>
      </w:r>
      <w:r w:rsidR="00892D08" w:rsidRPr="005304B4">
        <w:t>no sólo a través de actos individuales sino también porque se reflejan en las leyes</w:t>
      </w:r>
      <w:r w:rsidR="00B942FB" w:rsidRPr="005304B4">
        <w:rPr>
          <w:rStyle w:val="Refdenotaalpie"/>
          <w:lang w:eastAsia="es-MX"/>
        </w:rPr>
        <w:footnoteReference w:id="94"/>
      </w:r>
      <w:r w:rsidR="00892D08" w:rsidRPr="005304B4">
        <w:t xml:space="preserve">. </w:t>
      </w:r>
    </w:p>
    <w:p w14:paraId="0ED0C51E" w14:textId="77777777" w:rsidR="00E70A98" w:rsidRPr="005304B4" w:rsidRDefault="00E70A98" w:rsidP="00E70A98">
      <w:pPr>
        <w:pStyle w:val="Prrafodelista"/>
        <w:rPr>
          <w:lang w:eastAsia="es-MX"/>
        </w:rPr>
      </w:pPr>
    </w:p>
    <w:p w14:paraId="2C241645" w14:textId="105CB6D3" w:rsidR="003E11EE" w:rsidRPr="005304B4" w:rsidRDefault="00602F73" w:rsidP="00F84815">
      <w:pPr>
        <w:pStyle w:val="Prrafodelista"/>
        <w:numPr>
          <w:ilvl w:val="0"/>
          <w:numId w:val="40"/>
        </w:numPr>
        <w:tabs>
          <w:tab w:val="left" w:pos="284"/>
          <w:tab w:val="left" w:pos="426"/>
        </w:tabs>
        <w:ind w:left="0" w:firstLine="0"/>
        <w:rPr>
          <w:i/>
          <w:iCs/>
          <w:color w:val="000000" w:themeColor="text1"/>
        </w:rPr>
      </w:pPr>
      <w:r w:rsidRPr="005304B4">
        <w:rPr>
          <w:lang w:eastAsia="es-MX"/>
        </w:rPr>
        <w:t>Por su parte, el Sistema Interamericano de Derechos Humanos ha reafirmado este deber. La Convención de Belém do Pará, en su artículo 6, reconoce el derecho de toda mujer a ser libre de patrones estereotipados de comportamiento y pr</w:t>
      </w:r>
      <w:r w:rsidR="002A1756" w:rsidRPr="005304B4">
        <w:rPr>
          <w:lang w:eastAsia="es-MX"/>
        </w:rPr>
        <w:t>á</w:t>
      </w:r>
      <w:r w:rsidRPr="005304B4">
        <w:rPr>
          <w:lang w:eastAsia="es-MX"/>
        </w:rPr>
        <w:t>cticas sociales y culturales basados en inferioridad o subordinación</w:t>
      </w:r>
      <w:r w:rsidRPr="005304B4">
        <w:rPr>
          <w:rStyle w:val="Refdenotaalpie"/>
          <w:lang w:eastAsia="es-MX"/>
        </w:rPr>
        <w:footnoteReference w:id="95"/>
      </w:r>
      <w:r w:rsidR="003E11EE" w:rsidRPr="005304B4">
        <w:rPr>
          <w:i/>
          <w:iCs/>
          <w:color w:val="000000" w:themeColor="text1"/>
        </w:rPr>
        <w:t xml:space="preserve"> </w:t>
      </w:r>
      <w:r w:rsidR="003E11EE" w:rsidRPr="005304B4">
        <w:rPr>
          <w:color w:val="000000" w:themeColor="text1"/>
        </w:rPr>
        <w:t>y en su artículo 8.b dispone que los Estados de</w:t>
      </w:r>
      <w:r w:rsidR="009F1A55" w:rsidRPr="005304B4">
        <w:rPr>
          <w:color w:val="000000" w:themeColor="text1"/>
        </w:rPr>
        <w:t>ben adoptar medidas específicas y programas orientados a modificar los patrones socioculturales de conducta de hombres y mujeres para contrarrestar prejuicios y costumbres y todo tipo de prácticas que se basen en la premisa de inferioridad o superio</w:t>
      </w:r>
      <w:r w:rsidR="00D64BDA" w:rsidRPr="005304B4">
        <w:rPr>
          <w:color w:val="000000" w:themeColor="text1"/>
        </w:rPr>
        <w:t>ridad</w:t>
      </w:r>
      <w:r w:rsidR="009F1A55" w:rsidRPr="005304B4">
        <w:rPr>
          <w:color w:val="000000" w:themeColor="text1"/>
        </w:rPr>
        <w:t xml:space="preserve"> de cualquiera de los géneros o en los papeles estereotipados para el hombre y la mujer que legitiman o exacerban la violencia contra la mujer.</w:t>
      </w:r>
      <w:r w:rsidR="00D44E58" w:rsidRPr="005304B4">
        <w:rPr>
          <w:color w:val="000000" w:themeColor="text1"/>
        </w:rPr>
        <w:t xml:space="preserve"> </w:t>
      </w:r>
    </w:p>
    <w:p w14:paraId="7F77259C" w14:textId="77777777" w:rsidR="003E11EE" w:rsidRPr="005304B4" w:rsidRDefault="003E11EE" w:rsidP="003E11EE">
      <w:pPr>
        <w:pStyle w:val="Prrafodelista"/>
        <w:rPr>
          <w:i/>
          <w:iCs/>
          <w:color w:val="000000" w:themeColor="text1"/>
        </w:rPr>
      </w:pPr>
    </w:p>
    <w:p w14:paraId="772B223E" w14:textId="6F2B7565" w:rsidR="00F3107D" w:rsidRPr="005304B4" w:rsidRDefault="00175BCB" w:rsidP="005A4D82">
      <w:pPr>
        <w:pStyle w:val="Prrafodelista"/>
        <w:numPr>
          <w:ilvl w:val="0"/>
          <w:numId w:val="40"/>
        </w:numPr>
        <w:tabs>
          <w:tab w:val="left" w:pos="284"/>
          <w:tab w:val="left" w:pos="426"/>
        </w:tabs>
        <w:ind w:left="0" w:firstLine="0"/>
        <w:rPr>
          <w:i/>
          <w:iCs/>
          <w:color w:val="000000" w:themeColor="text1"/>
        </w:rPr>
      </w:pPr>
      <w:r w:rsidRPr="005304B4">
        <w:rPr>
          <w:i/>
          <w:iCs/>
          <w:color w:val="000000" w:themeColor="text1"/>
        </w:rPr>
        <w:t xml:space="preserve"> </w:t>
      </w:r>
      <w:r w:rsidR="00602F73" w:rsidRPr="005304B4">
        <w:rPr>
          <w:color w:val="000000" w:themeColor="text1"/>
          <w:lang w:eastAsia="es-MX"/>
        </w:rPr>
        <w:t>A su vez, la Corte Interamericana de Derechos Humanos</w:t>
      </w:r>
      <w:r w:rsidR="0073685D" w:rsidRPr="005304B4">
        <w:rPr>
          <w:color w:val="000000" w:themeColor="text1"/>
          <w:lang w:eastAsia="es-MX"/>
        </w:rPr>
        <w:t xml:space="preserve"> se ha pronunciado sobre conductas basadas en estereotipos negativos de género</w:t>
      </w:r>
      <w:r w:rsidR="005A4D82" w:rsidRPr="005304B4">
        <w:rPr>
          <w:color w:val="000000" w:themeColor="text1"/>
          <w:lang w:eastAsia="es-MX"/>
        </w:rPr>
        <w:t xml:space="preserve">. Por ejemplo, ha sostenido que, en virtud de tales estereotipos, se discrimina a las mujeres que conforman familias que se apartan del esquema social, como en el caso </w:t>
      </w:r>
      <w:r w:rsidR="00602F73" w:rsidRPr="005304B4">
        <w:rPr>
          <w:i/>
          <w:iCs/>
          <w:color w:val="000000" w:themeColor="text1"/>
          <w:lang w:eastAsia="es-MX"/>
        </w:rPr>
        <w:t>Atala Riffo y Niñas vs. Chile</w:t>
      </w:r>
      <w:r w:rsidR="00F625DC" w:rsidRPr="005304B4">
        <w:rPr>
          <w:rStyle w:val="Refdenotaalpie"/>
          <w:color w:val="000000" w:themeColor="text1"/>
          <w:lang w:eastAsia="es-MX"/>
        </w:rPr>
        <w:footnoteReference w:id="96"/>
      </w:r>
      <w:r w:rsidR="005A4D82" w:rsidRPr="005304B4">
        <w:rPr>
          <w:color w:val="000000" w:themeColor="text1"/>
          <w:lang w:eastAsia="es-MX"/>
        </w:rPr>
        <w:t xml:space="preserve">, o se adoptan decisiones discriminatorias basadas en concepciones tradicionales referidas al rol de las mujeres como madres, como en el caso </w:t>
      </w:r>
      <w:r w:rsidR="009F1A55" w:rsidRPr="005304B4">
        <w:rPr>
          <w:i/>
          <w:iCs/>
          <w:color w:val="000000" w:themeColor="text1"/>
          <w:lang w:eastAsia="es-MX"/>
        </w:rPr>
        <w:t>Ramírez Escobar y otros vs</w:t>
      </w:r>
      <w:r w:rsidR="00573713" w:rsidRPr="005304B4">
        <w:rPr>
          <w:i/>
          <w:iCs/>
          <w:color w:val="000000" w:themeColor="text1"/>
          <w:lang w:eastAsia="es-MX"/>
        </w:rPr>
        <w:t>.</w:t>
      </w:r>
      <w:r w:rsidR="009F1A55" w:rsidRPr="005304B4">
        <w:rPr>
          <w:i/>
          <w:iCs/>
          <w:color w:val="000000" w:themeColor="text1"/>
          <w:lang w:eastAsia="es-MX"/>
        </w:rPr>
        <w:t xml:space="preserve"> Guatemala</w:t>
      </w:r>
      <w:r w:rsidR="0073685D" w:rsidRPr="005304B4">
        <w:rPr>
          <w:color w:val="000000" w:themeColor="text1"/>
          <w:lang w:eastAsia="es-MX"/>
        </w:rPr>
        <w:t xml:space="preserve">, </w:t>
      </w:r>
      <w:r w:rsidR="005A4D82" w:rsidRPr="005304B4">
        <w:rPr>
          <w:color w:val="000000" w:themeColor="text1"/>
          <w:lang w:eastAsia="es-MX"/>
        </w:rPr>
        <w:t xml:space="preserve">en donde se </w:t>
      </w:r>
      <w:r w:rsidR="0073685D" w:rsidRPr="005304B4">
        <w:rPr>
          <w:color w:val="000000" w:themeColor="text1"/>
          <w:lang w:eastAsia="es-MX"/>
        </w:rPr>
        <w:t>determinó que las ac</w:t>
      </w:r>
      <w:r w:rsidR="005A4D82" w:rsidRPr="005304B4">
        <w:rPr>
          <w:color w:val="000000" w:themeColor="text1"/>
          <w:lang w:eastAsia="es-MX"/>
        </w:rPr>
        <w:t>tuaciones del Estado estuvier</w:t>
      </w:r>
      <w:r w:rsidR="005E1B3E" w:rsidRPr="005304B4">
        <w:rPr>
          <w:color w:val="000000" w:themeColor="text1"/>
          <w:lang w:eastAsia="es-MX"/>
        </w:rPr>
        <w:t>on</w:t>
      </w:r>
      <w:r w:rsidR="002F5575" w:rsidRPr="005304B4">
        <w:rPr>
          <w:color w:val="000000" w:themeColor="text1"/>
          <w:lang w:eastAsia="es-MX"/>
        </w:rPr>
        <w:t xml:space="preserve"> </w:t>
      </w:r>
      <w:r w:rsidR="005A4D82" w:rsidRPr="005304B4">
        <w:rPr>
          <w:color w:val="000000" w:themeColor="text1"/>
          <w:lang w:eastAsia="es-MX"/>
        </w:rPr>
        <w:t xml:space="preserve">basadas en estereotipos de género sobre la distribución de responsabilidades parentales, y en ideas preconcebidas sobre el rol de una madre o un padre en el cuidado de sus hijos. </w:t>
      </w:r>
    </w:p>
    <w:p w14:paraId="36397A2A" w14:textId="77777777" w:rsidR="00A75A9E" w:rsidRPr="005304B4" w:rsidRDefault="00A75A9E" w:rsidP="00A75A9E">
      <w:pPr>
        <w:pStyle w:val="Prrafodelista"/>
        <w:rPr>
          <w:i/>
          <w:iCs/>
          <w:color w:val="000000" w:themeColor="text1"/>
        </w:rPr>
      </w:pPr>
    </w:p>
    <w:p w14:paraId="301F2775" w14:textId="642751B2" w:rsidR="00A75A9E" w:rsidRPr="005304B4" w:rsidRDefault="00A75A9E" w:rsidP="005A4D82">
      <w:pPr>
        <w:pStyle w:val="Prrafodelista"/>
        <w:numPr>
          <w:ilvl w:val="0"/>
          <w:numId w:val="40"/>
        </w:numPr>
        <w:tabs>
          <w:tab w:val="left" w:pos="284"/>
          <w:tab w:val="left" w:pos="426"/>
        </w:tabs>
        <w:ind w:left="0" w:firstLine="0"/>
        <w:rPr>
          <w:i/>
          <w:iCs/>
          <w:color w:val="000000" w:themeColor="text1"/>
        </w:rPr>
      </w:pPr>
      <w:r w:rsidRPr="005304B4">
        <w:rPr>
          <w:color w:val="000000" w:themeColor="text1"/>
        </w:rPr>
        <w:t>Para la Corte IDH, en virtud de estos estereotipos negativos de género, se asignaron a las mujeres funciones en la esfera privada o doméstica vinculadas con la procreación y crianza de los hijos, y se ha promovido social e incluso, jurídicamente, que los hombres no asuman labores de cuidado no remuneradas</w:t>
      </w:r>
      <w:r w:rsidRPr="005304B4">
        <w:rPr>
          <w:rStyle w:val="Refdenotaalpie"/>
          <w:color w:val="000000" w:themeColor="text1"/>
        </w:rPr>
        <w:footnoteReference w:id="97"/>
      </w:r>
      <w:r w:rsidRPr="005304B4">
        <w:rPr>
          <w:color w:val="000000" w:themeColor="text1"/>
        </w:rPr>
        <w:t>.</w:t>
      </w:r>
    </w:p>
    <w:p w14:paraId="579929EA" w14:textId="77777777" w:rsidR="00545D28" w:rsidRPr="005304B4" w:rsidRDefault="00545D28" w:rsidP="00545D28">
      <w:pPr>
        <w:pStyle w:val="Prrafodelista"/>
        <w:rPr>
          <w:i/>
          <w:iCs/>
          <w:color w:val="000000" w:themeColor="text1"/>
        </w:rPr>
      </w:pPr>
    </w:p>
    <w:p w14:paraId="18547D8E" w14:textId="23A348A4" w:rsidR="00057414" w:rsidRPr="005304B4" w:rsidRDefault="00545D28" w:rsidP="001309BF">
      <w:pPr>
        <w:pStyle w:val="Prrafodelista"/>
        <w:numPr>
          <w:ilvl w:val="0"/>
          <w:numId w:val="40"/>
        </w:numPr>
        <w:tabs>
          <w:tab w:val="left" w:pos="284"/>
          <w:tab w:val="left" w:pos="426"/>
        </w:tabs>
        <w:ind w:left="0" w:firstLine="0"/>
        <w:rPr>
          <w:color w:val="000000" w:themeColor="text1"/>
        </w:rPr>
      </w:pPr>
      <w:r w:rsidRPr="005304B4">
        <w:rPr>
          <w:color w:val="000000" w:themeColor="text1"/>
          <w:shd w:val="clear" w:color="auto" w:fill="FFFFFF"/>
          <w:lang w:eastAsia="es-ES_tradnl"/>
        </w:rPr>
        <w:t>La Corte Constitucional</w:t>
      </w:r>
      <w:r w:rsidR="00424B66" w:rsidRPr="005304B4">
        <w:rPr>
          <w:color w:val="000000" w:themeColor="text1"/>
          <w:shd w:val="clear" w:color="auto" w:fill="FFFFFF"/>
          <w:lang w:eastAsia="es-ES_tradnl"/>
        </w:rPr>
        <w:t>, siguiendo es</w:t>
      </w:r>
      <w:r w:rsidR="00ED1EC0" w:rsidRPr="005304B4">
        <w:rPr>
          <w:color w:val="000000" w:themeColor="text1"/>
          <w:shd w:val="clear" w:color="auto" w:fill="FFFFFF"/>
          <w:lang w:eastAsia="es-ES_tradnl"/>
        </w:rPr>
        <w:t>tos mandatos</w:t>
      </w:r>
      <w:r w:rsidR="00424B66" w:rsidRPr="005304B4">
        <w:rPr>
          <w:color w:val="000000" w:themeColor="text1"/>
          <w:shd w:val="clear" w:color="auto" w:fill="FFFFFF"/>
          <w:lang w:eastAsia="es-ES_tradnl"/>
        </w:rPr>
        <w:t xml:space="preserve">, </w:t>
      </w:r>
      <w:r w:rsidR="009C52BC" w:rsidRPr="005304B4">
        <w:rPr>
          <w:color w:val="000000" w:themeColor="text1"/>
          <w:shd w:val="clear" w:color="auto" w:fill="FFFFFF"/>
          <w:lang w:eastAsia="es-ES_tradnl"/>
        </w:rPr>
        <w:t xml:space="preserve">como se explicó, </w:t>
      </w:r>
      <w:r w:rsidR="001B3981" w:rsidRPr="005304B4">
        <w:rPr>
          <w:color w:val="000000" w:themeColor="text1"/>
          <w:shd w:val="clear" w:color="auto" w:fill="FFFFFF"/>
          <w:lang w:eastAsia="es-ES_tradnl"/>
        </w:rPr>
        <w:t xml:space="preserve">se ha </w:t>
      </w:r>
      <w:r w:rsidR="0015711E" w:rsidRPr="005304B4">
        <w:rPr>
          <w:color w:val="000000" w:themeColor="text1"/>
          <w:shd w:val="clear" w:color="auto" w:fill="FFFFFF"/>
          <w:lang w:eastAsia="es-ES_tradnl"/>
        </w:rPr>
        <w:t>pronunciado</w:t>
      </w:r>
      <w:r w:rsidR="00424B66" w:rsidRPr="005304B4">
        <w:rPr>
          <w:color w:val="000000" w:themeColor="text1"/>
          <w:shd w:val="clear" w:color="auto" w:fill="FFFFFF"/>
          <w:lang w:eastAsia="es-ES_tradnl"/>
        </w:rPr>
        <w:t xml:space="preserve"> sobre la inconstitucionalidad de las normas o prácticas que se fundan en estereotipos de género</w:t>
      </w:r>
      <w:r w:rsidR="0015711E" w:rsidRPr="005304B4">
        <w:rPr>
          <w:rStyle w:val="Refdenotaalpie"/>
          <w:color w:val="000000" w:themeColor="text1"/>
          <w:shd w:val="clear" w:color="auto" w:fill="FFFFFF"/>
          <w:lang w:eastAsia="es-ES_tradnl"/>
        </w:rPr>
        <w:footnoteReference w:id="98"/>
      </w:r>
      <w:r w:rsidR="00424B66" w:rsidRPr="005304B4">
        <w:rPr>
          <w:color w:val="000000" w:themeColor="text1"/>
          <w:shd w:val="clear" w:color="auto" w:fill="FFFFFF"/>
          <w:lang w:eastAsia="es-ES_tradnl"/>
        </w:rPr>
        <w:t xml:space="preserve">. Un ejemplo de ello se encuentra en </w:t>
      </w:r>
      <w:r w:rsidR="001B3981" w:rsidRPr="005304B4">
        <w:rPr>
          <w:color w:val="000000" w:themeColor="text1"/>
          <w:shd w:val="clear" w:color="auto" w:fill="FFFFFF"/>
          <w:lang w:eastAsia="es-ES_tradnl"/>
        </w:rPr>
        <w:t xml:space="preserve">la Sentencia C-534 de 2005, en donde se determinó </w:t>
      </w:r>
      <w:r w:rsidR="001309BF" w:rsidRPr="005304B4">
        <w:rPr>
          <w:color w:val="000000" w:themeColor="text1"/>
          <w:shd w:val="clear" w:color="auto" w:fill="FFFFFF"/>
          <w:lang w:eastAsia="es-ES_tradnl"/>
        </w:rPr>
        <w:t xml:space="preserve">que </w:t>
      </w:r>
      <w:r w:rsidR="0015711E" w:rsidRPr="005304B4">
        <w:rPr>
          <w:color w:val="000000" w:themeColor="text1"/>
          <w:shd w:val="clear" w:color="auto" w:fill="FFFFFF"/>
          <w:lang w:eastAsia="es-ES_tradnl"/>
        </w:rPr>
        <w:t xml:space="preserve">no solo estaban prohibidas las diferenciaciones normativas que directamente adjudican consecuencias jurídicas diferentes a hombres y mujeres sin que se pretenda favorecer a estás, sino que también resultaban contrarias a la Constitución aquellas </w:t>
      </w:r>
      <w:r w:rsidR="000225AB" w:rsidRPr="005304B4">
        <w:rPr>
          <w:color w:val="000000" w:themeColor="text1"/>
          <w:shd w:val="clear" w:color="auto" w:fill="FFFFFF"/>
          <w:lang w:eastAsia="es-ES_tradnl"/>
        </w:rPr>
        <w:t>diferenciaciones normativas que pretenden proteger a la mujer sobre la base de que ellas son débiles, vulnerables, inferiores o cualquier otro estereotipo ofensivo o dañoso</w:t>
      </w:r>
      <w:r w:rsidR="000225AB" w:rsidRPr="005304B4">
        <w:rPr>
          <w:rStyle w:val="Refdenotaalpie"/>
          <w:color w:val="000000" w:themeColor="text1"/>
          <w:shd w:val="clear" w:color="auto" w:fill="FFFFFF"/>
          <w:lang w:eastAsia="es-ES_tradnl"/>
        </w:rPr>
        <w:footnoteReference w:id="99"/>
      </w:r>
      <w:r w:rsidR="000225AB" w:rsidRPr="005304B4">
        <w:rPr>
          <w:color w:val="000000" w:themeColor="text1"/>
          <w:shd w:val="clear" w:color="auto" w:fill="FFFFFF"/>
          <w:lang w:eastAsia="es-ES_tradnl"/>
        </w:rPr>
        <w:t>.</w:t>
      </w:r>
    </w:p>
    <w:p w14:paraId="7C615EE3" w14:textId="77777777" w:rsidR="00057414" w:rsidRPr="005304B4" w:rsidRDefault="00057414" w:rsidP="00057414">
      <w:pPr>
        <w:pStyle w:val="Prrafodelista"/>
        <w:rPr>
          <w:color w:val="000000" w:themeColor="text1"/>
          <w:shd w:val="clear" w:color="auto" w:fill="FFFFFF"/>
          <w:lang w:eastAsia="es-ES_tradnl"/>
        </w:rPr>
      </w:pPr>
    </w:p>
    <w:p w14:paraId="5A1905ED" w14:textId="414C7059" w:rsidR="00636953" w:rsidRPr="005304B4" w:rsidRDefault="000225AB" w:rsidP="001309BF">
      <w:pPr>
        <w:pStyle w:val="Prrafodelista"/>
        <w:numPr>
          <w:ilvl w:val="0"/>
          <w:numId w:val="40"/>
        </w:numPr>
        <w:tabs>
          <w:tab w:val="left" w:pos="284"/>
          <w:tab w:val="left" w:pos="426"/>
        </w:tabs>
        <w:ind w:left="0" w:firstLine="0"/>
        <w:rPr>
          <w:color w:val="000000" w:themeColor="text1"/>
        </w:rPr>
      </w:pPr>
      <w:r w:rsidRPr="005304B4">
        <w:rPr>
          <w:color w:val="000000" w:themeColor="text1"/>
          <w:shd w:val="clear" w:color="auto" w:fill="FFFFFF"/>
          <w:lang w:eastAsia="es-ES_tradnl"/>
        </w:rPr>
        <w:t>L</w:t>
      </w:r>
      <w:r w:rsidR="00424B66" w:rsidRPr="005304B4">
        <w:rPr>
          <w:color w:val="000000" w:themeColor="text1"/>
          <w:shd w:val="clear" w:color="auto" w:fill="FFFFFF"/>
          <w:lang w:eastAsia="es-ES_tradnl"/>
        </w:rPr>
        <w:t>a Sentencia C-804 de 2006</w:t>
      </w:r>
      <w:r w:rsidRPr="005304B4">
        <w:rPr>
          <w:color w:val="000000" w:themeColor="text1"/>
          <w:shd w:val="clear" w:color="auto" w:fill="FFFFFF"/>
          <w:lang w:eastAsia="es-ES_tradnl"/>
        </w:rPr>
        <w:t xml:space="preserve"> reiteró esta postura, puesto que en esta</w:t>
      </w:r>
      <w:r w:rsidR="00424B66" w:rsidRPr="005304B4">
        <w:rPr>
          <w:color w:val="000000" w:themeColor="text1"/>
          <w:shd w:val="clear" w:color="auto" w:fill="FFFFFF"/>
          <w:lang w:eastAsia="es-ES_tradnl"/>
        </w:rPr>
        <w:t xml:space="preserve"> </w:t>
      </w:r>
      <w:r w:rsidRPr="005304B4">
        <w:rPr>
          <w:color w:val="000000" w:themeColor="text1"/>
          <w:shd w:val="clear" w:color="auto" w:fill="FFFFFF"/>
          <w:lang w:eastAsia="es-ES_tradnl"/>
        </w:rPr>
        <w:t>se</w:t>
      </w:r>
      <w:r w:rsidR="001B3981" w:rsidRPr="005304B4">
        <w:rPr>
          <w:color w:val="000000" w:themeColor="text1"/>
          <w:shd w:val="clear" w:color="auto" w:fill="FFFFFF"/>
          <w:lang w:eastAsia="es-ES_tradnl"/>
        </w:rPr>
        <w:t xml:space="preserve"> sostuvo que no tienen cabida en el ordenamiento jurídico colombiano aquellas disposiciones o regulaciones que, aunque aparenten proteger a la mujer, se </w:t>
      </w:r>
      <w:r w:rsidR="004E12D7" w:rsidRPr="005304B4">
        <w:rPr>
          <w:color w:val="000000" w:themeColor="text1"/>
          <w:shd w:val="clear" w:color="auto" w:fill="FFFFFF"/>
          <w:lang w:eastAsia="es-ES_tradnl"/>
        </w:rPr>
        <w:t>sustentan</w:t>
      </w:r>
      <w:r w:rsidR="001B3981" w:rsidRPr="005304B4">
        <w:rPr>
          <w:color w:val="000000" w:themeColor="text1"/>
          <w:shd w:val="clear" w:color="auto" w:fill="FFFFFF"/>
          <w:lang w:eastAsia="es-ES_tradnl"/>
        </w:rPr>
        <w:t xml:space="preserve"> en estereotipos sociales y culturales de carácter machista que, en realidad, perpetúan la desigualdad.</w:t>
      </w:r>
      <w:r w:rsidR="001309BF" w:rsidRPr="005304B4">
        <w:rPr>
          <w:color w:val="000000" w:themeColor="text1"/>
          <w:shd w:val="clear" w:color="auto" w:fill="FFFFFF"/>
          <w:lang w:eastAsia="es-ES_tradnl"/>
        </w:rPr>
        <w:t xml:space="preserve"> </w:t>
      </w:r>
      <w:r w:rsidR="00057414" w:rsidRPr="005304B4">
        <w:rPr>
          <w:color w:val="000000" w:themeColor="text1"/>
          <w:shd w:val="clear" w:color="auto" w:fill="FFFFFF"/>
          <w:lang w:eastAsia="es-ES_tradnl"/>
        </w:rPr>
        <w:t>De ahí que “aquellas definiciones tendientes a reproducir contenidos sexistas significan una vulneración de la prohibición prevista en aquellos preceptos constitucionales dirigidos a reconocer la dignidad de las mujeres como personas autónomas y libres merecedoras de la misma consideración y respeto que merecen los varones”.</w:t>
      </w:r>
    </w:p>
    <w:p w14:paraId="1D65FD0C" w14:textId="77777777" w:rsidR="001309BF" w:rsidRPr="005304B4" w:rsidRDefault="001309BF" w:rsidP="001309BF">
      <w:pPr>
        <w:pStyle w:val="Prrafodelista"/>
        <w:rPr>
          <w:color w:val="000000" w:themeColor="text1"/>
        </w:rPr>
      </w:pPr>
    </w:p>
    <w:p w14:paraId="178B7D44" w14:textId="33F18B3E" w:rsidR="00A95C61" w:rsidRPr="005304B4" w:rsidRDefault="00DD2F2B" w:rsidP="00A95C61">
      <w:pPr>
        <w:pStyle w:val="Prrafodelista"/>
        <w:numPr>
          <w:ilvl w:val="0"/>
          <w:numId w:val="40"/>
        </w:numPr>
        <w:tabs>
          <w:tab w:val="left" w:pos="284"/>
          <w:tab w:val="left" w:pos="426"/>
        </w:tabs>
        <w:ind w:left="0" w:firstLine="0"/>
        <w:rPr>
          <w:color w:val="000000" w:themeColor="text1"/>
        </w:rPr>
      </w:pPr>
      <w:r w:rsidRPr="005304B4">
        <w:rPr>
          <w:lang w:eastAsia="es-MX"/>
        </w:rPr>
        <w:t xml:space="preserve">Posteriormente, </w:t>
      </w:r>
      <w:r w:rsidR="001309BF" w:rsidRPr="005304B4">
        <w:rPr>
          <w:lang w:eastAsia="es-MX"/>
        </w:rPr>
        <w:t xml:space="preserve">la Sentencia C-154 de 2022 </w:t>
      </w:r>
      <w:r w:rsidRPr="005304B4">
        <w:rPr>
          <w:lang w:eastAsia="es-MX"/>
        </w:rPr>
        <w:t xml:space="preserve">reafirmó </w:t>
      </w:r>
      <w:r w:rsidR="00327B81" w:rsidRPr="005304B4">
        <w:rPr>
          <w:lang w:eastAsia="es-MX"/>
        </w:rPr>
        <w:t>tal prohibición. L</w:t>
      </w:r>
      <w:r w:rsidR="001309BF" w:rsidRPr="005304B4">
        <w:rPr>
          <w:lang w:eastAsia="es-MX"/>
        </w:rPr>
        <w:t>a Sala Plena</w:t>
      </w:r>
      <w:r w:rsidRPr="005304B4">
        <w:rPr>
          <w:lang w:eastAsia="es-MX"/>
        </w:rPr>
        <w:t xml:space="preserve">, al analizar la expresión </w:t>
      </w:r>
      <w:r w:rsidR="00327B81" w:rsidRPr="005304B4">
        <w:rPr>
          <w:lang w:eastAsia="es-MX"/>
        </w:rPr>
        <w:t xml:space="preserve">“o </w:t>
      </w:r>
      <w:r w:rsidRPr="005304B4">
        <w:rPr>
          <w:i/>
          <w:iCs/>
          <w:lang w:eastAsia="es-MX"/>
        </w:rPr>
        <w:t>uterinos</w:t>
      </w:r>
      <w:r w:rsidR="00327B81" w:rsidRPr="005304B4">
        <w:rPr>
          <w:i/>
          <w:iCs/>
          <w:lang w:eastAsia="es-MX"/>
        </w:rPr>
        <w:t>”</w:t>
      </w:r>
      <w:r w:rsidR="00573713" w:rsidRPr="005304B4">
        <w:rPr>
          <w:i/>
          <w:iCs/>
          <w:lang w:eastAsia="es-MX"/>
        </w:rPr>
        <w:t>,</w:t>
      </w:r>
      <w:r w:rsidRPr="005304B4">
        <w:rPr>
          <w:lang w:eastAsia="es-MX"/>
        </w:rPr>
        <w:t xml:space="preserve"> </w:t>
      </w:r>
      <w:r w:rsidR="00573713" w:rsidRPr="005304B4">
        <w:rPr>
          <w:lang w:eastAsia="es-MX"/>
        </w:rPr>
        <w:t>contenida en el</w:t>
      </w:r>
      <w:r w:rsidRPr="005304B4">
        <w:rPr>
          <w:lang w:eastAsia="es-MX"/>
        </w:rPr>
        <w:t xml:space="preserve"> artículo 54 del Código Civil, </w:t>
      </w:r>
      <w:r w:rsidR="00DD77E2" w:rsidRPr="005304B4">
        <w:rPr>
          <w:lang w:eastAsia="es-MX"/>
        </w:rPr>
        <w:t>reconoció que una de las formas de discriminación contra la mujer es cuando la ley asocia sus capacidades y habilidades a un específico rol de procreación</w:t>
      </w:r>
      <w:r w:rsidR="00057414" w:rsidRPr="005304B4">
        <w:rPr>
          <w:lang w:eastAsia="es-MX"/>
        </w:rPr>
        <w:t>.</w:t>
      </w:r>
      <w:r w:rsidR="00573713" w:rsidRPr="005304B4">
        <w:rPr>
          <w:lang w:eastAsia="es-MX"/>
        </w:rPr>
        <w:t xml:space="preserve"> Ello</w:t>
      </w:r>
      <w:r w:rsidR="00057414" w:rsidRPr="005304B4">
        <w:rPr>
          <w:lang w:eastAsia="es-MX"/>
        </w:rPr>
        <w:t xml:space="preserve"> por cuanto se trata</w:t>
      </w:r>
      <w:r w:rsidR="00057414" w:rsidRPr="005304B4">
        <w:rPr>
          <w:color w:val="000000"/>
        </w:rPr>
        <w:t xml:space="preserve"> de una valoración en la que perpetúa una cosmovisión ya superada de división sexual del trabajo, en donde la mujer es considerada como débil, incapaz y sometida al cuidado de los hombres, ya que su papel se limita a facilitar su cuerpo para el trabajo reproductivo y la atención del hogar</w:t>
      </w:r>
      <w:r w:rsidR="00573713" w:rsidRPr="005304B4">
        <w:rPr>
          <w:color w:val="000000"/>
        </w:rPr>
        <w:t xml:space="preserve"> y la familia</w:t>
      </w:r>
      <w:r w:rsidR="00057414" w:rsidRPr="005304B4">
        <w:rPr>
          <w:color w:val="000000"/>
        </w:rPr>
        <w:t xml:space="preserve">. </w:t>
      </w:r>
      <w:r w:rsidRPr="005304B4">
        <w:rPr>
          <w:color w:val="000000"/>
        </w:rPr>
        <w:t>Por ende, dicho vocablo apela</w:t>
      </w:r>
      <w:r w:rsidR="001A1F9A" w:rsidRPr="005304B4">
        <w:rPr>
          <w:color w:val="000000"/>
        </w:rPr>
        <w:t>b</w:t>
      </w:r>
      <w:r w:rsidRPr="005304B4">
        <w:rPr>
          <w:color w:val="000000"/>
        </w:rPr>
        <w:t xml:space="preserve">a a las características biológicas de la mujer -tener útero-, lo que reproducía y mantenía una visión reduccionista del género, perpetuando los estereotipos que reducen a la mujer a una función biológica. A partir de este razonamiento, </w:t>
      </w:r>
      <w:r w:rsidR="00573713" w:rsidRPr="005304B4">
        <w:rPr>
          <w:color w:val="000000"/>
        </w:rPr>
        <w:t>la Corte</w:t>
      </w:r>
      <w:r w:rsidRPr="005304B4">
        <w:rPr>
          <w:color w:val="000000"/>
        </w:rPr>
        <w:t xml:space="preserve"> declaró inexequible</w:t>
      </w:r>
      <w:r w:rsidR="00573713" w:rsidRPr="005304B4">
        <w:rPr>
          <w:color w:val="000000"/>
        </w:rPr>
        <w:t xml:space="preserve"> dicha expresión.</w:t>
      </w:r>
    </w:p>
    <w:p w14:paraId="5D5149CE" w14:textId="77777777" w:rsidR="00A95C61" w:rsidRPr="005304B4" w:rsidRDefault="00A95C61" w:rsidP="00BC7F21">
      <w:pPr>
        <w:rPr>
          <w:color w:val="000000" w:themeColor="text1"/>
          <w:sz w:val="28"/>
          <w:szCs w:val="28"/>
        </w:rPr>
      </w:pPr>
    </w:p>
    <w:p w14:paraId="0FF79311" w14:textId="25D7AF3E" w:rsidR="00982DAA" w:rsidRPr="005304B4" w:rsidRDefault="00A95C61" w:rsidP="004C2122">
      <w:pPr>
        <w:pStyle w:val="Prrafodelista"/>
        <w:numPr>
          <w:ilvl w:val="0"/>
          <w:numId w:val="40"/>
        </w:numPr>
        <w:tabs>
          <w:tab w:val="left" w:pos="284"/>
          <w:tab w:val="left" w:pos="426"/>
        </w:tabs>
        <w:ind w:left="0" w:firstLine="0"/>
        <w:rPr>
          <w:lang w:eastAsia="es-MX"/>
        </w:rPr>
      </w:pPr>
      <w:r w:rsidRPr="005304B4">
        <w:rPr>
          <w:color w:val="000000" w:themeColor="text1"/>
        </w:rPr>
        <w:t>Con sustento en lo anterior, se concluye</w:t>
      </w:r>
      <w:r w:rsidR="00636953" w:rsidRPr="005304B4">
        <w:rPr>
          <w:color w:val="000000" w:themeColor="text1"/>
        </w:rPr>
        <w:t xml:space="preserve"> que</w:t>
      </w:r>
      <w:r w:rsidR="00422A05" w:rsidRPr="005304B4">
        <w:rPr>
          <w:color w:val="000000" w:themeColor="text1"/>
        </w:rPr>
        <w:t xml:space="preserve"> </w:t>
      </w:r>
      <w:r w:rsidR="00422A05" w:rsidRPr="005304B4">
        <w:rPr>
          <w:lang w:eastAsia="es-MX"/>
        </w:rPr>
        <w:t>los estereotipos de género no son simples id</w:t>
      </w:r>
      <w:r w:rsidR="00C84070" w:rsidRPr="005304B4">
        <w:rPr>
          <w:lang w:eastAsia="es-MX"/>
        </w:rPr>
        <w:t>eal</w:t>
      </w:r>
      <w:r w:rsidR="003E282F" w:rsidRPr="005304B4">
        <w:rPr>
          <w:lang w:eastAsia="es-MX"/>
        </w:rPr>
        <w:t>es</w:t>
      </w:r>
      <w:r w:rsidR="00422A05" w:rsidRPr="005304B4">
        <w:rPr>
          <w:lang w:eastAsia="es-MX"/>
        </w:rPr>
        <w:t xml:space="preserve"> sociales, sino estructuras normativas y simbólicas que legitiman desigualdades materiales que perpetúan roles tradicionales y reproducen relaciones de subordinación</w:t>
      </w:r>
      <w:r w:rsidR="00BC7F21" w:rsidRPr="005304B4">
        <w:rPr>
          <w:lang w:eastAsia="es-MX"/>
        </w:rPr>
        <w:t xml:space="preserve"> y dependencia</w:t>
      </w:r>
      <w:r w:rsidR="00422A05" w:rsidRPr="005304B4">
        <w:rPr>
          <w:lang w:eastAsia="es-MX"/>
        </w:rPr>
        <w:t xml:space="preserve">. Por ello, </w:t>
      </w:r>
      <w:r w:rsidR="00BC7F21" w:rsidRPr="005304B4">
        <w:rPr>
          <w:lang w:eastAsia="es-MX"/>
        </w:rPr>
        <w:t xml:space="preserve">conforme al marco constitucional y a los compromisos internacionales adquiridos, el Estado tiene el deber de adoptar medidas adecuadas para eliminar del ordenamiento jurídico disposiciones que legitimen parámetros contrarios a la igualdad de la mujer, lo cual incluye la obligación de modificar o adecuar disposiciones legislativas que la desconozcan y que legitimen la violencia y los actos de discriminación por su constitución biológica o que deriven de estereotipos de género. </w:t>
      </w:r>
      <w:r w:rsidR="00573713" w:rsidRPr="005304B4">
        <w:rPr>
          <w:lang w:eastAsia="es-MX"/>
        </w:rPr>
        <w:t>Lo anterior</w:t>
      </w:r>
      <w:r w:rsidR="00BC7F21" w:rsidRPr="005304B4">
        <w:rPr>
          <w:lang w:eastAsia="es-MX"/>
        </w:rPr>
        <w:t xml:space="preserve"> </w:t>
      </w:r>
      <w:r w:rsidR="00422A05" w:rsidRPr="005304B4">
        <w:rPr>
          <w:lang w:eastAsia="es-MX"/>
        </w:rPr>
        <w:t xml:space="preserve">con el </w:t>
      </w:r>
      <w:r w:rsidR="00BC7F21" w:rsidRPr="005304B4">
        <w:rPr>
          <w:lang w:eastAsia="es-MX"/>
        </w:rPr>
        <w:t>propósito de</w:t>
      </w:r>
      <w:r w:rsidR="00422A05" w:rsidRPr="005304B4">
        <w:rPr>
          <w:lang w:eastAsia="es-MX"/>
        </w:rPr>
        <w:t xml:space="preserve"> transformar las estructuras culturales y normativas que perpetúan la discriminación por razones del sexo y el género. </w:t>
      </w:r>
    </w:p>
    <w:p w14:paraId="6F44931D" w14:textId="77777777" w:rsidR="00E71AC8" w:rsidRPr="005304B4" w:rsidRDefault="00E71AC8" w:rsidP="00E71AC8">
      <w:pPr>
        <w:rPr>
          <w:b/>
          <w:bCs/>
          <w:sz w:val="28"/>
          <w:szCs w:val="28"/>
        </w:rPr>
      </w:pPr>
    </w:p>
    <w:p w14:paraId="188E0F5C" w14:textId="26280D22" w:rsidR="00E71AC8" w:rsidRPr="005304B4" w:rsidRDefault="00573713" w:rsidP="00573713">
      <w:pPr>
        <w:pStyle w:val="Ttulo3"/>
      </w:pPr>
      <w:bookmarkStart w:id="34" w:name="_Toc224553754"/>
      <w:r w:rsidRPr="005304B4">
        <w:t xml:space="preserve">5.3. </w:t>
      </w:r>
      <w:r w:rsidR="00E71AC8" w:rsidRPr="005304B4">
        <w:t>El derecho fundamental al cuidado</w:t>
      </w:r>
      <w:bookmarkEnd w:id="34"/>
    </w:p>
    <w:p w14:paraId="2B6F979A" w14:textId="77777777" w:rsidR="00E71AC8" w:rsidRPr="005304B4" w:rsidRDefault="00E71AC8" w:rsidP="00E71AC8">
      <w:pPr>
        <w:rPr>
          <w:sz w:val="28"/>
          <w:szCs w:val="28"/>
        </w:rPr>
      </w:pPr>
    </w:p>
    <w:p w14:paraId="7E850AED" w14:textId="4C3E3344" w:rsidR="007B4190" w:rsidRPr="005304B4" w:rsidRDefault="007B4190" w:rsidP="00573713">
      <w:pPr>
        <w:pStyle w:val="Ttulo4"/>
      </w:pPr>
      <w:r w:rsidRPr="005304B4">
        <w:t>El cuidado en el derecho internacional</w:t>
      </w:r>
    </w:p>
    <w:p w14:paraId="4A4300B8" w14:textId="77777777" w:rsidR="007B4190" w:rsidRPr="005304B4" w:rsidRDefault="007B4190" w:rsidP="00E71AC8">
      <w:pPr>
        <w:rPr>
          <w:sz w:val="28"/>
          <w:szCs w:val="28"/>
        </w:rPr>
      </w:pPr>
    </w:p>
    <w:p w14:paraId="16744526" w14:textId="70818A30" w:rsidR="001552B3" w:rsidRPr="005304B4" w:rsidRDefault="007A249F" w:rsidP="007A249F">
      <w:pPr>
        <w:pStyle w:val="Prrafodelista"/>
        <w:numPr>
          <w:ilvl w:val="0"/>
          <w:numId w:val="40"/>
        </w:numPr>
        <w:tabs>
          <w:tab w:val="left" w:pos="284"/>
          <w:tab w:val="left" w:pos="426"/>
        </w:tabs>
        <w:ind w:left="0" w:firstLine="0"/>
        <w:rPr>
          <w:lang w:eastAsia="es-MX"/>
        </w:rPr>
      </w:pPr>
      <w:r w:rsidRPr="005304B4">
        <w:t>El</w:t>
      </w:r>
      <w:r w:rsidR="00E71AC8" w:rsidRPr="005304B4">
        <w:t xml:space="preserve"> cuidado constituye una necesidad básica, ineludible y universal, de la cual depende tanto la existencia de la vida humana como el funcionamiento de la vida en </w:t>
      </w:r>
      <w:r w:rsidRPr="005304B4">
        <w:t>comunidad</w:t>
      </w:r>
      <w:r w:rsidR="00E71AC8" w:rsidRPr="005304B4">
        <w:t xml:space="preserve">. </w:t>
      </w:r>
      <w:r w:rsidR="00573713" w:rsidRPr="005304B4">
        <w:t>Lo dicho se debe a que t</w:t>
      </w:r>
      <w:r w:rsidR="00E71AC8" w:rsidRPr="005304B4">
        <w:t>odas las personas requieren</w:t>
      </w:r>
      <w:r w:rsidR="003E4FA1" w:rsidRPr="005304B4">
        <w:t>, en diversas etapas de su vida, apoyo de otras personas para subsistir, vivir con dignidad y desarrollar autónomamente su proyecto de vida</w:t>
      </w:r>
      <w:r w:rsidR="003E4FA1" w:rsidRPr="005304B4">
        <w:rPr>
          <w:rStyle w:val="Refdenotaalpie"/>
        </w:rPr>
        <w:footnoteReference w:id="100"/>
      </w:r>
      <w:r w:rsidR="003E4FA1" w:rsidRPr="005304B4">
        <w:t xml:space="preserve">. </w:t>
      </w:r>
    </w:p>
    <w:p w14:paraId="231B1497" w14:textId="77777777" w:rsidR="001552B3" w:rsidRPr="005304B4" w:rsidRDefault="001552B3" w:rsidP="001552B3">
      <w:pPr>
        <w:pStyle w:val="Prrafodelista"/>
        <w:tabs>
          <w:tab w:val="left" w:pos="284"/>
          <w:tab w:val="left" w:pos="426"/>
        </w:tabs>
        <w:ind w:left="0"/>
        <w:rPr>
          <w:lang w:eastAsia="es-MX"/>
        </w:rPr>
      </w:pPr>
    </w:p>
    <w:p w14:paraId="4DD9E525" w14:textId="22DF74A7" w:rsidR="004F2F05" w:rsidRPr="005304B4" w:rsidRDefault="007A249F" w:rsidP="00B169C1">
      <w:pPr>
        <w:pStyle w:val="Prrafodelista"/>
        <w:numPr>
          <w:ilvl w:val="0"/>
          <w:numId w:val="40"/>
        </w:numPr>
        <w:tabs>
          <w:tab w:val="left" w:pos="284"/>
          <w:tab w:val="left" w:pos="426"/>
        </w:tabs>
        <w:ind w:left="0" w:firstLine="0"/>
        <w:rPr>
          <w:lang w:eastAsia="es-MX"/>
        </w:rPr>
      </w:pPr>
      <w:r w:rsidRPr="005304B4">
        <w:t xml:space="preserve">A partir de </w:t>
      </w:r>
      <w:r w:rsidR="00B169C1" w:rsidRPr="005304B4">
        <w:t>su importancia</w:t>
      </w:r>
      <w:r w:rsidRPr="005304B4">
        <w:t xml:space="preserve">, </w:t>
      </w:r>
      <w:r w:rsidR="00B169C1" w:rsidRPr="005304B4">
        <w:t xml:space="preserve">el derecho al cuidado ha </w:t>
      </w:r>
      <w:r w:rsidRPr="005304B4">
        <w:t>sido reconocid</w:t>
      </w:r>
      <w:r w:rsidR="00B169C1" w:rsidRPr="005304B4">
        <w:t>o</w:t>
      </w:r>
      <w:r w:rsidRPr="005304B4">
        <w:t xml:space="preserve"> tanto a nivel nacional como internacional. </w:t>
      </w:r>
      <w:bookmarkStart w:id="35" w:name="OLE_LINK5"/>
      <w:bookmarkStart w:id="36" w:name="OLE_LINK6"/>
      <w:r w:rsidR="00B169C1" w:rsidRPr="005304B4">
        <w:rPr>
          <w:lang w:eastAsia="es-MX"/>
        </w:rPr>
        <w:t>A</w:t>
      </w:r>
      <w:r w:rsidRPr="005304B4">
        <w:t xml:space="preserve"> nivel internacional </w:t>
      </w:r>
      <w:r w:rsidR="009A62AF" w:rsidRPr="005304B4">
        <w:t>algunos</w:t>
      </w:r>
      <w:r w:rsidR="00E71AC8" w:rsidRPr="005304B4">
        <w:t xml:space="preserve"> instrumentos</w:t>
      </w:r>
      <w:r w:rsidR="00D44E58" w:rsidRPr="005304B4">
        <w:t xml:space="preserve"> </w:t>
      </w:r>
      <w:r w:rsidRPr="005304B4">
        <w:t>se han referido al cuidado de manera implícita</w:t>
      </w:r>
      <w:r w:rsidR="00E71AC8" w:rsidRPr="005304B4">
        <w:t>. La Declaración Americana de los Derechos y Deberes del Hombre</w:t>
      </w:r>
      <w:r w:rsidR="00E71AC8" w:rsidRPr="005304B4">
        <w:rPr>
          <w:rStyle w:val="Refdenotaalpie"/>
        </w:rPr>
        <w:footnoteReference w:id="101"/>
      </w:r>
      <w:r w:rsidR="00E71AC8" w:rsidRPr="005304B4">
        <w:t xml:space="preserve"> estableció la primera mención del cuidado como parte de un derecho, especialmente para la</w:t>
      </w:r>
      <w:r w:rsidR="008936DE" w:rsidRPr="005304B4">
        <w:t>s</w:t>
      </w:r>
      <w:r w:rsidR="00E71AC8" w:rsidRPr="005304B4">
        <w:t xml:space="preserve"> mujeres y los niños</w:t>
      </w:r>
      <w:r w:rsidR="00E71AC8" w:rsidRPr="005304B4">
        <w:rPr>
          <w:rStyle w:val="Refdenotaalpie"/>
        </w:rPr>
        <w:footnoteReference w:id="102"/>
      </w:r>
      <w:r w:rsidR="00E71AC8" w:rsidRPr="005304B4">
        <w:t>. La Declaración Universal de los Derechos Humanos destac</w:t>
      </w:r>
      <w:r w:rsidR="004C6A37" w:rsidRPr="005304B4">
        <w:t xml:space="preserve">ó </w:t>
      </w:r>
      <w:r w:rsidR="00E71AC8" w:rsidRPr="005304B4">
        <w:t>su importancia en materia de infancia y maternidad</w:t>
      </w:r>
      <w:r w:rsidR="00E71AC8" w:rsidRPr="005304B4">
        <w:rPr>
          <w:rStyle w:val="Refdenotaalpie"/>
        </w:rPr>
        <w:footnoteReference w:id="103"/>
      </w:r>
      <w:r w:rsidR="004F2F05" w:rsidRPr="005304B4">
        <w:t>,</w:t>
      </w:r>
      <w:r w:rsidR="004C6A37" w:rsidRPr="005304B4">
        <w:t xml:space="preserve"> la Convención sobre los Derechos de las Personas con Discapacidad</w:t>
      </w:r>
      <w:r w:rsidR="004C6A37" w:rsidRPr="005304B4">
        <w:rPr>
          <w:rStyle w:val="Refdenotaalpie"/>
        </w:rPr>
        <w:footnoteReference w:id="104"/>
      </w:r>
      <w:r w:rsidR="004C6A37" w:rsidRPr="005304B4">
        <w:t xml:space="preserve"> lo incorporó como un componente esencial para garantizar un </w:t>
      </w:r>
      <w:r w:rsidR="004F2F05" w:rsidRPr="005304B4">
        <w:t>nivel de</w:t>
      </w:r>
      <w:r w:rsidR="009A62AF" w:rsidRPr="005304B4">
        <w:t xml:space="preserve"> vida adecuada y </w:t>
      </w:r>
      <w:r w:rsidR="004F2F05" w:rsidRPr="005304B4">
        <w:t>protección social</w:t>
      </w:r>
      <w:r w:rsidR="00B169C1" w:rsidRPr="005304B4">
        <w:t>,</w:t>
      </w:r>
      <w:r w:rsidR="004F2F05" w:rsidRPr="005304B4">
        <w:t xml:space="preserve"> y la Convención Interamericana sobre la Protección de los Derechos Humanos de las Personas Mayores</w:t>
      </w:r>
      <w:r w:rsidR="004F2F05" w:rsidRPr="005304B4">
        <w:rPr>
          <w:rStyle w:val="Refdenotaalpie"/>
        </w:rPr>
        <w:footnoteReference w:id="105"/>
      </w:r>
      <w:r w:rsidR="004F2F05" w:rsidRPr="005304B4">
        <w:t xml:space="preserve"> estableció el derecho a acceder a un sistema integral de cuidados. </w:t>
      </w:r>
    </w:p>
    <w:p w14:paraId="279FCF8C" w14:textId="77777777" w:rsidR="00BC4515" w:rsidRPr="005304B4" w:rsidRDefault="00BC4515" w:rsidP="00BC4515">
      <w:pPr>
        <w:pStyle w:val="Prrafodelista"/>
        <w:tabs>
          <w:tab w:val="left" w:pos="284"/>
          <w:tab w:val="left" w:pos="426"/>
        </w:tabs>
        <w:ind w:left="0"/>
        <w:rPr>
          <w:lang w:eastAsia="es-MX"/>
        </w:rPr>
      </w:pPr>
    </w:p>
    <w:p w14:paraId="6963F3B1" w14:textId="60050490" w:rsidR="00066B53" w:rsidRPr="005304B4" w:rsidRDefault="00BC4515" w:rsidP="00066B53">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A nivel regional, de manera </w:t>
      </w:r>
      <w:r w:rsidR="003A2D98" w:rsidRPr="005304B4">
        <w:rPr>
          <w:color w:val="000000" w:themeColor="text1"/>
          <w:lang w:eastAsia="es-MX"/>
        </w:rPr>
        <w:t xml:space="preserve">muy </w:t>
      </w:r>
      <w:r w:rsidRPr="005304B4">
        <w:rPr>
          <w:color w:val="000000" w:themeColor="text1"/>
          <w:lang w:eastAsia="es-MX"/>
        </w:rPr>
        <w:t xml:space="preserve">reciente, </w:t>
      </w:r>
      <w:r w:rsidR="00C33A7A" w:rsidRPr="005304B4">
        <w:rPr>
          <w:color w:val="000000" w:themeColor="text1"/>
          <w:lang w:eastAsia="es-MX"/>
        </w:rPr>
        <w:t>la Corte IDH profirió la</w:t>
      </w:r>
      <w:r w:rsidRPr="005304B4">
        <w:rPr>
          <w:color w:val="000000" w:themeColor="text1"/>
          <w:lang w:eastAsia="es-MX"/>
        </w:rPr>
        <w:t xml:space="preserve"> Opinión Consultiva OC-31</w:t>
      </w:r>
      <w:r w:rsidR="00295C88" w:rsidRPr="005304B4">
        <w:rPr>
          <w:color w:val="000000" w:themeColor="text1"/>
          <w:lang w:eastAsia="es-MX"/>
        </w:rPr>
        <w:t xml:space="preserve"> del 20</w:t>
      </w:r>
      <w:r w:rsidRPr="005304B4">
        <w:rPr>
          <w:color w:val="000000" w:themeColor="text1"/>
          <w:lang w:eastAsia="es-MX"/>
        </w:rPr>
        <w:t>25</w:t>
      </w:r>
      <w:r w:rsidR="00573713" w:rsidRPr="005304B4">
        <w:rPr>
          <w:color w:val="000000" w:themeColor="text1"/>
          <w:lang w:eastAsia="es-MX"/>
        </w:rPr>
        <w:t>,</w:t>
      </w:r>
      <w:r w:rsidR="00C33A7A" w:rsidRPr="005304B4">
        <w:rPr>
          <w:color w:val="000000" w:themeColor="text1"/>
          <w:lang w:eastAsia="es-MX"/>
        </w:rPr>
        <w:t xml:space="preserve"> relacionada con el contenido y el alcance del cuidado. </w:t>
      </w:r>
      <w:r w:rsidR="003A2D98" w:rsidRPr="005304B4">
        <w:rPr>
          <w:color w:val="000000" w:themeColor="text1"/>
          <w:lang w:eastAsia="es-MX"/>
        </w:rPr>
        <w:t>Dicho Tribunal</w:t>
      </w:r>
      <w:r w:rsidR="00066B53" w:rsidRPr="005304B4">
        <w:rPr>
          <w:color w:val="000000" w:themeColor="text1"/>
          <w:lang w:eastAsia="es-MX"/>
        </w:rPr>
        <w:t>, en síntesis</w:t>
      </w:r>
      <w:r w:rsidR="00573713" w:rsidRPr="005304B4">
        <w:rPr>
          <w:color w:val="000000" w:themeColor="text1"/>
          <w:lang w:eastAsia="es-MX"/>
        </w:rPr>
        <w:t>,</w:t>
      </w:r>
      <w:r w:rsidR="003A2D98" w:rsidRPr="005304B4">
        <w:rPr>
          <w:color w:val="000000" w:themeColor="text1"/>
          <w:lang w:eastAsia="es-MX"/>
        </w:rPr>
        <w:t xml:space="preserve"> lo consideró como un derecho autónomo que debe ser entendido como una “prerrogativa de las personas de gozar de las atenciones necesarias para alcanzar su bienestar físico, espiritual, mental y cultural”</w:t>
      </w:r>
      <w:r w:rsidR="00295C88" w:rsidRPr="005304B4">
        <w:rPr>
          <w:color w:val="000000" w:themeColor="text1"/>
          <w:lang w:eastAsia="es-MX"/>
        </w:rPr>
        <w:t>, así como para contribuir al medio ambiente</w:t>
      </w:r>
      <w:r w:rsidR="006838D0" w:rsidRPr="005304B4">
        <w:rPr>
          <w:color w:val="000000" w:themeColor="text1"/>
          <w:lang w:eastAsia="es-MX"/>
        </w:rPr>
        <w:t>. Reconoció que todas las personas, en diferente</w:t>
      </w:r>
      <w:r w:rsidR="00066B53" w:rsidRPr="005304B4">
        <w:rPr>
          <w:color w:val="000000" w:themeColor="text1"/>
          <w:lang w:eastAsia="es-MX"/>
        </w:rPr>
        <w:t xml:space="preserve">s etapas de su vida, necesitan recibir y ofrecer cuidados y que existe una interdependencia en estas tareas. </w:t>
      </w:r>
    </w:p>
    <w:p w14:paraId="3A88B214" w14:textId="77777777" w:rsidR="00066B53" w:rsidRPr="005304B4" w:rsidRDefault="00066B53" w:rsidP="00066B53">
      <w:pPr>
        <w:pStyle w:val="Prrafodelista"/>
        <w:rPr>
          <w:color w:val="000000" w:themeColor="text1"/>
          <w:lang w:eastAsia="es-MX"/>
        </w:rPr>
      </w:pPr>
    </w:p>
    <w:p w14:paraId="2FD2A3C5" w14:textId="79F517CE" w:rsidR="00066B53" w:rsidRPr="005304B4" w:rsidRDefault="00066B53" w:rsidP="00066B53">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A su vez, determinó </w:t>
      </w:r>
      <w:r w:rsidR="00825AE6" w:rsidRPr="005304B4">
        <w:rPr>
          <w:color w:val="000000" w:themeColor="text1"/>
          <w:lang w:eastAsia="es-MX"/>
        </w:rPr>
        <w:t>que</w:t>
      </w:r>
      <w:r w:rsidR="00D85C4B" w:rsidRPr="005304B4">
        <w:rPr>
          <w:color w:val="000000" w:themeColor="text1"/>
          <w:lang w:eastAsia="es-MX"/>
        </w:rPr>
        <w:t>,</w:t>
      </w:r>
      <w:r w:rsidR="00825AE6" w:rsidRPr="005304B4">
        <w:rPr>
          <w:color w:val="000000" w:themeColor="text1"/>
          <w:lang w:eastAsia="es-MX"/>
        </w:rPr>
        <w:t xml:space="preserve"> en virtud del principio de corresponsabilidad, la sociedad y el Estado deben concurrir en su garantía</w:t>
      </w:r>
      <w:r w:rsidR="006838D0" w:rsidRPr="005304B4">
        <w:rPr>
          <w:color w:val="000000" w:themeColor="text1"/>
          <w:lang w:eastAsia="es-MX"/>
        </w:rPr>
        <w:t xml:space="preserve"> y que el Estado </w:t>
      </w:r>
      <w:r w:rsidRPr="005304B4">
        <w:rPr>
          <w:color w:val="000000" w:themeColor="text1"/>
          <w:lang w:eastAsia="es-MX"/>
        </w:rPr>
        <w:t xml:space="preserve">debe </w:t>
      </w:r>
      <w:r w:rsidR="006838D0" w:rsidRPr="005304B4">
        <w:rPr>
          <w:color w:val="000000" w:themeColor="text1"/>
          <w:lang w:eastAsia="es-MX"/>
        </w:rPr>
        <w:t xml:space="preserve">tomar medidas legislativas y políticas para </w:t>
      </w:r>
      <w:r w:rsidRPr="005304B4">
        <w:rPr>
          <w:color w:val="000000" w:themeColor="text1"/>
          <w:lang w:eastAsia="es-MX"/>
        </w:rPr>
        <w:t xml:space="preserve">redistribuir </w:t>
      </w:r>
      <w:r w:rsidR="006838D0" w:rsidRPr="005304B4">
        <w:rPr>
          <w:color w:val="000000" w:themeColor="text1"/>
          <w:lang w:eastAsia="es-MX"/>
        </w:rPr>
        <w:t>las labores de cuidado</w:t>
      </w:r>
      <w:r w:rsidRPr="005304B4">
        <w:rPr>
          <w:color w:val="000000" w:themeColor="text1"/>
          <w:lang w:eastAsia="es-MX"/>
        </w:rPr>
        <w:t xml:space="preserve">, </w:t>
      </w:r>
      <w:r w:rsidR="006838D0" w:rsidRPr="005304B4">
        <w:rPr>
          <w:color w:val="000000" w:themeColor="text1"/>
          <w:lang w:eastAsia="es-MX"/>
        </w:rPr>
        <w:t>p</w:t>
      </w:r>
      <w:r w:rsidRPr="005304B4">
        <w:rPr>
          <w:color w:val="000000" w:themeColor="text1"/>
          <w:lang w:eastAsia="es-MX"/>
        </w:rPr>
        <w:t>ues hay una distribución desigual y una sobrecarga estructural de estas labores sobre las mujeres. Finalmente, explicó que existe una interdependencia e indivisibilidad entre el derecho al cuidado</w:t>
      </w:r>
      <w:r w:rsidR="00573713" w:rsidRPr="005304B4">
        <w:rPr>
          <w:color w:val="000000" w:themeColor="text1"/>
          <w:lang w:eastAsia="es-MX"/>
        </w:rPr>
        <w:t xml:space="preserve"> y</w:t>
      </w:r>
      <w:r w:rsidRPr="005304B4">
        <w:rPr>
          <w:color w:val="000000" w:themeColor="text1"/>
          <w:lang w:eastAsia="es-MX"/>
        </w:rPr>
        <w:t xml:space="preserve"> </w:t>
      </w:r>
      <w:r w:rsidR="00AD6D93" w:rsidRPr="005304B4">
        <w:rPr>
          <w:color w:val="000000" w:themeColor="text1"/>
          <w:lang w:eastAsia="es-MX"/>
        </w:rPr>
        <w:t>los derecho</w:t>
      </w:r>
      <w:r w:rsidR="00573713" w:rsidRPr="005304B4">
        <w:rPr>
          <w:color w:val="000000" w:themeColor="text1"/>
          <w:lang w:eastAsia="es-MX"/>
        </w:rPr>
        <w:t>s</w:t>
      </w:r>
      <w:r w:rsidR="00AD6D93" w:rsidRPr="005304B4">
        <w:rPr>
          <w:color w:val="000000" w:themeColor="text1"/>
          <w:lang w:eastAsia="es-MX"/>
        </w:rPr>
        <w:t xml:space="preserve"> </w:t>
      </w:r>
      <w:r w:rsidR="00A025B9" w:rsidRPr="005304B4">
        <w:rPr>
          <w:color w:val="000000" w:themeColor="text1"/>
          <w:lang w:eastAsia="es-MX"/>
        </w:rPr>
        <w:t>a</w:t>
      </w:r>
      <w:r w:rsidRPr="005304B4">
        <w:rPr>
          <w:color w:val="000000" w:themeColor="text1"/>
          <w:lang w:eastAsia="es-MX"/>
        </w:rPr>
        <w:t xml:space="preserve">l trabajo, la seguridad social, la salud y la educación. </w:t>
      </w:r>
    </w:p>
    <w:p w14:paraId="344DE7CB" w14:textId="3E655BF9" w:rsidR="007B4190" w:rsidRPr="005304B4" w:rsidRDefault="007B4190" w:rsidP="007B4190">
      <w:pPr>
        <w:pStyle w:val="Prrafodelista"/>
        <w:tabs>
          <w:tab w:val="left" w:pos="284"/>
          <w:tab w:val="left" w:pos="426"/>
        </w:tabs>
        <w:ind w:left="0"/>
        <w:rPr>
          <w:color w:val="000000" w:themeColor="text1"/>
          <w:lang w:eastAsia="es-MX"/>
        </w:rPr>
      </w:pPr>
    </w:p>
    <w:p w14:paraId="4C27D4A9" w14:textId="2E942152" w:rsidR="007B4190" w:rsidRPr="005304B4" w:rsidRDefault="007B4190" w:rsidP="00573713">
      <w:pPr>
        <w:pStyle w:val="Ttulo4"/>
      </w:pPr>
      <w:r w:rsidRPr="005304B4">
        <w:t>El cuidado en el ordenamiento interno</w:t>
      </w:r>
    </w:p>
    <w:p w14:paraId="6EF599AA" w14:textId="77777777" w:rsidR="00BC4515" w:rsidRPr="005304B4" w:rsidRDefault="00BC4515" w:rsidP="00BC4515">
      <w:pPr>
        <w:pStyle w:val="Prrafodelista"/>
        <w:tabs>
          <w:tab w:val="left" w:pos="284"/>
          <w:tab w:val="left" w:pos="426"/>
        </w:tabs>
        <w:ind w:left="0"/>
        <w:rPr>
          <w:color w:val="000000" w:themeColor="text1"/>
          <w:lang w:eastAsia="es-MX"/>
        </w:rPr>
      </w:pPr>
    </w:p>
    <w:p w14:paraId="6048615F" w14:textId="0332932C" w:rsidR="00D2094E" w:rsidRPr="005304B4" w:rsidRDefault="00BC4515" w:rsidP="00D2094E">
      <w:pPr>
        <w:pStyle w:val="Prrafodelista"/>
        <w:numPr>
          <w:ilvl w:val="0"/>
          <w:numId w:val="40"/>
        </w:numPr>
        <w:tabs>
          <w:tab w:val="left" w:pos="284"/>
          <w:tab w:val="left" w:pos="426"/>
        </w:tabs>
        <w:ind w:left="0" w:firstLine="0"/>
        <w:rPr>
          <w:color w:val="000000" w:themeColor="text1"/>
          <w:lang w:eastAsia="es-MX"/>
        </w:rPr>
      </w:pPr>
      <w:r w:rsidRPr="005304B4">
        <w:rPr>
          <w:lang w:eastAsia="es-MX"/>
        </w:rPr>
        <w:t>En el ordenamiento interno</w:t>
      </w:r>
      <w:r w:rsidR="005479BB" w:rsidRPr="005304B4">
        <w:rPr>
          <w:lang w:eastAsia="es-MX"/>
        </w:rPr>
        <w:t xml:space="preserve"> colombiano,</w:t>
      </w:r>
      <w:r w:rsidR="00C95D01" w:rsidRPr="005304B4">
        <w:rPr>
          <w:lang w:eastAsia="es-MX"/>
        </w:rPr>
        <w:t xml:space="preserve"> </w:t>
      </w:r>
      <w:r w:rsidR="007B4190" w:rsidRPr="005304B4">
        <w:rPr>
          <w:lang w:eastAsia="es-MX"/>
        </w:rPr>
        <w:t>el cuidado ha sido reconocido como un derecho fundamental</w:t>
      </w:r>
      <w:r w:rsidR="00A12A98" w:rsidRPr="005304B4">
        <w:rPr>
          <w:lang w:eastAsia="es-MX"/>
        </w:rPr>
        <w:t>. Sin embargo,</w:t>
      </w:r>
      <w:r w:rsidR="007B4190" w:rsidRPr="005304B4">
        <w:rPr>
          <w:lang w:eastAsia="es-MX"/>
        </w:rPr>
        <w:t xml:space="preserve"> su</w:t>
      </w:r>
      <w:r w:rsidR="005479BB" w:rsidRPr="005304B4">
        <w:rPr>
          <w:lang w:eastAsia="es-MX"/>
        </w:rPr>
        <w:t xml:space="preserve"> reconocimiento</w:t>
      </w:r>
      <w:r w:rsidR="007B4190" w:rsidRPr="005304B4">
        <w:rPr>
          <w:lang w:eastAsia="es-MX"/>
        </w:rPr>
        <w:t xml:space="preserve"> como tal ha sido el resultado de una evolución progresiva en la jurisprudencia constitucional</w:t>
      </w:r>
      <w:r w:rsidR="00A12A98" w:rsidRPr="005304B4">
        <w:rPr>
          <w:lang w:eastAsia="es-MX"/>
        </w:rPr>
        <w:t xml:space="preserve"> que aún sigue en construcción</w:t>
      </w:r>
      <w:r w:rsidR="007B4190" w:rsidRPr="005304B4">
        <w:rPr>
          <w:lang w:eastAsia="es-MX"/>
        </w:rPr>
        <w:t>.</w:t>
      </w:r>
      <w:r w:rsidR="005479BB" w:rsidRPr="005304B4">
        <w:t xml:space="preserve"> En sus primeras aproximaciones, </w:t>
      </w:r>
      <w:r w:rsidR="001631F8" w:rsidRPr="005304B4">
        <w:t>l</w:t>
      </w:r>
      <w:r w:rsidR="005479BB" w:rsidRPr="005304B4">
        <w:t xml:space="preserve">a Corte abordó el </w:t>
      </w:r>
      <w:r w:rsidR="005479BB" w:rsidRPr="005304B4">
        <w:rPr>
          <w:color w:val="000000" w:themeColor="text1"/>
        </w:rPr>
        <w:t>cuidado</w:t>
      </w:r>
      <w:r w:rsidR="005479BB" w:rsidRPr="005304B4">
        <w:rPr>
          <w:color w:val="000000" w:themeColor="text1"/>
          <w:lang w:eastAsia="es-MX"/>
        </w:rPr>
        <w:t xml:space="preserve"> </w:t>
      </w:r>
      <w:r w:rsidR="005479BB" w:rsidRPr="005304B4">
        <w:rPr>
          <w:color w:val="000000" w:themeColor="text1"/>
          <w:shd w:val="clear" w:color="auto" w:fill="FFFFFF"/>
        </w:rPr>
        <w:t>como una</w:t>
      </w:r>
      <w:r w:rsidR="00C95D01" w:rsidRPr="005304B4">
        <w:rPr>
          <w:color w:val="000000" w:themeColor="text1"/>
          <w:shd w:val="clear" w:color="auto" w:fill="FFFFFF"/>
        </w:rPr>
        <w:t xml:space="preserve"> dimensión de otros derechos</w:t>
      </w:r>
      <w:r w:rsidR="005479BB" w:rsidRPr="005304B4">
        <w:rPr>
          <w:color w:val="000000" w:themeColor="text1"/>
          <w:shd w:val="clear" w:color="auto" w:fill="FFFFFF"/>
        </w:rPr>
        <w:t xml:space="preserve">. </w:t>
      </w:r>
      <w:r w:rsidR="001631F8" w:rsidRPr="005304B4">
        <w:rPr>
          <w:color w:val="000000" w:themeColor="text1"/>
          <w:shd w:val="clear" w:color="auto" w:fill="FFFFFF"/>
        </w:rPr>
        <w:t xml:space="preserve">En sus inicios protegió el derecho a la igualdad de una mujer cuyo aporte de trabajo doméstico en una unión de hecho no había sido reconocido </w:t>
      </w:r>
      <w:r w:rsidR="001631F8" w:rsidRPr="005304B4">
        <w:rPr>
          <w:color w:val="000000" w:themeColor="text1"/>
        </w:rPr>
        <w:t>al advertir que el trabajo doméstico no remunerado de las mujeres suele invisibilizarse, aun cuando aporta de manera esencial al ingreso del hogar y del país</w:t>
      </w:r>
      <w:r w:rsidR="001631F8" w:rsidRPr="005304B4">
        <w:rPr>
          <w:rStyle w:val="Refdenotaalpie"/>
          <w:color w:val="000000" w:themeColor="text1"/>
        </w:rPr>
        <w:footnoteReference w:id="106"/>
      </w:r>
      <w:r w:rsidR="001631F8" w:rsidRPr="005304B4">
        <w:rPr>
          <w:color w:val="000000" w:themeColor="text1"/>
        </w:rPr>
        <w:t xml:space="preserve">. De igual forma, lo protegió como dimensión de los derechos a </w:t>
      </w:r>
      <w:r w:rsidR="00D2094E" w:rsidRPr="005304B4">
        <w:rPr>
          <w:color w:val="000000" w:themeColor="text1"/>
        </w:rPr>
        <w:t>la educación</w:t>
      </w:r>
      <w:r w:rsidR="004E12D7" w:rsidRPr="005304B4">
        <w:rPr>
          <w:color w:val="000000" w:themeColor="text1"/>
        </w:rPr>
        <w:t xml:space="preserve"> y</w:t>
      </w:r>
      <w:r w:rsidR="00D2094E" w:rsidRPr="005304B4">
        <w:rPr>
          <w:color w:val="000000" w:themeColor="text1"/>
        </w:rPr>
        <w:t xml:space="preserve"> alimentación de los niños y niñas y del derecho a la salud de las personas en situación de discapacidad, los adultos mayores</w:t>
      </w:r>
      <w:r w:rsidR="00D2094E" w:rsidRPr="005304B4">
        <w:rPr>
          <w:rStyle w:val="Refdenotaalpie"/>
          <w:color w:val="000000" w:themeColor="text1"/>
        </w:rPr>
        <w:footnoteReference w:id="107"/>
      </w:r>
      <w:r w:rsidR="00D2094E" w:rsidRPr="005304B4">
        <w:rPr>
          <w:color w:val="000000" w:themeColor="text1"/>
        </w:rPr>
        <w:t xml:space="preserve"> y personas en situación de abandono</w:t>
      </w:r>
      <w:r w:rsidR="00D2094E" w:rsidRPr="005304B4">
        <w:rPr>
          <w:rStyle w:val="Refdenotaalpie"/>
        </w:rPr>
        <w:footnoteReference w:id="108"/>
      </w:r>
      <w:r w:rsidR="00D2094E" w:rsidRPr="005304B4">
        <w:t>.</w:t>
      </w:r>
    </w:p>
    <w:p w14:paraId="75FD2ED0" w14:textId="77777777" w:rsidR="00D2094E" w:rsidRPr="005304B4" w:rsidRDefault="00D2094E" w:rsidP="00D2094E">
      <w:pPr>
        <w:pStyle w:val="Prrafodelista"/>
        <w:tabs>
          <w:tab w:val="left" w:pos="284"/>
          <w:tab w:val="left" w:pos="426"/>
        </w:tabs>
        <w:ind w:left="0"/>
        <w:rPr>
          <w:color w:val="000000" w:themeColor="text1"/>
          <w:lang w:eastAsia="es-MX"/>
        </w:rPr>
      </w:pPr>
    </w:p>
    <w:p w14:paraId="66C56A9D" w14:textId="27A220CB" w:rsidR="002E1491" w:rsidRPr="005304B4" w:rsidRDefault="00D2094E" w:rsidP="008F372D">
      <w:pPr>
        <w:pStyle w:val="Prrafodelista"/>
        <w:numPr>
          <w:ilvl w:val="0"/>
          <w:numId w:val="40"/>
        </w:numPr>
        <w:tabs>
          <w:tab w:val="left" w:pos="284"/>
          <w:tab w:val="left" w:pos="426"/>
        </w:tabs>
        <w:ind w:left="0" w:firstLine="0"/>
        <w:rPr>
          <w:color w:val="000000" w:themeColor="text1"/>
          <w:lang w:eastAsia="es-MX"/>
        </w:rPr>
      </w:pPr>
      <w:r w:rsidRPr="005304B4">
        <w:t>Posteriormente,</w:t>
      </w:r>
      <w:r w:rsidR="00165BCE" w:rsidRPr="005304B4">
        <w:t xml:space="preserve"> la Corte Constitucional</w:t>
      </w:r>
      <w:r w:rsidRPr="005304B4">
        <w:t xml:space="preserve"> amplió su comprensión</w:t>
      </w:r>
      <w:r w:rsidR="00440B6B" w:rsidRPr="005304B4">
        <w:t xml:space="preserve"> y </w:t>
      </w:r>
      <w:r w:rsidRPr="005304B4">
        <w:t>lo entendió como un conjunto de actividades esenciales para satisfacer las necesidades básicas de todas las personas</w:t>
      </w:r>
      <w:r w:rsidR="00440B6B" w:rsidRPr="005304B4">
        <w:t>, lo cual no ocurr</w:t>
      </w:r>
      <w:r w:rsidR="00DB4087" w:rsidRPr="005304B4">
        <w:t>e</w:t>
      </w:r>
      <w:r w:rsidR="00440B6B" w:rsidRPr="005304B4">
        <w:t xml:space="preserve"> de manera aislada</w:t>
      </w:r>
      <w:r w:rsidR="00D85C4B" w:rsidRPr="005304B4">
        <w:t>,</w:t>
      </w:r>
      <w:r w:rsidR="00440B6B" w:rsidRPr="005304B4">
        <w:t xml:space="preserve"> sino que se requ</w:t>
      </w:r>
      <w:r w:rsidR="00DB4087" w:rsidRPr="005304B4">
        <w:t>iere</w:t>
      </w:r>
      <w:r w:rsidR="00440B6B" w:rsidRPr="005304B4">
        <w:t xml:space="preserve"> la participación </w:t>
      </w:r>
      <w:r w:rsidRPr="005304B4">
        <w:t>de una “organización social del cuidado”</w:t>
      </w:r>
      <w:r w:rsidR="00440B6B" w:rsidRPr="005304B4">
        <w:rPr>
          <w:rStyle w:val="Refdenotaalpie"/>
          <w:rFonts w:eastAsiaTheme="majorEastAsia"/>
        </w:rPr>
        <w:footnoteReference w:id="109"/>
      </w:r>
      <w:r w:rsidR="00440B6B" w:rsidRPr="005304B4">
        <w:rPr>
          <w:rFonts w:eastAsiaTheme="majorEastAsia"/>
        </w:rPr>
        <w:t>.</w:t>
      </w:r>
      <w:r w:rsidR="007F2F7D" w:rsidRPr="005304B4">
        <w:rPr>
          <w:rFonts w:eastAsiaTheme="majorEastAsia"/>
        </w:rPr>
        <w:t xml:space="preserve"> </w:t>
      </w:r>
      <w:r w:rsidR="007F2F7D" w:rsidRPr="005304B4">
        <w:rPr>
          <w:color w:val="000000" w:themeColor="text1"/>
          <w:lang w:eastAsia="es-MX"/>
        </w:rPr>
        <w:t xml:space="preserve">Partiendo de esta </w:t>
      </w:r>
      <w:r w:rsidR="00FF3EC1" w:rsidRPr="005304B4">
        <w:rPr>
          <w:color w:val="000000" w:themeColor="text1"/>
          <w:lang w:eastAsia="es-MX"/>
        </w:rPr>
        <w:t>concepción</w:t>
      </w:r>
      <w:r w:rsidR="007F2F7D" w:rsidRPr="005304B4">
        <w:rPr>
          <w:color w:val="000000" w:themeColor="text1"/>
          <w:lang w:eastAsia="es-MX"/>
        </w:rPr>
        <w:t>, el cuidado fue reconocido como un derecho fundamental</w:t>
      </w:r>
      <w:r w:rsidR="007F2F7D" w:rsidRPr="005304B4">
        <w:rPr>
          <w:rStyle w:val="Refdenotaalpie"/>
          <w:color w:val="000000" w:themeColor="text1"/>
          <w:lang w:eastAsia="es-MX"/>
        </w:rPr>
        <w:footnoteReference w:id="110"/>
      </w:r>
      <w:r w:rsidR="007F2F7D" w:rsidRPr="005304B4">
        <w:rPr>
          <w:color w:val="000000" w:themeColor="text1"/>
          <w:lang w:eastAsia="es-MX"/>
        </w:rPr>
        <w:t xml:space="preserve"> que</w:t>
      </w:r>
      <w:r w:rsidR="000B4B48" w:rsidRPr="005304B4">
        <w:rPr>
          <w:color w:val="000000" w:themeColor="text1"/>
          <w:lang w:eastAsia="es-MX"/>
        </w:rPr>
        <w:t xml:space="preserve">, para ser garantizado </w:t>
      </w:r>
      <w:r w:rsidR="00873797" w:rsidRPr="005304B4">
        <w:rPr>
          <w:color w:val="000000" w:themeColor="text1"/>
          <w:lang w:eastAsia="es-MX"/>
        </w:rPr>
        <w:t xml:space="preserve">exige la </w:t>
      </w:r>
      <w:r w:rsidR="007F2F7D" w:rsidRPr="005304B4">
        <w:t xml:space="preserve">redistribución y corresponsabilidad entre la familia, </w:t>
      </w:r>
      <w:r w:rsidR="008F372D" w:rsidRPr="005304B4">
        <w:t>los particulares y el</w:t>
      </w:r>
      <w:r w:rsidR="007F2F7D" w:rsidRPr="005304B4">
        <w:t xml:space="preserve"> Estado</w:t>
      </w:r>
      <w:r w:rsidR="007F2F7D" w:rsidRPr="005304B4">
        <w:rPr>
          <w:rStyle w:val="Refdenotaalpie"/>
        </w:rPr>
        <w:footnoteReference w:id="111"/>
      </w:r>
      <w:r w:rsidR="009453A8" w:rsidRPr="005304B4">
        <w:t>.</w:t>
      </w:r>
      <w:r w:rsidR="00165BCE" w:rsidRPr="005304B4">
        <w:t xml:space="preserve"> Esto, por cuanto se encuentra íntimamente ligado a los pilares del Estado Social de Derecho, a la dignidad humana y al principio de solidaridad</w:t>
      </w:r>
      <w:r w:rsidR="00165BCE" w:rsidRPr="005304B4">
        <w:rPr>
          <w:rStyle w:val="Refdenotaalpie"/>
        </w:rPr>
        <w:footnoteReference w:id="112"/>
      </w:r>
      <w:r w:rsidR="00165BCE" w:rsidRPr="005304B4">
        <w:t xml:space="preserve">. </w:t>
      </w:r>
    </w:p>
    <w:p w14:paraId="4FFF95F8" w14:textId="77777777" w:rsidR="00DB4087" w:rsidRPr="005304B4" w:rsidRDefault="00DB4087" w:rsidP="00DB4087">
      <w:pPr>
        <w:pStyle w:val="Prrafodelista"/>
        <w:rPr>
          <w:color w:val="000000" w:themeColor="text1"/>
          <w:lang w:eastAsia="es-MX"/>
        </w:rPr>
      </w:pPr>
    </w:p>
    <w:p w14:paraId="53C3E5F3" w14:textId="41F0028C" w:rsidR="005F342A" w:rsidRPr="005304B4" w:rsidRDefault="00F716EA" w:rsidP="005F342A">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La Corte ha determinado que el cuidado tiene tres facetas: cuidar, </w:t>
      </w:r>
      <w:r w:rsidR="009453A8" w:rsidRPr="005304B4">
        <w:rPr>
          <w:color w:val="000000" w:themeColor="text1"/>
          <w:lang w:eastAsia="es-MX"/>
        </w:rPr>
        <w:t xml:space="preserve">ser cuidado y cuidarse (autocuidado). </w:t>
      </w:r>
      <w:r w:rsidR="000B4B48" w:rsidRPr="005304B4">
        <w:rPr>
          <w:color w:val="000000" w:themeColor="text1"/>
          <w:lang w:eastAsia="es-MX"/>
        </w:rPr>
        <w:t xml:space="preserve">La primera se refiere al deber de concurrir en la garantía de cuidar de las personas </w:t>
      </w:r>
      <w:r w:rsidRPr="005304B4">
        <w:rPr>
          <w:color w:val="000000" w:themeColor="text1"/>
          <w:lang w:eastAsia="es-MX"/>
        </w:rPr>
        <w:t>que</w:t>
      </w:r>
      <w:r w:rsidR="000B4B48" w:rsidRPr="005304B4">
        <w:rPr>
          <w:color w:val="000000" w:themeColor="text1"/>
          <w:lang w:eastAsia="es-MX"/>
        </w:rPr>
        <w:t xml:space="preserve"> lo requieren. Esta dimensión</w:t>
      </w:r>
      <w:r w:rsidR="009453A8" w:rsidRPr="005304B4">
        <w:rPr>
          <w:color w:val="000000" w:themeColor="text1"/>
          <w:lang w:eastAsia="es-MX"/>
        </w:rPr>
        <w:t xml:space="preserve"> </w:t>
      </w:r>
      <w:r w:rsidR="000B4B48" w:rsidRPr="005304B4">
        <w:rPr>
          <w:color w:val="000000" w:themeColor="text1"/>
          <w:lang w:eastAsia="es-MX"/>
        </w:rPr>
        <w:t xml:space="preserve">se puede materializar </w:t>
      </w:r>
      <w:r w:rsidRPr="005304B4">
        <w:rPr>
          <w:color w:val="000000" w:themeColor="text1"/>
          <w:lang w:eastAsia="es-MX"/>
        </w:rPr>
        <w:t xml:space="preserve">de forma directa, </w:t>
      </w:r>
      <w:r w:rsidR="000F55AB" w:rsidRPr="005304B4">
        <w:rPr>
          <w:color w:val="000000" w:themeColor="text1"/>
          <w:lang w:eastAsia="es-MX"/>
        </w:rPr>
        <w:t>la cual</w:t>
      </w:r>
      <w:r w:rsidRPr="005304B4">
        <w:rPr>
          <w:color w:val="000000" w:themeColor="text1"/>
          <w:lang w:eastAsia="es-MX"/>
        </w:rPr>
        <w:t xml:space="preserve"> implica la </w:t>
      </w:r>
      <w:r w:rsidR="000F55AB" w:rsidRPr="005304B4">
        <w:rPr>
          <w:color w:val="000000" w:themeColor="text1"/>
          <w:lang w:eastAsia="es-MX"/>
        </w:rPr>
        <w:t>interacción personal y emocional entre el cuidador y quien es cuidado. Este requiere de dedicación y disponibilidad, pues se manifiesta en actividades como ayudar a comer o bañarse</w:t>
      </w:r>
      <w:r w:rsidR="000F55AB" w:rsidRPr="005304B4">
        <w:rPr>
          <w:rStyle w:val="Refdenotaalpie"/>
          <w:color w:val="000000" w:themeColor="text1"/>
          <w:lang w:eastAsia="es-MX"/>
        </w:rPr>
        <w:footnoteReference w:id="113"/>
      </w:r>
      <w:r w:rsidR="000F55AB" w:rsidRPr="005304B4">
        <w:rPr>
          <w:color w:val="000000" w:themeColor="text1"/>
          <w:lang w:eastAsia="es-MX"/>
        </w:rPr>
        <w:t xml:space="preserve">. También puede ser indirecto, </w:t>
      </w:r>
      <w:r w:rsidR="002E20F1" w:rsidRPr="005304B4">
        <w:rPr>
          <w:color w:val="000000" w:themeColor="text1"/>
          <w:lang w:eastAsia="es-MX"/>
        </w:rPr>
        <w:t>es decir, aquel en el que no existe interacción personal</w:t>
      </w:r>
      <w:r w:rsidR="00573713" w:rsidRPr="005304B4">
        <w:rPr>
          <w:color w:val="000000" w:themeColor="text1"/>
          <w:lang w:eastAsia="es-MX"/>
        </w:rPr>
        <w:t>,</w:t>
      </w:r>
      <w:r w:rsidR="002E20F1" w:rsidRPr="005304B4">
        <w:rPr>
          <w:color w:val="000000" w:themeColor="text1"/>
          <w:lang w:eastAsia="es-MX"/>
        </w:rPr>
        <w:t xml:space="preserve"> </w:t>
      </w:r>
      <w:r w:rsidR="009910BA" w:rsidRPr="005304B4">
        <w:rPr>
          <w:color w:val="000000" w:themeColor="text1"/>
          <w:lang w:eastAsia="es-MX"/>
        </w:rPr>
        <w:t>pero se concreta en actividades como en proveer alimentos</w:t>
      </w:r>
      <w:r w:rsidR="002E20F1" w:rsidRPr="005304B4">
        <w:rPr>
          <w:color w:val="000000" w:themeColor="text1"/>
          <w:lang w:eastAsia="es-MX"/>
        </w:rPr>
        <w:t xml:space="preserve">, </w:t>
      </w:r>
      <w:r w:rsidR="005F342A" w:rsidRPr="005304B4">
        <w:rPr>
          <w:color w:val="000000" w:themeColor="text1"/>
          <w:lang w:eastAsia="es-MX"/>
        </w:rPr>
        <w:t xml:space="preserve">limpieza y </w:t>
      </w:r>
      <w:r w:rsidR="002E20F1" w:rsidRPr="005304B4">
        <w:rPr>
          <w:color w:val="000000" w:themeColor="text1"/>
          <w:lang w:eastAsia="es-MX"/>
        </w:rPr>
        <w:t>la gestión del hogar</w:t>
      </w:r>
      <w:r w:rsidR="005F342A" w:rsidRPr="005304B4">
        <w:rPr>
          <w:color w:val="000000" w:themeColor="text1"/>
          <w:lang w:eastAsia="es-MX"/>
        </w:rPr>
        <w:t xml:space="preserve">, </w:t>
      </w:r>
      <w:r w:rsidR="009910BA" w:rsidRPr="005304B4">
        <w:rPr>
          <w:color w:val="000000" w:themeColor="text1"/>
          <w:lang w:eastAsia="es-MX"/>
        </w:rPr>
        <w:t>y otro tipo de apoyos similares</w:t>
      </w:r>
      <w:r w:rsidR="002E20F1" w:rsidRPr="005304B4">
        <w:rPr>
          <w:color w:val="000000" w:themeColor="text1"/>
          <w:lang w:eastAsia="es-MX"/>
        </w:rPr>
        <w:t xml:space="preserve"> que contribuyen al bienestar de </w:t>
      </w:r>
      <w:r w:rsidR="005F342A" w:rsidRPr="005304B4">
        <w:rPr>
          <w:color w:val="000000" w:themeColor="text1"/>
          <w:lang w:eastAsia="es-MX"/>
        </w:rPr>
        <w:t xml:space="preserve">quien requiere ser cuidado. </w:t>
      </w:r>
    </w:p>
    <w:p w14:paraId="1D598754" w14:textId="77777777" w:rsidR="005F342A" w:rsidRPr="005304B4" w:rsidRDefault="005F342A" w:rsidP="005F342A">
      <w:pPr>
        <w:pStyle w:val="Prrafodelista"/>
        <w:rPr>
          <w:color w:val="000000" w:themeColor="text1"/>
          <w:lang w:eastAsia="es-MX"/>
        </w:rPr>
      </w:pPr>
    </w:p>
    <w:p w14:paraId="4F4CEA88" w14:textId="77777777" w:rsidR="00620458" w:rsidRPr="005304B4" w:rsidRDefault="00D62C87" w:rsidP="00AD6D93">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Por su parte, el derecho a ser cuidado </w:t>
      </w:r>
      <w:r w:rsidR="005F342A" w:rsidRPr="005304B4">
        <w:rPr>
          <w:color w:val="000000" w:themeColor="text1"/>
          <w:lang w:eastAsia="es-MX"/>
        </w:rPr>
        <w:t>implica el derecho a recibir cuidados</w:t>
      </w:r>
      <w:r w:rsidR="006B04D2" w:rsidRPr="005304B4">
        <w:rPr>
          <w:color w:val="000000" w:themeColor="text1"/>
          <w:lang w:eastAsia="es-MX"/>
        </w:rPr>
        <w:t>. La titularidad de este derecho no depende de contar con recursos económicos o tener lazos afectivos con alguien que realice la labor de cuidado.</w:t>
      </w:r>
      <w:r w:rsidR="006B04D2" w:rsidRPr="005304B4">
        <w:t xml:space="preserve"> </w:t>
      </w:r>
      <w:r w:rsidR="006B04D2" w:rsidRPr="005304B4">
        <w:rPr>
          <w:color w:val="000000" w:themeColor="text1"/>
          <w:lang w:eastAsia="es-MX"/>
        </w:rPr>
        <w:t xml:space="preserve">Finalmente, cuidarse implica que las personas deben poder procurar su propio bienestar físico y emocional. </w:t>
      </w:r>
      <w:r w:rsidR="001B5D3E" w:rsidRPr="005304B4">
        <w:rPr>
          <w:color w:val="000000" w:themeColor="text1"/>
          <w:lang w:eastAsia="es-MX"/>
        </w:rPr>
        <w:t xml:space="preserve">Finalmente, el </w:t>
      </w:r>
      <w:r w:rsidR="006B04D2" w:rsidRPr="005304B4">
        <w:rPr>
          <w:color w:val="000000" w:themeColor="text1"/>
          <w:lang w:eastAsia="es-MX"/>
        </w:rPr>
        <w:t>autocuidado reconoce que debe existir tiempo para el bienestar propio</w:t>
      </w:r>
      <w:r w:rsidR="006B04D2" w:rsidRPr="005304B4">
        <w:rPr>
          <w:rStyle w:val="Refdenotaalpie"/>
          <w:color w:val="000000" w:themeColor="text1"/>
          <w:lang w:eastAsia="es-MX"/>
        </w:rPr>
        <w:footnoteReference w:id="114"/>
      </w:r>
      <w:r w:rsidR="006B04D2" w:rsidRPr="005304B4">
        <w:rPr>
          <w:color w:val="000000" w:themeColor="text1"/>
          <w:lang w:eastAsia="es-MX"/>
        </w:rPr>
        <w:t>.</w:t>
      </w:r>
      <w:r w:rsidR="00AD6D93" w:rsidRPr="005304B4">
        <w:rPr>
          <w:color w:val="000000" w:themeColor="text1"/>
          <w:lang w:eastAsia="es-MX"/>
        </w:rPr>
        <w:t xml:space="preserve"> </w:t>
      </w:r>
    </w:p>
    <w:p w14:paraId="54CE4D94" w14:textId="77777777" w:rsidR="00620458" w:rsidRPr="005304B4" w:rsidRDefault="00620458" w:rsidP="00620458">
      <w:pPr>
        <w:pStyle w:val="Prrafodelista"/>
        <w:rPr>
          <w:color w:val="000000" w:themeColor="text1"/>
          <w:lang w:eastAsia="es-MX"/>
        </w:rPr>
      </w:pPr>
    </w:p>
    <w:p w14:paraId="2E277E06" w14:textId="554DC4B3" w:rsidR="00FD578C" w:rsidRPr="005304B4" w:rsidRDefault="00AD6D93" w:rsidP="00620458">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El cuidado puede ser ejercido de manera no</w:t>
      </w:r>
      <w:r w:rsidR="00CF417F" w:rsidRPr="005304B4">
        <w:rPr>
          <w:color w:val="000000" w:themeColor="text1"/>
          <w:lang w:eastAsia="es-MX"/>
        </w:rPr>
        <w:t xml:space="preserve"> remunerada</w:t>
      </w:r>
      <w:r w:rsidR="00620458" w:rsidRPr="005304B4">
        <w:rPr>
          <w:color w:val="000000" w:themeColor="text1"/>
          <w:lang w:eastAsia="es-MX"/>
        </w:rPr>
        <w:t xml:space="preserve"> y remunerada. La primera es una labor diaria que mantiene en funcionamiento los hogares y las familias a través de la crianza de los </w:t>
      </w:r>
      <w:r w:rsidR="00573713" w:rsidRPr="005304B4">
        <w:rPr>
          <w:color w:val="000000" w:themeColor="text1"/>
          <w:lang w:eastAsia="es-MX"/>
        </w:rPr>
        <w:t>niños</w:t>
      </w:r>
      <w:r w:rsidR="00620458" w:rsidRPr="005304B4">
        <w:rPr>
          <w:color w:val="000000" w:themeColor="text1"/>
          <w:lang w:eastAsia="es-MX"/>
        </w:rPr>
        <w:t>, el cuidado de familiares en incapacidad de hacerlo por sí mismo</w:t>
      </w:r>
      <w:r w:rsidR="00573713" w:rsidRPr="005304B4">
        <w:rPr>
          <w:color w:val="000000" w:themeColor="text1"/>
          <w:lang w:eastAsia="es-MX"/>
        </w:rPr>
        <w:t>s</w:t>
      </w:r>
      <w:r w:rsidR="00620458" w:rsidRPr="005304B4">
        <w:rPr>
          <w:color w:val="000000" w:themeColor="text1"/>
          <w:lang w:eastAsia="es-MX"/>
        </w:rPr>
        <w:t>, las labores de limpieza, cocina, etc, sin obtener a cambio ningún tipo de remuneración. Esta es</w:t>
      </w:r>
      <w:r w:rsidR="00CF417F" w:rsidRPr="005304B4">
        <w:rPr>
          <w:color w:val="000000" w:themeColor="text1"/>
          <w:lang w:eastAsia="es-MX"/>
        </w:rPr>
        <w:t xml:space="preserve"> una tarea</w:t>
      </w:r>
      <w:r w:rsidR="00620458" w:rsidRPr="005304B4">
        <w:rPr>
          <w:color w:val="000000" w:themeColor="text1"/>
          <w:lang w:eastAsia="es-MX"/>
        </w:rPr>
        <w:t>, en la generalidad,</w:t>
      </w:r>
      <w:r w:rsidR="00CF417F" w:rsidRPr="005304B4">
        <w:rPr>
          <w:color w:val="000000" w:themeColor="text1"/>
          <w:lang w:eastAsia="es-MX"/>
        </w:rPr>
        <w:t xml:space="preserve"> asumida</w:t>
      </w:r>
      <w:r w:rsidR="004E12D7" w:rsidRPr="005304B4">
        <w:rPr>
          <w:color w:val="000000" w:themeColor="text1"/>
          <w:lang w:eastAsia="es-MX"/>
        </w:rPr>
        <w:t xml:space="preserve"> </w:t>
      </w:r>
      <w:r w:rsidR="00CF417F" w:rsidRPr="005304B4">
        <w:rPr>
          <w:color w:val="000000" w:themeColor="text1"/>
          <w:lang w:eastAsia="es-MX"/>
        </w:rPr>
        <w:t>al interior del hogar por mujeres</w:t>
      </w:r>
      <w:r w:rsidR="00620458" w:rsidRPr="005304B4">
        <w:rPr>
          <w:color w:val="000000" w:themeColor="text1"/>
          <w:lang w:eastAsia="es-MX"/>
        </w:rPr>
        <w:t>. Por el contrario, el cuidado remunerado es aquel que ejercen, por ejemplo, las trabajadoras del servicio doméstico o quienes ejercen cuidado en espacios institucionalizados</w:t>
      </w:r>
      <w:r w:rsidR="00620458" w:rsidRPr="005304B4">
        <w:rPr>
          <w:rStyle w:val="Refdenotaalpie"/>
          <w:color w:val="000000" w:themeColor="text1"/>
          <w:lang w:eastAsia="es-MX"/>
        </w:rPr>
        <w:footnoteReference w:id="115"/>
      </w:r>
      <w:r w:rsidR="00620458" w:rsidRPr="005304B4">
        <w:rPr>
          <w:color w:val="000000" w:themeColor="text1"/>
          <w:lang w:eastAsia="es-MX"/>
        </w:rPr>
        <w:t xml:space="preserve">. </w:t>
      </w:r>
    </w:p>
    <w:p w14:paraId="3E97F6F5" w14:textId="77777777" w:rsidR="002E1491" w:rsidRPr="005304B4" w:rsidRDefault="002E1491" w:rsidP="006B04D2">
      <w:pPr>
        <w:rPr>
          <w:sz w:val="28"/>
          <w:szCs w:val="28"/>
        </w:rPr>
      </w:pPr>
    </w:p>
    <w:p w14:paraId="54C2BA53" w14:textId="6567A20E" w:rsidR="006C11BB" w:rsidRPr="005304B4" w:rsidRDefault="001B5D3E" w:rsidP="00FA3736">
      <w:pPr>
        <w:pStyle w:val="Prrafodelista"/>
        <w:numPr>
          <w:ilvl w:val="0"/>
          <w:numId w:val="40"/>
        </w:numPr>
        <w:tabs>
          <w:tab w:val="left" w:pos="284"/>
          <w:tab w:val="left" w:pos="426"/>
        </w:tabs>
        <w:ind w:left="0" w:firstLine="0"/>
        <w:rPr>
          <w:color w:val="000000" w:themeColor="text1"/>
          <w:lang w:eastAsia="es-MX"/>
        </w:rPr>
      </w:pPr>
      <w:r w:rsidRPr="005304B4">
        <w:t>En el marco de la construcción del cuidado como derecho, la Corte Constitucional, a través de su jurisprudencia</w:t>
      </w:r>
      <w:r w:rsidR="004B26E1" w:rsidRPr="005304B4">
        <w:t>,</w:t>
      </w:r>
      <w:r w:rsidRPr="005304B4">
        <w:t xml:space="preserve"> ha </w:t>
      </w:r>
      <w:r w:rsidR="004B26E1" w:rsidRPr="005304B4">
        <w:t>establecido estándares para garantizarlo</w:t>
      </w:r>
      <w:r w:rsidR="00CF417F" w:rsidRPr="005304B4">
        <w:t>. Así las cosas,</w:t>
      </w:r>
      <w:r w:rsidR="004B26E1" w:rsidRPr="005304B4">
        <w:t xml:space="preserve"> </w:t>
      </w:r>
      <w:r w:rsidR="00CF417F" w:rsidRPr="005304B4">
        <w:t>el</w:t>
      </w:r>
      <w:r w:rsidR="004B26E1" w:rsidRPr="005304B4">
        <w:t xml:space="preserve"> Estado debe</w:t>
      </w:r>
      <w:r w:rsidR="00573713" w:rsidRPr="005304B4">
        <w:t>:</w:t>
      </w:r>
      <w:r w:rsidR="004B26E1" w:rsidRPr="005304B4">
        <w:t xml:space="preserve"> </w:t>
      </w:r>
      <w:r w:rsidR="008F372D" w:rsidRPr="005304B4">
        <w:t xml:space="preserve">(i) </w:t>
      </w:r>
      <w:r w:rsidR="004B26E1" w:rsidRPr="005304B4">
        <w:t xml:space="preserve">promover </w:t>
      </w:r>
      <w:r w:rsidR="008F372D" w:rsidRPr="005304B4">
        <w:t xml:space="preserve">sistemas de cuidado que garanticen su disfrute y ejercicio, y que evalúen su desarrollo progresivo; así como </w:t>
      </w:r>
      <w:r w:rsidR="00FA3736" w:rsidRPr="005304B4">
        <w:t xml:space="preserve">establecer </w:t>
      </w:r>
      <w:r w:rsidR="008F372D" w:rsidRPr="005304B4">
        <w:t>(ii) políticas de conciliación de la vida personal, con las responsabilidades familiares y el bienestar cotidiano, en entornos laborales</w:t>
      </w:r>
      <w:r w:rsidR="002D5CA5" w:rsidRPr="005304B4">
        <w:rPr>
          <w:rStyle w:val="Refdenotaalpie"/>
        </w:rPr>
        <w:footnoteReference w:id="116"/>
      </w:r>
      <w:r w:rsidR="008F372D" w:rsidRPr="005304B4">
        <w:t>.</w:t>
      </w:r>
    </w:p>
    <w:p w14:paraId="4D72DF36" w14:textId="77777777" w:rsidR="006C11BB" w:rsidRPr="005304B4" w:rsidRDefault="006C11BB" w:rsidP="006C11BB">
      <w:pPr>
        <w:pStyle w:val="Prrafodelista"/>
      </w:pPr>
    </w:p>
    <w:p w14:paraId="720FE6A1" w14:textId="1DE2F007" w:rsidR="00165BCE" w:rsidRPr="005304B4" w:rsidRDefault="001B5D3E" w:rsidP="00165BCE">
      <w:pPr>
        <w:pStyle w:val="Prrafodelista"/>
        <w:numPr>
          <w:ilvl w:val="0"/>
          <w:numId w:val="40"/>
        </w:numPr>
        <w:tabs>
          <w:tab w:val="left" w:pos="284"/>
          <w:tab w:val="left" w:pos="426"/>
        </w:tabs>
        <w:ind w:left="0" w:firstLine="0"/>
        <w:rPr>
          <w:color w:val="000000" w:themeColor="text1"/>
          <w:lang w:eastAsia="es-MX"/>
        </w:rPr>
      </w:pPr>
      <w:r w:rsidRPr="005304B4">
        <w:t xml:space="preserve">De igual forma, </w:t>
      </w:r>
      <w:r w:rsidR="00165BCE" w:rsidRPr="005304B4">
        <w:t>en la Sentencia T-199 de 2025, precisó</w:t>
      </w:r>
      <w:r w:rsidR="006C11BB" w:rsidRPr="005304B4">
        <w:t xml:space="preserve"> </w:t>
      </w:r>
      <w:r w:rsidR="008434E6" w:rsidRPr="005304B4">
        <w:t>sus</w:t>
      </w:r>
      <w:r w:rsidR="004B26E1" w:rsidRPr="005304B4">
        <w:t xml:space="preserve"> </w:t>
      </w:r>
      <w:r w:rsidR="002D5CA5" w:rsidRPr="005304B4">
        <w:t>mínimos esenciales</w:t>
      </w:r>
      <w:r w:rsidR="008434E6" w:rsidRPr="005304B4">
        <w:t xml:space="preserve">: </w:t>
      </w:r>
      <w:r w:rsidR="004B26E1" w:rsidRPr="005304B4">
        <w:t>(a)</w:t>
      </w:r>
      <w:r w:rsidR="002D5CA5" w:rsidRPr="005304B4">
        <w:t xml:space="preserve"> </w:t>
      </w:r>
      <w:r w:rsidR="002D5CA5" w:rsidRPr="005304B4">
        <w:rPr>
          <w:i/>
          <w:iCs/>
        </w:rPr>
        <w:t>disponibilidad</w:t>
      </w:r>
      <w:r w:rsidR="00FA3736" w:rsidRPr="005304B4">
        <w:t>,</w:t>
      </w:r>
      <w:r w:rsidR="00DB4087" w:rsidRPr="005304B4">
        <w:t xml:space="preserve"> que</w:t>
      </w:r>
      <w:r w:rsidR="00FA3736" w:rsidRPr="005304B4">
        <w:t xml:space="preserve"> </w:t>
      </w:r>
      <w:r w:rsidR="004B26E1" w:rsidRPr="005304B4">
        <w:t>implica que se le deben garantizar a todas las personas, en especial aquellas en situación de discapacidad, tenga</w:t>
      </w:r>
      <w:r w:rsidR="006C11BB" w:rsidRPr="005304B4">
        <w:t>n</w:t>
      </w:r>
      <w:r w:rsidR="004B26E1" w:rsidRPr="005304B4">
        <w:t xml:space="preserve"> acceso efecti</w:t>
      </w:r>
      <w:r w:rsidR="006C11BB" w:rsidRPr="005304B4">
        <w:t>v</w:t>
      </w:r>
      <w:r w:rsidR="004B26E1" w:rsidRPr="005304B4">
        <w:t xml:space="preserve">o a una oferta básica de cuidados; (b) </w:t>
      </w:r>
      <w:r w:rsidR="004B26E1" w:rsidRPr="005304B4">
        <w:rPr>
          <w:i/>
          <w:iCs/>
        </w:rPr>
        <w:t>accesibilidad</w:t>
      </w:r>
      <w:r w:rsidR="00B2206F" w:rsidRPr="005304B4">
        <w:rPr>
          <w:i/>
          <w:iCs/>
        </w:rPr>
        <w:t xml:space="preserve">, </w:t>
      </w:r>
      <w:r w:rsidR="006C11BB" w:rsidRPr="005304B4">
        <w:t xml:space="preserve">que impone que los servicios de cuidado deben garantizarse a todas las personas sin discriminación. Este mínimo, a su vez, impone que los cuidados sean asequibles y accesibles físicamente; (c) </w:t>
      </w:r>
      <w:r w:rsidR="006C11BB" w:rsidRPr="005304B4">
        <w:rPr>
          <w:i/>
          <w:iCs/>
        </w:rPr>
        <w:t>calidad</w:t>
      </w:r>
      <w:r w:rsidR="006C11BB" w:rsidRPr="005304B4">
        <w:t xml:space="preserve">, que comporta que los cuidados cumplan con estándares apropiados y adecuados de atención para asegurar condiciones dignas y seguras para las personas cuidadas y sus cuidadores, y (d) </w:t>
      </w:r>
      <w:r w:rsidR="006C11BB" w:rsidRPr="005304B4">
        <w:rPr>
          <w:i/>
          <w:iCs/>
        </w:rPr>
        <w:t xml:space="preserve">adecuación, </w:t>
      </w:r>
      <w:r w:rsidR="006C11BB" w:rsidRPr="005304B4">
        <w:t>que establece que el cuidado debe ajustarse a las necesidades físicas, emocionales y sociales de quien lo recibe</w:t>
      </w:r>
      <w:r w:rsidR="00502A50" w:rsidRPr="005304B4">
        <w:rPr>
          <w:rStyle w:val="Refdenotaalpie"/>
        </w:rPr>
        <w:footnoteReference w:id="117"/>
      </w:r>
      <w:r w:rsidR="006C11BB" w:rsidRPr="005304B4">
        <w:t xml:space="preserve">. </w:t>
      </w:r>
    </w:p>
    <w:p w14:paraId="26874E47" w14:textId="38BEF92D" w:rsidR="00FD578C" w:rsidRPr="005304B4" w:rsidRDefault="00FD578C" w:rsidP="00FD578C">
      <w:pPr>
        <w:pStyle w:val="Prrafodelista"/>
        <w:tabs>
          <w:tab w:val="left" w:pos="284"/>
          <w:tab w:val="left" w:pos="426"/>
        </w:tabs>
        <w:ind w:left="0"/>
        <w:rPr>
          <w:color w:val="000000" w:themeColor="text1"/>
          <w:lang w:eastAsia="es-MX"/>
        </w:rPr>
      </w:pPr>
    </w:p>
    <w:p w14:paraId="67CAFA64" w14:textId="59B8D9FB" w:rsidR="00EB4EF9" w:rsidRPr="005304B4" w:rsidRDefault="00EB4EF9" w:rsidP="00EB4EF9">
      <w:pPr>
        <w:pStyle w:val="Prrafodelista"/>
        <w:numPr>
          <w:ilvl w:val="0"/>
          <w:numId w:val="40"/>
        </w:numPr>
        <w:tabs>
          <w:tab w:val="left" w:pos="284"/>
          <w:tab w:val="left" w:pos="426"/>
        </w:tabs>
        <w:ind w:left="0" w:firstLine="0"/>
        <w:rPr>
          <w:color w:val="000000" w:themeColor="text1"/>
          <w:lang w:eastAsia="es-MX"/>
        </w:rPr>
      </w:pPr>
      <w:r w:rsidRPr="005304B4">
        <w:rPr>
          <w:lang w:eastAsia="es-MX"/>
        </w:rPr>
        <w:t xml:space="preserve">La construcción del derecho al cuidado, así como de sus estándares y contenidos mínimos, ha sido el resultado de un desarrollo jurisprudencial progresivo tejido a través de múltiples decisiones relacionadas con personas en situación de discapacidad, adultos mayores, personas en situación de abandono y otros grupos en </w:t>
      </w:r>
      <w:r w:rsidR="00573713" w:rsidRPr="005304B4">
        <w:rPr>
          <w:lang w:eastAsia="es-MX"/>
        </w:rPr>
        <w:t xml:space="preserve">situación de </w:t>
      </w:r>
      <w:r w:rsidRPr="005304B4">
        <w:rPr>
          <w:lang w:eastAsia="es-MX"/>
        </w:rPr>
        <w:t>especial vulnerabilidad. La protección judicial de este derecho ha permitido, a su vez, hacer efectivos otros derechos fundamentales estrechamente vinculados, como la igualdad, salud, capacidad jurídica, la seguridad social, la familia, el trabajo y la dignidad humana</w:t>
      </w:r>
      <w:r w:rsidRPr="005304B4">
        <w:rPr>
          <w:rStyle w:val="Refdenotaalpie"/>
        </w:rPr>
        <w:footnoteReference w:id="118"/>
      </w:r>
      <w:r w:rsidRPr="005304B4">
        <w:t>.</w:t>
      </w:r>
    </w:p>
    <w:p w14:paraId="32821FF0" w14:textId="77777777" w:rsidR="00BC4515" w:rsidRPr="005304B4" w:rsidRDefault="00BC4515" w:rsidP="00BC4515">
      <w:pPr>
        <w:tabs>
          <w:tab w:val="left" w:pos="284"/>
          <w:tab w:val="left" w:pos="426"/>
        </w:tabs>
        <w:rPr>
          <w:color w:val="000000" w:themeColor="text1"/>
          <w:sz w:val="28"/>
          <w:szCs w:val="28"/>
        </w:rPr>
      </w:pPr>
    </w:p>
    <w:p w14:paraId="4A0064BE" w14:textId="4C2D8ACC" w:rsidR="00BC4515" w:rsidRPr="005304B4" w:rsidRDefault="005826D5" w:rsidP="00573713">
      <w:pPr>
        <w:pStyle w:val="Ttulo4"/>
      </w:pPr>
      <w:r w:rsidRPr="005304B4">
        <w:t xml:space="preserve">Igualdad y corresponsabilidad familiar en las </w:t>
      </w:r>
      <w:r w:rsidR="00955B67" w:rsidRPr="005304B4">
        <w:t>labores</w:t>
      </w:r>
      <w:r w:rsidRPr="005304B4">
        <w:t xml:space="preserve"> de cuidado</w:t>
      </w:r>
      <w:r w:rsidR="005659BF" w:rsidRPr="005304B4">
        <w:t xml:space="preserve"> y crianza</w:t>
      </w:r>
    </w:p>
    <w:p w14:paraId="7D19182E" w14:textId="77777777" w:rsidR="004F2F05" w:rsidRPr="005304B4" w:rsidRDefault="004F2F05" w:rsidP="004F2F05">
      <w:pPr>
        <w:pStyle w:val="Prrafodelista"/>
      </w:pPr>
    </w:p>
    <w:p w14:paraId="3D82EB76" w14:textId="58AACD01" w:rsidR="008A0109" w:rsidRPr="005304B4" w:rsidRDefault="00CC1800" w:rsidP="00232FAB">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rPr>
        <w:t xml:space="preserve">Uno de </w:t>
      </w:r>
      <w:r w:rsidR="00300395" w:rsidRPr="005304B4">
        <w:rPr>
          <w:color w:val="000000" w:themeColor="text1"/>
        </w:rPr>
        <w:t>los ejes centrales del</w:t>
      </w:r>
      <w:r w:rsidRPr="005304B4">
        <w:rPr>
          <w:color w:val="000000" w:themeColor="text1"/>
        </w:rPr>
        <w:t xml:space="preserve"> debate sobre el cuidado </w:t>
      </w:r>
      <w:r w:rsidR="00300395" w:rsidRPr="005304B4">
        <w:rPr>
          <w:color w:val="000000" w:themeColor="text1"/>
        </w:rPr>
        <w:t>se relaciona con</w:t>
      </w:r>
      <w:r w:rsidRPr="005304B4">
        <w:rPr>
          <w:color w:val="000000" w:themeColor="text1"/>
        </w:rPr>
        <w:t xml:space="preserve"> la forma en la que los integrantes de una familia dividen su</w:t>
      </w:r>
      <w:r w:rsidR="00D85C4B" w:rsidRPr="005304B4">
        <w:rPr>
          <w:color w:val="000000" w:themeColor="text1"/>
        </w:rPr>
        <w:t>s</w:t>
      </w:r>
      <w:r w:rsidRPr="005304B4">
        <w:rPr>
          <w:color w:val="000000" w:themeColor="text1"/>
        </w:rPr>
        <w:t xml:space="preserve"> roles</w:t>
      </w:r>
      <w:r w:rsidR="00573713" w:rsidRPr="005304B4">
        <w:rPr>
          <w:color w:val="000000" w:themeColor="text1"/>
        </w:rPr>
        <w:t xml:space="preserve"> al interior del hogar</w:t>
      </w:r>
      <w:r w:rsidR="008A0109" w:rsidRPr="005304B4">
        <w:rPr>
          <w:color w:val="000000" w:themeColor="text1"/>
        </w:rPr>
        <w:t>. Esta dimensión relacional del cuidado se encuentra orientada por un robusto marco normativo tanto internacional como nacional, que exige que dicha distribución se realice conforme a</w:t>
      </w:r>
      <w:r w:rsidR="005826D5" w:rsidRPr="005304B4">
        <w:rPr>
          <w:color w:val="000000" w:themeColor="text1"/>
        </w:rPr>
        <w:t>l</w:t>
      </w:r>
      <w:r w:rsidR="00D44E58" w:rsidRPr="005304B4">
        <w:rPr>
          <w:color w:val="000000" w:themeColor="text1"/>
        </w:rPr>
        <w:t xml:space="preserve"> </w:t>
      </w:r>
      <w:r w:rsidR="008A0109" w:rsidRPr="005304B4">
        <w:rPr>
          <w:color w:val="000000" w:themeColor="text1"/>
        </w:rPr>
        <w:t>principio de igualdad y no discriminación, proscribiendo cualquier asignación de tareas basada</w:t>
      </w:r>
      <w:r w:rsidR="00173845" w:rsidRPr="005304B4">
        <w:rPr>
          <w:color w:val="000000" w:themeColor="text1"/>
        </w:rPr>
        <w:t>s</w:t>
      </w:r>
      <w:r w:rsidR="008A0109" w:rsidRPr="005304B4">
        <w:rPr>
          <w:color w:val="000000" w:themeColor="text1"/>
        </w:rPr>
        <w:t xml:space="preserve"> en estereotipos de género o en presunciones históricamente arraigadas sobre a quién se le debe asignar </w:t>
      </w:r>
      <w:r w:rsidR="00573713" w:rsidRPr="005304B4">
        <w:rPr>
          <w:color w:val="000000" w:themeColor="text1"/>
        </w:rPr>
        <w:t>las labores de</w:t>
      </w:r>
      <w:r w:rsidR="008A0109" w:rsidRPr="005304B4">
        <w:rPr>
          <w:color w:val="000000" w:themeColor="text1"/>
        </w:rPr>
        <w:t xml:space="preserve"> cuidado</w:t>
      </w:r>
      <w:r w:rsidR="005826D5" w:rsidRPr="005304B4">
        <w:rPr>
          <w:color w:val="000000" w:themeColor="text1"/>
        </w:rPr>
        <w:t xml:space="preserve"> en el hogar</w:t>
      </w:r>
      <w:r w:rsidR="008A0109" w:rsidRPr="005304B4">
        <w:rPr>
          <w:color w:val="000000" w:themeColor="text1"/>
        </w:rPr>
        <w:t xml:space="preserve"> de manera principal. </w:t>
      </w:r>
    </w:p>
    <w:p w14:paraId="48331ADB" w14:textId="77777777" w:rsidR="00CC1800" w:rsidRPr="005304B4" w:rsidRDefault="00CC1800" w:rsidP="00CC1800">
      <w:pPr>
        <w:pStyle w:val="Prrafodelista"/>
        <w:tabs>
          <w:tab w:val="left" w:pos="284"/>
          <w:tab w:val="left" w:pos="426"/>
        </w:tabs>
        <w:ind w:left="0"/>
        <w:rPr>
          <w:lang w:eastAsia="es-MX"/>
        </w:rPr>
      </w:pPr>
    </w:p>
    <w:p w14:paraId="4B1A80DF" w14:textId="4C41EB82" w:rsidR="004C2122" w:rsidRPr="005304B4" w:rsidRDefault="001B5FED" w:rsidP="00232FAB">
      <w:pPr>
        <w:pStyle w:val="Prrafodelista"/>
        <w:numPr>
          <w:ilvl w:val="0"/>
          <w:numId w:val="40"/>
        </w:numPr>
        <w:tabs>
          <w:tab w:val="left" w:pos="284"/>
          <w:tab w:val="left" w:pos="426"/>
        </w:tabs>
        <w:ind w:left="0" w:firstLine="0"/>
        <w:rPr>
          <w:lang w:eastAsia="es-MX"/>
        </w:rPr>
      </w:pPr>
      <w:r w:rsidRPr="005304B4">
        <w:t xml:space="preserve">La </w:t>
      </w:r>
      <w:r w:rsidR="00573713" w:rsidRPr="005304B4">
        <w:t>CEDAW</w:t>
      </w:r>
      <w:r w:rsidR="004F2F05" w:rsidRPr="005304B4">
        <w:t xml:space="preserve"> reconoció </w:t>
      </w:r>
      <w:r w:rsidRPr="005304B4">
        <w:t xml:space="preserve">la </w:t>
      </w:r>
      <w:r w:rsidR="004F2F05" w:rsidRPr="005304B4">
        <w:t>relevancia</w:t>
      </w:r>
      <w:r w:rsidRPr="005304B4">
        <w:t xml:space="preserve"> de la corresponsabilidad</w:t>
      </w:r>
      <w:r w:rsidR="004F2F05" w:rsidRPr="005304B4">
        <w:t xml:space="preserve"> </w:t>
      </w:r>
      <w:r w:rsidRPr="005304B4">
        <w:t xml:space="preserve">en las responsabilidades familiares </w:t>
      </w:r>
      <w:r w:rsidR="004F2F05" w:rsidRPr="005304B4">
        <w:t xml:space="preserve">como componente </w:t>
      </w:r>
      <w:r w:rsidR="001A1F9A" w:rsidRPr="005304B4">
        <w:t xml:space="preserve">de </w:t>
      </w:r>
      <w:r w:rsidR="004F2F05" w:rsidRPr="005304B4">
        <w:t>la igualdad sustantiva entre hombres y mujeres</w:t>
      </w:r>
      <w:r w:rsidR="004F2F05" w:rsidRPr="005304B4">
        <w:rPr>
          <w:rStyle w:val="Refdenotaalpie"/>
        </w:rPr>
        <w:footnoteReference w:id="119"/>
      </w:r>
      <w:r w:rsidR="00BE3825" w:rsidRPr="005304B4">
        <w:t>. S</w:t>
      </w:r>
      <w:r w:rsidR="004F2F05" w:rsidRPr="005304B4">
        <w:t>u artículo 5 contempló la obligación de los Estado</w:t>
      </w:r>
      <w:r w:rsidR="00173845" w:rsidRPr="005304B4">
        <w:t>s</w:t>
      </w:r>
      <w:r w:rsidR="004F2F05" w:rsidRPr="005304B4">
        <w:t xml:space="preserve"> de “garantizar que la educación familiar incluya una comprensión de la maternidad como una función social y el reconocimiento de la responsabilidad común de hombres y mujeres</w:t>
      </w:r>
      <w:bookmarkEnd w:id="35"/>
      <w:bookmarkEnd w:id="36"/>
      <w:r w:rsidR="004F2F05" w:rsidRPr="005304B4">
        <w:t xml:space="preserve"> en la educación y desarrollo de los hijos”. En este mismo sentido, </w:t>
      </w:r>
      <w:r w:rsidR="00BA73D8" w:rsidRPr="005304B4">
        <w:t>el artículo 16 impuso la obligación de eliminar la discriminación contra la mujer en las relaciones familiares</w:t>
      </w:r>
      <w:r w:rsidR="00583A42" w:rsidRPr="005304B4">
        <w:t xml:space="preserve"> y asegurar la igualdad con el hombre </w:t>
      </w:r>
      <w:r w:rsidR="004D590F" w:rsidRPr="005304B4">
        <w:t>en los derechos y responsabilidades como progenitores</w:t>
      </w:r>
      <w:r w:rsidR="003E282F" w:rsidRPr="005304B4">
        <w:t xml:space="preserve">. </w:t>
      </w:r>
    </w:p>
    <w:p w14:paraId="3EA141D6" w14:textId="77777777" w:rsidR="00BA73D8" w:rsidRPr="005304B4" w:rsidRDefault="00BA73D8" w:rsidP="00BA73D8">
      <w:pPr>
        <w:pStyle w:val="Prrafodelista"/>
        <w:tabs>
          <w:tab w:val="left" w:pos="284"/>
          <w:tab w:val="left" w:pos="426"/>
        </w:tabs>
        <w:ind w:left="0"/>
        <w:rPr>
          <w:lang w:eastAsia="es-MX"/>
        </w:rPr>
      </w:pPr>
    </w:p>
    <w:p w14:paraId="3AC52C86" w14:textId="1C16D8C9" w:rsidR="00EA6717" w:rsidRPr="005304B4" w:rsidRDefault="00EA6717" w:rsidP="00EA6717">
      <w:pPr>
        <w:pStyle w:val="Prrafodelista"/>
        <w:numPr>
          <w:ilvl w:val="0"/>
          <w:numId w:val="40"/>
        </w:numPr>
        <w:tabs>
          <w:tab w:val="left" w:pos="284"/>
          <w:tab w:val="left" w:pos="426"/>
        </w:tabs>
        <w:ind w:left="0" w:firstLine="0"/>
        <w:rPr>
          <w:lang w:eastAsia="es-MX"/>
        </w:rPr>
      </w:pPr>
      <w:r w:rsidRPr="005304B4">
        <w:t>En desarrollo de est</w:t>
      </w:r>
      <w:r w:rsidR="00BA73D8" w:rsidRPr="005304B4">
        <w:t>os mandatos,</w:t>
      </w:r>
      <w:r w:rsidRPr="005304B4">
        <w:t xml:space="preserve"> </w:t>
      </w:r>
      <w:r w:rsidR="00D92212" w:rsidRPr="005304B4">
        <w:t xml:space="preserve">la </w:t>
      </w:r>
      <w:r w:rsidR="004D590F" w:rsidRPr="005304B4">
        <w:t>R</w:t>
      </w:r>
      <w:r w:rsidRPr="005304B4">
        <w:t xml:space="preserve">ecomendación </w:t>
      </w:r>
      <w:r w:rsidR="004D590F" w:rsidRPr="005304B4">
        <w:t>G</w:t>
      </w:r>
      <w:r w:rsidRPr="005304B4">
        <w:t>eneral n° 21 de</w:t>
      </w:r>
      <w:r w:rsidR="00573713" w:rsidRPr="005304B4">
        <w:t xml:space="preserve">l comité de la CEDAW, </w:t>
      </w:r>
      <w:r w:rsidRPr="005304B4">
        <w:t>denominada “la igualdad en el matrimonio y en las relaciones familiares”</w:t>
      </w:r>
      <w:r w:rsidR="00BA73D8" w:rsidRPr="005304B4">
        <w:t xml:space="preserve">, </w:t>
      </w:r>
      <w:r w:rsidR="004D590F" w:rsidRPr="005304B4">
        <w:t xml:space="preserve">recordó que los Estado parte deben tener leyes en las que se permitan que ambos padres compartan derechos y obligaciones con respecto a sus hijos en igualdad de condiciones. </w:t>
      </w:r>
    </w:p>
    <w:p w14:paraId="1496863B" w14:textId="77777777" w:rsidR="00EA6717" w:rsidRPr="005304B4" w:rsidRDefault="00EA6717" w:rsidP="004D590F">
      <w:pPr>
        <w:pStyle w:val="Prrafodelista"/>
        <w:tabs>
          <w:tab w:val="left" w:pos="284"/>
          <w:tab w:val="left" w:pos="426"/>
        </w:tabs>
        <w:ind w:left="0"/>
        <w:rPr>
          <w:lang w:eastAsia="es-MX"/>
        </w:rPr>
      </w:pPr>
    </w:p>
    <w:p w14:paraId="0A43902A" w14:textId="322CAD30" w:rsidR="001552B3" w:rsidRPr="005304B4" w:rsidRDefault="00573713" w:rsidP="00EA6717">
      <w:pPr>
        <w:pStyle w:val="Prrafodelista"/>
        <w:numPr>
          <w:ilvl w:val="0"/>
          <w:numId w:val="40"/>
        </w:numPr>
        <w:tabs>
          <w:tab w:val="left" w:pos="284"/>
          <w:tab w:val="left" w:pos="426"/>
        </w:tabs>
        <w:ind w:left="0" w:firstLine="0"/>
        <w:rPr>
          <w:lang w:eastAsia="es-MX"/>
        </w:rPr>
      </w:pPr>
      <w:r w:rsidRPr="005304B4">
        <w:t>Por su parte, l</w:t>
      </w:r>
      <w:r w:rsidR="00F4059E" w:rsidRPr="005304B4">
        <w:t>a Convención sobre los Derechos del Niño determinó</w:t>
      </w:r>
      <w:r w:rsidR="00EA6717" w:rsidRPr="005304B4">
        <w:t xml:space="preserve"> en su artículo 18</w:t>
      </w:r>
      <w:r w:rsidR="00F4059E" w:rsidRPr="005304B4">
        <w:t xml:space="preserve"> como una obligación de los Estado</w:t>
      </w:r>
      <w:r w:rsidR="00EA6717" w:rsidRPr="005304B4">
        <w:t>s</w:t>
      </w:r>
      <w:r w:rsidR="001A1F9A" w:rsidRPr="005304B4">
        <w:t xml:space="preserve"> </w:t>
      </w:r>
      <w:r w:rsidR="00F4059E" w:rsidRPr="005304B4">
        <w:t>garantizar el reconocimiento del principio de que ambos padres tienen obligaciones comunes en lo que respec</w:t>
      </w:r>
      <w:r w:rsidR="009F3341" w:rsidRPr="005304B4">
        <w:t>t</w:t>
      </w:r>
      <w:r w:rsidR="00F4059E" w:rsidRPr="005304B4">
        <w:t xml:space="preserve">a a la crianza y el desarrollo de los niños y las niñas. </w:t>
      </w:r>
      <w:r w:rsidR="004C6A37" w:rsidRPr="005304B4">
        <w:rPr>
          <w:color w:val="000000" w:themeColor="text1"/>
          <w:lang w:eastAsia="es-MX"/>
        </w:rPr>
        <w:t xml:space="preserve">En el ámbito de los derechos laborales, </w:t>
      </w:r>
      <w:r w:rsidR="00FB0F7E" w:rsidRPr="005304B4">
        <w:rPr>
          <w:color w:val="000000" w:themeColor="text1"/>
          <w:lang w:eastAsia="es-MX"/>
        </w:rPr>
        <w:t xml:space="preserve">la </w:t>
      </w:r>
      <w:r w:rsidR="00CB3404" w:rsidRPr="005304B4">
        <w:rPr>
          <w:color w:val="000000" w:themeColor="text1"/>
          <w:shd w:val="clear" w:color="auto" w:fill="FFFFFF"/>
        </w:rPr>
        <w:t>Recomendación 1</w:t>
      </w:r>
      <w:r w:rsidR="001552B3" w:rsidRPr="005304B4">
        <w:rPr>
          <w:color w:val="000000" w:themeColor="text1"/>
          <w:shd w:val="clear" w:color="auto" w:fill="FFFFFF"/>
        </w:rPr>
        <w:t>56</w:t>
      </w:r>
      <w:r w:rsidR="00CB3404" w:rsidRPr="005304B4">
        <w:rPr>
          <w:color w:val="000000" w:themeColor="text1"/>
          <w:shd w:val="clear" w:color="auto" w:fill="FFFFFF"/>
        </w:rPr>
        <w:t xml:space="preserve"> </w:t>
      </w:r>
      <w:r w:rsidR="005659BF" w:rsidRPr="005304B4">
        <w:rPr>
          <w:color w:val="000000" w:themeColor="text1"/>
          <w:shd w:val="clear" w:color="auto" w:fill="FFFFFF"/>
        </w:rPr>
        <w:t xml:space="preserve">de 1981 </w:t>
      </w:r>
      <w:r w:rsidR="00CB3404" w:rsidRPr="005304B4">
        <w:rPr>
          <w:color w:val="000000" w:themeColor="text1"/>
          <w:shd w:val="clear" w:color="auto" w:fill="FFFFFF"/>
        </w:rPr>
        <w:t xml:space="preserve">de la </w:t>
      </w:r>
      <w:r w:rsidR="00CB3404" w:rsidRPr="005304B4">
        <w:rPr>
          <w:color w:val="2D2D2D"/>
          <w:shd w:val="clear" w:color="auto" w:fill="FFFFFF"/>
        </w:rPr>
        <w:t>OIT</w:t>
      </w:r>
      <w:r w:rsidR="00D529CB" w:rsidRPr="005304B4">
        <w:rPr>
          <w:rStyle w:val="Refdenotaalpie"/>
          <w:color w:val="2D2D2D"/>
          <w:shd w:val="clear" w:color="auto" w:fill="FFFFFF"/>
        </w:rPr>
        <w:footnoteReference w:id="120"/>
      </w:r>
      <w:r w:rsidR="00CB3404" w:rsidRPr="005304B4">
        <w:rPr>
          <w:color w:val="2D2D2D"/>
          <w:shd w:val="clear" w:color="auto" w:fill="FFFFFF"/>
        </w:rPr>
        <w:t> </w:t>
      </w:r>
      <w:r w:rsidR="00CB3404" w:rsidRPr="005304B4">
        <w:rPr>
          <w:color w:val="000000" w:themeColor="text1"/>
          <w:shd w:val="clear" w:color="auto" w:fill="FFFFFF"/>
        </w:rPr>
        <w:t>sobre los trabajadores con responsabilidades familiares estableció estándares para proteger a las y los trabajadores que tienen responsabilidades respecto de los hijos a cargo o de otros miembros de la familia que necesiten cuidado. En un sentido similar, la Recomendación 165</w:t>
      </w:r>
      <w:r w:rsidR="00E034B9" w:rsidRPr="005304B4">
        <w:rPr>
          <w:color w:val="000000" w:themeColor="text1"/>
          <w:shd w:val="clear" w:color="auto" w:fill="FFFFFF"/>
        </w:rPr>
        <w:t xml:space="preserve">, </w:t>
      </w:r>
      <w:r w:rsidR="00E034B9" w:rsidRPr="005304B4">
        <w:rPr>
          <w:color w:val="000000" w:themeColor="text1"/>
          <w:lang w:eastAsia="es-MX"/>
        </w:rPr>
        <w:t xml:space="preserve">sobre los trabajadores y trabajadores con responsabilidades familiares, </w:t>
      </w:r>
      <w:r w:rsidR="00CB3404" w:rsidRPr="005304B4">
        <w:rPr>
          <w:color w:val="000000" w:themeColor="text1"/>
          <w:shd w:val="clear" w:color="auto" w:fill="FFFFFF"/>
        </w:rPr>
        <w:t>de esta organización</w:t>
      </w:r>
      <w:r w:rsidR="00E034B9" w:rsidRPr="005304B4">
        <w:rPr>
          <w:color w:val="000000" w:themeColor="text1"/>
          <w:shd w:val="clear" w:color="auto" w:fill="FFFFFF"/>
        </w:rPr>
        <w:t>,</w:t>
      </w:r>
      <w:r w:rsidR="001552B3" w:rsidRPr="005304B4">
        <w:rPr>
          <w:color w:val="000000" w:themeColor="text1"/>
          <w:shd w:val="clear" w:color="auto" w:fill="FFFFFF"/>
        </w:rPr>
        <w:t xml:space="preserve"> instó a los Estados </w:t>
      </w:r>
      <w:r w:rsidR="004E12D7" w:rsidRPr="005304B4">
        <w:rPr>
          <w:color w:val="000000" w:themeColor="text1"/>
          <w:shd w:val="clear" w:color="auto" w:fill="FFFFFF"/>
        </w:rPr>
        <w:t>de</w:t>
      </w:r>
      <w:r w:rsidR="001552B3" w:rsidRPr="005304B4">
        <w:rPr>
          <w:color w:val="000000" w:themeColor="text1"/>
          <w:shd w:val="clear" w:color="auto" w:fill="FFFFFF"/>
        </w:rPr>
        <w:t xml:space="preserve"> generar condiciones para que las responsabilidades familiares se repartan de manera equitativa y no se incurra en discriminaciones directas e indirectas. </w:t>
      </w:r>
    </w:p>
    <w:p w14:paraId="5CFE55B3" w14:textId="77777777" w:rsidR="001552B3" w:rsidRPr="005304B4" w:rsidRDefault="001552B3" w:rsidP="001552B3">
      <w:pPr>
        <w:pStyle w:val="Prrafodelista"/>
      </w:pPr>
    </w:p>
    <w:p w14:paraId="29202AA1" w14:textId="3C29AF9C" w:rsidR="00937E06" w:rsidRPr="005304B4" w:rsidRDefault="001552B3" w:rsidP="00937E06">
      <w:pPr>
        <w:pStyle w:val="Prrafodelista"/>
        <w:numPr>
          <w:ilvl w:val="0"/>
          <w:numId w:val="40"/>
        </w:numPr>
        <w:tabs>
          <w:tab w:val="left" w:pos="284"/>
          <w:tab w:val="left" w:pos="426"/>
        </w:tabs>
        <w:ind w:left="0" w:firstLine="0"/>
        <w:rPr>
          <w:color w:val="000000" w:themeColor="text1"/>
          <w:lang w:eastAsia="es-MX"/>
        </w:rPr>
      </w:pPr>
      <w:r w:rsidRPr="005304B4">
        <w:t xml:space="preserve"> </w:t>
      </w:r>
      <w:r w:rsidR="00F43313" w:rsidRPr="005304B4">
        <w:t xml:space="preserve">En concordancia con lo anterior, </w:t>
      </w:r>
      <w:r w:rsidR="00BC4515" w:rsidRPr="005304B4">
        <w:t>l</w:t>
      </w:r>
      <w:r w:rsidR="00F43313" w:rsidRPr="005304B4">
        <w:t xml:space="preserve">a </w:t>
      </w:r>
      <w:r w:rsidRPr="005304B4">
        <w:t>Asamblea General de Naciones Unidas, mediante la Resolución 54</w:t>
      </w:r>
      <w:r w:rsidR="009A6357" w:rsidRPr="005304B4">
        <w:t>/0</w:t>
      </w:r>
      <w:r w:rsidRPr="005304B4">
        <w:t>6 de 2023</w:t>
      </w:r>
      <w:r w:rsidRPr="005304B4">
        <w:rPr>
          <w:rStyle w:val="Refdenotaalpie"/>
        </w:rPr>
        <w:footnoteReference w:id="121"/>
      </w:r>
      <w:r w:rsidR="00F43313" w:rsidRPr="005304B4">
        <w:t xml:space="preserve"> que aborda la importancia de los cuidados desde los derechos humanos, advirtió sobre la necesidad de eliminación de los estereotipos de género</w:t>
      </w:r>
      <w:r w:rsidR="00B169C1" w:rsidRPr="005304B4">
        <w:t>, como los de la orientación sexual y las características sexuales</w:t>
      </w:r>
      <w:r w:rsidR="00F43313" w:rsidRPr="005304B4">
        <w:t xml:space="preserve"> y la observancia de la igualdad en el matrimonio, incluidas las responsabilidades comunes de ambos progenitores en la crianza de los hijos</w:t>
      </w:r>
      <w:r w:rsidR="00B169C1" w:rsidRPr="005304B4">
        <w:t xml:space="preserve">, </w:t>
      </w:r>
      <w:r w:rsidR="004E12D7" w:rsidRPr="005304B4">
        <w:t>puesto</w:t>
      </w:r>
      <w:r w:rsidR="00B169C1" w:rsidRPr="005304B4">
        <w:t xml:space="preserve"> que son importantes para facilitar la redistribución de las responsabilidades de cuidados</w:t>
      </w:r>
      <w:r w:rsidR="007F2981" w:rsidRPr="005304B4">
        <w:t>,</w:t>
      </w:r>
      <w:r w:rsidR="00B169C1" w:rsidRPr="005304B4">
        <w:t xml:space="preserve"> y</w:t>
      </w:r>
      <w:r w:rsidR="007F2981" w:rsidRPr="005304B4">
        <w:t xml:space="preserve"> el </w:t>
      </w:r>
      <w:r w:rsidR="00B169C1" w:rsidRPr="005304B4">
        <w:t>apoyo entre mujeres y hombres</w:t>
      </w:r>
      <w:r w:rsidR="00252D84" w:rsidRPr="005304B4">
        <w:t xml:space="preserve">. </w:t>
      </w:r>
    </w:p>
    <w:p w14:paraId="072102C4" w14:textId="77777777" w:rsidR="00FB0F7E" w:rsidRPr="005304B4" w:rsidRDefault="00FB0F7E" w:rsidP="00FB0F7E">
      <w:pPr>
        <w:pStyle w:val="Prrafodelista"/>
        <w:rPr>
          <w:color w:val="000000" w:themeColor="text1"/>
          <w:lang w:eastAsia="es-MX"/>
        </w:rPr>
      </w:pPr>
    </w:p>
    <w:p w14:paraId="73D9D72E" w14:textId="66850238" w:rsidR="00FB0F7E" w:rsidRPr="005304B4" w:rsidRDefault="00D95194" w:rsidP="009F38F4">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La Opinión Consultiva 031 de 2025</w:t>
      </w:r>
      <w:r w:rsidR="00E41CF8" w:rsidRPr="005304B4">
        <w:rPr>
          <w:color w:val="000000" w:themeColor="text1"/>
          <w:lang w:eastAsia="es-MX"/>
        </w:rPr>
        <w:t xml:space="preserve"> de la Corte IDH,</w:t>
      </w:r>
      <w:r w:rsidR="009F38F4" w:rsidRPr="005304B4">
        <w:rPr>
          <w:color w:val="000000" w:themeColor="text1"/>
          <w:lang w:eastAsia="es-MX"/>
        </w:rPr>
        <w:t xml:space="preserve"> en este mismo sentido, sostuvo que </w:t>
      </w:r>
      <w:r w:rsidR="00E41CF8" w:rsidRPr="005304B4">
        <w:rPr>
          <w:color w:val="000000" w:themeColor="text1"/>
          <w:lang w:eastAsia="es-MX"/>
        </w:rPr>
        <w:t>los Estados est</w:t>
      </w:r>
      <w:r w:rsidR="009F38F4" w:rsidRPr="005304B4">
        <w:rPr>
          <w:color w:val="000000" w:themeColor="text1"/>
          <w:lang w:eastAsia="es-MX"/>
        </w:rPr>
        <w:t>án</w:t>
      </w:r>
      <w:r w:rsidR="00E41CF8" w:rsidRPr="005304B4">
        <w:rPr>
          <w:color w:val="000000" w:themeColor="text1"/>
          <w:lang w:eastAsia="es-MX"/>
        </w:rPr>
        <w:t xml:space="preserve"> obligados </w:t>
      </w:r>
      <w:r w:rsidR="00630A8E" w:rsidRPr="005304B4">
        <w:rPr>
          <w:color w:val="000000" w:themeColor="text1"/>
          <w:lang w:eastAsia="es-MX"/>
        </w:rPr>
        <w:t xml:space="preserve">a implementar </w:t>
      </w:r>
      <w:r w:rsidR="00573ABE" w:rsidRPr="005304B4">
        <w:rPr>
          <w:color w:val="000000" w:themeColor="text1"/>
          <w:lang w:eastAsia="es-MX"/>
        </w:rPr>
        <w:t xml:space="preserve">medidas </w:t>
      </w:r>
      <w:r w:rsidR="00630A8E" w:rsidRPr="005304B4">
        <w:rPr>
          <w:color w:val="000000" w:themeColor="text1"/>
          <w:lang w:eastAsia="es-MX"/>
        </w:rPr>
        <w:t>orientadas a revertir</w:t>
      </w:r>
      <w:r w:rsidR="009F38F4" w:rsidRPr="005304B4">
        <w:rPr>
          <w:color w:val="000000" w:themeColor="text1"/>
          <w:lang w:eastAsia="es-MX"/>
        </w:rPr>
        <w:t xml:space="preserve"> </w:t>
      </w:r>
      <w:r w:rsidR="00630A8E" w:rsidRPr="005304B4">
        <w:rPr>
          <w:color w:val="000000" w:themeColor="text1"/>
          <w:lang w:eastAsia="es-MX"/>
        </w:rPr>
        <w:t>estereotipos de género</w:t>
      </w:r>
      <w:r w:rsidR="00F75CAC" w:rsidRPr="005304B4">
        <w:rPr>
          <w:color w:val="000000" w:themeColor="text1"/>
          <w:lang w:eastAsia="es-MX"/>
        </w:rPr>
        <w:t xml:space="preserve"> negativos</w:t>
      </w:r>
      <w:r w:rsidR="009F38F4" w:rsidRPr="005304B4">
        <w:rPr>
          <w:color w:val="000000" w:themeColor="text1"/>
          <w:lang w:eastAsia="es-MX"/>
        </w:rPr>
        <w:t xml:space="preserve"> en la distribución de labores del hogar</w:t>
      </w:r>
      <w:r w:rsidR="00630A8E" w:rsidRPr="005304B4">
        <w:rPr>
          <w:color w:val="000000" w:themeColor="text1"/>
          <w:lang w:eastAsia="es-MX"/>
        </w:rPr>
        <w:t xml:space="preserve">, promover la adecuada equivalencia de responsabilidades al interior de la familia y fomentar </w:t>
      </w:r>
      <w:r w:rsidR="00F75CAC" w:rsidRPr="005304B4">
        <w:rPr>
          <w:color w:val="000000" w:themeColor="text1"/>
          <w:lang w:eastAsia="es-MX"/>
        </w:rPr>
        <w:t>la corresponsabilidad en el</w:t>
      </w:r>
      <w:r w:rsidR="00630A8E" w:rsidRPr="005304B4">
        <w:rPr>
          <w:color w:val="000000" w:themeColor="text1"/>
          <w:lang w:eastAsia="es-MX"/>
        </w:rPr>
        <w:t xml:space="preserve"> cuidado parental </w:t>
      </w:r>
      <w:r w:rsidR="00F75CAC" w:rsidRPr="005304B4">
        <w:rPr>
          <w:color w:val="000000" w:themeColor="text1"/>
          <w:lang w:eastAsia="es-MX"/>
        </w:rPr>
        <w:t xml:space="preserve">de forma </w:t>
      </w:r>
      <w:r w:rsidR="00630A8E" w:rsidRPr="005304B4">
        <w:rPr>
          <w:color w:val="000000" w:themeColor="text1"/>
          <w:lang w:eastAsia="es-MX"/>
        </w:rPr>
        <w:t>equitativ</w:t>
      </w:r>
      <w:r w:rsidR="00F75CAC" w:rsidRPr="005304B4">
        <w:rPr>
          <w:color w:val="000000" w:themeColor="text1"/>
          <w:lang w:eastAsia="es-MX"/>
        </w:rPr>
        <w:t>a. Esto</w:t>
      </w:r>
      <w:r w:rsidR="00630A8E" w:rsidRPr="005304B4">
        <w:rPr>
          <w:color w:val="000000" w:themeColor="text1"/>
          <w:lang w:eastAsia="es-MX"/>
        </w:rPr>
        <w:t xml:space="preserve"> incluye</w:t>
      </w:r>
      <w:r w:rsidR="00F75CAC" w:rsidRPr="005304B4">
        <w:rPr>
          <w:color w:val="000000" w:themeColor="text1"/>
          <w:lang w:eastAsia="es-MX"/>
        </w:rPr>
        <w:t>, por ejemplo,</w:t>
      </w:r>
      <w:r w:rsidR="00630A8E" w:rsidRPr="005304B4">
        <w:rPr>
          <w:color w:val="000000" w:themeColor="text1"/>
          <w:lang w:eastAsia="es-MX"/>
        </w:rPr>
        <w:t xml:space="preserve"> el reconocimiento de licencias de paternidad que sean progresivamente equiparables a las licencias de maternidad y de alcance obligatorio y que contemplen a los padres adoptantes. El propósito de estas medidas</w:t>
      </w:r>
      <w:r w:rsidR="00F75CAC" w:rsidRPr="005304B4">
        <w:rPr>
          <w:color w:val="000000" w:themeColor="text1"/>
          <w:lang w:eastAsia="es-MX"/>
        </w:rPr>
        <w:t xml:space="preserve"> es, por un lado, contribuir a hacer efectivo el mandato de igualdad y, por el otro,</w:t>
      </w:r>
      <w:r w:rsidR="00630A8E" w:rsidRPr="005304B4">
        <w:rPr>
          <w:color w:val="000000" w:themeColor="text1"/>
          <w:lang w:eastAsia="es-MX"/>
        </w:rPr>
        <w:t xml:space="preserve"> favorece</w:t>
      </w:r>
      <w:r w:rsidR="00F75CAC" w:rsidRPr="005304B4">
        <w:rPr>
          <w:color w:val="000000" w:themeColor="text1"/>
          <w:lang w:eastAsia="es-MX"/>
        </w:rPr>
        <w:t>r</w:t>
      </w:r>
      <w:r w:rsidR="00630A8E" w:rsidRPr="005304B4">
        <w:rPr>
          <w:color w:val="000000" w:themeColor="text1"/>
          <w:lang w:eastAsia="es-MX"/>
        </w:rPr>
        <w:t xml:space="preserve"> a la modificación de estereotipos y prácticas culturales que asigna</w:t>
      </w:r>
      <w:r w:rsidR="00F75CAC" w:rsidRPr="005304B4">
        <w:rPr>
          <w:color w:val="000000" w:themeColor="text1"/>
          <w:lang w:eastAsia="es-MX"/>
        </w:rPr>
        <w:t xml:space="preserve">n </w:t>
      </w:r>
      <w:r w:rsidR="00630A8E" w:rsidRPr="005304B4">
        <w:rPr>
          <w:color w:val="000000" w:themeColor="text1"/>
          <w:lang w:eastAsia="es-MX"/>
        </w:rPr>
        <w:t>el trabajo del hogar y la crianza de hijas e hijos, de manera exclusiva a las madres y mujeres de familia</w:t>
      </w:r>
      <w:r w:rsidR="00630A8E" w:rsidRPr="005304B4">
        <w:rPr>
          <w:rStyle w:val="Refdenotaalpie"/>
          <w:color w:val="000000" w:themeColor="text1"/>
          <w:lang w:eastAsia="es-MX"/>
        </w:rPr>
        <w:footnoteReference w:id="122"/>
      </w:r>
      <w:r w:rsidR="00F75CAC" w:rsidRPr="005304B4">
        <w:rPr>
          <w:color w:val="000000" w:themeColor="text1"/>
          <w:lang w:eastAsia="es-MX"/>
        </w:rPr>
        <w:t xml:space="preserve">. </w:t>
      </w:r>
    </w:p>
    <w:p w14:paraId="38FF1EC3" w14:textId="77777777" w:rsidR="005A1893" w:rsidRPr="005304B4" w:rsidRDefault="005A1893" w:rsidP="00D529CB">
      <w:pPr>
        <w:rPr>
          <w:color w:val="000000" w:themeColor="text1"/>
          <w:sz w:val="28"/>
          <w:szCs w:val="28"/>
        </w:rPr>
      </w:pPr>
    </w:p>
    <w:p w14:paraId="7669195E" w14:textId="272309C1" w:rsidR="005A1893" w:rsidRPr="005304B4" w:rsidRDefault="005659BF" w:rsidP="00056553">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En desarrollo de</w:t>
      </w:r>
      <w:r w:rsidR="00793FC3" w:rsidRPr="005304B4">
        <w:rPr>
          <w:color w:val="000000" w:themeColor="text1"/>
          <w:lang w:eastAsia="es-MX"/>
        </w:rPr>
        <w:t>l</w:t>
      </w:r>
      <w:r w:rsidRPr="005304B4">
        <w:rPr>
          <w:color w:val="000000" w:themeColor="text1"/>
          <w:lang w:eastAsia="es-MX"/>
        </w:rPr>
        <w:t xml:space="preserve"> artículo</w:t>
      </w:r>
      <w:r w:rsidR="00056553" w:rsidRPr="005304B4">
        <w:rPr>
          <w:color w:val="000000" w:themeColor="text1"/>
          <w:lang w:eastAsia="es-MX"/>
        </w:rPr>
        <w:t xml:space="preserve"> </w:t>
      </w:r>
      <w:r w:rsidR="00675416" w:rsidRPr="005304B4">
        <w:rPr>
          <w:color w:val="000000" w:themeColor="text1"/>
          <w:lang w:eastAsia="es-MX"/>
        </w:rPr>
        <w:t>42</w:t>
      </w:r>
      <w:r w:rsidR="00056553" w:rsidRPr="005304B4">
        <w:rPr>
          <w:color w:val="000000" w:themeColor="text1"/>
          <w:lang w:eastAsia="es-MX"/>
        </w:rPr>
        <w:t xml:space="preserve"> </w:t>
      </w:r>
      <w:r w:rsidR="00675416" w:rsidRPr="005304B4">
        <w:rPr>
          <w:color w:val="000000" w:themeColor="text1"/>
          <w:lang w:eastAsia="es-MX"/>
        </w:rPr>
        <w:t>y 4</w:t>
      </w:r>
      <w:r w:rsidR="00E75D6D" w:rsidRPr="005304B4">
        <w:rPr>
          <w:color w:val="000000" w:themeColor="text1"/>
          <w:lang w:eastAsia="es-MX"/>
        </w:rPr>
        <w:t>4</w:t>
      </w:r>
      <w:r w:rsidR="00675416" w:rsidRPr="005304B4">
        <w:rPr>
          <w:color w:val="000000" w:themeColor="text1"/>
          <w:lang w:eastAsia="es-MX"/>
        </w:rPr>
        <w:t xml:space="preserve"> </w:t>
      </w:r>
      <w:r w:rsidR="00793FC3" w:rsidRPr="005304B4">
        <w:rPr>
          <w:color w:val="000000" w:themeColor="text1"/>
          <w:lang w:eastAsia="es-MX"/>
        </w:rPr>
        <w:t xml:space="preserve">de la Constitución </w:t>
      </w:r>
      <w:r w:rsidR="00056553" w:rsidRPr="005304B4">
        <w:rPr>
          <w:color w:val="000000" w:themeColor="text1"/>
          <w:lang w:eastAsia="es-MX"/>
        </w:rPr>
        <w:t>Política</w:t>
      </w:r>
      <w:r w:rsidR="00675416" w:rsidRPr="005304B4">
        <w:rPr>
          <w:color w:val="000000" w:themeColor="text1"/>
          <w:lang w:eastAsia="es-MX"/>
        </w:rPr>
        <w:t xml:space="preserve">, los cuales hablan sobre la progenitura responsable y </w:t>
      </w:r>
      <w:r w:rsidR="00793FC3" w:rsidRPr="005304B4">
        <w:rPr>
          <w:color w:val="000000" w:themeColor="text1"/>
          <w:lang w:eastAsia="es-MX"/>
        </w:rPr>
        <w:t>determina</w:t>
      </w:r>
      <w:r w:rsidR="00675416" w:rsidRPr="005304B4">
        <w:rPr>
          <w:color w:val="000000" w:themeColor="text1"/>
          <w:lang w:eastAsia="es-MX"/>
        </w:rPr>
        <w:t>n</w:t>
      </w:r>
      <w:r w:rsidR="00056553" w:rsidRPr="005304B4">
        <w:rPr>
          <w:color w:val="000000" w:themeColor="text1"/>
          <w:lang w:eastAsia="es-MX"/>
        </w:rPr>
        <w:t xml:space="preserve"> </w:t>
      </w:r>
      <w:r w:rsidR="00793FC3" w:rsidRPr="005304B4">
        <w:rPr>
          <w:color w:val="000000" w:themeColor="text1"/>
          <w:lang w:eastAsia="es-MX"/>
        </w:rPr>
        <w:t>que las relaciones familiares se basan en igualdad de derechos</w:t>
      </w:r>
      <w:r w:rsidR="00056553" w:rsidRPr="005304B4">
        <w:rPr>
          <w:color w:val="000000" w:themeColor="text1"/>
          <w:lang w:eastAsia="es-MX"/>
        </w:rPr>
        <w:t xml:space="preserve"> y deberes</w:t>
      </w:r>
      <w:r w:rsidR="00675416" w:rsidRPr="005304B4">
        <w:rPr>
          <w:color w:val="000000" w:themeColor="text1"/>
          <w:lang w:eastAsia="es-MX"/>
        </w:rPr>
        <w:t xml:space="preserve">, respectivamente, </w:t>
      </w:r>
      <w:r w:rsidRPr="005304B4">
        <w:rPr>
          <w:color w:val="000000" w:themeColor="text1"/>
          <w:lang w:eastAsia="es-MX"/>
        </w:rPr>
        <w:t xml:space="preserve">la </w:t>
      </w:r>
      <w:r w:rsidR="00D96F40" w:rsidRPr="005304B4">
        <w:rPr>
          <w:color w:val="000000" w:themeColor="text1"/>
          <w:lang w:eastAsia="es-MX"/>
        </w:rPr>
        <w:t xml:space="preserve">jurisprudencia </w:t>
      </w:r>
      <w:r w:rsidR="00D529CB" w:rsidRPr="005304B4">
        <w:rPr>
          <w:color w:val="000000" w:themeColor="text1"/>
          <w:lang w:eastAsia="es-MX"/>
        </w:rPr>
        <w:t xml:space="preserve">constitucional </w:t>
      </w:r>
      <w:r w:rsidR="00EA11BB" w:rsidRPr="005304B4">
        <w:rPr>
          <w:color w:val="000000" w:themeColor="text1"/>
          <w:lang w:eastAsia="es-MX"/>
        </w:rPr>
        <w:t>ha construido</w:t>
      </w:r>
      <w:r w:rsidR="00D529CB" w:rsidRPr="005304B4">
        <w:rPr>
          <w:color w:val="000000" w:themeColor="text1"/>
          <w:lang w:eastAsia="es-MX"/>
        </w:rPr>
        <w:t xml:space="preserve"> una línea </w:t>
      </w:r>
      <w:r w:rsidR="007F2981" w:rsidRPr="005304B4">
        <w:rPr>
          <w:color w:val="000000" w:themeColor="text1"/>
          <w:lang w:eastAsia="es-MX"/>
        </w:rPr>
        <w:t>consistente</w:t>
      </w:r>
      <w:r w:rsidR="00D529CB" w:rsidRPr="005304B4">
        <w:rPr>
          <w:color w:val="000000" w:themeColor="text1"/>
          <w:lang w:eastAsia="es-MX"/>
        </w:rPr>
        <w:t xml:space="preserve"> </w:t>
      </w:r>
      <w:r w:rsidRPr="005304B4">
        <w:rPr>
          <w:color w:val="000000" w:themeColor="text1"/>
          <w:lang w:eastAsia="es-MX"/>
        </w:rPr>
        <w:t xml:space="preserve">sobre </w:t>
      </w:r>
      <w:r w:rsidR="00D85C4B" w:rsidRPr="005304B4">
        <w:rPr>
          <w:color w:val="000000" w:themeColor="text1"/>
          <w:lang w:eastAsia="es-MX"/>
        </w:rPr>
        <w:t>la</w:t>
      </w:r>
      <w:r w:rsidRPr="005304B4">
        <w:rPr>
          <w:color w:val="000000" w:themeColor="text1"/>
          <w:lang w:eastAsia="es-MX"/>
        </w:rPr>
        <w:t xml:space="preserve"> redistribución equitativa en las labores de crianza y cuidado</w:t>
      </w:r>
      <w:r w:rsidR="00EA11BB" w:rsidRPr="005304B4">
        <w:rPr>
          <w:color w:val="000000" w:themeColor="text1"/>
          <w:lang w:eastAsia="es-MX"/>
        </w:rPr>
        <w:t>.</w:t>
      </w:r>
      <w:r w:rsidR="00056553" w:rsidRPr="005304B4">
        <w:rPr>
          <w:color w:val="000000" w:themeColor="text1"/>
          <w:lang w:eastAsia="es-MX"/>
        </w:rPr>
        <w:t xml:space="preserve"> Un ejemplo de ello se encuentra</w:t>
      </w:r>
      <w:r w:rsidR="005D1EE0" w:rsidRPr="005304B4">
        <w:rPr>
          <w:color w:val="000000" w:themeColor="text1"/>
          <w:lang w:eastAsia="es-MX"/>
        </w:rPr>
        <w:t xml:space="preserve"> en</w:t>
      </w:r>
      <w:r w:rsidR="00056553" w:rsidRPr="005304B4">
        <w:rPr>
          <w:color w:val="000000" w:themeColor="text1"/>
          <w:lang w:eastAsia="es-MX"/>
        </w:rPr>
        <w:t xml:space="preserve"> la</w:t>
      </w:r>
      <w:r w:rsidR="00E75D6D" w:rsidRPr="005304B4">
        <w:rPr>
          <w:color w:val="000000" w:themeColor="text1"/>
          <w:lang w:eastAsia="es-MX"/>
        </w:rPr>
        <w:t>s</w:t>
      </w:r>
      <w:r w:rsidR="00056553" w:rsidRPr="005304B4">
        <w:rPr>
          <w:color w:val="000000" w:themeColor="text1"/>
          <w:lang w:eastAsia="es-MX"/>
        </w:rPr>
        <w:t xml:space="preserve"> Sentencia</w:t>
      </w:r>
      <w:r w:rsidR="00E75D6D" w:rsidRPr="005304B4">
        <w:rPr>
          <w:color w:val="000000" w:themeColor="text1"/>
          <w:lang w:eastAsia="es-MX"/>
        </w:rPr>
        <w:t>s</w:t>
      </w:r>
      <w:r w:rsidR="00056553" w:rsidRPr="005304B4">
        <w:rPr>
          <w:color w:val="000000" w:themeColor="text1"/>
          <w:lang w:eastAsia="es-MX"/>
        </w:rPr>
        <w:t xml:space="preserve"> </w:t>
      </w:r>
      <w:r w:rsidR="00E75D6D" w:rsidRPr="005304B4">
        <w:rPr>
          <w:color w:val="000000" w:themeColor="text1"/>
          <w:lang w:eastAsia="es-MX"/>
        </w:rPr>
        <w:t xml:space="preserve">C-273 de 2003 y </w:t>
      </w:r>
      <w:r w:rsidR="00056553" w:rsidRPr="005304B4">
        <w:rPr>
          <w:color w:val="000000" w:themeColor="text1"/>
          <w:lang w:eastAsia="es-MX"/>
        </w:rPr>
        <w:t>C-174 de 2009, en la</w:t>
      </w:r>
      <w:r w:rsidR="005D1EE0" w:rsidRPr="005304B4">
        <w:rPr>
          <w:color w:val="000000" w:themeColor="text1"/>
          <w:lang w:eastAsia="es-MX"/>
        </w:rPr>
        <w:t>s</w:t>
      </w:r>
      <w:r w:rsidR="00056553" w:rsidRPr="005304B4">
        <w:rPr>
          <w:color w:val="000000" w:themeColor="text1"/>
          <w:lang w:eastAsia="es-MX"/>
        </w:rPr>
        <w:t xml:space="preserve"> </w:t>
      </w:r>
      <w:r w:rsidR="003E282F" w:rsidRPr="005304B4">
        <w:rPr>
          <w:color w:val="000000" w:themeColor="text1"/>
          <w:lang w:eastAsia="es-MX"/>
        </w:rPr>
        <w:t xml:space="preserve">que </w:t>
      </w:r>
      <w:r w:rsidR="00056553" w:rsidRPr="005304B4">
        <w:rPr>
          <w:color w:val="000000" w:themeColor="text1"/>
          <w:lang w:eastAsia="es-MX"/>
        </w:rPr>
        <w:t xml:space="preserve">se reconoció que </w:t>
      </w:r>
      <w:r w:rsidR="00E75D6D" w:rsidRPr="005304B4">
        <w:rPr>
          <w:color w:val="000000" w:themeColor="text1"/>
          <w:lang w:eastAsia="es-MX"/>
        </w:rPr>
        <w:t xml:space="preserve">una de las finalidades de la </w:t>
      </w:r>
      <w:r w:rsidR="00056553" w:rsidRPr="005304B4">
        <w:rPr>
          <w:color w:val="000000" w:themeColor="text1"/>
          <w:lang w:eastAsia="es-MX"/>
        </w:rPr>
        <w:t>licencia de paternidad</w:t>
      </w:r>
      <w:r w:rsidR="00D44E58" w:rsidRPr="005304B4">
        <w:rPr>
          <w:color w:val="000000" w:themeColor="text1"/>
          <w:lang w:eastAsia="es-MX"/>
        </w:rPr>
        <w:t xml:space="preserve"> </w:t>
      </w:r>
      <w:r w:rsidR="00E75D6D" w:rsidRPr="005304B4">
        <w:rPr>
          <w:color w:val="000000" w:themeColor="text1"/>
          <w:lang w:eastAsia="es-MX"/>
        </w:rPr>
        <w:t xml:space="preserve">era que </w:t>
      </w:r>
      <w:r w:rsidR="00056553" w:rsidRPr="005304B4">
        <w:rPr>
          <w:color w:val="000000" w:themeColor="text1"/>
          <w:lang w:eastAsia="es-MX"/>
        </w:rPr>
        <w:t xml:space="preserve">el padre se involucrara en la crianza de las hijas o hijos, brindándoles asistencia, protección, cuidado y amor. </w:t>
      </w:r>
    </w:p>
    <w:p w14:paraId="2D87FDFA" w14:textId="77777777" w:rsidR="002C1F13" w:rsidRPr="005304B4" w:rsidRDefault="002C1F13" w:rsidP="002C1F13">
      <w:pPr>
        <w:pStyle w:val="Prrafodelista"/>
        <w:rPr>
          <w:color w:val="000000" w:themeColor="text1"/>
          <w:lang w:eastAsia="es-MX"/>
        </w:rPr>
      </w:pPr>
    </w:p>
    <w:p w14:paraId="2676903B" w14:textId="08470631" w:rsidR="002C1F13" w:rsidRPr="005304B4" w:rsidRDefault="00056553" w:rsidP="00A910F4">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Posteriormente, l</w:t>
      </w:r>
      <w:r w:rsidR="002C1F13" w:rsidRPr="005304B4">
        <w:rPr>
          <w:color w:val="000000" w:themeColor="text1"/>
          <w:lang w:eastAsia="es-MX"/>
        </w:rPr>
        <w:t>a Sala Plena de esta Corporación</w:t>
      </w:r>
      <w:r w:rsidRPr="005304B4">
        <w:rPr>
          <w:color w:val="000000" w:themeColor="text1"/>
          <w:lang w:eastAsia="es-MX"/>
        </w:rPr>
        <w:t>,</w:t>
      </w:r>
      <w:r w:rsidR="002C1F13" w:rsidRPr="005304B4">
        <w:rPr>
          <w:color w:val="000000" w:themeColor="text1"/>
          <w:lang w:eastAsia="es-MX"/>
        </w:rPr>
        <w:t xml:space="preserve"> en la C-005 de 2017</w:t>
      </w:r>
      <w:r w:rsidR="002C1F13" w:rsidRPr="005304B4">
        <w:rPr>
          <w:rStyle w:val="Refdenotaalpie"/>
          <w:color w:val="000000" w:themeColor="text1"/>
          <w:lang w:eastAsia="es-MX"/>
        </w:rPr>
        <w:footnoteReference w:id="123"/>
      </w:r>
      <w:r w:rsidR="002C1F13" w:rsidRPr="005304B4">
        <w:rPr>
          <w:color w:val="000000" w:themeColor="text1"/>
          <w:lang w:eastAsia="es-MX"/>
        </w:rPr>
        <w:t xml:space="preserve"> </w:t>
      </w:r>
      <w:r w:rsidR="00675416" w:rsidRPr="005304B4">
        <w:rPr>
          <w:color w:val="000000" w:themeColor="text1"/>
          <w:lang w:eastAsia="es-MX"/>
        </w:rPr>
        <w:t>que analizó</w:t>
      </w:r>
      <w:r w:rsidR="002C1F13" w:rsidRPr="005304B4">
        <w:rPr>
          <w:color w:val="000000" w:themeColor="text1"/>
          <w:lang w:eastAsia="es-MX"/>
        </w:rPr>
        <w:t xml:space="preserve"> la constitucionalidad de los numerales 1° de los artículos 239 y 240 del Código Sustantivo del Trabajo, </w:t>
      </w:r>
      <w:r w:rsidR="00A910F4" w:rsidRPr="005304B4">
        <w:rPr>
          <w:color w:val="000000" w:themeColor="text1"/>
          <w:lang w:eastAsia="es-MX"/>
        </w:rPr>
        <w:t>al hablar de la progresiva integración de la mujer al campo laboral, reconoció que esto se debía en parte al cambio de roles de hombres y mujeres en el plano familiar, en la medida en que generaba un cambio cultural que pone en práctica medidas de conciliación y superación de los clásicos modelos de reparto de responsabilidades familiares que marginan al hombre en el cuidado y atención de los hijos. De ahí que “</w:t>
      </w:r>
      <w:r w:rsidR="002C1F13" w:rsidRPr="005304B4">
        <w:rPr>
          <w:color w:val="000000" w:themeColor="text1"/>
          <w:lang w:eastAsia="es-MX"/>
        </w:rPr>
        <w:t xml:space="preserve">una participación </w:t>
      </w:r>
      <w:r w:rsidR="00A910F4" w:rsidRPr="005304B4">
        <w:rPr>
          <w:color w:val="000000" w:themeColor="text1"/>
          <w:lang w:eastAsia="es-MX"/>
        </w:rPr>
        <w:t xml:space="preserve">dinámica y promocional del padre en el cuidado de los hijos constituye una pieza nuclear del cambio social necesario en el proceso de armonización laboral y familiar, con miras a mejorar los estándares de igualdad entre hombres y mujeres”. </w:t>
      </w:r>
    </w:p>
    <w:p w14:paraId="0E9C35D1" w14:textId="77777777" w:rsidR="00E75D6D" w:rsidRPr="005304B4" w:rsidRDefault="00E75D6D" w:rsidP="00E75D6D">
      <w:pPr>
        <w:pStyle w:val="Prrafodelista"/>
        <w:rPr>
          <w:color w:val="000000" w:themeColor="text1"/>
          <w:lang w:eastAsia="es-MX"/>
        </w:rPr>
      </w:pPr>
    </w:p>
    <w:p w14:paraId="12D81870" w14:textId="64A587A3" w:rsidR="00596E9C" w:rsidRPr="005304B4" w:rsidRDefault="00E75D6D" w:rsidP="00B21637">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De manera similar, la Sentencia C-415 de 2022, reiteró que las </w:t>
      </w:r>
      <w:r w:rsidR="00DB2FA7" w:rsidRPr="005304B4">
        <w:rPr>
          <w:color w:val="000000" w:themeColor="text1"/>
          <w:lang w:eastAsia="es-MX"/>
        </w:rPr>
        <w:t xml:space="preserve">licencias parentales </w:t>
      </w:r>
      <w:r w:rsidRPr="005304B4">
        <w:rPr>
          <w:color w:val="000000" w:themeColor="text1"/>
          <w:lang w:eastAsia="es-MX"/>
        </w:rPr>
        <w:t>permite</w:t>
      </w:r>
      <w:r w:rsidR="00DB2FA7" w:rsidRPr="005304B4">
        <w:rPr>
          <w:color w:val="000000" w:themeColor="text1"/>
          <w:lang w:eastAsia="es-MX"/>
        </w:rPr>
        <w:t>n</w:t>
      </w:r>
      <w:r w:rsidRPr="005304B4">
        <w:rPr>
          <w:color w:val="000000" w:themeColor="text1"/>
          <w:lang w:eastAsia="es-MX"/>
        </w:rPr>
        <w:t xml:space="preserve"> la distribución equitativa </w:t>
      </w:r>
      <w:r w:rsidR="00B21637" w:rsidRPr="005304B4">
        <w:rPr>
          <w:color w:val="000000" w:themeColor="text1"/>
          <w:lang w:eastAsia="es-MX"/>
        </w:rPr>
        <w:t>en las</w:t>
      </w:r>
      <w:r w:rsidRPr="005304B4">
        <w:rPr>
          <w:color w:val="000000" w:themeColor="text1"/>
          <w:lang w:eastAsia="es-MX"/>
        </w:rPr>
        <w:t xml:space="preserve"> </w:t>
      </w:r>
      <w:r w:rsidR="00DB2FA7" w:rsidRPr="005304B4">
        <w:rPr>
          <w:color w:val="000000" w:themeColor="text1"/>
          <w:lang w:eastAsia="es-MX"/>
        </w:rPr>
        <w:t>labores</w:t>
      </w:r>
      <w:r w:rsidRPr="005304B4">
        <w:rPr>
          <w:color w:val="000000" w:themeColor="text1"/>
          <w:lang w:eastAsia="es-MX"/>
        </w:rPr>
        <w:t xml:space="preserve"> a</w:t>
      </w:r>
      <w:r w:rsidR="00DB2FA7" w:rsidRPr="005304B4">
        <w:rPr>
          <w:color w:val="000000" w:themeColor="text1"/>
          <w:lang w:eastAsia="es-MX"/>
        </w:rPr>
        <w:t>l interior de la familia entre el padre y la madre</w:t>
      </w:r>
      <w:r w:rsidRPr="005304B4">
        <w:rPr>
          <w:color w:val="000000" w:themeColor="text1"/>
          <w:lang w:eastAsia="es-MX"/>
        </w:rPr>
        <w:t xml:space="preserve">. </w:t>
      </w:r>
      <w:r w:rsidR="00EA11BB" w:rsidRPr="005304B4">
        <w:rPr>
          <w:color w:val="000000" w:themeColor="text1"/>
          <w:lang w:eastAsia="es-MX"/>
        </w:rPr>
        <w:t>En la Sentencia T-259 de 2024, la Sala Tercera de Revisión</w:t>
      </w:r>
      <w:r w:rsidR="00B21637" w:rsidRPr="005304B4">
        <w:rPr>
          <w:color w:val="000000" w:themeColor="text1"/>
          <w:lang w:eastAsia="es-MX"/>
        </w:rPr>
        <w:t>, siguiendo esta línea,</w:t>
      </w:r>
      <w:r w:rsidR="00EA11BB" w:rsidRPr="005304B4">
        <w:rPr>
          <w:color w:val="000000" w:themeColor="text1"/>
          <w:lang w:eastAsia="es-MX"/>
        </w:rPr>
        <w:t xml:space="preserve"> al conocer el caso de un </w:t>
      </w:r>
      <w:r w:rsidR="00B21637" w:rsidRPr="005304B4">
        <w:rPr>
          <w:color w:val="000000" w:themeColor="text1"/>
          <w:lang w:eastAsia="es-MX"/>
        </w:rPr>
        <w:t>padre</w:t>
      </w:r>
      <w:r w:rsidR="00EA11BB" w:rsidRPr="005304B4">
        <w:rPr>
          <w:color w:val="000000" w:themeColor="text1"/>
          <w:lang w:eastAsia="es-MX"/>
        </w:rPr>
        <w:t xml:space="preserve"> a quien se le despidió en el marco de su licencia de paternidad, explicó que</w:t>
      </w:r>
      <w:r w:rsidR="00596E9C" w:rsidRPr="005304B4">
        <w:rPr>
          <w:color w:val="000000" w:themeColor="text1"/>
          <w:lang w:eastAsia="es-MX"/>
        </w:rPr>
        <w:t xml:space="preserve"> la</w:t>
      </w:r>
      <w:r w:rsidR="00D85C4B" w:rsidRPr="005304B4">
        <w:rPr>
          <w:color w:val="000000" w:themeColor="text1"/>
          <w:lang w:eastAsia="es-MX"/>
        </w:rPr>
        <w:t>s</w:t>
      </w:r>
      <w:r w:rsidR="00596E9C" w:rsidRPr="005304B4">
        <w:rPr>
          <w:color w:val="000000" w:themeColor="text1"/>
          <w:lang w:eastAsia="es-MX"/>
        </w:rPr>
        <w:t xml:space="preserve"> licencias parentales están direccionadas a garantiza</w:t>
      </w:r>
      <w:r w:rsidR="00B21637" w:rsidRPr="005304B4">
        <w:rPr>
          <w:color w:val="000000" w:themeColor="text1"/>
          <w:lang w:eastAsia="es-MX"/>
        </w:rPr>
        <w:t>r</w:t>
      </w:r>
      <w:r w:rsidR="00596E9C" w:rsidRPr="005304B4">
        <w:rPr>
          <w:color w:val="000000" w:themeColor="text1"/>
          <w:lang w:eastAsia="es-MX"/>
        </w:rPr>
        <w:t xml:space="preserve"> una participación más activa y consciente del padre en el cuidado de los hijos y </w:t>
      </w:r>
      <w:r w:rsidR="00B21637" w:rsidRPr="005304B4">
        <w:rPr>
          <w:color w:val="000000" w:themeColor="text1"/>
          <w:lang w:eastAsia="es-MX"/>
        </w:rPr>
        <w:t xml:space="preserve">a </w:t>
      </w:r>
      <w:r w:rsidR="00596E9C" w:rsidRPr="005304B4">
        <w:rPr>
          <w:color w:val="000000" w:themeColor="text1"/>
          <w:lang w:eastAsia="es-MX"/>
        </w:rPr>
        <w:t>contribuir a una sociedad más igualitaria</w:t>
      </w:r>
      <w:r w:rsidR="00B21637" w:rsidRPr="005304B4">
        <w:rPr>
          <w:color w:val="000000" w:themeColor="text1"/>
          <w:lang w:eastAsia="es-MX"/>
        </w:rPr>
        <w:t xml:space="preserve">. </w:t>
      </w:r>
      <w:r w:rsidR="007F2981" w:rsidRPr="005304B4">
        <w:rPr>
          <w:color w:val="000000" w:themeColor="text1"/>
          <w:lang w:eastAsia="es-MX"/>
        </w:rPr>
        <w:t>En tal sentido, la licencia de pater</w:t>
      </w:r>
      <w:r w:rsidR="006A5D0E" w:rsidRPr="005304B4">
        <w:rPr>
          <w:color w:val="000000" w:themeColor="text1"/>
          <w:lang w:eastAsia="es-MX"/>
        </w:rPr>
        <w:t>n</w:t>
      </w:r>
      <w:r w:rsidR="007F2981" w:rsidRPr="005304B4">
        <w:rPr>
          <w:color w:val="000000" w:themeColor="text1"/>
          <w:lang w:eastAsia="es-MX"/>
        </w:rPr>
        <w:t>idad</w:t>
      </w:r>
      <w:r w:rsidR="00596E9C" w:rsidRPr="005304B4">
        <w:rPr>
          <w:color w:val="000000" w:themeColor="text1"/>
          <w:lang w:eastAsia="es-MX"/>
        </w:rPr>
        <w:t xml:space="preserve"> “permite romper estereotipos de género, ya que desafía los roles tradicionales que se le asignan a la mujer en el cuidado de los hijos y alienta a una redistribución más equitativa en las responsabilidades domésticas y de crianza entre ambos padres”.</w:t>
      </w:r>
    </w:p>
    <w:p w14:paraId="55454A6B" w14:textId="77777777" w:rsidR="00B21637" w:rsidRPr="005304B4" w:rsidRDefault="00B21637" w:rsidP="00B21637">
      <w:pPr>
        <w:pStyle w:val="Prrafodelista"/>
        <w:rPr>
          <w:color w:val="000000" w:themeColor="text1"/>
          <w:lang w:eastAsia="es-MX"/>
        </w:rPr>
      </w:pPr>
    </w:p>
    <w:p w14:paraId="1AE01EA4" w14:textId="77777777" w:rsidR="00E16627" w:rsidRPr="005304B4" w:rsidRDefault="00B21637" w:rsidP="00D87DF2">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En ese mismo año, la Sentencia C-187 de 2024,</w:t>
      </w:r>
      <w:r w:rsidR="009D1748" w:rsidRPr="005304B4">
        <w:rPr>
          <w:color w:val="000000" w:themeColor="text1"/>
          <w:lang w:eastAsia="es-MX"/>
        </w:rPr>
        <w:t xml:space="preserve"> que declaró</w:t>
      </w:r>
      <w:r w:rsidR="00BB471D" w:rsidRPr="005304B4">
        <w:rPr>
          <w:color w:val="000000" w:themeColor="text1"/>
          <w:lang w:eastAsia="es-MX"/>
        </w:rPr>
        <w:t xml:space="preserve"> constitucional</w:t>
      </w:r>
      <w:r w:rsidR="002F5575" w:rsidRPr="005304B4">
        <w:rPr>
          <w:color w:val="000000" w:themeColor="text1"/>
          <w:lang w:eastAsia="es-MX"/>
        </w:rPr>
        <w:t xml:space="preserve"> </w:t>
      </w:r>
      <w:r w:rsidR="009D1748" w:rsidRPr="005304B4">
        <w:rPr>
          <w:color w:val="000000" w:themeColor="text1"/>
          <w:lang w:eastAsia="es-MX"/>
        </w:rPr>
        <w:t>el Convenio 156</w:t>
      </w:r>
      <w:r w:rsidR="00801C6B" w:rsidRPr="005304B4">
        <w:rPr>
          <w:color w:val="000000" w:themeColor="text1"/>
          <w:lang w:eastAsia="es-MX"/>
        </w:rPr>
        <w:t xml:space="preserve"> de 1981</w:t>
      </w:r>
      <w:r w:rsidR="009D1748" w:rsidRPr="005304B4">
        <w:rPr>
          <w:color w:val="000000" w:themeColor="text1"/>
          <w:lang w:eastAsia="es-MX"/>
        </w:rPr>
        <w:t xml:space="preserve"> de la OIT sobre la igualdad de oportunidades y de trato entre trabajadores y trabajadoras con responsabilidades familiares, precisó algunas reglas</w:t>
      </w:r>
      <w:r w:rsidR="00BB471D" w:rsidRPr="005304B4">
        <w:rPr>
          <w:color w:val="000000" w:themeColor="text1"/>
          <w:lang w:eastAsia="es-MX"/>
        </w:rPr>
        <w:t>. E</w:t>
      </w:r>
      <w:r w:rsidR="009D1748" w:rsidRPr="005304B4">
        <w:rPr>
          <w:color w:val="000000" w:themeColor="text1"/>
          <w:lang w:eastAsia="es-MX"/>
        </w:rPr>
        <w:t xml:space="preserve">ntre estas, que el cuidado y la crianza de los </w:t>
      </w:r>
      <w:r w:rsidR="00F35362" w:rsidRPr="005304B4">
        <w:rPr>
          <w:color w:val="000000" w:themeColor="text1"/>
          <w:lang w:eastAsia="es-MX"/>
        </w:rPr>
        <w:t>niños</w:t>
      </w:r>
      <w:r w:rsidR="009D1748" w:rsidRPr="005304B4">
        <w:rPr>
          <w:color w:val="000000" w:themeColor="text1"/>
          <w:lang w:eastAsia="es-MX"/>
        </w:rPr>
        <w:t xml:space="preserve"> debe realizarse primordialmente por la madre y </w:t>
      </w:r>
      <w:r w:rsidR="00BB471D" w:rsidRPr="005304B4">
        <w:rPr>
          <w:color w:val="000000" w:themeColor="text1"/>
          <w:lang w:eastAsia="es-MX"/>
        </w:rPr>
        <w:t xml:space="preserve">el </w:t>
      </w:r>
      <w:r w:rsidR="009D1748" w:rsidRPr="005304B4">
        <w:rPr>
          <w:color w:val="000000" w:themeColor="text1"/>
          <w:lang w:eastAsia="es-MX"/>
        </w:rPr>
        <w:t>padre</w:t>
      </w:r>
      <w:r w:rsidR="00DB2FA7" w:rsidRPr="005304B4">
        <w:rPr>
          <w:color w:val="000000" w:themeColor="text1"/>
          <w:lang w:eastAsia="es-MX"/>
        </w:rPr>
        <w:t xml:space="preserve">. Finalmente, la </w:t>
      </w:r>
      <w:r w:rsidR="00BB471D" w:rsidRPr="005304B4">
        <w:rPr>
          <w:color w:val="000000" w:themeColor="text1"/>
          <w:lang w:eastAsia="es-MX"/>
        </w:rPr>
        <w:t xml:space="preserve">Sentencia </w:t>
      </w:r>
      <w:r w:rsidR="00DB2FA7" w:rsidRPr="005304B4">
        <w:rPr>
          <w:color w:val="000000" w:themeColor="text1"/>
          <w:lang w:eastAsia="es-MX"/>
        </w:rPr>
        <w:t>C-400 de 2024, al citar el mencionado convenio, re</w:t>
      </w:r>
      <w:r w:rsidR="007856DF" w:rsidRPr="005304B4">
        <w:rPr>
          <w:color w:val="000000" w:themeColor="text1"/>
          <w:lang w:eastAsia="es-MX"/>
        </w:rPr>
        <w:t>afirmó</w:t>
      </w:r>
      <w:r w:rsidR="00DB2FA7" w:rsidRPr="005304B4">
        <w:rPr>
          <w:color w:val="000000" w:themeColor="text1"/>
          <w:lang w:eastAsia="es-MX"/>
        </w:rPr>
        <w:t xml:space="preserve"> que la redistribución de las tareas de cuidado entre integrantes de la familia disminuye las brechas sociales</w:t>
      </w:r>
      <w:r w:rsidR="007856DF" w:rsidRPr="005304B4">
        <w:rPr>
          <w:color w:val="000000" w:themeColor="text1"/>
          <w:lang w:eastAsia="es-MX"/>
        </w:rPr>
        <w:t xml:space="preserve"> y </w:t>
      </w:r>
      <w:r w:rsidR="00DB2FA7" w:rsidRPr="005304B4">
        <w:rPr>
          <w:color w:val="000000" w:themeColor="text1"/>
          <w:lang w:eastAsia="es-MX"/>
        </w:rPr>
        <w:t xml:space="preserve">permite a las mujeres contar con más oportunidades. </w:t>
      </w:r>
    </w:p>
    <w:p w14:paraId="5E236089" w14:textId="77777777" w:rsidR="00E16627" w:rsidRPr="005304B4" w:rsidRDefault="00E16627" w:rsidP="00E16627">
      <w:pPr>
        <w:pStyle w:val="Prrafodelista"/>
        <w:rPr>
          <w:color w:val="000000" w:themeColor="text1"/>
          <w:lang w:eastAsia="es-MX"/>
        </w:rPr>
      </w:pPr>
    </w:p>
    <w:p w14:paraId="1C5ABE12" w14:textId="77777777" w:rsidR="003C7BCE" w:rsidRPr="005304B4" w:rsidRDefault="003C7BCE" w:rsidP="003C7BCE">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Finalmente, la</w:t>
      </w:r>
      <w:r w:rsidR="00E16627" w:rsidRPr="005304B4">
        <w:rPr>
          <w:color w:val="000000" w:themeColor="text1"/>
          <w:lang w:eastAsia="es-MX"/>
        </w:rPr>
        <w:t xml:space="preserve"> Sentencia C-517 de 2024</w:t>
      </w:r>
      <w:r w:rsidRPr="005304B4">
        <w:rPr>
          <w:rStyle w:val="Refdenotaalpie"/>
          <w:color w:val="000000" w:themeColor="text1"/>
          <w:lang w:eastAsia="es-MX"/>
        </w:rPr>
        <w:footnoteReference w:id="124"/>
      </w:r>
      <w:r w:rsidR="00E16627" w:rsidRPr="005304B4">
        <w:rPr>
          <w:color w:val="000000" w:themeColor="text1"/>
          <w:lang w:eastAsia="es-MX"/>
        </w:rPr>
        <w:t>,</w:t>
      </w:r>
      <w:r w:rsidRPr="005304B4">
        <w:rPr>
          <w:color w:val="000000" w:themeColor="text1"/>
          <w:lang w:eastAsia="es-MX"/>
        </w:rPr>
        <w:t xml:space="preserve"> estudió si era constitucional que el fuero de paternidad solo aplicara cuando el trabajador acreditara que la mujer gestante carecía de empleo formal. Siguiendo la misma línea argumentativa expuesta, la Sala Plena recordó que </w:t>
      </w:r>
      <w:r w:rsidR="00E16627" w:rsidRPr="005304B4">
        <w:rPr>
          <w:color w:val="000000" w:themeColor="text1"/>
          <w:lang w:eastAsia="es-MX"/>
        </w:rPr>
        <w:t>las responsabilidades familiares exceden el ámbito económico, y son transversales al amor, cuidado, acompañamiento y sostenimiento de la vida del que está por nacer y del recién nacido.</w:t>
      </w:r>
      <w:r w:rsidRPr="005304B4">
        <w:rPr>
          <w:color w:val="000000" w:themeColor="text1"/>
          <w:lang w:eastAsia="es-MX"/>
        </w:rPr>
        <w:t xml:space="preserve"> </w:t>
      </w:r>
    </w:p>
    <w:p w14:paraId="603A8531" w14:textId="77777777" w:rsidR="003C7BCE" w:rsidRPr="005304B4" w:rsidRDefault="003C7BCE" w:rsidP="003C7BCE">
      <w:pPr>
        <w:pStyle w:val="Prrafodelista"/>
        <w:rPr>
          <w:color w:val="000000" w:themeColor="text1"/>
          <w:lang w:eastAsia="es-MX"/>
        </w:rPr>
      </w:pPr>
    </w:p>
    <w:p w14:paraId="79DAE8D6" w14:textId="4B0675A7" w:rsidR="00E16627" w:rsidRPr="005304B4" w:rsidRDefault="003C7BCE" w:rsidP="00290A22">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Asimismo, reiteró que el cuidado es una responsabilidad compartida entre hombres y mujeres y que la protección ante la maternidad o paternidad debe permitir disponer de tiempos de cuidado y de un acompañamiento efectivo, independientemente del estatus laboral del padre o de la madre. </w:t>
      </w:r>
      <w:r w:rsidR="00E16627" w:rsidRPr="005304B4">
        <w:rPr>
          <w:color w:val="000000" w:themeColor="text1"/>
          <w:lang w:eastAsia="es-MX"/>
        </w:rPr>
        <w:t>Sostuvo</w:t>
      </w:r>
      <w:r w:rsidRPr="005304B4">
        <w:rPr>
          <w:color w:val="000000" w:themeColor="text1"/>
          <w:lang w:eastAsia="es-MX"/>
        </w:rPr>
        <w:t>, además,</w:t>
      </w:r>
      <w:r w:rsidR="00E16627" w:rsidRPr="005304B4">
        <w:rPr>
          <w:color w:val="000000" w:themeColor="text1"/>
          <w:lang w:eastAsia="es-MX"/>
        </w:rPr>
        <w:t xml:space="preserve"> </w:t>
      </w:r>
      <w:r w:rsidR="00E16627" w:rsidRPr="005304B4">
        <w:rPr>
          <w:color w:val="000000" w:themeColor="text1"/>
          <w:shd w:val="clear" w:color="auto" w:fill="FFFFFF"/>
        </w:rPr>
        <w:t>los hombres trabajadores tienen iguales responsabilidades familiares que las mujeres trabajadoras y por ello deben contar con mecanismos que los protejan contra la discriminación frente al despido, mientras la ejercen y en los mismos términos de las mujeres</w:t>
      </w:r>
      <w:r w:rsidRPr="005304B4">
        <w:rPr>
          <w:color w:val="000000" w:themeColor="text1"/>
          <w:shd w:val="clear" w:color="auto" w:fill="FFFFFF"/>
        </w:rPr>
        <w:t xml:space="preserve">. </w:t>
      </w:r>
      <w:r w:rsidR="00E16627" w:rsidRPr="005304B4">
        <w:rPr>
          <w:color w:val="000000" w:themeColor="text1"/>
          <w:lang w:eastAsia="es-MX"/>
        </w:rPr>
        <w:t>A partir de estas consideraciones, la Corte Constitucional extendió la garantía de estabilidad laboral reforzada al padre, con independencia de la situación laboral de la madre</w:t>
      </w:r>
      <w:r w:rsidR="00290A22" w:rsidRPr="005304B4">
        <w:rPr>
          <w:rStyle w:val="Refdenotaalpie"/>
          <w:color w:val="000000" w:themeColor="text1"/>
          <w:lang w:eastAsia="es-MX"/>
        </w:rPr>
        <w:footnoteReference w:id="125"/>
      </w:r>
      <w:r w:rsidR="00E16627" w:rsidRPr="005304B4">
        <w:rPr>
          <w:color w:val="000000" w:themeColor="text1"/>
          <w:lang w:eastAsia="es-MX"/>
        </w:rPr>
        <w:t xml:space="preserve">. </w:t>
      </w:r>
    </w:p>
    <w:p w14:paraId="413F6150" w14:textId="77777777" w:rsidR="00E16627" w:rsidRPr="005304B4" w:rsidRDefault="00E16627" w:rsidP="003C7BCE">
      <w:pPr>
        <w:rPr>
          <w:color w:val="000000" w:themeColor="text1"/>
        </w:rPr>
      </w:pPr>
    </w:p>
    <w:p w14:paraId="41CADDE7" w14:textId="6F625802" w:rsidR="00567D2B" w:rsidRPr="005304B4" w:rsidRDefault="00BC065A" w:rsidP="00567D2B">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Así</w:t>
      </w:r>
      <w:r w:rsidR="00E16627" w:rsidRPr="005304B4">
        <w:rPr>
          <w:color w:val="000000" w:themeColor="text1"/>
          <w:lang w:eastAsia="es-MX"/>
        </w:rPr>
        <w:t>,</w:t>
      </w:r>
      <w:r w:rsidRPr="005304B4">
        <w:rPr>
          <w:color w:val="000000" w:themeColor="text1"/>
          <w:lang w:eastAsia="es-MX"/>
        </w:rPr>
        <w:t xml:space="preserve"> siguiendo la jurisprudencia anterior,</w:t>
      </w:r>
      <w:r w:rsidR="003C7BCE" w:rsidRPr="005304B4">
        <w:rPr>
          <w:color w:val="000000" w:themeColor="text1"/>
          <w:lang w:eastAsia="es-MX"/>
        </w:rPr>
        <w:t xml:space="preserve"> </w:t>
      </w:r>
      <w:r w:rsidR="00E16627" w:rsidRPr="005304B4">
        <w:rPr>
          <w:color w:val="000000" w:themeColor="text1"/>
          <w:lang w:eastAsia="es-MX"/>
        </w:rPr>
        <w:t xml:space="preserve">la Sala Plena estima pertinente </w:t>
      </w:r>
      <w:r w:rsidR="00290A22" w:rsidRPr="005304B4">
        <w:rPr>
          <w:color w:val="000000" w:themeColor="text1"/>
          <w:lang w:eastAsia="es-MX"/>
        </w:rPr>
        <w:t>instar</w:t>
      </w:r>
      <w:r w:rsidR="00E16627" w:rsidRPr="005304B4">
        <w:rPr>
          <w:color w:val="000000" w:themeColor="text1"/>
          <w:lang w:eastAsia="es-MX"/>
        </w:rPr>
        <w:t xml:space="preserve"> al Congreso de la República para que, en ejercicio de su potestad de </w:t>
      </w:r>
      <w:r w:rsidR="00E16627" w:rsidRPr="005304B4">
        <w:t xml:space="preserve">configuración legislativa en materia de seguridad social y protección a la familia, </w:t>
      </w:r>
      <w:r w:rsidR="00E16627" w:rsidRPr="005304B4">
        <w:rPr>
          <w:rStyle w:val="Textoennegrita"/>
          <w:b w:val="0"/>
          <w:bCs w:val="0"/>
        </w:rPr>
        <w:t>avance en la adopción de un sistema integral de licencias parentales</w:t>
      </w:r>
      <w:r w:rsidR="00E16627" w:rsidRPr="005304B4">
        <w:t xml:space="preserve"> que promueva una </w:t>
      </w:r>
      <w:r w:rsidR="00290A22" w:rsidRPr="005304B4">
        <w:t>re</w:t>
      </w:r>
      <w:r w:rsidR="00E16627" w:rsidRPr="005304B4">
        <w:t>distribución equitativa de las labores de cuidado</w:t>
      </w:r>
      <w:r w:rsidR="00290A22" w:rsidRPr="005304B4">
        <w:t xml:space="preserve"> entre el hombre y la mujer</w:t>
      </w:r>
      <w:r w:rsidR="003C7BCE" w:rsidRPr="005304B4">
        <w:t>, siguiendo como orientación las consideraciones de</w:t>
      </w:r>
      <w:r w:rsidR="00290A22" w:rsidRPr="005304B4">
        <w:t xml:space="preserve"> la presente providencia. </w:t>
      </w:r>
    </w:p>
    <w:p w14:paraId="2BDAADCB" w14:textId="77777777" w:rsidR="00D87DF2" w:rsidRPr="005304B4" w:rsidRDefault="00D87DF2" w:rsidP="00D87DF2">
      <w:pPr>
        <w:pStyle w:val="Prrafodelista"/>
        <w:rPr>
          <w:lang w:eastAsia="es-MX"/>
        </w:rPr>
      </w:pPr>
    </w:p>
    <w:p w14:paraId="47C4FEFF" w14:textId="77777777" w:rsidR="00165BCE" w:rsidRPr="005304B4" w:rsidRDefault="006A5D0E" w:rsidP="00165BCE">
      <w:pPr>
        <w:pStyle w:val="Prrafodelista"/>
        <w:numPr>
          <w:ilvl w:val="0"/>
          <w:numId w:val="40"/>
        </w:numPr>
        <w:tabs>
          <w:tab w:val="left" w:pos="284"/>
          <w:tab w:val="left" w:pos="426"/>
        </w:tabs>
        <w:ind w:left="0" w:firstLine="0"/>
        <w:rPr>
          <w:lang w:eastAsia="es-MX"/>
        </w:rPr>
      </w:pPr>
      <w:r w:rsidRPr="005304B4">
        <w:rPr>
          <w:i/>
          <w:iCs/>
          <w:lang w:eastAsia="es-MX"/>
        </w:rPr>
        <w:t>Conclusión.</w:t>
      </w:r>
      <w:r w:rsidRPr="005304B4">
        <w:rPr>
          <w:lang w:eastAsia="es-MX"/>
        </w:rPr>
        <w:t xml:space="preserve"> </w:t>
      </w:r>
      <w:r w:rsidR="00A025B9" w:rsidRPr="005304B4">
        <w:rPr>
          <w:lang w:eastAsia="es-MX"/>
        </w:rPr>
        <w:t xml:space="preserve">Del </w:t>
      </w:r>
      <w:r w:rsidR="00E95F6C" w:rsidRPr="005304B4">
        <w:rPr>
          <w:lang w:eastAsia="es-MX"/>
        </w:rPr>
        <w:t>marco normativo</w:t>
      </w:r>
      <w:r w:rsidR="00D87DF2" w:rsidRPr="005304B4">
        <w:rPr>
          <w:lang w:eastAsia="es-MX"/>
        </w:rPr>
        <w:t xml:space="preserve"> expuesto, se puede </w:t>
      </w:r>
      <w:r w:rsidRPr="005304B4">
        <w:rPr>
          <w:lang w:eastAsia="es-MX"/>
        </w:rPr>
        <w:t>extraer</w:t>
      </w:r>
      <w:r w:rsidR="00D87DF2" w:rsidRPr="005304B4">
        <w:rPr>
          <w:lang w:eastAsia="es-MX"/>
        </w:rPr>
        <w:t xml:space="preserve"> que tanto </w:t>
      </w:r>
      <w:r w:rsidR="00B40FD4" w:rsidRPr="005304B4">
        <w:rPr>
          <w:lang w:eastAsia="es-MX"/>
        </w:rPr>
        <w:t xml:space="preserve">en </w:t>
      </w:r>
      <w:r w:rsidR="00A025B9" w:rsidRPr="005304B4">
        <w:rPr>
          <w:lang w:eastAsia="es-MX"/>
        </w:rPr>
        <w:t xml:space="preserve">el </w:t>
      </w:r>
      <w:r w:rsidR="00D87DF2" w:rsidRPr="005304B4">
        <w:rPr>
          <w:lang w:eastAsia="es-MX"/>
        </w:rPr>
        <w:t>derecho internacional de los derechos humanos</w:t>
      </w:r>
      <w:r w:rsidR="00B40FD4" w:rsidRPr="005304B4">
        <w:rPr>
          <w:lang w:eastAsia="es-MX"/>
        </w:rPr>
        <w:t>, como en</w:t>
      </w:r>
      <w:r w:rsidR="00EE3711" w:rsidRPr="005304B4">
        <w:rPr>
          <w:lang w:eastAsia="es-MX"/>
        </w:rPr>
        <w:t xml:space="preserve"> </w:t>
      </w:r>
      <w:r w:rsidR="00B40FD4" w:rsidRPr="005304B4">
        <w:rPr>
          <w:lang w:eastAsia="es-MX"/>
        </w:rPr>
        <w:t xml:space="preserve">el ordenamiento interno colombiano, </w:t>
      </w:r>
      <w:r w:rsidR="00EE3711" w:rsidRPr="005304B4">
        <w:rPr>
          <w:lang w:eastAsia="es-MX"/>
        </w:rPr>
        <w:t xml:space="preserve">la </w:t>
      </w:r>
      <w:r w:rsidR="00D87DF2" w:rsidRPr="005304B4">
        <w:rPr>
          <w:lang w:eastAsia="es-MX"/>
        </w:rPr>
        <w:t xml:space="preserve">corresponsabilidad en </w:t>
      </w:r>
      <w:r w:rsidR="00A025B9" w:rsidRPr="005304B4">
        <w:rPr>
          <w:lang w:eastAsia="es-MX"/>
        </w:rPr>
        <w:t xml:space="preserve">las </w:t>
      </w:r>
      <w:r w:rsidR="003E08FE" w:rsidRPr="005304B4">
        <w:rPr>
          <w:lang w:eastAsia="es-MX"/>
        </w:rPr>
        <w:t>labores</w:t>
      </w:r>
      <w:r w:rsidR="00A025B9" w:rsidRPr="005304B4">
        <w:rPr>
          <w:lang w:eastAsia="es-MX"/>
        </w:rPr>
        <w:t xml:space="preserve"> familiares y de crianza </w:t>
      </w:r>
      <w:r w:rsidR="00D87DF2" w:rsidRPr="005304B4">
        <w:rPr>
          <w:lang w:eastAsia="es-MX"/>
        </w:rPr>
        <w:t>constituye un mandato</w:t>
      </w:r>
      <w:r w:rsidR="00B40FD4" w:rsidRPr="005304B4">
        <w:rPr>
          <w:lang w:eastAsia="es-MX"/>
        </w:rPr>
        <w:t xml:space="preserve"> </w:t>
      </w:r>
      <w:r w:rsidR="00C47029" w:rsidRPr="005304B4">
        <w:rPr>
          <w:lang w:eastAsia="es-MX"/>
        </w:rPr>
        <w:t xml:space="preserve">que exige </w:t>
      </w:r>
      <w:r w:rsidR="00D87DF2" w:rsidRPr="005304B4">
        <w:rPr>
          <w:lang w:eastAsia="es-MX"/>
        </w:rPr>
        <w:t>desmontar los estereotipos de género</w:t>
      </w:r>
      <w:r w:rsidR="003E08FE" w:rsidRPr="005304B4">
        <w:rPr>
          <w:lang w:eastAsia="es-MX"/>
        </w:rPr>
        <w:t xml:space="preserve"> negativos</w:t>
      </w:r>
      <w:r w:rsidR="00D87DF2" w:rsidRPr="005304B4">
        <w:rPr>
          <w:lang w:eastAsia="es-MX"/>
        </w:rPr>
        <w:t xml:space="preserve"> qu</w:t>
      </w:r>
      <w:r w:rsidR="00C47029" w:rsidRPr="005304B4">
        <w:rPr>
          <w:lang w:eastAsia="es-MX"/>
        </w:rPr>
        <w:t xml:space="preserve">e han sostenido desigualdades estructurales en los hogares y que </w:t>
      </w:r>
      <w:r w:rsidR="00B40FD4" w:rsidRPr="005304B4">
        <w:rPr>
          <w:lang w:eastAsia="es-MX"/>
        </w:rPr>
        <w:t xml:space="preserve">han </w:t>
      </w:r>
      <w:r w:rsidR="00C47029" w:rsidRPr="005304B4">
        <w:rPr>
          <w:lang w:eastAsia="es-MX"/>
        </w:rPr>
        <w:t>discrimina</w:t>
      </w:r>
      <w:r w:rsidR="00B40FD4" w:rsidRPr="005304B4">
        <w:rPr>
          <w:lang w:eastAsia="es-MX"/>
        </w:rPr>
        <w:t>do</w:t>
      </w:r>
      <w:r w:rsidR="00C47029" w:rsidRPr="005304B4">
        <w:rPr>
          <w:lang w:eastAsia="es-MX"/>
        </w:rPr>
        <w:t xml:space="preserve"> y limitado profundamente </w:t>
      </w:r>
      <w:r w:rsidR="00B40FD4" w:rsidRPr="005304B4">
        <w:rPr>
          <w:lang w:eastAsia="es-MX"/>
        </w:rPr>
        <w:t>la</w:t>
      </w:r>
      <w:r w:rsidR="00C47029" w:rsidRPr="005304B4">
        <w:rPr>
          <w:lang w:eastAsia="es-MX"/>
        </w:rPr>
        <w:t xml:space="preserve"> autonomía</w:t>
      </w:r>
      <w:r w:rsidR="00B40FD4" w:rsidRPr="005304B4">
        <w:rPr>
          <w:lang w:eastAsia="es-MX"/>
        </w:rPr>
        <w:t xml:space="preserve"> de la mujer</w:t>
      </w:r>
      <w:r w:rsidR="00C47029" w:rsidRPr="005304B4">
        <w:rPr>
          <w:lang w:eastAsia="es-MX"/>
        </w:rPr>
        <w:t xml:space="preserve">, sus proyectos de vida, su participación en la esfera pública y el ejercicio pleno de sus derechos. </w:t>
      </w:r>
    </w:p>
    <w:p w14:paraId="6B7755E0" w14:textId="77777777" w:rsidR="00165BCE" w:rsidRPr="005304B4" w:rsidRDefault="00165BCE" w:rsidP="00165BCE">
      <w:pPr>
        <w:pStyle w:val="Prrafodelista"/>
        <w:rPr>
          <w:lang w:eastAsia="es-MX"/>
        </w:rPr>
      </w:pPr>
    </w:p>
    <w:p w14:paraId="0A3A87E7" w14:textId="44032591" w:rsidR="00C47029" w:rsidRPr="005304B4" w:rsidRDefault="00C47029" w:rsidP="00165BCE">
      <w:pPr>
        <w:pStyle w:val="Prrafodelista"/>
        <w:numPr>
          <w:ilvl w:val="0"/>
          <w:numId w:val="40"/>
        </w:numPr>
        <w:tabs>
          <w:tab w:val="left" w:pos="284"/>
          <w:tab w:val="left" w:pos="426"/>
        </w:tabs>
        <w:ind w:left="0" w:firstLine="0"/>
        <w:rPr>
          <w:lang w:eastAsia="es-MX"/>
        </w:rPr>
      </w:pPr>
      <w:r w:rsidRPr="005304B4">
        <w:rPr>
          <w:lang w:eastAsia="es-MX"/>
        </w:rPr>
        <w:t xml:space="preserve">De ahí que el Estado </w:t>
      </w:r>
      <w:r w:rsidR="00B40FD4" w:rsidRPr="005304B4">
        <w:rPr>
          <w:lang w:eastAsia="es-MX"/>
        </w:rPr>
        <w:t xml:space="preserve">tenga la obligación de ajustar sus leyes en el sentido de que permitan promover y garantizar un rol activo del hombre y la mujer en las responsabilidades familiares y en la progenitura responsable, esto es, en la crianza y el cuidado de los hijos. Lo anterior, porque precisamente estas desigualdades aún persisten. </w:t>
      </w:r>
    </w:p>
    <w:p w14:paraId="1F4943A6" w14:textId="77777777" w:rsidR="00485A21" w:rsidRPr="005304B4" w:rsidRDefault="00485A21" w:rsidP="00485A21">
      <w:pPr>
        <w:pStyle w:val="Prrafodelista"/>
        <w:rPr>
          <w:lang w:eastAsia="es-MX"/>
        </w:rPr>
      </w:pPr>
    </w:p>
    <w:p w14:paraId="5A523072" w14:textId="77777777" w:rsidR="00485A21" w:rsidRPr="005304B4" w:rsidRDefault="00485A21" w:rsidP="00290A22">
      <w:pPr>
        <w:pStyle w:val="Ttulo3"/>
        <w:ind w:firstLine="708"/>
        <w:rPr>
          <w:b w:val="0"/>
          <w:bCs/>
          <w:i/>
        </w:rPr>
      </w:pPr>
      <w:bookmarkStart w:id="37" w:name="_Toc190417629"/>
      <w:bookmarkStart w:id="38" w:name="_Toc224553755"/>
      <w:r w:rsidRPr="005304B4">
        <w:rPr>
          <w:b w:val="0"/>
          <w:bCs/>
          <w:i/>
        </w:rPr>
        <w:t>Desigualdad en la distribución de</w:t>
      </w:r>
      <w:bookmarkEnd w:id="37"/>
      <w:r w:rsidRPr="005304B4">
        <w:rPr>
          <w:b w:val="0"/>
          <w:bCs/>
          <w:i/>
        </w:rPr>
        <w:t xml:space="preserve"> las labores de cuidado no remunerado en el hogar.</w:t>
      </w:r>
      <w:bookmarkEnd w:id="38"/>
      <w:r w:rsidRPr="005304B4">
        <w:rPr>
          <w:b w:val="0"/>
          <w:bCs/>
          <w:i/>
        </w:rPr>
        <w:t xml:space="preserve"> </w:t>
      </w:r>
    </w:p>
    <w:p w14:paraId="1E196360" w14:textId="77777777" w:rsidR="00485A21" w:rsidRPr="005304B4" w:rsidRDefault="00485A21" w:rsidP="00485A21">
      <w:pPr>
        <w:rPr>
          <w:lang w:val="es-ES_tradnl"/>
        </w:rPr>
      </w:pPr>
    </w:p>
    <w:p w14:paraId="4F062B2C" w14:textId="77777777" w:rsidR="00485A21" w:rsidRPr="005304B4" w:rsidRDefault="00485A21" w:rsidP="00485A21">
      <w:pPr>
        <w:pStyle w:val="Prrafodelista"/>
        <w:numPr>
          <w:ilvl w:val="0"/>
          <w:numId w:val="40"/>
        </w:numPr>
        <w:tabs>
          <w:tab w:val="left" w:pos="284"/>
          <w:tab w:val="left" w:pos="426"/>
        </w:tabs>
        <w:ind w:left="0" w:firstLine="0"/>
        <w:rPr>
          <w:color w:val="000000" w:themeColor="text1"/>
          <w:lang w:eastAsia="es-MX"/>
        </w:rPr>
      </w:pPr>
      <w:r w:rsidRPr="005304B4">
        <w:rPr>
          <w:lang w:val="es-ES_tradnl"/>
        </w:rPr>
        <w:t xml:space="preserve">Pese a este marco robusto que reconoce la igualdad entre las mujeres y los hombres en las responsabilidades familiares respecto a </w:t>
      </w:r>
      <w:r w:rsidRPr="005304B4">
        <w:t>las labores de cuidado no remunerado, estas aún siguen siendo asignadas de manera desproporcionada a las mujeres</w:t>
      </w:r>
      <w:r w:rsidRPr="005304B4">
        <w:rPr>
          <w:rStyle w:val="Refdenotaalpie"/>
        </w:rPr>
        <w:footnoteReference w:id="126"/>
      </w:r>
      <w:r w:rsidRPr="005304B4">
        <w:t xml:space="preserve">. De acuerdo con datos proporcionados por la Organización Internacional del Trabajo, </w:t>
      </w:r>
      <w:r w:rsidRPr="005304B4">
        <w:rPr>
          <w:rFonts w:eastAsiaTheme="minorHAnsi"/>
          <w:lang w:val="es-MX" w:eastAsia="en-US"/>
        </w:rPr>
        <w:t>“[l]as mujeres realizan el 76,2 por ciento de todo el trabajo</w:t>
      </w:r>
      <w:r w:rsidRPr="005304B4">
        <w:t xml:space="preserve"> </w:t>
      </w:r>
      <w:r w:rsidRPr="005304B4">
        <w:rPr>
          <w:rFonts w:eastAsiaTheme="minorHAnsi"/>
          <w:lang w:val="es-MX" w:eastAsia="en-US"/>
        </w:rPr>
        <w:t>de cuidados no remunerado, dedicándole 3,2 veces más tiempo que los hombres”</w:t>
      </w:r>
      <w:r w:rsidRPr="005304B4">
        <w:rPr>
          <w:rStyle w:val="Refdenotaalpie"/>
          <w:rFonts w:eastAsiaTheme="minorHAnsi"/>
          <w:lang w:val="es-MX" w:eastAsia="en-US"/>
        </w:rPr>
        <w:footnoteReference w:id="127"/>
      </w:r>
      <w:r w:rsidRPr="005304B4">
        <w:rPr>
          <w:rFonts w:eastAsiaTheme="minorHAnsi"/>
          <w:lang w:val="es-MX" w:eastAsia="en-US"/>
        </w:rPr>
        <w:t xml:space="preserve">. </w:t>
      </w:r>
      <w:r w:rsidRPr="005304B4">
        <w:t>Según la Organización, esta disparidad de género, no se cerrará sino hasta dentro de 209 años</w:t>
      </w:r>
      <w:r w:rsidRPr="005304B4">
        <w:rPr>
          <w:rStyle w:val="Refdenotaalpie"/>
        </w:rPr>
        <w:footnoteReference w:id="128"/>
      </w:r>
      <w:r w:rsidRPr="005304B4">
        <w:t>.</w:t>
      </w:r>
    </w:p>
    <w:p w14:paraId="3AB313E5" w14:textId="77777777" w:rsidR="00485A21" w:rsidRPr="005304B4" w:rsidRDefault="00485A21" w:rsidP="00485A21">
      <w:pPr>
        <w:pStyle w:val="Prrafodelista"/>
        <w:tabs>
          <w:tab w:val="left" w:pos="284"/>
          <w:tab w:val="left" w:pos="426"/>
        </w:tabs>
        <w:ind w:left="0"/>
        <w:rPr>
          <w:color w:val="000000" w:themeColor="text1"/>
          <w:lang w:eastAsia="es-MX"/>
        </w:rPr>
      </w:pPr>
    </w:p>
    <w:p w14:paraId="030F1B07" w14:textId="4079E2FB" w:rsidR="00485A21" w:rsidRPr="005304B4" w:rsidRDefault="00485A21" w:rsidP="00485A21">
      <w:pPr>
        <w:pStyle w:val="Prrafodelista"/>
        <w:numPr>
          <w:ilvl w:val="0"/>
          <w:numId w:val="40"/>
        </w:numPr>
        <w:tabs>
          <w:tab w:val="left" w:pos="284"/>
          <w:tab w:val="left" w:pos="426"/>
        </w:tabs>
        <w:ind w:left="0" w:firstLine="0"/>
        <w:rPr>
          <w:color w:val="000000" w:themeColor="text1"/>
          <w:lang w:eastAsia="es-MX"/>
        </w:rPr>
      </w:pPr>
      <w:r w:rsidRPr="005304B4">
        <w:t>En América Latina, las mujeres dedicaban antes de pandemia, en promedio, casi el triple del tiempo que los hombres</w:t>
      </w:r>
      <w:r w:rsidRPr="005304B4">
        <w:rPr>
          <w:rStyle w:val="Refdenotaalpie"/>
        </w:rPr>
        <w:footnoteReference w:id="129"/>
      </w:r>
      <w:r w:rsidRPr="005304B4">
        <w:t xml:space="preserve"> a tareas de cuidado y domésticas no remuneradas</w:t>
      </w:r>
      <w:r w:rsidRPr="005304B4">
        <w:rPr>
          <w:rStyle w:val="Refdenotaalpie"/>
        </w:rPr>
        <w:footnoteReference w:id="130"/>
      </w:r>
      <w:r w:rsidRPr="005304B4">
        <w:t>. Según los datos del Observatorio de Igualdad de Género de América Latina y el Caribe, actualmente, esta cifra se mantiene</w:t>
      </w:r>
      <w:r w:rsidRPr="005304B4">
        <w:rPr>
          <w:rStyle w:val="Refdenotaalpie"/>
        </w:rPr>
        <w:footnoteReference w:id="131"/>
      </w:r>
      <w:r w:rsidRPr="005304B4">
        <w:t>. De acuerdo con la estadística referida, las mujeres dedican, aproximadamente, entre el 13.2% y el 24.7%</w:t>
      </w:r>
      <w:r w:rsidRPr="005304B4">
        <w:rPr>
          <w:rStyle w:val="Refdenotaalpie"/>
        </w:rPr>
        <w:footnoteReference w:id="132"/>
      </w:r>
      <w:r w:rsidRPr="005304B4">
        <w:t> de su tiempo diario a tareas de cuidado y trabajo doméstico no remunerado, con un promedio regional alrededor del 20%. Los hombres, en comparación, dedican aproximadamente entre el 3.9% y el 10.8%</w:t>
      </w:r>
      <w:r w:rsidRPr="005304B4">
        <w:rPr>
          <w:rStyle w:val="Refdenotaalpie"/>
        </w:rPr>
        <w:footnoteReference w:id="133"/>
      </w:r>
      <w:r w:rsidRPr="005304B4">
        <w:t xml:space="preserve"> de su tiempo diario a las mismas actividades, con un promedio regional alrededor del 7%. </w:t>
      </w:r>
    </w:p>
    <w:p w14:paraId="758C7F0E" w14:textId="77777777" w:rsidR="00485A21" w:rsidRPr="005304B4" w:rsidRDefault="00485A21" w:rsidP="00485A21">
      <w:pPr>
        <w:pStyle w:val="Prrafodelista"/>
        <w:rPr>
          <w:color w:val="000000" w:themeColor="text1"/>
          <w:lang w:eastAsia="es-MX"/>
        </w:rPr>
      </w:pPr>
    </w:p>
    <w:p w14:paraId="29F3400A" w14:textId="7014AEFB" w:rsidR="00485A21" w:rsidRPr="005304B4" w:rsidRDefault="00485A21" w:rsidP="00485A2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A partir de estas estadísticas, la Corte IDH concluyó que </w:t>
      </w:r>
      <w:r w:rsidR="1543ACA7" w:rsidRPr="005304B4">
        <w:rPr>
          <w:color w:val="000000" w:themeColor="text1"/>
          <w:lang w:eastAsia="es-MX"/>
        </w:rPr>
        <w:t>las labores de cuidado no remunerado han</w:t>
      </w:r>
      <w:r w:rsidRPr="005304B4">
        <w:rPr>
          <w:color w:val="000000" w:themeColor="text1"/>
          <w:lang w:eastAsia="es-MX"/>
        </w:rPr>
        <w:t xml:space="preserve"> sido asignadas históricamente a las mujeres y a las niñas con fundamento en estereotipo</w:t>
      </w:r>
      <w:r w:rsidR="00EE4F28" w:rsidRPr="005304B4">
        <w:rPr>
          <w:color w:val="000000" w:themeColor="text1"/>
          <w:lang w:eastAsia="es-MX"/>
        </w:rPr>
        <w:t>s</w:t>
      </w:r>
      <w:r w:rsidRPr="005304B4">
        <w:rPr>
          <w:color w:val="000000" w:themeColor="text1"/>
          <w:lang w:eastAsia="es-MX"/>
        </w:rPr>
        <w:t xml:space="preserve"> de género, lo que ha generado una carga desproporcionada que ha afectado el ejercicio de otros derechos. Explicó, además, que tal es la desigualdad de las labores dentro de la familia que ningún país registra una prestación de cuidado no remunerada igualitaria entre hombre y mujeres.</w:t>
      </w:r>
    </w:p>
    <w:p w14:paraId="73EC8517" w14:textId="77777777" w:rsidR="00485A21" w:rsidRPr="005304B4" w:rsidRDefault="00485A21" w:rsidP="00485A21">
      <w:pPr>
        <w:pStyle w:val="Prrafodelista"/>
        <w:rPr>
          <w:color w:val="000000" w:themeColor="text1"/>
          <w:lang w:eastAsia="es-MX"/>
        </w:rPr>
      </w:pPr>
    </w:p>
    <w:p w14:paraId="53BAABCE" w14:textId="21D9D9D6" w:rsidR="00485A21" w:rsidRPr="005304B4" w:rsidRDefault="00485A21" w:rsidP="00485A2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De igual forma, refirió </w:t>
      </w:r>
      <w:r w:rsidR="0DA6A252" w:rsidRPr="005304B4">
        <w:rPr>
          <w:color w:val="000000" w:themeColor="text1"/>
          <w:lang w:eastAsia="es-MX"/>
        </w:rPr>
        <w:t>que,</w:t>
      </w:r>
      <w:r w:rsidRPr="005304B4">
        <w:rPr>
          <w:color w:val="000000" w:themeColor="text1"/>
          <w:lang w:eastAsia="es-MX"/>
        </w:rPr>
        <w:t xml:space="preserve"> en muchas regiones del mundo, las normas de derecho de familia contienen disposiciones discriminatorias que perpetúan una marcada desigualdad jurídica para las mujeres en </w:t>
      </w:r>
      <w:r w:rsidR="76C31F94" w:rsidRPr="005304B4">
        <w:rPr>
          <w:color w:val="000000" w:themeColor="text1"/>
          <w:lang w:eastAsia="es-MX"/>
        </w:rPr>
        <w:t>la redistribución</w:t>
      </w:r>
      <w:r w:rsidRPr="005304B4">
        <w:rPr>
          <w:color w:val="000000" w:themeColor="text1"/>
          <w:lang w:eastAsia="es-MX"/>
        </w:rPr>
        <w:t xml:space="preserve"> de estas labores. En particular, señaló que dichas disposiciones permiten una distribución inequitativa y desproporcionada del trabajo de cuidado no remunerado al interior de los hogares, escenario en el que esta desigualdad se manifiesta de manera principal. Dichas normas refuerzan estereotipos negativos de acuerdo con el cual el trabajo de cuidados no remunerados es una responsabilidad principal o exclusiva de las mujeres. </w:t>
      </w:r>
    </w:p>
    <w:p w14:paraId="3B5DDF9E" w14:textId="77777777" w:rsidR="00485A21" w:rsidRPr="005304B4" w:rsidRDefault="00485A21" w:rsidP="00485A21">
      <w:pPr>
        <w:pStyle w:val="Prrafodelista"/>
        <w:rPr>
          <w:color w:val="000000" w:themeColor="text1"/>
          <w:lang w:eastAsia="es-MX"/>
        </w:rPr>
      </w:pPr>
    </w:p>
    <w:p w14:paraId="1B588BD0" w14:textId="77777777" w:rsidR="00485A21" w:rsidRPr="005304B4" w:rsidRDefault="00485A21" w:rsidP="00485A2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Esta distribución inequitativa del trabajo doméstico impacta no solo el derecho a la igualdad de estas respecto a los hombres, sino que imponen dificultades para que estos últimos puedan participar en las actividades de cuidado de sus hijos y otros familiares</w:t>
      </w:r>
      <w:r w:rsidRPr="005304B4">
        <w:rPr>
          <w:rStyle w:val="Refdenotaalpie"/>
          <w:color w:val="000000" w:themeColor="text1"/>
          <w:lang w:eastAsia="es-MX"/>
        </w:rPr>
        <w:footnoteReference w:id="134"/>
      </w:r>
      <w:r w:rsidRPr="005304B4">
        <w:rPr>
          <w:color w:val="000000" w:themeColor="text1"/>
          <w:lang w:eastAsia="es-MX"/>
        </w:rPr>
        <w:t xml:space="preserve">. Además, constituye una forma de discriminación estructural -directa o indirecta- contra las mujeres.  </w:t>
      </w:r>
    </w:p>
    <w:p w14:paraId="2EF8751E" w14:textId="77777777" w:rsidR="00485A21" w:rsidRPr="005304B4" w:rsidRDefault="00485A21" w:rsidP="00485A21">
      <w:pPr>
        <w:pStyle w:val="Prrafodelista"/>
      </w:pPr>
    </w:p>
    <w:p w14:paraId="0E866248" w14:textId="77777777" w:rsidR="00485A21" w:rsidRPr="005304B4" w:rsidRDefault="00485A21" w:rsidP="00485A21">
      <w:pPr>
        <w:pStyle w:val="Prrafodelista"/>
        <w:numPr>
          <w:ilvl w:val="0"/>
          <w:numId w:val="40"/>
        </w:numPr>
        <w:tabs>
          <w:tab w:val="left" w:pos="284"/>
          <w:tab w:val="left" w:pos="426"/>
        </w:tabs>
        <w:ind w:left="0" w:firstLine="0"/>
        <w:rPr>
          <w:color w:val="000000" w:themeColor="text1"/>
          <w:lang w:eastAsia="es-MX"/>
        </w:rPr>
      </w:pPr>
      <w:r w:rsidRPr="005304B4">
        <w:t>En el contexto colombiano, esta brecha sigue siendo significativa. De acuerdo con la Sentencia C-054 de 2024, en Colombia, la mujer aun es asociada con el papel de cuidadora que la sociedad le asigna, lo que está vinculado con “creencias o estereotipos sobre el rol tradicional de sumisión de la mujer a las tareas de la casa y crianza”.</w:t>
      </w:r>
    </w:p>
    <w:p w14:paraId="54752C76" w14:textId="77777777" w:rsidR="00485A21" w:rsidRPr="005304B4" w:rsidRDefault="00485A21" w:rsidP="00485A21">
      <w:pPr>
        <w:pStyle w:val="Prrafodelista"/>
      </w:pPr>
    </w:p>
    <w:p w14:paraId="58DE3677" w14:textId="6489D050" w:rsidR="00485A21" w:rsidRPr="005304B4" w:rsidRDefault="00485A21" w:rsidP="00485A21">
      <w:pPr>
        <w:pStyle w:val="Prrafodelista"/>
        <w:numPr>
          <w:ilvl w:val="0"/>
          <w:numId w:val="40"/>
        </w:numPr>
        <w:tabs>
          <w:tab w:val="left" w:pos="284"/>
          <w:tab w:val="left" w:pos="426"/>
        </w:tabs>
        <w:ind w:left="0" w:firstLine="0"/>
        <w:rPr>
          <w:color w:val="000000" w:themeColor="text1"/>
          <w:lang w:eastAsia="es-MX"/>
        </w:rPr>
      </w:pPr>
      <w:r w:rsidRPr="005304B4">
        <w:t xml:space="preserve"> </w:t>
      </w:r>
      <w:r w:rsidRPr="005304B4">
        <w:rPr>
          <w:color w:val="000000" w:themeColor="text1"/>
          <w:lang w:eastAsia="es-MX"/>
        </w:rPr>
        <w:t xml:space="preserve">Según el </w:t>
      </w:r>
      <w:r w:rsidRPr="005304B4">
        <w:t>DANE, la redistribución de las labores de cuidado remunerado es alarmante en Colombia. El 85% de las mujeres realizan al menos una actividad doméstica o de cuidado no remunerada. Y, en promedio, dedican 7 hora</w:t>
      </w:r>
      <w:r w:rsidR="00EE4F28" w:rsidRPr="005304B4">
        <w:t>s</w:t>
      </w:r>
      <w:r w:rsidRPr="005304B4">
        <w:t xml:space="preserve"> y 14 minutos a este tipo de labores y 7 horas 35 minutos a los trabajos remunerados. Por el contrario, los hombres dedican 3 horas y 25 minutos a las labores domésticas y 9 horas y 14 minutos a las actividades remuneradas. Eso significa que el 49% del tiempo de trabajo de las mujeres no genera un ingreso</w:t>
      </w:r>
      <w:r w:rsidRPr="005304B4">
        <w:rPr>
          <w:rStyle w:val="Refdenotaalpie"/>
        </w:rPr>
        <w:footnoteReference w:id="135"/>
      </w:r>
      <w:r w:rsidRPr="005304B4">
        <w:t xml:space="preserve">. </w:t>
      </w:r>
    </w:p>
    <w:p w14:paraId="5FDC644C" w14:textId="77777777" w:rsidR="00485A21" w:rsidRPr="005304B4" w:rsidRDefault="00485A21" w:rsidP="00485A21">
      <w:pPr>
        <w:pStyle w:val="Prrafodelista"/>
        <w:rPr>
          <w:color w:val="000000" w:themeColor="text1"/>
        </w:rPr>
      </w:pPr>
    </w:p>
    <w:p w14:paraId="7F032D76" w14:textId="00A6F01B" w:rsidR="00485A21" w:rsidRPr="005304B4" w:rsidRDefault="00485A21" w:rsidP="00485A2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rPr>
        <w:t>En conclusión, los datos expuestos demuestran, de un lado, que las mujeres continúan asumiendo de manera desproporcionada las labores de cuidado y del hogar y, de otro, que dicha carga impacta directamente su inserción laboral, caracterizada por menores tasas de participación en el trabajo remunerado y una mayor concentración en actividades vinculadas al sector de servicios y cuidados</w:t>
      </w:r>
      <w:r w:rsidRPr="005304B4">
        <w:rPr>
          <w:color w:val="000000" w:themeColor="text1"/>
          <w:lang w:eastAsia="es-MX"/>
        </w:rPr>
        <w:t xml:space="preserve">. </w:t>
      </w:r>
    </w:p>
    <w:p w14:paraId="5D6CBD51" w14:textId="77777777" w:rsidR="00E84DF1" w:rsidRPr="005304B4" w:rsidRDefault="00E84DF1" w:rsidP="00E84DF1">
      <w:pPr>
        <w:tabs>
          <w:tab w:val="left" w:pos="284"/>
          <w:tab w:val="left" w:pos="426"/>
        </w:tabs>
        <w:rPr>
          <w:b/>
          <w:bCs/>
          <w:color w:val="000000" w:themeColor="text1"/>
          <w:sz w:val="28"/>
          <w:szCs w:val="28"/>
        </w:rPr>
      </w:pPr>
    </w:p>
    <w:p w14:paraId="19423D49" w14:textId="2FA84A85" w:rsidR="00E84DF1" w:rsidRPr="005304B4" w:rsidRDefault="007F2981" w:rsidP="007F2981">
      <w:pPr>
        <w:pStyle w:val="Ttulo2"/>
      </w:pPr>
      <w:bookmarkStart w:id="39" w:name="_Toc224553756"/>
      <w:r w:rsidRPr="005304B4">
        <w:t xml:space="preserve">6. </w:t>
      </w:r>
      <w:r w:rsidR="00E84DF1" w:rsidRPr="005304B4">
        <w:t>L</w:t>
      </w:r>
      <w:r w:rsidRPr="005304B4">
        <w:t>as l</w:t>
      </w:r>
      <w:r w:rsidR="00E84DF1" w:rsidRPr="005304B4">
        <w:t>icencias parentales en el ordenamiento jurídico colombiano</w:t>
      </w:r>
      <w:bookmarkEnd w:id="39"/>
    </w:p>
    <w:p w14:paraId="340E2A50" w14:textId="77777777" w:rsidR="00E84DF1" w:rsidRPr="005304B4" w:rsidRDefault="00E84DF1" w:rsidP="00E84DF1">
      <w:pPr>
        <w:pStyle w:val="Prrafodelista"/>
        <w:rPr>
          <w:color w:val="000000" w:themeColor="text1"/>
          <w:lang w:eastAsia="es-MX"/>
        </w:rPr>
      </w:pPr>
    </w:p>
    <w:p w14:paraId="12DFE308" w14:textId="24FC8B29" w:rsidR="00643D0D" w:rsidRPr="005304B4" w:rsidRDefault="006A14D1" w:rsidP="00126DFC">
      <w:pPr>
        <w:pStyle w:val="Prrafodelista"/>
        <w:numPr>
          <w:ilvl w:val="0"/>
          <w:numId w:val="40"/>
        </w:numPr>
        <w:tabs>
          <w:tab w:val="left" w:pos="284"/>
          <w:tab w:val="left" w:pos="426"/>
        </w:tabs>
        <w:ind w:left="0" w:firstLine="0"/>
        <w:rPr>
          <w:color w:val="000000" w:themeColor="text1"/>
          <w:lang w:eastAsia="es-MX"/>
        </w:rPr>
      </w:pPr>
      <w:r w:rsidRPr="005304B4">
        <w:rPr>
          <w:i/>
          <w:iCs/>
          <w:color w:val="000000" w:themeColor="text1"/>
          <w:lang w:eastAsia="es-MX"/>
        </w:rPr>
        <w:t xml:space="preserve">Introducción. </w:t>
      </w:r>
      <w:r w:rsidR="009D25B3" w:rsidRPr="005304B4">
        <w:rPr>
          <w:color w:val="000000" w:themeColor="text1"/>
          <w:lang w:eastAsia="es-MX"/>
        </w:rPr>
        <w:t>Las licencias parentales</w:t>
      </w:r>
      <w:r w:rsidR="005E5985" w:rsidRPr="005304B4">
        <w:rPr>
          <w:color w:val="000000" w:themeColor="text1"/>
          <w:lang w:eastAsia="es-MX"/>
        </w:rPr>
        <w:t xml:space="preserve"> </w:t>
      </w:r>
      <w:r w:rsidR="006A5D0E" w:rsidRPr="005304B4">
        <w:rPr>
          <w:color w:val="000000" w:themeColor="text1"/>
          <w:lang w:eastAsia="es-MX"/>
        </w:rPr>
        <w:t>son prestaciones a cargo del sistema general de seguridad social en salud que</w:t>
      </w:r>
      <w:r w:rsidR="009D25B3" w:rsidRPr="005304B4">
        <w:rPr>
          <w:color w:val="000000" w:themeColor="text1"/>
          <w:lang w:eastAsia="es-MX"/>
        </w:rPr>
        <w:t xml:space="preserve"> </w:t>
      </w:r>
      <w:r w:rsidR="006A5D0E" w:rsidRPr="005304B4">
        <w:rPr>
          <w:color w:val="000000" w:themeColor="text1"/>
          <w:lang w:eastAsia="es-MX"/>
        </w:rPr>
        <w:t>operan durante la época del parto o de la adop</w:t>
      </w:r>
      <w:r w:rsidR="001A1F9A" w:rsidRPr="005304B4">
        <w:rPr>
          <w:color w:val="000000" w:themeColor="text1"/>
          <w:lang w:eastAsia="es-MX"/>
        </w:rPr>
        <w:t>ción</w:t>
      </w:r>
      <w:r w:rsidR="006A5D0E" w:rsidRPr="005304B4">
        <w:rPr>
          <w:color w:val="000000" w:themeColor="text1"/>
          <w:lang w:eastAsia="es-MX"/>
        </w:rPr>
        <w:t xml:space="preserve">. </w:t>
      </w:r>
      <w:r w:rsidR="007E1288" w:rsidRPr="005304B4">
        <w:rPr>
          <w:color w:val="000000" w:themeColor="text1"/>
          <w:lang w:eastAsia="es-MX"/>
        </w:rPr>
        <w:t>Estas licencias comprenden</w:t>
      </w:r>
      <w:r w:rsidR="00643D0D" w:rsidRPr="005304B4">
        <w:rPr>
          <w:color w:val="000000" w:themeColor="text1"/>
          <w:lang w:eastAsia="es-MX"/>
        </w:rPr>
        <w:t xml:space="preserve"> </w:t>
      </w:r>
      <w:r w:rsidR="007E1288" w:rsidRPr="005304B4">
        <w:rPr>
          <w:color w:val="000000" w:themeColor="text1"/>
          <w:lang w:eastAsia="es-MX"/>
        </w:rPr>
        <w:t>la licencia de maternidad (tanto preparto como postparto)</w:t>
      </w:r>
      <w:r w:rsidR="00643D0D" w:rsidRPr="005304B4">
        <w:rPr>
          <w:color w:val="000000" w:themeColor="text1"/>
          <w:lang w:eastAsia="es-MX"/>
        </w:rPr>
        <w:t xml:space="preserve"> y</w:t>
      </w:r>
      <w:r w:rsidR="007E1288" w:rsidRPr="005304B4">
        <w:rPr>
          <w:color w:val="000000" w:themeColor="text1"/>
          <w:lang w:eastAsia="es-MX"/>
        </w:rPr>
        <w:t xml:space="preserve"> la licencia de paternidad,</w:t>
      </w:r>
      <w:r w:rsidR="00643D0D" w:rsidRPr="005304B4">
        <w:rPr>
          <w:color w:val="000000" w:themeColor="text1"/>
          <w:lang w:eastAsia="es-MX"/>
        </w:rPr>
        <w:t xml:space="preserve"> así como</w:t>
      </w:r>
      <w:r w:rsidR="007E1288" w:rsidRPr="005304B4">
        <w:rPr>
          <w:color w:val="000000" w:themeColor="text1"/>
          <w:lang w:eastAsia="es-MX"/>
        </w:rPr>
        <w:t xml:space="preserve"> la licencia parental compartida</w:t>
      </w:r>
      <w:r w:rsidR="00643D0D" w:rsidRPr="005304B4">
        <w:rPr>
          <w:color w:val="000000" w:themeColor="text1"/>
          <w:lang w:eastAsia="es-MX"/>
        </w:rPr>
        <w:t xml:space="preserve"> y</w:t>
      </w:r>
      <w:r w:rsidR="007E1288" w:rsidRPr="005304B4">
        <w:rPr>
          <w:color w:val="000000" w:themeColor="text1"/>
          <w:lang w:eastAsia="es-MX"/>
        </w:rPr>
        <w:t xml:space="preserve"> la licencia parental flexible de tiempo parcial</w:t>
      </w:r>
      <w:r w:rsidR="00643D0D" w:rsidRPr="005304B4">
        <w:rPr>
          <w:color w:val="000000" w:themeColor="text1"/>
          <w:lang w:eastAsia="es-MX"/>
        </w:rPr>
        <w:t>, las cuales constituyen formas de disfrute de las dos primeras</w:t>
      </w:r>
      <w:r w:rsidR="007E1288" w:rsidRPr="005304B4">
        <w:rPr>
          <w:color w:val="000000" w:themeColor="text1"/>
          <w:lang w:eastAsia="es-MX"/>
        </w:rPr>
        <w:t xml:space="preserve">. </w:t>
      </w:r>
      <w:r w:rsidR="00643D0D" w:rsidRPr="005304B4">
        <w:rPr>
          <w:color w:val="000000" w:themeColor="text1"/>
          <w:lang w:eastAsia="es-MX"/>
        </w:rPr>
        <w:t>Adicionalmente, en nuestro ordenamiento jurídico también se contemplan los descansos remunerados por aborto y por lactancia</w:t>
      </w:r>
      <w:r w:rsidR="006E7C0B" w:rsidRPr="005304B4">
        <w:rPr>
          <w:rStyle w:val="Refdenotaalpie"/>
          <w:color w:val="000000" w:themeColor="text1"/>
          <w:lang w:eastAsia="es-MX"/>
        </w:rPr>
        <w:footnoteReference w:id="136"/>
      </w:r>
      <w:r w:rsidR="00643D0D" w:rsidRPr="005304B4">
        <w:rPr>
          <w:color w:val="000000" w:themeColor="text1"/>
          <w:lang w:eastAsia="es-MX"/>
        </w:rPr>
        <w:t>.</w:t>
      </w:r>
    </w:p>
    <w:p w14:paraId="7BD1260F" w14:textId="77777777" w:rsidR="00643D0D" w:rsidRPr="005304B4" w:rsidRDefault="00643D0D" w:rsidP="00643D0D">
      <w:pPr>
        <w:pStyle w:val="Prrafodelista"/>
        <w:tabs>
          <w:tab w:val="left" w:pos="284"/>
          <w:tab w:val="left" w:pos="426"/>
        </w:tabs>
        <w:ind w:left="0"/>
        <w:rPr>
          <w:color w:val="000000" w:themeColor="text1"/>
          <w:lang w:eastAsia="es-MX"/>
        </w:rPr>
      </w:pPr>
    </w:p>
    <w:p w14:paraId="4294CD63" w14:textId="4D630BE9" w:rsidR="006A5D0E" w:rsidRPr="005304B4" w:rsidRDefault="00643D0D" w:rsidP="00126DFC">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La</w:t>
      </w:r>
      <w:r w:rsidR="006A5D0E" w:rsidRPr="005304B4">
        <w:rPr>
          <w:color w:val="000000" w:themeColor="text1"/>
          <w:lang w:eastAsia="es-MX"/>
        </w:rPr>
        <w:t>s</w:t>
      </w:r>
      <w:r w:rsidRPr="005304B4">
        <w:rPr>
          <w:color w:val="000000" w:themeColor="text1"/>
          <w:lang w:eastAsia="es-MX"/>
        </w:rPr>
        <w:t xml:space="preserve"> licencias parentales</w:t>
      </w:r>
      <w:r w:rsidR="006A5D0E" w:rsidRPr="005304B4">
        <w:rPr>
          <w:color w:val="000000" w:themeColor="text1"/>
          <w:lang w:eastAsia="es-MX"/>
        </w:rPr>
        <w:t xml:space="preserve"> se conceden a los afiliados cotizantes al sistema con la finalidad de que, </w:t>
      </w:r>
      <w:r w:rsidR="009D25B3" w:rsidRPr="005304B4">
        <w:rPr>
          <w:color w:val="000000" w:themeColor="text1"/>
          <w:lang w:eastAsia="es-MX"/>
        </w:rPr>
        <w:t xml:space="preserve">durante un </w:t>
      </w:r>
      <w:r w:rsidR="006A5D0E" w:rsidRPr="005304B4">
        <w:rPr>
          <w:color w:val="000000" w:themeColor="text1"/>
          <w:lang w:eastAsia="es-MX"/>
        </w:rPr>
        <w:t>tiempo determinado,</w:t>
      </w:r>
      <w:r w:rsidR="009D25B3" w:rsidRPr="005304B4">
        <w:rPr>
          <w:color w:val="000000" w:themeColor="text1"/>
          <w:lang w:eastAsia="es-MX"/>
        </w:rPr>
        <w:t xml:space="preserve"> </w:t>
      </w:r>
      <w:r w:rsidR="006A5D0E" w:rsidRPr="005304B4">
        <w:rPr>
          <w:color w:val="000000" w:themeColor="text1"/>
          <w:lang w:eastAsia="es-MX"/>
        </w:rPr>
        <w:t>puedan percibir ingresos pese a no estar trabajando</w:t>
      </w:r>
      <w:r w:rsidR="007E1288" w:rsidRPr="005304B4">
        <w:rPr>
          <w:color w:val="000000" w:themeColor="text1"/>
          <w:lang w:eastAsia="es-MX"/>
        </w:rPr>
        <w:t xml:space="preserve"> debido a la necesidad que tienen de atender obligaciones familiares relacionadas con la llegada de un nuevo hijo al hogar</w:t>
      </w:r>
      <w:r w:rsidR="009D25B3" w:rsidRPr="005304B4">
        <w:rPr>
          <w:color w:val="000000" w:themeColor="text1"/>
          <w:lang w:eastAsia="es-MX"/>
        </w:rPr>
        <w:t>.</w:t>
      </w:r>
      <w:r w:rsidR="006A5D0E" w:rsidRPr="005304B4">
        <w:rPr>
          <w:color w:val="000000" w:themeColor="text1"/>
          <w:lang w:eastAsia="es-MX"/>
        </w:rPr>
        <w:t xml:space="preserve"> En tal sentido, operan como un sustituto del salario o los ingresos para que estos puedan dedicar el tiempo que usualmente dedican al trabajo para responder a las condiciones relacionadas con el nacimiento de un hijo o, alternativamente, al proceso de adaptación de este al núcleo familiar</w:t>
      </w:r>
      <w:r w:rsidR="007E1288" w:rsidRPr="005304B4">
        <w:rPr>
          <w:color w:val="000000" w:themeColor="text1"/>
          <w:lang w:eastAsia="es-MX"/>
        </w:rPr>
        <w:t>, esto último</w:t>
      </w:r>
      <w:r w:rsidR="006A5D0E" w:rsidRPr="005304B4">
        <w:rPr>
          <w:color w:val="000000" w:themeColor="text1"/>
          <w:lang w:eastAsia="es-MX"/>
        </w:rPr>
        <w:t xml:space="preserve"> en el caso de la adopción. </w:t>
      </w:r>
    </w:p>
    <w:p w14:paraId="2417A762" w14:textId="77777777" w:rsidR="006A5D0E" w:rsidRPr="005304B4" w:rsidRDefault="006A5D0E" w:rsidP="006A5D0E">
      <w:pPr>
        <w:pStyle w:val="Prrafodelista"/>
        <w:tabs>
          <w:tab w:val="left" w:pos="284"/>
          <w:tab w:val="left" w:pos="426"/>
        </w:tabs>
        <w:ind w:left="0"/>
        <w:rPr>
          <w:color w:val="000000" w:themeColor="text1"/>
          <w:lang w:eastAsia="es-MX"/>
        </w:rPr>
      </w:pPr>
    </w:p>
    <w:p w14:paraId="73A891F5" w14:textId="6198202F" w:rsidR="00AF083C" w:rsidRPr="005304B4" w:rsidRDefault="002D4236" w:rsidP="00126DFC">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Estas </w:t>
      </w:r>
      <w:r w:rsidR="006A5D0E" w:rsidRPr="005304B4">
        <w:rPr>
          <w:color w:val="000000" w:themeColor="text1"/>
          <w:lang w:eastAsia="es-MX"/>
        </w:rPr>
        <w:t xml:space="preserve">licencias </w:t>
      </w:r>
      <w:r w:rsidRPr="005304B4">
        <w:rPr>
          <w:color w:val="000000" w:themeColor="text1"/>
          <w:lang w:eastAsia="es-MX"/>
        </w:rPr>
        <w:t>son</w:t>
      </w:r>
      <w:r w:rsidR="00FC2235" w:rsidRPr="005304B4">
        <w:rPr>
          <w:color w:val="000000" w:themeColor="text1"/>
          <w:lang w:eastAsia="es-MX"/>
        </w:rPr>
        <w:t xml:space="preserve"> el resultado de reconocer que el cuidado debe ser remunerado y debe distribuirse y reorganizarse</w:t>
      </w:r>
      <w:r w:rsidR="006A5D0E" w:rsidRPr="005304B4">
        <w:rPr>
          <w:color w:val="000000" w:themeColor="text1"/>
          <w:lang w:eastAsia="es-MX"/>
        </w:rPr>
        <w:t xml:space="preserve"> para proteger a la familia como institución básica de la sociedad y, en especial, a la niñez</w:t>
      </w:r>
      <w:r w:rsidR="00FC2235" w:rsidRPr="005304B4">
        <w:rPr>
          <w:rStyle w:val="Refdenotaalpie"/>
          <w:color w:val="000000" w:themeColor="text1"/>
          <w:lang w:eastAsia="es-MX"/>
        </w:rPr>
        <w:footnoteReference w:id="137"/>
      </w:r>
      <w:r w:rsidR="00FC2235" w:rsidRPr="005304B4">
        <w:rPr>
          <w:color w:val="000000" w:themeColor="text1"/>
          <w:lang w:eastAsia="es-MX"/>
        </w:rPr>
        <w:t xml:space="preserve">. </w:t>
      </w:r>
      <w:r w:rsidR="006A5D0E" w:rsidRPr="005304B4">
        <w:rPr>
          <w:color w:val="000000" w:themeColor="text1"/>
          <w:lang w:eastAsia="es-MX"/>
        </w:rPr>
        <w:t>Como ha explicado la</w:t>
      </w:r>
      <w:r w:rsidR="005E5985" w:rsidRPr="005304B4">
        <w:rPr>
          <w:color w:val="000000" w:themeColor="text1"/>
          <w:lang w:eastAsia="es-MX"/>
        </w:rPr>
        <w:t xml:space="preserve"> Corte IDH, </w:t>
      </w:r>
      <w:r w:rsidR="006A5D0E" w:rsidRPr="005304B4">
        <w:rPr>
          <w:color w:val="000000" w:themeColor="text1"/>
          <w:lang w:eastAsia="es-MX"/>
        </w:rPr>
        <w:t>las licencias parentales permiten</w:t>
      </w:r>
      <w:r w:rsidR="005E5985" w:rsidRPr="005304B4">
        <w:rPr>
          <w:color w:val="000000" w:themeColor="text1"/>
          <w:lang w:eastAsia="es-MX"/>
        </w:rPr>
        <w:t xml:space="preserve"> a las personas con responsabilidades familiares obtener recursos necesarios para proveerse un nivel de vida adecuado para sí y para sus familiares</w:t>
      </w:r>
      <w:r w:rsidR="005E5985" w:rsidRPr="005304B4">
        <w:rPr>
          <w:rStyle w:val="Refdenotaalpie"/>
          <w:color w:val="000000" w:themeColor="text1"/>
          <w:lang w:eastAsia="es-MX"/>
        </w:rPr>
        <w:footnoteReference w:id="138"/>
      </w:r>
      <w:r w:rsidR="005E5985" w:rsidRPr="005304B4">
        <w:rPr>
          <w:color w:val="000000" w:themeColor="text1"/>
          <w:lang w:eastAsia="es-MX"/>
        </w:rPr>
        <w:t>.</w:t>
      </w:r>
    </w:p>
    <w:p w14:paraId="4C90BB46" w14:textId="77777777" w:rsidR="005E5985" w:rsidRPr="005304B4" w:rsidRDefault="005E5985" w:rsidP="005E5985">
      <w:pPr>
        <w:pStyle w:val="Prrafodelista"/>
        <w:tabs>
          <w:tab w:val="left" w:pos="284"/>
          <w:tab w:val="left" w:pos="426"/>
        </w:tabs>
        <w:ind w:left="0"/>
        <w:rPr>
          <w:color w:val="000000" w:themeColor="text1"/>
          <w:lang w:eastAsia="es-MX"/>
        </w:rPr>
      </w:pPr>
    </w:p>
    <w:p w14:paraId="5C2B3057" w14:textId="3A0A79A1" w:rsidR="00AF083C" w:rsidRPr="005304B4" w:rsidRDefault="00AF083C" w:rsidP="002F7487">
      <w:pPr>
        <w:pStyle w:val="Prrafodelista"/>
        <w:numPr>
          <w:ilvl w:val="0"/>
          <w:numId w:val="40"/>
        </w:numPr>
        <w:tabs>
          <w:tab w:val="left" w:pos="284"/>
          <w:tab w:val="left" w:pos="426"/>
        </w:tabs>
        <w:ind w:left="0" w:firstLine="0"/>
        <w:rPr>
          <w:color w:val="000000" w:themeColor="text1"/>
          <w:lang w:eastAsia="es-MX"/>
        </w:rPr>
      </w:pPr>
      <w:r w:rsidRPr="005304B4">
        <w:t>E</w:t>
      </w:r>
      <w:r w:rsidR="005E5985" w:rsidRPr="005304B4">
        <w:t>n el ordenamiento interno,</w:t>
      </w:r>
      <w:r w:rsidRPr="005304B4">
        <w:t xml:space="preserve"> </w:t>
      </w:r>
      <w:r w:rsidR="005E5985" w:rsidRPr="005304B4">
        <w:t xml:space="preserve">las </w:t>
      </w:r>
      <w:r w:rsidRPr="005304B4">
        <w:t>licencias</w:t>
      </w:r>
      <w:r w:rsidR="005E5985" w:rsidRPr="005304B4">
        <w:t xml:space="preserve"> parentales o de responsabilidades familiares,</w:t>
      </w:r>
      <w:r w:rsidRPr="005304B4">
        <w:t xml:space="preserve"> están actualmente reguladas por el artículo 236 del Código Sustantivo del Trabajo (CST). Sin embargo, su contenido ha sido objeto de múltiples reformas legislativas, introducidas por las </w:t>
      </w:r>
      <w:r w:rsidR="00A35111" w:rsidRPr="005304B4">
        <w:t>l</w:t>
      </w:r>
      <w:r w:rsidRPr="005304B4">
        <w:t>eyes 755 de 2002</w:t>
      </w:r>
      <w:r w:rsidR="006A5D0E" w:rsidRPr="005304B4">
        <w:rPr>
          <w:rStyle w:val="Refdenotaalpie"/>
        </w:rPr>
        <w:footnoteReference w:id="139"/>
      </w:r>
      <w:r w:rsidRPr="005304B4">
        <w:t>, 1468 de 2011</w:t>
      </w:r>
      <w:r w:rsidR="006A5D0E" w:rsidRPr="005304B4">
        <w:rPr>
          <w:rStyle w:val="Refdenotaalpie"/>
        </w:rPr>
        <w:footnoteReference w:id="140"/>
      </w:r>
      <w:r w:rsidRPr="005304B4">
        <w:t>, 1822 de 2017</w:t>
      </w:r>
      <w:r w:rsidR="007E1288" w:rsidRPr="005304B4">
        <w:rPr>
          <w:rStyle w:val="Refdenotaalpie"/>
        </w:rPr>
        <w:footnoteReference w:id="141"/>
      </w:r>
      <w:r w:rsidRPr="005304B4">
        <w:t xml:space="preserve"> y 2114 de 2021, las cuales han ampliado progresivamente la protección en materia de </w:t>
      </w:r>
      <w:r w:rsidR="007E1288" w:rsidRPr="005304B4">
        <w:t xml:space="preserve">licencias parentales y, consecuentemente, en la </w:t>
      </w:r>
      <w:r w:rsidRPr="005304B4">
        <w:t xml:space="preserve">corresponsabilidad </w:t>
      </w:r>
      <w:r w:rsidR="007E1288" w:rsidRPr="005304B4">
        <w:t>de los padres frente al cuidado de sus hijos</w:t>
      </w:r>
      <w:r w:rsidRPr="005304B4">
        <w:t xml:space="preserve">. A su vez, la jurisprudencia de esta Corte ha precisado el alcance constitucional de estas licencias y ha corregido </w:t>
      </w:r>
      <w:r w:rsidR="007E1288" w:rsidRPr="005304B4">
        <w:t>algunas</w:t>
      </w:r>
      <w:r w:rsidRPr="005304B4">
        <w:t xml:space="preserve"> disposiciones que generaban desigualdades, especialmente en lo relativo al acceso efectivo de las mujeres, padres</w:t>
      </w:r>
      <w:r w:rsidR="00042466" w:rsidRPr="005304B4">
        <w:t xml:space="preserve"> y madres</w:t>
      </w:r>
      <w:r w:rsidRPr="005304B4">
        <w:t xml:space="preserve"> adoptantes</w:t>
      </w:r>
      <w:r w:rsidR="00ED5DA0" w:rsidRPr="005304B4">
        <w:t>,</w:t>
      </w:r>
      <w:r w:rsidRPr="005304B4">
        <w:t xml:space="preserve"> y familias </w:t>
      </w:r>
      <w:r w:rsidR="00ED5DA0" w:rsidRPr="005304B4">
        <w:t>diversas en términos de orientación sexual e identidad de género</w:t>
      </w:r>
      <w:r w:rsidRPr="005304B4">
        <w:t xml:space="preserve"> a los beneficios parentales, </w:t>
      </w:r>
      <w:r w:rsidR="00042466" w:rsidRPr="005304B4">
        <w:t xml:space="preserve">en </w:t>
      </w:r>
      <w:r w:rsidR="007E1288" w:rsidRPr="005304B4">
        <w:t>aplicación</w:t>
      </w:r>
      <w:r w:rsidR="00042466" w:rsidRPr="005304B4">
        <w:t xml:space="preserve"> del </w:t>
      </w:r>
      <w:r w:rsidRPr="005304B4">
        <w:t>principio de igualdad y no discriminación.</w:t>
      </w:r>
    </w:p>
    <w:p w14:paraId="3C10B184" w14:textId="77777777" w:rsidR="00FB398A" w:rsidRPr="005304B4" w:rsidRDefault="00FB398A" w:rsidP="00FB398A">
      <w:pPr>
        <w:pStyle w:val="Prrafodelista"/>
        <w:tabs>
          <w:tab w:val="left" w:pos="284"/>
          <w:tab w:val="left" w:pos="426"/>
        </w:tabs>
        <w:ind w:left="0"/>
        <w:rPr>
          <w:color w:val="000000" w:themeColor="text1"/>
          <w:lang w:eastAsia="es-MX"/>
        </w:rPr>
      </w:pPr>
    </w:p>
    <w:p w14:paraId="62BAD1C4" w14:textId="5DFC0CA2" w:rsidR="00E84DF1" w:rsidRPr="005304B4" w:rsidRDefault="00643D0D" w:rsidP="002F7487">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L</w:t>
      </w:r>
      <w:r w:rsidR="00CD518B" w:rsidRPr="005304B4">
        <w:rPr>
          <w:color w:val="000000" w:themeColor="text1"/>
          <w:lang w:eastAsia="es-MX"/>
        </w:rPr>
        <w:t>a</w:t>
      </w:r>
      <w:r w:rsidRPr="005304B4">
        <w:rPr>
          <w:color w:val="000000" w:themeColor="text1"/>
          <w:lang w:eastAsia="es-MX"/>
        </w:rPr>
        <w:t>s</w:t>
      </w:r>
      <w:r w:rsidR="00CD518B" w:rsidRPr="005304B4">
        <w:rPr>
          <w:color w:val="000000" w:themeColor="text1"/>
          <w:lang w:eastAsia="es-MX"/>
        </w:rPr>
        <w:t xml:space="preserve"> licencia</w:t>
      </w:r>
      <w:r w:rsidRPr="005304B4">
        <w:rPr>
          <w:color w:val="000000" w:themeColor="text1"/>
          <w:lang w:eastAsia="es-MX"/>
        </w:rPr>
        <w:t>s</w:t>
      </w:r>
      <w:r w:rsidR="00CD518B" w:rsidRPr="005304B4">
        <w:rPr>
          <w:color w:val="000000" w:themeColor="text1"/>
          <w:lang w:eastAsia="es-MX"/>
        </w:rPr>
        <w:t xml:space="preserve"> de paternidad y maternidad </w:t>
      </w:r>
      <w:r w:rsidR="000C67B1" w:rsidRPr="005304B4">
        <w:rPr>
          <w:color w:val="000000" w:themeColor="text1"/>
          <w:lang w:eastAsia="es-MX"/>
        </w:rPr>
        <w:t>buscan</w:t>
      </w:r>
      <w:r w:rsidR="00CD518B" w:rsidRPr="005304B4">
        <w:rPr>
          <w:color w:val="000000" w:themeColor="text1"/>
          <w:lang w:eastAsia="es-MX"/>
        </w:rPr>
        <w:t xml:space="preserve"> la protección de la familia</w:t>
      </w:r>
      <w:r w:rsidR="002D4236" w:rsidRPr="005304B4">
        <w:rPr>
          <w:color w:val="000000" w:themeColor="text1"/>
          <w:lang w:eastAsia="es-MX"/>
        </w:rPr>
        <w:t>, así como garantizar la salud, el bienestar y el desarrollo</w:t>
      </w:r>
      <w:r w:rsidR="004C7CC9" w:rsidRPr="005304B4">
        <w:rPr>
          <w:color w:val="000000" w:themeColor="text1"/>
          <w:lang w:eastAsia="es-MX"/>
        </w:rPr>
        <w:t xml:space="preserve"> integral</w:t>
      </w:r>
      <w:r w:rsidR="00CD518B" w:rsidRPr="005304B4">
        <w:rPr>
          <w:color w:val="000000" w:themeColor="text1"/>
          <w:lang w:eastAsia="es-MX"/>
        </w:rPr>
        <w:t xml:space="preserve"> del recién nacido</w:t>
      </w:r>
      <w:r w:rsidRPr="005304B4">
        <w:rPr>
          <w:color w:val="000000" w:themeColor="text1"/>
          <w:lang w:eastAsia="es-MX"/>
        </w:rPr>
        <w:t xml:space="preserve"> o del hijo adoptivo</w:t>
      </w:r>
      <w:r w:rsidR="002D4236" w:rsidRPr="005304B4">
        <w:rPr>
          <w:color w:val="000000" w:themeColor="text1"/>
          <w:lang w:eastAsia="es-MX"/>
        </w:rPr>
        <w:t>, en cumplimiento de los artículos 42</w:t>
      </w:r>
      <w:r w:rsidR="00EA64D8" w:rsidRPr="005304B4">
        <w:rPr>
          <w:color w:val="000000" w:themeColor="text1"/>
          <w:lang w:eastAsia="es-MX"/>
        </w:rPr>
        <w:t>,</w:t>
      </w:r>
      <w:r w:rsidR="002D4236" w:rsidRPr="005304B4">
        <w:rPr>
          <w:color w:val="000000" w:themeColor="text1"/>
          <w:lang w:eastAsia="es-MX"/>
        </w:rPr>
        <w:t xml:space="preserve"> 4</w:t>
      </w:r>
      <w:r w:rsidR="00EA64D8" w:rsidRPr="005304B4">
        <w:rPr>
          <w:color w:val="000000" w:themeColor="text1"/>
          <w:lang w:eastAsia="es-MX"/>
        </w:rPr>
        <w:t>3 y 44</w:t>
      </w:r>
      <w:r w:rsidR="002D4236" w:rsidRPr="005304B4">
        <w:rPr>
          <w:color w:val="000000" w:themeColor="text1"/>
          <w:lang w:eastAsia="es-MX"/>
        </w:rPr>
        <w:t xml:space="preserve"> de la Constitución Política. La </w:t>
      </w:r>
      <w:r w:rsidR="004C7CC9" w:rsidRPr="005304B4">
        <w:rPr>
          <w:color w:val="000000" w:themeColor="text1"/>
          <w:lang w:eastAsia="es-MX"/>
        </w:rPr>
        <w:t xml:space="preserve">jurisprudencia constitucional </w:t>
      </w:r>
      <w:r w:rsidR="002D4236" w:rsidRPr="005304B4">
        <w:rPr>
          <w:color w:val="000000" w:themeColor="text1"/>
          <w:lang w:eastAsia="es-MX"/>
        </w:rPr>
        <w:t xml:space="preserve">ha precisado que mediante estas </w:t>
      </w:r>
      <w:r w:rsidR="004C7CC9" w:rsidRPr="005304B4">
        <w:rPr>
          <w:color w:val="000000" w:themeColor="text1"/>
          <w:lang w:eastAsia="es-MX"/>
        </w:rPr>
        <w:t xml:space="preserve">se </w:t>
      </w:r>
      <w:r w:rsidR="002D4236" w:rsidRPr="005304B4">
        <w:rPr>
          <w:color w:val="000000" w:themeColor="text1"/>
          <w:lang w:eastAsia="es-MX"/>
        </w:rPr>
        <w:t>logra (i) proteger la maternidad y la recuperación física</w:t>
      </w:r>
      <w:r w:rsidR="004C0774" w:rsidRPr="005304B4">
        <w:rPr>
          <w:color w:val="000000" w:themeColor="text1"/>
          <w:lang w:eastAsia="es-MX"/>
        </w:rPr>
        <w:t>, mental y psicológica</w:t>
      </w:r>
      <w:r w:rsidR="002D4236" w:rsidRPr="005304B4">
        <w:rPr>
          <w:color w:val="000000" w:themeColor="text1"/>
          <w:lang w:eastAsia="es-MX"/>
        </w:rPr>
        <w:t xml:space="preserve"> de la madre biológica</w:t>
      </w:r>
      <w:r w:rsidRPr="005304B4">
        <w:rPr>
          <w:color w:val="000000" w:themeColor="text1"/>
          <w:lang w:eastAsia="es-MX"/>
        </w:rPr>
        <w:t xml:space="preserve"> en casos de nacimiento</w:t>
      </w:r>
      <w:r w:rsidR="002D4236" w:rsidRPr="005304B4">
        <w:rPr>
          <w:color w:val="000000" w:themeColor="text1"/>
          <w:lang w:eastAsia="es-MX"/>
        </w:rPr>
        <w:t xml:space="preserve"> y (ii) asegurar que tanto la madre y el padre brinden cuidados, afecto y acompañamiento al </w:t>
      </w:r>
      <w:r w:rsidRPr="005304B4">
        <w:rPr>
          <w:color w:val="000000" w:themeColor="text1"/>
          <w:lang w:eastAsia="es-MX"/>
        </w:rPr>
        <w:t>niño</w:t>
      </w:r>
      <w:r w:rsidR="002D4236" w:rsidRPr="005304B4">
        <w:rPr>
          <w:rStyle w:val="Refdenotaalpie"/>
          <w:color w:val="000000" w:themeColor="text1"/>
          <w:lang w:eastAsia="es-MX"/>
        </w:rPr>
        <w:footnoteReference w:id="142"/>
      </w:r>
      <w:r w:rsidR="002D4236" w:rsidRPr="005304B4">
        <w:rPr>
          <w:color w:val="000000" w:themeColor="text1"/>
          <w:lang w:eastAsia="es-MX"/>
        </w:rPr>
        <w:t>.</w:t>
      </w:r>
      <w:r w:rsidRPr="005304B4">
        <w:rPr>
          <w:color w:val="000000" w:themeColor="text1"/>
          <w:lang w:eastAsia="es-MX"/>
        </w:rPr>
        <w:t xml:space="preserve"> Adicionalmente, en casos de adopción, estas licencias pretenden facilitar la adaptación del hijo adoptivo y </w:t>
      </w:r>
      <w:r w:rsidR="005D1EE0" w:rsidRPr="005304B4">
        <w:rPr>
          <w:color w:val="000000" w:themeColor="text1"/>
          <w:lang w:eastAsia="es-MX"/>
        </w:rPr>
        <w:t>colaborar en</w:t>
      </w:r>
      <w:r w:rsidRPr="005304B4">
        <w:rPr>
          <w:color w:val="000000" w:themeColor="text1"/>
          <w:lang w:eastAsia="es-MX"/>
        </w:rPr>
        <w:t xml:space="preserve"> el desarrollo de lazos entre los miembros del núcleo familiar.</w:t>
      </w:r>
    </w:p>
    <w:p w14:paraId="3861481C" w14:textId="77777777" w:rsidR="000C67B1" w:rsidRPr="005304B4" w:rsidRDefault="000C67B1" w:rsidP="000C67B1">
      <w:pPr>
        <w:pStyle w:val="Prrafodelista"/>
        <w:rPr>
          <w:color w:val="000000" w:themeColor="text1"/>
          <w:lang w:eastAsia="es-MX"/>
        </w:rPr>
      </w:pPr>
    </w:p>
    <w:p w14:paraId="1312194D" w14:textId="7437DC8F" w:rsidR="000C67B1" w:rsidRPr="005304B4" w:rsidRDefault="000C67B1" w:rsidP="000C67B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Estas licencias también encuentran sustento en el derecho internacional. El Convenio 102 de la OIT</w:t>
      </w:r>
      <w:r w:rsidR="00ED5DA0" w:rsidRPr="005304B4">
        <w:rPr>
          <w:color w:val="000000" w:themeColor="text1"/>
          <w:lang w:eastAsia="es-MX"/>
        </w:rPr>
        <w:t>,</w:t>
      </w:r>
      <w:r w:rsidRPr="005304B4">
        <w:rPr>
          <w:color w:val="000000" w:themeColor="text1"/>
          <w:lang w:eastAsia="es-MX"/>
        </w:rPr>
        <w:t xml:space="preserve"> sobre prestaciones mínimas de seguridad social, dispone que los Estados deberán asegurar de manera progresiva prestaciones familiares, lo cual incluye un pago periódico o el suministro de alimentos, vivienda, vestidos y vacaciones para hijos e hijas. La Organización Interamericana de Derechos Humanos, por su parte, mediante la Ley Modelo Interamericana de Cuidado, dispone que los Estados deben establecer licencias de cuidados remuneradas o subsidiadas, que les permitan a los trabajadores con responsabilidades familiares tener tiempo para cuando las personas a su cargo necesiten de cuidado personal, así como licencias de paternidad irrenunciables y</w:t>
      </w:r>
      <w:r w:rsidR="00ED5DA0" w:rsidRPr="005304B4">
        <w:rPr>
          <w:color w:val="000000" w:themeColor="text1"/>
          <w:lang w:eastAsia="es-MX"/>
        </w:rPr>
        <w:t>,</w:t>
      </w:r>
      <w:r w:rsidRPr="005304B4">
        <w:rPr>
          <w:color w:val="000000" w:themeColor="text1"/>
          <w:lang w:eastAsia="es-MX"/>
        </w:rPr>
        <w:t xml:space="preserve"> progresivamente</w:t>
      </w:r>
      <w:r w:rsidR="00ED5DA0" w:rsidRPr="005304B4">
        <w:rPr>
          <w:color w:val="000000" w:themeColor="text1"/>
          <w:lang w:eastAsia="es-MX"/>
        </w:rPr>
        <w:t>,</w:t>
      </w:r>
      <w:r w:rsidRPr="005304B4">
        <w:rPr>
          <w:color w:val="000000" w:themeColor="text1"/>
          <w:lang w:eastAsia="es-MX"/>
        </w:rPr>
        <w:t xml:space="preserve"> equiparables a las licencias de maternidad. </w:t>
      </w:r>
    </w:p>
    <w:p w14:paraId="1CE9FF65" w14:textId="77777777" w:rsidR="00CD518B" w:rsidRPr="005304B4" w:rsidRDefault="00CD518B" w:rsidP="00CD518B">
      <w:pPr>
        <w:pStyle w:val="Prrafodelista"/>
        <w:tabs>
          <w:tab w:val="left" w:pos="284"/>
          <w:tab w:val="left" w:pos="426"/>
        </w:tabs>
        <w:ind w:left="0"/>
        <w:rPr>
          <w:color w:val="000000" w:themeColor="text1"/>
          <w:lang w:eastAsia="es-MX"/>
        </w:rPr>
      </w:pPr>
    </w:p>
    <w:p w14:paraId="47081763" w14:textId="7B976389" w:rsidR="000C67B1" w:rsidRPr="005304B4" w:rsidRDefault="00ED5DA0" w:rsidP="000C67B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w:t>
      </w:r>
      <w:r w:rsidR="000C67B1" w:rsidRPr="005304B4">
        <w:rPr>
          <w:color w:val="000000" w:themeColor="text1"/>
          <w:lang w:eastAsia="es-MX"/>
        </w:rPr>
        <w:t>l</w:t>
      </w:r>
      <w:r w:rsidR="00CD518B" w:rsidRPr="005304B4">
        <w:rPr>
          <w:color w:val="000000" w:themeColor="text1"/>
          <w:lang w:eastAsia="es-MX"/>
        </w:rPr>
        <w:t xml:space="preserve"> reconocimiento de las licencias parentales ha sido progresivo</w:t>
      </w:r>
      <w:r w:rsidRPr="005304B4">
        <w:rPr>
          <w:color w:val="000000" w:themeColor="text1"/>
          <w:lang w:eastAsia="es-MX"/>
        </w:rPr>
        <w:t xml:space="preserve"> y pausado</w:t>
      </w:r>
      <w:r w:rsidR="00CD518B" w:rsidRPr="005304B4">
        <w:rPr>
          <w:color w:val="000000" w:themeColor="text1"/>
          <w:lang w:eastAsia="es-MX"/>
        </w:rPr>
        <w:t>, puesto que</w:t>
      </w:r>
      <w:r w:rsidRPr="005304B4">
        <w:rPr>
          <w:color w:val="000000" w:themeColor="text1"/>
          <w:lang w:eastAsia="es-MX"/>
        </w:rPr>
        <w:t>,</w:t>
      </w:r>
      <w:r w:rsidR="00CD518B" w:rsidRPr="005304B4">
        <w:rPr>
          <w:color w:val="000000" w:themeColor="text1"/>
          <w:lang w:eastAsia="es-MX"/>
        </w:rPr>
        <w:t xml:space="preserve"> </w:t>
      </w:r>
      <w:r w:rsidRPr="005304B4">
        <w:rPr>
          <w:color w:val="000000" w:themeColor="text1"/>
          <w:lang w:eastAsia="es-MX"/>
        </w:rPr>
        <w:t>inicialmente</w:t>
      </w:r>
      <w:r w:rsidR="00AB5801" w:rsidRPr="005304B4">
        <w:rPr>
          <w:color w:val="000000" w:themeColor="text1"/>
          <w:lang w:eastAsia="es-MX"/>
        </w:rPr>
        <w:t xml:space="preserve">, se </w:t>
      </w:r>
      <w:r w:rsidR="00CD518B" w:rsidRPr="005304B4">
        <w:rPr>
          <w:color w:val="000000" w:themeColor="text1"/>
          <w:lang w:eastAsia="es-MX"/>
        </w:rPr>
        <w:t>asignaba exclusivamente a la madre biológica</w:t>
      </w:r>
      <w:r w:rsidR="004972A7" w:rsidRPr="005304B4">
        <w:rPr>
          <w:color w:val="000000" w:themeColor="text1"/>
          <w:lang w:eastAsia="es-MX"/>
        </w:rPr>
        <w:t xml:space="preserve">, quien asumía el rol central </w:t>
      </w:r>
      <w:r w:rsidRPr="005304B4">
        <w:rPr>
          <w:color w:val="000000" w:themeColor="text1"/>
          <w:lang w:eastAsia="es-MX"/>
        </w:rPr>
        <w:t xml:space="preserve">de cuidado </w:t>
      </w:r>
      <w:r w:rsidR="004972A7" w:rsidRPr="005304B4">
        <w:rPr>
          <w:color w:val="000000" w:themeColor="text1"/>
          <w:lang w:eastAsia="es-MX"/>
        </w:rPr>
        <w:t>a través de la licencia de maternidad</w:t>
      </w:r>
      <w:r w:rsidR="007F4944" w:rsidRPr="005304B4">
        <w:rPr>
          <w:color w:val="000000" w:themeColor="text1"/>
          <w:lang w:eastAsia="es-MX"/>
        </w:rPr>
        <w:t xml:space="preserve">. </w:t>
      </w:r>
      <w:r w:rsidR="00CD518B" w:rsidRPr="005304B4">
        <w:rPr>
          <w:color w:val="000000" w:themeColor="text1"/>
          <w:lang w:eastAsia="es-MX"/>
        </w:rPr>
        <w:t>Posteriormente</w:t>
      </w:r>
      <w:r w:rsidRPr="005304B4">
        <w:rPr>
          <w:color w:val="000000" w:themeColor="text1"/>
          <w:lang w:eastAsia="es-MX"/>
        </w:rPr>
        <w:t>,</w:t>
      </w:r>
      <w:r w:rsidR="00CD518B" w:rsidRPr="005304B4">
        <w:rPr>
          <w:color w:val="000000" w:themeColor="text1"/>
          <w:lang w:eastAsia="es-MX"/>
        </w:rPr>
        <w:t xml:space="preserve"> y en </w:t>
      </w:r>
      <w:r w:rsidRPr="005304B4">
        <w:rPr>
          <w:color w:val="000000" w:themeColor="text1"/>
          <w:lang w:eastAsia="es-MX"/>
        </w:rPr>
        <w:t>aplicación</w:t>
      </w:r>
      <w:r w:rsidR="00CD518B" w:rsidRPr="005304B4">
        <w:rPr>
          <w:color w:val="000000" w:themeColor="text1"/>
          <w:lang w:eastAsia="es-MX"/>
        </w:rPr>
        <w:t xml:space="preserve"> d</w:t>
      </w:r>
      <w:r w:rsidR="007F4944" w:rsidRPr="005304B4">
        <w:rPr>
          <w:color w:val="000000" w:themeColor="text1"/>
          <w:lang w:eastAsia="es-MX"/>
        </w:rPr>
        <w:t>el principio de igualdad</w:t>
      </w:r>
      <w:r w:rsidRPr="005304B4">
        <w:rPr>
          <w:color w:val="000000" w:themeColor="text1"/>
          <w:lang w:eastAsia="es-MX"/>
        </w:rPr>
        <w:t xml:space="preserve"> en temas de género</w:t>
      </w:r>
      <w:r w:rsidR="0082119E" w:rsidRPr="005304B4">
        <w:rPr>
          <w:color w:val="000000" w:themeColor="text1"/>
          <w:lang w:eastAsia="es-MX"/>
        </w:rPr>
        <w:t xml:space="preserve">, </w:t>
      </w:r>
      <w:r w:rsidR="0018007E" w:rsidRPr="005304B4">
        <w:rPr>
          <w:color w:val="000000" w:themeColor="text1"/>
          <w:lang w:eastAsia="es-MX"/>
        </w:rPr>
        <w:t>el Convenio 156 de la OIT</w:t>
      </w:r>
      <w:r w:rsidRPr="005304B4">
        <w:rPr>
          <w:color w:val="000000" w:themeColor="text1"/>
          <w:lang w:eastAsia="es-MX"/>
        </w:rPr>
        <w:t xml:space="preserve"> </w:t>
      </w:r>
      <w:r w:rsidR="0018007E" w:rsidRPr="005304B4">
        <w:rPr>
          <w:color w:val="000000" w:themeColor="text1"/>
          <w:lang w:eastAsia="es-MX"/>
        </w:rPr>
        <w:t xml:space="preserve">advirtió sobre la necesidad de que los hombres participaran en la división de las responsabilidades familiares y las transformaciones sociales que reclamaban la participación de los padres en la crianza, </w:t>
      </w:r>
      <w:r w:rsidRPr="005304B4">
        <w:rPr>
          <w:color w:val="000000" w:themeColor="text1"/>
          <w:lang w:eastAsia="es-MX"/>
        </w:rPr>
        <w:t>lo que dio lugar a que se avanzara en el reconocimiento de</w:t>
      </w:r>
      <w:r w:rsidR="0018007E" w:rsidRPr="005304B4">
        <w:rPr>
          <w:color w:val="000000" w:themeColor="text1"/>
          <w:lang w:eastAsia="es-MX"/>
        </w:rPr>
        <w:t xml:space="preserve"> </w:t>
      </w:r>
      <w:r w:rsidRPr="005304B4">
        <w:rPr>
          <w:color w:val="000000" w:themeColor="text1"/>
          <w:lang w:eastAsia="es-MX"/>
        </w:rPr>
        <w:t>una</w:t>
      </w:r>
      <w:r w:rsidR="0018007E" w:rsidRPr="005304B4">
        <w:rPr>
          <w:color w:val="000000" w:themeColor="text1"/>
          <w:lang w:eastAsia="es-MX"/>
        </w:rPr>
        <w:t xml:space="preserve"> licencia </w:t>
      </w:r>
      <w:r w:rsidRPr="005304B4">
        <w:rPr>
          <w:color w:val="000000" w:themeColor="text1"/>
          <w:lang w:eastAsia="es-MX"/>
        </w:rPr>
        <w:t xml:space="preserve">análoga </w:t>
      </w:r>
      <w:r w:rsidR="0018007E" w:rsidRPr="005304B4">
        <w:rPr>
          <w:color w:val="000000" w:themeColor="text1"/>
          <w:lang w:eastAsia="es-MX"/>
        </w:rPr>
        <w:t>al padre biológico</w:t>
      </w:r>
      <w:r w:rsidR="002D4236" w:rsidRPr="005304B4">
        <w:rPr>
          <w:rStyle w:val="Refdenotaalpie"/>
          <w:color w:val="000000" w:themeColor="text1"/>
          <w:shd w:val="clear" w:color="auto" w:fill="FFFFFF"/>
        </w:rPr>
        <w:footnoteReference w:id="143"/>
      </w:r>
      <w:r w:rsidR="004972A7" w:rsidRPr="005304B4">
        <w:rPr>
          <w:color w:val="000000" w:themeColor="text1"/>
          <w:shd w:val="clear" w:color="auto" w:fill="FFFFFF"/>
        </w:rPr>
        <w:t>.</w:t>
      </w:r>
      <w:r w:rsidR="00D44E58" w:rsidRPr="005304B4">
        <w:rPr>
          <w:color w:val="000000" w:themeColor="text1"/>
          <w:shd w:val="clear" w:color="auto" w:fill="FFFFFF"/>
        </w:rPr>
        <w:t xml:space="preserve"> </w:t>
      </w:r>
    </w:p>
    <w:p w14:paraId="223B843A" w14:textId="77777777" w:rsidR="0082119E" w:rsidRPr="005304B4" w:rsidRDefault="0082119E" w:rsidP="0082119E">
      <w:pPr>
        <w:pStyle w:val="Prrafodelista"/>
        <w:rPr>
          <w:color w:val="000000" w:themeColor="text1"/>
          <w:lang w:eastAsia="es-MX"/>
        </w:rPr>
      </w:pPr>
    </w:p>
    <w:p w14:paraId="1AD4C682" w14:textId="40BD6D94" w:rsidR="000C67B1" w:rsidRPr="005304B4" w:rsidRDefault="006A14D1" w:rsidP="00283FD8">
      <w:pPr>
        <w:pStyle w:val="Prrafodelista"/>
        <w:numPr>
          <w:ilvl w:val="0"/>
          <w:numId w:val="40"/>
        </w:numPr>
        <w:tabs>
          <w:tab w:val="left" w:pos="284"/>
          <w:tab w:val="left" w:pos="426"/>
        </w:tabs>
        <w:ind w:left="0" w:firstLine="0"/>
        <w:rPr>
          <w:color w:val="000000" w:themeColor="text1"/>
          <w:lang w:eastAsia="es-MX"/>
        </w:rPr>
      </w:pPr>
      <w:r w:rsidRPr="005304B4">
        <w:rPr>
          <w:i/>
          <w:iCs/>
          <w:color w:val="000000" w:themeColor="text1"/>
          <w:lang w:eastAsia="es-MX"/>
        </w:rPr>
        <w:t>La licencia de maternidad.</w:t>
      </w:r>
      <w:r w:rsidRPr="005304B4">
        <w:rPr>
          <w:color w:val="000000" w:themeColor="text1"/>
          <w:lang w:eastAsia="es-MX"/>
        </w:rPr>
        <w:t xml:space="preserve"> </w:t>
      </w:r>
      <w:r w:rsidR="0082119E" w:rsidRPr="005304B4">
        <w:rPr>
          <w:color w:val="000000" w:themeColor="text1"/>
          <w:lang w:eastAsia="es-MX"/>
        </w:rPr>
        <w:t xml:space="preserve">En particular, </w:t>
      </w:r>
      <w:r w:rsidR="005F633B" w:rsidRPr="005304B4">
        <w:rPr>
          <w:color w:val="000000" w:themeColor="text1"/>
          <w:lang w:eastAsia="es-MX"/>
        </w:rPr>
        <w:t>la licencia de maternidad</w:t>
      </w:r>
      <w:r w:rsidR="007B3F9B" w:rsidRPr="005304B4">
        <w:rPr>
          <w:color w:val="000000" w:themeColor="text1"/>
          <w:lang w:eastAsia="es-MX"/>
        </w:rPr>
        <w:t xml:space="preserve"> surgió como mecanismo de protección a las mujeres y a sus hijos.</w:t>
      </w:r>
      <w:r w:rsidR="00F72BC9" w:rsidRPr="005304B4">
        <w:rPr>
          <w:color w:val="000000" w:themeColor="text1"/>
          <w:lang w:eastAsia="es-MX"/>
        </w:rPr>
        <w:t xml:space="preserve"> Además, para conciliar su rol productivo</w:t>
      </w:r>
      <w:r w:rsidR="00ED5DA0" w:rsidRPr="005304B4">
        <w:rPr>
          <w:color w:val="000000" w:themeColor="text1"/>
          <w:lang w:eastAsia="es-MX"/>
        </w:rPr>
        <w:t xml:space="preserve"> con su ejercicio reproductivo</w:t>
      </w:r>
      <w:r w:rsidR="00F72BC9" w:rsidRPr="005304B4">
        <w:rPr>
          <w:rStyle w:val="Refdenotaalpie"/>
          <w:color w:val="000000" w:themeColor="text1"/>
          <w:lang w:eastAsia="es-MX"/>
        </w:rPr>
        <w:footnoteReference w:id="144"/>
      </w:r>
      <w:r w:rsidR="00F72BC9" w:rsidRPr="005304B4">
        <w:rPr>
          <w:color w:val="000000" w:themeColor="text1"/>
          <w:lang w:eastAsia="es-MX"/>
        </w:rPr>
        <w:t xml:space="preserve">. </w:t>
      </w:r>
      <w:r w:rsidR="000C67B1" w:rsidRPr="005304B4">
        <w:rPr>
          <w:color w:val="000000" w:themeColor="text1"/>
          <w:lang w:eastAsia="es-MX"/>
        </w:rPr>
        <w:t xml:space="preserve">De acuerdo con la Sentencia C-543 de 2010, la licencia de maternidad es doble e integral. Doble, por cuanto se protege a la madre y, a la vez a los hijos e hijas. Integral, porque abarca un conjunto de prestaciones encaminadas a asegurar que las mujeres trabajadoras y su descendencia dispongan de un espacio propicio para iniciar las relaciones familiares en condiciones de calidad y de dignidad”. </w:t>
      </w:r>
    </w:p>
    <w:p w14:paraId="6A161B30" w14:textId="77777777" w:rsidR="00E91419" w:rsidRPr="005304B4" w:rsidRDefault="00E91419" w:rsidP="00E91419">
      <w:pPr>
        <w:pStyle w:val="Prrafodelista"/>
        <w:tabs>
          <w:tab w:val="left" w:pos="284"/>
          <w:tab w:val="left" w:pos="426"/>
        </w:tabs>
        <w:ind w:left="0"/>
        <w:rPr>
          <w:color w:val="000000" w:themeColor="text1"/>
          <w:lang w:eastAsia="es-MX"/>
        </w:rPr>
      </w:pPr>
    </w:p>
    <w:p w14:paraId="73F74448" w14:textId="358328BB" w:rsidR="00283FD8" w:rsidRPr="005304B4" w:rsidRDefault="007B3F9B" w:rsidP="00283FD8">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Esta prerrogativa </w:t>
      </w:r>
      <w:r w:rsidR="00EA64D8" w:rsidRPr="005304B4">
        <w:rPr>
          <w:color w:val="000000" w:themeColor="text1"/>
          <w:lang w:eastAsia="es-MX"/>
        </w:rPr>
        <w:t xml:space="preserve">encuentra sustento tanto en el derecho internacional de los derechos humanos como en el ordenamiento interno. </w:t>
      </w:r>
      <w:r w:rsidR="00283FD8" w:rsidRPr="005304B4">
        <w:rPr>
          <w:color w:val="000000" w:themeColor="text1"/>
          <w:lang w:eastAsia="es-MX"/>
        </w:rPr>
        <w:t xml:space="preserve">Esto es así por cuanto sus orígenes se remontan </w:t>
      </w:r>
      <w:r w:rsidR="00ED5DA0" w:rsidRPr="005304B4">
        <w:rPr>
          <w:color w:val="000000" w:themeColor="text1"/>
          <w:lang w:eastAsia="es-MX"/>
        </w:rPr>
        <w:t>a</w:t>
      </w:r>
      <w:r w:rsidR="00283FD8" w:rsidRPr="005304B4">
        <w:rPr>
          <w:color w:val="000000" w:themeColor="text1"/>
          <w:lang w:eastAsia="es-MX"/>
        </w:rPr>
        <w:t xml:space="preserve"> la creación de la Organización Internacional del trabajo, la que, durante sus primeros días de funcionamiento, en octubre de 1919, adoptó el Convenio 003</w:t>
      </w:r>
      <w:r w:rsidR="00283FD8" w:rsidRPr="005304B4">
        <w:rPr>
          <w:rStyle w:val="Refdenotaalpie"/>
          <w:color w:val="000000" w:themeColor="text1"/>
          <w:lang w:eastAsia="es-MX"/>
        </w:rPr>
        <w:footnoteReference w:id="145"/>
      </w:r>
      <w:r w:rsidR="00ED5DA0" w:rsidRPr="005304B4">
        <w:rPr>
          <w:color w:val="000000" w:themeColor="text1"/>
          <w:lang w:eastAsia="es-MX"/>
        </w:rPr>
        <w:t>,</w:t>
      </w:r>
      <w:r w:rsidR="00283FD8" w:rsidRPr="005304B4">
        <w:rPr>
          <w:color w:val="000000" w:themeColor="text1"/>
          <w:lang w:eastAsia="es-MX"/>
        </w:rPr>
        <w:t xml:space="preserve"> referido a la protección de la maternidad de las mujeres, especialmente, la protección frente al despido en caso de embarazo. </w:t>
      </w:r>
    </w:p>
    <w:p w14:paraId="70037E6E" w14:textId="77777777" w:rsidR="00283FD8" w:rsidRPr="005304B4" w:rsidRDefault="00283FD8" w:rsidP="00283FD8">
      <w:pPr>
        <w:pStyle w:val="Prrafodelista"/>
        <w:rPr>
          <w:color w:val="000000" w:themeColor="text1"/>
          <w:lang w:eastAsia="es-MX"/>
        </w:rPr>
      </w:pPr>
    </w:p>
    <w:p w14:paraId="6F01C9FA" w14:textId="35237520" w:rsidR="000C67B1" w:rsidRPr="005304B4" w:rsidRDefault="000C67B1" w:rsidP="000C67B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El artículo 7 de la Declaración Americana </w:t>
      </w:r>
      <w:r w:rsidR="00283FD8" w:rsidRPr="005304B4">
        <w:rPr>
          <w:color w:val="000000" w:themeColor="text1"/>
          <w:lang w:eastAsia="es-MX"/>
        </w:rPr>
        <w:t>reitera esta protección, puesto que sostiene que</w:t>
      </w:r>
      <w:r w:rsidRPr="005304B4">
        <w:rPr>
          <w:color w:val="000000" w:themeColor="text1"/>
          <w:lang w:eastAsia="es-MX"/>
        </w:rPr>
        <w:t xml:space="preserve"> “t</w:t>
      </w:r>
      <w:r w:rsidRPr="005304B4">
        <w:rPr>
          <w:color w:val="000000" w:themeColor="text1"/>
        </w:rPr>
        <w:t xml:space="preserve">oda mujer en estado de gravidez o en época de lactancia, así como todo niño, tienen derecho a protección, cuidados y ayuda especiales”. </w:t>
      </w:r>
      <w:r w:rsidR="00EA64D8" w:rsidRPr="005304B4">
        <w:rPr>
          <w:color w:val="000000" w:themeColor="text1"/>
          <w:lang w:eastAsia="es-MX"/>
        </w:rPr>
        <w:t xml:space="preserve">El artículo 25 de la Declaración Universal de los Derechos Humanos </w:t>
      </w:r>
      <w:r w:rsidRPr="005304B4">
        <w:rPr>
          <w:color w:val="000000" w:themeColor="text1"/>
          <w:lang w:eastAsia="es-MX"/>
        </w:rPr>
        <w:t>lo reafirma</w:t>
      </w:r>
      <w:r w:rsidR="00ED5DA0" w:rsidRPr="005304B4">
        <w:rPr>
          <w:color w:val="000000" w:themeColor="text1"/>
          <w:lang w:eastAsia="es-MX"/>
        </w:rPr>
        <w:t>,</w:t>
      </w:r>
      <w:r w:rsidRPr="005304B4">
        <w:rPr>
          <w:color w:val="000000" w:themeColor="text1"/>
          <w:lang w:eastAsia="es-MX"/>
        </w:rPr>
        <w:t xml:space="preserve"> al considerar</w:t>
      </w:r>
      <w:r w:rsidR="00EA64D8" w:rsidRPr="005304B4">
        <w:rPr>
          <w:color w:val="000000" w:themeColor="text1"/>
          <w:lang w:eastAsia="es-MX"/>
        </w:rPr>
        <w:t xml:space="preserve"> que la maternidad y la infancia requieren de cuidado y asistencia especiales. El artículo 10.2 del </w:t>
      </w:r>
      <w:r w:rsidR="00ED5DA0" w:rsidRPr="005304B4">
        <w:rPr>
          <w:color w:val="000000" w:themeColor="text1"/>
          <w:lang w:eastAsia="es-MX"/>
        </w:rPr>
        <w:t>Pacto Internacional de Derechos Económicos, Sociales y Culturales</w:t>
      </w:r>
      <w:r w:rsidRPr="005304B4">
        <w:rPr>
          <w:color w:val="000000" w:themeColor="text1"/>
          <w:lang w:eastAsia="es-MX"/>
        </w:rPr>
        <w:t>, por su parte,</w:t>
      </w:r>
      <w:r w:rsidR="00EA64D8" w:rsidRPr="005304B4">
        <w:rPr>
          <w:color w:val="000000" w:themeColor="text1"/>
          <w:lang w:eastAsia="es-MX"/>
        </w:rPr>
        <w:t xml:space="preserve"> prevé que debe concederse protección a las madres antes y después del parto</w:t>
      </w:r>
      <w:r w:rsidR="00ED5DA0" w:rsidRPr="005304B4">
        <w:rPr>
          <w:color w:val="000000" w:themeColor="text1"/>
          <w:lang w:eastAsia="es-MX"/>
        </w:rPr>
        <w:t>.</w:t>
      </w:r>
      <w:r w:rsidR="00EA64D8" w:rsidRPr="005304B4">
        <w:rPr>
          <w:color w:val="000000" w:themeColor="text1"/>
          <w:lang w:eastAsia="es-MX"/>
        </w:rPr>
        <w:t xml:space="preserve"> </w:t>
      </w:r>
      <w:r w:rsidR="00ED5DA0" w:rsidRPr="005304B4">
        <w:rPr>
          <w:color w:val="000000" w:themeColor="text1"/>
          <w:lang w:eastAsia="es-MX"/>
        </w:rPr>
        <w:t>Y</w:t>
      </w:r>
      <w:r w:rsidR="00EA64D8" w:rsidRPr="005304B4">
        <w:rPr>
          <w:color w:val="000000" w:themeColor="text1"/>
          <w:lang w:eastAsia="es-MX"/>
        </w:rPr>
        <w:t xml:space="preserve"> el artículo 12.2 de la Convención sobre la </w:t>
      </w:r>
      <w:r w:rsidR="00ED5DA0" w:rsidRPr="005304B4">
        <w:rPr>
          <w:color w:val="000000" w:themeColor="text1"/>
          <w:lang w:eastAsia="es-MX"/>
        </w:rPr>
        <w:t>E</w:t>
      </w:r>
      <w:r w:rsidR="00EA64D8" w:rsidRPr="005304B4">
        <w:rPr>
          <w:color w:val="000000" w:themeColor="text1"/>
          <w:lang w:eastAsia="es-MX"/>
        </w:rPr>
        <w:t xml:space="preserve">liminación de </w:t>
      </w:r>
      <w:r w:rsidR="00ED5DA0" w:rsidRPr="005304B4">
        <w:rPr>
          <w:color w:val="000000" w:themeColor="text1"/>
          <w:lang w:eastAsia="es-MX"/>
        </w:rPr>
        <w:t>T</w:t>
      </w:r>
      <w:r w:rsidR="00EA64D8" w:rsidRPr="005304B4">
        <w:rPr>
          <w:color w:val="000000" w:themeColor="text1"/>
          <w:lang w:eastAsia="es-MX"/>
        </w:rPr>
        <w:t xml:space="preserve">odas las </w:t>
      </w:r>
      <w:r w:rsidR="00ED5DA0" w:rsidRPr="005304B4">
        <w:rPr>
          <w:color w:val="000000" w:themeColor="text1"/>
          <w:lang w:eastAsia="es-MX"/>
        </w:rPr>
        <w:t>F</w:t>
      </w:r>
      <w:r w:rsidR="00EA64D8" w:rsidRPr="005304B4">
        <w:rPr>
          <w:color w:val="000000" w:themeColor="text1"/>
          <w:lang w:eastAsia="es-MX"/>
        </w:rPr>
        <w:t xml:space="preserve">ormas de </w:t>
      </w:r>
      <w:r w:rsidR="00ED5DA0" w:rsidRPr="005304B4">
        <w:rPr>
          <w:color w:val="000000" w:themeColor="text1"/>
          <w:lang w:eastAsia="es-MX"/>
        </w:rPr>
        <w:t>D</w:t>
      </w:r>
      <w:r w:rsidR="00EA64D8" w:rsidRPr="005304B4">
        <w:rPr>
          <w:color w:val="000000" w:themeColor="text1"/>
          <w:lang w:eastAsia="es-MX"/>
        </w:rPr>
        <w:t xml:space="preserve">iscriminación contra la </w:t>
      </w:r>
      <w:r w:rsidR="00ED5DA0" w:rsidRPr="005304B4">
        <w:rPr>
          <w:color w:val="000000" w:themeColor="text1"/>
          <w:lang w:eastAsia="es-MX"/>
        </w:rPr>
        <w:t>M</w:t>
      </w:r>
      <w:r w:rsidR="00EA64D8" w:rsidRPr="005304B4">
        <w:rPr>
          <w:color w:val="000000" w:themeColor="text1"/>
          <w:lang w:eastAsia="es-MX"/>
        </w:rPr>
        <w:t xml:space="preserve">ujer dispone que los Estados deben garantizar </w:t>
      </w:r>
      <w:r w:rsidR="00ED5DA0" w:rsidRPr="005304B4">
        <w:rPr>
          <w:color w:val="000000" w:themeColor="text1"/>
          <w:lang w:eastAsia="es-MX"/>
        </w:rPr>
        <w:t>est</w:t>
      </w:r>
      <w:r w:rsidR="00A04B3B" w:rsidRPr="005304B4">
        <w:rPr>
          <w:color w:val="000000" w:themeColor="text1"/>
          <w:lang w:eastAsia="es-MX"/>
        </w:rPr>
        <w:t>o</w:t>
      </w:r>
      <w:r w:rsidR="00ED5DA0" w:rsidRPr="005304B4">
        <w:rPr>
          <w:color w:val="000000" w:themeColor="text1"/>
          <w:lang w:eastAsia="es-MX"/>
        </w:rPr>
        <w:t>s</w:t>
      </w:r>
      <w:r w:rsidR="00EA64D8" w:rsidRPr="005304B4">
        <w:rPr>
          <w:color w:val="000000" w:themeColor="text1"/>
          <w:lang w:eastAsia="es-MX"/>
        </w:rPr>
        <w:t xml:space="preserve"> servicios </w:t>
      </w:r>
      <w:r w:rsidR="005D1EE0" w:rsidRPr="005304B4">
        <w:rPr>
          <w:color w:val="000000" w:themeColor="text1"/>
          <w:lang w:eastAsia="es-MX"/>
        </w:rPr>
        <w:t xml:space="preserve">que resultan </w:t>
      </w:r>
      <w:r w:rsidR="00EA64D8" w:rsidRPr="005304B4">
        <w:rPr>
          <w:color w:val="000000" w:themeColor="text1"/>
          <w:lang w:eastAsia="es-MX"/>
        </w:rPr>
        <w:t xml:space="preserve">apropiados </w:t>
      </w:r>
      <w:r w:rsidR="005D1EE0" w:rsidRPr="005304B4">
        <w:rPr>
          <w:color w:val="000000" w:themeColor="text1"/>
          <w:lang w:eastAsia="es-MX"/>
        </w:rPr>
        <w:t xml:space="preserve">durante </w:t>
      </w:r>
      <w:r w:rsidR="00EA64D8" w:rsidRPr="005304B4">
        <w:rPr>
          <w:color w:val="000000" w:themeColor="text1"/>
          <w:lang w:eastAsia="es-MX"/>
        </w:rPr>
        <w:t>embarazo y el per</w:t>
      </w:r>
      <w:r w:rsidR="00ED5DA0" w:rsidRPr="005304B4">
        <w:rPr>
          <w:color w:val="000000" w:themeColor="text1"/>
          <w:lang w:eastAsia="es-MX"/>
        </w:rPr>
        <w:t>í</w:t>
      </w:r>
      <w:r w:rsidR="00EA64D8" w:rsidRPr="005304B4">
        <w:rPr>
          <w:color w:val="000000" w:themeColor="text1"/>
          <w:lang w:eastAsia="es-MX"/>
        </w:rPr>
        <w:t xml:space="preserve">odo posterior al parto. </w:t>
      </w:r>
    </w:p>
    <w:p w14:paraId="496F9ACE" w14:textId="77777777" w:rsidR="000C67B1" w:rsidRPr="005304B4" w:rsidRDefault="000C67B1" w:rsidP="000C67B1">
      <w:pPr>
        <w:pStyle w:val="Prrafodelista"/>
        <w:tabs>
          <w:tab w:val="left" w:pos="284"/>
          <w:tab w:val="left" w:pos="426"/>
        </w:tabs>
        <w:ind w:left="0"/>
        <w:rPr>
          <w:color w:val="000000" w:themeColor="text1"/>
          <w:lang w:eastAsia="es-MX"/>
        </w:rPr>
      </w:pPr>
    </w:p>
    <w:p w14:paraId="10D52343" w14:textId="49A1689C" w:rsidR="007F41C5" w:rsidRPr="005304B4" w:rsidRDefault="00EA64D8" w:rsidP="007F41C5">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En Colombia, la Constitución Política, en el artículo 43</w:t>
      </w:r>
      <w:r w:rsidR="00644DB5" w:rsidRPr="005304B4">
        <w:rPr>
          <w:color w:val="000000" w:themeColor="text1"/>
          <w:lang w:eastAsia="es-MX"/>
        </w:rPr>
        <w:t>,</w:t>
      </w:r>
      <w:r w:rsidRPr="005304B4">
        <w:rPr>
          <w:color w:val="000000" w:themeColor="text1"/>
          <w:lang w:eastAsia="es-MX"/>
        </w:rPr>
        <w:t xml:space="preserve"> ordena la protección estatal y el otorgamiento de un subsidio cuando la mujer embarazada se encuentr</w:t>
      </w:r>
      <w:r w:rsidR="00283F46" w:rsidRPr="005304B4">
        <w:rPr>
          <w:color w:val="000000" w:themeColor="text1"/>
          <w:lang w:eastAsia="es-MX"/>
        </w:rPr>
        <w:t xml:space="preserve">a </w:t>
      </w:r>
      <w:r w:rsidRPr="005304B4">
        <w:rPr>
          <w:color w:val="000000" w:themeColor="text1"/>
          <w:lang w:eastAsia="es-MX"/>
        </w:rPr>
        <w:t>sin empleo.</w:t>
      </w:r>
      <w:r w:rsidR="007F41C5" w:rsidRPr="005304B4">
        <w:rPr>
          <w:color w:val="000000" w:themeColor="text1"/>
          <w:lang w:eastAsia="es-MX"/>
        </w:rPr>
        <w:t xml:space="preserve"> De igual forma, en su artículo 53, prevé los principios del estatuto del trabajo, entre los que se encuentra protección especial en favor de la mujer y la maternidad.</w:t>
      </w:r>
    </w:p>
    <w:p w14:paraId="5BB66EF8" w14:textId="77777777" w:rsidR="007F41C5" w:rsidRPr="005304B4" w:rsidRDefault="007F41C5" w:rsidP="007F41C5">
      <w:pPr>
        <w:pStyle w:val="Prrafodelista"/>
        <w:rPr>
          <w:color w:val="000000" w:themeColor="text1"/>
          <w:lang w:eastAsia="es-MX"/>
        </w:rPr>
      </w:pPr>
    </w:p>
    <w:p w14:paraId="3D769DA9" w14:textId="5DB2F741" w:rsidR="000C67B1" w:rsidRPr="005304B4" w:rsidRDefault="00EA64D8" w:rsidP="000C67B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 </w:t>
      </w:r>
      <w:r w:rsidR="00644DB5" w:rsidRPr="005304B4">
        <w:t>A partir de est</w:t>
      </w:r>
      <w:r w:rsidR="007F41C5" w:rsidRPr="005304B4">
        <w:t>os</w:t>
      </w:r>
      <w:r w:rsidR="00644DB5" w:rsidRPr="005304B4">
        <w:t xml:space="preserve"> mandato</w:t>
      </w:r>
      <w:r w:rsidR="007F41C5" w:rsidRPr="005304B4">
        <w:t>s</w:t>
      </w:r>
      <w:r w:rsidR="00644DB5" w:rsidRPr="005304B4">
        <w:t>, la jurisprudencia constitucional ha reconocido como deber del Estado proteger integralmente a las mujeres</w:t>
      </w:r>
      <w:r w:rsidR="00ED5DA0" w:rsidRPr="005304B4">
        <w:t xml:space="preserve"> y otras personas</w:t>
      </w:r>
      <w:r w:rsidR="00644DB5" w:rsidRPr="005304B4">
        <w:t xml:space="preserve"> gestantes y lactantes, así como de adoptar medidas que aseguren condiciones dignas durante el embarazo, el parto y el posparto. </w:t>
      </w:r>
      <w:r w:rsidR="007F41C5" w:rsidRPr="005304B4">
        <w:rPr>
          <w:color w:val="000000" w:themeColor="text1"/>
          <w:lang w:eastAsia="es-MX"/>
        </w:rPr>
        <w:t>Además, de acuerdo con la</w:t>
      </w:r>
      <w:r w:rsidR="00D44E58" w:rsidRPr="005304B4">
        <w:rPr>
          <w:color w:val="000000" w:themeColor="text1"/>
          <w:lang w:eastAsia="es-MX"/>
        </w:rPr>
        <w:t xml:space="preserve"> </w:t>
      </w:r>
      <w:r w:rsidR="00644DB5" w:rsidRPr="005304B4">
        <w:rPr>
          <w:color w:val="000000" w:themeColor="text1"/>
          <w:lang w:eastAsia="es-MX"/>
        </w:rPr>
        <w:t xml:space="preserve">cláusula de igualdad y no discriminación por razones de sexo, la Corte Constitucional </w:t>
      </w:r>
      <w:r w:rsidR="006870DF" w:rsidRPr="005304B4">
        <w:rPr>
          <w:color w:val="000000" w:themeColor="text1"/>
          <w:lang w:eastAsia="es-MX"/>
        </w:rPr>
        <w:t xml:space="preserve">determinó </w:t>
      </w:r>
      <w:r w:rsidR="00644DB5" w:rsidRPr="005304B4">
        <w:rPr>
          <w:color w:val="000000" w:themeColor="text1"/>
          <w:lang w:eastAsia="es-MX"/>
        </w:rPr>
        <w:t xml:space="preserve">que a la </w:t>
      </w:r>
      <w:r w:rsidR="00ED5DA0" w:rsidRPr="005304B4">
        <w:rPr>
          <w:color w:val="000000" w:themeColor="text1"/>
          <w:lang w:eastAsia="es-MX"/>
        </w:rPr>
        <w:t>persona</w:t>
      </w:r>
      <w:r w:rsidR="00644DB5" w:rsidRPr="005304B4">
        <w:rPr>
          <w:color w:val="000000" w:themeColor="text1"/>
          <w:lang w:eastAsia="es-MX"/>
        </w:rPr>
        <w:t xml:space="preserve"> embarazada no solo se le protege su derecho a trabajar, sino a no ser despedida por su condición y a obtener el pago de una licencia en </w:t>
      </w:r>
      <w:r w:rsidR="00ED5DA0" w:rsidRPr="005304B4">
        <w:rPr>
          <w:color w:val="000000" w:themeColor="text1"/>
          <w:lang w:eastAsia="es-MX"/>
        </w:rPr>
        <w:t>pre y postparto</w:t>
      </w:r>
      <w:r w:rsidR="00644DB5" w:rsidRPr="005304B4">
        <w:rPr>
          <w:rStyle w:val="Refdenotaalpie"/>
          <w:color w:val="000000" w:themeColor="text1"/>
          <w:lang w:eastAsia="es-MX"/>
        </w:rPr>
        <w:footnoteReference w:id="146"/>
      </w:r>
      <w:r w:rsidR="00644DB5" w:rsidRPr="005304B4">
        <w:rPr>
          <w:color w:val="000000" w:themeColor="text1"/>
          <w:lang w:eastAsia="es-MX"/>
        </w:rPr>
        <w:t xml:space="preserve">. </w:t>
      </w:r>
    </w:p>
    <w:p w14:paraId="1D9A18AC" w14:textId="77777777" w:rsidR="00370593" w:rsidRPr="005304B4" w:rsidRDefault="00370593" w:rsidP="00370593">
      <w:pPr>
        <w:pStyle w:val="Prrafodelista"/>
        <w:rPr>
          <w:color w:val="000000" w:themeColor="text1"/>
          <w:lang w:eastAsia="es-MX"/>
        </w:rPr>
      </w:pPr>
    </w:p>
    <w:p w14:paraId="5A4A79DD" w14:textId="0CAA200E" w:rsidR="002A4DF3" w:rsidRPr="005304B4" w:rsidRDefault="00A073E8" w:rsidP="002A4DF3">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Asimismo</w:t>
      </w:r>
      <w:r w:rsidR="007F41C5" w:rsidRPr="005304B4">
        <w:rPr>
          <w:color w:val="000000" w:themeColor="text1"/>
          <w:lang w:eastAsia="es-MX"/>
        </w:rPr>
        <w:t xml:space="preserve">, </w:t>
      </w:r>
      <w:r w:rsidR="00ED5DA0" w:rsidRPr="005304B4">
        <w:rPr>
          <w:color w:val="000000" w:themeColor="text1"/>
          <w:lang w:eastAsia="es-MX"/>
        </w:rPr>
        <w:t xml:space="preserve">la Corte </w:t>
      </w:r>
      <w:r w:rsidR="007F41C5" w:rsidRPr="005304B4">
        <w:rPr>
          <w:color w:val="000000" w:themeColor="text1"/>
          <w:lang w:eastAsia="es-MX"/>
        </w:rPr>
        <w:t xml:space="preserve">extendió esta licencia </w:t>
      </w:r>
      <w:r w:rsidR="007F41C5" w:rsidRPr="005304B4">
        <w:rPr>
          <w:color w:val="000000" w:themeColor="text1"/>
          <w:shd w:val="clear" w:color="auto" w:fill="FFFFFF"/>
        </w:rPr>
        <w:t xml:space="preserve">a las madres adoptantes de </w:t>
      </w:r>
      <w:r w:rsidR="00ED5DA0" w:rsidRPr="005304B4">
        <w:rPr>
          <w:color w:val="000000" w:themeColor="text1"/>
          <w:shd w:val="clear" w:color="auto" w:fill="FFFFFF"/>
        </w:rPr>
        <w:t>niños y adolescentes</w:t>
      </w:r>
      <w:r w:rsidR="007F41C5" w:rsidRPr="005304B4">
        <w:rPr>
          <w:color w:val="000000" w:themeColor="text1"/>
          <w:shd w:val="clear" w:color="auto" w:fill="FFFFFF"/>
        </w:rPr>
        <w:t xml:space="preserve"> mayores de 7 años, pues encontró que la finalidad de est</w:t>
      </w:r>
      <w:r w:rsidR="00A71C4E" w:rsidRPr="005304B4">
        <w:rPr>
          <w:color w:val="000000" w:themeColor="text1"/>
          <w:shd w:val="clear" w:color="auto" w:fill="FFFFFF"/>
        </w:rPr>
        <w:t>os beneficios</w:t>
      </w:r>
      <w:r w:rsidR="007F41C5" w:rsidRPr="005304B4">
        <w:rPr>
          <w:color w:val="000000" w:themeColor="text1"/>
          <w:shd w:val="clear" w:color="auto" w:fill="FFFFFF"/>
        </w:rPr>
        <w:t xml:space="preserve"> era la misma</w:t>
      </w:r>
      <w:r w:rsidR="006870DF" w:rsidRPr="005304B4">
        <w:rPr>
          <w:color w:val="000000" w:themeColor="text1"/>
          <w:shd w:val="clear" w:color="auto" w:fill="FFFFFF"/>
        </w:rPr>
        <w:t xml:space="preserve">, </w:t>
      </w:r>
      <w:r w:rsidR="00FD1F77" w:rsidRPr="005304B4">
        <w:rPr>
          <w:color w:val="000000" w:themeColor="text1"/>
          <w:lang w:eastAsia="es-MX"/>
        </w:rPr>
        <w:t>dado que</w:t>
      </w:r>
      <w:r w:rsidR="006870DF" w:rsidRPr="005304B4">
        <w:rPr>
          <w:color w:val="000000" w:themeColor="text1"/>
          <w:lang w:eastAsia="es-MX"/>
        </w:rPr>
        <w:t xml:space="preserve"> la adopción es una medida de protección de los intereses superiores de </w:t>
      </w:r>
      <w:r w:rsidR="006870DF" w:rsidRPr="005304B4">
        <w:rPr>
          <w:color w:val="000000" w:themeColor="text1"/>
          <w:shd w:val="clear" w:color="auto" w:fill="FFFFFF"/>
        </w:rPr>
        <w:t>los niños, niñas y adolescentes</w:t>
      </w:r>
      <w:r w:rsidR="006870DF" w:rsidRPr="005304B4">
        <w:rPr>
          <w:color w:val="000000" w:themeColor="text1"/>
          <w:lang w:eastAsia="es-MX"/>
        </w:rPr>
        <w:t>, de allí que limitar el acceso a la licencia con criterio etario vulneraba principios y derechos constitucionales</w:t>
      </w:r>
      <w:r w:rsidR="007F41C5" w:rsidRPr="005304B4">
        <w:rPr>
          <w:rStyle w:val="Refdenotaalpie"/>
          <w:color w:val="000000" w:themeColor="text1"/>
          <w:shd w:val="clear" w:color="auto" w:fill="FFFFFF"/>
        </w:rPr>
        <w:footnoteReference w:id="147"/>
      </w:r>
      <w:r w:rsidR="007F41C5" w:rsidRPr="005304B4">
        <w:rPr>
          <w:color w:val="000000" w:themeColor="text1"/>
          <w:shd w:val="clear" w:color="auto" w:fill="FFFFFF"/>
        </w:rPr>
        <w:t>.</w:t>
      </w:r>
      <w:r w:rsidR="002A4DF3" w:rsidRPr="005304B4">
        <w:rPr>
          <w:color w:val="000000" w:themeColor="text1"/>
          <w:shd w:val="clear" w:color="auto" w:fill="FFFFFF"/>
        </w:rPr>
        <w:t xml:space="preserve"> </w:t>
      </w:r>
    </w:p>
    <w:p w14:paraId="16123254" w14:textId="77777777" w:rsidR="004C0774" w:rsidRPr="005304B4" w:rsidRDefault="004C0774" w:rsidP="004C0774">
      <w:pPr>
        <w:pStyle w:val="Prrafodelista"/>
        <w:tabs>
          <w:tab w:val="left" w:pos="284"/>
          <w:tab w:val="left" w:pos="426"/>
        </w:tabs>
        <w:ind w:left="0"/>
        <w:rPr>
          <w:color w:val="000000" w:themeColor="text1"/>
          <w:lang w:eastAsia="es-MX"/>
        </w:rPr>
      </w:pPr>
    </w:p>
    <w:p w14:paraId="77033E44" w14:textId="48076FA0" w:rsidR="00E9721F" w:rsidRPr="005304B4" w:rsidRDefault="0095585D" w:rsidP="0018007E">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Ahora bien, </w:t>
      </w:r>
      <w:r w:rsidR="00ED5DA0" w:rsidRPr="005304B4">
        <w:rPr>
          <w:color w:val="000000" w:themeColor="text1"/>
          <w:lang w:eastAsia="es-MX"/>
        </w:rPr>
        <w:t>la duración de</w:t>
      </w:r>
      <w:r w:rsidR="0082119E" w:rsidRPr="005304B4">
        <w:rPr>
          <w:color w:val="000000" w:themeColor="text1"/>
          <w:lang w:eastAsia="es-MX"/>
        </w:rPr>
        <w:t xml:space="preserve"> la licencia de maternidad </w:t>
      </w:r>
      <w:r w:rsidR="00E9721F" w:rsidRPr="005304B4">
        <w:rPr>
          <w:color w:val="000000" w:themeColor="text1"/>
          <w:lang w:eastAsia="es-MX"/>
        </w:rPr>
        <w:t>ha sido objeto de ampliación progresiva</w:t>
      </w:r>
      <w:r w:rsidR="003E1D72" w:rsidRPr="005304B4">
        <w:rPr>
          <w:color w:val="000000" w:themeColor="text1"/>
          <w:lang w:eastAsia="es-MX"/>
        </w:rPr>
        <w:t xml:space="preserve">. Las </w:t>
      </w:r>
      <w:r w:rsidR="00E9721F" w:rsidRPr="005304B4">
        <w:rPr>
          <w:color w:val="000000" w:themeColor="text1"/>
          <w:lang w:eastAsia="es-MX"/>
        </w:rPr>
        <w:t>recomendaciones internacionales que instan a los Estado</w:t>
      </w:r>
      <w:r w:rsidR="00644DB5" w:rsidRPr="005304B4">
        <w:rPr>
          <w:color w:val="000000" w:themeColor="text1"/>
          <w:lang w:eastAsia="es-MX"/>
        </w:rPr>
        <w:t>s</w:t>
      </w:r>
      <w:r w:rsidR="00E9721F" w:rsidRPr="005304B4">
        <w:rPr>
          <w:color w:val="000000" w:themeColor="text1"/>
          <w:lang w:eastAsia="es-MX"/>
        </w:rPr>
        <w:t xml:space="preserve"> a ampliar los tiempo</w:t>
      </w:r>
      <w:r w:rsidRPr="005304B4">
        <w:rPr>
          <w:color w:val="000000" w:themeColor="text1"/>
          <w:lang w:eastAsia="es-MX"/>
        </w:rPr>
        <w:t>s</w:t>
      </w:r>
      <w:r w:rsidR="00E9721F" w:rsidRPr="005304B4">
        <w:rPr>
          <w:color w:val="000000" w:themeColor="text1"/>
          <w:lang w:eastAsia="es-MX"/>
        </w:rPr>
        <w:t xml:space="preserve"> de licencia y a fortalecer la corresponsabilidad en el cuidado de </w:t>
      </w:r>
      <w:r w:rsidR="00ED5DA0" w:rsidRPr="005304B4">
        <w:rPr>
          <w:color w:val="000000" w:themeColor="text1"/>
          <w:lang w:eastAsia="es-MX"/>
        </w:rPr>
        <w:t>niños, niñas y adolescentes</w:t>
      </w:r>
      <w:r w:rsidR="003E1D72" w:rsidRPr="005304B4">
        <w:rPr>
          <w:color w:val="000000" w:themeColor="text1"/>
          <w:lang w:eastAsia="es-MX"/>
        </w:rPr>
        <w:t xml:space="preserve"> sirvieron </w:t>
      </w:r>
      <w:r w:rsidR="00ED5DA0" w:rsidRPr="005304B4">
        <w:rPr>
          <w:color w:val="000000" w:themeColor="text1"/>
          <w:lang w:eastAsia="es-MX"/>
        </w:rPr>
        <w:t>para impulsar dichos cambios</w:t>
      </w:r>
      <w:r w:rsidR="00E9721F" w:rsidRPr="005304B4">
        <w:rPr>
          <w:color w:val="000000" w:themeColor="text1"/>
          <w:lang w:eastAsia="es-MX"/>
        </w:rPr>
        <w:t>. La OIT, mediante el Convenio 183</w:t>
      </w:r>
      <w:r w:rsidR="003E1D72" w:rsidRPr="005304B4">
        <w:rPr>
          <w:rStyle w:val="Refdenotaalpie"/>
          <w:color w:val="000000" w:themeColor="text1"/>
          <w:lang w:eastAsia="es-MX"/>
        </w:rPr>
        <w:footnoteReference w:id="148"/>
      </w:r>
      <w:r w:rsidR="00E9721F" w:rsidRPr="005304B4">
        <w:rPr>
          <w:color w:val="000000" w:themeColor="text1"/>
          <w:lang w:eastAsia="es-MX"/>
        </w:rPr>
        <w:t xml:space="preserve"> y la Recomendación 191</w:t>
      </w:r>
      <w:r w:rsidR="005F633B" w:rsidRPr="005304B4">
        <w:rPr>
          <w:color w:val="000000" w:themeColor="text1"/>
          <w:lang w:eastAsia="es-MX"/>
        </w:rPr>
        <w:t xml:space="preserve"> sobre la protección de la maternidad</w:t>
      </w:r>
      <w:r w:rsidR="00E9721F" w:rsidRPr="005304B4">
        <w:rPr>
          <w:color w:val="000000" w:themeColor="text1"/>
          <w:lang w:eastAsia="es-MX"/>
        </w:rPr>
        <w:t xml:space="preserve"> </w:t>
      </w:r>
      <w:r w:rsidR="003E1D72" w:rsidRPr="005304B4">
        <w:rPr>
          <w:color w:val="000000" w:themeColor="text1"/>
          <w:lang w:eastAsia="es-MX"/>
        </w:rPr>
        <w:t xml:space="preserve">insistieron </w:t>
      </w:r>
      <w:r w:rsidR="00E9721F" w:rsidRPr="005304B4">
        <w:rPr>
          <w:color w:val="000000" w:themeColor="text1"/>
          <w:lang w:eastAsia="es-MX"/>
        </w:rPr>
        <w:t>en la necesidad de garantizar per</w:t>
      </w:r>
      <w:r w:rsidR="00ED5DA0" w:rsidRPr="005304B4">
        <w:rPr>
          <w:color w:val="000000" w:themeColor="text1"/>
          <w:lang w:eastAsia="es-MX"/>
        </w:rPr>
        <w:t>í</w:t>
      </w:r>
      <w:r w:rsidR="00E9721F" w:rsidRPr="005304B4">
        <w:rPr>
          <w:color w:val="000000" w:themeColor="text1"/>
          <w:lang w:eastAsia="es-MX"/>
        </w:rPr>
        <w:t>odos de descanso suficientes</w:t>
      </w:r>
      <w:r w:rsidR="00E9721F" w:rsidRPr="005304B4">
        <w:rPr>
          <w:rStyle w:val="Refdenotaalpie"/>
          <w:color w:val="000000" w:themeColor="text1"/>
          <w:lang w:eastAsia="es-MX"/>
        </w:rPr>
        <w:footnoteReference w:id="149"/>
      </w:r>
      <w:r w:rsidR="003E1D72" w:rsidRPr="005304B4">
        <w:rPr>
          <w:color w:val="000000" w:themeColor="text1"/>
          <w:lang w:eastAsia="es-MX"/>
        </w:rPr>
        <w:t xml:space="preserve">, razón por la que, de manera progresiva, </w:t>
      </w:r>
      <w:r w:rsidR="005F633B" w:rsidRPr="005304B4">
        <w:rPr>
          <w:color w:val="000000" w:themeColor="text1"/>
          <w:lang w:eastAsia="es-MX"/>
        </w:rPr>
        <w:t xml:space="preserve">instaron </w:t>
      </w:r>
      <w:r w:rsidR="00ED5DA0" w:rsidRPr="005304B4">
        <w:rPr>
          <w:color w:val="000000" w:themeColor="text1"/>
          <w:lang w:eastAsia="es-MX"/>
        </w:rPr>
        <w:t xml:space="preserve">a </w:t>
      </w:r>
      <w:r w:rsidR="003E1D72" w:rsidRPr="005304B4">
        <w:rPr>
          <w:color w:val="000000" w:themeColor="text1"/>
          <w:lang w:eastAsia="es-MX"/>
        </w:rPr>
        <w:t xml:space="preserve">ampliar la licencia </w:t>
      </w:r>
      <w:r w:rsidR="00ED5DA0" w:rsidRPr="005304B4">
        <w:rPr>
          <w:color w:val="000000" w:themeColor="text1"/>
          <w:lang w:eastAsia="es-MX"/>
        </w:rPr>
        <w:t xml:space="preserve">de maternidad </w:t>
      </w:r>
      <w:r w:rsidR="005F633B" w:rsidRPr="005304B4">
        <w:rPr>
          <w:color w:val="000000" w:themeColor="text1"/>
          <w:lang w:eastAsia="es-MX"/>
        </w:rPr>
        <w:t xml:space="preserve">como mínimo </w:t>
      </w:r>
      <w:r w:rsidR="00ED5DA0" w:rsidRPr="005304B4">
        <w:rPr>
          <w:color w:val="000000" w:themeColor="text1"/>
          <w:lang w:eastAsia="es-MX"/>
        </w:rPr>
        <w:t xml:space="preserve">a </w:t>
      </w:r>
      <w:r w:rsidR="003E1D72" w:rsidRPr="005304B4">
        <w:rPr>
          <w:color w:val="000000" w:themeColor="text1"/>
          <w:lang w:eastAsia="es-MX"/>
        </w:rPr>
        <w:t>dieciocho (18) semanas</w:t>
      </w:r>
      <w:r w:rsidR="005F633B" w:rsidRPr="005304B4">
        <w:rPr>
          <w:rStyle w:val="Refdenotaalpie"/>
          <w:color w:val="000000" w:themeColor="text1"/>
          <w:lang w:eastAsia="es-MX"/>
        </w:rPr>
        <w:footnoteReference w:id="150"/>
      </w:r>
      <w:r w:rsidR="004B4A02" w:rsidRPr="005304B4">
        <w:rPr>
          <w:color w:val="000000" w:themeColor="text1"/>
          <w:lang w:eastAsia="es-MX"/>
        </w:rPr>
        <w:t>, recomendación que siguió el legislador colombiano</w:t>
      </w:r>
      <w:r w:rsidR="00370593" w:rsidRPr="005304B4">
        <w:rPr>
          <w:color w:val="000000" w:themeColor="text1"/>
          <w:lang w:eastAsia="es-MX"/>
        </w:rPr>
        <w:t>.</w:t>
      </w:r>
    </w:p>
    <w:p w14:paraId="478A4BBD" w14:textId="77777777" w:rsidR="004B4A02" w:rsidRPr="005304B4" w:rsidRDefault="004B4A02" w:rsidP="004B4A02">
      <w:pPr>
        <w:pStyle w:val="Prrafodelista"/>
        <w:rPr>
          <w:color w:val="000000" w:themeColor="text1"/>
          <w:lang w:eastAsia="es-MX"/>
        </w:rPr>
      </w:pPr>
    </w:p>
    <w:p w14:paraId="3036AD34" w14:textId="69144E8F" w:rsidR="00801C6B" w:rsidRPr="005304B4" w:rsidRDefault="006A14D1" w:rsidP="00E034B9">
      <w:pPr>
        <w:pStyle w:val="Prrafodelista"/>
        <w:numPr>
          <w:ilvl w:val="0"/>
          <w:numId w:val="40"/>
        </w:numPr>
        <w:tabs>
          <w:tab w:val="left" w:pos="284"/>
          <w:tab w:val="left" w:pos="426"/>
        </w:tabs>
        <w:ind w:left="0" w:firstLine="0"/>
        <w:rPr>
          <w:color w:val="000000" w:themeColor="text1"/>
          <w:lang w:eastAsia="es-MX"/>
        </w:rPr>
      </w:pPr>
      <w:r w:rsidRPr="005304B4">
        <w:rPr>
          <w:i/>
          <w:iCs/>
          <w:color w:val="000000" w:themeColor="text1"/>
          <w:lang w:eastAsia="es-MX"/>
        </w:rPr>
        <w:t xml:space="preserve">La licencia de paternidad. </w:t>
      </w:r>
      <w:r w:rsidR="00801C6B" w:rsidRPr="005304B4">
        <w:rPr>
          <w:color w:val="000000" w:themeColor="text1"/>
          <w:lang w:eastAsia="es-MX"/>
        </w:rPr>
        <w:t>Ahora bien, con el propósito de que el hombre desempeñ</w:t>
      </w:r>
      <w:r w:rsidR="00E034B9" w:rsidRPr="005304B4">
        <w:rPr>
          <w:color w:val="000000" w:themeColor="text1"/>
          <w:lang w:eastAsia="es-MX"/>
        </w:rPr>
        <w:t>ara</w:t>
      </w:r>
      <w:r w:rsidR="00801C6B" w:rsidRPr="005304B4">
        <w:rPr>
          <w:color w:val="000000" w:themeColor="text1"/>
          <w:lang w:eastAsia="es-MX"/>
        </w:rPr>
        <w:t xml:space="preserve"> un rol más activo en el cuidado y crianza de sus hijos, la Organización Internacional del Trabajo, al adoptar la Recomendación 165 de 1981, </w:t>
      </w:r>
      <w:r w:rsidR="00E034B9" w:rsidRPr="005304B4">
        <w:rPr>
          <w:color w:val="000000" w:themeColor="text1"/>
          <w:lang w:eastAsia="es-MX"/>
        </w:rPr>
        <w:t xml:space="preserve">sostuvo </w:t>
      </w:r>
      <w:r w:rsidR="00801C6B" w:rsidRPr="005304B4">
        <w:rPr>
          <w:color w:val="000000" w:themeColor="text1"/>
          <w:lang w:eastAsia="es-MX"/>
        </w:rPr>
        <w:t xml:space="preserve">en el numeral 22 </w:t>
      </w:r>
      <w:r w:rsidR="00E034B9" w:rsidRPr="005304B4">
        <w:rPr>
          <w:color w:val="000000" w:themeColor="text1"/>
          <w:shd w:val="clear" w:color="auto" w:fill="FFFFFF"/>
        </w:rPr>
        <w:t>que</w:t>
      </w:r>
      <w:r w:rsidR="00801C6B" w:rsidRPr="005304B4">
        <w:rPr>
          <w:color w:val="000000" w:themeColor="text1"/>
          <w:shd w:val="clear" w:color="auto" w:fill="FFFFFF"/>
        </w:rPr>
        <w:t xml:space="preserve"> también “el padre debería tener posibilidad de obtener una licencia sin perder su empleo y conservando los derechos que se derivan de él”</w:t>
      </w:r>
      <w:r w:rsidR="00801C6B" w:rsidRPr="005304B4">
        <w:rPr>
          <w:i/>
          <w:iCs/>
          <w:color w:val="000000" w:themeColor="text1"/>
          <w:shd w:val="clear" w:color="auto" w:fill="FFFFFF"/>
        </w:rPr>
        <w:t>.</w:t>
      </w:r>
      <w:r w:rsidR="00801C6B" w:rsidRPr="005304B4">
        <w:rPr>
          <w:color w:val="000000" w:themeColor="text1"/>
          <w:shd w:val="clear" w:color="auto" w:fill="FFFFFF"/>
        </w:rPr>
        <w:t> </w:t>
      </w:r>
      <w:r w:rsidR="0066215B" w:rsidRPr="005304B4">
        <w:rPr>
          <w:color w:val="000000" w:themeColor="text1"/>
          <w:shd w:val="clear" w:color="auto" w:fill="FFFFFF"/>
        </w:rPr>
        <w:t xml:space="preserve">A partir de esta recomendación, se originó la </w:t>
      </w:r>
      <w:r w:rsidR="0066215B" w:rsidRPr="005304B4">
        <w:rPr>
          <w:i/>
          <w:iCs/>
          <w:color w:val="000000" w:themeColor="text1"/>
          <w:shd w:val="clear" w:color="auto" w:fill="FFFFFF"/>
        </w:rPr>
        <w:t>licencia de paternidad.</w:t>
      </w:r>
      <w:r w:rsidR="0066215B" w:rsidRPr="005304B4">
        <w:rPr>
          <w:color w:val="000000" w:themeColor="text1"/>
          <w:shd w:val="clear" w:color="auto" w:fill="FFFFFF"/>
        </w:rPr>
        <w:t xml:space="preserve"> </w:t>
      </w:r>
    </w:p>
    <w:p w14:paraId="3C9F7DBB" w14:textId="77777777" w:rsidR="00801C6B" w:rsidRPr="005304B4" w:rsidRDefault="00801C6B" w:rsidP="0066215B">
      <w:pPr>
        <w:rPr>
          <w:color w:val="000000" w:themeColor="text1"/>
          <w:sz w:val="28"/>
          <w:szCs w:val="28"/>
        </w:rPr>
      </w:pPr>
    </w:p>
    <w:p w14:paraId="143C0D34" w14:textId="5B6CEED6" w:rsidR="00EA6942" w:rsidRPr="005304B4" w:rsidRDefault="0066215B" w:rsidP="00EA6942">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La jurisprudencia constitucional ha considerado que </w:t>
      </w:r>
      <w:r w:rsidR="00ED5DA0" w:rsidRPr="005304B4">
        <w:rPr>
          <w:color w:val="000000" w:themeColor="text1"/>
          <w:lang w:eastAsia="es-MX"/>
        </w:rPr>
        <w:t>la licencia de paternidad</w:t>
      </w:r>
      <w:r w:rsidRPr="005304B4">
        <w:rPr>
          <w:color w:val="000000" w:themeColor="text1"/>
          <w:lang w:eastAsia="es-MX"/>
        </w:rPr>
        <w:t xml:space="preserve"> constituye un derecho fundamental y subjetivo, cuyo reconocimiento </w:t>
      </w:r>
      <w:r w:rsidR="00BB62DA" w:rsidRPr="005304B4">
        <w:rPr>
          <w:color w:val="000000" w:themeColor="text1"/>
          <w:lang w:eastAsia="es-MX"/>
        </w:rPr>
        <w:t xml:space="preserve">no solo </w:t>
      </w:r>
      <w:r w:rsidRPr="005304B4">
        <w:rPr>
          <w:color w:val="000000" w:themeColor="text1"/>
          <w:lang w:eastAsia="es-MX"/>
        </w:rPr>
        <w:t>garantiza el interés superior de</w:t>
      </w:r>
      <w:r w:rsidR="00EA6942" w:rsidRPr="005304B4">
        <w:rPr>
          <w:color w:val="000000" w:themeColor="text1"/>
          <w:lang w:eastAsia="es-MX"/>
        </w:rPr>
        <w:t xml:space="preserve"> los </w:t>
      </w:r>
      <w:r w:rsidR="006A14D1" w:rsidRPr="005304B4">
        <w:rPr>
          <w:color w:val="000000" w:themeColor="text1"/>
          <w:lang w:eastAsia="es-MX"/>
        </w:rPr>
        <w:t>niños</w:t>
      </w:r>
      <w:r w:rsidRPr="005304B4">
        <w:rPr>
          <w:color w:val="000000" w:themeColor="text1"/>
          <w:lang w:eastAsia="es-MX"/>
        </w:rPr>
        <w:t xml:space="preserve"> a recibir cuidado, atención, apoyo, amor y seguridad física y emocional</w:t>
      </w:r>
      <w:r w:rsidR="00C431F7" w:rsidRPr="005304B4">
        <w:rPr>
          <w:rStyle w:val="Refdenotaalpie"/>
          <w:color w:val="000000" w:themeColor="text1"/>
          <w:lang w:eastAsia="es-MX"/>
        </w:rPr>
        <w:footnoteReference w:id="151"/>
      </w:r>
      <w:r w:rsidR="00BB62DA" w:rsidRPr="005304B4">
        <w:rPr>
          <w:color w:val="000000" w:themeColor="text1"/>
          <w:lang w:eastAsia="es-MX"/>
        </w:rPr>
        <w:t xml:space="preserve">, </w:t>
      </w:r>
      <w:r w:rsidR="00EA6942" w:rsidRPr="005304B4">
        <w:rPr>
          <w:color w:val="000000" w:themeColor="text1"/>
          <w:lang w:eastAsia="es-MX"/>
        </w:rPr>
        <w:t xml:space="preserve">sino que ayuda al bienestar de la familia y materializa el deber de corresponsabilidad. </w:t>
      </w:r>
      <w:r w:rsidRPr="005304B4">
        <w:rPr>
          <w:color w:val="000000" w:themeColor="text1"/>
          <w:lang w:eastAsia="es-MX"/>
        </w:rPr>
        <w:t xml:space="preserve">Es por ello </w:t>
      </w:r>
      <w:r w:rsidR="00813A2B" w:rsidRPr="005304B4">
        <w:rPr>
          <w:color w:val="000000" w:themeColor="text1"/>
          <w:lang w:eastAsia="es-MX"/>
        </w:rPr>
        <w:t>por lo que</w:t>
      </w:r>
      <w:r w:rsidRPr="005304B4">
        <w:rPr>
          <w:color w:val="000000" w:themeColor="text1"/>
          <w:lang w:eastAsia="es-MX"/>
        </w:rPr>
        <w:t xml:space="preserve"> esta Corporación ha construido una línea de manera progresiva y ha promovido los principales cambios normativos dirigidos a garantizar </w:t>
      </w:r>
      <w:r w:rsidR="0016458A" w:rsidRPr="005304B4">
        <w:rPr>
          <w:color w:val="000000" w:themeColor="text1"/>
          <w:lang w:eastAsia="es-MX"/>
        </w:rPr>
        <w:t>la progenitura responsable</w:t>
      </w:r>
      <w:r w:rsidR="0016458A" w:rsidRPr="005304B4">
        <w:rPr>
          <w:rStyle w:val="Refdenotaalpie"/>
          <w:color w:val="000000" w:themeColor="text1"/>
          <w:lang w:eastAsia="es-MX"/>
        </w:rPr>
        <w:footnoteReference w:id="152"/>
      </w:r>
      <w:r w:rsidR="0016458A" w:rsidRPr="005304B4">
        <w:rPr>
          <w:color w:val="000000" w:themeColor="text1"/>
          <w:lang w:eastAsia="es-MX"/>
        </w:rPr>
        <w:t xml:space="preserve">. </w:t>
      </w:r>
    </w:p>
    <w:p w14:paraId="5ED34766" w14:textId="77777777" w:rsidR="00EA6942" w:rsidRPr="005304B4" w:rsidRDefault="00EA6942" w:rsidP="00EA6942">
      <w:pPr>
        <w:pStyle w:val="Prrafodelista"/>
      </w:pPr>
    </w:p>
    <w:p w14:paraId="7D22ABF8" w14:textId="0788CE55" w:rsidR="00E228D9" w:rsidRPr="005304B4" w:rsidRDefault="00BB62DA" w:rsidP="00E228D9">
      <w:pPr>
        <w:pStyle w:val="Prrafodelista"/>
        <w:numPr>
          <w:ilvl w:val="0"/>
          <w:numId w:val="40"/>
        </w:numPr>
        <w:tabs>
          <w:tab w:val="left" w:pos="284"/>
          <w:tab w:val="left" w:pos="426"/>
        </w:tabs>
        <w:ind w:left="0" w:firstLine="0"/>
        <w:rPr>
          <w:color w:val="000000" w:themeColor="text1"/>
          <w:lang w:eastAsia="es-MX"/>
        </w:rPr>
      </w:pPr>
      <w:r w:rsidRPr="005304B4">
        <w:t xml:space="preserve">Las primeras decisiones de la Corte Constitucional sobre la licencia de paternidad, especialmente las </w:t>
      </w:r>
      <w:r w:rsidR="00A35111" w:rsidRPr="005304B4">
        <w:t>s</w:t>
      </w:r>
      <w:r w:rsidRPr="005304B4">
        <w:t>entencias C-152 de 2003 y C-273 de 2003, destacaron que esta prerrogativa no</w:t>
      </w:r>
      <w:r w:rsidR="00EA6942" w:rsidRPr="005304B4">
        <w:t xml:space="preserve"> solo</w:t>
      </w:r>
      <w:r w:rsidRPr="005304B4">
        <w:t xml:space="preserve"> busca que</w:t>
      </w:r>
      <w:r w:rsidR="00EA6942" w:rsidRPr="005304B4">
        <w:t xml:space="preserve"> el padre</w:t>
      </w:r>
      <w:r w:rsidRPr="005304B4">
        <w:t xml:space="preserve"> participe en la crianza y el cuidado </w:t>
      </w:r>
      <w:r w:rsidR="006A14D1" w:rsidRPr="005304B4">
        <w:t>de sus hijos</w:t>
      </w:r>
      <w:r w:rsidRPr="005304B4">
        <w:t xml:space="preserve">, </w:t>
      </w:r>
      <w:r w:rsidR="00EA6942" w:rsidRPr="005304B4">
        <w:t xml:space="preserve">sino </w:t>
      </w:r>
      <w:r w:rsidRPr="005304B4">
        <w:t xml:space="preserve">fortalecer </w:t>
      </w:r>
      <w:r w:rsidR="00EA6942" w:rsidRPr="005304B4">
        <w:t>su</w:t>
      </w:r>
      <w:r w:rsidRPr="005304B4">
        <w:t xml:space="preserve"> presencia activa y afectiva</w:t>
      </w:r>
      <w:r w:rsidR="00EA6942" w:rsidRPr="005304B4">
        <w:t xml:space="preserve"> </w:t>
      </w:r>
      <w:r w:rsidRPr="005304B4">
        <w:t>y garantiza</w:t>
      </w:r>
      <w:r w:rsidR="00727E49" w:rsidRPr="005304B4">
        <w:t xml:space="preserve">r </w:t>
      </w:r>
      <w:r w:rsidRPr="005304B4">
        <w:t>l</w:t>
      </w:r>
      <w:r w:rsidR="00A04B3B" w:rsidRPr="005304B4">
        <w:t>a</w:t>
      </w:r>
      <w:r w:rsidRPr="005304B4">
        <w:t xml:space="preserve"> </w:t>
      </w:r>
      <w:r w:rsidR="00EA6942" w:rsidRPr="005304B4">
        <w:t>protección integral</w:t>
      </w:r>
      <w:r w:rsidRPr="005304B4">
        <w:t xml:space="preserve"> de la niñez. Para la Corte, la participación comprometida del padre no solo contribuye al desarrollo integral del hijo, sino que brinda soporte emocional a la madre</w:t>
      </w:r>
      <w:r w:rsidR="006A14D1" w:rsidRPr="005304B4">
        <w:t>,</w:t>
      </w:r>
      <w:r w:rsidRPr="005304B4">
        <w:t xml:space="preserve"> lo que propende por el bienestar familiar</w:t>
      </w:r>
      <w:r w:rsidR="00EA6942" w:rsidRPr="005304B4">
        <w:t xml:space="preserve">. Además, la finalidad de esta licencia </w:t>
      </w:r>
      <w:r w:rsidR="008B1987" w:rsidRPr="005304B4">
        <w:t xml:space="preserve">no </w:t>
      </w:r>
      <w:r w:rsidR="00EA6942" w:rsidRPr="005304B4">
        <w:t xml:space="preserve">se pensó como un premio para el trabajador, sino como una manera de asegurar el cuidado y el amor paterno. </w:t>
      </w:r>
      <w:r w:rsidR="002568B3" w:rsidRPr="005304B4">
        <w:t>La Sentencia C-174 de 2009, reiteró esta finalidad</w:t>
      </w:r>
      <w:r w:rsidR="00A073E8" w:rsidRPr="005304B4">
        <w:t xml:space="preserve">. </w:t>
      </w:r>
    </w:p>
    <w:p w14:paraId="362C4986" w14:textId="77777777" w:rsidR="00E228D9" w:rsidRPr="005304B4" w:rsidRDefault="00E228D9" w:rsidP="00BE49A9">
      <w:pPr>
        <w:rPr>
          <w:color w:val="000000" w:themeColor="text1"/>
          <w:sz w:val="28"/>
          <w:szCs w:val="28"/>
        </w:rPr>
      </w:pPr>
    </w:p>
    <w:p w14:paraId="32D4B450" w14:textId="04E0314D" w:rsidR="001D4D34" w:rsidRPr="005304B4" w:rsidRDefault="00E228D9" w:rsidP="001D4D34">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Con la Sentencia C-383 de 2012, la Sala Plena destacó que la licencia de paternidad</w:t>
      </w:r>
      <w:r w:rsidR="001D4D34" w:rsidRPr="005304B4">
        <w:rPr>
          <w:color w:val="000000" w:themeColor="text1"/>
          <w:lang w:eastAsia="es-MX"/>
        </w:rPr>
        <w:t xml:space="preserve"> es una garantía del pleno ejercicio de los derechos fundamentales de </w:t>
      </w:r>
      <w:r w:rsidR="006A14D1" w:rsidRPr="005304B4">
        <w:rPr>
          <w:color w:val="000000" w:themeColor="text1"/>
          <w:lang w:eastAsia="es-MX"/>
        </w:rPr>
        <w:t>la niñez</w:t>
      </w:r>
      <w:r w:rsidR="001D4D34" w:rsidRPr="005304B4">
        <w:rPr>
          <w:color w:val="000000" w:themeColor="text1"/>
          <w:lang w:eastAsia="es-MX"/>
        </w:rPr>
        <w:t>, especialmente, el de recibir cuidado. Precisó, además que</w:t>
      </w:r>
      <w:r w:rsidR="00D44E58" w:rsidRPr="005304B4">
        <w:rPr>
          <w:color w:val="000000" w:themeColor="text1"/>
          <w:lang w:eastAsia="es-MX"/>
        </w:rPr>
        <w:t xml:space="preserve"> </w:t>
      </w:r>
      <w:r w:rsidRPr="005304B4">
        <w:rPr>
          <w:color w:val="000000" w:themeColor="text1"/>
          <w:lang w:eastAsia="es-MX"/>
        </w:rPr>
        <w:t>(i) tiene fundamento en el principio del interés superior de los niños y niñas</w:t>
      </w:r>
      <w:r w:rsidR="006A14D1" w:rsidRPr="005304B4">
        <w:rPr>
          <w:color w:val="000000" w:themeColor="text1"/>
          <w:lang w:eastAsia="es-MX"/>
        </w:rPr>
        <w:t>,</w:t>
      </w:r>
      <w:r w:rsidRPr="005304B4">
        <w:rPr>
          <w:color w:val="000000" w:themeColor="text1"/>
          <w:lang w:eastAsia="es-MX"/>
        </w:rPr>
        <w:t xml:space="preserve"> y en sus derechos a la salud y a la familia, así como la equidad de género y la seguridad social; (ii)</w:t>
      </w:r>
      <w:r w:rsidR="00D44E58" w:rsidRPr="005304B4">
        <w:rPr>
          <w:color w:val="000000" w:themeColor="text1"/>
          <w:lang w:eastAsia="es-MX"/>
        </w:rPr>
        <w:t xml:space="preserve"> </w:t>
      </w:r>
      <w:r w:rsidRPr="005304B4">
        <w:rPr>
          <w:color w:val="000000" w:themeColor="text1"/>
          <w:lang w:eastAsia="es-MX"/>
        </w:rPr>
        <w:t>es un derecho fundamental del padre</w:t>
      </w:r>
      <w:r w:rsidR="006A14D1" w:rsidRPr="005304B4">
        <w:rPr>
          <w:color w:val="000000" w:themeColor="text1"/>
          <w:lang w:eastAsia="es-MX"/>
        </w:rPr>
        <w:t xml:space="preserve"> biológico o adoptante</w:t>
      </w:r>
      <w:r w:rsidRPr="005304B4">
        <w:rPr>
          <w:color w:val="000000" w:themeColor="text1"/>
          <w:lang w:eastAsia="es-MX"/>
        </w:rPr>
        <w:t>; (iii)</w:t>
      </w:r>
      <w:r w:rsidR="00D44E58" w:rsidRPr="005304B4">
        <w:rPr>
          <w:color w:val="000000" w:themeColor="text1"/>
          <w:lang w:eastAsia="es-MX"/>
        </w:rPr>
        <w:t xml:space="preserve"> </w:t>
      </w:r>
      <w:r w:rsidRPr="005304B4">
        <w:rPr>
          <w:color w:val="000000" w:themeColor="text1"/>
          <w:lang w:eastAsia="es-MX"/>
        </w:rPr>
        <w:t>se sustenta en un nuevo concepto de paternidad, que destaca la transcendental importancia de la presencia y del papel activo, consciente, responsable, participativo y permanente del padre</w:t>
      </w:r>
      <w:r w:rsidR="00A073E8" w:rsidRPr="005304B4">
        <w:rPr>
          <w:color w:val="000000" w:themeColor="text1"/>
          <w:lang w:eastAsia="es-MX"/>
        </w:rPr>
        <w:t xml:space="preserve">, </w:t>
      </w:r>
      <w:r w:rsidRPr="005304B4">
        <w:rPr>
          <w:color w:val="000000" w:themeColor="text1"/>
          <w:lang w:eastAsia="es-MX"/>
        </w:rPr>
        <w:t xml:space="preserve">y (iv) su finalidad es garantizar el interés superior del </w:t>
      </w:r>
      <w:r w:rsidR="006A14D1" w:rsidRPr="005304B4">
        <w:rPr>
          <w:color w:val="000000" w:themeColor="text1"/>
          <w:lang w:eastAsia="es-MX"/>
        </w:rPr>
        <w:t>niño</w:t>
      </w:r>
      <w:r w:rsidRPr="005304B4">
        <w:rPr>
          <w:color w:val="000000" w:themeColor="text1"/>
          <w:lang w:eastAsia="es-MX"/>
        </w:rPr>
        <w:t xml:space="preserve"> y el pleno goce efectivo de sus derechos, especialmente al cuidado y al amor</w:t>
      </w:r>
      <w:r w:rsidR="006A14D1" w:rsidRPr="005304B4">
        <w:rPr>
          <w:color w:val="000000" w:themeColor="text1"/>
          <w:lang w:eastAsia="es-MX"/>
        </w:rPr>
        <w:t xml:space="preserve"> en condiciones de igualdad</w:t>
      </w:r>
      <w:r w:rsidR="00E3352E" w:rsidRPr="005304B4">
        <w:rPr>
          <w:rStyle w:val="Refdenotaalpie"/>
          <w:color w:val="000000" w:themeColor="text1"/>
          <w:lang w:eastAsia="es-MX"/>
        </w:rPr>
        <w:footnoteReference w:id="153"/>
      </w:r>
      <w:r w:rsidR="00E3352E" w:rsidRPr="005304B4">
        <w:rPr>
          <w:color w:val="000000" w:themeColor="text1"/>
          <w:lang w:eastAsia="es-MX"/>
        </w:rPr>
        <w:t>.</w:t>
      </w:r>
    </w:p>
    <w:p w14:paraId="282225EE" w14:textId="77777777" w:rsidR="000C13F8" w:rsidRPr="005304B4" w:rsidRDefault="000C13F8" w:rsidP="000C13F8">
      <w:pPr>
        <w:pStyle w:val="Prrafodelista"/>
        <w:rPr>
          <w:color w:val="000000" w:themeColor="text1"/>
          <w:lang w:eastAsia="es-MX"/>
        </w:rPr>
      </w:pPr>
    </w:p>
    <w:p w14:paraId="2C1DFE05" w14:textId="79D284F7" w:rsidR="002568B3" w:rsidRPr="005304B4" w:rsidRDefault="000C13F8" w:rsidP="00264629">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Posteriormente</w:t>
      </w:r>
      <w:r w:rsidR="00241AD4" w:rsidRPr="005304B4">
        <w:rPr>
          <w:color w:val="000000" w:themeColor="text1"/>
          <w:lang w:eastAsia="es-MX"/>
        </w:rPr>
        <w:t>,</w:t>
      </w:r>
      <w:r w:rsidRPr="005304B4">
        <w:rPr>
          <w:color w:val="000000" w:themeColor="text1"/>
          <w:lang w:eastAsia="es-MX"/>
        </w:rPr>
        <w:t xml:space="preserve"> la Sentencia C-140 de 2018, profundizó en el alcance constitucional de la licencia de paternidad</w:t>
      </w:r>
      <w:r w:rsidR="002568B3" w:rsidRPr="005304B4">
        <w:rPr>
          <w:color w:val="000000" w:themeColor="text1"/>
          <w:lang w:eastAsia="es-MX"/>
        </w:rPr>
        <w:t xml:space="preserve">. En esta ocasión, la </w:t>
      </w:r>
      <w:r w:rsidRPr="005304B4">
        <w:rPr>
          <w:color w:val="000000" w:themeColor="text1"/>
          <w:lang w:eastAsia="es-MX"/>
        </w:rPr>
        <w:t xml:space="preserve">Sala Plena explicó que este beneficio no se limita a materializar el interés superior del </w:t>
      </w:r>
      <w:r w:rsidR="006A14D1" w:rsidRPr="005304B4">
        <w:rPr>
          <w:color w:val="000000" w:themeColor="text1"/>
          <w:lang w:eastAsia="es-MX"/>
        </w:rPr>
        <w:t>niño</w:t>
      </w:r>
      <w:r w:rsidRPr="005304B4">
        <w:rPr>
          <w:color w:val="000000" w:themeColor="text1"/>
          <w:lang w:eastAsia="es-MX"/>
        </w:rPr>
        <w:t>, ni a garantizar su derecho al cuidado y al amor, sino que además se fundamenta en la dignidad humana del padre, en su derecho a conformar una familia, y en su libertad, autonomía y libre desarrollo de la personalidad.</w:t>
      </w:r>
      <w:r w:rsidR="00E3352E" w:rsidRPr="005304B4">
        <w:rPr>
          <w:color w:val="000000" w:themeColor="text1"/>
          <w:lang w:eastAsia="es-MX"/>
        </w:rPr>
        <w:t xml:space="preserve"> </w:t>
      </w:r>
    </w:p>
    <w:p w14:paraId="4463B25B" w14:textId="77777777" w:rsidR="006A14D1" w:rsidRPr="005304B4" w:rsidRDefault="006A14D1" w:rsidP="006A14D1">
      <w:pPr>
        <w:pStyle w:val="Prrafodelista"/>
        <w:tabs>
          <w:tab w:val="left" w:pos="284"/>
          <w:tab w:val="left" w:pos="426"/>
        </w:tabs>
        <w:ind w:left="0"/>
        <w:rPr>
          <w:color w:val="000000" w:themeColor="text1"/>
          <w:lang w:eastAsia="es-MX"/>
        </w:rPr>
      </w:pPr>
    </w:p>
    <w:p w14:paraId="69A8C701" w14:textId="25F8019C" w:rsidR="006A14D1" w:rsidRPr="005304B4" w:rsidRDefault="006A14D1" w:rsidP="006A14D1">
      <w:pPr>
        <w:pStyle w:val="Prrafodelista"/>
        <w:numPr>
          <w:ilvl w:val="0"/>
          <w:numId w:val="40"/>
        </w:numPr>
        <w:tabs>
          <w:tab w:val="left" w:pos="284"/>
          <w:tab w:val="left" w:pos="426"/>
        </w:tabs>
        <w:ind w:left="0" w:firstLine="0"/>
        <w:rPr>
          <w:color w:val="000000" w:themeColor="text1"/>
          <w:lang w:eastAsia="es-MX"/>
        </w:rPr>
      </w:pPr>
      <w:r w:rsidRPr="005304B4">
        <w:t>Al igual que ocurrió con la licencia de maternidad, el tiempo reconocido para la licencia de paternidad también ha sido objeto de una ampliación progresiva. En un comienzo, la Ley 50 de 1990 permitía que el padre asumiera una de las doce semanas de la licencia de la madre. Posteriormente, se avanzó hacia un reconocimiento autónomo de este derecho, otorgándole al padre ocho días de licencia propios, sin afectar el tiempo de descanso otorgado a la mujer gestante o adoptante. Más adelante, con la expedición de la Ley 2114 de 2021, la licencia de paternidad se amplió en duración a dos semanas remuneradas, se extendió su reconocimiento al padre adoptante y se crearon las figuras de la “licencia parental compartida” y la “licencia parental flexible de tiempo parcial”, orientadas a fomentar la corresponsabilidad en las labores de cuidado.</w:t>
      </w:r>
    </w:p>
    <w:p w14:paraId="0AE754A6" w14:textId="77777777" w:rsidR="006A14D1" w:rsidRPr="005304B4" w:rsidRDefault="006A14D1" w:rsidP="006A14D1">
      <w:pPr>
        <w:pStyle w:val="Prrafodelista"/>
        <w:rPr>
          <w:color w:val="000000" w:themeColor="text1"/>
          <w:lang w:eastAsia="es-MX"/>
        </w:rPr>
      </w:pPr>
    </w:p>
    <w:p w14:paraId="67A70B44" w14:textId="6C9B02A2" w:rsidR="006A14D1" w:rsidRPr="005304B4" w:rsidRDefault="006A14D1" w:rsidP="006A14D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En suma, la licencia de paternidad está dirigida a todas las personas que ejerzan el rol de padres</w:t>
      </w:r>
      <w:r w:rsidRPr="005304B4">
        <w:rPr>
          <w:rStyle w:val="Refdenotaalpie"/>
          <w:color w:val="000000" w:themeColor="text1"/>
          <w:lang w:eastAsia="es-MX"/>
        </w:rPr>
        <w:footnoteReference w:id="154"/>
      </w:r>
      <w:r w:rsidRPr="005304B4">
        <w:rPr>
          <w:color w:val="000000" w:themeColor="text1"/>
          <w:lang w:eastAsia="es-MX"/>
        </w:rPr>
        <w:t xml:space="preserve">, ya sean biológicos o adoptantes. Además, permite (i) afianzar las relaciones paternofiliales; (ii) </w:t>
      </w:r>
      <w:r w:rsidRPr="005304B4">
        <w:t>fortalece el compromiso efectivo del padre en el ejercicio de su paternidad dentro de un entorno que favorezca el pleno desarrollo físico y emocional de la niña o el niño</w:t>
      </w:r>
      <w:r w:rsidRPr="005304B4">
        <w:rPr>
          <w:rStyle w:val="Refdenotaalpie"/>
          <w:color w:val="000000" w:themeColor="text1"/>
          <w:lang w:eastAsia="es-MX"/>
        </w:rPr>
        <w:footnoteReference w:id="155"/>
      </w:r>
      <w:r w:rsidRPr="005304B4">
        <w:rPr>
          <w:color w:val="000000" w:themeColor="text1"/>
          <w:lang w:eastAsia="es-MX"/>
        </w:rPr>
        <w:t xml:space="preserve">, y (iii) </w:t>
      </w:r>
      <w:r w:rsidRPr="005304B4">
        <w:t>garantiza su participación en la distribución de las responsabilidades familiares al interior del hogar, con el fin de equilibrar las cargas que históricamente han recaído de manera desproporcionada sobre la mujer. En este sentido, esta licencia constituye una herramienta para promover el principio de igualdad y no discriminación, y materializa el deber de corresponsabilidad en las tareas de cuidado, al reconocer que estas deben ser asumidas de manera conjunta y equitativa por ambos progenitores.</w:t>
      </w:r>
    </w:p>
    <w:p w14:paraId="74C660A3" w14:textId="77777777" w:rsidR="00941B18" w:rsidRPr="005304B4" w:rsidRDefault="00941B18" w:rsidP="006A14D1">
      <w:pPr>
        <w:rPr>
          <w:color w:val="000000" w:themeColor="text1"/>
          <w:sz w:val="28"/>
          <w:szCs w:val="28"/>
        </w:rPr>
      </w:pPr>
    </w:p>
    <w:p w14:paraId="206E7B5D" w14:textId="45A61298" w:rsidR="008E6295" w:rsidRPr="005304B4" w:rsidRDefault="006A14D1" w:rsidP="006143C7">
      <w:pPr>
        <w:pStyle w:val="Prrafodelista"/>
        <w:numPr>
          <w:ilvl w:val="0"/>
          <w:numId w:val="40"/>
        </w:numPr>
        <w:tabs>
          <w:tab w:val="left" w:pos="284"/>
          <w:tab w:val="left" w:pos="426"/>
        </w:tabs>
        <w:ind w:left="0" w:firstLine="0"/>
        <w:rPr>
          <w:color w:val="000000" w:themeColor="text1"/>
          <w:lang w:eastAsia="es-MX"/>
        </w:rPr>
      </w:pPr>
      <w:r w:rsidRPr="005304B4">
        <w:rPr>
          <w:i/>
          <w:iCs/>
        </w:rPr>
        <w:t xml:space="preserve">La protección de las familias diversas. </w:t>
      </w:r>
      <w:r w:rsidR="006143C7" w:rsidRPr="005304B4">
        <w:t xml:space="preserve">En los últimos años, la Corte Constitucional, con el propósito de superar la discriminación normativa en las regulaciones familiares, ha ampliado de manera significativa el alcance de protección de las licencias parentales, en congruencia con el principio de igualdad (art. 13 de la C.P.). </w:t>
      </w:r>
      <w:r w:rsidRPr="005304B4">
        <w:t xml:space="preserve">En tal sentido, ha tomado pasos para garantizar el acceso equitativo a las familias </w:t>
      </w:r>
      <w:r w:rsidR="0045625A" w:rsidRPr="005304B4">
        <w:t>integradas por parejas del mismo sexo o cuyos integrantes tienen identidades sexo-genéricas no normativas. Así, e</w:t>
      </w:r>
      <w:r w:rsidR="006143C7" w:rsidRPr="005304B4">
        <w:t>n la Sentencia C-415 de 2022, la Sala Plena concluyó que la Ley 2114 de 2021</w:t>
      </w:r>
      <w:r w:rsidR="008E6295" w:rsidRPr="005304B4">
        <w:rPr>
          <w:rStyle w:val="Refdenotaalpie"/>
        </w:rPr>
        <w:footnoteReference w:id="156"/>
      </w:r>
      <w:r w:rsidR="006143C7" w:rsidRPr="005304B4">
        <w:t xml:space="preserve"> </w:t>
      </w:r>
      <w:r w:rsidRPr="005304B4">
        <w:t>omitió incluir en la regulación de</w:t>
      </w:r>
      <w:r w:rsidR="006143C7" w:rsidRPr="005304B4">
        <w:t xml:space="preserve"> las licencias parentales a las parejas adoptantes del mismo sexo y recordó que dichas licencias, por parto o adopción, tienen como finalidad proteger a la niñez y promover la igualdad </w:t>
      </w:r>
      <w:r w:rsidRPr="005304B4">
        <w:t>de género.</w:t>
      </w:r>
    </w:p>
    <w:p w14:paraId="497F630B" w14:textId="77777777" w:rsidR="008E6295" w:rsidRPr="005304B4" w:rsidRDefault="008E6295" w:rsidP="008E6295">
      <w:pPr>
        <w:pStyle w:val="Prrafodelista"/>
      </w:pPr>
    </w:p>
    <w:p w14:paraId="72919E58" w14:textId="4152CC25" w:rsidR="006143C7" w:rsidRPr="005304B4" w:rsidRDefault="006143C7" w:rsidP="006143C7">
      <w:pPr>
        <w:pStyle w:val="Prrafodelista"/>
        <w:numPr>
          <w:ilvl w:val="0"/>
          <w:numId w:val="40"/>
        </w:numPr>
        <w:tabs>
          <w:tab w:val="left" w:pos="284"/>
          <w:tab w:val="left" w:pos="426"/>
        </w:tabs>
        <w:ind w:left="0" w:firstLine="0"/>
        <w:rPr>
          <w:color w:val="000000" w:themeColor="text1"/>
          <w:lang w:eastAsia="es-MX"/>
        </w:rPr>
      </w:pPr>
      <w:r w:rsidRPr="005304B4">
        <w:t xml:space="preserve"> En consecuencia, condicionó el artículo 2° de esa ley en el sentido de que las parejas adoptantes homoparentales pueden escoger, por una sola vez, cuál de sus integrantes asumirá la licencia de maternidad y cuál la de paternidad, con el fin de asegurar un acceso igualitario a los beneficios parentales y evitar la reproducción de estereotipos de género en la crianza.</w:t>
      </w:r>
    </w:p>
    <w:p w14:paraId="0A7CA340" w14:textId="77777777" w:rsidR="0045625A" w:rsidRPr="005304B4" w:rsidRDefault="0045625A" w:rsidP="0045625A">
      <w:pPr>
        <w:pStyle w:val="Prrafodelista"/>
        <w:tabs>
          <w:tab w:val="left" w:pos="284"/>
          <w:tab w:val="left" w:pos="426"/>
        </w:tabs>
        <w:ind w:left="0"/>
        <w:rPr>
          <w:color w:val="000000" w:themeColor="text1"/>
          <w:lang w:eastAsia="es-MX"/>
        </w:rPr>
      </w:pPr>
    </w:p>
    <w:p w14:paraId="7863FDD4" w14:textId="0A3FD24A" w:rsidR="0045625A" w:rsidRPr="005304B4" w:rsidRDefault="0045625A" w:rsidP="0045625A">
      <w:pPr>
        <w:pStyle w:val="Prrafodelista"/>
        <w:numPr>
          <w:ilvl w:val="0"/>
          <w:numId w:val="40"/>
        </w:numPr>
        <w:tabs>
          <w:tab w:val="left" w:pos="284"/>
          <w:tab w:val="left" w:pos="426"/>
        </w:tabs>
        <w:ind w:left="0" w:firstLine="0"/>
        <w:rPr>
          <w:color w:val="000000" w:themeColor="text1"/>
          <w:lang w:eastAsia="es-MX"/>
        </w:rPr>
      </w:pPr>
      <w:r w:rsidRPr="005304B4">
        <w:t>En la misma línea, la Corte Constitucional reconoció que las normas en esta materia aún siguen siendo heteronormativas y generan desigualdades negativas para las familias diversas. A esta conclusión llegó la Sala Plena en la Sentencia C-324 de 2023, debido a que las leyes sobre la</w:t>
      </w:r>
      <w:r w:rsidR="00A04B3B" w:rsidRPr="005304B4">
        <w:t>s</w:t>
      </w:r>
      <w:r w:rsidRPr="005304B4">
        <w:t xml:space="preserve"> licencias en época de parto no abarcaban a los hombres trans y personas género no binario que se encuentran en las mismas circunstancias que las madres gestantes y adoptantes y desempeñan el mismo papel parental y de cuidado, pese a que no se identifican como mujeres. En ese sentido, extendió las licencias en época de parto a estos grupos poblacionales.</w:t>
      </w:r>
    </w:p>
    <w:p w14:paraId="29ACBECB" w14:textId="0FE4D32D" w:rsidR="00D721C7" w:rsidRPr="005304B4" w:rsidRDefault="00D721C7" w:rsidP="006A14D1">
      <w:pPr>
        <w:pStyle w:val="Prrafodelista"/>
        <w:tabs>
          <w:tab w:val="left" w:pos="284"/>
          <w:tab w:val="left" w:pos="426"/>
        </w:tabs>
        <w:ind w:left="0"/>
        <w:rPr>
          <w:color w:val="000000" w:themeColor="text1"/>
          <w:lang w:eastAsia="es-MX"/>
        </w:rPr>
      </w:pPr>
    </w:p>
    <w:p w14:paraId="06CE0BF1" w14:textId="69167C36" w:rsidR="00D721C7" w:rsidRPr="005304B4" w:rsidRDefault="006E7C0B" w:rsidP="00A239ED">
      <w:pPr>
        <w:pStyle w:val="Prrafodelista"/>
        <w:numPr>
          <w:ilvl w:val="0"/>
          <w:numId w:val="40"/>
        </w:numPr>
        <w:tabs>
          <w:tab w:val="left" w:pos="284"/>
          <w:tab w:val="left" w:pos="426"/>
        </w:tabs>
        <w:ind w:left="0" w:firstLine="0"/>
        <w:rPr>
          <w:color w:val="000000" w:themeColor="text1"/>
          <w:lang w:eastAsia="es-MX"/>
        </w:rPr>
      </w:pPr>
      <w:r w:rsidRPr="005304B4">
        <w:rPr>
          <w:i/>
          <w:iCs/>
          <w:color w:val="000000" w:themeColor="text1"/>
          <w:lang w:eastAsia="es-MX"/>
        </w:rPr>
        <w:t>Conclusión</w:t>
      </w:r>
      <w:r w:rsidR="0045625A" w:rsidRPr="005304B4">
        <w:rPr>
          <w:i/>
          <w:iCs/>
          <w:color w:val="000000" w:themeColor="text1"/>
          <w:lang w:eastAsia="es-MX"/>
        </w:rPr>
        <w:t>.</w:t>
      </w:r>
      <w:r w:rsidR="0045625A" w:rsidRPr="005304B4">
        <w:rPr>
          <w:color w:val="000000" w:themeColor="text1"/>
          <w:lang w:eastAsia="es-MX"/>
        </w:rPr>
        <w:t xml:space="preserve"> </w:t>
      </w:r>
      <w:r w:rsidR="00D721C7" w:rsidRPr="005304B4">
        <w:rPr>
          <w:color w:val="000000" w:themeColor="text1"/>
          <w:lang w:eastAsia="es-MX"/>
        </w:rPr>
        <w:t>E</w:t>
      </w:r>
      <w:r w:rsidR="00B8118F" w:rsidRPr="005304B4">
        <w:rPr>
          <w:color w:val="000000" w:themeColor="text1"/>
          <w:lang w:eastAsia="es-MX"/>
        </w:rPr>
        <w:t>sta</w:t>
      </w:r>
      <w:r w:rsidR="00850EF8" w:rsidRPr="005304B4">
        <w:rPr>
          <w:color w:val="000000" w:themeColor="text1"/>
          <w:lang w:eastAsia="es-MX"/>
        </w:rPr>
        <w:t>s</w:t>
      </w:r>
      <w:r w:rsidR="00B8118F" w:rsidRPr="005304B4">
        <w:rPr>
          <w:color w:val="000000" w:themeColor="text1"/>
          <w:lang w:eastAsia="es-MX"/>
        </w:rPr>
        <w:t xml:space="preserve"> </w:t>
      </w:r>
      <w:r w:rsidR="00D721C7" w:rsidRPr="005304B4">
        <w:rPr>
          <w:color w:val="000000" w:themeColor="text1"/>
          <w:lang w:eastAsia="es-MX"/>
        </w:rPr>
        <w:t>determinaciones relativas a las licencias de maternidad y paternidad dan cuenta de elementos transversales</w:t>
      </w:r>
      <w:r w:rsidR="0045625A" w:rsidRPr="005304B4">
        <w:rPr>
          <w:color w:val="000000" w:themeColor="text1"/>
          <w:lang w:eastAsia="es-MX"/>
        </w:rPr>
        <w:t>. En particular, estas prestaciones</w:t>
      </w:r>
      <w:r w:rsidR="00D721C7" w:rsidRPr="005304B4">
        <w:rPr>
          <w:color w:val="000000" w:themeColor="text1"/>
          <w:lang w:eastAsia="es-MX"/>
        </w:rPr>
        <w:t xml:space="preserve"> se dirigen </w:t>
      </w:r>
      <w:r w:rsidR="0045625A" w:rsidRPr="005304B4">
        <w:rPr>
          <w:color w:val="000000" w:themeColor="text1"/>
          <w:lang w:eastAsia="es-MX"/>
        </w:rPr>
        <w:t xml:space="preserve">de manera principal </w:t>
      </w:r>
      <w:r w:rsidR="00D721C7" w:rsidRPr="005304B4">
        <w:rPr>
          <w:color w:val="000000" w:themeColor="text1"/>
          <w:lang w:eastAsia="es-MX"/>
        </w:rPr>
        <w:t>a proteger a la niñez y</w:t>
      </w:r>
      <w:r w:rsidR="0045625A" w:rsidRPr="005304B4">
        <w:rPr>
          <w:color w:val="000000" w:themeColor="text1"/>
          <w:lang w:eastAsia="es-MX"/>
        </w:rPr>
        <w:t>,</w:t>
      </w:r>
      <w:r w:rsidR="00D721C7" w:rsidRPr="005304B4">
        <w:rPr>
          <w:color w:val="000000" w:themeColor="text1"/>
          <w:lang w:eastAsia="es-MX"/>
        </w:rPr>
        <w:t xml:space="preserve"> especialmente</w:t>
      </w:r>
      <w:r w:rsidR="0045625A" w:rsidRPr="005304B4">
        <w:rPr>
          <w:color w:val="000000" w:themeColor="text1"/>
          <w:lang w:eastAsia="es-MX"/>
        </w:rPr>
        <w:t>,</w:t>
      </w:r>
      <w:r w:rsidR="00D721C7" w:rsidRPr="005304B4">
        <w:rPr>
          <w:color w:val="000000" w:themeColor="text1"/>
          <w:lang w:eastAsia="es-MX"/>
        </w:rPr>
        <w:t xml:space="preserve"> </w:t>
      </w:r>
      <w:r w:rsidR="0045625A" w:rsidRPr="005304B4">
        <w:rPr>
          <w:color w:val="000000" w:themeColor="text1"/>
          <w:lang w:eastAsia="es-MX"/>
        </w:rPr>
        <w:t xml:space="preserve">a velar por el bienestar </w:t>
      </w:r>
      <w:r w:rsidR="00D721C7" w:rsidRPr="005304B4">
        <w:rPr>
          <w:color w:val="000000" w:themeColor="text1"/>
          <w:lang w:eastAsia="es-MX"/>
        </w:rPr>
        <w:t>del recién nacido</w:t>
      </w:r>
      <w:r w:rsidR="0045625A" w:rsidRPr="005304B4">
        <w:rPr>
          <w:color w:val="000000" w:themeColor="text1"/>
          <w:lang w:eastAsia="es-MX"/>
        </w:rPr>
        <w:t xml:space="preserve"> o del hijo adoptivo durante la primera etapa de integración al núcleo familiar</w:t>
      </w:r>
      <w:r w:rsidR="00D721C7" w:rsidRPr="005304B4">
        <w:rPr>
          <w:rStyle w:val="Refdenotaalpie"/>
          <w:color w:val="000000" w:themeColor="text1"/>
          <w:lang w:eastAsia="es-MX"/>
        </w:rPr>
        <w:footnoteReference w:id="157"/>
      </w:r>
      <w:r w:rsidR="00D721C7" w:rsidRPr="005304B4">
        <w:rPr>
          <w:color w:val="000000" w:themeColor="text1"/>
          <w:lang w:eastAsia="es-MX"/>
        </w:rPr>
        <w:t>.</w:t>
      </w:r>
      <w:r w:rsidR="0045625A" w:rsidRPr="005304B4">
        <w:rPr>
          <w:color w:val="000000" w:themeColor="text1"/>
          <w:lang w:eastAsia="es-MX"/>
        </w:rPr>
        <w:t xml:space="preserve"> Adicionalmente, en el caso de</w:t>
      </w:r>
      <w:r w:rsidR="003273A4" w:rsidRPr="005304B4">
        <w:rPr>
          <w:color w:val="000000" w:themeColor="text1"/>
          <w:lang w:eastAsia="es-MX"/>
        </w:rPr>
        <w:t>l nacimiento de un hijo</w:t>
      </w:r>
      <w:r w:rsidR="0045625A" w:rsidRPr="005304B4">
        <w:rPr>
          <w:color w:val="000000" w:themeColor="text1"/>
          <w:lang w:eastAsia="es-MX"/>
        </w:rPr>
        <w:t xml:space="preserve">, estas licencias también juegan un rol esencial para velar por la recuperación de quien ha dado a luz, de tal forma que pueda superar cualquier afectación derivada de los procesos relacionados con el </w:t>
      </w:r>
      <w:r w:rsidR="003273A4" w:rsidRPr="005304B4">
        <w:rPr>
          <w:color w:val="000000" w:themeColor="text1"/>
          <w:lang w:eastAsia="es-MX"/>
        </w:rPr>
        <w:t>emb</w:t>
      </w:r>
      <w:r w:rsidR="00164623" w:rsidRPr="005304B4">
        <w:rPr>
          <w:color w:val="000000" w:themeColor="text1"/>
          <w:lang w:eastAsia="es-MX"/>
        </w:rPr>
        <w:t>a</w:t>
      </w:r>
      <w:r w:rsidR="003273A4" w:rsidRPr="005304B4">
        <w:rPr>
          <w:color w:val="000000" w:themeColor="text1"/>
          <w:lang w:eastAsia="es-MX"/>
        </w:rPr>
        <w:t xml:space="preserve">razo y el </w:t>
      </w:r>
      <w:r w:rsidR="0045625A" w:rsidRPr="005304B4">
        <w:rPr>
          <w:color w:val="000000" w:themeColor="text1"/>
          <w:lang w:eastAsia="es-MX"/>
        </w:rPr>
        <w:t>parto.</w:t>
      </w:r>
    </w:p>
    <w:p w14:paraId="209345FF" w14:textId="77777777" w:rsidR="002840FE" w:rsidRPr="005304B4" w:rsidRDefault="002840FE" w:rsidP="003B376A">
      <w:pPr>
        <w:pStyle w:val="Prrafodelista"/>
        <w:tabs>
          <w:tab w:val="left" w:pos="284"/>
          <w:tab w:val="left" w:pos="426"/>
        </w:tabs>
        <w:ind w:left="0"/>
        <w:rPr>
          <w:color w:val="000000" w:themeColor="text1"/>
          <w:lang w:eastAsia="es-MX"/>
        </w:rPr>
      </w:pPr>
    </w:p>
    <w:p w14:paraId="1897577A" w14:textId="6F2BA4AF" w:rsidR="003B376A" w:rsidRPr="005304B4" w:rsidRDefault="002840FE" w:rsidP="002840FE">
      <w:pPr>
        <w:pStyle w:val="Ttulo2"/>
      </w:pPr>
      <w:bookmarkStart w:id="40" w:name="_Toc224553757"/>
      <w:r w:rsidRPr="005304B4">
        <w:t xml:space="preserve">7. </w:t>
      </w:r>
      <w:r w:rsidR="00AA2DB7" w:rsidRPr="005304B4">
        <w:t>El i</w:t>
      </w:r>
      <w:r w:rsidR="005E7343" w:rsidRPr="005304B4">
        <w:t>nterés superior de los niños, niñas y adolescentes</w:t>
      </w:r>
      <w:r w:rsidR="00D15EB5" w:rsidRPr="005304B4">
        <w:t xml:space="preserve">, sus </w:t>
      </w:r>
      <w:r w:rsidR="00AA2DB7" w:rsidRPr="005304B4">
        <w:t>derecho</w:t>
      </w:r>
      <w:r w:rsidR="00D15EB5" w:rsidRPr="005304B4">
        <w:t xml:space="preserve">s </w:t>
      </w:r>
      <w:r w:rsidR="00AA2DB7" w:rsidRPr="005304B4">
        <w:t>al cuidad</w:t>
      </w:r>
      <w:r w:rsidR="00587480" w:rsidRPr="005304B4">
        <w:t>o y a tener una familia y la adopción como medida de protección</w:t>
      </w:r>
      <w:bookmarkEnd w:id="40"/>
    </w:p>
    <w:p w14:paraId="68BF0894" w14:textId="77777777" w:rsidR="003273A4" w:rsidRPr="005304B4" w:rsidRDefault="003273A4" w:rsidP="003273A4">
      <w:pPr>
        <w:rPr>
          <w:sz w:val="28"/>
          <w:szCs w:val="28"/>
          <w:lang w:eastAsia="es-CO"/>
        </w:rPr>
      </w:pPr>
    </w:p>
    <w:p w14:paraId="42539CC3" w14:textId="4B04DFF8" w:rsidR="00587480" w:rsidRPr="005304B4" w:rsidRDefault="003273A4" w:rsidP="003273A4">
      <w:pPr>
        <w:pStyle w:val="Ttulo3"/>
      </w:pPr>
      <w:bookmarkStart w:id="41" w:name="_Toc224553758"/>
      <w:r w:rsidRPr="005304B4">
        <w:t xml:space="preserve">7.1. </w:t>
      </w:r>
      <w:r w:rsidR="00587480" w:rsidRPr="005304B4">
        <w:t>El interés superior de</w:t>
      </w:r>
      <w:r w:rsidRPr="005304B4">
        <w:t xml:space="preserve"> la niñez </w:t>
      </w:r>
      <w:r w:rsidR="00587480" w:rsidRPr="005304B4">
        <w:t>y su derecho al cuidado</w:t>
      </w:r>
      <w:bookmarkEnd w:id="41"/>
    </w:p>
    <w:p w14:paraId="6A56AD43" w14:textId="77777777" w:rsidR="003273A4" w:rsidRPr="005304B4" w:rsidRDefault="003273A4" w:rsidP="003273A4">
      <w:pPr>
        <w:rPr>
          <w:sz w:val="28"/>
          <w:szCs w:val="28"/>
          <w:lang w:val="es-ES_tradnl" w:eastAsia="es-CO"/>
        </w:rPr>
      </w:pPr>
    </w:p>
    <w:p w14:paraId="029D2E8F" w14:textId="0A2F7AAE" w:rsidR="00D15EB5" w:rsidRPr="005304B4" w:rsidRDefault="009A08FA" w:rsidP="00194819">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El principio del interés superior</w:t>
      </w:r>
      <w:r w:rsidR="000049DB" w:rsidRPr="005304B4">
        <w:rPr>
          <w:color w:val="000000" w:themeColor="text1"/>
          <w:lang w:eastAsia="es-MX"/>
        </w:rPr>
        <w:t xml:space="preserve"> de los niños, niñas y adolescentes es un mandato tanto del derecho </w:t>
      </w:r>
      <w:r w:rsidR="00355410" w:rsidRPr="005304B4">
        <w:rPr>
          <w:color w:val="000000" w:themeColor="text1"/>
          <w:lang w:eastAsia="es-MX"/>
        </w:rPr>
        <w:t xml:space="preserve">internacional de los derechos humanos como </w:t>
      </w:r>
      <w:r w:rsidR="004B57F7" w:rsidRPr="005304B4">
        <w:rPr>
          <w:color w:val="000000" w:themeColor="text1"/>
          <w:lang w:eastAsia="es-MX"/>
        </w:rPr>
        <w:t>en el ordenamiento jurídico interno</w:t>
      </w:r>
      <w:r w:rsidR="00355410" w:rsidRPr="005304B4">
        <w:rPr>
          <w:color w:val="000000" w:themeColor="text1"/>
          <w:lang w:eastAsia="es-MX"/>
        </w:rPr>
        <w:t>.</w:t>
      </w:r>
      <w:r w:rsidR="00D15EB5" w:rsidRPr="005304B4">
        <w:rPr>
          <w:color w:val="000000" w:themeColor="text1"/>
          <w:lang w:eastAsia="es-MX"/>
        </w:rPr>
        <w:t xml:space="preserve"> El primer instrumento que reconoció los derechos de la niñez fue la Declaración de Ginebra de (1924)</w:t>
      </w:r>
      <w:r w:rsidR="00D15EB5" w:rsidRPr="005304B4">
        <w:rPr>
          <w:rStyle w:val="Refdenotaalpie"/>
          <w:color w:val="000000" w:themeColor="text1"/>
          <w:lang w:eastAsia="es-MX"/>
        </w:rPr>
        <w:footnoteReference w:id="158"/>
      </w:r>
      <w:r w:rsidR="00D15EB5" w:rsidRPr="005304B4">
        <w:rPr>
          <w:color w:val="000000" w:themeColor="text1"/>
          <w:lang w:eastAsia="es-MX"/>
        </w:rPr>
        <w:t>. No obstante, fue con la</w:t>
      </w:r>
      <w:r w:rsidR="005B0A68" w:rsidRPr="005304B4">
        <w:t xml:space="preserve"> Declaración de los Derechos del Niño de 1959</w:t>
      </w:r>
      <w:r w:rsidR="00677531" w:rsidRPr="005304B4">
        <w:rPr>
          <w:rStyle w:val="Refdenotaalpie"/>
          <w:color w:val="000000" w:themeColor="text1"/>
          <w:lang w:eastAsia="es-MX"/>
        </w:rPr>
        <w:footnoteReference w:id="159"/>
      </w:r>
      <w:r w:rsidR="00677531" w:rsidRPr="005304B4">
        <w:rPr>
          <w:color w:val="000000" w:themeColor="text1"/>
          <w:lang w:eastAsia="es-MX"/>
        </w:rPr>
        <w:t xml:space="preserve"> </w:t>
      </w:r>
      <w:r w:rsidR="00D15EB5" w:rsidRPr="005304B4">
        <w:rPr>
          <w:color w:val="000000" w:themeColor="text1"/>
          <w:lang w:eastAsia="es-MX"/>
        </w:rPr>
        <w:t xml:space="preserve">que se </w:t>
      </w:r>
      <w:r w:rsidR="005B0A68" w:rsidRPr="005304B4">
        <w:t xml:space="preserve">reconoció </w:t>
      </w:r>
      <w:r w:rsidR="00D15EB5" w:rsidRPr="005304B4">
        <w:t>expresamente este</w:t>
      </w:r>
      <w:r w:rsidR="005B0A68" w:rsidRPr="005304B4">
        <w:t xml:space="preserve"> principio</w:t>
      </w:r>
      <w:r w:rsidR="00D15EB5" w:rsidRPr="005304B4">
        <w:t xml:space="preserve"> y con </w:t>
      </w:r>
      <w:r w:rsidR="005B0A68" w:rsidRPr="005304B4">
        <w:t>la Convención sobre los Derechos del Niño</w:t>
      </w:r>
      <w:r w:rsidR="001F753C" w:rsidRPr="005304B4">
        <w:rPr>
          <w:rStyle w:val="Refdenotaalpie"/>
        </w:rPr>
        <w:footnoteReference w:id="160"/>
      </w:r>
      <w:r w:rsidR="005B0A68" w:rsidRPr="005304B4">
        <w:t xml:space="preserve"> </w:t>
      </w:r>
      <w:r w:rsidR="00D15EB5" w:rsidRPr="005304B4">
        <w:t>se</w:t>
      </w:r>
      <w:r w:rsidR="005B0A68" w:rsidRPr="005304B4">
        <w:t xml:space="preserve"> desarrolló</w:t>
      </w:r>
      <w:r w:rsidR="00D15EB5" w:rsidRPr="005304B4">
        <w:t xml:space="preserve">, </w:t>
      </w:r>
      <w:r w:rsidR="005B0A68" w:rsidRPr="005304B4">
        <w:t xml:space="preserve">al establecer que toda medida relativa a </w:t>
      </w:r>
      <w:r w:rsidR="003273A4" w:rsidRPr="005304B4">
        <w:t>quien no ha cumplido la mayoría de edad</w:t>
      </w:r>
      <w:r w:rsidR="005B0A68" w:rsidRPr="005304B4">
        <w:t xml:space="preserve"> debe atender a su </w:t>
      </w:r>
      <w:r w:rsidR="005B0A68" w:rsidRPr="005304B4">
        <w:rPr>
          <w:rStyle w:val="Textoennegrita"/>
          <w:b w:val="0"/>
          <w:bCs w:val="0"/>
        </w:rPr>
        <w:t>interés superior</w:t>
      </w:r>
      <w:r w:rsidR="005B0A68" w:rsidRPr="005304B4">
        <w:t>. Este</w:t>
      </w:r>
      <w:r w:rsidR="003E2C5D" w:rsidRPr="005304B4">
        <w:t xml:space="preserve"> último</w:t>
      </w:r>
      <w:r w:rsidR="005B0A68" w:rsidRPr="005304B4">
        <w:t xml:space="preserve"> </w:t>
      </w:r>
      <w:r w:rsidR="00194819" w:rsidRPr="005304B4">
        <w:t xml:space="preserve">instrumento </w:t>
      </w:r>
      <w:r w:rsidR="005B0A68" w:rsidRPr="005304B4">
        <w:t xml:space="preserve">reafirma que los niños, niñas y adolescentes son </w:t>
      </w:r>
      <w:r w:rsidR="005B0A68" w:rsidRPr="005304B4">
        <w:rPr>
          <w:rStyle w:val="Textoennegrita"/>
          <w:b w:val="0"/>
          <w:bCs w:val="0"/>
        </w:rPr>
        <w:t>sujetos de derechos</w:t>
      </w:r>
      <w:r w:rsidR="005B0A68" w:rsidRPr="005304B4">
        <w:rPr>
          <w:b/>
          <w:bCs/>
        </w:rPr>
        <w:t>,</w:t>
      </w:r>
      <w:r w:rsidR="005B0A68" w:rsidRPr="005304B4">
        <w:t xml:space="preserve"> y exige garantizar su desarrollo integral en condiciones de igualdad y libertad, así como su protección especial por parte de la familia, la sociedad y el Estado</w:t>
      </w:r>
      <w:r w:rsidR="008162E3" w:rsidRPr="005304B4">
        <w:t>.</w:t>
      </w:r>
      <w:r w:rsidR="00194819" w:rsidRPr="005304B4">
        <w:rPr>
          <w:color w:val="000000" w:themeColor="text1"/>
          <w:lang w:eastAsia="es-MX"/>
        </w:rPr>
        <w:t xml:space="preserve"> </w:t>
      </w:r>
    </w:p>
    <w:p w14:paraId="6FE27820" w14:textId="77777777" w:rsidR="00D15EB5" w:rsidRPr="005304B4" w:rsidRDefault="00D15EB5" w:rsidP="00D15EB5">
      <w:pPr>
        <w:pStyle w:val="Prrafodelista"/>
        <w:tabs>
          <w:tab w:val="left" w:pos="284"/>
          <w:tab w:val="left" w:pos="426"/>
        </w:tabs>
        <w:ind w:left="0"/>
        <w:rPr>
          <w:color w:val="000000" w:themeColor="text1"/>
          <w:lang w:eastAsia="es-MX"/>
        </w:rPr>
      </w:pPr>
    </w:p>
    <w:p w14:paraId="47B0B2A4" w14:textId="269994A8" w:rsidR="00F14C8C" w:rsidRPr="005304B4" w:rsidRDefault="00194819" w:rsidP="00D15EB5">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rPr>
        <w:t>A nivel regional</w:t>
      </w:r>
      <w:r w:rsidR="00C01FF2" w:rsidRPr="005304B4">
        <w:rPr>
          <w:color w:val="000000" w:themeColor="text1"/>
        </w:rPr>
        <w:t>, la Convención Americana sobre Derechos Humanos</w:t>
      </w:r>
      <w:r w:rsidR="00CF26DA" w:rsidRPr="005304B4">
        <w:t xml:space="preserve"> </w:t>
      </w:r>
      <w:r w:rsidR="00CF26DA" w:rsidRPr="005304B4">
        <w:rPr>
          <w:color w:val="000000" w:themeColor="text1"/>
        </w:rPr>
        <w:t>establece que todas las niñas, niños y adolescentes tienen derecho a medidas especiales de protección por parte de su familia, la sociedad y el Estado</w:t>
      </w:r>
      <w:r w:rsidR="00CF26DA" w:rsidRPr="005304B4">
        <w:rPr>
          <w:rStyle w:val="Refdenotaalpie"/>
          <w:color w:val="000000" w:themeColor="text1"/>
        </w:rPr>
        <w:footnoteReference w:id="161"/>
      </w:r>
      <w:r w:rsidR="00CF26DA" w:rsidRPr="005304B4">
        <w:rPr>
          <w:color w:val="000000" w:themeColor="text1"/>
        </w:rPr>
        <w:t>.</w:t>
      </w:r>
      <w:r w:rsidR="00CF26DA" w:rsidRPr="005304B4">
        <w:rPr>
          <w:color w:val="000000" w:themeColor="text1"/>
          <w:lang w:eastAsia="es-MX"/>
        </w:rPr>
        <w:t xml:space="preserve"> </w:t>
      </w:r>
      <w:r w:rsidRPr="005304B4">
        <w:rPr>
          <w:color w:val="000000" w:themeColor="text1"/>
          <w:lang w:eastAsia="es-MX"/>
        </w:rPr>
        <w:t>En el ordenamien</w:t>
      </w:r>
      <w:r w:rsidR="004A4EC0" w:rsidRPr="005304B4">
        <w:rPr>
          <w:color w:val="000000" w:themeColor="text1"/>
          <w:lang w:eastAsia="es-MX"/>
        </w:rPr>
        <w:t>to jurídico interno</w:t>
      </w:r>
      <w:r w:rsidR="00E8429D" w:rsidRPr="005304B4">
        <w:rPr>
          <w:color w:val="000000" w:themeColor="text1"/>
          <w:lang w:eastAsia="es-MX"/>
        </w:rPr>
        <w:t>,</w:t>
      </w:r>
      <w:r w:rsidR="004A4EC0" w:rsidRPr="005304B4">
        <w:rPr>
          <w:color w:val="000000" w:themeColor="text1"/>
          <w:lang w:eastAsia="es-MX"/>
        </w:rPr>
        <w:t xml:space="preserve"> </w:t>
      </w:r>
      <w:r w:rsidR="00E8429D" w:rsidRPr="005304B4">
        <w:t>l</w:t>
      </w:r>
      <w:r w:rsidR="004A4EC0" w:rsidRPr="005304B4">
        <w:t>os artículos 13</w:t>
      </w:r>
      <w:r w:rsidR="004A4EC0" w:rsidRPr="005304B4">
        <w:rPr>
          <w:rStyle w:val="Refdenotaalpie"/>
        </w:rPr>
        <w:footnoteReference w:id="162"/>
      </w:r>
      <w:r w:rsidR="004A4EC0" w:rsidRPr="005304B4">
        <w:t>, 44</w:t>
      </w:r>
      <w:r w:rsidR="004A4EC0" w:rsidRPr="005304B4">
        <w:rPr>
          <w:rStyle w:val="Refdenotaalpie"/>
        </w:rPr>
        <w:footnoteReference w:id="163"/>
      </w:r>
      <w:r w:rsidR="004A4EC0" w:rsidRPr="005304B4">
        <w:t xml:space="preserve"> y 45</w:t>
      </w:r>
      <w:r w:rsidR="004A4EC0" w:rsidRPr="005304B4">
        <w:rPr>
          <w:rStyle w:val="Refdenotaalpie"/>
        </w:rPr>
        <w:footnoteReference w:id="164"/>
      </w:r>
      <w:r w:rsidR="004A4EC0" w:rsidRPr="005304B4">
        <w:t xml:space="preserve"> de la Constitución Política consagran la especial protección que el Estado les debe brindar a los niños, niñas y adolescentes, en virtud de la situación de vulnerabilidad en la que se encuentran</w:t>
      </w:r>
      <w:r w:rsidR="00484FBB" w:rsidRPr="005304B4">
        <w:t xml:space="preserve"> </w:t>
      </w:r>
      <w:r w:rsidR="004A4EC0" w:rsidRPr="005304B4">
        <w:t>por razón de su edad. </w:t>
      </w:r>
      <w:r w:rsidR="004A4EC0" w:rsidRPr="005304B4">
        <w:rPr>
          <w:lang w:val="es-ES"/>
        </w:rPr>
        <w:t>El mencionado artículo 44 establece</w:t>
      </w:r>
      <w:r w:rsidR="00F14C8C" w:rsidRPr="005304B4">
        <w:rPr>
          <w:lang w:val="es-ES"/>
        </w:rPr>
        <w:t xml:space="preserve"> que la familia, la sociedad y el Estado tienen la obligación de asistir y proteger al niño para garantizar su desarrollo armónico e integral y el ejercicio pleno de sus derechos, y finaliza señalando que los derechos de los niños prevalecen sobre los derechos de los demás</w:t>
      </w:r>
      <w:r w:rsidR="00F14C8C" w:rsidRPr="005304B4">
        <w:rPr>
          <w:rStyle w:val="Refdenotaalpie"/>
          <w:lang w:val="es-ES"/>
        </w:rPr>
        <w:footnoteReference w:id="165"/>
      </w:r>
      <w:r w:rsidR="00F14C8C" w:rsidRPr="005304B4">
        <w:rPr>
          <w:lang w:val="es-ES"/>
        </w:rPr>
        <w:t xml:space="preserve">. </w:t>
      </w:r>
      <w:r w:rsidR="001D4D34" w:rsidRPr="005304B4">
        <w:rPr>
          <w:color w:val="000000" w:themeColor="text1"/>
          <w:shd w:val="clear" w:color="auto" w:fill="FFFFFF"/>
        </w:rPr>
        <w:t>En virtud de este artícu</w:t>
      </w:r>
      <w:r w:rsidR="00D15EB5" w:rsidRPr="005304B4">
        <w:rPr>
          <w:color w:val="000000" w:themeColor="text1"/>
          <w:shd w:val="clear" w:color="auto" w:fill="FFFFFF"/>
        </w:rPr>
        <w:t>l</w:t>
      </w:r>
      <w:r w:rsidR="001D4D34" w:rsidRPr="005304B4">
        <w:rPr>
          <w:color w:val="000000" w:themeColor="text1"/>
          <w:shd w:val="clear" w:color="auto" w:fill="FFFFFF"/>
        </w:rPr>
        <w:t>o</w:t>
      </w:r>
      <w:r w:rsidR="00F14C8C" w:rsidRPr="005304B4">
        <w:rPr>
          <w:color w:val="000000" w:themeColor="text1"/>
          <w:shd w:val="clear" w:color="auto" w:fill="FFFFFF"/>
        </w:rPr>
        <w:t xml:space="preserve">, el interés superior del </w:t>
      </w:r>
      <w:r w:rsidR="003D41D7" w:rsidRPr="005304B4">
        <w:rPr>
          <w:color w:val="000000" w:themeColor="text1"/>
          <w:shd w:val="clear" w:color="auto" w:fill="FFFFFF"/>
        </w:rPr>
        <w:t>niño</w:t>
      </w:r>
      <w:r w:rsidR="00F14C8C" w:rsidRPr="005304B4">
        <w:rPr>
          <w:color w:val="000000" w:themeColor="text1"/>
          <w:shd w:val="clear" w:color="auto" w:fill="FFFFFF"/>
        </w:rPr>
        <w:t xml:space="preserve"> fue </w:t>
      </w:r>
      <w:r w:rsidR="003D41D7" w:rsidRPr="005304B4">
        <w:rPr>
          <w:color w:val="000000" w:themeColor="text1"/>
          <w:shd w:val="clear" w:color="auto" w:fill="FFFFFF"/>
        </w:rPr>
        <w:t>regulado a nivel legal</w:t>
      </w:r>
      <w:r w:rsidR="00F14C8C" w:rsidRPr="005304B4">
        <w:rPr>
          <w:color w:val="000000" w:themeColor="text1"/>
          <w:shd w:val="clear" w:color="auto" w:fill="FFFFFF"/>
        </w:rPr>
        <w:t xml:space="preserve"> en los artículos 8° y 9°</w:t>
      </w:r>
      <w:r w:rsidR="00BE3530" w:rsidRPr="005304B4">
        <w:rPr>
          <w:rStyle w:val="Refdenotaalpie"/>
          <w:color w:val="000000" w:themeColor="text1"/>
          <w:shd w:val="clear" w:color="auto" w:fill="FFFFFF"/>
        </w:rPr>
        <w:footnoteReference w:id="166"/>
      </w:r>
      <w:r w:rsidR="003D41D7" w:rsidRPr="005304B4">
        <w:rPr>
          <w:color w:val="000000" w:themeColor="text1"/>
          <w:shd w:val="clear" w:color="auto" w:fill="FFFFFF"/>
        </w:rPr>
        <w:t xml:space="preserve"> de la Ley 1098 de 2006</w:t>
      </w:r>
      <w:r w:rsidR="003D41D7" w:rsidRPr="005304B4">
        <w:rPr>
          <w:rStyle w:val="Refdenotaalpie"/>
          <w:color w:val="000000" w:themeColor="text1"/>
          <w:shd w:val="clear" w:color="auto" w:fill="FFFFFF"/>
        </w:rPr>
        <w:footnoteReference w:id="167"/>
      </w:r>
      <w:r w:rsidR="00F14C8C" w:rsidRPr="005304B4">
        <w:rPr>
          <w:color w:val="000000" w:themeColor="text1"/>
          <w:shd w:val="clear" w:color="auto" w:fill="FFFFFF"/>
        </w:rPr>
        <w:t xml:space="preserve">. </w:t>
      </w:r>
    </w:p>
    <w:p w14:paraId="030274EF" w14:textId="77777777" w:rsidR="00F14C8C" w:rsidRPr="005304B4" w:rsidRDefault="00F14C8C" w:rsidP="00F14C8C">
      <w:pPr>
        <w:pStyle w:val="Prrafodelista"/>
        <w:rPr>
          <w:color w:val="000000" w:themeColor="text1"/>
          <w:lang w:eastAsia="es-MX"/>
        </w:rPr>
      </w:pPr>
    </w:p>
    <w:p w14:paraId="67ADD86D" w14:textId="63A69DD8" w:rsidR="00E8429D" w:rsidRPr="005304B4" w:rsidRDefault="006D795C" w:rsidP="00F240EB">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La jurisprudencia constitucional se ha pronunciado </w:t>
      </w:r>
      <w:r w:rsidR="00D90A2A" w:rsidRPr="005304B4">
        <w:rPr>
          <w:color w:val="000000" w:themeColor="text1"/>
          <w:lang w:eastAsia="es-MX"/>
        </w:rPr>
        <w:t>sobre el alcance constitucional del principio del interés superior de</w:t>
      </w:r>
      <w:r w:rsidR="00F35362" w:rsidRPr="005304B4">
        <w:rPr>
          <w:color w:val="000000" w:themeColor="text1"/>
          <w:lang w:eastAsia="es-MX"/>
        </w:rPr>
        <w:t>l niño</w:t>
      </w:r>
      <w:r w:rsidR="00F45767" w:rsidRPr="005304B4">
        <w:rPr>
          <w:color w:val="000000" w:themeColor="text1"/>
          <w:lang w:eastAsia="es-MX"/>
        </w:rPr>
        <w:t xml:space="preserve"> y ha concluido que implica reconocer en favor de estos un trato preferente de parte de la familia, la sociedad</w:t>
      </w:r>
      <w:r w:rsidR="009F0D9B" w:rsidRPr="005304B4">
        <w:rPr>
          <w:color w:val="000000" w:themeColor="text1"/>
          <w:lang w:eastAsia="es-MX"/>
        </w:rPr>
        <w:t xml:space="preserve"> y </w:t>
      </w:r>
      <w:r w:rsidR="00F45767" w:rsidRPr="005304B4">
        <w:rPr>
          <w:color w:val="000000" w:themeColor="text1"/>
          <w:lang w:eastAsia="es-MX"/>
        </w:rPr>
        <w:t>el Estad</w:t>
      </w:r>
      <w:r w:rsidR="00BE4F25" w:rsidRPr="005304B4">
        <w:rPr>
          <w:color w:val="000000" w:themeColor="text1"/>
          <w:lang w:eastAsia="es-MX"/>
        </w:rPr>
        <w:t>o, asegurando que se garantice siempre el desarrollo armónico e integral</w:t>
      </w:r>
      <w:r w:rsidR="005211D0" w:rsidRPr="005304B4">
        <w:rPr>
          <w:color w:val="000000" w:themeColor="text1"/>
          <w:lang w:eastAsia="es-MX"/>
        </w:rPr>
        <w:t xml:space="preserve">. </w:t>
      </w:r>
      <w:r w:rsidR="00D15EB5" w:rsidRPr="005304B4">
        <w:rPr>
          <w:color w:val="000000" w:themeColor="text1"/>
          <w:lang w:eastAsia="es-MX"/>
        </w:rPr>
        <w:t xml:space="preserve">No obstante, ha afirmado que el significado de este principio únicamente se puede dar desde las circunstancias de cada caso y de cada niño en particular”; lo cual se explica si se tiene en cuenta que su contenido es de naturaleza real y relacional, es decir, que “sólo se puede establecer prestando la debida consideración a las circunstancias individuales, únicas e irrepetibles de cada </w:t>
      </w:r>
      <w:r w:rsidR="00F35362" w:rsidRPr="005304B4">
        <w:rPr>
          <w:color w:val="000000" w:themeColor="text1"/>
          <w:lang w:eastAsia="es-MX"/>
        </w:rPr>
        <w:t>niño</w:t>
      </w:r>
      <w:r w:rsidR="00D15EB5" w:rsidRPr="005304B4">
        <w:rPr>
          <w:rStyle w:val="Refdenotaalpie"/>
          <w:color w:val="000000" w:themeColor="text1"/>
          <w:lang w:eastAsia="es-MX"/>
        </w:rPr>
        <w:footnoteReference w:id="168"/>
      </w:r>
      <w:r w:rsidR="00F35362" w:rsidRPr="005304B4">
        <w:rPr>
          <w:color w:val="000000" w:themeColor="text1"/>
          <w:lang w:eastAsia="es-MX"/>
        </w:rPr>
        <w:t>.</w:t>
      </w:r>
    </w:p>
    <w:p w14:paraId="1354BE25" w14:textId="77777777" w:rsidR="00E8429D" w:rsidRPr="005304B4" w:rsidRDefault="00E8429D" w:rsidP="00E8429D">
      <w:pPr>
        <w:pStyle w:val="Prrafodelista"/>
        <w:rPr>
          <w:color w:val="000000" w:themeColor="text1"/>
          <w:lang w:eastAsia="es-MX"/>
        </w:rPr>
      </w:pPr>
    </w:p>
    <w:p w14:paraId="47AC1AA1" w14:textId="7304D9FA" w:rsidR="00874E94" w:rsidRPr="005304B4" w:rsidRDefault="005211D0" w:rsidP="00F240EB">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Además</w:t>
      </w:r>
      <w:r w:rsidR="00E8429D" w:rsidRPr="005304B4">
        <w:rPr>
          <w:color w:val="000000" w:themeColor="text1"/>
          <w:lang w:eastAsia="es-MX"/>
        </w:rPr>
        <w:t xml:space="preserve">, </w:t>
      </w:r>
      <w:r w:rsidR="003D41D7" w:rsidRPr="005304B4">
        <w:rPr>
          <w:color w:val="000000" w:themeColor="text1"/>
          <w:lang w:eastAsia="es-MX"/>
        </w:rPr>
        <w:t xml:space="preserve">la jurisprudencia constitucional </w:t>
      </w:r>
      <w:r w:rsidR="00E8429D" w:rsidRPr="005304B4">
        <w:rPr>
          <w:color w:val="000000" w:themeColor="text1"/>
          <w:lang w:eastAsia="es-MX"/>
        </w:rPr>
        <w:t>ha determinado que</w:t>
      </w:r>
      <w:r w:rsidR="003D41D7" w:rsidRPr="005304B4">
        <w:rPr>
          <w:color w:val="000000" w:themeColor="text1"/>
          <w:lang w:eastAsia="es-MX"/>
        </w:rPr>
        <w:t xml:space="preserve"> el interés superior del niño</w:t>
      </w:r>
      <w:r w:rsidR="00E8429D" w:rsidRPr="005304B4">
        <w:rPr>
          <w:color w:val="000000" w:themeColor="text1"/>
          <w:lang w:eastAsia="es-MX"/>
        </w:rPr>
        <w:t xml:space="preserve"> es</w:t>
      </w:r>
      <w:r w:rsidRPr="005304B4">
        <w:rPr>
          <w:color w:val="000000" w:themeColor="text1"/>
          <w:lang w:eastAsia="es-MX"/>
        </w:rPr>
        <w:t xml:space="preserve">: </w:t>
      </w:r>
      <w:r w:rsidR="001C08A7" w:rsidRPr="005304B4">
        <w:rPr>
          <w:lang w:val="es-ES"/>
        </w:rPr>
        <w:t>(i) un </w:t>
      </w:r>
      <w:r w:rsidR="001C08A7" w:rsidRPr="005304B4">
        <w:rPr>
          <w:bCs/>
          <w:lang w:val="es-ES"/>
        </w:rPr>
        <w:t>derecho sustantivo</w:t>
      </w:r>
      <w:r w:rsidR="001C08A7" w:rsidRPr="005304B4">
        <w:rPr>
          <w:lang w:val="es-ES"/>
        </w:rPr>
        <w:t>,</w:t>
      </w:r>
      <w:r w:rsidR="001C08A7" w:rsidRPr="005304B4">
        <w:rPr>
          <w:b/>
          <w:bCs/>
          <w:lang w:val="es-ES"/>
        </w:rPr>
        <w:t> </w:t>
      </w:r>
      <w:r w:rsidR="001C08A7" w:rsidRPr="005304B4">
        <w:t>en razón a que debe ser una consideración primordial al momento de sopesar los distintos intereses en la toma de una decisión en cualquier ámbito; (ii) una </w:t>
      </w:r>
      <w:r w:rsidR="001C08A7" w:rsidRPr="005304B4">
        <w:rPr>
          <w:bCs/>
        </w:rPr>
        <w:t>obligación de los Estados</w:t>
      </w:r>
      <w:r w:rsidR="001C08A7" w:rsidRPr="005304B4">
        <w:t>, de aplicabilidad inmediata y reclamable ante los jueces; (iii) un </w:t>
      </w:r>
      <w:r w:rsidR="001C08A7" w:rsidRPr="005304B4">
        <w:rPr>
          <w:bCs/>
        </w:rPr>
        <w:t>principio jurídico interpretativo fundamental</w:t>
      </w:r>
      <w:r w:rsidR="001C08A7" w:rsidRPr="005304B4">
        <w:t xml:space="preserve">, en la medida en que si una disposición admite más de una interpretación debe elegirse aquella que sea más </w:t>
      </w:r>
      <w:r w:rsidR="001A1F9A" w:rsidRPr="005304B4">
        <w:t>e</w:t>
      </w:r>
      <w:r w:rsidR="001C08A7" w:rsidRPr="005304B4">
        <w:t>fectiva para el interé</w:t>
      </w:r>
      <w:bookmarkStart w:id="42" w:name="_ftnref33"/>
      <w:r w:rsidR="001C08A7" w:rsidRPr="005304B4">
        <w:t>s superior de</w:t>
      </w:r>
      <w:bookmarkEnd w:id="42"/>
      <w:r w:rsidR="003D41D7" w:rsidRPr="005304B4">
        <w:t xml:space="preserve">l niño </w:t>
      </w:r>
      <w:r w:rsidR="001C08A7" w:rsidRPr="005304B4">
        <w:t>y, (iv) </w:t>
      </w:r>
      <w:r w:rsidR="001C08A7" w:rsidRPr="005304B4">
        <w:rPr>
          <w:bCs/>
        </w:rPr>
        <w:t>una norma de procedimiento</w:t>
      </w:r>
      <w:r w:rsidR="001C08A7" w:rsidRPr="005304B4">
        <w:t xml:space="preserve">, ya que la toma de decisiones que involucre un </w:t>
      </w:r>
      <w:r w:rsidR="003D41D7" w:rsidRPr="005304B4">
        <w:t>niño, niña o adolescente</w:t>
      </w:r>
      <w:r w:rsidR="001C08A7" w:rsidRPr="005304B4">
        <w:t xml:space="preserve"> debe tener una carga argumentativa que estime las repercusiones positivas y negativas en los derechos de </w:t>
      </w:r>
      <w:r w:rsidR="003D41D7" w:rsidRPr="005304B4">
        <w:t>este</w:t>
      </w:r>
      <w:r w:rsidR="001C08A7" w:rsidRPr="005304B4">
        <w:rPr>
          <w:rStyle w:val="Refdenotaalpie"/>
        </w:rPr>
        <w:footnoteReference w:id="169"/>
      </w:r>
      <w:r w:rsidR="001C08A7" w:rsidRPr="005304B4">
        <w:t>.</w:t>
      </w:r>
      <w:r w:rsidR="00D44E58" w:rsidRPr="005304B4">
        <w:t xml:space="preserve"> </w:t>
      </w:r>
      <w:r w:rsidR="00563D6F" w:rsidRPr="005304B4">
        <w:rPr>
          <w:color w:val="000000" w:themeColor="text1"/>
          <w:lang w:eastAsia="es-MX"/>
        </w:rPr>
        <w:t>En ese sentido, los ha reconocido como sujeto de protección constitucional reforzada</w:t>
      </w:r>
      <w:r w:rsidR="00F240EB" w:rsidRPr="005304B4">
        <w:rPr>
          <w:rStyle w:val="Refdenotaalpie"/>
          <w:color w:val="000000" w:themeColor="text1"/>
          <w:lang w:eastAsia="es-MX"/>
        </w:rPr>
        <w:footnoteReference w:id="170"/>
      </w:r>
      <w:r w:rsidR="00563D6F" w:rsidRPr="005304B4">
        <w:rPr>
          <w:color w:val="000000" w:themeColor="text1"/>
          <w:lang w:eastAsia="es-MX"/>
        </w:rPr>
        <w:t xml:space="preserve">. </w:t>
      </w:r>
    </w:p>
    <w:p w14:paraId="6C9C2790" w14:textId="77777777" w:rsidR="00C80238" w:rsidRPr="005304B4" w:rsidRDefault="00C80238" w:rsidP="00C80238">
      <w:pPr>
        <w:pStyle w:val="Prrafodelista"/>
        <w:tabs>
          <w:tab w:val="left" w:pos="284"/>
          <w:tab w:val="left" w:pos="426"/>
        </w:tabs>
        <w:ind w:left="0"/>
        <w:rPr>
          <w:color w:val="000000" w:themeColor="text1"/>
          <w:lang w:eastAsia="es-MX"/>
        </w:rPr>
      </w:pPr>
    </w:p>
    <w:p w14:paraId="0C5FA3A8" w14:textId="6B8329F3" w:rsidR="007D20EE" w:rsidRPr="005304B4" w:rsidRDefault="00E8429D" w:rsidP="005F48CB">
      <w:pPr>
        <w:pStyle w:val="Prrafodelista"/>
        <w:numPr>
          <w:ilvl w:val="0"/>
          <w:numId w:val="40"/>
        </w:numPr>
        <w:tabs>
          <w:tab w:val="left" w:pos="284"/>
          <w:tab w:val="left" w:pos="426"/>
        </w:tabs>
        <w:ind w:left="0" w:firstLine="0"/>
        <w:rPr>
          <w:color w:val="000000" w:themeColor="text1"/>
          <w:lang w:eastAsia="es-MX"/>
        </w:rPr>
      </w:pPr>
      <w:r w:rsidRPr="005304B4">
        <w:t xml:space="preserve"> </w:t>
      </w:r>
      <w:r w:rsidR="001D4D34" w:rsidRPr="005304B4">
        <w:t xml:space="preserve">En particular, uno de los </w:t>
      </w:r>
      <w:r w:rsidRPr="005304B4">
        <w:t>derech</w:t>
      </w:r>
      <w:r w:rsidR="001D4D34" w:rsidRPr="005304B4">
        <w:t xml:space="preserve">os que exige especial protección es el </w:t>
      </w:r>
      <w:r w:rsidRPr="005304B4">
        <w:t>cuidado de los niños, niñas y adolescentes</w:t>
      </w:r>
      <w:r w:rsidR="001D4D34" w:rsidRPr="005304B4">
        <w:t>. E</w:t>
      </w:r>
      <w:r w:rsidRPr="005304B4">
        <w:t>ste ha sido reconocido desde la Declaración Americana de los Derechos y Deberes del Hombre, la cual establece que todo niño tiene derecho a recibir protección, cuidados y ayudas especiales. En esa misma línea, la Convención sobre los Derecho</w:t>
      </w:r>
      <w:r w:rsidR="009F0D9B" w:rsidRPr="005304B4">
        <w:t>s</w:t>
      </w:r>
      <w:r w:rsidRPr="005304B4">
        <w:t xml:space="preserve"> del Niño, en su inciso </w:t>
      </w:r>
      <w:r w:rsidR="00252754" w:rsidRPr="005304B4">
        <w:t>segundo</w:t>
      </w:r>
      <w:r w:rsidRPr="005304B4">
        <w:t xml:space="preserve"> del artículo 3, precisa que los Estados deben comprometerse a asegurar al niño la protección y el cuidado que sean necesarios para su bienestar. </w:t>
      </w:r>
    </w:p>
    <w:p w14:paraId="4C161FF9" w14:textId="77777777" w:rsidR="007D20EE" w:rsidRPr="005304B4" w:rsidRDefault="007D20EE" w:rsidP="007D20EE">
      <w:pPr>
        <w:pStyle w:val="Prrafodelista"/>
      </w:pPr>
    </w:p>
    <w:p w14:paraId="389F97EB" w14:textId="0302606A" w:rsidR="00E8429D" w:rsidRPr="005304B4" w:rsidRDefault="00E8429D" w:rsidP="007D20EE">
      <w:pPr>
        <w:pStyle w:val="Prrafodelista"/>
        <w:numPr>
          <w:ilvl w:val="0"/>
          <w:numId w:val="40"/>
        </w:numPr>
        <w:tabs>
          <w:tab w:val="left" w:pos="284"/>
          <w:tab w:val="left" w:pos="426"/>
        </w:tabs>
        <w:ind w:left="0" w:firstLine="0"/>
        <w:rPr>
          <w:color w:val="000000" w:themeColor="text1"/>
          <w:lang w:eastAsia="es-MX"/>
        </w:rPr>
      </w:pPr>
      <w:r w:rsidRPr="005304B4">
        <w:t xml:space="preserve">Este mismo instrumento </w:t>
      </w:r>
      <w:r w:rsidR="007D20EE" w:rsidRPr="005304B4">
        <w:t xml:space="preserve">también reconoce a la familia como el núcleo esencial de protección de la infancia y la adolescencia, así como el derecho de </w:t>
      </w:r>
      <w:r w:rsidR="003D41D7" w:rsidRPr="005304B4">
        <w:t>quien no ha cumplido 18 años</w:t>
      </w:r>
      <w:r w:rsidR="007D20EE" w:rsidRPr="005304B4">
        <w:t xml:space="preserve"> </w:t>
      </w:r>
      <w:r w:rsidR="003D41D7" w:rsidRPr="005304B4">
        <w:t>d</w:t>
      </w:r>
      <w:r w:rsidR="003E282F" w:rsidRPr="005304B4">
        <w:t>e</w:t>
      </w:r>
      <w:r w:rsidR="007D20EE" w:rsidRPr="005304B4">
        <w:t xml:space="preserve"> ser cuidado por sus padres</w:t>
      </w:r>
      <w:r w:rsidR="007D20EE" w:rsidRPr="005304B4">
        <w:rPr>
          <w:rStyle w:val="Refdenotaalpie"/>
        </w:rPr>
        <w:footnoteReference w:id="171"/>
      </w:r>
      <w:r w:rsidR="007D20EE" w:rsidRPr="005304B4">
        <w:t>. En consecuencia, exige a los Estados poner el máximo empeño en asegurar el cumplimiento del principio según el cual ambos padres tienen obligaciones comunes en la crianza y el desarrollo de sus hijos</w:t>
      </w:r>
      <w:r w:rsidR="007D20EE" w:rsidRPr="005304B4">
        <w:rPr>
          <w:rStyle w:val="Refdenotaalpie"/>
        </w:rPr>
        <w:footnoteReference w:id="172"/>
      </w:r>
      <w:r w:rsidR="007D20EE" w:rsidRPr="005304B4">
        <w:t>. Conforme a estos deberes, el Comité de los Derechos del Niño</w:t>
      </w:r>
      <w:r w:rsidR="007D20EE" w:rsidRPr="005304B4">
        <w:rPr>
          <w:rStyle w:val="Refdenotaalpie"/>
        </w:rPr>
        <w:footnoteReference w:id="173"/>
      </w:r>
      <w:r w:rsidR="007D20EE" w:rsidRPr="005304B4">
        <w:t xml:space="preserve"> ha señalado que la realización efectiva de los derechos fundamentales de los </w:t>
      </w:r>
      <w:r w:rsidR="003D41D7" w:rsidRPr="005304B4">
        <w:t>niños</w:t>
      </w:r>
      <w:r w:rsidR="007D20EE" w:rsidRPr="005304B4">
        <w:t xml:space="preserve"> depende, en gran medida, del bienestar, las capacidades y los recursos de los padres o cuidadores, quienes son los responsables directos de su cuidado y protección.</w:t>
      </w:r>
    </w:p>
    <w:p w14:paraId="14CFDFA0" w14:textId="77777777" w:rsidR="00824589" w:rsidRPr="005304B4" w:rsidRDefault="00824589" w:rsidP="00824589">
      <w:pPr>
        <w:pStyle w:val="Prrafodelista"/>
        <w:rPr>
          <w:color w:val="000000" w:themeColor="text1"/>
          <w:lang w:eastAsia="es-MX"/>
        </w:rPr>
      </w:pPr>
    </w:p>
    <w:p w14:paraId="03458C5F" w14:textId="5F23AE5C" w:rsidR="004B5271" w:rsidRPr="005304B4" w:rsidRDefault="000E00C9" w:rsidP="004B5271">
      <w:pPr>
        <w:pStyle w:val="Prrafodelista"/>
        <w:numPr>
          <w:ilvl w:val="0"/>
          <w:numId w:val="40"/>
        </w:numPr>
        <w:tabs>
          <w:tab w:val="left" w:pos="284"/>
          <w:tab w:val="left" w:pos="426"/>
        </w:tabs>
        <w:spacing w:before="100" w:beforeAutospacing="1" w:after="100" w:afterAutospacing="1"/>
        <w:ind w:left="0" w:firstLine="0"/>
      </w:pPr>
      <w:r w:rsidRPr="005304B4">
        <w:t>A nivel interno, la</w:t>
      </w:r>
      <w:r w:rsidR="004B5271" w:rsidRPr="005304B4">
        <w:t xml:space="preserve"> Constitución Política de Colombia reconoce expresamente el cuidado y el amor como un derecho fundamental de los niños, niñas y adolescentes, lo cual implica, de acuerdo con el alcance dado por esta Corporación, que el Estado, la familia y la sociedad deben adoptar todas las medidas necesarias para garantizar</w:t>
      </w:r>
      <w:r w:rsidRPr="005304B4">
        <w:t xml:space="preserve">lo. </w:t>
      </w:r>
    </w:p>
    <w:p w14:paraId="1E26CC4A" w14:textId="77777777" w:rsidR="004B5271" w:rsidRPr="005304B4" w:rsidRDefault="004B5271" w:rsidP="004B5271">
      <w:pPr>
        <w:pStyle w:val="Prrafodelista"/>
      </w:pPr>
    </w:p>
    <w:p w14:paraId="551B9867" w14:textId="4EB378DA" w:rsidR="007D20EE" w:rsidRPr="005304B4" w:rsidRDefault="004B5271" w:rsidP="47A29002">
      <w:pPr>
        <w:pStyle w:val="Prrafodelista"/>
        <w:numPr>
          <w:ilvl w:val="0"/>
          <w:numId w:val="40"/>
        </w:numPr>
        <w:tabs>
          <w:tab w:val="left" w:pos="284"/>
          <w:tab w:val="left" w:pos="426"/>
        </w:tabs>
        <w:spacing w:before="100" w:beforeAutospacing="1" w:after="100" w:afterAutospacing="1"/>
        <w:ind w:left="0" w:firstLine="0"/>
      </w:pPr>
      <w:r w:rsidRPr="005304B4">
        <w:t xml:space="preserve">En consonancia con los mandatos internacionales y constitucionales </w:t>
      </w:r>
      <w:r w:rsidR="13C0EE3D" w:rsidRPr="005304B4">
        <w:t>en relación con el</w:t>
      </w:r>
      <w:r w:rsidRPr="005304B4">
        <w:t xml:space="preserve"> cuidado de </w:t>
      </w:r>
      <w:r w:rsidR="00506160" w:rsidRPr="005304B4">
        <w:t>la niñez</w:t>
      </w:r>
      <w:r w:rsidRPr="005304B4">
        <w:t>, la j</w:t>
      </w:r>
      <w:r w:rsidR="007D20EE" w:rsidRPr="005304B4">
        <w:t>urisprudencia constitucional ha señalado que garantizar</w:t>
      </w:r>
      <w:r w:rsidRPr="005304B4">
        <w:t xml:space="preserve">lo </w:t>
      </w:r>
      <w:r w:rsidR="007D20EE" w:rsidRPr="005304B4">
        <w:t>exige “rodear de un espacio de seguridad” a sus progenitores, en tanto cuidadores primarios. En este sentido, la Corte ha explicado que medidas como ajustes en las actividades laborales resultan esenciales para que los padres dispongan del tiempo y mecanismos necesarios que les permitan conciliar las responsabilidades familiares con su proyecto de vida</w:t>
      </w:r>
      <w:r w:rsidR="007D20EE" w:rsidRPr="005304B4">
        <w:rPr>
          <w:rStyle w:val="Refdenotaalpie"/>
        </w:rPr>
        <w:footnoteReference w:id="174"/>
      </w:r>
      <w:r w:rsidR="007D20EE" w:rsidRPr="005304B4">
        <w:t xml:space="preserve">. </w:t>
      </w:r>
    </w:p>
    <w:p w14:paraId="1EB297F6" w14:textId="77777777" w:rsidR="007D20EE" w:rsidRPr="005304B4" w:rsidRDefault="007D20EE" w:rsidP="007D20EE">
      <w:pPr>
        <w:pStyle w:val="Prrafodelista"/>
      </w:pPr>
    </w:p>
    <w:p w14:paraId="5434ADCB" w14:textId="54F14BE4" w:rsidR="00165BCE" w:rsidRPr="005304B4" w:rsidRDefault="007D20EE" w:rsidP="00345107">
      <w:pPr>
        <w:pStyle w:val="Prrafodelista"/>
        <w:numPr>
          <w:ilvl w:val="0"/>
          <w:numId w:val="40"/>
        </w:numPr>
        <w:tabs>
          <w:tab w:val="left" w:pos="284"/>
          <w:tab w:val="left" w:pos="426"/>
        </w:tabs>
        <w:spacing w:before="100" w:beforeAutospacing="1" w:after="100" w:afterAutospacing="1"/>
        <w:ind w:left="0" w:firstLine="0"/>
        <w:rPr>
          <w:color w:val="000000" w:themeColor="text1"/>
          <w:lang w:eastAsia="es-MX"/>
        </w:rPr>
      </w:pPr>
      <w:r w:rsidRPr="005304B4">
        <w:t xml:space="preserve">Por tanto, la protección reforzada de la niñez solo puede materializarse integralmente si los cuidadores cuentan con condiciones que faciliten el ejercicio pleno de sus responsabilidades. </w:t>
      </w:r>
      <w:r w:rsidR="004B5271" w:rsidRPr="005304B4">
        <w:t>De ahí que el Estado tenga la obligación de adecuar su marco normativo para garantizar el nivel más alto posible de protección del derecho al cuidado de los niños, niñas y adolescentes, especialmente en las etapas de mayor vulnerabilidad y dependencia</w:t>
      </w:r>
      <w:r w:rsidR="00345107" w:rsidRPr="005304B4">
        <w:t xml:space="preserve">, </w:t>
      </w:r>
      <w:r w:rsidR="00972067" w:rsidRPr="005304B4">
        <w:t>como cuando</w:t>
      </w:r>
      <w:r w:rsidR="00345107" w:rsidRPr="005304B4">
        <w:t xml:space="preserve"> se encuentran entre los 0 y 14 años</w:t>
      </w:r>
      <w:r w:rsidR="00165BCE" w:rsidRPr="005304B4">
        <w:rPr>
          <w:rStyle w:val="Refdenotaalpie"/>
        </w:rPr>
        <w:footnoteReference w:id="175"/>
      </w:r>
      <w:r w:rsidR="00345107" w:rsidRPr="005304B4">
        <w:t xml:space="preserve"> y </w:t>
      </w:r>
      <w:r w:rsidR="004B5271" w:rsidRPr="005304B4">
        <w:t xml:space="preserve">como ocurre al momento del nacimiento o cuando un niño o niña se integra a una nueva </w:t>
      </w:r>
      <w:r w:rsidR="00506160" w:rsidRPr="005304B4">
        <w:t>familia a través de la adopción.</w:t>
      </w:r>
      <w:r w:rsidR="00165BCE" w:rsidRPr="005304B4">
        <w:rPr>
          <w:color w:val="000000" w:themeColor="text1"/>
          <w:lang w:eastAsia="es-MX"/>
        </w:rPr>
        <w:t xml:space="preserve"> </w:t>
      </w:r>
    </w:p>
    <w:p w14:paraId="70885439" w14:textId="77777777" w:rsidR="004B5271" w:rsidRPr="005304B4" w:rsidRDefault="004B5271" w:rsidP="004B5271">
      <w:pPr>
        <w:pStyle w:val="Prrafodelista"/>
        <w:tabs>
          <w:tab w:val="left" w:pos="284"/>
          <w:tab w:val="left" w:pos="426"/>
        </w:tabs>
        <w:spacing w:before="100" w:beforeAutospacing="1" w:after="100" w:afterAutospacing="1"/>
        <w:ind w:left="0"/>
        <w:rPr>
          <w:color w:val="000000" w:themeColor="text1"/>
          <w:lang w:eastAsia="es-MX"/>
        </w:rPr>
      </w:pPr>
    </w:p>
    <w:p w14:paraId="662D0EF3" w14:textId="79C45213" w:rsidR="004B5271" w:rsidRPr="005304B4" w:rsidRDefault="00506160" w:rsidP="004B5271">
      <w:pPr>
        <w:pStyle w:val="Prrafodelista"/>
        <w:numPr>
          <w:ilvl w:val="0"/>
          <w:numId w:val="40"/>
        </w:numPr>
        <w:tabs>
          <w:tab w:val="left" w:pos="284"/>
          <w:tab w:val="left" w:pos="426"/>
        </w:tabs>
        <w:ind w:left="0" w:firstLine="0"/>
        <w:rPr>
          <w:color w:val="000000" w:themeColor="text1"/>
          <w:lang w:eastAsia="es-MX"/>
        </w:rPr>
      </w:pPr>
      <w:r w:rsidRPr="005304B4">
        <w:t>La</w:t>
      </w:r>
      <w:r w:rsidR="004B5271" w:rsidRPr="005304B4">
        <w:t xml:space="preserve"> </w:t>
      </w:r>
      <w:r w:rsidR="005F48CB" w:rsidRPr="005304B4">
        <w:t xml:space="preserve">importancia de </w:t>
      </w:r>
      <w:r w:rsidR="004B5271" w:rsidRPr="005304B4">
        <w:t xml:space="preserve">contar con marcos normativos que permitan garantizar adecuadamente este derecho a los </w:t>
      </w:r>
      <w:r w:rsidRPr="005304B4">
        <w:t>niños, niñas y adolescentes</w:t>
      </w:r>
      <w:r w:rsidR="004B5271" w:rsidRPr="005304B4">
        <w:t xml:space="preserve"> no es imprescindible </w:t>
      </w:r>
      <w:r w:rsidR="005F48CB" w:rsidRPr="005304B4">
        <w:t xml:space="preserve">solo por tratarse de un mandato normativo, sino porque </w:t>
      </w:r>
      <w:r w:rsidR="004B5271" w:rsidRPr="005304B4">
        <w:t xml:space="preserve">estos </w:t>
      </w:r>
      <w:r w:rsidR="005F48CB" w:rsidRPr="005304B4">
        <w:t xml:space="preserve">constituyen sus principales destinatarios, especialmente en su dimensión de recibir cuidados. </w:t>
      </w:r>
      <w:r w:rsidR="00E8429D" w:rsidRPr="005304B4">
        <w:t>De acuerdo con la OIT, a escala mundial, la demanda actual de cuidado proviene fundamentalmente de los niños y niñas de 0 a 14 años de edad y, para el 2030, se estima que “el 87,3% de todas las personas a cargo tendrán entre 0 a 14 años de edad</w:t>
      </w:r>
      <w:r w:rsidRPr="005304B4">
        <w:t>”</w:t>
      </w:r>
      <w:r w:rsidR="00E8429D" w:rsidRPr="005304B4">
        <w:rPr>
          <w:rStyle w:val="Refdenotaalpie"/>
        </w:rPr>
        <w:footnoteReference w:id="176"/>
      </w:r>
      <w:r w:rsidR="00E8429D" w:rsidRPr="005304B4">
        <w:t>.</w:t>
      </w:r>
    </w:p>
    <w:p w14:paraId="69A35ACA" w14:textId="77777777" w:rsidR="004B5271" w:rsidRPr="005304B4" w:rsidRDefault="004B5271" w:rsidP="004B5271">
      <w:pPr>
        <w:pStyle w:val="Prrafodelista"/>
      </w:pPr>
    </w:p>
    <w:p w14:paraId="23309FB5" w14:textId="4391129A" w:rsidR="00D15EB5" w:rsidRPr="005304B4" w:rsidRDefault="004B5271" w:rsidP="008152F3">
      <w:pPr>
        <w:pStyle w:val="Prrafodelista"/>
        <w:numPr>
          <w:ilvl w:val="0"/>
          <w:numId w:val="40"/>
        </w:numPr>
        <w:tabs>
          <w:tab w:val="left" w:pos="284"/>
          <w:tab w:val="left" w:pos="426"/>
        </w:tabs>
        <w:ind w:left="0" w:firstLine="0"/>
        <w:rPr>
          <w:color w:val="000000" w:themeColor="text1"/>
          <w:lang w:eastAsia="es-MX"/>
        </w:rPr>
      </w:pPr>
      <w:r w:rsidRPr="005304B4">
        <w:t xml:space="preserve">En suma, los niños, niñas y adolescentes son sujetos de derechos que gozan de una protección reforzada debido a su edad y particular situación de vulnerabilidad. En virtud del principio del interés superior, el Estado debe adoptar normas, políticas y medidas que garanticen su bienestar, su desarrollo integral y el ejercicio pleno de sus derechos fundamentales, entre ellos el derecho al cuidado. Este último implica que, para hacerlo efectivo, es indispensable asegurar que las familias cuenten con las condiciones materiales, laborales y sociales necesarias para brindarles atención, </w:t>
      </w:r>
      <w:r w:rsidR="00946F70" w:rsidRPr="005304B4">
        <w:t>amor</w:t>
      </w:r>
      <w:r w:rsidRPr="005304B4">
        <w:t xml:space="preserve"> y acompañamiento</w:t>
      </w:r>
      <w:r w:rsidR="001521D5" w:rsidRPr="005304B4">
        <w:t>.</w:t>
      </w:r>
    </w:p>
    <w:p w14:paraId="175256E6" w14:textId="77777777" w:rsidR="00506160" w:rsidRPr="005304B4" w:rsidRDefault="00506160" w:rsidP="00506160">
      <w:pPr>
        <w:pStyle w:val="Prrafodelista"/>
        <w:tabs>
          <w:tab w:val="left" w:pos="284"/>
          <w:tab w:val="left" w:pos="426"/>
        </w:tabs>
        <w:ind w:left="0"/>
        <w:rPr>
          <w:color w:val="000000" w:themeColor="text1"/>
          <w:lang w:eastAsia="es-MX"/>
        </w:rPr>
      </w:pPr>
    </w:p>
    <w:p w14:paraId="4056F6D3" w14:textId="6347E64D" w:rsidR="00506160" w:rsidRPr="005304B4" w:rsidRDefault="00506160" w:rsidP="00506160">
      <w:pPr>
        <w:pStyle w:val="Ttulo3"/>
      </w:pPr>
      <w:bookmarkStart w:id="43" w:name="_Toc224553759"/>
      <w:r w:rsidRPr="005304B4">
        <w:t xml:space="preserve">7.2. </w:t>
      </w:r>
      <w:r w:rsidR="00D15EB5" w:rsidRPr="005304B4">
        <w:t>El derecho a tener una familia y la adopción como medida de protección</w:t>
      </w:r>
      <w:bookmarkEnd w:id="43"/>
    </w:p>
    <w:p w14:paraId="34A242BC" w14:textId="77777777" w:rsidR="00506160" w:rsidRPr="005304B4" w:rsidRDefault="00506160" w:rsidP="00506160">
      <w:pPr>
        <w:rPr>
          <w:sz w:val="28"/>
          <w:szCs w:val="28"/>
          <w:lang w:val="es-ES_tradnl" w:eastAsia="es-CO"/>
        </w:rPr>
      </w:pPr>
    </w:p>
    <w:p w14:paraId="0A9ED0AD" w14:textId="1367496E" w:rsidR="00232AD8" w:rsidRPr="005304B4" w:rsidRDefault="008152F3" w:rsidP="00232AD8">
      <w:pPr>
        <w:pStyle w:val="Prrafodelista"/>
        <w:numPr>
          <w:ilvl w:val="0"/>
          <w:numId w:val="40"/>
        </w:numPr>
        <w:tabs>
          <w:tab w:val="left" w:pos="284"/>
          <w:tab w:val="left" w:pos="426"/>
        </w:tabs>
        <w:ind w:left="0" w:firstLine="0"/>
        <w:rPr>
          <w:color w:val="000000" w:themeColor="text1"/>
          <w:lang w:eastAsia="es-MX"/>
        </w:rPr>
      </w:pPr>
      <w:r w:rsidRPr="005304B4">
        <w:rPr>
          <w:color w:val="2D2D2D"/>
          <w:shd w:val="clear" w:color="auto" w:fill="FFFFFF"/>
        </w:rPr>
        <w:t>El artículo 5º de la Constitución ampara a la familia como “institución básica de la sociedad”, lo que se reafirma en el artículo 42</w:t>
      </w:r>
      <w:r w:rsidR="00506160" w:rsidRPr="005304B4">
        <w:rPr>
          <w:color w:val="2D2D2D"/>
          <w:shd w:val="clear" w:color="auto" w:fill="FFFFFF"/>
        </w:rPr>
        <w:t xml:space="preserve"> Superior,</w:t>
      </w:r>
      <w:r w:rsidRPr="005304B4">
        <w:rPr>
          <w:color w:val="2D2D2D"/>
          <w:shd w:val="clear" w:color="auto" w:fill="FFFFFF"/>
        </w:rPr>
        <w:t xml:space="preserve"> al calificarla de “núcleo fundamental de la sociedad”. En correspondencia, el artículo 44 superior consagra el derecho fundamental de los niños “a tener una familia y no ser separados de ella”. Estos mandatos </w:t>
      </w:r>
      <w:r w:rsidR="00771E5D" w:rsidRPr="005304B4">
        <w:rPr>
          <w:color w:val="2D2D2D"/>
          <w:shd w:val="clear" w:color="auto" w:fill="FFFFFF"/>
        </w:rPr>
        <w:t>son congruentes</w:t>
      </w:r>
      <w:r w:rsidRPr="005304B4">
        <w:rPr>
          <w:color w:val="2D2D2D"/>
          <w:shd w:val="clear" w:color="auto" w:fill="FFFFFF"/>
        </w:rPr>
        <w:t xml:space="preserve"> con </w:t>
      </w:r>
      <w:r w:rsidR="00771E5D" w:rsidRPr="005304B4">
        <w:rPr>
          <w:color w:val="2D2D2D"/>
          <w:shd w:val="clear" w:color="auto" w:fill="FFFFFF"/>
        </w:rPr>
        <w:t xml:space="preserve">algunos </w:t>
      </w:r>
      <w:r w:rsidRPr="005304B4">
        <w:rPr>
          <w:color w:val="2D2D2D"/>
          <w:shd w:val="clear" w:color="auto" w:fill="FFFFFF"/>
        </w:rPr>
        <w:t>instrumentos internacionales</w:t>
      </w:r>
      <w:r w:rsidR="00771E5D" w:rsidRPr="005304B4">
        <w:rPr>
          <w:color w:val="2D2D2D"/>
          <w:shd w:val="clear" w:color="auto" w:fill="FFFFFF"/>
        </w:rPr>
        <w:t xml:space="preserve"> que </w:t>
      </w:r>
      <w:r w:rsidRPr="005304B4">
        <w:rPr>
          <w:color w:val="2D2D2D"/>
          <w:shd w:val="clear" w:color="auto" w:fill="FFFFFF"/>
        </w:rPr>
        <w:t>determina</w:t>
      </w:r>
      <w:r w:rsidR="00771E5D" w:rsidRPr="005304B4">
        <w:rPr>
          <w:color w:val="2D2D2D"/>
          <w:shd w:val="clear" w:color="auto" w:fill="FFFFFF"/>
        </w:rPr>
        <w:t>n</w:t>
      </w:r>
      <w:r w:rsidRPr="005304B4">
        <w:rPr>
          <w:color w:val="2D2D2D"/>
          <w:shd w:val="clear" w:color="auto" w:fill="FFFFFF"/>
        </w:rPr>
        <w:t xml:space="preserve"> </w:t>
      </w:r>
      <w:r w:rsidR="00771E5D" w:rsidRPr="005304B4">
        <w:rPr>
          <w:color w:val="2D2D2D"/>
          <w:shd w:val="clear" w:color="auto" w:fill="FFFFFF"/>
        </w:rPr>
        <w:t xml:space="preserve">que </w:t>
      </w:r>
      <w:r w:rsidRPr="005304B4">
        <w:rPr>
          <w:color w:val="2D2D2D"/>
          <w:shd w:val="clear" w:color="auto" w:fill="FFFFFF"/>
        </w:rPr>
        <w:t xml:space="preserve">la familia </w:t>
      </w:r>
      <w:r w:rsidR="00771E5D" w:rsidRPr="005304B4">
        <w:rPr>
          <w:color w:val="2D2D2D"/>
          <w:shd w:val="clear" w:color="auto" w:fill="FFFFFF"/>
        </w:rPr>
        <w:t>es un</w:t>
      </w:r>
      <w:r w:rsidRPr="005304B4">
        <w:rPr>
          <w:color w:val="2D2D2D"/>
          <w:shd w:val="clear" w:color="auto" w:fill="FFFFFF"/>
        </w:rPr>
        <w:t xml:space="preserve"> “elemento natural y fundamental de la sociedad y tiene derecho a la protección de la sociedad y del Estado”</w:t>
      </w:r>
      <w:r w:rsidRPr="005304B4">
        <w:rPr>
          <w:rStyle w:val="Refdenotaalpie"/>
          <w:color w:val="2D2D2D"/>
          <w:shd w:val="clear" w:color="auto" w:fill="FFFFFF"/>
        </w:rPr>
        <w:footnoteReference w:id="177"/>
      </w:r>
      <w:r w:rsidR="00506160" w:rsidRPr="005304B4">
        <w:rPr>
          <w:color w:val="2D2D2D"/>
          <w:shd w:val="clear" w:color="auto" w:fill="FFFFFF"/>
        </w:rPr>
        <w:t>,</w:t>
      </w:r>
      <w:r w:rsidR="00771E5D" w:rsidRPr="005304B4">
        <w:rPr>
          <w:color w:val="2D2D2D"/>
          <w:shd w:val="clear" w:color="auto" w:fill="FFFFFF"/>
        </w:rPr>
        <w:t xml:space="preserve"> y se erige como base para el desarrollo de los hijos</w:t>
      </w:r>
      <w:r w:rsidR="00771E5D" w:rsidRPr="005304B4">
        <w:rPr>
          <w:rStyle w:val="Refdenotaalpie"/>
          <w:color w:val="2D2D2D"/>
          <w:shd w:val="clear" w:color="auto" w:fill="FFFFFF"/>
        </w:rPr>
        <w:footnoteReference w:id="178"/>
      </w:r>
      <w:r w:rsidR="00771E5D" w:rsidRPr="005304B4">
        <w:rPr>
          <w:color w:val="2D2D2D"/>
          <w:shd w:val="clear" w:color="auto" w:fill="FFFFFF"/>
        </w:rPr>
        <w:t xml:space="preserve">. </w:t>
      </w:r>
    </w:p>
    <w:p w14:paraId="2B249F95" w14:textId="77777777" w:rsidR="00232AD8" w:rsidRPr="005304B4" w:rsidRDefault="00232AD8" w:rsidP="00232AD8">
      <w:pPr>
        <w:tabs>
          <w:tab w:val="left" w:pos="284"/>
          <w:tab w:val="left" w:pos="426"/>
        </w:tabs>
        <w:rPr>
          <w:color w:val="000000" w:themeColor="text1"/>
          <w:sz w:val="28"/>
          <w:szCs w:val="28"/>
        </w:rPr>
      </w:pPr>
    </w:p>
    <w:p w14:paraId="208D731E" w14:textId="07B60587" w:rsidR="00CA20FF" w:rsidRPr="005304B4" w:rsidRDefault="00771E5D" w:rsidP="00CA20FF">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shd w:val="clear" w:color="auto" w:fill="FFFFFF"/>
        </w:rPr>
        <w:t>En particular, la Declaración de las Naciones Unidas sobre los Principios Sociales y Jurídicos Relativos a la Protección y el Bienestar de los Niños, con Particular Referencia a la Adopción y la Colocación en Hogares de Guarda</w:t>
      </w:r>
      <w:r w:rsidR="00506160" w:rsidRPr="005304B4">
        <w:rPr>
          <w:color w:val="000000" w:themeColor="text1"/>
          <w:shd w:val="clear" w:color="auto" w:fill="FFFFFF"/>
        </w:rPr>
        <w:t>,</w:t>
      </w:r>
      <w:r w:rsidRPr="005304B4">
        <w:rPr>
          <w:color w:val="000000" w:themeColor="text1"/>
          <w:shd w:val="clear" w:color="auto" w:fill="FFFFFF"/>
        </w:rPr>
        <w:t xml:space="preserve"> de 1986</w:t>
      </w:r>
      <w:r w:rsidRPr="005304B4">
        <w:rPr>
          <w:rStyle w:val="Refdenotaalpie"/>
          <w:color w:val="000000" w:themeColor="text1"/>
          <w:shd w:val="clear" w:color="auto" w:fill="FFFFFF"/>
        </w:rPr>
        <w:footnoteReference w:id="179"/>
      </w:r>
      <w:r w:rsidRPr="005304B4">
        <w:rPr>
          <w:color w:val="000000" w:themeColor="text1"/>
          <w:shd w:val="clear" w:color="auto" w:fill="FFFFFF"/>
        </w:rPr>
        <w:t>,</w:t>
      </w:r>
      <w:r w:rsidR="00D44E58" w:rsidRPr="005304B4">
        <w:rPr>
          <w:color w:val="000000" w:themeColor="text1"/>
          <w:shd w:val="clear" w:color="auto" w:fill="FFFFFF"/>
        </w:rPr>
        <w:t xml:space="preserve"> </w:t>
      </w:r>
      <w:r w:rsidRPr="005304B4">
        <w:rPr>
          <w:color w:val="000000" w:themeColor="text1"/>
          <w:shd w:val="clear" w:color="auto" w:fill="FFFFFF"/>
        </w:rPr>
        <w:t>indica que los Estados deberán conferir una alta prioridad al bienestar familiar e infantil, y que </w:t>
      </w:r>
      <w:r w:rsidRPr="005304B4">
        <w:rPr>
          <w:i/>
          <w:iCs/>
          <w:color w:val="000000" w:themeColor="text1"/>
          <w:shd w:val="clear" w:color="auto" w:fill="FFFFFF"/>
        </w:rPr>
        <w:t>“</w:t>
      </w:r>
      <w:r w:rsidRPr="005304B4">
        <w:rPr>
          <w:color w:val="000000" w:themeColor="text1"/>
          <w:shd w:val="clear" w:color="auto" w:fill="FFFFFF"/>
        </w:rPr>
        <w:t>el bienestar del niño depende del bienestar de la familia</w:t>
      </w:r>
      <w:r w:rsidRPr="005304B4">
        <w:rPr>
          <w:i/>
          <w:iCs/>
          <w:color w:val="000000" w:themeColor="text1"/>
          <w:shd w:val="clear" w:color="auto" w:fill="FFFFFF"/>
        </w:rPr>
        <w:t>”.</w:t>
      </w:r>
    </w:p>
    <w:p w14:paraId="47BF896B" w14:textId="77777777" w:rsidR="00CA20FF" w:rsidRPr="005304B4" w:rsidRDefault="00CA20FF" w:rsidP="00CA20FF">
      <w:pPr>
        <w:pStyle w:val="Prrafodelista"/>
        <w:tabs>
          <w:tab w:val="left" w:pos="284"/>
          <w:tab w:val="left" w:pos="426"/>
        </w:tabs>
        <w:ind w:left="0"/>
        <w:rPr>
          <w:color w:val="000000" w:themeColor="text1"/>
          <w:lang w:eastAsia="es-MX"/>
        </w:rPr>
      </w:pPr>
    </w:p>
    <w:p w14:paraId="42F1C755" w14:textId="3F160990" w:rsidR="00CA20FF" w:rsidRPr="005304B4" w:rsidRDefault="00661342" w:rsidP="00661342">
      <w:pPr>
        <w:pStyle w:val="Prrafodelista"/>
        <w:numPr>
          <w:ilvl w:val="0"/>
          <w:numId w:val="40"/>
        </w:numPr>
        <w:tabs>
          <w:tab w:val="left" w:pos="284"/>
          <w:tab w:val="left" w:pos="426"/>
        </w:tabs>
        <w:ind w:left="0" w:firstLine="0"/>
        <w:rPr>
          <w:color w:val="000000" w:themeColor="text1"/>
          <w:lang w:eastAsia="es-MX"/>
        </w:rPr>
      </w:pPr>
      <w:r w:rsidRPr="005304B4">
        <w:t>L</w:t>
      </w:r>
      <w:r w:rsidR="00CA20FF" w:rsidRPr="005304B4">
        <w:t xml:space="preserve">as normas que regulan los derechos de </w:t>
      </w:r>
      <w:r w:rsidR="00506160" w:rsidRPr="005304B4">
        <w:t>l</w:t>
      </w:r>
      <w:r w:rsidR="00915952" w:rsidRPr="005304B4">
        <w:t>os</w:t>
      </w:r>
      <w:r w:rsidR="00506160" w:rsidRPr="005304B4">
        <w:t xml:space="preserve"> niños</w:t>
      </w:r>
      <w:r w:rsidR="00CA20FF" w:rsidRPr="005304B4">
        <w:t xml:space="preserve"> “parten del supuesto sociológico según el cual el desarrollo armónico e integral del menor depende, en buena medida, de que crezca en un ambiente de afecto y solidaridad moral y material. Por esta razón, tales disposiciones protegen de manera especial a la familia como institución básica de la sociedad y como factor fundamental para el adecuado desarrollo del menor”</w:t>
      </w:r>
      <w:r w:rsidR="00CA20FF" w:rsidRPr="005304B4">
        <w:rPr>
          <w:rStyle w:val="Refdenotaalpie"/>
        </w:rPr>
        <w:footnoteReference w:id="180"/>
      </w:r>
      <w:r w:rsidR="00CA20FF" w:rsidRPr="005304B4">
        <w:t>.</w:t>
      </w:r>
      <w:r w:rsidRPr="005304B4">
        <w:rPr>
          <w:color w:val="000000" w:themeColor="text1"/>
          <w:lang w:eastAsia="es-MX"/>
        </w:rPr>
        <w:t xml:space="preserve"> </w:t>
      </w:r>
      <w:r w:rsidR="00CA20FF" w:rsidRPr="005304B4">
        <w:rPr>
          <w:color w:val="000000" w:themeColor="text1"/>
          <w:lang w:eastAsia="es-MX"/>
        </w:rPr>
        <w:t xml:space="preserve">La jurisprudencia constitucional ha explicado que el derecho a tener una familia es una condición para la materialización de </w:t>
      </w:r>
      <w:r w:rsidRPr="005304B4">
        <w:rPr>
          <w:color w:val="000000" w:themeColor="text1"/>
          <w:lang w:eastAsia="es-MX"/>
        </w:rPr>
        <w:t>otros derechos fundamentales. Por ello, es obligación del Estado</w:t>
      </w:r>
      <w:r w:rsidR="00D44E58" w:rsidRPr="005304B4">
        <w:rPr>
          <w:color w:val="000000" w:themeColor="text1"/>
          <w:lang w:eastAsia="es-MX"/>
        </w:rPr>
        <w:t xml:space="preserve"> </w:t>
      </w:r>
      <w:r w:rsidRPr="005304B4">
        <w:rPr>
          <w:color w:val="000000" w:themeColor="text1"/>
          <w:shd w:val="clear" w:color="auto" w:fill="FFFFFF"/>
        </w:rPr>
        <w:t>“asegurar el derecho de los niños, en particular de aquellos que se encuentran en situación de abandono”</w:t>
      </w:r>
      <w:r w:rsidRPr="005304B4">
        <w:rPr>
          <w:rStyle w:val="Refdenotaalpie"/>
          <w:color w:val="000000" w:themeColor="text1"/>
          <w:shd w:val="clear" w:color="auto" w:fill="FFFFFF"/>
        </w:rPr>
        <w:footnoteReference w:id="181"/>
      </w:r>
      <w:r w:rsidRPr="005304B4">
        <w:rPr>
          <w:color w:val="000000" w:themeColor="text1"/>
          <w:shd w:val="clear" w:color="auto" w:fill="FFFFFF"/>
        </w:rPr>
        <w:t xml:space="preserve">. </w:t>
      </w:r>
    </w:p>
    <w:p w14:paraId="1202769C" w14:textId="77777777" w:rsidR="00661342" w:rsidRPr="005304B4" w:rsidRDefault="00661342" w:rsidP="00661342">
      <w:pPr>
        <w:pStyle w:val="Prrafodelista"/>
        <w:rPr>
          <w:color w:val="000000" w:themeColor="text1"/>
          <w:lang w:eastAsia="es-MX"/>
        </w:rPr>
      </w:pPr>
    </w:p>
    <w:p w14:paraId="633F6494" w14:textId="41C0A7A3" w:rsidR="00661342" w:rsidRPr="005304B4" w:rsidRDefault="00661342" w:rsidP="00661342">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En los casos en que los </w:t>
      </w:r>
      <w:r w:rsidR="00506160" w:rsidRPr="005304B4">
        <w:rPr>
          <w:color w:val="000000" w:themeColor="text1"/>
          <w:lang w:eastAsia="es-MX"/>
        </w:rPr>
        <w:t>niños, niñas y adolescentes</w:t>
      </w:r>
      <w:r w:rsidRPr="005304B4">
        <w:rPr>
          <w:color w:val="000000" w:themeColor="text1"/>
          <w:lang w:eastAsia="es-MX"/>
        </w:rPr>
        <w:t xml:space="preserve"> no tengan una familia que los asista, ya sea por el abandono de sus padres biológicos o por cualquier otra causa, </w:t>
      </w:r>
      <w:r w:rsidRPr="005304B4">
        <w:rPr>
          <w:color w:val="2D2D2D"/>
          <w:shd w:val="clear" w:color="auto" w:fill="FFFFFF"/>
        </w:rPr>
        <w:t xml:space="preserve">y los </w:t>
      </w:r>
      <w:r w:rsidRPr="005304B4">
        <w:rPr>
          <w:color w:val="000000" w:themeColor="text1"/>
          <w:shd w:val="clear" w:color="auto" w:fill="FFFFFF"/>
        </w:rPr>
        <w:t xml:space="preserve">demás familiares directos incumplen </w:t>
      </w:r>
      <w:r w:rsidR="00506160" w:rsidRPr="005304B4">
        <w:rPr>
          <w:color w:val="000000" w:themeColor="text1"/>
          <w:shd w:val="clear" w:color="auto" w:fill="FFFFFF"/>
        </w:rPr>
        <w:t xml:space="preserve">o no pueden asumir </w:t>
      </w:r>
      <w:r w:rsidRPr="005304B4">
        <w:rPr>
          <w:color w:val="000000" w:themeColor="text1"/>
          <w:shd w:val="clear" w:color="auto" w:fill="FFFFFF"/>
        </w:rPr>
        <w:t>sus deberes de asistencia y socorro, “es el Estado quien debe ejercer la defensa de sus derechos al igual que su cuidado y protección”</w:t>
      </w:r>
      <w:r w:rsidRPr="005304B4">
        <w:rPr>
          <w:rStyle w:val="Refdenotaalpie"/>
          <w:color w:val="000000" w:themeColor="text1"/>
          <w:shd w:val="clear" w:color="auto" w:fill="FFFFFF"/>
        </w:rPr>
        <w:footnoteReference w:id="182"/>
      </w:r>
      <w:r w:rsidRPr="005304B4">
        <w:rPr>
          <w:color w:val="000000" w:themeColor="text1"/>
          <w:shd w:val="clear" w:color="auto" w:fill="FFFFFF"/>
        </w:rPr>
        <w:t>. La adopción, entonces, constituye una de las medidas establecidas tanto por instrumentos internacionales como por el legislador colombiano para asegurar la protección de los niños que se encuentren en tal situación.</w:t>
      </w:r>
    </w:p>
    <w:p w14:paraId="0964ACE9" w14:textId="77777777" w:rsidR="00661342" w:rsidRPr="005304B4" w:rsidRDefault="00661342" w:rsidP="00661342">
      <w:pPr>
        <w:pStyle w:val="Prrafodelista"/>
        <w:rPr>
          <w:color w:val="000000" w:themeColor="text1"/>
          <w:lang w:eastAsia="es-MX"/>
        </w:rPr>
      </w:pPr>
    </w:p>
    <w:p w14:paraId="7C1D9F0C" w14:textId="0D8DCB14" w:rsidR="007E5361" w:rsidRPr="005304B4" w:rsidRDefault="00661342" w:rsidP="00661342">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La Convención sobre los Derechos del Niño consagra la adopción en su artículo 21 y determina que los Estados que la permitan deben propender por el interés superior del </w:t>
      </w:r>
      <w:r w:rsidR="00506160" w:rsidRPr="005304B4">
        <w:rPr>
          <w:color w:val="000000" w:themeColor="text1"/>
          <w:lang w:eastAsia="es-MX"/>
        </w:rPr>
        <w:t>niño</w:t>
      </w:r>
      <w:r w:rsidR="005335AB" w:rsidRPr="005304B4">
        <w:rPr>
          <w:rStyle w:val="Refdenotaalpie"/>
          <w:color w:val="000000" w:themeColor="text1"/>
          <w:lang w:eastAsia="es-MX"/>
        </w:rPr>
        <w:footnoteReference w:id="183"/>
      </w:r>
      <w:r w:rsidRPr="005304B4">
        <w:rPr>
          <w:color w:val="000000" w:themeColor="text1"/>
          <w:lang w:eastAsia="es-MX"/>
        </w:rPr>
        <w:t>. Por su parte, la Asamblea General de las Naciones</w:t>
      </w:r>
      <w:r w:rsidR="00EF03B8" w:rsidRPr="005304B4">
        <w:rPr>
          <w:color w:val="000000" w:themeColor="text1"/>
          <w:lang w:eastAsia="es-MX"/>
        </w:rPr>
        <w:t xml:space="preserve"> Unidas</w:t>
      </w:r>
      <w:r w:rsidRPr="005304B4">
        <w:rPr>
          <w:color w:val="000000" w:themeColor="text1"/>
          <w:lang w:eastAsia="es-MX"/>
        </w:rPr>
        <w:t xml:space="preserve">, en su resolución 41/85 de 1986, precisa que cuando la familia no pueda ocuparse de los </w:t>
      </w:r>
      <w:r w:rsidR="00506160" w:rsidRPr="005304B4">
        <w:rPr>
          <w:color w:val="000000" w:themeColor="text1"/>
          <w:lang w:eastAsia="es-MX"/>
        </w:rPr>
        <w:t>niños</w:t>
      </w:r>
      <w:r w:rsidRPr="005304B4">
        <w:rPr>
          <w:color w:val="000000" w:themeColor="text1"/>
          <w:lang w:eastAsia="es-MX"/>
        </w:rPr>
        <w:t>, debe considerarse la posibilidad de que estos queden a cargo de una familia sustitutiva -adoptiva o guarda-</w:t>
      </w:r>
      <w:r w:rsidRPr="005304B4">
        <w:rPr>
          <w:rStyle w:val="Refdenotaalpie"/>
          <w:color w:val="000000" w:themeColor="text1"/>
          <w:lang w:eastAsia="es-MX"/>
        </w:rPr>
        <w:footnoteReference w:id="184"/>
      </w:r>
      <w:r w:rsidR="00461AC2" w:rsidRPr="005304B4">
        <w:rPr>
          <w:color w:val="000000" w:themeColor="text1"/>
          <w:lang w:eastAsia="es-MX"/>
        </w:rPr>
        <w:t xml:space="preserve">. </w:t>
      </w:r>
      <w:r w:rsidR="007E5361" w:rsidRPr="005304B4">
        <w:rPr>
          <w:color w:val="000000" w:themeColor="text1"/>
          <w:lang w:eastAsia="es-MX"/>
        </w:rPr>
        <w:t>En Colombia, la adopción encuentra fundamento constitucional en el inciso 6 del artículo 42, puesto que se refiere expresamente a esta institución, al establecer para los hijos adoptados o procreados naturalmente o con asistencia científica,</w:t>
      </w:r>
      <w:r w:rsidR="00D44E58" w:rsidRPr="005304B4">
        <w:rPr>
          <w:color w:val="000000" w:themeColor="text1"/>
          <w:lang w:eastAsia="es-MX"/>
        </w:rPr>
        <w:t xml:space="preserve"> </w:t>
      </w:r>
      <w:r w:rsidR="007E5361" w:rsidRPr="005304B4">
        <w:rPr>
          <w:color w:val="000000" w:themeColor="text1"/>
          <w:lang w:eastAsia="es-MX"/>
        </w:rPr>
        <w:t>los mismos derechos y deberes que para los habidos en el matrimonio o fuera de él.</w:t>
      </w:r>
    </w:p>
    <w:p w14:paraId="5D9B7431" w14:textId="77777777" w:rsidR="00461AC2" w:rsidRPr="005304B4" w:rsidRDefault="00461AC2" w:rsidP="007E5361">
      <w:pPr>
        <w:tabs>
          <w:tab w:val="left" w:pos="284"/>
          <w:tab w:val="left" w:pos="426"/>
        </w:tabs>
        <w:rPr>
          <w:color w:val="000000" w:themeColor="text1"/>
          <w:sz w:val="28"/>
          <w:szCs w:val="28"/>
        </w:rPr>
      </w:pPr>
    </w:p>
    <w:p w14:paraId="7C418786" w14:textId="171FC08A" w:rsidR="007E5361" w:rsidRPr="005304B4" w:rsidRDefault="00461AC2" w:rsidP="00ED3F5C">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La Corte Constitucional</w:t>
      </w:r>
      <w:r w:rsidR="007E5361" w:rsidRPr="005304B4">
        <w:rPr>
          <w:color w:val="000000" w:themeColor="text1"/>
          <w:lang w:eastAsia="es-MX"/>
        </w:rPr>
        <w:t>,</w:t>
      </w:r>
      <w:r w:rsidRPr="005304B4">
        <w:rPr>
          <w:color w:val="000000" w:themeColor="text1"/>
          <w:lang w:eastAsia="es-MX"/>
        </w:rPr>
        <w:t xml:space="preserve"> </w:t>
      </w:r>
      <w:r w:rsidR="007E5361" w:rsidRPr="005304B4">
        <w:rPr>
          <w:color w:val="000000" w:themeColor="text1"/>
          <w:lang w:eastAsia="es-MX"/>
        </w:rPr>
        <w:t xml:space="preserve">para explicar en qué consiste esta institución, </w:t>
      </w:r>
      <w:r w:rsidRPr="005304B4">
        <w:rPr>
          <w:color w:val="000000" w:themeColor="text1"/>
          <w:lang w:eastAsia="es-MX"/>
        </w:rPr>
        <w:t>retom</w:t>
      </w:r>
      <w:r w:rsidR="00ED3F5C" w:rsidRPr="005304B4">
        <w:rPr>
          <w:color w:val="000000" w:themeColor="text1"/>
          <w:lang w:eastAsia="es-MX"/>
        </w:rPr>
        <w:t>ó</w:t>
      </w:r>
      <w:r w:rsidRPr="005304B4">
        <w:rPr>
          <w:color w:val="000000" w:themeColor="text1"/>
          <w:lang w:eastAsia="es-MX"/>
        </w:rPr>
        <w:t xml:space="preserve"> el concepto consignado en el artículo 88 del Decreto 2737 de 1989</w:t>
      </w:r>
      <w:r w:rsidRPr="005304B4">
        <w:rPr>
          <w:rStyle w:val="Refdenotaalpie"/>
          <w:color w:val="000000" w:themeColor="text1"/>
          <w:lang w:eastAsia="es-MX"/>
        </w:rPr>
        <w:footnoteReference w:id="185"/>
      </w:r>
      <w:r w:rsidR="00ED3F5C" w:rsidRPr="005304B4">
        <w:rPr>
          <w:color w:val="000000" w:themeColor="text1"/>
          <w:lang w:eastAsia="es-MX"/>
        </w:rPr>
        <w:t>, mediante el cual se</w:t>
      </w:r>
      <w:r w:rsidR="007E5361" w:rsidRPr="005304B4">
        <w:rPr>
          <w:color w:val="000000" w:themeColor="text1"/>
          <w:lang w:eastAsia="es-MX"/>
        </w:rPr>
        <w:t xml:space="preserve"> señala</w:t>
      </w:r>
      <w:r w:rsidR="00ED3F5C" w:rsidRPr="005304B4">
        <w:rPr>
          <w:color w:val="000000" w:themeColor="text1"/>
          <w:lang w:eastAsia="es-MX"/>
        </w:rPr>
        <w:t xml:space="preserve"> que “la adopción es principalmente y por excelencia, una medida de protección, a través de la cual, bajo la suprema vigilancia del Estado, se establece de manera irrevocable, la relación paterno-filial entre personas que no la tienen por naturaleza”</w:t>
      </w:r>
      <w:r w:rsidR="00147F04" w:rsidRPr="005304B4">
        <w:rPr>
          <w:rStyle w:val="Refdenotaalpie"/>
          <w:color w:val="000000" w:themeColor="text1"/>
          <w:lang w:eastAsia="es-MX"/>
        </w:rPr>
        <w:footnoteReference w:id="186"/>
      </w:r>
      <w:r w:rsidR="00ED3F5C" w:rsidRPr="005304B4">
        <w:rPr>
          <w:color w:val="000000" w:themeColor="text1"/>
          <w:lang w:eastAsia="es-MX"/>
        </w:rPr>
        <w:t xml:space="preserve">. </w:t>
      </w:r>
    </w:p>
    <w:p w14:paraId="78F92400" w14:textId="77777777" w:rsidR="007E5361" w:rsidRPr="005304B4" w:rsidRDefault="007E5361" w:rsidP="007E5361">
      <w:pPr>
        <w:pStyle w:val="Prrafodelista"/>
        <w:rPr>
          <w:color w:val="000000" w:themeColor="text1"/>
          <w:lang w:eastAsia="es-MX"/>
        </w:rPr>
      </w:pPr>
    </w:p>
    <w:p w14:paraId="2CEE5639" w14:textId="11D3A2F7" w:rsidR="00A30312" w:rsidRPr="005304B4" w:rsidRDefault="007E5361" w:rsidP="00ED3F5C">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Desde sus primeros pronunciamientos, esta Corporación, al interpretar el alcance constitucional de la adopción, precisó que la finalidad de la institución es garantizar la protección integral del menor</w:t>
      </w:r>
      <w:r w:rsidR="00506160" w:rsidRPr="005304B4">
        <w:rPr>
          <w:color w:val="000000" w:themeColor="text1"/>
          <w:lang w:eastAsia="es-MX"/>
        </w:rPr>
        <w:t xml:space="preserve"> de 18 años</w:t>
      </w:r>
      <w:r w:rsidRPr="005304B4">
        <w:rPr>
          <w:color w:val="000000" w:themeColor="text1"/>
          <w:lang w:eastAsia="es-MX"/>
        </w:rPr>
        <w:t xml:space="preserve"> mediante su integración en un hogar adecuado y estable, que le permita desarrollarse en los ámbitos físico, emocional, intelectual, espiritual y social</w:t>
      </w:r>
      <w:r w:rsidR="00A30312" w:rsidRPr="005304B4">
        <w:rPr>
          <w:rStyle w:val="Refdenotaalpie"/>
          <w:color w:val="000000" w:themeColor="text1"/>
          <w:lang w:eastAsia="es-MX"/>
        </w:rPr>
        <w:footnoteReference w:id="187"/>
      </w:r>
      <w:r w:rsidRPr="005304B4">
        <w:rPr>
          <w:color w:val="000000" w:themeColor="text1"/>
          <w:lang w:eastAsia="es-MX"/>
        </w:rPr>
        <w:t>.</w:t>
      </w:r>
      <w:r w:rsidR="00883C5B" w:rsidRPr="005304B4">
        <w:rPr>
          <w:color w:val="000000" w:themeColor="text1"/>
          <w:lang w:eastAsia="es-MX"/>
        </w:rPr>
        <w:t xml:space="preserve"> </w:t>
      </w:r>
    </w:p>
    <w:p w14:paraId="4E6E8C11" w14:textId="77777777" w:rsidR="00A30312" w:rsidRPr="005304B4" w:rsidRDefault="00A30312" w:rsidP="00A30312">
      <w:pPr>
        <w:pStyle w:val="Prrafodelista"/>
        <w:rPr>
          <w:color w:val="000000" w:themeColor="text1"/>
          <w:lang w:eastAsia="es-MX"/>
        </w:rPr>
      </w:pPr>
    </w:p>
    <w:p w14:paraId="2F11C157" w14:textId="7968D445" w:rsidR="007E5361" w:rsidRPr="005304B4" w:rsidRDefault="00883C5B" w:rsidP="00A30312">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Asimismo, suplir las relaciones de filiación perdidas o que nunca se tuvieron y que, por lo mismo, se encuentra en condición jurídica de adoptabilidad, esto es, en situación de ser integrado a un nuevo entorno familiar en donde se restablezcan los lazos rotos y, sobre todo, se brinde al </w:t>
      </w:r>
      <w:r w:rsidR="00506160" w:rsidRPr="005304B4">
        <w:rPr>
          <w:color w:val="000000" w:themeColor="text1"/>
          <w:lang w:eastAsia="es-MX"/>
        </w:rPr>
        <w:t>adoptivo</w:t>
      </w:r>
      <w:r w:rsidRPr="005304B4">
        <w:rPr>
          <w:color w:val="000000" w:themeColor="text1"/>
          <w:lang w:eastAsia="es-MX"/>
        </w:rPr>
        <w:t xml:space="preserve"> las condiciones para su plena y adecuada formación.</w:t>
      </w:r>
      <w:r w:rsidR="00D404B9" w:rsidRPr="005304B4">
        <w:rPr>
          <w:color w:val="000000" w:themeColor="text1"/>
          <w:lang w:eastAsia="es-MX"/>
        </w:rPr>
        <w:t xml:space="preserve"> Por tanto, la adopción es un mecanismo para dar una familia al </w:t>
      </w:r>
      <w:r w:rsidR="00506160" w:rsidRPr="005304B4">
        <w:rPr>
          <w:color w:val="000000" w:themeColor="text1"/>
          <w:lang w:eastAsia="es-MX"/>
        </w:rPr>
        <w:t>niño,</w:t>
      </w:r>
      <w:r w:rsidR="00D404B9" w:rsidRPr="005304B4">
        <w:rPr>
          <w:color w:val="000000" w:themeColor="text1"/>
          <w:lang w:eastAsia="es-MX"/>
        </w:rPr>
        <w:t xml:space="preserve"> y no dar un niño a una familia</w:t>
      </w:r>
      <w:r w:rsidR="00D404B9" w:rsidRPr="005304B4">
        <w:rPr>
          <w:rStyle w:val="Refdenotaalpie"/>
          <w:color w:val="000000" w:themeColor="text1"/>
          <w:lang w:eastAsia="es-MX"/>
        </w:rPr>
        <w:footnoteReference w:id="188"/>
      </w:r>
      <w:r w:rsidR="00D404B9" w:rsidRPr="005304B4">
        <w:rPr>
          <w:color w:val="000000" w:themeColor="text1"/>
          <w:lang w:eastAsia="es-MX"/>
        </w:rPr>
        <w:t>.</w:t>
      </w:r>
      <w:r w:rsidR="00A30312" w:rsidRPr="005304B4">
        <w:rPr>
          <w:color w:val="000000" w:themeColor="text1"/>
          <w:lang w:eastAsia="es-MX"/>
        </w:rPr>
        <w:t xml:space="preserve"> </w:t>
      </w:r>
      <w:r w:rsidR="007E5361" w:rsidRPr="005304B4">
        <w:rPr>
          <w:color w:val="000000" w:themeColor="text1"/>
          <w:lang w:eastAsia="es-MX"/>
        </w:rPr>
        <w:t xml:space="preserve">En consecuencia, la adopción no persigue la mera transmisión del apellido o del patrimonio, sino la conformación de una auténtica familia, equiparable </w:t>
      </w:r>
      <w:r w:rsidR="00506160" w:rsidRPr="005304B4">
        <w:rPr>
          <w:color w:val="000000" w:themeColor="text1"/>
          <w:lang w:eastAsia="es-MX"/>
        </w:rPr>
        <w:t xml:space="preserve">jurídica y socialmente </w:t>
      </w:r>
      <w:r w:rsidR="007E5361" w:rsidRPr="005304B4">
        <w:rPr>
          <w:color w:val="000000" w:themeColor="text1"/>
          <w:lang w:eastAsia="es-MX"/>
        </w:rPr>
        <w:t>a aquella surgida de los vínculos consanguíneos</w:t>
      </w:r>
      <w:r w:rsidR="007E5361" w:rsidRPr="005304B4">
        <w:rPr>
          <w:rStyle w:val="Refdenotaalpie"/>
          <w:color w:val="000000" w:themeColor="text1"/>
          <w:lang w:eastAsia="es-MX"/>
        </w:rPr>
        <w:footnoteReference w:id="189"/>
      </w:r>
      <w:r w:rsidR="007E5361" w:rsidRPr="005304B4">
        <w:rPr>
          <w:color w:val="000000" w:themeColor="text1"/>
          <w:lang w:eastAsia="es-MX"/>
        </w:rPr>
        <w:t>.</w:t>
      </w:r>
    </w:p>
    <w:p w14:paraId="7A364181" w14:textId="77777777" w:rsidR="00A30312" w:rsidRPr="005304B4" w:rsidRDefault="00A30312" w:rsidP="00A30312">
      <w:pPr>
        <w:pStyle w:val="Prrafodelista"/>
        <w:rPr>
          <w:color w:val="000000" w:themeColor="text1"/>
          <w:lang w:eastAsia="es-MX"/>
        </w:rPr>
      </w:pPr>
    </w:p>
    <w:p w14:paraId="71DB0406" w14:textId="11148737" w:rsidR="00A30312" w:rsidRPr="005304B4" w:rsidRDefault="00A30312" w:rsidP="00A30312">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Entonces, como </w:t>
      </w:r>
      <w:r w:rsidR="00264845" w:rsidRPr="005304B4">
        <w:rPr>
          <w:color w:val="000000" w:themeColor="text1"/>
          <w:lang w:eastAsia="es-MX"/>
        </w:rPr>
        <w:t>en e</w:t>
      </w:r>
      <w:r w:rsidRPr="005304B4">
        <w:rPr>
          <w:color w:val="000000" w:themeColor="text1"/>
          <w:lang w:eastAsia="es-MX"/>
        </w:rPr>
        <w:t xml:space="preserve">l proceso </w:t>
      </w:r>
      <w:r w:rsidR="00264845" w:rsidRPr="005304B4">
        <w:rPr>
          <w:color w:val="000000" w:themeColor="text1"/>
          <w:lang w:eastAsia="es-MX"/>
        </w:rPr>
        <w:t>de adopción</w:t>
      </w:r>
      <w:r w:rsidRPr="005304B4">
        <w:rPr>
          <w:color w:val="000000" w:themeColor="text1"/>
          <w:lang w:eastAsia="es-MX"/>
        </w:rPr>
        <w:t xml:space="preserve"> lo que prima es el interés superior del </w:t>
      </w:r>
      <w:r w:rsidR="00506160" w:rsidRPr="005304B4">
        <w:rPr>
          <w:color w:val="000000" w:themeColor="text1"/>
          <w:lang w:eastAsia="es-MX"/>
        </w:rPr>
        <w:t>niño</w:t>
      </w:r>
      <w:r w:rsidRPr="005304B4">
        <w:rPr>
          <w:color w:val="000000" w:themeColor="text1"/>
          <w:lang w:eastAsia="es-MX"/>
        </w:rPr>
        <w:t xml:space="preserve">, el Estado tiene la obligación de asegurar </w:t>
      </w:r>
      <w:r w:rsidRPr="005304B4">
        <w:rPr>
          <w:color w:val="000000" w:themeColor="text1"/>
          <w:shd w:val="clear" w:color="auto" w:fill="FFFFFF"/>
        </w:rPr>
        <w:t xml:space="preserve">que quien o quienes aspiren a hacer parte de una nueva familia reúnan todas y cada una de las exigencias de idoneidad para cumplir su nuevo rol, procurando siempre potenciar el desarrollo integral del </w:t>
      </w:r>
      <w:r w:rsidR="00506160" w:rsidRPr="005304B4">
        <w:rPr>
          <w:color w:val="000000" w:themeColor="text1"/>
          <w:shd w:val="clear" w:color="auto" w:fill="FFFFFF"/>
        </w:rPr>
        <w:t>adoptivo.</w:t>
      </w:r>
    </w:p>
    <w:p w14:paraId="01C5B7E2" w14:textId="77777777" w:rsidR="00147F04" w:rsidRPr="005304B4" w:rsidRDefault="00147F04" w:rsidP="00147F04">
      <w:pPr>
        <w:pStyle w:val="Prrafodelista"/>
        <w:rPr>
          <w:color w:val="000000" w:themeColor="text1"/>
          <w:lang w:eastAsia="es-MX"/>
        </w:rPr>
      </w:pPr>
    </w:p>
    <w:p w14:paraId="7DC18FC3" w14:textId="5F049378" w:rsidR="007E5361" w:rsidRPr="005304B4" w:rsidRDefault="00147F04" w:rsidP="007E536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lang w:eastAsia="es-MX"/>
        </w:rPr>
        <w:t xml:space="preserve">Actualmente, la adopción </w:t>
      </w:r>
      <w:r w:rsidR="00264845" w:rsidRPr="005304B4">
        <w:rPr>
          <w:color w:val="000000" w:themeColor="text1"/>
          <w:lang w:eastAsia="es-MX"/>
        </w:rPr>
        <w:t>es regulada por el Código de Infancia y la Adolescencia</w:t>
      </w:r>
      <w:r w:rsidR="00264845" w:rsidRPr="005304B4">
        <w:rPr>
          <w:rStyle w:val="Refdenotaalpie"/>
          <w:color w:val="000000" w:themeColor="text1"/>
          <w:lang w:eastAsia="es-MX"/>
        </w:rPr>
        <w:footnoteReference w:id="190"/>
      </w:r>
      <w:r w:rsidR="00264845" w:rsidRPr="005304B4">
        <w:rPr>
          <w:color w:val="000000" w:themeColor="text1"/>
          <w:lang w:eastAsia="es-MX"/>
        </w:rPr>
        <w:t xml:space="preserve">. </w:t>
      </w:r>
      <w:r w:rsidR="00264845" w:rsidRPr="005304B4">
        <w:rPr>
          <w:color w:val="000000" w:themeColor="text1"/>
          <w:shd w:val="clear" w:color="auto" w:fill="FFFFFF"/>
        </w:rPr>
        <w:t>Allí se contempla que es una medida de restablecimiento de los derechos de los niños, niñas y adolescentes</w:t>
      </w:r>
      <w:r w:rsidR="00264845" w:rsidRPr="005304B4">
        <w:rPr>
          <w:rStyle w:val="Refdenotaalpie"/>
          <w:color w:val="000000" w:themeColor="text1"/>
          <w:shd w:val="clear" w:color="auto" w:fill="FFFFFF"/>
        </w:rPr>
        <w:footnoteReference w:id="191"/>
      </w:r>
      <w:r w:rsidR="00264845" w:rsidRPr="005304B4">
        <w:rPr>
          <w:color w:val="000000" w:themeColor="text1"/>
          <w:shd w:val="clear" w:color="auto" w:fill="FFFFFF"/>
        </w:rPr>
        <w:t xml:space="preserve"> y </w:t>
      </w:r>
      <w:r w:rsidR="00506160" w:rsidRPr="005304B4">
        <w:rPr>
          <w:color w:val="000000" w:themeColor="text1"/>
          <w:shd w:val="clear" w:color="auto" w:fill="FFFFFF"/>
        </w:rPr>
        <w:t xml:space="preserve">se </w:t>
      </w:r>
      <w:r w:rsidR="00264845" w:rsidRPr="005304B4">
        <w:rPr>
          <w:color w:val="000000" w:themeColor="text1"/>
          <w:shd w:val="clear" w:color="auto" w:fill="FFFFFF"/>
        </w:rPr>
        <w:t>retoma el concepto del Decreto 2737 de 1989. Dicho Código faculta al Instituto Colombiano de Bienestar Familiar la posibilidad de desarrollar programas de adopción y autorizar a ciertas instituciones para llevarlos a cabo</w:t>
      </w:r>
      <w:r w:rsidR="0004648A" w:rsidRPr="005304B4">
        <w:rPr>
          <w:rStyle w:val="Refdenotaalpie"/>
          <w:color w:val="000000" w:themeColor="text1"/>
          <w:shd w:val="clear" w:color="auto" w:fill="FFFFFF"/>
        </w:rPr>
        <w:footnoteReference w:id="192"/>
      </w:r>
      <w:r w:rsidR="0004648A" w:rsidRPr="005304B4">
        <w:rPr>
          <w:color w:val="000000" w:themeColor="text1"/>
          <w:shd w:val="clear" w:color="auto" w:fill="FFFFFF"/>
        </w:rPr>
        <w:t>. De igual forma determina que los efectos jurídicos que conlleva la adopción son los inherentes a la relación de parentesco que subyace entre padres e hijos</w:t>
      </w:r>
      <w:r w:rsidR="0004648A" w:rsidRPr="005304B4">
        <w:rPr>
          <w:rStyle w:val="Refdenotaalpie"/>
          <w:color w:val="000000" w:themeColor="text1"/>
          <w:shd w:val="clear" w:color="auto" w:fill="FFFFFF"/>
        </w:rPr>
        <w:footnoteReference w:id="193"/>
      </w:r>
      <w:r w:rsidR="0004648A" w:rsidRPr="005304B4">
        <w:rPr>
          <w:color w:val="000000" w:themeColor="text1"/>
          <w:shd w:val="clear" w:color="auto" w:fill="FFFFFF"/>
        </w:rPr>
        <w:t xml:space="preserve"> y consagra el principio de solidaridad familiar</w:t>
      </w:r>
      <w:r w:rsidR="0004648A" w:rsidRPr="005304B4">
        <w:rPr>
          <w:rStyle w:val="Refdenotaalpie"/>
          <w:color w:val="000000" w:themeColor="text1"/>
          <w:shd w:val="clear" w:color="auto" w:fill="FFFFFF"/>
        </w:rPr>
        <w:footnoteReference w:id="194"/>
      </w:r>
      <w:r w:rsidR="0004648A" w:rsidRPr="005304B4">
        <w:rPr>
          <w:color w:val="000000" w:themeColor="text1"/>
          <w:shd w:val="clear" w:color="auto" w:fill="FFFFFF"/>
        </w:rPr>
        <w:t>, entre otros aspectos.</w:t>
      </w:r>
    </w:p>
    <w:p w14:paraId="552DCEFB" w14:textId="77777777" w:rsidR="006D477A" w:rsidRPr="005304B4" w:rsidRDefault="006D477A" w:rsidP="006D477A">
      <w:pPr>
        <w:pStyle w:val="Prrafodelista"/>
        <w:tabs>
          <w:tab w:val="left" w:pos="284"/>
          <w:tab w:val="left" w:pos="426"/>
        </w:tabs>
        <w:ind w:left="0"/>
        <w:rPr>
          <w:color w:val="000000" w:themeColor="text1"/>
          <w:lang w:eastAsia="es-MX"/>
        </w:rPr>
      </w:pPr>
    </w:p>
    <w:p w14:paraId="335D655B" w14:textId="40B443A1" w:rsidR="00506160" w:rsidRPr="005304B4" w:rsidRDefault="00506160" w:rsidP="007E5361">
      <w:pPr>
        <w:pStyle w:val="Prrafodelista"/>
        <w:numPr>
          <w:ilvl w:val="0"/>
          <w:numId w:val="40"/>
        </w:numPr>
        <w:tabs>
          <w:tab w:val="left" w:pos="284"/>
          <w:tab w:val="left" w:pos="426"/>
        </w:tabs>
        <w:ind w:left="0" w:firstLine="0"/>
        <w:rPr>
          <w:color w:val="000000" w:themeColor="text1"/>
          <w:lang w:eastAsia="es-MX"/>
        </w:rPr>
      </w:pPr>
      <w:r w:rsidRPr="005304B4">
        <w:rPr>
          <w:color w:val="000000" w:themeColor="text1"/>
          <w:shd w:val="clear" w:color="auto" w:fill="FFFFFF"/>
        </w:rPr>
        <w:t>Con base en estas consideraciones, la Sala procederá a analizar el cargo de constitucionalidad planteado</w:t>
      </w:r>
      <w:r w:rsidR="006D477A" w:rsidRPr="005304B4">
        <w:rPr>
          <w:color w:val="000000" w:themeColor="text1"/>
          <w:shd w:val="clear" w:color="auto" w:fill="FFFFFF"/>
        </w:rPr>
        <w:t xml:space="preserve"> y a resolver los problemas jurídicos formulados de manera previa.</w:t>
      </w:r>
    </w:p>
    <w:p w14:paraId="542BF5B7" w14:textId="2D977436" w:rsidR="002840FE" w:rsidRPr="005304B4" w:rsidRDefault="002840FE" w:rsidP="002840FE">
      <w:pPr>
        <w:tabs>
          <w:tab w:val="left" w:pos="284"/>
          <w:tab w:val="left" w:pos="426"/>
        </w:tabs>
        <w:rPr>
          <w:color w:val="000000" w:themeColor="text1"/>
          <w:sz w:val="28"/>
          <w:szCs w:val="28"/>
        </w:rPr>
      </w:pPr>
    </w:p>
    <w:p w14:paraId="325F2599" w14:textId="047A11FF" w:rsidR="002840FE" w:rsidRPr="005304B4" w:rsidRDefault="002840FE" w:rsidP="002840FE">
      <w:pPr>
        <w:pStyle w:val="Ttulo2"/>
      </w:pPr>
      <w:bookmarkStart w:id="44" w:name="_Toc224553760"/>
      <w:r w:rsidRPr="005304B4">
        <w:t xml:space="preserve">8. </w:t>
      </w:r>
      <w:r w:rsidR="00536956" w:rsidRPr="005304B4">
        <w:t>S</w:t>
      </w:r>
      <w:r w:rsidR="00534C7C" w:rsidRPr="005304B4">
        <w:t xml:space="preserve">olución del problema jurídico. </w:t>
      </w:r>
      <w:r w:rsidR="00B03B71" w:rsidRPr="005304B4">
        <w:t xml:space="preserve">Las expresiones objeto de control constitucional </w:t>
      </w:r>
      <w:r w:rsidR="00BD65B9" w:rsidRPr="005304B4">
        <w:t>desconocen el</w:t>
      </w:r>
      <w:r w:rsidR="00B03B71" w:rsidRPr="005304B4">
        <w:t xml:space="preserve"> principio de igualdad</w:t>
      </w:r>
      <w:bookmarkEnd w:id="44"/>
    </w:p>
    <w:p w14:paraId="46619A66" w14:textId="77777777" w:rsidR="007F1A05" w:rsidRPr="005304B4" w:rsidRDefault="007F1A05" w:rsidP="007F1A05">
      <w:pPr>
        <w:rPr>
          <w:sz w:val="28"/>
          <w:szCs w:val="28"/>
          <w:lang w:eastAsia="es-CO"/>
        </w:rPr>
      </w:pPr>
    </w:p>
    <w:p w14:paraId="56FB7B8E" w14:textId="02122B02" w:rsidR="007F1A05" w:rsidRPr="005304B4" w:rsidRDefault="00534C7C" w:rsidP="00534C7C">
      <w:pPr>
        <w:pStyle w:val="Prrafodelista"/>
        <w:numPr>
          <w:ilvl w:val="0"/>
          <w:numId w:val="40"/>
        </w:numPr>
        <w:tabs>
          <w:tab w:val="left" w:pos="284"/>
          <w:tab w:val="left" w:pos="426"/>
        </w:tabs>
        <w:ind w:left="0" w:firstLine="0"/>
      </w:pPr>
      <w:r w:rsidRPr="005304B4">
        <w:t>Según se indicó previamente, los demandantes cuestionan la constitucionalidad</w:t>
      </w:r>
      <w:r w:rsidR="00DD0916" w:rsidRPr="005304B4">
        <w:t xml:space="preserve"> de la expresión “la madre adoptante” incorporada en el numeral 4 del artículo 2 de la Ley 2114 de 2021, al considerar que vulnera el principio de igualdad, consagrado en el artículo 13 de la Constitución Política.</w:t>
      </w:r>
    </w:p>
    <w:p w14:paraId="1A3F93E0" w14:textId="77777777" w:rsidR="006731B7" w:rsidRPr="005304B4" w:rsidRDefault="006731B7" w:rsidP="006731B7">
      <w:pPr>
        <w:pStyle w:val="Prrafodelista"/>
        <w:tabs>
          <w:tab w:val="left" w:pos="284"/>
          <w:tab w:val="left" w:pos="426"/>
        </w:tabs>
        <w:ind w:left="0"/>
      </w:pPr>
    </w:p>
    <w:p w14:paraId="60B87910" w14:textId="77777777" w:rsidR="00712DB0" w:rsidRPr="005304B4" w:rsidRDefault="00DD0916" w:rsidP="00712DB0">
      <w:pPr>
        <w:pStyle w:val="Prrafodelista"/>
        <w:numPr>
          <w:ilvl w:val="0"/>
          <w:numId w:val="40"/>
        </w:numPr>
        <w:tabs>
          <w:tab w:val="left" w:pos="284"/>
          <w:tab w:val="left" w:pos="426"/>
        </w:tabs>
        <w:ind w:left="0" w:firstLine="0"/>
      </w:pPr>
      <w:r w:rsidRPr="005304B4">
        <w:t xml:space="preserve">Específicamente, los accionantes cuestionan </w:t>
      </w:r>
      <w:r w:rsidR="00712DB0" w:rsidRPr="005304B4">
        <w:t>que, en relación con la licencia de maternidad, las parejas heteroparentales adoptantes se encuentran en una situación de desigualdad en relación con las parejas del mismo sexo que adoptan, a las cuales la sentencia C-415 de 2022 expresamente les concedió la posibilidad de elegir, por una sola vez, cuál de sus integrantes accederá a cada prestación (licencia de maternidad y de paternidad) en las mismas condiciones previstas para las parejas de distinto sexo adoptantes.</w:t>
      </w:r>
    </w:p>
    <w:p w14:paraId="20094716" w14:textId="77777777" w:rsidR="00712DB0" w:rsidRPr="005304B4" w:rsidRDefault="00712DB0" w:rsidP="00712DB0">
      <w:pPr>
        <w:pStyle w:val="Prrafodelista"/>
        <w:tabs>
          <w:tab w:val="left" w:pos="284"/>
          <w:tab w:val="left" w:pos="426"/>
        </w:tabs>
        <w:ind w:left="0"/>
      </w:pPr>
      <w:r w:rsidRPr="005304B4">
        <w:t xml:space="preserve"> </w:t>
      </w:r>
    </w:p>
    <w:p w14:paraId="1EF8DC87" w14:textId="7C9EF88A" w:rsidR="00712DB0" w:rsidRPr="005304B4" w:rsidRDefault="00712DB0" w:rsidP="00712DB0">
      <w:pPr>
        <w:pStyle w:val="Prrafodelista"/>
        <w:numPr>
          <w:ilvl w:val="0"/>
          <w:numId w:val="40"/>
        </w:numPr>
        <w:tabs>
          <w:tab w:val="left" w:pos="284"/>
          <w:tab w:val="left" w:pos="426"/>
        </w:tabs>
        <w:ind w:left="0" w:firstLine="0"/>
      </w:pPr>
      <w:r w:rsidRPr="005304B4">
        <w:t xml:space="preserve">Así, alegan que no existe una razón que justique que, en casos de adopción, las familias homoparentales puedan elegir cuál de sus miembros accederá a cada una de las prestaciones, en contraste con las parejas heteroparentales, a cuyos miembros la norma asigna el acceso a la licencia en época de parto con base en el </w:t>
      </w:r>
      <w:r w:rsidR="00B50322" w:rsidRPr="005304B4">
        <w:t>sexo o género</w:t>
      </w:r>
      <w:r w:rsidRPr="005304B4">
        <w:t>.</w:t>
      </w:r>
    </w:p>
    <w:p w14:paraId="6AF670CF" w14:textId="77777777" w:rsidR="00712DB0" w:rsidRPr="005304B4" w:rsidRDefault="00712DB0" w:rsidP="00712DB0">
      <w:pPr>
        <w:pStyle w:val="Prrafodelista"/>
        <w:tabs>
          <w:tab w:val="left" w:pos="284"/>
          <w:tab w:val="left" w:pos="426"/>
        </w:tabs>
        <w:ind w:left="0"/>
      </w:pPr>
    </w:p>
    <w:p w14:paraId="1CFFEB69" w14:textId="758E2F42" w:rsidR="00DD0916" w:rsidRPr="005304B4" w:rsidRDefault="00712DB0" w:rsidP="00CA2ADC">
      <w:pPr>
        <w:pStyle w:val="Prrafodelista"/>
        <w:numPr>
          <w:ilvl w:val="0"/>
          <w:numId w:val="40"/>
        </w:numPr>
        <w:tabs>
          <w:tab w:val="left" w:pos="284"/>
          <w:tab w:val="left" w:pos="426"/>
        </w:tabs>
        <w:ind w:left="0" w:firstLine="0"/>
      </w:pPr>
      <w:r w:rsidRPr="005304B4">
        <w:t>Adicionalmente, los actores indican</w:t>
      </w:r>
      <w:r w:rsidR="00DD0916" w:rsidRPr="005304B4">
        <w:t xml:space="preserve"> que la norma perpetúa roles de género nocivos en la familia heteroparental, puesto que es el género de los adoptantes lo que determina cuál de sus integrantes accederá a la prestación</w:t>
      </w:r>
      <w:r w:rsidR="006731B7" w:rsidRPr="005304B4">
        <w:t>,</w:t>
      </w:r>
      <w:r w:rsidR="00DD0916" w:rsidRPr="005304B4">
        <w:t xml:space="preserve"> consistente en un descanso remunerado de 18 semanas. </w:t>
      </w:r>
      <w:r w:rsidR="006E7C0B" w:rsidRPr="005304B4">
        <w:t>También</w:t>
      </w:r>
      <w:r w:rsidR="00DD0916" w:rsidRPr="005304B4">
        <w:t xml:space="preserve"> argumentan que </w:t>
      </w:r>
      <w:r w:rsidR="006731B7" w:rsidRPr="005304B4">
        <w:t>la crianza de los hijos no puede responder a prácticas derivadas del modelo patriarcal, en la que el cuidado recae principalmente sobre las mujeres. Además, consideran que la asignación automática de la licencia de maternidad a la madre adoptante se encuentra injustificada, puesto que tanto el padre como la madre adoptante carecen de un vínculo biológico con el hijo adoptivo, por lo que se encuentran en una situación idéntica de cara a sus derechos y deberes parentales.</w:t>
      </w:r>
    </w:p>
    <w:p w14:paraId="61F3FD42" w14:textId="77777777" w:rsidR="006731B7" w:rsidRPr="005304B4" w:rsidRDefault="006731B7" w:rsidP="006731B7">
      <w:pPr>
        <w:pStyle w:val="Prrafodelista"/>
        <w:tabs>
          <w:tab w:val="left" w:pos="284"/>
          <w:tab w:val="left" w:pos="426"/>
        </w:tabs>
        <w:ind w:left="0"/>
      </w:pPr>
    </w:p>
    <w:p w14:paraId="4759F02C" w14:textId="49D59E93" w:rsidR="006731B7" w:rsidRPr="005304B4" w:rsidRDefault="006731B7" w:rsidP="00534C7C">
      <w:pPr>
        <w:pStyle w:val="Prrafodelista"/>
        <w:numPr>
          <w:ilvl w:val="0"/>
          <w:numId w:val="40"/>
        </w:numPr>
        <w:tabs>
          <w:tab w:val="left" w:pos="284"/>
          <w:tab w:val="left" w:pos="426"/>
        </w:tabs>
        <w:ind w:left="0" w:firstLine="0"/>
      </w:pPr>
      <w:r w:rsidRPr="005304B4">
        <w:t xml:space="preserve">De otro lado, según se advirtió en la sección </w:t>
      </w:r>
      <w:r w:rsidR="00007E4A" w:rsidRPr="005304B4">
        <w:t xml:space="preserve">3.3. de las consideraciones, la Sala Plena estimó necesario </w:t>
      </w:r>
      <w:r w:rsidR="00007E4A" w:rsidRPr="005304B4">
        <w:rPr>
          <w:color w:val="000000" w:themeColor="text1"/>
        </w:rPr>
        <w:t>realizar una integración de la unidad normativa entre las expresiones “</w:t>
      </w:r>
      <w:r w:rsidR="00007E4A" w:rsidRPr="005304B4">
        <w:rPr>
          <w:i/>
          <w:iCs/>
          <w:color w:val="000000" w:themeColor="text1"/>
        </w:rPr>
        <w:t>la madre adoptante</w:t>
      </w:r>
      <w:r w:rsidR="00007E4A" w:rsidRPr="005304B4">
        <w:rPr>
          <w:color w:val="000000" w:themeColor="text1"/>
        </w:rPr>
        <w:t>” y “</w:t>
      </w:r>
      <w:r w:rsidR="00007E4A" w:rsidRPr="005304B4">
        <w:rPr>
          <w:i/>
          <w:iCs/>
          <w:color w:val="000000" w:themeColor="text1"/>
        </w:rPr>
        <w:t>el padre adoptante</w:t>
      </w:r>
      <w:r w:rsidR="00007E4A" w:rsidRPr="005304B4">
        <w:rPr>
          <w:color w:val="000000" w:themeColor="text1"/>
        </w:rPr>
        <w:t>”, contenidas en el numeral 4 y en el inciso segundo del parágrafo 2 del artículo 2 de la Ley 2114 de 2021, respectivamente. Lo anterior, toda vez que advirtió que esta última expresión se encuentr</w:t>
      </w:r>
      <w:r w:rsidR="00241AD4" w:rsidRPr="005304B4">
        <w:rPr>
          <w:color w:val="000000" w:themeColor="text1"/>
        </w:rPr>
        <w:t>a</w:t>
      </w:r>
      <w:r w:rsidR="00007E4A" w:rsidRPr="005304B4">
        <w:rPr>
          <w:color w:val="000000" w:themeColor="text1"/>
        </w:rPr>
        <w:t xml:space="preserve"> intrínsecamente relacionada</w:t>
      </w:r>
      <w:r w:rsidR="00007E4A" w:rsidRPr="005304B4">
        <w:rPr>
          <w:color w:val="000000" w:themeColor="text1"/>
          <w:vertAlign w:val="superscript"/>
        </w:rPr>
        <w:t xml:space="preserve"> </w:t>
      </w:r>
      <w:r w:rsidR="001A1F9A" w:rsidRPr="005304B4">
        <w:rPr>
          <w:color w:val="000000" w:themeColor="text1"/>
        </w:rPr>
        <w:t>con el</w:t>
      </w:r>
      <w:r w:rsidR="00007E4A" w:rsidRPr="005304B4">
        <w:rPr>
          <w:color w:val="000000" w:themeColor="text1"/>
        </w:rPr>
        <w:t xml:space="preserve"> texto normativo objeto de demanda, </w:t>
      </w:r>
      <w:r w:rsidR="006E7C0B" w:rsidRPr="005304B4">
        <w:rPr>
          <w:color w:val="000000" w:themeColor="text1"/>
        </w:rPr>
        <w:t>cuya inconstitucionalidad se alega por parte de la censura</w:t>
      </w:r>
      <w:r w:rsidR="00007E4A" w:rsidRPr="005304B4">
        <w:rPr>
          <w:color w:val="000000" w:themeColor="text1"/>
        </w:rPr>
        <w:t>.</w:t>
      </w:r>
    </w:p>
    <w:p w14:paraId="78A8B17E" w14:textId="77777777" w:rsidR="00007E4A" w:rsidRPr="005304B4" w:rsidRDefault="00007E4A" w:rsidP="00007E4A">
      <w:pPr>
        <w:pStyle w:val="Prrafodelista"/>
        <w:tabs>
          <w:tab w:val="left" w:pos="284"/>
          <w:tab w:val="left" w:pos="426"/>
        </w:tabs>
        <w:ind w:left="0"/>
      </w:pPr>
    </w:p>
    <w:p w14:paraId="2A3B6DEB" w14:textId="34E63FA9" w:rsidR="00007E4A" w:rsidRPr="005304B4" w:rsidRDefault="00007E4A" w:rsidP="00534C7C">
      <w:pPr>
        <w:pStyle w:val="Prrafodelista"/>
        <w:numPr>
          <w:ilvl w:val="0"/>
          <w:numId w:val="40"/>
        </w:numPr>
        <w:tabs>
          <w:tab w:val="left" w:pos="284"/>
          <w:tab w:val="left" w:pos="426"/>
        </w:tabs>
        <w:ind w:left="0" w:firstLine="0"/>
      </w:pPr>
      <w:r w:rsidRPr="005304B4">
        <w:rPr>
          <w:color w:val="000000" w:themeColor="text1"/>
        </w:rPr>
        <w:t xml:space="preserve">En particular, toda vez que el reproche de los actores se fundamenta en la imposibilidad de elección de las parejas heteroparentales adoptantes respecto de cuál de sus miembros accederá a la licencia de maternidad </w:t>
      </w:r>
      <w:r w:rsidR="006E7C0B" w:rsidRPr="005304B4">
        <w:rPr>
          <w:color w:val="000000" w:themeColor="text1"/>
        </w:rPr>
        <w:t>y cuál a la</w:t>
      </w:r>
      <w:r w:rsidRPr="005304B4">
        <w:rPr>
          <w:color w:val="000000" w:themeColor="text1"/>
        </w:rPr>
        <w:t xml:space="preserve"> de paternidad, </w:t>
      </w:r>
      <w:r w:rsidR="00712DB0" w:rsidRPr="005304B4">
        <w:rPr>
          <w:color w:val="000000" w:themeColor="text1"/>
        </w:rPr>
        <w:t xml:space="preserve">en contraste con lo que ocurre con las parejas del mismo sexo que adoptan, </w:t>
      </w:r>
      <w:r w:rsidRPr="005304B4">
        <w:rPr>
          <w:color w:val="000000" w:themeColor="text1"/>
        </w:rPr>
        <w:t>para la Sala resultó necesario incorporar la expresión “el padre adoptante” antes mencionada en el análisis constitucional que se realiza en esta ocasión.</w:t>
      </w:r>
    </w:p>
    <w:p w14:paraId="5CBF7F47" w14:textId="77777777" w:rsidR="00007E4A" w:rsidRPr="005304B4" w:rsidRDefault="00007E4A" w:rsidP="00007E4A">
      <w:pPr>
        <w:pStyle w:val="Prrafodelista"/>
        <w:tabs>
          <w:tab w:val="left" w:pos="284"/>
          <w:tab w:val="left" w:pos="426"/>
        </w:tabs>
        <w:ind w:left="0"/>
      </w:pPr>
    </w:p>
    <w:p w14:paraId="0FA7EA8F" w14:textId="0BE9C69C" w:rsidR="00007E4A" w:rsidRPr="005304B4" w:rsidRDefault="00007E4A" w:rsidP="00534C7C">
      <w:pPr>
        <w:pStyle w:val="Prrafodelista"/>
        <w:numPr>
          <w:ilvl w:val="0"/>
          <w:numId w:val="40"/>
        </w:numPr>
        <w:tabs>
          <w:tab w:val="left" w:pos="284"/>
          <w:tab w:val="left" w:pos="426"/>
        </w:tabs>
        <w:ind w:left="0" w:firstLine="0"/>
      </w:pPr>
      <w:r w:rsidRPr="005304B4">
        <w:rPr>
          <w:color w:val="000000" w:themeColor="text1"/>
        </w:rPr>
        <w:t xml:space="preserve"> Con base en estas precisiones, la Sala planteó como problema jurídico determinar </w:t>
      </w:r>
      <w:r w:rsidR="00712DB0" w:rsidRPr="005304B4">
        <w:rPr>
          <w:color w:val="000000" w:themeColor="text1"/>
        </w:rPr>
        <w:t xml:space="preserve">si </w:t>
      </w:r>
      <w:r w:rsidR="00712DB0" w:rsidRPr="005304B4">
        <w:rPr>
          <w:lang w:eastAsia="es-ES_tradnl"/>
        </w:rPr>
        <w:t>las expresiones “la madre adoptante” y “el padre adoptante” contenidas en el numeral 4, y en el inciso segundo del parágrafo 2 del artículo 2 de la Ley 2114 de 2021, respectivamente, vulneran el principio de igualdad contemplado en el artículo 13 de la Constitución Política al: (i) negarle la posibilidad a la pareja heteroparental adoptante de elegir cuál de sus miembros accederá a cada una de las licencias</w:t>
      </w:r>
      <w:r w:rsidR="00615287" w:rsidRPr="005304B4">
        <w:rPr>
          <w:lang w:eastAsia="es-ES_tradnl"/>
        </w:rPr>
        <w:t xml:space="preserve"> parentales</w:t>
      </w:r>
      <w:r w:rsidR="00712DB0" w:rsidRPr="005304B4">
        <w:rPr>
          <w:lang w:eastAsia="es-ES_tradnl"/>
        </w:rPr>
        <w:t>, en contraste con lo que ocurre en el caso de las parejas del mismo sexo que adoptan y (ii) al asignar de manera automática a los miembros de la pareja de distinto sexo adoptante las correspondientes licencias parentales con base en criterios de género específicos.</w:t>
      </w:r>
    </w:p>
    <w:p w14:paraId="5ADA399D" w14:textId="77777777" w:rsidR="00007E4A" w:rsidRPr="005304B4" w:rsidRDefault="00007E4A" w:rsidP="00007E4A">
      <w:pPr>
        <w:pStyle w:val="Prrafodelista"/>
        <w:tabs>
          <w:tab w:val="left" w:pos="284"/>
          <w:tab w:val="left" w:pos="426"/>
        </w:tabs>
        <w:ind w:left="0"/>
      </w:pPr>
    </w:p>
    <w:p w14:paraId="414A7DE2" w14:textId="711218A2" w:rsidR="00094BCD" w:rsidRPr="005304B4" w:rsidRDefault="00007E4A" w:rsidP="007979E0">
      <w:pPr>
        <w:pStyle w:val="Prrafodelista"/>
        <w:numPr>
          <w:ilvl w:val="0"/>
          <w:numId w:val="40"/>
        </w:numPr>
        <w:tabs>
          <w:tab w:val="left" w:pos="284"/>
          <w:tab w:val="left" w:pos="426"/>
        </w:tabs>
        <w:ind w:left="0" w:firstLine="0"/>
        <w:rPr>
          <w:color w:val="000000" w:themeColor="text1"/>
        </w:rPr>
      </w:pPr>
      <w:r w:rsidRPr="005304B4">
        <w:rPr>
          <w:color w:val="000000" w:themeColor="text1"/>
        </w:rPr>
        <w:t xml:space="preserve">Para responder dicho problema jurídico, la Sala, </w:t>
      </w:r>
      <w:r w:rsidRPr="005304B4">
        <w:rPr>
          <w:i/>
          <w:iCs/>
          <w:color w:val="000000" w:themeColor="text1"/>
        </w:rPr>
        <w:t>en primer lugar</w:t>
      </w:r>
      <w:r w:rsidRPr="005304B4">
        <w:rPr>
          <w:color w:val="000000" w:themeColor="text1"/>
        </w:rPr>
        <w:t xml:space="preserve">, </w:t>
      </w:r>
      <w:r w:rsidR="005F75AB" w:rsidRPr="005304B4">
        <w:rPr>
          <w:color w:val="000000" w:themeColor="text1"/>
        </w:rPr>
        <w:t>precisará</w:t>
      </w:r>
      <w:r w:rsidRPr="005304B4">
        <w:rPr>
          <w:color w:val="000000" w:themeColor="text1"/>
        </w:rPr>
        <w:t xml:space="preserve"> </w:t>
      </w:r>
      <w:r w:rsidR="00094BCD" w:rsidRPr="005304B4">
        <w:rPr>
          <w:color w:val="000000" w:themeColor="text1"/>
        </w:rPr>
        <w:t xml:space="preserve">las hipótesis normativas y contornos del presente debate constitucional; </w:t>
      </w:r>
      <w:r w:rsidR="00094BCD" w:rsidRPr="005304B4">
        <w:rPr>
          <w:i/>
          <w:iCs/>
          <w:color w:val="000000" w:themeColor="text1"/>
        </w:rPr>
        <w:t>en segundo lugar</w:t>
      </w:r>
      <w:r w:rsidR="00094BCD" w:rsidRPr="005304B4">
        <w:rPr>
          <w:color w:val="000000" w:themeColor="text1"/>
        </w:rPr>
        <w:t>,</w:t>
      </w:r>
      <w:r w:rsidR="00712DB0" w:rsidRPr="005304B4">
        <w:rPr>
          <w:color w:val="000000" w:themeColor="text1"/>
        </w:rPr>
        <w:t xml:space="preserve"> abordará la forma en la que</w:t>
      </w:r>
      <w:r w:rsidR="00615287" w:rsidRPr="005304B4">
        <w:rPr>
          <w:color w:val="000000" w:themeColor="text1"/>
        </w:rPr>
        <w:t xml:space="preserve"> </w:t>
      </w:r>
      <w:r w:rsidR="00712DB0" w:rsidRPr="005304B4">
        <w:rPr>
          <w:color w:val="000000" w:themeColor="text1"/>
        </w:rPr>
        <w:t>el condicionamiento efectuado por esta Corte en la Sentencia C-415 de 2022, en conjunción con el texto normativo incorporado en el artículo 2 de la Ley 2114 de 2021, dieron lugar a un tratamiento jurídico diferencial e injustificado entre parejas hetero y homoparentales adoptantes en materia de posibilidad de elección sobre el acceso de sus miembros a las licencias parentales, para lo cual se aplicará un test integrado de igualdad</w:t>
      </w:r>
      <w:r w:rsidR="00F75BA6" w:rsidRPr="005304B4">
        <w:rPr>
          <w:color w:val="000000" w:themeColor="text1"/>
        </w:rPr>
        <w:t>.</w:t>
      </w:r>
    </w:p>
    <w:p w14:paraId="23AD1CD4" w14:textId="77777777" w:rsidR="00F75BA6" w:rsidRPr="005304B4" w:rsidRDefault="00F75BA6" w:rsidP="00F75BA6">
      <w:pPr>
        <w:pStyle w:val="Prrafodelista"/>
        <w:tabs>
          <w:tab w:val="left" w:pos="284"/>
          <w:tab w:val="left" w:pos="426"/>
        </w:tabs>
        <w:ind w:left="0"/>
        <w:rPr>
          <w:color w:val="000000" w:themeColor="text1"/>
        </w:rPr>
      </w:pPr>
    </w:p>
    <w:p w14:paraId="6ED67232" w14:textId="35E6B03A" w:rsidR="00094BCD" w:rsidRPr="005304B4" w:rsidRDefault="00094BCD" w:rsidP="00094BCD">
      <w:pPr>
        <w:pStyle w:val="Ttulo3"/>
      </w:pPr>
      <w:bookmarkStart w:id="45" w:name="_Toc224553761"/>
      <w:r w:rsidRPr="005304B4">
        <w:t>8.1. Hipótesis normativas y contornos del presente debate constitucional</w:t>
      </w:r>
      <w:bookmarkEnd w:id="45"/>
    </w:p>
    <w:p w14:paraId="13C90E43" w14:textId="77777777" w:rsidR="00094BCD" w:rsidRPr="005304B4" w:rsidRDefault="00094BCD" w:rsidP="00094BCD">
      <w:pPr>
        <w:pStyle w:val="Prrafodelista"/>
        <w:tabs>
          <w:tab w:val="left" w:pos="284"/>
          <w:tab w:val="left" w:pos="426"/>
        </w:tabs>
        <w:ind w:left="0"/>
        <w:rPr>
          <w:color w:val="000000" w:themeColor="text1"/>
        </w:rPr>
      </w:pPr>
    </w:p>
    <w:p w14:paraId="672121D9" w14:textId="6722219C" w:rsidR="007A4BE2" w:rsidRPr="005304B4" w:rsidRDefault="00094BCD" w:rsidP="007A4BE2">
      <w:pPr>
        <w:pStyle w:val="Prrafodelista"/>
        <w:numPr>
          <w:ilvl w:val="0"/>
          <w:numId w:val="40"/>
        </w:numPr>
        <w:tabs>
          <w:tab w:val="left" w:pos="284"/>
          <w:tab w:val="left" w:pos="426"/>
        </w:tabs>
        <w:ind w:left="0" w:firstLine="0"/>
      </w:pPr>
      <w:r w:rsidRPr="005304B4">
        <w:rPr>
          <w:i/>
          <w:iCs/>
          <w:color w:val="000000" w:themeColor="text1"/>
        </w:rPr>
        <w:t>El contenido del art. 2 de la Ley 2114 de 2021</w:t>
      </w:r>
      <w:r w:rsidRPr="005304B4">
        <w:t xml:space="preserve">. Según fue objeto de exposición previa, las expresiones objeto de control constitucional </w:t>
      </w:r>
      <w:r w:rsidR="00241AD4" w:rsidRPr="005304B4">
        <w:t xml:space="preserve">alojadas </w:t>
      </w:r>
      <w:r w:rsidRPr="005304B4">
        <w:t>en el art. 2 de la Ley 2114 de 2021, el cual regula</w:t>
      </w:r>
      <w:r w:rsidR="007A4BE2" w:rsidRPr="005304B4">
        <w:t xml:space="preserve"> a nivel legal las licencias parentales en Colombia. La Sentencia C-415 de 2022 sintetizó el contenido de dichas licencias de la siguiente forma:</w:t>
      </w:r>
    </w:p>
    <w:p w14:paraId="7D1C713F" w14:textId="77777777" w:rsidR="007A4BE2" w:rsidRPr="005304B4" w:rsidRDefault="007A4BE2" w:rsidP="007A4BE2">
      <w:pPr>
        <w:pStyle w:val="Prrafodelista"/>
      </w:pPr>
    </w:p>
    <w:p w14:paraId="45BE4F0F" w14:textId="08BBC4CA" w:rsidR="00712DB0" w:rsidRPr="005304B4" w:rsidRDefault="00712DB0" w:rsidP="00712DB0">
      <w:pPr>
        <w:jc w:val="center"/>
        <w:rPr>
          <w:b/>
          <w:bCs/>
          <w:sz w:val="20"/>
          <w:szCs w:val="20"/>
        </w:rPr>
      </w:pPr>
      <w:r w:rsidRPr="005304B4">
        <w:rPr>
          <w:b/>
          <w:bCs/>
          <w:sz w:val="20"/>
          <w:szCs w:val="20"/>
        </w:rPr>
        <w:t xml:space="preserve">Tabla </w:t>
      </w:r>
      <w:r w:rsidR="00851570" w:rsidRPr="005304B4">
        <w:rPr>
          <w:b/>
          <w:bCs/>
          <w:sz w:val="20"/>
          <w:szCs w:val="20"/>
        </w:rPr>
        <w:t>4</w:t>
      </w:r>
    </w:p>
    <w:tbl>
      <w:tblPr>
        <w:tblStyle w:val="Tablaconcuadrcula"/>
        <w:tblW w:w="0" w:type="auto"/>
        <w:tblLook w:val="04A0" w:firstRow="1" w:lastRow="0" w:firstColumn="1" w:lastColumn="0" w:noHBand="0" w:noVBand="1"/>
      </w:tblPr>
      <w:tblGrid>
        <w:gridCol w:w="1831"/>
        <w:gridCol w:w="4288"/>
        <w:gridCol w:w="2711"/>
      </w:tblGrid>
      <w:tr w:rsidR="007A4BE2" w:rsidRPr="005304B4" w14:paraId="6A5C782B" w14:textId="77777777" w:rsidTr="00615287">
        <w:tc>
          <w:tcPr>
            <w:tcW w:w="0" w:type="auto"/>
            <w:shd w:val="clear" w:color="auto" w:fill="D0CECE" w:themeFill="background2" w:themeFillShade="E6"/>
          </w:tcPr>
          <w:p w14:paraId="473181E9" w14:textId="77777777" w:rsidR="007A4BE2" w:rsidRPr="005304B4" w:rsidRDefault="007A4BE2" w:rsidP="00FE7EF0">
            <w:pPr>
              <w:spacing w:line="280" w:lineRule="atLeast"/>
              <w:jc w:val="center"/>
              <w:rPr>
                <w:b/>
                <w:bCs/>
                <w:sz w:val="20"/>
                <w:szCs w:val="20"/>
              </w:rPr>
            </w:pPr>
            <w:bookmarkStart w:id="46" w:name="_Hlk122051467"/>
            <w:r w:rsidRPr="005304B4">
              <w:rPr>
                <w:b/>
                <w:bCs/>
                <w:sz w:val="20"/>
                <w:szCs w:val="20"/>
              </w:rPr>
              <w:t>Tipo de licencia</w:t>
            </w:r>
          </w:p>
        </w:tc>
        <w:tc>
          <w:tcPr>
            <w:tcW w:w="0" w:type="auto"/>
            <w:shd w:val="clear" w:color="auto" w:fill="D0CECE" w:themeFill="background2" w:themeFillShade="E6"/>
          </w:tcPr>
          <w:p w14:paraId="5151A395" w14:textId="77777777" w:rsidR="007A4BE2" w:rsidRPr="005304B4" w:rsidRDefault="007A4BE2" w:rsidP="00FE7EF0">
            <w:pPr>
              <w:spacing w:line="280" w:lineRule="atLeast"/>
              <w:jc w:val="center"/>
              <w:rPr>
                <w:b/>
                <w:bCs/>
                <w:sz w:val="20"/>
                <w:szCs w:val="20"/>
              </w:rPr>
            </w:pPr>
            <w:r w:rsidRPr="005304B4">
              <w:rPr>
                <w:b/>
                <w:bCs/>
                <w:sz w:val="20"/>
                <w:szCs w:val="20"/>
              </w:rPr>
              <w:t>Número de semanas</w:t>
            </w:r>
          </w:p>
        </w:tc>
        <w:tc>
          <w:tcPr>
            <w:tcW w:w="0" w:type="auto"/>
            <w:shd w:val="clear" w:color="auto" w:fill="D0CECE" w:themeFill="background2" w:themeFillShade="E6"/>
          </w:tcPr>
          <w:p w14:paraId="43FD6019" w14:textId="77777777" w:rsidR="007A4BE2" w:rsidRPr="005304B4" w:rsidRDefault="007A4BE2" w:rsidP="00FE7EF0">
            <w:pPr>
              <w:spacing w:line="280" w:lineRule="atLeast"/>
              <w:jc w:val="center"/>
              <w:rPr>
                <w:b/>
                <w:bCs/>
                <w:sz w:val="20"/>
                <w:szCs w:val="20"/>
              </w:rPr>
            </w:pPr>
            <w:r w:rsidRPr="005304B4">
              <w:rPr>
                <w:b/>
                <w:bCs/>
                <w:sz w:val="20"/>
                <w:szCs w:val="20"/>
              </w:rPr>
              <w:t>Destinatarios</w:t>
            </w:r>
          </w:p>
        </w:tc>
      </w:tr>
      <w:tr w:rsidR="007A4BE2" w:rsidRPr="005304B4" w14:paraId="74750450" w14:textId="77777777" w:rsidTr="00615287">
        <w:tc>
          <w:tcPr>
            <w:tcW w:w="0" w:type="auto"/>
            <w:shd w:val="clear" w:color="auto" w:fill="E7E6E6" w:themeFill="background2"/>
          </w:tcPr>
          <w:p w14:paraId="787B08B2" w14:textId="77777777" w:rsidR="007A4BE2" w:rsidRPr="005304B4" w:rsidRDefault="007A4BE2" w:rsidP="00FE7EF0">
            <w:pPr>
              <w:spacing w:line="280" w:lineRule="atLeast"/>
              <w:jc w:val="center"/>
              <w:rPr>
                <w:b/>
                <w:bCs/>
                <w:sz w:val="20"/>
                <w:szCs w:val="20"/>
              </w:rPr>
            </w:pPr>
          </w:p>
          <w:p w14:paraId="23099744" w14:textId="77777777" w:rsidR="007A4BE2" w:rsidRPr="005304B4" w:rsidRDefault="007A4BE2" w:rsidP="00FE7EF0">
            <w:pPr>
              <w:spacing w:line="280" w:lineRule="atLeast"/>
              <w:jc w:val="center"/>
              <w:rPr>
                <w:b/>
                <w:bCs/>
                <w:sz w:val="20"/>
                <w:szCs w:val="20"/>
              </w:rPr>
            </w:pPr>
            <w:r w:rsidRPr="005304B4">
              <w:rPr>
                <w:b/>
                <w:bCs/>
                <w:sz w:val="20"/>
                <w:szCs w:val="20"/>
              </w:rPr>
              <w:t>Licencia de maternidad</w:t>
            </w:r>
          </w:p>
        </w:tc>
        <w:tc>
          <w:tcPr>
            <w:tcW w:w="0" w:type="auto"/>
            <w:shd w:val="clear" w:color="auto" w:fill="E7E6E6" w:themeFill="background2"/>
          </w:tcPr>
          <w:p w14:paraId="41FCD642" w14:textId="77777777" w:rsidR="007A4BE2" w:rsidRPr="005304B4" w:rsidRDefault="007A4BE2" w:rsidP="00FE7EF0">
            <w:pPr>
              <w:spacing w:line="280" w:lineRule="atLeast"/>
              <w:jc w:val="center"/>
              <w:rPr>
                <w:sz w:val="20"/>
                <w:szCs w:val="20"/>
              </w:rPr>
            </w:pPr>
            <w:r w:rsidRPr="005304B4">
              <w:rPr>
                <w:sz w:val="20"/>
                <w:szCs w:val="20"/>
              </w:rPr>
              <w:t>18 semanas</w:t>
            </w:r>
          </w:p>
        </w:tc>
        <w:tc>
          <w:tcPr>
            <w:tcW w:w="0" w:type="auto"/>
            <w:shd w:val="clear" w:color="auto" w:fill="E7E6E6" w:themeFill="background2"/>
          </w:tcPr>
          <w:p w14:paraId="1BB4718E" w14:textId="77777777" w:rsidR="007A4BE2" w:rsidRPr="005304B4" w:rsidRDefault="007A4BE2" w:rsidP="00FE7EF0">
            <w:pPr>
              <w:spacing w:line="280" w:lineRule="atLeast"/>
              <w:rPr>
                <w:sz w:val="20"/>
                <w:szCs w:val="20"/>
              </w:rPr>
            </w:pPr>
            <w:r w:rsidRPr="005304B4">
              <w:rPr>
                <w:sz w:val="20"/>
                <w:szCs w:val="20"/>
              </w:rPr>
              <w:t>Madre biológica o adoptante y padre que se haga cargo del niño por abandono, enfermedad o muerte de la madre.</w:t>
            </w:r>
          </w:p>
        </w:tc>
      </w:tr>
      <w:tr w:rsidR="007A4BE2" w:rsidRPr="005304B4" w14:paraId="08B44377" w14:textId="77777777" w:rsidTr="00615287">
        <w:tc>
          <w:tcPr>
            <w:tcW w:w="0" w:type="auto"/>
            <w:shd w:val="clear" w:color="auto" w:fill="E7E6E6" w:themeFill="background2"/>
          </w:tcPr>
          <w:p w14:paraId="483365F3" w14:textId="77777777" w:rsidR="007A4BE2" w:rsidRPr="005304B4" w:rsidRDefault="007A4BE2" w:rsidP="00FE7EF0">
            <w:pPr>
              <w:spacing w:line="280" w:lineRule="atLeast"/>
              <w:jc w:val="center"/>
              <w:rPr>
                <w:b/>
                <w:bCs/>
                <w:sz w:val="20"/>
                <w:szCs w:val="20"/>
              </w:rPr>
            </w:pPr>
            <w:r w:rsidRPr="005304B4">
              <w:rPr>
                <w:b/>
                <w:bCs/>
                <w:sz w:val="20"/>
                <w:szCs w:val="20"/>
              </w:rPr>
              <w:t>Licencia de paternidad</w:t>
            </w:r>
          </w:p>
        </w:tc>
        <w:tc>
          <w:tcPr>
            <w:tcW w:w="0" w:type="auto"/>
            <w:shd w:val="clear" w:color="auto" w:fill="E7E6E6" w:themeFill="background2"/>
          </w:tcPr>
          <w:p w14:paraId="76DB02E6" w14:textId="77777777" w:rsidR="007A4BE2" w:rsidRPr="005304B4" w:rsidRDefault="007A4BE2" w:rsidP="00FE7EF0">
            <w:pPr>
              <w:spacing w:line="280" w:lineRule="atLeast"/>
              <w:jc w:val="center"/>
              <w:rPr>
                <w:sz w:val="20"/>
                <w:szCs w:val="20"/>
              </w:rPr>
            </w:pPr>
            <w:r w:rsidRPr="005304B4">
              <w:rPr>
                <w:sz w:val="20"/>
                <w:szCs w:val="20"/>
              </w:rPr>
              <w:t>2 semanas</w:t>
            </w:r>
          </w:p>
        </w:tc>
        <w:tc>
          <w:tcPr>
            <w:tcW w:w="0" w:type="auto"/>
            <w:shd w:val="clear" w:color="auto" w:fill="E7E6E6" w:themeFill="background2"/>
          </w:tcPr>
          <w:p w14:paraId="4B0B39C6" w14:textId="77777777" w:rsidR="007A4BE2" w:rsidRPr="005304B4" w:rsidRDefault="007A4BE2" w:rsidP="00FE7EF0">
            <w:pPr>
              <w:spacing w:line="280" w:lineRule="atLeast"/>
              <w:rPr>
                <w:sz w:val="20"/>
                <w:szCs w:val="20"/>
              </w:rPr>
            </w:pPr>
            <w:r w:rsidRPr="005304B4">
              <w:rPr>
                <w:sz w:val="20"/>
                <w:szCs w:val="20"/>
              </w:rPr>
              <w:t>Padre biológico o adoptivo.</w:t>
            </w:r>
          </w:p>
        </w:tc>
      </w:tr>
      <w:tr w:rsidR="007A4BE2" w:rsidRPr="005304B4" w14:paraId="3EEFC759" w14:textId="77777777" w:rsidTr="00615287">
        <w:tc>
          <w:tcPr>
            <w:tcW w:w="0" w:type="auto"/>
            <w:shd w:val="clear" w:color="auto" w:fill="E7E6E6" w:themeFill="background2"/>
          </w:tcPr>
          <w:p w14:paraId="649D1DDD" w14:textId="181A23AB" w:rsidR="007A4BE2" w:rsidRPr="005304B4" w:rsidRDefault="007A4BE2" w:rsidP="00FE7EF0">
            <w:pPr>
              <w:spacing w:line="280" w:lineRule="atLeast"/>
              <w:jc w:val="center"/>
              <w:rPr>
                <w:b/>
                <w:bCs/>
                <w:sz w:val="20"/>
                <w:szCs w:val="20"/>
              </w:rPr>
            </w:pPr>
            <w:r w:rsidRPr="005304B4">
              <w:rPr>
                <w:b/>
                <w:bCs/>
                <w:sz w:val="20"/>
                <w:szCs w:val="20"/>
              </w:rPr>
              <w:t>Licencia parental compartida</w:t>
            </w:r>
            <w:r w:rsidR="005F75AB" w:rsidRPr="005304B4">
              <w:rPr>
                <w:b/>
                <w:bCs/>
                <w:sz w:val="20"/>
                <w:szCs w:val="20"/>
              </w:rPr>
              <w:t xml:space="preserve"> (modalidad de disfrute)</w:t>
            </w:r>
          </w:p>
        </w:tc>
        <w:tc>
          <w:tcPr>
            <w:tcW w:w="0" w:type="auto"/>
            <w:shd w:val="clear" w:color="auto" w:fill="E7E6E6" w:themeFill="background2"/>
          </w:tcPr>
          <w:p w14:paraId="7A8FA0F7" w14:textId="1A8E13C5" w:rsidR="007A4BE2" w:rsidRPr="005304B4" w:rsidRDefault="007A4BE2" w:rsidP="00FE7EF0">
            <w:pPr>
              <w:spacing w:line="280" w:lineRule="atLeast"/>
              <w:jc w:val="center"/>
              <w:rPr>
                <w:sz w:val="20"/>
                <w:szCs w:val="20"/>
              </w:rPr>
            </w:pPr>
            <w:r w:rsidRPr="005304B4">
              <w:rPr>
                <w:sz w:val="20"/>
                <w:szCs w:val="20"/>
              </w:rPr>
              <w:t xml:space="preserve">Disponibilidad de 6 semanas </w:t>
            </w:r>
            <w:r w:rsidR="005F75AB" w:rsidRPr="005304B4">
              <w:rPr>
                <w:sz w:val="20"/>
                <w:szCs w:val="20"/>
              </w:rPr>
              <w:t>de la licencia de maternidad para compartir</w:t>
            </w:r>
          </w:p>
          <w:p w14:paraId="731F2355" w14:textId="77777777" w:rsidR="007A4BE2" w:rsidRPr="005304B4" w:rsidRDefault="007A4BE2" w:rsidP="00FE7EF0">
            <w:pPr>
              <w:spacing w:line="280" w:lineRule="atLeast"/>
              <w:jc w:val="center"/>
              <w:rPr>
                <w:sz w:val="20"/>
                <w:szCs w:val="20"/>
              </w:rPr>
            </w:pPr>
          </w:p>
        </w:tc>
        <w:tc>
          <w:tcPr>
            <w:tcW w:w="0" w:type="auto"/>
            <w:shd w:val="clear" w:color="auto" w:fill="E7E6E6" w:themeFill="background2"/>
          </w:tcPr>
          <w:p w14:paraId="0C9B5A9C" w14:textId="77777777" w:rsidR="007A4BE2" w:rsidRPr="005304B4" w:rsidRDefault="007A4BE2" w:rsidP="00FE7EF0">
            <w:pPr>
              <w:spacing w:line="280" w:lineRule="atLeast"/>
              <w:rPr>
                <w:sz w:val="20"/>
                <w:szCs w:val="20"/>
              </w:rPr>
            </w:pPr>
            <w:r w:rsidRPr="005304B4">
              <w:rPr>
                <w:sz w:val="20"/>
                <w:szCs w:val="20"/>
              </w:rPr>
              <w:t>Madre y padre biológico o adoptivo.</w:t>
            </w:r>
          </w:p>
        </w:tc>
      </w:tr>
      <w:tr w:rsidR="007A4BE2" w:rsidRPr="005304B4" w14:paraId="4C9BD3A0" w14:textId="77777777" w:rsidTr="00615287">
        <w:tc>
          <w:tcPr>
            <w:tcW w:w="0" w:type="auto"/>
            <w:shd w:val="clear" w:color="auto" w:fill="E7E6E6" w:themeFill="background2"/>
          </w:tcPr>
          <w:p w14:paraId="0FBF6F69" w14:textId="0C5A135D" w:rsidR="007A4BE2" w:rsidRPr="005304B4" w:rsidRDefault="007A4BE2" w:rsidP="00FE7EF0">
            <w:pPr>
              <w:spacing w:line="280" w:lineRule="atLeast"/>
              <w:jc w:val="center"/>
              <w:rPr>
                <w:b/>
                <w:bCs/>
                <w:sz w:val="20"/>
                <w:szCs w:val="20"/>
              </w:rPr>
            </w:pPr>
            <w:r w:rsidRPr="005304B4">
              <w:rPr>
                <w:b/>
                <w:bCs/>
                <w:sz w:val="20"/>
                <w:szCs w:val="20"/>
              </w:rPr>
              <w:t>Licencia parental flexible</w:t>
            </w:r>
            <w:r w:rsidR="005F75AB" w:rsidRPr="005304B4">
              <w:rPr>
                <w:b/>
                <w:bCs/>
                <w:sz w:val="20"/>
                <w:szCs w:val="20"/>
              </w:rPr>
              <w:t xml:space="preserve"> (modalidad de disfrute)</w:t>
            </w:r>
          </w:p>
        </w:tc>
        <w:tc>
          <w:tcPr>
            <w:tcW w:w="0" w:type="auto"/>
            <w:shd w:val="clear" w:color="auto" w:fill="E7E6E6" w:themeFill="background2"/>
          </w:tcPr>
          <w:p w14:paraId="3E21CCF6" w14:textId="2342CCC2" w:rsidR="007A4BE2" w:rsidRPr="005304B4" w:rsidRDefault="007A4BE2" w:rsidP="00FE7EF0">
            <w:pPr>
              <w:spacing w:line="280" w:lineRule="atLeast"/>
              <w:jc w:val="center"/>
              <w:rPr>
                <w:sz w:val="20"/>
                <w:szCs w:val="20"/>
              </w:rPr>
            </w:pPr>
            <w:r w:rsidRPr="005304B4">
              <w:rPr>
                <w:sz w:val="20"/>
                <w:szCs w:val="20"/>
              </w:rPr>
              <w:t xml:space="preserve">Posibilidad de utilizar por lo menos 6 semanas de las 18 para la madre, o las 2 semanas del padre, como banco de tiempo. Esto implica que puedan trabajar medio tiempo y disfrutarlas el otro medio tiempo hasta </w:t>
            </w:r>
            <w:r w:rsidR="005F75AB" w:rsidRPr="005304B4">
              <w:rPr>
                <w:sz w:val="20"/>
                <w:szCs w:val="20"/>
              </w:rPr>
              <w:t>que se agoten.</w:t>
            </w:r>
          </w:p>
        </w:tc>
        <w:tc>
          <w:tcPr>
            <w:tcW w:w="0" w:type="auto"/>
            <w:shd w:val="clear" w:color="auto" w:fill="E7E6E6" w:themeFill="background2"/>
          </w:tcPr>
          <w:p w14:paraId="31C0CD96" w14:textId="77777777" w:rsidR="007A4BE2" w:rsidRPr="005304B4" w:rsidRDefault="007A4BE2" w:rsidP="00FE7EF0">
            <w:pPr>
              <w:spacing w:line="280" w:lineRule="atLeast"/>
              <w:rPr>
                <w:sz w:val="20"/>
                <w:szCs w:val="20"/>
              </w:rPr>
            </w:pPr>
            <w:r w:rsidRPr="005304B4">
              <w:rPr>
                <w:sz w:val="20"/>
                <w:szCs w:val="20"/>
              </w:rPr>
              <w:t>Madre y padre biológico o adoptivo.</w:t>
            </w:r>
          </w:p>
        </w:tc>
      </w:tr>
    </w:tbl>
    <w:bookmarkEnd w:id="46"/>
    <w:p w14:paraId="4C4026E9" w14:textId="3393F090" w:rsidR="007A4BE2" w:rsidRPr="005304B4" w:rsidRDefault="007A4BE2" w:rsidP="007A4BE2">
      <w:pPr>
        <w:shd w:val="clear" w:color="auto" w:fill="FFFFFF" w:themeFill="background1"/>
        <w:jc w:val="center"/>
        <w:rPr>
          <w:color w:val="000000" w:themeColor="text1"/>
          <w:sz w:val="20"/>
          <w:szCs w:val="20"/>
        </w:rPr>
      </w:pPr>
      <w:r w:rsidRPr="005304B4">
        <w:rPr>
          <w:i/>
          <w:iCs/>
          <w:color w:val="000000" w:themeColor="text1"/>
          <w:sz w:val="20"/>
          <w:szCs w:val="20"/>
        </w:rPr>
        <w:t xml:space="preserve">Fuente: </w:t>
      </w:r>
      <w:r w:rsidR="00A562B4" w:rsidRPr="005304B4">
        <w:rPr>
          <w:i/>
          <w:iCs/>
          <w:color w:val="000000" w:themeColor="text1"/>
          <w:sz w:val="20"/>
          <w:szCs w:val="20"/>
        </w:rPr>
        <w:t>S</w:t>
      </w:r>
      <w:r w:rsidRPr="005304B4">
        <w:rPr>
          <w:i/>
          <w:iCs/>
          <w:color w:val="000000" w:themeColor="text1"/>
          <w:sz w:val="20"/>
          <w:szCs w:val="20"/>
        </w:rPr>
        <w:t>entencia C-415 de 2022.</w:t>
      </w:r>
    </w:p>
    <w:p w14:paraId="11127CB1" w14:textId="77777777" w:rsidR="007A4BE2" w:rsidRPr="005304B4" w:rsidRDefault="007A4BE2" w:rsidP="007A4BE2">
      <w:pPr>
        <w:spacing w:line="280" w:lineRule="atLeast"/>
        <w:rPr>
          <w:sz w:val="28"/>
          <w:szCs w:val="28"/>
        </w:rPr>
      </w:pPr>
    </w:p>
    <w:p w14:paraId="495F4684" w14:textId="398E18CD" w:rsidR="007A4BE2" w:rsidRPr="005304B4" w:rsidRDefault="007A4BE2" w:rsidP="007A4BE2">
      <w:pPr>
        <w:pStyle w:val="Prrafodelista"/>
        <w:numPr>
          <w:ilvl w:val="0"/>
          <w:numId w:val="40"/>
        </w:numPr>
        <w:tabs>
          <w:tab w:val="left" w:pos="284"/>
          <w:tab w:val="left" w:pos="426"/>
        </w:tabs>
        <w:ind w:left="0" w:firstLine="0"/>
      </w:pPr>
      <w:r w:rsidRPr="005304B4">
        <w:t xml:space="preserve">Como se mencionó, en este caso, se examinan específicamente las expresiones </w:t>
      </w:r>
      <w:r w:rsidRPr="005304B4">
        <w:rPr>
          <w:color w:val="000000" w:themeColor="text1"/>
        </w:rPr>
        <w:t>“</w:t>
      </w:r>
      <w:r w:rsidRPr="005304B4">
        <w:rPr>
          <w:i/>
          <w:iCs/>
          <w:color w:val="000000" w:themeColor="text1"/>
        </w:rPr>
        <w:t>la madre adoptante</w:t>
      </w:r>
      <w:r w:rsidRPr="005304B4">
        <w:rPr>
          <w:color w:val="000000" w:themeColor="text1"/>
        </w:rPr>
        <w:t>” y “</w:t>
      </w:r>
      <w:r w:rsidRPr="005304B4">
        <w:rPr>
          <w:i/>
          <w:iCs/>
          <w:color w:val="000000" w:themeColor="text1"/>
        </w:rPr>
        <w:t>el padre adoptante</w:t>
      </w:r>
      <w:r w:rsidRPr="005304B4">
        <w:rPr>
          <w:color w:val="000000" w:themeColor="text1"/>
        </w:rPr>
        <w:t xml:space="preserve">”, contenidas en el numeral 4 y en el inciso </w:t>
      </w:r>
      <w:r w:rsidR="00252754" w:rsidRPr="005304B4">
        <w:rPr>
          <w:color w:val="000000" w:themeColor="text1"/>
        </w:rPr>
        <w:t>segundo</w:t>
      </w:r>
      <w:r w:rsidRPr="005304B4">
        <w:rPr>
          <w:color w:val="000000" w:themeColor="text1"/>
        </w:rPr>
        <w:t xml:space="preserve"> del parágrafo 2 del artículo antes mencionado.</w:t>
      </w:r>
    </w:p>
    <w:p w14:paraId="339E755D" w14:textId="77777777" w:rsidR="007A4BE2" w:rsidRPr="005304B4" w:rsidRDefault="007A4BE2" w:rsidP="007A4BE2">
      <w:pPr>
        <w:pStyle w:val="Prrafodelista"/>
        <w:tabs>
          <w:tab w:val="left" w:pos="284"/>
          <w:tab w:val="left" w:pos="426"/>
        </w:tabs>
        <w:ind w:left="0"/>
      </w:pPr>
    </w:p>
    <w:p w14:paraId="36180802" w14:textId="143BC8C2" w:rsidR="007A4BE2" w:rsidRPr="005304B4" w:rsidRDefault="007A4BE2" w:rsidP="007A4BE2">
      <w:pPr>
        <w:pStyle w:val="Prrafodelista"/>
        <w:numPr>
          <w:ilvl w:val="0"/>
          <w:numId w:val="40"/>
        </w:numPr>
        <w:tabs>
          <w:tab w:val="left" w:pos="284"/>
          <w:tab w:val="left" w:pos="426"/>
        </w:tabs>
        <w:ind w:left="0" w:firstLine="0"/>
      </w:pPr>
      <w:r w:rsidRPr="005304B4">
        <w:rPr>
          <w:color w:val="000000" w:themeColor="text1"/>
        </w:rPr>
        <w:t xml:space="preserve">Teniendo en cuenta lo anterior, el debate constitucional que ha de dirimir la Corte se refiere a un conjunto de hipótesis normativas delimitadas. Así, </w:t>
      </w:r>
      <w:r w:rsidRPr="005304B4">
        <w:rPr>
          <w:i/>
          <w:iCs/>
          <w:color w:val="000000" w:themeColor="text1"/>
        </w:rPr>
        <w:t>en primer lugar,</w:t>
      </w:r>
      <w:r w:rsidRPr="005304B4">
        <w:rPr>
          <w:color w:val="000000" w:themeColor="text1"/>
        </w:rPr>
        <w:t xml:space="preserve"> se refiere específicamente a casos de acceso a licencias parentales</w:t>
      </w:r>
      <w:r w:rsidR="00A51A2F" w:rsidRPr="005304B4">
        <w:rPr>
          <w:color w:val="000000" w:themeColor="text1"/>
        </w:rPr>
        <w:t xml:space="preserve"> derivadas de procesos de adopción de niños, niñas y adolescentes. </w:t>
      </w:r>
      <w:r w:rsidR="002F06CD" w:rsidRPr="005304B4">
        <w:rPr>
          <w:i/>
          <w:iCs/>
          <w:color w:val="000000" w:themeColor="text1"/>
        </w:rPr>
        <w:t>N</w:t>
      </w:r>
      <w:r w:rsidR="00A51A2F" w:rsidRPr="005304B4">
        <w:rPr>
          <w:i/>
          <w:iCs/>
          <w:color w:val="000000" w:themeColor="text1"/>
        </w:rPr>
        <w:t xml:space="preserve">o hace objeto del pronunciamiento de la Corte en este caso </w:t>
      </w:r>
      <w:r w:rsidR="002F06CD" w:rsidRPr="005304B4">
        <w:rPr>
          <w:i/>
          <w:iCs/>
          <w:color w:val="000000" w:themeColor="text1"/>
        </w:rPr>
        <w:t>eventos de</w:t>
      </w:r>
      <w:r w:rsidR="00A51A2F" w:rsidRPr="005304B4">
        <w:rPr>
          <w:i/>
          <w:iCs/>
          <w:color w:val="000000" w:themeColor="text1"/>
        </w:rPr>
        <w:t xml:space="preserve"> acceso a licencias parentales derivadas de otras</w:t>
      </w:r>
      <w:r w:rsidR="005F75AB" w:rsidRPr="005304B4">
        <w:rPr>
          <w:i/>
          <w:iCs/>
          <w:color w:val="000000" w:themeColor="text1"/>
        </w:rPr>
        <w:t xml:space="preserve"> circunstancias</w:t>
      </w:r>
      <w:r w:rsidR="00A51A2F" w:rsidRPr="005304B4">
        <w:rPr>
          <w:color w:val="000000" w:themeColor="text1"/>
        </w:rPr>
        <w:t>, tales como la reproducción biológica</w:t>
      </w:r>
      <w:r w:rsidR="005F75AB" w:rsidRPr="005304B4">
        <w:rPr>
          <w:color w:val="000000" w:themeColor="text1"/>
        </w:rPr>
        <w:t>,</w:t>
      </w:r>
      <w:r w:rsidR="00A51A2F" w:rsidRPr="005304B4">
        <w:rPr>
          <w:color w:val="000000" w:themeColor="text1"/>
        </w:rPr>
        <w:t xml:space="preserve"> </w:t>
      </w:r>
      <w:r w:rsidR="002F06CD" w:rsidRPr="005304B4">
        <w:rPr>
          <w:color w:val="000000" w:themeColor="text1"/>
        </w:rPr>
        <w:t>puesto que, en relación con estas, puede haber elementos de juicio específicos, como el efecto de los procesos de parto y lactancia sobre la persona gestante, que la Corte en esta ocasión no entra a evaluar</w:t>
      </w:r>
      <w:r w:rsidR="00C46A66" w:rsidRPr="005304B4">
        <w:rPr>
          <w:color w:val="000000" w:themeColor="text1"/>
        </w:rPr>
        <w:t>.</w:t>
      </w:r>
    </w:p>
    <w:p w14:paraId="4F3C814A" w14:textId="77777777" w:rsidR="00851570" w:rsidRPr="005304B4" w:rsidRDefault="00851570" w:rsidP="00851570">
      <w:pPr>
        <w:pStyle w:val="Prrafodelista"/>
        <w:tabs>
          <w:tab w:val="left" w:pos="284"/>
          <w:tab w:val="left" w:pos="426"/>
        </w:tabs>
        <w:ind w:left="0"/>
      </w:pPr>
    </w:p>
    <w:p w14:paraId="7797BAF2" w14:textId="5A62FDCC" w:rsidR="00BA2B53" w:rsidRPr="005304B4" w:rsidRDefault="00851570" w:rsidP="00BA2B53">
      <w:pPr>
        <w:pStyle w:val="Prrafodelista"/>
        <w:numPr>
          <w:ilvl w:val="0"/>
          <w:numId w:val="40"/>
        </w:numPr>
        <w:tabs>
          <w:tab w:val="left" w:pos="284"/>
          <w:tab w:val="left" w:pos="426"/>
        </w:tabs>
        <w:ind w:left="0" w:firstLine="0"/>
        <w:rPr>
          <w:color w:val="000000" w:themeColor="text1"/>
        </w:rPr>
      </w:pPr>
      <w:r w:rsidRPr="005304B4">
        <w:rPr>
          <w:color w:val="000000" w:themeColor="text1"/>
        </w:rPr>
        <w:t>Específicamente, la Sala encuentra que los supuestos de acceso a licencias parentales derivados (i) de procesos de adopción y (ii) de la reproducción biológica tienen diferencias significativas. Así</w:t>
      </w:r>
      <w:r w:rsidR="00615287" w:rsidRPr="005304B4">
        <w:rPr>
          <w:color w:val="000000" w:themeColor="text1"/>
        </w:rPr>
        <w:t>,</w:t>
      </w:r>
      <w:r w:rsidRPr="005304B4">
        <w:rPr>
          <w:color w:val="000000" w:themeColor="text1"/>
        </w:rPr>
        <w:t xml:space="preserve"> por </w:t>
      </w:r>
      <w:r w:rsidR="00024EB3" w:rsidRPr="005304B4">
        <w:rPr>
          <w:color w:val="000000" w:themeColor="text1"/>
        </w:rPr>
        <w:t>ejemplo,</w:t>
      </w:r>
      <w:r w:rsidRPr="005304B4">
        <w:rPr>
          <w:color w:val="000000" w:themeColor="text1"/>
        </w:rPr>
        <w:t xml:space="preserve"> estas se diferencian en que, en la primera, el acceso a las licencias no se encuentra asociado de manera directa a proceso</w:t>
      </w:r>
      <w:r w:rsidR="00024EB3" w:rsidRPr="005304B4">
        <w:rPr>
          <w:color w:val="000000" w:themeColor="text1"/>
        </w:rPr>
        <w:t>s</w:t>
      </w:r>
      <w:r w:rsidRPr="005304B4">
        <w:rPr>
          <w:color w:val="000000" w:themeColor="text1"/>
        </w:rPr>
        <w:t xml:space="preserve"> físicos </w:t>
      </w:r>
      <w:r w:rsidR="00024EB3" w:rsidRPr="005304B4">
        <w:rPr>
          <w:color w:val="000000" w:themeColor="text1"/>
        </w:rPr>
        <w:t>como</w:t>
      </w:r>
      <w:r w:rsidRPr="005304B4">
        <w:rPr>
          <w:color w:val="000000" w:themeColor="text1"/>
        </w:rPr>
        <w:t xml:space="preserve"> la gestación</w:t>
      </w:r>
      <w:r w:rsidR="00615287" w:rsidRPr="005304B4">
        <w:rPr>
          <w:color w:val="000000" w:themeColor="text1"/>
        </w:rPr>
        <w:t>,</w:t>
      </w:r>
      <w:r w:rsidR="00024EB3" w:rsidRPr="005304B4">
        <w:rPr>
          <w:color w:val="000000" w:themeColor="text1"/>
        </w:rPr>
        <w:t xml:space="preserve"> el</w:t>
      </w:r>
      <w:r w:rsidRPr="005304B4">
        <w:rPr>
          <w:color w:val="000000" w:themeColor="text1"/>
        </w:rPr>
        <w:t xml:space="preserve"> parto</w:t>
      </w:r>
      <w:r w:rsidR="00615287" w:rsidRPr="005304B4">
        <w:rPr>
          <w:color w:val="000000" w:themeColor="text1"/>
        </w:rPr>
        <w:t xml:space="preserve"> y la lactancia;</w:t>
      </w:r>
      <w:r w:rsidRPr="005304B4">
        <w:rPr>
          <w:color w:val="000000" w:themeColor="text1"/>
        </w:rPr>
        <w:t xml:space="preserve"> mientras que en el segundo sí. </w:t>
      </w:r>
      <w:r w:rsidR="00BA2B53" w:rsidRPr="005304B4">
        <w:rPr>
          <w:color w:val="000000" w:themeColor="text1"/>
          <w:lang w:val="es-ES"/>
        </w:rPr>
        <w:t xml:space="preserve">En este último evento, la licencia de maternidad tendría por finalidad, además de garantizar el cuidado del recién nacido, </w:t>
      </w:r>
      <w:r w:rsidR="003D162E" w:rsidRPr="005304B4">
        <w:rPr>
          <w:color w:val="000000" w:themeColor="text1"/>
          <w:lang w:val="es-ES"/>
        </w:rPr>
        <w:t>velar por</w:t>
      </w:r>
      <w:r w:rsidR="00BA2B53" w:rsidRPr="005304B4">
        <w:rPr>
          <w:color w:val="000000" w:themeColor="text1"/>
          <w:lang w:val="es-ES"/>
        </w:rPr>
        <w:t xml:space="preserve"> la recuperación </w:t>
      </w:r>
      <w:r w:rsidR="003D162E" w:rsidRPr="005304B4">
        <w:rPr>
          <w:color w:val="000000" w:themeColor="text1"/>
          <w:lang w:val="es-ES"/>
        </w:rPr>
        <w:t>de quien</w:t>
      </w:r>
      <w:r w:rsidR="00BA2B53" w:rsidRPr="005304B4">
        <w:rPr>
          <w:color w:val="000000" w:themeColor="text1"/>
          <w:lang w:val="es-ES"/>
        </w:rPr>
        <w:t xml:space="preserve"> dio a luz, </w:t>
      </w:r>
      <w:r w:rsidR="00615287" w:rsidRPr="005304B4">
        <w:rPr>
          <w:color w:val="000000" w:themeColor="text1"/>
          <w:lang w:val="es-ES"/>
        </w:rPr>
        <w:t>de cara a</w:t>
      </w:r>
      <w:r w:rsidR="00BA2B53" w:rsidRPr="005304B4">
        <w:rPr>
          <w:color w:val="000000" w:themeColor="text1"/>
          <w:lang w:val="es-ES"/>
        </w:rPr>
        <w:t xml:space="preserve"> los procesos de embarazo y parto y, eventualmente, la posible adaptación </w:t>
      </w:r>
      <w:r w:rsidR="00615287" w:rsidRPr="005304B4">
        <w:rPr>
          <w:color w:val="000000" w:themeColor="text1"/>
          <w:lang w:val="es-ES"/>
        </w:rPr>
        <w:t>a</w:t>
      </w:r>
      <w:r w:rsidR="00BA2B53" w:rsidRPr="005304B4">
        <w:rPr>
          <w:color w:val="000000" w:themeColor="text1"/>
          <w:lang w:val="es-ES"/>
        </w:rPr>
        <w:t xml:space="preserve"> la lactancia.</w:t>
      </w:r>
    </w:p>
    <w:p w14:paraId="74C16F8C" w14:textId="77777777" w:rsidR="003D162E" w:rsidRPr="005304B4" w:rsidRDefault="003D162E" w:rsidP="003D162E">
      <w:pPr>
        <w:pStyle w:val="Prrafodelista"/>
        <w:tabs>
          <w:tab w:val="left" w:pos="284"/>
          <w:tab w:val="left" w:pos="426"/>
        </w:tabs>
        <w:ind w:left="0"/>
        <w:rPr>
          <w:color w:val="000000" w:themeColor="text1"/>
        </w:rPr>
      </w:pPr>
    </w:p>
    <w:p w14:paraId="6A64D91D" w14:textId="00971EF4" w:rsidR="00851570" w:rsidRPr="005304B4" w:rsidRDefault="00851570" w:rsidP="007A4BE2">
      <w:pPr>
        <w:pStyle w:val="Prrafodelista"/>
        <w:numPr>
          <w:ilvl w:val="0"/>
          <w:numId w:val="40"/>
        </w:numPr>
        <w:tabs>
          <w:tab w:val="left" w:pos="284"/>
          <w:tab w:val="left" w:pos="426"/>
        </w:tabs>
        <w:ind w:left="0" w:firstLine="0"/>
      </w:pPr>
      <w:r w:rsidRPr="005304B4">
        <w:rPr>
          <w:color w:val="000000" w:themeColor="text1"/>
        </w:rPr>
        <w:t xml:space="preserve">Por ende, la Sala enfatiza que, en este caso, se analiza de manera específica el presunto tratamiento diferencial de parejas homo y heteroparentales </w:t>
      </w:r>
      <w:r w:rsidRPr="005304B4">
        <w:rPr>
          <w:i/>
          <w:iCs/>
          <w:color w:val="000000" w:themeColor="text1"/>
        </w:rPr>
        <w:t>adoptantes</w:t>
      </w:r>
      <w:r w:rsidRPr="005304B4">
        <w:rPr>
          <w:color w:val="000000" w:themeColor="text1"/>
        </w:rPr>
        <w:t xml:space="preserve"> en el acceso a licencias parentales, lo que constituye un evento distinto del acceso a licencias parentales derivado de procesos de reproducción</w:t>
      </w:r>
      <w:r w:rsidR="00024EB3" w:rsidRPr="005304B4">
        <w:rPr>
          <w:color w:val="000000" w:themeColor="text1"/>
        </w:rPr>
        <w:t xml:space="preserve"> biológica, sobre el cual la Sala no emite pronunciamiento alguno</w:t>
      </w:r>
      <w:r w:rsidR="003D162E" w:rsidRPr="005304B4">
        <w:rPr>
          <w:color w:val="000000" w:themeColor="text1"/>
        </w:rPr>
        <w:t xml:space="preserve"> en esta ocasión</w:t>
      </w:r>
      <w:r w:rsidR="00615287" w:rsidRPr="005304B4">
        <w:rPr>
          <w:color w:val="000000" w:themeColor="text1"/>
        </w:rPr>
        <w:t>, por no haberse cuestionado en la demanda.</w:t>
      </w:r>
    </w:p>
    <w:p w14:paraId="2997A3A6" w14:textId="77777777" w:rsidR="009E311E" w:rsidRPr="005304B4" w:rsidRDefault="009E311E" w:rsidP="009E311E">
      <w:pPr>
        <w:pStyle w:val="Prrafodelista"/>
        <w:tabs>
          <w:tab w:val="left" w:pos="284"/>
          <w:tab w:val="left" w:pos="426"/>
        </w:tabs>
        <w:ind w:left="0"/>
      </w:pPr>
    </w:p>
    <w:p w14:paraId="3CC8EF7E" w14:textId="05FA2927" w:rsidR="00A51A2F" w:rsidRPr="005304B4" w:rsidRDefault="00A51A2F" w:rsidP="007A4BE2">
      <w:pPr>
        <w:pStyle w:val="Prrafodelista"/>
        <w:numPr>
          <w:ilvl w:val="0"/>
          <w:numId w:val="40"/>
        </w:numPr>
        <w:tabs>
          <w:tab w:val="left" w:pos="284"/>
          <w:tab w:val="left" w:pos="426"/>
        </w:tabs>
        <w:ind w:left="0" w:firstLine="0"/>
      </w:pPr>
      <w:r w:rsidRPr="005304B4">
        <w:rPr>
          <w:i/>
          <w:iCs/>
          <w:color w:val="000000" w:themeColor="text1"/>
        </w:rPr>
        <w:t>En segundo lugar</w:t>
      </w:r>
      <w:r w:rsidRPr="005304B4">
        <w:rPr>
          <w:color w:val="000000" w:themeColor="text1"/>
        </w:rPr>
        <w:t>, el debate constitucional se refiere</w:t>
      </w:r>
      <w:r w:rsidR="005F75AB" w:rsidRPr="005304B4">
        <w:rPr>
          <w:color w:val="000000" w:themeColor="text1"/>
        </w:rPr>
        <w:t>,</w:t>
      </w:r>
      <w:r w:rsidRPr="005304B4">
        <w:rPr>
          <w:color w:val="000000" w:themeColor="text1"/>
        </w:rPr>
        <w:t xml:space="preserve"> específicamente</w:t>
      </w:r>
      <w:r w:rsidR="005F75AB" w:rsidRPr="005304B4">
        <w:rPr>
          <w:color w:val="000000" w:themeColor="text1"/>
        </w:rPr>
        <w:t>,</w:t>
      </w:r>
      <w:r w:rsidRPr="005304B4">
        <w:rPr>
          <w:color w:val="000000" w:themeColor="text1"/>
        </w:rPr>
        <w:t xml:space="preserve"> a casos </w:t>
      </w:r>
      <w:r w:rsidR="009E311E" w:rsidRPr="005304B4">
        <w:rPr>
          <w:color w:val="000000" w:themeColor="text1"/>
        </w:rPr>
        <w:t xml:space="preserve">en los que, ambos </w:t>
      </w:r>
      <w:r w:rsidR="009E311E" w:rsidRPr="005304B4">
        <w:rPr>
          <w:i/>
          <w:iCs/>
          <w:color w:val="000000" w:themeColor="text1"/>
        </w:rPr>
        <w:t>miembros de una pareja, conjuntamente,</w:t>
      </w:r>
      <w:r w:rsidR="009E311E" w:rsidRPr="005304B4">
        <w:rPr>
          <w:color w:val="000000" w:themeColor="text1"/>
        </w:rPr>
        <w:t xml:space="preserve"> adoptan a un niño, niña o adolescente. Esta precisión es necesaria, de un lado, porque el esquema de comparación </w:t>
      </w:r>
      <w:r w:rsidR="002F06CD" w:rsidRPr="005304B4">
        <w:rPr>
          <w:color w:val="000000" w:themeColor="text1"/>
        </w:rPr>
        <w:t xml:space="preserve">propuesto por los accionantes se refiere, específicamente a este </w:t>
      </w:r>
      <w:r w:rsidR="005F75AB" w:rsidRPr="005304B4">
        <w:rPr>
          <w:color w:val="000000" w:themeColor="text1"/>
        </w:rPr>
        <w:t>escenario;</w:t>
      </w:r>
      <w:r w:rsidR="002F06CD" w:rsidRPr="005304B4">
        <w:rPr>
          <w:color w:val="000000" w:themeColor="text1"/>
        </w:rPr>
        <w:t xml:space="preserve"> y, de otro, porque en casos de adoptantes únicos, no existe duda de que será este quién disfrutará la licencia de maternidad. Lo anterior, incluso en el caso de adoptantes hombres, puesto que el art. 127</w:t>
      </w:r>
      <w:r w:rsidR="002F06CD" w:rsidRPr="005304B4">
        <w:rPr>
          <w:rStyle w:val="Refdenotaalpie"/>
          <w:color w:val="000000" w:themeColor="text1"/>
        </w:rPr>
        <w:footnoteReference w:id="195"/>
      </w:r>
      <w:r w:rsidR="002F06CD" w:rsidRPr="005304B4">
        <w:rPr>
          <w:color w:val="000000" w:themeColor="text1"/>
        </w:rPr>
        <w:t xml:space="preserve"> de la Ley 1098 de 2006</w:t>
      </w:r>
      <w:r w:rsidR="002F06CD" w:rsidRPr="005304B4">
        <w:rPr>
          <w:rStyle w:val="Refdenotaalpie"/>
          <w:color w:val="000000" w:themeColor="text1"/>
        </w:rPr>
        <w:footnoteReference w:id="196"/>
      </w:r>
      <w:r w:rsidR="002F06CD" w:rsidRPr="005304B4">
        <w:rPr>
          <w:color w:val="000000" w:themeColor="text1"/>
        </w:rPr>
        <w:t xml:space="preserve"> reconoció expresamente el derecho a que estos se les reconozca la licencia de maternidad en </w:t>
      </w:r>
      <w:r w:rsidR="005F75AB" w:rsidRPr="005304B4">
        <w:rPr>
          <w:color w:val="000000" w:themeColor="text1"/>
        </w:rPr>
        <w:t>tales</w:t>
      </w:r>
      <w:r w:rsidR="002F06CD" w:rsidRPr="005304B4">
        <w:rPr>
          <w:color w:val="000000" w:themeColor="text1"/>
        </w:rPr>
        <w:t xml:space="preserve"> eventos.</w:t>
      </w:r>
    </w:p>
    <w:p w14:paraId="4843ECC0" w14:textId="77777777" w:rsidR="006E2DF7" w:rsidRPr="005304B4" w:rsidRDefault="006E2DF7" w:rsidP="006E2DF7">
      <w:pPr>
        <w:pStyle w:val="Prrafodelista"/>
        <w:tabs>
          <w:tab w:val="left" w:pos="284"/>
          <w:tab w:val="left" w:pos="426"/>
        </w:tabs>
        <w:ind w:left="0"/>
      </w:pPr>
    </w:p>
    <w:p w14:paraId="3B7059E8" w14:textId="2458790A" w:rsidR="00C46A66" w:rsidRPr="005304B4" w:rsidRDefault="002F06CD" w:rsidP="00C46A66">
      <w:pPr>
        <w:pStyle w:val="Prrafodelista"/>
        <w:numPr>
          <w:ilvl w:val="0"/>
          <w:numId w:val="40"/>
        </w:numPr>
        <w:tabs>
          <w:tab w:val="left" w:pos="284"/>
          <w:tab w:val="left" w:pos="426"/>
        </w:tabs>
        <w:ind w:left="0" w:firstLine="0"/>
      </w:pPr>
      <w:r w:rsidRPr="005304B4">
        <w:rPr>
          <w:i/>
          <w:iCs/>
          <w:color w:val="000000" w:themeColor="text1"/>
        </w:rPr>
        <w:t>En tercer lugar</w:t>
      </w:r>
      <w:r w:rsidRPr="005304B4">
        <w:rPr>
          <w:color w:val="000000" w:themeColor="text1"/>
        </w:rPr>
        <w:t xml:space="preserve">, se trata de eventos en los cuáles ambos adoptantes </w:t>
      </w:r>
      <w:r w:rsidR="005A51EB" w:rsidRPr="005304B4">
        <w:rPr>
          <w:color w:val="000000" w:themeColor="text1"/>
        </w:rPr>
        <w:t xml:space="preserve">cumplen </w:t>
      </w:r>
      <w:r w:rsidR="005F75AB" w:rsidRPr="005304B4">
        <w:rPr>
          <w:color w:val="000000" w:themeColor="text1"/>
        </w:rPr>
        <w:t xml:space="preserve">con los requisitos </w:t>
      </w:r>
      <w:r w:rsidR="005A51EB" w:rsidRPr="005304B4">
        <w:rPr>
          <w:color w:val="000000" w:themeColor="text1"/>
        </w:rPr>
        <w:t xml:space="preserve">exigidos por la ley y la jurisprudencia constitucional para </w:t>
      </w:r>
      <w:r w:rsidR="006E2DF7" w:rsidRPr="005304B4">
        <w:rPr>
          <w:color w:val="000000" w:themeColor="text1"/>
        </w:rPr>
        <w:t>acceder a</w:t>
      </w:r>
      <w:r w:rsidR="005A51EB" w:rsidRPr="005304B4">
        <w:rPr>
          <w:color w:val="000000" w:themeColor="text1"/>
        </w:rPr>
        <w:t xml:space="preserve"> las correspondientes licencias parentales</w:t>
      </w:r>
      <w:r w:rsidR="005A51EB" w:rsidRPr="005304B4">
        <w:rPr>
          <w:rStyle w:val="Refdenotaalpie"/>
          <w:color w:val="000000" w:themeColor="text1"/>
        </w:rPr>
        <w:footnoteReference w:id="197"/>
      </w:r>
      <w:r w:rsidR="00C46A66" w:rsidRPr="005304B4">
        <w:rPr>
          <w:color w:val="000000" w:themeColor="text1"/>
        </w:rPr>
        <w:t>, puesto que la p</w:t>
      </w:r>
      <w:r w:rsidR="005F75AB" w:rsidRPr="005304B4">
        <w:rPr>
          <w:color w:val="000000" w:themeColor="text1"/>
        </w:rPr>
        <w:t>osibilidad</w:t>
      </w:r>
      <w:r w:rsidR="00C46A66" w:rsidRPr="005304B4">
        <w:rPr>
          <w:color w:val="000000" w:themeColor="text1"/>
        </w:rPr>
        <w:t xml:space="preserve"> de elegir entre las licencias parentales de maternidad y de paternidad parte del supuesto del cumplimiento de los requisitos exigibles para </w:t>
      </w:r>
      <w:r w:rsidR="005F75AB" w:rsidRPr="005304B4">
        <w:rPr>
          <w:color w:val="000000" w:themeColor="text1"/>
        </w:rPr>
        <w:t>acceder a estas prestaciones</w:t>
      </w:r>
      <w:r w:rsidR="00C46A66" w:rsidRPr="005304B4">
        <w:rPr>
          <w:color w:val="000000" w:themeColor="text1"/>
        </w:rPr>
        <w:t>. En tal sentido, por ejemplo, si uno de los miembros de la pareja no es afiliado cotizante al sistema general de seguridad social en salud, en principio no tiene la posibilidad de acceder a una licencia parental</w:t>
      </w:r>
      <w:r w:rsidR="005F75AB" w:rsidRPr="005304B4">
        <w:rPr>
          <w:color w:val="000000" w:themeColor="text1"/>
        </w:rPr>
        <w:t xml:space="preserve"> de las contempladas en el art. 2 de la Ley 2114 de 2021</w:t>
      </w:r>
      <w:r w:rsidR="00C46A66" w:rsidRPr="005304B4">
        <w:rPr>
          <w:color w:val="000000" w:themeColor="text1"/>
        </w:rPr>
        <w:t xml:space="preserve">, lo que </w:t>
      </w:r>
      <w:r w:rsidR="005F75AB" w:rsidRPr="005304B4">
        <w:rPr>
          <w:color w:val="000000" w:themeColor="text1"/>
        </w:rPr>
        <w:t>descartaría</w:t>
      </w:r>
      <w:r w:rsidR="00C46A66" w:rsidRPr="005304B4">
        <w:rPr>
          <w:color w:val="000000" w:themeColor="text1"/>
        </w:rPr>
        <w:t xml:space="preserve"> la posibilidad de elección entre ambos tipos de beneficios </w:t>
      </w:r>
      <w:r w:rsidR="005F75AB" w:rsidRPr="005304B4">
        <w:rPr>
          <w:color w:val="000000" w:themeColor="text1"/>
        </w:rPr>
        <w:t>para la pareja adoptante</w:t>
      </w:r>
      <w:r w:rsidR="00C46A66" w:rsidRPr="005304B4">
        <w:rPr>
          <w:color w:val="000000" w:themeColor="text1"/>
        </w:rPr>
        <w:t>.</w:t>
      </w:r>
    </w:p>
    <w:p w14:paraId="3326786F" w14:textId="77777777" w:rsidR="00AC3365" w:rsidRPr="005304B4" w:rsidRDefault="00AC3365" w:rsidP="00AC3365">
      <w:pPr>
        <w:pStyle w:val="Prrafodelista"/>
        <w:tabs>
          <w:tab w:val="left" w:pos="284"/>
          <w:tab w:val="left" w:pos="426"/>
        </w:tabs>
        <w:ind w:left="0"/>
      </w:pPr>
    </w:p>
    <w:p w14:paraId="48CFDCE4" w14:textId="0FD76253" w:rsidR="00C46A66" w:rsidRPr="005304B4" w:rsidRDefault="00C46A66" w:rsidP="00C46A66">
      <w:pPr>
        <w:pStyle w:val="Prrafodelista"/>
        <w:numPr>
          <w:ilvl w:val="0"/>
          <w:numId w:val="40"/>
        </w:numPr>
        <w:tabs>
          <w:tab w:val="left" w:pos="284"/>
          <w:tab w:val="left" w:pos="426"/>
        </w:tabs>
        <w:ind w:left="0" w:firstLine="0"/>
      </w:pPr>
      <w:r w:rsidRPr="005304B4">
        <w:rPr>
          <w:color w:val="000000" w:themeColor="text1"/>
        </w:rPr>
        <w:t>Precisadas las anteriores hipótesis normativas, procede la Sala a evaluar la constitucionalidad de las expresiones objeto de control.</w:t>
      </w:r>
    </w:p>
    <w:p w14:paraId="238539B4" w14:textId="77777777" w:rsidR="00024EB3" w:rsidRPr="005304B4" w:rsidRDefault="00024EB3" w:rsidP="00024EB3">
      <w:pPr>
        <w:tabs>
          <w:tab w:val="left" w:pos="284"/>
          <w:tab w:val="left" w:pos="426"/>
        </w:tabs>
      </w:pPr>
    </w:p>
    <w:p w14:paraId="1AA813DA" w14:textId="185D7258" w:rsidR="00024EB3" w:rsidRPr="005304B4" w:rsidRDefault="00024EB3" w:rsidP="00024EB3">
      <w:pPr>
        <w:pStyle w:val="Ttulo3"/>
      </w:pPr>
      <w:bookmarkStart w:id="47" w:name="_Toc224553762"/>
      <w:r w:rsidRPr="005304B4">
        <w:t xml:space="preserve">8.2. </w:t>
      </w:r>
      <w:r w:rsidR="00BA2B53" w:rsidRPr="005304B4">
        <w:t>El</w:t>
      </w:r>
      <w:r w:rsidRPr="005304B4">
        <w:t xml:space="preserve"> condicionamiento efectuado por esta Corte en la Sentencia C-415 de 2022, en conjunción con el texto del artículo 2 de la Ley 2114 de 2021, dieron lugar a un tratamiento jurídico diferencial e injustificado entre parejas heteroparentales y homoparentales adoptantes en materia de posibilidad de elección sobre el acceso de sus miembros a las licencias parentales</w:t>
      </w:r>
      <w:r w:rsidR="00F75BA6" w:rsidRPr="005304B4">
        <w:t>, el cual no supera el test integrado de igualdad</w:t>
      </w:r>
      <w:bookmarkEnd w:id="47"/>
    </w:p>
    <w:p w14:paraId="3D0E5DA6" w14:textId="77777777" w:rsidR="00024EB3" w:rsidRPr="005304B4" w:rsidRDefault="00024EB3" w:rsidP="00024EB3">
      <w:pPr>
        <w:rPr>
          <w:sz w:val="28"/>
          <w:szCs w:val="28"/>
          <w:lang w:val="es-ES_tradnl" w:eastAsia="es-CO"/>
        </w:rPr>
      </w:pPr>
    </w:p>
    <w:p w14:paraId="777C0816" w14:textId="5A8D3E3B" w:rsidR="00024EB3" w:rsidRPr="005304B4" w:rsidRDefault="00024EB3" w:rsidP="00024EB3">
      <w:pPr>
        <w:pStyle w:val="Prrafodelista"/>
        <w:numPr>
          <w:ilvl w:val="0"/>
          <w:numId w:val="40"/>
        </w:numPr>
        <w:tabs>
          <w:tab w:val="left" w:pos="284"/>
          <w:tab w:val="left" w:pos="426"/>
        </w:tabs>
        <w:ind w:left="0" w:firstLine="0"/>
      </w:pPr>
      <w:r w:rsidRPr="005304B4">
        <w:rPr>
          <w:i/>
          <w:iCs/>
        </w:rPr>
        <w:t>Punto de partida.</w:t>
      </w:r>
      <w:r w:rsidRPr="005304B4">
        <w:t xml:space="preserve"> De entrada, la Sala encuentra que, como lo advirtieron las sentencias C-415 de 2022 y C-324 de 2023, la redacción del art. 2 de la Ley 2114 de 2021 puede resultar problemática desde una perspectiva de género, puesto que no solamente parte de un entendimiento binario del sexo y el género, al que todas las personas potencialmente beneficiarias de dichas prestaciones encuadrarán dentro de categorías </w:t>
      </w:r>
      <w:r w:rsidR="00615287" w:rsidRPr="005304B4">
        <w:t xml:space="preserve">identitarias </w:t>
      </w:r>
      <w:r w:rsidRPr="005304B4">
        <w:t>específicas, tales como mujer, madre, trabajadora; sino que también omitió regular el acceso a las licencias parentales para alternativas de composición familiar que se alejan del patrón heteronormativo, como aquellas compuestas por parejas del mismo sexo.</w:t>
      </w:r>
    </w:p>
    <w:p w14:paraId="6C4F213C" w14:textId="77777777" w:rsidR="00024EB3" w:rsidRPr="005304B4" w:rsidRDefault="00024EB3" w:rsidP="00024EB3">
      <w:pPr>
        <w:pStyle w:val="Prrafodelista"/>
        <w:tabs>
          <w:tab w:val="left" w:pos="284"/>
          <w:tab w:val="left" w:pos="426"/>
        </w:tabs>
        <w:ind w:left="0"/>
      </w:pPr>
    </w:p>
    <w:p w14:paraId="32BAF4B5" w14:textId="5626E57F" w:rsidR="00024EB3" w:rsidRPr="005304B4" w:rsidRDefault="00024EB3" w:rsidP="00024EB3">
      <w:pPr>
        <w:pStyle w:val="Prrafodelista"/>
        <w:numPr>
          <w:ilvl w:val="0"/>
          <w:numId w:val="40"/>
        </w:numPr>
        <w:tabs>
          <w:tab w:val="left" w:pos="284"/>
          <w:tab w:val="left" w:pos="426"/>
        </w:tabs>
        <w:ind w:left="0" w:firstLine="0"/>
      </w:pPr>
      <w:r w:rsidRPr="005304B4">
        <w:t>Fue</w:t>
      </w:r>
      <w:r w:rsidR="00615287" w:rsidRPr="005304B4">
        <w:t>,</w:t>
      </w:r>
      <w:r w:rsidRPr="005304B4">
        <w:t xml:space="preserve"> precisamente</w:t>
      </w:r>
      <w:r w:rsidR="00615287" w:rsidRPr="005304B4">
        <w:t>,</w:t>
      </w:r>
      <w:r w:rsidRPr="005304B4">
        <w:t xml:space="preserve"> en atención a las circunstancias anteriores que se profirieron las dos sentencias antes mencionadas, las cuales, al responder a cargos específicos relacionados con desconocimiento del principio de igualdad o la configuración de omisiones legislativas relativas, condicionaron la interpretación de la disposición para garantizar un acceso más equitativo para grupos históricamente discriminados, como los que hacen parte de la población LGBTQ, a las prestaciones allí contempladas.</w:t>
      </w:r>
    </w:p>
    <w:p w14:paraId="494A8B9C" w14:textId="77777777" w:rsidR="00024EB3" w:rsidRPr="005304B4" w:rsidRDefault="00024EB3" w:rsidP="00024EB3">
      <w:pPr>
        <w:pStyle w:val="Prrafodelista"/>
        <w:tabs>
          <w:tab w:val="left" w:pos="284"/>
          <w:tab w:val="left" w:pos="426"/>
        </w:tabs>
        <w:ind w:left="0"/>
      </w:pPr>
    </w:p>
    <w:p w14:paraId="4BDAC0EE" w14:textId="77988AF3" w:rsidR="00024EB3" w:rsidRPr="005304B4" w:rsidRDefault="00024EB3" w:rsidP="00024EB3">
      <w:pPr>
        <w:pStyle w:val="Prrafodelista"/>
        <w:numPr>
          <w:ilvl w:val="0"/>
          <w:numId w:val="40"/>
        </w:numPr>
        <w:tabs>
          <w:tab w:val="left" w:pos="284"/>
          <w:tab w:val="left" w:pos="426"/>
        </w:tabs>
        <w:ind w:left="0" w:firstLine="0"/>
      </w:pPr>
      <w:r w:rsidRPr="005304B4">
        <w:rPr>
          <w:i/>
          <w:iCs/>
        </w:rPr>
        <w:t>El uso del criterio género para organizar el acceso de parejas adoptantes de distinto sexo a las licencias parentales</w:t>
      </w:r>
      <w:r w:rsidRPr="005304B4">
        <w:t xml:space="preserve">. A pesar de los avances generados por las sentencias anteriores, estas no corrigieron todas las potenciales circunstancias de desigualdad asociadas al género y la orientación sexual presentes en la disposición. En tal sentido, la Sala encuentra que las expresiones “la madre adoptante” y “el padre adoptante” alojadas en </w:t>
      </w:r>
      <w:r w:rsidRPr="005304B4">
        <w:rPr>
          <w:color w:val="000000" w:themeColor="text1"/>
        </w:rPr>
        <w:t>el numeral 4 y en el inciso segundo del parágrafo 2 del artículo 2 de la Ley 2114 de 2021, respectivamente,</w:t>
      </w:r>
      <w:r w:rsidRPr="005304B4">
        <w:t xml:space="preserve"> regulan el acceso a las licencias parentales para parejas adoptantes con base en criterios de género específicos.</w:t>
      </w:r>
    </w:p>
    <w:p w14:paraId="22283B76" w14:textId="77777777" w:rsidR="00024EB3" w:rsidRPr="005304B4" w:rsidRDefault="00024EB3" w:rsidP="00024EB3">
      <w:pPr>
        <w:pStyle w:val="Prrafodelista"/>
        <w:tabs>
          <w:tab w:val="left" w:pos="284"/>
          <w:tab w:val="left" w:pos="426"/>
        </w:tabs>
        <w:ind w:left="0"/>
      </w:pPr>
    </w:p>
    <w:p w14:paraId="7C7DDEE7" w14:textId="77777777" w:rsidR="00024EB3" w:rsidRPr="005304B4" w:rsidRDefault="00024EB3" w:rsidP="00024EB3">
      <w:pPr>
        <w:pStyle w:val="Prrafodelista"/>
        <w:numPr>
          <w:ilvl w:val="0"/>
          <w:numId w:val="40"/>
        </w:numPr>
        <w:tabs>
          <w:tab w:val="left" w:pos="284"/>
          <w:tab w:val="left" w:pos="426"/>
        </w:tabs>
        <w:ind w:left="0" w:firstLine="0"/>
      </w:pPr>
      <w:r w:rsidRPr="005304B4">
        <w:t>Así las cosas, al referirse a la situación de “la madre adoptante”, el numeral 4 del art. 2 de la Ley 2114 de 2021 establece con claridad que se le harán extensivas y en cuanto fuere procedente “[t]odas las provisiones y garantías establecidas en la presente ley para la madre biológica”. Ello implica que esta tendrá acceso, en los términos del numeral 1 del mismo artículo, a una licencia de maternidad de 18 semanas de duración, puesto que es a esta prestación a la cual tendría acceso la trabajadora en estado de embarazo.</w:t>
      </w:r>
    </w:p>
    <w:p w14:paraId="03DD373D" w14:textId="77777777" w:rsidR="00024EB3" w:rsidRPr="005304B4" w:rsidRDefault="00024EB3" w:rsidP="00024EB3">
      <w:pPr>
        <w:pStyle w:val="Prrafodelista"/>
        <w:tabs>
          <w:tab w:val="left" w:pos="284"/>
          <w:tab w:val="left" w:pos="426"/>
        </w:tabs>
        <w:ind w:left="0"/>
      </w:pPr>
    </w:p>
    <w:p w14:paraId="589CC140" w14:textId="77777777" w:rsidR="00024EB3" w:rsidRPr="005304B4" w:rsidRDefault="00024EB3" w:rsidP="00024EB3">
      <w:pPr>
        <w:pStyle w:val="Prrafodelista"/>
        <w:numPr>
          <w:ilvl w:val="0"/>
          <w:numId w:val="40"/>
        </w:numPr>
        <w:tabs>
          <w:tab w:val="left" w:pos="284"/>
          <w:tab w:val="left" w:pos="426"/>
        </w:tabs>
        <w:ind w:left="0" w:firstLine="0"/>
      </w:pPr>
      <w:r w:rsidRPr="005304B4">
        <w:t>En contraste, dicho tratamiento no se reconoce a primera vista a “el padre adoptante”, puesto que la norma solo admite su extensión, además, “al padre que quede a cargo del recién nacido sin apoyo de la madre, sea por enfermedad, abandono o muerte”</w:t>
      </w:r>
      <w:r w:rsidRPr="005304B4">
        <w:rPr>
          <w:rStyle w:val="Refdenotaalpie"/>
        </w:rPr>
        <w:footnoteReference w:id="198"/>
      </w:r>
      <w:r w:rsidRPr="005304B4">
        <w:t>, caso en el cual “el empleador del padre del niño le concederá una licencia de duración equivalente al tiempo que falta para expirar el período de la licencia posterior al parto concedida a la madre”</w:t>
      </w:r>
      <w:r w:rsidRPr="005304B4">
        <w:rPr>
          <w:rStyle w:val="Refdenotaalpie"/>
        </w:rPr>
        <w:footnoteReference w:id="199"/>
      </w:r>
      <w:r w:rsidRPr="005304B4">
        <w:t>.</w:t>
      </w:r>
    </w:p>
    <w:p w14:paraId="10AEA6E5" w14:textId="77777777" w:rsidR="00024EB3" w:rsidRPr="005304B4" w:rsidRDefault="00024EB3" w:rsidP="00024EB3">
      <w:pPr>
        <w:pStyle w:val="Prrafodelista"/>
        <w:tabs>
          <w:tab w:val="left" w:pos="284"/>
          <w:tab w:val="left" w:pos="426"/>
        </w:tabs>
        <w:ind w:left="0"/>
      </w:pPr>
    </w:p>
    <w:p w14:paraId="17454F39" w14:textId="77777777" w:rsidR="00024EB3" w:rsidRPr="005304B4" w:rsidRDefault="00024EB3" w:rsidP="00024EB3">
      <w:pPr>
        <w:pStyle w:val="Prrafodelista"/>
        <w:numPr>
          <w:ilvl w:val="0"/>
          <w:numId w:val="40"/>
        </w:numPr>
        <w:tabs>
          <w:tab w:val="left" w:pos="284"/>
          <w:tab w:val="left" w:pos="426"/>
        </w:tabs>
        <w:ind w:left="0" w:firstLine="0"/>
      </w:pPr>
      <w:r w:rsidRPr="005304B4">
        <w:t xml:space="preserve">Una situación similar se presenta en relación con la situación de “el padre adoptante”. El inciso segundo del parágrafo 2 del mismo artículo establece que a “[l]a licencia remunerada de paternidad opera por los hijos nacidos del cónyuge o de la compañera permanente, así como para </w:t>
      </w:r>
      <w:r w:rsidRPr="005304B4">
        <w:rPr>
          <w:b/>
          <w:bCs/>
        </w:rPr>
        <w:t>el padre adoptante</w:t>
      </w:r>
      <w:r w:rsidRPr="005304B4">
        <w:t>” (énfasis añadido). Ello implica que, de acuerdo con el enunciado, el acceso a la licencia de paternidad está establecido para el padre adoptante, pero no para la madre adoptante.</w:t>
      </w:r>
    </w:p>
    <w:p w14:paraId="58FD01BE" w14:textId="77777777" w:rsidR="00024EB3" w:rsidRPr="005304B4" w:rsidRDefault="00024EB3" w:rsidP="00024EB3">
      <w:pPr>
        <w:pStyle w:val="Prrafodelista"/>
        <w:tabs>
          <w:tab w:val="left" w:pos="284"/>
          <w:tab w:val="left" w:pos="426"/>
        </w:tabs>
        <w:ind w:left="0"/>
      </w:pPr>
    </w:p>
    <w:p w14:paraId="7D38AD29" w14:textId="654A89E2" w:rsidR="00024EB3" w:rsidRPr="005304B4" w:rsidRDefault="00024EB3" w:rsidP="00024EB3">
      <w:pPr>
        <w:pStyle w:val="Prrafodelista"/>
        <w:numPr>
          <w:ilvl w:val="0"/>
          <w:numId w:val="40"/>
        </w:numPr>
        <w:tabs>
          <w:tab w:val="left" w:pos="284"/>
          <w:tab w:val="left" w:pos="426"/>
        </w:tabs>
        <w:ind w:left="0" w:firstLine="0"/>
      </w:pPr>
      <w:r w:rsidRPr="005304B4">
        <w:t xml:space="preserve">Al evaluar conjuntamente ambos textos normativos, es posible evidenciar que, en efecto, el uso que el artículo 2 de la Ley 2114 de 2021 hace de las expresiones “la madre adoptante” y “el padre adoptante” conlleve a que, </w:t>
      </w:r>
      <w:r w:rsidR="00AD04FB" w:rsidRPr="005304B4">
        <w:t xml:space="preserve">en principio, </w:t>
      </w:r>
      <w:r w:rsidRPr="005304B4">
        <w:t>en casos de parejas adoptantes, el acceso a la licencia de maternidad se reserve para la primera y el disfrute a la licencia de paternidad se destine para el segundo. Así las cosas, no existe duda de que, de acuerdo con el enunciado, el género de cada uno de los padres condiciona o determina el acceso a una u otra licencia.</w:t>
      </w:r>
    </w:p>
    <w:p w14:paraId="0258079E" w14:textId="77777777" w:rsidR="00024EB3" w:rsidRPr="005304B4" w:rsidRDefault="00024EB3" w:rsidP="00024EB3">
      <w:pPr>
        <w:pStyle w:val="Prrafodelista"/>
        <w:tabs>
          <w:tab w:val="left" w:pos="284"/>
          <w:tab w:val="left" w:pos="426"/>
        </w:tabs>
        <w:ind w:left="0"/>
      </w:pPr>
    </w:p>
    <w:p w14:paraId="0628E67C" w14:textId="77777777" w:rsidR="00024EB3" w:rsidRPr="005304B4" w:rsidRDefault="00024EB3" w:rsidP="00024EB3">
      <w:pPr>
        <w:pStyle w:val="Prrafodelista"/>
        <w:numPr>
          <w:ilvl w:val="0"/>
          <w:numId w:val="40"/>
        </w:numPr>
        <w:tabs>
          <w:tab w:val="left" w:pos="284"/>
          <w:tab w:val="left" w:pos="426"/>
        </w:tabs>
        <w:ind w:left="0" w:firstLine="0"/>
      </w:pPr>
      <w:r w:rsidRPr="005304B4">
        <w:rPr>
          <w:rStyle w:val="normaltextrun"/>
          <w:color w:val="000000"/>
          <w:shd w:val="clear" w:color="auto" w:fill="FFFFFF"/>
          <w:lang w:val="es-MX"/>
        </w:rPr>
        <w:t>Por demás, la Sala resalta que la diferencia en la duración de ambas licencias parentales (18 semanas en el caso de la licencia de maternidad y 2 semanas en el caso de la paternidad),</w:t>
      </w:r>
      <w:r w:rsidRPr="005304B4">
        <w:rPr>
          <w:rStyle w:val="normaltextrun"/>
          <w:b/>
          <w:bCs/>
          <w:color w:val="000000"/>
          <w:shd w:val="clear" w:color="auto" w:fill="FFFFFF"/>
          <w:lang w:val="es-MX"/>
        </w:rPr>
        <w:t> </w:t>
      </w:r>
      <w:r w:rsidRPr="005304B4">
        <w:rPr>
          <w:rStyle w:val="normaltextrun"/>
          <w:color w:val="000000"/>
          <w:shd w:val="clear" w:color="auto" w:fill="FFFFFF"/>
          <w:lang w:val="es-MX"/>
        </w:rPr>
        <w:t>tiene implicaciones importantes</w:t>
      </w:r>
      <w:r w:rsidRPr="005304B4">
        <w:t xml:space="preserve"> respecto al tiempo de descanso remunerado que se reconoce a cada uno de los adoptantes, lo que se traduce en la posibilidad que estos tienen de ejercer las labores de cuidado en relación con su hijo adoptivo y de participar, en términos amplios, del proceso de crianza, en especial durante la etapa inicial de adaptación del niño, niña o adolescente adoptivo al nuevo núcleo familiar.</w:t>
      </w:r>
    </w:p>
    <w:p w14:paraId="7ED199EE" w14:textId="77777777" w:rsidR="00024EB3" w:rsidRPr="005304B4" w:rsidRDefault="00024EB3" w:rsidP="00024EB3">
      <w:pPr>
        <w:pStyle w:val="Prrafodelista"/>
        <w:tabs>
          <w:tab w:val="left" w:pos="284"/>
          <w:tab w:val="left" w:pos="426"/>
        </w:tabs>
        <w:ind w:left="0"/>
        <w:rPr>
          <w:lang w:val="es-ES_tradnl"/>
        </w:rPr>
      </w:pPr>
    </w:p>
    <w:p w14:paraId="4A0B38EB" w14:textId="759C40A9" w:rsidR="00024EB3" w:rsidRPr="005304B4" w:rsidRDefault="00AD04FB" w:rsidP="00024EB3">
      <w:pPr>
        <w:pStyle w:val="Prrafodelista"/>
        <w:numPr>
          <w:ilvl w:val="0"/>
          <w:numId w:val="40"/>
        </w:numPr>
        <w:tabs>
          <w:tab w:val="left" w:pos="284"/>
          <w:tab w:val="left" w:pos="426"/>
        </w:tabs>
        <w:ind w:left="0" w:firstLine="0"/>
        <w:rPr>
          <w:lang w:val="es-ES_tradnl"/>
        </w:rPr>
      </w:pPr>
      <w:r w:rsidRPr="005304B4">
        <w:rPr>
          <w:lang w:val="es-ES_tradnl"/>
        </w:rPr>
        <w:t>Por su parte</w:t>
      </w:r>
      <w:r w:rsidR="00024EB3" w:rsidRPr="005304B4">
        <w:rPr>
          <w:lang w:val="es-ES_tradnl"/>
        </w:rPr>
        <w:t>, los demandantes afirmaron que mientras que la norma que se desprende de la expresión “la madre adoptante” del numeral 4 del artículo 2 de la Ley 2114 de 2021 daba lugar a que, en el caso de las parejas heteroparentales adoptantes, fuera el género de sus integrantes lo que determinaba el acceso a la licencia en época de parto; ello difería de la situación de las parejas homoparentales adoptantes, a las cuales, de forma expresa, la Sentencia C-415 de 2022 les permitió, por una sola vez, elegir cual de sus integrantes accedería a dicha prestación. Lo anterior, a su vez, daba lugar a un tratamiento contrario al principio de igualdad.</w:t>
      </w:r>
    </w:p>
    <w:p w14:paraId="2B937A25" w14:textId="77777777" w:rsidR="00024EB3" w:rsidRPr="005304B4" w:rsidRDefault="00024EB3" w:rsidP="00024EB3">
      <w:pPr>
        <w:pStyle w:val="Prrafodelista"/>
        <w:tabs>
          <w:tab w:val="left" w:pos="284"/>
          <w:tab w:val="left" w:pos="426"/>
        </w:tabs>
        <w:ind w:left="0"/>
        <w:rPr>
          <w:lang w:val="es-ES_tradnl"/>
        </w:rPr>
      </w:pPr>
    </w:p>
    <w:p w14:paraId="53C1B10F" w14:textId="77777777" w:rsidR="00024EB3" w:rsidRPr="005304B4" w:rsidRDefault="00024EB3" w:rsidP="00024EB3">
      <w:pPr>
        <w:pStyle w:val="Prrafodelista"/>
        <w:numPr>
          <w:ilvl w:val="0"/>
          <w:numId w:val="40"/>
        </w:numPr>
        <w:tabs>
          <w:tab w:val="left" w:pos="284"/>
          <w:tab w:val="left" w:pos="426"/>
        </w:tabs>
        <w:ind w:left="0" w:firstLine="0"/>
        <w:rPr>
          <w:lang w:val="es-ES_tradnl"/>
        </w:rPr>
      </w:pPr>
      <w:r w:rsidRPr="005304B4">
        <w:rPr>
          <w:lang w:val="es-ES_tradnl"/>
        </w:rPr>
        <w:t>Según se mencionó, es cierto que la Sentencia C-415 de 2022 condicionó la exequibilidad de la totalidad del artículo 2 de la Ley 2114 de 2021 “</w:t>
      </w:r>
      <w:r w:rsidRPr="005304B4">
        <w:t>bajo el entendido de que la pareja adoptante del mismo sexo definirá, por una sola vez, quien de ellos gozará de cada prestación en las mismas condiciones previstas para las familias heteroparentales adoptantes”</w:t>
      </w:r>
      <w:r w:rsidRPr="005304B4">
        <w:rPr>
          <w:rStyle w:val="Refdenotaalpie"/>
        </w:rPr>
        <w:footnoteReference w:id="200"/>
      </w:r>
      <w:r w:rsidRPr="005304B4">
        <w:rPr>
          <w:lang w:val="es-ES_tradnl"/>
        </w:rPr>
        <w:t>, luego de establecer que la disposición incurría en una omisión legislativa relativa en relación con la situación de las parejas del mismo sexo adoptantes.</w:t>
      </w:r>
    </w:p>
    <w:p w14:paraId="48B28190" w14:textId="77777777" w:rsidR="00024EB3" w:rsidRPr="005304B4" w:rsidRDefault="00024EB3" w:rsidP="00024EB3">
      <w:pPr>
        <w:pStyle w:val="Prrafodelista"/>
        <w:tabs>
          <w:tab w:val="left" w:pos="284"/>
          <w:tab w:val="left" w:pos="426"/>
        </w:tabs>
        <w:ind w:left="0"/>
        <w:rPr>
          <w:lang w:val="es-ES_tradnl"/>
        </w:rPr>
      </w:pPr>
    </w:p>
    <w:p w14:paraId="0321477C" w14:textId="0A0931D4" w:rsidR="00024EB3" w:rsidRPr="005304B4" w:rsidRDefault="00024EB3" w:rsidP="00024EB3">
      <w:pPr>
        <w:pStyle w:val="Prrafodelista"/>
        <w:numPr>
          <w:ilvl w:val="0"/>
          <w:numId w:val="40"/>
        </w:numPr>
        <w:tabs>
          <w:tab w:val="left" w:pos="284"/>
          <w:tab w:val="left" w:pos="426"/>
        </w:tabs>
        <w:ind w:left="0" w:firstLine="0"/>
        <w:rPr>
          <w:lang w:val="es-ES"/>
        </w:rPr>
      </w:pPr>
      <w:r w:rsidRPr="005304B4">
        <w:rPr>
          <w:lang w:val="es-ES"/>
        </w:rPr>
        <w:t>Al analizar dicha decisión, la Sala nota que, en efecto, el resolutivo de la sentencia</w:t>
      </w:r>
      <w:r w:rsidR="007F27F0" w:rsidRPr="005304B4">
        <w:rPr>
          <w:lang w:val="es-ES"/>
        </w:rPr>
        <w:t xml:space="preserve"> antes mencionada</w:t>
      </w:r>
      <w:r w:rsidRPr="005304B4">
        <w:rPr>
          <w:lang w:val="es-ES"/>
        </w:rPr>
        <w:t xml:space="preserve"> (i) establece una posibilidad de elección, por una única vez, entre las licencias parentales de maternidad y paternidad; (ii) circunscribe dicha posibilidad de elección a la pareja adoptante del mismo sexo, (iii) e indica que estas gozarán de cada prestación en las mismas condiciones previstas para las parejas heteroparentales adoptantes.</w:t>
      </w:r>
    </w:p>
    <w:p w14:paraId="2EC00F2E" w14:textId="77777777" w:rsidR="00024EB3" w:rsidRPr="005304B4" w:rsidRDefault="00024EB3" w:rsidP="00024EB3">
      <w:pPr>
        <w:pStyle w:val="Prrafodelista"/>
        <w:tabs>
          <w:tab w:val="left" w:pos="284"/>
          <w:tab w:val="left" w:pos="426"/>
        </w:tabs>
        <w:ind w:left="0"/>
        <w:rPr>
          <w:lang w:val="es-ES_tradnl"/>
        </w:rPr>
      </w:pPr>
    </w:p>
    <w:p w14:paraId="191314DC" w14:textId="77777777" w:rsidR="00024EB3" w:rsidRPr="005304B4" w:rsidRDefault="00024EB3" w:rsidP="00024EB3">
      <w:pPr>
        <w:pStyle w:val="Prrafodelista"/>
        <w:numPr>
          <w:ilvl w:val="0"/>
          <w:numId w:val="40"/>
        </w:numPr>
        <w:tabs>
          <w:tab w:val="left" w:pos="284"/>
          <w:tab w:val="left" w:pos="426"/>
        </w:tabs>
        <w:ind w:left="0" w:firstLine="0"/>
        <w:rPr>
          <w:lang w:val="es-ES_tradnl"/>
        </w:rPr>
      </w:pPr>
      <w:r w:rsidRPr="005304B4">
        <w:rPr>
          <w:lang w:val="es-ES_tradnl"/>
        </w:rPr>
        <w:t xml:space="preserve"> Si bien, a primera vista, podría pensarse que, al indicar que los integrantes de la pareja adoptante del mismo sexo gozarán de cada prestación “</w:t>
      </w:r>
      <w:r w:rsidRPr="005304B4">
        <w:t>en las mismas condiciones previstas para las familias heteroparentales adoptantes”, el condicionamiento precluyó cualquier trato diferencial entre ambos tipos de parejas en materia de acceso a las licencias parentales, ello no es así, cuando menos por dos razones:</w:t>
      </w:r>
    </w:p>
    <w:p w14:paraId="0C13E86F" w14:textId="77777777" w:rsidR="00024EB3" w:rsidRPr="005304B4" w:rsidRDefault="00024EB3" w:rsidP="00024EB3">
      <w:pPr>
        <w:pStyle w:val="Prrafodelista"/>
        <w:tabs>
          <w:tab w:val="left" w:pos="284"/>
          <w:tab w:val="left" w:pos="426"/>
        </w:tabs>
        <w:ind w:left="0"/>
        <w:rPr>
          <w:lang w:val="es-ES_tradnl"/>
        </w:rPr>
      </w:pPr>
    </w:p>
    <w:p w14:paraId="72C899C0" w14:textId="77777777" w:rsidR="00024EB3" w:rsidRPr="005304B4" w:rsidRDefault="00024EB3" w:rsidP="00024EB3">
      <w:pPr>
        <w:pStyle w:val="Prrafodelista"/>
        <w:numPr>
          <w:ilvl w:val="0"/>
          <w:numId w:val="40"/>
        </w:numPr>
        <w:tabs>
          <w:tab w:val="left" w:pos="284"/>
          <w:tab w:val="left" w:pos="426"/>
        </w:tabs>
        <w:ind w:left="0" w:firstLine="0"/>
        <w:rPr>
          <w:lang w:val="es-ES_tradnl"/>
        </w:rPr>
      </w:pPr>
      <w:r w:rsidRPr="005304B4">
        <w:rPr>
          <w:i/>
          <w:iCs/>
        </w:rPr>
        <w:t>En primer lugar</w:t>
      </w:r>
      <w:r w:rsidRPr="005304B4">
        <w:t>, como se expuso previamente, es cierto que las expresiones “la madre adoptante” y “el padre adoptante” incorporadas en el numeral 4 y el inciso segundo del parágrafo 2 de la Ley 2114 de 2021, respectivamente, configuran el acceso a las licencias parentales de acuerdo con el género de los adoptantes, asignando la licencia de maternidad a la madre adoptante y la de paternidad al padre adoptante. Según se advirtió, en tal sentido, la norma que se desprende de tales disposiciones no permitía a los adoptantes elegir cuál de sus miembros accedía a cada una de las dos prestaciones.</w:t>
      </w:r>
    </w:p>
    <w:p w14:paraId="14BF5A22" w14:textId="77777777" w:rsidR="00024EB3" w:rsidRPr="005304B4" w:rsidRDefault="00024EB3" w:rsidP="00024EB3">
      <w:pPr>
        <w:pStyle w:val="Prrafodelista"/>
        <w:tabs>
          <w:tab w:val="left" w:pos="284"/>
          <w:tab w:val="left" w:pos="426"/>
        </w:tabs>
        <w:ind w:left="0"/>
        <w:rPr>
          <w:lang w:val="es-ES_tradnl"/>
        </w:rPr>
      </w:pPr>
    </w:p>
    <w:p w14:paraId="0BF175BD" w14:textId="77777777" w:rsidR="00024EB3" w:rsidRPr="005304B4" w:rsidRDefault="00024EB3" w:rsidP="00024EB3">
      <w:pPr>
        <w:pStyle w:val="Prrafodelista"/>
        <w:numPr>
          <w:ilvl w:val="0"/>
          <w:numId w:val="40"/>
        </w:numPr>
        <w:tabs>
          <w:tab w:val="left" w:pos="284"/>
          <w:tab w:val="left" w:pos="426"/>
        </w:tabs>
        <w:ind w:left="0" w:firstLine="0"/>
        <w:rPr>
          <w:lang w:val="es-ES_tradnl"/>
        </w:rPr>
      </w:pPr>
      <w:r w:rsidRPr="005304B4">
        <w:rPr>
          <w:i/>
          <w:iCs/>
        </w:rPr>
        <w:t>En segundo lugar</w:t>
      </w:r>
      <w:r w:rsidRPr="005304B4">
        <w:t xml:space="preserve">, la Sentencia C-415 de 2022 fue expresa en señalar que las disposiciones del artículo 2 de la Ley 2114 de 2021 resultaban constitucionales en tanto se entendiera que, </w:t>
      </w:r>
      <w:r w:rsidRPr="005304B4">
        <w:rPr>
          <w:i/>
          <w:iCs/>
        </w:rPr>
        <w:t>en el caso de las parejas del mismo sexo adoptantes</w:t>
      </w:r>
      <w:r w:rsidRPr="005304B4">
        <w:t>, estas podrían elegir, por una única vez, cuál de sus miembros accedería a cada prestación.</w:t>
      </w:r>
    </w:p>
    <w:p w14:paraId="493E8DA8" w14:textId="77777777" w:rsidR="00024EB3" w:rsidRPr="005304B4" w:rsidRDefault="00024EB3" w:rsidP="00024EB3">
      <w:pPr>
        <w:pStyle w:val="Prrafodelista"/>
        <w:tabs>
          <w:tab w:val="left" w:pos="284"/>
          <w:tab w:val="left" w:pos="426"/>
        </w:tabs>
        <w:ind w:left="0"/>
        <w:rPr>
          <w:lang w:val="es-ES_tradnl"/>
        </w:rPr>
      </w:pPr>
    </w:p>
    <w:p w14:paraId="7FCD3022" w14:textId="431F3AF8" w:rsidR="00024EB3" w:rsidRPr="005304B4" w:rsidRDefault="00024EB3" w:rsidP="00024EB3">
      <w:pPr>
        <w:pStyle w:val="Prrafodelista"/>
        <w:numPr>
          <w:ilvl w:val="0"/>
          <w:numId w:val="40"/>
        </w:numPr>
        <w:tabs>
          <w:tab w:val="left" w:pos="284"/>
          <w:tab w:val="left" w:pos="426"/>
        </w:tabs>
        <w:ind w:left="0" w:firstLine="0"/>
        <w:rPr>
          <w:lang w:val="es-ES_tradnl"/>
        </w:rPr>
      </w:pPr>
      <w:r w:rsidRPr="005304B4">
        <w:rPr>
          <w:lang w:val="es-ES_tradnl"/>
        </w:rPr>
        <w:t>Al analizar ambos hechos de manera conjunta, la Sala establece que les asiste la razón a los demandantes en cuanto a que, hasta este momento, en virtud del condicionamiento efectuado en la Sentencia C-415 de 2022, mientras que las parejas del mismo sexo adoptantes podían elegir cuál de sus integrantes accedería a la licencia de maternidad y cual a la de paternidad, ello no resultaba cierto para las parejas heteroparentales adoptantes, puesto que est</w:t>
      </w:r>
      <w:r w:rsidR="007F27F0" w:rsidRPr="005304B4">
        <w:rPr>
          <w:lang w:val="es-ES_tradnl"/>
        </w:rPr>
        <w:t>a</w:t>
      </w:r>
      <w:r w:rsidRPr="005304B4">
        <w:rPr>
          <w:lang w:val="es-ES_tradnl"/>
        </w:rPr>
        <w:t>s no fueron cubiert</w:t>
      </w:r>
      <w:r w:rsidR="007F27F0" w:rsidRPr="005304B4">
        <w:rPr>
          <w:lang w:val="es-ES_tradnl"/>
        </w:rPr>
        <w:t>a</w:t>
      </w:r>
      <w:r w:rsidRPr="005304B4">
        <w:rPr>
          <w:lang w:val="es-ES_tradnl"/>
        </w:rPr>
        <w:t>s por el condicionamiento efectuado en la providencia antes mencionada.</w:t>
      </w:r>
    </w:p>
    <w:p w14:paraId="7DBC7AD7" w14:textId="77777777" w:rsidR="00024EB3" w:rsidRPr="005304B4" w:rsidRDefault="00024EB3" w:rsidP="00024EB3">
      <w:pPr>
        <w:pStyle w:val="Prrafodelista"/>
        <w:tabs>
          <w:tab w:val="left" w:pos="284"/>
          <w:tab w:val="left" w:pos="426"/>
        </w:tabs>
        <w:ind w:left="0"/>
        <w:rPr>
          <w:lang w:val="es-ES_tradnl"/>
        </w:rPr>
      </w:pPr>
    </w:p>
    <w:p w14:paraId="42C178ED" w14:textId="77777777" w:rsidR="00024EB3" w:rsidRPr="005304B4" w:rsidRDefault="00024EB3" w:rsidP="00024EB3">
      <w:pPr>
        <w:pStyle w:val="Prrafodelista"/>
        <w:numPr>
          <w:ilvl w:val="0"/>
          <w:numId w:val="40"/>
        </w:numPr>
        <w:tabs>
          <w:tab w:val="left" w:pos="284"/>
          <w:tab w:val="left" w:pos="426"/>
        </w:tabs>
        <w:ind w:left="0" w:firstLine="0"/>
        <w:rPr>
          <w:lang w:val="es-ES_tradnl"/>
        </w:rPr>
      </w:pPr>
      <w:r w:rsidRPr="005304B4">
        <w:rPr>
          <w:lang w:val="es-ES_tradnl"/>
        </w:rPr>
        <w:t>En tal sentido, cuando el resolutivo de la Sentencia C-415 de 2022 expresa que las parejas del mismo sexo adoptantes gozarían de las prestaciones en las mismas condiciones previstas para las parejas heteroparentales adoptantes, la Sala Plena entiende que esto se refiere a factores como los requisitos para el acceso, montos, duración y demás cuestiones operativas relacionadas con el reconocimiento de las prestaciones económicas en cuestión. Sin embargo, ello no se extendía a la posibilidad de elegir sobre cuál miembro de la pareja disfrutaría de cada licencia parental, puesto que, de ser así, las parejas del mismo sexo no habrían podido elegir entre ambos tipos de licencia (en abierta contradicción con el resolutivo de la Sentencia C-415 de 2022), debido a la asignación que la norma dispone para el acceso a las mismas con base en el género de los adoptantes.</w:t>
      </w:r>
    </w:p>
    <w:p w14:paraId="1348E874" w14:textId="77777777" w:rsidR="00024EB3" w:rsidRPr="005304B4" w:rsidRDefault="00024EB3" w:rsidP="00024EB3">
      <w:pPr>
        <w:pStyle w:val="Prrafodelista"/>
        <w:tabs>
          <w:tab w:val="left" w:pos="284"/>
          <w:tab w:val="left" w:pos="426"/>
        </w:tabs>
        <w:ind w:left="0"/>
        <w:rPr>
          <w:lang w:val="es-ES_tradnl"/>
        </w:rPr>
      </w:pPr>
    </w:p>
    <w:p w14:paraId="6F0A6123" w14:textId="77777777" w:rsidR="00024EB3" w:rsidRPr="005304B4" w:rsidRDefault="00024EB3" w:rsidP="00024EB3">
      <w:pPr>
        <w:pStyle w:val="Prrafodelista"/>
        <w:numPr>
          <w:ilvl w:val="0"/>
          <w:numId w:val="40"/>
        </w:numPr>
        <w:tabs>
          <w:tab w:val="left" w:pos="284"/>
          <w:tab w:val="left" w:pos="426"/>
        </w:tabs>
        <w:ind w:left="0" w:firstLine="0"/>
        <w:rPr>
          <w:lang w:val="es-ES"/>
        </w:rPr>
      </w:pPr>
      <w:r w:rsidRPr="005304B4">
        <w:rPr>
          <w:lang w:val="es-ES"/>
        </w:rPr>
        <w:t>No obstante, lo anterior, la Sala estima necesario aclarar que, dicho tratamiento diferencial no correspondió, propiamente, a la intención del legislador, puesto que, como evidenció la Sentencia C-415 de 2022, este omitió regular la situación específica de las parejas del mismo sexo adoptantes en materia de licencias parentales.</w:t>
      </w:r>
    </w:p>
    <w:p w14:paraId="7C3D61FD" w14:textId="77777777" w:rsidR="00024EB3" w:rsidRPr="005304B4" w:rsidRDefault="00024EB3" w:rsidP="00024EB3">
      <w:pPr>
        <w:pStyle w:val="Prrafodelista"/>
        <w:tabs>
          <w:tab w:val="left" w:pos="284"/>
          <w:tab w:val="left" w:pos="426"/>
        </w:tabs>
        <w:ind w:left="0"/>
        <w:rPr>
          <w:lang w:val="es-ES_tradnl"/>
        </w:rPr>
      </w:pPr>
    </w:p>
    <w:p w14:paraId="59E524DD" w14:textId="77777777" w:rsidR="00024EB3" w:rsidRPr="005304B4" w:rsidRDefault="00024EB3" w:rsidP="00024EB3">
      <w:pPr>
        <w:pStyle w:val="Prrafodelista"/>
        <w:numPr>
          <w:ilvl w:val="0"/>
          <w:numId w:val="40"/>
        </w:numPr>
        <w:tabs>
          <w:tab w:val="left" w:pos="284"/>
          <w:tab w:val="left" w:pos="426"/>
        </w:tabs>
        <w:ind w:left="0" w:firstLine="0"/>
        <w:rPr>
          <w:lang w:val="es-ES_tradnl"/>
        </w:rPr>
      </w:pPr>
      <w:r w:rsidRPr="005304B4">
        <w:rPr>
          <w:lang w:val="es-ES_tradnl"/>
        </w:rPr>
        <w:t>Igualmente, tampoco se trató de un acto deliberado de esta Corte, puesto que, en la Sentencia C-415 de 2022, la Corte resolvió una demanda de inconstitucionalidad cuyo cargo por omisión legislativa relativa de manera expresa indaga por la situación de las parejas adoptantes del mismo sexo. En tal sentido, debido al carácter rogado de la acción pública de inconstitucionalidad, en principio, la Corte estaba restringida en cuanto a la amplitud de su decisión por el cargo propuesto por los demandantes.</w:t>
      </w:r>
    </w:p>
    <w:p w14:paraId="46C41929" w14:textId="77777777" w:rsidR="00024EB3" w:rsidRPr="005304B4" w:rsidRDefault="00024EB3" w:rsidP="00024EB3">
      <w:pPr>
        <w:pStyle w:val="Prrafodelista"/>
        <w:tabs>
          <w:tab w:val="left" w:pos="284"/>
          <w:tab w:val="left" w:pos="426"/>
        </w:tabs>
        <w:ind w:left="0"/>
        <w:rPr>
          <w:lang w:val="es-ES_tradnl"/>
        </w:rPr>
      </w:pPr>
    </w:p>
    <w:p w14:paraId="6C0622CB" w14:textId="0524A60E" w:rsidR="00024EB3" w:rsidRPr="005304B4" w:rsidRDefault="00024EB3" w:rsidP="00024EB3">
      <w:pPr>
        <w:pStyle w:val="Prrafodelista"/>
        <w:numPr>
          <w:ilvl w:val="0"/>
          <w:numId w:val="40"/>
        </w:numPr>
        <w:tabs>
          <w:tab w:val="left" w:pos="284"/>
          <w:tab w:val="left" w:pos="426"/>
        </w:tabs>
        <w:ind w:left="0" w:firstLine="0"/>
        <w:rPr>
          <w:lang w:val="es-ES_tradnl"/>
        </w:rPr>
      </w:pPr>
      <w:r w:rsidRPr="005304B4">
        <w:rPr>
          <w:lang w:val="es-ES_tradnl"/>
        </w:rPr>
        <w:t xml:space="preserve">Así las cosas, el tratamiento diferencial entre </w:t>
      </w:r>
      <w:r w:rsidR="007F27F0" w:rsidRPr="005304B4">
        <w:rPr>
          <w:lang w:val="es-ES_tradnl"/>
        </w:rPr>
        <w:t>parejas</w:t>
      </w:r>
      <w:r w:rsidRPr="005304B4">
        <w:rPr>
          <w:lang w:val="es-ES_tradnl"/>
        </w:rPr>
        <w:t xml:space="preserve"> homo y heteroparentales </w:t>
      </w:r>
      <w:r w:rsidR="007F27F0" w:rsidRPr="005304B4">
        <w:rPr>
          <w:lang w:val="es-ES_tradnl"/>
        </w:rPr>
        <w:t xml:space="preserve">adoptantes </w:t>
      </w:r>
      <w:r w:rsidRPr="005304B4">
        <w:rPr>
          <w:lang w:val="es-ES_tradnl"/>
        </w:rPr>
        <w:t>detectado por los accionantes</w:t>
      </w:r>
      <w:r w:rsidR="00AD04FB" w:rsidRPr="005304B4">
        <w:rPr>
          <w:lang w:val="es-ES_tradnl"/>
        </w:rPr>
        <w:t xml:space="preserve"> </w:t>
      </w:r>
      <w:r w:rsidRPr="005304B4">
        <w:rPr>
          <w:lang w:val="es-ES_tradnl"/>
        </w:rPr>
        <w:t xml:space="preserve">es una situación que, inadvertidamente, se derivó del texto de la Ley 2114 de 2021, en particular en cuanto a </w:t>
      </w:r>
      <w:r w:rsidR="007F27F0" w:rsidRPr="005304B4">
        <w:rPr>
          <w:lang w:val="es-ES_tradnl"/>
        </w:rPr>
        <w:t>la</w:t>
      </w:r>
      <w:r w:rsidRPr="005304B4">
        <w:rPr>
          <w:lang w:val="es-ES_tradnl"/>
        </w:rPr>
        <w:t xml:space="preserve"> introspección que esta hace del binarismo y los estereotipos de género en la regulación del régimen de licencias, y del condicionamiento efectuado por la Corte en la Sentencia C-415 de 2022, que respondía a un cargo de inconstitucionalidad específico, propuesto en la demanda que dio origen al proceso, el cual cuestionaba de manera específica y concreta la inconstitucionalidad del silencio legislativo sobre la situación de las parejas de mismo sexo adoptantes en materia de acceso a licencias parentales</w:t>
      </w:r>
      <w:r w:rsidR="00AD04FB" w:rsidRPr="005304B4">
        <w:rPr>
          <w:lang w:val="es-ES_tradnl"/>
        </w:rPr>
        <w:t>.</w:t>
      </w:r>
    </w:p>
    <w:p w14:paraId="362386DF" w14:textId="77777777" w:rsidR="00AD04FB" w:rsidRPr="005304B4" w:rsidRDefault="00AD04FB" w:rsidP="00AD04FB">
      <w:pPr>
        <w:pStyle w:val="Prrafodelista"/>
        <w:tabs>
          <w:tab w:val="left" w:pos="284"/>
          <w:tab w:val="left" w:pos="426"/>
        </w:tabs>
        <w:ind w:left="0"/>
        <w:rPr>
          <w:lang w:val="es-ES_tradnl"/>
        </w:rPr>
      </w:pPr>
    </w:p>
    <w:p w14:paraId="5BE1DEE1" w14:textId="60092016" w:rsidR="00AD04FB" w:rsidRPr="005304B4" w:rsidRDefault="00AD04FB" w:rsidP="00AD04FB">
      <w:pPr>
        <w:pStyle w:val="Prrafodelista"/>
        <w:numPr>
          <w:ilvl w:val="0"/>
          <w:numId w:val="40"/>
        </w:numPr>
        <w:tabs>
          <w:tab w:val="left" w:pos="284"/>
          <w:tab w:val="left" w:pos="426"/>
        </w:tabs>
        <w:ind w:left="0" w:firstLine="0"/>
      </w:pPr>
      <w:r w:rsidRPr="005304B4">
        <w:t>Con base en estas precisiones, la Sala procederá a verificar si el tratamiento diferencial antes mencionado entre las parejas homo y heteroparentales adoptantes en cuanto a la posibilidad de elegir cuál de sus integrantes accederá a la licencia de maternidad y cuál a la de paternidad resulta o no contrario al art. 13 de la Constitución. Para ello, se aplicará un test integrado de igualdad.</w:t>
      </w:r>
    </w:p>
    <w:p w14:paraId="1EFC81BE" w14:textId="77777777" w:rsidR="00AD04FB" w:rsidRPr="005304B4" w:rsidRDefault="00AD04FB" w:rsidP="00AD04FB">
      <w:pPr>
        <w:tabs>
          <w:tab w:val="left" w:pos="284"/>
          <w:tab w:val="left" w:pos="426"/>
        </w:tabs>
      </w:pPr>
    </w:p>
    <w:p w14:paraId="7EB86FB8" w14:textId="77777777" w:rsidR="00AD04FB" w:rsidRPr="005304B4" w:rsidRDefault="00AD04FB" w:rsidP="00AD04FB">
      <w:pPr>
        <w:pStyle w:val="Prrafodelista"/>
        <w:numPr>
          <w:ilvl w:val="0"/>
          <w:numId w:val="40"/>
        </w:numPr>
        <w:tabs>
          <w:tab w:val="left" w:pos="284"/>
          <w:tab w:val="left" w:pos="426"/>
        </w:tabs>
        <w:ind w:left="0" w:firstLine="0"/>
      </w:pPr>
      <w:r w:rsidRPr="005304B4">
        <w:rPr>
          <w:i/>
          <w:iCs/>
          <w:lang w:val="es-ES"/>
        </w:rPr>
        <w:t xml:space="preserve">El test integrado de igualdad. </w:t>
      </w:r>
      <w:r w:rsidRPr="005304B4">
        <w:rPr>
          <w:lang w:val="es-ES"/>
        </w:rPr>
        <w:t>Tal como se explicó en las consideraciones generales de esta providencia, el artículo 13 de la Constitución ordena que todas las personas reciban “la misma protección y trato de las autoridades” y gocen de los “mismos derechos, libertades y oportunidades sin ninguna discriminación”. De igual forma, exige al Estado promover “las condiciones para que la igualdad sea real y efectiva”. Con todo, de acuerdo con la jurisprudencia constitucional, este principio no supone un mandato de simetría absoluta en el trato y en la protección que deben recibir todas las personas en cualquier situación. Por tanto, la Corte ha entendido que el principio de igualdad ordena tratar igual a los iguales y desigual a los desiguales. En ese sentido, el mandato de igualdad permite el establecimiento de algunos tratamientos diferenciales.</w:t>
      </w:r>
    </w:p>
    <w:p w14:paraId="04A2DDA8" w14:textId="77777777" w:rsidR="00AD04FB" w:rsidRPr="005304B4" w:rsidRDefault="00AD04FB" w:rsidP="00AD04FB">
      <w:pPr>
        <w:pStyle w:val="Prrafodelista"/>
        <w:tabs>
          <w:tab w:val="left" w:pos="284"/>
          <w:tab w:val="left" w:pos="426"/>
        </w:tabs>
        <w:ind w:left="0"/>
      </w:pPr>
    </w:p>
    <w:p w14:paraId="771E3A96" w14:textId="77777777" w:rsidR="00AD04FB" w:rsidRPr="005304B4" w:rsidRDefault="00AD04FB" w:rsidP="00AD04FB">
      <w:pPr>
        <w:pStyle w:val="Prrafodelista"/>
        <w:numPr>
          <w:ilvl w:val="0"/>
          <w:numId w:val="40"/>
        </w:numPr>
        <w:tabs>
          <w:tab w:val="left" w:pos="284"/>
          <w:tab w:val="left" w:pos="426"/>
        </w:tabs>
        <w:ind w:left="0" w:firstLine="0"/>
      </w:pPr>
      <w:r w:rsidRPr="005304B4">
        <w:rPr>
          <w:lang w:val="es-ES_tradnl"/>
        </w:rPr>
        <w:t>Para analizar si el tratamiento diferenciado contemplado en una norma es admisible constitucionalmente, la Corte Constitucional ha usado varios métodos</w:t>
      </w:r>
      <w:r w:rsidRPr="005304B4">
        <w:rPr>
          <w:rStyle w:val="Refdenotaalpie"/>
          <w:lang w:val="es-ES_tradnl"/>
        </w:rPr>
        <w:footnoteReference w:id="201"/>
      </w:r>
      <w:r w:rsidRPr="005304B4">
        <w:rPr>
          <w:lang w:val="es-ES_tradnl"/>
        </w:rPr>
        <w:t>. Uno de ellos es el denominado juicio integrado de igualdad</w:t>
      </w:r>
      <w:r w:rsidRPr="005304B4">
        <w:rPr>
          <w:rStyle w:val="Refdenotaalpie"/>
          <w:lang w:val="es-ES_tradnl"/>
        </w:rPr>
        <w:footnoteReference w:id="202"/>
      </w:r>
      <w:r w:rsidRPr="005304B4">
        <w:rPr>
          <w:lang w:val="es-ES_tradnl"/>
        </w:rPr>
        <w:t xml:space="preserve">, el cual surgió de </w:t>
      </w:r>
      <w:r w:rsidRPr="005304B4">
        <w:t>una fusión que realizó la Corte Constitucional a largo de su jurisprudencia del test de razonabilidad, que es frecuentemente utilizado por la Corte Europea de Derechos Humanos, y la metodología de los escrutinios de distinta intensidad -leve, intermedio o estricto-, desarrollada principalmente por la jurisprudencia de la Corte Suprema de los Estados Unidos</w:t>
      </w:r>
      <w:r w:rsidRPr="005304B4">
        <w:rPr>
          <w:rStyle w:val="Refdenotaalpie"/>
        </w:rPr>
        <w:footnoteReference w:id="203"/>
      </w:r>
      <w:r w:rsidRPr="005304B4">
        <w:t xml:space="preserve">. La jurisprudencia reciente constitucional ha considerado de manera consistente que esta metodología es </w:t>
      </w:r>
      <w:r w:rsidRPr="005304B4">
        <w:rPr>
          <w:lang w:val="es-ES_tradnl"/>
        </w:rPr>
        <w:t>idónea para decidir demandas de constitucionalidad o casos que plantean una aparente violación al principio de igualdad</w:t>
      </w:r>
      <w:r w:rsidRPr="005304B4">
        <w:rPr>
          <w:rStyle w:val="Refdenotaalpie"/>
          <w:color w:val="000000" w:themeColor="text1"/>
          <w:shd w:val="clear" w:color="auto" w:fill="FFFFFF" w:themeFill="background1"/>
          <w:lang w:val="es-ES_tradnl"/>
        </w:rPr>
        <w:footnoteReference w:id="204"/>
      </w:r>
      <w:r w:rsidRPr="005304B4">
        <w:rPr>
          <w:color w:val="000000" w:themeColor="text1"/>
          <w:shd w:val="clear" w:color="auto" w:fill="FFFFFF" w:themeFill="background1"/>
          <w:lang w:val="es-ES_tradnl"/>
        </w:rPr>
        <w:t xml:space="preserve">. </w:t>
      </w:r>
    </w:p>
    <w:p w14:paraId="5DBA9469" w14:textId="77777777" w:rsidR="00AD04FB" w:rsidRPr="005304B4" w:rsidRDefault="00AD04FB" w:rsidP="00AD04FB">
      <w:pPr>
        <w:pStyle w:val="Prrafodelista"/>
        <w:tabs>
          <w:tab w:val="left" w:pos="284"/>
          <w:tab w:val="left" w:pos="426"/>
        </w:tabs>
        <w:ind w:left="0"/>
      </w:pPr>
    </w:p>
    <w:p w14:paraId="59DC6D2A" w14:textId="77777777" w:rsidR="00AD04FB" w:rsidRPr="005304B4" w:rsidRDefault="00AD04FB" w:rsidP="00AD04FB">
      <w:pPr>
        <w:pStyle w:val="Prrafodelista"/>
        <w:numPr>
          <w:ilvl w:val="0"/>
          <w:numId w:val="40"/>
        </w:numPr>
        <w:tabs>
          <w:tab w:val="left" w:pos="284"/>
          <w:tab w:val="left" w:pos="426"/>
        </w:tabs>
        <w:ind w:left="0" w:firstLine="0"/>
      </w:pPr>
      <w:r w:rsidRPr="005304B4">
        <w:rPr>
          <w:color w:val="000000" w:themeColor="text1"/>
          <w:shd w:val="clear" w:color="auto" w:fill="FFFFFF" w:themeFill="background1"/>
          <w:lang w:val="es-ES_tradnl"/>
        </w:rPr>
        <w:t>Este juicio o test está compuesto por tres etapas fundamentales que tienen por objetivo (</w:t>
      </w:r>
      <w:r w:rsidRPr="005304B4">
        <w:rPr>
          <w:color w:val="000000" w:themeColor="text1"/>
          <w:shd w:val="clear" w:color="auto" w:fill="FFFFFF" w:themeFill="background1"/>
        </w:rPr>
        <w:t>i) identificar el </w:t>
      </w:r>
      <w:r w:rsidRPr="005304B4">
        <w:rPr>
          <w:i/>
          <w:iCs/>
          <w:color w:val="000000" w:themeColor="text1"/>
          <w:shd w:val="clear" w:color="auto" w:fill="FFFFFF" w:themeFill="background1"/>
        </w:rPr>
        <w:t>tertium comparationis</w:t>
      </w:r>
      <w:r w:rsidRPr="005304B4">
        <w:rPr>
          <w:color w:val="000000" w:themeColor="text1"/>
          <w:shd w:val="clear" w:color="auto" w:fill="FFFFFF" w:themeFill="background1"/>
        </w:rPr>
        <w:t> o criterio de comparación; (ii) definir si desde la perspectiva fáctica y jurídica existe tratamiento desigual entre iguales o igual entre desiguales, y (iii) establecer si el tratamiento distinto está constitucionalmente justificado, es decir, si las situaciones objeto de comparación ameritan, a la luz de la Constitución, un trato diferente o deben ser tratadas de un modo similar</w:t>
      </w:r>
      <w:r w:rsidRPr="005304B4">
        <w:rPr>
          <w:rStyle w:val="Refdenotaalpie"/>
          <w:color w:val="000000" w:themeColor="text1"/>
          <w:shd w:val="clear" w:color="auto" w:fill="FFFFFF" w:themeFill="background1"/>
        </w:rPr>
        <w:footnoteReference w:id="205"/>
      </w:r>
      <w:r w:rsidRPr="005304B4">
        <w:rPr>
          <w:color w:val="000000" w:themeColor="text1"/>
          <w:shd w:val="clear" w:color="auto" w:fill="FFFFFF" w:themeFill="background1"/>
        </w:rPr>
        <w:t>.</w:t>
      </w:r>
      <w:r w:rsidRPr="005304B4">
        <w:rPr>
          <w:color w:val="000000" w:themeColor="text1"/>
          <w:shd w:val="clear" w:color="auto" w:fill="FFFFFF"/>
        </w:rPr>
        <w:t xml:space="preserve"> </w:t>
      </w:r>
    </w:p>
    <w:p w14:paraId="7854C91C" w14:textId="77777777" w:rsidR="00AD04FB" w:rsidRPr="005304B4" w:rsidRDefault="00AD04FB" w:rsidP="00AD04FB">
      <w:pPr>
        <w:pStyle w:val="Prrafodelista"/>
        <w:tabs>
          <w:tab w:val="left" w:pos="284"/>
          <w:tab w:val="left" w:pos="426"/>
        </w:tabs>
        <w:ind w:left="0"/>
      </w:pPr>
    </w:p>
    <w:p w14:paraId="67B423BE" w14:textId="77777777" w:rsidR="00AD04FB" w:rsidRPr="005304B4" w:rsidRDefault="00AD04FB" w:rsidP="00AD04FB">
      <w:pPr>
        <w:pStyle w:val="Prrafodelista"/>
        <w:numPr>
          <w:ilvl w:val="0"/>
          <w:numId w:val="40"/>
        </w:numPr>
        <w:tabs>
          <w:tab w:val="left" w:pos="284"/>
          <w:tab w:val="left" w:pos="426"/>
        </w:tabs>
        <w:ind w:left="0" w:firstLine="0"/>
      </w:pPr>
      <w:r w:rsidRPr="005304B4">
        <w:rPr>
          <w:color w:val="000000" w:themeColor="text1"/>
          <w:shd w:val="clear" w:color="auto" w:fill="FFFFFF"/>
        </w:rPr>
        <w:t>Las dos primeras etapas buscan precisar si la medida examinada trata de manera igual situaciones que han de ser tratadas de modo distinto o trata de manera diferente situaciones que han de ser tratadas de modo igual</w:t>
      </w:r>
      <w:r w:rsidRPr="005304B4">
        <w:rPr>
          <w:rStyle w:val="Refdenotaalpie"/>
          <w:color w:val="000000" w:themeColor="text1"/>
          <w:shd w:val="clear" w:color="auto" w:fill="FFFFFF"/>
        </w:rPr>
        <w:footnoteReference w:id="206"/>
      </w:r>
      <w:r w:rsidRPr="005304B4">
        <w:rPr>
          <w:color w:val="000000" w:themeColor="text1"/>
          <w:shd w:val="clear" w:color="auto" w:fill="FFFFFF"/>
        </w:rPr>
        <w:t>. La tercera etapa interroga acerca de si el trato diferenciado está constitucionalmente justificado, esto es “si los supuestos objeto de análisis ameritan un trato diferente a partir de los mandatos consagrados en la Constitución Política”</w:t>
      </w:r>
      <w:r w:rsidRPr="005304B4">
        <w:rPr>
          <w:rStyle w:val="Refdenotaalpie"/>
          <w:color w:val="000000" w:themeColor="text1"/>
          <w:shd w:val="clear" w:color="auto" w:fill="FFFFFF"/>
        </w:rPr>
        <w:footnoteReference w:id="207"/>
      </w:r>
      <w:r w:rsidRPr="005304B4">
        <w:rPr>
          <w:color w:val="000000" w:themeColor="text1"/>
          <w:shd w:val="clear" w:color="auto" w:fill="FFFFFF"/>
        </w:rPr>
        <w:t xml:space="preserve">. </w:t>
      </w:r>
    </w:p>
    <w:p w14:paraId="04CC1182" w14:textId="77777777" w:rsidR="00AD04FB" w:rsidRPr="005304B4" w:rsidRDefault="00AD04FB" w:rsidP="00AD04FB">
      <w:pPr>
        <w:pStyle w:val="Prrafodelista"/>
        <w:tabs>
          <w:tab w:val="left" w:pos="284"/>
          <w:tab w:val="left" w:pos="426"/>
        </w:tabs>
        <w:ind w:left="0"/>
      </w:pPr>
    </w:p>
    <w:p w14:paraId="23C867C5" w14:textId="77777777" w:rsidR="00AD04FB" w:rsidRPr="005304B4" w:rsidRDefault="00AD04FB" w:rsidP="00AD04FB">
      <w:pPr>
        <w:pStyle w:val="Prrafodelista"/>
        <w:numPr>
          <w:ilvl w:val="0"/>
          <w:numId w:val="40"/>
        </w:numPr>
        <w:tabs>
          <w:tab w:val="left" w:pos="284"/>
          <w:tab w:val="left" w:pos="426"/>
        </w:tabs>
        <w:ind w:left="0" w:firstLine="0"/>
      </w:pPr>
      <w:r w:rsidRPr="005304B4">
        <w:rPr>
          <w:color w:val="000000" w:themeColor="text1"/>
          <w:shd w:val="clear" w:color="auto" w:fill="FFFFFF"/>
        </w:rPr>
        <w:t>Es decir, tras establecerse que el trato es objetivamente desigual, debe buscarse si existe una razón que desde el punto de vista constitucional lo justifique, por ejemplo, la protección de otros derechos fundamentales o bienes jurídicos concurrentes con el principio de igualdad. De cualquier manera, romper con la igualdad hace indispensable que el trato diferenciado se legitime en la protección de bienes especialmente amparados, pues, de lo contrario, tendría que calificarse de arbitrario</w:t>
      </w:r>
      <w:r w:rsidRPr="005304B4">
        <w:rPr>
          <w:rStyle w:val="Refdenotaalpie"/>
          <w:color w:val="000000" w:themeColor="text1"/>
          <w:shd w:val="clear" w:color="auto" w:fill="FFFFFF"/>
        </w:rPr>
        <w:footnoteReference w:id="208"/>
      </w:r>
      <w:r w:rsidRPr="005304B4">
        <w:rPr>
          <w:color w:val="000000" w:themeColor="text1"/>
          <w:shd w:val="clear" w:color="auto" w:fill="FFFFFF"/>
        </w:rPr>
        <w:t>. En suma, la primera etapa, se dirige a evaluar el fin buscado por la disposición; la segunda aprecia el medio empleado y la tercera se ocupa de indagar por la relación entre los medios y los fines.</w:t>
      </w:r>
    </w:p>
    <w:p w14:paraId="5A41A53D" w14:textId="77777777" w:rsidR="00AD04FB" w:rsidRPr="005304B4" w:rsidRDefault="00AD04FB" w:rsidP="00AD04FB">
      <w:pPr>
        <w:pStyle w:val="Prrafodelista"/>
        <w:tabs>
          <w:tab w:val="left" w:pos="284"/>
          <w:tab w:val="left" w:pos="426"/>
        </w:tabs>
        <w:ind w:left="0"/>
      </w:pPr>
    </w:p>
    <w:p w14:paraId="236D099A" w14:textId="77777777" w:rsidR="00AD04FB" w:rsidRPr="005304B4" w:rsidRDefault="00AD04FB" w:rsidP="00AD04FB">
      <w:pPr>
        <w:pStyle w:val="Prrafodelista"/>
        <w:numPr>
          <w:ilvl w:val="0"/>
          <w:numId w:val="40"/>
        </w:numPr>
        <w:tabs>
          <w:tab w:val="left" w:pos="284"/>
          <w:tab w:val="left" w:pos="426"/>
        </w:tabs>
        <w:ind w:left="0" w:firstLine="0"/>
      </w:pPr>
      <w:r w:rsidRPr="005304B4">
        <w:t>Ahora bien, dado que la aplicación del juicio integrado de igualdad depende del grado de intensidad del escrutinio, la Sala Plena de esta Corporación, en la Sentencia C-345 de 2019, unificó los criterios para determinar el nivel correspondiente y la forma en que debe adelantarse dicho análisis, de la siguiente manera:</w:t>
      </w:r>
    </w:p>
    <w:p w14:paraId="291616C3" w14:textId="77777777" w:rsidR="00AD04FB" w:rsidRPr="005304B4" w:rsidRDefault="00AD04FB" w:rsidP="00AD04FB">
      <w:pPr>
        <w:pStyle w:val="Prrafodelista"/>
        <w:tabs>
          <w:tab w:val="left" w:pos="284"/>
          <w:tab w:val="left" w:pos="426"/>
        </w:tabs>
        <w:ind w:left="0"/>
      </w:pPr>
    </w:p>
    <w:p w14:paraId="4F740B0F" w14:textId="77777777" w:rsidR="00AD04FB" w:rsidRPr="005304B4" w:rsidRDefault="00AD04FB" w:rsidP="00AD04FB">
      <w:pPr>
        <w:pStyle w:val="Prrafodelista"/>
        <w:numPr>
          <w:ilvl w:val="0"/>
          <w:numId w:val="40"/>
        </w:numPr>
        <w:tabs>
          <w:tab w:val="left" w:pos="284"/>
          <w:tab w:val="left" w:pos="426"/>
        </w:tabs>
        <w:ind w:left="0" w:firstLine="0"/>
      </w:pPr>
      <w:r w:rsidRPr="005304B4">
        <w:t xml:space="preserve">El </w:t>
      </w:r>
      <w:r w:rsidRPr="005304B4">
        <w:rPr>
          <w:i/>
          <w:iCs/>
        </w:rPr>
        <w:t>escrutinio leve o débil</w:t>
      </w:r>
      <w:r w:rsidRPr="005304B4">
        <w:t xml:space="preserve"> está dirigido a verificar que la actividad legislativa se ejerza dentro del marco de razonabilidad y que, por ende, no se adopten decisiones arbitrarias o caprichosas. De esta forma, para que una norma sea declarada constitucional, la medida que trae un trato diferente debe ser potencialmente adecuada para alcanzar una finalidad que no esté prohibida constitucionalmente. En ese sentido, este juicio se dirige a establecer si la finalidad y el medio utilizado no se encuentran prohibidos por la Constitución, además si este último es idóneo o adecuado para alcanzar el objetivo propuesto. Este se usa como regla general, puesto que, en principio, existe una presunción de constitucionalidad de las normas expedidas por el legislador. </w:t>
      </w:r>
    </w:p>
    <w:p w14:paraId="31D91E95" w14:textId="77777777" w:rsidR="00AD04FB" w:rsidRPr="005304B4" w:rsidRDefault="00AD04FB" w:rsidP="00AD04FB">
      <w:pPr>
        <w:pStyle w:val="Prrafodelista"/>
        <w:tabs>
          <w:tab w:val="left" w:pos="284"/>
          <w:tab w:val="left" w:pos="426"/>
        </w:tabs>
        <w:ind w:left="0"/>
      </w:pPr>
    </w:p>
    <w:p w14:paraId="717715B0" w14:textId="77777777" w:rsidR="00AD04FB" w:rsidRPr="005304B4" w:rsidRDefault="00AD04FB" w:rsidP="00AD04FB">
      <w:pPr>
        <w:pStyle w:val="Prrafodelista"/>
        <w:numPr>
          <w:ilvl w:val="0"/>
          <w:numId w:val="40"/>
        </w:numPr>
        <w:tabs>
          <w:tab w:val="left" w:pos="284"/>
          <w:tab w:val="left" w:pos="426"/>
        </w:tabs>
        <w:ind w:left="0" w:firstLine="0"/>
      </w:pPr>
      <w:r w:rsidRPr="005304B4">
        <w:rPr>
          <w:color w:val="000000" w:themeColor="text1"/>
          <w:shd w:val="clear" w:color="auto" w:fill="FFFFFF"/>
        </w:rPr>
        <w:t>Esta intensidad del juicio se usa en relación con (a) materias económicas y tributarias; (b) de política internacional; (c) cuando está de por medio una competencia específica definida por la Carta en cabeza de un órgano constitucional; (e) cuando se examina una norma preconstitucional derogada que aún produce efectos; y (f) cuando no se aprecia, en principio, una amenaza para el derecho en cuestión</w:t>
      </w:r>
      <w:r w:rsidRPr="005304B4">
        <w:rPr>
          <w:rStyle w:val="Refdenotaalpie"/>
          <w:color w:val="000000" w:themeColor="text1"/>
          <w:shd w:val="clear" w:color="auto" w:fill="FFFFFF"/>
        </w:rPr>
        <w:footnoteReference w:id="209"/>
      </w:r>
      <w:r w:rsidRPr="005304B4">
        <w:rPr>
          <w:color w:val="000000" w:themeColor="text1"/>
          <w:shd w:val="clear" w:color="auto" w:fill="FFFFFF"/>
        </w:rPr>
        <w:t xml:space="preserve">. </w:t>
      </w:r>
    </w:p>
    <w:p w14:paraId="0087FFCC" w14:textId="77777777" w:rsidR="00AD04FB" w:rsidRPr="005304B4" w:rsidRDefault="00AD04FB" w:rsidP="00AD04FB">
      <w:pPr>
        <w:pStyle w:val="Prrafodelista"/>
        <w:tabs>
          <w:tab w:val="left" w:pos="284"/>
          <w:tab w:val="left" w:pos="426"/>
        </w:tabs>
        <w:ind w:left="0"/>
      </w:pPr>
    </w:p>
    <w:p w14:paraId="7C6CD626" w14:textId="77777777" w:rsidR="00AD04FB" w:rsidRPr="005304B4" w:rsidRDefault="00AD04FB" w:rsidP="00AD04FB">
      <w:pPr>
        <w:pStyle w:val="Prrafodelista"/>
        <w:numPr>
          <w:ilvl w:val="0"/>
          <w:numId w:val="40"/>
        </w:numPr>
        <w:tabs>
          <w:tab w:val="left" w:pos="284"/>
          <w:tab w:val="left" w:pos="426"/>
        </w:tabs>
        <w:ind w:left="0" w:firstLine="0"/>
      </w:pPr>
      <w:r w:rsidRPr="005304B4">
        <w:rPr>
          <w:rFonts w:eastAsiaTheme="minorEastAsia"/>
          <w:color w:val="000000" w:themeColor="text1"/>
          <w:lang w:eastAsia="es-ES_tradnl"/>
        </w:rPr>
        <w:t xml:space="preserve">El </w:t>
      </w:r>
      <w:r w:rsidRPr="005304B4">
        <w:rPr>
          <w:rFonts w:eastAsiaTheme="minorEastAsia"/>
          <w:i/>
          <w:iCs/>
          <w:color w:val="000000" w:themeColor="text1"/>
          <w:lang w:eastAsia="es-ES_tradnl"/>
        </w:rPr>
        <w:t xml:space="preserve">escrutinio intermedio </w:t>
      </w:r>
      <w:r w:rsidRPr="005304B4">
        <w:rPr>
          <w:color w:val="000000" w:themeColor="text1"/>
          <w:shd w:val="clear" w:color="auto" w:fill="FFFFFF"/>
        </w:rPr>
        <w:t>está dirigido a verificar que (i) el fin sea constitucionalmente importante y que el medio para lograrlo sea efectivamente conducente, y (ii) que la medida no sea evidentemente desproporcionada. Este se usa cuando la medida puede afectar el goce de un derecho constitucional no fundamental o existe un indicio de arbitrariedad que se refleja en la afectación grave de la libre competencia. Así mismo, se utiliza en los casos en que existen normas basadas en criterios sospechosos pero con el fin de favorecer a grupos históricamente discriminados. Se trata de casos en los que se establecen acciones afirmativas, tales como las normas que emplean un criterio de género o raza para promover el acceso de la mujer a la política o de las minorías étnicas a la educación superior</w:t>
      </w:r>
      <w:r w:rsidRPr="005304B4">
        <w:rPr>
          <w:rStyle w:val="Refdenotaalpie"/>
          <w:color w:val="000000" w:themeColor="text1"/>
          <w:shd w:val="clear" w:color="auto" w:fill="FFFFFF"/>
        </w:rPr>
        <w:footnoteReference w:id="210"/>
      </w:r>
      <w:r w:rsidRPr="005304B4">
        <w:rPr>
          <w:color w:val="000000" w:themeColor="text1"/>
          <w:shd w:val="clear" w:color="auto" w:fill="FFFFFF"/>
        </w:rPr>
        <w:t xml:space="preserve">. </w:t>
      </w:r>
    </w:p>
    <w:p w14:paraId="766073FA" w14:textId="77777777" w:rsidR="00AD04FB" w:rsidRPr="005304B4" w:rsidRDefault="00AD04FB" w:rsidP="00AD04FB">
      <w:pPr>
        <w:pStyle w:val="Prrafodelista"/>
        <w:tabs>
          <w:tab w:val="left" w:pos="284"/>
          <w:tab w:val="left" w:pos="426"/>
        </w:tabs>
        <w:ind w:left="0"/>
      </w:pPr>
    </w:p>
    <w:p w14:paraId="6D4E3315" w14:textId="77777777" w:rsidR="00AD04FB" w:rsidRPr="005304B4" w:rsidRDefault="00AD04FB" w:rsidP="00AD04FB">
      <w:pPr>
        <w:pStyle w:val="Prrafodelista"/>
        <w:numPr>
          <w:ilvl w:val="0"/>
          <w:numId w:val="40"/>
        </w:numPr>
        <w:tabs>
          <w:tab w:val="left" w:pos="284"/>
          <w:tab w:val="left" w:pos="426"/>
        </w:tabs>
        <w:ind w:left="0" w:firstLine="0"/>
      </w:pPr>
      <w:r w:rsidRPr="005304B4">
        <w:rPr>
          <w:color w:val="000000" w:themeColor="text1"/>
          <w:shd w:val="clear" w:color="auto" w:fill="FFFFFF"/>
        </w:rPr>
        <w:t xml:space="preserve">Finalmente, el </w:t>
      </w:r>
      <w:r w:rsidRPr="005304B4">
        <w:rPr>
          <w:i/>
          <w:iCs/>
          <w:color w:val="000000" w:themeColor="text1"/>
          <w:shd w:val="clear" w:color="auto" w:fill="FFFFFF"/>
        </w:rPr>
        <w:t>escrutinio estricto</w:t>
      </w:r>
      <w:r w:rsidRPr="005304B4">
        <w:rPr>
          <w:color w:val="000000" w:themeColor="text1"/>
          <w:shd w:val="clear" w:color="auto" w:fill="FFFFFF"/>
        </w:rPr>
        <w:t xml:space="preserve"> está dirigido a establecer si (i) el fin perseguido por la norma no solo es legítimo sino </w:t>
      </w:r>
      <w:r w:rsidRPr="005304B4">
        <w:rPr>
          <w:i/>
          <w:iCs/>
          <w:color w:val="000000" w:themeColor="text1"/>
          <w:shd w:val="clear" w:color="auto" w:fill="FFFFFF"/>
        </w:rPr>
        <w:t>imperioso</w:t>
      </w:r>
      <w:r w:rsidRPr="005304B4">
        <w:rPr>
          <w:color w:val="000000" w:themeColor="text1"/>
          <w:shd w:val="clear" w:color="auto" w:fill="FFFFFF"/>
        </w:rPr>
        <w:t xml:space="preserve">; (ii) el medio escogido, además de ser efectivamente conducente, es necesario, esto es, si no puede ser reemplazado por otros menos lesivos para el derecho a la igualdad de los destinatarios de la norma; y, por último, (iii) si los beneficios de adoptar la medida exceden o no las restricciones impuestas sobre el derecho a la igualdad; es decir, si la medida es proporcional en sentido estricto. </w:t>
      </w:r>
    </w:p>
    <w:p w14:paraId="6C0A90CE" w14:textId="77777777" w:rsidR="00AD04FB" w:rsidRPr="005304B4" w:rsidRDefault="00AD04FB" w:rsidP="00AD04FB">
      <w:pPr>
        <w:jc w:val="both"/>
        <w:rPr>
          <w:color w:val="2D2D2D"/>
          <w:sz w:val="28"/>
          <w:szCs w:val="28"/>
          <w:shd w:val="clear" w:color="auto" w:fill="FFFFFF"/>
        </w:rPr>
      </w:pPr>
    </w:p>
    <w:p w14:paraId="6C62297E" w14:textId="77777777" w:rsidR="00AD04FB" w:rsidRPr="005304B4" w:rsidRDefault="00AD04FB" w:rsidP="00AD04FB">
      <w:pPr>
        <w:pStyle w:val="Prrafodelista"/>
        <w:numPr>
          <w:ilvl w:val="0"/>
          <w:numId w:val="40"/>
        </w:numPr>
        <w:tabs>
          <w:tab w:val="left" w:pos="284"/>
          <w:tab w:val="left" w:pos="426"/>
        </w:tabs>
        <w:ind w:left="0" w:firstLine="0"/>
      </w:pPr>
      <w:r w:rsidRPr="005304B4">
        <w:rPr>
          <w:color w:val="000000" w:themeColor="text1"/>
          <w:shd w:val="clear" w:color="auto" w:fill="FFFFFF"/>
        </w:rPr>
        <w:t>Este se usa cuanto está de por medio una clasificación sospechosa como las enumeradas en forma no taxativa a manera de prohibiciones de discriminación en el inciso 1º del artículo 13 de la Constitución (el sexo, la raza, el origen nacional o familiar, la lengua, la religión, la opinión política o filosófica), en el artículo 1.1 de la Convención Americana de Derechos Humanos o en el artículo 26 del Pacto Internacional de los Derechos Civiles y Políticos. También aplica cuando (i) la medida recae principalmente en personas en condiciones de debilidad manifiesta, grupos marginados o discriminados; (ii) en principio, impacta gravemente un derecho fundamental; o (iv) crea un privilegio</w:t>
      </w:r>
      <w:r w:rsidRPr="005304B4">
        <w:rPr>
          <w:rStyle w:val="Refdenotaalpie"/>
          <w:color w:val="000000" w:themeColor="text1"/>
          <w:shd w:val="clear" w:color="auto" w:fill="FFFFFF"/>
        </w:rPr>
        <w:footnoteReference w:id="211"/>
      </w:r>
      <w:r w:rsidRPr="005304B4">
        <w:rPr>
          <w:color w:val="000000" w:themeColor="text1"/>
          <w:shd w:val="clear" w:color="auto" w:fill="FFFFFF"/>
        </w:rPr>
        <w:t>.</w:t>
      </w:r>
    </w:p>
    <w:p w14:paraId="0CDEADF4" w14:textId="77777777" w:rsidR="00AD04FB" w:rsidRPr="005304B4" w:rsidRDefault="00AD04FB" w:rsidP="00AD04FB">
      <w:pPr>
        <w:pStyle w:val="Prrafodelista"/>
        <w:tabs>
          <w:tab w:val="left" w:pos="284"/>
          <w:tab w:val="left" w:pos="426"/>
        </w:tabs>
        <w:ind w:left="0"/>
      </w:pPr>
    </w:p>
    <w:p w14:paraId="55C421C3" w14:textId="6A031D55" w:rsidR="00AD04FB" w:rsidRPr="005304B4" w:rsidRDefault="00AD04FB" w:rsidP="00AD04FB">
      <w:pPr>
        <w:pStyle w:val="Prrafodelista"/>
        <w:numPr>
          <w:ilvl w:val="0"/>
          <w:numId w:val="40"/>
        </w:numPr>
        <w:tabs>
          <w:tab w:val="left" w:pos="284"/>
          <w:tab w:val="left" w:pos="426"/>
        </w:tabs>
        <w:ind w:left="0" w:firstLine="0"/>
      </w:pPr>
      <w:r w:rsidRPr="005304B4">
        <w:rPr>
          <w:i/>
          <w:iCs/>
          <w:color w:val="000000" w:themeColor="text1"/>
          <w:shd w:val="clear" w:color="auto" w:fill="FFFFFF"/>
        </w:rPr>
        <w:t>Aplicación del test integrado de igualdad al caso bajo estudio</w:t>
      </w:r>
      <w:r w:rsidRPr="005304B4">
        <w:rPr>
          <w:color w:val="000000" w:themeColor="text1"/>
          <w:shd w:val="clear" w:color="auto" w:fill="FFFFFF"/>
        </w:rPr>
        <w:t xml:space="preserve">. Procede la Sala a aplicar el test integrado de igualdad para efectos de evaluar si, en este caso, </w:t>
      </w:r>
      <w:r w:rsidR="00E65A9B" w:rsidRPr="005304B4">
        <w:t xml:space="preserve">el tratamiento diferencial entre las parejas homo y heteroparentales adoptantes en cuanto a la posibilidad de elegir cuál de sus integrantes accederá a la licencia de maternidad y cuál a la de paternidad </w:t>
      </w:r>
      <w:r w:rsidRPr="005304B4">
        <w:rPr>
          <w:color w:val="000000" w:themeColor="text1"/>
          <w:shd w:val="clear" w:color="auto" w:fill="FFFFFF"/>
        </w:rPr>
        <w:t>desconoce el principio constitucional de igualdad.</w:t>
      </w:r>
    </w:p>
    <w:p w14:paraId="6050118D" w14:textId="77777777" w:rsidR="00AD04FB" w:rsidRPr="005304B4" w:rsidRDefault="00AD04FB" w:rsidP="00AD04FB">
      <w:pPr>
        <w:pStyle w:val="Prrafodelista"/>
        <w:tabs>
          <w:tab w:val="left" w:pos="284"/>
          <w:tab w:val="left" w:pos="426"/>
        </w:tabs>
        <w:ind w:left="0"/>
      </w:pPr>
    </w:p>
    <w:p w14:paraId="7ABE34A5" w14:textId="40561DE4" w:rsidR="00AD04FB" w:rsidRPr="005304B4" w:rsidRDefault="00AD04FB" w:rsidP="00E3115B">
      <w:pPr>
        <w:pStyle w:val="Prrafodelista"/>
        <w:numPr>
          <w:ilvl w:val="0"/>
          <w:numId w:val="40"/>
        </w:numPr>
        <w:tabs>
          <w:tab w:val="left" w:pos="284"/>
          <w:tab w:val="left" w:pos="426"/>
        </w:tabs>
        <w:ind w:left="0" w:firstLine="0"/>
      </w:pPr>
      <w:r w:rsidRPr="005304B4">
        <w:t xml:space="preserve">En relación con la </w:t>
      </w:r>
      <w:r w:rsidRPr="005304B4">
        <w:rPr>
          <w:i/>
          <w:iCs/>
        </w:rPr>
        <w:t>intensidad del test</w:t>
      </w:r>
      <w:r w:rsidRPr="005304B4">
        <w:t xml:space="preserve">, conforme a la jurisprudencia constitucional precitada, este debe ser </w:t>
      </w:r>
      <w:r w:rsidRPr="005304B4">
        <w:rPr>
          <w:i/>
          <w:iCs/>
        </w:rPr>
        <w:t>estricto</w:t>
      </w:r>
      <w:r w:rsidRPr="005304B4">
        <w:t xml:space="preserve">, puesto que la diferencia de trato entre </w:t>
      </w:r>
      <w:r w:rsidR="00E65A9B" w:rsidRPr="005304B4">
        <w:t xml:space="preserve">las parejas homo y heteroparentales adoptantes se basa en la conformación de cada una en términos del </w:t>
      </w:r>
      <w:r w:rsidR="007F27F0" w:rsidRPr="005304B4">
        <w:rPr>
          <w:b/>
          <w:bCs/>
          <w:i/>
          <w:iCs/>
        </w:rPr>
        <w:t>género</w:t>
      </w:r>
      <w:r w:rsidR="00E65A9B" w:rsidRPr="005304B4">
        <w:t xml:space="preserve"> de sus integrantes. A ello se suma que, toda vez que la conformación de las parejas en términos </w:t>
      </w:r>
      <w:r w:rsidR="007F27F0" w:rsidRPr="005304B4">
        <w:t>del género</w:t>
      </w:r>
      <w:r w:rsidR="00E65A9B" w:rsidRPr="005304B4">
        <w:t xml:space="preserve"> de sus integrantes puede ser entendida, </w:t>
      </w:r>
      <w:r w:rsidR="00C016B8" w:rsidRPr="005304B4">
        <w:t xml:space="preserve">a su vez, como una circunstancia que se asocia o refleja la </w:t>
      </w:r>
      <w:r w:rsidR="00C016B8" w:rsidRPr="005304B4">
        <w:rPr>
          <w:b/>
          <w:bCs/>
          <w:i/>
          <w:iCs/>
        </w:rPr>
        <w:t>orientación sexual</w:t>
      </w:r>
      <w:r w:rsidR="00C016B8" w:rsidRPr="005304B4">
        <w:t xml:space="preserve"> de sus miembros, esta segunda categoría también se encontraría presente en el tratamiento diferencial que se analiza.</w:t>
      </w:r>
    </w:p>
    <w:p w14:paraId="6DF6A9C1" w14:textId="77777777" w:rsidR="00AD04FB" w:rsidRPr="005304B4" w:rsidRDefault="00AD04FB" w:rsidP="00AD04FB">
      <w:pPr>
        <w:pStyle w:val="Prrafodelista"/>
        <w:tabs>
          <w:tab w:val="left" w:pos="284"/>
          <w:tab w:val="left" w:pos="426"/>
        </w:tabs>
        <w:ind w:left="0"/>
      </w:pPr>
    </w:p>
    <w:p w14:paraId="2ADB4F38" w14:textId="77777777" w:rsidR="00AD04FB" w:rsidRPr="005304B4" w:rsidRDefault="00AD04FB" w:rsidP="00AD04FB">
      <w:pPr>
        <w:pStyle w:val="Prrafodelista"/>
        <w:numPr>
          <w:ilvl w:val="0"/>
          <w:numId w:val="40"/>
        </w:numPr>
        <w:tabs>
          <w:tab w:val="left" w:pos="284"/>
          <w:tab w:val="left" w:pos="426"/>
        </w:tabs>
        <w:ind w:left="0" w:firstLine="0"/>
      </w:pPr>
      <w:r w:rsidRPr="005304B4">
        <w:t>Sobre el carácter sospechoso de la categoría sexo, la Sentencia C-586 de 2016 afirmó que: “[…] el criterio sexo es una de las ‘categorías sospechosas’ que se encuentran relacionadas en el artículo 13 de la Constitución Política de Colombia, el artículo 1.1. de la Convención Americana sobre Derechos Humanos y en los artículos 2 y 26 del Pacto Internacional de Derechos Civiles y Políticos, la que ha sido históricamente utilizada para discriminar, es decir, para establecer diferencias de trato que resultan violatorias de los derechos fundamentales, como ha sucedido en el caso de las mujeres en Colombia”</w:t>
      </w:r>
      <w:r w:rsidRPr="005304B4">
        <w:rPr>
          <w:rStyle w:val="Refdenotaalpie"/>
        </w:rPr>
        <w:footnoteReference w:id="212"/>
      </w:r>
      <w:r w:rsidRPr="005304B4">
        <w:t>.</w:t>
      </w:r>
    </w:p>
    <w:p w14:paraId="1CAADC86" w14:textId="77777777" w:rsidR="0025047D" w:rsidRPr="005304B4" w:rsidRDefault="0025047D" w:rsidP="0025047D">
      <w:pPr>
        <w:pStyle w:val="Prrafodelista"/>
        <w:tabs>
          <w:tab w:val="left" w:pos="284"/>
          <w:tab w:val="left" w:pos="426"/>
        </w:tabs>
        <w:ind w:left="0"/>
      </w:pPr>
    </w:p>
    <w:p w14:paraId="0B1EF386" w14:textId="29815E69" w:rsidR="0025047D" w:rsidRPr="005304B4" w:rsidRDefault="0025047D" w:rsidP="0025047D">
      <w:pPr>
        <w:pStyle w:val="Prrafodelista"/>
        <w:numPr>
          <w:ilvl w:val="0"/>
          <w:numId w:val="40"/>
        </w:numPr>
        <w:tabs>
          <w:tab w:val="left" w:pos="284"/>
          <w:tab w:val="left" w:pos="426"/>
        </w:tabs>
        <w:ind w:left="0" w:firstLine="0"/>
      </w:pPr>
      <w:r w:rsidRPr="005304B4">
        <w:t>En cuanto al género, sentencias como la T-293 de 2017 han indicado que: “el artículo 43 de la Carta dispone igualdad de derechos y oportunidades entre hombres y mujeres; así mismo, establece la prohibición de discriminación contra la mujer, citando dicho artículo ‘la mujer y el hombre tienen iguales derechos y oportunidades. La mujer no podrá ser sometida a ninguna clase de discriminación’. En tal virtud, la Corte Constitucional ha establecido que la utilización del género como categoría de distinción es, en principio, sospechosa y, por ende, muy probablemente contraria a los presupuestos constitucionales”</w:t>
      </w:r>
      <w:r w:rsidRPr="005304B4">
        <w:rPr>
          <w:rStyle w:val="Refdenotaalpie"/>
        </w:rPr>
        <w:footnoteReference w:id="213"/>
      </w:r>
      <w:r w:rsidRPr="005304B4">
        <w:t>.</w:t>
      </w:r>
    </w:p>
    <w:p w14:paraId="3A7AE5CB" w14:textId="77777777" w:rsidR="00AD04FB" w:rsidRPr="005304B4" w:rsidRDefault="00AD04FB" w:rsidP="00AD04FB">
      <w:pPr>
        <w:pStyle w:val="Prrafodelista"/>
        <w:tabs>
          <w:tab w:val="left" w:pos="284"/>
          <w:tab w:val="left" w:pos="426"/>
        </w:tabs>
        <w:ind w:left="0"/>
      </w:pPr>
    </w:p>
    <w:p w14:paraId="17CE7D68" w14:textId="1549B94B" w:rsidR="00AD04FB" w:rsidRPr="005304B4" w:rsidRDefault="00AD04FB" w:rsidP="00AD04FB">
      <w:pPr>
        <w:pStyle w:val="Prrafodelista"/>
        <w:numPr>
          <w:ilvl w:val="0"/>
          <w:numId w:val="40"/>
        </w:numPr>
        <w:tabs>
          <w:tab w:val="left" w:pos="284"/>
          <w:tab w:val="left" w:pos="426"/>
        </w:tabs>
        <w:ind w:left="0" w:firstLine="0"/>
      </w:pPr>
      <w:r w:rsidRPr="005304B4">
        <w:t xml:space="preserve">En cuanto </w:t>
      </w:r>
      <w:r w:rsidR="00C016B8" w:rsidRPr="005304B4">
        <w:t>a la orientación sexual</w:t>
      </w:r>
      <w:r w:rsidRPr="005304B4">
        <w:t>, sentencias como la T-</w:t>
      </w:r>
      <w:r w:rsidR="00C016B8" w:rsidRPr="005304B4">
        <w:t>033 de 2024, T-365 de 2022 y T-909 de 2011</w:t>
      </w:r>
      <w:r w:rsidRPr="005304B4">
        <w:t xml:space="preserve"> han </w:t>
      </w:r>
      <w:r w:rsidR="00C016B8" w:rsidRPr="005304B4">
        <w:t>afirmado que la orientación sexual es un criterio sospechoso de discriminación, por lo que “</w:t>
      </w:r>
      <w:r w:rsidR="00C016B8" w:rsidRPr="005304B4">
        <w:rPr>
          <w:lang w:val="es-ES_tradnl"/>
        </w:rPr>
        <w:t>en principio toda distinción efectuada a partir de la orientación sexual se presume discriminatoria</w:t>
      </w:r>
      <w:r w:rsidRPr="005304B4">
        <w:t>”</w:t>
      </w:r>
      <w:r w:rsidRPr="005304B4">
        <w:rPr>
          <w:rStyle w:val="Refdenotaalpie"/>
        </w:rPr>
        <w:footnoteReference w:id="214"/>
      </w:r>
      <w:r w:rsidRPr="005304B4">
        <w:t>.</w:t>
      </w:r>
    </w:p>
    <w:p w14:paraId="67ADBE65" w14:textId="77777777" w:rsidR="00AD04FB" w:rsidRPr="005304B4" w:rsidRDefault="00AD04FB" w:rsidP="00AD04FB">
      <w:pPr>
        <w:tabs>
          <w:tab w:val="left" w:pos="284"/>
          <w:tab w:val="left" w:pos="426"/>
        </w:tabs>
        <w:rPr>
          <w:sz w:val="28"/>
          <w:szCs w:val="28"/>
        </w:rPr>
      </w:pPr>
    </w:p>
    <w:p w14:paraId="0F6E0AB3" w14:textId="6831CE9F" w:rsidR="00AD04FB" w:rsidRPr="005304B4" w:rsidRDefault="00AD04FB" w:rsidP="00AD04FB">
      <w:pPr>
        <w:pStyle w:val="Prrafodelista"/>
        <w:numPr>
          <w:ilvl w:val="0"/>
          <w:numId w:val="40"/>
        </w:numPr>
        <w:tabs>
          <w:tab w:val="left" w:pos="284"/>
          <w:tab w:val="left" w:pos="426"/>
        </w:tabs>
        <w:ind w:left="0" w:firstLine="0"/>
      </w:pPr>
      <w:r w:rsidRPr="005304B4">
        <w:t>Adicionalmente, la Sala encuentra que la diferenciación en materia de acceso a las licencias parentales para parejas heteroparentales adoptantes no corresponde a una medida de acción afirmativa, puesto que este tipo de políticas “se concretan en la facultad con la que cuenta el legislador para apelar a la raza, al sexo –categorías en principio sospechosas como criterio de discriminación-, con el fin de aminorar el efecto nocivo de las prácticas sociales que han ubicado a esos grupos en posiciones desfavorables”</w:t>
      </w:r>
      <w:r w:rsidRPr="005304B4">
        <w:rPr>
          <w:rStyle w:val="Refdenotaalpie"/>
        </w:rPr>
        <w:footnoteReference w:id="215"/>
      </w:r>
      <w:r w:rsidR="0025047D" w:rsidRPr="005304B4">
        <w:t>; lo cual no se ajusta con la situación analizada en este caso.</w:t>
      </w:r>
    </w:p>
    <w:p w14:paraId="72E3AE5B" w14:textId="77777777" w:rsidR="00AD04FB" w:rsidRPr="005304B4" w:rsidRDefault="00AD04FB" w:rsidP="00AD04FB">
      <w:pPr>
        <w:pStyle w:val="Prrafodelista"/>
        <w:tabs>
          <w:tab w:val="left" w:pos="284"/>
          <w:tab w:val="left" w:pos="426"/>
        </w:tabs>
        <w:ind w:left="0"/>
      </w:pPr>
    </w:p>
    <w:p w14:paraId="23A4CAF4" w14:textId="6BF4F3A4" w:rsidR="00AD04FB" w:rsidRPr="005304B4" w:rsidRDefault="00AD04FB" w:rsidP="00AD04FB">
      <w:pPr>
        <w:pStyle w:val="Prrafodelista"/>
        <w:numPr>
          <w:ilvl w:val="0"/>
          <w:numId w:val="40"/>
        </w:numPr>
        <w:tabs>
          <w:tab w:val="left" w:pos="284"/>
          <w:tab w:val="left" w:pos="426"/>
        </w:tabs>
        <w:ind w:left="0" w:firstLine="0"/>
      </w:pPr>
      <w:r w:rsidRPr="005304B4">
        <w:rPr>
          <w:color w:val="000000" w:themeColor="text1"/>
          <w:shd w:val="clear" w:color="auto" w:fill="FFFFFF"/>
        </w:rPr>
        <w:t xml:space="preserve">En cuanto a los </w:t>
      </w:r>
      <w:r w:rsidRPr="005304B4">
        <w:rPr>
          <w:i/>
          <w:iCs/>
          <w:color w:val="000000" w:themeColor="text1"/>
          <w:shd w:val="clear" w:color="auto" w:fill="FFFFFF"/>
        </w:rPr>
        <w:t>sujetos que se comparan</w:t>
      </w:r>
      <w:r w:rsidRPr="005304B4">
        <w:rPr>
          <w:color w:val="000000" w:themeColor="text1"/>
          <w:shd w:val="clear" w:color="auto" w:fill="FFFFFF"/>
        </w:rPr>
        <w:t xml:space="preserve">, la Sala establece que estos corresponden a </w:t>
      </w:r>
      <w:r w:rsidR="00C016B8" w:rsidRPr="005304B4">
        <w:rPr>
          <w:color w:val="000000" w:themeColor="text1"/>
          <w:shd w:val="clear" w:color="auto" w:fill="FFFFFF"/>
        </w:rPr>
        <w:t>las parejas heteroparentales y homoparentales que adoptan</w:t>
      </w:r>
      <w:r w:rsidRPr="005304B4">
        <w:rPr>
          <w:color w:val="000000" w:themeColor="text1"/>
          <w:shd w:val="clear" w:color="auto" w:fill="FFFFFF"/>
        </w:rPr>
        <w:t xml:space="preserve">, </w:t>
      </w:r>
      <w:r w:rsidR="00C016B8" w:rsidRPr="005304B4">
        <w:rPr>
          <w:color w:val="000000" w:themeColor="text1"/>
          <w:shd w:val="clear" w:color="auto" w:fill="FFFFFF"/>
        </w:rPr>
        <w:t>las cuales</w:t>
      </w:r>
      <w:r w:rsidRPr="005304B4">
        <w:rPr>
          <w:color w:val="000000" w:themeColor="text1"/>
          <w:shd w:val="clear" w:color="auto" w:fill="FFFFFF"/>
        </w:rPr>
        <w:t xml:space="preserve"> encuentran en una situación </w:t>
      </w:r>
      <w:r w:rsidR="0025047D" w:rsidRPr="005304B4">
        <w:rPr>
          <w:color w:val="000000" w:themeColor="text1"/>
          <w:shd w:val="clear" w:color="auto" w:fill="FFFFFF"/>
        </w:rPr>
        <w:t>asimilable</w:t>
      </w:r>
      <w:r w:rsidRPr="005304B4">
        <w:rPr>
          <w:color w:val="000000" w:themeColor="text1"/>
          <w:shd w:val="clear" w:color="auto" w:fill="FFFFFF"/>
        </w:rPr>
        <w:t xml:space="preserve"> en cuanto a sus deberes en materia de cuidado y crianza del niño, niña o adolescente adoptivo</w:t>
      </w:r>
      <w:r w:rsidRPr="005304B4">
        <w:rPr>
          <w:rStyle w:val="Refdenotaalpie"/>
          <w:color w:val="000000" w:themeColor="text1"/>
          <w:shd w:val="clear" w:color="auto" w:fill="FFFFFF"/>
        </w:rPr>
        <w:footnoteReference w:id="216"/>
      </w:r>
      <w:r w:rsidRPr="005304B4">
        <w:t xml:space="preserve">. En tal sentido, ambos </w:t>
      </w:r>
      <w:r w:rsidR="00C016B8" w:rsidRPr="005304B4">
        <w:t>tipos de pareja</w:t>
      </w:r>
      <w:r w:rsidRPr="005304B4">
        <w:t xml:space="preserve"> </w:t>
      </w:r>
      <w:r w:rsidR="00C016B8" w:rsidRPr="005304B4">
        <w:t xml:space="preserve">son </w:t>
      </w:r>
      <w:r w:rsidRPr="005304B4">
        <w:t>responsables del bienestar, desarrollo y protección del hijo que se integra al hogar, por lo que son en tal sentido “iguales” de cara a la finalidad que persiguen las licencias parentales</w:t>
      </w:r>
      <w:r w:rsidRPr="005304B4">
        <w:rPr>
          <w:rStyle w:val="Refdenotaalpie"/>
        </w:rPr>
        <w:footnoteReference w:id="217"/>
      </w:r>
      <w:r w:rsidRPr="005304B4">
        <w:t>.</w:t>
      </w:r>
    </w:p>
    <w:p w14:paraId="040AA9B8" w14:textId="77777777" w:rsidR="00AD04FB" w:rsidRPr="005304B4" w:rsidRDefault="00AD04FB" w:rsidP="00AD04FB">
      <w:pPr>
        <w:pStyle w:val="Prrafodelista"/>
        <w:tabs>
          <w:tab w:val="left" w:pos="284"/>
          <w:tab w:val="left" w:pos="426"/>
        </w:tabs>
        <w:ind w:left="0"/>
      </w:pPr>
    </w:p>
    <w:p w14:paraId="281D985D" w14:textId="7FE68D00" w:rsidR="00AD04FB" w:rsidRPr="005304B4" w:rsidRDefault="00AD04FB" w:rsidP="00AD04FB">
      <w:pPr>
        <w:pStyle w:val="Prrafodelista"/>
        <w:numPr>
          <w:ilvl w:val="0"/>
          <w:numId w:val="40"/>
        </w:numPr>
        <w:tabs>
          <w:tab w:val="left" w:pos="284"/>
          <w:tab w:val="left" w:pos="426"/>
        </w:tabs>
        <w:ind w:left="0" w:firstLine="0"/>
      </w:pPr>
      <w:r w:rsidRPr="005304B4">
        <w:t xml:space="preserve">Por demás, la Sala resalta que, al tratarse de la conformación de una familia a través de la adopción, ambos </w:t>
      </w:r>
      <w:r w:rsidR="00C016B8" w:rsidRPr="005304B4">
        <w:t>tipos de</w:t>
      </w:r>
      <w:r w:rsidRPr="005304B4">
        <w:t xml:space="preserve"> pareja, en principio, se encontrarían en una situación análoga en cuanto a la ausencia de procesos biológicos relacionados con la reproducción humana, tales como el embarazo, el parto o la lactancia</w:t>
      </w:r>
      <w:r w:rsidR="00CB291A" w:rsidRPr="005304B4">
        <w:t xml:space="preserve">. Toda vez que </w:t>
      </w:r>
      <w:r w:rsidRPr="005304B4">
        <w:t>estos factores</w:t>
      </w:r>
      <w:r w:rsidR="00CB291A" w:rsidRPr="005304B4">
        <w:t xml:space="preserve"> </w:t>
      </w:r>
      <w:r w:rsidRPr="005304B4">
        <w:t>no juegan un rol protagónico en este caso, por lo que la Corte no los considerará.</w:t>
      </w:r>
    </w:p>
    <w:p w14:paraId="126AFB2F" w14:textId="77777777" w:rsidR="00AD04FB" w:rsidRPr="005304B4" w:rsidRDefault="00AD04FB" w:rsidP="00AD04FB">
      <w:pPr>
        <w:pStyle w:val="Prrafodelista"/>
        <w:tabs>
          <w:tab w:val="left" w:pos="284"/>
          <w:tab w:val="left" w:pos="426"/>
        </w:tabs>
        <w:ind w:left="0"/>
      </w:pPr>
    </w:p>
    <w:p w14:paraId="40E1CAB6" w14:textId="2D1D209E" w:rsidR="00CB291A" w:rsidRPr="005304B4" w:rsidRDefault="00AD04FB" w:rsidP="00AD04FB">
      <w:pPr>
        <w:pStyle w:val="Prrafodelista"/>
        <w:numPr>
          <w:ilvl w:val="0"/>
          <w:numId w:val="40"/>
        </w:numPr>
        <w:tabs>
          <w:tab w:val="left" w:pos="284"/>
          <w:tab w:val="left" w:pos="426"/>
        </w:tabs>
        <w:ind w:left="0" w:firstLine="0"/>
      </w:pPr>
      <w:r w:rsidRPr="005304B4">
        <w:t xml:space="preserve">Sobre la </w:t>
      </w:r>
      <w:r w:rsidRPr="005304B4">
        <w:rPr>
          <w:i/>
          <w:iCs/>
        </w:rPr>
        <w:t>finalidad perseguida por la norma</w:t>
      </w:r>
      <w:r w:rsidR="0025047D" w:rsidRPr="005304B4">
        <w:t>.</w:t>
      </w:r>
      <w:r w:rsidRPr="005304B4">
        <w:t xml:space="preserve"> </w:t>
      </w:r>
      <w:r w:rsidR="0025047D" w:rsidRPr="005304B4">
        <w:t xml:space="preserve">De entrada, </w:t>
      </w:r>
      <w:r w:rsidRPr="005304B4">
        <w:t xml:space="preserve">la Sala encuentra que </w:t>
      </w:r>
      <w:r w:rsidR="0025047D" w:rsidRPr="005304B4">
        <w:t>la finalidad perseguida por la norma</w:t>
      </w:r>
      <w:r w:rsidRPr="005304B4">
        <w:t xml:space="preserve"> </w:t>
      </w:r>
      <w:r w:rsidR="00CB291A" w:rsidRPr="005304B4">
        <w:t>no puede considerarse legítima</w:t>
      </w:r>
      <w:r w:rsidRPr="005304B4">
        <w:t>, puesto que</w:t>
      </w:r>
      <w:r w:rsidR="00D37720" w:rsidRPr="005304B4">
        <w:t>,</w:t>
      </w:r>
      <w:r w:rsidRPr="005304B4">
        <w:t xml:space="preserve"> </w:t>
      </w:r>
      <w:r w:rsidR="00D37720" w:rsidRPr="005304B4">
        <w:t>impedir a las parejas heteroparentales adoptantes elegir cuál de sus integrantes accederá a la licencia de maternidad y cuál a la de paternidad</w:t>
      </w:r>
      <w:r w:rsidR="0025047D" w:rsidRPr="005304B4">
        <w:t>, en contraste con lo que ocurre con las parejas homoparentales adoptantes,</w:t>
      </w:r>
      <w:r w:rsidR="00D37720" w:rsidRPr="005304B4">
        <w:t xml:space="preserve"> es consecuencia </w:t>
      </w:r>
      <w:r w:rsidR="00C244A8" w:rsidRPr="005304B4">
        <w:t>de la interiorización</w:t>
      </w:r>
      <w:r w:rsidR="00D37720" w:rsidRPr="005304B4">
        <w:t xml:space="preserve"> de estereotipos de género prescriptivos en la </w:t>
      </w:r>
      <w:r w:rsidR="0025047D" w:rsidRPr="005304B4">
        <w:t xml:space="preserve">legislación que regula </w:t>
      </w:r>
      <w:r w:rsidR="00C244A8" w:rsidRPr="005304B4">
        <w:t>las licencias parentales</w:t>
      </w:r>
      <w:r w:rsidR="0025047D" w:rsidRPr="005304B4">
        <w:t>, así como del condicionamiento realizado en la Sentencia C-415 de 2022.</w:t>
      </w:r>
    </w:p>
    <w:p w14:paraId="7F5CC5B2" w14:textId="77777777" w:rsidR="00D37720" w:rsidRPr="005304B4" w:rsidRDefault="00D37720" w:rsidP="00D37720">
      <w:pPr>
        <w:pStyle w:val="Prrafodelista"/>
        <w:tabs>
          <w:tab w:val="left" w:pos="284"/>
          <w:tab w:val="left" w:pos="426"/>
        </w:tabs>
        <w:ind w:left="0"/>
      </w:pPr>
    </w:p>
    <w:p w14:paraId="304107EF" w14:textId="69CC22DE" w:rsidR="00D37720" w:rsidRPr="005304B4" w:rsidRDefault="00D37720" w:rsidP="00D37720">
      <w:pPr>
        <w:pStyle w:val="Prrafodelista"/>
        <w:numPr>
          <w:ilvl w:val="0"/>
          <w:numId w:val="40"/>
        </w:numPr>
        <w:tabs>
          <w:tab w:val="left" w:pos="284"/>
          <w:tab w:val="left" w:pos="426"/>
        </w:tabs>
        <w:ind w:left="0" w:firstLine="0"/>
      </w:pPr>
      <w:r w:rsidRPr="005304B4">
        <w:t xml:space="preserve">En cuanto </w:t>
      </w:r>
      <w:r w:rsidRPr="005304B4">
        <w:rPr>
          <w:i/>
          <w:iCs/>
        </w:rPr>
        <w:t xml:space="preserve">a </w:t>
      </w:r>
      <w:r w:rsidR="0025047D" w:rsidRPr="005304B4">
        <w:rPr>
          <w:i/>
          <w:iCs/>
        </w:rPr>
        <w:t>lo primero</w:t>
      </w:r>
      <w:r w:rsidRPr="005304B4">
        <w:t xml:space="preserve">, según se mencionó, las disposiciones objeto de control constitucional, leídas conjuntamente, dan lugar a que se realice una organización del acceso a las </w:t>
      </w:r>
      <w:r w:rsidR="0025047D" w:rsidRPr="005304B4">
        <w:t>mencionadas licencias</w:t>
      </w:r>
      <w:r w:rsidRPr="005304B4">
        <w:t xml:space="preserve"> para parejas heteroparentales adoptantes con base en criterios de género específicos: mientras que a la madre adoptante le corresponde una licencia de maternidad de 18 semanas, al padre se asigna una licencia de paternidad de 2 semanas de duración.</w:t>
      </w:r>
    </w:p>
    <w:p w14:paraId="49DA2208" w14:textId="77777777" w:rsidR="00D37720" w:rsidRPr="005304B4" w:rsidRDefault="00D37720" w:rsidP="00D37720">
      <w:pPr>
        <w:pStyle w:val="Prrafodelista"/>
        <w:tabs>
          <w:tab w:val="left" w:pos="284"/>
          <w:tab w:val="left" w:pos="426"/>
        </w:tabs>
        <w:ind w:left="0"/>
      </w:pPr>
    </w:p>
    <w:p w14:paraId="50586E50" w14:textId="23039332" w:rsidR="00D37720" w:rsidRPr="005304B4" w:rsidRDefault="00D37720" w:rsidP="00D37720">
      <w:pPr>
        <w:pStyle w:val="Prrafodelista"/>
        <w:numPr>
          <w:ilvl w:val="0"/>
          <w:numId w:val="40"/>
        </w:numPr>
        <w:tabs>
          <w:tab w:val="left" w:pos="284"/>
          <w:tab w:val="left" w:pos="426"/>
        </w:tabs>
        <w:ind w:left="0" w:firstLine="0"/>
      </w:pPr>
      <w:r w:rsidRPr="005304B4">
        <w:t xml:space="preserve">Vistas de tal manera, para la Sala es evidente que, tal como lo indicaron la mayoría de las instituciones intervinientes y la Procuraduría General de la Nación, la asignación de las licencias parentales se fundamenta en estereotipos de género prescriptivos, según los cuáles corresponde a las mujeres (en este caso a la madre adoptante) asumir de manera principal las responsabilidades de cuidado al interior del hogar y, en especial, aquellas relacionadas con la crianza de los hijos. </w:t>
      </w:r>
    </w:p>
    <w:p w14:paraId="4527071C" w14:textId="77777777" w:rsidR="0069179A" w:rsidRPr="005304B4" w:rsidRDefault="0069179A" w:rsidP="0069179A">
      <w:pPr>
        <w:pStyle w:val="Prrafodelista"/>
        <w:tabs>
          <w:tab w:val="left" w:pos="284"/>
          <w:tab w:val="left" w:pos="426"/>
        </w:tabs>
        <w:ind w:left="0"/>
      </w:pPr>
    </w:p>
    <w:p w14:paraId="3FF1A492" w14:textId="794792F9" w:rsidR="0069179A" w:rsidRPr="005304B4" w:rsidRDefault="0069179A" w:rsidP="00D37720">
      <w:pPr>
        <w:pStyle w:val="Prrafodelista"/>
        <w:numPr>
          <w:ilvl w:val="0"/>
          <w:numId w:val="40"/>
        </w:numPr>
        <w:tabs>
          <w:tab w:val="left" w:pos="284"/>
          <w:tab w:val="left" w:pos="426"/>
        </w:tabs>
        <w:ind w:left="0" w:firstLine="0"/>
      </w:pPr>
      <w:r w:rsidRPr="005304B4">
        <w:t>Lo dicho se deriva, de un lado, de la diferencia sustancial en la duración de las licencias parentales, que son significativamente distintas, siendo la licencia de maternidad, en términos ordinarios, 9 veces mayor en cuanto a su duración que la licencia de paternidad; y del hecho de que, en este caso, las expresiones enjuiciadas dan lugar a que el género de los adoptantes determin</w:t>
      </w:r>
      <w:r w:rsidR="0025047D" w:rsidRPr="005304B4">
        <w:t>e</w:t>
      </w:r>
      <w:r w:rsidRPr="005304B4">
        <w:t xml:space="preserve"> cuál de ellos ha de acceder a cada prestación.</w:t>
      </w:r>
    </w:p>
    <w:p w14:paraId="16C460E8" w14:textId="77777777" w:rsidR="00AD04FB" w:rsidRPr="005304B4" w:rsidRDefault="00AD04FB" w:rsidP="00AD04FB">
      <w:pPr>
        <w:pStyle w:val="Prrafodelista"/>
        <w:tabs>
          <w:tab w:val="left" w:pos="284"/>
          <w:tab w:val="left" w:pos="426"/>
        </w:tabs>
        <w:ind w:left="0"/>
      </w:pPr>
    </w:p>
    <w:p w14:paraId="36F1C490" w14:textId="6F34914A" w:rsidR="00D37720" w:rsidRPr="005304B4" w:rsidRDefault="00CB291A" w:rsidP="00AD04FB">
      <w:pPr>
        <w:pStyle w:val="Prrafodelista"/>
        <w:numPr>
          <w:ilvl w:val="0"/>
          <w:numId w:val="40"/>
        </w:numPr>
        <w:tabs>
          <w:tab w:val="left" w:pos="284"/>
          <w:tab w:val="left" w:pos="426"/>
        </w:tabs>
        <w:ind w:left="0" w:firstLine="0"/>
      </w:pPr>
      <w:r w:rsidRPr="005304B4">
        <w:t xml:space="preserve">A la luz de lo anterior, para la Sala </w:t>
      </w:r>
      <w:r w:rsidR="00D37720" w:rsidRPr="005304B4">
        <w:t>preservar estereotipos de género en la asignación de tareas de cuidado de los hijos no puede considerarse una finalidad constitucionalmente legítima</w:t>
      </w:r>
      <w:r w:rsidR="00C244A8" w:rsidRPr="005304B4">
        <w:t xml:space="preserve">, </w:t>
      </w:r>
      <w:r w:rsidR="0025047D" w:rsidRPr="005304B4">
        <w:t>ni mucho menos importante o</w:t>
      </w:r>
      <w:r w:rsidR="00D37720" w:rsidRPr="005304B4">
        <w:t xml:space="preserve"> imperiosa</w:t>
      </w:r>
      <w:r w:rsidR="0025047D" w:rsidRPr="005304B4">
        <w:t>,</w:t>
      </w:r>
      <w:r w:rsidR="00D37720" w:rsidRPr="005304B4">
        <w:t xml:space="preserve"> de cara a los objetivos que persigue</w:t>
      </w:r>
      <w:r w:rsidR="0025047D" w:rsidRPr="005304B4">
        <w:t>n</w:t>
      </w:r>
      <w:r w:rsidR="00D37720" w:rsidRPr="005304B4">
        <w:t xml:space="preserve"> las licencias parentales.</w:t>
      </w:r>
      <w:r w:rsidR="00C244A8" w:rsidRPr="005304B4">
        <w:t xml:space="preserve"> De hecho, para la Sala dicha finalidad se encuentra constitucionalmente prohibida, en la medida en que se sustenta en estereotipo</w:t>
      </w:r>
      <w:r w:rsidR="00F87C8D" w:rsidRPr="005304B4">
        <w:t>s</w:t>
      </w:r>
      <w:r w:rsidR="00C244A8" w:rsidRPr="005304B4">
        <w:t xml:space="preserve"> de género sobre el lugar que la mujer</w:t>
      </w:r>
      <w:r w:rsidR="00F87C8D" w:rsidRPr="005304B4">
        <w:t xml:space="preserve"> y el hombre</w:t>
      </w:r>
      <w:r w:rsidR="00C244A8" w:rsidRPr="005304B4">
        <w:t xml:space="preserve"> ha</w:t>
      </w:r>
      <w:r w:rsidR="00F87C8D" w:rsidRPr="005304B4">
        <w:t>n</w:t>
      </w:r>
      <w:r w:rsidR="00C244A8" w:rsidRPr="005304B4">
        <w:t xml:space="preserve"> ocupado tradicionalmente en la familia y en las labores del cuidado. </w:t>
      </w:r>
      <w:r w:rsidR="00F87C8D" w:rsidRPr="005304B4">
        <w:t>Por el contrario, l</w:t>
      </w:r>
      <w:r w:rsidR="00C244A8" w:rsidRPr="005304B4">
        <w:t>o importante e imperioso, a la luz de la Constitución, es reconocer la protección, cuidado y crianza de los niños, niñas y adolescentes adoptados por parte de sus padres</w:t>
      </w:r>
      <w:r w:rsidR="00F87C8D" w:rsidRPr="005304B4">
        <w:t>, propendiendo por la igualdad de condiciones entre los miembros del hogar.</w:t>
      </w:r>
    </w:p>
    <w:p w14:paraId="6D6486E2" w14:textId="77777777" w:rsidR="00D37720" w:rsidRPr="005304B4" w:rsidRDefault="00D37720" w:rsidP="00D37720">
      <w:pPr>
        <w:pStyle w:val="Prrafodelista"/>
        <w:tabs>
          <w:tab w:val="left" w:pos="284"/>
          <w:tab w:val="left" w:pos="426"/>
        </w:tabs>
        <w:ind w:left="0"/>
      </w:pPr>
    </w:p>
    <w:p w14:paraId="4B03EBE6" w14:textId="35BA28AE" w:rsidR="00CB291A" w:rsidRPr="005304B4" w:rsidRDefault="00F87C8D" w:rsidP="00C244A8">
      <w:pPr>
        <w:pStyle w:val="Prrafodelista"/>
        <w:numPr>
          <w:ilvl w:val="0"/>
          <w:numId w:val="40"/>
        </w:numPr>
        <w:tabs>
          <w:tab w:val="left" w:pos="284"/>
          <w:tab w:val="left" w:pos="426"/>
        </w:tabs>
        <w:ind w:left="0" w:firstLine="0"/>
      </w:pPr>
      <w:r w:rsidRPr="005304B4">
        <w:t xml:space="preserve">Sobre </w:t>
      </w:r>
      <w:r w:rsidRPr="005304B4">
        <w:rPr>
          <w:i/>
          <w:iCs/>
        </w:rPr>
        <w:t>lo segundo</w:t>
      </w:r>
      <w:r w:rsidRPr="005304B4">
        <w:t>, c</w:t>
      </w:r>
      <w:r w:rsidR="00D37720" w:rsidRPr="005304B4">
        <w:t>omo se explicó previamente, la Sentencia C-415 de 2022</w:t>
      </w:r>
      <w:r w:rsidR="0003734A" w:rsidRPr="005304B4">
        <w:t xml:space="preserve"> </w:t>
      </w:r>
      <w:r w:rsidR="00D37720" w:rsidRPr="005304B4">
        <w:t>otorgó a las parejas homoparentales adoptantes</w:t>
      </w:r>
      <w:r w:rsidR="0003734A" w:rsidRPr="005304B4">
        <w:t xml:space="preserve"> la posibilidad de elegir</w:t>
      </w:r>
      <w:r w:rsidR="00D37720" w:rsidRPr="005304B4">
        <w:t>, por una sola vez,</w:t>
      </w:r>
      <w:r w:rsidR="0003734A" w:rsidRPr="005304B4">
        <w:t xml:space="preserve"> cuál de </w:t>
      </w:r>
      <w:r w:rsidRPr="005304B4">
        <w:t>ellos</w:t>
      </w:r>
      <w:r w:rsidR="0003734A" w:rsidRPr="005304B4">
        <w:t xml:space="preserve"> accederá a cada una de las licencias parentales mencionadas</w:t>
      </w:r>
      <w:r w:rsidR="0069179A" w:rsidRPr="005304B4">
        <w:t>. A la luz de lo anterior,</w:t>
      </w:r>
      <w:r w:rsidR="00D37720" w:rsidRPr="005304B4">
        <w:t xml:space="preserve"> negar dicha posibilidad a las parejas heteroparentales que adoptan no persigue una finalidad permisible al amparo de la Constitución, ni mucho menos ordenada por esta, puesto que no existe una explicación razon</w:t>
      </w:r>
      <w:r w:rsidRPr="005304B4">
        <w:t>able</w:t>
      </w:r>
      <w:r w:rsidR="00D37720" w:rsidRPr="005304B4">
        <w:t xml:space="preserve"> sobre por qué, en este caso, sería</w:t>
      </w:r>
      <w:r w:rsidR="0003734A" w:rsidRPr="005304B4">
        <w:t xml:space="preserve"> </w:t>
      </w:r>
      <w:r w:rsidRPr="005304B4">
        <w:t>razonable</w:t>
      </w:r>
      <w:r w:rsidR="0003734A" w:rsidRPr="005304B4">
        <w:t xml:space="preserve"> acudir a criterios sospechosos de discriminación</w:t>
      </w:r>
      <w:r w:rsidR="00D37720" w:rsidRPr="005304B4">
        <w:t xml:space="preserve">, como el </w:t>
      </w:r>
      <w:r w:rsidRPr="005304B4">
        <w:t>género</w:t>
      </w:r>
      <w:r w:rsidR="00D37720" w:rsidRPr="005304B4">
        <w:t xml:space="preserve"> o la orientación sexual</w:t>
      </w:r>
      <w:r w:rsidRPr="005304B4">
        <w:t xml:space="preserve"> de quienes integran la pareja</w:t>
      </w:r>
      <w:r w:rsidR="00D37720" w:rsidRPr="005304B4">
        <w:t>,</w:t>
      </w:r>
      <w:r w:rsidR="0003734A" w:rsidRPr="005304B4">
        <w:t xml:space="preserve"> para </w:t>
      </w:r>
      <w:r w:rsidR="00D37720" w:rsidRPr="005304B4">
        <w:t xml:space="preserve">efectos de determinar si </w:t>
      </w:r>
      <w:r w:rsidRPr="005304B4">
        <w:t>sus miembros</w:t>
      </w:r>
      <w:r w:rsidR="00D37720" w:rsidRPr="005304B4">
        <w:t xml:space="preserve"> puede no elegir cuál de </w:t>
      </w:r>
      <w:r w:rsidRPr="005304B4">
        <w:t>ellos</w:t>
      </w:r>
      <w:r w:rsidR="00D37720" w:rsidRPr="005304B4">
        <w:t xml:space="preserve"> accederá a una determinada licencia parental.</w:t>
      </w:r>
    </w:p>
    <w:p w14:paraId="3CD58B65" w14:textId="77777777" w:rsidR="0003734A" w:rsidRPr="005304B4" w:rsidRDefault="0003734A" w:rsidP="0003734A">
      <w:pPr>
        <w:pStyle w:val="Prrafodelista"/>
        <w:tabs>
          <w:tab w:val="left" w:pos="284"/>
          <w:tab w:val="left" w:pos="426"/>
        </w:tabs>
        <w:ind w:left="0"/>
      </w:pPr>
    </w:p>
    <w:p w14:paraId="69ED6335" w14:textId="4B95C56E" w:rsidR="0003734A" w:rsidRPr="005304B4" w:rsidRDefault="0003734A" w:rsidP="00AD04FB">
      <w:pPr>
        <w:pStyle w:val="Prrafodelista"/>
        <w:numPr>
          <w:ilvl w:val="0"/>
          <w:numId w:val="40"/>
        </w:numPr>
        <w:tabs>
          <w:tab w:val="left" w:pos="284"/>
          <w:tab w:val="left" w:pos="426"/>
        </w:tabs>
        <w:ind w:left="0" w:firstLine="0"/>
      </w:pPr>
      <w:r w:rsidRPr="005304B4">
        <w:t xml:space="preserve">Toda vez que la Sala no </w:t>
      </w:r>
      <w:r w:rsidR="003D162E" w:rsidRPr="005304B4">
        <w:t>identifica</w:t>
      </w:r>
      <w:r w:rsidR="00C244A8" w:rsidRPr="005304B4">
        <w:t xml:space="preserve"> una</w:t>
      </w:r>
      <w:r w:rsidRPr="005304B4">
        <w:t xml:space="preserve"> finalidad legítima, ni mucho menos </w:t>
      </w:r>
      <w:r w:rsidR="00F87C8D" w:rsidRPr="005304B4">
        <w:t xml:space="preserve">importante e </w:t>
      </w:r>
      <w:r w:rsidRPr="005304B4">
        <w:t xml:space="preserve">imperiosa, para el trato diferencial </w:t>
      </w:r>
      <w:r w:rsidR="00C244A8" w:rsidRPr="005304B4">
        <w:t xml:space="preserve">que experimentan las parejas homo y heteroparentales adoptantes </w:t>
      </w:r>
      <w:r w:rsidRPr="005304B4">
        <w:t xml:space="preserve">en cuanto a la posibilidad de elegir cuál </w:t>
      </w:r>
      <w:r w:rsidR="00C244A8" w:rsidRPr="005304B4">
        <w:t xml:space="preserve">de sus </w:t>
      </w:r>
      <w:r w:rsidRPr="005304B4">
        <w:t>integrante</w:t>
      </w:r>
      <w:r w:rsidR="00C244A8" w:rsidRPr="005304B4">
        <w:t>s</w:t>
      </w:r>
      <w:r w:rsidRPr="005304B4">
        <w:t xml:space="preserve"> accederá a cada una de las licencias parentales, es posible concluir que la asimetría en el trato no logra superar esta etapa del test integrado de igualdad. </w:t>
      </w:r>
      <w:bookmarkStart w:id="48" w:name="_Hlk228870385"/>
      <w:r w:rsidRPr="005304B4">
        <w:t xml:space="preserve">Lo anterior, debería lugar a que no </w:t>
      </w:r>
      <w:r w:rsidR="00F87C8D" w:rsidRPr="005304B4">
        <w:t>se avance</w:t>
      </w:r>
      <w:r w:rsidRPr="005304B4">
        <w:t xml:space="preserve"> con los demás pasos del juicio que se adelanta. Sin embargo, con una finalidad </w:t>
      </w:r>
      <w:r w:rsidR="00F87C8D" w:rsidRPr="005304B4">
        <w:t xml:space="preserve">eminentemente </w:t>
      </w:r>
      <w:r w:rsidRPr="005304B4">
        <w:t>pedagógica, la Sala desarrollará las etapas restantes de</w:t>
      </w:r>
      <w:r w:rsidR="00C244A8" w:rsidRPr="005304B4">
        <w:t>l test.</w:t>
      </w:r>
    </w:p>
    <w:bookmarkEnd w:id="48"/>
    <w:p w14:paraId="68BFA396" w14:textId="77777777" w:rsidR="00AD04FB" w:rsidRPr="005304B4" w:rsidRDefault="00AD04FB" w:rsidP="00AD04FB">
      <w:pPr>
        <w:pStyle w:val="Prrafodelista"/>
        <w:tabs>
          <w:tab w:val="left" w:pos="284"/>
          <w:tab w:val="left" w:pos="426"/>
        </w:tabs>
        <w:ind w:left="0"/>
      </w:pPr>
    </w:p>
    <w:p w14:paraId="3F72991D" w14:textId="396752FC" w:rsidR="00C244A8" w:rsidRPr="005304B4" w:rsidRDefault="0069179A" w:rsidP="0069179A">
      <w:pPr>
        <w:pStyle w:val="Prrafodelista"/>
        <w:numPr>
          <w:ilvl w:val="0"/>
          <w:numId w:val="40"/>
        </w:numPr>
        <w:tabs>
          <w:tab w:val="left" w:pos="284"/>
          <w:tab w:val="left" w:pos="426"/>
        </w:tabs>
        <w:ind w:left="0" w:firstLine="0"/>
      </w:pPr>
      <w:r w:rsidRPr="005304B4">
        <w:rPr>
          <w:i/>
          <w:iCs/>
        </w:rPr>
        <w:t xml:space="preserve">La medida no es efectivamente conducente. </w:t>
      </w:r>
      <w:r w:rsidR="00C244A8" w:rsidRPr="005304B4">
        <w:t xml:space="preserve">Incluso si se </w:t>
      </w:r>
      <w:r w:rsidRPr="005304B4">
        <w:t xml:space="preserve">llegar a </w:t>
      </w:r>
      <w:r w:rsidR="00C244A8" w:rsidRPr="005304B4">
        <w:t>considerar</w:t>
      </w:r>
      <w:r w:rsidRPr="005304B4">
        <w:t xml:space="preserve"> </w:t>
      </w:r>
      <w:r w:rsidR="00C244A8" w:rsidRPr="005304B4">
        <w:t xml:space="preserve">que la medida bajo estudio persigue una finalidad constitucionalmente imperiosa, </w:t>
      </w:r>
      <w:r w:rsidRPr="005304B4">
        <w:t xml:space="preserve">el medio elegido no puede </w:t>
      </w:r>
      <w:r w:rsidR="00F87C8D" w:rsidRPr="005304B4">
        <w:t xml:space="preserve">tenerse por </w:t>
      </w:r>
      <w:r w:rsidRPr="005304B4">
        <w:rPr>
          <w:i/>
          <w:iCs/>
        </w:rPr>
        <w:t>efectivamente conducente</w:t>
      </w:r>
      <w:r w:rsidRPr="005304B4">
        <w:t xml:space="preserve"> para </w:t>
      </w:r>
      <w:r w:rsidR="00F87C8D" w:rsidRPr="005304B4">
        <w:t xml:space="preserve">lograr </w:t>
      </w:r>
      <w:r w:rsidRPr="005304B4">
        <w:t>la protección, cuidado y crianza de los niños, niñas y adolescentes adoptados</w:t>
      </w:r>
      <w:r w:rsidR="00F87C8D" w:rsidRPr="005304B4">
        <w:t xml:space="preserve"> y la igualdad de condiciones entre los miembros del hogar.</w:t>
      </w:r>
    </w:p>
    <w:p w14:paraId="15590C63" w14:textId="77777777" w:rsidR="00AD04FB" w:rsidRPr="005304B4" w:rsidRDefault="00AD04FB" w:rsidP="00AD04FB">
      <w:pPr>
        <w:pStyle w:val="Prrafodelista"/>
        <w:tabs>
          <w:tab w:val="left" w:pos="284"/>
          <w:tab w:val="left" w:pos="426"/>
        </w:tabs>
        <w:ind w:left="0"/>
      </w:pPr>
    </w:p>
    <w:p w14:paraId="143CE598" w14:textId="51E5CC63" w:rsidR="00AD04FB" w:rsidRPr="005304B4" w:rsidRDefault="00AD04FB" w:rsidP="00AD04FB">
      <w:pPr>
        <w:pStyle w:val="Prrafodelista"/>
        <w:numPr>
          <w:ilvl w:val="0"/>
          <w:numId w:val="40"/>
        </w:numPr>
        <w:tabs>
          <w:tab w:val="left" w:pos="284"/>
          <w:tab w:val="left" w:pos="426"/>
        </w:tabs>
        <w:ind w:left="0" w:firstLine="0"/>
      </w:pPr>
      <w:r w:rsidRPr="005304B4">
        <w:t>Para la Sala, los estereotipos de género prescriptivos</w:t>
      </w:r>
      <w:r w:rsidR="0069179A" w:rsidRPr="005304B4">
        <w:t>,</w:t>
      </w:r>
      <w:r w:rsidRPr="005304B4">
        <w:t xml:space="preserve"> </w:t>
      </w:r>
      <w:r w:rsidR="0069179A" w:rsidRPr="005304B4">
        <w:t>que constituyen la base del tratamiento diferencial dado a las parejas homo y heteroparentales adoptantes,</w:t>
      </w:r>
      <w:r w:rsidRPr="005304B4">
        <w:t xml:space="preserve"> no son neutrales, sino que son nocivos para la institución familiar, puesto que no solo facilitan y “naturalizan” la imposición principal del trabajo de cuidado a las mujeres, sino que también limitan la posibilidad de que los hombres se vinculen de manera más amplia con la crianza de sus hijos, a través de su presencia en el hogar durante los primeros días que siguen a “la entrega oficial del menor que se ha adoptado”</w:t>
      </w:r>
      <w:r w:rsidRPr="005304B4">
        <w:rPr>
          <w:rStyle w:val="Refdenotaalpie"/>
        </w:rPr>
        <w:footnoteReference w:id="218"/>
      </w:r>
      <w:r w:rsidRPr="005304B4">
        <w:t>.</w:t>
      </w:r>
    </w:p>
    <w:p w14:paraId="7F40B176" w14:textId="77777777" w:rsidR="00AD04FB" w:rsidRPr="005304B4" w:rsidRDefault="00AD04FB" w:rsidP="00AD04FB">
      <w:pPr>
        <w:pStyle w:val="Prrafodelista"/>
        <w:tabs>
          <w:tab w:val="left" w:pos="284"/>
          <w:tab w:val="left" w:pos="426"/>
        </w:tabs>
        <w:ind w:left="0"/>
      </w:pPr>
    </w:p>
    <w:p w14:paraId="6FE4F360" w14:textId="56235194" w:rsidR="00AD04FB" w:rsidRPr="005304B4" w:rsidRDefault="00AD04FB" w:rsidP="00AD04FB">
      <w:pPr>
        <w:pStyle w:val="Prrafodelista"/>
        <w:numPr>
          <w:ilvl w:val="0"/>
          <w:numId w:val="40"/>
        </w:numPr>
        <w:tabs>
          <w:tab w:val="left" w:pos="284"/>
          <w:tab w:val="left" w:pos="426"/>
        </w:tabs>
        <w:ind w:left="0" w:firstLine="0"/>
      </w:pPr>
      <w:r w:rsidRPr="005304B4">
        <w:t>Así las cosas, las expresiones objeto de control constitucional, leídas conjuntamente, no solo predisponen que</w:t>
      </w:r>
      <w:r w:rsidR="0012429A" w:rsidRPr="005304B4">
        <w:t>, en el caso de las parejas heteroparentales adoptantes,</w:t>
      </w:r>
      <w:r w:rsidRPr="005304B4">
        <w:t xml:space="preserve"> sean las mujeres quienes deban asumir de manera principal las obligaciones de cuidado de los hijos en el caso de la adopción, sino que limitan la posibilidad de que los hombres cuiden a sus hijos en condiciones de igualdad en estos mismos eventos. De tal suerte que, el principio de corresponsabilidad que debe orientar las labores de cuidado se rompa por imposición legal y en abierta contradicción con los mandatos constitucionales</w:t>
      </w:r>
      <w:r w:rsidRPr="005304B4">
        <w:rPr>
          <w:rStyle w:val="Refdenotaalpie"/>
        </w:rPr>
        <w:footnoteReference w:id="219"/>
      </w:r>
      <w:r w:rsidRPr="005304B4">
        <w:t>.</w:t>
      </w:r>
    </w:p>
    <w:p w14:paraId="3D599F4A" w14:textId="77777777" w:rsidR="00AD04FB" w:rsidRPr="005304B4" w:rsidRDefault="00AD04FB" w:rsidP="00AD04FB">
      <w:pPr>
        <w:pStyle w:val="Prrafodelista"/>
        <w:tabs>
          <w:tab w:val="left" w:pos="284"/>
          <w:tab w:val="left" w:pos="426"/>
        </w:tabs>
        <w:ind w:left="0"/>
      </w:pPr>
    </w:p>
    <w:p w14:paraId="3240A5A3" w14:textId="22F69952" w:rsidR="00AD04FB" w:rsidRPr="005304B4" w:rsidRDefault="003D162E" w:rsidP="00AD04FB">
      <w:pPr>
        <w:pStyle w:val="Prrafodelista"/>
        <w:numPr>
          <w:ilvl w:val="0"/>
          <w:numId w:val="40"/>
        </w:numPr>
        <w:tabs>
          <w:tab w:val="left" w:pos="284"/>
          <w:tab w:val="left" w:pos="426"/>
        </w:tabs>
        <w:ind w:left="0" w:firstLine="0"/>
      </w:pPr>
      <w:r w:rsidRPr="005304B4">
        <w:t>S</w:t>
      </w:r>
      <w:r w:rsidR="00AD04FB" w:rsidRPr="005304B4">
        <w:t>egún se mencionó, esta Corte ha advertido que el uso de estereotipos de género prescriptivos para la asignación de beneficios y cargas sociales se presume contrario a los mandatos constitucionales en materia de igualdad y no discriminación</w:t>
      </w:r>
      <w:r w:rsidR="00AD04FB" w:rsidRPr="005304B4">
        <w:rPr>
          <w:rStyle w:val="Refdenotaalpie"/>
        </w:rPr>
        <w:footnoteReference w:id="220"/>
      </w:r>
      <w:r w:rsidR="00AD04FB" w:rsidRPr="005304B4">
        <w:t xml:space="preserve">. </w:t>
      </w:r>
    </w:p>
    <w:p w14:paraId="751F2A30" w14:textId="77777777" w:rsidR="00AD04FB" w:rsidRPr="005304B4" w:rsidRDefault="00AD04FB" w:rsidP="00AD04FB">
      <w:pPr>
        <w:pStyle w:val="Prrafodelista"/>
        <w:tabs>
          <w:tab w:val="left" w:pos="284"/>
          <w:tab w:val="left" w:pos="426"/>
        </w:tabs>
        <w:ind w:left="0"/>
      </w:pPr>
    </w:p>
    <w:p w14:paraId="47A27AAF" w14:textId="77777777" w:rsidR="00AD04FB" w:rsidRPr="005304B4" w:rsidRDefault="00AD04FB" w:rsidP="00AD04FB">
      <w:pPr>
        <w:pStyle w:val="Prrafodelista"/>
        <w:numPr>
          <w:ilvl w:val="0"/>
          <w:numId w:val="40"/>
        </w:numPr>
        <w:tabs>
          <w:tab w:val="left" w:pos="284"/>
          <w:tab w:val="left" w:pos="426"/>
        </w:tabs>
        <w:ind w:left="0" w:firstLine="0"/>
      </w:pPr>
      <w:r w:rsidRPr="005304B4">
        <w:t>Además, instrumentos internacionales vinculantes como la Convención para la Eliminación de todas las Formas de Discriminación contra la Mujer (CEDAW), la Convención de Belem do Pará y el Convenio 156 de la OIT, y no vinculantes como la Recomendación General n° 21 del Comité de la CEDAW y la Recomendación 165 de la OIT, han llamado la atención sobre las obligaciones internacionales del Estado en materia de transformación de imaginarios sociales y presentes en las leyes que perpetúan estereotipos de género, asociando las características biológicas o identitarias de las personas a ideas preconcebidas sobre cómo estos deben actuar, el tipo de roles sociales que pueden asumir y la manera en la que se han de distribuir beneficios y cargas sociales, incluyendo obligaciones de cuidado y responsabilidades familiares.</w:t>
      </w:r>
    </w:p>
    <w:p w14:paraId="244AC2BA" w14:textId="77777777" w:rsidR="00F87C8D" w:rsidRPr="005304B4" w:rsidRDefault="00F87C8D" w:rsidP="00F87C8D">
      <w:pPr>
        <w:pStyle w:val="Prrafodelista"/>
        <w:tabs>
          <w:tab w:val="left" w:pos="284"/>
          <w:tab w:val="left" w:pos="426"/>
        </w:tabs>
        <w:ind w:left="0"/>
      </w:pPr>
    </w:p>
    <w:p w14:paraId="6AA26AAA" w14:textId="2A486165" w:rsidR="00F87C8D" w:rsidRPr="005304B4" w:rsidRDefault="00F87C8D" w:rsidP="00F87C8D">
      <w:pPr>
        <w:pStyle w:val="Prrafodelista"/>
        <w:numPr>
          <w:ilvl w:val="0"/>
          <w:numId w:val="40"/>
        </w:numPr>
        <w:tabs>
          <w:tab w:val="left" w:pos="284"/>
          <w:tab w:val="left" w:pos="426"/>
        </w:tabs>
        <w:ind w:left="0" w:firstLine="0"/>
      </w:pPr>
      <w:r w:rsidRPr="005304B4">
        <w:t xml:space="preserve">De otro lado, la Sala resalta que la norma en cuestión </w:t>
      </w:r>
      <w:r w:rsidRPr="005304B4">
        <w:rPr>
          <w:lang w:val="es-ES"/>
        </w:rPr>
        <w:t>disminuye el rol que han de tener los padres adoptivos en las labores de cuidado de sus hijos y les impide tener una paternidad activa, presente y emocionalmente comprometida durante esta primera etapa de adaptación del niño, niña o adolescente a su nuevo núcleo familiar. Además, la norma no tiene en cuenta si es el padre adoptivo quien está en mejores condiciones para ejercer el cuidado del hijo en los primeros días de la adopción. </w:t>
      </w:r>
      <w:r w:rsidRPr="005304B4">
        <w:t> </w:t>
      </w:r>
      <w:r w:rsidRPr="005304B4">
        <w:rPr>
          <w:lang w:val="es-ES"/>
        </w:rPr>
        <w:t>Así, esta no solo impone una carga superior a la mujer en cuanto a la crianza y cuidado, sino que considera que el hombre no es sujeto apto para realizar estas labores, lo que permite evidenciar, también, la presencia de estereotipos de género prescriptivos y negativos en relación con el padre adoptivo.</w:t>
      </w:r>
    </w:p>
    <w:p w14:paraId="3F49602B" w14:textId="77777777" w:rsidR="00AD04FB" w:rsidRPr="005304B4" w:rsidRDefault="00AD04FB" w:rsidP="00AD04FB">
      <w:pPr>
        <w:pStyle w:val="Prrafodelista"/>
        <w:tabs>
          <w:tab w:val="left" w:pos="284"/>
          <w:tab w:val="left" w:pos="426"/>
        </w:tabs>
        <w:ind w:left="0"/>
      </w:pPr>
    </w:p>
    <w:p w14:paraId="7CFB2E3B" w14:textId="77777777" w:rsidR="00AD04FB" w:rsidRPr="005304B4" w:rsidRDefault="00AD04FB" w:rsidP="00AD04FB">
      <w:pPr>
        <w:pStyle w:val="Prrafodelista"/>
        <w:numPr>
          <w:ilvl w:val="0"/>
          <w:numId w:val="40"/>
        </w:numPr>
        <w:tabs>
          <w:tab w:val="left" w:pos="284"/>
          <w:tab w:val="left" w:pos="426"/>
        </w:tabs>
        <w:ind w:left="0" w:firstLine="0"/>
      </w:pPr>
      <w:r w:rsidRPr="005304B4">
        <w:t>Por demás, la Sala llama la atención sobre el hecho de que, la presencia de este tipo de estereotipos de género prescriptivos en la regulación de instituciones jurídicas como las licencias parentales no solo reproducen distribuciones inequitativas de las obligaciones familiares al interior del hogar, sino que también condicionan espacios de crianza y de formación para los hijos que interiorizan estos sesgos o preconceptos basados en el género. Así las cosas, estos estereotipos de género no solo pueden resultar nocivos para los miembros de la pareja adoptante, sino que también puede lesionar el interés superior de los niños, niñas y adolescentes adoptados, puesto que de entrada se les condiciona a vivir en un entorno familiar en el que la distribución de las labores de cuidado resulta inequitativa con base en el género.</w:t>
      </w:r>
    </w:p>
    <w:p w14:paraId="472C3E46" w14:textId="77777777" w:rsidR="0092797F" w:rsidRPr="005304B4" w:rsidRDefault="0092797F" w:rsidP="0092797F">
      <w:pPr>
        <w:tabs>
          <w:tab w:val="left" w:pos="284"/>
          <w:tab w:val="left" w:pos="426"/>
        </w:tabs>
      </w:pPr>
    </w:p>
    <w:p w14:paraId="4B297AC1" w14:textId="612D9900" w:rsidR="00AD04FB" w:rsidRPr="005304B4" w:rsidRDefault="0092797F" w:rsidP="0092797F">
      <w:pPr>
        <w:pStyle w:val="Prrafodelista"/>
        <w:numPr>
          <w:ilvl w:val="0"/>
          <w:numId w:val="40"/>
        </w:numPr>
        <w:tabs>
          <w:tab w:val="left" w:pos="284"/>
          <w:tab w:val="left" w:pos="426"/>
        </w:tabs>
        <w:ind w:left="0" w:firstLine="0"/>
      </w:pPr>
      <w:r w:rsidRPr="005304B4">
        <w:t>En la misma línea, la Sala encuentra que ningún medio que suponga una intromisión injustificada en la autodeterminación del núcleo familiar puede considerarse constitucionalmente admisible, incluso si pretende crear reglas claras para el acceso a las licencias parentales. La asignación automática de licencias parentales con base en criterios de género específicos en casos de adopción desconoce esa autonomía decisoria interna en un momento particularmente sensible –la integración del niño, niña o adolescente al hogar–, y obliga a la familia heteroparental adoptante a organizar su vida doméstica conforme a un modelo legal predeterminado, en lugar de  permitirle definir, según sus circunstancias, quién se encuentra en mejores condiciones para asumir el cuidado principal. Lo anterior, constituye una intromisión injustificada en la autonomía de la pareja heteroparental adoptante, desconociendo así su dignidad humana.</w:t>
      </w:r>
    </w:p>
    <w:p w14:paraId="77F2667E" w14:textId="77777777" w:rsidR="0092797F" w:rsidRPr="005304B4" w:rsidRDefault="0092797F" w:rsidP="0092797F">
      <w:pPr>
        <w:tabs>
          <w:tab w:val="left" w:pos="284"/>
          <w:tab w:val="left" w:pos="426"/>
        </w:tabs>
      </w:pPr>
    </w:p>
    <w:p w14:paraId="1157188E" w14:textId="3ED16E61" w:rsidR="00AD04FB" w:rsidRPr="005304B4" w:rsidRDefault="00AD04FB" w:rsidP="00F87C8D">
      <w:pPr>
        <w:pStyle w:val="Prrafodelista"/>
        <w:numPr>
          <w:ilvl w:val="0"/>
          <w:numId w:val="40"/>
        </w:numPr>
        <w:tabs>
          <w:tab w:val="left" w:pos="284"/>
          <w:tab w:val="left" w:pos="426"/>
        </w:tabs>
        <w:ind w:left="0" w:firstLine="0"/>
      </w:pPr>
      <w:r w:rsidRPr="005304B4">
        <w:t xml:space="preserve">Por lo anterior, la Sala encuentra que </w:t>
      </w:r>
      <w:r w:rsidR="0012429A" w:rsidRPr="005304B4">
        <w:t>el tratamiento diferencial otorgado a las parejas homo y heteroparentales adoptantes</w:t>
      </w:r>
      <w:r w:rsidRPr="005304B4">
        <w:t xml:space="preserve"> se fundamenta en estereotipos de género que pueden resultar dañinos para quienes adoptan, el niño, niña o adolescente adoptado; y para la institución familiar en su conjunto, razón por la cual el medio es manifiestamente </w:t>
      </w:r>
      <w:r w:rsidRPr="005304B4">
        <w:rPr>
          <w:i/>
          <w:iCs/>
        </w:rPr>
        <w:t>inconducente</w:t>
      </w:r>
      <w:r w:rsidRPr="005304B4">
        <w:t xml:space="preserve"> y, de hecho, resulta contrario </w:t>
      </w:r>
      <w:r w:rsidR="0012429A" w:rsidRPr="005304B4">
        <w:t>a la finalidad de garantizar la protección, cuidado y crianza de los niños, niñas y adolescentes adoptados</w:t>
      </w:r>
      <w:r w:rsidR="00F87C8D" w:rsidRPr="005304B4">
        <w:t xml:space="preserve"> y la igualdad de condiciones entre los miembros del hogar.</w:t>
      </w:r>
    </w:p>
    <w:p w14:paraId="5555BC47" w14:textId="77777777" w:rsidR="00AD04FB" w:rsidRPr="005304B4" w:rsidRDefault="00AD04FB" w:rsidP="00AD04FB">
      <w:pPr>
        <w:pStyle w:val="Prrafodelista"/>
        <w:tabs>
          <w:tab w:val="left" w:pos="284"/>
          <w:tab w:val="left" w:pos="426"/>
        </w:tabs>
        <w:ind w:left="0"/>
        <w:rPr>
          <w:i/>
          <w:iCs/>
        </w:rPr>
      </w:pPr>
    </w:p>
    <w:p w14:paraId="5524CE94" w14:textId="231973AB" w:rsidR="00AD04FB" w:rsidRPr="005304B4" w:rsidRDefault="0069179A" w:rsidP="00AD04FB">
      <w:pPr>
        <w:pStyle w:val="Prrafodelista"/>
        <w:numPr>
          <w:ilvl w:val="0"/>
          <w:numId w:val="40"/>
        </w:numPr>
        <w:tabs>
          <w:tab w:val="left" w:pos="284"/>
          <w:tab w:val="left" w:pos="426"/>
        </w:tabs>
        <w:ind w:left="0" w:firstLine="0"/>
      </w:pPr>
      <w:r w:rsidRPr="005304B4">
        <w:rPr>
          <w:i/>
          <w:iCs/>
        </w:rPr>
        <w:t>La medida es innecesaria.</w:t>
      </w:r>
      <w:r w:rsidRPr="005304B4">
        <w:t xml:space="preserve"> </w:t>
      </w:r>
      <w:bookmarkStart w:id="49" w:name="_Hlk228870462"/>
      <w:r w:rsidR="00AD04FB" w:rsidRPr="005304B4">
        <w:t xml:space="preserve">Por demás, incluso si el medio se considerara conducente, este carecería de toda </w:t>
      </w:r>
      <w:r w:rsidR="00AD04FB" w:rsidRPr="005304B4">
        <w:rPr>
          <w:i/>
          <w:iCs/>
        </w:rPr>
        <w:t>necesidad</w:t>
      </w:r>
      <w:r w:rsidR="00AD04FB" w:rsidRPr="005304B4">
        <w:t xml:space="preserve">, </w:t>
      </w:r>
      <w:bookmarkEnd w:id="49"/>
      <w:r w:rsidR="00AD04FB" w:rsidRPr="005304B4">
        <w:t xml:space="preserve">puesto que bastaría con establecer que los integrantes de la pareja heteroparental adoptante eligieran cuál de sus integrantes se encuentra en mejores condiciones para asumir el cuidado del niño, niña o adolescente adoptivo durante la primera etapa de integración al núcleo familiar para que se armonizaran los intereses constitucionales aparentemente en tensión: la protección del interés superior del adoptivo y </w:t>
      </w:r>
      <w:r w:rsidR="0012429A" w:rsidRPr="005304B4">
        <w:t>la igualdad entre los distintos tipos de pareja adoptante: homo y heteroparental.</w:t>
      </w:r>
    </w:p>
    <w:p w14:paraId="5FC69839" w14:textId="77777777" w:rsidR="0012429A" w:rsidRPr="005304B4" w:rsidRDefault="0012429A" w:rsidP="0012429A">
      <w:pPr>
        <w:pStyle w:val="Prrafodelista"/>
        <w:tabs>
          <w:tab w:val="left" w:pos="284"/>
          <w:tab w:val="left" w:pos="426"/>
        </w:tabs>
        <w:ind w:left="0"/>
      </w:pPr>
    </w:p>
    <w:p w14:paraId="759E4B86" w14:textId="64538B69" w:rsidR="0012429A" w:rsidRPr="005304B4" w:rsidRDefault="0012429A" w:rsidP="00AD04FB">
      <w:pPr>
        <w:pStyle w:val="Prrafodelista"/>
        <w:numPr>
          <w:ilvl w:val="0"/>
          <w:numId w:val="40"/>
        </w:numPr>
        <w:tabs>
          <w:tab w:val="left" w:pos="284"/>
          <w:tab w:val="left" w:pos="426"/>
        </w:tabs>
        <w:ind w:left="0" w:firstLine="0"/>
      </w:pPr>
      <w:r w:rsidRPr="005304B4">
        <w:t>Para la Sala, las parejas homo y heteroparentales adoptantes se encuentran en una situación similar, en cuanto a que no tienen lazos biológicos con el niño, niña o adolescente adoptivo y tienen los mismos deberes en materia de cuidado y crianza. En tal sentido, ambos tipos de pareja son corresponsables del bienestar, desarrollo y protección del hijo que se integra al hogar, por lo que no es necesario darles un tratamiento distinto para garantizar la prevalencia de los derechos del niño, niña o adolescente adoptado.</w:t>
      </w:r>
    </w:p>
    <w:p w14:paraId="0015D4FE" w14:textId="77777777" w:rsidR="00AD04FB" w:rsidRPr="005304B4" w:rsidRDefault="00AD04FB" w:rsidP="00AD04FB">
      <w:pPr>
        <w:pStyle w:val="Prrafodelista"/>
        <w:tabs>
          <w:tab w:val="left" w:pos="284"/>
          <w:tab w:val="left" w:pos="426"/>
        </w:tabs>
        <w:ind w:left="0"/>
      </w:pPr>
    </w:p>
    <w:p w14:paraId="6098C3DA" w14:textId="6905416A" w:rsidR="00AD04FB" w:rsidRPr="005304B4" w:rsidRDefault="0012429A" w:rsidP="00AD04FB">
      <w:pPr>
        <w:pStyle w:val="Prrafodelista"/>
        <w:numPr>
          <w:ilvl w:val="0"/>
          <w:numId w:val="40"/>
        </w:numPr>
        <w:tabs>
          <w:tab w:val="left" w:pos="284"/>
          <w:tab w:val="left" w:pos="426"/>
        </w:tabs>
        <w:ind w:left="0" w:firstLine="0"/>
      </w:pPr>
      <w:r w:rsidRPr="005304B4">
        <w:rPr>
          <w:i/>
          <w:iCs/>
        </w:rPr>
        <w:t>La medida es desproporcionada en sentido estricto</w:t>
      </w:r>
      <w:r w:rsidRPr="005304B4">
        <w:t>. Incluso si, en gracia de discusión</w:t>
      </w:r>
      <w:r w:rsidR="005F6BE8" w:rsidRPr="005304B4">
        <w:t>,</w:t>
      </w:r>
      <w:r w:rsidRPr="005304B4">
        <w:t xml:space="preserve"> se llegara a considerar que la medida de tratamiento diferencial bajo estudio supera las etapas antecedentes del test de igualdad, sería necesario concluir que esta no supera el análisis de proporcionalidad en sentido estricto, puesto que sacrifica de manera profunda la igualdad de trato entre ambos tipos de pareja, pese a que estas se encuentran en una situación similar, sin que con ello se satisfagan de mejor manera los derechos de los niños, niñas y adolescentes adoptivos, ni de la institución familiar.</w:t>
      </w:r>
    </w:p>
    <w:p w14:paraId="028BAC1D" w14:textId="77777777" w:rsidR="00F75BA6" w:rsidRPr="005304B4" w:rsidRDefault="00F75BA6" w:rsidP="00F75BA6">
      <w:pPr>
        <w:pStyle w:val="Prrafodelista"/>
        <w:tabs>
          <w:tab w:val="left" w:pos="284"/>
          <w:tab w:val="left" w:pos="426"/>
        </w:tabs>
        <w:ind w:left="0"/>
      </w:pPr>
    </w:p>
    <w:p w14:paraId="2F1C9BDA" w14:textId="329F2F3D" w:rsidR="00F75BA6" w:rsidRPr="005304B4" w:rsidRDefault="00F75BA6" w:rsidP="00AD04FB">
      <w:pPr>
        <w:pStyle w:val="Prrafodelista"/>
        <w:numPr>
          <w:ilvl w:val="0"/>
          <w:numId w:val="40"/>
        </w:numPr>
        <w:tabs>
          <w:tab w:val="left" w:pos="284"/>
          <w:tab w:val="left" w:pos="426"/>
        </w:tabs>
        <w:ind w:left="0" w:firstLine="0"/>
      </w:pPr>
      <w:r w:rsidRPr="005304B4">
        <w:t>Toda vez que la medida de tratamiento diferencial entre parejas homo y heteropareta</w:t>
      </w:r>
      <w:r w:rsidR="00604781" w:rsidRPr="005304B4">
        <w:t>les</w:t>
      </w:r>
      <w:r w:rsidRPr="005304B4">
        <w:t xml:space="preserve"> adoptantes, en cuanto a la posibilidad de elegir cuál de sus miembros accederá a cada una de las licencias</w:t>
      </w:r>
      <w:r w:rsidR="00604781" w:rsidRPr="005304B4">
        <w:t xml:space="preserve"> antes mencionadas</w:t>
      </w:r>
      <w:r w:rsidRPr="005304B4">
        <w:t>, no supera el test integrado de igualdad, esta resulta contraria al art. 13 de la Constitución Política.</w:t>
      </w:r>
    </w:p>
    <w:p w14:paraId="1BBEB87E" w14:textId="77777777" w:rsidR="00AD04FB" w:rsidRPr="005304B4" w:rsidRDefault="00AD04FB" w:rsidP="00AD04FB">
      <w:pPr>
        <w:tabs>
          <w:tab w:val="left" w:pos="284"/>
          <w:tab w:val="left" w:pos="426"/>
        </w:tabs>
      </w:pPr>
    </w:p>
    <w:p w14:paraId="6B6CA7FA" w14:textId="127E6157" w:rsidR="007F1A05" w:rsidRPr="005304B4" w:rsidRDefault="007F1A05" w:rsidP="007F1A05">
      <w:pPr>
        <w:pStyle w:val="Ttulo2"/>
      </w:pPr>
      <w:bookmarkStart w:id="50" w:name="_Toc224553763"/>
      <w:r w:rsidRPr="005304B4">
        <w:t>9. Remedio constitucional a adoptar</w:t>
      </w:r>
      <w:bookmarkEnd w:id="50"/>
    </w:p>
    <w:p w14:paraId="2CB5A65B" w14:textId="77777777" w:rsidR="007B0D13" w:rsidRPr="005304B4" w:rsidRDefault="007B0D13" w:rsidP="007B0D13">
      <w:pPr>
        <w:rPr>
          <w:sz w:val="28"/>
          <w:szCs w:val="28"/>
          <w:lang w:eastAsia="es-CO"/>
        </w:rPr>
      </w:pPr>
    </w:p>
    <w:p w14:paraId="44866752" w14:textId="110A084C" w:rsidR="00F75BA6" w:rsidRPr="005304B4" w:rsidRDefault="00F75BA6" w:rsidP="00F75BA6">
      <w:pPr>
        <w:pStyle w:val="Prrafodelista"/>
        <w:numPr>
          <w:ilvl w:val="0"/>
          <w:numId w:val="40"/>
        </w:numPr>
        <w:tabs>
          <w:tab w:val="left" w:pos="284"/>
          <w:tab w:val="left" w:pos="426"/>
        </w:tabs>
        <w:ind w:left="0" w:firstLine="0"/>
        <w:rPr>
          <w:lang w:val="es-ES_tradnl"/>
        </w:rPr>
      </w:pPr>
      <w:r w:rsidRPr="005304B4">
        <w:rPr>
          <w:lang w:val="es-ES_tradnl"/>
        </w:rPr>
        <w:t>La Sala procederá a tomar medidas para garantizar que, a futuro, en casos de adopción, las parejas adoptantes, con independencia del sexo, género u orientación sexual de sus integrantes, puedan elegir, en condiciones de igualdad, cuál de sus miembros habrá de acceder a cada una de las licencias parentales y en sus distintas modalidades de disfrute.</w:t>
      </w:r>
    </w:p>
    <w:p w14:paraId="7336A0C2" w14:textId="77777777" w:rsidR="00F75BA6" w:rsidRPr="005304B4" w:rsidRDefault="00F75BA6" w:rsidP="00F75BA6">
      <w:pPr>
        <w:pStyle w:val="Prrafodelista"/>
        <w:tabs>
          <w:tab w:val="left" w:pos="284"/>
          <w:tab w:val="left" w:pos="426"/>
        </w:tabs>
        <w:ind w:left="0"/>
        <w:rPr>
          <w:lang w:val="es-ES_tradnl"/>
        </w:rPr>
      </w:pPr>
    </w:p>
    <w:p w14:paraId="11C228DE" w14:textId="26FAF1E8" w:rsidR="00F75BA6" w:rsidRPr="005304B4" w:rsidRDefault="00F75BA6" w:rsidP="00F75BA6">
      <w:pPr>
        <w:pStyle w:val="Prrafodelista"/>
        <w:numPr>
          <w:ilvl w:val="0"/>
          <w:numId w:val="40"/>
        </w:numPr>
        <w:tabs>
          <w:tab w:val="left" w:pos="284"/>
          <w:tab w:val="left" w:pos="426"/>
        </w:tabs>
        <w:ind w:left="0" w:firstLine="0"/>
        <w:rPr>
          <w:lang w:val="es-ES_tradnl"/>
        </w:rPr>
      </w:pPr>
      <w:r w:rsidRPr="005304B4">
        <w:rPr>
          <w:lang w:val="es-ES_tradnl"/>
        </w:rPr>
        <w:t xml:space="preserve">Lo anterior, sin perjuicio de que se insista en que es deber del legislador dar pasos para la configuración de un régimen de licencias parentales que elimine las discriminaciones de género advertidas en esta y otras providencias, por la vía de avanzar progresivamente en la igualación del régimen de licencias parentales existente en el país, especialmente en cuanto a </w:t>
      </w:r>
      <w:r w:rsidR="00604781" w:rsidRPr="005304B4">
        <w:rPr>
          <w:lang w:val="es-ES_tradnl"/>
        </w:rPr>
        <w:t>su duración</w:t>
      </w:r>
      <w:r w:rsidRPr="005304B4">
        <w:rPr>
          <w:rStyle w:val="Refdenotaalpie"/>
          <w:lang w:val="es-ES_tradnl"/>
        </w:rPr>
        <w:footnoteReference w:id="221"/>
      </w:r>
      <w:r w:rsidRPr="005304B4">
        <w:rPr>
          <w:lang w:val="es-ES_tradnl"/>
        </w:rPr>
        <w:t>.</w:t>
      </w:r>
    </w:p>
    <w:p w14:paraId="45D95552" w14:textId="77777777" w:rsidR="00F75BA6" w:rsidRPr="005304B4" w:rsidRDefault="00F75BA6" w:rsidP="00F75BA6">
      <w:pPr>
        <w:pStyle w:val="Prrafodelista"/>
        <w:tabs>
          <w:tab w:val="left" w:pos="284"/>
          <w:tab w:val="left" w:pos="426"/>
        </w:tabs>
        <w:ind w:left="0"/>
        <w:rPr>
          <w:lang w:val="es-ES_tradnl"/>
        </w:rPr>
      </w:pPr>
    </w:p>
    <w:p w14:paraId="6F16913F" w14:textId="42800F57" w:rsidR="007B0D13" w:rsidRPr="005304B4" w:rsidRDefault="007B0D13" w:rsidP="00F75BA6">
      <w:pPr>
        <w:pStyle w:val="Prrafodelista"/>
        <w:numPr>
          <w:ilvl w:val="0"/>
          <w:numId w:val="40"/>
        </w:numPr>
        <w:tabs>
          <w:tab w:val="left" w:pos="284"/>
          <w:tab w:val="left" w:pos="426"/>
        </w:tabs>
        <w:ind w:left="0" w:firstLine="0"/>
        <w:rPr>
          <w:lang w:val="es-ES_tradnl"/>
        </w:rPr>
      </w:pPr>
      <w:r w:rsidRPr="005304B4">
        <w:rPr>
          <w:lang w:val="es-ES_tradnl"/>
        </w:rPr>
        <w:t xml:space="preserve">Según </w:t>
      </w:r>
      <w:r w:rsidR="00ED2698" w:rsidRPr="005304B4">
        <w:rPr>
          <w:lang w:val="es-ES_tradnl"/>
        </w:rPr>
        <w:t>se</w:t>
      </w:r>
      <w:r w:rsidRPr="005304B4">
        <w:rPr>
          <w:lang w:val="es-ES_tradnl"/>
        </w:rPr>
        <w:t xml:space="preserve"> expuso, las expresiones “la madre adoptante” y “el padre adoptante”</w:t>
      </w:r>
      <w:r w:rsidR="00770A87" w:rsidRPr="005304B4">
        <w:rPr>
          <w:rStyle w:val="Refdenotaalpie"/>
          <w:lang w:val="es-ES_tradnl"/>
        </w:rPr>
        <w:footnoteReference w:id="222"/>
      </w:r>
      <w:r w:rsidRPr="005304B4">
        <w:rPr>
          <w:lang w:val="es-ES_tradnl"/>
        </w:rPr>
        <w:t xml:space="preserve"> incorporadas en el numeral 4 y e</w:t>
      </w:r>
      <w:r w:rsidR="00AD5B01" w:rsidRPr="005304B4">
        <w:rPr>
          <w:lang w:val="es-ES_tradnl"/>
        </w:rPr>
        <w:t xml:space="preserve">l </w:t>
      </w:r>
      <w:r w:rsidRPr="005304B4">
        <w:rPr>
          <w:lang w:val="es-ES_tradnl"/>
        </w:rPr>
        <w:t>inciso segundo del parágrafo 2 del artículo 2 de la Ley 2114 de 2021 vulneran el principio de igualdad incorporado</w:t>
      </w:r>
      <w:r w:rsidR="00ED2698" w:rsidRPr="005304B4">
        <w:rPr>
          <w:lang w:val="es-ES_tradnl"/>
        </w:rPr>
        <w:t xml:space="preserve"> </w:t>
      </w:r>
      <w:r w:rsidRPr="005304B4">
        <w:rPr>
          <w:lang w:val="es-ES_tradnl"/>
        </w:rPr>
        <w:t>en el art. 13 de la Constitución Política.</w:t>
      </w:r>
    </w:p>
    <w:p w14:paraId="6235402B" w14:textId="77777777" w:rsidR="007B0D13" w:rsidRPr="005304B4" w:rsidRDefault="007B0D13" w:rsidP="007B0D13">
      <w:pPr>
        <w:pStyle w:val="Prrafodelista"/>
        <w:tabs>
          <w:tab w:val="left" w:pos="284"/>
          <w:tab w:val="left" w:pos="426"/>
        </w:tabs>
        <w:ind w:left="0"/>
        <w:rPr>
          <w:lang w:val="es-ES_tradnl"/>
        </w:rPr>
      </w:pPr>
    </w:p>
    <w:p w14:paraId="710946F2" w14:textId="739E6324" w:rsidR="007B0D13" w:rsidRPr="005304B4" w:rsidRDefault="007B0D13" w:rsidP="5280C1F6">
      <w:pPr>
        <w:pStyle w:val="Prrafodelista"/>
        <w:numPr>
          <w:ilvl w:val="0"/>
          <w:numId w:val="40"/>
        </w:numPr>
        <w:tabs>
          <w:tab w:val="left" w:pos="284"/>
          <w:tab w:val="left" w:pos="426"/>
        </w:tabs>
        <w:ind w:left="0" w:firstLine="0"/>
        <w:rPr>
          <w:lang w:val="es-ES"/>
        </w:rPr>
      </w:pPr>
      <w:r w:rsidRPr="005304B4">
        <w:rPr>
          <w:lang w:val="es-ES"/>
        </w:rPr>
        <w:t xml:space="preserve">En principio, al detectar este tipo de infracciones, </w:t>
      </w:r>
      <w:r w:rsidR="004C1AE3" w:rsidRPr="005304B4">
        <w:rPr>
          <w:lang w:val="es-ES"/>
        </w:rPr>
        <w:t xml:space="preserve">se debería proceder </w:t>
      </w:r>
      <w:r w:rsidR="00ED2698" w:rsidRPr="005304B4">
        <w:rPr>
          <w:lang w:val="es-ES"/>
        </w:rPr>
        <w:t xml:space="preserve">a la declaratoria de inexequibilidad de las expresiones que contravienen los mandatos constitucionales. Sin embargo, de proceder en tal sentido, ello no solo dejaría </w:t>
      </w:r>
      <w:r w:rsidR="004C1AE3" w:rsidRPr="005304B4">
        <w:rPr>
          <w:lang w:val="es-ES"/>
        </w:rPr>
        <w:t>a</w:t>
      </w:r>
      <w:r w:rsidR="00ED2698" w:rsidRPr="005304B4">
        <w:rPr>
          <w:lang w:val="es-ES"/>
        </w:rPr>
        <w:t xml:space="preserve"> los enunciados normativos en los cuales se insertan carentes de sentido, sino que tendría un efecto negativo en materia de acceso a las licencias parentales reguladas en dichas disposiciones</w:t>
      </w:r>
      <w:r w:rsidR="004C1AE3" w:rsidRPr="005304B4">
        <w:rPr>
          <w:lang w:val="es-ES"/>
        </w:rPr>
        <w:t xml:space="preserve"> en eventos de adopción</w:t>
      </w:r>
      <w:r w:rsidR="00ED2698" w:rsidRPr="005304B4">
        <w:rPr>
          <w:lang w:val="es-ES"/>
        </w:rPr>
        <w:t>.</w:t>
      </w:r>
      <w:r w:rsidR="0058619E" w:rsidRPr="005304B4">
        <w:rPr>
          <w:lang w:val="es-ES"/>
        </w:rPr>
        <w:t xml:space="preserve"> Adicionalmente, la Sala estima que, en este caso, el problema de inconstitucionalidad previamente advertido puede resolverse a través de una sentencia en la que se condicione el sentido de la disposición en unos términos que la hagan compatible con la Carta Política.</w:t>
      </w:r>
    </w:p>
    <w:p w14:paraId="4D2A1EEC" w14:textId="77777777" w:rsidR="0058619E" w:rsidRPr="005304B4" w:rsidRDefault="0058619E" w:rsidP="0058619E">
      <w:pPr>
        <w:pStyle w:val="Prrafodelista"/>
        <w:tabs>
          <w:tab w:val="left" w:pos="284"/>
          <w:tab w:val="left" w:pos="426"/>
        </w:tabs>
        <w:ind w:left="0"/>
        <w:rPr>
          <w:lang w:val="es-ES_tradnl"/>
        </w:rPr>
      </w:pPr>
    </w:p>
    <w:p w14:paraId="53A520E1" w14:textId="1E4E5D7B" w:rsidR="0058619E" w:rsidRPr="005304B4" w:rsidRDefault="0058619E" w:rsidP="007B0D13">
      <w:pPr>
        <w:pStyle w:val="Prrafodelista"/>
        <w:numPr>
          <w:ilvl w:val="0"/>
          <w:numId w:val="40"/>
        </w:numPr>
        <w:tabs>
          <w:tab w:val="left" w:pos="284"/>
          <w:tab w:val="left" w:pos="426"/>
        </w:tabs>
        <w:ind w:left="0" w:firstLine="0"/>
        <w:rPr>
          <w:lang w:val="es-ES_tradnl"/>
        </w:rPr>
      </w:pPr>
      <w:r w:rsidRPr="005304B4">
        <w:rPr>
          <w:lang w:val="es-ES_tradnl"/>
        </w:rPr>
        <w:t xml:space="preserve">Según se recordó en la Sentencia C-029 de 2021, </w:t>
      </w:r>
      <w:r w:rsidRPr="005304B4">
        <w:t xml:space="preserve">con base en los artículos 243 de la Constitución y 21 del Decreto 2067 de 1991, esta Corte ha afirmado desde sus orígenes que es competente para definir el alcance y los efectos de sus sentencias, con observancia de los mandatos constitucionales. Así, en múltiples ocasiones esta Corporación ha optado por las sentencias </w:t>
      </w:r>
      <w:r w:rsidRPr="005304B4">
        <w:rPr>
          <w:i/>
          <w:iCs/>
        </w:rPr>
        <w:t>interpretativas</w:t>
      </w:r>
      <w:r w:rsidRPr="005304B4">
        <w:t xml:space="preserve"> </w:t>
      </w:r>
      <w:r w:rsidRPr="005304B4">
        <w:rPr>
          <w:i/>
          <w:iCs/>
        </w:rPr>
        <w:t>o condicionadas</w:t>
      </w:r>
      <w:r w:rsidRPr="005304B4">
        <w:t xml:space="preserve"> como una posibilidad para modular sus decisiones con el fin de garantizar principios tan relevantes como el de la conservación del derecho</w:t>
      </w:r>
      <w:r w:rsidR="004C1AE3" w:rsidRPr="005304B4">
        <w:rPr>
          <w:rStyle w:val="Refdenotaalpie"/>
        </w:rPr>
        <w:footnoteReference w:id="223"/>
      </w:r>
      <w:r w:rsidRPr="005304B4">
        <w:t xml:space="preserve">. </w:t>
      </w:r>
    </w:p>
    <w:p w14:paraId="5BA5B7BE" w14:textId="77777777" w:rsidR="0058619E" w:rsidRPr="005304B4" w:rsidRDefault="0058619E" w:rsidP="0058619E">
      <w:pPr>
        <w:pStyle w:val="Prrafodelista"/>
        <w:tabs>
          <w:tab w:val="left" w:pos="284"/>
          <w:tab w:val="left" w:pos="426"/>
        </w:tabs>
        <w:ind w:left="0"/>
        <w:rPr>
          <w:lang w:val="es-ES_tradnl"/>
        </w:rPr>
      </w:pPr>
    </w:p>
    <w:p w14:paraId="4A3E446E" w14:textId="00EB3D92" w:rsidR="0058619E" w:rsidRPr="005304B4" w:rsidRDefault="0058619E" w:rsidP="007B0D13">
      <w:pPr>
        <w:pStyle w:val="Prrafodelista"/>
        <w:numPr>
          <w:ilvl w:val="0"/>
          <w:numId w:val="40"/>
        </w:numPr>
        <w:tabs>
          <w:tab w:val="left" w:pos="284"/>
          <w:tab w:val="left" w:pos="426"/>
        </w:tabs>
        <w:ind w:left="0" w:firstLine="0"/>
        <w:rPr>
          <w:lang w:val="es-ES_tradnl"/>
        </w:rPr>
      </w:pPr>
      <w:r w:rsidRPr="005304B4">
        <w:t>De tal suerte que la exequibilidad condicionada se configura cuando la Corte concluye que una norma: (i) debe entenderse en un sentido determinado para que resulte conforme con la Constitución, de modo que todas las demás lecturas resultan inexequibles; o (ii) puede interpretarse de una manera que es contraria a la Carta, por lo que debe excluirse esta posible lectura.</w:t>
      </w:r>
    </w:p>
    <w:p w14:paraId="439D9999" w14:textId="77777777" w:rsidR="0058619E" w:rsidRPr="005304B4" w:rsidRDefault="0058619E" w:rsidP="0058619E">
      <w:pPr>
        <w:pStyle w:val="Prrafodelista"/>
        <w:tabs>
          <w:tab w:val="left" w:pos="284"/>
          <w:tab w:val="left" w:pos="426"/>
        </w:tabs>
        <w:ind w:left="0"/>
        <w:rPr>
          <w:lang w:val="es-ES_tradnl"/>
        </w:rPr>
      </w:pPr>
    </w:p>
    <w:p w14:paraId="762EFF65" w14:textId="225D2386" w:rsidR="0058619E" w:rsidRPr="005304B4" w:rsidRDefault="0058619E" w:rsidP="007B0D13">
      <w:pPr>
        <w:pStyle w:val="Prrafodelista"/>
        <w:numPr>
          <w:ilvl w:val="0"/>
          <w:numId w:val="40"/>
        </w:numPr>
        <w:tabs>
          <w:tab w:val="left" w:pos="284"/>
          <w:tab w:val="left" w:pos="426"/>
        </w:tabs>
        <w:ind w:left="0" w:firstLine="0"/>
        <w:rPr>
          <w:lang w:val="es-ES_tradnl"/>
        </w:rPr>
      </w:pPr>
      <w:r w:rsidRPr="005304B4">
        <w:t xml:space="preserve">Pues bien, en este caso, la Sala estima que el remedio constitucional que procede consiste en </w:t>
      </w:r>
      <w:r w:rsidR="00010D07" w:rsidRPr="005304B4">
        <w:t>declarar condicionalmente exequibles</w:t>
      </w:r>
      <w:r w:rsidRPr="005304B4">
        <w:t xml:space="preserve"> las expresiones “la madre adoptante” y “el padre adoptante” contenidas en </w:t>
      </w:r>
      <w:r w:rsidRPr="005304B4">
        <w:rPr>
          <w:lang w:val="es-ES_tradnl"/>
        </w:rPr>
        <w:t>el numeral 4 y e</w:t>
      </w:r>
      <w:r w:rsidR="00AD5B01" w:rsidRPr="005304B4">
        <w:rPr>
          <w:lang w:val="es-ES_tradnl"/>
        </w:rPr>
        <w:t>l</w:t>
      </w:r>
      <w:r w:rsidRPr="005304B4">
        <w:rPr>
          <w:lang w:val="es-ES_tradnl"/>
        </w:rPr>
        <w:t xml:space="preserve"> inciso segundo del parágrafo 2 del artículo 2 de la Ley 2114 de 2021, </w:t>
      </w:r>
      <w:r w:rsidR="00604781" w:rsidRPr="005304B4">
        <w:rPr>
          <w:lang w:val="es-ES_tradnl"/>
        </w:rPr>
        <w:t>en el entendido de que la pareja adoptante, definirá de común acuerdo, por una sola vez, cuál de ellos, con independencia de su género, gozará de la licencia de maternidad y cuál de la licencia de paternidad.</w:t>
      </w:r>
    </w:p>
    <w:p w14:paraId="6098F7F5" w14:textId="77777777" w:rsidR="00922421" w:rsidRPr="005304B4" w:rsidRDefault="00922421" w:rsidP="00922421">
      <w:pPr>
        <w:pStyle w:val="Prrafodelista"/>
        <w:tabs>
          <w:tab w:val="left" w:pos="284"/>
          <w:tab w:val="left" w:pos="426"/>
        </w:tabs>
        <w:ind w:left="0"/>
        <w:rPr>
          <w:lang w:val="es-ES_tradnl"/>
        </w:rPr>
      </w:pPr>
    </w:p>
    <w:p w14:paraId="68AD8A3A" w14:textId="02CB188A" w:rsidR="00922421" w:rsidRPr="005304B4" w:rsidRDefault="00922421" w:rsidP="007B0D13">
      <w:pPr>
        <w:pStyle w:val="Prrafodelista"/>
        <w:numPr>
          <w:ilvl w:val="0"/>
          <w:numId w:val="40"/>
        </w:numPr>
        <w:tabs>
          <w:tab w:val="left" w:pos="284"/>
          <w:tab w:val="left" w:pos="426"/>
        </w:tabs>
        <w:ind w:left="0" w:firstLine="0"/>
        <w:rPr>
          <w:lang w:val="es-ES_tradnl"/>
        </w:rPr>
      </w:pPr>
      <w:r w:rsidRPr="005304B4">
        <w:t xml:space="preserve">Este condicionamiento se basa en aquel efectuado por esta misma Corte en la Sentencia </w:t>
      </w:r>
      <w:r w:rsidR="00CA4208" w:rsidRPr="005304B4">
        <w:t>C-415 de 2022</w:t>
      </w:r>
      <w:r w:rsidRPr="005304B4">
        <w:t xml:space="preserve"> y permite superar el desconocimiento del principio de igualdad mencionado. Adicionalmente, la estructura del condicionamiento garantiza no solo que las parejas heteroparentales ado</w:t>
      </w:r>
      <w:r w:rsidR="00010D07" w:rsidRPr="005304B4">
        <w:t>p</w:t>
      </w:r>
      <w:r w:rsidRPr="005304B4">
        <w:t xml:space="preserve">tantes puedan elegir </w:t>
      </w:r>
      <w:r w:rsidR="00010D07" w:rsidRPr="005304B4">
        <w:t xml:space="preserve">cuál de sus integrantes puede acceder a cada una de las licencias antes mencionadas, sino que también crea condiciones para que, de manera </w:t>
      </w:r>
      <w:r w:rsidR="004C1AE3" w:rsidRPr="005304B4">
        <w:t>amplia</w:t>
      </w:r>
      <w:r w:rsidR="00010D07" w:rsidRPr="005304B4">
        <w:t xml:space="preserve">, </w:t>
      </w:r>
      <w:r w:rsidR="00BC23F9" w:rsidRPr="005304B4">
        <w:t xml:space="preserve">la composición en términos de </w:t>
      </w:r>
      <w:r w:rsidR="00604781" w:rsidRPr="005304B4">
        <w:t>género</w:t>
      </w:r>
      <w:r w:rsidR="00BC23F9" w:rsidRPr="005304B4">
        <w:t xml:space="preserve"> </w:t>
      </w:r>
      <w:r w:rsidR="00604781" w:rsidRPr="005304B4">
        <w:t xml:space="preserve">de la pareja adoptante </w:t>
      </w:r>
      <w:r w:rsidR="00BC23F9" w:rsidRPr="005304B4">
        <w:t>o la orientación sexual de sus integrantes</w:t>
      </w:r>
      <w:r w:rsidR="00010D07" w:rsidRPr="005304B4">
        <w:t xml:space="preserve"> no resulte determinante para acceder a dichas prestaciones.</w:t>
      </w:r>
    </w:p>
    <w:p w14:paraId="758D5557" w14:textId="77777777" w:rsidR="00010D07" w:rsidRPr="005304B4" w:rsidRDefault="00010D07" w:rsidP="00010D07">
      <w:pPr>
        <w:pStyle w:val="Prrafodelista"/>
        <w:tabs>
          <w:tab w:val="left" w:pos="284"/>
          <w:tab w:val="left" w:pos="426"/>
        </w:tabs>
        <w:ind w:left="0"/>
        <w:rPr>
          <w:lang w:val="es-ES_tradnl"/>
        </w:rPr>
      </w:pPr>
    </w:p>
    <w:p w14:paraId="71C1CAE8" w14:textId="77777777" w:rsidR="00604781" w:rsidRPr="005304B4" w:rsidRDefault="00010D07" w:rsidP="00010D07">
      <w:pPr>
        <w:pStyle w:val="Prrafodelista"/>
        <w:numPr>
          <w:ilvl w:val="0"/>
          <w:numId w:val="40"/>
        </w:numPr>
        <w:tabs>
          <w:tab w:val="left" w:pos="284"/>
          <w:tab w:val="left" w:pos="426"/>
        </w:tabs>
        <w:ind w:left="0" w:firstLine="0"/>
      </w:pPr>
      <w:r w:rsidRPr="005304B4">
        <w:t xml:space="preserve">Según se explicó en la Sentencia </w:t>
      </w:r>
      <w:r w:rsidR="00CA4208" w:rsidRPr="005304B4">
        <w:t>C-415 de 2022</w:t>
      </w:r>
      <w:r w:rsidRPr="005304B4">
        <w:t xml:space="preserve">, </w:t>
      </w:r>
      <w:r w:rsidR="00BA4B8E" w:rsidRPr="005304B4">
        <w:t xml:space="preserve">que </w:t>
      </w:r>
      <w:r w:rsidRPr="005304B4">
        <w:t xml:space="preserve">la posibilidad de elección </w:t>
      </w:r>
      <w:r w:rsidR="00BA4B8E" w:rsidRPr="005304B4">
        <w:t xml:space="preserve">sea </w:t>
      </w:r>
      <w:r w:rsidRPr="005304B4">
        <w:t xml:space="preserve">por una sola vez evita discrepancias en el otorgamiento al sistema general de seguridad social y permite que, así como sucede en el evento en el que se notifica el reparto de las licencias parentales compartidas y flexibles, se deba informar, desde por lo menos un mes antes de la entrega del niño, niña o adolescente adoptado, quien disfrutará de cada licencia. </w:t>
      </w:r>
    </w:p>
    <w:p w14:paraId="2C98EC42" w14:textId="77777777" w:rsidR="00604781" w:rsidRPr="005304B4" w:rsidRDefault="00604781" w:rsidP="00604781">
      <w:pPr>
        <w:pStyle w:val="Prrafodelista"/>
        <w:tabs>
          <w:tab w:val="left" w:pos="284"/>
          <w:tab w:val="left" w:pos="426"/>
        </w:tabs>
        <w:ind w:left="0"/>
      </w:pPr>
    </w:p>
    <w:p w14:paraId="57C8784B" w14:textId="1891E6B6" w:rsidR="00BC23F9" w:rsidRPr="005304B4" w:rsidRDefault="00010D07" w:rsidP="00604781">
      <w:pPr>
        <w:pStyle w:val="Prrafodelista"/>
        <w:numPr>
          <w:ilvl w:val="0"/>
          <w:numId w:val="40"/>
        </w:numPr>
        <w:tabs>
          <w:tab w:val="left" w:pos="284"/>
          <w:tab w:val="left" w:pos="426"/>
        </w:tabs>
        <w:ind w:left="0" w:firstLine="0"/>
      </w:pPr>
      <w:r w:rsidRPr="005304B4">
        <w:t xml:space="preserve">Además, también </w:t>
      </w:r>
      <w:r w:rsidR="00604781" w:rsidRPr="005304B4">
        <w:t xml:space="preserve">se </w:t>
      </w:r>
      <w:r w:rsidRPr="005304B4">
        <w:t xml:space="preserve">señala de manera precisa que ello no obsta para que las parejas </w:t>
      </w:r>
      <w:r w:rsidR="00604781" w:rsidRPr="005304B4">
        <w:t xml:space="preserve">adoptantes </w:t>
      </w:r>
      <w:r w:rsidRPr="005304B4">
        <w:t>acudan a las modalidades de disfrute de las licencias parentales, en caso de encontrarlo conveniente.</w:t>
      </w:r>
      <w:r w:rsidR="00604781" w:rsidRPr="005304B4">
        <w:t xml:space="preserve"> En</w:t>
      </w:r>
      <w:r w:rsidR="00BC23F9" w:rsidRPr="005304B4">
        <w:t xml:space="preserve"> </w:t>
      </w:r>
      <w:r w:rsidR="00604781" w:rsidRPr="005304B4">
        <w:t>cuanto a esto</w:t>
      </w:r>
      <w:r w:rsidR="00BC23F9" w:rsidRPr="005304B4">
        <w:t xml:space="preserve">, la Sala precisa que, toda vez que las licencias compartida y flexible a tiempo parcial corresponden a modalidades de disfrute de las licencias parentales de maternidad y paternidad, las parejas de distinto sexo que adopten también podrán acceder a ellas, en igualdad de condiciones que las parejas del mismo sexo adoptantes. Lo anterior, en aplicación </w:t>
      </w:r>
      <w:r w:rsidR="00F43D4A" w:rsidRPr="005304B4">
        <w:t xml:space="preserve">directa </w:t>
      </w:r>
      <w:r w:rsidR="00BC23F9" w:rsidRPr="005304B4">
        <w:t>de los literales d) del parágrafo 4 y el inciso segundo del literal c) del parágrafo 5</w:t>
      </w:r>
      <w:r w:rsidR="00F43D4A" w:rsidRPr="005304B4">
        <w:t>, que contemplan la posibilidad de acceder a estas modalidades de licencia en casos de adopción.</w:t>
      </w:r>
    </w:p>
    <w:p w14:paraId="0D04B362" w14:textId="77777777" w:rsidR="00604781" w:rsidRPr="005304B4" w:rsidRDefault="00604781" w:rsidP="00010D07">
      <w:pPr>
        <w:pStyle w:val="Prrafodelista"/>
        <w:tabs>
          <w:tab w:val="left" w:pos="284"/>
          <w:tab w:val="left" w:pos="426"/>
        </w:tabs>
        <w:ind w:left="0"/>
        <w:rPr>
          <w:lang w:val="es-ES_tradnl"/>
        </w:rPr>
      </w:pPr>
    </w:p>
    <w:p w14:paraId="7139F508" w14:textId="0150B385" w:rsidR="00010D07" w:rsidRPr="005304B4" w:rsidRDefault="00010D07" w:rsidP="00010D07">
      <w:pPr>
        <w:pStyle w:val="Ttulo1"/>
        <w:jc w:val="left"/>
      </w:pPr>
      <w:bookmarkStart w:id="51" w:name="_Toc224553764"/>
      <w:r w:rsidRPr="005304B4">
        <w:t>VII. DECISIÓN</w:t>
      </w:r>
      <w:bookmarkEnd w:id="51"/>
    </w:p>
    <w:p w14:paraId="577A28F1" w14:textId="77777777" w:rsidR="00010D07" w:rsidRPr="005304B4" w:rsidRDefault="00010D07" w:rsidP="00010D07">
      <w:pPr>
        <w:pStyle w:val="Prrafodelista"/>
        <w:tabs>
          <w:tab w:val="left" w:pos="284"/>
          <w:tab w:val="left" w:pos="426"/>
        </w:tabs>
      </w:pPr>
      <w:r w:rsidRPr="005304B4">
        <w:rPr>
          <w:b/>
          <w:bCs/>
        </w:rPr>
        <w:t> </w:t>
      </w:r>
    </w:p>
    <w:p w14:paraId="04819B44" w14:textId="77777777" w:rsidR="00010D07" w:rsidRPr="005304B4" w:rsidRDefault="00010D07" w:rsidP="00010D07">
      <w:pPr>
        <w:tabs>
          <w:tab w:val="left" w:pos="284"/>
          <w:tab w:val="left" w:pos="426"/>
        </w:tabs>
        <w:jc w:val="both"/>
        <w:rPr>
          <w:sz w:val="28"/>
          <w:szCs w:val="28"/>
        </w:rPr>
      </w:pPr>
      <w:r w:rsidRPr="005304B4">
        <w:rPr>
          <w:sz w:val="28"/>
          <w:szCs w:val="28"/>
        </w:rPr>
        <w:t>En mérito de lo expuesto, la Sala Plena de la Corte Constitucional de la República de Colombia, administrando justicia en nombre del pueblo y por mandato de la Constitución,</w:t>
      </w:r>
    </w:p>
    <w:p w14:paraId="1924B4E3" w14:textId="77777777" w:rsidR="00010D07" w:rsidRPr="005304B4" w:rsidRDefault="00010D07" w:rsidP="00010D07">
      <w:pPr>
        <w:pStyle w:val="Prrafodelista"/>
        <w:tabs>
          <w:tab w:val="left" w:pos="284"/>
          <w:tab w:val="left" w:pos="426"/>
        </w:tabs>
        <w:ind w:left="0"/>
      </w:pPr>
    </w:p>
    <w:p w14:paraId="4EBED905" w14:textId="39BF024C" w:rsidR="007F1A05" w:rsidRPr="005304B4" w:rsidRDefault="007F1A05" w:rsidP="00010D07">
      <w:pPr>
        <w:jc w:val="center"/>
        <w:rPr>
          <w:b/>
          <w:bCs/>
          <w:sz w:val="28"/>
          <w:szCs w:val="28"/>
        </w:rPr>
      </w:pPr>
      <w:r w:rsidRPr="005304B4">
        <w:rPr>
          <w:b/>
          <w:bCs/>
          <w:sz w:val="28"/>
          <w:szCs w:val="28"/>
        </w:rPr>
        <w:t>RESUELVE</w:t>
      </w:r>
    </w:p>
    <w:p w14:paraId="52B08E70" w14:textId="1C681635" w:rsidR="006B04D2" w:rsidRPr="005304B4" w:rsidRDefault="006B04D2" w:rsidP="00625728">
      <w:pPr>
        <w:jc w:val="both"/>
        <w:rPr>
          <w:rFonts w:eastAsiaTheme="minorEastAsia"/>
          <w:color w:val="000000" w:themeColor="text1"/>
          <w:sz w:val="28"/>
          <w:szCs w:val="28"/>
          <w:lang w:eastAsia="es-ES_tradnl"/>
        </w:rPr>
      </w:pPr>
    </w:p>
    <w:bookmarkEnd w:id="0"/>
    <w:p w14:paraId="7E671CB4" w14:textId="77777777" w:rsidR="00F43D4A" w:rsidRPr="005304B4" w:rsidRDefault="00F43D4A" w:rsidP="00F43D4A">
      <w:pPr>
        <w:tabs>
          <w:tab w:val="left" w:pos="284"/>
        </w:tabs>
        <w:jc w:val="both"/>
        <w:rPr>
          <w:bCs/>
          <w:color w:val="000000" w:themeColor="text1"/>
          <w:sz w:val="28"/>
          <w:szCs w:val="28"/>
        </w:rPr>
      </w:pPr>
      <w:r w:rsidRPr="005304B4">
        <w:rPr>
          <w:b/>
          <w:color w:val="000000" w:themeColor="text1"/>
          <w:sz w:val="28"/>
          <w:szCs w:val="28"/>
        </w:rPr>
        <w:t>ÚNICO.</w:t>
      </w:r>
      <w:r w:rsidRPr="005304B4">
        <w:rPr>
          <w:bCs/>
          <w:color w:val="000000" w:themeColor="text1"/>
          <w:sz w:val="28"/>
          <w:szCs w:val="28"/>
        </w:rPr>
        <w:t xml:space="preserve"> Declarar </w:t>
      </w:r>
      <w:r w:rsidRPr="005304B4">
        <w:rPr>
          <w:b/>
          <w:color w:val="000000" w:themeColor="text1"/>
          <w:sz w:val="28"/>
          <w:szCs w:val="28"/>
        </w:rPr>
        <w:t>EXEQUIBLES</w:t>
      </w:r>
      <w:r w:rsidRPr="005304B4">
        <w:rPr>
          <w:bCs/>
          <w:color w:val="000000" w:themeColor="text1"/>
          <w:sz w:val="28"/>
          <w:szCs w:val="28"/>
        </w:rPr>
        <w:t xml:space="preserve"> las expresiones </w:t>
      </w:r>
      <w:bookmarkStart w:id="52" w:name="_Hlk228873603"/>
      <w:r w:rsidRPr="005304B4">
        <w:rPr>
          <w:bCs/>
          <w:color w:val="000000" w:themeColor="text1"/>
          <w:sz w:val="28"/>
          <w:szCs w:val="28"/>
        </w:rPr>
        <w:t xml:space="preserve">“la madre adoptante” y “el padre adoptante” contenidas en el numeral 4 y en inciso segundo del parágrafo 2 del artículo 2 de la Ley 2114 de 2021, respectivamente, </w:t>
      </w:r>
      <w:bookmarkEnd w:id="52"/>
      <w:r w:rsidRPr="005304B4">
        <w:rPr>
          <w:bCs/>
          <w:color w:val="000000" w:themeColor="text1"/>
          <w:sz w:val="28"/>
          <w:szCs w:val="28"/>
        </w:rPr>
        <w:t>en el entendido de que la pareja adoptante, definirá de común acuerdo, por una sola vez, cuál de ellos, con independencia de su género, gozará de la licencia de maternidad y cuál de la licencia de paternidad.</w:t>
      </w:r>
    </w:p>
    <w:p w14:paraId="1249E8EA" w14:textId="54AB7E74" w:rsidR="00010D07" w:rsidRPr="005304B4" w:rsidRDefault="00010D07" w:rsidP="004C1AE3">
      <w:pPr>
        <w:spacing w:line="280" w:lineRule="atLeast"/>
        <w:jc w:val="both"/>
        <w:rPr>
          <w:bCs/>
          <w:iCs/>
          <w:sz w:val="28"/>
          <w:szCs w:val="28"/>
          <w:lang w:eastAsia="es-ES"/>
        </w:rPr>
      </w:pPr>
    </w:p>
    <w:bookmarkEnd w:id="1"/>
    <w:p w14:paraId="4FBE2F98" w14:textId="6230EDC9" w:rsidR="007A77E1" w:rsidRPr="007A77E1" w:rsidRDefault="007A77E1" w:rsidP="007A77E1">
      <w:pPr>
        <w:widowControl w:val="0"/>
        <w:autoSpaceDE w:val="0"/>
        <w:autoSpaceDN w:val="0"/>
        <w:adjustRightInd w:val="0"/>
        <w:spacing w:line="280" w:lineRule="atLeast"/>
        <w:jc w:val="center"/>
        <w:rPr>
          <w:sz w:val="28"/>
          <w:szCs w:val="28"/>
          <w:lang w:eastAsia="es-ES"/>
        </w:rPr>
      </w:pPr>
      <w:r w:rsidRPr="007A77E1">
        <w:rPr>
          <w:sz w:val="28"/>
          <w:szCs w:val="28"/>
          <w:lang w:eastAsia="es-ES"/>
        </w:rPr>
        <w:t>PAOLA ANDREA MENESES MOSQUERA</w:t>
      </w:r>
    </w:p>
    <w:p w14:paraId="5B9D34EA" w14:textId="3903DD75"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Presidenta</w:t>
      </w:r>
    </w:p>
    <w:p w14:paraId="45CBD4D8" w14:textId="37B1303F"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NATALIA ÁNGEL CABO</w:t>
      </w:r>
    </w:p>
    <w:p w14:paraId="5582E1C9" w14:textId="191CBA35"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Magistrada</w:t>
      </w:r>
    </w:p>
    <w:p w14:paraId="0BC260BB" w14:textId="3B058EEC"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CARLOS CAMARGO ASSIS</w:t>
      </w:r>
    </w:p>
    <w:p w14:paraId="2A4A04C4" w14:textId="74A5974F"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Magistrado</w:t>
      </w:r>
    </w:p>
    <w:p w14:paraId="7C20DF2C" w14:textId="141E908D"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HECTOR ALFONSO CARVAJAL LONDOÑO</w:t>
      </w:r>
    </w:p>
    <w:p w14:paraId="31D62AB1" w14:textId="00309B1A"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Magistrado</w:t>
      </w:r>
    </w:p>
    <w:p w14:paraId="22DDFC93" w14:textId="392F5A36"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Ausente con permiso</w:t>
      </w:r>
    </w:p>
    <w:p w14:paraId="396CC7C5" w14:textId="1D389B33"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JUAN CARLOS CORTÉS GONZÁLEZ</w:t>
      </w:r>
    </w:p>
    <w:p w14:paraId="479C7DB3" w14:textId="598F0947"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Magistrado</w:t>
      </w:r>
    </w:p>
    <w:p w14:paraId="573EDAC9" w14:textId="215C429D"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LINA MARCELA ESCOBAR MARTÍNEZ</w:t>
      </w:r>
    </w:p>
    <w:p w14:paraId="10824006" w14:textId="6FDEDFCC"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Magistrada</w:t>
      </w:r>
    </w:p>
    <w:p w14:paraId="254D52B5" w14:textId="226AB210"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VLADIMIR FERNÁNDEZ ANDRADE</w:t>
      </w:r>
    </w:p>
    <w:p w14:paraId="12B53771" w14:textId="4D1C9AD4"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Magistrado</w:t>
      </w:r>
    </w:p>
    <w:p w14:paraId="41D54D7A" w14:textId="2F0A105F"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 xml:space="preserve">JORGE ENRIQUE IBÁÑEZ NAJAR </w:t>
      </w:r>
    </w:p>
    <w:p w14:paraId="2FA8D509" w14:textId="7B01936E"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Magistrado</w:t>
      </w:r>
    </w:p>
    <w:p w14:paraId="208D3603" w14:textId="645DC2FD"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MIGUEL POLO ROSERO</w:t>
      </w:r>
    </w:p>
    <w:p w14:paraId="32667554" w14:textId="1FAFEE36"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Magistrado</w:t>
      </w:r>
    </w:p>
    <w:p w14:paraId="3DBBA34C" w14:textId="627469E2"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ANDREA LILIANA ROMERO LOPEZ</w:t>
      </w:r>
    </w:p>
    <w:p w14:paraId="458B068F" w14:textId="01876921" w:rsidR="007A77E1" w:rsidRPr="007A77E1" w:rsidRDefault="007A77E1" w:rsidP="007A77E1">
      <w:pPr>
        <w:widowControl w:val="0"/>
        <w:autoSpaceDE w:val="0"/>
        <w:autoSpaceDN w:val="0"/>
        <w:adjustRightInd w:val="0"/>
        <w:spacing w:line="280" w:lineRule="atLeast"/>
        <w:jc w:val="center"/>
        <w:rPr>
          <w:color w:val="000000" w:themeColor="text1"/>
          <w:sz w:val="28"/>
          <w:szCs w:val="28"/>
        </w:rPr>
      </w:pPr>
      <w:r w:rsidRPr="007A77E1">
        <w:rPr>
          <w:color w:val="000000" w:themeColor="text1"/>
          <w:sz w:val="28"/>
          <w:szCs w:val="28"/>
        </w:rPr>
        <w:t>Secretaria General</w:t>
      </w:r>
    </w:p>
    <w:p w14:paraId="01418F96" w14:textId="42D8CDE9" w:rsidR="007A77E1" w:rsidRDefault="007A77E1" w:rsidP="00CD1D34">
      <w:pPr>
        <w:widowControl w:val="0"/>
        <w:autoSpaceDE w:val="0"/>
        <w:autoSpaceDN w:val="0"/>
        <w:adjustRightInd w:val="0"/>
        <w:spacing w:line="280" w:lineRule="atLeast"/>
        <w:jc w:val="both"/>
        <w:rPr>
          <w:color w:val="000000" w:themeColor="text1"/>
          <w:sz w:val="28"/>
          <w:szCs w:val="28"/>
        </w:rPr>
      </w:pPr>
    </w:p>
    <w:p w14:paraId="126042F5"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6EFB03A4"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5E80DCEA"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6CC354F5"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40D4C9EB"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0FD414DF"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2A6B02CF"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0A5F3631"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316464D1"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2B487121"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12BE208D"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54D66C11"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0D1D0854"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69D21165"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231B9538"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24AF63F8"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36BAC044"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67145372"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7A11D2EE" w14:textId="77777777" w:rsidR="007A77E1" w:rsidRDefault="007A77E1" w:rsidP="00CD1D34">
      <w:pPr>
        <w:widowControl w:val="0"/>
        <w:autoSpaceDE w:val="0"/>
        <w:autoSpaceDN w:val="0"/>
        <w:adjustRightInd w:val="0"/>
        <w:spacing w:line="280" w:lineRule="atLeast"/>
        <w:jc w:val="both"/>
        <w:rPr>
          <w:color w:val="000000" w:themeColor="text1"/>
          <w:sz w:val="28"/>
          <w:szCs w:val="28"/>
        </w:rPr>
      </w:pPr>
    </w:p>
    <w:p w14:paraId="66664AED" w14:textId="77777777" w:rsidR="007A77E1" w:rsidRPr="00D44E58" w:rsidRDefault="007A77E1" w:rsidP="00CD1D34">
      <w:pPr>
        <w:widowControl w:val="0"/>
        <w:autoSpaceDE w:val="0"/>
        <w:autoSpaceDN w:val="0"/>
        <w:adjustRightInd w:val="0"/>
        <w:spacing w:line="280" w:lineRule="atLeast"/>
        <w:jc w:val="both"/>
        <w:rPr>
          <w:color w:val="000000" w:themeColor="text1"/>
          <w:sz w:val="28"/>
          <w:szCs w:val="28"/>
        </w:rPr>
      </w:pPr>
    </w:p>
    <w:sectPr w:rsidR="007A77E1" w:rsidRPr="00D44E58" w:rsidSect="001225CB">
      <w:headerReference w:type="default" r:id="rId11"/>
      <w:footerReference w:type="default" r:id="rId12"/>
      <w:pgSz w:w="12242" w:h="18722"/>
      <w:pgMar w:top="851" w:right="1701" w:bottom="170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9ECC0" w14:textId="77777777" w:rsidR="00297F73" w:rsidRDefault="00297F73" w:rsidP="00796BE5">
      <w:r>
        <w:separator/>
      </w:r>
    </w:p>
  </w:endnote>
  <w:endnote w:type="continuationSeparator" w:id="0">
    <w:p w14:paraId="06F39B65" w14:textId="77777777" w:rsidR="00297F73" w:rsidRDefault="00297F73" w:rsidP="00796BE5">
      <w:r>
        <w:continuationSeparator/>
      </w:r>
    </w:p>
  </w:endnote>
  <w:endnote w:type="continuationNotice" w:id="1">
    <w:p w14:paraId="0C5F5500" w14:textId="77777777" w:rsidR="00297F73" w:rsidRDefault="00297F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137553272"/>
      <w:docPartObj>
        <w:docPartGallery w:val="Page Numbers (Bottom of Page)"/>
        <w:docPartUnique/>
      </w:docPartObj>
    </w:sdtPr>
    <w:sdtEndPr/>
    <w:sdtContent>
      <w:p w14:paraId="469D7365" w14:textId="249D7AA2" w:rsidR="00B25EBC" w:rsidRPr="00971C72" w:rsidRDefault="00B25EBC" w:rsidP="00971C72">
        <w:pPr>
          <w:pStyle w:val="Piedepgina"/>
          <w:jc w:val="right"/>
          <w:rPr>
            <w:sz w:val="20"/>
            <w:szCs w:val="20"/>
          </w:rPr>
        </w:pPr>
        <w:r w:rsidRPr="00971C72">
          <w:rPr>
            <w:sz w:val="20"/>
            <w:szCs w:val="20"/>
          </w:rPr>
          <w:fldChar w:fldCharType="begin"/>
        </w:r>
        <w:r w:rsidRPr="00971C72">
          <w:rPr>
            <w:sz w:val="20"/>
            <w:szCs w:val="20"/>
          </w:rPr>
          <w:instrText>PAGE   \* MERGEFORMAT</w:instrText>
        </w:r>
        <w:r w:rsidRPr="00971C72">
          <w:rPr>
            <w:sz w:val="20"/>
            <w:szCs w:val="20"/>
          </w:rPr>
          <w:fldChar w:fldCharType="separate"/>
        </w:r>
        <w:r w:rsidR="00B36870" w:rsidRPr="00B36870">
          <w:rPr>
            <w:noProof/>
            <w:sz w:val="20"/>
            <w:szCs w:val="20"/>
            <w:lang w:val="es-ES"/>
          </w:rPr>
          <w:t>8</w:t>
        </w:r>
        <w:r w:rsidRPr="00971C72">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C4F59" w14:textId="77777777" w:rsidR="00297F73" w:rsidRDefault="00297F73" w:rsidP="00796BE5">
      <w:r>
        <w:separator/>
      </w:r>
    </w:p>
  </w:footnote>
  <w:footnote w:type="continuationSeparator" w:id="0">
    <w:p w14:paraId="0C34C49D" w14:textId="77777777" w:rsidR="00297F73" w:rsidRDefault="00297F73" w:rsidP="00796BE5">
      <w:r>
        <w:continuationSeparator/>
      </w:r>
    </w:p>
  </w:footnote>
  <w:footnote w:type="continuationNotice" w:id="1">
    <w:p w14:paraId="1D2CF318" w14:textId="77777777" w:rsidR="00297F73" w:rsidRDefault="00297F73"/>
  </w:footnote>
  <w:footnote w:id="2">
    <w:p w14:paraId="30410597" w14:textId="6CB543A5" w:rsidR="000F0BB8" w:rsidRPr="00E070A2" w:rsidRDefault="000F0BB8" w:rsidP="00E070A2">
      <w:pPr>
        <w:pStyle w:val="Textonotapie"/>
        <w:contextualSpacing/>
        <w:rPr>
          <w:lang w:val="es-ES_tradnl"/>
        </w:rPr>
      </w:pPr>
      <w:r w:rsidRPr="00E070A2">
        <w:rPr>
          <w:rStyle w:val="Refdenotaalpie"/>
        </w:rPr>
        <w:footnoteRef/>
      </w:r>
      <w:r w:rsidRPr="00E070A2">
        <w:t xml:space="preserve"> La demanda de inconstitucionalidad es presentada por Andrés Ricardo González Toloza, Jorge Orlando Ardila Galvis, Juan David Vargas Martínez, Juan Fernando Camacho Ortiz, Lizeth Paola Cortina Candanoza, Yudy Tatiana Fuentes Agudelo, Carolina Montañez Uribe, Luisa Fernanda García Salazar, Carlos Andrés Peña Moreno, Hugo Armando Rodríguez Vera, María Alejandra Santos Barón, Angélica María Reyes Sánchez, Flor Manuelita Barrios Rodríguez, Álvaro Julián Prada Camacho, Diana Carolina Estévez Suárez y Anderson Rico Suárez. </w:t>
      </w:r>
      <w:r w:rsidR="0023456C" w:rsidRPr="00E070A2">
        <w:rPr>
          <w:rStyle w:val="normaltextrun"/>
          <w:color w:val="000000"/>
          <w:bdr w:val="none" w:sz="0" w:space="0" w:color="auto" w:frame="1"/>
        </w:rPr>
        <w:t>Los demandantes actúan como miembros del grupo de investigación CIPJURIS, de la Universidad Pontificia Bolivariana de Bucaramanga.</w:t>
      </w:r>
      <w:r w:rsidR="0023456C" w:rsidRPr="00E070A2">
        <w:t xml:space="preserve"> </w:t>
      </w:r>
      <w:r w:rsidR="00EC743F" w:rsidRPr="00E070A2">
        <w:t>Dentro del expediente reposan las copias de las cédulas de los actores</w:t>
      </w:r>
      <w:r w:rsidRPr="00E070A2">
        <w:t>.</w:t>
      </w:r>
      <w:r w:rsidR="004A036F" w:rsidRPr="00E070A2">
        <w:t xml:space="preserve"> Expediente, archivo</w:t>
      </w:r>
      <w:r w:rsidR="00EC743F" w:rsidRPr="00E070A2">
        <w:t>s</w:t>
      </w:r>
      <w:r w:rsidR="004A036F" w:rsidRPr="00E070A2">
        <w:t xml:space="preserve"> </w:t>
      </w:r>
      <w:r w:rsidR="004A036F" w:rsidRPr="00E070A2">
        <w:rPr>
          <w:color w:val="000000" w:themeColor="text1"/>
        </w:rPr>
        <w:t>digital</w:t>
      </w:r>
      <w:r w:rsidR="00EC743F" w:rsidRPr="00E070A2">
        <w:rPr>
          <w:color w:val="000000" w:themeColor="text1"/>
        </w:rPr>
        <w:t>es</w:t>
      </w:r>
      <w:r w:rsidR="004A036F" w:rsidRPr="00E070A2">
        <w:rPr>
          <w:color w:val="000000" w:themeColor="text1"/>
        </w:rPr>
        <w:t xml:space="preserve"> “</w:t>
      </w:r>
      <w:hyperlink r:id="rId1" w:tgtFrame="_blank" w:history="1">
        <w:r w:rsidR="004A036F" w:rsidRPr="00E070A2">
          <w:rPr>
            <w:rStyle w:val="Hipervnculo"/>
            <w:color w:val="000000" w:themeColor="text1"/>
            <w:u w:val="none"/>
            <w:bdr w:val="none" w:sz="0" w:space="0" w:color="auto" w:frame="1"/>
          </w:rPr>
          <w:t>D0016635. Demanda ciudadana</w:t>
        </w:r>
      </w:hyperlink>
      <w:r w:rsidR="004A036F" w:rsidRPr="00E070A2">
        <w:rPr>
          <w:color w:val="000000" w:themeColor="text1"/>
        </w:rPr>
        <w:t>”</w:t>
      </w:r>
      <w:r w:rsidR="00EC743F" w:rsidRPr="00E070A2">
        <w:rPr>
          <w:color w:val="000000" w:themeColor="text1"/>
        </w:rPr>
        <w:t>, “D0016635-Corrección a la Demanda-(2025-07-15 18-10-00).pdf” y “D0016635-Cédula-(2025-07-15 18-18-04).pdf”.</w:t>
      </w:r>
    </w:p>
  </w:footnote>
  <w:footnote w:id="3">
    <w:p w14:paraId="487F888D" w14:textId="74DFA9BA" w:rsidR="004A036F" w:rsidRPr="00E070A2" w:rsidRDefault="004A036F" w:rsidP="00E070A2">
      <w:pPr>
        <w:pStyle w:val="Textonotapie"/>
        <w:contextualSpacing/>
        <w:rPr>
          <w:lang w:val="es-ES_tradnl"/>
        </w:rPr>
      </w:pPr>
      <w:r w:rsidRPr="00E070A2">
        <w:rPr>
          <w:rStyle w:val="Refdenotaalpie"/>
        </w:rPr>
        <w:footnoteRef/>
      </w:r>
      <w:r w:rsidRPr="00E070A2">
        <w:t xml:space="preserve"> </w:t>
      </w:r>
      <w:r w:rsidRPr="00E070A2">
        <w:rPr>
          <w:lang w:val="es-ES_tradnl"/>
        </w:rPr>
        <w:t>La magistrada sustanciadora consideró que la demanda no cumplía con los requisitos de claridad, certeza, especificidad, pertinencia y suficiencia</w:t>
      </w:r>
      <w:r w:rsidR="00D93444" w:rsidRPr="00E070A2">
        <w:rPr>
          <w:lang w:val="es-ES_tradnl"/>
        </w:rPr>
        <w:t xml:space="preserve">. Además, advirtió que los demandantes incumplieron parcialmente el requisito de ciudadanía. </w:t>
      </w:r>
      <w:r w:rsidR="009141D2" w:rsidRPr="00E070A2">
        <w:rPr>
          <w:lang w:val="es-ES_tradnl"/>
        </w:rPr>
        <w:t xml:space="preserve">Expediente digital, archivo “Auto que Inadmite la demanda”. </w:t>
      </w:r>
    </w:p>
  </w:footnote>
  <w:footnote w:id="4">
    <w:p w14:paraId="34BBEC6D" w14:textId="791A4F32" w:rsidR="009141D2" w:rsidRPr="00E070A2" w:rsidRDefault="009141D2" w:rsidP="00E070A2">
      <w:pPr>
        <w:pStyle w:val="Textonotapie"/>
        <w:contextualSpacing/>
      </w:pPr>
      <w:r w:rsidRPr="00E070A2">
        <w:rPr>
          <w:rStyle w:val="Refdenotaalpie"/>
        </w:rPr>
        <w:footnoteRef/>
      </w:r>
      <w:r w:rsidRPr="00E070A2">
        <w:t xml:space="preserve"> Expediente digital, archivo “Auto que Admite la demanda”. </w:t>
      </w:r>
    </w:p>
  </w:footnote>
  <w:footnote w:id="5">
    <w:p w14:paraId="6C0A2ACF" w14:textId="37D2F0BA" w:rsidR="001A4E94" w:rsidRPr="00E070A2" w:rsidRDefault="001A4E94" w:rsidP="00E070A2">
      <w:pPr>
        <w:pStyle w:val="Textonotapie"/>
        <w:contextualSpacing/>
        <w:rPr>
          <w:lang w:val="es-ES_tradnl"/>
        </w:rPr>
      </w:pPr>
      <w:r w:rsidRPr="00E070A2">
        <w:rPr>
          <w:rStyle w:val="Refdenotaalpie"/>
        </w:rPr>
        <w:footnoteRef/>
      </w:r>
      <w:r w:rsidRPr="00E070A2">
        <w:t xml:space="preserve"> </w:t>
      </w:r>
      <w:r w:rsidR="00056F1A" w:rsidRPr="00E070A2">
        <w:t xml:space="preserve">Se invitó a rendir concepto a el Ministerio de la Igualdad y Equidad; Defensoría del Pueblo; Administradora de los Recursos del Sistema General de Seguridad Social en Salud (ADRES); Sisma Mujer; Corporación Humanas; ACEMI; Academia Colombiana de Jurisprudencia ; Dejusticia; Programa de Acción por la Igualdad y la Inclusión Social (PAIIS) de la Universidad de los Andes; al Grupo de Acciones Públicas (GAPI) de la Universidad ICESI; Centro de Derechos Reproductivos; Mesa Intersectorial de Economía del Cuidado; Temblores; Fedesarrollo; Facultad de Derecho, Ciencias Políticas y Sociales de la Universidad Nacional de Colombia; Facultad de Derecho y Ciencias Políticas de la Universidad de Antioquia; Facultad de Jurisprudencia de la Universidad del Rosario; Facultad de Derecho y Ciencias Políticas de la Universidad del Valle; Facultad de Estudios Jurídicos; Políticos e Internacionales de la Universidad de la Sabana; Escuela de Derecho de la Universidad EAFIT; Facultad de Derecho de la Universidad Externado de Colombia; y Escuela de Derecho y Ciencias Políticas de la Universidad Pontificia Bolivariana de Medellín. </w:t>
      </w:r>
    </w:p>
  </w:footnote>
  <w:footnote w:id="6">
    <w:p w14:paraId="6FCB5D48" w14:textId="30656CE2" w:rsidR="00F761B0" w:rsidRPr="00E070A2" w:rsidRDefault="00F761B0" w:rsidP="00E070A2">
      <w:pPr>
        <w:pStyle w:val="Textonotapie"/>
      </w:pPr>
      <w:r w:rsidRPr="00E070A2">
        <w:rPr>
          <w:rStyle w:val="Refdenotaalpie"/>
        </w:rPr>
        <w:footnoteRef/>
      </w:r>
      <w:r w:rsidRPr="00E070A2">
        <w:t xml:space="preserve"> L</w:t>
      </w:r>
      <w:r w:rsidR="009B6E23" w:rsidRPr="00E070A2">
        <w:t>os</w:t>
      </w:r>
      <w:r w:rsidRPr="00E070A2">
        <w:t xml:space="preserve"> argumentos de la demanda de inconstitucionalidad se sustenta</w:t>
      </w:r>
      <w:r w:rsidR="009B6E23" w:rsidRPr="00E070A2">
        <w:t>n</w:t>
      </w:r>
      <w:r w:rsidRPr="00E070A2">
        <w:t xml:space="preserve"> tanto en el escrito de demanda como</w:t>
      </w:r>
      <w:r w:rsidR="009B6E23" w:rsidRPr="00E070A2">
        <w:t xml:space="preserve"> en</w:t>
      </w:r>
      <w:r w:rsidRPr="00E070A2">
        <w:t xml:space="preserve"> el en escrito de corrección. Expediente, archivos </w:t>
      </w:r>
      <w:r w:rsidRPr="00E070A2">
        <w:rPr>
          <w:color w:val="000000" w:themeColor="text1"/>
        </w:rPr>
        <w:t>digitales “</w:t>
      </w:r>
      <w:hyperlink r:id="rId2" w:tgtFrame="_blank" w:history="1">
        <w:r w:rsidRPr="00E070A2">
          <w:rPr>
            <w:rStyle w:val="Hipervnculo"/>
            <w:color w:val="000000" w:themeColor="text1"/>
            <w:u w:val="none"/>
            <w:bdr w:val="none" w:sz="0" w:space="0" w:color="auto" w:frame="1"/>
          </w:rPr>
          <w:t>D0016635. Demanda ciudadana</w:t>
        </w:r>
      </w:hyperlink>
      <w:r w:rsidRPr="00E070A2">
        <w:rPr>
          <w:color w:val="000000" w:themeColor="text1"/>
        </w:rPr>
        <w:t xml:space="preserve">”, “D0016635-Corrección a la Demanda-(2025-07-15 18-10-00).pdf” y “corrección de la Demanda”. </w:t>
      </w:r>
    </w:p>
  </w:footnote>
  <w:footnote w:id="7">
    <w:p w14:paraId="14F4850D" w14:textId="2F73BCE8" w:rsidR="00547869" w:rsidRPr="00E070A2" w:rsidRDefault="00547869" w:rsidP="00E070A2">
      <w:pPr>
        <w:pStyle w:val="Textonotapie"/>
      </w:pPr>
      <w:r w:rsidRPr="00E070A2">
        <w:rPr>
          <w:rStyle w:val="Refdenotaalpie"/>
        </w:rPr>
        <w:footnoteRef/>
      </w:r>
      <w:r w:rsidRPr="00E070A2">
        <w:t xml:space="preserve"> De igual forma, señalaron que “en este caso resulta necesario complementarla con criterios sistemáticos y que permitan armonizar la norma con los principios constitucionales de igualdad, autonomía familiar y protección del interés superior del menor. // </w:t>
      </w:r>
      <w:r w:rsidR="0055630B" w:rsidRPr="00E070A2">
        <w:t xml:space="preserve">Dentro de este punto estratégicamente la norma fija su atención en el deber constitucional de prevalecer los artículos 13, articulo 42 y articulo 44 de la Constitución Política”. </w:t>
      </w:r>
    </w:p>
  </w:footnote>
  <w:footnote w:id="8">
    <w:p w14:paraId="0B075389" w14:textId="4D736A70" w:rsidR="00557EF0" w:rsidRPr="00E070A2" w:rsidRDefault="00557EF0" w:rsidP="00E070A2">
      <w:pPr>
        <w:pStyle w:val="Textonotapie"/>
        <w:contextualSpacing/>
      </w:pPr>
      <w:r w:rsidRPr="00E070A2">
        <w:rPr>
          <w:rStyle w:val="Refdenotaalpie"/>
        </w:rPr>
        <w:footnoteRef/>
      </w:r>
      <w:r w:rsidRPr="00E070A2">
        <w:t xml:space="preserve"> Para efectos de este proceso, se entiende por pareja </w:t>
      </w:r>
      <w:r w:rsidR="009D4BCE" w:rsidRPr="00E070A2">
        <w:t>heteroparental</w:t>
      </w:r>
      <w:r w:rsidRPr="00E070A2">
        <w:t xml:space="preserve"> adoptante a aquella compuesta por dos personas de distinto sexo que adelantan un proceso de adopción.</w:t>
      </w:r>
    </w:p>
  </w:footnote>
  <w:footnote w:id="9">
    <w:p w14:paraId="77CD77DD" w14:textId="21471BBB" w:rsidR="00E05A3A" w:rsidRPr="00E070A2" w:rsidRDefault="00E05A3A" w:rsidP="00E070A2">
      <w:pPr>
        <w:pStyle w:val="Textonotapie"/>
        <w:contextualSpacing/>
      </w:pPr>
      <w:r w:rsidRPr="00E070A2">
        <w:rPr>
          <w:rStyle w:val="Refdenotaalpie"/>
        </w:rPr>
        <w:footnoteRef/>
      </w:r>
      <w:r w:rsidRPr="00E070A2">
        <w:t xml:space="preserve"> Para efectos de este proceso, se entiende por pareja homoparental adoptante a aquella compuesta por dos personas del mismo sexo que adelanta un proceso de adopción.</w:t>
      </w:r>
    </w:p>
  </w:footnote>
  <w:footnote w:id="10">
    <w:p w14:paraId="43D797AE" w14:textId="4122C812" w:rsidR="00F761B0" w:rsidRPr="00E070A2" w:rsidRDefault="00F761B0" w:rsidP="00E070A2">
      <w:pPr>
        <w:pStyle w:val="Textonotapie"/>
      </w:pPr>
      <w:r w:rsidRPr="00E070A2">
        <w:rPr>
          <w:rStyle w:val="Refdenotaalpie"/>
        </w:rPr>
        <w:footnoteRef/>
      </w:r>
      <w:r w:rsidRPr="00E070A2">
        <w:t xml:space="preserve"> </w:t>
      </w:r>
      <w:r w:rsidR="00E070A2" w:rsidRPr="00E070A2">
        <w:t xml:space="preserve">Expediente, archivos </w:t>
      </w:r>
      <w:r w:rsidR="00E070A2" w:rsidRPr="00E070A2">
        <w:rPr>
          <w:color w:val="000000" w:themeColor="text1"/>
        </w:rPr>
        <w:t>digitales “</w:t>
      </w:r>
      <w:hyperlink r:id="rId3" w:tgtFrame="_blank" w:history="1">
        <w:r w:rsidR="00E070A2" w:rsidRPr="00E070A2">
          <w:rPr>
            <w:rStyle w:val="Hipervnculo"/>
            <w:color w:val="000000" w:themeColor="text1"/>
            <w:u w:val="none"/>
            <w:bdr w:val="none" w:sz="0" w:space="0" w:color="auto" w:frame="1"/>
          </w:rPr>
          <w:t>D0016635. Demanda ciudadana</w:t>
        </w:r>
      </w:hyperlink>
      <w:r w:rsidR="00E070A2" w:rsidRPr="00E070A2">
        <w:rPr>
          <w:color w:val="000000" w:themeColor="text1"/>
        </w:rPr>
        <w:t>”, “D0016635-Corrección a la Demanda-(2025-07-15 18-10-00).pdf” y “corrección de la Demanda”.</w:t>
      </w:r>
    </w:p>
  </w:footnote>
  <w:footnote w:id="11">
    <w:p w14:paraId="4859A1C5" w14:textId="69673FD6" w:rsidR="00A04820" w:rsidRPr="00E070A2" w:rsidRDefault="00A04820"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Al respecto, citaron la sentencia T-070 de 2015. </w:t>
      </w:r>
    </w:p>
  </w:footnote>
  <w:footnote w:id="12">
    <w:p w14:paraId="5D3BF65E" w14:textId="02012530" w:rsidR="00DA2DE2" w:rsidRPr="00E070A2" w:rsidRDefault="00DA2DE2"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Esto, según lo determinado por la Sentencia T-141 de 2015 y C-371 de 2000. </w:t>
      </w:r>
    </w:p>
  </w:footnote>
  <w:footnote w:id="13">
    <w:p w14:paraId="666B8F61" w14:textId="1B8024C5" w:rsidR="00513ABF" w:rsidRPr="00E070A2" w:rsidRDefault="00513ABF" w:rsidP="00E070A2">
      <w:pPr>
        <w:pStyle w:val="Textonotapie"/>
        <w:contextualSpacing/>
      </w:pPr>
      <w:r w:rsidRPr="00E070A2">
        <w:rPr>
          <w:rStyle w:val="Refdenotaalpie"/>
        </w:rPr>
        <w:footnoteRef/>
      </w:r>
      <w:r w:rsidRPr="00E070A2">
        <w:t xml:space="preserve"> Escritos remitidos por el Ministerio de la Igualdad y Equidad, el Ministerio de Salud y Protección Social, el ICBF, la Defensoría del Pueblo, PAIIS y la ONG temblores, la Universidad del Valle y la UPB-Medellín.</w:t>
      </w:r>
    </w:p>
  </w:footnote>
  <w:footnote w:id="14">
    <w:p w14:paraId="4C113069" w14:textId="63ECAAE6" w:rsidR="00513ABF" w:rsidRPr="00E070A2" w:rsidRDefault="00513ABF" w:rsidP="00E070A2">
      <w:pPr>
        <w:pStyle w:val="Textonotapie"/>
        <w:contextualSpacing/>
      </w:pPr>
      <w:r w:rsidRPr="00E070A2">
        <w:rPr>
          <w:rStyle w:val="Refdenotaalpie"/>
        </w:rPr>
        <w:footnoteRef/>
      </w:r>
      <w:r w:rsidRPr="00E070A2">
        <w:t xml:space="preserve"> Escritos remitidos por la Universidad Católica de Colombia y la Universidad Libre.</w:t>
      </w:r>
    </w:p>
  </w:footnote>
  <w:footnote w:id="15">
    <w:p w14:paraId="56B80116" w14:textId="172DFBB7" w:rsidR="001347D8" w:rsidRPr="00E070A2" w:rsidRDefault="001347D8" w:rsidP="00E070A2">
      <w:pPr>
        <w:pStyle w:val="Textonotapie"/>
        <w:contextualSpacing/>
        <w:rPr>
          <w:lang w:val="es-ES_tradnl"/>
        </w:rPr>
      </w:pPr>
      <w:r w:rsidRPr="00E070A2">
        <w:rPr>
          <w:rStyle w:val="Refdenotaalpie"/>
        </w:rPr>
        <w:footnoteRef/>
      </w:r>
      <w:r w:rsidRPr="00E070A2">
        <w:rPr>
          <w:lang w:val="es-ES_tradnl"/>
        </w:rPr>
        <w:t xml:space="preserve"> </w:t>
      </w:r>
      <w:r w:rsidR="00C849B1" w:rsidRPr="00E070A2">
        <w:rPr>
          <w:lang w:val="es-ES_tradnl"/>
        </w:rPr>
        <w:t xml:space="preserve">Efraín Alberto Becerra Gómez, en calidad de jefe de la Oficina Jurídica de </w:t>
      </w:r>
      <w:r w:rsidR="006541DC" w:rsidRPr="00E070A2">
        <w:rPr>
          <w:lang w:val="es-ES_tradnl"/>
        </w:rPr>
        <w:t>entidad, remitió</w:t>
      </w:r>
      <w:r w:rsidRPr="00E070A2">
        <w:rPr>
          <w:lang w:val="es-ES_tradnl"/>
        </w:rPr>
        <w:t xml:space="preserve"> </w:t>
      </w:r>
      <w:r w:rsidR="00CC0E95" w:rsidRPr="00E070A2">
        <w:rPr>
          <w:lang w:val="es-ES_tradnl"/>
        </w:rPr>
        <w:t>concepto técnico</w:t>
      </w:r>
      <w:r w:rsidRPr="00E070A2">
        <w:rPr>
          <w:lang w:val="es-ES_tradnl"/>
        </w:rPr>
        <w:t xml:space="preserve"> el 15 de agosto de 2025. Expediente digital, archivo “Intervención - Ministerio de la Igualdad y Equidad”. </w:t>
      </w:r>
    </w:p>
  </w:footnote>
  <w:footnote w:id="16">
    <w:p w14:paraId="58033D1E" w14:textId="16F7A5D7" w:rsidR="00235ECC" w:rsidRPr="00E070A2" w:rsidRDefault="00235ECC"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De igual forma, para el Ministerio, la norma demandada </w:t>
      </w:r>
      <w:r w:rsidRPr="00E070A2">
        <w:t xml:space="preserve">genera una disimilitud normativa dado que, mientras el Decreto 721 de 2020 avanzó en el reconocimiento del fuero paternal, “la Ley 2114 retrocede en reinstaurar una lógica binaria que asocia el cuidado exclusivamente con la mujer”. </w:t>
      </w:r>
    </w:p>
  </w:footnote>
  <w:footnote w:id="17">
    <w:p w14:paraId="4D881CBB" w14:textId="1C4ED961" w:rsidR="00D957BD" w:rsidRPr="00E070A2" w:rsidRDefault="00D957BD"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El Ministerio de Igualdad y Equidad consideró que, para conjurar el trato desigual, la norma demandada fuera interpretada de manera extensiva, en armonía con la Sentencia C-324 de 2023. Así, se permita que todas las personas adoptantes, sin distinción, pueda acceder a la licencia de maternidad en condiciones de igualdad. </w:t>
      </w:r>
    </w:p>
  </w:footnote>
  <w:footnote w:id="18">
    <w:p w14:paraId="25F92DEE" w14:textId="1AAD77FB" w:rsidR="00A3536D" w:rsidRPr="00E070A2" w:rsidRDefault="00A3536D" w:rsidP="00E070A2">
      <w:pPr>
        <w:pStyle w:val="NormalWeb"/>
        <w:contextualSpacing/>
        <w:rPr>
          <w:color w:val="000000" w:themeColor="text1"/>
          <w:sz w:val="20"/>
          <w:szCs w:val="20"/>
        </w:rPr>
      </w:pPr>
      <w:r w:rsidRPr="00E070A2">
        <w:rPr>
          <w:rStyle w:val="Refdenotaalpie"/>
          <w:color w:val="000000" w:themeColor="text1"/>
          <w:sz w:val="20"/>
          <w:szCs w:val="20"/>
        </w:rPr>
        <w:footnoteRef/>
      </w:r>
      <w:r w:rsidRPr="00E070A2">
        <w:rPr>
          <w:color w:val="000000" w:themeColor="text1"/>
          <w:sz w:val="20"/>
          <w:szCs w:val="20"/>
        </w:rPr>
        <w:t xml:space="preserve"> </w:t>
      </w:r>
      <w:r w:rsidR="00393F79" w:rsidRPr="00E070A2">
        <w:rPr>
          <w:color w:val="000000" w:themeColor="text1"/>
          <w:sz w:val="20"/>
          <w:szCs w:val="20"/>
        </w:rPr>
        <w:t>La intervención la presentaron las estudiantes Karen Daniela Gómez Gómez y Valentina Ballo Rodríguez</w:t>
      </w:r>
      <w:r w:rsidR="00053FB5" w:rsidRPr="00E070A2">
        <w:rPr>
          <w:color w:val="000000" w:themeColor="text1"/>
          <w:sz w:val="20"/>
          <w:szCs w:val="20"/>
        </w:rPr>
        <w:t>, integrantes del semillero de investigación,</w:t>
      </w:r>
      <w:r w:rsidR="00393F79" w:rsidRPr="00E070A2">
        <w:rPr>
          <w:color w:val="000000" w:themeColor="text1"/>
          <w:sz w:val="20"/>
          <w:szCs w:val="20"/>
        </w:rPr>
        <w:t xml:space="preserve"> el </w:t>
      </w:r>
      <w:r w:rsidRPr="00E070A2">
        <w:rPr>
          <w:color w:val="000000" w:themeColor="text1"/>
          <w:sz w:val="20"/>
          <w:szCs w:val="20"/>
          <w:lang w:val="es-ES_tradnl"/>
        </w:rPr>
        <w:t xml:space="preserve">15 de agosto de 2025. </w:t>
      </w:r>
      <w:r w:rsidR="008D7FA1" w:rsidRPr="00E070A2">
        <w:rPr>
          <w:color w:val="000000" w:themeColor="text1"/>
          <w:sz w:val="20"/>
          <w:szCs w:val="20"/>
          <w:lang w:val="es-ES_tradnl"/>
        </w:rPr>
        <w:t>Expediente digital, archivo “</w:t>
      </w:r>
      <w:hyperlink r:id="rId4" w:tgtFrame="blank" w:history="1">
        <w:r w:rsidR="008D7FA1" w:rsidRPr="00E070A2">
          <w:rPr>
            <w:color w:val="000000" w:themeColor="text1"/>
            <w:sz w:val="20"/>
            <w:szCs w:val="20"/>
          </w:rPr>
          <w:br/>
        </w:r>
        <w:r w:rsidR="008D7FA1" w:rsidRPr="00E070A2">
          <w:rPr>
            <w:rStyle w:val="Hipervnculo"/>
            <w:color w:val="000000" w:themeColor="text1"/>
            <w:sz w:val="20"/>
            <w:szCs w:val="20"/>
            <w:u w:val="none"/>
          </w:rPr>
          <w:t>Conceptos e Intervenciones</w:t>
        </w:r>
      </w:hyperlink>
      <w:r w:rsidR="008D7FA1" w:rsidRPr="00E070A2">
        <w:rPr>
          <w:color w:val="000000" w:themeColor="text1"/>
          <w:sz w:val="20"/>
          <w:szCs w:val="20"/>
        </w:rPr>
        <w:t>”.</w:t>
      </w:r>
    </w:p>
  </w:footnote>
  <w:footnote w:id="19">
    <w:p w14:paraId="08776F72" w14:textId="7123B170" w:rsidR="008D7FA1" w:rsidRPr="00E070A2" w:rsidRDefault="008D7FA1" w:rsidP="00E070A2">
      <w:pPr>
        <w:pStyle w:val="Textonotapie"/>
        <w:contextualSpacing/>
        <w:rPr>
          <w:lang w:val="es-ES_tradnl"/>
        </w:rPr>
      </w:pPr>
      <w:r w:rsidRPr="00E070A2">
        <w:rPr>
          <w:rStyle w:val="Refdenotaalpie"/>
        </w:rPr>
        <w:footnoteRef/>
      </w:r>
      <w:r w:rsidRPr="00E070A2">
        <w:t xml:space="preserve"> </w:t>
      </w:r>
      <w:r w:rsidRPr="00E070A2">
        <w:rPr>
          <w:lang w:val="es-ES_tradnl"/>
        </w:rPr>
        <w:t>El 19 de agosto de 2025, Enán Arrieta Burgos, Andrés Felipe Duque Pedraza, Ana Milena Montoya Mattos y Valeria Martínez Arcila, en calidad de “ciudadanos, profesores y estudiantes” de la Clínica, presentaron concepto técnico sobre la demanda de constitucionalidad.</w:t>
      </w:r>
      <w:r w:rsidR="00F10F8A" w:rsidRPr="00E070A2">
        <w:rPr>
          <w:lang w:val="es-ES_tradnl"/>
        </w:rPr>
        <w:t xml:space="preserve"> En el escrito, los intervinien</w:t>
      </w:r>
      <w:r w:rsidR="002B09DA" w:rsidRPr="00E070A2">
        <w:rPr>
          <w:lang w:val="es-ES_tradnl"/>
        </w:rPr>
        <w:t>tes precisaron que la intervención no reflejaba una “posición oficial” de la Universidad.</w:t>
      </w:r>
      <w:r w:rsidR="00D44E58" w:rsidRPr="00E070A2">
        <w:rPr>
          <w:lang w:val="es-ES_tradnl"/>
        </w:rPr>
        <w:t xml:space="preserve"> </w:t>
      </w:r>
      <w:r w:rsidRPr="00E070A2">
        <w:rPr>
          <w:lang w:val="es-ES_tradnl"/>
        </w:rPr>
        <w:t xml:space="preserve">Expediente digital, archivo “Concepto técnico - Universidad Pontificia Bolivariana”. </w:t>
      </w:r>
    </w:p>
  </w:footnote>
  <w:footnote w:id="20">
    <w:p w14:paraId="5155B7C0" w14:textId="1B783F34" w:rsidR="005871A0" w:rsidRPr="00E070A2" w:rsidRDefault="005871A0" w:rsidP="00E070A2">
      <w:pPr>
        <w:pStyle w:val="Textonotapie"/>
        <w:contextualSpacing/>
        <w:rPr>
          <w:lang w:val="es-ES_tradnl"/>
        </w:rPr>
      </w:pPr>
      <w:r w:rsidRPr="00E070A2">
        <w:rPr>
          <w:rStyle w:val="Refdenotaalpie"/>
        </w:rPr>
        <w:footnoteRef/>
      </w:r>
      <w:r w:rsidRPr="00E070A2">
        <w:t xml:space="preserve"> </w:t>
      </w:r>
      <w:r w:rsidR="00CC0E95" w:rsidRPr="00E070A2">
        <w:t>El concepto técnico</w:t>
      </w:r>
      <w:r w:rsidR="00D44E58" w:rsidRPr="00E070A2">
        <w:t xml:space="preserve"> </w:t>
      </w:r>
      <w:r w:rsidR="00415BA2" w:rsidRPr="00E070A2">
        <w:t>fue remitid</w:t>
      </w:r>
      <w:r w:rsidR="00CC0E95" w:rsidRPr="00E070A2">
        <w:t xml:space="preserve">o </w:t>
      </w:r>
      <w:r w:rsidR="00415BA2" w:rsidRPr="00E070A2">
        <w:t xml:space="preserve">por José Miguel Rueda Vásquez el 19 de agosto de 2025. </w:t>
      </w:r>
      <w:r w:rsidRPr="00E070A2">
        <w:rPr>
          <w:lang w:val="es-ES_tradnl"/>
        </w:rPr>
        <w:t>Expediente digital, archivo</w:t>
      </w:r>
      <w:r w:rsidRPr="00E070A2">
        <w:t xml:space="preserve"> “Solicitud”. </w:t>
      </w:r>
    </w:p>
  </w:footnote>
  <w:footnote w:id="21">
    <w:p w14:paraId="4AEA03D3" w14:textId="6C290A2B" w:rsidR="002E0106" w:rsidRPr="00E070A2" w:rsidRDefault="002E0106" w:rsidP="00E070A2">
      <w:pPr>
        <w:pStyle w:val="Textonotapie"/>
        <w:contextualSpacing/>
      </w:pPr>
      <w:r w:rsidRPr="00E070A2">
        <w:rPr>
          <w:rStyle w:val="Refdenotaalpie"/>
        </w:rPr>
        <w:footnoteRef/>
      </w:r>
      <w:r w:rsidRPr="00E070A2">
        <w:t xml:space="preserve"> Integrantes del consu</w:t>
      </w:r>
      <w:r w:rsidR="008D6967" w:rsidRPr="00E070A2">
        <w:t xml:space="preserve">ltorio jurídico y la de la ONG presentaron </w:t>
      </w:r>
      <w:r w:rsidR="002900CF" w:rsidRPr="00E070A2">
        <w:t>un concepto técnico</w:t>
      </w:r>
      <w:r w:rsidR="008D6967" w:rsidRPr="00E070A2">
        <w:t xml:space="preserve"> conjunt</w:t>
      </w:r>
      <w:r w:rsidR="002900CF" w:rsidRPr="00E070A2">
        <w:t>o</w:t>
      </w:r>
      <w:r w:rsidR="008D6967" w:rsidRPr="00E070A2">
        <w:t xml:space="preserve"> el 19 de agosto de 2025. </w:t>
      </w:r>
      <w:r w:rsidRPr="00E070A2">
        <w:t>Expediente digital, archivo “Intervención Universidad de los Andes - ONG Temblores PAII</w:t>
      </w:r>
      <w:r w:rsidR="00AE352D" w:rsidRPr="00E070A2">
        <w:t>S</w:t>
      </w:r>
      <w:r w:rsidRPr="00E070A2">
        <w:t>”</w:t>
      </w:r>
      <w:r w:rsidR="00AE352D" w:rsidRPr="00E070A2">
        <w:t>.</w:t>
      </w:r>
    </w:p>
  </w:footnote>
  <w:footnote w:id="22">
    <w:p w14:paraId="7E001D6A" w14:textId="6531052E" w:rsidR="001120AC" w:rsidRPr="00E070A2" w:rsidRDefault="001120AC" w:rsidP="00E070A2">
      <w:pPr>
        <w:pStyle w:val="Textonotapie"/>
        <w:contextualSpacing/>
        <w:rPr>
          <w:lang w:val="es-ES_tradnl"/>
        </w:rPr>
      </w:pPr>
      <w:r w:rsidRPr="00E070A2">
        <w:rPr>
          <w:rStyle w:val="Refdenotaalpie"/>
        </w:rPr>
        <w:footnoteRef/>
      </w:r>
      <w:r w:rsidRPr="00E070A2">
        <w:t xml:space="preserve"> </w:t>
      </w:r>
      <w:r w:rsidRPr="00E070A2">
        <w:rPr>
          <w:lang w:val="es-ES_tradnl"/>
        </w:rPr>
        <w:t>Expediente digital, archivo</w:t>
      </w:r>
      <w:r w:rsidRPr="00E070A2">
        <w:t xml:space="preserve"> “Intervención - Universidad Libre”. </w:t>
      </w:r>
      <w:r w:rsidR="00C849B1" w:rsidRPr="00E070A2">
        <w:t xml:space="preserve">La intervención fue firmada por Kenneth Burbano Villamarín, Ignacio Perdomo Gómez, Kimberly Guzmán Gómez, Michelle Andrea Nathalie Calderón Ortega, </w:t>
      </w:r>
      <w:r w:rsidR="00604781" w:rsidRPr="00E070A2">
        <w:t xml:space="preserve">María </w:t>
      </w:r>
      <w:r w:rsidR="00C849B1" w:rsidRPr="00E070A2">
        <w:t xml:space="preserve">José Morales Ochoa, Nicolle Daniela Suárez Ibagué, Laura Valentina Cubillos Avellaneda, María Paula Valencia Quiceno, María Paula Valencia Quiceno y David Santiago Bohórquez Saldarriaga. </w:t>
      </w:r>
    </w:p>
  </w:footnote>
  <w:footnote w:id="23">
    <w:p w14:paraId="628BE9F1" w14:textId="125F9AAD" w:rsidR="00EE1B8F" w:rsidRPr="00E070A2" w:rsidRDefault="00EE1B8F" w:rsidP="00E070A2">
      <w:pPr>
        <w:pStyle w:val="Textonotapie"/>
        <w:contextualSpacing/>
      </w:pPr>
      <w:r w:rsidRPr="00E070A2">
        <w:rPr>
          <w:rStyle w:val="Refdenotaalpie"/>
        </w:rPr>
        <w:footnoteRef/>
      </w:r>
      <w:r w:rsidRPr="00E070A2">
        <w:t xml:space="preserve"> Los observatorios citaron las sentencias C-005 de 2017, C-415 de 2022, C-517 de 2024, C-465 de 2024. </w:t>
      </w:r>
    </w:p>
  </w:footnote>
  <w:footnote w:id="24">
    <w:p w14:paraId="4902FA67" w14:textId="0B17A9E7" w:rsidR="000172C9" w:rsidRPr="00E070A2" w:rsidRDefault="000172C9" w:rsidP="00E070A2">
      <w:pPr>
        <w:pStyle w:val="Textonotapie"/>
        <w:contextualSpacing/>
        <w:rPr>
          <w:lang w:val="es-ES_tradnl"/>
        </w:rPr>
      </w:pPr>
      <w:r w:rsidRPr="00E070A2">
        <w:rPr>
          <w:rStyle w:val="Refdenotaalpie"/>
        </w:rPr>
        <w:footnoteRef/>
      </w:r>
      <w:r w:rsidR="00B71732" w:rsidRPr="00E070A2">
        <w:t xml:space="preserve">El 19 de agosto de 2025, Raquel Ceballos Molano, remitió </w:t>
      </w:r>
      <w:r w:rsidR="002900CF" w:rsidRPr="00E070A2">
        <w:t>el concepto técnico</w:t>
      </w:r>
      <w:r w:rsidR="00B71732" w:rsidRPr="00E070A2">
        <w:t xml:space="preserve">. </w:t>
      </w:r>
      <w:r w:rsidRPr="00E070A2">
        <w:rPr>
          <w:lang w:val="es-ES_tradnl"/>
        </w:rPr>
        <w:t>Expediente digital, archivo</w:t>
      </w:r>
      <w:r w:rsidRPr="00E070A2">
        <w:t xml:space="preserve"> “Facultad de Derecho y Ciencia Política de la Universidad del Valle”. </w:t>
      </w:r>
    </w:p>
  </w:footnote>
  <w:footnote w:id="25">
    <w:p w14:paraId="6CAD2BF8" w14:textId="77777777" w:rsidR="00762E81" w:rsidRPr="00E070A2" w:rsidRDefault="00762E81" w:rsidP="00E070A2">
      <w:pPr>
        <w:pStyle w:val="Textonotapie"/>
        <w:contextualSpacing/>
        <w:rPr>
          <w:lang w:val="es-ES_tradnl"/>
        </w:rPr>
      </w:pPr>
      <w:r w:rsidRPr="00E070A2">
        <w:rPr>
          <w:rStyle w:val="Refdenotaalpie"/>
        </w:rPr>
        <w:footnoteRef/>
      </w:r>
      <w:r w:rsidRPr="00E070A2">
        <w:t xml:space="preserve"> Jenny Maritza Campos Wilches remitió intervención el 19 de agosto de 2025. </w:t>
      </w:r>
      <w:r w:rsidRPr="00E070A2">
        <w:rPr>
          <w:lang w:val="es-ES_tradnl"/>
        </w:rPr>
        <w:t>Expediente digital, archivo</w:t>
      </w:r>
      <w:r w:rsidRPr="00E070A2">
        <w:t xml:space="preserve"> “Conceptos e Intervenciones”. </w:t>
      </w:r>
    </w:p>
  </w:footnote>
  <w:footnote w:id="26">
    <w:p w14:paraId="69027BCD" w14:textId="3A05A94F" w:rsidR="00F02873" w:rsidRPr="00E070A2" w:rsidRDefault="00F02873" w:rsidP="00E070A2">
      <w:pPr>
        <w:pStyle w:val="Textonotapie"/>
        <w:contextualSpacing/>
        <w:rPr>
          <w:lang w:val="es-ES_tradnl"/>
        </w:rPr>
      </w:pPr>
      <w:r w:rsidRPr="00E070A2">
        <w:rPr>
          <w:rStyle w:val="Refdenotaalpie"/>
        </w:rPr>
        <w:footnoteRef/>
      </w:r>
      <w:r w:rsidRPr="00E070A2">
        <w:t xml:space="preserve"> El 19 de agosto de 2025, Aquiles Ignacio Arrieta Gómez, en su calidad de defensor delegado para los asuntos constitucionales y legales, presentó concepto </w:t>
      </w:r>
      <w:r w:rsidR="002900CF" w:rsidRPr="00E070A2">
        <w:t xml:space="preserve">técnico </w:t>
      </w:r>
      <w:r w:rsidRPr="00E070A2">
        <w:t xml:space="preserve">sobre la norma demandada. </w:t>
      </w:r>
      <w:r w:rsidRPr="00E070A2">
        <w:rPr>
          <w:lang w:val="es-ES_tradnl"/>
        </w:rPr>
        <w:t xml:space="preserve">Expediente digital, archivo “Intervención - Defensoría del Pueblo”. </w:t>
      </w:r>
    </w:p>
  </w:footnote>
  <w:footnote w:id="27">
    <w:p w14:paraId="7B462880" w14:textId="6ACDEEDC" w:rsidR="002900CF" w:rsidRPr="00E070A2" w:rsidRDefault="002900CF" w:rsidP="00E070A2">
      <w:pPr>
        <w:pStyle w:val="Textonotapie"/>
        <w:contextualSpacing/>
      </w:pPr>
      <w:r w:rsidRPr="00E070A2">
        <w:rPr>
          <w:rStyle w:val="Refdenotaalpie"/>
        </w:rPr>
        <w:footnoteRef/>
      </w:r>
      <w:r w:rsidRPr="00E070A2">
        <w:t xml:space="preserve"> </w:t>
      </w:r>
      <w:r w:rsidRPr="00E070A2">
        <w:rPr>
          <w:lang w:val="es-ES_tradnl"/>
        </w:rPr>
        <w:t>Gregori</w:t>
      </w:r>
      <w:r w:rsidR="005F49B3" w:rsidRPr="00E070A2">
        <w:rPr>
          <w:lang w:val="es-ES_tradnl"/>
        </w:rPr>
        <w:t>o</w:t>
      </w:r>
      <w:r w:rsidRPr="00E070A2">
        <w:rPr>
          <w:lang w:val="es-ES_tradnl"/>
        </w:rPr>
        <w:t xml:space="preserve"> Eljach Pacheco remitió concepto sobre la norma demandada</w:t>
      </w:r>
      <w:r w:rsidR="000622B2" w:rsidRPr="00E070A2">
        <w:rPr>
          <w:lang w:val="es-ES_tradnl"/>
        </w:rPr>
        <w:t>. Expediente digital, archivo: “Concepto Procuraduría General de la Nación”</w:t>
      </w:r>
      <w:r w:rsidR="00AE352D" w:rsidRPr="00E070A2">
        <w:rPr>
          <w:lang w:val="es-ES_tradnl"/>
        </w:rPr>
        <w:t>.</w:t>
      </w:r>
    </w:p>
  </w:footnote>
  <w:footnote w:id="28">
    <w:p w14:paraId="44673D98" w14:textId="7780F6B5" w:rsidR="00700772" w:rsidRPr="00E070A2" w:rsidRDefault="00700772" w:rsidP="00E070A2">
      <w:pPr>
        <w:pStyle w:val="Textonotapie"/>
        <w:contextualSpacing/>
      </w:pPr>
      <w:r w:rsidRPr="00E070A2">
        <w:rPr>
          <w:rStyle w:val="Refdenotaalpie"/>
        </w:rPr>
        <w:footnoteRef/>
      </w:r>
      <w:r w:rsidRPr="00E070A2">
        <w:t xml:space="preserve"> </w:t>
      </w:r>
      <w:r w:rsidRPr="00E070A2">
        <w:rPr>
          <w:color w:val="000000" w:themeColor="text1"/>
        </w:rPr>
        <w:t>“</w:t>
      </w:r>
      <w:r w:rsidRPr="00E070A2">
        <w:t>Por medio de la cual se amplía la licencia de paternidad, se crea la licencia parental compartida, la licencia parental flexible de tiempo parcial, se modifica el artículo 236 y se adiciona el artículo 241A del Código Sustantivo del Trabajo, y se dictan otras disposiciones”.</w:t>
      </w:r>
    </w:p>
  </w:footnote>
  <w:footnote w:id="29">
    <w:p w14:paraId="0BC54117" w14:textId="77777777" w:rsidR="0020517C" w:rsidRPr="00E070A2" w:rsidRDefault="0020517C" w:rsidP="00E070A2">
      <w:pPr>
        <w:pStyle w:val="Textonotapie"/>
        <w:contextualSpacing/>
        <w:rPr>
          <w:lang w:val="pt-BR"/>
        </w:rPr>
      </w:pPr>
      <w:r w:rsidRPr="00E070A2">
        <w:rPr>
          <w:rStyle w:val="Refdenotaalpie"/>
        </w:rPr>
        <w:footnoteRef/>
      </w:r>
      <w:r w:rsidRPr="00E070A2">
        <w:rPr>
          <w:lang w:val="pt-BR"/>
        </w:rPr>
        <w:t xml:space="preserve"> Corte Constitucional, Sentencia C-415 de 2022. </w:t>
      </w:r>
    </w:p>
  </w:footnote>
  <w:footnote w:id="30">
    <w:p w14:paraId="295EC29C" w14:textId="77777777" w:rsidR="0020517C" w:rsidRPr="00E070A2" w:rsidRDefault="0020517C" w:rsidP="00E070A2">
      <w:pPr>
        <w:pStyle w:val="Textonotapie"/>
        <w:contextualSpacing/>
        <w:rPr>
          <w:lang w:val="pt-BR"/>
        </w:rPr>
      </w:pPr>
      <w:r w:rsidRPr="00E070A2">
        <w:rPr>
          <w:rStyle w:val="Refdenotaalpie"/>
        </w:rPr>
        <w:footnoteRef/>
      </w:r>
      <w:r w:rsidRPr="00E070A2">
        <w:rPr>
          <w:lang w:val="pt-BR"/>
        </w:rPr>
        <w:t xml:space="preserve"> Corte Constitucional, sentencia C-457 de 2020. </w:t>
      </w:r>
    </w:p>
  </w:footnote>
  <w:footnote w:id="31">
    <w:p w14:paraId="335C9771" w14:textId="77777777" w:rsidR="0020517C" w:rsidRPr="00E070A2" w:rsidRDefault="0020517C" w:rsidP="00E070A2">
      <w:pPr>
        <w:pStyle w:val="Textonotapie"/>
        <w:contextualSpacing/>
        <w:rPr>
          <w:lang w:val="pt-BR"/>
        </w:rPr>
      </w:pPr>
      <w:r w:rsidRPr="00E070A2">
        <w:rPr>
          <w:rStyle w:val="Refdenotaalpie"/>
        </w:rPr>
        <w:footnoteRef/>
      </w:r>
      <w:r w:rsidRPr="00E070A2">
        <w:rPr>
          <w:lang w:val="pt-BR"/>
        </w:rPr>
        <w:t xml:space="preserve"> Ibidem. </w:t>
      </w:r>
    </w:p>
  </w:footnote>
  <w:footnote w:id="32">
    <w:p w14:paraId="022A8972" w14:textId="77777777" w:rsidR="0020517C" w:rsidRPr="00E070A2" w:rsidRDefault="0020517C" w:rsidP="00E070A2">
      <w:pPr>
        <w:pStyle w:val="Textonotapie"/>
        <w:contextualSpacing/>
        <w:rPr>
          <w:lang w:val="pt-BR"/>
        </w:rPr>
      </w:pPr>
      <w:r w:rsidRPr="00E070A2">
        <w:rPr>
          <w:rStyle w:val="Refdenotaalpie"/>
        </w:rPr>
        <w:footnoteRef/>
      </w:r>
      <w:r w:rsidRPr="00E070A2">
        <w:rPr>
          <w:lang w:val="pt-BR"/>
        </w:rPr>
        <w:t xml:space="preserve"> Corte Constitucional, Sentencia C-037 de 2020. </w:t>
      </w:r>
    </w:p>
  </w:footnote>
  <w:footnote w:id="33">
    <w:p w14:paraId="30528B7D" w14:textId="643C66DC" w:rsidR="0020517C" w:rsidRPr="00E070A2" w:rsidRDefault="0020517C" w:rsidP="00E070A2">
      <w:pPr>
        <w:pStyle w:val="Prrafodelista"/>
        <w:tabs>
          <w:tab w:val="left" w:pos="284"/>
          <w:tab w:val="left" w:pos="426"/>
        </w:tabs>
        <w:ind w:left="0"/>
        <w:rPr>
          <w:color w:val="000000" w:themeColor="text1"/>
          <w:sz w:val="20"/>
          <w:szCs w:val="20"/>
        </w:rPr>
      </w:pPr>
      <w:r w:rsidRPr="00E070A2">
        <w:rPr>
          <w:rStyle w:val="Refdenotaalpie"/>
          <w:sz w:val="20"/>
          <w:szCs w:val="20"/>
        </w:rPr>
        <w:footnoteRef/>
      </w:r>
      <w:r w:rsidRPr="00E070A2">
        <w:rPr>
          <w:color w:val="2D2D2D"/>
          <w:sz w:val="20"/>
          <w:szCs w:val="20"/>
          <w:shd w:val="clear" w:color="auto" w:fill="FFFFFF"/>
        </w:rPr>
        <w:t xml:space="preserve"> Artículos 241 de la Constitución Política</w:t>
      </w:r>
      <w:r w:rsidR="00D44E58" w:rsidRPr="00E070A2">
        <w:rPr>
          <w:color w:val="2D2D2D"/>
          <w:sz w:val="20"/>
          <w:szCs w:val="20"/>
          <w:shd w:val="clear" w:color="auto" w:fill="FFFFFF"/>
        </w:rPr>
        <w:t xml:space="preserve"> </w:t>
      </w:r>
      <w:r w:rsidRPr="00E070A2">
        <w:rPr>
          <w:color w:val="2D2D2D"/>
          <w:sz w:val="20"/>
          <w:szCs w:val="20"/>
          <w:shd w:val="clear" w:color="auto" w:fill="FFFFFF"/>
        </w:rPr>
        <w:t xml:space="preserve">y 2 del Decreto 2067 de 1991. </w:t>
      </w:r>
    </w:p>
  </w:footnote>
  <w:footnote w:id="34">
    <w:p w14:paraId="69BE0E7A" w14:textId="77777777" w:rsidR="0020517C" w:rsidRPr="00E070A2" w:rsidRDefault="0020517C" w:rsidP="00E070A2">
      <w:pPr>
        <w:pStyle w:val="Textonotapie"/>
        <w:contextualSpacing/>
        <w:rPr>
          <w:lang w:val="es-ES_tradnl"/>
        </w:rPr>
      </w:pPr>
      <w:r w:rsidRPr="00E070A2">
        <w:rPr>
          <w:rStyle w:val="Refdenotaalpie"/>
        </w:rPr>
        <w:footnoteRef/>
      </w:r>
      <w:r w:rsidRPr="00E070A2">
        <w:t xml:space="preserve"> De acuerdo con las previsiones del artículo 2° del citado Decreto 2067 de 1991. </w:t>
      </w:r>
    </w:p>
  </w:footnote>
  <w:footnote w:id="35">
    <w:p w14:paraId="3D7B8657" w14:textId="3C4BA1F0" w:rsidR="00345107" w:rsidRPr="00E070A2" w:rsidRDefault="00345107" w:rsidP="00E070A2">
      <w:pPr>
        <w:pStyle w:val="Textonotapie"/>
      </w:pPr>
      <w:r w:rsidRPr="00E070A2">
        <w:rPr>
          <w:rStyle w:val="Refdenotaalpie"/>
        </w:rPr>
        <w:footnoteRef/>
      </w:r>
      <w:r w:rsidRPr="00E070A2">
        <w:t xml:space="preserve"> Corte Constitucional, sentencias C-268 de 2021, C-317 de 2022 y C-538 de 2023.</w:t>
      </w:r>
    </w:p>
  </w:footnote>
  <w:footnote w:id="36">
    <w:p w14:paraId="46345779" w14:textId="54720BFB" w:rsidR="00AB235F" w:rsidRPr="00E070A2" w:rsidRDefault="00AB235F" w:rsidP="00E070A2">
      <w:pPr>
        <w:pStyle w:val="Textonotapie"/>
        <w:contextualSpacing/>
      </w:pPr>
      <w:r w:rsidRPr="00E070A2">
        <w:rPr>
          <w:rStyle w:val="Refdenotaalpie"/>
        </w:rPr>
        <w:footnoteRef/>
      </w:r>
      <w:r w:rsidRPr="00E070A2">
        <w:t xml:space="preserve"> Corte Constitucional, Sentencia C-050 de 2021. </w:t>
      </w:r>
    </w:p>
  </w:footnote>
  <w:footnote w:id="37">
    <w:p w14:paraId="227DE917" w14:textId="5EF07128" w:rsidR="00CA5F50" w:rsidRPr="00E070A2" w:rsidRDefault="00CA5F50" w:rsidP="00E070A2">
      <w:pPr>
        <w:pStyle w:val="Textonotapie"/>
        <w:contextualSpacing/>
      </w:pPr>
      <w:r w:rsidRPr="00E070A2">
        <w:rPr>
          <w:rStyle w:val="Refdenotaalpie"/>
        </w:rPr>
        <w:footnoteRef/>
      </w:r>
      <w:r w:rsidRPr="00E070A2">
        <w:t xml:space="preserve"> La Corte ha precisado que el análisis de aptitud de la demanda es pertinente también al momento de resolver el fondo de la cuestión, “a pesar de que la acción de inconstitucionalidad hubiera sido admitida, toda vez que dicha providencia constituye apenas el estudio inicial de la argumentación expuesta en la demanda, la cual una vez ha cumplido las diferentes etapas procesales como la de intervención ciudadana y emitido el concepto del Procurador General de la Nación, permite a la Corte disponer de mayores elementos de juicio, que una vez valorados integralmente podrían llevar a una decisión inhibitoria por ineptitud sustancial de la demanda, la cual no hace tránsito a cosa juzgada constitucional”. Sentencia C-542 de 2017. En ese mismo sentido, C-050 de 2021 y C-415 de 2022. </w:t>
      </w:r>
    </w:p>
  </w:footnote>
  <w:footnote w:id="38">
    <w:p w14:paraId="434750BD" w14:textId="77777777" w:rsidR="00191358" w:rsidRPr="00E070A2" w:rsidRDefault="00191358" w:rsidP="00E070A2">
      <w:pPr>
        <w:pStyle w:val="Textonotapie"/>
        <w:contextualSpacing/>
      </w:pPr>
      <w:r w:rsidRPr="00E070A2">
        <w:rPr>
          <w:rStyle w:val="Refdenotaalpie"/>
        </w:rPr>
        <w:footnoteRef/>
      </w:r>
      <w:r w:rsidRPr="00E070A2">
        <w:t xml:space="preserve"> Corte Constitucional, sentencias C-200 de 2019, C-436 de 2021 y C-427 de 2023. </w:t>
      </w:r>
    </w:p>
  </w:footnote>
  <w:footnote w:id="39">
    <w:p w14:paraId="21F12E0B" w14:textId="77777777" w:rsidR="00191358" w:rsidRPr="00E070A2" w:rsidRDefault="00191358" w:rsidP="00E070A2">
      <w:pPr>
        <w:pStyle w:val="Textonotapie"/>
        <w:contextualSpacing/>
      </w:pPr>
      <w:r w:rsidRPr="00E070A2">
        <w:rPr>
          <w:rStyle w:val="Refdenotaalpie"/>
        </w:rPr>
        <w:footnoteRef/>
      </w:r>
      <w:r w:rsidRPr="00E070A2">
        <w:t xml:space="preserve"> Corte Constitucional, Sentencia C-324 de 2023. </w:t>
      </w:r>
    </w:p>
  </w:footnote>
  <w:footnote w:id="40">
    <w:p w14:paraId="3C801099" w14:textId="44239EA0" w:rsidR="00191358" w:rsidRPr="00E070A2" w:rsidRDefault="00191358" w:rsidP="00E070A2">
      <w:pPr>
        <w:pStyle w:val="Textonotapie"/>
        <w:contextualSpacing/>
      </w:pPr>
      <w:r w:rsidRPr="00E070A2">
        <w:rPr>
          <w:rStyle w:val="Refdenotaalpie"/>
        </w:rPr>
        <w:footnoteRef/>
      </w:r>
      <w:r w:rsidRPr="00E070A2">
        <w:t xml:space="preserve"> Corte Constitucional</w:t>
      </w:r>
      <w:r w:rsidR="00890DF4" w:rsidRPr="00E070A2">
        <w:t>,</w:t>
      </w:r>
      <w:r w:rsidRPr="00E070A2">
        <w:t xml:space="preserve"> </w:t>
      </w:r>
      <w:r w:rsidR="00047038" w:rsidRPr="00E070A2">
        <w:t>S</w:t>
      </w:r>
      <w:r w:rsidRPr="00E070A2">
        <w:t>entencia C-008 de 2017</w:t>
      </w:r>
      <w:r w:rsidR="00047038" w:rsidRPr="00E070A2">
        <w:t>.</w:t>
      </w:r>
    </w:p>
  </w:footnote>
  <w:footnote w:id="41">
    <w:p w14:paraId="4D85A28F" w14:textId="44BC6E64" w:rsidR="00890DF4" w:rsidRPr="00E070A2" w:rsidRDefault="00890DF4" w:rsidP="00E070A2">
      <w:pPr>
        <w:pStyle w:val="Textonotapie"/>
        <w:contextualSpacing/>
        <w:rPr>
          <w:lang w:val="pt-BR"/>
        </w:rPr>
      </w:pPr>
      <w:r w:rsidRPr="00E070A2">
        <w:rPr>
          <w:rStyle w:val="Refdenotaalpie"/>
        </w:rPr>
        <w:footnoteRef/>
      </w:r>
      <w:r w:rsidRPr="00E070A2">
        <w:rPr>
          <w:lang w:val="pt-BR"/>
        </w:rPr>
        <w:t xml:space="preserve"> Corte Constitucional, Sentencia C-128 de 2020. </w:t>
      </w:r>
    </w:p>
  </w:footnote>
  <w:footnote w:id="42">
    <w:p w14:paraId="3C9AEE18" w14:textId="70530621" w:rsidR="00047038" w:rsidRPr="00E070A2" w:rsidRDefault="00047038" w:rsidP="00E070A2">
      <w:pPr>
        <w:pStyle w:val="Textonotapie"/>
        <w:contextualSpacing/>
        <w:rPr>
          <w:lang w:val="pt-BR"/>
        </w:rPr>
      </w:pPr>
      <w:r w:rsidRPr="00E070A2">
        <w:rPr>
          <w:rStyle w:val="Refdenotaalpie"/>
        </w:rPr>
        <w:footnoteRef/>
      </w:r>
      <w:r w:rsidRPr="00E070A2">
        <w:rPr>
          <w:lang w:val="pt-BR"/>
        </w:rPr>
        <w:t xml:space="preserve"> Corte Constitucional, Sentencia C</w:t>
      </w:r>
      <w:r w:rsidR="00AE352D" w:rsidRPr="00E070A2">
        <w:rPr>
          <w:lang w:val="pt-BR"/>
        </w:rPr>
        <w:t>-</w:t>
      </w:r>
      <w:r w:rsidRPr="00E070A2">
        <w:rPr>
          <w:lang w:val="pt-BR"/>
        </w:rPr>
        <w:t xml:space="preserve">007 de 2016. </w:t>
      </w:r>
    </w:p>
  </w:footnote>
  <w:footnote w:id="43">
    <w:p w14:paraId="180984B1" w14:textId="77777777" w:rsidR="00191358" w:rsidRPr="00E070A2" w:rsidRDefault="00191358" w:rsidP="00E070A2">
      <w:pPr>
        <w:pStyle w:val="Textonotapie"/>
        <w:contextualSpacing/>
        <w:rPr>
          <w:lang w:val="pt-BR"/>
        </w:rPr>
      </w:pPr>
      <w:r w:rsidRPr="00E070A2">
        <w:rPr>
          <w:rStyle w:val="Refdenotaalpie"/>
        </w:rPr>
        <w:footnoteRef/>
      </w:r>
      <w:r w:rsidRPr="00E070A2">
        <w:rPr>
          <w:lang w:val="pt-BR"/>
        </w:rPr>
        <w:t xml:space="preserve"> Corte Constitucional, sentencia C-436 de 2021. </w:t>
      </w:r>
    </w:p>
  </w:footnote>
  <w:footnote w:id="44">
    <w:p w14:paraId="40343C3D" w14:textId="3C1F036B" w:rsidR="00191358" w:rsidRPr="00E070A2" w:rsidRDefault="00191358" w:rsidP="00E070A2">
      <w:pPr>
        <w:pStyle w:val="Textonotapie"/>
        <w:contextualSpacing/>
        <w:rPr>
          <w:lang w:val="pt-BR"/>
        </w:rPr>
      </w:pPr>
      <w:r w:rsidRPr="00E070A2">
        <w:rPr>
          <w:rStyle w:val="Refdenotaalpie"/>
        </w:rPr>
        <w:footnoteRef/>
      </w:r>
      <w:r w:rsidRPr="00E070A2">
        <w:rPr>
          <w:lang w:val="pt-BR"/>
        </w:rPr>
        <w:t xml:space="preserve"> Corte Constitucional, Sentencia C-427 de 2023. </w:t>
      </w:r>
    </w:p>
  </w:footnote>
  <w:footnote w:id="45">
    <w:p w14:paraId="21FDF167" w14:textId="61345AE3" w:rsidR="00047038" w:rsidRPr="00E070A2" w:rsidRDefault="00047038" w:rsidP="00E070A2">
      <w:pPr>
        <w:pStyle w:val="Textonotapie"/>
        <w:contextualSpacing/>
        <w:rPr>
          <w:lang w:val="pt-BR"/>
        </w:rPr>
      </w:pPr>
      <w:r w:rsidRPr="00E070A2">
        <w:rPr>
          <w:rStyle w:val="Refdenotaalpie"/>
        </w:rPr>
        <w:footnoteRef/>
      </w:r>
      <w:r w:rsidRPr="00E070A2">
        <w:rPr>
          <w:lang w:val="pt-BR"/>
        </w:rPr>
        <w:t xml:space="preserve"> Corte Constitucional, Sentencia C-007 de 2016. </w:t>
      </w:r>
    </w:p>
  </w:footnote>
  <w:footnote w:id="46">
    <w:p w14:paraId="2EF7C402" w14:textId="77777777" w:rsidR="00191358" w:rsidRPr="00E070A2" w:rsidRDefault="00191358" w:rsidP="00E070A2">
      <w:pPr>
        <w:pStyle w:val="Textonotapie"/>
        <w:contextualSpacing/>
      </w:pPr>
      <w:r w:rsidRPr="00E070A2">
        <w:rPr>
          <w:rStyle w:val="Refdenotaalpie"/>
        </w:rPr>
        <w:footnoteRef/>
      </w:r>
      <w:r w:rsidRPr="00E070A2">
        <w:rPr>
          <w:lang w:val="pt-BR"/>
        </w:rPr>
        <w:t xml:space="preserve"> Corte Constitucional, Sentencia C-436 de 2021. </w:t>
      </w:r>
      <w:r w:rsidRPr="00E070A2">
        <w:t xml:space="preserve">La cosa juzgada relativa puede ser explícita cuando se advierte en la parte resolutiva los cargos por los cuales se adelantó el juicio de constitucionalidad e implícita cuando puede extraerse de forma inequívoca de la parte motiva de la decisión, sin que se exprese en la resolutiva. </w:t>
      </w:r>
    </w:p>
  </w:footnote>
  <w:footnote w:id="47">
    <w:p w14:paraId="72273E04" w14:textId="77777777" w:rsidR="00191358" w:rsidRPr="00E070A2" w:rsidRDefault="00191358" w:rsidP="00E070A2">
      <w:pPr>
        <w:pStyle w:val="Textonotapie"/>
        <w:contextualSpacing/>
        <w:rPr>
          <w:lang w:val="pt-BR"/>
        </w:rPr>
      </w:pPr>
      <w:r w:rsidRPr="00E070A2">
        <w:rPr>
          <w:rStyle w:val="Refdenotaalpie"/>
        </w:rPr>
        <w:footnoteRef/>
      </w:r>
      <w:r w:rsidRPr="00E070A2">
        <w:rPr>
          <w:lang w:val="pt-BR"/>
        </w:rPr>
        <w:t xml:space="preserve"> Corte Constitucional, Sentencia C-007 de 2016. </w:t>
      </w:r>
    </w:p>
  </w:footnote>
  <w:footnote w:id="48">
    <w:p w14:paraId="18E6E87F" w14:textId="44AAB2CF" w:rsidR="00890DF4" w:rsidRPr="00E070A2" w:rsidRDefault="00890DF4" w:rsidP="00E070A2">
      <w:pPr>
        <w:pStyle w:val="Textonotapie"/>
        <w:contextualSpacing/>
        <w:rPr>
          <w:lang w:val="pt-BR"/>
        </w:rPr>
      </w:pPr>
      <w:r w:rsidRPr="00E070A2">
        <w:rPr>
          <w:rStyle w:val="Refdenotaalpie"/>
        </w:rPr>
        <w:footnoteRef/>
      </w:r>
      <w:r w:rsidRPr="00E070A2">
        <w:rPr>
          <w:lang w:val="pt-BR"/>
        </w:rPr>
        <w:t xml:space="preserve"> Corte Constitucional sentencias C-148 de 2015, C-007 de 2016</w:t>
      </w:r>
      <w:r w:rsidR="00F059E1" w:rsidRPr="00E070A2">
        <w:rPr>
          <w:lang w:val="pt-BR"/>
        </w:rPr>
        <w:t>.</w:t>
      </w:r>
    </w:p>
  </w:footnote>
  <w:footnote w:id="49">
    <w:p w14:paraId="71CBA398" w14:textId="7B54ECBB" w:rsidR="00B8446F" w:rsidRPr="00E070A2" w:rsidRDefault="00B8446F" w:rsidP="00E070A2">
      <w:pPr>
        <w:pStyle w:val="Textonotapie"/>
        <w:contextualSpacing/>
      </w:pPr>
      <w:r w:rsidRPr="00E070A2">
        <w:rPr>
          <w:rStyle w:val="Refdenotaalpie"/>
        </w:rPr>
        <w:footnoteRef/>
      </w:r>
      <w:r w:rsidRPr="00E070A2">
        <w:t xml:space="preserve"> Corte Constitucional, sentencias </w:t>
      </w:r>
      <w:r w:rsidR="00890DF4" w:rsidRPr="00E070A2">
        <w:t>C-148 de 2015, C-007 de 2016</w:t>
      </w:r>
      <w:r w:rsidR="00F059E1" w:rsidRPr="00E070A2">
        <w:t>,</w:t>
      </w:r>
      <w:r w:rsidR="00890DF4" w:rsidRPr="00E070A2">
        <w:t xml:space="preserve"> C-128 de 2020</w:t>
      </w:r>
      <w:r w:rsidR="00F059E1" w:rsidRPr="00E070A2">
        <w:t xml:space="preserve"> y C-522 de 2023. </w:t>
      </w:r>
    </w:p>
  </w:footnote>
  <w:footnote w:id="50">
    <w:p w14:paraId="66830F9E" w14:textId="77777777" w:rsidR="00191358" w:rsidRPr="00E070A2" w:rsidRDefault="00191358" w:rsidP="00E070A2">
      <w:pPr>
        <w:pStyle w:val="Textonotapie"/>
        <w:contextualSpacing/>
      </w:pPr>
      <w:r w:rsidRPr="00E070A2">
        <w:rPr>
          <w:rStyle w:val="Refdenotaalpie"/>
        </w:rPr>
        <w:footnoteRef/>
      </w:r>
      <w:r w:rsidRPr="00E070A2">
        <w:t xml:space="preserve"> Corte Constitucional, Sentencia C-436 de 2021.</w:t>
      </w:r>
    </w:p>
  </w:footnote>
  <w:footnote w:id="51">
    <w:p w14:paraId="220C0B6A" w14:textId="74B349B5" w:rsidR="00675BD6" w:rsidRPr="00E070A2" w:rsidRDefault="00675BD6" w:rsidP="00E070A2">
      <w:pPr>
        <w:pStyle w:val="Textonotapie"/>
      </w:pPr>
      <w:r w:rsidRPr="00E070A2">
        <w:rPr>
          <w:rStyle w:val="Refdenotaalpie"/>
        </w:rPr>
        <w:footnoteRef/>
      </w:r>
      <w:r w:rsidRPr="00E070A2">
        <w:t xml:space="preserve"> En la Sentencia C-415 de 2022 se demandó </w:t>
      </w:r>
      <w:r w:rsidR="009B6E23" w:rsidRPr="00E070A2">
        <w:t>la totalidad del</w:t>
      </w:r>
      <w:r w:rsidRPr="00E070A2">
        <w:t xml:space="preserve"> artículo 2 de la Ley 2114 de 2021 y en la Sentencia C-324 de 2023 se demandaron las expresiones “trabajadora”, “madre” y “mujer” contenidas en este mismo artículo. En </w:t>
      </w:r>
      <w:r w:rsidR="00BC065A" w:rsidRPr="00E070A2">
        <w:t xml:space="preserve">esta </w:t>
      </w:r>
      <w:r w:rsidRPr="00E070A2">
        <w:t>oportunidad, se demanda</w:t>
      </w:r>
      <w:r w:rsidR="00BC065A" w:rsidRPr="00E070A2">
        <w:t xml:space="preserve"> únicamente</w:t>
      </w:r>
      <w:r w:rsidRPr="00E070A2">
        <w:t xml:space="preserve"> la expresión “madre adoptante” contenida en el artículo 2 de la Ley 2114 de 2021.</w:t>
      </w:r>
    </w:p>
  </w:footnote>
  <w:footnote w:id="52">
    <w:p w14:paraId="66CEC509" w14:textId="77777777" w:rsidR="005F2844" w:rsidRPr="00E070A2" w:rsidRDefault="005F2844" w:rsidP="00E070A2">
      <w:pPr>
        <w:pStyle w:val="Textonotapie"/>
      </w:pPr>
      <w:r w:rsidRPr="00E070A2">
        <w:rPr>
          <w:rStyle w:val="Refdenotaalpie"/>
        </w:rPr>
        <w:footnoteRef/>
      </w:r>
      <w:r w:rsidRPr="00E070A2">
        <w:t xml:space="preserve"> En el escrito de la corrección de la demanda, los demandantes, al abordar la cosa juzgada de la Sentencia C-415 de 2022, precisaron: “resulta claro que en este caso la Corte emitió fallo de una exequibilidad condicionada por omisión legislativa relativa, cuyo efecto vinculante se circunscribe de manera expresa al problema jurídico que entonces se analizó, es decir, la discriminación normativa que se derivaba de la exclusión de las parejas del mismo sexo en la titularidad y disfrute de la licencia”. De igual forma, en relación con la cosa juzgada de Sentencia C-324 de 2023, los actores señalaron: “el tipo de decisión adoptada en este precedente corresponde a una exequibilidad condicionada limitada exclusivamente a resolver el problema jurídico planteado en aquella oportunidad, esto es, la omisión legislativa relativa derivada de la utilización de un lenguaje excluyente que desconocía el derecho a la igualdad de las personas con identidades de género diversas. Esta delimitación expresa del alcance de la decisión excluye que pueda predicarse la existencia de una cosa juzgada absoluta sobre cualquier otro cargo que se formule respecto de la misma disposición legal”. </w:t>
      </w:r>
    </w:p>
  </w:footnote>
  <w:footnote w:id="53">
    <w:p w14:paraId="7827FC6D" w14:textId="6169C73E" w:rsidR="002810D3" w:rsidRPr="00E070A2" w:rsidRDefault="002810D3" w:rsidP="00E070A2">
      <w:pPr>
        <w:pStyle w:val="Textonotapie"/>
        <w:contextualSpacing/>
        <w:rPr>
          <w:lang w:val="pt-BR"/>
        </w:rPr>
      </w:pPr>
      <w:r w:rsidRPr="00E070A2">
        <w:rPr>
          <w:rStyle w:val="Refdenotaalpie"/>
        </w:rPr>
        <w:footnoteRef/>
      </w:r>
      <w:r w:rsidRPr="00E070A2">
        <w:rPr>
          <w:lang w:val="pt-BR"/>
        </w:rPr>
        <w:t xml:space="preserve"> Corte Constitucional, Sentencia C-182 de 2016. </w:t>
      </w:r>
    </w:p>
  </w:footnote>
  <w:footnote w:id="54">
    <w:p w14:paraId="52833EB2" w14:textId="77777777" w:rsidR="002810D3" w:rsidRPr="00E070A2" w:rsidRDefault="002810D3" w:rsidP="00E070A2">
      <w:pPr>
        <w:pStyle w:val="Textonotapie"/>
        <w:contextualSpacing/>
        <w:rPr>
          <w:lang w:val="es-ES_tradnl"/>
        </w:rPr>
      </w:pPr>
      <w:r w:rsidRPr="00E070A2">
        <w:rPr>
          <w:rStyle w:val="Refdenotaalpie"/>
        </w:rPr>
        <w:footnoteRef/>
      </w:r>
      <w:r w:rsidRPr="00E070A2">
        <w:t xml:space="preserve"> Este Tribunal ha entendido que esta facultad es excepcional, toda vez que es al demandante a quien corresponde manifestar cuáles son las normas jurídicas que considera contrarias a la Carta. Corte Constitucional, Sentencias C-182 de 2016 y C-050 de 2021. </w:t>
      </w:r>
    </w:p>
  </w:footnote>
  <w:footnote w:id="55">
    <w:p w14:paraId="01C64701" w14:textId="0CD2FB36" w:rsidR="000B1352" w:rsidRPr="00E070A2" w:rsidRDefault="000B1352" w:rsidP="00E070A2">
      <w:pPr>
        <w:pStyle w:val="Textonotapie"/>
        <w:contextualSpacing/>
      </w:pPr>
      <w:r w:rsidRPr="00E070A2">
        <w:rPr>
          <w:rStyle w:val="Refdenotaalpie"/>
        </w:rPr>
        <w:footnoteRef/>
      </w:r>
      <w:r w:rsidRPr="00E070A2">
        <w:t xml:space="preserve"> La jurisprudencia constitucional ha especificado que es el ciudadano el primer llamado a realizar la integración de la unidad de las normas demandadas, como resultado del carácter ordinariamente rogado del control de constitucionalidad de las normas con fuerza y rango de ley. Sin embargo, la misma norma del Decreto 2067 de 1991 dispone que la Corte podrá realizarlo en la sentencia C-495 de 2019. </w:t>
      </w:r>
    </w:p>
  </w:footnote>
  <w:footnote w:id="56">
    <w:p w14:paraId="2F894236" w14:textId="2DE414E6" w:rsidR="00C0450F" w:rsidRPr="00E070A2" w:rsidRDefault="00C0450F"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Corte Constitucional, </w:t>
      </w:r>
      <w:r w:rsidR="001C4567" w:rsidRPr="00E070A2">
        <w:rPr>
          <w:lang w:val="es-ES_tradnl"/>
        </w:rPr>
        <w:t>s</w:t>
      </w:r>
      <w:r w:rsidRPr="00E070A2">
        <w:rPr>
          <w:lang w:val="es-ES_tradnl"/>
        </w:rPr>
        <w:t xml:space="preserve">entencias C-359 de 1999, C-286 de 2014, C-410 de 2015, C-619 de 2015 y C-182 de 2016 y C-110 de 2023. </w:t>
      </w:r>
    </w:p>
  </w:footnote>
  <w:footnote w:id="57">
    <w:p w14:paraId="56F97157" w14:textId="0D168E68" w:rsidR="009104E0" w:rsidRPr="00E070A2" w:rsidRDefault="009104E0" w:rsidP="00E070A2">
      <w:pPr>
        <w:pStyle w:val="Textonotapie"/>
        <w:contextualSpacing/>
        <w:rPr>
          <w:lang w:val="pt-BR"/>
        </w:rPr>
      </w:pPr>
      <w:r w:rsidRPr="00E070A2">
        <w:rPr>
          <w:rStyle w:val="Refdenotaalpie"/>
        </w:rPr>
        <w:footnoteRef/>
      </w:r>
      <w:r w:rsidRPr="00E070A2">
        <w:rPr>
          <w:lang w:val="pt-BR"/>
        </w:rPr>
        <w:t xml:space="preserve"> Corte Constitucional, Sentencia C-427 de 2023. </w:t>
      </w:r>
    </w:p>
  </w:footnote>
  <w:footnote w:id="58">
    <w:p w14:paraId="475B82CE" w14:textId="14FC0A35" w:rsidR="00C0450F" w:rsidRPr="00E070A2" w:rsidRDefault="00C0450F" w:rsidP="00E070A2">
      <w:pPr>
        <w:pStyle w:val="Textonotapie"/>
        <w:contextualSpacing/>
        <w:rPr>
          <w:lang w:val="es-ES_tradnl"/>
        </w:rPr>
      </w:pPr>
      <w:r w:rsidRPr="00E070A2">
        <w:rPr>
          <w:rStyle w:val="Refdenotaalpie"/>
        </w:rPr>
        <w:footnoteRef/>
      </w:r>
      <w:r w:rsidRPr="00E070A2">
        <w:t xml:space="preserve"> Corte Constitucional, </w:t>
      </w:r>
      <w:r w:rsidR="001C4567" w:rsidRPr="00E070A2">
        <w:t>s</w:t>
      </w:r>
      <w:r w:rsidRPr="00E070A2">
        <w:t>entencia</w:t>
      </w:r>
      <w:r w:rsidR="001C4567" w:rsidRPr="00E070A2">
        <w:t>s</w:t>
      </w:r>
      <w:r w:rsidRPr="00E070A2">
        <w:t xml:space="preserve"> C-539 de 1999</w:t>
      </w:r>
      <w:r w:rsidR="008E3AE3" w:rsidRPr="00E070A2">
        <w:t xml:space="preserve">, </w:t>
      </w:r>
      <w:r w:rsidRPr="00E070A2">
        <w:t>C-110 de 2023</w:t>
      </w:r>
      <w:r w:rsidR="008E3AE3" w:rsidRPr="00E070A2">
        <w:t xml:space="preserve"> y C-200 de 2019. </w:t>
      </w:r>
    </w:p>
  </w:footnote>
  <w:footnote w:id="59">
    <w:p w14:paraId="3AD8540B" w14:textId="5FED9516" w:rsidR="00A8496E" w:rsidRPr="00E070A2" w:rsidRDefault="00A8496E" w:rsidP="00E070A2">
      <w:pPr>
        <w:pStyle w:val="Textonotapie"/>
        <w:contextualSpacing/>
      </w:pPr>
      <w:r w:rsidRPr="00E070A2">
        <w:rPr>
          <w:rStyle w:val="Refdenotaalpie"/>
        </w:rPr>
        <w:footnoteRef/>
      </w:r>
      <w:r w:rsidRPr="00E070A2">
        <w:t xml:space="preserve"> El inciso </w:t>
      </w:r>
      <w:r w:rsidR="00252754" w:rsidRPr="00E070A2">
        <w:t>segundo</w:t>
      </w:r>
      <w:r w:rsidRPr="00E070A2">
        <w:t xml:space="preserve"> del parágrafo 2 del artículo 2 de la Ley 2114 de 2021 señala: “La licencia remunerada de paternidad opera por los hijos nacidos del cónyuge o de la compañera permanente, así como para </w:t>
      </w:r>
      <w:r w:rsidRPr="00E070A2">
        <w:rPr>
          <w:b/>
          <w:bCs/>
          <w:i/>
          <w:iCs/>
        </w:rPr>
        <w:t>el padre adoptante</w:t>
      </w:r>
      <w:r w:rsidRPr="00E070A2">
        <w:t>”</w:t>
      </w:r>
      <w:r w:rsidR="00AE352D" w:rsidRPr="00E070A2">
        <w:t xml:space="preserve"> (énfasis añadido)</w:t>
      </w:r>
      <w:r w:rsidRPr="00E070A2">
        <w:t>.</w:t>
      </w:r>
    </w:p>
  </w:footnote>
  <w:footnote w:id="60">
    <w:p w14:paraId="24246E06" w14:textId="6103EA55" w:rsidR="00870A34" w:rsidRPr="00E070A2" w:rsidRDefault="00870A34" w:rsidP="00E070A2">
      <w:pPr>
        <w:pStyle w:val="Textonotapie"/>
        <w:contextualSpacing/>
      </w:pPr>
      <w:r w:rsidRPr="00E070A2">
        <w:rPr>
          <w:rStyle w:val="Refdenotaalpie"/>
        </w:rPr>
        <w:footnoteRef/>
      </w:r>
      <w:r w:rsidRPr="00E070A2">
        <w:t xml:space="preserve"> Corte Constitucional, sentencias C-250 de 2012 y C-104 de 2016. </w:t>
      </w:r>
    </w:p>
  </w:footnote>
  <w:footnote w:id="61">
    <w:p w14:paraId="78BD1A38" w14:textId="60C2FB8B" w:rsidR="000B5E30" w:rsidRPr="00E070A2" w:rsidRDefault="000B5E30" w:rsidP="00E070A2">
      <w:pPr>
        <w:pStyle w:val="Textonotapie"/>
        <w:contextualSpacing/>
        <w:rPr>
          <w:lang w:val="pt-BR"/>
        </w:rPr>
      </w:pPr>
      <w:r w:rsidRPr="00E070A2">
        <w:rPr>
          <w:rStyle w:val="Refdenotaalpie"/>
        </w:rPr>
        <w:footnoteRef/>
      </w:r>
      <w:r w:rsidRPr="00E070A2">
        <w:t xml:space="preserve"> Como valor, la igualdad es una norma que establece fines o propósitos, cuya realización es exigible a todas las autoridades públicas y en especial al legislador. En su rol de principio, es un mandato de optimización que establece un deber ser específico, que admite su incorporación en reglas concretas derivadas del ejercicio de la función legislativa o que habilita su uso como herramienta general en la resolución de controversias sometidas a la decisión de los jueces. Finalmente, en tanto derecho, la igualdad se manifiesta en una potestad o facultad subjetiva que impone deberes de abstención como la prohibición de la discriminación, al mismo tiempo que exige obligaciones puntuales de acción, como ocurre con la consagración de tratos favorables para grupos puestos en situación de debilidad manifiesta. </w:t>
      </w:r>
      <w:r w:rsidRPr="00E070A2">
        <w:rPr>
          <w:lang w:val="pt-BR"/>
        </w:rPr>
        <w:t>Corte Constitucional, Sentencia C-10</w:t>
      </w:r>
      <w:r w:rsidR="00870A34" w:rsidRPr="00E070A2">
        <w:rPr>
          <w:lang w:val="pt-BR"/>
        </w:rPr>
        <w:t>4</w:t>
      </w:r>
      <w:r w:rsidRPr="00E070A2">
        <w:rPr>
          <w:lang w:val="pt-BR"/>
        </w:rPr>
        <w:t xml:space="preserve"> de 2016. </w:t>
      </w:r>
    </w:p>
  </w:footnote>
  <w:footnote w:id="62">
    <w:p w14:paraId="24ACA6DA" w14:textId="4EFD2437" w:rsidR="008368BB" w:rsidRPr="00E070A2" w:rsidRDefault="008368BB" w:rsidP="00E070A2">
      <w:pPr>
        <w:pStyle w:val="Textonotapie"/>
        <w:contextualSpacing/>
        <w:rPr>
          <w:lang w:val="pt-BR"/>
        </w:rPr>
      </w:pPr>
      <w:r w:rsidRPr="00E070A2">
        <w:rPr>
          <w:rStyle w:val="Refdenotaalpie"/>
        </w:rPr>
        <w:footnoteRef/>
      </w:r>
      <w:r w:rsidRPr="00E070A2">
        <w:rPr>
          <w:lang w:val="pt-BR"/>
        </w:rPr>
        <w:t xml:space="preserve"> Corte Constitucional, Sentencia C-104 de 2016. </w:t>
      </w:r>
    </w:p>
  </w:footnote>
  <w:footnote w:id="63">
    <w:p w14:paraId="5756603E" w14:textId="0DDC15CA" w:rsidR="008368BB" w:rsidRPr="00E070A2" w:rsidRDefault="008368BB" w:rsidP="00E070A2">
      <w:pPr>
        <w:pStyle w:val="Textonotapie"/>
        <w:contextualSpacing/>
        <w:rPr>
          <w:lang w:val="pt-BR"/>
        </w:rPr>
      </w:pPr>
      <w:r w:rsidRPr="00E070A2">
        <w:rPr>
          <w:rStyle w:val="Refdenotaalpie"/>
        </w:rPr>
        <w:footnoteRef/>
      </w:r>
      <w:r w:rsidRPr="00E070A2">
        <w:rPr>
          <w:lang w:val="pt-BR"/>
        </w:rPr>
        <w:t xml:space="preserve"> Corte Constitucional, </w:t>
      </w:r>
      <w:r w:rsidR="000B5E30" w:rsidRPr="00E070A2">
        <w:rPr>
          <w:lang w:val="pt-BR"/>
        </w:rPr>
        <w:t xml:space="preserve">Sentencia </w:t>
      </w:r>
      <w:r w:rsidRPr="00E070A2">
        <w:rPr>
          <w:lang w:val="pt-BR"/>
        </w:rPr>
        <w:t xml:space="preserve">C-038 de 2021. </w:t>
      </w:r>
    </w:p>
  </w:footnote>
  <w:footnote w:id="64">
    <w:p w14:paraId="2D2795B4" w14:textId="77777777" w:rsidR="00C63FBB" w:rsidRPr="00E070A2" w:rsidRDefault="00C63FBB" w:rsidP="00E070A2">
      <w:pPr>
        <w:pStyle w:val="Textonotapie"/>
        <w:contextualSpacing/>
      </w:pPr>
      <w:r w:rsidRPr="00E070A2">
        <w:rPr>
          <w:rStyle w:val="Refdenotaalpie"/>
        </w:rPr>
        <w:footnoteRef/>
      </w:r>
      <w:r w:rsidRPr="00E070A2">
        <w:t xml:space="preserve"> Ello, por motivos de raza, color, sexo, idioma, religión, opiniones políticas o de cualquier otra índole, origen nacional o social, posición económica, nacimiento o cualquier otra condición social.</w:t>
      </w:r>
    </w:p>
  </w:footnote>
  <w:footnote w:id="65">
    <w:p w14:paraId="62A6E086" w14:textId="77777777" w:rsidR="00C63FBB" w:rsidRPr="00E070A2" w:rsidRDefault="00C63FBB" w:rsidP="00E070A2">
      <w:pPr>
        <w:pStyle w:val="Textonotapie"/>
        <w:contextualSpacing/>
      </w:pPr>
      <w:r w:rsidRPr="00E070A2">
        <w:rPr>
          <w:rStyle w:val="Refdenotaalpie"/>
        </w:rPr>
        <w:footnoteRef/>
      </w:r>
      <w:r w:rsidRPr="00E070A2">
        <w:t xml:space="preserve"> Al igual que la Convención Americana, determina que se protegerá por cualquier discriminación originada en la “raza, color, sexo, idioma, religión, opiniones políticas o de cualquier índole, origen nacional o social, posición económica, nacimiento o cualquier otra condición social”. </w:t>
      </w:r>
    </w:p>
  </w:footnote>
  <w:footnote w:id="66">
    <w:p w14:paraId="37004F1E" w14:textId="77777777" w:rsidR="00C63FBB" w:rsidRPr="00E070A2" w:rsidRDefault="00C63FBB" w:rsidP="00E070A2">
      <w:pPr>
        <w:pStyle w:val="Textonotapie"/>
        <w:contextualSpacing/>
      </w:pPr>
      <w:r w:rsidRPr="00E070A2">
        <w:rPr>
          <w:rStyle w:val="Refdenotaalpie"/>
        </w:rPr>
        <w:footnoteRef/>
      </w:r>
      <w:r w:rsidRPr="00E070A2">
        <w:t xml:space="preserve"> Corte IDH. Opinión Consultiva OC-24/17 de 24 de noviembre de 2017. párr. 61; Caso Atala Riffo y niñas Vs. Chile (Fondo, Reparaciones y Costas), Sentencia de 24 de febrero de 2012. Serie C No. 239, párr. 79, y Caso Velásquez Paiz y otros Vs. Guatemala (Excepciones Preliminares, Fondo, Reparaciones y Costas), Sentencia de 19 de noviembre de 2015. Serie C No. 307. párr. 173. </w:t>
      </w:r>
    </w:p>
  </w:footnote>
  <w:footnote w:id="67">
    <w:p w14:paraId="21E814F5" w14:textId="77777777" w:rsidR="00C63FBB" w:rsidRPr="00E070A2" w:rsidRDefault="00C63FBB" w:rsidP="00E070A2">
      <w:pPr>
        <w:pStyle w:val="Textonotapie"/>
        <w:contextualSpacing/>
      </w:pPr>
      <w:r w:rsidRPr="00E070A2">
        <w:rPr>
          <w:rStyle w:val="Refdenotaalpie"/>
        </w:rPr>
        <w:footnoteRef/>
      </w:r>
      <w:r w:rsidRPr="00E070A2">
        <w:t xml:space="preserve"> Corte IDH. Caso Furlan y familiares ss. Argentina (Excepciones Preliminares, Fondo, Reparaciones y Costas), Sentencia de 31 de agosto de 2012. Serie C No. 246. párr. 267. </w:t>
      </w:r>
    </w:p>
  </w:footnote>
  <w:footnote w:id="68">
    <w:p w14:paraId="73CD14CC" w14:textId="77777777" w:rsidR="00DB38B0" w:rsidRPr="00E070A2" w:rsidRDefault="00DB38B0" w:rsidP="00E070A2">
      <w:pPr>
        <w:pStyle w:val="Textonotapie"/>
        <w:contextualSpacing/>
      </w:pPr>
      <w:r w:rsidRPr="00E070A2">
        <w:rPr>
          <w:rStyle w:val="Refdenotaalpie"/>
        </w:rPr>
        <w:footnoteRef/>
      </w:r>
      <w:r w:rsidRPr="00E070A2">
        <w:t xml:space="preserve"> Corte Constitucional, Sentencia C-551 de 2015 y C-104 de 2016. </w:t>
      </w:r>
    </w:p>
  </w:footnote>
  <w:footnote w:id="69">
    <w:p w14:paraId="15594732" w14:textId="16CEC06F" w:rsidR="00DB38B0" w:rsidRPr="00E070A2" w:rsidRDefault="00DB38B0" w:rsidP="00E070A2">
      <w:pPr>
        <w:pStyle w:val="Textonotapie"/>
        <w:contextualSpacing/>
      </w:pPr>
      <w:r w:rsidRPr="00E070A2">
        <w:rPr>
          <w:rStyle w:val="Refdenotaalpie"/>
        </w:rPr>
        <w:footnoteRef/>
      </w:r>
      <w:r w:rsidRPr="00E070A2">
        <w:t xml:space="preserve"> Corte Constitucional, sentencias </w:t>
      </w:r>
      <w:r w:rsidRPr="00E070A2">
        <w:rPr>
          <w:color w:val="0D0D0D"/>
          <w:shd w:val="clear" w:color="auto" w:fill="FFFFFF"/>
        </w:rPr>
        <w:t xml:space="preserve">C-250 de 2012 y C-091 de 2018. </w:t>
      </w:r>
    </w:p>
  </w:footnote>
  <w:footnote w:id="70">
    <w:p w14:paraId="753F22F9" w14:textId="0EE32C1C" w:rsidR="00DB38B0" w:rsidRPr="00E070A2" w:rsidRDefault="00DB38B0" w:rsidP="00E070A2">
      <w:pPr>
        <w:pStyle w:val="Textonotapie"/>
        <w:contextualSpacing/>
      </w:pPr>
      <w:r w:rsidRPr="00E070A2">
        <w:rPr>
          <w:rStyle w:val="Refdenotaalpie"/>
        </w:rPr>
        <w:footnoteRef/>
      </w:r>
      <w:r w:rsidRPr="00E070A2">
        <w:t xml:space="preserve"> Corte Constitucional, sentencias C-221 de 2011 y C-048 de 2020.</w:t>
      </w:r>
      <w:r w:rsidR="00C63FBB" w:rsidRPr="00E070A2">
        <w:t xml:space="preserve"> Ahora bien, para el Comité de Derechos Humanos, que monitorea el cumplimiento del Pacto Internacional de Derechos Civiles y Políticos, la discriminación es toda distinción, exclusión, restricción o preferencia que se base en determinados motivos , que tenga por objeto o por resultado anular o menoscabar el reconocimiento, goce, ejercicio, en condiciones de igualdad, de los derechos humanos y las libertades fundamentales de todas las personas. </w:t>
      </w:r>
      <w:r w:rsidR="00A819E8" w:rsidRPr="00E070A2">
        <w:t>Naciones Unidas, Comité de Derechos Humanos, Observación General No. 18. No discriminación. párr. 6.</w:t>
      </w:r>
    </w:p>
  </w:footnote>
  <w:footnote w:id="71">
    <w:p w14:paraId="704D94A3" w14:textId="6412D708" w:rsidR="00232AD8" w:rsidRPr="00E070A2" w:rsidRDefault="00232AD8" w:rsidP="00E070A2">
      <w:pPr>
        <w:pStyle w:val="Textonotapie"/>
        <w:contextualSpacing/>
      </w:pPr>
      <w:r w:rsidRPr="00E070A2">
        <w:rPr>
          <w:rStyle w:val="Refdenotaalpie"/>
        </w:rPr>
        <w:footnoteRef/>
      </w:r>
      <w:r w:rsidRPr="00E070A2">
        <w:t xml:space="preserve"> Corte Constitucional, </w:t>
      </w:r>
      <w:r w:rsidR="00AE352D" w:rsidRPr="00E070A2">
        <w:t>s</w:t>
      </w:r>
      <w:r w:rsidRPr="00E070A2">
        <w:t>entencia</w:t>
      </w:r>
      <w:r w:rsidR="00AE352D" w:rsidRPr="00E070A2">
        <w:t>s</w:t>
      </w:r>
      <w:r w:rsidRPr="00E070A2">
        <w:t xml:space="preserve"> C-481 de 1998 y C-570 de 2016. </w:t>
      </w:r>
    </w:p>
  </w:footnote>
  <w:footnote w:id="72">
    <w:p w14:paraId="3C0F0FD7" w14:textId="54C56154" w:rsidR="008D2BD8" w:rsidRPr="00E070A2" w:rsidRDefault="008D2BD8" w:rsidP="00E070A2">
      <w:pPr>
        <w:pStyle w:val="Textonotapie"/>
        <w:contextualSpacing/>
      </w:pPr>
      <w:r w:rsidRPr="00E070A2">
        <w:rPr>
          <w:rStyle w:val="Refdenotaalpie"/>
        </w:rPr>
        <w:footnoteRef/>
      </w:r>
      <w:r w:rsidRPr="00E070A2">
        <w:t xml:space="preserve"> Corte Constitucional, Sentencia C-038 de 2021. </w:t>
      </w:r>
    </w:p>
  </w:footnote>
  <w:footnote w:id="73">
    <w:p w14:paraId="311A8D99" w14:textId="5F763800" w:rsidR="00232AD8" w:rsidRPr="00E070A2" w:rsidRDefault="00232AD8" w:rsidP="00E070A2">
      <w:pPr>
        <w:pStyle w:val="Textonotapie"/>
        <w:contextualSpacing/>
      </w:pPr>
      <w:r w:rsidRPr="00E070A2">
        <w:rPr>
          <w:rStyle w:val="Refdenotaalpie"/>
        </w:rPr>
        <w:footnoteRef/>
      </w:r>
      <w:r w:rsidRPr="00E070A2">
        <w:t xml:space="preserve"> Corte Constitucional, </w:t>
      </w:r>
      <w:r w:rsidR="00AE352D" w:rsidRPr="00E070A2">
        <w:t xml:space="preserve">Sentencia </w:t>
      </w:r>
      <w:r w:rsidRPr="00E070A2">
        <w:t xml:space="preserve">C-586 de 2016. </w:t>
      </w:r>
    </w:p>
  </w:footnote>
  <w:footnote w:id="74">
    <w:p w14:paraId="1AAA978F" w14:textId="77777777" w:rsidR="0087035B" w:rsidRPr="00E070A2" w:rsidRDefault="0087035B" w:rsidP="00E070A2">
      <w:pPr>
        <w:pStyle w:val="Textonotapie"/>
        <w:contextualSpacing/>
      </w:pPr>
      <w:r w:rsidRPr="00E070A2">
        <w:rPr>
          <w:rStyle w:val="Refdenotaalpie"/>
        </w:rPr>
        <w:footnoteRef/>
      </w:r>
      <w:r w:rsidRPr="00E070A2">
        <w:t xml:space="preserve"> Corte Constitucional, sentencias C-057 de 2004, C-038 de 2021, </w:t>
      </w:r>
    </w:p>
  </w:footnote>
  <w:footnote w:id="75">
    <w:p w14:paraId="2F78E74E" w14:textId="44C992A6" w:rsidR="00E45653" w:rsidRPr="00E070A2" w:rsidRDefault="00E45653" w:rsidP="00E070A2">
      <w:pPr>
        <w:pStyle w:val="Textonotapie"/>
        <w:contextualSpacing/>
      </w:pPr>
      <w:r w:rsidRPr="00E070A2">
        <w:rPr>
          <w:rStyle w:val="Refdenotaalpie"/>
        </w:rPr>
        <w:footnoteRef/>
      </w:r>
      <w:r w:rsidRPr="00E070A2">
        <w:t xml:space="preserve"> </w:t>
      </w:r>
      <w:r w:rsidR="00C736CE" w:rsidRPr="00E070A2">
        <w:t>Corte Interamericana de Derechos Humanos</w:t>
      </w:r>
      <w:r w:rsidRPr="00E070A2">
        <w:t xml:space="preserve">. Condición jurídica y derechos de los migrantes indocumentados. Opinión Consultiva OC-18/03 de 17 de septiembre de 2003. Serie A No. 18. </w:t>
      </w:r>
      <w:r w:rsidR="00AD7A12" w:rsidRPr="00E070A2">
        <w:t>p</w:t>
      </w:r>
      <w:r w:rsidRPr="00E070A2">
        <w:t xml:space="preserve">árr. 83, 88 y 100. </w:t>
      </w:r>
    </w:p>
  </w:footnote>
  <w:footnote w:id="76">
    <w:p w14:paraId="59785F50" w14:textId="77777777" w:rsidR="00A136BC" w:rsidRPr="00E070A2" w:rsidRDefault="00A136BC" w:rsidP="00E070A2">
      <w:pPr>
        <w:pStyle w:val="Textonotapie"/>
        <w:contextualSpacing/>
      </w:pPr>
      <w:r w:rsidRPr="00E070A2">
        <w:rPr>
          <w:rStyle w:val="Refdenotaalpie"/>
        </w:rPr>
        <w:footnoteRef/>
      </w:r>
      <w:r w:rsidRPr="00E070A2">
        <w:t xml:space="preserve"> Corte Constitucional, Sentencia T-227 de 2025. </w:t>
      </w:r>
    </w:p>
  </w:footnote>
  <w:footnote w:id="77">
    <w:p w14:paraId="24D6BD4F" w14:textId="7E9D2AEF" w:rsidR="000D3BF9" w:rsidRPr="00E070A2" w:rsidRDefault="000D3BF9" w:rsidP="00E070A2">
      <w:pPr>
        <w:pStyle w:val="Textonotapie"/>
        <w:contextualSpacing/>
      </w:pPr>
      <w:r w:rsidRPr="00E070A2">
        <w:rPr>
          <w:rStyle w:val="Refdenotaalpie"/>
        </w:rPr>
        <w:footnoteRef/>
      </w:r>
      <w:r w:rsidRPr="00E070A2">
        <w:t xml:space="preserve"> Corte Constitucional, Sentencia C-075 </w:t>
      </w:r>
      <w:r w:rsidR="00AE352D" w:rsidRPr="00E070A2">
        <w:t>de</w:t>
      </w:r>
      <w:r w:rsidRPr="00E070A2">
        <w:t xml:space="preserve"> 2007. </w:t>
      </w:r>
    </w:p>
  </w:footnote>
  <w:footnote w:id="78">
    <w:p w14:paraId="244412E6" w14:textId="4AE08710" w:rsidR="005E6134" w:rsidRPr="00E070A2" w:rsidRDefault="005E6134" w:rsidP="00E070A2">
      <w:pPr>
        <w:pStyle w:val="Textonotapie"/>
        <w:contextualSpacing/>
        <w:rPr>
          <w:lang w:val="es-ES_tradnl"/>
        </w:rPr>
      </w:pPr>
      <w:r w:rsidRPr="00E070A2">
        <w:rPr>
          <w:rStyle w:val="Refdenotaalpie"/>
          <w:color w:val="000000" w:themeColor="text1"/>
        </w:rPr>
        <w:footnoteRef/>
      </w:r>
      <w:r w:rsidRPr="00E070A2">
        <w:rPr>
          <w:color w:val="000000" w:themeColor="text1"/>
        </w:rPr>
        <w:t xml:space="preserve"> </w:t>
      </w:r>
      <w:r w:rsidRPr="00E070A2">
        <w:rPr>
          <w:color w:val="000000" w:themeColor="text1"/>
          <w:lang w:val="es-ES_tradnl"/>
        </w:rPr>
        <w:t xml:space="preserve">Corte Constitucional, C-534 de 2005. </w:t>
      </w:r>
    </w:p>
  </w:footnote>
  <w:footnote w:id="79">
    <w:p w14:paraId="76DCF41D" w14:textId="1AE60BB9" w:rsidR="00930159" w:rsidRPr="00E070A2" w:rsidRDefault="00930159" w:rsidP="00E070A2">
      <w:pPr>
        <w:pStyle w:val="Textonotapie"/>
        <w:contextualSpacing/>
      </w:pPr>
      <w:r w:rsidRPr="00E070A2">
        <w:rPr>
          <w:rStyle w:val="Refdenotaalpie"/>
        </w:rPr>
        <w:footnoteRef/>
      </w:r>
      <w:r w:rsidRPr="00E070A2">
        <w:t xml:space="preserve"> Sobre las acciones afirmativas, la Corte Constitucional ha señalado que el inciso </w:t>
      </w:r>
      <w:r w:rsidR="00252754" w:rsidRPr="00E070A2">
        <w:t>segundo</w:t>
      </w:r>
      <w:r w:rsidRPr="00E070A2">
        <w:t xml:space="preserve"> del artículo 13 superior alude a la dimensión sustancia</w:t>
      </w:r>
      <w:r w:rsidR="00DB74AB" w:rsidRPr="00E070A2">
        <w:t>l</w:t>
      </w:r>
      <w:r w:rsidRPr="00E070A2">
        <w:t xml:space="preserve"> de la igualdad al compromiso Estatal de remover los obstáculos que en el plano económico y social configuran desigualdades. Las acciones afirmativas, incluyendo las de discriminación inversa, están, pues, expresamente autorizadas por la Constitución y, por ende, las autoridades pueden apelar a la raza, al sexo o a otra categoría sospechosa, no para marginar a ciertas personas o grupos ni para perpetuar desigualdades, sino para aminorar el efecto nocivo de las prácticas sociales que han ubicado a esas mismas personas o grupos en posiciones desfavorables</w:t>
      </w:r>
      <w:r w:rsidR="009C52BC" w:rsidRPr="00E070A2">
        <w:t xml:space="preserve">. Corte Constitucional, Sentencia C-371 de 2000. </w:t>
      </w:r>
    </w:p>
  </w:footnote>
  <w:footnote w:id="80">
    <w:p w14:paraId="39C5D25D" w14:textId="3EA3E100" w:rsidR="00C625C6" w:rsidRPr="00E070A2" w:rsidRDefault="00C625C6"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Informe del Alto Comisionado de las Naciones Unidas para los Derechos Humanos. Leyes y prácticas discriminatorias y actos de violencia cometidos contra personas por su orientación sexual e identidad de género A/HCR/19/41, del 17 de noviembre de 2011. Disponible en: </w:t>
      </w:r>
      <w:hyperlink r:id="rId5" w:history="1">
        <w:r w:rsidRPr="00E070A2">
          <w:rPr>
            <w:rStyle w:val="Hipervnculo"/>
            <w:lang w:val="es-ES_tradnl"/>
          </w:rPr>
          <w:t>https://bolivia.unfpa.org/sites/default/files/pub-pdf/Reporte_Alto_Comisionado_DD_HH_LGBT.pdf</w:t>
        </w:r>
      </w:hyperlink>
      <w:r w:rsidRPr="00E070A2">
        <w:rPr>
          <w:lang w:val="es-ES_tradnl"/>
        </w:rPr>
        <w:t>.</w:t>
      </w:r>
    </w:p>
  </w:footnote>
  <w:footnote w:id="81">
    <w:p w14:paraId="498B288C" w14:textId="2D4A5E98" w:rsidR="00C625C6" w:rsidRPr="00E070A2" w:rsidRDefault="00C625C6"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Examen de los Informes presentados por los Estados partes en virtud del artículo 40 del Pacto. En el literal B. c de este informe, denominado aspectos positivos, el Comité señaló “la adopción del Decreto N.° 56, de 4 de mayo de 2010, que contiene disposiciones para evitar toda forma de discriminación en la administración pública, por razones de identidad de género y/o de orientación sexual. Disponible en: </w:t>
      </w:r>
      <w:hyperlink r:id="rId6" w:history="1">
        <w:r w:rsidRPr="00E070A2">
          <w:rPr>
            <w:rStyle w:val="Hipervnculo"/>
            <w:lang w:val="es-ES_tradnl"/>
          </w:rPr>
          <w:t>https://docs.un.org/es/CCPR/C/SLV/CO/6</w:t>
        </w:r>
      </w:hyperlink>
      <w:r w:rsidR="00BA4CD5" w:rsidRPr="00E070A2">
        <w:rPr>
          <w:lang w:val="es-ES_tradnl"/>
        </w:rPr>
        <w:t>.</w:t>
      </w:r>
    </w:p>
  </w:footnote>
  <w:footnote w:id="82">
    <w:p w14:paraId="3DE7F543" w14:textId="6139A1C8" w:rsidR="00C625C6" w:rsidRPr="00E070A2" w:rsidRDefault="00C625C6"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Esta afirmación la realizó en las observaciones generales sobre los derechos al trabajo, el agua, la seguridad social y el más alto nivel de vida posible de salud. </w:t>
      </w:r>
    </w:p>
  </w:footnote>
  <w:footnote w:id="83">
    <w:p w14:paraId="45ABD733" w14:textId="6972FF07" w:rsidR="00BA4CD5" w:rsidRPr="00E070A2" w:rsidRDefault="00BA4CD5"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Corte Constitucional, </w:t>
      </w:r>
      <w:r w:rsidR="000D3BF9" w:rsidRPr="00E070A2">
        <w:rPr>
          <w:lang w:val="es-ES_tradnl"/>
        </w:rPr>
        <w:t>s</w:t>
      </w:r>
      <w:r w:rsidRPr="00E070A2">
        <w:rPr>
          <w:lang w:val="es-ES_tradnl"/>
        </w:rPr>
        <w:t>entencia</w:t>
      </w:r>
      <w:r w:rsidR="00AE352D" w:rsidRPr="00E070A2">
        <w:rPr>
          <w:lang w:val="es-ES_tradnl"/>
        </w:rPr>
        <w:t>s</w:t>
      </w:r>
      <w:r w:rsidR="000D3BF9" w:rsidRPr="00E070A2">
        <w:rPr>
          <w:lang w:val="es-ES_tradnl"/>
        </w:rPr>
        <w:t xml:space="preserve"> C-075 de 200</w:t>
      </w:r>
      <w:r w:rsidR="00164A77" w:rsidRPr="00E070A2">
        <w:rPr>
          <w:lang w:val="es-ES_tradnl"/>
        </w:rPr>
        <w:t>7,</w:t>
      </w:r>
      <w:r w:rsidRPr="00E070A2">
        <w:rPr>
          <w:lang w:val="es-ES_tradnl"/>
        </w:rPr>
        <w:t xml:space="preserve"> C-811 de 2007, C-336 de 2008, C-798 de 2008 y C-029 de 2009.</w:t>
      </w:r>
    </w:p>
  </w:footnote>
  <w:footnote w:id="84">
    <w:p w14:paraId="6225D289" w14:textId="54B17009" w:rsidR="00BA4CD5" w:rsidRPr="00E070A2" w:rsidRDefault="00BA4CD5"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Corte Constitucional, </w:t>
      </w:r>
      <w:r w:rsidR="00AE352D" w:rsidRPr="00E070A2">
        <w:rPr>
          <w:lang w:val="es-ES_tradnl"/>
        </w:rPr>
        <w:t xml:space="preserve">sentencias </w:t>
      </w:r>
      <w:r w:rsidRPr="00E070A2">
        <w:rPr>
          <w:lang w:val="es-ES_tradnl"/>
        </w:rPr>
        <w:t xml:space="preserve">SU-214 de 2016, T-291 de 2016 y C-338 de 2024. </w:t>
      </w:r>
    </w:p>
  </w:footnote>
  <w:footnote w:id="85">
    <w:p w14:paraId="3252C2ED" w14:textId="77777777" w:rsidR="00D3004E" w:rsidRPr="00E070A2" w:rsidRDefault="00D3004E" w:rsidP="00E070A2">
      <w:pPr>
        <w:pStyle w:val="Textonotapie"/>
        <w:contextualSpacing/>
      </w:pPr>
      <w:r w:rsidRPr="00E070A2">
        <w:rPr>
          <w:rStyle w:val="Refdenotaalpie"/>
        </w:rPr>
        <w:footnoteRef/>
      </w:r>
      <w:r w:rsidRPr="00E070A2">
        <w:t xml:space="preserve"> Ibidem. </w:t>
      </w:r>
    </w:p>
  </w:footnote>
  <w:footnote w:id="86">
    <w:p w14:paraId="68EAE377" w14:textId="3623EF9F" w:rsidR="007B3AE6" w:rsidRPr="00E070A2" w:rsidRDefault="007B3AE6" w:rsidP="00E070A2">
      <w:pPr>
        <w:pStyle w:val="Textonotapie"/>
        <w:contextualSpacing/>
      </w:pPr>
      <w:r w:rsidRPr="00E070A2">
        <w:rPr>
          <w:rStyle w:val="Refdenotaalpie"/>
        </w:rPr>
        <w:footnoteRef/>
      </w:r>
      <w:r w:rsidRPr="00E070A2">
        <w:t xml:space="preserve"> Corte Constitucional, </w:t>
      </w:r>
      <w:r w:rsidR="00DD77E2" w:rsidRPr="00E070A2">
        <w:t>s</w:t>
      </w:r>
      <w:r w:rsidR="008901FD" w:rsidRPr="00E070A2">
        <w:t>entencia</w:t>
      </w:r>
      <w:r w:rsidR="00AE352D" w:rsidRPr="00E070A2">
        <w:t>s</w:t>
      </w:r>
      <w:r w:rsidR="008901FD" w:rsidRPr="00E070A2">
        <w:t xml:space="preserve"> </w:t>
      </w:r>
      <w:r w:rsidR="00DD77E2" w:rsidRPr="00E070A2">
        <w:t xml:space="preserve">C- 154 de 2002 y </w:t>
      </w:r>
      <w:r w:rsidRPr="00E070A2">
        <w:t xml:space="preserve">SU-239 de 2024. </w:t>
      </w:r>
    </w:p>
  </w:footnote>
  <w:footnote w:id="87">
    <w:p w14:paraId="7A0854A4" w14:textId="397D3FDA" w:rsidR="00545D28" w:rsidRPr="00E070A2" w:rsidRDefault="00545D28" w:rsidP="00E070A2">
      <w:pPr>
        <w:pStyle w:val="Textonotapie"/>
        <w:contextualSpacing/>
        <w:rPr>
          <w:lang w:val="es-ES_tradnl"/>
        </w:rPr>
      </w:pPr>
      <w:r w:rsidRPr="00E070A2">
        <w:rPr>
          <w:rStyle w:val="Refdenotaalpie"/>
        </w:rPr>
        <w:footnoteRef/>
      </w:r>
      <w:r w:rsidRPr="00E070A2">
        <w:rPr>
          <w:lang w:val="es-ES_tradnl"/>
        </w:rPr>
        <w:t xml:space="preserve"> Corte Constitucional, Sentencia C-804 de 2006. </w:t>
      </w:r>
    </w:p>
  </w:footnote>
  <w:footnote w:id="88">
    <w:p w14:paraId="07F8D2D8" w14:textId="34249DFD" w:rsidR="008901FD" w:rsidRPr="00E070A2" w:rsidRDefault="008901FD" w:rsidP="00E070A2">
      <w:pPr>
        <w:pStyle w:val="Textonotapie"/>
        <w:contextualSpacing/>
        <w:rPr>
          <w:lang w:val="es-ES_tradnl"/>
        </w:rPr>
      </w:pPr>
      <w:r w:rsidRPr="00E070A2">
        <w:rPr>
          <w:rStyle w:val="Refdenotaalpie"/>
        </w:rPr>
        <w:footnoteRef/>
      </w:r>
      <w:r w:rsidRPr="00E070A2">
        <w:rPr>
          <w:lang w:val="es-ES_tradnl"/>
        </w:rPr>
        <w:t xml:space="preserve"> Corte Constitucional, </w:t>
      </w:r>
      <w:r w:rsidR="00545D28" w:rsidRPr="00E070A2">
        <w:rPr>
          <w:lang w:val="es-ES_tradnl"/>
        </w:rPr>
        <w:t>S</w:t>
      </w:r>
      <w:r w:rsidRPr="00E070A2">
        <w:rPr>
          <w:lang w:val="es-ES_tradnl"/>
        </w:rPr>
        <w:t>entencia T-212 de 2021.</w:t>
      </w:r>
    </w:p>
  </w:footnote>
  <w:footnote w:id="89">
    <w:p w14:paraId="234E27D7" w14:textId="77777777" w:rsidR="00445711" w:rsidRPr="00E070A2" w:rsidRDefault="00445711" w:rsidP="00E070A2">
      <w:pPr>
        <w:pStyle w:val="Textonotapie"/>
        <w:contextualSpacing/>
      </w:pPr>
      <w:r w:rsidRPr="00E070A2">
        <w:rPr>
          <w:rStyle w:val="Refdenotaalpie"/>
        </w:rPr>
        <w:footnoteRef/>
      </w:r>
      <w:r w:rsidRPr="00E070A2">
        <w:t xml:space="preserve"> Corte IDH. Caso González y otras (“Campo Algodonero”) vs. México (Excepciones Preliminares, Fondo, Reparaciones y Costas), Sentencia de 16 de noviembre de 2009, párr. 401. </w:t>
      </w:r>
    </w:p>
  </w:footnote>
  <w:footnote w:id="90">
    <w:p w14:paraId="085B23C6" w14:textId="77777777" w:rsidR="00445711" w:rsidRPr="00E070A2" w:rsidRDefault="00445711" w:rsidP="00E070A2">
      <w:pPr>
        <w:pStyle w:val="Textonotapie"/>
        <w:contextualSpacing/>
        <w:rPr>
          <w:lang w:val="es-ES_tradnl"/>
        </w:rPr>
      </w:pPr>
      <w:r w:rsidRPr="00E070A2">
        <w:rPr>
          <w:rStyle w:val="Refdenotaalpie"/>
        </w:rPr>
        <w:footnoteRef/>
      </w:r>
      <w:r w:rsidRPr="00E070A2">
        <w:t xml:space="preserve"> Corte Interamericana de Derechos Humanos</w:t>
      </w:r>
      <w:r w:rsidRPr="00E070A2">
        <w:rPr>
          <w:lang w:val="es-ES_tradnl"/>
        </w:rPr>
        <w:t xml:space="preserve">. Opinión Consultiva 031-OC de 2025. </w:t>
      </w:r>
    </w:p>
  </w:footnote>
  <w:footnote w:id="91">
    <w:p w14:paraId="2B780D0A" w14:textId="77777777" w:rsidR="00445711" w:rsidRPr="00E070A2" w:rsidRDefault="00445711" w:rsidP="00E070A2">
      <w:pPr>
        <w:pStyle w:val="Textonotapie"/>
        <w:contextualSpacing/>
      </w:pPr>
      <w:r w:rsidRPr="00E070A2">
        <w:rPr>
          <w:rStyle w:val="Refdenotaalpie"/>
        </w:rPr>
        <w:footnoteRef/>
      </w:r>
      <w:r w:rsidRPr="00E070A2">
        <w:t xml:space="preserve"> </w:t>
      </w:r>
      <w:r w:rsidRPr="00E070A2">
        <w:rPr>
          <w:color w:val="000000"/>
        </w:rPr>
        <w:t xml:space="preserve">Estereotipos de género. El ACNUDH y los derechos humanos de las mujeres y la igualdad de género. </w:t>
      </w:r>
      <w:hyperlink r:id="rId7">
        <w:r w:rsidRPr="00E070A2">
          <w:rPr>
            <w:color w:val="467886"/>
            <w:u w:val="single"/>
          </w:rPr>
          <w:t>https://www.ohchr.org/es/women/gender-stereotyping</w:t>
        </w:r>
      </w:hyperlink>
      <w:r w:rsidRPr="00E070A2">
        <w:rPr>
          <w:color w:val="000000"/>
        </w:rPr>
        <w:t>.</w:t>
      </w:r>
    </w:p>
  </w:footnote>
  <w:footnote w:id="92">
    <w:p w14:paraId="27965FE8" w14:textId="02DC1675" w:rsidR="003B49B0" w:rsidRPr="00E070A2" w:rsidRDefault="003B49B0"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Ratificada por Colombia mediante la Ley 51 de 1981. </w:t>
      </w:r>
    </w:p>
  </w:footnote>
  <w:footnote w:id="93">
    <w:p w14:paraId="2AF8A1A1" w14:textId="389513E7" w:rsidR="00B942FB" w:rsidRPr="00E070A2" w:rsidRDefault="00B942FB" w:rsidP="00E070A2">
      <w:pPr>
        <w:pStyle w:val="Textonotapie"/>
        <w:contextualSpacing/>
      </w:pPr>
      <w:r w:rsidRPr="00E070A2">
        <w:rPr>
          <w:rStyle w:val="Refdenotaalpie"/>
        </w:rPr>
        <w:footnoteRef/>
      </w:r>
      <w:r w:rsidRPr="00E070A2">
        <w:t xml:space="preserve"> Recomendación general N° 40 de 2024 </w:t>
      </w:r>
    </w:p>
  </w:footnote>
  <w:footnote w:id="94">
    <w:p w14:paraId="65005FB6" w14:textId="77777777" w:rsidR="00B942FB" w:rsidRPr="00E070A2" w:rsidRDefault="00B942FB" w:rsidP="00E070A2">
      <w:pPr>
        <w:pStyle w:val="Textonotapie"/>
        <w:contextualSpacing/>
        <w:rPr>
          <w:lang w:val="es-ES_tradnl"/>
        </w:rPr>
      </w:pPr>
      <w:r w:rsidRPr="00E070A2">
        <w:rPr>
          <w:rStyle w:val="Refdenotaalpie"/>
        </w:rPr>
        <w:footnoteRef/>
      </w:r>
      <w:r w:rsidRPr="00E070A2">
        <w:t xml:space="preserve"> Recomendación general No. 25 de 2004. En este, el Comité </w:t>
      </w:r>
      <w:r w:rsidRPr="00E070A2">
        <w:rPr>
          <w:lang w:val="es-ES_tradnl"/>
        </w:rPr>
        <w:t xml:space="preserve">señala que la discriminación indirecta se produce cuando la leyes se basan en criterios que aparentemente son neutros desde el punto de vista del género pero que, de hecho, repercuten negativamente en la mujer. </w:t>
      </w:r>
    </w:p>
  </w:footnote>
  <w:footnote w:id="95">
    <w:p w14:paraId="232C579D" w14:textId="7795D750" w:rsidR="00602F73" w:rsidRPr="00E070A2" w:rsidRDefault="00602F73" w:rsidP="00E070A2">
      <w:pPr>
        <w:pStyle w:val="Textonotapie"/>
        <w:contextualSpacing/>
      </w:pPr>
      <w:r w:rsidRPr="00E070A2">
        <w:rPr>
          <w:rStyle w:val="Refdenotaalpie"/>
        </w:rPr>
        <w:footnoteRef/>
      </w:r>
      <w:r w:rsidRPr="00E070A2">
        <w:t xml:space="preserve"> Ratificada mediante la Ley 248 de 1995. Artículo 6 consagra: [e]l derecho de toda mujer a una vida libre de violencia incluye, entre otros: a. el derecho de la mujer a ser libre de toda forma de discriminación, y b. el derecho de la mujer a ser valorada y educada libre de patrones estereotipados de comportamiento y prácticas sociales y culturales basadas en conceptos de inferioridad o subordinación.</w:t>
      </w:r>
    </w:p>
  </w:footnote>
  <w:footnote w:id="96">
    <w:p w14:paraId="6AC61D42" w14:textId="789BF3FA" w:rsidR="00F625DC" w:rsidRPr="00E070A2" w:rsidRDefault="00F625DC" w:rsidP="00E070A2">
      <w:pPr>
        <w:pStyle w:val="Textonotapie"/>
        <w:contextualSpacing/>
        <w:rPr>
          <w:lang w:val="es-ES_tradnl"/>
        </w:rPr>
      </w:pPr>
      <w:r w:rsidRPr="00E070A2">
        <w:rPr>
          <w:rStyle w:val="Refdenotaalpie"/>
        </w:rPr>
        <w:footnoteRef/>
      </w:r>
      <w:r w:rsidRPr="00E070A2">
        <w:t xml:space="preserve"> C</w:t>
      </w:r>
      <w:r w:rsidR="00A75A9E" w:rsidRPr="00E070A2">
        <w:t>orte</w:t>
      </w:r>
      <w:r w:rsidR="001F7494" w:rsidRPr="00E070A2">
        <w:t xml:space="preserve"> IDH</w:t>
      </w:r>
      <w:r w:rsidR="00C736CE" w:rsidRPr="00E070A2">
        <w:t xml:space="preserve">. </w:t>
      </w:r>
      <w:r w:rsidRPr="00E070A2">
        <w:t xml:space="preserve">Caso </w:t>
      </w:r>
      <w:r w:rsidRPr="00E070A2">
        <w:rPr>
          <w:lang w:eastAsia="es-MX"/>
        </w:rPr>
        <w:t>Atala Riffo y Niñas vs. Chile</w:t>
      </w:r>
      <w:r w:rsidR="001F7494" w:rsidRPr="00E070A2">
        <w:rPr>
          <w:lang w:eastAsia="es-MX"/>
        </w:rPr>
        <w:t xml:space="preserve"> (Excepciones preliminares, Fondo, Reparaciones y Costas, Sentencia de </w:t>
      </w:r>
      <w:r w:rsidRPr="00E070A2">
        <w:rPr>
          <w:lang w:eastAsia="es-MX"/>
        </w:rPr>
        <w:t>24 de febrero de 2012</w:t>
      </w:r>
      <w:r w:rsidR="001F7494" w:rsidRPr="00E070A2">
        <w:rPr>
          <w:lang w:eastAsia="es-MX"/>
        </w:rPr>
        <w:t>, p</w:t>
      </w:r>
      <w:r w:rsidRPr="00E070A2">
        <w:rPr>
          <w:lang w:eastAsia="es-MX"/>
        </w:rPr>
        <w:t xml:space="preserve">árr. 237. </w:t>
      </w:r>
    </w:p>
  </w:footnote>
  <w:footnote w:id="97">
    <w:p w14:paraId="5375F8AC" w14:textId="5A90E644" w:rsidR="00A75A9E" w:rsidRPr="00E070A2" w:rsidRDefault="00A75A9E" w:rsidP="00E070A2">
      <w:pPr>
        <w:pStyle w:val="Textonotapie"/>
        <w:contextualSpacing/>
      </w:pPr>
      <w:r w:rsidRPr="00E070A2">
        <w:rPr>
          <w:rStyle w:val="Refdenotaalpie"/>
        </w:rPr>
        <w:footnoteRef/>
      </w:r>
      <w:r w:rsidRPr="00E070A2">
        <w:t xml:space="preserve"> </w:t>
      </w:r>
      <w:r w:rsidR="00C736CE" w:rsidRPr="00E070A2">
        <w:t xml:space="preserve">Corte Interamericana de Derechos Humanos. </w:t>
      </w:r>
      <w:r w:rsidRPr="00E070A2">
        <w:t>Opinión Consultiva</w:t>
      </w:r>
      <w:r w:rsidR="00BE0DC1" w:rsidRPr="00E070A2">
        <w:t xml:space="preserve"> </w:t>
      </w:r>
      <w:r w:rsidR="00BE0DC1" w:rsidRPr="00E070A2">
        <w:rPr>
          <w:color w:val="000000" w:themeColor="text1"/>
          <w:lang w:eastAsia="es-MX"/>
        </w:rPr>
        <w:t>OC-31 del 2025</w:t>
      </w:r>
      <w:r w:rsidR="001F7494" w:rsidRPr="00E070A2">
        <w:rPr>
          <w:color w:val="000000" w:themeColor="text1"/>
          <w:lang w:eastAsia="es-MX"/>
        </w:rPr>
        <w:t>, p</w:t>
      </w:r>
      <w:r w:rsidRPr="00E070A2">
        <w:t xml:space="preserve">árr. 141. </w:t>
      </w:r>
    </w:p>
  </w:footnote>
  <w:footnote w:id="98">
    <w:p w14:paraId="0725B32A" w14:textId="055DC755" w:rsidR="0015711E" w:rsidRPr="00E070A2" w:rsidRDefault="0015711E"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Por ejemplo, la Sentencia C-622 de 1997, declaró inexequible una disposición del Código Sustantivo del Trabajo que prohibía a las mujeres desempeñar trabajos nocturnos porque “de considerarse una norma protectora, el precepto acusado tiene un carácter paternalista y conduce a prohibir que las mujeres, puedan laborar durante la noche, en las empresas industriales, lo cual constituye una abierta discriminación contra ella, que debe ser abolida, pues aparte de tener plena capacidad para el trabajo en condiciones dignas y justas, debe garantizárseles en igualdad de condiciones con los hombres”. </w:t>
      </w:r>
    </w:p>
  </w:footnote>
  <w:footnote w:id="99">
    <w:p w14:paraId="04293751" w14:textId="0F33D182" w:rsidR="000225AB" w:rsidRPr="00E070A2" w:rsidRDefault="000225AB"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En esta providencia la Corte Constitucional también identificó esta situación como una forma de discriminación indirecta. </w:t>
      </w:r>
    </w:p>
  </w:footnote>
  <w:footnote w:id="100">
    <w:p w14:paraId="761E95D6" w14:textId="1854CDAE" w:rsidR="003E4FA1" w:rsidRPr="00E070A2" w:rsidRDefault="003E4FA1" w:rsidP="00E070A2">
      <w:pPr>
        <w:pStyle w:val="Textonotapie"/>
        <w:contextualSpacing/>
        <w:rPr>
          <w:lang w:val="es-ES_tradnl"/>
        </w:rPr>
      </w:pPr>
      <w:r w:rsidRPr="00E070A2">
        <w:rPr>
          <w:rStyle w:val="Refdenotaalpie"/>
        </w:rPr>
        <w:footnoteRef/>
      </w:r>
      <w:r w:rsidRPr="00E070A2">
        <w:t xml:space="preserve"> </w:t>
      </w:r>
      <w:r w:rsidR="00C736CE" w:rsidRPr="00E070A2">
        <w:t xml:space="preserve">Corte Interamericana de Derechos Humanos. </w:t>
      </w:r>
      <w:r w:rsidRPr="00E070A2">
        <w:t>Opinión Consultiva</w:t>
      </w:r>
      <w:r w:rsidR="007E1DB1" w:rsidRPr="00E070A2">
        <w:t xml:space="preserve"> </w:t>
      </w:r>
      <w:r w:rsidR="007E1DB1" w:rsidRPr="00E070A2">
        <w:rPr>
          <w:color w:val="000000" w:themeColor="text1"/>
          <w:lang w:eastAsia="es-MX"/>
        </w:rPr>
        <w:t>OC-31 del 2025</w:t>
      </w:r>
      <w:r w:rsidR="007A249F" w:rsidRPr="00E070A2">
        <w:t xml:space="preserve">. </w:t>
      </w:r>
      <w:r w:rsidR="007A249F" w:rsidRPr="00E070A2">
        <w:rPr>
          <w:lang w:val="es-ES_tradnl"/>
        </w:rPr>
        <w:t xml:space="preserve">Hacia políticas y sistemas integrales de cuidado con las personas en el centro: Diálogos entre América Latina, el Caribe y la Unión Europea. p. 12. ONU Mujeres y Comisión Económica para América Latina y el Caribe (CEPAL). </w:t>
      </w:r>
    </w:p>
  </w:footnote>
  <w:footnote w:id="101">
    <w:p w14:paraId="455CF4A5" w14:textId="77777777" w:rsidR="00E71AC8" w:rsidRPr="00E070A2" w:rsidRDefault="00E71AC8" w:rsidP="00E070A2">
      <w:pPr>
        <w:pStyle w:val="Textonotapie"/>
        <w:contextualSpacing/>
        <w:rPr>
          <w:lang w:val="es-ES_tradnl"/>
        </w:rPr>
      </w:pPr>
      <w:r w:rsidRPr="00E070A2">
        <w:rPr>
          <w:rStyle w:val="Refdenotaalpie"/>
        </w:rPr>
        <w:footnoteRef/>
      </w:r>
      <w:r w:rsidRPr="00E070A2">
        <w:t xml:space="preserve"> Aprobada en la Novena Conferencia Internacional Americana Bogotá́, Colombia, 1948. </w:t>
      </w:r>
    </w:p>
  </w:footnote>
  <w:footnote w:id="102">
    <w:p w14:paraId="1A2246D8" w14:textId="77777777" w:rsidR="00E71AC8" w:rsidRPr="00E070A2" w:rsidRDefault="00E71AC8"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Artículo 7 expresa que las mujeres en estado de gravidez o lactancia, así como los niños, “tienen derecho a protección, cuidados y ayuda especiales”. </w:t>
      </w:r>
    </w:p>
  </w:footnote>
  <w:footnote w:id="103">
    <w:p w14:paraId="30048B56" w14:textId="77777777" w:rsidR="00E71AC8" w:rsidRPr="00E070A2" w:rsidRDefault="00E71AC8"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El numeral 2° del artículo 25. </w:t>
      </w:r>
    </w:p>
  </w:footnote>
  <w:footnote w:id="104">
    <w:p w14:paraId="7380BCCE" w14:textId="77777777" w:rsidR="004C6A37" w:rsidRPr="00E070A2" w:rsidRDefault="004C6A37"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Artículo 28. </w:t>
      </w:r>
    </w:p>
  </w:footnote>
  <w:footnote w:id="105">
    <w:p w14:paraId="4CD1939A" w14:textId="77777777" w:rsidR="004F2F05" w:rsidRPr="00E070A2" w:rsidRDefault="004F2F05" w:rsidP="00E070A2">
      <w:pPr>
        <w:pStyle w:val="Textonotapie"/>
        <w:contextualSpacing/>
        <w:rPr>
          <w:lang w:val="es-ES_tradnl"/>
        </w:rPr>
      </w:pPr>
      <w:r w:rsidRPr="00E070A2">
        <w:rPr>
          <w:rStyle w:val="Refdenotaalpie"/>
        </w:rPr>
        <w:footnoteRef/>
      </w:r>
      <w:r w:rsidRPr="00E070A2">
        <w:t xml:space="preserve"> Artículos 2, 3, 6, 9, 12, 16, 19, 22, entre otros. La Convención consagra principios como el de bienestar y cuidado, el buen trato y la atención preferencial, y el enfoque diferencial para el goce efectivo de los derechos de las personas mayores. </w:t>
      </w:r>
    </w:p>
  </w:footnote>
  <w:footnote w:id="106">
    <w:p w14:paraId="1A7441AF" w14:textId="36F7D32A" w:rsidR="001631F8" w:rsidRPr="00E070A2" w:rsidRDefault="001631F8" w:rsidP="00E070A2">
      <w:pPr>
        <w:pStyle w:val="Textonotapie"/>
        <w:contextualSpacing/>
        <w:rPr>
          <w:lang w:val="pt-BR"/>
        </w:rPr>
      </w:pPr>
      <w:r w:rsidRPr="00E070A2">
        <w:rPr>
          <w:rStyle w:val="Refdenotaalpie"/>
        </w:rPr>
        <w:footnoteRef/>
      </w:r>
      <w:r w:rsidRPr="00E070A2">
        <w:rPr>
          <w:lang w:val="pt-BR"/>
        </w:rPr>
        <w:t xml:space="preserve"> Corte Constitucional, Sentencia T-494 de 1992. </w:t>
      </w:r>
    </w:p>
  </w:footnote>
  <w:footnote w:id="107">
    <w:p w14:paraId="34F758F6" w14:textId="77777777" w:rsidR="00D2094E" w:rsidRPr="00E070A2" w:rsidRDefault="00D2094E" w:rsidP="00E070A2">
      <w:pPr>
        <w:pStyle w:val="Textonotapie"/>
        <w:contextualSpacing/>
        <w:rPr>
          <w:lang w:val="pt-BR"/>
        </w:rPr>
      </w:pPr>
      <w:r w:rsidRPr="00E070A2">
        <w:rPr>
          <w:rStyle w:val="Refdenotaalpie"/>
        </w:rPr>
        <w:footnoteRef/>
      </w:r>
      <w:r w:rsidRPr="00E070A2">
        <w:rPr>
          <w:lang w:val="pt-BR"/>
        </w:rPr>
        <w:t xml:space="preserve"> Corte Constitucional, Sentencia C-400 de 2024. </w:t>
      </w:r>
    </w:p>
  </w:footnote>
  <w:footnote w:id="108">
    <w:p w14:paraId="3E53F4AB" w14:textId="662522CA" w:rsidR="00D2094E" w:rsidRPr="00E070A2" w:rsidRDefault="00D2094E" w:rsidP="00E070A2">
      <w:pPr>
        <w:pStyle w:val="Textonotapie"/>
        <w:contextualSpacing/>
        <w:rPr>
          <w:lang w:val="pt-BR"/>
        </w:rPr>
      </w:pPr>
      <w:r w:rsidRPr="00E070A2">
        <w:rPr>
          <w:rStyle w:val="Refdenotaalpie"/>
        </w:rPr>
        <w:footnoteRef/>
      </w:r>
      <w:r w:rsidRPr="00E070A2">
        <w:rPr>
          <w:lang w:val="pt-BR"/>
        </w:rPr>
        <w:t xml:space="preserve"> Corte Constitucional, Sentencia T-498 de 2024. </w:t>
      </w:r>
    </w:p>
  </w:footnote>
  <w:footnote w:id="109">
    <w:p w14:paraId="3CFA6EA5" w14:textId="77777777" w:rsidR="00440B6B" w:rsidRPr="00E070A2" w:rsidRDefault="00440B6B" w:rsidP="00E070A2">
      <w:pPr>
        <w:pStyle w:val="Textonotapie"/>
        <w:contextualSpacing/>
        <w:rPr>
          <w:lang w:val="pt-BR"/>
        </w:rPr>
      </w:pPr>
      <w:r w:rsidRPr="00E070A2">
        <w:rPr>
          <w:rStyle w:val="Refdenotaalpie"/>
        </w:rPr>
        <w:footnoteRef/>
      </w:r>
      <w:r w:rsidRPr="00E070A2">
        <w:rPr>
          <w:lang w:val="pt-BR"/>
        </w:rPr>
        <w:t xml:space="preserve"> Corte Constitucional, Sentencia T-339 de 2019. </w:t>
      </w:r>
    </w:p>
  </w:footnote>
  <w:footnote w:id="110">
    <w:p w14:paraId="2CA17A5E" w14:textId="1BAC8540" w:rsidR="007F2F7D" w:rsidRPr="00E070A2" w:rsidRDefault="007F2F7D" w:rsidP="00E070A2">
      <w:pPr>
        <w:pStyle w:val="Textonotapie"/>
        <w:contextualSpacing/>
        <w:rPr>
          <w:lang w:val="pt-BR"/>
        </w:rPr>
      </w:pPr>
      <w:r w:rsidRPr="00E070A2">
        <w:rPr>
          <w:rStyle w:val="Refdenotaalpie"/>
        </w:rPr>
        <w:footnoteRef/>
      </w:r>
      <w:r w:rsidRPr="00E070A2">
        <w:rPr>
          <w:lang w:val="pt-BR"/>
        </w:rPr>
        <w:t xml:space="preserve"> Corte Constitucional, </w:t>
      </w:r>
      <w:r w:rsidR="002D5CA5" w:rsidRPr="00E070A2">
        <w:rPr>
          <w:lang w:val="pt-BR"/>
        </w:rPr>
        <w:t>s</w:t>
      </w:r>
      <w:r w:rsidRPr="00E070A2">
        <w:rPr>
          <w:lang w:val="pt-BR"/>
        </w:rPr>
        <w:t>entencia</w:t>
      </w:r>
      <w:r w:rsidR="00AE352D" w:rsidRPr="00E070A2">
        <w:rPr>
          <w:lang w:val="pt-BR"/>
        </w:rPr>
        <w:t>s</w:t>
      </w:r>
      <w:r w:rsidRPr="00E070A2">
        <w:rPr>
          <w:lang w:val="pt-BR"/>
        </w:rPr>
        <w:t xml:space="preserve"> T-583 de 2023 y T-447 de 2023. </w:t>
      </w:r>
    </w:p>
  </w:footnote>
  <w:footnote w:id="111">
    <w:p w14:paraId="73380A5C" w14:textId="185B3BE8" w:rsidR="007F2F7D" w:rsidRPr="00E070A2" w:rsidRDefault="007F2F7D" w:rsidP="00E070A2">
      <w:pPr>
        <w:pStyle w:val="Textonotapie"/>
        <w:contextualSpacing/>
        <w:rPr>
          <w:lang w:val="pt-BR"/>
        </w:rPr>
      </w:pPr>
      <w:r w:rsidRPr="00E070A2">
        <w:rPr>
          <w:rStyle w:val="Refdenotaalpie"/>
        </w:rPr>
        <w:footnoteRef/>
      </w:r>
      <w:r w:rsidRPr="00E070A2">
        <w:rPr>
          <w:lang w:val="pt-BR"/>
        </w:rPr>
        <w:t xml:space="preserve"> Corte Constitucional, </w:t>
      </w:r>
      <w:r w:rsidR="002D5CA5" w:rsidRPr="00E070A2">
        <w:rPr>
          <w:lang w:val="pt-BR"/>
        </w:rPr>
        <w:t xml:space="preserve">sentencias </w:t>
      </w:r>
      <w:r w:rsidRPr="00E070A2">
        <w:rPr>
          <w:lang w:val="pt-BR"/>
        </w:rPr>
        <w:t>T-583 de 2023 y T-</w:t>
      </w:r>
      <w:r w:rsidR="00FF3EC1" w:rsidRPr="00E070A2">
        <w:rPr>
          <w:lang w:val="pt-BR"/>
        </w:rPr>
        <w:t xml:space="preserve">498 de 2024. </w:t>
      </w:r>
    </w:p>
  </w:footnote>
  <w:footnote w:id="112">
    <w:p w14:paraId="11D0CA9D" w14:textId="5ACF2399" w:rsidR="00165BCE" w:rsidRPr="00E070A2" w:rsidRDefault="00165BCE" w:rsidP="00E070A2">
      <w:pPr>
        <w:pStyle w:val="Textonotapie"/>
        <w:rPr>
          <w:lang w:val="pt-BR"/>
        </w:rPr>
      </w:pPr>
      <w:r w:rsidRPr="00E070A2">
        <w:rPr>
          <w:rStyle w:val="Refdenotaalpie"/>
        </w:rPr>
        <w:footnoteRef/>
      </w:r>
      <w:r w:rsidRPr="00E070A2">
        <w:rPr>
          <w:lang w:val="pt-BR"/>
        </w:rPr>
        <w:t xml:space="preserve"> Corte Constitucional, Sentencia SU - 367 de 2025. </w:t>
      </w:r>
    </w:p>
  </w:footnote>
  <w:footnote w:id="113">
    <w:p w14:paraId="0A83FBFE" w14:textId="6E6F4121" w:rsidR="000F55AB" w:rsidRPr="00E070A2" w:rsidRDefault="000F55AB" w:rsidP="00E070A2">
      <w:pPr>
        <w:pStyle w:val="Textonotapie"/>
        <w:contextualSpacing/>
      </w:pPr>
      <w:r w:rsidRPr="00E070A2">
        <w:rPr>
          <w:rStyle w:val="Refdenotaalpie"/>
        </w:rPr>
        <w:footnoteRef/>
      </w:r>
      <w:r w:rsidRPr="00E070A2">
        <w:t xml:space="preserve"> Corte Constitucional, sentencias T-447 de 2023 y T-400 de 2024. </w:t>
      </w:r>
    </w:p>
  </w:footnote>
  <w:footnote w:id="114">
    <w:p w14:paraId="410E45BA" w14:textId="77777777" w:rsidR="006B04D2" w:rsidRPr="00E070A2" w:rsidRDefault="006B04D2" w:rsidP="00E070A2">
      <w:pPr>
        <w:pStyle w:val="Textonotapie"/>
        <w:contextualSpacing/>
      </w:pPr>
      <w:r w:rsidRPr="00E070A2">
        <w:rPr>
          <w:rStyle w:val="Refdenotaalpie"/>
        </w:rPr>
        <w:footnoteRef/>
      </w:r>
      <w:r w:rsidRPr="00E070A2">
        <w:t xml:space="preserve"> Corte Constitucional, Sentencia C-269 de 2025. </w:t>
      </w:r>
    </w:p>
  </w:footnote>
  <w:footnote w:id="115">
    <w:p w14:paraId="5729AAE1" w14:textId="52588F07" w:rsidR="00620458" w:rsidRPr="00E070A2" w:rsidRDefault="00620458" w:rsidP="00E070A2">
      <w:pPr>
        <w:pStyle w:val="Textonotapie"/>
        <w:contextualSpacing/>
      </w:pPr>
      <w:r w:rsidRPr="00E070A2">
        <w:rPr>
          <w:rStyle w:val="Refdenotaalpie"/>
        </w:rPr>
        <w:footnoteRef/>
      </w:r>
      <w:r w:rsidRPr="00E070A2">
        <w:t xml:space="preserve"> Dejusticia, Reflexiones sobre le cuidado como derecho en Colombia. 2025. </w:t>
      </w:r>
    </w:p>
  </w:footnote>
  <w:footnote w:id="116">
    <w:p w14:paraId="689B50A5" w14:textId="1450A8FD" w:rsidR="002D5CA5" w:rsidRPr="00E070A2" w:rsidRDefault="002D5CA5" w:rsidP="00E070A2">
      <w:pPr>
        <w:pStyle w:val="Textonotapie"/>
        <w:contextualSpacing/>
      </w:pPr>
      <w:r w:rsidRPr="00E070A2">
        <w:rPr>
          <w:rStyle w:val="Refdenotaalpie"/>
        </w:rPr>
        <w:footnoteRef/>
      </w:r>
      <w:r w:rsidRPr="00E070A2">
        <w:t xml:space="preserve"> Corte Constitucional, Sentencia T-199 de 2025. </w:t>
      </w:r>
    </w:p>
  </w:footnote>
  <w:footnote w:id="117">
    <w:p w14:paraId="4C141371" w14:textId="4E5CCA3E" w:rsidR="00502A50" w:rsidRPr="00E070A2" w:rsidRDefault="00502A50" w:rsidP="00E070A2">
      <w:pPr>
        <w:pStyle w:val="Textonotapie"/>
      </w:pPr>
      <w:r w:rsidRPr="00E070A2">
        <w:rPr>
          <w:rStyle w:val="Refdenotaalpie"/>
        </w:rPr>
        <w:footnoteRef/>
      </w:r>
      <w:r w:rsidRPr="00E070A2">
        <w:t xml:space="preserve"> Corte Constitucional, Sentencia T-199 de 2025, reiterada en la Sentencia T-319 de 2025. </w:t>
      </w:r>
    </w:p>
  </w:footnote>
  <w:footnote w:id="118">
    <w:p w14:paraId="3E40E64F" w14:textId="65BC5ACC" w:rsidR="00EB4EF9" w:rsidRPr="00E070A2" w:rsidRDefault="00EB4EF9" w:rsidP="00E070A2">
      <w:pPr>
        <w:pStyle w:val="Textonotapie"/>
        <w:contextualSpacing/>
        <w:rPr>
          <w:lang w:val="es-ES_tradnl"/>
        </w:rPr>
      </w:pPr>
      <w:r w:rsidRPr="00E070A2">
        <w:rPr>
          <w:rStyle w:val="Refdenotaalpie"/>
        </w:rPr>
        <w:footnoteRef/>
      </w:r>
      <w:r w:rsidRPr="00E070A2">
        <w:t xml:space="preserve"> </w:t>
      </w:r>
      <w:r w:rsidRPr="00E070A2">
        <w:rPr>
          <w:lang w:val="es-ES_tradnl"/>
        </w:rPr>
        <w:t>Al respecto ver</w:t>
      </w:r>
      <w:r w:rsidR="00EA03EA" w:rsidRPr="00E070A2">
        <w:rPr>
          <w:lang w:val="es-ES_tradnl"/>
        </w:rPr>
        <w:t>, entre otras las sentencias</w:t>
      </w:r>
      <w:r w:rsidR="00D44E58" w:rsidRPr="00E070A2">
        <w:rPr>
          <w:lang w:val="es-ES_tradnl"/>
        </w:rPr>
        <w:t xml:space="preserve"> </w:t>
      </w:r>
      <w:r w:rsidRPr="00E070A2">
        <w:rPr>
          <w:lang w:val="es-ES_tradnl"/>
        </w:rPr>
        <w:t>C-415 de 2022, T-583 de 2023, T-447 de 2023, C-400 de 2024, T-226 de 2024</w:t>
      </w:r>
      <w:r w:rsidR="00EA03EA" w:rsidRPr="00E070A2">
        <w:rPr>
          <w:lang w:val="es-ES_tradnl"/>
        </w:rPr>
        <w:t xml:space="preserve">. </w:t>
      </w:r>
    </w:p>
  </w:footnote>
  <w:footnote w:id="119">
    <w:p w14:paraId="3348BD18" w14:textId="5DB242C9" w:rsidR="004F2F05" w:rsidRPr="00E070A2" w:rsidRDefault="004F2F05"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El artículo 5 </w:t>
      </w:r>
      <w:r w:rsidR="002A1756" w:rsidRPr="00E070A2">
        <w:rPr>
          <w:lang w:val="es-ES_tradnl"/>
        </w:rPr>
        <w:t xml:space="preserve">señala que “los Estados Partes tomarán todas las medidas apropiadas para: “a)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 y b) 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 </w:t>
      </w:r>
    </w:p>
  </w:footnote>
  <w:footnote w:id="120">
    <w:p w14:paraId="5C6961B8" w14:textId="2B30CB6C" w:rsidR="00D529CB" w:rsidRPr="00E070A2" w:rsidRDefault="00D529CB" w:rsidP="00E070A2">
      <w:pPr>
        <w:pStyle w:val="Textonotapie"/>
        <w:contextualSpacing/>
      </w:pPr>
      <w:r w:rsidRPr="00E070A2">
        <w:rPr>
          <w:rStyle w:val="Refdenotaalpie"/>
        </w:rPr>
        <w:footnoteRef/>
      </w:r>
      <w:r w:rsidRPr="00E070A2">
        <w:t xml:space="preserve"> </w:t>
      </w:r>
      <w:r w:rsidR="005659BF" w:rsidRPr="00E070A2">
        <w:t xml:space="preserve">Recientemente ratificado por Colombia a través de la Ley 2305 de 2023. </w:t>
      </w:r>
    </w:p>
  </w:footnote>
  <w:footnote w:id="121">
    <w:p w14:paraId="47EA3EB8" w14:textId="77777777" w:rsidR="001552B3" w:rsidRPr="00E070A2" w:rsidRDefault="001552B3" w:rsidP="00E070A2">
      <w:pPr>
        <w:pStyle w:val="Textonotapie"/>
        <w:contextualSpacing/>
      </w:pPr>
      <w:r w:rsidRPr="00E070A2">
        <w:rPr>
          <w:rStyle w:val="Refdenotaalpie"/>
        </w:rPr>
        <w:footnoteRef/>
      </w:r>
      <w:r w:rsidRPr="00E070A2">
        <w:t xml:space="preserve"> Resolución aprobada por el Consejo de Derechos Humanos el 11 de octubre de 2023. </w:t>
      </w:r>
    </w:p>
  </w:footnote>
  <w:footnote w:id="122">
    <w:p w14:paraId="4AFE11B6" w14:textId="479EF185" w:rsidR="00630A8E" w:rsidRPr="00E070A2" w:rsidRDefault="00630A8E" w:rsidP="00E070A2">
      <w:pPr>
        <w:pStyle w:val="Textonotapie"/>
        <w:contextualSpacing/>
      </w:pPr>
      <w:r w:rsidRPr="00E070A2">
        <w:rPr>
          <w:rStyle w:val="Refdenotaalpie"/>
        </w:rPr>
        <w:footnoteRef/>
      </w:r>
      <w:r w:rsidRPr="00E070A2">
        <w:t xml:space="preserve"> Avances en materia de normativa del cuidado en América Latina y el Caribe: hacia una sociedad del cuidado con igualdad de género”</w:t>
      </w:r>
      <w:r w:rsidR="000A3C08" w:rsidRPr="00E070A2">
        <w:t xml:space="preserve">. </w:t>
      </w:r>
      <w:r w:rsidRPr="00E070A2">
        <w:t>Comisión Económica para América Latina y el Caribe (CEPAL)</w:t>
      </w:r>
      <w:r w:rsidR="000A3C08" w:rsidRPr="00E070A2">
        <w:t xml:space="preserve">. </w:t>
      </w:r>
      <w:r w:rsidRPr="00E070A2">
        <w:t xml:space="preserve">Entidad de las Naciones Unidas para la Igualdad de Género y el Empoderamiento de las Mujeres (ONU-Mujeres), 2023, pág. 23. Disponible en: </w:t>
      </w:r>
      <w:hyperlink r:id="rId8" w:history="1">
        <w:r w:rsidRPr="00E070A2">
          <w:rPr>
            <w:rStyle w:val="Hipervnculo"/>
          </w:rPr>
          <w:t>https://lac.unwomen.org/sites/default/files/2023-03/S2201160_es.pdf</w:t>
        </w:r>
      </w:hyperlink>
      <w:r w:rsidRPr="00E070A2">
        <w:t xml:space="preserve">. Citado en la Opinión Consultiva OC-31 de 2025. </w:t>
      </w:r>
    </w:p>
  </w:footnote>
  <w:footnote w:id="123">
    <w:p w14:paraId="77B046C2" w14:textId="7913ACC5" w:rsidR="002C1F13" w:rsidRPr="00E070A2" w:rsidRDefault="002C1F13" w:rsidP="00E070A2">
      <w:pPr>
        <w:contextualSpacing/>
        <w:jc w:val="both"/>
        <w:rPr>
          <w:sz w:val="20"/>
          <w:szCs w:val="20"/>
          <w:lang w:eastAsia="es-CO"/>
        </w:rPr>
      </w:pPr>
      <w:r w:rsidRPr="00E070A2">
        <w:rPr>
          <w:rStyle w:val="Refdenotaalpie"/>
          <w:sz w:val="20"/>
          <w:szCs w:val="20"/>
        </w:rPr>
        <w:footnoteRef/>
      </w:r>
      <w:r w:rsidRPr="00E070A2">
        <w:rPr>
          <w:sz w:val="20"/>
          <w:szCs w:val="20"/>
        </w:rPr>
        <w:t xml:space="preserve"> </w:t>
      </w:r>
      <w:r w:rsidRPr="00E070A2">
        <w:rPr>
          <w:sz w:val="20"/>
          <w:szCs w:val="20"/>
          <w:lang w:eastAsia="es-CO"/>
        </w:rPr>
        <w:t>En esta sentencia, la Corte Constitucional declaró la exequibilidad condicionada de los artículos 239.1 y 240.1 del Decreto Ley 2663 de 1950 (Código Sustantivo del Trabajo), en atención a la omisión legislativa contenida en estas normas, en el entendido de que la prohibición de despido y exigencia de permiso para llevarlo a cabo se extienden al (la) trabajador (a) que sea cónyuge o compañero(a) permanente de mujer embarazada o lactante, dependiente económicamente de aquel (la).</w:t>
      </w:r>
    </w:p>
  </w:footnote>
  <w:footnote w:id="124">
    <w:p w14:paraId="64205A85" w14:textId="0AED8F39" w:rsidR="003C7BCE" w:rsidRPr="00E070A2" w:rsidRDefault="003C7BCE" w:rsidP="00E070A2">
      <w:pPr>
        <w:pStyle w:val="Textonotapie"/>
      </w:pPr>
      <w:r w:rsidRPr="00E070A2">
        <w:rPr>
          <w:rStyle w:val="Refdenotaalpie"/>
        </w:rPr>
        <w:footnoteRef/>
      </w:r>
      <w:r w:rsidRPr="00E070A2">
        <w:t xml:space="preserve"> En esta oportunidad, la Sala Plena, estudió </w:t>
      </w:r>
      <w:r w:rsidRPr="00E070A2">
        <w:rPr>
          <w:color w:val="000000" w:themeColor="text1"/>
          <w:lang w:eastAsia="es-MX"/>
        </w:rPr>
        <w:t>una demanda de inconstitucionalidad contra el numeral 5 del artículo 1° de la Ley 2141 de 2021, “[p]or medio de la cual se modifican los artículos 239 y 240 del CST, con el fin de establecer el fuero de paternidad</w:t>
      </w:r>
      <w:r w:rsidRPr="00E070A2">
        <w:rPr>
          <w:color w:val="000000" w:themeColor="text1"/>
          <w:lang w:val="es-ES_tradnl" w:eastAsia="es-MX"/>
        </w:rPr>
        <w:t>”</w:t>
      </w:r>
    </w:p>
  </w:footnote>
  <w:footnote w:id="125">
    <w:p w14:paraId="5081D04F" w14:textId="0CC79A08" w:rsidR="00290A22" w:rsidRPr="00E070A2" w:rsidRDefault="00290A22" w:rsidP="00E070A2">
      <w:pPr>
        <w:pStyle w:val="Textonotapie"/>
      </w:pPr>
      <w:r w:rsidRPr="00E070A2">
        <w:rPr>
          <w:rStyle w:val="Refdenotaalpie"/>
        </w:rPr>
        <w:footnoteRef/>
      </w:r>
      <w:r w:rsidRPr="00E070A2">
        <w:t xml:space="preserve"> </w:t>
      </w:r>
      <w:r w:rsidRPr="00E070A2">
        <w:rPr>
          <w:color w:val="000000" w:themeColor="text1"/>
          <w:lang w:eastAsia="es-MX"/>
        </w:rPr>
        <w:t>La Corte concluyó que la condición prevista en la norma demandada (numeral 5 del artículo 1 de la Ley 2141 de 2021), que supeditaba dicha protección a la empleabilidad de la madre resultaba discriminatorio, pues trasladaba de manera desproporcionada la carga económica familiar a las mujeres y afectaba la participación del padre y la calidad del cuidado del hijo o hija</w:t>
      </w:r>
    </w:p>
  </w:footnote>
  <w:footnote w:id="126">
    <w:p w14:paraId="3C8D603F" w14:textId="77777777" w:rsidR="00485A21" w:rsidRPr="00E070A2" w:rsidRDefault="00485A21" w:rsidP="00E070A2">
      <w:pPr>
        <w:pStyle w:val="Textonotapie"/>
        <w:rPr>
          <w:lang w:val="es-ES_tradnl"/>
        </w:rPr>
      </w:pPr>
      <w:r w:rsidRPr="00E070A2">
        <w:rPr>
          <w:rStyle w:val="Refdenotaalpie"/>
        </w:rPr>
        <w:footnoteRef/>
      </w:r>
      <w:r w:rsidRPr="00E070A2">
        <w:t xml:space="preserve"> Importancia de los cuidados y el apoyo desde una perspectiva de derechos humanos. Asamblea General, 12 de octubre de 2023. </w:t>
      </w:r>
    </w:p>
  </w:footnote>
  <w:footnote w:id="127">
    <w:p w14:paraId="16B23884" w14:textId="77777777" w:rsidR="00485A21" w:rsidRPr="00E070A2" w:rsidRDefault="00485A21" w:rsidP="00E070A2">
      <w:pPr>
        <w:pStyle w:val="Textonotapie"/>
      </w:pPr>
      <w:r w:rsidRPr="00E070A2">
        <w:rPr>
          <w:rStyle w:val="Refdenotaalpie"/>
        </w:rPr>
        <w:footnoteRef/>
      </w:r>
      <w:r w:rsidRPr="00E070A2">
        <w:t xml:space="preserve"> Organización Internacional del Trabajo. El trabajo de cuidados y los trabajadores del cuidado para un futuro con trabajo decente. 2019, Disponible en: </w:t>
      </w:r>
      <w:hyperlink r:id="rId9" w:history="1">
        <w:r w:rsidRPr="00E070A2">
          <w:rPr>
            <w:rStyle w:val="Hipervnculo"/>
          </w:rPr>
          <w:t>https://www.ilo.org/es/publications/major-publications/el-trabajode-cuidados-y-los-trabajadores-del-cuidado-para-un-futuro-con</w:t>
        </w:r>
      </w:hyperlink>
      <w:r w:rsidRPr="00E070A2">
        <w:t xml:space="preserve">. </w:t>
      </w:r>
    </w:p>
  </w:footnote>
  <w:footnote w:id="128">
    <w:p w14:paraId="4E2EDB72" w14:textId="77777777" w:rsidR="00485A21" w:rsidRPr="00E070A2" w:rsidRDefault="00485A21" w:rsidP="00E070A2">
      <w:pPr>
        <w:pStyle w:val="Textonotapie"/>
      </w:pPr>
      <w:r w:rsidRPr="00E070A2">
        <w:rPr>
          <w:rStyle w:val="Refdenotaalpie"/>
        </w:rPr>
        <w:footnoteRef/>
      </w:r>
      <w:r w:rsidRPr="00E070A2">
        <w:t xml:space="preserve"> Un paso decisivo hacia la igualdad de género. En pos de un mejor futuro del trabajo para todos. Organización Internacional del Trabajo. </w:t>
      </w:r>
    </w:p>
  </w:footnote>
  <w:footnote w:id="129">
    <w:p w14:paraId="76A586CB" w14:textId="77777777" w:rsidR="00485A21" w:rsidRPr="00E070A2" w:rsidRDefault="00485A21" w:rsidP="00E070A2">
      <w:pPr>
        <w:pStyle w:val="Textonotapie"/>
      </w:pPr>
      <w:r w:rsidRPr="00E070A2">
        <w:rPr>
          <w:rStyle w:val="Refdenotaalpie"/>
        </w:rPr>
        <w:footnoteRef/>
      </w:r>
      <w:r w:rsidRPr="00E070A2">
        <w:t xml:space="preserve"> Cuidados en América Latina y el Caribe en tiempos de covid-19. Hacia sistemas integrales para fortalecer la respuesta y la recuperación. CEPAL y ONU Mujeres. Disponible en: </w:t>
      </w:r>
      <w:hyperlink r:id="rId10" w:history="1">
        <w:r w:rsidRPr="00E070A2">
          <w:rPr>
            <w:rStyle w:val="Hipervnculo"/>
          </w:rPr>
          <w:t>https://www.cepal.org/sites/default/files/document/files/cuidados_covid_esp.pdf</w:t>
        </w:r>
      </w:hyperlink>
      <w:r w:rsidRPr="00E070A2">
        <w:t xml:space="preserve"> </w:t>
      </w:r>
    </w:p>
  </w:footnote>
  <w:footnote w:id="130">
    <w:p w14:paraId="4731068B" w14:textId="77777777" w:rsidR="00485A21" w:rsidRPr="00E070A2" w:rsidRDefault="00485A21" w:rsidP="00E070A2">
      <w:pPr>
        <w:pStyle w:val="Textonotapie"/>
        <w:rPr>
          <w:lang w:val="es-ES_tradnl"/>
        </w:rPr>
      </w:pPr>
      <w:r w:rsidRPr="00E070A2">
        <w:rPr>
          <w:rStyle w:val="Refdenotaalpie"/>
        </w:rPr>
        <w:footnoteRef/>
      </w:r>
      <w:r w:rsidRPr="00E070A2">
        <w:t xml:space="preserve"> El trabajo doméstico y de cuidado incluye, entre otros, la preparación de alimentos, lavado de vajilla, limpieza y mantenimiento de la vivienda, lavar y planchar ropa, cuidado de mascotas, compras para el hogar, instalación, mantenimiento y reparación de bienes personales y de uso doméstico, y cuidado de niños y niñas, personas adultas mayores y/o en situación de dependencia. </w:t>
      </w:r>
    </w:p>
  </w:footnote>
  <w:footnote w:id="131">
    <w:p w14:paraId="3ED4D272" w14:textId="77777777" w:rsidR="00485A21" w:rsidRPr="00E070A2" w:rsidRDefault="00485A21" w:rsidP="00E070A2">
      <w:pPr>
        <w:pStyle w:val="Textonotapie"/>
      </w:pPr>
      <w:r w:rsidRPr="00E070A2">
        <w:rPr>
          <w:rStyle w:val="Refdenotaalpie"/>
          <w:color w:val="000000" w:themeColor="text1"/>
        </w:rPr>
        <w:footnoteRef/>
      </w:r>
      <w:r w:rsidRPr="00E070A2">
        <w:rPr>
          <w:color w:val="000000" w:themeColor="text1"/>
        </w:rPr>
        <w:t xml:space="preserve"> Disponible en: </w:t>
      </w:r>
      <w:hyperlink r:id="rId11" w:history="1">
        <w:r w:rsidRPr="00E070A2">
          <w:rPr>
            <w:rStyle w:val="Hipervnculo"/>
            <w:color w:val="000000" w:themeColor="text1"/>
          </w:rPr>
          <w:t>https://oig.cepal.org/es/indicadores/proporcion-tiempo-dedicado-al-trabajo-domestico-cuidado-no-remunerado-desglosado-sexo</w:t>
        </w:r>
      </w:hyperlink>
      <w:r w:rsidRPr="00E070A2">
        <w:rPr>
          <w:color w:val="000000" w:themeColor="text1"/>
        </w:rPr>
        <w:t>.</w:t>
      </w:r>
    </w:p>
  </w:footnote>
  <w:footnote w:id="132">
    <w:p w14:paraId="059A31FD" w14:textId="77777777" w:rsidR="00485A21" w:rsidRPr="00E070A2" w:rsidRDefault="00485A21" w:rsidP="00E070A2">
      <w:pPr>
        <w:pStyle w:val="Textonotapie"/>
      </w:pPr>
      <w:r w:rsidRPr="00E070A2">
        <w:rPr>
          <w:rStyle w:val="Refdenotaalpie"/>
        </w:rPr>
        <w:footnoteRef/>
      </w:r>
      <w:r w:rsidRPr="00E070A2">
        <w:t xml:space="preserve"> En promedio, las mujeres dedican entre 13.2% (Brasil) y 24.7% (Chile) de su tiempo diario a estas actividades. En la mayoría de los países, el porcentaje está cerca o por encima del 20%. </w:t>
      </w:r>
    </w:p>
  </w:footnote>
  <w:footnote w:id="133">
    <w:p w14:paraId="077C70D5" w14:textId="77777777" w:rsidR="00485A21" w:rsidRPr="00E070A2" w:rsidRDefault="00485A21" w:rsidP="00E070A2">
      <w:pPr>
        <w:pStyle w:val="Textonotapie"/>
        <w:rPr>
          <w:lang w:val="es-ES_tradnl"/>
        </w:rPr>
      </w:pPr>
      <w:r w:rsidRPr="00E070A2">
        <w:rPr>
          <w:rStyle w:val="Refdenotaalpie"/>
        </w:rPr>
        <w:footnoteRef/>
      </w:r>
      <w:r w:rsidRPr="00E070A2">
        <w:t xml:space="preserve"> Los hombres dedican significativamente menos tiempo, con porcentajes que van desde el 3.9% (Paraguay y Guatemala) hasta el 10.8% (Chile).</w:t>
      </w:r>
    </w:p>
  </w:footnote>
  <w:footnote w:id="134">
    <w:p w14:paraId="4C015E84" w14:textId="77777777" w:rsidR="00485A21" w:rsidRPr="00E070A2" w:rsidRDefault="00485A21" w:rsidP="00E070A2">
      <w:pPr>
        <w:pStyle w:val="Textonotapie"/>
      </w:pPr>
      <w:r w:rsidRPr="00E070A2">
        <w:rPr>
          <w:rStyle w:val="Refdenotaalpie"/>
        </w:rPr>
        <w:footnoteRef/>
      </w:r>
      <w:r w:rsidRPr="00E070A2">
        <w:t xml:space="preserve"> Corte Interamericana de Derechos Humanos. Opinión Consultiva OC-31 de 2025. </w:t>
      </w:r>
    </w:p>
  </w:footnote>
  <w:footnote w:id="135">
    <w:p w14:paraId="74C4346E" w14:textId="6D2D7169" w:rsidR="00485A21" w:rsidRPr="00E070A2" w:rsidRDefault="00485A21" w:rsidP="00E070A2">
      <w:pPr>
        <w:pStyle w:val="Textonotapie"/>
      </w:pPr>
      <w:r w:rsidRPr="00E070A2">
        <w:rPr>
          <w:rStyle w:val="Refdenotaalpie"/>
        </w:rPr>
        <w:footnoteRef/>
      </w:r>
      <w:r w:rsidRPr="00E070A2">
        <w:t xml:space="preserve"> DANE y Fundación Saldarriaga Concha. “Personas mayores en Colombia: Hacia la inclusión y la participación”. Nota estadística, 2021. Disponible en: https://www.dane.gov.co/index.php/servicios-al-ciudadano/servicios-informacion/serie-notas-estadisticas. Consultado el 28 de noviembre de 2022. P. 49. Citado en la Sentencia C-054 de 2024. Al respecto, también ver: DANE. Encuesta Nacional de Uso del Tiempo – ENUT, octubre  2024 - marzo 2025. Resultados preliminares. Disponible en: </w:t>
      </w:r>
      <w:hyperlink r:id="rId12" w:history="1">
        <w:r w:rsidRPr="00E070A2">
          <w:rPr>
            <w:rStyle w:val="Hipervnculo"/>
          </w:rPr>
          <w:t>https://www.dane.gov.co/files/operaciones/ENUT/pres-ENUT-2024-2025.pdf</w:t>
        </w:r>
      </w:hyperlink>
      <w:r w:rsidRPr="00E070A2">
        <w:t>.</w:t>
      </w:r>
    </w:p>
  </w:footnote>
  <w:footnote w:id="136">
    <w:p w14:paraId="548BD115" w14:textId="0A30E782" w:rsidR="006E7C0B" w:rsidRPr="00E070A2" w:rsidRDefault="006E7C0B" w:rsidP="00E070A2">
      <w:pPr>
        <w:pStyle w:val="Textonotapie"/>
        <w:contextualSpacing/>
      </w:pPr>
      <w:r w:rsidRPr="00E070A2">
        <w:rPr>
          <w:rStyle w:val="Refdenotaalpie"/>
        </w:rPr>
        <w:footnoteRef/>
      </w:r>
      <w:r w:rsidRPr="00E070A2">
        <w:t xml:space="preserve"> Cfr. Código Sustantivo de Trabajo, arts. 236 y siguientes.</w:t>
      </w:r>
    </w:p>
  </w:footnote>
  <w:footnote w:id="137">
    <w:p w14:paraId="7BAB9F5E" w14:textId="77777777" w:rsidR="00FC2235" w:rsidRPr="00E070A2" w:rsidRDefault="00FC2235" w:rsidP="00E070A2">
      <w:pPr>
        <w:pStyle w:val="Textonotapie"/>
        <w:contextualSpacing/>
        <w:rPr>
          <w:lang w:val="pt-BR"/>
        </w:rPr>
      </w:pPr>
      <w:r w:rsidRPr="00E070A2">
        <w:rPr>
          <w:rStyle w:val="Refdenotaalpie"/>
        </w:rPr>
        <w:footnoteRef/>
      </w:r>
      <w:r w:rsidRPr="00E070A2">
        <w:rPr>
          <w:lang w:val="pt-BR"/>
        </w:rPr>
        <w:t xml:space="preserve"> Corte Constitucional, Sentencia C-415 de 2022. </w:t>
      </w:r>
    </w:p>
  </w:footnote>
  <w:footnote w:id="138">
    <w:p w14:paraId="6772681F" w14:textId="786D14F4" w:rsidR="005E5985" w:rsidRPr="00E070A2" w:rsidRDefault="005E5985" w:rsidP="00E070A2">
      <w:pPr>
        <w:pStyle w:val="Textonotapie"/>
        <w:contextualSpacing/>
      </w:pPr>
      <w:r w:rsidRPr="00E070A2">
        <w:rPr>
          <w:rStyle w:val="Refdenotaalpie"/>
        </w:rPr>
        <w:footnoteRef/>
      </w:r>
      <w:r w:rsidRPr="00E070A2">
        <w:t xml:space="preserve"> </w:t>
      </w:r>
      <w:r w:rsidR="001F7494" w:rsidRPr="00E070A2">
        <w:t xml:space="preserve">Corte Interamericana de Derechos Humanos. </w:t>
      </w:r>
      <w:r w:rsidRPr="00E070A2">
        <w:t>Opinión Consultiva OC-31 de 2025, respecto al derecho al cuidado</w:t>
      </w:r>
      <w:r w:rsidR="001F7494" w:rsidRPr="00E070A2">
        <w:t>, p</w:t>
      </w:r>
      <w:r w:rsidRPr="00E070A2">
        <w:t xml:space="preserve">árr. 250. </w:t>
      </w:r>
    </w:p>
  </w:footnote>
  <w:footnote w:id="139">
    <w:p w14:paraId="6C88F04E" w14:textId="387D0794" w:rsidR="006A5D0E" w:rsidRPr="00E070A2" w:rsidRDefault="006A5D0E" w:rsidP="00E070A2">
      <w:pPr>
        <w:pStyle w:val="Textonotapie"/>
        <w:contextualSpacing/>
      </w:pPr>
      <w:r w:rsidRPr="00E070A2">
        <w:rPr>
          <w:rStyle w:val="Refdenotaalpie"/>
        </w:rPr>
        <w:footnoteRef/>
      </w:r>
      <w:r w:rsidRPr="00E070A2">
        <w:t xml:space="preserve"> “Por la cual se modifica el parágrafo del artículo 236 del Código Sustantivo del Trabajo - Ley María”.</w:t>
      </w:r>
    </w:p>
  </w:footnote>
  <w:footnote w:id="140">
    <w:p w14:paraId="099968DE" w14:textId="158D23C1" w:rsidR="006A5D0E" w:rsidRPr="00E070A2" w:rsidRDefault="006A5D0E" w:rsidP="00E070A2">
      <w:pPr>
        <w:pStyle w:val="Textonotapie"/>
        <w:contextualSpacing/>
      </w:pPr>
      <w:r w:rsidRPr="00E070A2">
        <w:rPr>
          <w:rStyle w:val="Refdenotaalpie"/>
        </w:rPr>
        <w:footnoteRef/>
      </w:r>
      <w:r w:rsidRPr="00E070A2">
        <w:t xml:space="preserve"> “Por la cual se modifican los artículos 236, 239, 57, 58 del Código Sustantivo del Trabajo y se dictan otras disposiciones.</w:t>
      </w:r>
    </w:p>
  </w:footnote>
  <w:footnote w:id="141">
    <w:p w14:paraId="73FA32C5" w14:textId="1FD50E7B" w:rsidR="007E1288" w:rsidRPr="00E070A2" w:rsidRDefault="007E1288" w:rsidP="00E070A2">
      <w:pPr>
        <w:pStyle w:val="Textonotapie"/>
        <w:contextualSpacing/>
      </w:pPr>
      <w:r w:rsidRPr="00E070A2">
        <w:rPr>
          <w:rStyle w:val="Refdenotaalpie"/>
        </w:rPr>
        <w:footnoteRef/>
      </w:r>
      <w:r w:rsidRPr="00E070A2">
        <w:t xml:space="preserve"> “Por medio de la cual se incentiva la adecuada atención y cuidado de la primera infancia, se modifican los artículos 236 y 239 del código sustantivo del trabajo y se dictan otras disposiciones”.</w:t>
      </w:r>
    </w:p>
  </w:footnote>
  <w:footnote w:id="142">
    <w:p w14:paraId="3BBA55F7" w14:textId="6743D099" w:rsidR="002D4236" w:rsidRPr="00E070A2" w:rsidRDefault="002D4236" w:rsidP="00E070A2">
      <w:pPr>
        <w:pStyle w:val="Textonotapie"/>
        <w:contextualSpacing/>
      </w:pPr>
      <w:r w:rsidRPr="00E070A2">
        <w:rPr>
          <w:rStyle w:val="Refdenotaalpie"/>
        </w:rPr>
        <w:footnoteRef/>
      </w:r>
      <w:r w:rsidRPr="00E070A2">
        <w:t xml:space="preserve"> Corte Constitucional, sentencias </w:t>
      </w:r>
      <w:r w:rsidR="004C7CC9" w:rsidRPr="00E070A2">
        <w:t xml:space="preserve">C-273 de 2003, C-005 de 2017, C-415 de 2022 y </w:t>
      </w:r>
      <w:r w:rsidRPr="00E070A2">
        <w:t>T-</w:t>
      </w:r>
      <w:r w:rsidR="004C7CC9" w:rsidRPr="00E070A2">
        <w:t xml:space="preserve">259 de 2024. </w:t>
      </w:r>
    </w:p>
  </w:footnote>
  <w:footnote w:id="143">
    <w:p w14:paraId="78F5D011" w14:textId="040B7283" w:rsidR="002D4236" w:rsidRPr="00E070A2" w:rsidRDefault="002D4236"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Corte Constitucional, sentencias C-415 de 2022 y T-259 de 2024. </w:t>
      </w:r>
    </w:p>
  </w:footnote>
  <w:footnote w:id="144">
    <w:p w14:paraId="48A6572C" w14:textId="77777777" w:rsidR="00F72BC9" w:rsidRPr="00E070A2" w:rsidRDefault="00F72BC9" w:rsidP="00E070A2">
      <w:pPr>
        <w:pStyle w:val="Textonotapie"/>
        <w:contextualSpacing/>
        <w:rPr>
          <w:lang w:val="pt-BR"/>
        </w:rPr>
      </w:pPr>
      <w:r w:rsidRPr="00E070A2">
        <w:rPr>
          <w:rStyle w:val="Refdenotaalpie"/>
        </w:rPr>
        <w:footnoteRef/>
      </w:r>
      <w:r w:rsidRPr="00E070A2">
        <w:rPr>
          <w:lang w:val="pt-BR"/>
        </w:rPr>
        <w:t xml:space="preserve"> Corte Constitucional, Sentencia C-415 de 2022. </w:t>
      </w:r>
    </w:p>
  </w:footnote>
  <w:footnote w:id="145">
    <w:p w14:paraId="10B92100" w14:textId="77777777" w:rsidR="00283FD8" w:rsidRPr="00E070A2" w:rsidRDefault="00283FD8" w:rsidP="00E070A2">
      <w:pPr>
        <w:pStyle w:val="Textonotapie"/>
        <w:contextualSpacing/>
        <w:rPr>
          <w:lang w:val="es-ES_tradnl"/>
        </w:rPr>
      </w:pPr>
      <w:r w:rsidRPr="00E070A2">
        <w:rPr>
          <w:rStyle w:val="Refdenotaalpie"/>
        </w:rPr>
        <w:footnoteRef/>
      </w:r>
      <w:r w:rsidRPr="00E070A2">
        <w:t xml:space="preserve"> El Convenio 003 de la OIT fue adoptado por el Estado de Colombia mediante la Ley 129 de 1931. Dicho instrumento, en su artículo 2, expresa: “A los efectos del presente convenio, el término mujer comprende a toda persona del sexo femenino, cualquiera que sea su edad o nacionalidad, casada o no, y el término hijo comprende a todo hijo, legítimo o no”. </w:t>
      </w:r>
    </w:p>
  </w:footnote>
  <w:footnote w:id="146">
    <w:p w14:paraId="2F682E51" w14:textId="77777777" w:rsidR="00644DB5" w:rsidRPr="00E070A2" w:rsidRDefault="00644DB5" w:rsidP="00E070A2">
      <w:pPr>
        <w:pStyle w:val="Textonotapie"/>
        <w:contextualSpacing/>
        <w:rPr>
          <w:lang w:val="pt-BR"/>
        </w:rPr>
      </w:pPr>
      <w:r w:rsidRPr="00E070A2">
        <w:rPr>
          <w:rStyle w:val="Refdenotaalpie"/>
        </w:rPr>
        <w:footnoteRef/>
      </w:r>
      <w:r w:rsidRPr="00E070A2">
        <w:rPr>
          <w:lang w:val="pt-BR"/>
        </w:rPr>
        <w:t xml:space="preserve"> Corte Constitucional, sentencias C-415 de 2022</w:t>
      </w:r>
    </w:p>
  </w:footnote>
  <w:footnote w:id="147">
    <w:p w14:paraId="6CEA612B" w14:textId="77777777" w:rsidR="007F41C5" w:rsidRPr="00E070A2" w:rsidRDefault="007F41C5" w:rsidP="00E070A2">
      <w:pPr>
        <w:pStyle w:val="Textonotapie"/>
        <w:contextualSpacing/>
      </w:pPr>
      <w:r w:rsidRPr="00E070A2">
        <w:rPr>
          <w:rStyle w:val="Refdenotaalpie"/>
        </w:rPr>
        <w:footnoteRef/>
      </w:r>
      <w:r w:rsidRPr="00E070A2">
        <w:t xml:space="preserve"> El artículo 34.4 de la Ley 50 de 1990 estableció que la licencia de maternidad se extendía a quienes adoptaran a menores de 7 años. Sin embargo, la Sala Plena, en la Sentencia C-543 de 2010, declaró la inconstitucionalidad de tal edad, pues consideró que excluir del reconocimiento y pago de la licencia a quienes adoptaran personas mayores de 7 años, desconocía los artículos 13, 42 y 44 de la Constitución.</w:t>
      </w:r>
    </w:p>
  </w:footnote>
  <w:footnote w:id="148">
    <w:p w14:paraId="3A116FB5" w14:textId="0953666A" w:rsidR="003E1D72" w:rsidRPr="00E070A2" w:rsidRDefault="003E1D72" w:rsidP="00E070A2">
      <w:pPr>
        <w:pStyle w:val="Textonotapie"/>
        <w:contextualSpacing/>
      </w:pPr>
      <w:r w:rsidRPr="00E070A2">
        <w:rPr>
          <w:rStyle w:val="Refdenotaalpie"/>
        </w:rPr>
        <w:footnoteRef/>
      </w:r>
      <w:r w:rsidRPr="00E070A2">
        <w:t>Disponible</w:t>
      </w:r>
      <w:r w:rsidR="00AE352D" w:rsidRPr="00E070A2">
        <w:t xml:space="preserve"> </w:t>
      </w:r>
      <w:r w:rsidRPr="00E070A2">
        <w:t xml:space="preserve"> en: </w:t>
      </w:r>
      <w:hyperlink r:id="rId13" w:history="1">
        <w:r w:rsidRPr="00E070A2">
          <w:rPr>
            <w:rStyle w:val="Hipervnculo"/>
          </w:rPr>
          <w:t>https://normlex.ilo.org/dyn/nrmlx_es/f?p=NORMLEXPUB:12100:0::NO::P12100_INSTRUMENT_ID:312328</w:t>
        </w:r>
      </w:hyperlink>
      <w:r w:rsidRPr="00E070A2">
        <w:t xml:space="preserve"> </w:t>
      </w:r>
    </w:p>
  </w:footnote>
  <w:footnote w:id="149">
    <w:p w14:paraId="047D9BAF" w14:textId="05B710B5" w:rsidR="00E9721F" w:rsidRPr="00E070A2" w:rsidRDefault="00E9721F" w:rsidP="00E070A2">
      <w:pPr>
        <w:pStyle w:val="Textonotapie"/>
        <w:contextualSpacing/>
        <w:rPr>
          <w:lang w:val="es-ES_tradnl"/>
        </w:rPr>
      </w:pPr>
      <w:r w:rsidRPr="00E070A2">
        <w:rPr>
          <w:rStyle w:val="Refdenotaalpie"/>
        </w:rPr>
        <w:footnoteRef/>
      </w:r>
      <w:r w:rsidRPr="00E070A2">
        <w:t xml:space="preserve"> </w:t>
      </w:r>
      <w:r w:rsidRPr="00E070A2">
        <w:rPr>
          <w:lang w:val="es-ES_tradnl"/>
        </w:rPr>
        <w:t>El Convenio 183, en su artículo 3</w:t>
      </w:r>
      <w:r w:rsidR="003E1D72" w:rsidRPr="00E070A2">
        <w:rPr>
          <w:lang w:val="es-ES_tradnl"/>
        </w:rPr>
        <w:t xml:space="preserve"> del 2000, precisó que la licencia de maternidad debía tener una duración de al menos 14 semanas.</w:t>
      </w:r>
      <w:r w:rsidR="00D44E58" w:rsidRPr="00E070A2">
        <w:rPr>
          <w:lang w:val="es-ES_tradnl"/>
        </w:rPr>
        <w:t xml:space="preserve"> </w:t>
      </w:r>
    </w:p>
  </w:footnote>
  <w:footnote w:id="150">
    <w:p w14:paraId="79B747B0" w14:textId="0B457707" w:rsidR="005F633B" w:rsidRPr="00E070A2" w:rsidRDefault="005F633B" w:rsidP="00E070A2">
      <w:pPr>
        <w:pStyle w:val="Textonotapie"/>
        <w:contextualSpacing/>
        <w:rPr>
          <w:lang w:val="es-ES_tradnl"/>
        </w:rPr>
      </w:pPr>
      <w:r w:rsidRPr="00E070A2">
        <w:rPr>
          <w:rStyle w:val="Refdenotaalpie"/>
        </w:rPr>
        <w:footnoteRef/>
      </w:r>
      <w:r w:rsidRPr="00E070A2">
        <w:t xml:space="preserve"> </w:t>
      </w:r>
      <w:r w:rsidRPr="00E070A2">
        <w:rPr>
          <w:lang w:val="es-ES_tradnl"/>
        </w:rPr>
        <w:t>La Recomendación 191 de la OIT sostuvo en su primer artículo: “</w:t>
      </w:r>
      <w:r w:rsidRPr="00E070A2">
        <w:rPr>
          <w:color w:val="333333"/>
          <w:shd w:val="clear" w:color="auto" w:fill="FFFFFF"/>
          <w:lang w:val="es-ES_tradnl"/>
        </w:rPr>
        <w:t>l</w:t>
      </w:r>
      <w:r w:rsidRPr="00E070A2">
        <w:rPr>
          <w:color w:val="333333"/>
          <w:shd w:val="clear" w:color="auto" w:fill="FFFFFF"/>
        </w:rPr>
        <w:t xml:space="preserve">os Miembros deberían procurar extender la duración de la licencia de maternidad, mencionada en el artículo 4 del Convenio, a dieciocho semanas, por lo menos”. </w:t>
      </w:r>
    </w:p>
  </w:footnote>
  <w:footnote w:id="151">
    <w:p w14:paraId="111CB3B7" w14:textId="1434D7DF" w:rsidR="00C431F7" w:rsidRPr="00E070A2" w:rsidRDefault="00C431F7" w:rsidP="00E070A2">
      <w:pPr>
        <w:pStyle w:val="Textonotapie"/>
        <w:contextualSpacing/>
        <w:rPr>
          <w:lang w:val="pt-BR"/>
        </w:rPr>
      </w:pPr>
      <w:r w:rsidRPr="00E070A2">
        <w:rPr>
          <w:rStyle w:val="Refdenotaalpie"/>
        </w:rPr>
        <w:footnoteRef/>
      </w:r>
      <w:r w:rsidRPr="00E070A2">
        <w:rPr>
          <w:lang w:val="pt-BR"/>
        </w:rPr>
        <w:t xml:space="preserve"> Corte Constitucional, Sentencia T-</w:t>
      </w:r>
      <w:r w:rsidR="00956865" w:rsidRPr="00E070A2">
        <w:rPr>
          <w:lang w:val="pt-BR"/>
        </w:rPr>
        <w:t xml:space="preserve">259 de 2024. </w:t>
      </w:r>
    </w:p>
  </w:footnote>
  <w:footnote w:id="152">
    <w:p w14:paraId="7F5C04C8" w14:textId="73F7FE38" w:rsidR="0016458A" w:rsidRPr="00E070A2" w:rsidRDefault="0016458A" w:rsidP="00E070A2">
      <w:pPr>
        <w:pStyle w:val="Textonotapie"/>
        <w:contextualSpacing/>
        <w:rPr>
          <w:lang w:val="es-ES_tradnl"/>
        </w:rPr>
      </w:pPr>
      <w:r w:rsidRPr="00E070A2">
        <w:rPr>
          <w:rStyle w:val="Refdenotaalpie"/>
        </w:rPr>
        <w:footnoteRef/>
      </w:r>
      <w:r w:rsidRPr="00E070A2">
        <w:t xml:space="preserve"> </w:t>
      </w:r>
      <w:r w:rsidRPr="00E070A2">
        <w:rPr>
          <w:lang w:val="es-ES_tradnl"/>
        </w:rPr>
        <w:t>Al respecto, ver sentencias C-152 de 2003, T-1078 de 2003, T-865 de 2008, C-665 de 2009, C-383 de 2012, C-005 de 2017, C-140 de 2018</w:t>
      </w:r>
      <w:r w:rsidR="00C238B7" w:rsidRPr="00E070A2">
        <w:rPr>
          <w:lang w:val="es-ES_tradnl"/>
        </w:rPr>
        <w:t xml:space="preserve">. </w:t>
      </w:r>
    </w:p>
  </w:footnote>
  <w:footnote w:id="153">
    <w:p w14:paraId="0723801F" w14:textId="5B8B0255" w:rsidR="00E3352E" w:rsidRPr="00E070A2" w:rsidRDefault="00E3352E" w:rsidP="00E070A2">
      <w:pPr>
        <w:pStyle w:val="Textonotapie"/>
        <w:contextualSpacing/>
      </w:pPr>
      <w:r w:rsidRPr="00E070A2">
        <w:rPr>
          <w:rStyle w:val="Refdenotaalpie"/>
        </w:rPr>
        <w:footnoteRef/>
      </w:r>
      <w:r w:rsidRPr="00E070A2">
        <w:t xml:space="preserve"> En esta sentencia, la Sala Plena determinó que las expresiones demandadas, “El esposo o compañero permanente” tendrá derecho a ocho (8) días hábiles de licencia remunerada de paternidad”, y “La licencia remunerada de paternidad opera por los hijos nacidos “del cónyuge o de la compañera”, contenidas en el parágrafo 1º del artículo 1º de la Ley 1468 de 2011 vulneraban la cláusula de igualdad, así como la protección de los niños, pues limitaba injustificadamente el reconocimiento de la licencia de paternidad solo a aquellos padres que tuvieran la calidad de esposos, cónyuges o compañeros permanentes y resolvió condicionar las expresiones, en el sentido de que dicha licencia opera para todos los hijos, independientemente de su filiación.</w:t>
      </w:r>
    </w:p>
  </w:footnote>
  <w:footnote w:id="154">
    <w:p w14:paraId="0E681AEE" w14:textId="77777777" w:rsidR="006A14D1" w:rsidRPr="00E070A2" w:rsidRDefault="006A14D1" w:rsidP="00E070A2">
      <w:pPr>
        <w:pStyle w:val="Textonotapie"/>
        <w:contextualSpacing/>
      </w:pPr>
      <w:r w:rsidRPr="00E070A2">
        <w:rPr>
          <w:rStyle w:val="Refdenotaalpie"/>
        </w:rPr>
        <w:footnoteRef/>
      </w:r>
      <w:r w:rsidRPr="00E070A2">
        <w:t xml:space="preserve"> La expresión padre es independiente a la condición de esposo, cónyuge o compañero permanente y de su vínculo legal o jurídico con la madre del niño o de la niña recién nacido (a) o adoptado (a).</w:t>
      </w:r>
    </w:p>
  </w:footnote>
  <w:footnote w:id="155">
    <w:p w14:paraId="4ADDCD2A" w14:textId="77777777" w:rsidR="006A14D1" w:rsidRPr="00E070A2" w:rsidRDefault="006A14D1" w:rsidP="00E070A2">
      <w:pPr>
        <w:pStyle w:val="Textonotapie"/>
        <w:contextualSpacing/>
      </w:pPr>
      <w:r w:rsidRPr="00E070A2">
        <w:rPr>
          <w:rStyle w:val="Refdenotaalpie"/>
        </w:rPr>
        <w:footnoteRef/>
      </w:r>
      <w:r w:rsidRPr="00E070A2">
        <w:t xml:space="preserve"> Corte Constitucional, sentencias C-273 de 2002 y C-174 de 2009</w:t>
      </w:r>
    </w:p>
  </w:footnote>
  <w:footnote w:id="156">
    <w:p w14:paraId="5AFC848A" w14:textId="77777777" w:rsidR="008E6295" w:rsidRPr="00E070A2" w:rsidRDefault="008E6295" w:rsidP="00E070A2">
      <w:pPr>
        <w:pStyle w:val="Textonotapie"/>
        <w:contextualSpacing/>
      </w:pPr>
      <w:r w:rsidRPr="00E070A2">
        <w:rPr>
          <w:rStyle w:val="Refdenotaalpie"/>
        </w:rPr>
        <w:footnoteRef/>
      </w:r>
      <w:r w:rsidRPr="00E070A2">
        <w:t xml:space="preserve"> “Por medio de la cual se amplía la licencia de paternidad, se crea la licencia parental compartida, la licencia parental flexible de tiempo parcial, se modifica el artículos 236 y se adiciona el artículo 241a del código sustantivo del trabajo, y se dictan otras disposiciones”. </w:t>
      </w:r>
    </w:p>
  </w:footnote>
  <w:footnote w:id="157">
    <w:p w14:paraId="3AEAD491" w14:textId="021248A6" w:rsidR="00D721C7" w:rsidRPr="00E070A2" w:rsidRDefault="00D721C7" w:rsidP="00E070A2">
      <w:pPr>
        <w:pStyle w:val="Textonotapie"/>
        <w:contextualSpacing/>
        <w:rPr>
          <w:lang w:val="pt-BR"/>
        </w:rPr>
      </w:pPr>
      <w:r w:rsidRPr="00E070A2">
        <w:rPr>
          <w:rStyle w:val="Refdenotaalpie"/>
        </w:rPr>
        <w:footnoteRef/>
      </w:r>
      <w:r w:rsidRPr="00E070A2">
        <w:rPr>
          <w:lang w:val="pt-BR"/>
        </w:rPr>
        <w:t xml:space="preserve"> </w:t>
      </w:r>
      <w:r w:rsidR="00882CB5" w:rsidRPr="00E070A2">
        <w:rPr>
          <w:lang w:val="pt-BR"/>
        </w:rPr>
        <w:t xml:space="preserve">Corte Constitucional, Sentencia C-415 de 2022. </w:t>
      </w:r>
    </w:p>
  </w:footnote>
  <w:footnote w:id="158">
    <w:p w14:paraId="135103AD" w14:textId="56C33479" w:rsidR="00D15EB5" w:rsidRPr="00E070A2" w:rsidRDefault="00D15EB5" w:rsidP="00E070A2">
      <w:pPr>
        <w:pStyle w:val="Textonotapie"/>
        <w:contextualSpacing/>
      </w:pPr>
      <w:r w:rsidRPr="00E070A2">
        <w:rPr>
          <w:rStyle w:val="Refdenotaalpie"/>
        </w:rPr>
        <w:footnoteRef/>
      </w:r>
      <w:r w:rsidRPr="00E070A2">
        <w:t xml:space="preserve"> “Por la presente Declaración de los Derechos del Niño, llamada Declaración de Ginebra, los hombres y mujeres de todas las naciones, reconociendo que la humanidad debe dar al niño lo mejor de sí misma, declaran y aceptan como deber, por encima de toda consideración de raza, nacionalidad o creencia, que: // 1. El niño debe ser puesto en condiciones de desarrollarse normalmente desde el punto de vista material y espiritual. // 2. El niño hambriento debe ser alimentado; el niño enfermo debe ser atendido; el niño deficiente debe ser ayudado; el niño desadaptado debe ser reeducado; el huérfano y abandonado deben ser recogidos y ayudados. // 3. El niño debe ser el primero en recibir socorro en caso de calamidad. // 4. El niño debe ser puesto en condiciones de ganarse la vida y debe ser protegido de cualquier explotación. // 5. El niño debe ser educado inculcándole el sentimiento del deber que tiene de poner sus mejores cualidades al servicio del prójimo”.</w:t>
      </w:r>
    </w:p>
  </w:footnote>
  <w:footnote w:id="159">
    <w:p w14:paraId="4CC5973B" w14:textId="77777777" w:rsidR="00677531" w:rsidRPr="00E070A2" w:rsidRDefault="00677531" w:rsidP="00E070A2">
      <w:pPr>
        <w:pStyle w:val="Textonotapie"/>
        <w:contextualSpacing/>
        <w:rPr>
          <w:lang w:val="es-ES_tradnl"/>
        </w:rPr>
      </w:pPr>
      <w:r w:rsidRPr="00E070A2">
        <w:rPr>
          <w:rStyle w:val="Refdenotaalpie"/>
          <w:color w:val="000000" w:themeColor="text1"/>
        </w:rPr>
        <w:footnoteRef/>
      </w:r>
      <w:r w:rsidRPr="00E070A2">
        <w:rPr>
          <w:color w:val="000000" w:themeColor="text1"/>
        </w:rPr>
        <w:t xml:space="preserve"> </w:t>
      </w:r>
      <w:r w:rsidRPr="00E070A2">
        <w:rPr>
          <w:color w:val="000000" w:themeColor="text1"/>
          <w:shd w:val="clear" w:color="auto" w:fill="FFFFFF"/>
        </w:rPr>
        <w:t>Principio 2: “El niño gozará de una protección especial y dispondrá de oportunidades y servicios, dispensado todo ello por la ley y por otros medios, para que pueda desarrollarse física, mental, moral, espiritual y socialmente en forma saludable y normal, así como en condiciones de libertad y dignidad. Al promulgar leyes con este fin, la consideración fundamental a que se atenderá será el interés superior del niño”.</w:t>
      </w:r>
    </w:p>
  </w:footnote>
  <w:footnote w:id="160">
    <w:p w14:paraId="10628853" w14:textId="730F3B43" w:rsidR="001F753C" w:rsidRPr="00E070A2" w:rsidRDefault="001F753C" w:rsidP="00E070A2">
      <w:pPr>
        <w:pStyle w:val="Textonotapie"/>
        <w:contextualSpacing/>
        <w:rPr>
          <w:lang w:val="es-ES_tradnl"/>
        </w:rPr>
      </w:pPr>
      <w:r w:rsidRPr="00E070A2">
        <w:rPr>
          <w:rStyle w:val="Refdenotaalpie"/>
        </w:rPr>
        <w:footnoteRef/>
      </w:r>
      <w:r w:rsidRPr="00E070A2">
        <w:t xml:space="preserve"> Este instrumento es el primer tratado vinculante dedicado a los derechos de los niños, niñas y adolescentes, reconociéndolos como sujetos de plenos derechos.</w:t>
      </w:r>
      <w:r w:rsidR="00D44E58" w:rsidRPr="00E070A2">
        <w:t xml:space="preserve"> </w:t>
      </w:r>
      <w:r w:rsidR="002D1D18" w:rsidRPr="00E070A2">
        <w:t xml:space="preserve">Colombia lo ratificó mediante la Ley 319 de 1996. </w:t>
      </w:r>
    </w:p>
  </w:footnote>
  <w:footnote w:id="161">
    <w:p w14:paraId="6934E407" w14:textId="494B413B" w:rsidR="00CF26DA" w:rsidRPr="00E070A2" w:rsidRDefault="00CF26DA"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Artículo 19. </w:t>
      </w:r>
    </w:p>
  </w:footnote>
  <w:footnote w:id="162">
    <w:p w14:paraId="591C6721" w14:textId="35E07F91" w:rsidR="004A4EC0" w:rsidRPr="00E070A2" w:rsidRDefault="004A4EC0" w:rsidP="00E070A2">
      <w:pPr>
        <w:pStyle w:val="Textonotapie"/>
        <w:contextualSpacing/>
        <w:rPr>
          <w:lang w:val="es-ES_tradnl"/>
        </w:rPr>
      </w:pPr>
      <w:r w:rsidRPr="00E070A2">
        <w:rPr>
          <w:rStyle w:val="Refdenotaalpie"/>
        </w:rPr>
        <w:footnoteRef/>
      </w:r>
      <w:r w:rsidRPr="00E070A2">
        <w:t xml:space="preserve"> </w:t>
      </w:r>
      <w:r w:rsidRPr="00E070A2">
        <w:rPr>
          <w:lang w:val="es-ES_tradnl"/>
        </w:rPr>
        <w:t>Este artículo de la Constitución establece que el “(…) Estado protegerá especialmente a aquellas personas que</w:t>
      </w:r>
      <w:r w:rsidR="00BE3530" w:rsidRPr="00E070A2">
        <w:rPr>
          <w:lang w:val="es-ES_tradnl"/>
        </w:rPr>
        <w:t>,</w:t>
      </w:r>
      <w:r w:rsidRPr="00E070A2">
        <w:rPr>
          <w:lang w:val="es-ES_tradnl"/>
        </w:rPr>
        <w:t xml:space="preserve"> por su condición económica, física o mental, se encuentren en circunstancia de debilidad manifiesta y sancionará los abusos o maltratos que contra ellas se cometan”.</w:t>
      </w:r>
    </w:p>
  </w:footnote>
  <w:footnote w:id="163">
    <w:p w14:paraId="31AD4211" w14:textId="77777777" w:rsidR="004A4EC0" w:rsidRPr="00E070A2" w:rsidRDefault="004A4EC0"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Este artículo de la Constitución versa sobre los derechos fundamentales de los niños y las niñas. </w:t>
      </w:r>
    </w:p>
  </w:footnote>
  <w:footnote w:id="164">
    <w:p w14:paraId="5ECC6149" w14:textId="77777777" w:rsidR="004A4EC0" w:rsidRPr="00E070A2" w:rsidRDefault="004A4EC0"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Esta disposición menciona los derechos de los adolescentes. </w:t>
      </w:r>
    </w:p>
  </w:footnote>
  <w:footnote w:id="165">
    <w:p w14:paraId="3BBBA812" w14:textId="5CC963E8" w:rsidR="00F14C8C" w:rsidRPr="00E070A2" w:rsidRDefault="00F14C8C" w:rsidP="00E070A2">
      <w:pPr>
        <w:pStyle w:val="Textonotapie"/>
        <w:contextualSpacing/>
        <w:rPr>
          <w:lang w:val="pt-BR"/>
        </w:rPr>
      </w:pPr>
      <w:r w:rsidRPr="00E070A2">
        <w:rPr>
          <w:rStyle w:val="Refdenotaalpie"/>
        </w:rPr>
        <w:footnoteRef/>
      </w:r>
      <w:r w:rsidRPr="00E070A2">
        <w:rPr>
          <w:lang w:val="pt-BR"/>
        </w:rPr>
        <w:t xml:space="preserve"> Corte Constitucional, Sentencia C-017 de 2019. </w:t>
      </w:r>
    </w:p>
  </w:footnote>
  <w:footnote w:id="166">
    <w:p w14:paraId="30CAD110" w14:textId="070ECC1E" w:rsidR="00BE3530" w:rsidRPr="00E070A2" w:rsidRDefault="00BE3530" w:rsidP="00E070A2">
      <w:pPr>
        <w:pStyle w:val="Textonotapie"/>
        <w:contextualSpacing/>
        <w:rPr>
          <w:lang w:val="es-ES_tradnl"/>
        </w:rPr>
      </w:pPr>
      <w:r w:rsidRPr="00E070A2">
        <w:rPr>
          <w:rStyle w:val="Refdenotaalpie"/>
        </w:rPr>
        <w:footnoteRef/>
      </w:r>
      <w:r w:rsidRPr="00E070A2">
        <w:t xml:space="preserve"> El primer</w:t>
      </w:r>
      <w:r w:rsidR="003D41D7" w:rsidRPr="00E070A2">
        <w:t xml:space="preserve"> artículo</w:t>
      </w:r>
      <w:r w:rsidRPr="00E070A2">
        <w:t xml:space="preserve"> determina lo siguiente: “[s]e entiende por interés superior del niño, niña y adolescente, el imperativo que obliga a todas las personas a garantizar la satisfacción integral y simultánea de todos sus Derechos Humanos, que son universales, prevalentes e interdependientes”; mientras que el segundo dispone: “[e]n todo acto, decisión o medida administrativa, judicial o de cualquier naturaleza que deba adoptarse en relación con los niños, las niñas y los adolescentes, prevalecerán los derechos de estos, en especial si existe conflicto entre sus derechos fundamentales con los de cualquier otra persona. En caso de conflicto entre dos o más disposiciones legales, administrativas o disciplinarias, se aplicará la norma más favorable al interés superior del niño, niña o adolescente”.</w:t>
      </w:r>
    </w:p>
  </w:footnote>
  <w:footnote w:id="167">
    <w:p w14:paraId="6CE8C58C" w14:textId="1FCF5B99" w:rsidR="003D41D7" w:rsidRPr="00E070A2" w:rsidRDefault="003D41D7" w:rsidP="00E070A2">
      <w:pPr>
        <w:pStyle w:val="Textonotapie"/>
        <w:contextualSpacing/>
      </w:pPr>
      <w:r w:rsidRPr="00E070A2">
        <w:rPr>
          <w:rStyle w:val="Refdenotaalpie"/>
        </w:rPr>
        <w:footnoteRef/>
      </w:r>
      <w:r w:rsidRPr="00E070A2">
        <w:t xml:space="preserve"> “Por la cual se expide el Código de la Infancia y la Adolescencia”.</w:t>
      </w:r>
    </w:p>
  </w:footnote>
  <w:footnote w:id="168">
    <w:p w14:paraId="1BCE53A4" w14:textId="794D88C9" w:rsidR="00D15EB5" w:rsidRPr="00E070A2" w:rsidRDefault="00D15EB5" w:rsidP="00E070A2">
      <w:pPr>
        <w:pStyle w:val="Textonotapie"/>
        <w:contextualSpacing/>
        <w:rPr>
          <w:lang w:val="pt-BR"/>
        </w:rPr>
      </w:pPr>
      <w:r w:rsidRPr="00E070A2">
        <w:rPr>
          <w:rStyle w:val="Refdenotaalpie"/>
        </w:rPr>
        <w:footnoteRef/>
      </w:r>
      <w:r w:rsidRPr="00E070A2">
        <w:rPr>
          <w:lang w:val="pt-BR"/>
        </w:rPr>
        <w:t xml:space="preserve"> Corte Constitucional, Sentencia C-683 de 2015. </w:t>
      </w:r>
    </w:p>
  </w:footnote>
  <w:footnote w:id="169">
    <w:p w14:paraId="752743D8" w14:textId="4613A6C9" w:rsidR="001C08A7" w:rsidRPr="00E070A2" w:rsidRDefault="001C08A7" w:rsidP="00E070A2">
      <w:pPr>
        <w:pStyle w:val="Textonotapie"/>
        <w:contextualSpacing/>
        <w:rPr>
          <w:lang w:val="es-ES_tradnl"/>
        </w:rPr>
      </w:pPr>
      <w:r w:rsidRPr="00E070A2">
        <w:rPr>
          <w:rStyle w:val="Refdenotaalpie"/>
        </w:rPr>
        <w:footnoteRef/>
      </w:r>
      <w:r w:rsidRPr="00E070A2">
        <w:t xml:space="preserve"> Corte Constitucional, sentencias </w:t>
      </w:r>
      <w:r w:rsidRPr="00E070A2">
        <w:rPr>
          <w:lang w:val="es-ES_tradnl"/>
        </w:rPr>
        <w:t xml:space="preserve">C-127 de 2023 y </w:t>
      </w:r>
      <w:r w:rsidRPr="00E070A2">
        <w:t xml:space="preserve">C-028 de 2024. </w:t>
      </w:r>
    </w:p>
  </w:footnote>
  <w:footnote w:id="170">
    <w:p w14:paraId="1915CA44" w14:textId="5A7D2C3F" w:rsidR="00F240EB" w:rsidRPr="00E070A2" w:rsidRDefault="00F240EB"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Corte Constitucional, Sentencia C-569 de 2016. </w:t>
      </w:r>
    </w:p>
  </w:footnote>
  <w:footnote w:id="171">
    <w:p w14:paraId="6324D945" w14:textId="7464FB44" w:rsidR="007D20EE" w:rsidRPr="00E070A2" w:rsidRDefault="007D20EE" w:rsidP="00E070A2">
      <w:pPr>
        <w:pStyle w:val="Textonotapie"/>
        <w:contextualSpacing/>
      </w:pPr>
      <w:r w:rsidRPr="00E070A2">
        <w:rPr>
          <w:rStyle w:val="Refdenotaalpie"/>
        </w:rPr>
        <w:footnoteRef/>
      </w:r>
      <w:r w:rsidRPr="00E070A2">
        <w:t xml:space="preserve"> Convención de los Derechos del Niño de 1989, artículo 7.1</w:t>
      </w:r>
      <w:r w:rsidR="006B6D84" w:rsidRPr="00E070A2">
        <w:t xml:space="preserve">, aprobada por la Ley 12 de 1991. </w:t>
      </w:r>
    </w:p>
  </w:footnote>
  <w:footnote w:id="172">
    <w:p w14:paraId="7E6C7CEA" w14:textId="56565B3F" w:rsidR="007D20EE" w:rsidRPr="00E070A2" w:rsidRDefault="007D20EE" w:rsidP="00E070A2">
      <w:pPr>
        <w:pStyle w:val="Textonotapie"/>
        <w:contextualSpacing/>
      </w:pPr>
      <w:r w:rsidRPr="00E070A2">
        <w:rPr>
          <w:rStyle w:val="Refdenotaalpie"/>
        </w:rPr>
        <w:footnoteRef/>
      </w:r>
      <w:r w:rsidRPr="00E070A2">
        <w:t xml:space="preserve"> </w:t>
      </w:r>
      <w:r w:rsidR="001F7494" w:rsidRPr="00E070A2">
        <w:t xml:space="preserve">Corte Interamericana de Derechos Humanos. </w:t>
      </w:r>
      <w:r w:rsidRPr="00E070A2">
        <w:t>Opinión Consultiva OC-031 de 2025</w:t>
      </w:r>
      <w:r w:rsidR="001F7494" w:rsidRPr="00E070A2">
        <w:t>, p</w:t>
      </w:r>
      <w:r w:rsidR="003C15EB" w:rsidRPr="00E070A2">
        <w:t>árr</w:t>
      </w:r>
      <w:r w:rsidRPr="00E070A2">
        <w:t xml:space="preserve">. 177. </w:t>
      </w:r>
    </w:p>
  </w:footnote>
  <w:footnote w:id="173">
    <w:p w14:paraId="1D1B2BBB" w14:textId="75E5B93E" w:rsidR="007D20EE" w:rsidRPr="00E070A2" w:rsidRDefault="007D20EE" w:rsidP="00E070A2">
      <w:pPr>
        <w:pStyle w:val="Textonotapie"/>
        <w:contextualSpacing/>
      </w:pPr>
      <w:r w:rsidRPr="00E070A2">
        <w:rPr>
          <w:rStyle w:val="Refdenotaalpie"/>
        </w:rPr>
        <w:footnoteRef/>
      </w:r>
      <w:r w:rsidRPr="00E070A2">
        <w:t xml:space="preserve"> Comité de los Derechos del Niño. Observación General n.º 7</w:t>
      </w:r>
      <w:r w:rsidR="00D44E58" w:rsidRPr="00E070A2">
        <w:t xml:space="preserve"> </w:t>
      </w:r>
      <w:r w:rsidR="00F65E0A" w:rsidRPr="00E070A2">
        <w:t xml:space="preserve">del </w:t>
      </w:r>
      <w:r w:rsidRPr="00E070A2">
        <w:t xml:space="preserve">2005, sobre la realización de los derechos del niño en la primera infancia. Los Estados deben respetar la supremacía de padres y madres y deben ofrecerles la asistencia necesaria para desempeñar su responsabilidad. </w:t>
      </w:r>
    </w:p>
  </w:footnote>
  <w:footnote w:id="174">
    <w:p w14:paraId="629B136E" w14:textId="42A1AC0C" w:rsidR="007D20EE" w:rsidRPr="00E070A2" w:rsidRDefault="007D20EE" w:rsidP="00E070A2">
      <w:pPr>
        <w:pStyle w:val="Textonotapie"/>
        <w:contextualSpacing/>
        <w:rPr>
          <w:lang w:val="pt-BR"/>
        </w:rPr>
      </w:pPr>
      <w:r w:rsidRPr="00E070A2">
        <w:rPr>
          <w:rStyle w:val="Refdenotaalpie"/>
        </w:rPr>
        <w:footnoteRef/>
      </w:r>
      <w:r w:rsidRPr="00E070A2">
        <w:rPr>
          <w:lang w:val="pt-BR"/>
        </w:rPr>
        <w:t xml:space="preserve"> Corte Constitucional, Sentencia T-259 de 2024. </w:t>
      </w:r>
    </w:p>
  </w:footnote>
  <w:footnote w:id="175">
    <w:p w14:paraId="00329DEF" w14:textId="13987632" w:rsidR="00165BCE" w:rsidRPr="00E070A2" w:rsidRDefault="00165BCE" w:rsidP="00E070A2">
      <w:pPr>
        <w:pStyle w:val="Textonotapie"/>
      </w:pPr>
      <w:r w:rsidRPr="00E070A2">
        <w:rPr>
          <w:rStyle w:val="Refdenotaalpie"/>
        </w:rPr>
        <w:footnoteRef/>
      </w:r>
      <w:r w:rsidRPr="00E070A2">
        <w:t xml:space="preserve"> Se ha reconocido que las tareas de cuidado asociadas a niños, niñas y adolescentes -especialmente menores de 14 años-, implican responsabilidades intensas. Corte Constitucional, Sentencia C-400 de 2024.  </w:t>
      </w:r>
    </w:p>
  </w:footnote>
  <w:footnote w:id="176">
    <w:p w14:paraId="2F935D78" w14:textId="73B7EE50" w:rsidR="00E8429D" w:rsidRPr="00E070A2" w:rsidRDefault="00E8429D" w:rsidP="00E070A2">
      <w:pPr>
        <w:pStyle w:val="Textonotapie"/>
        <w:contextualSpacing/>
        <w:rPr>
          <w:lang w:val="es-ES_tradnl"/>
        </w:rPr>
      </w:pPr>
      <w:r w:rsidRPr="00E070A2">
        <w:rPr>
          <w:rStyle w:val="Refdenotaalpie"/>
        </w:rPr>
        <w:footnoteRef/>
      </w:r>
      <w:r w:rsidRPr="00E070A2">
        <w:t xml:space="preserve"> Informe denominado El trabajo de cuidados y los trabajadores del cuidado para un futuro con trabajo decente: Disponible en:</w:t>
      </w:r>
      <w:r w:rsidR="00D44E58" w:rsidRPr="00E070A2">
        <w:t xml:space="preserve"> </w:t>
      </w:r>
      <w:hyperlink r:id="rId14" w:history="1">
        <w:r w:rsidRPr="00E070A2">
          <w:rPr>
            <w:rStyle w:val="Hipervnculo"/>
          </w:rPr>
          <w:t>https://www.ilo.org/es/publications/major-publications/el-trabajo-de-cuidados-y-los-trabajadores-del-cuidado-para-un-futuro-con</w:t>
        </w:r>
      </w:hyperlink>
      <w:r w:rsidRPr="00E070A2">
        <w:t xml:space="preserve">. P. 21. Informe citado en la Opinión Consultiva OC-031 de 2025 de la Corte Interamericana de Derechos Humanos. </w:t>
      </w:r>
    </w:p>
  </w:footnote>
  <w:footnote w:id="177">
    <w:p w14:paraId="5C643418" w14:textId="385961F1" w:rsidR="008152F3" w:rsidRPr="00E070A2" w:rsidRDefault="008152F3" w:rsidP="00E070A2">
      <w:pPr>
        <w:pStyle w:val="Textonotapie"/>
        <w:contextualSpacing/>
        <w:rPr>
          <w:lang w:val="es-ES_tradnl"/>
        </w:rPr>
      </w:pPr>
      <w:r w:rsidRPr="00E070A2">
        <w:rPr>
          <w:rStyle w:val="Refdenotaalpie"/>
        </w:rPr>
        <w:footnoteRef/>
      </w:r>
      <w:r w:rsidRPr="00E070A2">
        <w:t xml:space="preserve"> Declaración Universal de los Derechos Humanos. En concreto, el artículo 16.3 establece que “la familia es el elemento natural y fundamental de la sociedad y tiene derecho a la protección de la sociedad y del Estado”.</w:t>
      </w:r>
      <w:r w:rsidR="00232AD8" w:rsidRPr="00E070A2">
        <w:t xml:space="preserve"> Al igual que el artículo </w:t>
      </w:r>
      <w:r w:rsidR="00232AD8" w:rsidRPr="00E070A2">
        <w:rPr>
          <w:color w:val="2D2D2D"/>
          <w:shd w:val="clear" w:color="auto" w:fill="FFFFFF"/>
        </w:rPr>
        <w:t xml:space="preserve">23.1 del Pacto Internacional de Derechos Civiles y Políticos establece que la familia es el elemento natural y fundamental de la sociedad y tuene derecho a la protección de la sociedad y del Estado. </w:t>
      </w:r>
    </w:p>
  </w:footnote>
  <w:footnote w:id="178">
    <w:p w14:paraId="2FA1EE39" w14:textId="684FD58D" w:rsidR="00771E5D" w:rsidRPr="00E070A2" w:rsidRDefault="00771E5D" w:rsidP="00E070A2">
      <w:pPr>
        <w:pStyle w:val="Textonotapie"/>
        <w:contextualSpacing/>
        <w:rPr>
          <w:lang w:val="es-ES_tradnl"/>
        </w:rPr>
      </w:pPr>
      <w:r w:rsidRPr="00E070A2">
        <w:rPr>
          <w:rStyle w:val="Refdenotaalpie"/>
        </w:rPr>
        <w:footnoteRef/>
      </w:r>
      <w:r w:rsidRPr="00E070A2">
        <w:t xml:space="preserve"> </w:t>
      </w:r>
      <w:r w:rsidRPr="00E070A2">
        <w:rPr>
          <w:lang w:val="es-ES_tradnl"/>
        </w:rPr>
        <w:t>Pacto de Derechos Sociales, Económicos y Culturales. En particular, el artículo 10 consagra que “los Estados Partes en el presente Pacto reconocen que: 1. Se debe conceder a la familia, que es el elemento natural y fundamental de la sociedad, la más amplia protección y asistencia posibles, especialmente para su constitución y mientras sea responsable del cuidado y la educación de los hijos a su cargo. El matrimonio debe contraerse con el libre consentimiento de los futuros cónyuges”.</w:t>
      </w:r>
    </w:p>
  </w:footnote>
  <w:footnote w:id="179">
    <w:p w14:paraId="4B035C6E" w14:textId="5D50C287" w:rsidR="00771E5D" w:rsidRPr="00E070A2" w:rsidRDefault="00771E5D" w:rsidP="00E070A2">
      <w:pPr>
        <w:pStyle w:val="Textonotapie"/>
        <w:contextualSpacing/>
        <w:rPr>
          <w:lang w:val="es-ES_tradnl"/>
        </w:rPr>
      </w:pPr>
      <w:r w:rsidRPr="00E070A2">
        <w:rPr>
          <w:rStyle w:val="Refdenotaalpie"/>
        </w:rPr>
        <w:footnoteRef/>
      </w:r>
      <w:r w:rsidR="00506160" w:rsidRPr="00E070A2">
        <w:t xml:space="preserve"> </w:t>
      </w:r>
      <w:r w:rsidRPr="00E070A2">
        <w:rPr>
          <w:lang w:val="es-ES_tradnl"/>
        </w:rPr>
        <w:t xml:space="preserve">Disponible en: </w:t>
      </w:r>
      <w:hyperlink r:id="rId15" w:history="1">
        <w:r w:rsidRPr="00E070A2">
          <w:rPr>
            <w:rStyle w:val="Hipervnculo"/>
            <w:lang w:val="es-ES_tradnl"/>
          </w:rPr>
          <w:t>https://www.oas.org/dil/esp/Declaraci%C3%B3n%20sobre%20los%20Principios%20Sociales%20y%20Jur%C3%ADdicos%20relativos%20a%20la%20protecci%C3%B3n%20y%20el%20bienestar%20de%20los%20ni%C3%B1os%20Republica%20Dominicana.pdf</w:t>
        </w:r>
      </w:hyperlink>
      <w:r w:rsidRPr="00E070A2">
        <w:rPr>
          <w:lang w:val="es-ES_tradnl"/>
        </w:rPr>
        <w:t xml:space="preserve"> </w:t>
      </w:r>
    </w:p>
  </w:footnote>
  <w:footnote w:id="180">
    <w:p w14:paraId="4D2A92F6" w14:textId="1DCB0168" w:rsidR="00CA20FF" w:rsidRPr="00E070A2" w:rsidRDefault="00CA20FF" w:rsidP="00E070A2">
      <w:pPr>
        <w:pStyle w:val="Textonotapie"/>
        <w:contextualSpacing/>
        <w:rPr>
          <w:lang w:val="pt-BR"/>
        </w:rPr>
      </w:pPr>
      <w:r w:rsidRPr="00E070A2">
        <w:rPr>
          <w:rStyle w:val="Refdenotaalpie"/>
        </w:rPr>
        <w:footnoteRef/>
      </w:r>
      <w:r w:rsidRPr="00E070A2">
        <w:rPr>
          <w:lang w:val="pt-BR"/>
        </w:rPr>
        <w:t xml:space="preserve"> Corte Constitucional, Sentencia C-683 de 2015. </w:t>
      </w:r>
    </w:p>
  </w:footnote>
  <w:footnote w:id="181">
    <w:p w14:paraId="1F25B757" w14:textId="3CEA57A2" w:rsidR="00661342" w:rsidRPr="00E070A2" w:rsidRDefault="00661342"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Ibidem. </w:t>
      </w:r>
    </w:p>
  </w:footnote>
  <w:footnote w:id="182">
    <w:p w14:paraId="7C881395" w14:textId="38E57E97" w:rsidR="00661342" w:rsidRPr="00E070A2" w:rsidRDefault="00661342"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Corte Constitucional, sentencias C-477 de 1999 y C-683 de 2015. </w:t>
      </w:r>
    </w:p>
  </w:footnote>
  <w:footnote w:id="183">
    <w:p w14:paraId="7A3ED9B5" w14:textId="203D5736" w:rsidR="005335AB" w:rsidRPr="00E070A2" w:rsidRDefault="005335AB" w:rsidP="00E070A2">
      <w:pPr>
        <w:pStyle w:val="Textonotapie"/>
        <w:contextualSpacing/>
      </w:pPr>
      <w:r w:rsidRPr="00E070A2">
        <w:rPr>
          <w:rStyle w:val="Refdenotaalpie"/>
        </w:rPr>
        <w:footnoteRef/>
      </w:r>
      <w:r w:rsidRPr="00E070A2">
        <w:t xml:space="preserve"> La Observación General núm. 14 del Comité de los Derechos del Niño, precisa que los Estados tienen la obligación de tener en cuenta el interés superior del niño en todas las instituciones, incluidos los órganos legislativos y tribunales. Respecto de estos últimos dispone que (…) en los procedimientos de adopción, “los tribunales deben velar por que el interés superior del niño se tenga en cuenta en todas las situaciones y decisiones, de procedimiento o sustantivas, y han de demostrar que así lo han hecho efectivamente. </w:t>
      </w:r>
    </w:p>
  </w:footnote>
  <w:footnote w:id="184">
    <w:p w14:paraId="289A4D80" w14:textId="1EF41219" w:rsidR="00661342" w:rsidRPr="00E070A2" w:rsidRDefault="00661342" w:rsidP="00E070A2">
      <w:pPr>
        <w:pStyle w:val="Textonotapie"/>
        <w:contextualSpacing/>
      </w:pPr>
      <w:r w:rsidRPr="00E070A2">
        <w:rPr>
          <w:rStyle w:val="Refdenotaalpie"/>
        </w:rPr>
        <w:footnoteRef/>
      </w:r>
      <w:r w:rsidRPr="00E070A2">
        <w:t xml:space="preserve"> Declaración sobre los principios sociales y jurídicos relativos a la protección y el bienestar de los niños, con particular referencia a la adopción y la colocación en hogares de guarda, en los planos nacional e internacional. </w:t>
      </w:r>
      <w:r w:rsidRPr="00E070A2">
        <w:rPr>
          <w:lang w:val="es-ES_tradnl"/>
        </w:rPr>
        <w:t>El artículo 4 establece: cuando los propios padres del niño no puedan ocuparse de él o sus cuidados sean inapropiados, debe considerarse la posibilidad de que el cuidado quede a cargo de otros familiares de los padres del niño, otra familia sustitutiva –adoptiva o de guarda– o en caso necesario, una institución apropiada.</w:t>
      </w:r>
    </w:p>
  </w:footnote>
  <w:footnote w:id="185">
    <w:p w14:paraId="3997E227" w14:textId="68118841" w:rsidR="00461AC2" w:rsidRPr="00E070A2" w:rsidRDefault="00461AC2" w:rsidP="00E070A2">
      <w:pPr>
        <w:pStyle w:val="Textonotapie"/>
        <w:contextualSpacing/>
        <w:rPr>
          <w:lang w:val="es-ES_tradnl"/>
        </w:rPr>
      </w:pPr>
      <w:r w:rsidRPr="00E070A2">
        <w:rPr>
          <w:rStyle w:val="Refdenotaalpie"/>
        </w:rPr>
        <w:footnoteRef/>
      </w:r>
      <w:r w:rsidRPr="00E070A2">
        <w:t xml:space="preserve"> Por medio de esta norma se expidió el</w:t>
      </w:r>
      <w:r w:rsidR="00ED3F5C" w:rsidRPr="00E070A2">
        <w:t xml:space="preserve"> </w:t>
      </w:r>
      <w:r w:rsidRPr="00E070A2">
        <w:t>Código del Menor</w:t>
      </w:r>
      <w:r w:rsidR="00ED3F5C" w:rsidRPr="00E070A2">
        <w:t xml:space="preserve">. </w:t>
      </w:r>
    </w:p>
  </w:footnote>
  <w:footnote w:id="186">
    <w:p w14:paraId="382A382A" w14:textId="0EDAA655" w:rsidR="00147F04" w:rsidRPr="00E070A2" w:rsidRDefault="00147F04" w:rsidP="00E070A2">
      <w:pPr>
        <w:pStyle w:val="Textonotapie"/>
        <w:contextualSpacing/>
      </w:pPr>
      <w:r w:rsidRPr="00E070A2">
        <w:rPr>
          <w:rStyle w:val="Refdenotaalpie"/>
        </w:rPr>
        <w:footnoteRef/>
      </w:r>
      <w:r w:rsidRPr="00E070A2">
        <w:t xml:space="preserve"> Corte Constitucional, sentencias C-477 de 1999 y C-683 de 2015. </w:t>
      </w:r>
    </w:p>
  </w:footnote>
  <w:footnote w:id="187">
    <w:p w14:paraId="75E5A807" w14:textId="430776AF" w:rsidR="00A30312" w:rsidRPr="00E070A2" w:rsidRDefault="00A30312" w:rsidP="00E070A2">
      <w:pPr>
        <w:pStyle w:val="Textonotapie"/>
        <w:contextualSpacing/>
      </w:pPr>
      <w:r w:rsidRPr="00E070A2">
        <w:rPr>
          <w:rStyle w:val="Refdenotaalpie"/>
        </w:rPr>
        <w:footnoteRef/>
      </w:r>
      <w:r w:rsidRPr="00E070A2">
        <w:t xml:space="preserve"> Corte Constitucional, sentencias C-477 de 1999. </w:t>
      </w:r>
    </w:p>
  </w:footnote>
  <w:footnote w:id="188">
    <w:p w14:paraId="014A873E" w14:textId="77777777" w:rsidR="00D404B9" w:rsidRPr="00E070A2" w:rsidRDefault="00D404B9" w:rsidP="00E070A2">
      <w:pPr>
        <w:pStyle w:val="Textonotapie"/>
        <w:contextualSpacing/>
      </w:pPr>
      <w:r w:rsidRPr="00E070A2">
        <w:rPr>
          <w:rStyle w:val="Refdenotaalpie"/>
        </w:rPr>
        <w:footnoteRef/>
      </w:r>
      <w:r w:rsidRPr="00E070A2">
        <w:t xml:space="preserve"> Corte Constitucional, Sentencia C-683 de 2015.</w:t>
      </w:r>
    </w:p>
  </w:footnote>
  <w:footnote w:id="189">
    <w:p w14:paraId="5A1C8D0F" w14:textId="77777777" w:rsidR="007E5361" w:rsidRPr="00E070A2" w:rsidRDefault="007E5361"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Corte Constitucional, Sentencia C-477 de 1999. </w:t>
      </w:r>
    </w:p>
  </w:footnote>
  <w:footnote w:id="190">
    <w:p w14:paraId="098AD854" w14:textId="05E12759" w:rsidR="00264845" w:rsidRPr="00E070A2" w:rsidRDefault="00264845" w:rsidP="00E070A2">
      <w:pPr>
        <w:pStyle w:val="Textonotapie"/>
        <w:contextualSpacing/>
        <w:rPr>
          <w:lang w:val="es-ES_tradnl"/>
        </w:rPr>
      </w:pPr>
      <w:r w:rsidRPr="00E070A2">
        <w:rPr>
          <w:rStyle w:val="Refdenotaalpie"/>
        </w:rPr>
        <w:footnoteRef/>
      </w:r>
      <w:r w:rsidRPr="00E070A2">
        <w:t xml:space="preserve"> Ley 1098 de 2006. Esta norma derogó el antiguo Código del Menor (Decreto Ley 2737 de 1989).</w:t>
      </w:r>
    </w:p>
  </w:footnote>
  <w:footnote w:id="191">
    <w:p w14:paraId="6BDF338B" w14:textId="1BE3E65B" w:rsidR="00264845" w:rsidRPr="00E070A2" w:rsidRDefault="00264845" w:rsidP="00E070A2">
      <w:pPr>
        <w:pStyle w:val="Textonotapie"/>
        <w:contextualSpacing/>
        <w:rPr>
          <w:lang w:val="es-ES_tradnl"/>
        </w:rPr>
      </w:pPr>
      <w:r w:rsidRPr="00E070A2">
        <w:rPr>
          <w:rStyle w:val="Refdenotaalpie"/>
        </w:rPr>
        <w:footnoteRef/>
      </w:r>
      <w:r w:rsidRPr="00E070A2">
        <w:t xml:space="preserve"> Artículo 53. Medidas de restablecimiento de derechos. Son medidas de restablecimiento de los derechos de los niños, las niñas y los adolescentes las que a continuación se señalan. Para el restablecimiento de los derechos establecidos en este código, la autoridad competente tomará alguna o varias de las siguientes medidas: (…) 5.- La adopción”.</w:t>
      </w:r>
    </w:p>
  </w:footnote>
  <w:footnote w:id="192">
    <w:p w14:paraId="1F32B40F" w14:textId="2B7DDB3C" w:rsidR="0004648A" w:rsidRPr="00E070A2" w:rsidRDefault="0004648A"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Artículo 62. </w:t>
      </w:r>
      <w:r w:rsidR="00AE352D" w:rsidRPr="00E070A2">
        <w:rPr>
          <w:lang w:val="es-ES_tradnl"/>
        </w:rPr>
        <w:t>“</w:t>
      </w:r>
      <w:r w:rsidRPr="00E070A2">
        <w:rPr>
          <w:lang w:val="es-ES_tradnl"/>
        </w:rPr>
        <w:t xml:space="preserve">La autoridad central en materia de adopción. La autoridad central en materia de adopción es el Instituto Colombiano de Bienestar Familiar. </w:t>
      </w:r>
      <w:r w:rsidRPr="00E070A2">
        <w:rPr>
          <w:lang w:val="es-ES_tradnl"/>
        </w:rPr>
        <w:br/>
        <w:t>// Solamente podrán desarrollar programas de adopción, el Instituto Colombiano de Bienestar Familiar y las instituciones debidamente autorizadas por este</w:t>
      </w:r>
      <w:r w:rsidR="00AE352D" w:rsidRPr="00E070A2">
        <w:rPr>
          <w:lang w:val="es-ES_tradnl"/>
        </w:rPr>
        <w:t>”</w:t>
      </w:r>
      <w:r w:rsidRPr="00E070A2">
        <w:rPr>
          <w:lang w:val="es-ES_tradnl"/>
        </w:rPr>
        <w:t>.</w:t>
      </w:r>
    </w:p>
  </w:footnote>
  <w:footnote w:id="193">
    <w:p w14:paraId="6D594C35" w14:textId="30D5CEFD" w:rsidR="0004648A" w:rsidRPr="00E070A2" w:rsidRDefault="0004648A" w:rsidP="00E070A2">
      <w:pPr>
        <w:pStyle w:val="Textonotapie"/>
        <w:contextualSpacing/>
        <w:rPr>
          <w:lang w:val="es-ES_tradnl"/>
        </w:rPr>
      </w:pPr>
      <w:r w:rsidRPr="00E070A2">
        <w:rPr>
          <w:rStyle w:val="Refdenotaalpie"/>
        </w:rPr>
        <w:footnoteRef/>
      </w:r>
      <w:r w:rsidRPr="00E070A2">
        <w:t xml:space="preserve"> </w:t>
      </w:r>
      <w:r w:rsidRPr="00E070A2">
        <w:rPr>
          <w:lang w:val="es-ES_tradnl"/>
        </w:rPr>
        <w:t>Artículo 64. Efectos jurídicos de la adopción. La adopción produce los siguientes efectos: 1. Adoptante y adoptivo adquieren, por la adopción, los derechos y obligaciones de padre o madre e hijo.</w:t>
      </w:r>
    </w:p>
  </w:footnote>
  <w:footnote w:id="194">
    <w:p w14:paraId="0472CAEC" w14:textId="21767B88" w:rsidR="0004648A" w:rsidRPr="00E070A2" w:rsidRDefault="0004648A" w:rsidP="00E070A2">
      <w:pPr>
        <w:pStyle w:val="Textonotapie"/>
        <w:contextualSpacing/>
      </w:pPr>
      <w:r w:rsidRPr="00E070A2">
        <w:rPr>
          <w:rStyle w:val="Refdenotaalpie"/>
        </w:rPr>
        <w:footnoteRef/>
      </w:r>
      <w:r w:rsidRPr="00E070A2">
        <w:t xml:space="preserve"> Artículo 67. El Estado reconocerá el cumplimiento del deber de solidaridad que ejerce la familia diferente a la de origen, que asume la protección de manera permanente de un niño, niña o adolescente y le ofrece condiciones adecuadas para el desarrollo armónico e integral de sus derechos. En tal caso no se modifica el parentesco. PARÁGRAFO. Si alguna persona o pareja quiere adoptar al niño que está al cuidado de la familia distinta a la de origen y cumple con las condiciones de adoptabilidad, que exige el código, podrá hacerlo, a menos que la familia que tiene el cuidado del niño, niña o adolescente, decida adoptarlo.</w:t>
      </w:r>
    </w:p>
  </w:footnote>
  <w:footnote w:id="195">
    <w:p w14:paraId="1E18B3D5" w14:textId="77777777" w:rsidR="002F06CD" w:rsidRPr="00E070A2" w:rsidRDefault="002F06CD" w:rsidP="00E070A2">
      <w:pPr>
        <w:pStyle w:val="Textonotapie"/>
        <w:contextualSpacing/>
      </w:pPr>
      <w:r w:rsidRPr="00E070A2">
        <w:rPr>
          <w:rStyle w:val="Refdenotaalpie"/>
        </w:rPr>
        <w:footnoteRef/>
      </w:r>
      <w:r w:rsidRPr="00E070A2">
        <w:t xml:space="preserve"> El inciso primero del artículo 127 de la Ley 1098 de 2006 establece que: “El padre y la madre adoptantes de un menor tendrán derecho al disfrute y pago de la licencia de maternidad establecida en el numeral 4 del artículo 34 la Ley 50 de 1990 y demás normas que rigen la materia, la cual incluirá también la licencia de paternidad consagrada en la Ley 755 de 2002, incluyendo el pago de la licencia a los padres adoptantes”.</w:t>
      </w:r>
    </w:p>
  </w:footnote>
  <w:footnote w:id="196">
    <w:p w14:paraId="66970AEE" w14:textId="49ACAAF2" w:rsidR="002F06CD" w:rsidRPr="00E070A2" w:rsidRDefault="002F06CD" w:rsidP="00E070A2">
      <w:pPr>
        <w:pStyle w:val="Textonotapie"/>
        <w:contextualSpacing/>
      </w:pPr>
      <w:r w:rsidRPr="00E070A2">
        <w:rPr>
          <w:rStyle w:val="Refdenotaalpie"/>
        </w:rPr>
        <w:footnoteRef/>
      </w:r>
      <w:r w:rsidRPr="00E070A2">
        <w:t xml:space="preserve"> “Por la cual se expide el Código de la Infancia y la Adolescencia”.</w:t>
      </w:r>
    </w:p>
  </w:footnote>
  <w:footnote w:id="197">
    <w:p w14:paraId="248DB1DD" w14:textId="0A8CBEB3" w:rsidR="005A51EB" w:rsidRPr="00E070A2" w:rsidRDefault="005A51EB" w:rsidP="00E070A2">
      <w:pPr>
        <w:pStyle w:val="Textonotapie"/>
        <w:contextualSpacing/>
      </w:pPr>
      <w:r w:rsidRPr="00E070A2">
        <w:rPr>
          <w:rStyle w:val="Refdenotaalpie"/>
        </w:rPr>
        <w:footnoteRef/>
      </w:r>
      <w:r w:rsidRPr="00E070A2">
        <w:t xml:space="preserve"> En cuanto a la licencia de maternidad, el numeral 3 del art. 2 de la Ley 2114 de 2021 señala que: “Para los efectos de la licencia de que trata este artículo, la trabajadora debe presentar al empleador un certificado médico, en el cual debe constar: a) El estado de embarazo de la trabajadora; b) La indicación del día probable del parto, y c) La indicación del día desde el cual debe empezar la licencia, teniendo en cuenta que, por lo menos, ha de iniciarse dos semanas antes del parto”. </w:t>
      </w:r>
      <w:r w:rsidR="006E2DF7" w:rsidRPr="00E070A2">
        <w:t>Además, de acuerdo con los arts. 2.2.3.2.1 y 2.2.3.2.3 del Decreto</w:t>
      </w:r>
      <w:r w:rsidR="006E2DF7" w:rsidRPr="00E070A2">
        <w:rPr>
          <w:lang w:val="es-ES_tradnl"/>
        </w:rPr>
        <w:t xml:space="preserve"> 1427 de 2022, “Por el cual se sustituye el Título 3 de la Parte 2 del Libro 2 del Decreto 780 de 2016, se reglamentan las prestaciones económicas del Sistema General de Seguridad Social en Salud y se dictan otras disposiciones”, para que la persona pueda acceder a la licencia de maternidad se requiere: (i) estar afiliada al Sistema General de Seguridad Social en Salud como cotizante y activo; (ii) haber efectuado pagos durante todos los meses que correspondan al período de gestación y (iii) contar con el certificado médico de la licencia de maternidad. Si la persona es independiente, cotiza sobre un salario mínimo y no aporta durante todo el período de gestación, se aplican estas reglas: (i) si dejó de cotizar dos períodos, la EPS debe pagar la licencia completa; (ii) si dejó de cotizar por más de dos períodos, el pago será proporcional al número de días efectivamente cotizados frente al tiempo real de gestación. En todo caso, la licencia no podrá ser liquidada con un IBC inferior a un 1SMMLV. </w:t>
      </w:r>
      <w:r w:rsidRPr="00E070A2">
        <w:t>En cuanto a la licencia de paternidad, el inciso 3 del parágrafo 2 del art. 2 de la Ley 2114 de 2021 establece que: “El único soporte válido para el otorgamiento de la licencia remunerada de paternidad es el Registro Civil de Nacimiento, el cual deberá presentarse a la EPS a más tardar dentro de los 30 días siguientes a la fecha del nacimiento del menor”</w:t>
      </w:r>
      <w:r w:rsidR="006E2DF7" w:rsidRPr="00E070A2">
        <w:t>. De acuerdo con el inciso 4 del mismo parágrafo: “La licencia remunerada de paternidad estará a cargo de la EPS y será reconocida proporcionalmente a las semanas cotizadas por el padre durante el periodo de gestación”. En cuanto a este último requisito, el art. 2.2.3.2.7 del Decreto</w:t>
      </w:r>
      <w:r w:rsidR="006E2DF7" w:rsidRPr="00E070A2">
        <w:rPr>
          <w:lang w:val="es-ES_tradnl"/>
        </w:rPr>
        <w:t xml:space="preserve"> 1427 de 2022:</w:t>
      </w:r>
      <w:r w:rsidR="006E2DF7" w:rsidRPr="00E070A2">
        <w:t xml:space="preserve"> “Para su reconocimiento y pago, conforme a las disposiciones laborales vigentes, se requerirá que el afiliado cotizante hubiere efectuado aportes durante los meses que correspondan al período de gestación de la madre, procediendo el reconocimiento proporcional por cotizaciones, cuando hubiere cotizado por un período inferior al de la gestación”.</w:t>
      </w:r>
    </w:p>
  </w:footnote>
  <w:footnote w:id="198">
    <w:p w14:paraId="6A1ECB5C" w14:textId="77777777" w:rsidR="00024EB3" w:rsidRPr="00E070A2" w:rsidRDefault="00024EB3" w:rsidP="00E070A2">
      <w:pPr>
        <w:pStyle w:val="Textonotapie"/>
        <w:contextualSpacing/>
      </w:pPr>
      <w:r w:rsidRPr="00E070A2">
        <w:rPr>
          <w:rStyle w:val="Refdenotaalpie"/>
        </w:rPr>
        <w:footnoteRef/>
      </w:r>
      <w:r w:rsidRPr="00E070A2">
        <w:t xml:space="preserve"> Ley 2114 de 2021, art. 2, numeral 4.</w:t>
      </w:r>
    </w:p>
  </w:footnote>
  <w:footnote w:id="199">
    <w:p w14:paraId="3A6C6E9E" w14:textId="77777777" w:rsidR="00024EB3" w:rsidRPr="00E070A2" w:rsidRDefault="00024EB3" w:rsidP="00E070A2">
      <w:pPr>
        <w:pStyle w:val="Textonotapie"/>
        <w:contextualSpacing/>
      </w:pPr>
      <w:r w:rsidRPr="00E070A2">
        <w:rPr>
          <w:rStyle w:val="Refdenotaalpie"/>
        </w:rPr>
        <w:footnoteRef/>
      </w:r>
      <w:r w:rsidRPr="00E070A2">
        <w:t xml:space="preserve"> Ibidem. </w:t>
      </w:r>
    </w:p>
  </w:footnote>
  <w:footnote w:id="200">
    <w:p w14:paraId="483BD847" w14:textId="77777777" w:rsidR="00024EB3" w:rsidRPr="00E070A2" w:rsidRDefault="00024EB3" w:rsidP="00E070A2">
      <w:pPr>
        <w:pStyle w:val="Textonotapie"/>
        <w:contextualSpacing/>
      </w:pPr>
      <w:r w:rsidRPr="00E070A2">
        <w:rPr>
          <w:rStyle w:val="Refdenotaalpie"/>
        </w:rPr>
        <w:footnoteRef/>
      </w:r>
      <w:r w:rsidRPr="00E070A2">
        <w:t xml:space="preserve"> Sentencia C-415 de 2022.</w:t>
      </w:r>
    </w:p>
  </w:footnote>
  <w:footnote w:id="201">
    <w:p w14:paraId="5F9E6926" w14:textId="77777777" w:rsidR="00AD04FB" w:rsidRPr="00E070A2" w:rsidRDefault="00AD04FB" w:rsidP="00E070A2">
      <w:pPr>
        <w:pStyle w:val="Textonotapie"/>
        <w:contextualSpacing/>
      </w:pPr>
      <w:r w:rsidRPr="00E070A2">
        <w:rPr>
          <w:rStyle w:val="Refdenotaalpie"/>
        </w:rPr>
        <w:footnoteRef/>
      </w:r>
      <w:r w:rsidRPr="00E070A2">
        <w:t xml:space="preserve"> Corte Constitucional, Sentencia C-345 de 2019. </w:t>
      </w:r>
    </w:p>
  </w:footnote>
  <w:footnote w:id="202">
    <w:p w14:paraId="5B34ADF2" w14:textId="77777777" w:rsidR="00AD04FB" w:rsidRPr="00E070A2" w:rsidRDefault="00AD04FB" w:rsidP="00E070A2">
      <w:pPr>
        <w:pStyle w:val="Textonotapie"/>
        <w:contextualSpacing/>
      </w:pPr>
      <w:r w:rsidRPr="00E070A2">
        <w:rPr>
          <w:rStyle w:val="Refdenotaalpie"/>
        </w:rPr>
        <w:footnoteRef/>
      </w:r>
      <w:r w:rsidRPr="00E070A2">
        <w:t>Sentencia C-345 de 2019.</w:t>
      </w:r>
    </w:p>
  </w:footnote>
  <w:footnote w:id="203">
    <w:p w14:paraId="0F020046" w14:textId="77777777" w:rsidR="00AD04FB" w:rsidRPr="00E070A2" w:rsidRDefault="00AD04FB" w:rsidP="00E070A2">
      <w:pPr>
        <w:pStyle w:val="Textonotapie"/>
        <w:contextualSpacing/>
      </w:pPr>
      <w:r w:rsidRPr="00E070A2">
        <w:rPr>
          <w:rStyle w:val="Refdenotaalpie"/>
        </w:rPr>
        <w:footnoteRef/>
      </w:r>
      <w:r w:rsidRPr="00E070A2">
        <w:t xml:space="preserve"> Corte Constitucional, sentencias C-345 de 2019 y C-084 de 2020. </w:t>
      </w:r>
    </w:p>
  </w:footnote>
  <w:footnote w:id="204">
    <w:p w14:paraId="5AD12B5C" w14:textId="77777777" w:rsidR="00AD04FB" w:rsidRPr="00E070A2" w:rsidRDefault="00AD04FB" w:rsidP="00E070A2">
      <w:pPr>
        <w:pStyle w:val="Textonotapie"/>
        <w:contextualSpacing/>
      </w:pPr>
      <w:r w:rsidRPr="00E070A2">
        <w:rPr>
          <w:rStyle w:val="Refdenotaalpie"/>
        </w:rPr>
        <w:footnoteRef/>
      </w:r>
      <w:r w:rsidRPr="00E070A2">
        <w:t xml:space="preserve"> La Corte Constitucional lo ha usado en las Sentencias C-673 de 2022, C-624 de 2008, C-313 de 2013, C-601 de 2015, C-220 de 2017, C-389 de 2017 y C-355 de 2017. </w:t>
      </w:r>
    </w:p>
  </w:footnote>
  <w:footnote w:id="205">
    <w:p w14:paraId="25794F86" w14:textId="77777777" w:rsidR="00AD04FB" w:rsidRPr="00E070A2" w:rsidRDefault="00AD04FB" w:rsidP="00E070A2">
      <w:pPr>
        <w:pStyle w:val="Textonotapie"/>
        <w:contextualSpacing/>
      </w:pPr>
      <w:r w:rsidRPr="00E070A2">
        <w:rPr>
          <w:rStyle w:val="Refdenotaalpie"/>
        </w:rPr>
        <w:footnoteRef/>
      </w:r>
      <w:r w:rsidRPr="00E070A2">
        <w:t xml:space="preserve"> Corte Constitucional, sentencias </w:t>
      </w:r>
      <w:r w:rsidRPr="00E070A2">
        <w:rPr>
          <w:color w:val="2D2D2D"/>
          <w:shd w:val="clear" w:color="auto" w:fill="FFFFFF"/>
        </w:rPr>
        <w:t>C-811 de 2014, C-239 de 2014, C-240 de 2014 y</w:t>
      </w:r>
      <w:r w:rsidRPr="00E070A2">
        <w:t xml:space="preserve"> C-038 de 2021.</w:t>
      </w:r>
    </w:p>
  </w:footnote>
  <w:footnote w:id="206">
    <w:p w14:paraId="39EC9F1F" w14:textId="77777777" w:rsidR="00AD04FB" w:rsidRPr="00E070A2" w:rsidRDefault="00AD04FB" w:rsidP="00E070A2">
      <w:pPr>
        <w:pStyle w:val="Textonotapie"/>
        <w:contextualSpacing/>
        <w:rPr>
          <w:lang w:val="es-ES_tradnl"/>
        </w:rPr>
      </w:pPr>
      <w:r w:rsidRPr="00E070A2">
        <w:rPr>
          <w:rStyle w:val="Refdenotaalpie"/>
        </w:rPr>
        <w:footnoteRef/>
      </w:r>
      <w:r w:rsidRPr="00E070A2">
        <w:t xml:space="preserve"> Corte Constitucional, Sentencia C-104 de 2016.</w:t>
      </w:r>
    </w:p>
  </w:footnote>
  <w:footnote w:id="207">
    <w:p w14:paraId="45A14120" w14:textId="77777777" w:rsidR="00AD04FB" w:rsidRPr="00E070A2" w:rsidRDefault="00AD04FB"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Ibidem. </w:t>
      </w:r>
    </w:p>
  </w:footnote>
  <w:footnote w:id="208">
    <w:p w14:paraId="564C52CC" w14:textId="77777777" w:rsidR="00AD04FB" w:rsidRPr="00E070A2" w:rsidRDefault="00AD04FB" w:rsidP="00E070A2">
      <w:pPr>
        <w:pStyle w:val="Textonotapie"/>
        <w:contextualSpacing/>
      </w:pPr>
      <w:r w:rsidRPr="00E070A2">
        <w:rPr>
          <w:rStyle w:val="Refdenotaalpie"/>
        </w:rPr>
        <w:footnoteRef/>
      </w:r>
      <w:r w:rsidRPr="00E070A2">
        <w:t xml:space="preserve"> Corte Constitucional, Sentencia C-038 de 2021. </w:t>
      </w:r>
    </w:p>
  </w:footnote>
  <w:footnote w:id="209">
    <w:p w14:paraId="491144B6" w14:textId="77777777" w:rsidR="00AD04FB" w:rsidRPr="00E070A2" w:rsidRDefault="00AD04FB" w:rsidP="00E070A2">
      <w:pPr>
        <w:pStyle w:val="Textonotapie"/>
        <w:contextualSpacing/>
        <w:rPr>
          <w:lang w:val="es-ES_tradnl"/>
        </w:rPr>
      </w:pPr>
      <w:r w:rsidRPr="00E070A2">
        <w:rPr>
          <w:rStyle w:val="Refdenotaalpie"/>
        </w:rPr>
        <w:footnoteRef/>
      </w:r>
      <w:r w:rsidRPr="00E070A2">
        <w:t xml:space="preserve"> Corte Constitucional, Sentencia C-345 de 2019 y C-038 de 2021.</w:t>
      </w:r>
    </w:p>
  </w:footnote>
  <w:footnote w:id="210">
    <w:p w14:paraId="3685C379" w14:textId="77777777" w:rsidR="00AD04FB" w:rsidRPr="00E070A2" w:rsidRDefault="00AD04FB" w:rsidP="00E070A2">
      <w:pPr>
        <w:pStyle w:val="Textonotapie"/>
        <w:contextualSpacing/>
        <w:rPr>
          <w:lang w:val="es-ES_tradnl"/>
        </w:rPr>
      </w:pPr>
      <w:r w:rsidRPr="00E070A2">
        <w:rPr>
          <w:rStyle w:val="Refdenotaalpie"/>
        </w:rPr>
        <w:footnoteRef/>
      </w:r>
      <w:r w:rsidRPr="00E070A2">
        <w:t xml:space="preserve"> Corte Constitucional, sentencias C-345 de 2019, C-084 de 2020 y C-038 de 2021.</w:t>
      </w:r>
    </w:p>
  </w:footnote>
  <w:footnote w:id="211">
    <w:p w14:paraId="44A8CC21" w14:textId="77777777" w:rsidR="00AD04FB" w:rsidRPr="00E070A2" w:rsidRDefault="00AD04FB" w:rsidP="00E070A2">
      <w:pPr>
        <w:pStyle w:val="Textonotapie"/>
        <w:contextualSpacing/>
        <w:rPr>
          <w:lang w:val="es-ES_tradnl"/>
        </w:rPr>
      </w:pPr>
      <w:r w:rsidRPr="00E070A2">
        <w:rPr>
          <w:rStyle w:val="Refdenotaalpie"/>
        </w:rPr>
        <w:footnoteRef/>
      </w:r>
      <w:r w:rsidRPr="00E070A2">
        <w:t xml:space="preserve"> </w:t>
      </w:r>
      <w:r w:rsidRPr="00E070A2">
        <w:rPr>
          <w:lang w:val="es-ES_tradnl"/>
        </w:rPr>
        <w:t xml:space="preserve">Ibidem. </w:t>
      </w:r>
    </w:p>
  </w:footnote>
  <w:footnote w:id="212">
    <w:p w14:paraId="1AABD94B" w14:textId="77777777" w:rsidR="00AD04FB" w:rsidRPr="00E070A2" w:rsidRDefault="00AD04FB" w:rsidP="00E070A2">
      <w:pPr>
        <w:pStyle w:val="Textonotapie"/>
        <w:contextualSpacing/>
      </w:pPr>
      <w:r w:rsidRPr="00E070A2">
        <w:rPr>
          <w:rStyle w:val="Refdenotaalpie"/>
        </w:rPr>
        <w:footnoteRef/>
      </w:r>
      <w:r w:rsidRPr="00E070A2">
        <w:t xml:space="preserve"> Corte Constitucional, Sentencia C-586 de 2016.</w:t>
      </w:r>
    </w:p>
  </w:footnote>
  <w:footnote w:id="213">
    <w:p w14:paraId="3A3AE971" w14:textId="77777777" w:rsidR="0025047D" w:rsidRPr="00E070A2" w:rsidRDefault="0025047D" w:rsidP="00E070A2">
      <w:pPr>
        <w:pStyle w:val="Textonotapie"/>
        <w:contextualSpacing/>
        <w:rPr>
          <w:lang w:val="pt-BR"/>
        </w:rPr>
      </w:pPr>
      <w:r w:rsidRPr="00E070A2">
        <w:rPr>
          <w:rStyle w:val="Refdenotaalpie"/>
        </w:rPr>
        <w:footnoteRef/>
      </w:r>
      <w:r w:rsidRPr="00E070A2">
        <w:rPr>
          <w:lang w:val="pt-BR"/>
        </w:rPr>
        <w:t xml:space="preserve"> Corte Constitucional, Sentencia T-293 de 2017.</w:t>
      </w:r>
    </w:p>
  </w:footnote>
  <w:footnote w:id="214">
    <w:p w14:paraId="4DBBDAC7" w14:textId="5C55948A" w:rsidR="00AD04FB" w:rsidRPr="00E070A2" w:rsidRDefault="00AD04FB" w:rsidP="00E070A2">
      <w:pPr>
        <w:pStyle w:val="Textonotapie"/>
        <w:contextualSpacing/>
        <w:rPr>
          <w:lang w:val="pt-BR"/>
        </w:rPr>
      </w:pPr>
      <w:r w:rsidRPr="00E070A2">
        <w:rPr>
          <w:rStyle w:val="Refdenotaalpie"/>
        </w:rPr>
        <w:footnoteRef/>
      </w:r>
      <w:r w:rsidRPr="00E070A2">
        <w:rPr>
          <w:lang w:val="pt-BR"/>
        </w:rPr>
        <w:t xml:space="preserve"> Corte Constitucional, Sentencia T-</w:t>
      </w:r>
      <w:r w:rsidR="00C016B8" w:rsidRPr="00E070A2">
        <w:rPr>
          <w:lang w:val="pt-BR"/>
        </w:rPr>
        <w:t>033 de 2024.</w:t>
      </w:r>
    </w:p>
  </w:footnote>
  <w:footnote w:id="215">
    <w:p w14:paraId="3AC4D78A" w14:textId="77777777" w:rsidR="00AD04FB" w:rsidRPr="00E070A2" w:rsidRDefault="00AD04FB" w:rsidP="00E070A2">
      <w:pPr>
        <w:pStyle w:val="Textonotapie"/>
        <w:contextualSpacing/>
      </w:pPr>
      <w:r w:rsidRPr="00E070A2">
        <w:rPr>
          <w:rStyle w:val="Refdenotaalpie"/>
        </w:rPr>
        <w:footnoteRef/>
      </w:r>
      <w:r w:rsidRPr="00E070A2">
        <w:t xml:space="preserve"> Corte Constitucional, sentencias C-667 de 2006 y T-386 de 2013.</w:t>
      </w:r>
    </w:p>
  </w:footnote>
  <w:footnote w:id="216">
    <w:p w14:paraId="2C8D9B68" w14:textId="77777777" w:rsidR="00AD04FB" w:rsidRPr="00E070A2" w:rsidRDefault="00AD04FB" w:rsidP="00E070A2">
      <w:pPr>
        <w:pStyle w:val="Textonotapie"/>
        <w:contextualSpacing/>
      </w:pPr>
      <w:r w:rsidRPr="00E070A2">
        <w:rPr>
          <w:rStyle w:val="Refdenotaalpie"/>
        </w:rPr>
        <w:footnoteRef/>
      </w:r>
      <w:r w:rsidRPr="00E070A2">
        <w:t xml:space="preserve"> “La pareja tiene derecho a decidir libre y responsablemente el número de sus hijos, y deberá sostenerlos y educarlos mientras sean menores o impedidos”. Constitución Política de 1991, art. 42.</w:t>
      </w:r>
    </w:p>
  </w:footnote>
  <w:footnote w:id="217">
    <w:p w14:paraId="4F8FA931" w14:textId="77777777" w:rsidR="00AD04FB" w:rsidRPr="00E070A2" w:rsidRDefault="00AD04FB" w:rsidP="00E070A2">
      <w:pPr>
        <w:pStyle w:val="Textonotapie"/>
        <w:contextualSpacing/>
      </w:pPr>
      <w:r w:rsidRPr="00E070A2">
        <w:rPr>
          <w:rStyle w:val="Refdenotaalpie"/>
        </w:rPr>
        <w:footnoteRef/>
      </w:r>
      <w:r w:rsidRPr="00E070A2">
        <w:t xml:space="preserve"> Según se mencionó previamente, la Convención sobre los Derechos del Niño determinó en su artículo 18 como, una obligación de los Estados, garantizar el reconocimiento del principio de que ambos padres tienen obligaciones comunes en lo que respecta a la crianza y el desarrollo de los niños y las niñas. Por su parte, la </w:t>
      </w:r>
      <w:r w:rsidRPr="00E070A2">
        <w:rPr>
          <w:color w:val="000000" w:themeColor="text1"/>
          <w:shd w:val="clear" w:color="auto" w:fill="FFFFFF"/>
        </w:rPr>
        <w:t xml:space="preserve">Recomendación 165 de la OIT, </w:t>
      </w:r>
      <w:r w:rsidRPr="00E070A2">
        <w:rPr>
          <w:color w:val="000000" w:themeColor="text1"/>
          <w:lang w:eastAsia="es-MX"/>
        </w:rPr>
        <w:t xml:space="preserve">sobre los trabajadores y trabajadores con responsabilidades familiares, </w:t>
      </w:r>
      <w:r w:rsidRPr="00E070A2">
        <w:rPr>
          <w:color w:val="000000" w:themeColor="text1"/>
          <w:shd w:val="clear" w:color="auto" w:fill="FFFFFF"/>
        </w:rPr>
        <w:t>de esta organización, instó a los Estados de generar condiciones para que las responsabilidades familiares se repartan de manera equitativa y no se incurra en discriminaciones directas e indirectas.</w:t>
      </w:r>
    </w:p>
  </w:footnote>
  <w:footnote w:id="218">
    <w:p w14:paraId="555A906B" w14:textId="77777777" w:rsidR="00AD04FB" w:rsidRPr="00E070A2" w:rsidRDefault="00AD04FB" w:rsidP="00E070A2">
      <w:pPr>
        <w:pStyle w:val="Textonotapie"/>
        <w:contextualSpacing/>
      </w:pPr>
      <w:r w:rsidRPr="00E070A2">
        <w:rPr>
          <w:rStyle w:val="Refdenotaalpie"/>
        </w:rPr>
        <w:footnoteRef/>
      </w:r>
      <w:r w:rsidRPr="00E070A2">
        <w:t xml:space="preserve"> Ley 2114 de 2021, art. 2, numeral 4.</w:t>
      </w:r>
    </w:p>
  </w:footnote>
  <w:footnote w:id="219">
    <w:p w14:paraId="0E634DFD" w14:textId="77777777" w:rsidR="00AD04FB" w:rsidRPr="00E070A2" w:rsidRDefault="00AD04FB" w:rsidP="00E070A2">
      <w:pPr>
        <w:pStyle w:val="Textonotapie"/>
        <w:contextualSpacing/>
      </w:pPr>
      <w:r w:rsidRPr="00E070A2">
        <w:rPr>
          <w:rStyle w:val="Refdenotaalpie"/>
        </w:rPr>
        <w:footnoteRef/>
      </w:r>
      <w:r w:rsidRPr="00E070A2">
        <w:t xml:space="preserve"> Sobre este punto, puede consultarse la Recomendación General n° 21 de 1994 del Comité de la CEDAW, denominada “la igualdad en el matrimonio y en las relaciones familiares”.</w:t>
      </w:r>
    </w:p>
  </w:footnote>
  <w:footnote w:id="220">
    <w:p w14:paraId="12B392B8" w14:textId="77777777" w:rsidR="00AD04FB" w:rsidRPr="00E070A2" w:rsidRDefault="00AD04FB" w:rsidP="00E070A2">
      <w:pPr>
        <w:pStyle w:val="Textonotapie"/>
        <w:contextualSpacing/>
      </w:pPr>
      <w:r w:rsidRPr="00E070A2">
        <w:rPr>
          <w:rStyle w:val="Refdenotaalpie"/>
        </w:rPr>
        <w:footnoteRef/>
      </w:r>
      <w:r w:rsidRPr="00E070A2">
        <w:t xml:space="preserve"> Cfr. Corte Constitucional, sentencias C-154 de 2022, C-804 de 2006 y SU-239 de 2024.</w:t>
      </w:r>
    </w:p>
  </w:footnote>
  <w:footnote w:id="221">
    <w:p w14:paraId="60A67FD3" w14:textId="77777777" w:rsidR="00F75BA6" w:rsidRPr="00E070A2" w:rsidRDefault="00F75BA6" w:rsidP="00E070A2">
      <w:pPr>
        <w:pStyle w:val="Textonotapie"/>
        <w:contextualSpacing/>
      </w:pPr>
      <w:r w:rsidRPr="00E070A2">
        <w:rPr>
          <w:rStyle w:val="Refdenotaalpie"/>
        </w:rPr>
        <w:footnoteRef/>
      </w:r>
      <w:r w:rsidRPr="00E070A2">
        <w:t xml:space="preserve"> Cfr. </w:t>
      </w:r>
      <w:r w:rsidRPr="00E070A2">
        <w:rPr>
          <w:color w:val="000000" w:themeColor="text1"/>
          <w:lang w:eastAsia="es-MX"/>
        </w:rPr>
        <w:t>Opinión Consultiva 031 de 2025 de la Corte IDH.</w:t>
      </w:r>
    </w:p>
  </w:footnote>
  <w:footnote w:id="222">
    <w:p w14:paraId="36DEA744" w14:textId="0A835485" w:rsidR="00770A87" w:rsidRPr="00E070A2" w:rsidRDefault="00770A87" w:rsidP="00E070A2">
      <w:pPr>
        <w:pStyle w:val="Textonotapie"/>
      </w:pPr>
      <w:r w:rsidRPr="00E070A2">
        <w:rPr>
          <w:rStyle w:val="Refdenotaalpie"/>
        </w:rPr>
        <w:footnoteRef/>
      </w:r>
      <w:r w:rsidRPr="00E070A2">
        <w:t xml:space="preserve"> Según se mencionó previamente, como cuestión previa de esta providencia, la Sala Plena dispuso la integración de la unidad normativa entre las expresiones “la madre adoptante” y “el padre adoptante”, contenidas en el numeral 4 y en el inciso segundo del parágrafo 2 del artículo 2 de la Ley 2114 de 2021, respectivamente. </w:t>
      </w:r>
    </w:p>
    <w:p w14:paraId="1731BD2A" w14:textId="16C3BB9D" w:rsidR="00770A87" w:rsidRPr="00E070A2" w:rsidRDefault="00770A87" w:rsidP="00E070A2">
      <w:pPr>
        <w:pStyle w:val="Textonotapie"/>
      </w:pPr>
    </w:p>
  </w:footnote>
  <w:footnote w:id="223">
    <w:p w14:paraId="3F6505D6" w14:textId="5F6EDD84" w:rsidR="004C1AE3" w:rsidRPr="00604781" w:rsidRDefault="004C1AE3" w:rsidP="00E070A2">
      <w:pPr>
        <w:pStyle w:val="Textonotapie"/>
        <w:contextualSpacing/>
        <w:rPr>
          <w:lang w:val="pt-BR"/>
        </w:rPr>
      </w:pPr>
      <w:r w:rsidRPr="00E070A2">
        <w:rPr>
          <w:rStyle w:val="Refdenotaalpie"/>
        </w:rPr>
        <w:footnoteRef/>
      </w:r>
      <w:r w:rsidRPr="00E070A2">
        <w:rPr>
          <w:lang w:val="pt-BR"/>
        </w:rPr>
        <w:t xml:space="preserve"> Corte Constitucional, Sentencia C-029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1DBD1" w14:textId="73D308DD" w:rsidR="00B25EBC" w:rsidRDefault="00B25EBC" w:rsidP="00D57BC3">
    <w:pPr>
      <w:pStyle w:val="Encabezado"/>
      <w:tabs>
        <w:tab w:val="clear" w:pos="8838"/>
        <w:tab w:val="right" w:pos="8647"/>
      </w:tabs>
      <w:ind w:right="51"/>
      <w:jc w:val="right"/>
      <w:rPr>
        <w:i/>
        <w:iCs/>
        <w:sz w:val="20"/>
        <w:szCs w:val="20"/>
      </w:rPr>
    </w:pPr>
    <w:r>
      <w:rPr>
        <w:i/>
        <w:iCs/>
        <w:sz w:val="20"/>
        <w:szCs w:val="20"/>
      </w:rPr>
      <w:t>Expediente</w:t>
    </w:r>
    <w:r w:rsidR="0008222D">
      <w:rPr>
        <w:i/>
        <w:iCs/>
        <w:sz w:val="20"/>
        <w:szCs w:val="20"/>
      </w:rPr>
      <w:t xml:space="preserve"> </w:t>
    </w:r>
    <w:r w:rsidR="00CB2C74" w:rsidRPr="00CB2C74">
      <w:rPr>
        <w:i/>
        <w:iCs/>
        <w:sz w:val="20"/>
        <w:szCs w:val="20"/>
      </w:rPr>
      <w:t>D-16635</w:t>
    </w:r>
  </w:p>
  <w:p w14:paraId="5B2796BC" w14:textId="01FE6851" w:rsidR="00B25EBC" w:rsidRDefault="00B25EBC" w:rsidP="00D57BC3">
    <w:pPr>
      <w:pStyle w:val="Encabezado"/>
      <w:tabs>
        <w:tab w:val="clear" w:pos="8838"/>
        <w:tab w:val="right" w:pos="8647"/>
      </w:tabs>
      <w:ind w:right="51"/>
      <w:jc w:val="right"/>
      <w:rPr>
        <w:i/>
        <w:iCs/>
        <w:sz w:val="20"/>
        <w:szCs w:val="20"/>
      </w:rPr>
    </w:pPr>
    <w:r w:rsidRPr="00D31847">
      <w:rPr>
        <w:i/>
        <w:iCs/>
        <w:sz w:val="20"/>
        <w:szCs w:val="20"/>
      </w:rPr>
      <w:t>M.P</w:t>
    </w:r>
    <w:r>
      <w:rPr>
        <w:i/>
        <w:iCs/>
        <w:sz w:val="20"/>
        <w:szCs w:val="20"/>
      </w:rPr>
      <w:t>.</w:t>
    </w:r>
    <w:r w:rsidRPr="00D31847">
      <w:rPr>
        <w:i/>
        <w:iCs/>
        <w:sz w:val="20"/>
        <w:szCs w:val="20"/>
      </w:rPr>
      <w:t xml:space="preserve"> </w:t>
    </w:r>
    <w:r w:rsidR="00494C97" w:rsidRPr="00494C97">
      <w:rPr>
        <w:i/>
        <w:iCs/>
        <w:sz w:val="20"/>
        <w:szCs w:val="20"/>
      </w:rPr>
      <w:t>Lina Marcela Escobar Martínez</w:t>
    </w:r>
  </w:p>
  <w:p w14:paraId="5402DC1D" w14:textId="77777777" w:rsidR="00B40225" w:rsidRPr="00D31847" w:rsidRDefault="00B40225" w:rsidP="00D57BC3">
    <w:pPr>
      <w:pStyle w:val="Encabezado"/>
      <w:tabs>
        <w:tab w:val="clear" w:pos="8838"/>
        <w:tab w:val="right" w:pos="8647"/>
      </w:tabs>
      <w:ind w:right="51"/>
      <w:jc w:val="right"/>
      <w:rPr>
        <w:i/>
        <w:iCs/>
        <w:sz w:val="20"/>
        <w:szCs w:val="20"/>
      </w:rPr>
    </w:pPr>
  </w:p>
</w:hdr>
</file>

<file path=word/intelligence2.xml><?xml version="1.0" encoding="utf-8"?>
<int2:intelligence xmlns:int2="http://schemas.microsoft.com/office/intelligence/2020/intelligence" xmlns:oel="http://schemas.microsoft.com/office/2019/extlst">
  <int2:observations>
    <int2:textHash int2:hashCode="IUjw/BgrDO/aZR" int2:id="OlXvAKS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1920"/>
    <w:multiLevelType w:val="multilevel"/>
    <w:tmpl w:val="21E4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54BC0"/>
    <w:multiLevelType w:val="hybridMultilevel"/>
    <w:tmpl w:val="9E164194"/>
    <w:lvl w:ilvl="0" w:tplc="C88ACD96">
      <w:start w:val="1"/>
      <w:numFmt w:val="decimal"/>
      <w:lvlText w:val="%1."/>
      <w:lvlJc w:val="left"/>
      <w:pPr>
        <w:ind w:left="720" w:hanging="360"/>
      </w:pPr>
      <w:rPr>
        <w:rFonts w:hint="default"/>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3436F2"/>
    <w:multiLevelType w:val="hybridMultilevel"/>
    <w:tmpl w:val="108E7904"/>
    <w:lvl w:ilvl="0" w:tplc="02D26FEC">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D743F00"/>
    <w:multiLevelType w:val="hybridMultilevel"/>
    <w:tmpl w:val="CA825042"/>
    <w:lvl w:ilvl="0" w:tplc="C4D0E48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0F94FB1"/>
    <w:multiLevelType w:val="multilevel"/>
    <w:tmpl w:val="1010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74749"/>
    <w:multiLevelType w:val="multilevel"/>
    <w:tmpl w:val="1012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E5F06"/>
    <w:multiLevelType w:val="hybridMultilevel"/>
    <w:tmpl w:val="07A4635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5DB2275"/>
    <w:multiLevelType w:val="multilevel"/>
    <w:tmpl w:val="465A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37C2C"/>
    <w:multiLevelType w:val="multilevel"/>
    <w:tmpl w:val="CEE83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FB0EA7"/>
    <w:multiLevelType w:val="multilevel"/>
    <w:tmpl w:val="F85CA62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AB701DD"/>
    <w:multiLevelType w:val="multilevel"/>
    <w:tmpl w:val="459E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9418CE"/>
    <w:multiLevelType w:val="hybridMultilevel"/>
    <w:tmpl w:val="2F706B32"/>
    <w:lvl w:ilvl="0" w:tplc="8DB61C0A">
      <w:start w:val="2"/>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208B28DD"/>
    <w:multiLevelType w:val="multilevel"/>
    <w:tmpl w:val="DDAE0F7C"/>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i/>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8D5948"/>
    <w:multiLevelType w:val="hybridMultilevel"/>
    <w:tmpl w:val="780A9D32"/>
    <w:lvl w:ilvl="0" w:tplc="061A6FFA">
      <w:start w:val="1"/>
      <w:numFmt w:val="decimal"/>
      <w:lvlText w:val="%1."/>
      <w:lvlJc w:val="left"/>
      <w:pPr>
        <w:ind w:left="8157" w:hanging="360"/>
      </w:pPr>
      <w:rPr>
        <w:b w:val="0"/>
        <w:bCs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0D3F4A"/>
    <w:multiLevelType w:val="hybridMultilevel"/>
    <w:tmpl w:val="890405D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C3647CF"/>
    <w:multiLevelType w:val="hybridMultilevel"/>
    <w:tmpl w:val="0A98B71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C3D49A9"/>
    <w:multiLevelType w:val="multilevel"/>
    <w:tmpl w:val="3D02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AC58BE"/>
    <w:multiLevelType w:val="hybridMultilevel"/>
    <w:tmpl w:val="CBF03302"/>
    <w:lvl w:ilvl="0" w:tplc="317CCBDA">
      <w:start w:val="2"/>
      <w:numFmt w:val="lowerLetter"/>
      <w:lvlText w:val="%1."/>
      <w:lvlJc w:val="left"/>
      <w:pPr>
        <w:ind w:left="920"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18" w15:restartNumberingAfterBreak="0">
    <w:nsid w:val="2FFD2FE1"/>
    <w:multiLevelType w:val="hybridMultilevel"/>
    <w:tmpl w:val="CC4626D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1831AA8"/>
    <w:multiLevelType w:val="multilevel"/>
    <w:tmpl w:val="B692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9440E3"/>
    <w:multiLevelType w:val="multilevel"/>
    <w:tmpl w:val="2804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6106ED"/>
    <w:multiLevelType w:val="hybridMultilevel"/>
    <w:tmpl w:val="C9BCE342"/>
    <w:lvl w:ilvl="0" w:tplc="267A6E30">
      <w:start w:val="1"/>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56C2E28"/>
    <w:multiLevelType w:val="hybridMultilevel"/>
    <w:tmpl w:val="BAC235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98977E2"/>
    <w:multiLevelType w:val="multilevel"/>
    <w:tmpl w:val="FA6C9F60"/>
    <w:lvl w:ilvl="0">
      <w:start w:val="1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12574E"/>
    <w:multiLevelType w:val="hybridMultilevel"/>
    <w:tmpl w:val="21A2B894"/>
    <w:lvl w:ilvl="0" w:tplc="317CCBDA">
      <w:start w:val="1"/>
      <w:numFmt w:val="lowerLetter"/>
      <w:lvlText w:val="%1."/>
      <w:lvlJc w:val="left"/>
      <w:pPr>
        <w:ind w:left="920" w:hanging="360"/>
      </w:pPr>
      <w:rPr>
        <w:rFonts w:hint="default"/>
      </w:rPr>
    </w:lvl>
    <w:lvl w:ilvl="1" w:tplc="080A0019">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5" w15:restartNumberingAfterBreak="0">
    <w:nsid w:val="3D745DCF"/>
    <w:multiLevelType w:val="hybridMultilevel"/>
    <w:tmpl w:val="C61A74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E8379AA"/>
    <w:multiLevelType w:val="hybridMultilevel"/>
    <w:tmpl w:val="FC305E6E"/>
    <w:lvl w:ilvl="0" w:tplc="3F484118">
      <w:start w:val="1"/>
      <w:numFmt w:val="decimal"/>
      <w:lvlText w:val="%1."/>
      <w:lvlJc w:val="left"/>
      <w:pPr>
        <w:ind w:left="360" w:hanging="360"/>
      </w:pPr>
      <w:rPr>
        <w:b w:val="0"/>
        <w:bCs w:val="0"/>
        <w:i w:val="0"/>
        <w:iCs w:val="0"/>
      </w:rPr>
    </w:lvl>
    <w:lvl w:ilvl="1" w:tplc="FFFFFFFF">
      <w:start w:val="1"/>
      <w:numFmt w:val="lowerRoman"/>
      <w:lvlText w:val="%2)"/>
      <w:lvlJc w:val="left"/>
      <w:pPr>
        <w:ind w:left="1440" w:hanging="72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E8D63B7"/>
    <w:multiLevelType w:val="multilevel"/>
    <w:tmpl w:val="6AA0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8474DC"/>
    <w:multiLevelType w:val="multilevel"/>
    <w:tmpl w:val="BB54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B56901"/>
    <w:multiLevelType w:val="multilevel"/>
    <w:tmpl w:val="390C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5E26AA"/>
    <w:multiLevelType w:val="hybridMultilevel"/>
    <w:tmpl w:val="187EF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88605E1"/>
    <w:multiLevelType w:val="hybridMultilevel"/>
    <w:tmpl w:val="FFFFFFFF"/>
    <w:lvl w:ilvl="0" w:tplc="240A000F">
      <w:start w:val="1"/>
      <w:numFmt w:val="decimal"/>
      <w:lvlText w:val="%1."/>
      <w:lvlJc w:val="left"/>
      <w:pPr>
        <w:ind w:left="360" w:hanging="360"/>
      </w:pPr>
      <w:rPr>
        <w:rFonts w:cs="Times New Roman"/>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509B0263"/>
    <w:multiLevelType w:val="multilevel"/>
    <w:tmpl w:val="99A6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B66539"/>
    <w:multiLevelType w:val="hybridMultilevel"/>
    <w:tmpl w:val="6866B17A"/>
    <w:lvl w:ilvl="0" w:tplc="19EE487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91D0714"/>
    <w:multiLevelType w:val="multilevel"/>
    <w:tmpl w:val="84D2D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B20A5D"/>
    <w:multiLevelType w:val="multilevel"/>
    <w:tmpl w:val="9468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5B27B6"/>
    <w:multiLevelType w:val="hybridMultilevel"/>
    <w:tmpl w:val="77FEF20C"/>
    <w:lvl w:ilvl="0" w:tplc="4B5ED216">
      <w:start w:val="1"/>
      <w:numFmt w:val="decimal"/>
      <w:lvlText w:val="%1."/>
      <w:lvlJc w:val="left"/>
      <w:pPr>
        <w:ind w:left="3621" w:hanging="360"/>
      </w:pPr>
      <w:rPr>
        <w:b w:val="0"/>
        <w:bCs w:val="0"/>
        <w:i w:val="0"/>
        <w:iCs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2BE4F0F"/>
    <w:multiLevelType w:val="hybridMultilevel"/>
    <w:tmpl w:val="0040D440"/>
    <w:lvl w:ilvl="0" w:tplc="F18659E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7F913CB"/>
    <w:multiLevelType w:val="hybridMultilevel"/>
    <w:tmpl w:val="5A18A89A"/>
    <w:lvl w:ilvl="0" w:tplc="4B660DF2">
      <w:start w:val="1"/>
      <w:numFmt w:val="decimal"/>
      <w:lvlText w:val="%1."/>
      <w:lvlJc w:val="left"/>
      <w:pPr>
        <w:ind w:left="420" w:hanging="360"/>
      </w:pPr>
      <w:rPr>
        <w:rFonts w:hint="default"/>
      </w:rPr>
    </w:lvl>
    <w:lvl w:ilvl="1" w:tplc="040A0019" w:tentative="1">
      <w:start w:val="1"/>
      <w:numFmt w:val="lowerLetter"/>
      <w:lvlText w:val="%2."/>
      <w:lvlJc w:val="left"/>
      <w:pPr>
        <w:ind w:left="1140" w:hanging="360"/>
      </w:pPr>
    </w:lvl>
    <w:lvl w:ilvl="2" w:tplc="040A001B" w:tentative="1">
      <w:start w:val="1"/>
      <w:numFmt w:val="lowerRoman"/>
      <w:lvlText w:val="%3."/>
      <w:lvlJc w:val="right"/>
      <w:pPr>
        <w:ind w:left="1860" w:hanging="180"/>
      </w:pPr>
    </w:lvl>
    <w:lvl w:ilvl="3" w:tplc="040A000F" w:tentative="1">
      <w:start w:val="1"/>
      <w:numFmt w:val="decimal"/>
      <w:lvlText w:val="%4."/>
      <w:lvlJc w:val="left"/>
      <w:pPr>
        <w:ind w:left="2580" w:hanging="360"/>
      </w:pPr>
    </w:lvl>
    <w:lvl w:ilvl="4" w:tplc="040A0019" w:tentative="1">
      <w:start w:val="1"/>
      <w:numFmt w:val="lowerLetter"/>
      <w:lvlText w:val="%5."/>
      <w:lvlJc w:val="left"/>
      <w:pPr>
        <w:ind w:left="3300" w:hanging="360"/>
      </w:pPr>
    </w:lvl>
    <w:lvl w:ilvl="5" w:tplc="040A001B" w:tentative="1">
      <w:start w:val="1"/>
      <w:numFmt w:val="lowerRoman"/>
      <w:lvlText w:val="%6."/>
      <w:lvlJc w:val="right"/>
      <w:pPr>
        <w:ind w:left="4020" w:hanging="180"/>
      </w:pPr>
    </w:lvl>
    <w:lvl w:ilvl="6" w:tplc="040A000F" w:tentative="1">
      <w:start w:val="1"/>
      <w:numFmt w:val="decimal"/>
      <w:lvlText w:val="%7."/>
      <w:lvlJc w:val="left"/>
      <w:pPr>
        <w:ind w:left="4740" w:hanging="360"/>
      </w:pPr>
    </w:lvl>
    <w:lvl w:ilvl="7" w:tplc="040A0019" w:tentative="1">
      <w:start w:val="1"/>
      <w:numFmt w:val="lowerLetter"/>
      <w:lvlText w:val="%8."/>
      <w:lvlJc w:val="left"/>
      <w:pPr>
        <w:ind w:left="5460" w:hanging="360"/>
      </w:pPr>
    </w:lvl>
    <w:lvl w:ilvl="8" w:tplc="040A001B" w:tentative="1">
      <w:start w:val="1"/>
      <w:numFmt w:val="lowerRoman"/>
      <w:lvlText w:val="%9."/>
      <w:lvlJc w:val="right"/>
      <w:pPr>
        <w:ind w:left="6180" w:hanging="180"/>
      </w:pPr>
    </w:lvl>
  </w:abstractNum>
  <w:abstractNum w:abstractNumId="39" w15:restartNumberingAfterBreak="0">
    <w:nsid w:val="73D6343A"/>
    <w:multiLevelType w:val="hybridMultilevel"/>
    <w:tmpl w:val="F740D9B4"/>
    <w:lvl w:ilvl="0" w:tplc="42C04F12">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0" w15:restartNumberingAfterBreak="0">
    <w:nsid w:val="73F72901"/>
    <w:multiLevelType w:val="multilevel"/>
    <w:tmpl w:val="9DBE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F9327E"/>
    <w:multiLevelType w:val="multilevel"/>
    <w:tmpl w:val="9228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9B56B2"/>
    <w:multiLevelType w:val="hybridMultilevel"/>
    <w:tmpl w:val="A712D51E"/>
    <w:lvl w:ilvl="0" w:tplc="C788610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82C7EF8"/>
    <w:multiLevelType w:val="hybridMultilevel"/>
    <w:tmpl w:val="A6FCAB1A"/>
    <w:lvl w:ilvl="0" w:tplc="99947022">
      <w:start w:val="1"/>
      <w:numFmt w:val="decimal"/>
      <w:lvlText w:val="%1."/>
      <w:lvlJc w:val="left"/>
      <w:pPr>
        <w:ind w:left="360" w:hanging="360"/>
      </w:pPr>
      <w:rPr>
        <w:rFonts w:ascii="Times New Roman" w:eastAsia="Times New Roman" w:hAnsi="Times New Roman" w:cs="Times New Roman" w:hint="default"/>
        <w:b w:val="0"/>
        <w:bCs w:val="0"/>
        <w:i w:val="0"/>
        <w:sz w:val="28"/>
        <w:szCs w:val="28"/>
      </w:rPr>
    </w:lvl>
    <w:lvl w:ilvl="1" w:tplc="FAE4A0EE">
      <w:start w:val="1"/>
      <w:numFmt w:val="lowerLetter"/>
      <w:lvlText w:val="%2."/>
      <w:lvlJc w:val="left"/>
      <w:pPr>
        <w:ind w:left="1440" w:hanging="360"/>
      </w:pPr>
      <w:rPr>
        <w:rFonts w:cs="Times New Roman" w:hint="default"/>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44" w15:restartNumberingAfterBreak="0">
    <w:nsid w:val="7867577D"/>
    <w:multiLevelType w:val="multilevel"/>
    <w:tmpl w:val="32D8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940661"/>
    <w:multiLevelType w:val="multilevel"/>
    <w:tmpl w:val="EFE2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EE7427"/>
    <w:multiLevelType w:val="hybridMultilevel"/>
    <w:tmpl w:val="5A18A89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7" w15:restartNumberingAfterBreak="0">
    <w:nsid w:val="7DC836C2"/>
    <w:multiLevelType w:val="multilevel"/>
    <w:tmpl w:val="BDC2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2B7A1B"/>
    <w:multiLevelType w:val="multilevel"/>
    <w:tmpl w:val="4170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9C795D"/>
    <w:multiLevelType w:val="hybridMultilevel"/>
    <w:tmpl w:val="BA467FF2"/>
    <w:lvl w:ilvl="0" w:tplc="FC96CAEE">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3"/>
  </w:num>
  <w:num w:numId="2">
    <w:abstractNumId w:val="24"/>
  </w:num>
  <w:num w:numId="3">
    <w:abstractNumId w:val="17"/>
  </w:num>
  <w:num w:numId="4">
    <w:abstractNumId w:val="9"/>
  </w:num>
  <w:num w:numId="5">
    <w:abstractNumId w:val="3"/>
  </w:num>
  <w:num w:numId="6">
    <w:abstractNumId w:val="12"/>
  </w:num>
  <w:num w:numId="7">
    <w:abstractNumId w:val="39"/>
  </w:num>
  <w:num w:numId="8">
    <w:abstractNumId w:val="34"/>
  </w:num>
  <w:num w:numId="9">
    <w:abstractNumId w:val="5"/>
  </w:num>
  <w:num w:numId="10">
    <w:abstractNumId w:val="38"/>
  </w:num>
  <w:num w:numId="11">
    <w:abstractNumId w:val="0"/>
  </w:num>
  <w:num w:numId="12">
    <w:abstractNumId w:val="47"/>
  </w:num>
  <w:num w:numId="13">
    <w:abstractNumId w:val="44"/>
  </w:num>
  <w:num w:numId="14">
    <w:abstractNumId w:val="7"/>
  </w:num>
  <w:num w:numId="15">
    <w:abstractNumId w:val="28"/>
  </w:num>
  <w:num w:numId="16">
    <w:abstractNumId w:val="10"/>
  </w:num>
  <w:num w:numId="17">
    <w:abstractNumId w:val="19"/>
  </w:num>
  <w:num w:numId="18">
    <w:abstractNumId w:val="48"/>
  </w:num>
  <w:num w:numId="19">
    <w:abstractNumId w:val="20"/>
  </w:num>
  <w:num w:numId="20">
    <w:abstractNumId w:val="45"/>
  </w:num>
  <w:num w:numId="21">
    <w:abstractNumId w:val="16"/>
  </w:num>
  <w:num w:numId="22">
    <w:abstractNumId w:val="41"/>
  </w:num>
  <w:num w:numId="23">
    <w:abstractNumId w:val="27"/>
  </w:num>
  <w:num w:numId="24">
    <w:abstractNumId w:val="32"/>
  </w:num>
  <w:num w:numId="25">
    <w:abstractNumId w:val="40"/>
  </w:num>
  <w:num w:numId="26">
    <w:abstractNumId w:val="35"/>
  </w:num>
  <w:num w:numId="27">
    <w:abstractNumId w:val="8"/>
  </w:num>
  <w:num w:numId="28">
    <w:abstractNumId w:val="29"/>
  </w:num>
  <w:num w:numId="29">
    <w:abstractNumId w:val="4"/>
  </w:num>
  <w:num w:numId="30">
    <w:abstractNumId w:val="18"/>
  </w:num>
  <w:num w:numId="31">
    <w:abstractNumId w:val="15"/>
  </w:num>
  <w:num w:numId="32">
    <w:abstractNumId w:val="30"/>
  </w:num>
  <w:num w:numId="33">
    <w:abstractNumId w:val="14"/>
  </w:num>
  <w:num w:numId="34">
    <w:abstractNumId w:val="46"/>
  </w:num>
  <w:num w:numId="35">
    <w:abstractNumId w:val="2"/>
  </w:num>
  <w:num w:numId="36">
    <w:abstractNumId w:val="11"/>
  </w:num>
  <w:num w:numId="37">
    <w:abstractNumId w:val="22"/>
  </w:num>
  <w:num w:numId="38">
    <w:abstractNumId w:val="1"/>
  </w:num>
  <w:num w:numId="39">
    <w:abstractNumId w:val="6"/>
  </w:num>
  <w:num w:numId="40">
    <w:abstractNumId w:val="36"/>
  </w:num>
  <w:num w:numId="41">
    <w:abstractNumId w:val="42"/>
  </w:num>
  <w:num w:numId="42">
    <w:abstractNumId w:val="26"/>
  </w:num>
  <w:num w:numId="43">
    <w:abstractNumId w:val="37"/>
  </w:num>
  <w:num w:numId="44">
    <w:abstractNumId w:val="49"/>
  </w:num>
  <w:num w:numId="45">
    <w:abstractNumId w:val="43"/>
  </w:num>
  <w:num w:numId="46">
    <w:abstractNumId w:val="23"/>
  </w:num>
  <w:num w:numId="47">
    <w:abstractNumId w:val="33"/>
  </w:num>
  <w:num w:numId="48">
    <w:abstractNumId w:val="25"/>
  </w:num>
  <w:num w:numId="49">
    <w:abstractNumId w:val="21"/>
  </w:num>
  <w:num w:numId="50">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BE5"/>
    <w:rsid w:val="0000004E"/>
    <w:rsid w:val="000000D7"/>
    <w:rsid w:val="0000013E"/>
    <w:rsid w:val="00000144"/>
    <w:rsid w:val="00000372"/>
    <w:rsid w:val="000003CB"/>
    <w:rsid w:val="000003FE"/>
    <w:rsid w:val="00000449"/>
    <w:rsid w:val="00000561"/>
    <w:rsid w:val="000005B5"/>
    <w:rsid w:val="0000067E"/>
    <w:rsid w:val="000006E6"/>
    <w:rsid w:val="00000730"/>
    <w:rsid w:val="000007D9"/>
    <w:rsid w:val="0000086E"/>
    <w:rsid w:val="0000087E"/>
    <w:rsid w:val="000008E6"/>
    <w:rsid w:val="0000099A"/>
    <w:rsid w:val="000009AE"/>
    <w:rsid w:val="00000C8B"/>
    <w:rsid w:val="00000F6C"/>
    <w:rsid w:val="0000108A"/>
    <w:rsid w:val="00001145"/>
    <w:rsid w:val="000011A0"/>
    <w:rsid w:val="000011AA"/>
    <w:rsid w:val="000012A1"/>
    <w:rsid w:val="0000136D"/>
    <w:rsid w:val="000013C9"/>
    <w:rsid w:val="000013D5"/>
    <w:rsid w:val="00001496"/>
    <w:rsid w:val="00001514"/>
    <w:rsid w:val="0000155D"/>
    <w:rsid w:val="000015C6"/>
    <w:rsid w:val="0000163C"/>
    <w:rsid w:val="000017A7"/>
    <w:rsid w:val="00001838"/>
    <w:rsid w:val="000018B7"/>
    <w:rsid w:val="000019E2"/>
    <w:rsid w:val="00001B32"/>
    <w:rsid w:val="00001B56"/>
    <w:rsid w:val="00001B8A"/>
    <w:rsid w:val="00001CBE"/>
    <w:rsid w:val="00001D49"/>
    <w:rsid w:val="00001D71"/>
    <w:rsid w:val="00001D7D"/>
    <w:rsid w:val="00001DD9"/>
    <w:rsid w:val="000020AF"/>
    <w:rsid w:val="000021BD"/>
    <w:rsid w:val="000021FC"/>
    <w:rsid w:val="00002247"/>
    <w:rsid w:val="0000228D"/>
    <w:rsid w:val="000022F7"/>
    <w:rsid w:val="00002625"/>
    <w:rsid w:val="00002658"/>
    <w:rsid w:val="00002672"/>
    <w:rsid w:val="000027B1"/>
    <w:rsid w:val="00002996"/>
    <w:rsid w:val="00002B54"/>
    <w:rsid w:val="00002B95"/>
    <w:rsid w:val="00002BD7"/>
    <w:rsid w:val="00002DAE"/>
    <w:rsid w:val="00002E0E"/>
    <w:rsid w:val="00002F45"/>
    <w:rsid w:val="00003145"/>
    <w:rsid w:val="0000321E"/>
    <w:rsid w:val="00003285"/>
    <w:rsid w:val="000032E8"/>
    <w:rsid w:val="000032F8"/>
    <w:rsid w:val="0000333D"/>
    <w:rsid w:val="0000334C"/>
    <w:rsid w:val="00003514"/>
    <w:rsid w:val="00003592"/>
    <w:rsid w:val="000035B4"/>
    <w:rsid w:val="000035F3"/>
    <w:rsid w:val="000035FB"/>
    <w:rsid w:val="00003710"/>
    <w:rsid w:val="00003769"/>
    <w:rsid w:val="00003777"/>
    <w:rsid w:val="00003905"/>
    <w:rsid w:val="000039E8"/>
    <w:rsid w:val="00003C99"/>
    <w:rsid w:val="00003D19"/>
    <w:rsid w:val="00003D46"/>
    <w:rsid w:val="00003D53"/>
    <w:rsid w:val="00003E93"/>
    <w:rsid w:val="00003F15"/>
    <w:rsid w:val="00004062"/>
    <w:rsid w:val="00004069"/>
    <w:rsid w:val="0000414F"/>
    <w:rsid w:val="000041DF"/>
    <w:rsid w:val="00004365"/>
    <w:rsid w:val="00004811"/>
    <w:rsid w:val="00004877"/>
    <w:rsid w:val="000048DD"/>
    <w:rsid w:val="0000498B"/>
    <w:rsid w:val="000049DB"/>
    <w:rsid w:val="000049F5"/>
    <w:rsid w:val="00004A43"/>
    <w:rsid w:val="00004A6B"/>
    <w:rsid w:val="00004C5D"/>
    <w:rsid w:val="00004CD8"/>
    <w:rsid w:val="00004D92"/>
    <w:rsid w:val="00004D99"/>
    <w:rsid w:val="00004DF7"/>
    <w:rsid w:val="00004F6E"/>
    <w:rsid w:val="00005470"/>
    <w:rsid w:val="0000572C"/>
    <w:rsid w:val="00005774"/>
    <w:rsid w:val="00005825"/>
    <w:rsid w:val="00005945"/>
    <w:rsid w:val="0000595C"/>
    <w:rsid w:val="00005A6A"/>
    <w:rsid w:val="00005B25"/>
    <w:rsid w:val="00005CA9"/>
    <w:rsid w:val="00005D4C"/>
    <w:rsid w:val="00005D98"/>
    <w:rsid w:val="00005DA6"/>
    <w:rsid w:val="00005FBD"/>
    <w:rsid w:val="00006024"/>
    <w:rsid w:val="0000609B"/>
    <w:rsid w:val="00006122"/>
    <w:rsid w:val="0000612D"/>
    <w:rsid w:val="0000618C"/>
    <w:rsid w:val="0000623D"/>
    <w:rsid w:val="0000634C"/>
    <w:rsid w:val="000063D6"/>
    <w:rsid w:val="00006489"/>
    <w:rsid w:val="000065DE"/>
    <w:rsid w:val="00006944"/>
    <w:rsid w:val="00006A21"/>
    <w:rsid w:val="00006ADF"/>
    <w:rsid w:val="00006CA3"/>
    <w:rsid w:val="00006F4F"/>
    <w:rsid w:val="00006F98"/>
    <w:rsid w:val="000072EE"/>
    <w:rsid w:val="0000735E"/>
    <w:rsid w:val="000073E4"/>
    <w:rsid w:val="0000749B"/>
    <w:rsid w:val="000074F6"/>
    <w:rsid w:val="00007600"/>
    <w:rsid w:val="00007901"/>
    <w:rsid w:val="00007905"/>
    <w:rsid w:val="00007B15"/>
    <w:rsid w:val="00007B52"/>
    <w:rsid w:val="00007B58"/>
    <w:rsid w:val="00007BB5"/>
    <w:rsid w:val="00007C92"/>
    <w:rsid w:val="00007E4A"/>
    <w:rsid w:val="00007F3A"/>
    <w:rsid w:val="000100EA"/>
    <w:rsid w:val="00010141"/>
    <w:rsid w:val="0001018C"/>
    <w:rsid w:val="0001019E"/>
    <w:rsid w:val="00010269"/>
    <w:rsid w:val="0001067C"/>
    <w:rsid w:val="000107E6"/>
    <w:rsid w:val="00010981"/>
    <w:rsid w:val="00010D07"/>
    <w:rsid w:val="00010E2D"/>
    <w:rsid w:val="00010EA0"/>
    <w:rsid w:val="00010F1F"/>
    <w:rsid w:val="00010F94"/>
    <w:rsid w:val="00010FAC"/>
    <w:rsid w:val="00010FB2"/>
    <w:rsid w:val="0001100E"/>
    <w:rsid w:val="000110A6"/>
    <w:rsid w:val="00011186"/>
    <w:rsid w:val="000113E8"/>
    <w:rsid w:val="000114F6"/>
    <w:rsid w:val="000117DB"/>
    <w:rsid w:val="00011B05"/>
    <w:rsid w:val="00011B9E"/>
    <w:rsid w:val="00011CBE"/>
    <w:rsid w:val="00011DED"/>
    <w:rsid w:val="00011E91"/>
    <w:rsid w:val="00011F59"/>
    <w:rsid w:val="00011FC8"/>
    <w:rsid w:val="00012046"/>
    <w:rsid w:val="00012072"/>
    <w:rsid w:val="000121C0"/>
    <w:rsid w:val="000121CE"/>
    <w:rsid w:val="0001239F"/>
    <w:rsid w:val="00012519"/>
    <w:rsid w:val="0001265F"/>
    <w:rsid w:val="0001268E"/>
    <w:rsid w:val="0001275B"/>
    <w:rsid w:val="00012840"/>
    <w:rsid w:val="000128A2"/>
    <w:rsid w:val="000128E4"/>
    <w:rsid w:val="0001297A"/>
    <w:rsid w:val="00012B33"/>
    <w:rsid w:val="00012C35"/>
    <w:rsid w:val="00012D59"/>
    <w:rsid w:val="00012E11"/>
    <w:rsid w:val="00012ED7"/>
    <w:rsid w:val="00012F05"/>
    <w:rsid w:val="00013041"/>
    <w:rsid w:val="000132D4"/>
    <w:rsid w:val="00013441"/>
    <w:rsid w:val="000134FD"/>
    <w:rsid w:val="00013502"/>
    <w:rsid w:val="00013534"/>
    <w:rsid w:val="000136DE"/>
    <w:rsid w:val="0001378D"/>
    <w:rsid w:val="000138AE"/>
    <w:rsid w:val="00013AEE"/>
    <w:rsid w:val="00013B8A"/>
    <w:rsid w:val="00013BB9"/>
    <w:rsid w:val="00013D01"/>
    <w:rsid w:val="00014039"/>
    <w:rsid w:val="0001409F"/>
    <w:rsid w:val="0001417D"/>
    <w:rsid w:val="00014256"/>
    <w:rsid w:val="000144B7"/>
    <w:rsid w:val="000146C7"/>
    <w:rsid w:val="0001470C"/>
    <w:rsid w:val="00014718"/>
    <w:rsid w:val="000147C0"/>
    <w:rsid w:val="00014825"/>
    <w:rsid w:val="00014951"/>
    <w:rsid w:val="00014ACF"/>
    <w:rsid w:val="00014ADC"/>
    <w:rsid w:val="00014AE6"/>
    <w:rsid w:val="00014B25"/>
    <w:rsid w:val="00014BDE"/>
    <w:rsid w:val="00014CBA"/>
    <w:rsid w:val="00014CC6"/>
    <w:rsid w:val="00014CEA"/>
    <w:rsid w:val="00014D59"/>
    <w:rsid w:val="00014DDC"/>
    <w:rsid w:val="00014DED"/>
    <w:rsid w:val="00014E87"/>
    <w:rsid w:val="00014FF8"/>
    <w:rsid w:val="00015008"/>
    <w:rsid w:val="00015059"/>
    <w:rsid w:val="0001513E"/>
    <w:rsid w:val="00015175"/>
    <w:rsid w:val="00015366"/>
    <w:rsid w:val="00015406"/>
    <w:rsid w:val="00015519"/>
    <w:rsid w:val="00015694"/>
    <w:rsid w:val="000156BD"/>
    <w:rsid w:val="0001598F"/>
    <w:rsid w:val="00015A31"/>
    <w:rsid w:val="00015B02"/>
    <w:rsid w:val="00015C2C"/>
    <w:rsid w:val="00015C37"/>
    <w:rsid w:val="00015E5B"/>
    <w:rsid w:val="00015ECB"/>
    <w:rsid w:val="00015FCF"/>
    <w:rsid w:val="00016050"/>
    <w:rsid w:val="000161BD"/>
    <w:rsid w:val="000164D7"/>
    <w:rsid w:val="00016575"/>
    <w:rsid w:val="000166BF"/>
    <w:rsid w:val="0001682E"/>
    <w:rsid w:val="00016855"/>
    <w:rsid w:val="0001685B"/>
    <w:rsid w:val="00016A6D"/>
    <w:rsid w:val="00016B39"/>
    <w:rsid w:val="00016C2D"/>
    <w:rsid w:val="00016C8B"/>
    <w:rsid w:val="00016D2C"/>
    <w:rsid w:val="00016D8E"/>
    <w:rsid w:val="00016DCB"/>
    <w:rsid w:val="00016DD1"/>
    <w:rsid w:val="00016ECF"/>
    <w:rsid w:val="00017106"/>
    <w:rsid w:val="00017124"/>
    <w:rsid w:val="0001721A"/>
    <w:rsid w:val="000172C9"/>
    <w:rsid w:val="000172E8"/>
    <w:rsid w:val="0001749A"/>
    <w:rsid w:val="0001757A"/>
    <w:rsid w:val="00017911"/>
    <w:rsid w:val="00017958"/>
    <w:rsid w:val="000179A6"/>
    <w:rsid w:val="00017AF3"/>
    <w:rsid w:val="00017C8D"/>
    <w:rsid w:val="00017C99"/>
    <w:rsid w:val="00017D40"/>
    <w:rsid w:val="00017D7C"/>
    <w:rsid w:val="00017DCD"/>
    <w:rsid w:val="00017E34"/>
    <w:rsid w:val="000200D9"/>
    <w:rsid w:val="00020152"/>
    <w:rsid w:val="000201C1"/>
    <w:rsid w:val="0002030C"/>
    <w:rsid w:val="000203E0"/>
    <w:rsid w:val="00020462"/>
    <w:rsid w:val="00020797"/>
    <w:rsid w:val="00020812"/>
    <w:rsid w:val="00020918"/>
    <w:rsid w:val="00020A98"/>
    <w:rsid w:val="00020AF0"/>
    <w:rsid w:val="00020B40"/>
    <w:rsid w:val="00020C61"/>
    <w:rsid w:val="00020CE0"/>
    <w:rsid w:val="00020D24"/>
    <w:rsid w:val="00020D4F"/>
    <w:rsid w:val="00020D95"/>
    <w:rsid w:val="00020DD9"/>
    <w:rsid w:val="00020E0C"/>
    <w:rsid w:val="00020E90"/>
    <w:rsid w:val="00020ED0"/>
    <w:rsid w:val="00021047"/>
    <w:rsid w:val="0002105C"/>
    <w:rsid w:val="000210B9"/>
    <w:rsid w:val="0002112B"/>
    <w:rsid w:val="00021491"/>
    <w:rsid w:val="000214C9"/>
    <w:rsid w:val="0002165F"/>
    <w:rsid w:val="000217F6"/>
    <w:rsid w:val="00021952"/>
    <w:rsid w:val="00021A7C"/>
    <w:rsid w:val="00021B02"/>
    <w:rsid w:val="00021C79"/>
    <w:rsid w:val="00021CAA"/>
    <w:rsid w:val="00021CFA"/>
    <w:rsid w:val="00021D91"/>
    <w:rsid w:val="00021E05"/>
    <w:rsid w:val="00021E06"/>
    <w:rsid w:val="00021E47"/>
    <w:rsid w:val="00021E77"/>
    <w:rsid w:val="00021FA5"/>
    <w:rsid w:val="0002202D"/>
    <w:rsid w:val="000221D2"/>
    <w:rsid w:val="000222F1"/>
    <w:rsid w:val="00022376"/>
    <w:rsid w:val="00022390"/>
    <w:rsid w:val="000225AB"/>
    <w:rsid w:val="00022622"/>
    <w:rsid w:val="00022624"/>
    <w:rsid w:val="000226AA"/>
    <w:rsid w:val="000227FE"/>
    <w:rsid w:val="000228FE"/>
    <w:rsid w:val="000229DF"/>
    <w:rsid w:val="00022AFB"/>
    <w:rsid w:val="00022C90"/>
    <w:rsid w:val="00022D4E"/>
    <w:rsid w:val="00022E3A"/>
    <w:rsid w:val="00022E49"/>
    <w:rsid w:val="00022E9A"/>
    <w:rsid w:val="00022F65"/>
    <w:rsid w:val="00023055"/>
    <w:rsid w:val="000231D4"/>
    <w:rsid w:val="00023245"/>
    <w:rsid w:val="00023397"/>
    <w:rsid w:val="000234EE"/>
    <w:rsid w:val="0002362A"/>
    <w:rsid w:val="00023633"/>
    <w:rsid w:val="00023680"/>
    <w:rsid w:val="00023794"/>
    <w:rsid w:val="0002386F"/>
    <w:rsid w:val="00023884"/>
    <w:rsid w:val="000238C4"/>
    <w:rsid w:val="0002395A"/>
    <w:rsid w:val="00023A51"/>
    <w:rsid w:val="00023B08"/>
    <w:rsid w:val="00023B1D"/>
    <w:rsid w:val="00023B21"/>
    <w:rsid w:val="00023BAB"/>
    <w:rsid w:val="00023BCB"/>
    <w:rsid w:val="00023C89"/>
    <w:rsid w:val="00023D0D"/>
    <w:rsid w:val="00023FA7"/>
    <w:rsid w:val="000241C4"/>
    <w:rsid w:val="000243AC"/>
    <w:rsid w:val="000243BC"/>
    <w:rsid w:val="000243EE"/>
    <w:rsid w:val="0002448C"/>
    <w:rsid w:val="000244C1"/>
    <w:rsid w:val="0002489B"/>
    <w:rsid w:val="000248B0"/>
    <w:rsid w:val="00024962"/>
    <w:rsid w:val="00024AA5"/>
    <w:rsid w:val="00024AF8"/>
    <w:rsid w:val="00024E91"/>
    <w:rsid w:val="00024EB3"/>
    <w:rsid w:val="00024EE7"/>
    <w:rsid w:val="00024F26"/>
    <w:rsid w:val="000250F9"/>
    <w:rsid w:val="0002510B"/>
    <w:rsid w:val="000251FB"/>
    <w:rsid w:val="0002526A"/>
    <w:rsid w:val="00025306"/>
    <w:rsid w:val="00025341"/>
    <w:rsid w:val="00025371"/>
    <w:rsid w:val="00025436"/>
    <w:rsid w:val="000254D2"/>
    <w:rsid w:val="00025531"/>
    <w:rsid w:val="00025584"/>
    <w:rsid w:val="00025840"/>
    <w:rsid w:val="000259BD"/>
    <w:rsid w:val="00025AB0"/>
    <w:rsid w:val="00025AB8"/>
    <w:rsid w:val="00025CBE"/>
    <w:rsid w:val="00025EAA"/>
    <w:rsid w:val="00025F7D"/>
    <w:rsid w:val="000261A5"/>
    <w:rsid w:val="000263DE"/>
    <w:rsid w:val="00026473"/>
    <w:rsid w:val="0002656C"/>
    <w:rsid w:val="000266F5"/>
    <w:rsid w:val="0002674A"/>
    <w:rsid w:val="00026826"/>
    <w:rsid w:val="00026830"/>
    <w:rsid w:val="00026858"/>
    <w:rsid w:val="00026861"/>
    <w:rsid w:val="000269E0"/>
    <w:rsid w:val="00026A72"/>
    <w:rsid w:val="00026C18"/>
    <w:rsid w:val="00026C9E"/>
    <w:rsid w:val="00026E3C"/>
    <w:rsid w:val="00026FBE"/>
    <w:rsid w:val="00027034"/>
    <w:rsid w:val="00027115"/>
    <w:rsid w:val="00027250"/>
    <w:rsid w:val="00027518"/>
    <w:rsid w:val="00027530"/>
    <w:rsid w:val="00027535"/>
    <w:rsid w:val="000275D3"/>
    <w:rsid w:val="00027678"/>
    <w:rsid w:val="00027863"/>
    <w:rsid w:val="000278F3"/>
    <w:rsid w:val="00027C7A"/>
    <w:rsid w:val="00027E6F"/>
    <w:rsid w:val="00027EAC"/>
    <w:rsid w:val="000300E7"/>
    <w:rsid w:val="0003023D"/>
    <w:rsid w:val="00030378"/>
    <w:rsid w:val="00030391"/>
    <w:rsid w:val="00030466"/>
    <w:rsid w:val="00030510"/>
    <w:rsid w:val="0003067D"/>
    <w:rsid w:val="000307B8"/>
    <w:rsid w:val="000307E2"/>
    <w:rsid w:val="00030B46"/>
    <w:rsid w:val="00030BAB"/>
    <w:rsid w:val="00030BE8"/>
    <w:rsid w:val="00030D41"/>
    <w:rsid w:val="00030F42"/>
    <w:rsid w:val="00030FDA"/>
    <w:rsid w:val="00031166"/>
    <w:rsid w:val="000312C4"/>
    <w:rsid w:val="000314A3"/>
    <w:rsid w:val="000314B9"/>
    <w:rsid w:val="000314C9"/>
    <w:rsid w:val="0003151A"/>
    <w:rsid w:val="000315B9"/>
    <w:rsid w:val="0003168B"/>
    <w:rsid w:val="000316B6"/>
    <w:rsid w:val="000316E8"/>
    <w:rsid w:val="00031915"/>
    <w:rsid w:val="00031948"/>
    <w:rsid w:val="000319DD"/>
    <w:rsid w:val="00031B27"/>
    <w:rsid w:val="00031C04"/>
    <w:rsid w:val="00031C4C"/>
    <w:rsid w:val="00031C86"/>
    <w:rsid w:val="00031DB8"/>
    <w:rsid w:val="00031E96"/>
    <w:rsid w:val="0003200D"/>
    <w:rsid w:val="000320C5"/>
    <w:rsid w:val="0003214E"/>
    <w:rsid w:val="0003220A"/>
    <w:rsid w:val="00032440"/>
    <w:rsid w:val="0003245C"/>
    <w:rsid w:val="00032642"/>
    <w:rsid w:val="00032733"/>
    <w:rsid w:val="000328AC"/>
    <w:rsid w:val="00032924"/>
    <w:rsid w:val="00032944"/>
    <w:rsid w:val="00032A32"/>
    <w:rsid w:val="00032AB8"/>
    <w:rsid w:val="00032B87"/>
    <w:rsid w:val="00032C1C"/>
    <w:rsid w:val="00032DE0"/>
    <w:rsid w:val="00032F17"/>
    <w:rsid w:val="00033030"/>
    <w:rsid w:val="0003337E"/>
    <w:rsid w:val="00033400"/>
    <w:rsid w:val="00033541"/>
    <w:rsid w:val="00033658"/>
    <w:rsid w:val="000336DF"/>
    <w:rsid w:val="0003370A"/>
    <w:rsid w:val="0003376F"/>
    <w:rsid w:val="00033881"/>
    <w:rsid w:val="000339AE"/>
    <w:rsid w:val="00033ADC"/>
    <w:rsid w:val="00033D6C"/>
    <w:rsid w:val="00033DEB"/>
    <w:rsid w:val="00033E13"/>
    <w:rsid w:val="00033F0A"/>
    <w:rsid w:val="000340B8"/>
    <w:rsid w:val="0003415C"/>
    <w:rsid w:val="000341B3"/>
    <w:rsid w:val="000342A5"/>
    <w:rsid w:val="0003439C"/>
    <w:rsid w:val="00034438"/>
    <w:rsid w:val="00034601"/>
    <w:rsid w:val="00034638"/>
    <w:rsid w:val="000346A9"/>
    <w:rsid w:val="00034739"/>
    <w:rsid w:val="00034876"/>
    <w:rsid w:val="000348D6"/>
    <w:rsid w:val="000348D8"/>
    <w:rsid w:val="0003493E"/>
    <w:rsid w:val="0003499D"/>
    <w:rsid w:val="000349F5"/>
    <w:rsid w:val="00034B78"/>
    <w:rsid w:val="00034B7A"/>
    <w:rsid w:val="00034C31"/>
    <w:rsid w:val="00034DBC"/>
    <w:rsid w:val="00034F99"/>
    <w:rsid w:val="000350C0"/>
    <w:rsid w:val="00035172"/>
    <w:rsid w:val="0003526E"/>
    <w:rsid w:val="000354F4"/>
    <w:rsid w:val="0003550B"/>
    <w:rsid w:val="00035586"/>
    <w:rsid w:val="000358C1"/>
    <w:rsid w:val="00035913"/>
    <w:rsid w:val="00035B6F"/>
    <w:rsid w:val="00035BB1"/>
    <w:rsid w:val="00035C6F"/>
    <w:rsid w:val="00035D87"/>
    <w:rsid w:val="00035E23"/>
    <w:rsid w:val="00035ECD"/>
    <w:rsid w:val="00035F8A"/>
    <w:rsid w:val="00035F9C"/>
    <w:rsid w:val="00035FED"/>
    <w:rsid w:val="000360AA"/>
    <w:rsid w:val="000360F8"/>
    <w:rsid w:val="000361BF"/>
    <w:rsid w:val="00036327"/>
    <w:rsid w:val="0003692F"/>
    <w:rsid w:val="00036960"/>
    <w:rsid w:val="00036A1F"/>
    <w:rsid w:val="00036AB6"/>
    <w:rsid w:val="00036E1F"/>
    <w:rsid w:val="00036E94"/>
    <w:rsid w:val="00036F20"/>
    <w:rsid w:val="00036F26"/>
    <w:rsid w:val="0003707A"/>
    <w:rsid w:val="000370BE"/>
    <w:rsid w:val="0003715B"/>
    <w:rsid w:val="00037253"/>
    <w:rsid w:val="0003734A"/>
    <w:rsid w:val="000374E0"/>
    <w:rsid w:val="000376B7"/>
    <w:rsid w:val="00037705"/>
    <w:rsid w:val="00037784"/>
    <w:rsid w:val="000378CE"/>
    <w:rsid w:val="000378E1"/>
    <w:rsid w:val="000378E3"/>
    <w:rsid w:val="0003794A"/>
    <w:rsid w:val="000379AE"/>
    <w:rsid w:val="00037A0E"/>
    <w:rsid w:val="00037A13"/>
    <w:rsid w:val="00037A7E"/>
    <w:rsid w:val="00037AC4"/>
    <w:rsid w:val="00037ACD"/>
    <w:rsid w:val="00037BE7"/>
    <w:rsid w:val="00037CC3"/>
    <w:rsid w:val="00037E56"/>
    <w:rsid w:val="000402DD"/>
    <w:rsid w:val="000402E7"/>
    <w:rsid w:val="000403CA"/>
    <w:rsid w:val="00040404"/>
    <w:rsid w:val="00040431"/>
    <w:rsid w:val="000406DF"/>
    <w:rsid w:val="0004087F"/>
    <w:rsid w:val="0004088E"/>
    <w:rsid w:val="00040918"/>
    <w:rsid w:val="00040988"/>
    <w:rsid w:val="00040A52"/>
    <w:rsid w:val="00040B3E"/>
    <w:rsid w:val="00040B81"/>
    <w:rsid w:val="00040C34"/>
    <w:rsid w:val="00040C52"/>
    <w:rsid w:val="00040C69"/>
    <w:rsid w:val="00040E37"/>
    <w:rsid w:val="00040FBE"/>
    <w:rsid w:val="00040FCB"/>
    <w:rsid w:val="00041056"/>
    <w:rsid w:val="00041196"/>
    <w:rsid w:val="000411A4"/>
    <w:rsid w:val="000411B9"/>
    <w:rsid w:val="0004137B"/>
    <w:rsid w:val="000413C4"/>
    <w:rsid w:val="00041436"/>
    <w:rsid w:val="000415DA"/>
    <w:rsid w:val="000416BF"/>
    <w:rsid w:val="0004178D"/>
    <w:rsid w:val="00041A6E"/>
    <w:rsid w:val="00041B63"/>
    <w:rsid w:val="00041D7D"/>
    <w:rsid w:val="00041DA8"/>
    <w:rsid w:val="00041E24"/>
    <w:rsid w:val="00041F04"/>
    <w:rsid w:val="0004206B"/>
    <w:rsid w:val="00042119"/>
    <w:rsid w:val="000422CE"/>
    <w:rsid w:val="000422D3"/>
    <w:rsid w:val="0004230D"/>
    <w:rsid w:val="00042466"/>
    <w:rsid w:val="00042498"/>
    <w:rsid w:val="00042569"/>
    <w:rsid w:val="000425D9"/>
    <w:rsid w:val="0004286E"/>
    <w:rsid w:val="00042874"/>
    <w:rsid w:val="000428C6"/>
    <w:rsid w:val="00042A9A"/>
    <w:rsid w:val="00042B63"/>
    <w:rsid w:val="00042BAD"/>
    <w:rsid w:val="00042BAE"/>
    <w:rsid w:val="00042BB6"/>
    <w:rsid w:val="00042C7C"/>
    <w:rsid w:val="00042D73"/>
    <w:rsid w:val="00042EA4"/>
    <w:rsid w:val="00042F08"/>
    <w:rsid w:val="0004316B"/>
    <w:rsid w:val="0004318E"/>
    <w:rsid w:val="000432E3"/>
    <w:rsid w:val="00043348"/>
    <w:rsid w:val="00043379"/>
    <w:rsid w:val="00043396"/>
    <w:rsid w:val="000434BD"/>
    <w:rsid w:val="000435B0"/>
    <w:rsid w:val="00043631"/>
    <w:rsid w:val="00043641"/>
    <w:rsid w:val="0004372B"/>
    <w:rsid w:val="00043795"/>
    <w:rsid w:val="000437FC"/>
    <w:rsid w:val="00043858"/>
    <w:rsid w:val="000439C9"/>
    <w:rsid w:val="000439E7"/>
    <w:rsid w:val="00043BAE"/>
    <w:rsid w:val="00043BC4"/>
    <w:rsid w:val="00043E9E"/>
    <w:rsid w:val="00044095"/>
    <w:rsid w:val="000440A7"/>
    <w:rsid w:val="000441B3"/>
    <w:rsid w:val="0004439C"/>
    <w:rsid w:val="0004439D"/>
    <w:rsid w:val="000443D7"/>
    <w:rsid w:val="00044413"/>
    <w:rsid w:val="00044471"/>
    <w:rsid w:val="000444D5"/>
    <w:rsid w:val="000444E0"/>
    <w:rsid w:val="0004465B"/>
    <w:rsid w:val="0004468B"/>
    <w:rsid w:val="00044772"/>
    <w:rsid w:val="000448AD"/>
    <w:rsid w:val="00044C17"/>
    <w:rsid w:val="00044C47"/>
    <w:rsid w:val="00044CE7"/>
    <w:rsid w:val="00044DDF"/>
    <w:rsid w:val="00044E02"/>
    <w:rsid w:val="0004565C"/>
    <w:rsid w:val="0004576D"/>
    <w:rsid w:val="000458A4"/>
    <w:rsid w:val="000458BD"/>
    <w:rsid w:val="00045B19"/>
    <w:rsid w:val="00045B5D"/>
    <w:rsid w:val="00045B75"/>
    <w:rsid w:val="00045B99"/>
    <w:rsid w:val="00045D29"/>
    <w:rsid w:val="00045F06"/>
    <w:rsid w:val="00045F80"/>
    <w:rsid w:val="000461DE"/>
    <w:rsid w:val="000463CA"/>
    <w:rsid w:val="000463DE"/>
    <w:rsid w:val="0004648A"/>
    <w:rsid w:val="00046648"/>
    <w:rsid w:val="00046795"/>
    <w:rsid w:val="00046816"/>
    <w:rsid w:val="00046A6A"/>
    <w:rsid w:val="00046A99"/>
    <w:rsid w:val="00046B32"/>
    <w:rsid w:val="00046B33"/>
    <w:rsid w:val="00046BBC"/>
    <w:rsid w:val="00046C5C"/>
    <w:rsid w:val="00046C94"/>
    <w:rsid w:val="00046D32"/>
    <w:rsid w:val="00046E2F"/>
    <w:rsid w:val="00046F4D"/>
    <w:rsid w:val="00046FA6"/>
    <w:rsid w:val="00047038"/>
    <w:rsid w:val="0004704B"/>
    <w:rsid w:val="000471A3"/>
    <w:rsid w:val="000471FA"/>
    <w:rsid w:val="000472E5"/>
    <w:rsid w:val="000472F6"/>
    <w:rsid w:val="000473E9"/>
    <w:rsid w:val="000475A8"/>
    <w:rsid w:val="000475B6"/>
    <w:rsid w:val="000475D7"/>
    <w:rsid w:val="00047708"/>
    <w:rsid w:val="000478C3"/>
    <w:rsid w:val="00047996"/>
    <w:rsid w:val="00047A0F"/>
    <w:rsid w:val="00047B8E"/>
    <w:rsid w:val="00047FF9"/>
    <w:rsid w:val="0005004A"/>
    <w:rsid w:val="000500EF"/>
    <w:rsid w:val="0005015E"/>
    <w:rsid w:val="000501CC"/>
    <w:rsid w:val="000501DD"/>
    <w:rsid w:val="000504E5"/>
    <w:rsid w:val="000507B5"/>
    <w:rsid w:val="000507BA"/>
    <w:rsid w:val="00050B70"/>
    <w:rsid w:val="00050CF9"/>
    <w:rsid w:val="00050CFF"/>
    <w:rsid w:val="00050D27"/>
    <w:rsid w:val="00050D4B"/>
    <w:rsid w:val="00050D70"/>
    <w:rsid w:val="00050DE5"/>
    <w:rsid w:val="00050FA3"/>
    <w:rsid w:val="00051039"/>
    <w:rsid w:val="00051079"/>
    <w:rsid w:val="000510CB"/>
    <w:rsid w:val="000510FD"/>
    <w:rsid w:val="00051143"/>
    <w:rsid w:val="00051182"/>
    <w:rsid w:val="00051208"/>
    <w:rsid w:val="0005149C"/>
    <w:rsid w:val="00051565"/>
    <w:rsid w:val="0005168F"/>
    <w:rsid w:val="000516C2"/>
    <w:rsid w:val="000516CC"/>
    <w:rsid w:val="0005174F"/>
    <w:rsid w:val="000517C7"/>
    <w:rsid w:val="000519D2"/>
    <w:rsid w:val="00051A3A"/>
    <w:rsid w:val="00051B95"/>
    <w:rsid w:val="0005208E"/>
    <w:rsid w:val="0005209D"/>
    <w:rsid w:val="000520CD"/>
    <w:rsid w:val="000520E3"/>
    <w:rsid w:val="000522EA"/>
    <w:rsid w:val="00052372"/>
    <w:rsid w:val="00052717"/>
    <w:rsid w:val="00052785"/>
    <w:rsid w:val="000527BD"/>
    <w:rsid w:val="00052856"/>
    <w:rsid w:val="00052892"/>
    <w:rsid w:val="00052894"/>
    <w:rsid w:val="00052899"/>
    <w:rsid w:val="000528BE"/>
    <w:rsid w:val="000528F9"/>
    <w:rsid w:val="00052AEB"/>
    <w:rsid w:val="00052C9F"/>
    <w:rsid w:val="00052E5B"/>
    <w:rsid w:val="00053009"/>
    <w:rsid w:val="000530E1"/>
    <w:rsid w:val="00053230"/>
    <w:rsid w:val="000533CF"/>
    <w:rsid w:val="00053433"/>
    <w:rsid w:val="00053471"/>
    <w:rsid w:val="0005352F"/>
    <w:rsid w:val="000535AD"/>
    <w:rsid w:val="00053632"/>
    <w:rsid w:val="00053672"/>
    <w:rsid w:val="00053829"/>
    <w:rsid w:val="00053844"/>
    <w:rsid w:val="0005387D"/>
    <w:rsid w:val="00053890"/>
    <w:rsid w:val="000538BA"/>
    <w:rsid w:val="00053A09"/>
    <w:rsid w:val="00053B38"/>
    <w:rsid w:val="00053E00"/>
    <w:rsid w:val="00053ECE"/>
    <w:rsid w:val="00053F57"/>
    <w:rsid w:val="00053FB5"/>
    <w:rsid w:val="00054060"/>
    <w:rsid w:val="000541DD"/>
    <w:rsid w:val="00054247"/>
    <w:rsid w:val="00054271"/>
    <w:rsid w:val="000543A7"/>
    <w:rsid w:val="00054577"/>
    <w:rsid w:val="0005475A"/>
    <w:rsid w:val="0005478A"/>
    <w:rsid w:val="00054799"/>
    <w:rsid w:val="00054838"/>
    <w:rsid w:val="000548AB"/>
    <w:rsid w:val="00054B26"/>
    <w:rsid w:val="00054B89"/>
    <w:rsid w:val="00054B91"/>
    <w:rsid w:val="00054BEF"/>
    <w:rsid w:val="00054D80"/>
    <w:rsid w:val="00054DB6"/>
    <w:rsid w:val="00054E35"/>
    <w:rsid w:val="00054E44"/>
    <w:rsid w:val="00054EC6"/>
    <w:rsid w:val="00054ECC"/>
    <w:rsid w:val="00054EF8"/>
    <w:rsid w:val="00054F05"/>
    <w:rsid w:val="000550F4"/>
    <w:rsid w:val="00055104"/>
    <w:rsid w:val="00055182"/>
    <w:rsid w:val="000551D4"/>
    <w:rsid w:val="0005526E"/>
    <w:rsid w:val="00055311"/>
    <w:rsid w:val="0005533D"/>
    <w:rsid w:val="00055445"/>
    <w:rsid w:val="000554A8"/>
    <w:rsid w:val="000558C3"/>
    <w:rsid w:val="00055B44"/>
    <w:rsid w:val="00055B75"/>
    <w:rsid w:val="00055BE0"/>
    <w:rsid w:val="00055C50"/>
    <w:rsid w:val="0005612B"/>
    <w:rsid w:val="00056224"/>
    <w:rsid w:val="00056321"/>
    <w:rsid w:val="000564A6"/>
    <w:rsid w:val="00056553"/>
    <w:rsid w:val="00056600"/>
    <w:rsid w:val="000566E2"/>
    <w:rsid w:val="00056823"/>
    <w:rsid w:val="0005693C"/>
    <w:rsid w:val="00056B13"/>
    <w:rsid w:val="00056D26"/>
    <w:rsid w:val="00056D73"/>
    <w:rsid w:val="00056F1A"/>
    <w:rsid w:val="00056F45"/>
    <w:rsid w:val="00056FD8"/>
    <w:rsid w:val="0005702E"/>
    <w:rsid w:val="000572B6"/>
    <w:rsid w:val="00057414"/>
    <w:rsid w:val="00057587"/>
    <w:rsid w:val="000575EF"/>
    <w:rsid w:val="000576A1"/>
    <w:rsid w:val="00057776"/>
    <w:rsid w:val="00057A38"/>
    <w:rsid w:val="00057B97"/>
    <w:rsid w:val="00057C62"/>
    <w:rsid w:val="00057DCE"/>
    <w:rsid w:val="00057ED3"/>
    <w:rsid w:val="00057FD6"/>
    <w:rsid w:val="000600EF"/>
    <w:rsid w:val="0006014E"/>
    <w:rsid w:val="00060166"/>
    <w:rsid w:val="0006017F"/>
    <w:rsid w:val="0006032E"/>
    <w:rsid w:val="00060719"/>
    <w:rsid w:val="000607CB"/>
    <w:rsid w:val="000607D5"/>
    <w:rsid w:val="000608B7"/>
    <w:rsid w:val="000608C3"/>
    <w:rsid w:val="000608C4"/>
    <w:rsid w:val="000608E1"/>
    <w:rsid w:val="000608E2"/>
    <w:rsid w:val="0006096D"/>
    <w:rsid w:val="000609B3"/>
    <w:rsid w:val="00060B0C"/>
    <w:rsid w:val="00060B51"/>
    <w:rsid w:val="00060CC0"/>
    <w:rsid w:val="00060CF0"/>
    <w:rsid w:val="00060D1D"/>
    <w:rsid w:val="00060F11"/>
    <w:rsid w:val="000610C1"/>
    <w:rsid w:val="000614C4"/>
    <w:rsid w:val="00061535"/>
    <w:rsid w:val="000615E1"/>
    <w:rsid w:val="00061621"/>
    <w:rsid w:val="00061652"/>
    <w:rsid w:val="000616DA"/>
    <w:rsid w:val="00061721"/>
    <w:rsid w:val="000618D9"/>
    <w:rsid w:val="000619B8"/>
    <w:rsid w:val="00061AF8"/>
    <w:rsid w:val="00061D54"/>
    <w:rsid w:val="00061E14"/>
    <w:rsid w:val="00061EB8"/>
    <w:rsid w:val="00061F0F"/>
    <w:rsid w:val="00062030"/>
    <w:rsid w:val="00062045"/>
    <w:rsid w:val="0006221C"/>
    <w:rsid w:val="000622B2"/>
    <w:rsid w:val="000622DE"/>
    <w:rsid w:val="000624A0"/>
    <w:rsid w:val="000624C9"/>
    <w:rsid w:val="000627A0"/>
    <w:rsid w:val="00062875"/>
    <w:rsid w:val="000628B2"/>
    <w:rsid w:val="000628EB"/>
    <w:rsid w:val="000629A6"/>
    <w:rsid w:val="00062BAC"/>
    <w:rsid w:val="00062C1E"/>
    <w:rsid w:val="00062CFA"/>
    <w:rsid w:val="000630B7"/>
    <w:rsid w:val="00063127"/>
    <w:rsid w:val="0006314F"/>
    <w:rsid w:val="00063350"/>
    <w:rsid w:val="00063428"/>
    <w:rsid w:val="000634EF"/>
    <w:rsid w:val="00063515"/>
    <w:rsid w:val="00063556"/>
    <w:rsid w:val="000635CA"/>
    <w:rsid w:val="000635DE"/>
    <w:rsid w:val="00063773"/>
    <w:rsid w:val="0006377D"/>
    <w:rsid w:val="000638BD"/>
    <w:rsid w:val="000638EF"/>
    <w:rsid w:val="00063987"/>
    <w:rsid w:val="0006399C"/>
    <w:rsid w:val="00063A13"/>
    <w:rsid w:val="00063A68"/>
    <w:rsid w:val="00063B4E"/>
    <w:rsid w:val="00063BD7"/>
    <w:rsid w:val="00063BE1"/>
    <w:rsid w:val="00063D31"/>
    <w:rsid w:val="00063F62"/>
    <w:rsid w:val="00063F7D"/>
    <w:rsid w:val="0006402E"/>
    <w:rsid w:val="000640EA"/>
    <w:rsid w:val="000640F2"/>
    <w:rsid w:val="000641BF"/>
    <w:rsid w:val="00064215"/>
    <w:rsid w:val="00064217"/>
    <w:rsid w:val="000644EA"/>
    <w:rsid w:val="00064596"/>
    <w:rsid w:val="000645BC"/>
    <w:rsid w:val="000645C7"/>
    <w:rsid w:val="000645E6"/>
    <w:rsid w:val="000648D1"/>
    <w:rsid w:val="00064A11"/>
    <w:rsid w:val="00064A67"/>
    <w:rsid w:val="00064A9D"/>
    <w:rsid w:val="00064AEB"/>
    <w:rsid w:val="00064D5B"/>
    <w:rsid w:val="00064EAF"/>
    <w:rsid w:val="00064EE0"/>
    <w:rsid w:val="00064F3B"/>
    <w:rsid w:val="00064FA8"/>
    <w:rsid w:val="00065003"/>
    <w:rsid w:val="00065082"/>
    <w:rsid w:val="00065185"/>
    <w:rsid w:val="00065296"/>
    <w:rsid w:val="000652BF"/>
    <w:rsid w:val="000652F8"/>
    <w:rsid w:val="00065368"/>
    <w:rsid w:val="00065473"/>
    <w:rsid w:val="000654F5"/>
    <w:rsid w:val="00065637"/>
    <w:rsid w:val="000656D2"/>
    <w:rsid w:val="000656DE"/>
    <w:rsid w:val="00065977"/>
    <w:rsid w:val="000659B3"/>
    <w:rsid w:val="00065AD2"/>
    <w:rsid w:val="00065B75"/>
    <w:rsid w:val="00065CA6"/>
    <w:rsid w:val="00065CF5"/>
    <w:rsid w:val="00065D70"/>
    <w:rsid w:val="00065DFA"/>
    <w:rsid w:val="00065F81"/>
    <w:rsid w:val="00065FE9"/>
    <w:rsid w:val="00066051"/>
    <w:rsid w:val="000662DC"/>
    <w:rsid w:val="0006643F"/>
    <w:rsid w:val="00066607"/>
    <w:rsid w:val="0006688A"/>
    <w:rsid w:val="00066960"/>
    <w:rsid w:val="000669A1"/>
    <w:rsid w:val="00066B00"/>
    <w:rsid w:val="00066B53"/>
    <w:rsid w:val="00066C0A"/>
    <w:rsid w:val="00066C62"/>
    <w:rsid w:val="00066E86"/>
    <w:rsid w:val="00066F41"/>
    <w:rsid w:val="000670A3"/>
    <w:rsid w:val="0006718C"/>
    <w:rsid w:val="00067262"/>
    <w:rsid w:val="000672CB"/>
    <w:rsid w:val="00067437"/>
    <w:rsid w:val="00067687"/>
    <w:rsid w:val="0006771A"/>
    <w:rsid w:val="0006778D"/>
    <w:rsid w:val="00067ADE"/>
    <w:rsid w:val="00067B9F"/>
    <w:rsid w:val="00067BE7"/>
    <w:rsid w:val="00067CBC"/>
    <w:rsid w:val="00067D53"/>
    <w:rsid w:val="00067D64"/>
    <w:rsid w:val="00067D9E"/>
    <w:rsid w:val="00067EE3"/>
    <w:rsid w:val="00067F90"/>
    <w:rsid w:val="000700D2"/>
    <w:rsid w:val="0007010E"/>
    <w:rsid w:val="000702C6"/>
    <w:rsid w:val="0007031C"/>
    <w:rsid w:val="0007032B"/>
    <w:rsid w:val="00070576"/>
    <w:rsid w:val="00070616"/>
    <w:rsid w:val="0007062E"/>
    <w:rsid w:val="0007066A"/>
    <w:rsid w:val="000707BA"/>
    <w:rsid w:val="0007086A"/>
    <w:rsid w:val="000709E4"/>
    <w:rsid w:val="00070A15"/>
    <w:rsid w:val="00070A57"/>
    <w:rsid w:val="00070C31"/>
    <w:rsid w:val="00070CEC"/>
    <w:rsid w:val="00070D67"/>
    <w:rsid w:val="00070E36"/>
    <w:rsid w:val="00071080"/>
    <w:rsid w:val="000710BA"/>
    <w:rsid w:val="000710F2"/>
    <w:rsid w:val="00071108"/>
    <w:rsid w:val="00071323"/>
    <w:rsid w:val="0007145F"/>
    <w:rsid w:val="000714ED"/>
    <w:rsid w:val="000715DF"/>
    <w:rsid w:val="00071673"/>
    <w:rsid w:val="00071680"/>
    <w:rsid w:val="00071725"/>
    <w:rsid w:val="000717D0"/>
    <w:rsid w:val="000719EE"/>
    <w:rsid w:val="00071A6F"/>
    <w:rsid w:val="00071BD6"/>
    <w:rsid w:val="00071C4B"/>
    <w:rsid w:val="00071CA7"/>
    <w:rsid w:val="00071E36"/>
    <w:rsid w:val="00071FAE"/>
    <w:rsid w:val="00072041"/>
    <w:rsid w:val="000720B4"/>
    <w:rsid w:val="000721B7"/>
    <w:rsid w:val="00072353"/>
    <w:rsid w:val="0007236A"/>
    <w:rsid w:val="00072375"/>
    <w:rsid w:val="000723C3"/>
    <w:rsid w:val="000723EA"/>
    <w:rsid w:val="00072497"/>
    <w:rsid w:val="00072582"/>
    <w:rsid w:val="00072607"/>
    <w:rsid w:val="000726E4"/>
    <w:rsid w:val="0007291E"/>
    <w:rsid w:val="00072A5A"/>
    <w:rsid w:val="00072A5C"/>
    <w:rsid w:val="00072ACA"/>
    <w:rsid w:val="00072B13"/>
    <w:rsid w:val="00072B81"/>
    <w:rsid w:val="00072BD2"/>
    <w:rsid w:val="00072C3D"/>
    <w:rsid w:val="00072CCD"/>
    <w:rsid w:val="00072D17"/>
    <w:rsid w:val="00072D70"/>
    <w:rsid w:val="00072E17"/>
    <w:rsid w:val="00072E6E"/>
    <w:rsid w:val="00072E89"/>
    <w:rsid w:val="00072EAD"/>
    <w:rsid w:val="00073157"/>
    <w:rsid w:val="00073204"/>
    <w:rsid w:val="000732C0"/>
    <w:rsid w:val="00073577"/>
    <w:rsid w:val="000735C8"/>
    <w:rsid w:val="000735DC"/>
    <w:rsid w:val="000735E6"/>
    <w:rsid w:val="00073880"/>
    <w:rsid w:val="000738E4"/>
    <w:rsid w:val="00073A9F"/>
    <w:rsid w:val="00073B7F"/>
    <w:rsid w:val="00073BB0"/>
    <w:rsid w:val="00073BEE"/>
    <w:rsid w:val="00073EE5"/>
    <w:rsid w:val="00073EEF"/>
    <w:rsid w:val="00073F58"/>
    <w:rsid w:val="00074063"/>
    <w:rsid w:val="000740B9"/>
    <w:rsid w:val="00074155"/>
    <w:rsid w:val="000741C5"/>
    <w:rsid w:val="000741FA"/>
    <w:rsid w:val="000742A3"/>
    <w:rsid w:val="000743A9"/>
    <w:rsid w:val="00074475"/>
    <w:rsid w:val="000746FE"/>
    <w:rsid w:val="0007492E"/>
    <w:rsid w:val="000749F9"/>
    <w:rsid w:val="00074DC3"/>
    <w:rsid w:val="00074DD6"/>
    <w:rsid w:val="00074E58"/>
    <w:rsid w:val="00075137"/>
    <w:rsid w:val="0007517C"/>
    <w:rsid w:val="0007518D"/>
    <w:rsid w:val="00075384"/>
    <w:rsid w:val="00075535"/>
    <w:rsid w:val="0007553E"/>
    <w:rsid w:val="000755AD"/>
    <w:rsid w:val="00075639"/>
    <w:rsid w:val="00075840"/>
    <w:rsid w:val="00075845"/>
    <w:rsid w:val="00075A80"/>
    <w:rsid w:val="00075AAD"/>
    <w:rsid w:val="00075B40"/>
    <w:rsid w:val="0007620C"/>
    <w:rsid w:val="00076579"/>
    <w:rsid w:val="0007657A"/>
    <w:rsid w:val="00076594"/>
    <w:rsid w:val="000765AE"/>
    <w:rsid w:val="00076798"/>
    <w:rsid w:val="00076939"/>
    <w:rsid w:val="00076A5B"/>
    <w:rsid w:val="00076B7F"/>
    <w:rsid w:val="00076BBF"/>
    <w:rsid w:val="00076CA4"/>
    <w:rsid w:val="00076DDD"/>
    <w:rsid w:val="00076ECA"/>
    <w:rsid w:val="00076F5D"/>
    <w:rsid w:val="00076F68"/>
    <w:rsid w:val="000770DB"/>
    <w:rsid w:val="00077234"/>
    <w:rsid w:val="000772C4"/>
    <w:rsid w:val="000772CE"/>
    <w:rsid w:val="0007745E"/>
    <w:rsid w:val="000774DE"/>
    <w:rsid w:val="000775AF"/>
    <w:rsid w:val="00077817"/>
    <w:rsid w:val="00077861"/>
    <w:rsid w:val="00077872"/>
    <w:rsid w:val="0007789C"/>
    <w:rsid w:val="00077CB1"/>
    <w:rsid w:val="00077DC4"/>
    <w:rsid w:val="00080040"/>
    <w:rsid w:val="000800C6"/>
    <w:rsid w:val="00080223"/>
    <w:rsid w:val="000803FA"/>
    <w:rsid w:val="000805AB"/>
    <w:rsid w:val="00080654"/>
    <w:rsid w:val="0008067B"/>
    <w:rsid w:val="0008083E"/>
    <w:rsid w:val="00080868"/>
    <w:rsid w:val="000809F5"/>
    <w:rsid w:val="00080A8F"/>
    <w:rsid w:val="00080A93"/>
    <w:rsid w:val="00080BB0"/>
    <w:rsid w:val="00080C85"/>
    <w:rsid w:val="00080C9E"/>
    <w:rsid w:val="00080D60"/>
    <w:rsid w:val="00080DAD"/>
    <w:rsid w:val="00080E58"/>
    <w:rsid w:val="00080F0B"/>
    <w:rsid w:val="00080FC7"/>
    <w:rsid w:val="000812C8"/>
    <w:rsid w:val="00081537"/>
    <w:rsid w:val="000815A6"/>
    <w:rsid w:val="000816D3"/>
    <w:rsid w:val="00081743"/>
    <w:rsid w:val="0008180E"/>
    <w:rsid w:val="000818F0"/>
    <w:rsid w:val="0008198E"/>
    <w:rsid w:val="00081B67"/>
    <w:rsid w:val="00081BFE"/>
    <w:rsid w:val="00081C62"/>
    <w:rsid w:val="00081D3D"/>
    <w:rsid w:val="00081EAF"/>
    <w:rsid w:val="00082153"/>
    <w:rsid w:val="0008222D"/>
    <w:rsid w:val="00082463"/>
    <w:rsid w:val="000825D0"/>
    <w:rsid w:val="0008260F"/>
    <w:rsid w:val="0008274F"/>
    <w:rsid w:val="0008277E"/>
    <w:rsid w:val="000827CA"/>
    <w:rsid w:val="00082861"/>
    <w:rsid w:val="0008291F"/>
    <w:rsid w:val="00082934"/>
    <w:rsid w:val="00082B57"/>
    <w:rsid w:val="00082CB6"/>
    <w:rsid w:val="00082E27"/>
    <w:rsid w:val="00082F7D"/>
    <w:rsid w:val="00082FD0"/>
    <w:rsid w:val="0008304A"/>
    <w:rsid w:val="0008305E"/>
    <w:rsid w:val="000831A9"/>
    <w:rsid w:val="00083382"/>
    <w:rsid w:val="0008342D"/>
    <w:rsid w:val="000834A1"/>
    <w:rsid w:val="0008361C"/>
    <w:rsid w:val="000836CC"/>
    <w:rsid w:val="0008385A"/>
    <w:rsid w:val="00083864"/>
    <w:rsid w:val="0008395E"/>
    <w:rsid w:val="00083978"/>
    <w:rsid w:val="00083B02"/>
    <w:rsid w:val="00083C72"/>
    <w:rsid w:val="00083D0A"/>
    <w:rsid w:val="00083E3C"/>
    <w:rsid w:val="00084120"/>
    <w:rsid w:val="000841F4"/>
    <w:rsid w:val="00084221"/>
    <w:rsid w:val="0008427D"/>
    <w:rsid w:val="000843B9"/>
    <w:rsid w:val="00084408"/>
    <w:rsid w:val="00084414"/>
    <w:rsid w:val="0008457C"/>
    <w:rsid w:val="0008465D"/>
    <w:rsid w:val="000847F1"/>
    <w:rsid w:val="000848EF"/>
    <w:rsid w:val="000849BD"/>
    <w:rsid w:val="00084A8B"/>
    <w:rsid w:val="00084A8F"/>
    <w:rsid w:val="00084CDB"/>
    <w:rsid w:val="00084D05"/>
    <w:rsid w:val="00084D79"/>
    <w:rsid w:val="00084E0C"/>
    <w:rsid w:val="00084E92"/>
    <w:rsid w:val="00084F1C"/>
    <w:rsid w:val="00085086"/>
    <w:rsid w:val="0008510B"/>
    <w:rsid w:val="00085114"/>
    <w:rsid w:val="00085151"/>
    <w:rsid w:val="000851BC"/>
    <w:rsid w:val="000851DD"/>
    <w:rsid w:val="000851E4"/>
    <w:rsid w:val="000854C5"/>
    <w:rsid w:val="000855E7"/>
    <w:rsid w:val="000857F4"/>
    <w:rsid w:val="000858C4"/>
    <w:rsid w:val="0008590D"/>
    <w:rsid w:val="00085987"/>
    <w:rsid w:val="00085BC1"/>
    <w:rsid w:val="00085C9B"/>
    <w:rsid w:val="00085D37"/>
    <w:rsid w:val="00085D86"/>
    <w:rsid w:val="00085EC3"/>
    <w:rsid w:val="00086003"/>
    <w:rsid w:val="000863AE"/>
    <w:rsid w:val="000865D3"/>
    <w:rsid w:val="00086963"/>
    <w:rsid w:val="00086A35"/>
    <w:rsid w:val="00086AA2"/>
    <w:rsid w:val="00086B79"/>
    <w:rsid w:val="00086C26"/>
    <w:rsid w:val="00087073"/>
    <w:rsid w:val="00087081"/>
    <w:rsid w:val="000870B6"/>
    <w:rsid w:val="0008721D"/>
    <w:rsid w:val="000873D1"/>
    <w:rsid w:val="00087536"/>
    <w:rsid w:val="00087538"/>
    <w:rsid w:val="0008758E"/>
    <w:rsid w:val="000875E3"/>
    <w:rsid w:val="0008765D"/>
    <w:rsid w:val="00087672"/>
    <w:rsid w:val="0008783F"/>
    <w:rsid w:val="00087ADE"/>
    <w:rsid w:val="00087B8B"/>
    <w:rsid w:val="00087CDB"/>
    <w:rsid w:val="00087EFA"/>
    <w:rsid w:val="00087FAA"/>
    <w:rsid w:val="00087FD7"/>
    <w:rsid w:val="00090019"/>
    <w:rsid w:val="0009003E"/>
    <w:rsid w:val="0009009B"/>
    <w:rsid w:val="00090113"/>
    <w:rsid w:val="00090193"/>
    <w:rsid w:val="00090258"/>
    <w:rsid w:val="000902F3"/>
    <w:rsid w:val="000905B3"/>
    <w:rsid w:val="000907B9"/>
    <w:rsid w:val="00090813"/>
    <w:rsid w:val="000909E7"/>
    <w:rsid w:val="00090B51"/>
    <w:rsid w:val="00090B81"/>
    <w:rsid w:val="00090BDA"/>
    <w:rsid w:val="00090C11"/>
    <w:rsid w:val="00090CB7"/>
    <w:rsid w:val="00090CF1"/>
    <w:rsid w:val="00090D5B"/>
    <w:rsid w:val="00090DB1"/>
    <w:rsid w:val="00090E79"/>
    <w:rsid w:val="000910C0"/>
    <w:rsid w:val="000910D1"/>
    <w:rsid w:val="00091344"/>
    <w:rsid w:val="0009137A"/>
    <w:rsid w:val="000913D7"/>
    <w:rsid w:val="000916E0"/>
    <w:rsid w:val="000918FE"/>
    <w:rsid w:val="000919B8"/>
    <w:rsid w:val="00091A5C"/>
    <w:rsid w:val="00091A86"/>
    <w:rsid w:val="00091C16"/>
    <w:rsid w:val="00091DAD"/>
    <w:rsid w:val="00091DB5"/>
    <w:rsid w:val="00091EAE"/>
    <w:rsid w:val="00091F7F"/>
    <w:rsid w:val="00092006"/>
    <w:rsid w:val="0009204E"/>
    <w:rsid w:val="00092126"/>
    <w:rsid w:val="000921A4"/>
    <w:rsid w:val="00092272"/>
    <w:rsid w:val="000922A4"/>
    <w:rsid w:val="0009247C"/>
    <w:rsid w:val="00092654"/>
    <w:rsid w:val="000926A4"/>
    <w:rsid w:val="00092764"/>
    <w:rsid w:val="00092993"/>
    <w:rsid w:val="00092AE4"/>
    <w:rsid w:val="00092B3C"/>
    <w:rsid w:val="00092C2A"/>
    <w:rsid w:val="00092D07"/>
    <w:rsid w:val="00092DA5"/>
    <w:rsid w:val="00092E72"/>
    <w:rsid w:val="00092EAE"/>
    <w:rsid w:val="00092F13"/>
    <w:rsid w:val="00092F78"/>
    <w:rsid w:val="0009304E"/>
    <w:rsid w:val="000930B1"/>
    <w:rsid w:val="00093190"/>
    <w:rsid w:val="000932B9"/>
    <w:rsid w:val="000932E0"/>
    <w:rsid w:val="00093368"/>
    <w:rsid w:val="00093470"/>
    <w:rsid w:val="00093528"/>
    <w:rsid w:val="00093540"/>
    <w:rsid w:val="0009354E"/>
    <w:rsid w:val="000935DA"/>
    <w:rsid w:val="0009367A"/>
    <w:rsid w:val="0009372B"/>
    <w:rsid w:val="000937F0"/>
    <w:rsid w:val="000939F7"/>
    <w:rsid w:val="00093A45"/>
    <w:rsid w:val="00093C5A"/>
    <w:rsid w:val="00093CF2"/>
    <w:rsid w:val="000940C6"/>
    <w:rsid w:val="000941EC"/>
    <w:rsid w:val="00094229"/>
    <w:rsid w:val="000944C1"/>
    <w:rsid w:val="000945AB"/>
    <w:rsid w:val="000945BC"/>
    <w:rsid w:val="000947FC"/>
    <w:rsid w:val="00094845"/>
    <w:rsid w:val="0009490D"/>
    <w:rsid w:val="00094962"/>
    <w:rsid w:val="00094A46"/>
    <w:rsid w:val="00094BCD"/>
    <w:rsid w:val="00094BF6"/>
    <w:rsid w:val="00094D23"/>
    <w:rsid w:val="00095010"/>
    <w:rsid w:val="00095019"/>
    <w:rsid w:val="00095057"/>
    <w:rsid w:val="000950A0"/>
    <w:rsid w:val="00095139"/>
    <w:rsid w:val="00095169"/>
    <w:rsid w:val="0009520C"/>
    <w:rsid w:val="0009532A"/>
    <w:rsid w:val="00095448"/>
    <w:rsid w:val="00095578"/>
    <w:rsid w:val="000955DF"/>
    <w:rsid w:val="000956B5"/>
    <w:rsid w:val="00095731"/>
    <w:rsid w:val="00095933"/>
    <w:rsid w:val="00095A5C"/>
    <w:rsid w:val="00095B20"/>
    <w:rsid w:val="00095D74"/>
    <w:rsid w:val="00095DA9"/>
    <w:rsid w:val="00095DD4"/>
    <w:rsid w:val="00095E71"/>
    <w:rsid w:val="00095EE9"/>
    <w:rsid w:val="00095F1C"/>
    <w:rsid w:val="0009606C"/>
    <w:rsid w:val="000962AE"/>
    <w:rsid w:val="000962B0"/>
    <w:rsid w:val="000963A5"/>
    <w:rsid w:val="0009657B"/>
    <w:rsid w:val="000966E0"/>
    <w:rsid w:val="000966E5"/>
    <w:rsid w:val="0009670D"/>
    <w:rsid w:val="000968E3"/>
    <w:rsid w:val="000968E7"/>
    <w:rsid w:val="00096A4E"/>
    <w:rsid w:val="00096B0C"/>
    <w:rsid w:val="00096B8F"/>
    <w:rsid w:val="00096C32"/>
    <w:rsid w:val="00096D29"/>
    <w:rsid w:val="00096FB2"/>
    <w:rsid w:val="0009700E"/>
    <w:rsid w:val="0009706A"/>
    <w:rsid w:val="00097093"/>
    <w:rsid w:val="000972D2"/>
    <w:rsid w:val="000973B5"/>
    <w:rsid w:val="00097794"/>
    <w:rsid w:val="00097828"/>
    <w:rsid w:val="000978D2"/>
    <w:rsid w:val="000979FE"/>
    <w:rsid w:val="00097A98"/>
    <w:rsid w:val="00097AEC"/>
    <w:rsid w:val="00097B05"/>
    <w:rsid w:val="00097BE2"/>
    <w:rsid w:val="00097D7D"/>
    <w:rsid w:val="00097EB3"/>
    <w:rsid w:val="00097F7A"/>
    <w:rsid w:val="00097FD7"/>
    <w:rsid w:val="000A0002"/>
    <w:rsid w:val="000A0034"/>
    <w:rsid w:val="000A015E"/>
    <w:rsid w:val="000A01D8"/>
    <w:rsid w:val="000A0239"/>
    <w:rsid w:val="000A0297"/>
    <w:rsid w:val="000A0382"/>
    <w:rsid w:val="000A0540"/>
    <w:rsid w:val="000A0541"/>
    <w:rsid w:val="000A054E"/>
    <w:rsid w:val="000A05BA"/>
    <w:rsid w:val="000A0743"/>
    <w:rsid w:val="000A0867"/>
    <w:rsid w:val="000A0911"/>
    <w:rsid w:val="000A091F"/>
    <w:rsid w:val="000A09EA"/>
    <w:rsid w:val="000A0A7B"/>
    <w:rsid w:val="000A0AA3"/>
    <w:rsid w:val="000A0AE2"/>
    <w:rsid w:val="000A0C83"/>
    <w:rsid w:val="000A0D14"/>
    <w:rsid w:val="000A0D3E"/>
    <w:rsid w:val="000A0ECB"/>
    <w:rsid w:val="000A0ED6"/>
    <w:rsid w:val="000A0F9E"/>
    <w:rsid w:val="000A1164"/>
    <w:rsid w:val="000A119D"/>
    <w:rsid w:val="000A11C4"/>
    <w:rsid w:val="000A128D"/>
    <w:rsid w:val="000A12DA"/>
    <w:rsid w:val="000A141D"/>
    <w:rsid w:val="000A146E"/>
    <w:rsid w:val="000A169C"/>
    <w:rsid w:val="000A171A"/>
    <w:rsid w:val="000A176D"/>
    <w:rsid w:val="000A180B"/>
    <w:rsid w:val="000A18DB"/>
    <w:rsid w:val="000A194B"/>
    <w:rsid w:val="000A1ACB"/>
    <w:rsid w:val="000A1CD5"/>
    <w:rsid w:val="000A1D0C"/>
    <w:rsid w:val="000A1D57"/>
    <w:rsid w:val="000A1D5D"/>
    <w:rsid w:val="000A1E5C"/>
    <w:rsid w:val="000A1ED3"/>
    <w:rsid w:val="000A1F4B"/>
    <w:rsid w:val="000A2011"/>
    <w:rsid w:val="000A2069"/>
    <w:rsid w:val="000A224C"/>
    <w:rsid w:val="000A23FD"/>
    <w:rsid w:val="000A24A1"/>
    <w:rsid w:val="000A2561"/>
    <w:rsid w:val="000A25BD"/>
    <w:rsid w:val="000A2693"/>
    <w:rsid w:val="000A2779"/>
    <w:rsid w:val="000A28C6"/>
    <w:rsid w:val="000A2A4F"/>
    <w:rsid w:val="000A2ADA"/>
    <w:rsid w:val="000A2D08"/>
    <w:rsid w:val="000A2D56"/>
    <w:rsid w:val="000A2F91"/>
    <w:rsid w:val="000A2FBE"/>
    <w:rsid w:val="000A2FE9"/>
    <w:rsid w:val="000A302D"/>
    <w:rsid w:val="000A31E6"/>
    <w:rsid w:val="000A348C"/>
    <w:rsid w:val="000A360C"/>
    <w:rsid w:val="000A39FA"/>
    <w:rsid w:val="000A3B33"/>
    <w:rsid w:val="000A3C08"/>
    <w:rsid w:val="000A3E32"/>
    <w:rsid w:val="000A3E88"/>
    <w:rsid w:val="000A3E9E"/>
    <w:rsid w:val="000A405A"/>
    <w:rsid w:val="000A4066"/>
    <w:rsid w:val="000A40BA"/>
    <w:rsid w:val="000A4248"/>
    <w:rsid w:val="000A4395"/>
    <w:rsid w:val="000A4744"/>
    <w:rsid w:val="000A4753"/>
    <w:rsid w:val="000A488F"/>
    <w:rsid w:val="000A48BF"/>
    <w:rsid w:val="000A48F9"/>
    <w:rsid w:val="000A4A57"/>
    <w:rsid w:val="000A4A6C"/>
    <w:rsid w:val="000A4B55"/>
    <w:rsid w:val="000A4B5A"/>
    <w:rsid w:val="000A4DA1"/>
    <w:rsid w:val="000A4E7E"/>
    <w:rsid w:val="000A4F07"/>
    <w:rsid w:val="000A4F18"/>
    <w:rsid w:val="000A4F48"/>
    <w:rsid w:val="000A4F75"/>
    <w:rsid w:val="000A4FBD"/>
    <w:rsid w:val="000A5094"/>
    <w:rsid w:val="000A50F2"/>
    <w:rsid w:val="000A5174"/>
    <w:rsid w:val="000A517F"/>
    <w:rsid w:val="000A5211"/>
    <w:rsid w:val="000A5333"/>
    <w:rsid w:val="000A53C7"/>
    <w:rsid w:val="000A5526"/>
    <w:rsid w:val="000A5759"/>
    <w:rsid w:val="000A5817"/>
    <w:rsid w:val="000A5A38"/>
    <w:rsid w:val="000A5ADC"/>
    <w:rsid w:val="000A5BF3"/>
    <w:rsid w:val="000A5DC0"/>
    <w:rsid w:val="000A5E93"/>
    <w:rsid w:val="000A61E4"/>
    <w:rsid w:val="000A623A"/>
    <w:rsid w:val="000A6243"/>
    <w:rsid w:val="000A644F"/>
    <w:rsid w:val="000A6465"/>
    <w:rsid w:val="000A6679"/>
    <w:rsid w:val="000A667B"/>
    <w:rsid w:val="000A6765"/>
    <w:rsid w:val="000A67A3"/>
    <w:rsid w:val="000A68E6"/>
    <w:rsid w:val="000A6943"/>
    <w:rsid w:val="000A6AD1"/>
    <w:rsid w:val="000A6C50"/>
    <w:rsid w:val="000A6D7C"/>
    <w:rsid w:val="000A6E13"/>
    <w:rsid w:val="000A6F9A"/>
    <w:rsid w:val="000A6FEA"/>
    <w:rsid w:val="000A6FEE"/>
    <w:rsid w:val="000A702C"/>
    <w:rsid w:val="000A72EF"/>
    <w:rsid w:val="000A7426"/>
    <w:rsid w:val="000A7788"/>
    <w:rsid w:val="000A77DE"/>
    <w:rsid w:val="000A7836"/>
    <w:rsid w:val="000A7A2D"/>
    <w:rsid w:val="000A7A40"/>
    <w:rsid w:val="000A7ADE"/>
    <w:rsid w:val="000A7D9B"/>
    <w:rsid w:val="000A7FC6"/>
    <w:rsid w:val="000A7FCD"/>
    <w:rsid w:val="000B0000"/>
    <w:rsid w:val="000B0019"/>
    <w:rsid w:val="000B002E"/>
    <w:rsid w:val="000B0092"/>
    <w:rsid w:val="000B00F5"/>
    <w:rsid w:val="000B01DB"/>
    <w:rsid w:val="000B02B6"/>
    <w:rsid w:val="000B0415"/>
    <w:rsid w:val="000B04BE"/>
    <w:rsid w:val="000B06BF"/>
    <w:rsid w:val="000B072C"/>
    <w:rsid w:val="000B07B6"/>
    <w:rsid w:val="000B07B8"/>
    <w:rsid w:val="000B07C8"/>
    <w:rsid w:val="000B080C"/>
    <w:rsid w:val="000B08BE"/>
    <w:rsid w:val="000B09D6"/>
    <w:rsid w:val="000B09E3"/>
    <w:rsid w:val="000B0A49"/>
    <w:rsid w:val="000B0D9C"/>
    <w:rsid w:val="000B0E84"/>
    <w:rsid w:val="000B0FD5"/>
    <w:rsid w:val="000B0FFB"/>
    <w:rsid w:val="000B1272"/>
    <w:rsid w:val="000B12B0"/>
    <w:rsid w:val="000B1352"/>
    <w:rsid w:val="000B139D"/>
    <w:rsid w:val="000B139E"/>
    <w:rsid w:val="000B146F"/>
    <w:rsid w:val="000B1476"/>
    <w:rsid w:val="000B1504"/>
    <w:rsid w:val="000B1665"/>
    <w:rsid w:val="000B17A4"/>
    <w:rsid w:val="000B1869"/>
    <w:rsid w:val="000B1919"/>
    <w:rsid w:val="000B1A32"/>
    <w:rsid w:val="000B1A79"/>
    <w:rsid w:val="000B1C2E"/>
    <w:rsid w:val="000B1FA2"/>
    <w:rsid w:val="000B208F"/>
    <w:rsid w:val="000B20D8"/>
    <w:rsid w:val="000B21D2"/>
    <w:rsid w:val="000B2223"/>
    <w:rsid w:val="000B226E"/>
    <w:rsid w:val="000B22FE"/>
    <w:rsid w:val="000B242F"/>
    <w:rsid w:val="000B2435"/>
    <w:rsid w:val="000B2438"/>
    <w:rsid w:val="000B24AE"/>
    <w:rsid w:val="000B2597"/>
    <w:rsid w:val="000B260A"/>
    <w:rsid w:val="000B263A"/>
    <w:rsid w:val="000B2755"/>
    <w:rsid w:val="000B27FB"/>
    <w:rsid w:val="000B28F0"/>
    <w:rsid w:val="000B29CC"/>
    <w:rsid w:val="000B29E9"/>
    <w:rsid w:val="000B2B8E"/>
    <w:rsid w:val="000B2DC1"/>
    <w:rsid w:val="000B2F1C"/>
    <w:rsid w:val="000B31FF"/>
    <w:rsid w:val="000B33DF"/>
    <w:rsid w:val="000B3613"/>
    <w:rsid w:val="000B3679"/>
    <w:rsid w:val="000B36BE"/>
    <w:rsid w:val="000B3796"/>
    <w:rsid w:val="000B37C5"/>
    <w:rsid w:val="000B3A71"/>
    <w:rsid w:val="000B3AB9"/>
    <w:rsid w:val="000B3AD9"/>
    <w:rsid w:val="000B3C54"/>
    <w:rsid w:val="000B3CE5"/>
    <w:rsid w:val="000B3E40"/>
    <w:rsid w:val="000B4057"/>
    <w:rsid w:val="000B408E"/>
    <w:rsid w:val="000B4107"/>
    <w:rsid w:val="000B4260"/>
    <w:rsid w:val="000B4289"/>
    <w:rsid w:val="000B431D"/>
    <w:rsid w:val="000B443A"/>
    <w:rsid w:val="000B4488"/>
    <w:rsid w:val="000B4610"/>
    <w:rsid w:val="000B47CD"/>
    <w:rsid w:val="000B47F9"/>
    <w:rsid w:val="000B4A6F"/>
    <w:rsid w:val="000B4B48"/>
    <w:rsid w:val="000B4C0F"/>
    <w:rsid w:val="000B4D1E"/>
    <w:rsid w:val="000B4DF4"/>
    <w:rsid w:val="000B4EEC"/>
    <w:rsid w:val="000B4F32"/>
    <w:rsid w:val="000B4F4D"/>
    <w:rsid w:val="000B5134"/>
    <w:rsid w:val="000B5189"/>
    <w:rsid w:val="000B531F"/>
    <w:rsid w:val="000B5358"/>
    <w:rsid w:val="000B536C"/>
    <w:rsid w:val="000B5428"/>
    <w:rsid w:val="000B5569"/>
    <w:rsid w:val="000B5602"/>
    <w:rsid w:val="000B5635"/>
    <w:rsid w:val="000B5642"/>
    <w:rsid w:val="000B56C3"/>
    <w:rsid w:val="000B586E"/>
    <w:rsid w:val="000B5DAD"/>
    <w:rsid w:val="000B5E30"/>
    <w:rsid w:val="000B5F20"/>
    <w:rsid w:val="000B5F58"/>
    <w:rsid w:val="000B6220"/>
    <w:rsid w:val="000B62FF"/>
    <w:rsid w:val="000B6366"/>
    <w:rsid w:val="000B63BD"/>
    <w:rsid w:val="000B64F2"/>
    <w:rsid w:val="000B6693"/>
    <w:rsid w:val="000B66AA"/>
    <w:rsid w:val="000B66F8"/>
    <w:rsid w:val="000B6736"/>
    <w:rsid w:val="000B6830"/>
    <w:rsid w:val="000B68E3"/>
    <w:rsid w:val="000B68E9"/>
    <w:rsid w:val="000B69B0"/>
    <w:rsid w:val="000B69B6"/>
    <w:rsid w:val="000B6ACF"/>
    <w:rsid w:val="000B6BCA"/>
    <w:rsid w:val="000B6C54"/>
    <w:rsid w:val="000B6D00"/>
    <w:rsid w:val="000B6E00"/>
    <w:rsid w:val="000B6E4E"/>
    <w:rsid w:val="000B707A"/>
    <w:rsid w:val="000B70E5"/>
    <w:rsid w:val="000B70FD"/>
    <w:rsid w:val="000B7177"/>
    <w:rsid w:val="000B7243"/>
    <w:rsid w:val="000B7250"/>
    <w:rsid w:val="000B72E3"/>
    <w:rsid w:val="000B7340"/>
    <w:rsid w:val="000B7352"/>
    <w:rsid w:val="000B738E"/>
    <w:rsid w:val="000B73DF"/>
    <w:rsid w:val="000B7520"/>
    <w:rsid w:val="000B7557"/>
    <w:rsid w:val="000B773F"/>
    <w:rsid w:val="000B7788"/>
    <w:rsid w:val="000B77A3"/>
    <w:rsid w:val="000B7A0C"/>
    <w:rsid w:val="000B7B51"/>
    <w:rsid w:val="000B7C1A"/>
    <w:rsid w:val="000B7C83"/>
    <w:rsid w:val="000B7C86"/>
    <w:rsid w:val="000B7CF6"/>
    <w:rsid w:val="000B7EEF"/>
    <w:rsid w:val="000B7F1E"/>
    <w:rsid w:val="000B7F21"/>
    <w:rsid w:val="000B7FBD"/>
    <w:rsid w:val="000C0472"/>
    <w:rsid w:val="000C047C"/>
    <w:rsid w:val="000C04C1"/>
    <w:rsid w:val="000C04E1"/>
    <w:rsid w:val="000C0681"/>
    <w:rsid w:val="000C0770"/>
    <w:rsid w:val="000C079F"/>
    <w:rsid w:val="000C087C"/>
    <w:rsid w:val="000C08A5"/>
    <w:rsid w:val="000C0973"/>
    <w:rsid w:val="000C0982"/>
    <w:rsid w:val="000C09C4"/>
    <w:rsid w:val="000C0A51"/>
    <w:rsid w:val="000C0EFC"/>
    <w:rsid w:val="000C0F8C"/>
    <w:rsid w:val="000C1348"/>
    <w:rsid w:val="000C1366"/>
    <w:rsid w:val="000C137F"/>
    <w:rsid w:val="000C13F8"/>
    <w:rsid w:val="000C167D"/>
    <w:rsid w:val="000C16F3"/>
    <w:rsid w:val="000C18D7"/>
    <w:rsid w:val="000C1B97"/>
    <w:rsid w:val="000C1CB8"/>
    <w:rsid w:val="000C2042"/>
    <w:rsid w:val="000C2247"/>
    <w:rsid w:val="000C22FB"/>
    <w:rsid w:val="000C23D5"/>
    <w:rsid w:val="000C244B"/>
    <w:rsid w:val="000C2470"/>
    <w:rsid w:val="000C27C2"/>
    <w:rsid w:val="000C288C"/>
    <w:rsid w:val="000C2969"/>
    <w:rsid w:val="000C2A70"/>
    <w:rsid w:val="000C2B90"/>
    <w:rsid w:val="000C2C4C"/>
    <w:rsid w:val="000C2C5A"/>
    <w:rsid w:val="000C2D31"/>
    <w:rsid w:val="000C2E4B"/>
    <w:rsid w:val="000C2EF8"/>
    <w:rsid w:val="000C2F9C"/>
    <w:rsid w:val="000C30B3"/>
    <w:rsid w:val="000C3310"/>
    <w:rsid w:val="000C3477"/>
    <w:rsid w:val="000C3614"/>
    <w:rsid w:val="000C37DE"/>
    <w:rsid w:val="000C3A1C"/>
    <w:rsid w:val="000C3AA5"/>
    <w:rsid w:val="000C3AF6"/>
    <w:rsid w:val="000C3B23"/>
    <w:rsid w:val="000C3C92"/>
    <w:rsid w:val="000C3D47"/>
    <w:rsid w:val="000C3DDC"/>
    <w:rsid w:val="000C3E07"/>
    <w:rsid w:val="000C3E98"/>
    <w:rsid w:val="000C3FF1"/>
    <w:rsid w:val="000C42C7"/>
    <w:rsid w:val="000C4331"/>
    <w:rsid w:val="000C4365"/>
    <w:rsid w:val="000C4667"/>
    <w:rsid w:val="000C476A"/>
    <w:rsid w:val="000C48DA"/>
    <w:rsid w:val="000C4B9F"/>
    <w:rsid w:val="000C4C17"/>
    <w:rsid w:val="000C4C4C"/>
    <w:rsid w:val="000C4C6F"/>
    <w:rsid w:val="000C4DA1"/>
    <w:rsid w:val="000C4E25"/>
    <w:rsid w:val="000C4FF9"/>
    <w:rsid w:val="000C5274"/>
    <w:rsid w:val="000C538E"/>
    <w:rsid w:val="000C556C"/>
    <w:rsid w:val="000C55AA"/>
    <w:rsid w:val="000C56FD"/>
    <w:rsid w:val="000C58C5"/>
    <w:rsid w:val="000C5A07"/>
    <w:rsid w:val="000C5A12"/>
    <w:rsid w:val="000C5C62"/>
    <w:rsid w:val="000C5C85"/>
    <w:rsid w:val="000C616C"/>
    <w:rsid w:val="000C62CE"/>
    <w:rsid w:val="000C63D6"/>
    <w:rsid w:val="000C64D8"/>
    <w:rsid w:val="000C673B"/>
    <w:rsid w:val="000C6769"/>
    <w:rsid w:val="000C67B1"/>
    <w:rsid w:val="000C681A"/>
    <w:rsid w:val="000C69A2"/>
    <w:rsid w:val="000C69A5"/>
    <w:rsid w:val="000C6B0B"/>
    <w:rsid w:val="000C6B79"/>
    <w:rsid w:val="000C6BF1"/>
    <w:rsid w:val="000C6C2E"/>
    <w:rsid w:val="000C6D3B"/>
    <w:rsid w:val="000C6DC6"/>
    <w:rsid w:val="000C6E94"/>
    <w:rsid w:val="000C6FAC"/>
    <w:rsid w:val="000C70BD"/>
    <w:rsid w:val="000C7115"/>
    <w:rsid w:val="000C711A"/>
    <w:rsid w:val="000C768A"/>
    <w:rsid w:val="000C76B1"/>
    <w:rsid w:val="000C78D4"/>
    <w:rsid w:val="000C7969"/>
    <w:rsid w:val="000C7A22"/>
    <w:rsid w:val="000C7B79"/>
    <w:rsid w:val="000C7C1D"/>
    <w:rsid w:val="000C7C68"/>
    <w:rsid w:val="000C7CD3"/>
    <w:rsid w:val="000C7D2E"/>
    <w:rsid w:val="000C7DEE"/>
    <w:rsid w:val="000C7F79"/>
    <w:rsid w:val="000D0067"/>
    <w:rsid w:val="000D00D4"/>
    <w:rsid w:val="000D0108"/>
    <w:rsid w:val="000D02C9"/>
    <w:rsid w:val="000D030B"/>
    <w:rsid w:val="000D05B4"/>
    <w:rsid w:val="000D05BC"/>
    <w:rsid w:val="000D0654"/>
    <w:rsid w:val="000D0719"/>
    <w:rsid w:val="000D09BF"/>
    <w:rsid w:val="000D0B70"/>
    <w:rsid w:val="000D0CD5"/>
    <w:rsid w:val="000D0D08"/>
    <w:rsid w:val="000D0D3C"/>
    <w:rsid w:val="000D0E34"/>
    <w:rsid w:val="000D0EB2"/>
    <w:rsid w:val="000D0EBE"/>
    <w:rsid w:val="000D0EF7"/>
    <w:rsid w:val="000D0FA2"/>
    <w:rsid w:val="000D1010"/>
    <w:rsid w:val="000D106B"/>
    <w:rsid w:val="000D1114"/>
    <w:rsid w:val="000D1234"/>
    <w:rsid w:val="000D13E7"/>
    <w:rsid w:val="000D148B"/>
    <w:rsid w:val="000D1544"/>
    <w:rsid w:val="000D185C"/>
    <w:rsid w:val="000D1A25"/>
    <w:rsid w:val="000D1C0A"/>
    <w:rsid w:val="000D1C43"/>
    <w:rsid w:val="000D1CEC"/>
    <w:rsid w:val="000D1D55"/>
    <w:rsid w:val="000D1FB9"/>
    <w:rsid w:val="000D204C"/>
    <w:rsid w:val="000D205B"/>
    <w:rsid w:val="000D20FC"/>
    <w:rsid w:val="000D22E8"/>
    <w:rsid w:val="000D241F"/>
    <w:rsid w:val="000D244A"/>
    <w:rsid w:val="000D244F"/>
    <w:rsid w:val="000D246D"/>
    <w:rsid w:val="000D258E"/>
    <w:rsid w:val="000D2920"/>
    <w:rsid w:val="000D2C4C"/>
    <w:rsid w:val="000D2E45"/>
    <w:rsid w:val="000D3128"/>
    <w:rsid w:val="000D3171"/>
    <w:rsid w:val="000D31DF"/>
    <w:rsid w:val="000D3258"/>
    <w:rsid w:val="000D32C8"/>
    <w:rsid w:val="000D32D5"/>
    <w:rsid w:val="000D3331"/>
    <w:rsid w:val="000D3391"/>
    <w:rsid w:val="000D3431"/>
    <w:rsid w:val="000D34C7"/>
    <w:rsid w:val="000D34FA"/>
    <w:rsid w:val="000D350F"/>
    <w:rsid w:val="000D3573"/>
    <w:rsid w:val="000D35A5"/>
    <w:rsid w:val="000D35C9"/>
    <w:rsid w:val="000D35D5"/>
    <w:rsid w:val="000D35EF"/>
    <w:rsid w:val="000D3785"/>
    <w:rsid w:val="000D3795"/>
    <w:rsid w:val="000D3AE7"/>
    <w:rsid w:val="000D3BE4"/>
    <w:rsid w:val="000D3BF9"/>
    <w:rsid w:val="000D3C2E"/>
    <w:rsid w:val="000D3C60"/>
    <w:rsid w:val="000D3C7A"/>
    <w:rsid w:val="000D3CEE"/>
    <w:rsid w:val="000D3D20"/>
    <w:rsid w:val="000D405A"/>
    <w:rsid w:val="000D41CA"/>
    <w:rsid w:val="000D4333"/>
    <w:rsid w:val="000D45EC"/>
    <w:rsid w:val="000D489B"/>
    <w:rsid w:val="000D489F"/>
    <w:rsid w:val="000D4B98"/>
    <w:rsid w:val="000D4BB7"/>
    <w:rsid w:val="000D4E8B"/>
    <w:rsid w:val="000D4EFD"/>
    <w:rsid w:val="000D4F6B"/>
    <w:rsid w:val="000D507C"/>
    <w:rsid w:val="000D50AB"/>
    <w:rsid w:val="000D50E5"/>
    <w:rsid w:val="000D50FC"/>
    <w:rsid w:val="000D524F"/>
    <w:rsid w:val="000D5549"/>
    <w:rsid w:val="000D561C"/>
    <w:rsid w:val="000D5632"/>
    <w:rsid w:val="000D5738"/>
    <w:rsid w:val="000D5911"/>
    <w:rsid w:val="000D5A27"/>
    <w:rsid w:val="000D5A71"/>
    <w:rsid w:val="000D5B6A"/>
    <w:rsid w:val="000D5BA9"/>
    <w:rsid w:val="000D5BC6"/>
    <w:rsid w:val="000D5CBD"/>
    <w:rsid w:val="000D5D3F"/>
    <w:rsid w:val="000D60A0"/>
    <w:rsid w:val="000D618F"/>
    <w:rsid w:val="000D6234"/>
    <w:rsid w:val="000D62AF"/>
    <w:rsid w:val="000D6416"/>
    <w:rsid w:val="000D64D3"/>
    <w:rsid w:val="000D654A"/>
    <w:rsid w:val="000D6723"/>
    <w:rsid w:val="000D6825"/>
    <w:rsid w:val="000D68A0"/>
    <w:rsid w:val="000D6950"/>
    <w:rsid w:val="000D69F2"/>
    <w:rsid w:val="000D6A5C"/>
    <w:rsid w:val="000D6A98"/>
    <w:rsid w:val="000D6AD4"/>
    <w:rsid w:val="000D6AD6"/>
    <w:rsid w:val="000D6AE7"/>
    <w:rsid w:val="000D6B63"/>
    <w:rsid w:val="000D6C82"/>
    <w:rsid w:val="000D6C86"/>
    <w:rsid w:val="000D6DC9"/>
    <w:rsid w:val="000D6DE2"/>
    <w:rsid w:val="000D6E4D"/>
    <w:rsid w:val="000D709E"/>
    <w:rsid w:val="000D7211"/>
    <w:rsid w:val="000D7475"/>
    <w:rsid w:val="000D74B0"/>
    <w:rsid w:val="000D74E4"/>
    <w:rsid w:val="000D7745"/>
    <w:rsid w:val="000D782E"/>
    <w:rsid w:val="000D792B"/>
    <w:rsid w:val="000D7BBB"/>
    <w:rsid w:val="000D7C04"/>
    <w:rsid w:val="000D7DB9"/>
    <w:rsid w:val="000D7E12"/>
    <w:rsid w:val="000D7E7D"/>
    <w:rsid w:val="000D7F21"/>
    <w:rsid w:val="000D7F5D"/>
    <w:rsid w:val="000D7F96"/>
    <w:rsid w:val="000D7FDA"/>
    <w:rsid w:val="000E005A"/>
    <w:rsid w:val="000E005B"/>
    <w:rsid w:val="000E006D"/>
    <w:rsid w:val="000E009F"/>
    <w:rsid w:val="000E00C9"/>
    <w:rsid w:val="000E01AC"/>
    <w:rsid w:val="000E029F"/>
    <w:rsid w:val="000E0301"/>
    <w:rsid w:val="000E0466"/>
    <w:rsid w:val="000E0758"/>
    <w:rsid w:val="000E07E4"/>
    <w:rsid w:val="000E07F5"/>
    <w:rsid w:val="000E081C"/>
    <w:rsid w:val="000E0A03"/>
    <w:rsid w:val="000E0A82"/>
    <w:rsid w:val="000E0F62"/>
    <w:rsid w:val="000E1034"/>
    <w:rsid w:val="000E1083"/>
    <w:rsid w:val="000E1132"/>
    <w:rsid w:val="000E1179"/>
    <w:rsid w:val="000E12E8"/>
    <w:rsid w:val="000E139C"/>
    <w:rsid w:val="000E13F4"/>
    <w:rsid w:val="000E1462"/>
    <w:rsid w:val="000E15B3"/>
    <w:rsid w:val="000E172B"/>
    <w:rsid w:val="000E1733"/>
    <w:rsid w:val="000E1952"/>
    <w:rsid w:val="000E19CE"/>
    <w:rsid w:val="000E1A12"/>
    <w:rsid w:val="000E1A31"/>
    <w:rsid w:val="000E1A64"/>
    <w:rsid w:val="000E1B37"/>
    <w:rsid w:val="000E1CA7"/>
    <w:rsid w:val="000E1E38"/>
    <w:rsid w:val="000E1E7D"/>
    <w:rsid w:val="000E1EA3"/>
    <w:rsid w:val="000E1F0D"/>
    <w:rsid w:val="000E1FB7"/>
    <w:rsid w:val="000E1FF1"/>
    <w:rsid w:val="000E1FFC"/>
    <w:rsid w:val="000E2166"/>
    <w:rsid w:val="000E229A"/>
    <w:rsid w:val="000E22B4"/>
    <w:rsid w:val="000E231F"/>
    <w:rsid w:val="000E238C"/>
    <w:rsid w:val="000E23F3"/>
    <w:rsid w:val="000E2488"/>
    <w:rsid w:val="000E25F1"/>
    <w:rsid w:val="000E265F"/>
    <w:rsid w:val="000E2765"/>
    <w:rsid w:val="000E28FE"/>
    <w:rsid w:val="000E2926"/>
    <w:rsid w:val="000E298B"/>
    <w:rsid w:val="000E2A64"/>
    <w:rsid w:val="000E2AF5"/>
    <w:rsid w:val="000E2B25"/>
    <w:rsid w:val="000E2C29"/>
    <w:rsid w:val="000E2D85"/>
    <w:rsid w:val="000E3044"/>
    <w:rsid w:val="000E317D"/>
    <w:rsid w:val="000E31D7"/>
    <w:rsid w:val="000E3332"/>
    <w:rsid w:val="000E3393"/>
    <w:rsid w:val="000E33FE"/>
    <w:rsid w:val="000E3400"/>
    <w:rsid w:val="000E340C"/>
    <w:rsid w:val="000E34B5"/>
    <w:rsid w:val="000E34E9"/>
    <w:rsid w:val="000E394B"/>
    <w:rsid w:val="000E39CF"/>
    <w:rsid w:val="000E3B3C"/>
    <w:rsid w:val="000E3CE7"/>
    <w:rsid w:val="000E3D62"/>
    <w:rsid w:val="000E3F8A"/>
    <w:rsid w:val="000E4172"/>
    <w:rsid w:val="000E41C9"/>
    <w:rsid w:val="000E43B7"/>
    <w:rsid w:val="000E4401"/>
    <w:rsid w:val="000E44BF"/>
    <w:rsid w:val="000E457F"/>
    <w:rsid w:val="000E4619"/>
    <w:rsid w:val="000E4702"/>
    <w:rsid w:val="000E47F5"/>
    <w:rsid w:val="000E4931"/>
    <w:rsid w:val="000E4A39"/>
    <w:rsid w:val="000E4A9B"/>
    <w:rsid w:val="000E4B1B"/>
    <w:rsid w:val="000E4B42"/>
    <w:rsid w:val="000E4D22"/>
    <w:rsid w:val="000E4F21"/>
    <w:rsid w:val="000E4FBE"/>
    <w:rsid w:val="000E5024"/>
    <w:rsid w:val="000E5198"/>
    <w:rsid w:val="000E5235"/>
    <w:rsid w:val="000E527E"/>
    <w:rsid w:val="000E562E"/>
    <w:rsid w:val="000E57E2"/>
    <w:rsid w:val="000E584B"/>
    <w:rsid w:val="000E58A8"/>
    <w:rsid w:val="000E5926"/>
    <w:rsid w:val="000E5A8A"/>
    <w:rsid w:val="000E5B11"/>
    <w:rsid w:val="000E5CE4"/>
    <w:rsid w:val="000E5DB0"/>
    <w:rsid w:val="000E5DC0"/>
    <w:rsid w:val="000E5EF1"/>
    <w:rsid w:val="000E5F1C"/>
    <w:rsid w:val="000E5F84"/>
    <w:rsid w:val="000E61BC"/>
    <w:rsid w:val="000E61F4"/>
    <w:rsid w:val="000E636F"/>
    <w:rsid w:val="000E6434"/>
    <w:rsid w:val="000E6565"/>
    <w:rsid w:val="000E6598"/>
    <w:rsid w:val="000E66BD"/>
    <w:rsid w:val="000E6830"/>
    <w:rsid w:val="000E69F9"/>
    <w:rsid w:val="000E6AA5"/>
    <w:rsid w:val="000E6BE2"/>
    <w:rsid w:val="000E6CAE"/>
    <w:rsid w:val="000E6CE2"/>
    <w:rsid w:val="000E6DB4"/>
    <w:rsid w:val="000E6EA7"/>
    <w:rsid w:val="000E7158"/>
    <w:rsid w:val="000E725D"/>
    <w:rsid w:val="000E7329"/>
    <w:rsid w:val="000E7344"/>
    <w:rsid w:val="000E737E"/>
    <w:rsid w:val="000E73A3"/>
    <w:rsid w:val="000E7424"/>
    <w:rsid w:val="000E753F"/>
    <w:rsid w:val="000E757C"/>
    <w:rsid w:val="000E75A0"/>
    <w:rsid w:val="000E77BF"/>
    <w:rsid w:val="000E77F9"/>
    <w:rsid w:val="000E7A45"/>
    <w:rsid w:val="000E7BD4"/>
    <w:rsid w:val="000E7C10"/>
    <w:rsid w:val="000E7DBC"/>
    <w:rsid w:val="000F00BF"/>
    <w:rsid w:val="000F0102"/>
    <w:rsid w:val="000F015B"/>
    <w:rsid w:val="000F0566"/>
    <w:rsid w:val="000F079A"/>
    <w:rsid w:val="000F07A6"/>
    <w:rsid w:val="000F08F0"/>
    <w:rsid w:val="000F094F"/>
    <w:rsid w:val="000F09D1"/>
    <w:rsid w:val="000F0A24"/>
    <w:rsid w:val="000F0A9E"/>
    <w:rsid w:val="000F0BB8"/>
    <w:rsid w:val="000F0BBC"/>
    <w:rsid w:val="000F0BDE"/>
    <w:rsid w:val="000F0C30"/>
    <w:rsid w:val="000F0D4C"/>
    <w:rsid w:val="000F0F42"/>
    <w:rsid w:val="000F0FE2"/>
    <w:rsid w:val="000F1003"/>
    <w:rsid w:val="000F1085"/>
    <w:rsid w:val="000F10D5"/>
    <w:rsid w:val="000F11D6"/>
    <w:rsid w:val="000F11DE"/>
    <w:rsid w:val="000F144F"/>
    <w:rsid w:val="000F1499"/>
    <w:rsid w:val="000F14F4"/>
    <w:rsid w:val="000F1514"/>
    <w:rsid w:val="000F1724"/>
    <w:rsid w:val="000F17B5"/>
    <w:rsid w:val="000F18D5"/>
    <w:rsid w:val="000F19A5"/>
    <w:rsid w:val="000F1AD8"/>
    <w:rsid w:val="000F1BC0"/>
    <w:rsid w:val="000F1C09"/>
    <w:rsid w:val="000F1C18"/>
    <w:rsid w:val="000F1D10"/>
    <w:rsid w:val="000F1D86"/>
    <w:rsid w:val="000F1E32"/>
    <w:rsid w:val="000F1EC6"/>
    <w:rsid w:val="000F1F34"/>
    <w:rsid w:val="000F1F83"/>
    <w:rsid w:val="000F216B"/>
    <w:rsid w:val="000F21A5"/>
    <w:rsid w:val="000F2232"/>
    <w:rsid w:val="000F2255"/>
    <w:rsid w:val="000F2274"/>
    <w:rsid w:val="000F22C1"/>
    <w:rsid w:val="000F2410"/>
    <w:rsid w:val="000F259D"/>
    <w:rsid w:val="000F263D"/>
    <w:rsid w:val="000F276A"/>
    <w:rsid w:val="000F28F9"/>
    <w:rsid w:val="000F2BE6"/>
    <w:rsid w:val="000F2D53"/>
    <w:rsid w:val="000F2D83"/>
    <w:rsid w:val="000F2D9C"/>
    <w:rsid w:val="000F2E18"/>
    <w:rsid w:val="000F2F7B"/>
    <w:rsid w:val="000F2FC1"/>
    <w:rsid w:val="000F2FC6"/>
    <w:rsid w:val="000F3049"/>
    <w:rsid w:val="000F33BB"/>
    <w:rsid w:val="000F3545"/>
    <w:rsid w:val="000F3572"/>
    <w:rsid w:val="000F357A"/>
    <w:rsid w:val="000F3712"/>
    <w:rsid w:val="000F381C"/>
    <w:rsid w:val="000F3A5C"/>
    <w:rsid w:val="000F3AA9"/>
    <w:rsid w:val="000F3C2F"/>
    <w:rsid w:val="000F3C8F"/>
    <w:rsid w:val="000F3EEB"/>
    <w:rsid w:val="000F3F5C"/>
    <w:rsid w:val="000F3F6C"/>
    <w:rsid w:val="000F3F8B"/>
    <w:rsid w:val="000F4000"/>
    <w:rsid w:val="000F4237"/>
    <w:rsid w:val="000F4335"/>
    <w:rsid w:val="000F4391"/>
    <w:rsid w:val="000F43B7"/>
    <w:rsid w:val="000F43DE"/>
    <w:rsid w:val="000F4463"/>
    <w:rsid w:val="000F44A8"/>
    <w:rsid w:val="000F4603"/>
    <w:rsid w:val="000F4859"/>
    <w:rsid w:val="000F48A9"/>
    <w:rsid w:val="000F48BC"/>
    <w:rsid w:val="000F4910"/>
    <w:rsid w:val="000F4E8D"/>
    <w:rsid w:val="000F4F43"/>
    <w:rsid w:val="000F4F55"/>
    <w:rsid w:val="000F51F5"/>
    <w:rsid w:val="000F5270"/>
    <w:rsid w:val="000F52F8"/>
    <w:rsid w:val="000F54EC"/>
    <w:rsid w:val="000F55AB"/>
    <w:rsid w:val="000F5771"/>
    <w:rsid w:val="000F582E"/>
    <w:rsid w:val="000F5837"/>
    <w:rsid w:val="000F5958"/>
    <w:rsid w:val="000F5B2E"/>
    <w:rsid w:val="000F5B8E"/>
    <w:rsid w:val="000F5BFB"/>
    <w:rsid w:val="000F5D8F"/>
    <w:rsid w:val="000F5E27"/>
    <w:rsid w:val="000F5E8C"/>
    <w:rsid w:val="000F603F"/>
    <w:rsid w:val="000F6119"/>
    <w:rsid w:val="000F61B6"/>
    <w:rsid w:val="000F653E"/>
    <w:rsid w:val="000F6589"/>
    <w:rsid w:val="000F65B1"/>
    <w:rsid w:val="000F66FD"/>
    <w:rsid w:val="000F6706"/>
    <w:rsid w:val="000F6782"/>
    <w:rsid w:val="000F69B9"/>
    <w:rsid w:val="000F6A0D"/>
    <w:rsid w:val="000F6B83"/>
    <w:rsid w:val="000F6DAD"/>
    <w:rsid w:val="000F70CF"/>
    <w:rsid w:val="000F7155"/>
    <w:rsid w:val="000F7218"/>
    <w:rsid w:val="000F7330"/>
    <w:rsid w:val="000F75F6"/>
    <w:rsid w:val="000F7869"/>
    <w:rsid w:val="000F78A4"/>
    <w:rsid w:val="000F7A7C"/>
    <w:rsid w:val="000F7AD3"/>
    <w:rsid w:val="000F7D54"/>
    <w:rsid w:val="000F7DDC"/>
    <w:rsid w:val="000F7E5A"/>
    <w:rsid w:val="000F7F70"/>
    <w:rsid w:val="000F7FCC"/>
    <w:rsid w:val="0010010E"/>
    <w:rsid w:val="00100224"/>
    <w:rsid w:val="001002A2"/>
    <w:rsid w:val="001003BB"/>
    <w:rsid w:val="00100595"/>
    <w:rsid w:val="001005AF"/>
    <w:rsid w:val="001005BC"/>
    <w:rsid w:val="00100619"/>
    <w:rsid w:val="001008A2"/>
    <w:rsid w:val="00100A48"/>
    <w:rsid w:val="00100B22"/>
    <w:rsid w:val="00100B50"/>
    <w:rsid w:val="00100D01"/>
    <w:rsid w:val="00100DB0"/>
    <w:rsid w:val="00100F36"/>
    <w:rsid w:val="0010102A"/>
    <w:rsid w:val="00101139"/>
    <w:rsid w:val="001011EC"/>
    <w:rsid w:val="0010127F"/>
    <w:rsid w:val="00101299"/>
    <w:rsid w:val="001018F9"/>
    <w:rsid w:val="00101A4D"/>
    <w:rsid w:val="00101A77"/>
    <w:rsid w:val="00101C14"/>
    <w:rsid w:val="00101C16"/>
    <w:rsid w:val="00101CAC"/>
    <w:rsid w:val="00101D75"/>
    <w:rsid w:val="00101EEB"/>
    <w:rsid w:val="0010234F"/>
    <w:rsid w:val="00102431"/>
    <w:rsid w:val="0010259E"/>
    <w:rsid w:val="001027F8"/>
    <w:rsid w:val="001029B2"/>
    <w:rsid w:val="00102BFD"/>
    <w:rsid w:val="00102D84"/>
    <w:rsid w:val="00102E7F"/>
    <w:rsid w:val="00102E8D"/>
    <w:rsid w:val="00102EF5"/>
    <w:rsid w:val="00102F05"/>
    <w:rsid w:val="00102F46"/>
    <w:rsid w:val="00102F70"/>
    <w:rsid w:val="00102F7C"/>
    <w:rsid w:val="00103001"/>
    <w:rsid w:val="0010308F"/>
    <w:rsid w:val="001031FA"/>
    <w:rsid w:val="001032B2"/>
    <w:rsid w:val="0010343D"/>
    <w:rsid w:val="001035A4"/>
    <w:rsid w:val="0010368C"/>
    <w:rsid w:val="001036CC"/>
    <w:rsid w:val="001036D7"/>
    <w:rsid w:val="001038B6"/>
    <w:rsid w:val="001038CD"/>
    <w:rsid w:val="001038F1"/>
    <w:rsid w:val="00103953"/>
    <w:rsid w:val="00103A17"/>
    <w:rsid w:val="00103AED"/>
    <w:rsid w:val="00103C77"/>
    <w:rsid w:val="00103E92"/>
    <w:rsid w:val="00103ECB"/>
    <w:rsid w:val="00103F04"/>
    <w:rsid w:val="001042AC"/>
    <w:rsid w:val="001042E7"/>
    <w:rsid w:val="00104424"/>
    <w:rsid w:val="00104482"/>
    <w:rsid w:val="001044FA"/>
    <w:rsid w:val="0010453E"/>
    <w:rsid w:val="00104590"/>
    <w:rsid w:val="0010469D"/>
    <w:rsid w:val="00104B4E"/>
    <w:rsid w:val="00104BC0"/>
    <w:rsid w:val="00104BCE"/>
    <w:rsid w:val="00104DD0"/>
    <w:rsid w:val="00104E1F"/>
    <w:rsid w:val="00104FD0"/>
    <w:rsid w:val="00105087"/>
    <w:rsid w:val="001052BB"/>
    <w:rsid w:val="00105481"/>
    <w:rsid w:val="00105522"/>
    <w:rsid w:val="001058A6"/>
    <w:rsid w:val="001058BA"/>
    <w:rsid w:val="00105DB1"/>
    <w:rsid w:val="00105E12"/>
    <w:rsid w:val="00105E34"/>
    <w:rsid w:val="00105E3C"/>
    <w:rsid w:val="00105E9A"/>
    <w:rsid w:val="00105F1C"/>
    <w:rsid w:val="001061CB"/>
    <w:rsid w:val="00106234"/>
    <w:rsid w:val="00106240"/>
    <w:rsid w:val="00106242"/>
    <w:rsid w:val="001062D2"/>
    <w:rsid w:val="001062F5"/>
    <w:rsid w:val="001063FC"/>
    <w:rsid w:val="001065D8"/>
    <w:rsid w:val="001067A5"/>
    <w:rsid w:val="0010686B"/>
    <w:rsid w:val="001068B6"/>
    <w:rsid w:val="00106A69"/>
    <w:rsid w:val="00106A84"/>
    <w:rsid w:val="00106C9C"/>
    <w:rsid w:val="00106DAF"/>
    <w:rsid w:val="00106E1A"/>
    <w:rsid w:val="00106FF2"/>
    <w:rsid w:val="001070E1"/>
    <w:rsid w:val="001071E1"/>
    <w:rsid w:val="00107587"/>
    <w:rsid w:val="001075F6"/>
    <w:rsid w:val="001076C2"/>
    <w:rsid w:val="001077AA"/>
    <w:rsid w:val="00107823"/>
    <w:rsid w:val="00107874"/>
    <w:rsid w:val="001079FA"/>
    <w:rsid w:val="00107AE0"/>
    <w:rsid w:val="00107D64"/>
    <w:rsid w:val="00107DCC"/>
    <w:rsid w:val="00107E1F"/>
    <w:rsid w:val="00107F71"/>
    <w:rsid w:val="00107F89"/>
    <w:rsid w:val="00110048"/>
    <w:rsid w:val="00110347"/>
    <w:rsid w:val="001103CF"/>
    <w:rsid w:val="0011065C"/>
    <w:rsid w:val="00110761"/>
    <w:rsid w:val="001108AD"/>
    <w:rsid w:val="00110B0D"/>
    <w:rsid w:val="00110B51"/>
    <w:rsid w:val="00110D13"/>
    <w:rsid w:val="00110E72"/>
    <w:rsid w:val="00110F14"/>
    <w:rsid w:val="0011107C"/>
    <w:rsid w:val="001111C5"/>
    <w:rsid w:val="001111CA"/>
    <w:rsid w:val="00111212"/>
    <w:rsid w:val="00111234"/>
    <w:rsid w:val="00111574"/>
    <w:rsid w:val="00111618"/>
    <w:rsid w:val="001116DE"/>
    <w:rsid w:val="0011179C"/>
    <w:rsid w:val="0011182B"/>
    <w:rsid w:val="0011186A"/>
    <w:rsid w:val="00111C20"/>
    <w:rsid w:val="00111CED"/>
    <w:rsid w:val="00111D5B"/>
    <w:rsid w:val="00111E71"/>
    <w:rsid w:val="00111EA5"/>
    <w:rsid w:val="00111EFD"/>
    <w:rsid w:val="00111F5F"/>
    <w:rsid w:val="001120AC"/>
    <w:rsid w:val="0011213A"/>
    <w:rsid w:val="0011217C"/>
    <w:rsid w:val="00112414"/>
    <w:rsid w:val="00112439"/>
    <w:rsid w:val="001124E5"/>
    <w:rsid w:val="0011257C"/>
    <w:rsid w:val="001125A6"/>
    <w:rsid w:val="001125E4"/>
    <w:rsid w:val="001127A1"/>
    <w:rsid w:val="0011285C"/>
    <w:rsid w:val="00112917"/>
    <w:rsid w:val="00112932"/>
    <w:rsid w:val="0011298A"/>
    <w:rsid w:val="00112B15"/>
    <w:rsid w:val="00112B79"/>
    <w:rsid w:val="00112C0D"/>
    <w:rsid w:val="00112C60"/>
    <w:rsid w:val="00112D6F"/>
    <w:rsid w:val="00112DE5"/>
    <w:rsid w:val="00112E77"/>
    <w:rsid w:val="00112EBD"/>
    <w:rsid w:val="00112FA0"/>
    <w:rsid w:val="0011318A"/>
    <w:rsid w:val="00113291"/>
    <w:rsid w:val="001132EB"/>
    <w:rsid w:val="0011332A"/>
    <w:rsid w:val="0011337B"/>
    <w:rsid w:val="00113560"/>
    <w:rsid w:val="001135E6"/>
    <w:rsid w:val="001138F1"/>
    <w:rsid w:val="001139E1"/>
    <w:rsid w:val="00113BDF"/>
    <w:rsid w:val="00113C61"/>
    <w:rsid w:val="00113E20"/>
    <w:rsid w:val="00113E45"/>
    <w:rsid w:val="00113E52"/>
    <w:rsid w:val="001140C9"/>
    <w:rsid w:val="0011420B"/>
    <w:rsid w:val="001142C6"/>
    <w:rsid w:val="001142DB"/>
    <w:rsid w:val="00114356"/>
    <w:rsid w:val="001143DE"/>
    <w:rsid w:val="00114767"/>
    <w:rsid w:val="00114946"/>
    <w:rsid w:val="00114A39"/>
    <w:rsid w:val="00114B2A"/>
    <w:rsid w:val="00114BD9"/>
    <w:rsid w:val="00114C20"/>
    <w:rsid w:val="00114DB5"/>
    <w:rsid w:val="00114E71"/>
    <w:rsid w:val="00114ECE"/>
    <w:rsid w:val="00115026"/>
    <w:rsid w:val="0011537D"/>
    <w:rsid w:val="001153E5"/>
    <w:rsid w:val="00115668"/>
    <w:rsid w:val="001156BF"/>
    <w:rsid w:val="001158E7"/>
    <w:rsid w:val="00115952"/>
    <w:rsid w:val="001159E2"/>
    <w:rsid w:val="00115A60"/>
    <w:rsid w:val="00115B58"/>
    <w:rsid w:val="00115B64"/>
    <w:rsid w:val="00115B90"/>
    <w:rsid w:val="00115C19"/>
    <w:rsid w:val="00115EC3"/>
    <w:rsid w:val="00116025"/>
    <w:rsid w:val="0011602E"/>
    <w:rsid w:val="001162D5"/>
    <w:rsid w:val="00116375"/>
    <w:rsid w:val="0011641F"/>
    <w:rsid w:val="00116536"/>
    <w:rsid w:val="00116563"/>
    <w:rsid w:val="00116881"/>
    <w:rsid w:val="00116B10"/>
    <w:rsid w:val="00116B65"/>
    <w:rsid w:val="00116D14"/>
    <w:rsid w:val="00116FD7"/>
    <w:rsid w:val="001170A4"/>
    <w:rsid w:val="00117216"/>
    <w:rsid w:val="001172C5"/>
    <w:rsid w:val="00117364"/>
    <w:rsid w:val="001173AA"/>
    <w:rsid w:val="001173E9"/>
    <w:rsid w:val="0011741B"/>
    <w:rsid w:val="001174DC"/>
    <w:rsid w:val="001175E5"/>
    <w:rsid w:val="001177A7"/>
    <w:rsid w:val="00117851"/>
    <w:rsid w:val="001178E1"/>
    <w:rsid w:val="001178F6"/>
    <w:rsid w:val="0011791C"/>
    <w:rsid w:val="00117929"/>
    <w:rsid w:val="0011794F"/>
    <w:rsid w:val="001179CA"/>
    <w:rsid w:val="00117A7D"/>
    <w:rsid w:val="00117AAE"/>
    <w:rsid w:val="00117B1B"/>
    <w:rsid w:val="00117B51"/>
    <w:rsid w:val="00117BD1"/>
    <w:rsid w:val="00117CF5"/>
    <w:rsid w:val="00117E2E"/>
    <w:rsid w:val="00117F2E"/>
    <w:rsid w:val="00120017"/>
    <w:rsid w:val="0012002F"/>
    <w:rsid w:val="001200E4"/>
    <w:rsid w:val="00120110"/>
    <w:rsid w:val="0012019F"/>
    <w:rsid w:val="00120365"/>
    <w:rsid w:val="00120592"/>
    <w:rsid w:val="001205E7"/>
    <w:rsid w:val="00120622"/>
    <w:rsid w:val="00120683"/>
    <w:rsid w:val="00120684"/>
    <w:rsid w:val="00120705"/>
    <w:rsid w:val="001207AB"/>
    <w:rsid w:val="00120803"/>
    <w:rsid w:val="001208BC"/>
    <w:rsid w:val="00120932"/>
    <w:rsid w:val="00120963"/>
    <w:rsid w:val="001209A2"/>
    <w:rsid w:val="001209D3"/>
    <w:rsid w:val="00120A0D"/>
    <w:rsid w:val="00120B5E"/>
    <w:rsid w:val="00120C9D"/>
    <w:rsid w:val="00120CD4"/>
    <w:rsid w:val="00120E76"/>
    <w:rsid w:val="00120F75"/>
    <w:rsid w:val="0012113B"/>
    <w:rsid w:val="0012121E"/>
    <w:rsid w:val="00121298"/>
    <w:rsid w:val="0012129C"/>
    <w:rsid w:val="00121370"/>
    <w:rsid w:val="0012146B"/>
    <w:rsid w:val="00121565"/>
    <w:rsid w:val="0012162D"/>
    <w:rsid w:val="001216F2"/>
    <w:rsid w:val="00121958"/>
    <w:rsid w:val="0012195E"/>
    <w:rsid w:val="00121C80"/>
    <w:rsid w:val="00121CE0"/>
    <w:rsid w:val="00121F98"/>
    <w:rsid w:val="0012205B"/>
    <w:rsid w:val="001220D8"/>
    <w:rsid w:val="00122169"/>
    <w:rsid w:val="00122238"/>
    <w:rsid w:val="001223D6"/>
    <w:rsid w:val="00122496"/>
    <w:rsid w:val="001224A2"/>
    <w:rsid w:val="00122525"/>
    <w:rsid w:val="0012255B"/>
    <w:rsid w:val="001225CB"/>
    <w:rsid w:val="001225F5"/>
    <w:rsid w:val="0012263A"/>
    <w:rsid w:val="00122697"/>
    <w:rsid w:val="001226BF"/>
    <w:rsid w:val="00122812"/>
    <w:rsid w:val="001228B5"/>
    <w:rsid w:val="0012297D"/>
    <w:rsid w:val="00122A04"/>
    <w:rsid w:val="00122AB5"/>
    <w:rsid w:val="00122B39"/>
    <w:rsid w:val="00122B88"/>
    <w:rsid w:val="00122D7F"/>
    <w:rsid w:val="00122DE6"/>
    <w:rsid w:val="00122F83"/>
    <w:rsid w:val="00123024"/>
    <w:rsid w:val="00123063"/>
    <w:rsid w:val="00123090"/>
    <w:rsid w:val="00123094"/>
    <w:rsid w:val="00123149"/>
    <w:rsid w:val="0012318D"/>
    <w:rsid w:val="001235EA"/>
    <w:rsid w:val="00123742"/>
    <w:rsid w:val="0012386C"/>
    <w:rsid w:val="0012386E"/>
    <w:rsid w:val="001239F7"/>
    <w:rsid w:val="00123A8A"/>
    <w:rsid w:val="00123AC1"/>
    <w:rsid w:val="00123C09"/>
    <w:rsid w:val="00123DBC"/>
    <w:rsid w:val="0012415F"/>
    <w:rsid w:val="001241DC"/>
    <w:rsid w:val="0012420F"/>
    <w:rsid w:val="0012429A"/>
    <w:rsid w:val="001242AE"/>
    <w:rsid w:val="00124459"/>
    <w:rsid w:val="001244A6"/>
    <w:rsid w:val="00124723"/>
    <w:rsid w:val="00124769"/>
    <w:rsid w:val="001248AF"/>
    <w:rsid w:val="00124A60"/>
    <w:rsid w:val="00124AA6"/>
    <w:rsid w:val="00124AE7"/>
    <w:rsid w:val="00124B94"/>
    <w:rsid w:val="00124CF5"/>
    <w:rsid w:val="00124DFD"/>
    <w:rsid w:val="00124FC5"/>
    <w:rsid w:val="00124FF8"/>
    <w:rsid w:val="00125040"/>
    <w:rsid w:val="00125185"/>
    <w:rsid w:val="0012547E"/>
    <w:rsid w:val="001254EC"/>
    <w:rsid w:val="00125511"/>
    <w:rsid w:val="0012563A"/>
    <w:rsid w:val="00125690"/>
    <w:rsid w:val="0012572D"/>
    <w:rsid w:val="00125731"/>
    <w:rsid w:val="001258D8"/>
    <w:rsid w:val="001258E1"/>
    <w:rsid w:val="001258F4"/>
    <w:rsid w:val="00125A72"/>
    <w:rsid w:val="00125BE3"/>
    <w:rsid w:val="00125C16"/>
    <w:rsid w:val="00125E16"/>
    <w:rsid w:val="0012603B"/>
    <w:rsid w:val="001260B4"/>
    <w:rsid w:val="001260BC"/>
    <w:rsid w:val="001260FD"/>
    <w:rsid w:val="00126173"/>
    <w:rsid w:val="001261B0"/>
    <w:rsid w:val="00126425"/>
    <w:rsid w:val="001264C4"/>
    <w:rsid w:val="0012661A"/>
    <w:rsid w:val="0012671D"/>
    <w:rsid w:val="0012674A"/>
    <w:rsid w:val="0012692C"/>
    <w:rsid w:val="00126942"/>
    <w:rsid w:val="001269C9"/>
    <w:rsid w:val="00126A10"/>
    <w:rsid w:val="00126AEB"/>
    <w:rsid w:val="00126D6A"/>
    <w:rsid w:val="00126DED"/>
    <w:rsid w:val="00126E70"/>
    <w:rsid w:val="00127053"/>
    <w:rsid w:val="001272DC"/>
    <w:rsid w:val="00127324"/>
    <w:rsid w:val="00127467"/>
    <w:rsid w:val="00127756"/>
    <w:rsid w:val="00127805"/>
    <w:rsid w:val="00127A13"/>
    <w:rsid w:val="00127BE0"/>
    <w:rsid w:val="00127C06"/>
    <w:rsid w:val="00127C40"/>
    <w:rsid w:val="00127CB9"/>
    <w:rsid w:val="00127E6A"/>
    <w:rsid w:val="00130079"/>
    <w:rsid w:val="0013007F"/>
    <w:rsid w:val="00130163"/>
    <w:rsid w:val="001303F8"/>
    <w:rsid w:val="00130551"/>
    <w:rsid w:val="001305EF"/>
    <w:rsid w:val="0013072B"/>
    <w:rsid w:val="00130787"/>
    <w:rsid w:val="00130986"/>
    <w:rsid w:val="001309BF"/>
    <w:rsid w:val="001309CA"/>
    <w:rsid w:val="00130AB7"/>
    <w:rsid w:val="00130AF4"/>
    <w:rsid w:val="00130AF8"/>
    <w:rsid w:val="00130B5D"/>
    <w:rsid w:val="00130C06"/>
    <w:rsid w:val="00130C50"/>
    <w:rsid w:val="0013100C"/>
    <w:rsid w:val="0013104C"/>
    <w:rsid w:val="0013106C"/>
    <w:rsid w:val="00131128"/>
    <w:rsid w:val="0013141B"/>
    <w:rsid w:val="0013150A"/>
    <w:rsid w:val="00131741"/>
    <w:rsid w:val="001318AB"/>
    <w:rsid w:val="00131917"/>
    <w:rsid w:val="00131B80"/>
    <w:rsid w:val="00131BA2"/>
    <w:rsid w:val="00131BC4"/>
    <w:rsid w:val="00131CB1"/>
    <w:rsid w:val="00131CD7"/>
    <w:rsid w:val="00131D68"/>
    <w:rsid w:val="00131D98"/>
    <w:rsid w:val="001321D6"/>
    <w:rsid w:val="00132228"/>
    <w:rsid w:val="001324D2"/>
    <w:rsid w:val="00132575"/>
    <w:rsid w:val="001325C9"/>
    <w:rsid w:val="0013264B"/>
    <w:rsid w:val="0013265C"/>
    <w:rsid w:val="0013269C"/>
    <w:rsid w:val="0013274F"/>
    <w:rsid w:val="00132850"/>
    <w:rsid w:val="001329EB"/>
    <w:rsid w:val="00132B18"/>
    <w:rsid w:val="00132B6C"/>
    <w:rsid w:val="00132BEC"/>
    <w:rsid w:val="00132C0B"/>
    <w:rsid w:val="00132C2E"/>
    <w:rsid w:val="00132D67"/>
    <w:rsid w:val="00132DC3"/>
    <w:rsid w:val="00133067"/>
    <w:rsid w:val="001331A8"/>
    <w:rsid w:val="001331BF"/>
    <w:rsid w:val="001331E0"/>
    <w:rsid w:val="00133205"/>
    <w:rsid w:val="0013323F"/>
    <w:rsid w:val="00133267"/>
    <w:rsid w:val="00133393"/>
    <w:rsid w:val="0013340D"/>
    <w:rsid w:val="00133442"/>
    <w:rsid w:val="0013348B"/>
    <w:rsid w:val="0013349B"/>
    <w:rsid w:val="001334E5"/>
    <w:rsid w:val="00133693"/>
    <w:rsid w:val="001336B5"/>
    <w:rsid w:val="001336F1"/>
    <w:rsid w:val="00133700"/>
    <w:rsid w:val="0013375C"/>
    <w:rsid w:val="00133761"/>
    <w:rsid w:val="00133826"/>
    <w:rsid w:val="00133936"/>
    <w:rsid w:val="00133993"/>
    <w:rsid w:val="00133A2E"/>
    <w:rsid w:val="00133C6C"/>
    <w:rsid w:val="00133CB3"/>
    <w:rsid w:val="00133D2E"/>
    <w:rsid w:val="0013431D"/>
    <w:rsid w:val="001343F2"/>
    <w:rsid w:val="001343FC"/>
    <w:rsid w:val="0013471C"/>
    <w:rsid w:val="001347D8"/>
    <w:rsid w:val="001347F5"/>
    <w:rsid w:val="00134879"/>
    <w:rsid w:val="001349DB"/>
    <w:rsid w:val="00134C95"/>
    <w:rsid w:val="00134E1A"/>
    <w:rsid w:val="0013509F"/>
    <w:rsid w:val="00135175"/>
    <w:rsid w:val="00135180"/>
    <w:rsid w:val="001352F8"/>
    <w:rsid w:val="001353B3"/>
    <w:rsid w:val="001353EC"/>
    <w:rsid w:val="00135451"/>
    <w:rsid w:val="001354A7"/>
    <w:rsid w:val="001354C8"/>
    <w:rsid w:val="00135597"/>
    <w:rsid w:val="001356CE"/>
    <w:rsid w:val="001356E7"/>
    <w:rsid w:val="0013593F"/>
    <w:rsid w:val="00135972"/>
    <w:rsid w:val="00135A09"/>
    <w:rsid w:val="00135A72"/>
    <w:rsid w:val="00135B22"/>
    <w:rsid w:val="00135C3C"/>
    <w:rsid w:val="00135DA7"/>
    <w:rsid w:val="00135DC5"/>
    <w:rsid w:val="00135EAC"/>
    <w:rsid w:val="00135EDE"/>
    <w:rsid w:val="001360C5"/>
    <w:rsid w:val="001360D9"/>
    <w:rsid w:val="001360DB"/>
    <w:rsid w:val="00136262"/>
    <w:rsid w:val="00136287"/>
    <w:rsid w:val="001363E7"/>
    <w:rsid w:val="00136517"/>
    <w:rsid w:val="001365CF"/>
    <w:rsid w:val="00136689"/>
    <w:rsid w:val="0013675D"/>
    <w:rsid w:val="0013678A"/>
    <w:rsid w:val="001367DB"/>
    <w:rsid w:val="0013680A"/>
    <w:rsid w:val="00136815"/>
    <w:rsid w:val="00136904"/>
    <w:rsid w:val="00136B3A"/>
    <w:rsid w:val="00136C3C"/>
    <w:rsid w:val="00136E66"/>
    <w:rsid w:val="00136F38"/>
    <w:rsid w:val="00136F4D"/>
    <w:rsid w:val="00137034"/>
    <w:rsid w:val="00137328"/>
    <w:rsid w:val="00137353"/>
    <w:rsid w:val="00137500"/>
    <w:rsid w:val="00137584"/>
    <w:rsid w:val="00137596"/>
    <w:rsid w:val="00137604"/>
    <w:rsid w:val="001377FF"/>
    <w:rsid w:val="00137852"/>
    <w:rsid w:val="00137B9C"/>
    <w:rsid w:val="00137BD0"/>
    <w:rsid w:val="00137D4A"/>
    <w:rsid w:val="00137F61"/>
    <w:rsid w:val="00140004"/>
    <w:rsid w:val="0014001F"/>
    <w:rsid w:val="0014004E"/>
    <w:rsid w:val="0014026C"/>
    <w:rsid w:val="001402E9"/>
    <w:rsid w:val="00140363"/>
    <w:rsid w:val="00140445"/>
    <w:rsid w:val="00140523"/>
    <w:rsid w:val="001405D3"/>
    <w:rsid w:val="001407E4"/>
    <w:rsid w:val="00140999"/>
    <w:rsid w:val="00140C1E"/>
    <w:rsid w:val="00140F64"/>
    <w:rsid w:val="00141246"/>
    <w:rsid w:val="0014143E"/>
    <w:rsid w:val="00141441"/>
    <w:rsid w:val="00141503"/>
    <w:rsid w:val="0014150E"/>
    <w:rsid w:val="00141546"/>
    <w:rsid w:val="001415C9"/>
    <w:rsid w:val="001415E4"/>
    <w:rsid w:val="001415FF"/>
    <w:rsid w:val="001416E8"/>
    <w:rsid w:val="0014173B"/>
    <w:rsid w:val="00141829"/>
    <w:rsid w:val="00141870"/>
    <w:rsid w:val="001418B7"/>
    <w:rsid w:val="00141990"/>
    <w:rsid w:val="00141A06"/>
    <w:rsid w:val="00141A42"/>
    <w:rsid w:val="00141AA0"/>
    <w:rsid w:val="00141AF8"/>
    <w:rsid w:val="00141BB3"/>
    <w:rsid w:val="001420E2"/>
    <w:rsid w:val="00142164"/>
    <w:rsid w:val="00142709"/>
    <w:rsid w:val="00142801"/>
    <w:rsid w:val="00142DA4"/>
    <w:rsid w:val="00142E5E"/>
    <w:rsid w:val="00142EDF"/>
    <w:rsid w:val="001431F7"/>
    <w:rsid w:val="00143295"/>
    <w:rsid w:val="00143416"/>
    <w:rsid w:val="0014346A"/>
    <w:rsid w:val="00143698"/>
    <w:rsid w:val="00143716"/>
    <w:rsid w:val="00143876"/>
    <w:rsid w:val="00143B3B"/>
    <w:rsid w:val="00143C02"/>
    <w:rsid w:val="00143C09"/>
    <w:rsid w:val="00143C84"/>
    <w:rsid w:val="00143CA0"/>
    <w:rsid w:val="00143D36"/>
    <w:rsid w:val="00143E1D"/>
    <w:rsid w:val="0014400E"/>
    <w:rsid w:val="00144119"/>
    <w:rsid w:val="001441D7"/>
    <w:rsid w:val="001442DE"/>
    <w:rsid w:val="00144BE0"/>
    <w:rsid w:val="00144C36"/>
    <w:rsid w:val="00144CFB"/>
    <w:rsid w:val="00144D8C"/>
    <w:rsid w:val="00144E6D"/>
    <w:rsid w:val="00144F8D"/>
    <w:rsid w:val="0014522D"/>
    <w:rsid w:val="001452A2"/>
    <w:rsid w:val="0014535D"/>
    <w:rsid w:val="00145362"/>
    <w:rsid w:val="0014537D"/>
    <w:rsid w:val="0014540A"/>
    <w:rsid w:val="001454A9"/>
    <w:rsid w:val="00145599"/>
    <w:rsid w:val="001456DC"/>
    <w:rsid w:val="00145704"/>
    <w:rsid w:val="00145708"/>
    <w:rsid w:val="0014578C"/>
    <w:rsid w:val="001457CB"/>
    <w:rsid w:val="0014580C"/>
    <w:rsid w:val="0014582D"/>
    <w:rsid w:val="00145B09"/>
    <w:rsid w:val="00145D4D"/>
    <w:rsid w:val="00145DA0"/>
    <w:rsid w:val="00145F4A"/>
    <w:rsid w:val="00145FDD"/>
    <w:rsid w:val="0014604D"/>
    <w:rsid w:val="001460E8"/>
    <w:rsid w:val="001461E9"/>
    <w:rsid w:val="001462B3"/>
    <w:rsid w:val="001463B4"/>
    <w:rsid w:val="0014662C"/>
    <w:rsid w:val="001467ED"/>
    <w:rsid w:val="001468E4"/>
    <w:rsid w:val="001469B7"/>
    <w:rsid w:val="001469C7"/>
    <w:rsid w:val="00146A4F"/>
    <w:rsid w:val="00146AE3"/>
    <w:rsid w:val="00146CE3"/>
    <w:rsid w:val="00146D26"/>
    <w:rsid w:val="00146D82"/>
    <w:rsid w:val="00146E0F"/>
    <w:rsid w:val="00146E44"/>
    <w:rsid w:val="00146E99"/>
    <w:rsid w:val="00146EC0"/>
    <w:rsid w:val="00146F32"/>
    <w:rsid w:val="00146F34"/>
    <w:rsid w:val="00147006"/>
    <w:rsid w:val="0014713A"/>
    <w:rsid w:val="00147328"/>
    <w:rsid w:val="00147339"/>
    <w:rsid w:val="001473BB"/>
    <w:rsid w:val="00147500"/>
    <w:rsid w:val="001475D1"/>
    <w:rsid w:val="001475D6"/>
    <w:rsid w:val="0014771D"/>
    <w:rsid w:val="0014772B"/>
    <w:rsid w:val="0014786D"/>
    <w:rsid w:val="001478F1"/>
    <w:rsid w:val="00147A10"/>
    <w:rsid w:val="00147B0A"/>
    <w:rsid w:val="00147BF1"/>
    <w:rsid w:val="00147C64"/>
    <w:rsid w:val="00147DA3"/>
    <w:rsid w:val="00147EA4"/>
    <w:rsid w:val="00147F04"/>
    <w:rsid w:val="001500AC"/>
    <w:rsid w:val="0015018F"/>
    <w:rsid w:val="00150310"/>
    <w:rsid w:val="00150392"/>
    <w:rsid w:val="00150456"/>
    <w:rsid w:val="0015061C"/>
    <w:rsid w:val="00150651"/>
    <w:rsid w:val="001506A8"/>
    <w:rsid w:val="001506C1"/>
    <w:rsid w:val="00150733"/>
    <w:rsid w:val="001507BE"/>
    <w:rsid w:val="001508AB"/>
    <w:rsid w:val="0015098D"/>
    <w:rsid w:val="00150B56"/>
    <w:rsid w:val="00150B6E"/>
    <w:rsid w:val="00150D6B"/>
    <w:rsid w:val="00151028"/>
    <w:rsid w:val="0015104C"/>
    <w:rsid w:val="0015108A"/>
    <w:rsid w:val="001512DD"/>
    <w:rsid w:val="001513FE"/>
    <w:rsid w:val="0015158C"/>
    <w:rsid w:val="0015160D"/>
    <w:rsid w:val="001516E4"/>
    <w:rsid w:val="001517A6"/>
    <w:rsid w:val="00151863"/>
    <w:rsid w:val="00151989"/>
    <w:rsid w:val="00151AB5"/>
    <w:rsid w:val="00151B75"/>
    <w:rsid w:val="00151D93"/>
    <w:rsid w:val="00151EA2"/>
    <w:rsid w:val="001521D5"/>
    <w:rsid w:val="00152497"/>
    <w:rsid w:val="0015250C"/>
    <w:rsid w:val="00152669"/>
    <w:rsid w:val="00152767"/>
    <w:rsid w:val="001529D3"/>
    <w:rsid w:val="001529DB"/>
    <w:rsid w:val="00152B56"/>
    <w:rsid w:val="00152CB0"/>
    <w:rsid w:val="00152D9D"/>
    <w:rsid w:val="00152EEF"/>
    <w:rsid w:val="00153065"/>
    <w:rsid w:val="001530B9"/>
    <w:rsid w:val="001530FC"/>
    <w:rsid w:val="00153193"/>
    <w:rsid w:val="0015321D"/>
    <w:rsid w:val="00153243"/>
    <w:rsid w:val="001532F9"/>
    <w:rsid w:val="0015357B"/>
    <w:rsid w:val="00153588"/>
    <w:rsid w:val="0015374D"/>
    <w:rsid w:val="001537BA"/>
    <w:rsid w:val="001537C5"/>
    <w:rsid w:val="001539AD"/>
    <w:rsid w:val="00153A54"/>
    <w:rsid w:val="00153C31"/>
    <w:rsid w:val="00153DC7"/>
    <w:rsid w:val="00153F06"/>
    <w:rsid w:val="00153F93"/>
    <w:rsid w:val="0015400B"/>
    <w:rsid w:val="001540E5"/>
    <w:rsid w:val="001540E8"/>
    <w:rsid w:val="001541BD"/>
    <w:rsid w:val="001543DC"/>
    <w:rsid w:val="001545A0"/>
    <w:rsid w:val="00154667"/>
    <w:rsid w:val="0015475A"/>
    <w:rsid w:val="00154916"/>
    <w:rsid w:val="00154ABB"/>
    <w:rsid w:val="00154BC6"/>
    <w:rsid w:val="0015502D"/>
    <w:rsid w:val="001550C3"/>
    <w:rsid w:val="00155258"/>
    <w:rsid w:val="001552B3"/>
    <w:rsid w:val="0015556E"/>
    <w:rsid w:val="0015557B"/>
    <w:rsid w:val="0015566D"/>
    <w:rsid w:val="00155ACD"/>
    <w:rsid w:val="00155CEC"/>
    <w:rsid w:val="00155EDE"/>
    <w:rsid w:val="00156055"/>
    <w:rsid w:val="001562A8"/>
    <w:rsid w:val="001562C2"/>
    <w:rsid w:val="0015630E"/>
    <w:rsid w:val="0015649F"/>
    <w:rsid w:val="001568BB"/>
    <w:rsid w:val="001568FE"/>
    <w:rsid w:val="001569D1"/>
    <w:rsid w:val="00156AF3"/>
    <w:rsid w:val="00156B6B"/>
    <w:rsid w:val="00156C45"/>
    <w:rsid w:val="00156C9A"/>
    <w:rsid w:val="00156F0B"/>
    <w:rsid w:val="0015709B"/>
    <w:rsid w:val="001570E7"/>
    <w:rsid w:val="0015711E"/>
    <w:rsid w:val="001571C9"/>
    <w:rsid w:val="00157205"/>
    <w:rsid w:val="00157421"/>
    <w:rsid w:val="00157600"/>
    <w:rsid w:val="00157641"/>
    <w:rsid w:val="001576AA"/>
    <w:rsid w:val="0015781B"/>
    <w:rsid w:val="001578CF"/>
    <w:rsid w:val="00157EE3"/>
    <w:rsid w:val="0016021D"/>
    <w:rsid w:val="00160227"/>
    <w:rsid w:val="00160291"/>
    <w:rsid w:val="001602F8"/>
    <w:rsid w:val="0016031A"/>
    <w:rsid w:val="00160353"/>
    <w:rsid w:val="00160421"/>
    <w:rsid w:val="001604E9"/>
    <w:rsid w:val="0016055E"/>
    <w:rsid w:val="0016060D"/>
    <w:rsid w:val="001606A8"/>
    <w:rsid w:val="00160749"/>
    <w:rsid w:val="00160906"/>
    <w:rsid w:val="001609AF"/>
    <w:rsid w:val="00160A10"/>
    <w:rsid w:val="00160A68"/>
    <w:rsid w:val="00160A99"/>
    <w:rsid w:val="00160ACC"/>
    <w:rsid w:val="00160BBB"/>
    <w:rsid w:val="00160CAA"/>
    <w:rsid w:val="00160DE5"/>
    <w:rsid w:val="00161045"/>
    <w:rsid w:val="0016107A"/>
    <w:rsid w:val="001611BF"/>
    <w:rsid w:val="001612D4"/>
    <w:rsid w:val="00161413"/>
    <w:rsid w:val="00161517"/>
    <w:rsid w:val="00161522"/>
    <w:rsid w:val="00161617"/>
    <w:rsid w:val="001617F0"/>
    <w:rsid w:val="0016199D"/>
    <w:rsid w:val="001619E6"/>
    <w:rsid w:val="00161E6B"/>
    <w:rsid w:val="001620AB"/>
    <w:rsid w:val="001620AE"/>
    <w:rsid w:val="001620D3"/>
    <w:rsid w:val="00162261"/>
    <w:rsid w:val="0016259A"/>
    <w:rsid w:val="00162646"/>
    <w:rsid w:val="001626DC"/>
    <w:rsid w:val="00162ACC"/>
    <w:rsid w:val="00162B46"/>
    <w:rsid w:val="00162CF1"/>
    <w:rsid w:val="00162E73"/>
    <w:rsid w:val="00162EA8"/>
    <w:rsid w:val="00162F1B"/>
    <w:rsid w:val="00162F7A"/>
    <w:rsid w:val="00162FA6"/>
    <w:rsid w:val="0016309A"/>
    <w:rsid w:val="001630A4"/>
    <w:rsid w:val="00163119"/>
    <w:rsid w:val="0016319E"/>
    <w:rsid w:val="001631B0"/>
    <w:rsid w:val="001631F8"/>
    <w:rsid w:val="00163455"/>
    <w:rsid w:val="001634DF"/>
    <w:rsid w:val="00163525"/>
    <w:rsid w:val="001635ED"/>
    <w:rsid w:val="00163687"/>
    <w:rsid w:val="00163767"/>
    <w:rsid w:val="001637AD"/>
    <w:rsid w:val="001638A8"/>
    <w:rsid w:val="001639F9"/>
    <w:rsid w:val="00163A48"/>
    <w:rsid w:val="00163A4D"/>
    <w:rsid w:val="00163A63"/>
    <w:rsid w:val="00163C87"/>
    <w:rsid w:val="00163C90"/>
    <w:rsid w:val="00163E24"/>
    <w:rsid w:val="00163E49"/>
    <w:rsid w:val="001640E4"/>
    <w:rsid w:val="00164278"/>
    <w:rsid w:val="00164450"/>
    <w:rsid w:val="001644F2"/>
    <w:rsid w:val="00164585"/>
    <w:rsid w:val="0016458A"/>
    <w:rsid w:val="001645A5"/>
    <w:rsid w:val="00164623"/>
    <w:rsid w:val="0016463E"/>
    <w:rsid w:val="001646CA"/>
    <w:rsid w:val="00164764"/>
    <w:rsid w:val="0016479F"/>
    <w:rsid w:val="00164802"/>
    <w:rsid w:val="00164887"/>
    <w:rsid w:val="001648C0"/>
    <w:rsid w:val="0016490A"/>
    <w:rsid w:val="00164A3E"/>
    <w:rsid w:val="00164A77"/>
    <w:rsid w:val="00164D4E"/>
    <w:rsid w:val="00164D63"/>
    <w:rsid w:val="00164D84"/>
    <w:rsid w:val="00164D8E"/>
    <w:rsid w:val="00164DCA"/>
    <w:rsid w:val="00164FB1"/>
    <w:rsid w:val="0016519F"/>
    <w:rsid w:val="0016554B"/>
    <w:rsid w:val="00165570"/>
    <w:rsid w:val="00165587"/>
    <w:rsid w:val="00165831"/>
    <w:rsid w:val="001658A6"/>
    <w:rsid w:val="00165916"/>
    <w:rsid w:val="00165944"/>
    <w:rsid w:val="00165ACF"/>
    <w:rsid w:val="00165B0F"/>
    <w:rsid w:val="00165B3C"/>
    <w:rsid w:val="00165BCE"/>
    <w:rsid w:val="00165C3F"/>
    <w:rsid w:val="00165D6B"/>
    <w:rsid w:val="00166008"/>
    <w:rsid w:val="00166029"/>
    <w:rsid w:val="001661FA"/>
    <w:rsid w:val="00166248"/>
    <w:rsid w:val="001662B7"/>
    <w:rsid w:val="001663D5"/>
    <w:rsid w:val="00166482"/>
    <w:rsid w:val="00166509"/>
    <w:rsid w:val="0016656A"/>
    <w:rsid w:val="001667D6"/>
    <w:rsid w:val="001667E8"/>
    <w:rsid w:val="0016684A"/>
    <w:rsid w:val="0016694D"/>
    <w:rsid w:val="00166ABE"/>
    <w:rsid w:val="00166D7D"/>
    <w:rsid w:val="00166F72"/>
    <w:rsid w:val="00167036"/>
    <w:rsid w:val="0016703A"/>
    <w:rsid w:val="001670EB"/>
    <w:rsid w:val="00167302"/>
    <w:rsid w:val="0016734C"/>
    <w:rsid w:val="0016741D"/>
    <w:rsid w:val="00167462"/>
    <w:rsid w:val="00167482"/>
    <w:rsid w:val="00167491"/>
    <w:rsid w:val="00167564"/>
    <w:rsid w:val="0016767D"/>
    <w:rsid w:val="001676D5"/>
    <w:rsid w:val="00167821"/>
    <w:rsid w:val="00167920"/>
    <w:rsid w:val="00167B0C"/>
    <w:rsid w:val="00167B3F"/>
    <w:rsid w:val="00167C50"/>
    <w:rsid w:val="0017008C"/>
    <w:rsid w:val="001700FC"/>
    <w:rsid w:val="0017030C"/>
    <w:rsid w:val="001704C8"/>
    <w:rsid w:val="001704E6"/>
    <w:rsid w:val="00170500"/>
    <w:rsid w:val="00170572"/>
    <w:rsid w:val="00170700"/>
    <w:rsid w:val="0017074B"/>
    <w:rsid w:val="0017088A"/>
    <w:rsid w:val="00170A29"/>
    <w:rsid w:val="00170A99"/>
    <w:rsid w:val="00170AB1"/>
    <w:rsid w:val="00170CB3"/>
    <w:rsid w:val="00170D69"/>
    <w:rsid w:val="00170EAE"/>
    <w:rsid w:val="001710C0"/>
    <w:rsid w:val="00171125"/>
    <w:rsid w:val="001713AD"/>
    <w:rsid w:val="001713EB"/>
    <w:rsid w:val="00171445"/>
    <w:rsid w:val="0017145C"/>
    <w:rsid w:val="0017153B"/>
    <w:rsid w:val="001715F1"/>
    <w:rsid w:val="00171823"/>
    <w:rsid w:val="0017185A"/>
    <w:rsid w:val="001718DD"/>
    <w:rsid w:val="001718EC"/>
    <w:rsid w:val="00171951"/>
    <w:rsid w:val="00171970"/>
    <w:rsid w:val="001719FA"/>
    <w:rsid w:val="00171B78"/>
    <w:rsid w:val="00171BD3"/>
    <w:rsid w:val="00171CAF"/>
    <w:rsid w:val="00171CC8"/>
    <w:rsid w:val="00171E23"/>
    <w:rsid w:val="0017212F"/>
    <w:rsid w:val="0017217A"/>
    <w:rsid w:val="00172199"/>
    <w:rsid w:val="001721FF"/>
    <w:rsid w:val="0017228F"/>
    <w:rsid w:val="00172440"/>
    <w:rsid w:val="0017244D"/>
    <w:rsid w:val="00172473"/>
    <w:rsid w:val="0017276C"/>
    <w:rsid w:val="001727BD"/>
    <w:rsid w:val="0017293A"/>
    <w:rsid w:val="001729A2"/>
    <w:rsid w:val="00172ABA"/>
    <w:rsid w:val="00172AC6"/>
    <w:rsid w:val="00172B3E"/>
    <w:rsid w:val="00172BFC"/>
    <w:rsid w:val="00172C5E"/>
    <w:rsid w:val="00172C84"/>
    <w:rsid w:val="00172C89"/>
    <w:rsid w:val="00172EA1"/>
    <w:rsid w:val="00172EBB"/>
    <w:rsid w:val="001730D3"/>
    <w:rsid w:val="001733AF"/>
    <w:rsid w:val="0017348B"/>
    <w:rsid w:val="00173697"/>
    <w:rsid w:val="0017374A"/>
    <w:rsid w:val="0017374B"/>
    <w:rsid w:val="001737C4"/>
    <w:rsid w:val="00173845"/>
    <w:rsid w:val="00173942"/>
    <w:rsid w:val="00173A63"/>
    <w:rsid w:val="00173DA6"/>
    <w:rsid w:val="00173FBC"/>
    <w:rsid w:val="00174259"/>
    <w:rsid w:val="00174358"/>
    <w:rsid w:val="00174376"/>
    <w:rsid w:val="00174513"/>
    <w:rsid w:val="0017456D"/>
    <w:rsid w:val="001745C1"/>
    <w:rsid w:val="001746D2"/>
    <w:rsid w:val="001747D6"/>
    <w:rsid w:val="0017483D"/>
    <w:rsid w:val="0017492B"/>
    <w:rsid w:val="00174996"/>
    <w:rsid w:val="00174A28"/>
    <w:rsid w:val="00174AAD"/>
    <w:rsid w:val="00174E7D"/>
    <w:rsid w:val="00174E94"/>
    <w:rsid w:val="00174EC2"/>
    <w:rsid w:val="00174F89"/>
    <w:rsid w:val="0017506E"/>
    <w:rsid w:val="00175156"/>
    <w:rsid w:val="0017550B"/>
    <w:rsid w:val="00175578"/>
    <w:rsid w:val="001755A4"/>
    <w:rsid w:val="00175631"/>
    <w:rsid w:val="001757D3"/>
    <w:rsid w:val="001758A6"/>
    <w:rsid w:val="00175912"/>
    <w:rsid w:val="001759CF"/>
    <w:rsid w:val="00175AD6"/>
    <w:rsid w:val="00175BCB"/>
    <w:rsid w:val="00175BE7"/>
    <w:rsid w:val="00175C5B"/>
    <w:rsid w:val="00175F04"/>
    <w:rsid w:val="00176055"/>
    <w:rsid w:val="001760BA"/>
    <w:rsid w:val="001760D1"/>
    <w:rsid w:val="00176222"/>
    <w:rsid w:val="001762FE"/>
    <w:rsid w:val="0017631B"/>
    <w:rsid w:val="0017638C"/>
    <w:rsid w:val="001763BC"/>
    <w:rsid w:val="00176591"/>
    <w:rsid w:val="00176623"/>
    <w:rsid w:val="00176624"/>
    <w:rsid w:val="001769CC"/>
    <w:rsid w:val="00176A4B"/>
    <w:rsid w:val="00176BFB"/>
    <w:rsid w:val="00176D61"/>
    <w:rsid w:val="00176DBF"/>
    <w:rsid w:val="00176DDF"/>
    <w:rsid w:val="00176EFB"/>
    <w:rsid w:val="00176FD4"/>
    <w:rsid w:val="001770AC"/>
    <w:rsid w:val="0017726B"/>
    <w:rsid w:val="0017758D"/>
    <w:rsid w:val="0017759D"/>
    <w:rsid w:val="0017774D"/>
    <w:rsid w:val="001779E0"/>
    <w:rsid w:val="00177A33"/>
    <w:rsid w:val="00177A51"/>
    <w:rsid w:val="00177A8D"/>
    <w:rsid w:val="00177C51"/>
    <w:rsid w:val="00177C9B"/>
    <w:rsid w:val="00177C9C"/>
    <w:rsid w:val="00177CC3"/>
    <w:rsid w:val="00177D36"/>
    <w:rsid w:val="00177D37"/>
    <w:rsid w:val="00177E41"/>
    <w:rsid w:val="00177FD9"/>
    <w:rsid w:val="00180047"/>
    <w:rsid w:val="0018006B"/>
    <w:rsid w:val="0018007E"/>
    <w:rsid w:val="00180429"/>
    <w:rsid w:val="001804BF"/>
    <w:rsid w:val="001804C3"/>
    <w:rsid w:val="00180553"/>
    <w:rsid w:val="001806AB"/>
    <w:rsid w:val="001806D9"/>
    <w:rsid w:val="00180728"/>
    <w:rsid w:val="00180744"/>
    <w:rsid w:val="00180799"/>
    <w:rsid w:val="0018081E"/>
    <w:rsid w:val="0018094A"/>
    <w:rsid w:val="00180B44"/>
    <w:rsid w:val="00180C3A"/>
    <w:rsid w:val="00180CAA"/>
    <w:rsid w:val="00180CE6"/>
    <w:rsid w:val="00180DDA"/>
    <w:rsid w:val="00180E09"/>
    <w:rsid w:val="00180E3F"/>
    <w:rsid w:val="00180F05"/>
    <w:rsid w:val="00181086"/>
    <w:rsid w:val="001811F2"/>
    <w:rsid w:val="001813B1"/>
    <w:rsid w:val="00181691"/>
    <w:rsid w:val="0018172A"/>
    <w:rsid w:val="0018176F"/>
    <w:rsid w:val="0018196E"/>
    <w:rsid w:val="00181AB1"/>
    <w:rsid w:val="00181CDC"/>
    <w:rsid w:val="00181D91"/>
    <w:rsid w:val="00181EE2"/>
    <w:rsid w:val="00181F9D"/>
    <w:rsid w:val="001820CF"/>
    <w:rsid w:val="00182175"/>
    <w:rsid w:val="001821DF"/>
    <w:rsid w:val="001823B7"/>
    <w:rsid w:val="00182609"/>
    <w:rsid w:val="001827B5"/>
    <w:rsid w:val="00182B92"/>
    <w:rsid w:val="00182BE6"/>
    <w:rsid w:val="00182C26"/>
    <w:rsid w:val="00182D43"/>
    <w:rsid w:val="00182E5B"/>
    <w:rsid w:val="00182F85"/>
    <w:rsid w:val="001830A7"/>
    <w:rsid w:val="00183188"/>
    <w:rsid w:val="001831B6"/>
    <w:rsid w:val="001832CE"/>
    <w:rsid w:val="00183329"/>
    <w:rsid w:val="00183341"/>
    <w:rsid w:val="001834AA"/>
    <w:rsid w:val="00183541"/>
    <w:rsid w:val="00183547"/>
    <w:rsid w:val="001836F0"/>
    <w:rsid w:val="001837EC"/>
    <w:rsid w:val="00183813"/>
    <w:rsid w:val="00183A00"/>
    <w:rsid w:val="00183A66"/>
    <w:rsid w:val="00183ACF"/>
    <w:rsid w:val="00183D61"/>
    <w:rsid w:val="00183D9F"/>
    <w:rsid w:val="00183E3F"/>
    <w:rsid w:val="00183E45"/>
    <w:rsid w:val="001840D5"/>
    <w:rsid w:val="0018411B"/>
    <w:rsid w:val="00184162"/>
    <w:rsid w:val="001841BD"/>
    <w:rsid w:val="001842F5"/>
    <w:rsid w:val="00184304"/>
    <w:rsid w:val="00184419"/>
    <w:rsid w:val="001844F9"/>
    <w:rsid w:val="00184541"/>
    <w:rsid w:val="001845B8"/>
    <w:rsid w:val="001846CC"/>
    <w:rsid w:val="00184770"/>
    <w:rsid w:val="001847B5"/>
    <w:rsid w:val="00184855"/>
    <w:rsid w:val="00184A50"/>
    <w:rsid w:val="00184A73"/>
    <w:rsid w:val="00184A75"/>
    <w:rsid w:val="00184B67"/>
    <w:rsid w:val="00184C82"/>
    <w:rsid w:val="00184DF6"/>
    <w:rsid w:val="00184F57"/>
    <w:rsid w:val="00184FB9"/>
    <w:rsid w:val="00184FF9"/>
    <w:rsid w:val="00185225"/>
    <w:rsid w:val="00185288"/>
    <w:rsid w:val="001853A4"/>
    <w:rsid w:val="001853E4"/>
    <w:rsid w:val="00185481"/>
    <w:rsid w:val="00185698"/>
    <w:rsid w:val="001857DD"/>
    <w:rsid w:val="00185908"/>
    <w:rsid w:val="00185924"/>
    <w:rsid w:val="001859CB"/>
    <w:rsid w:val="00185A39"/>
    <w:rsid w:val="00185AC0"/>
    <w:rsid w:val="00185B98"/>
    <w:rsid w:val="00185C6E"/>
    <w:rsid w:val="00185DBF"/>
    <w:rsid w:val="00185DF9"/>
    <w:rsid w:val="00185F51"/>
    <w:rsid w:val="00185F58"/>
    <w:rsid w:val="00185FE3"/>
    <w:rsid w:val="001860FA"/>
    <w:rsid w:val="001861C8"/>
    <w:rsid w:val="001861DB"/>
    <w:rsid w:val="0018624D"/>
    <w:rsid w:val="001862D9"/>
    <w:rsid w:val="001863C5"/>
    <w:rsid w:val="0018640C"/>
    <w:rsid w:val="0018666E"/>
    <w:rsid w:val="001866B3"/>
    <w:rsid w:val="001866FB"/>
    <w:rsid w:val="00186850"/>
    <w:rsid w:val="001868F1"/>
    <w:rsid w:val="00186932"/>
    <w:rsid w:val="00186A6C"/>
    <w:rsid w:val="00186C35"/>
    <w:rsid w:val="00186ED2"/>
    <w:rsid w:val="00186F75"/>
    <w:rsid w:val="00186F85"/>
    <w:rsid w:val="00187061"/>
    <w:rsid w:val="001874F1"/>
    <w:rsid w:val="0018769C"/>
    <w:rsid w:val="00187717"/>
    <w:rsid w:val="0018772B"/>
    <w:rsid w:val="00187762"/>
    <w:rsid w:val="0018779E"/>
    <w:rsid w:val="00187839"/>
    <w:rsid w:val="00187A97"/>
    <w:rsid w:val="00187C37"/>
    <w:rsid w:val="00187C38"/>
    <w:rsid w:val="00187F7F"/>
    <w:rsid w:val="00187F9D"/>
    <w:rsid w:val="00187FE7"/>
    <w:rsid w:val="001904C2"/>
    <w:rsid w:val="00190535"/>
    <w:rsid w:val="00190544"/>
    <w:rsid w:val="001906A0"/>
    <w:rsid w:val="00190712"/>
    <w:rsid w:val="00190745"/>
    <w:rsid w:val="001907C3"/>
    <w:rsid w:val="001907E5"/>
    <w:rsid w:val="00190881"/>
    <w:rsid w:val="00190926"/>
    <w:rsid w:val="00190983"/>
    <w:rsid w:val="0019099E"/>
    <w:rsid w:val="00190A89"/>
    <w:rsid w:val="00190C1B"/>
    <w:rsid w:val="00190EAD"/>
    <w:rsid w:val="00190FC5"/>
    <w:rsid w:val="00190FEA"/>
    <w:rsid w:val="0019110B"/>
    <w:rsid w:val="00191152"/>
    <w:rsid w:val="001912C4"/>
    <w:rsid w:val="00191358"/>
    <w:rsid w:val="00191381"/>
    <w:rsid w:val="001913BD"/>
    <w:rsid w:val="00191698"/>
    <w:rsid w:val="001918CA"/>
    <w:rsid w:val="001918DA"/>
    <w:rsid w:val="001918FA"/>
    <w:rsid w:val="0019192B"/>
    <w:rsid w:val="001919F9"/>
    <w:rsid w:val="00191B54"/>
    <w:rsid w:val="00191B57"/>
    <w:rsid w:val="00191E45"/>
    <w:rsid w:val="00191EDE"/>
    <w:rsid w:val="00191F30"/>
    <w:rsid w:val="0019202B"/>
    <w:rsid w:val="00192083"/>
    <w:rsid w:val="00192181"/>
    <w:rsid w:val="0019225B"/>
    <w:rsid w:val="0019254A"/>
    <w:rsid w:val="001927EC"/>
    <w:rsid w:val="0019284D"/>
    <w:rsid w:val="0019297F"/>
    <w:rsid w:val="00192B5D"/>
    <w:rsid w:val="00192D15"/>
    <w:rsid w:val="00192EA5"/>
    <w:rsid w:val="00192ED6"/>
    <w:rsid w:val="00192F1D"/>
    <w:rsid w:val="00192F36"/>
    <w:rsid w:val="00193095"/>
    <w:rsid w:val="0019310F"/>
    <w:rsid w:val="00193176"/>
    <w:rsid w:val="00193271"/>
    <w:rsid w:val="0019333A"/>
    <w:rsid w:val="001934D2"/>
    <w:rsid w:val="001936E0"/>
    <w:rsid w:val="0019381A"/>
    <w:rsid w:val="00193A1B"/>
    <w:rsid w:val="00193A71"/>
    <w:rsid w:val="00193ACB"/>
    <w:rsid w:val="00193C58"/>
    <w:rsid w:val="00193D0D"/>
    <w:rsid w:val="00193FDF"/>
    <w:rsid w:val="00193FEE"/>
    <w:rsid w:val="00194002"/>
    <w:rsid w:val="00194050"/>
    <w:rsid w:val="001942BD"/>
    <w:rsid w:val="001942C5"/>
    <w:rsid w:val="0019433F"/>
    <w:rsid w:val="00194416"/>
    <w:rsid w:val="00194448"/>
    <w:rsid w:val="001944F5"/>
    <w:rsid w:val="0019471A"/>
    <w:rsid w:val="00194819"/>
    <w:rsid w:val="00194862"/>
    <w:rsid w:val="001948D3"/>
    <w:rsid w:val="00194927"/>
    <w:rsid w:val="00194A44"/>
    <w:rsid w:val="00194B01"/>
    <w:rsid w:val="00194BC4"/>
    <w:rsid w:val="00194C0F"/>
    <w:rsid w:val="00194D09"/>
    <w:rsid w:val="00194D24"/>
    <w:rsid w:val="00194D4D"/>
    <w:rsid w:val="00194E18"/>
    <w:rsid w:val="00195020"/>
    <w:rsid w:val="00195048"/>
    <w:rsid w:val="001951E7"/>
    <w:rsid w:val="001952E3"/>
    <w:rsid w:val="001952F6"/>
    <w:rsid w:val="00195326"/>
    <w:rsid w:val="00195448"/>
    <w:rsid w:val="0019572C"/>
    <w:rsid w:val="0019573A"/>
    <w:rsid w:val="001958EF"/>
    <w:rsid w:val="001959E3"/>
    <w:rsid w:val="00195A86"/>
    <w:rsid w:val="00195B78"/>
    <w:rsid w:val="00195BBC"/>
    <w:rsid w:val="00195BF0"/>
    <w:rsid w:val="00195CC9"/>
    <w:rsid w:val="00195DFA"/>
    <w:rsid w:val="00195E58"/>
    <w:rsid w:val="00195F3B"/>
    <w:rsid w:val="00195FF0"/>
    <w:rsid w:val="0019605F"/>
    <w:rsid w:val="001960C4"/>
    <w:rsid w:val="001960DD"/>
    <w:rsid w:val="001961F3"/>
    <w:rsid w:val="001962AC"/>
    <w:rsid w:val="0019648F"/>
    <w:rsid w:val="001964B2"/>
    <w:rsid w:val="001967F1"/>
    <w:rsid w:val="00196801"/>
    <w:rsid w:val="001969CA"/>
    <w:rsid w:val="00196B30"/>
    <w:rsid w:val="00196B6A"/>
    <w:rsid w:val="00196CD3"/>
    <w:rsid w:val="00196D99"/>
    <w:rsid w:val="00196DB5"/>
    <w:rsid w:val="00196F62"/>
    <w:rsid w:val="00197071"/>
    <w:rsid w:val="001970E1"/>
    <w:rsid w:val="001970F7"/>
    <w:rsid w:val="0019739B"/>
    <w:rsid w:val="001973A4"/>
    <w:rsid w:val="001973DF"/>
    <w:rsid w:val="0019758C"/>
    <w:rsid w:val="001975BE"/>
    <w:rsid w:val="00197911"/>
    <w:rsid w:val="00197A14"/>
    <w:rsid w:val="00197AED"/>
    <w:rsid w:val="00197B39"/>
    <w:rsid w:val="00197B5E"/>
    <w:rsid w:val="00197C5F"/>
    <w:rsid w:val="00197E60"/>
    <w:rsid w:val="00197F49"/>
    <w:rsid w:val="001A01BD"/>
    <w:rsid w:val="001A01D1"/>
    <w:rsid w:val="001A036D"/>
    <w:rsid w:val="001A0449"/>
    <w:rsid w:val="001A05E1"/>
    <w:rsid w:val="001A07F0"/>
    <w:rsid w:val="001A0875"/>
    <w:rsid w:val="001A088C"/>
    <w:rsid w:val="001A09E2"/>
    <w:rsid w:val="001A0A2C"/>
    <w:rsid w:val="001A0A89"/>
    <w:rsid w:val="001A0BDA"/>
    <w:rsid w:val="001A0C53"/>
    <w:rsid w:val="001A0D58"/>
    <w:rsid w:val="001A0E71"/>
    <w:rsid w:val="001A0EA5"/>
    <w:rsid w:val="001A1124"/>
    <w:rsid w:val="001A123A"/>
    <w:rsid w:val="001A1364"/>
    <w:rsid w:val="001A14A5"/>
    <w:rsid w:val="001A15C6"/>
    <w:rsid w:val="001A190B"/>
    <w:rsid w:val="001A192E"/>
    <w:rsid w:val="001A1AC4"/>
    <w:rsid w:val="001A1AEA"/>
    <w:rsid w:val="001A1AF0"/>
    <w:rsid w:val="001A1B03"/>
    <w:rsid w:val="001A1B19"/>
    <w:rsid w:val="001A1B4D"/>
    <w:rsid w:val="001A1B9B"/>
    <w:rsid w:val="001A1BF5"/>
    <w:rsid w:val="001A1D20"/>
    <w:rsid w:val="001A1D5C"/>
    <w:rsid w:val="001A1F9A"/>
    <w:rsid w:val="001A2099"/>
    <w:rsid w:val="001A2200"/>
    <w:rsid w:val="001A2205"/>
    <w:rsid w:val="001A231C"/>
    <w:rsid w:val="001A233A"/>
    <w:rsid w:val="001A233D"/>
    <w:rsid w:val="001A268D"/>
    <w:rsid w:val="001A2715"/>
    <w:rsid w:val="001A2845"/>
    <w:rsid w:val="001A28A3"/>
    <w:rsid w:val="001A29DC"/>
    <w:rsid w:val="001A2B00"/>
    <w:rsid w:val="001A2B9A"/>
    <w:rsid w:val="001A2BA3"/>
    <w:rsid w:val="001A2BE0"/>
    <w:rsid w:val="001A2CAE"/>
    <w:rsid w:val="001A2D13"/>
    <w:rsid w:val="001A2D1F"/>
    <w:rsid w:val="001A2F00"/>
    <w:rsid w:val="001A3255"/>
    <w:rsid w:val="001A354A"/>
    <w:rsid w:val="001A3620"/>
    <w:rsid w:val="001A3801"/>
    <w:rsid w:val="001A3925"/>
    <w:rsid w:val="001A3952"/>
    <w:rsid w:val="001A3A66"/>
    <w:rsid w:val="001A3D54"/>
    <w:rsid w:val="001A3D6E"/>
    <w:rsid w:val="001A3E7A"/>
    <w:rsid w:val="001A4163"/>
    <w:rsid w:val="001A43B9"/>
    <w:rsid w:val="001A43CE"/>
    <w:rsid w:val="001A4408"/>
    <w:rsid w:val="001A4559"/>
    <w:rsid w:val="001A4566"/>
    <w:rsid w:val="001A45AE"/>
    <w:rsid w:val="001A45F8"/>
    <w:rsid w:val="001A48A1"/>
    <w:rsid w:val="001A48BE"/>
    <w:rsid w:val="001A49B4"/>
    <w:rsid w:val="001A49B8"/>
    <w:rsid w:val="001A4A03"/>
    <w:rsid w:val="001A4A17"/>
    <w:rsid w:val="001A4B33"/>
    <w:rsid w:val="001A4C0C"/>
    <w:rsid w:val="001A4C52"/>
    <w:rsid w:val="001A4C71"/>
    <w:rsid w:val="001A4D18"/>
    <w:rsid w:val="001A4DB9"/>
    <w:rsid w:val="001A4E94"/>
    <w:rsid w:val="001A4F63"/>
    <w:rsid w:val="001A510E"/>
    <w:rsid w:val="001A5303"/>
    <w:rsid w:val="001A53D5"/>
    <w:rsid w:val="001A53F0"/>
    <w:rsid w:val="001A556D"/>
    <w:rsid w:val="001A56D6"/>
    <w:rsid w:val="001A5729"/>
    <w:rsid w:val="001A5A66"/>
    <w:rsid w:val="001A5D11"/>
    <w:rsid w:val="001A5DD2"/>
    <w:rsid w:val="001A5DEB"/>
    <w:rsid w:val="001A5E71"/>
    <w:rsid w:val="001A5E82"/>
    <w:rsid w:val="001A5EA5"/>
    <w:rsid w:val="001A5EBE"/>
    <w:rsid w:val="001A6022"/>
    <w:rsid w:val="001A6142"/>
    <w:rsid w:val="001A6196"/>
    <w:rsid w:val="001A6327"/>
    <w:rsid w:val="001A6406"/>
    <w:rsid w:val="001A660D"/>
    <w:rsid w:val="001A662F"/>
    <w:rsid w:val="001A66D6"/>
    <w:rsid w:val="001A683E"/>
    <w:rsid w:val="001A68DD"/>
    <w:rsid w:val="001A696F"/>
    <w:rsid w:val="001A6B4C"/>
    <w:rsid w:val="001A6B7A"/>
    <w:rsid w:val="001A6E07"/>
    <w:rsid w:val="001A6E9A"/>
    <w:rsid w:val="001A6EC7"/>
    <w:rsid w:val="001A6F0E"/>
    <w:rsid w:val="001A7308"/>
    <w:rsid w:val="001A73DE"/>
    <w:rsid w:val="001A749F"/>
    <w:rsid w:val="001A761A"/>
    <w:rsid w:val="001A7643"/>
    <w:rsid w:val="001A7894"/>
    <w:rsid w:val="001A7980"/>
    <w:rsid w:val="001A7A96"/>
    <w:rsid w:val="001A7AE5"/>
    <w:rsid w:val="001A7BDA"/>
    <w:rsid w:val="001A7DEC"/>
    <w:rsid w:val="001A7E8B"/>
    <w:rsid w:val="001B01B0"/>
    <w:rsid w:val="001B0350"/>
    <w:rsid w:val="001B0429"/>
    <w:rsid w:val="001B06B5"/>
    <w:rsid w:val="001B06ED"/>
    <w:rsid w:val="001B0782"/>
    <w:rsid w:val="001B081B"/>
    <w:rsid w:val="001B09F6"/>
    <w:rsid w:val="001B0BE5"/>
    <w:rsid w:val="001B0C27"/>
    <w:rsid w:val="001B0D16"/>
    <w:rsid w:val="001B0D5C"/>
    <w:rsid w:val="001B0DFF"/>
    <w:rsid w:val="001B0E33"/>
    <w:rsid w:val="001B0E58"/>
    <w:rsid w:val="001B0E81"/>
    <w:rsid w:val="001B1092"/>
    <w:rsid w:val="001B11E5"/>
    <w:rsid w:val="001B12AF"/>
    <w:rsid w:val="001B13C2"/>
    <w:rsid w:val="001B1551"/>
    <w:rsid w:val="001B15C7"/>
    <w:rsid w:val="001B176C"/>
    <w:rsid w:val="001B176D"/>
    <w:rsid w:val="001B1787"/>
    <w:rsid w:val="001B185F"/>
    <w:rsid w:val="001B1968"/>
    <w:rsid w:val="001B1A37"/>
    <w:rsid w:val="001B1ACE"/>
    <w:rsid w:val="001B1B27"/>
    <w:rsid w:val="001B1B9C"/>
    <w:rsid w:val="001B1C28"/>
    <w:rsid w:val="001B1CD7"/>
    <w:rsid w:val="001B1CE9"/>
    <w:rsid w:val="001B1E8B"/>
    <w:rsid w:val="001B1F6B"/>
    <w:rsid w:val="001B1F9F"/>
    <w:rsid w:val="001B20E1"/>
    <w:rsid w:val="001B22AB"/>
    <w:rsid w:val="001B23CF"/>
    <w:rsid w:val="001B23D8"/>
    <w:rsid w:val="001B2420"/>
    <w:rsid w:val="001B24E0"/>
    <w:rsid w:val="001B2618"/>
    <w:rsid w:val="001B2623"/>
    <w:rsid w:val="001B2960"/>
    <w:rsid w:val="001B2A7C"/>
    <w:rsid w:val="001B2B6B"/>
    <w:rsid w:val="001B2B9A"/>
    <w:rsid w:val="001B2BAC"/>
    <w:rsid w:val="001B2C97"/>
    <w:rsid w:val="001B2D0E"/>
    <w:rsid w:val="001B2D23"/>
    <w:rsid w:val="001B2F37"/>
    <w:rsid w:val="001B2F6B"/>
    <w:rsid w:val="001B2FE1"/>
    <w:rsid w:val="001B3286"/>
    <w:rsid w:val="001B3334"/>
    <w:rsid w:val="001B34D7"/>
    <w:rsid w:val="001B37A2"/>
    <w:rsid w:val="001B3805"/>
    <w:rsid w:val="001B3981"/>
    <w:rsid w:val="001B39E5"/>
    <w:rsid w:val="001B3B01"/>
    <w:rsid w:val="001B3BD9"/>
    <w:rsid w:val="001B3C10"/>
    <w:rsid w:val="001B3C5C"/>
    <w:rsid w:val="001B3DBC"/>
    <w:rsid w:val="001B3DF1"/>
    <w:rsid w:val="001B4072"/>
    <w:rsid w:val="001B415F"/>
    <w:rsid w:val="001B4169"/>
    <w:rsid w:val="001B4393"/>
    <w:rsid w:val="001B4486"/>
    <w:rsid w:val="001B468F"/>
    <w:rsid w:val="001B4762"/>
    <w:rsid w:val="001B485A"/>
    <w:rsid w:val="001B4A9B"/>
    <w:rsid w:val="001B4B0C"/>
    <w:rsid w:val="001B4B88"/>
    <w:rsid w:val="001B4D20"/>
    <w:rsid w:val="001B4DAE"/>
    <w:rsid w:val="001B4DB5"/>
    <w:rsid w:val="001B4F0E"/>
    <w:rsid w:val="001B50A3"/>
    <w:rsid w:val="001B50E0"/>
    <w:rsid w:val="001B53F3"/>
    <w:rsid w:val="001B56FE"/>
    <w:rsid w:val="001B5765"/>
    <w:rsid w:val="001B57B2"/>
    <w:rsid w:val="001B5836"/>
    <w:rsid w:val="001B5AE6"/>
    <w:rsid w:val="001B5D3E"/>
    <w:rsid w:val="001B5D87"/>
    <w:rsid w:val="001B5E55"/>
    <w:rsid w:val="001B5FC6"/>
    <w:rsid w:val="001B5FED"/>
    <w:rsid w:val="001B6095"/>
    <w:rsid w:val="001B6204"/>
    <w:rsid w:val="001B623D"/>
    <w:rsid w:val="001B626D"/>
    <w:rsid w:val="001B6297"/>
    <w:rsid w:val="001B62B6"/>
    <w:rsid w:val="001B6425"/>
    <w:rsid w:val="001B6442"/>
    <w:rsid w:val="001B6523"/>
    <w:rsid w:val="001B6579"/>
    <w:rsid w:val="001B665E"/>
    <w:rsid w:val="001B6668"/>
    <w:rsid w:val="001B667B"/>
    <w:rsid w:val="001B67EE"/>
    <w:rsid w:val="001B69E5"/>
    <w:rsid w:val="001B6EA6"/>
    <w:rsid w:val="001B6ED1"/>
    <w:rsid w:val="001B6EE1"/>
    <w:rsid w:val="001B6F90"/>
    <w:rsid w:val="001B6FD7"/>
    <w:rsid w:val="001B7089"/>
    <w:rsid w:val="001B711F"/>
    <w:rsid w:val="001B7183"/>
    <w:rsid w:val="001B71CD"/>
    <w:rsid w:val="001B7235"/>
    <w:rsid w:val="001B7261"/>
    <w:rsid w:val="001B7420"/>
    <w:rsid w:val="001B7763"/>
    <w:rsid w:val="001B7799"/>
    <w:rsid w:val="001B7B0E"/>
    <w:rsid w:val="001B7B27"/>
    <w:rsid w:val="001B7B9D"/>
    <w:rsid w:val="001B7DCC"/>
    <w:rsid w:val="001B7EAC"/>
    <w:rsid w:val="001B7F5A"/>
    <w:rsid w:val="001C0285"/>
    <w:rsid w:val="001C02D3"/>
    <w:rsid w:val="001C031C"/>
    <w:rsid w:val="001C0347"/>
    <w:rsid w:val="001C078F"/>
    <w:rsid w:val="001C07EE"/>
    <w:rsid w:val="001C083F"/>
    <w:rsid w:val="001C08A7"/>
    <w:rsid w:val="001C0A55"/>
    <w:rsid w:val="001C0AA1"/>
    <w:rsid w:val="001C0AA3"/>
    <w:rsid w:val="001C0FCE"/>
    <w:rsid w:val="001C102C"/>
    <w:rsid w:val="001C10F1"/>
    <w:rsid w:val="001C11A6"/>
    <w:rsid w:val="001C1217"/>
    <w:rsid w:val="001C122F"/>
    <w:rsid w:val="001C1273"/>
    <w:rsid w:val="001C141C"/>
    <w:rsid w:val="001C144C"/>
    <w:rsid w:val="001C156F"/>
    <w:rsid w:val="001C15B7"/>
    <w:rsid w:val="001C15D4"/>
    <w:rsid w:val="001C160D"/>
    <w:rsid w:val="001C171B"/>
    <w:rsid w:val="001C1888"/>
    <w:rsid w:val="001C196C"/>
    <w:rsid w:val="001C1A49"/>
    <w:rsid w:val="001C1B3C"/>
    <w:rsid w:val="001C1C67"/>
    <w:rsid w:val="001C1E0E"/>
    <w:rsid w:val="001C1F98"/>
    <w:rsid w:val="001C2070"/>
    <w:rsid w:val="001C20BA"/>
    <w:rsid w:val="001C20C4"/>
    <w:rsid w:val="001C2215"/>
    <w:rsid w:val="001C22B6"/>
    <w:rsid w:val="001C2336"/>
    <w:rsid w:val="001C233F"/>
    <w:rsid w:val="001C2457"/>
    <w:rsid w:val="001C2536"/>
    <w:rsid w:val="001C25A9"/>
    <w:rsid w:val="001C2641"/>
    <w:rsid w:val="001C2663"/>
    <w:rsid w:val="001C2728"/>
    <w:rsid w:val="001C2744"/>
    <w:rsid w:val="001C28C9"/>
    <w:rsid w:val="001C28D4"/>
    <w:rsid w:val="001C2A81"/>
    <w:rsid w:val="001C2C3B"/>
    <w:rsid w:val="001C2CAD"/>
    <w:rsid w:val="001C2D67"/>
    <w:rsid w:val="001C2DB3"/>
    <w:rsid w:val="001C2F58"/>
    <w:rsid w:val="001C3123"/>
    <w:rsid w:val="001C316C"/>
    <w:rsid w:val="001C3224"/>
    <w:rsid w:val="001C3247"/>
    <w:rsid w:val="001C3335"/>
    <w:rsid w:val="001C33D3"/>
    <w:rsid w:val="001C3503"/>
    <w:rsid w:val="001C3566"/>
    <w:rsid w:val="001C361E"/>
    <w:rsid w:val="001C36EE"/>
    <w:rsid w:val="001C3730"/>
    <w:rsid w:val="001C3AC0"/>
    <w:rsid w:val="001C3B51"/>
    <w:rsid w:val="001C3B8D"/>
    <w:rsid w:val="001C3BCC"/>
    <w:rsid w:val="001C3C18"/>
    <w:rsid w:val="001C3E49"/>
    <w:rsid w:val="001C3E95"/>
    <w:rsid w:val="001C3F12"/>
    <w:rsid w:val="001C401E"/>
    <w:rsid w:val="001C405E"/>
    <w:rsid w:val="001C41AD"/>
    <w:rsid w:val="001C42DB"/>
    <w:rsid w:val="001C4351"/>
    <w:rsid w:val="001C44F8"/>
    <w:rsid w:val="001C44FF"/>
    <w:rsid w:val="001C4512"/>
    <w:rsid w:val="001C4567"/>
    <w:rsid w:val="001C467C"/>
    <w:rsid w:val="001C4852"/>
    <w:rsid w:val="001C4B26"/>
    <w:rsid w:val="001C4BDC"/>
    <w:rsid w:val="001C4CD4"/>
    <w:rsid w:val="001C4F9C"/>
    <w:rsid w:val="001C4FC2"/>
    <w:rsid w:val="001C500D"/>
    <w:rsid w:val="001C5061"/>
    <w:rsid w:val="001C5082"/>
    <w:rsid w:val="001C5162"/>
    <w:rsid w:val="001C5334"/>
    <w:rsid w:val="001C53CA"/>
    <w:rsid w:val="001C5414"/>
    <w:rsid w:val="001C5557"/>
    <w:rsid w:val="001C59D0"/>
    <w:rsid w:val="001C5A8B"/>
    <w:rsid w:val="001C5DC0"/>
    <w:rsid w:val="001C5F00"/>
    <w:rsid w:val="001C5FD1"/>
    <w:rsid w:val="001C601B"/>
    <w:rsid w:val="001C60DD"/>
    <w:rsid w:val="001C61EC"/>
    <w:rsid w:val="001C63D5"/>
    <w:rsid w:val="001C642A"/>
    <w:rsid w:val="001C64A4"/>
    <w:rsid w:val="001C64D0"/>
    <w:rsid w:val="001C6525"/>
    <w:rsid w:val="001C65B6"/>
    <w:rsid w:val="001C6600"/>
    <w:rsid w:val="001C686B"/>
    <w:rsid w:val="001C69A6"/>
    <w:rsid w:val="001C6B48"/>
    <w:rsid w:val="001C6B78"/>
    <w:rsid w:val="001C6CA6"/>
    <w:rsid w:val="001C6D4E"/>
    <w:rsid w:val="001C6DB9"/>
    <w:rsid w:val="001C6E74"/>
    <w:rsid w:val="001C6EDE"/>
    <w:rsid w:val="001C6EEC"/>
    <w:rsid w:val="001C6F97"/>
    <w:rsid w:val="001C71A9"/>
    <w:rsid w:val="001C71AD"/>
    <w:rsid w:val="001C732B"/>
    <w:rsid w:val="001C7518"/>
    <w:rsid w:val="001C7558"/>
    <w:rsid w:val="001C7583"/>
    <w:rsid w:val="001C7666"/>
    <w:rsid w:val="001C778B"/>
    <w:rsid w:val="001C779B"/>
    <w:rsid w:val="001C7818"/>
    <w:rsid w:val="001C78C7"/>
    <w:rsid w:val="001C79D9"/>
    <w:rsid w:val="001C7ABB"/>
    <w:rsid w:val="001C7BE6"/>
    <w:rsid w:val="001C7E54"/>
    <w:rsid w:val="001C7EB1"/>
    <w:rsid w:val="001C7F05"/>
    <w:rsid w:val="001C7F18"/>
    <w:rsid w:val="001C7FC4"/>
    <w:rsid w:val="001D009F"/>
    <w:rsid w:val="001D011D"/>
    <w:rsid w:val="001D020D"/>
    <w:rsid w:val="001D0285"/>
    <w:rsid w:val="001D02B3"/>
    <w:rsid w:val="001D02CF"/>
    <w:rsid w:val="001D0359"/>
    <w:rsid w:val="001D0390"/>
    <w:rsid w:val="001D03C5"/>
    <w:rsid w:val="001D041D"/>
    <w:rsid w:val="001D04BA"/>
    <w:rsid w:val="001D051A"/>
    <w:rsid w:val="001D0575"/>
    <w:rsid w:val="001D05ED"/>
    <w:rsid w:val="001D07E4"/>
    <w:rsid w:val="001D0899"/>
    <w:rsid w:val="001D09A5"/>
    <w:rsid w:val="001D0ADE"/>
    <w:rsid w:val="001D0BB4"/>
    <w:rsid w:val="001D0DC0"/>
    <w:rsid w:val="001D0FC8"/>
    <w:rsid w:val="001D11CB"/>
    <w:rsid w:val="001D124D"/>
    <w:rsid w:val="001D131F"/>
    <w:rsid w:val="001D134B"/>
    <w:rsid w:val="001D13BB"/>
    <w:rsid w:val="001D144D"/>
    <w:rsid w:val="001D1480"/>
    <w:rsid w:val="001D1570"/>
    <w:rsid w:val="001D17A5"/>
    <w:rsid w:val="001D1869"/>
    <w:rsid w:val="001D18A2"/>
    <w:rsid w:val="001D1A33"/>
    <w:rsid w:val="001D1AC4"/>
    <w:rsid w:val="001D1D1E"/>
    <w:rsid w:val="001D1D48"/>
    <w:rsid w:val="001D1FA4"/>
    <w:rsid w:val="001D200E"/>
    <w:rsid w:val="001D2066"/>
    <w:rsid w:val="001D20DE"/>
    <w:rsid w:val="001D2116"/>
    <w:rsid w:val="001D2308"/>
    <w:rsid w:val="001D232C"/>
    <w:rsid w:val="001D2330"/>
    <w:rsid w:val="001D2500"/>
    <w:rsid w:val="001D2583"/>
    <w:rsid w:val="001D2634"/>
    <w:rsid w:val="001D2696"/>
    <w:rsid w:val="001D28F8"/>
    <w:rsid w:val="001D2BA7"/>
    <w:rsid w:val="001D2D19"/>
    <w:rsid w:val="001D2D78"/>
    <w:rsid w:val="001D2DC6"/>
    <w:rsid w:val="001D2DD1"/>
    <w:rsid w:val="001D2E03"/>
    <w:rsid w:val="001D2E4B"/>
    <w:rsid w:val="001D2F19"/>
    <w:rsid w:val="001D2FC9"/>
    <w:rsid w:val="001D2FDA"/>
    <w:rsid w:val="001D32D7"/>
    <w:rsid w:val="001D335E"/>
    <w:rsid w:val="001D3441"/>
    <w:rsid w:val="001D3508"/>
    <w:rsid w:val="001D354D"/>
    <w:rsid w:val="001D3664"/>
    <w:rsid w:val="001D3C91"/>
    <w:rsid w:val="001D3CD1"/>
    <w:rsid w:val="001D3DC2"/>
    <w:rsid w:val="001D3E8C"/>
    <w:rsid w:val="001D40F8"/>
    <w:rsid w:val="001D4105"/>
    <w:rsid w:val="001D4125"/>
    <w:rsid w:val="001D424D"/>
    <w:rsid w:val="001D4259"/>
    <w:rsid w:val="001D432D"/>
    <w:rsid w:val="001D4394"/>
    <w:rsid w:val="001D462E"/>
    <w:rsid w:val="001D471E"/>
    <w:rsid w:val="001D484B"/>
    <w:rsid w:val="001D484E"/>
    <w:rsid w:val="001D4CE1"/>
    <w:rsid w:val="001D4D34"/>
    <w:rsid w:val="001D4D39"/>
    <w:rsid w:val="001D4E32"/>
    <w:rsid w:val="001D4F37"/>
    <w:rsid w:val="001D4FE0"/>
    <w:rsid w:val="001D5180"/>
    <w:rsid w:val="001D51B6"/>
    <w:rsid w:val="001D51C9"/>
    <w:rsid w:val="001D5292"/>
    <w:rsid w:val="001D5384"/>
    <w:rsid w:val="001D53D8"/>
    <w:rsid w:val="001D5436"/>
    <w:rsid w:val="001D5477"/>
    <w:rsid w:val="001D55BD"/>
    <w:rsid w:val="001D57C7"/>
    <w:rsid w:val="001D58DF"/>
    <w:rsid w:val="001D5BE0"/>
    <w:rsid w:val="001D5CF3"/>
    <w:rsid w:val="001D5E0B"/>
    <w:rsid w:val="001D5E5E"/>
    <w:rsid w:val="001D5F35"/>
    <w:rsid w:val="001D5F91"/>
    <w:rsid w:val="001D608E"/>
    <w:rsid w:val="001D60A9"/>
    <w:rsid w:val="001D623F"/>
    <w:rsid w:val="001D62A1"/>
    <w:rsid w:val="001D62C8"/>
    <w:rsid w:val="001D6397"/>
    <w:rsid w:val="001D645D"/>
    <w:rsid w:val="001D6539"/>
    <w:rsid w:val="001D6603"/>
    <w:rsid w:val="001D66CC"/>
    <w:rsid w:val="001D68BC"/>
    <w:rsid w:val="001D696E"/>
    <w:rsid w:val="001D69C0"/>
    <w:rsid w:val="001D6B7E"/>
    <w:rsid w:val="001D6B86"/>
    <w:rsid w:val="001D6CF3"/>
    <w:rsid w:val="001D6DC5"/>
    <w:rsid w:val="001D6DDD"/>
    <w:rsid w:val="001D6ECD"/>
    <w:rsid w:val="001D6F58"/>
    <w:rsid w:val="001D6FA6"/>
    <w:rsid w:val="001D72DF"/>
    <w:rsid w:val="001D7496"/>
    <w:rsid w:val="001D75C5"/>
    <w:rsid w:val="001D75FF"/>
    <w:rsid w:val="001D768A"/>
    <w:rsid w:val="001D76A6"/>
    <w:rsid w:val="001D7712"/>
    <w:rsid w:val="001D7783"/>
    <w:rsid w:val="001D7869"/>
    <w:rsid w:val="001D78A6"/>
    <w:rsid w:val="001D7927"/>
    <w:rsid w:val="001D796B"/>
    <w:rsid w:val="001D7B21"/>
    <w:rsid w:val="001D7BA7"/>
    <w:rsid w:val="001D7CE4"/>
    <w:rsid w:val="001D7F52"/>
    <w:rsid w:val="001D7F8F"/>
    <w:rsid w:val="001D7FB7"/>
    <w:rsid w:val="001D7FF6"/>
    <w:rsid w:val="001E01AF"/>
    <w:rsid w:val="001E0326"/>
    <w:rsid w:val="001E0371"/>
    <w:rsid w:val="001E03A1"/>
    <w:rsid w:val="001E0650"/>
    <w:rsid w:val="001E0652"/>
    <w:rsid w:val="001E0885"/>
    <w:rsid w:val="001E0949"/>
    <w:rsid w:val="001E0984"/>
    <w:rsid w:val="001E09D7"/>
    <w:rsid w:val="001E0D8E"/>
    <w:rsid w:val="001E0F17"/>
    <w:rsid w:val="001E1098"/>
    <w:rsid w:val="001E109E"/>
    <w:rsid w:val="001E10A5"/>
    <w:rsid w:val="001E11EB"/>
    <w:rsid w:val="001E1252"/>
    <w:rsid w:val="001E13F0"/>
    <w:rsid w:val="001E1428"/>
    <w:rsid w:val="001E16AF"/>
    <w:rsid w:val="001E16BF"/>
    <w:rsid w:val="001E17CE"/>
    <w:rsid w:val="001E1B78"/>
    <w:rsid w:val="001E1B8B"/>
    <w:rsid w:val="001E1BEF"/>
    <w:rsid w:val="001E1D4B"/>
    <w:rsid w:val="001E1D9D"/>
    <w:rsid w:val="001E1E52"/>
    <w:rsid w:val="001E1E8E"/>
    <w:rsid w:val="001E1EAB"/>
    <w:rsid w:val="001E1F14"/>
    <w:rsid w:val="001E20F8"/>
    <w:rsid w:val="001E2100"/>
    <w:rsid w:val="001E211C"/>
    <w:rsid w:val="001E2147"/>
    <w:rsid w:val="001E2285"/>
    <w:rsid w:val="001E2369"/>
    <w:rsid w:val="001E2832"/>
    <w:rsid w:val="001E28EE"/>
    <w:rsid w:val="001E293B"/>
    <w:rsid w:val="001E2944"/>
    <w:rsid w:val="001E2B02"/>
    <w:rsid w:val="001E2C41"/>
    <w:rsid w:val="001E2C48"/>
    <w:rsid w:val="001E2F0E"/>
    <w:rsid w:val="001E300C"/>
    <w:rsid w:val="001E3082"/>
    <w:rsid w:val="001E30C6"/>
    <w:rsid w:val="001E30DE"/>
    <w:rsid w:val="001E3126"/>
    <w:rsid w:val="001E3146"/>
    <w:rsid w:val="001E35DE"/>
    <w:rsid w:val="001E3709"/>
    <w:rsid w:val="001E38C8"/>
    <w:rsid w:val="001E3993"/>
    <w:rsid w:val="001E3A4E"/>
    <w:rsid w:val="001E3B4F"/>
    <w:rsid w:val="001E3B8A"/>
    <w:rsid w:val="001E3C29"/>
    <w:rsid w:val="001E3C54"/>
    <w:rsid w:val="001E3CCC"/>
    <w:rsid w:val="001E3D0A"/>
    <w:rsid w:val="001E3D1D"/>
    <w:rsid w:val="001E3E2D"/>
    <w:rsid w:val="001E3E58"/>
    <w:rsid w:val="001E42B8"/>
    <w:rsid w:val="001E43D9"/>
    <w:rsid w:val="001E43EF"/>
    <w:rsid w:val="001E44CE"/>
    <w:rsid w:val="001E4532"/>
    <w:rsid w:val="001E4661"/>
    <w:rsid w:val="001E4681"/>
    <w:rsid w:val="001E4704"/>
    <w:rsid w:val="001E4850"/>
    <w:rsid w:val="001E4857"/>
    <w:rsid w:val="001E4938"/>
    <w:rsid w:val="001E4959"/>
    <w:rsid w:val="001E49CF"/>
    <w:rsid w:val="001E49EB"/>
    <w:rsid w:val="001E4CCE"/>
    <w:rsid w:val="001E4D33"/>
    <w:rsid w:val="001E4F69"/>
    <w:rsid w:val="001E5017"/>
    <w:rsid w:val="001E505D"/>
    <w:rsid w:val="001E509D"/>
    <w:rsid w:val="001E50E2"/>
    <w:rsid w:val="001E51AB"/>
    <w:rsid w:val="001E54AB"/>
    <w:rsid w:val="001E5545"/>
    <w:rsid w:val="001E5567"/>
    <w:rsid w:val="001E5574"/>
    <w:rsid w:val="001E5735"/>
    <w:rsid w:val="001E5801"/>
    <w:rsid w:val="001E5837"/>
    <w:rsid w:val="001E58AF"/>
    <w:rsid w:val="001E58BF"/>
    <w:rsid w:val="001E59B0"/>
    <w:rsid w:val="001E59C3"/>
    <w:rsid w:val="001E5DB0"/>
    <w:rsid w:val="001E5DB2"/>
    <w:rsid w:val="001E5DEF"/>
    <w:rsid w:val="001E5E47"/>
    <w:rsid w:val="001E6032"/>
    <w:rsid w:val="001E6060"/>
    <w:rsid w:val="001E6132"/>
    <w:rsid w:val="001E632B"/>
    <w:rsid w:val="001E6531"/>
    <w:rsid w:val="001E654C"/>
    <w:rsid w:val="001E6557"/>
    <w:rsid w:val="001E6685"/>
    <w:rsid w:val="001E679E"/>
    <w:rsid w:val="001E67C0"/>
    <w:rsid w:val="001E682B"/>
    <w:rsid w:val="001E6834"/>
    <w:rsid w:val="001E68D3"/>
    <w:rsid w:val="001E6A25"/>
    <w:rsid w:val="001E6BF9"/>
    <w:rsid w:val="001E6F97"/>
    <w:rsid w:val="001E700F"/>
    <w:rsid w:val="001E701F"/>
    <w:rsid w:val="001E7028"/>
    <w:rsid w:val="001E713F"/>
    <w:rsid w:val="001E73C0"/>
    <w:rsid w:val="001E759A"/>
    <w:rsid w:val="001E75E4"/>
    <w:rsid w:val="001E7642"/>
    <w:rsid w:val="001E76AD"/>
    <w:rsid w:val="001E7839"/>
    <w:rsid w:val="001E78B2"/>
    <w:rsid w:val="001E78C4"/>
    <w:rsid w:val="001E7B36"/>
    <w:rsid w:val="001E7CF6"/>
    <w:rsid w:val="001E7D02"/>
    <w:rsid w:val="001E7D09"/>
    <w:rsid w:val="001E7D83"/>
    <w:rsid w:val="001E7E1C"/>
    <w:rsid w:val="001F01AB"/>
    <w:rsid w:val="001F01EC"/>
    <w:rsid w:val="001F02E2"/>
    <w:rsid w:val="001F02ED"/>
    <w:rsid w:val="001F0397"/>
    <w:rsid w:val="001F04A9"/>
    <w:rsid w:val="001F0591"/>
    <w:rsid w:val="001F05BB"/>
    <w:rsid w:val="001F065F"/>
    <w:rsid w:val="001F0895"/>
    <w:rsid w:val="001F09D4"/>
    <w:rsid w:val="001F0AA9"/>
    <w:rsid w:val="001F0B1A"/>
    <w:rsid w:val="001F0C9F"/>
    <w:rsid w:val="001F0CED"/>
    <w:rsid w:val="001F0D1B"/>
    <w:rsid w:val="001F0DB9"/>
    <w:rsid w:val="001F1039"/>
    <w:rsid w:val="001F12AC"/>
    <w:rsid w:val="001F13AB"/>
    <w:rsid w:val="001F14C1"/>
    <w:rsid w:val="001F15B8"/>
    <w:rsid w:val="001F171F"/>
    <w:rsid w:val="001F17F4"/>
    <w:rsid w:val="001F18FF"/>
    <w:rsid w:val="001F192D"/>
    <w:rsid w:val="001F19D6"/>
    <w:rsid w:val="001F1C74"/>
    <w:rsid w:val="001F1CA1"/>
    <w:rsid w:val="001F1D05"/>
    <w:rsid w:val="001F1D9A"/>
    <w:rsid w:val="001F2239"/>
    <w:rsid w:val="001F224D"/>
    <w:rsid w:val="001F22AB"/>
    <w:rsid w:val="001F231F"/>
    <w:rsid w:val="001F2419"/>
    <w:rsid w:val="001F242D"/>
    <w:rsid w:val="001F24E3"/>
    <w:rsid w:val="001F24F0"/>
    <w:rsid w:val="001F25CB"/>
    <w:rsid w:val="001F2672"/>
    <w:rsid w:val="001F27BC"/>
    <w:rsid w:val="001F2805"/>
    <w:rsid w:val="001F2863"/>
    <w:rsid w:val="001F28BE"/>
    <w:rsid w:val="001F2999"/>
    <w:rsid w:val="001F29EA"/>
    <w:rsid w:val="001F2AF4"/>
    <w:rsid w:val="001F2B4D"/>
    <w:rsid w:val="001F2BCC"/>
    <w:rsid w:val="001F2C00"/>
    <w:rsid w:val="001F2CAE"/>
    <w:rsid w:val="001F2EBF"/>
    <w:rsid w:val="001F2F01"/>
    <w:rsid w:val="001F2F36"/>
    <w:rsid w:val="001F30FB"/>
    <w:rsid w:val="001F31D3"/>
    <w:rsid w:val="001F33CA"/>
    <w:rsid w:val="001F3490"/>
    <w:rsid w:val="001F34BF"/>
    <w:rsid w:val="001F34DA"/>
    <w:rsid w:val="001F3541"/>
    <w:rsid w:val="001F36DE"/>
    <w:rsid w:val="001F371F"/>
    <w:rsid w:val="001F37E2"/>
    <w:rsid w:val="001F37ED"/>
    <w:rsid w:val="001F389C"/>
    <w:rsid w:val="001F3BBC"/>
    <w:rsid w:val="001F3C50"/>
    <w:rsid w:val="001F3D35"/>
    <w:rsid w:val="001F3E05"/>
    <w:rsid w:val="001F3F24"/>
    <w:rsid w:val="001F4115"/>
    <w:rsid w:val="001F414E"/>
    <w:rsid w:val="001F41CB"/>
    <w:rsid w:val="001F4513"/>
    <w:rsid w:val="001F4759"/>
    <w:rsid w:val="001F48C6"/>
    <w:rsid w:val="001F494B"/>
    <w:rsid w:val="001F4CC3"/>
    <w:rsid w:val="001F4D0C"/>
    <w:rsid w:val="001F4E01"/>
    <w:rsid w:val="001F513F"/>
    <w:rsid w:val="001F5229"/>
    <w:rsid w:val="001F52A1"/>
    <w:rsid w:val="001F52A9"/>
    <w:rsid w:val="001F53B7"/>
    <w:rsid w:val="001F54BF"/>
    <w:rsid w:val="001F5560"/>
    <w:rsid w:val="001F55DB"/>
    <w:rsid w:val="001F56B2"/>
    <w:rsid w:val="001F57F5"/>
    <w:rsid w:val="001F5801"/>
    <w:rsid w:val="001F584E"/>
    <w:rsid w:val="001F58CA"/>
    <w:rsid w:val="001F5938"/>
    <w:rsid w:val="001F5A6C"/>
    <w:rsid w:val="001F5B21"/>
    <w:rsid w:val="001F5B59"/>
    <w:rsid w:val="001F5C36"/>
    <w:rsid w:val="001F5CA8"/>
    <w:rsid w:val="001F5E83"/>
    <w:rsid w:val="001F6084"/>
    <w:rsid w:val="001F60C9"/>
    <w:rsid w:val="001F62CE"/>
    <w:rsid w:val="001F6518"/>
    <w:rsid w:val="001F6553"/>
    <w:rsid w:val="001F6572"/>
    <w:rsid w:val="001F6A67"/>
    <w:rsid w:val="001F6A70"/>
    <w:rsid w:val="001F6A91"/>
    <w:rsid w:val="001F6B8A"/>
    <w:rsid w:val="001F6C7E"/>
    <w:rsid w:val="001F6EDC"/>
    <w:rsid w:val="001F6F6A"/>
    <w:rsid w:val="001F6F82"/>
    <w:rsid w:val="001F6FB2"/>
    <w:rsid w:val="001F71FE"/>
    <w:rsid w:val="001F7228"/>
    <w:rsid w:val="001F724B"/>
    <w:rsid w:val="001F73A7"/>
    <w:rsid w:val="001F745A"/>
    <w:rsid w:val="001F7494"/>
    <w:rsid w:val="001F753C"/>
    <w:rsid w:val="001F7599"/>
    <w:rsid w:val="001F763F"/>
    <w:rsid w:val="001F7684"/>
    <w:rsid w:val="001F769A"/>
    <w:rsid w:val="001F794E"/>
    <w:rsid w:val="001F7ABF"/>
    <w:rsid w:val="001F7C04"/>
    <w:rsid w:val="001F7C59"/>
    <w:rsid w:val="001F7CCF"/>
    <w:rsid w:val="001F7CEE"/>
    <w:rsid w:val="001F7D9B"/>
    <w:rsid w:val="001F7DFF"/>
    <w:rsid w:val="001F7F0A"/>
    <w:rsid w:val="00200000"/>
    <w:rsid w:val="00200067"/>
    <w:rsid w:val="00200169"/>
    <w:rsid w:val="002001F0"/>
    <w:rsid w:val="002003A5"/>
    <w:rsid w:val="002003D7"/>
    <w:rsid w:val="00200501"/>
    <w:rsid w:val="002006E8"/>
    <w:rsid w:val="002007BD"/>
    <w:rsid w:val="00200834"/>
    <w:rsid w:val="002008FF"/>
    <w:rsid w:val="00200940"/>
    <w:rsid w:val="00200943"/>
    <w:rsid w:val="00200B3B"/>
    <w:rsid w:val="00200B52"/>
    <w:rsid w:val="00200BE1"/>
    <w:rsid w:val="00200BFF"/>
    <w:rsid w:val="00200C86"/>
    <w:rsid w:val="00200CA9"/>
    <w:rsid w:val="00200D16"/>
    <w:rsid w:val="00200E1E"/>
    <w:rsid w:val="00200E36"/>
    <w:rsid w:val="00200EE3"/>
    <w:rsid w:val="00200F4B"/>
    <w:rsid w:val="002010CE"/>
    <w:rsid w:val="0020115F"/>
    <w:rsid w:val="00201182"/>
    <w:rsid w:val="00201383"/>
    <w:rsid w:val="0020143B"/>
    <w:rsid w:val="0020148C"/>
    <w:rsid w:val="002014BF"/>
    <w:rsid w:val="0020167E"/>
    <w:rsid w:val="002016D7"/>
    <w:rsid w:val="00201727"/>
    <w:rsid w:val="0020172C"/>
    <w:rsid w:val="00201766"/>
    <w:rsid w:val="00201881"/>
    <w:rsid w:val="00201893"/>
    <w:rsid w:val="00201900"/>
    <w:rsid w:val="00201B5C"/>
    <w:rsid w:val="00201D6D"/>
    <w:rsid w:val="00201D73"/>
    <w:rsid w:val="00201E26"/>
    <w:rsid w:val="00201F92"/>
    <w:rsid w:val="002020CB"/>
    <w:rsid w:val="0020223A"/>
    <w:rsid w:val="0020223E"/>
    <w:rsid w:val="002023FD"/>
    <w:rsid w:val="002024C7"/>
    <w:rsid w:val="00202531"/>
    <w:rsid w:val="002028E5"/>
    <w:rsid w:val="002029E4"/>
    <w:rsid w:val="00202A22"/>
    <w:rsid w:val="00202B0D"/>
    <w:rsid w:val="00202B12"/>
    <w:rsid w:val="00202B31"/>
    <w:rsid w:val="00202BD8"/>
    <w:rsid w:val="00202C72"/>
    <w:rsid w:val="00202D2C"/>
    <w:rsid w:val="002030EA"/>
    <w:rsid w:val="0020327E"/>
    <w:rsid w:val="002032C9"/>
    <w:rsid w:val="00203329"/>
    <w:rsid w:val="002036A8"/>
    <w:rsid w:val="00203704"/>
    <w:rsid w:val="00203842"/>
    <w:rsid w:val="0020388B"/>
    <w:rsid w:val="002038C0"/>
    <w:rsid w:val="00203A0A"/>
    <w:rsid w:val="00203C4C"/>
    <w:rsid w:val="00203CBA"/>
    <w:rsid w:val="00203E98"/>
    <w:rsid w:val="00203F7E"/>
    <w:rsid w:val="00203FCB"/>
    <w:rsid w:val="002042A9"/>
    <w:rsid w:val="0020437B"/>
    <w:rsid w:val="00204422"/>
    <w:rsid w:val="00204437"/>
    <w:rsid w:val="0020456E"/>
    <w:rsid w:val="002045E4"/>
    <w:rsid w:val="002045EB"/>
    <w:rsid w:val="00204846"/>
    <w:rsid w:val="00204888"/>
    <w:rsid w:val="0020488C"/>
    <w:rsid w:val="00204A0F"/>
    <w:rsid w:val="00204BD1"/>
    <w:rsid w:val="00204C56"/>
    <w:rsid w:val="00204FFE"/>
    <w:rsid w:val="0020500C"/>
    <w:rsid w:val="0020508A"/>
    <w:rsid w:val="002050B8"/>
    <w:rsid w:val="0020517C"/>
    <w:rsid w:val="002051FD"/>
    <w:rsid w:val="0020523E"/>
    <w:rsid w:val="00205380"/>
    <w:rsid w:val="00205545"/>
    <w:rsid w:val="002055E2"/>
    <w:rsid w:val="00205677"/>
    <w:rsid w:val="00205685"/>
    <w:rsid w:val="00205834"/>
    <w:rsid w:val="00205862"/>
    <w:rsid w:val="00205B78"/>
    <w:rsid w:val="00205BAD"/>
    <w:rsid w:val="00205C0E"/>
    <w:rsid w:val="00205C1C"/>
    <w:rsid w:val="00205C3E"/>
    <w:rsid w:val="00205C71"/>
    <w:rsid w:val="00205C78"/>
    <w:rsid w:val="00205C87"/>
    <w:rsid w:val="00205D1C"/>
    <w:rsid w:val="00205DEB"/>
    <w:rsid w:val="00205FB8"/>
    <w:rsid w:val="00205FDF"/>
    <w:rsid w:val="00205FF5"/>
    <w:rsid w:val="0020602C"/>
    <w:rsid w:val="00206242"/>
    <w:rsid w:val="002062E8"/>
    <w:rsid w:val="0020639F"/>
    <w:rsid w:val="002063BE"/>
    <w:rsid w:val="00206410"/>
    <w:rsid w:val="002064E5"/>
    <w:rsid w:val="00206533"/>
    <w:rsid w:val="00206666"/>
    <w:rsid w:val="002066CE"/>
    <w:rsid w:val="00206716"/>
    <w:rsid w:val="00206855"/>
    <w:rsid w:val="00206914"/>
    <w:rsid w:val="00206936"/>
    <w:rsid w:val="0020695E"/>
    <w:rsid w:val="00206A20"/>
    <w:rsid w:val="00206A2E"/>
    <w:rsid w:val="00206A37"/>
    <w:rsid w:val="00206B19"/>
    <w:rsid w:val="00206BA2"/>
    <w:rsid w:val="00206DEB"/>
    <w:rsid w:val="00206F1E"/>
    <w:rsid w:val="002071EC"/>
    <w:rsid w:val="0020787C"/>
    <w:rsid w:val="002079B1"/>
    <w:rsid w:val="00207C20"/>
    <w:rsid w:val="00207C52"/>
    <w:rsid w:val="00207FFC"/>
    <w:rsid w:val="0021023A"/>
    <w:rsid w:val="00210286"/>
    <w:rsid w:val="002103D5"/>
    <w:rsid w:val="002103ED"/>
    <w:rsid w:val="00210463"/>
    <w:rsid w:val="0021049A"/>
    <w:rsid w:val="00210667"/>
    <w:rsid w:val="002106EE"/>
    <w:rsid w:val="002107A7"/>
    <w:rsid w:val="00210903"/>
    <w:rsid w:val="00210932"/>
    <w:rsid w:val="00210963"/>
    <w:rsid w:val="00210ABA"/>
    <w:rsid w:val="00210B24"/>
    <w:rsid w:val="00210B30"/>
    <w:rsid w:val="00210B38"/>
    <w:rsid w:val="00210CB4"/>
    <w:rsid w:val="00210CE7"/>
    <w:rsid w:val="00210E01"/>
    <w:rsid w:val="00210EFB"/>
    <w:rsid w:val="00211067"/>
    <w:rsid w:val="002113A8"/>
    <w:rsid w:val="0021159D"/>
    <w:rsid w:val="00211659"/>
    <w:rsid w:val="00211671"/>
    <w:rsid w:val="002116EB"/>
    <w:rsid w:val="0021172A"/>
    <w:rsid w:val="00211769"/>
    <w:rsid w:val="0021181B"/>
    <w:rsid w:val="002118C8"/>
    <w:rsid w:val="002118FD"/>
    <w:rsid w:val="002119FE"/>
    <w:rsid w:val="00211B2B"/>
    <w:rsid w:val="00211C86"/>
    <w:rsid w:val="00211CB0"/>
    <w:rsid w:val="00211DC9"/>
    <w:rsid w:val="00211DDD"/>
    <w:rsid w:val="00211EE9"/>
    <w:rsid w:val="00212052"/>
    <w:rsid w:val="00212078"/>
    <w:rsid w:val="002122C7"/>
    <w:rsid w:val="00212688"/>
    <w:rsid w:val="0021273B"/>
    <w:rsid w:val="00212A42"/>
    <w:rsid w:val="00212A96"/>
    <w:rsid w:val="00212ADA"/>
    <w:rsid w:val="00212DC2"/>
    <w:rsid w:val="00212E23"/>
    <w:rsid w:val="00212FE0"/>
    <w:rsid w:val="0021310C"/>
    <w:rsid w:val="002132EE"/>
    <w:rsid w:val="0021354D"/>
    <w:rsid w:val="002135FC"/>
    <w:rsid w:val="00213644"/>
    <w:rsid w:val="002137DC"/>
    <w:rsid w:val="002137FC"/>
    <w:rsid w:val="00213881"/>
    <w:rsid w:val="00213930"/>
    <w:rsid w:val="00213A25"/>
    <w:rsid w:val="00213B01"/>
    <w:rsid w:val="00213C51"/>
    <w:rsid w:val="00213D1F"/>
    <w:rsid w:val="00213D9B"/>
    <w:rsid w:val="00213F03"/>
    <w:rsid w:val="00213F1A"/>
    <w:rsid w:val="0021416A"/>
    <w:rsid w:val="002141F5"/>
    <w:rsid w:val="002144C4"/>
    <w:rsid w:val="00214530"/>
    <w:rsid w:val="00214572"/>
    <w:rsid w:val="002145B0"/>
    <w:rsid w:val="00214750"/>
    <w:rsid w:val="00214970"/>
    <w:rsid w:val="00214AEF"/>
    <w:rsid w:val="00214CA8"/>
    <w:rsid w:val="00214EC6"/>
    <w:rsid w:val="0021514A"/>
    <w:rsid w:val="0021521C"/>
    <w:rsid w:val="00215230"/>
    <w:rsid w:val="00215290"/>
    <w:rsid w:val="002153E8"/>
    <w:rsid w:val="0021540E"/>
    <w:rsid w:val="0021543D"/>
    <w:rsid w:val="002154A4"/>
    <w:rsid w:val="0021550F"/>
    <w:rsid w:val="0021560C"/>
    <w:rsid w:val="00215713"/>
    <w:rsid w:val="0021589A"/>
    <w:rsid w:val="002158E1"/>
    <w:rsid w:val="002158EF"/>
    <w:rsid w:val="00215A6A"/>
    <w:rsid w:val="00215BD1"/>
    <w:rsid w:val="00215E80"/>
    <w:rsid w:val="00215F34"/>
    <w:rsid w:val="00215FF8"/>
    <w:rsid w:val="0021607F"/>
    <w:rsid w:val="002160C0"/>
    <w:rsid w:val="002161E1"/>
    <w:rsid w:val="00216323"/>
    <w:rsid w:val="002165E2"/>
    <w:rsid w:val="0021676E"/>
    <w:rsid w:val="002168F4"/>
    <w:rsid w:val="00216B9C"/>
    <w:rsid w:val="00216BC0"/>
    <w:rsid w:val="00216BC5"/>
    <w:rsid w:val="00216C41"/>
    <w:rsid w:val="00216D9D"/>
    <w:rsid w:val="00216EDB"/>
    <w:rsid w:val="00216EE1"/>
    <w:rsid w:val="00216F23"/>
    <w:rsid w:val="002170C5"/>
    <w:rsid w:val="0021722C"/>
    <w:rsid w:val="00217238"/>
    <w:rsid w:val="002172C5"/>
    <w:rsid w:val="00217664"/>
    <w:rsid w:val="0021774B"/>
    <w:rsid w:val="002177CC"/>
    <w:rsid w:val="00217921"/>
    <w:rsid w:val="002179D8"/>
    <w:rsid w:val="00217B6C"/>
    <w:rsid w:val="00217CA6"/>
    <w:rsid w:val="00217CC6"/>
    <w:rsid w:val="00217CCF"/>
    <w:rsid w:val="00217FF5"/>
    <w:rsid w:val="00220402"/>
    <w:rsid w:val="0022048C"/>
    <w:rsid w:val="002205DB"/>
    <w:rsid w:val="00220606"/>
    <w:rsid w:val="002206EE"/>
    <w:rsid w:val="00220758"/>
    <w:rsid w:val="002207B8"/>
    <w:rsid w:val="00220881"/>
    <w:rsid w:val="002208A8"/>
    <w:rsid w:val="00220A06"/>
    <w:rsid w:val="00220ACA"/>
    <w:rsid w:val="00220B23"/>
    <w:rsid w:val="00220CDA"/>
    <w:rsid w:val="00220F6B"/>
    <w:rsid w:val="002210A0"/>
    <w:rsid w:val="002211AD"/>
    <w:rsid w:val="002211B7"/>
    <w:rsid w:val="0022125E"/>
    <w:rsid w:val="002217BC"/>
    <w:rsid w:val="0022199F"/>
    <w:rsid w:val="00221A24"/>
    <w:rsid w:val="00221F68"/>
    <w:rsid w:val="00221F91"/>
    <w:rsid w:val="00221FC6"/>
    <w:rsid w:val="002220A4"/>
    <w:rsid w:val="00222149"/>
    <w:rsid w:val="0022214D"/>
    <w:rsid w:val="002221BC"/>
    <w:rsid w:val="002222C9"/>
    <w:rsid w:val="00222390"/>
    <w:rsid w:val="00222472"/>
    <w:rsid w:val="002224E9"/>
    <w:rsid w:val="0022262F"/>
    <w:rsid w:val="0022278F"/>
    <w:rsid w:val="00222839"/>
    <w:rsid w:val="00222852"/>
    <w:rsid w:val="002229B0"/>
    <w:rsid w:val="00222D2F"/>
    <w:rsid w:val="00222DCF"/>
    <w:rsid w:val="00222EDD"/>
    <w:rsid w:val="00222F16"/>
    <w:rsid w:val="00223037"/>
    <w:rsid w:val="002230C7"/>
    <w:rsid w:val="002230E4"/>
    <w:rsid w:val="0022319F"/>
    <w:rsid w:val="002231C1"/>
    <w:rsid w:val="002232E5"/>
    <w:rsid w:val="00223352"/>
    <w:rsid w:val="0022359B"/>
    <w:rsid w:val="002236E1"/>
    <w:rsid w:val="0022373A"/>
    <w:rsid w:val="002237C8"/>
    <w:rsid w:val="00223932"/>
    <w:rsid w:val="00223A47"/>
    <w:rsid w:val="00223A6E"/>
    <w:rsid w:val="00223BB9"/>
    <w:rsid w:val="00223C56"/>
    <w:rsid w:val="00223C6C"/>
    <w:rsid w:val="00223D28"/>
    <w:rsid w:val="002241A4"/>
    <w:rsid w:val="002241D5"/>
    <w:rsid w:val="00224251"/>
    <w:rsid w:val="002242FD"/>
    <w:rsid w:val="00224472"/>
    <w:rsid w:val="002244A1"/>
    <w:rsid w:val="0022464D"/>
    <w:rsid w:val="00224897"/>
    <w:rsid w:val="002248AF"/>
    <w:rsid w:val="00224A6B"/>
    <w:rsid w:val="00224B40"/>
    <w:rsid w:val="00224B7F"/>
    <w:rsid w:val="00224C62"/>
    <w:rsid w:val="00224FCB"/>
    <w:rsid w:val="00224FF7"/>
    <w:rsid w:val="00225038"/>
    <w:rsid w:val="00225060"/>
    <w:rsid w:val="0022518D"/>
    <w:rsid w:val="002255C4"/>
    <w:rsid w:val="0022574F"/>
    <w:rsid w:val="002257F1"/>
    <w:rsid w:val="00225939"/>
    <w:rsid w:val="00225960"/>
    <w:rsid w:val="00225D4A"/>
    <w:rsid w:val="00225E41"/>
    <w:rsid w:val="00225EFD"/>
    <w:rsid w:val="002260B0"/>
    <w:rsid w:val="002261FB"/>
    <w:rsid w:val="002262DE"/>
    <w:rsid w:val="00226304"/>
    <w:rsid w:val="00226429"/>
    <w:rsid w:val="002265B4"/>
    <w:rsid w:val="00226603"/>
    <w:rsid w:val="002266AA"/>
    <w:rsid w:val="002266F6"/>
    <w:rsid w:val="0022679F"/>
    <w:rsid w:val="002267C8"/>
    <w:rsid w:val="00226968"/>
    <w:rsid w:val="002269B3"/>
    <w:rsid w:val="00226ABC"/>
    <w:rsid w:val="00226B22"/>
    <w:rsid w:val="00226DF4"/>
    <w:rsid w:val="00226E97"/>
    <w:rsid w:val="00226FFB"/>
    <w:rsid w:val="002270B8"/>
    <w:rsid w:val="002271C5"/>
    <w:rsid w:val="002271FA"/>
    <w:rsid w:val="0022725A"/>
    <w:rsid w:val="002272B2"/>
    <w:rsid w:val="002273B7"/>
    <w:rsid w:val="00227560"/>
    <w:rsid w:val="002276F9"/>
    <w:rsid w:val="002276FB"/>
    <w:rsid w:val="002277CB"/>
    <w:rsid w:val="00227B3A"/>
    <w:rsid w:val="00227C06"/>
    <w:rsid w:val="00227CB2"/>
    <w:rsid w:val="00230156"/>
    <w:rsid w:val="002304C1"/>
    <w:rsid w:val="002306E9"/>
    <w:rsid w:val="002307C9"/>
    <w:rsid w:val="002307F6"/>
    <w:rsid w:val="00230AEA"/>
    <w:rsid w:val="00230BA5"/>
    <w:rsid w:val="00230CDE"/>
    <w:rsid w:val="00230CDF"/>
    <w:rsid w:val="00230DE5"/>
    <w:rsid w:val="00230EBE"/>
    <w:rsid w:val="00230FDE"/>
    <w:rsid w:val="00231351"/>
    <w:rsid w:val="0023144E"/>
    <w:rsid w:val="002314C1"/>
    <w:rsid w:val="0023161F"/>
    <w:rsid w:val="00231718"/>
    <w:rsid w:val="002317FE"/>
    <w:rsid w:val="0023187E"/>
    <w:rsid w:val="00231943"/>
    <w:rsid w:val="0023199D"/>
    <w:rsid w:val="00231A38"/>
    <w:rsid w:val="00231AE4"/>
    <w:rsid w:val="00231AF4"/>
    <w:rsid w:val="00231D1B"/>
    <w:rsid w:val="00231D24"/>
    <w:rsid w:val="00231DCB"/>
    <w:rsid w:val="00231DD5"/>
    <w:rsid w:val="00231EBB"/>
    <w:rsid w:val="00231EFF"/>
    <w:rsid w:val="00231F52"/>
    <w:rsid w:val="0023204E"/>
    <w:rsid w:val="0023214F"/>
    <w:rsid w:val="0023215E"/>
    <w:rsid w:val="002323CC"/>
    <w:rsid w:val="00232599"/>
    <w:rsid w:val="002325D3"/>
    <w:rsid w:val="002326AE"/>
    <w:rsid w:val="002327A3"/>
    <w:rsid w:val="00232AD8"/>
    <w:rsid w:val="00232B40"/>
    <w:rsid w:val="00232BD2"/>
    <w:rsid w:val="00232C98"/>
    <w:rsid w:val="00232D0B"/>
    <w:rsid w:val="00232D14"/>
    <w:rsid w:val="00232D74"/>
    <w:rsid w:val="00232D98"/>
    <w:rsid w:val="00232DD7"/>
    <w:rsid w:val="00232DE5"/>
    <w:rsid w:val="00232FAB"/>
    <w:rsid w:val="00232FF6"/>
    <w:rsid w:val="002330CC"/>
    <w:rsid w:val="002330FC"/>
    <w:rsid w:val="0023319C"/>
    <w:rsid w:val="00233332"/>
    <w:rsid w:val="002333FE"/>
    <w:rsid w:val="002337A3"/>
    <w:rsid w:val="002339D5"/>
    <w:rsid w:val="00233AD8"/>
    <w:rsid w:val="00233B7F"/>
    <w:rsid w:val="00233CA0"/>
    <w:rsid w:val="00233D1D"/>
    <w:rsid w:val="00233D62"/>
    <w:rsid w:val="00233DE5"/>
    <w:rsid w:val="00234133"/>
    <w:rsid w:val="002342AB"/>
    <w:rsid w:val="00234339"/>
    <w:rsid w:val="00234351"/>
    <w:rsid w:val="00234421"/>
    <w:rsid w:val="00234449"/>
    <w:rsid w:val="0023456C"/>
    <w:rsid w:val="002345F7"/>
    <w:rsid w:val="00234685"/>
    <w:rsid w:val="0023473E"/>
    <w:rsid w:val="0023483F"/>
    <w:rsid w:val="002348B0"/>
    <w:rsid w:val="00234967"/>
    <w:rsid w:val="00234A18"/>
    <w:rsid w:val="00234B9C"/>
    <w:rsid w:val="00234C0B"/>
    <w:rsid w:val="00234C65"/>
    <w:rsid w:val="00234C79"/>
    <w:rsid w:val="00234D67"/>
    <w:rsid w:val="0023500B"/>
    <w:rsid w:val="0023500E"/>
    <w:rsid w:val="0023549F"/>
    <w:rsid w:val="0023552D"/>
    <w:rsid w:val="00235790"/>
    <w:rsid w:val="00235860"/>
    <w:rsid w:val="00235929"/>
    <w:rsid w:val="0023599D"/>
    <w:rsid w:val="002359BA"/>
    <w:rsid w:val="00235AA4"/>
    <w:rsid w:val="00235B8C"/>
    <w:rsid w:val="00235B9A"/>
    <w:rsid w:val="00235DA2"/>
    <w:rsid w:val="00235DAD"/>
    <w:rsid w:val="00235E11"/>
    <w:rsid w:val="00235ECC"/>
    <w:rsid w:val="00235EE0"/>
    <w:rsid w:val="00236016"/>
    <w:rsid w:val="002361BC"/>
    <w:rsid w:val="002361C4"/>
    <w:rsid w:val="002361DC"/>
    <w:rsid w:val="002361FC"/>
    <w:rsid w:val="002363E1"/>
    <w:rsid w:val="0023660F"/>
    <w:rsid w:val="0023661C"/>
    <w:rsid w:val="0023664F"/>
    <w:rsid w:val="002366CD"/>
    <w:rsid w:val="00236795"/>
    <w:rsid w:val="002367A6"/>
    <w:rsid w:val="002367FA"/>
    <w:rsid w:val="0023680D"/>
    <w:rsid w:val="002368D6"/>
    <w:rsid w:val="00236987"/>
    <w:rsid w:val="00236BD3"/>
    <w:rsid w:val="00236BEC"/>
    <w:rsid w:val="00236C17"/>
    <w:rsid w:val="00236C1A"/>
    <w:rsid w:val="00236C21"/>
    <w:rsid w:val="00236C8D"/>
    <w:rsid w:val="00236D6F"/>
    <w:rsid w:val="00236DA3"/>
    <w:rsid w:val="00236E2F"/>
    <w:rsid w:val="00236F36"/>
    <w:rsid w:val="00236F81"/>
    <w:rsid w:val="002370AF"/>
    <w:rsid w:val="002370B9"/>
    <w:rsid w:val="0023711E"/>
    <w:rsid w:val="00237142"/>
    <w:rsid w:val="00237260"/>
    <w:rsid w:val="002372DA"/>
    <w:rsid w:val="00237331"/>
    <w:rsid w:val="0023761C"/>
    <w:rsid w:val="0023765F"/>
    <w:rsid w:val="00237782"/>
    <w:rsid w:val="002377A0"/>
    <w:rsid w:val="00237881"/>
    <w:rsid w:val="00237969"/>
    <w:rsid w:val="00237A83"/>
    <w:rsid w:val="00237A97"/>
    <w:rsid w:val="00237B67"/>
    <w:rsid w:val="00237BE0"/>
    <w:rsid w:val="00237CAB"/>
    <w:rsid w:val="00237D1B"/>
    <w:rsid w:val="00237DE2"/>
    <w:rsid w:val="002402C2"/>
    <w:rsid w:val="00240615"/>
    <w:rsid w:val="002406AC"/>
    <w:rsid w:val="00240755"/>
    <w:rsid w:val="0024076B"/>
    <w:rsid w:val="0024085B"/>
    <w:rsid w:val="002408FF"/>
    <w:rsid w:val="00240907"/>
    <w:rsid w:val="00240A79"/>
    <w:rsid w:val="00240AC1"/>
    <w:rsid w:val="00240C37"/>
    <w:rsid w:val="00240E47"/>
    <w:rsid w:val="00240E52"/>
    <w:rsid w:val="00240EA7"/>
    <w:rsid w:val="0024101D"/>
    <w:rsid w:val="00241033"/>
    <w:rsid w:val="002411A9"/>
    <w:rsid w:val="00241466"/>
    <w:rsid w:val="002415BA"/>
    <w:rsid w:val="002418C3"/>
    <w:rsid w:val="00241986"/>
    <w:rsid w:val="002419DA"/>
    <w:rsid w:val="00241AD4"/>
    <w:rsid w:val="00241D6A"/>
    <w:rsid w:val="00242072"/>
    <w:rsid w:val="0024210E"/>
    <w:rsid w:val="002422FA"/>
    <w:rsid w:val="002423DF"/>
    <w:rsid w:val="002423FB"/>
    <w:rsid w:val="00242524"/>
    <w:rsid w:val="0024254E"/>
    <w:rsid w:val="00242695"/>
    <w:rsid w:val="0024285B"/>
    <w:rsid w:val="00242981"/>
    <w:rsid w:val="00242A49"/>
    <w:rsid w:val="00242B01"/>
    <w:rsid w:val="00242B1A"/>
    <w:rsid w:val="00242B7D"/>
    <w:rsid w:val="00242C7F"/>
    <w:rsid w:val="00242D86"/>
    <w:rsid w:val="00242D95"/>
    <w:rsid w:val="00242E23"/>
    <w:rsid w:val="00242F26"/>
    <w:rsid w:val="002430A6"/>
    <w:rsid w:val="00243123"/>
    <w:rsid w:val="00243307"/>
    <w:rsid w:val="00243356"/>
    <w:rsid w:val="002433B2"/>
    <w:rsid w:val="002433B3"/>
    <w:rsid w:val="00243685"/>
    <w:rsid w:val="0024368B"/>
    <w:rsid w:val="002438EF"/>
    <w:rsid w:val="002438F4"/>
    <w:rsid w:val="002439F4"/>
    <w:rsid w:val="00243DFE"/>
    <w:rsid w:val="00243E4F"/>
    <w:rsid w:val="00243E94"/>
    <w:rsid w:val="00243EF2"/>
    <w:rsid w:val="00243F89"/>
    <w:rsid w:val="00243FF2"/>
    <w:rsid w:val="002440EB"/>
    <w:rsid w:val="00244125"/>
    <w:rsid w:val="00244223"/>
    <w:rsid w:val="00244254"/>
    <w:rsid w:val="002442AE"/>
    <w:rsid w:val="00244375"/>
    <w:rsid w:val="0024441C"/>
    <w:rsid w:val="00244474"/>
    <w:rsid w:val="00244791"/>
    <w:rsid w:val="002449DB"/>
    <w:rsid w:val="00244A28"/>
    <w:rsid w:val="00244B49"/>
    <w:rsid w:val="00244B6B"/>
    <w:rsid w:val="00244CB9"/>
    <w:rsid w:val="00244E6A"/>
    <w:rsid w:val="00244F8F"/>
    <w:rsid w:val="00245029"/>
    <w:rsid w:val="0024505A"/>
    <w:rsid w:val="0024506B"/>
    <w:rsid w:val="002450FD"/>
    <w:rsid w:val="00245327"/>
    <w:rsid w:val="002453C6"/>
    <w:rsid w:val="00245593"/>
    <w:rsid w:val="0024564A"/>
    <w:rsid w:val="002456D2"/>
    <w:rsid w:val="002456E6"/>
    <w:rsid w:val="0024576A"/>
    <w:rsid w:val="00245867"/>
    <w:rsid w:val="00245906"/>
    <w:rsid w:val="0024591C"/>
    <w:rsid w:val="00245926"/>
    <w:rsid w:val="00245A1B"/>
    <w:rsid w:val="00245B0D"/>
    <w:rsid w:val="00245BB1"/>
    <w:rsid w:val="00245BFD"/>
    <w:rsid w:val="00245D3A"/>
    <w:rsid w:val="00245D7C"/>
    <w:rsid w:val="0024613F"/>
    <w:rsid w:val="00246160"/>
    <w:rsid w:val="002462C8"/>
    <w:rsid w:val="0024636D"/>
    <w:rsid w:val="0024651C"/>
    <w:rsid w:val="00246563"/>
    <w:rsid w:val="00246730"/>
    <w:rsid w:val="00246793"/>
    <w:rsid w:val="002467B2"/>
    <w:rsid w:val="0024680B"/>
    <w:rsid w:val="00246826"/>
    <w:rsid w:val="002469A1"/>
    <w:rsid w:val="00246A96"/>
    <w:rsid w:val="00246B8C"/>
    <w:rsid w:val="00246C08"/>
    <w:rsid w:val="00246CA0"/>
    <w:rsid w:val="00246EAD"/>
    <w:rsid w:val="00246F44"/>
    <w:rsid w:val="00247022"/>
    <w:rsid w:val="00247051"/>
    <w:rsid w:val="002470DD"/>
    <w:rsid w:val="00247137"/>
    <w:rsid w:val="0024714A"/>
    <w:rsid w:val="00247176"/>
    <w:rsid w:val="00247275"/>
    <w:rsid w:val="0024736C"/>
    <w:rsid w:val="0024746A"/>
    <w:rsid w:val="002474E9"/>
    <w:rsid w:val="002476C8"/>
    <w:rsid w:val="002476FF"/>
    <w:rsid w:val="0024789E"/>
    <w:rsid w:val="002479DE"/>
    <w:rsid w:val="00247A5C"/>
    <w:rsid w:val="00247C9C"/>
    <w:rsid w:val="00247D10"/>
    <w:rsid w:val="00247D4C"/>
    <w:rsid w:val="00247DA5"/>
    <w:rsid w:val="00247DBB"/>
    <w:rsid w:val="00247E38"/>
    <w:rsid w:val="00247EFE"/>
    <w:rsid w:val="00250158"/>
    <w:rsid w:val="00250277"/>
    <w:rsid w:val="0025047D"/>
    <w:rsid w:val="00250490"/>
    <w:rsid w:val="00250582"/>
    <w:rsid w:val="002505A7"/>
    <w:rsid w:val="0025078F"/>
    <w:rsid w:val="00250799"/>
    <w:rsid w:val="00250844"/>
    <w:rsid w:val="00250944"/>
    <w:rsid w:val="002509E1"/>
    <w:rsid w:val="00250B31"/>
    <w:rsid w:val="00250C8F"/>
    <w:rsid w:val="00250E62"/>
    <w:rsid w:val="00250F0F"/>
    <w:rsid w:val="00251291"/>
    <w:rsid w:val="0025134F"/>
    <w:rsid w:val="0025135D"/>
    <w:rsid w:val="002514B5"/>
    <w:rsid w:val="002514D6"/>
    <w:rsid w:val="0025151D"/>
    <w:rsid w:val="00251524"/>
    <w:rsid w:val="00251583"/>
    <w:rsid w:val="002515A3"/>
    <w:rsid w:val="00251758"/>
    <w:rsid w:val="0025188D"/>
    <w:rsid w:val="00251B0F"/>
    <w:rsid w:val="00251B19"/>
    <w:rsid w:val="00251B33"/>
    <w:rsid w:val="00251C18"/>
    <w:rsid w:val="00251D00"/>
    <w:rsid w:val="00251DA8"/>
    <w:rsid w:val="00251F00"/>
    <w:rsid w:val="00251FD3"/>
    <w:rsid w:val="00252103"/>
    <w:rsid w:val="00252117"/>
    <w:rsid w:val="00252183"/>
    <w:rsid w:val="00252278"/>
    <w:rsid w:val="0025229D"/>
    <w:rsid w:val="002522F6"/>
    <w:rsid w:val="002524B5"/>
    <w:rsid w:val="0025250D"/>
    <w:rsid w:val="00252754"/>
    <w:rsid w:val="002529BF"/>
    <w:rsid w:val="00252D84"/>
    <w:rsid w:val="00252E76"/>
    <w:rsid w:val="00252E7E"/>
    <w:rsid w:val="00253013"/>
    <w:rsid w:val="002532F5"/>
    <w:rsid w:val="002533F8"/>
    <w:rsid w:val="0025344F"/>
    <w:rsid w:val="00253572"/>
    <w:rsid w:val="0025358A"/>
    <w:rsid w:val="00253627"/>
    <w:rsid w:val="00253753"/>
    <w:rsid w:val="00253763"/>
    <w:rsid w:val="00253890"/>
    <w:rsid w:val="00253BA3"/>
    <w:rsid w:val="00253C80"/>
    <w:rsid w:val="00253D2C"/>
    <w:rsid w:val="00253DBB"/>
    <w:rsid w:val="00253E41"/>
    <w:rsid w:val="00253E92"/>
    <w:rsid w:val="002543F5"/>
    <w:rsid w:val="0025463C"/>
    <w:rsid w:val="0025463E"/>
    <w:rsid w:val="00254662"/>
    <w:rsid w:val="002549E5"/>
    <w:rsid w:val="00254E40"/>
    <w:rsid w:val="00254ECD"/>
    <w:rsid w:val="002550C5"/>
    <w:rsid w:val="0025525F"/>
    <w:rsid w:val="002552C3"/>
    <w:rsid w:val="002552E7"/>
    <w:rsid w:val="00255562"/>
    <w:rsid w:val="002556CD"/>
    <w:rsid w:val="00255931"/>
    <w:rsid w:val="00255A96"/>
    <w:rsid w:val="00255B2A"/>
    <w:rsid w:val="00255BAF"/>
    <w:rsid w:val="00255D66"/>
    <w:rsid w:val="00255D9B"/>
    <w:rsid w:val="00255E48"/>
    <w:rsid w:val="00255EC6"/>
    <w:rsid w:val="00255FFA"/>
    <w:rsid w:val="00256096"/>
    <w:rsid w:val="002561F5"/>
    <w:rsid w:val="00256329"/>
    <w:rsid w:val="0025634C"/>
    <w:rsid w:val="002564C7"/>
    <w:rsid w:val="002564F1"/>
    <w:rsid w:val="0025661A"/>
    <w:rsid w:val="002568B3"/>
    <w:rsid w:val="00256978"/>
    <w:rsid w:val="00256A36"/>
    <w:rsid w:val="00256AAE"/>
    <w:rsid w:val="00256E43"/>
    <w:rsid w:val="00256E64"/>
    <w:rsid w:val="00256E73"/>
    <w:rsid w:val="00256F04"/>
    <w:rsid w:val="00256F08"/>
    <w:rsid w:val="00256FC9"/>
    <w:rsid w:val="00257173"/>
    <w:rsid w:val="002571DC"/>
    <w:rsid w:val="00257266"/>
    <w:rsid w:val="0025742F"/>
    <w:rsid w:val="0025757F"/>
    <w:rsid w:val="002576C6"/>
    <w:rsid w:val="002576E8"/>
    <w:rsid w:val="0025789B"/>
    <w:rsid w:val="002578FA"/>
    <w:rsid w:val="00257995"/>
    <w:rsid w:val="002579F8"/>
    <w:rsid w:val="00257A24"/>
    <w:rsid w:val="00257AC2"/>
    <w:rsid w:val="00257C19"/>
    <w:rsid w:val="00257C8E"/>
    <w:rsid w:val="00257C99"/>
    <w:rsid w:val="00257D82"/>
    <w:rsid w:val="00257DC3"/>
    <w:rsid w:val="00257EB7"/>
    <w:rsid w:val="00257EDD"/>
    <w:rsid w:val="00257F2A"/>
    <w:rsid w:val="00257F87"/>
    <w:rsid w:val="002601CE"/>
    <w:rsid w:val="002602CC"/>
    <w:rsid w:val="00260506"/>
    <w:rsid w:val="00260610"/>
    <w:rsid w:val="0026073B"/>
    <w:rsid w:val="0026078D"/>
    <w:rsid w:val="002607E2"/>
    <w:rsid w:val="002608EA"/>
    <w:rsid w:val="00260961"/>
    <w:rsid w:val="00260B88"/>
    <w:rsid w:val="00260BF4"/>
    <w:rsid w:val="00260D60"/>
    <w:rsid w:val="00260DC8"/>
    <w:rsid w:val="00260E21"/>
    <w:rsid w:val="00260FCF"/>
    <w:rsid w:val="0026101F"/>
    <w:rsid w:val="00261078"/>
    <w:rsid w:val="002611FC"/>
    <w:rsid w:val="002613DF"/>
    <w:rsid w:val="00261514"/>
    <w:rsid w:val="00261535"/>
    <w:rsid w:val="00261576"/>
    <w:rsid w:val="00261578"/>
    <w:rsid w:val="002615AF"/>
    <w:rsid w:val="002615CF"/>
    <w:rsid w:val="00261806"/>
    <w:rsid w:val="002619B8"/>
    <w:rsid w:val="00261A14"/>
    <w:rsid w:val="00261A7F"/>
    <w:rsid w:val="00261AA2"/>
    <w:rsid w:val="00261D2B"/>
    <w:rsid w:val="00261D96"/>
    <w:rsid w:val="00261DF4"/>
    <w:rsid w:val="00261E0D"/>
    <w:rsid w:val="00262068"/>
    <w:rsid w:val="00262111"/>
    <w:rsid w:val="00262178"/>
    <w:rsid w:val="002621D5"/>
    <w:rsid w:val="0026229B"/>
    <w:rsid w:val="002622B0"/>
    <w:rsid w:val="00262421"/>
    <w:rsid w:val="00262439"/>
    <w:rsid w:val="00262456"/>
    <w:rsid w:val="00262662"/>
    <w:rsid w:val="00262697"/>
    <w:rsid w:val="00262726"/>
    <w:rsid w:val="00262915"/>
    <w:rsid w:val="00262954"/>
    <w:rsid w:val="00262A90"/>
    <w:rsid w:val="00262BE4"/>
    <w:rsid w:val="00262D03"/>
    <w:rsid w:val="00262DC1"/>
    <w:rsid w:val="00262ED6"/>
    <w:rsid w:val="00262F24"/>
    <w:rsid w:val="00262F9D"/>
    <w:rsid w:val="00262FC6"/>
    <w:rsid w:val="00262FCE"/>
    <w:rsid w:val="00263049"/>
    <w:rsid w:val="00263182"/>
    <w:rsid w:val="0026326F"/>
    <w:rsid w:val="0026327D"/>
    <w:rsid w:val="0026368E"/>
    <w:rsid w:val="0026378B"/>
    <w:rsid w:val="002637EE"/>
    <w:rsid w:val="00263833"/>
    <w:rsid w:val="00263A3C"/>
    <w:rsid w:val="00263C32"/>
    <w:rsid w:val="00263C78"/>
    <w:rsid w:val="00263CE1"/>
    <w:rsid w:val="00263CF1"/>
    <w:rsid w:val="00263DE8"/>
    <w:rsid w:val="00263E7B"/>
    <w:rsid w:val="00263FCF"/>
    <w:rsid w:val="0026401B"/>
    <w:rsid w:val="0026414B"/>
    <w:rsid w:val="002641A0"/>
    <w:rsid w:val="00264287"/>
    <w:rsid w:val="002643D7"/>
    <w:rsid w:val="00264405"/>
    <w:rsid w:val="00264629"/>
    <w:rsid w:val="002647A9"/>
    <w:rsid w:val="00264845"/>
    <w:rsid w:val="002649C5"/>
    <w:rsid w:val="002649F8"/>
    <w:rsid w:val="002649FB"/>
    <w:rsid w:val="00264A68"/>
    <w:rsid w:val="00264AA2"/>
    <w:rsid w:val="00264B74"/>
    <w:rsid w:val="00264B8B"/>
    <w:rsid w:val="00264BB9"/>
    <w:rsid w:val="00264C49"/>
    <w:rsid w:val="00264F33"/>
    <w:rsid w:val="0026500C"/>
    <w:rsid w:val="002652C0"/>
    <w:rsid w:val="002652E9"/>
    <w:rsid w:val="002653AC"/>
    <w:rsid w:val="0026557B"/>
    <w:rsid w:val="002658C3"/>
    <w:rsid w:val="002659CC"/>
    <w:rsid w:val="00265ACA"/>
    <w:rsid w:val="00265AD0"/>
    <w:rsid w:val="00265AFC"/>
    <w:rsid w:val="00265CA1"/>
    <w:rsid w:val="00265CA6"/>
    <w:rsid w:val="00265E4C"/>
    <w:rsid w:val="00265F24"/>
    <w:rsid w:val="00265F44"/>
    <w:rsid w:val="00265F6B"/>
    <w:rsid w:val="002660F3"/>
    <w:rsid w:val="0026611B"/>
    <w:rsid w:val="0026614D"/>
    <w:rsid w:val="00266221"/>
    <w:rsid w:val="00266597"/>
    <w:rsid w:val="002665DA"/>
    <w:rsid w:val="00266606"/>
    <w:rsid w:val="0026669E"/>
    <w:rsid w:val="0026689B"/>
    <w:rsid w:val="002668CC"/>
    <w:rsid w:val="002669FA"/>
    <w:rsid w:val="00266B3A"/>
    <w:rsid w:val="00266C20"/>
    <w:rsid w:val="00266C7A"/>
    <w:rsid w:val="00266CB0"/>
    <w:rsid w:val="00266CF4"/>
    <w:rsid w:val="00266D03"/>
    <w:rsid w:val="00266EC4"/>
    <w:rsid w:val="00266F1E"/>
    <w:rsid w:val="00267037"/>
    <w:rsid w:val="0026703D"/>
    <w:rsid w:val="0026708E"/>
    <w:rsid w:val="002670AC"/>
    <w:rsid w:val="0026720E"/>
    <w:rsid w:val="002672A2"/>
    <w:rsid w:val="002672AC"/>
    <w:rsid w:val="002673E4"/>
    <w:rsid w:val="002674AC"/>
    <w:rsid w:val="00267577"/>
    <w:rsid w:val="00267584"/>
    <w:rsid w:val="0026782F"/>
    <w:rsid w:val="0026785A"/>
    <w:rsid w:val="00267B48"/>
    <w:rsid w:val="00267C5F"/>
    <w:rsid w:val="00267CFE"/>
    <w:rsid w:val="00267D0F"/>
    <w:rsid w:val="00267EE8"/>
    <w:rsid w:val="00267FE5"/>
    <w:rsid w:val="0027006F"/>
    <w:rsid w:val="00270158"/>
    <w:rsid w:val="002702D9"/>
    <w:rsid w:val="0027032E"/>
    <w:rsid w:val="00270359"/>
    <w:rsid w:val="00270400"/>
    <w:rsid w:val="002706B6"/>
    <w:rsid w:val="00270833"/>
    <w:rsid w:val="0027087C"/>
    <w:rsid w:val="002708A1"/>
    <w:rsid w:val="002708B0"/>
    <w:rsid w:val="002708D3"/>
    <w:rsid w:val="0027091E"/>
    <w:rsid w:val="002709D8"/>
    <w:rsid w:val="00270A21"/>
    <w:rsid w:val="00270AFC"/>
    <w:rsid w:val="00270B1A"/>
    <w:rsid w:val="00270B3C"/>
    <w:rsid w:val="00270B57"/>
    <w:rsid w:val="00270BC8"/>
    <w:rsid w:val="00270C93"/>
    <w:rsid w:val="00270D9A"/>
    <w:rsid w:val="00270DA1"/>
    <w:rsid w:val="00270DB5"/>
    <w:rsid w:val="00270DED"/>
    <w:rsid w:val="00270E7A"/>
    <w:rsid w:val="00270EB8"/>
    <w:rsid w:val="00271014"/>
    <w:rsid w:val="0027109C"/>
    <w:rsid w:val="002710A7"/>
    <w:rsid w:val="002710DF"/>
    <w:rsid w:val="0027112A"/>
    <w:rsid w:val="00271149"/>
    <w:rsid w:val="002711FD"/>
    <w:rsid w:val="0027135C"/>
    <w:rsid w:val="00271546"/>
    <w:rsid w:val="00271603"/>
    <w:rsid w:val="002719CB"/>
    <w:rsid w:val="002719FA"/>
    <w:rsid w:val="00271A56"/>
    <w:rsid w:val="00271C2F"/>
    <w:rsid w:val="00271C62"/>
    <w:rsid w:val="00271EFD"/>
    <w:rsid w:val="0027205D"/>
    <w:rsid w:val="00272071"/>
    <w:rsid w:val="002721B5"/>
    <w:rsid w:val="002721CF"/>
    <w:rsid w:val="00272204"/>
    <w:rsid w:val="00272325"/>
    <w:rsid w:val="00272632"/>
    <w:rsid w:val="00272807"/>
    <w:rsid w:val="00272894"/>
    <w:rsid w:val="002729E9"/>
    <w:rsid w:val="00272C8E"/>
    <w:rsid w:val="00272CDE"/>
    <w:rsid w:val="00272DD4"/>
    <w:rsid w:val="00272FCB"/>
    <w:rsid w:val="00273076"/>
    <w:rsid w:val="0027317F"/>
    <w:rsid w:val="00273254"/>
    <w:rsid w:val="002733BB"/>
    <w:rsid w:val="0027341C"/>
    <w:rsid w:val="0027344F"/>
    <w:rsid w:val="0027394A"/>
    <w:rsid w:val="00273A26"/>
    <w:rsid w:val="00273A62"/>
    <w:rsid w:val="00273F74"/>
    <w:rsid w:val="0027402D"/>
    <w:rsid w:val="002740AB"/>
    <w:rsid w:val="00274143"/>
    <w:rsid w:val="002741F2"/>
    <w:rsid w:val="00274435"/>
    <w:rsid w:val="0027445F"/>
    <w:rsid w:val="002744EA"/>
    <w:rsid w:val="00274728"/>
    <w:rsid w:val="00274889"/>
    <w:rsid w:val="002749B8"/>
    <w:rsid w:val="00274A4B"/>
    <w:rsid w:val="00274D8C"/>
    <w:rsid w:val="00274DB0"/>
    <w:rsid w:val="00274E07"/>
    <w:rsid w:val="00274FA5"/>
    <w:rsid w:val="00274FB1"/>
    <w:rsid w:val="002753EC"/>
    <w:rsid w:val="0027561F"/>
    <w:rsid w:val="002758E9"/>
    <w:rsid w:val="00275931"/>
    <w:rsid w:val="002759E7"/>
    <w:rsid w:val="002759EE"/>
    <w:rsid w:val="00275ADF"/>
    <w:rsid w:val="00275B2D"/>
    <w:rsid w:val="00275C20"/>
    <w:rsid w:val="00275C43"/>
    <w:rsid w:val="00275CD1"/>
    <w:rsid w:val="00275E30"/>
    <w:rsid w:val="00275EA3"/>
    <w:rsid w:val="00275EAB"/>
    <w:rsid w:val="00275FF3"/>
    <w:rsid w:val="00276162"/>
    <w:rsid w:val="0027625F"/>
    <w:rsid w:val="00276260"/>
    <w:rsid w:val="002762A5"/>
    <w:rsid w:val="002764A3"/>
    <w:rsid w:val="0027669E"/>
    <w:rsid w:val="0027671B"/>
    <w:rsid w:val="00276735"/>
    <w:rsid w:val="00276861"/>
    <w:rsid w:val="002768A9"/>
    <w:rsid w:val="002768EE"/>
    <w:rsid w:val="00276987"/>
    <w:rsid w:val="002769CE"/>
    <w:rsid w:val="00276A11"/>
    <w:rsid w:val="00276ACD"/>
    <w:rsid w:val="00276BD6"/>
    <w:rsid w:val="00276CDE"/>
    <w:rsid w:val="00276D64"/>
    <w:rsid w:val="00277065"/>
    <w:rsid w:val="00277192"/>
    <w:rsid w:val="0027731B"/>
    <w:rsid w:val="0027742F"/>
    <w:rsid w:val="002774EF"/>
    <w:rsid w:val="002776B1"/>
    <w:rsid w:val="002777B6"/>
    <w:rsid w:val="0027780C"/>
    <w:rsid w:val="00277837"/>
    <w:rsid w:val="00277AF3"/>
    <w:rsid w:val="00277B8C"/>
    <w:rsid w:val="00277C06"/>
    <w:rsid w:val="00277CA6"/>
    <w:rsid w:val="00277D0B"/>
    <w:rsid w:val="00277ED1"/>
    <w:rsid w:val="00280032"/>
    <w:rsid w:val="00280085"/>
    <w:rsid w:val="00280167"/>
    <w:rsid w:val="00280342"/>
    <w:rsid w:val="002803D4"/>
    <w:rsid w:val="00280500"/>
    <w:rsid w:val="00280512"/>
    <w:rsid w:val="002808A9"/>
    <w:rsid w:val="00280A1C"/>
    <w:rsid w:val="00280A91"/>
    <w:rsid w:val="00280ABD"/>
    <w:rsid w:val="00280B7D"/>
    <w:rsid w:val="00280D11"/>
    <w:rsid w:val="00280D61"/>
    <w:rsid w:val="00280DEB"/>
    <w:rsid w:val="00280EBF"/>
    <w:rsid w:val="00281059"/>
    <w:rsid w:val="002810D3"/>
    <w:rsid w:val="0028111A"/>
    <w:rsid w:val="0028117F"/>
    <w:rsid w:val="0028124E"/>
    <w:rsid w:val="00281321"/>
    <w:rsid w:val="0028136E"/>
    <w:rsid w:val="00281432"/>
    <w:rsid w:val="00281702"/>
    <w:rsid w:val="00281957"/>
    <w:rsid w:val="00281A33"/>
    <w:rsid w:val="00281D1D"/>
    <w:rsid w:val="00281DB4"/>
    <w:rsid w:val="0028216A"/>
    <w:rsid w:val="002822AD"/>
    <w:rsid w:val="00282432"/>
    <w:rsid w:val="00282558"/>
    <w:rsid w:val="002826F9"/>
    <w:rsid w:val="002827FE"/>
    <w:rsid w:val="0028290B"/>
    <w:rsid w:val="00282C20"/>
    <w:rsid w:val="00282D88"/>
    <w:rsid w:val="00283139"/>
    <w:rsid w:val="00283143"/>
    <w:rsid w:val="00283147"/>
    <w:rsid w:val="00283240"/>
    <w:rsid w:val="002833CA"/>
    <w:rsid w:val="00283429"/>
    <w:rsid w:val="00283493"/>
    <w:rsid w:val="0028349F"/>
    <w:rsid w:val="002834A1"/>
    <w:rsid w:val="002834C5"/>
    <w:rsid w:val="002834E8"/>
    <w:rsid w:val="00283621"/>
    <w:rsid w:val="00283682"/>
    <w:rsid w:val="002838FA"/>
    <w:rsid w:val="00283AD9"/>
    <w:rsid w:val="00283BCB"/>
    <w:rsid w:val="00283D8F"/>
    <w:rsid w:val="00283F46"/>
    <w:rsid w:val="00283FD8"/>
    <w:rsid w:val="00284028"/>
    <w:rsid w:val="0028408F"/>
    <w:rsid w:val="002840CB"/>
    <w:rsid w:val="002840E8"/>
    <w:rsid w:val="002840FE"/>
    <w:rsid w:val="002841BA"/>
    <w:rsid w:val="00284306"/>
    <w:rsid w:val="002843E7"/>
    <w:rsid w:val="002845BF"/>
    <w:rsid w:val="002845F8"/>
    <w:rsid w:val="002845FE"/>
    <w:rsid w:val="00284664"/>
    <w:rsid w:val="0028482A"/>
    <w:rsid w:val="0028487C"/>
    <w:rsid w:val="00284884"/>
    <w:rsid w:val="00284AA0"/>
    <w:rsid w:val="00284B11"/>
    <w:rsid w:val="00284BEE"/>
    <w:rsid w:val="00284C42"/>
    <w:rsid w:val="00284F73"/>
    <w:rsid w:val="00284F8C"/>
    <w:rsid w:val="00284FC3"/>
    <w:rsid w:val="00285057"/>
    <w:rsid w:val="002850B3"/>
    <w:rsid w:val="0028511E"/>
    <w:rsid w:val="0028519D"/>
    <w:rsid w:val="00285265"/>
    <w:rsid w:val="0028530E"/>
    <w:rsid w:val="0028548C"/>
    <w:rsid w:val="0028548F"/>
    <w:rsid w:val="002854AB"/>
    <w:rsid w:val="0028553E"/>
    <w:rsid w:val="002855B4"/>
    <w:rsid w:val="002855B5"/>
    <w:rsid w:val="0028563C"/>
    <w:rsid w:val="00285672"/>
    <w:rsid w:val="00285691"/>
    <w:rsid w:val="002858F5"/>
    <w:rsid w:val="00285913"/>
    <w:rsid w:val="0028592A"/>
    <w:rsid w:val="00285A24"/>
    <w:rsid w:val="00285AC5"/>
    <w:rsid w:val="00285B96"/>
    <w:rsid w:val="00285DEE"/>
    <w:rsid w:val="00285E99"/>
    <w:rsid w:val="00285F7F"/>
    <w:rsid w:val="00285F83"/>
    <w:rsid w:val="00285F93"/>
    <w:rsid w:val="00285FBE"/>
    <w:rsid w:val="00285FDB"/>
    <w:rsid w:val="00286050"/>
    <w:rsid w:val="002861C5"/>
    <w:rsid w:val="0028628D"/>
    <w:rsid w:val="002862CA"/>
    <w:rsid w:val="002863B2"/>
    <w:rsid w:val="00286505"/>
    <w:rsid w:val="00286586"/>
    <w:rsid w:val="002865A5"/>
    <w:rsid w:val="002867C2"/>
    <w:rsid w:val="002867F8"/>
    <w:rsid w:val="0028683E"/>
    <w:rsid w:val="00286B70"/>
    <w:rsid w:val="00286D85"/>
    <w:rsid w:val="00287083"/>
    <w:rsid w:val="002870D0"/>
    <w:rsid w:val="00287108"/>
    <w:rsid w:val="00287160"/>
    <w:rsid w:val="0028726F"/>
    <w:rsid w:val="0028746F"/>
    <w:rsid w:val="0028763D"/>
    <w:rsid w:val="002876E1"/>
    <w:rsid w:val="00287716"/>
    <w:rsid w:val="002877FE"/>
    <w:rsid w:val="002879C2"/>
    <w:rsid w:val="002879F8"/>
    <w:rsid w:val="00287A12"/>
    <w:rsid w:val="00287BC2"/>
    <w:rsid w:val="00287BE0"/>
    <w:rsid w:val="00287DF0"/>
    <w:rsid w:val="002900CF"/>
    <w:rsid w:val="00290178"/>
    <w:rsid w:val="002901AF"/>
    <w:rsid w:val="002901B2"/>
    <w:rsid w:val="00290230"/>
    <w:rsid w:val="00290256"/>
    <w:rsid w:val="002902FC"/>
    <w:rsid w:val="00290353"/>
    <w:rsid w:val="00290392"/>
    <w:rsid w:val="002903B9"/>
    <w:rsid w:val="002903E3"/>
    <w:rsid w:val="002904C2"/>
    <w:rsid w:val="00290526"/>
    <w:rsid w:val="002905B9"/>
    <w:rsid w:val="002906DC"/>
    <w:rsid w:val="002907B4"/>
    <w:rsid w:val="002907B9"/>
    <w:rsid w:val="002907D6"/>
    <w:rsid w:val="002907EA"/>
    <w:rsid w:val="00290A22"/>
    <w:rsid w:val="00290B45"/>
    <w:rsid w:val="00290BA9"/>
    <w:rsid w:val="00290BC8"/>
    <w:rsid w:val="00290EC5"/>
    <w:rsid w:val="00290F50"/>
    <w:rsid w:val="002910BA"/>
    <w:rsid w:val="0029122B"/>
    <w:rsid w:val="002912FC"/>
    <w:rsid w:val="00291378"/>
    <w:rsid w:val="0029142D"/>
    <w:rsid w:val="00291464"/>
    <w:rsid w:val="00291611"/>
    <w:rsid w:val="00291778"/>
    <w:rsid w:val="00291936"/>
    <w:rsid w:val="002919B8"/>
    <w:rsid w:val="00291A37"/>
    <w:rsid w:val="00291B71"/>
    <w:rsid w:val="00291C22"/>
    <w:rsid w:val="00291C5C"/>
    <w:rsid w:val="00291C76"/>
    <w:rsid w:val="00291EA5"/>
    <w:rsid w:val="00291F44"/>
    <w:rsid w:val="00291FA1"/>
    <w:rsid w:val="00291FDD"/>
    <w:rsid w:val="0029209A"/>
    <w:rsid w:val="00292128"/>
    <w:rsid w:val="00292326"/>
    <w:rsid w:val="00292342"/>
    <w:rsid w:val="002925D6"/>
    <w:rsid w:val="002926BF"/>
    <w:rsid w:val="00292719"/>
    <w:rsid w:val="00292831"/>
    <w:rsid w:val="0029286E"/>
    <w:rsid w:val="0029288F"/>
    <w:rsid w:val="00292914"/>
    <w:rsid w:val="002929A4"/>
    <w:rsid w:val="00292ABD"/>
    <w:rsid w:val="00292B5A"/>
    <w:rsid w:val="00292BD5"/>
    <w:rsid w:val="00292BE5"/>
    <w:rsid w:val="00292C8E"/>
    <w:rsid w:val="00292C93"/>
    <w:rsid w:val="00292D3A"/>
    <w:rsid w:val="00292DD7"/>
    <w:rsid w:val="00292DDF"/>
    <w:rsid w:val="002930FE"/>
    <w:rsid w:val="0029319C"/>
    <w:rsid w:val="00293257"/>
    <w:rsid w:val="00293276"/>
    <w:rsid w:val="002932C2"/>
    <w:rsid w:val="002932DE"/>
    <w:rsid w:val="002932E0"/>
    <w:rsid w:val="00293328"/>
    <w:rsid w:val="0029332A"/>
    <w:rsid w:val="00293370"/>
    <w:rsid w:val="002933A6"/>
    <w:rsid w:val="00293448"/>
    <w:rsid w:val="0029347B"/>
    <w:rsid w:val="0029347D"/>
    <w:rsid w:val="0029347E"/>
    <w:rsid w:val="00293862"/>
    <w:rsid w:val="0029389A"/>
    <w:rsid w:val="00293977"/>
    <w:rsid w:val="00293A65"/>
    <w:rsid w:val="00293BC7"/>
    <w:rsid w:val="00293BF7"/>
    <w:rsid w:val="00293F23"/>
    <w:rsid w:val="00293FC7"/>
    <w:rsid w:val="00294091"/>
    <w:rsid w:val="002940D6"/>
    <w:rsid w:val="002940F0"/>
    <w:rsid w:val="002941EE"/>
    <w:rsid w:val="0029425A"/>
    <w:rsid w:val="002943B4"/>
    <w:rsid w:val="00294406"/>
    <w:rsid w:val="00294494"/>
    <w:rsid w:val="002944BC"/>
    <w:rsid w:val="0029454A"/>
    <w:rsid w:val="002945DC"/>
    <w:rsid w:val="002945E0"/>
    <w:rsid w:val="00294743"/>
    <w:rsid w:val="00294863"/>
    <w:rsid w:val="00294AB8"/>
    <w:rsid w:val="00294B95"/>
    <w:rsid w:val="00294C0B"/>
    <w:rsid w:val="00294C70"/>
    <w:rsid w:val="00294D02"/>
    <w:rsid w:val="00294D16"/>
    <w:rsid w:val="00294D57"/>
    <w:rsid w:val="00294E69"/>
    <w:rsid w:val="00294FF3"/>
    <w:rsid w:val="00295083"/>
    <w:rsid w:val="002950D7"/>
    <w:rsid w:val="00295129"/>
    <w:rsid w:val="00295253"/>
    <w:rsid w:val="00295291"/>
    <w:rsid w:val="002952BA"/>
    <w:rsid w:val="00295318"/>
    <w:rsid w:val="00295392"/>
    <w:rsid w:val="00295457"/>
    <w:rsid w:val="00295741"/>
    <w:rsid w:val="00295813"/>
    <w:rsid w:val="0029589B"/>
    <w:rsid w:val="002958BE"/>
    <w:rsid w:val="002958FA"/>
    <w:rsid w:val="00295A8D"/>
    <w:rsid w:val="00295C88"/>
    <w:rsid w:val="00295E0D"/>
    <w:rsid w:val="00295E16"/>
    <w:rsid w:val="00296006"/>
    <w:rsid w:val="002962FB"/>
    <w:rsid w:val="00296534"/>
    <w:rsid w:val="00296B4A"/>
    <w:rsid w:val="00296BCA"/>
    <w:rsid w:val="00296E6E"/>
    <w:rsid w:val="0029704F"/>
    <w:rsid w:val="002970F8"/>
    <w:rsid w:val="002970FA"/>
    <w:rsid w:val="0029722A"/>
    <w:rsid w:val="002972F6"/>
    <w:rsid w:val="0029734E"/>
    <w:rsid w:val="002973E1"/>
    <w:rsid w:val="0029776E"/>
    <w:rsid w:val="002977B2"/>
    <w:rsid w:val="002977C0"/>
    <w:rsid w:val="0029799D"/>
    <w:rsid w:val="00297B4C"/>
    <w:rsid w:val="00297C27"/>
    <w:rsid w:val="00297C33"/>
    <w:rsid w:val="00297CB9"/>
    <w:rsid w:val="00297D87"/>
    <w:rsid w:val="00297E1D"/>
    <w:rsid w:val="00297EAA"/>
    <w:rsid w:val="00297EE3"/>
    <w:rsid w:val="00297EE6"/>
    <w:rsid w:val="00297F73"/>
    <w:rsid w:val="002A0060"/>
    <w:rsid w:val="002A0178"/>
    <w:rsid w:val="002A0215"/>
    <w:rsid w:val="002A02FA"/>
    <w:rsid w:val="002A03A1"/>
    <w:rsid w:val="002A0681"/>
    <w:rsid w:val="002A06BC"/>
    <w:rsid w:val="002A06F4"/>
    <w:rsid w:val="002A094A"/>
    <w:rsid w:val="002A0974"/>
    <w:rsid w:val="002A0AB7"/>
    <w:rsid w:val="002A0AD3"/>
    <w:rsid w:val="002A0BCF"/>
    <w:rsid w:val="002A0BEA"/>
    <w:rsid w:val="002A0D1C"/>
    <w:rsid w:val="002A0E2C"/>
    <w:rsid w:val="002A0EB1"/>
    <w:rsid w:val="002A123D"/>
    <w:rsid w:val="002A12D4"/>
    <w:rsid w:val="002A12F5"/>
    <w:rsid w:val="002A1347"/>
    <w:rsid w:val="002A1378"/>
    <w:rsid w:val="002A146B"/>
    <w:rsid w:val="002A154B"/>
    <w:rsid w:val="002A156C"/>
    <w:rsid w:val="002A157B"/>
    <w:rsid w:val="002A15F1"/>
    <w:rsid w:val="002A1677"/>
    <w:rsid w:val="002A1712"/>
    <w:rsid w:val="002A1756"/>
    <w:rsid w:val="002A18AA"/>
    <w:rsid w:val="002A1988"/>
    <w:rsid w:val="002A1AED"/>
    <w:rsid w:val="002A1C44"/>
    <w:rsid w:val="002A1CD3"/>
    <w:rsid w:val="002A1F0D"/>
    <w:rsid w:val="002A1F5C"/>
    <w:rsid w:val="002A218D"/>
    <w:rsid w:val="002A2241"/>
    <w:rsid w:val="002A2278"/>
    <w:rsid w:val="002A22E0"/>
    <w:rsid w:val="002A2370"/>
    <w:rsid w:val="002A238D"/>
    <w:rsid w:val="002A2538"/>
    <w:rsid w:val="002A27BA"/>
    <w:rsid w:val="002A2999"/>
    <w:rsid w:val="002A2A9A"/>
    <w:rsid w:val="002A2AE5"/>
    <w:rsid w:val="002A2B86"/>
    <w:rsid w:val="002A2D46"/>
    <w:rsid w:val="002A2D87"/>
    <w:rsid w:val="002A2DE5"/>
    <w:rsid w:val="002A31A6"/>
    <w:rsid w:val="002A31C0"/>
    <w:rsid w:val="002A3235"/>
    <w:rsid w:val="002A3281"/>
    <w:rsid w:val="002A34F0"/>
    <w:rsid w:val="002A3561"/>
    <w:rsid w:val="002A3586"/>
    <w:rsid w:val="002A3624"/>
    <w:rsid w:val="002A37DD"/>
    <w:rsid w:val="002A38A7"/>
    <w:rsid w:val="002A38C6"/>
    <w:rsid w:val="002A3913"/>
    <w:rsid w:val="002A399A"/>
    <w:rsid w:val="002A3A9B"/>
    <w:rsid w:val="002A3B44"/>
    <w:rsid w:val="002A3CFC"/>
    <w:rsid w:val="002A3D79"/>
    <w:rsid w:val="002A3E50"/>
    <w:rsid w:val="002A3EC4"/>
    <w:rsid w:val="002A3FE8"/>
    <w:rsid w:val="002A431B"/>
    <w:rsid w:val="002A4328"/>
    <w:rsid w:val="002A4591"/>
    <w:rsid w:val="002A46DE"/>
    <w:rsid w:val="002A475C"/>
    <w:rsid w:val="002A4833"/>
    <w:rsid w:val="002A4ACC"/>
    <w:rsid w:val="002A4B44"/>
    <w:rsid w:val="002A4BB1"/>
    <w:rsid w:val="002A4BF0"/>
    <w:rsid w:val="002A4CCF"/>
    <w:rsid w:val="002A4DF3"/>
    <w:rsid w:val="002A4E47"/>
    <w:rsid w:val="002A4EAB"/>
    <w:rsid w:val="002A4F14"/>
    <w:rsid w:val="002A5091"/>
    <w:rsid w:val="002A54E1"/>
    <w:rsid w:val="002A550D"/>
    <w:rsid w:val="002A558C"/>
    <w:rsid w:val="002A56A9"/>
    <w:rsid w:val="002A56BE"/>
    <w:rsid w:val="002A57C0"/>
    <w:rsid w:val="002A59EF"/>
    <w:rsid w:val="002A59FD"/>
    <w:rsid w:val="002A5A4C"/>
    <w:rsid w:val="002A5B35"/>
    <w:rsid w:val="002A5C22"/>
    <w:rsid w:val="002A5C5B"/>
    <w:rsid w:val="002A5D39"/>
    <w:rsid w:val="002A5D6D"/>
    <w:rsid w:val="002A5E4D"/>
    <w:rsid w:val="002A5ED0"/>
    <w:rsid w:val="002A5ED7"/>
    <w:rsid w:val="002A5F2E"/>
    <w:rsid w:val="002A600B"/>
    <w:rsid w:val="002A605D"/>
    <w:rsid w:val="002A6087"/>
    <w:rsid w:val="002A61F0"/>
    <w:rsid w:val="002A624C"/>
    <w:rsid w:val="002A626B"/>
    <w:rsid w:val="002A628E"/>
    <w:rsid w:val="002A6328"/>
    <w:rsid w:val="002A63FF"/>
    <w:rsid w:val="002A66FB"/>
    <w:rsid w:val="002A6771"/>
    <w:rsid w:val="002A6784"/>
    <w:rsid w:val="002A6904"/>
    <w:rsid w:val="002A6A2C"/>
    <w:rsid w:val="002A6ABC"/>
    <w:rsid w:val="002A6C0F"/>
    <w:rsid w:val="002A6C33"/>
    <w:rsid w:val="002A6C93"/>
    <w:rsid w:val="002A6D2C"/>
    <w:rsid w:val="002A6DEF"/>
    <w:rsid w:val="002A6EEE"/>
    <w:rsid w:val="002A6F9F"/>
    <w:rsid w:val="002A7044"/>
    <w:rsid w:val="002A70A0"/>
    <w:rsid w:val="002A70E4"/>
    <w:rsid w:val="002A7265"/>
    <w:rsid w:val="002A72B6"/>
    <w:rsid w:val="002A7453"/>
    <w:rsid w:val="002A74B5"/>
    <w:rsid w:val="002A74B6"/>
    <w:rsid w:val="002A75D0"/>
    <w:rsid w:val="002A76C2"/>
    <w:rsid w:val="002A785C"/>
    <w:rsid w:val="002A7A16"/>
    <w:rsid w:val="002A7A8A"/>
    <w:rsid w:val="002A7B4C"/>
    <w:rsid w:val="002A7B9C"/>
    <w:rsid w:val="002A7BAD"/>
    <w:rsid w:val="002A7C15"/>
    <w:rsid w:val="002A7C7A"/>
    <w:rsid w:val="002A7C82"/>
    <w:rsid w:val="002A7D10"/>
    <w:rsid w:val="002A7DFE"/>
    <w:rsid w:val="002A7E47"/>
    <w:rsid w:val="002A7E56"/>
    <w:rsid w:val="002B0065"/>
    <w:rsid w:val="002B00C8"/>
    <w:rsid w:val="002B00F9"/>
    <w:rsid w:val="002B01BE"/>
    <w:rsid w:val="002B042D"/>
    <w:rsid w:val="002B0501"/>
    <w:rsid w:val="002B06C2"/>
    <w:rsid w:val="002B06DF"/>
    <w:rsid w:val="002B073B"/>
    <w:rsid w:val="002B07E1"/>
    <w:rsid w:val="002B07EC"/>
    <w:rsid w:val="002B0883"/>
    <w:rsid w:val="002B08E6"/>
    <w:rsid w:val="002B092D"/>
    <w:rsid w:val="002B092F"/>
    <w:rsid w:val="002B09DA"/>
    <w:rsid w:val="002B0A80"/>
    <w:rsid w:val="002B0ABD"/>
    <w:rsid w:val="002B0BE7"/>
    <w:rsid w:val="002B0BEE"/>
    <w:rsid w:val="002B0C29"/>
    <w:rsid w:val="002B0C2C"/>
    <w:rsid w:val="002B0D6B"/>
    <w:rsid w:val="002B0EA2"/>
    <w:rsid w:val="002B0EC5"/>
    <w:rsid w:val="002B0EFB"/>
    <w:rsid w:val="002B0F5F"/>
    <w:rsid w:val="002B0FB8"/>
    <w:rsid w:val="002B104E"/>
    <w:rsid w:val="002B10D9"/>
    <w:rsid w:val="002B120B"/>
    <w:rsid w:val="002B1287"/>
    <w:rsid w:val="002B12E6"/>
    <w:rsid w:val="002B1610"/>
    <w:rsid w:val="002B1954"/>
    <w:rsid w:val="002B1AFA"/>
    <w:rsid w:val="002B1B52"/>
    <w:rsid w:val="002B1E31"/>
    <w:rsid w:val="002B1E52"/>
    <w:rsid w:val="002B1E5C"/>
    <w:rsid w:val="002B204D"/>
    <w:rsid w:val="002B2122"/>
    <w:rsid w:val="002B2221"/>
    <w:rsid w:val="002B24C3"/>
    <w:rsid w:val="002B25E3"/>
    <w:rsid w:val="002B25E5"/>
    <w:rsid w:val="002B26CA"/>
    <w:rsid w:val="002B2826"/>
    <w:rsid w:val="002B28DB"/>
    <w:rsid w:val="002B2A25"/>
    <w:rsid w:val="002B2A75"/>
    <w:rsid w:val="002B2AA9"/>
    <w:rsid w:val="002B2AB9"/>
    <w:rsid w:val="002B2C4B"/>
    <w:rsid w:val="002B2C9D"/>
    <w:rsid w:val="002B2E5C"/>
    <w:rsid w:val="002B2E8F"/>
    <w:rsid w:val="002B2EAB"/>
    <w:rsid w:val="002B2F33"/>
    <w:rsid w:val="002B3211"/>
    <w:rsid w:val="002B32F4"/>
    <w:rsid w:val="002B3302"/>
    <w:rsid w:val="002B3358"/>
    <w:rsid w:val="002B338E"/>
    <w:rsid w:val="002B3559"/>
    <w:rsid w:val="002B35AF"/>
    <w:rsid w:val="002B35C7"/>
    <w:rsid w:val="002B379E"/>
    <w:rsid w:val="002B3913"/>
    <w:rsid w:val="002B3A52"/>
    <w:rsid w:val="002B3ACC"/>
    <w:rsid w:val="002B3D43"/>
    <w:rsid w:val="002B3DDB"/>
    <w:rsid w:val="002B3EC4"/>
    <w:rsid w:val="002B3F47"/>
    <w:rsid w:val="002B3F8F"/>
    <w:rsid w:val="002B3FEC"/>
    <w:rsid w:val="002B41C2"/>
    <w:rsid w:val="002B41CB"/>
    <w:rsid w:val="002B42C5"/>
    <w:rsid w:val="002B4364"/>
    <w:rsid w:val="002B43E4"/>
    <w:rsid w:val="002B4460"/>
    <w:rsid w:val="002B450F"/>
    <w:rsid w:val="002B4521"/>
    <w:rsid w:val="002B47FB"/>
    <w:rsid w:val="002B4882"/>
    <w:rsid w:val="002B48DB"/>
    <w:rsid w:val="002B4A9B"/>
    <w:rsid w:val="002B4C48"/>
    <w:rsid w:val="002B4F33"/>
    <w:rsid w:val="002B500F"/>
    <w:rsid w:val="002B501C"/>
    <w:rsid w:val="002B5127"/>
    <w:rsid w:val="002B51CD"/>
    <w:rsid w:val="002B5270"/>
    <w:rsid w:val="002B533D"/>
    <w:rsid w:val="002B5398"/>
    <w:rsid w:val="002B5415"/>
    <w:rsid w:val="002B5464"/>
    <w:rsid w:val="002B548E"/>
    <w:rsid w:val="002B550A"/>
    <w:rsid w:val="002B552A"/>
    <w:rsid w:val="002B5584"/>
    <w:rsid w:val="002B5607"/>
    <w:rsid w:val="002B57D2"/>
    <w:rsid w:val="002B598F"/>
    <w:rsid w:val="002B59AA"/>
    <w:rsid w:val="002B59CD"/>
    <w:rsid w:val="002B5A2D"/>
    <w:rsid w:val="002B5C20"/>
    <w:rsid w:val="002B5C94"/>
    <w:rsid w:val="002B5D53"/>
    <w:rsid w:val="002B5E51"/>
    <w:rsid w:val="002B5F41"/>
    <w:rsid w:val="002B605D"/>
    <w:rsid w:val="002B6124"/>
    <w:rsid w:val="002B61DF"/>
    <w:rsid w:val="002B64CE"/>
    <w:rsid w:val="002B652B"/>
    <w:rsid w:val="002B6532"/>
    <w:rsid w:val="002B66ED"/>
    <w:rsid w:val="002B67B2"/>
    <w:rsid w:val="002B6820"/>
    <w:rsid w:val="002B6879"/>
    <w:rsid w:val="002B6A69"/>
    <w:rsid w:val="002B6AF3"/>
    <w:rsid w:val="002B6B9F"/>
    <w:rsid w:val="002B6C35"/>
    <w:rsid w:val="002B6C65"/>
    <w:rsid w:val="002B6F12"/>
    <w:rsid w:val="002B7009"/>
    <w:rsid w:val="002B7043"/>
    <w:rsid w:val="002B70E4"/>
    <w:rsid w:val="002B7129"/>
    <w:rsid w:val="002B7235"/>
    <w:rsid w:val="002B7258"/>
    <w:rsid w:val="002B74C2"/>
    <w:rsid w:val="002B75E9"/>
    <w:rsid w:val="002B7602"/>
    <w:rsid w:val="002B786B"/>
    <w:rsid w:val="002B79BF"/>
    <w:rsid w:val="002B7A34"/>
    <w:rsid w:val="002B7A90"/>
    <w:rsid w:val="002B7AFF"/>
    <w:rsid w:val="002B7BB5"/>
    <w:rsid w:val="002B7BC8"/>
    <w:rsid w:val="002B7CBB"/>
    <w:rsid w:val="002B7D3F"/>
    <w:rsid w:val="002B7D66"/>
    <w:rsid w:val="002B7D6B"/>
    <w:rsid w:val="002B7F08"/>
    <w:rsid w:val="002B7F90"/>
    <w:rsid w:val="002C001D"/>
    <w:rsid w:val="002C00E6"/>
    <w:rsid w:val="002C0107"/>
    <w:rsid w:val="002C0256"/>
    <w:rsid w:val="002C025E"/>
    <w:rsid w:val="002C035C"/>
    <w:rsid w:val="002C0360"/>
    <w:rsid w:val="002C05E9"/>
    <w:rsid w:val="002C05FE"/>
    <w:rsid w:val="002C0835"/>
    <w:rsid w:val="002C0879"/>
    <w:rsid w:val="002C09E3"/>
    <w:rsid w:val="002C0A0F"/>
    <w:rsid w:val="002C0B56"/>
    <w:rsid w:val="002C0CB1"/>
    <w:rsid w:val="002C0CEE"/>
    <w:rsid w:val="002C0E80"/>
    <w:rsid w:val="002C0F11"/>
    <w:rsid w:val="002C0F8B"/>
    <w:rsid w:val="002C100B"/>
    <w:rsid w:val="002C112D"/>
    <w:rsid w:val="002C1180"/>
    <w:rsid w:val="002C11B8"/>
    <w:rsid w:val="002C11C7"/>
    <w:rsid w:val="002C1240"/>
    <w:rsid w:val="002C1276"/>
    <w:rsid w:val="002C1289"/>
    <w:rsid w:val="002C1360"/>
    <w:rsid w:val="002C13CA"/>
    <w:rsid w:val="002C14C6"/>
    <w:rsid w:val="002C160E"/>
    <w:rsid w:val="002C16D1"/>
    <w:rsid w:val="002C177F"/>
    <w:rsid w:val="002C183E"/>
    <w:rsid w:val="002C185D"/>
    <w:rsid w:val="002C1A08"/>
    <w:rsid w:val="002C1A33"/>
    <w:rsid w:val="002C1A60"/>
    <w:rsid w:val="002C1A7E"/>
    <w:rsid w:val="002C1BA9"/>
    <w:rsid w:val="002C1C79"/>
    <w:rsid w:val="002C1CC4"/>
    <w:rsid w:val="002C1D0E"/>
    <w:rsid w:val="002C1EDB"/>
    <w:rsid w:val="002C1F13"/>
    <w:rsid w:val="002C1F74"/>
    <w:rsid w:val="002C1FEE"/>
    <w:rsid w:val="002C2032"/>
    <w:rsid w:val="002C20B5"/>
    <w:rsid w:val="002C20D5"/>
    <w:rsid w:val="002C21E7"/>
    <w:rsid w:val="002C232F"/>
    <w:rsid w:val="002C2486"/>
    <w:rsid w:val="002C24FC"/>
    <w:rsid w:val="002C25E3"/>
    <w:rsid w:val="002C2712"/>
    <w:rsid w:val="002C288D"/>
    <w:rsid w:val="002C28D5"/>
    <w:rsid w:val="002C2996"/>
    <w:rsid w:val="002C299B"/>
    <w:rsid w:val="002C2AA7"/>
    <w:rsid w:val="002C2B9E"/>
    <w:rsid w:val="002C2DEA"/>
    <w:rsid w:val="002C2F21"/>
    <w:rsid w:val="002C30B6"/>
    <w:rsid w:val="002C3184"/>
    <w:rsid w:val="002C3266"/>
    <w:rsid w:val="002C3267"/>
    <w:rsid w:val="002C3330"/>
    <w:rsid w:val="002C334A"/>
    <w:rsid w:val="002C33D5"/>
    <w:rsid w:val="002C33E6"/>
    <w:rsid w:val="002C353B"/>
    <w:rsid w:val="002C3594"/>
    <w:rsid w:val="002C37D0"/>
    <w:rsid w:val="002C3AA6"/>
    <w:rsid w:val="002C3BCC"/>
    <w:rsid w:val="002C3BDF"/>
    <w:rsid w:val="002C3C52"/>
    <w:rsid w:val="002C3D3B"/>
    <w:rsid w:val="002C3E19"/>
    <w:rsid w:val="002C3F94"/>
    <w:rsid w:val="002C3F9B"/>
    <w:rsid w:val="002C4082"/>
    <w:rsid w:val="002C41D7"/>
    <w:rsid w:val="002C4270"/>
    <w:rsid w:val="002C427E"/>
    <w:rsid w:val="002C42FF"/>
    <w:rsid w:val="002C4717"/>
    <w:rsid w:val="002C47F7"/>
    <w:rsid w:val="002C48F1"/>
    <w:rsid w:val="002C4A06"/>
    <w:rsid w:val="002C4AA3"/>
    <w:rsid w:val="002C4D1F"/>
    <w:rsid w:val="002C4D88"/>
    <w:rsid w:val="002C4FC2"/>
    <w:rsid w:val="002C4FF6"/>
    <w:rsid w:val="002C50E1"/>
    <w:rsid w:val="002C5201"/>
    <w:rsid w:val="002C5307"/>
    <w:rsid w:val="002C5411"/>
    <w:rsid w:val="002C54EF"/>
    <w:rsid w:val="002C5584"/>
    <w:rsid w:val="002C579B"/>
    <w:rsid w:val="002C57B5"/>
    <w:rsid w:val="002C58C5"/>
    <w:rsid w:val="002C58F0"/>
    <w:rsid w:val="002C5A2B"/>
    <w:rsid w:val="002C5AAA"/>
    <w:rsid w:val="002C5B72"/>
    <w:rsid w:val="002C5CAE"/>
    <w:rsid w:val="002C5D67"/>
    <w:rsid w:val="002C5DF2"/>
    <w:rsid w:val="002C5EC9"/>
    <w:rsid w:val="002C6027"/>
    <w:rsid w:val="002C6169"/>
    <w:rsid w:val="002C620D"/>
    <w:rsid w:val="002C628A"/>
    <w:rsid w:val="002C64D3"/>
    <w:rsid w:val="002C64FE"/>
    <w:rsid w:val="002C65DC"/>
    <w:rsid w:val="002C6993"/>
    <w:rsid w:val="002C69BC"/>
    <w:rsid w:val="002C6B92"/>
    <w:rsid w:val="002C6DA7"/>
    <w:rsid w:val="002C6DDD"/>
    <w:rsid w:val="002C6E6C"/>
    <w:rsid w:val="002C6FE1"/>
    <w:rsid w:val="002C7265"/>
    <w:rsid w:val="002C75B9"/>
    <w:rsid w:val="002C75CE"/>
    <w:rsid w:val="002C770B"/>
    <w:rsid w:val="002C7906"/>
    <w:rsid w:val="002C79BE"/>
    <w:rsid w:val="002C7A12"/>
    <w:rsid w:val="002C7B23"/>
    <w:rsid w:val="002C7BCF"/>
    <w:rsid w:val="002C7D5A"/>
    <w:rsid w:val="002C7D82"/>
    <w:rsid w:val="002C7E09"/>
    <w:rsid w:val="002C7ED6"/>
    <w:rsid w:val="002C7F14"/>
    <w:rsid w:val="002D0125"/>
    <w:rsid w:val="002D01F7"/>
    <w:rsid w:val="002D023C"/>
    <w:rsid w:val="002D0258"/>
    <w:rsid w:val="002D0299"/>
    <w:rsid w:val="002D048F"/>
    <w:rsid w:val="002D05EF"/>
    <w:rsid w:val="002D061C"/>
    <w:rsid w:val="002D0729"/>
    <w:rsid w:val="002D0887"/>
    <w:rsid w:val="002D08CF"/>
    <w:rsid w:val="002D097A"/>
    <w:rsid w:val="002D0A65"/>
    <w:rsid w:val="002D0BB6"/>
    <w:rsid w:val="002D0C67"/>
    <w:rsid w:val="002D0EA6"/>
    <w:rsid w:val="002D0F4D"/>
    <w:rsid w:val="002D0FEF"/>
    <w:rsid w:val="002D1168"/>
    <w:rsid w:val="002D1212"/>
    <w:rsid w:val="002D1262"/>
    <w:rsid w:val="002D134E"/>
    <w:rsid w:val="002D13A4"/>
    <w:rsid w:val="002D1439"/>
    <w:rsid w:val="002D1493"/>
    <w:rsid w:val="002D1543"/>
    <w:rsid w:val="002D15BC"/>
    <w:rsid w:val="002D188E"/>
    <w:rsid w:val="002D1957"/>
    <w:rsid w:val="002D1C89"/>
    <w:rsid w:val="002D1D18"/>
    <w:rsid w:val="002D1D76"/>
    <w:rsid w:val="002D1D7A"/>
    <w:rsid w:val="002D1E15"/>
    <w:rsid w:val="002D1E2F"/>
    <w:rsid w:val="002D1E5C"/>
    <w:rsid w:val="002D1F1E"/>
    <w:rsid w:val="002D213B"/>
    <w:rsid w:val="002D2239"/>
    <w:rsid w:val="002D2476"/>
    <w:rsid w:val="002D2485"/>
    <w:rsid w:val="002D248A"/>
    <w:rsid w:val="002D25F8"/>
    <w:rsid w:val="002D288F"/>
    <w:rsid w:val="002D29E4"/>
    <w:rsid w:val="002D2A32"/>
    <w:rsid w:val="002D2B18"/>
    <w:rsid w:val="002D2C4F"/>
    <w:rsid w:val="002D2C5C"/>
    <w:rsid w:val="002D2DED"/>
    <w:rsid w:val="002D2E12"/>
    <w:rsid w:val="002D2E6F"/>
    <w:rsid w:val="002D2EEA"/>
    <w:rsid w:val="002D2F18"/>
    <w:rsid w:val="002D2F74"/>
    <w:rsid w:val="002D3033"/>
    <w:rsid w:val="002D307A"/>
    <w:rsid w:val="002D326A"/>
    <w:rsid w:val="002D3332"/>
    <w:rsid w:val="002D34AD"/>
    <w:rsid w:val="002D34F0"/>
    <w:rsid w:val="002D34F7"/>
    <w:rsid w:val="002D35FF"/>
    <w:rsid w:val="002D3643"/>
    <w:rsid w:val="002D37EC"/>
    <w:rsid w:val="002D3882"/>
    <w:rsid w:val="002D3A5D"/>
    <w:rsid w:val="002D3BB0"/>
    <w:rsid w:val="002D3C17"/>
    <w:rsid w:val="002D3C22"/>
    <w:rsid w:val="002D3E48"/>
    <w:rsid w:val="002D3F45"/>
    <w:rsid w:val="002D3FB6"/>
    <w:rsid w:val="002D407E"/>
    <w:rsid w:val="002D418A"/>
    <w:rsid w:val="002D4236"/>
    <w:rsid w:val="002D42A2"/>
    <w:rsid w:val="002D4387"/>
    <w:rsid w:val="002D443E"/>
    <w:rsid w:val="002D466A"/>
    <w:rsid w:val="002D46A9"/>
    <w:rsid w:val="002D46AD"/>
    <w:rsid w:val="002D4A11"/>
    <w:rsid w:val="002D4B44"/>
    <w:rsid w:val="002D4C58"/>
    <w:rsid w:val="002D4DDF"/>
    <w:rsid w:val="002D4EAF"/>
    <w:rsid w:val="002D50D8"/>
    <w:rsid w:val="002D5113"/>
    <w:rsid w:val="002D52BC"/>
    <w:rsid w:val="002D5399"/>
    <w:rsid w:val="002D5441"/>
    <w:rsid w:val="002D5571"/>
    <w:rsid w:val="002D55E9"/>
    <w:rsid w:val="002D5669"/>
    <w:rsid w:val="002D56F5"/>
    <w:rsid w:val="002D573C"/>
    <w:rsid w:val="002D5784"/>
    <w:rsid w:val="002D58DB"/>
    <w:rsid w:val="002D5A38"/>
    <w:rsid w:val="002D5B45"/>
    <w:rsid w:val="002D5B47"/>
    <w:rsid w:val="002D5BA1"/>
    <w:rsid w:val="002D5BC8"/>
    <w:rsid w:val="002D5C75"/>
    <w:rsid w:val="002D5CA5"/>
    <w:rsid w:val="002D5D51"/>
    <w:rsid w:val="002D5DF6"/>
    <w:rsid w:val="002D5E29"/>
    <w:rsid w:val="002D610C"/>
    <w:rsid w:val="002D6162"/>
    <w:rsid w:val="002D6163"/>
    <w:rsid w:val="002D6166"/>
    <w:rsid w:val="002D62A0"/>
    <w:rsid w:val="002D6321"/>
    <w:rsid w:val="002D63AA"/>
    <w:rsid w:val="002D6447"/>
    <w:rsid w:val="002D64A0"/>
    <w:rsid w:val="002D6775"/>
    <w:rsid w:val="002D67CC"/>
    <w:rsid w:val="002D67CD"/>
    <w:rsid w:val="002D688D"/>
    <w:rsid w:val="002D6B1B"/>
    <w:rsid w:val="002D6BFA"/>
    <w:rsid w:val="002D6CB3"/>
    <w:rsid w:val="002D6D45"/>
    <w:rsid w:val="002D6DB9"/>
    <w:rsid w:val="002D71C3"/>
    <w:rsid w:val="002D74A1"/>
    <w:rsid w:val="002D74D6"/>
    <w:rsid w:val="002D7525"/>
    <w:rsid w:val="002D7574"/>
    <w:rsid w:val="002D7647"/>
    <w:rsid w:val="002D77EA"/>
    <w:rsid w:val="002D7903"/>
    <w:rsid w:val="002D7926"/>
    <w:rsid w:val="002D7ACB"/>
    <w:rsid w:val="002D7C46"/>
    <w:rsid w:val="002D7D04"/>
    <w:rsid w:val="002D7E83"/>
    <w:rsid w:val="002D7E9F"/>
    <w:rsid w:val="002E0044"/>
    <w:rsid w:val="002E00A4"/>
    <w:rsid w:val="002E00AB"/>
    <w:rsid w:val="002E0106"/>
    <w:rsid w:val="002E02E9"/>
    <w:rsid w:val="002E036D"/>
    <w:rsid w:val="002E0455"/>
    <w:rsid w:val="002E047D"/>
    <w:rsid w:val="002E04A1"/>
    <w:rsid w:val="002E04D5"/>
    <w:rsid w:val="002E0843"/>
    <w:rsid w:val="002E09CB"/>
    <w:rsid w:val="002E0BAE"/>
    <w:rsid w:val="002E0C45"/>
    <w:rsid w:val="002E0D07"/>
    <w:rsid w:val="002E110F"/>
    <w:rsid w:val="002E1157"/>
    <w:rsid w:val="002E12A0"/>
    <w:rsid w:val="002E135E"/>
    <w:rsid w:val="002E1389"/>
    <w:rsid w:val="002E1491"/>
    <w:rsid w:val="002E1564"/>
    <w:rsid w:val="002E1579"/>
    <w:rsid w:val="002E1631"/>
    <w:rsid w:val="002E1654"/>
    <w:rsid w:val="002E1751"/>
    <w:rsid w:val="002E1784"/>
    <w:rsid w:val="002E1805"/>
    <w:rsid w:val="002E18B5"/>
    <w:rsid w:val="002E1CA9"/>
    <w:rsid w:val="002E1E4B"/>
    <w:rsid w:val="002E1E6D"/>
    <w:rsid w:val="002E1F01"/>
    <w:rsid w:val="002E2050"/>
    <w:rsid w:val="002E20D2"/>
    <w:rsid w:val="002E20F1"/>
    <w:rsid w:val="002E23BA"/>
    <w:rsid w:val="002E255E"/>
    <w:rsid w:val="002E259E"/>
    <w:rsid w:val="002E25F4"/>
    <w:rsid w:val="002E2723"/>
    <w:rsid w:val="002E273C"/>
    <w:rsid w:val="002E2953"/>
    <w:rsid w:val="002E2957"/>
    <w:rsid w:val="002E2CA4"/>
    <w:rsid w:val="002E2CFA"/>
    <w:rsid w:val="002E2EFF"/>
    <w:rsid w:val="002E2FC3"/>
    <w:rsid w:val="002E310D"/>
    <w:rsid w:val="002E3185"/>
    <w:rsid w:val="002E32CC"/>
    <w:rsid w:val="002E3365"/>
    <w:rsid w:val="002E33E9"/>
    <w:rsid w:val="002E3459"/>
    <w:rsid w:val="002E351D"/>
    <w:rsid w:val="002E3631"/>
    <w:rsid w:val="002E36E0"/>
    <w:rsid w:val="002E3A38"/>
    <w:rsid w:val="002E3B0E"/>
    <w:rsid w:val="002E3B2C"/>
    <w:rsid w:val="002E3C8C"/>
    <w:rsid w:val="002E3CB8"/>
    <w:rsid w:val="002E3E69"/>
    <w:rsid w:val="002E3E98"/>
    <w:rsid w:val="002E3F6B"/>
    <w:rsid w:val="002E3F70"/>
    <w:rsid w:val="002E407E"/>
    <w:rsid w:val="002E4136"/>
    <w:rsid w:val="002E425D"/>
    <w:rsid w:val="002E4420"/>
    <w:rsid w:val="002E4478"/>
    <w:rsid w:val="002E44E1"/>
    <w:rsid w:val="002E455D"/>
    <w:rsid w:val="002E47AD"/>
    <w:rsid w:val="002E484B"/>
    <w:rsid w:val="002E486A"/>
    <w:rsid w:val="002E48BC"/>
    <w:rsid w:val="002E4C58"/>
    <w:rsid w:val="002E4D6D"/>
    <w:rsid w:val="002E4D9D"/>
    <w:rsid w:val="002E4ED7"/>
    <w:rsid w:val="002E4F6C"/>
    <w:rsid w:val="002E52C6"/>
    <w:rsid w:val="002E537B"/>
    <w:rsid w:val="002E54BB"/>
    <w:rsid w:val="002E55A0"/>
    <w:rsid w:val="002E55DF"/>
    <w:rsid w:val="002E5648"/>
    <w:rsid w:val="002E5731"/>
    <w:rsid w:val="002E5774"/>
    <w:rsid w:val="002E5820"/>
    <w:rsid w:val="002E58DB"/>
    <w:rsid w:val="002E58F8"/>
    <w:rsid w:val="002E59B1"/>
    <w:rsid w:val="002E5AD7"/>
    <w:rsid w:val="002E5E3C"/>
    <w:rsid w:val="002E5E9A"/>
    <w:rsid w:val="002E5FAD"/>
    <w:rsid w:val="002E621D"/>
    <w:rsid w:val="002E625D"/>
    <w:rsid w:val="002E62AE"/>
    <w:rsid w:val="002E6460"/>
    <w:rsid w:val="002E6585"/>
    <w:rsid w:val="002E65FA"/>
    <w:rsid w:val="002E6669"/>
    <w:rsid w:val="002E695C"/>
    <w:rsid w:val="002E6A54"/>
    <w:rsid w:val="002E6AC8"/>
    <w:rsid w:val="002E6CFF"/>
    <w:rsid w:val="002E6DFD"/>
    <w:rsid w:val="002E6E46"/>
    <w:rsid w:val="002E7037"/>
    <w:rsid w:val="002E7046"/>
    <w:rsid w:val="002E7090"/>
    <w:rsid w:val="002E7220"/>
    <w:rsid w:val="002E7234"/>
    <w:rsid w:val="002E72D8"/>
    <w:rsid w:val="002E7327"/>
    <w:rsid w:val="002E7402"/>
    <w:rsid w:val="002E7501"/>
    <w:rsid w:val="002E7531"/>
    <w:rsid w:val="002E7600"/>
    <w:rsid w:val="002E7663"/>
    <w:rsid w:val="002E7760"/>
    <w:rsid w:val="002E777F"/>
    <w:rsid w:val="002E7910"/>
    <w:rsid w:val="002E7AA4"/>
    <w:rsid w:val="002E7BC4"/>
    <w:rsid w:val="002E7E94"/>
    <w:rsid w:val="002E7EC6"/>
    <w:rsid w:val="002E7F85"/>
    <w:rsid w:val="002F0086"/>
    <w:rsid w:val="002F00C1"/>
    <w:rsid w:val="002F01C5"/>
    <w:rsid w:val="002F020C"/>
    <w:rsid w:val="002F0226"/>
    <w:rsid w:val="002F03A9"/>
    <w:rsid w:val="002F040D"/>
    <w:rsid w:val="002F04FE"/>
    <w:rsid w:val="002F054B"/>
    <w:rsid w:val="002F057B"/>
    <w:rsid w:val="002F0593"/>
    <w:rsid w:val="002F05D8"/>
    <w:rsid w:val="002F05FF"/>
    <w:rsid w:val="002F0694"/>
    <w:rsid w:val="002F06CD"/>
    <w:rsid w:val="002F0928"/>
    <w:rsid w:val="002F09E5"/>
    <w:rsid w:val="002F0A7B"/>
    <w:rsid w:val="002F0BB7"/>
    <w:rsid w:val="002F0C67"/>
    <w:rsid w:val="002F0D64"/>
    <w:rsid w:val="002F0DE3"/>
    <w:rsid w:val="002F0FCF"/>
    <w:rsid w:val="002F121B"/>
    <w:rsid w:val="002F1285"/>
    <w:rsid w:val="002F132D"/>
    <w:rsid w:val="002F134E"/>
    <w:rsid w:val="002F13BB"/>
    <w:rsid w:val="002F146E"/>
    <w:rsid w:val="002F14D0"/>
    <w:rsid w:val="002F1534"/>
    <w:rsid w:val="002F15E0"/>
    <w:rsid w:val="002F1710"/>
    <w:rsid w:val="002F1843"/>
    <w:rsid w:val="002F197F"/>
    <w:rsid w:val="002F1ABF"/>
    <w:rsid w:val="002F1AD9"/>
    <w:rsid w:val="002F1ADD"/>
    <w:rsid w:val="002F1AF1"/>
    <w:rsid w:val="002F1B1A"/>
    <w:rsid w:val="002F1B3F"/>
    <w:rsid w:val="002F203F"/>
    <w:rsid w:val="002F20C2"/>
    <w:rsid w:val="002F2304"/>
    <w:rsid w:val="002F2330"/>
    <w:rsid w:val="002F239F"/>
    <w:rsid w:val="002F24DB"/>
    <w:rsid w:val="002F2672"/>
    <w:rsid w:val="002F2777"/>
    <w:rsid w:val="002F28EC"/>
    <w:rsid w:val="002F28EF"/>
    <w:rsid w:val="002F2A6B"/>
    <w:rsid w:val="002F2ACC"/>
    <w:rsid w:val="002F2C57"/>
    <w:rsid w:val="002F2DC6"/>
    <w:rsid w:val="002F2E51"/>
    <w:rsid w:val="002F2E78"/>
    <w:rsid w:val="002F3014"/>
    <w:rsid w:val="002F3279"/>
    <w:rsid w:val="002F32DD"/>
    <w:rsid w:val="002F33AC"/>
    <w:rsid w:val="002F349A"/>
    <w:rsid w:val="002F3537"/>
    <w:rsid w:val="002F353F"/>
    <w:rsid w:val="002F35C6"/>
    <w:rsid w:val="002F3744"/>
    <w:rsid w:val="002F37B3"/>
    <w:rsid w:val="002F39B9"/>
    <w:rsid w:val="002F3A32"/>
    <w:rsid w:val="002F3A46"/>
    <w:rsid w:val="002F3A84"/>
    <w:rsid w:val="002F3C8B"/>
    <w:rsid w:val="002F3CF6"/>
    <w:rsid w:val="002F3EAB"/>
    <w:rsid w:val="002F3F05"/>
    <w:rsid w:val="002F41A4"/>
    <w:rsid w:val="002F45E5"/>
    <w:rsid w:val="002F462E"/>
    <w:rsid w:val="002F4669"/>
    <w:rsid w:val="002F46C2"/>
    <w:rsid w:val="002F47FF"/>
    <w:rsid w:val="002F4815"/>
    <w:rsid w:val="002F4825"/>
    <w:rsid w:val="002F4980"/>
    <w:rsid w:val="002F49E4"/>
    <w:rsid w:val="002F4AC3"/>
    <w:rsid w:val="002F4B9B"/>
    <w:rsid w:val="002F4C0B"/>
    <w:rsid w:val="002F4F7A"/>
    <w:rsid w:val="002F5188"/>
    <w:rsid w:val="002F523A"/>
    <w:rsid w:val="002F544D"/>
    <w:rsid w:val="002F54C9"/>
    <w:rsid w:val="002F5575"/>
    <w:rsid w:val="002F55CB"/>
    <w:rsid w:val="002F5667"/>
    <w:rsid w:val="002F56BC"/>
    <w:rsid w:val="002F5764"/>
    <w:rsid w:val="002F57CD"/>
    <w:rsid w:val="002F5A6C"/>
    <w:rsid w:val="002F5B3D"/>
    <w:rsid w:val="002F5C56"/>
    <w:rsid w:val="002F5CA1"/>
    <w:rsid w:val="002F5D2E"/>
    <w:rsid w:val="002F5F14"/>
    <w:rsid w:val="002F60C4"/>
    <w:rsid w:val="002F617B"/>
    <w:rsid w:val="002F629A"/>
    <w:rsid w:val="002F63C3"/>
    <w:rsid w:val="002F6441"/>
    <w:rsid w:val="002F660E"/>
    <w:rsid w:val="002F6841"/>
    <w:rsid w:val="002F68AC"/>
    <w:rsid w:val="002F6943"/>
    <w:rsid w:val="002F6B1B"/>
    <w:rsid w:val="002F6C49"/>
    <w:rsid w:val="002F6E2D"/>
    <w:rsid w:val="002F6F03"/>
    <w:rsid w:val="002F6F0A"/>
    <w:rsid w:val="002F6FB6"/>
    <w:rsid w:val="002F7047"/>
    <w:rsid w:val="002F709F"/>
    <w:rsid w:val="002F7198"/>
    <w:rsid w:val="002F726C"/>
    <w:rsid w:val="002F7291"/>
    <w:rsid w:val="002F7394"/>
    <w:rsid w:val="002F739D"/>
    <w:rsid w:val="002F7487"/>
    <w:rsid w:val="002F751C"/>
    <w:rsid w:val="002F75A3"/>
    <w:rsid w:val="002F7664"/>
    <w:rsid w:val="002F7790"/>
    <w:rsid w:val="002F7805"/>
    <w:rsid w:val="002F783C"/>
    <w:rsid w:val="002F786F"/>
    <w:rsid w:val="002F7A43"/>
    <w:rsid w:val="002F7D4A"/>
    <w:rsid w:val="002F7EA8"/>
    <w:rsid w:val="002F7FEB"/>
    <w:rsid w:val="00300230"/>
    <w:rsid w:val="00300378"/>
    <w:rsid w:val="00300395"/>
    <w:rsid w:val="0030039E"/>
    <w:rsid w:val="003005C0"/>
    <w:rsid w:val="003007E3"/>
    <w:rsid w:val="00300828"/>
    <w:rsid w:val="0030096F"/>
    <w:rsid w:val="003009B1"/>
    <w:rsid w:val="00300D12"/>
    <w:rsid w:val="00300DA2"/>
    <w:rsid w:val="00300DDE"/>
    <w:rsid w:val="0030101E"/>
    <w:rsid w:val="003010A9"/>
    <w:rsid w:val="00301276"/>
    <w:rsid w:val="00301406"/>
    <w:rsid w:val="003015A8"/>
    <w:rsid w:val="00301809"/>
    <w:rsid w:val="00301AB0"/>
    <w:rsid w:val="00301B2F"/>
    <w:rsid w:val="00301E30"/>
    <w:rsid w:val="00301EA9"/>
    <w:rsid w:val="00301F67"/>
    <w:rsid w:val="0030212D"/>
    <w:rsid w:val="00302193"/>
    <w:rsid w:val="003021B6"/>
    <w:rsid w:val="00302449"/>
    <w:rsid w:val="003027E1"/>
    <w:rsid w:val="003028C8"/>
    <w:rsid w:val="00302A12"/>
    <w:rsid w:val="00302B18"/>
    <w:rsid w:val="00302B2D"/>
    <w:rsid w:val="00302BAD"/>
    <w:rsid w:val="00302CD5"/>
    <w:rsid w:val="00302D8C"/>
    <w:rsid w:val="00302E49"/>
    <w:rsid w:val="00302FA0"/>
    <w:rsid w:val="00303158"/>
    <w:rsid w:val="00303276"/>
    <w:rsid w:val="00303453"/>
    <w:rsid w:val="00303477"/>
    <w:rsid w:val="00303560"/>
    <w:rsid w:val="003035C9"/>
    <w:rsid w:val="00303B3E"/>
    <w:rsid w:val="00303B89"/>
    <w:rsid w:val="00303C0F"/>
    <w:rsid w:val="00303C87"/>
    <w:rsid w:val="00303DB7"/>
    <w:rsid w:val="00303DF2"/>
    <w:rsid w:val="00303EF8"/>
    <w:rsid w:val="00304017"/>
    <w:rsid w:val="00304051"/>
    <w:rsid w:val="0030411A"/>
    <w:rsid w:val="00304491"/>
    <w:rsid w:val="003044E6"/>
    <w:rsid w:val="0030463E"/>
    <w:rsid w:val="00304695"/>
    <w:rsid w:val="003046BF"/>
    <w:rsid w:val="003047CE"/>
    <w:rsid w:val="0030488C"/>
    <w:rsid w:val="003048C7"/>
    <w:rsid w:val="003048D7"/>
    <w:rsid w:val="00304A12"/>
    <w:rsid w:val="00304B2F"/>
    <w:rsid w:val="00304C84"/>
    <w:rsid w:val="00304DEF"/>
    <w:rsid w:val="00304ECC"/>
    <w:rsid w:val="00304F22"/>
    <w:rsid w:val="00304F52"/>
    <w:rsid w:val="00304F87"/>
    <w:rsid w:val="003050DB"/>
    <w:rsid w:val="00305223"/>
    <w:rsid w:val="00305257"/>
    <w:rsid w:val="003053B6"/>
    <w:rsid w:val="003053C4"/>
    <w:rsid w:val="003054C5"/>
    <w:rsid w:val="00305548"/>
    <w:rsid w:val="0030557E"/>
    <w:rsid w:val="00305601"/>
    <w:rsid w:val="0030565D"/>
    <w:rsid w:val="0030566D"/>
    <w:rsid w:val="003058EE"/>
    <w:rsid w:val="00305A16"/>
    <w:rsid w:val="00305AC8"/>
    <w:rsid w:val="00305C59"/>
    <w:rsid w:val="00305D5F"/>
    <w:rsid w:val="00305D95"/>
    <w:rsid w:val="00305E2D"/>
    <w:rsid w:val="00305E2E"/>
    <w:rsid w:val="00305EFB"/>
    <w:rsid w:val="00305F25"/>
    <w:rsid w:val="0030612F"/>
    <w:rsid w:val="00306217"/>
    <w:rsid w:val="003063CE"/>
    <w:rsid w:val="003063F7"/>
    <w:rsid w:val="0030652D"/>
    <w:rsid w:val="0030675B"/>
    <w:rsid w:val="003067F4"/>
    <w:rsid w:val="0030697E"/>
    <w:rsid w:val="00306AE0"/>
    <w:rsid w:val="00306BF9"/>
    <w:rsid w:val="00306DC6"/>
    <w:rsid w:val="00307045"/>
    <w:rsid w:val="003070E7"/>
    <w:rsid w:val="00307132"/>
    <w:rsid w:val="003071AA"/>
    <w:rsid w:val="003074A4"/>
    <w:rsid w:val="00307592"/>
    <w:rsid w:val="00307715"/>
    <w:rsid w:val="00307787"/>
    <w:rsid w:val="0030798B"/>
    <w:rsid w:val="003079FF"/>
    <w:rsid w:val="00307A1D"/>
    <w:rsid w:val="00307B78"/>
    <w:rsid w:val="00307E3F"/>
    <w:rsid w:val="00307F72"/>
    <w:rsid w:val="00310069"/>
    <w:rsid w:val="003100D9"/>
    <w:rsid w:val="0031012F"/>
    <w:rsid w:val="003102F9"/>
    <w:rsid w:val="0031031F"/>
    <w:rsid w:val="00310329"/>
    <w:rsid w:val="003103AB"/>
    <w:rsid w:val="003105B5"/>
    <w:rsid w:val="003105E1"/>
    <w:rsid w:val="0031091B"/>
    <w:rsid w:val="00310AD9"/>
    <w:rsid w:val="00310B78"/>
    <w:rsid w:val="00310B7B"/>
    <w:rsid w:val="00310C09"/>
    <w:rsid w:val="00310CAD"/>
    <w:rsid w:val="00310DC3"/>
    <w:rsid w:val="00310F20"/>
    <w:rsid w:val="00311000"/>
    <w:rsid w:val="00311001"/>
    <w:rsid w:val="0031107F"/>
    <w:rsid w:val="00311321"/>
    <w:rsid w:val="00311438"/>
    <w:rsid w:val="00311567"/>
    <w:rsid w:val="00311D8B"/>
    <w:rsid w:val="00311E25"/>
    <w:rsid w:val="00312004"/>
    <w:rsid w:val="0031236A"/>
    <w:rsid w:val="00312440"/>
    <w:rsid w:val="003124A7"/>
    <w:rsid w:val="00312694"/>
    <w:rsid w:val="003126B0"/>
    <w:rsid w:val="00312762"/>
    <w:rsid w:val="00312A77"/>
    <w:rsid w:val="00312B4B"/>
    <w:rsid w:val="00312CDD"/>
    <w:rsid w:val="00312CF6"/>
    <w:rsid w:val="00312DE1"/>
    <w:rsid w:val="00312EA3"/>
    <w:rsid w:val="00312F7B"/>
    <w:rsid w:val="00313092"/>
    <w:rsid w:val="00313138"/>
    <w:rsid w:val="003131F3"/>
    <w:rsid w:val="00313216"/>
    <w:rsid w:val="00313251"/>
    <w:rsid w:val="003132C0"/>
    <w:rsid w:val="003132E2"/>
    <w:rsid w:val="00313310"/>
    <w:rsid w:val="00313441"/>
    <w:rsid w:val="00313452"/>
    <w:rsid w:val="003136E0"/>
    <w:rsid w:val="003136FE"/>
    <w:rsid w:val="00313713"/>
    <w:rsid w:val="00313715"/>
    <w:rsid w:val="00313729"/>
    <w:rsid w:val="003138F1"/>
    <w:rsid w:val="00313925"/>
    <w:rsid w:val="003139D6"/>
    <w:rsid w:val="003139EE"/>
    <w:rsid w:val="00313A20"/>
    <w:rsid w:val="00313B57"/>
    <w:rsid w:val="00313B5B"/>
    <w:rsid w:val="00313E06"/>
    <w:rsid w:val="00313F19"/>
    <w:rsid w:val="00313F95"/>
    <w:rsid w:val="00314024"/>
    <w:rsid w:val="0031416C"/>
    <w:rsid w:val="0031424A"/>
    <w:rsid w:val="003142D2"/>
    <w:rsid w:val="003143AA"/>
    <w:rsid w:val="003144B0"/>
    <w:rsid w:val="003144F3"/>
    <w:rsid w:val="003145C7"/>
    <w:rsid w:val="00314678"/>
    <w:rsid w:val="00314B35"/>
    <w:rsid w:val="00314B3F"/>
    <w:rsid w:val="00314DF0"/>
    <w:rsid w:val="00314F41"/>
    <w:rsid w:val="00315366"/>
    <w:rsid w:val="00315382"/>
    <w:rsid w:val="003155CA"/>
    <w:rsid w:val="00315672"/>
    <w:rsid w:val="00315743"/>
    <w:rsid w:val="00315797"/>
    <w:rsid w:val="00315801"/>
    <w:rsid w:val="00315812"/>
    <w:rsid w:val="0031588F"/>
    <w:rsid w:val="003159D0"/>
    <w:rsid w:val="00315B36"/>
    <w:rsid w:val="00315BD3"/>
    <w:rsid w:val="00315C13"/>
    <w:rsid w:val="00315CA3"/>
    <w:rsid w:val="00315CE3"/>
    <w:rsid w:val="00315EBF"/>
    <w:rsid w:val="00315F7C"/>
    <w:rsid w:val="003161BD"/>
    <w:rsid w:val="00316203"/>
    <w:rsid w:val="0031620D"/>
    <w:rsid w:val="0031625A"/>
    <w:rsid w:val="0031634D"/>
    <w:rsid w:val="00316365"/>
    <w:rsid w:val="003165CB"/>
    <w:rsid w:val="00316617"/>
    <w:rsid w:val="0031665A"/>
    <w:rsid w:val="003166EC"/>
    <w:rsid w:val="003167CB"/>
    <w:rsid w:val="00316896"/>
    <w:rsid w:val="00316924"/>
    <w:rsid w:val="00316B09"/>
    <w:rsid w:val="00316BF6"/>
    <w:rsid w:val="00316C66"/>
    <w:rsid w:val="00316D9E"/>
    <w:rsid w:val="00316DE3"/>
    <w:rsid w:val="00316EAB"/>
    <w:rsid w:val="00316F46"/>
    <w:rsid w:val="00316F8C"/>
    <w:rsid w:val="003170D2"/>
    <w:rsid w:val="00317229"/>
    <w:rsid w:val="003172DB"/>
    <w:rsid w:val="0031733A"/>
    <w:rsid w:val="0031737D"/>
    <w:rsid w:val="003173C1"/>
    <w:rsid w:val="003173C9"/>
    <w:rsid w:val="0031742D"/>
    <w:rsid w:val="00317435"/>
    <w:rsid w:val="0031753D"/>
    <w:rsid w:val="003176E8"/>
    <w:rsid w:val="0031775E"/>
    <w:rsid w:val="00317892"/>
    <w:rsid w:val="00317922"/>
    <w:rsid w:val="003179BB"/>
    <w:rsid w:val="00317C3A"/>
    <w:rsid w:val="00317DE3"/>
    <w:rsid w:val="00317EDE"/>
    <w:rsid w:val="00317EE8"/>
    <w:rsid w:val="00317FBA"/>
    <w:rsid w:val="00320169"/>
    <w:rsid w:val="0032019F"/>
    <w:rsid w:val="003202F0"/>
    <w:rsid w:val="003204B0"/>
    <w:rsid w:val="00320558"/>
    <w:rsid w:val="003206AD"/>
    <w:rsid w:val="003207BC"/>
    <w:rsid w:val="00320828"/>
    <w:rsid w:val="00320854"/>
    <w:rsid w:val="003208E1"/>
    <w:rsid w:val="003209C4"/>
    <w:rsid w:val="00320ABF"/>
    <w:rsid w:val="00320B64"/>
    <w:rsid w:val="00320C2E"/>
    <w:rsid w:val="00320C50"/>
    <w:rsid w:val="00320D96"/>
    <w:rsid w:val="00320E19"/>
    <w:rsid w:val="00320F73"/>
    <w:rsid w:val="00320F85"/>
    <w:rsid w:val="00320FCE"/>
    <w:rsid w:val="00320FEB"/>
    <w:rsid w:val="00321032"/>
    <w:rsid w:val="0032109D"/>
    <w:rsid w:val="003210DE"/>
    <w:rsid w:val="00321102"/>
    <w:rsid w:val="00321160"/>
    <w:rsid w:val="00321181"/>
    <w:rsid w:val="003211C1"/>
    <w:rsid w:val="003212DD"/>
    <w:rsid w:val="0032131B"/>
    <w:rsid w:val="00321324"/>
    <w:rsid w:val="00321574"/>
    <w:rsid w:val="003215AD"/>
    <w:rsid w:val="003216A4"/>
    <w:rsid w:val="003218BE"/>
    <w:rsid w:val="003218F3"/>
    <w:rsid w:val="00321A0D"/>
    <w:rsid w:val="00321B29"/>
    <w:rsid w:val="00321B3B"/>
    <w:rsid w:val="00321B7E"/>
    <w:rsid w:val="00321C74"/>
    <w:rsid w:val="00321CC2"/>
    <w:rsid w:val="00321E9E"/>
    <w:rsid w:val="00321EBE"/>
    <w:rsid w:val="0032200C"/>
    <w:rsid w:val="003221C9"/>
    <w:rsid w:val="003221CD"/>
    <w:rsid w:val="00322357"/>
    <w:rsid w:val="00322393"/>
    <w:rsid w:val="00322538"/>
    <w:rsid w:val="00322679"/>
    <w:rsid w:val="00322704"/>
    <w:rsid w:val="0032274B"/>
    <w:rsid w:val="003227A7"/>
    <w:rsid w:val="003227C1"/>
    <w:rsid w:val="003229F2"/>
    <w:rsid w:val="00322EC4"/>
    <w:rsid w:val="00322F8D"/>
    <w:rsid w:val="0032305F"/>
    <w:rsid w:val="00323096"/>
    <w:rsid w:val="00323105"/>
    <w:rsid w:val="00323118"/>
    <w:rsid w:val="00323239"/>
    <w:rsid w:val="003232F1"/>
    <w:rsid w:val="00323363"/>
    <w:rsid w:val="00323417"/>
    <w:rsid w:val="00323453"/>
    <w:rsid w:val="003234F8"/>
    <w:rsid w:val="003235F5"/>
    <w:rsid w:val="003238C4"/>
    <w:rsid w:val="003239BE"/>
    <w:rsid w:val="003239DC"/>
    <w:rsid w:val="00323AD8"/>
    <w:rsid w:val="00323B0D"/>
    <w:rsid w:val="00323B6D"/>
    <w:rsid w:val="00323BD6"/>
    <w:rsid w:val="00323BFB"/>
    <w:rsid w:val="00323CC4"/>
    <w:rsid w:val="00323CF2"/>
    <w:rsid w:val="00323DBD"/>
    <w:rsid w:val="00323E0D"/>
    <w:rsid w:val="00323E90"/>
    <w:rsid w:val="00323EC9"/>
    <w:rsid w:val="00323EFE"/>
    <w:rsid w:val="003241F2"/>
    <w:rsid w:val="003241F4"/>
    <w:rsid w:val="0032456A"/>
    <w:rsid w:val="003245AB"/>
    <w:rsid w:val="0032469E"/>
    <w:rsid w:val="00324737"/>
    <w:rsid w:val="0032475C"/>
    <w:rsid w:val="00324AEF"/>
    <w:rsid w:val="00324B61"/>
    <w:rsid w:val="00324BD2"/>
    <w:rsid w:val="00324C10"/>
    <w:rsid w:val="00324EDC"/>
    <w:rsid w:val="0032500B"/>
    <w:rsid w:val="0032512E"/>
    <w:rsid w:val="003252CC"/>
    <w:rsid w:val="00325315"/>
    <w:rsid w:val="0032537A"/>
    <w:rsid w:val="003253D6"/>
    <w:rsid w:val="003253E7"/>
    <w:rsid w:val="00325425"/>
    <w:rsid w:val="00325458"/>
    <w:rsid w:val="00325481"/>
    <w:rsid w:val="003254E0"/>
    <w:rsid w:val="003255EA"/>
    <w:rsid w:val="003255F9"/>
    <w:rsid w:val="00325627"/>
    <w:rsid w:val="00325655"/>
    <w:rsid w:val="0032576A"/>
    <w:rsid w:val="00325BB4"/>
    <w:rsid w:val="00325F47"/>
    <w:rsid w:val="003260E5"/>
    <w:rsid w:val="0032616E"/>
    <w:rsid w:val="003261D9"/>
    <w:rsid w:val="0032635F"/>
    <w:rsid w:val="0032636D"/>
    <w:rsid w:val="00326370"/>
    <w:rsid w:val="00326515"/>
    <w:rsid w:val="003265CB"/>
    <w:rsid w:val="00326644"/>
    <w:rsid w:val="0032668A"/>
    <w:rsid w:val="00326AF3"/>
    <w:rsid w:val="00326D41"/>
    <w:rsid w:val="00326EC3"/>
    <w:rsid w:val="00326EE1"/>
    <w:rsid w:val="00326FB6"/>
    <w:rsid w:val="003270AA"/>
    <w:rsid w:val="0032713B"/>
    <w:rsid w:val="00327155"/>
    <w:rsid w:val="00327159"/>
    <w:rsid w:val="00327230"/>
    <w:rsid w:val="003273A4"/>
    <w:rsid w:val="003275C0"/>
    <w:rsid w:val="003275FC"/>
    <w:rsid w:val="003277A2"/>
    <w:rsid w:val="003278BE"/>
    <w:rsid w:val="00327910"/>
    <w:rsid w:val="00327A19"/>
    <w:rsid w:val="00327A2E"/>
    <w:rsid w:val="00327AE8"/>
    <w:rsid w:val="00327B81"/>
    <w:rsid w:val="00327B8A"/>
    <w:rsid w:val="00327C8F"/>
    <w:rsid w:val="00327F9A"/>
    <w:rsid w:val="00330000"/>
    <w:rsid w:val="00330071"/>
    <w:rsid w:val="003300D3"/>
    <w:rsid w:val="003300EF"/>
    <w:rsid w:val="00330281"/>
    <w:rsid w:val="0033037A"/>
    <w:rsid w:val="003303A6"/>
    <w:rsid w:val="0033057F"/>
    <w:rsid w:val="00330724"/>
    <w:rsid w:val="00330756"/>
    <w:rsid w:val="003307B4"/>
    <w:rsid w:val="0033089E"/>
    <w:rsid w:val="00330BBB"/>
    <w:rsid w:val="00330BC3"/>
    <w:rsid w:val="00330C8C"/>
    <w:rsid w:val="00330D35"/>
    <w:rsid w:val="00330D40"/>
    <w:rsid w:val="00330F29"/>
    <w:rsid w:val="00330FCD"/>
    <w:rsid w:val="0033104E"/>
    <w:rsid w:val="00331052"/>
    <w:rsid w:val="0033121F"/>
    <w:rsid w:val="00331343"/>
    <w:rsid w:val="0033153C"/>
    <w:rsid w:val="00331577"/>
    <w:rsid w:val="003315A4"/>
    <w:rsid w:val="00331901"/>
    <w:rsid w:val="00331ABF"/>
    <w:rsid w:val="00331C96"/>
    <w:rsid w:val="00332019"/>
    <w:rsid w:val="00332057"/>
    <w:rsid w:val="003321B6"/>
    <w:rsid w:val="003321CC"/>
    <w:rsid w:val="00332257"/>
    <w:rsid w:val="00332297"/>
    <w:rsid w:val="003323B0"/>
    <w:rsid w:val="0033240F"/>
    <w:rsid w:val="00332692"/>
    <w:rsid w:val="0033272D"/>
    <w:rsid w:val="00332B31"/>
    <w:rsid w:val="00332C42"/>
    <w:rsid w:val="00332E07"/>
    <w:rsid w:val="00332E7F"/>
    <w:rsid w:val="00332E85"/>
    <w:rsid w:val="00332F55"/>
    <w:rsid w:val="00333050"/>
    <w:rsid w:val="003330B6"/>
    <w:rsid w:val="003331E6"/>
    <w:rsid w:val="0033327D"/>
    <w:rsid w:val="003332E7"/>
    <w:rsid w:val="00333446"/>
    <w:rsid w:val="003335AB"/>
    <w:rsid w:val="003335D8"/>
    <w:rsid w:val="0033360D"/>
    <w:rsid w:val="003336C3"/>
    <w:rsid w:val="003337CF"/>
    <w:rsid w:val="003337E1"/>
    <w:rsid w:val="003337EF"/>
    <w:rsid w:val="00333933"/>
    <w:rsid w:val="00333994"/>
    <w:rsid w:val="003339A0"/>
    <w:rsid w:val="00333A32"/>
    <w:rsid w:val="00333B14"/>
    <w:rsid w:val="00333CA4"/>
    <w:rsid w:val="00333CF6"/>
    <w:rsid w:val="00333F97"/>
    <w:rsid w:val="003340DF"/>
    <w:rsid w:val="00334305"/>
    <w:rsid w:val="00334363"/>
    <w:rsid w:val="00334377"/>
    <w:rsid w:val="00334396"/>
    <w:rsid w:val="003343DA"/>
    <w:rsid w:val="0033447F"/>
    <w:rsid w:val="003344E3"/>
    <w:rsid w:val="003346C7"/>
    <w:rsid w:val="003346DB"/>
    <w:rsid w:val="003347F1"/>
    <w:rsid w:val="003348BE"/>
    <w:rsid w:val="0033497D"/>
    <w:rsid w:val="00334A87"/>
    <w:rsid w:val="00334B7C"/>
    <w:rsid w:val="00334C78"/>
    <w:rsid w:val="00334C7F"/>
    <w:rsid w:val="00334D10"/>
    <w:rsid w:val="00334D2C"/>
    <w:rsid w:val="00334E06"/>
    <w:rsid w:val="00334F3C"/>
    <w:rsid w:val="00334F3E"/>
    <w:rsid w:val="00334FF6"/>
    <w:rsid w:val="00335073"/>
    <w:rsid w:val="003350CA"/>
    <w:rsid w:val="003350FB"/>
    <w:rsid w:val="0033511E"/>
    <w:rsid w:val="0033512F"/>
    <w:rsid w:val="003351BA"/>
    <w:rsid w:val="003351C0"/>
    <w:rsid w:val="00335352"/>
    <w:rsid w:val="00335354"/>
    <w:rsid w:val="0033559C"/>
    <w:rsid w:val="00335683"/>
    <w:rsid w:val="003357FB"/>
    <w:rsid w:val="00335885"/>
    <w:rsid w:val="0033597E"/>
    <w:rsid w:val="00335A5F"/>
    <w:rsid w:val="00335AD8"/>
    <w:rsid w:val="00335C15"/>
    <w:rsid w:val="00335C3C"/>
    <w:rsid w:val="00335C77"/>
    <w:rsid w:val="00335D05"/>
    <w:rsid w:val="00335E03"/>
    <w:rsid w:val="00335ECF"/>
    <w:rsid w:val="00335F20"/>
    <w:rsid w:val="003361F1"/>
    <w:rsid w:val="00336345"/>
    <w:rsid w:val="00336353"/>
    <w:rsid w:val="003364C7"/>
    <w:rsid w:val="003365D8"/>
    <w:rsid w:val="00336B1B"/>
    <w:rsid w:val="00336CFB"/>
    <w:rsid w:val="00336DAA"/>
    <w:rsid w:val="00336F2D"/>
    <w:rsid w:val="00336FEB"/>
    <w:rsid w:val="003370E0"/>
    <w:rsid w:val="003373D0"/>
    <w:rsid w:val="0033767E"/>
    <w:rsid w:val="00337710"/>
    <w:rsid w:val="0033772A"/>
    <w:rsid w:val="003378E4"/>
    <w:rsid w:val="00337A80"/>
    <w:rsid w:val="00337C7D"/>
    <w:rsid w:val="00337DAA"/>
    <w:rsid w:val="0034021B"/>
    <w:rsid w:val="00340271"/>
    <w:rsid w:val="003404E9"/>
    <w:rsid w:val="003405D4"/>
    <w:rsid w:val="00340678"/>
    <w:rsid w:val="0034068C"/>
    <w:rsid w:val="003406F4"/>
    <w:rsid w:val="003407B3"/>
    <w:rsid w:val="003408AF"/>
    <w:rsid w:val="003409A0"/>
    <w:rsid w:val="00340B02"/>
    <w:rsid w:val="00340B8D"/>
    <w:rsid w:val="00340B90"/>
    <w:rsid w:val="00340BBD"/>
    <w:rsid w:val="00340C54"/>
    <w:rsid w:val="00340D7D"/>
    <w:rsid w:val="00340D8A"/>
    <w:rsid w:val="00340DAC"/>
    <w:rsid w:val="00340DFA"/>
    <w:rsid w:val="00340ED5"/>
    <w:rsid w:val="00340EDF"/>
    <w:rsid w:val="00340F0F"/>
    <w:rsid w:val="00340F38"/>
    <w:rsid w:val="00340F83"/>
    <w:rsid w:val="00340FAF"/>
    <w:rsid w:val="00341130"/>
    <w:rsid w:val="003411A1"/>
    <w:rsid w:val="003411C5"/>
    <w:rsid w:val="003411EF"/>
    <w:rsid w:val="00341259"/>
    <w:rsid w:val="00341542"/>
    <w:rsid w:val="00341A77"/>
    <w:rsid w:val="00341AE3"/>
    <w:rsid w:val="00341C0B"/>
    <w:rsid w:val="00341C13"/>
    <w:rsid w:val="00341F2B"/>
    <w:rsid w:val="00341F6C"/>
    <w:rsid w:val="00341FBE"/>
    <w:rsid w:val="00341FE4"/>
    <w:rsid w:val="003422E0"/>
    <w:rsid w:val="0034231E"/>
    <w:rsid w:val="003423CB"/>
    <w:rsid w:val="00342591"/>
    <w:rsid w:val="00342660"/>
    <w:rsid w:val="003426B6"/>
    <w:rsid w:val="003426D5"/>
    <w:rsid w:val="0034278B"/>
    <w:rsid w:val="0034279C"/>
    <w:rsid w:val="003427B2"/>
    <w:rsid w:val="00342876"/>
    <w:rsid w:val="003428EA"/>
    <w:rsid w:val="003429AB"/>
    <w:rsid w:val="00342B08"/>
    <w:rsid w:val="00342BEE"/>
    <w:rsid w:val="00342F12"/>
    <w:rsid w:val="00342F8F"/>
    <w:rsid w:val="0034300F"/>
    <w:rsid w:val="00343018"/>
    <w:rsid w:val="00343041"/>
    <w:rsid w:val="00343283"/>
    <w:rsid w:val="00343556"/>
    <w:rsid w:val="00343634"/>
    <w:rsid w:val="0034367A"/>
    <w:rsid w:val="003436D2"/>
    <w:rsid w:val="00343714"/>
    <w:rsid w:val="00343762"/>
    <w:rsid w:val="003437CE"/>
    <w:rsid w:val="0034380F"/>
    <w:rsid w:val="00343C1C"/>
    <w:rsid w:val="00343C1F"/>
    <w:rsid w:val="00343C39"/>
    <w:rsid w:val="00343C6A"/>
    <w:rsid w:val="00343E1D"/>
    <w:rsid w:val="00343E7D"/>
    <w:rsid w:val="00343F75"/>
    <w:rsid w:val="00343F96"/>
    <w:rsid w:val="00344084"/>
    <w:rsid w:val="003441C8"/>
    <w:rsid w:val="0034423D"/>
    <w:rsid w:val="0034423E"/>
    <w:rsid w:val="0034429D"/>
    <w:rsid w:val="0034459A"/>
    <w:rsid w:val="003445B9"/>
    <w:rsid w:val="003445C6"/>
    <w:rsid w:val="0034465E"/>
    <w:rsid w:val="00344799"/>
    <w:rsid w:val="00344B4E"/>
    <w:rsid w:val="00344B50"/>
    <w:rsid w:val="00344CEC"/>
    <w:rsid w:val="00344D2F"/>
    <w:rsid w:val="00345107"/>
    <w:rsid w:val="0034514C"/>
    <w:rsid w:val="003451EB"/>
    <w:rsid w:val="003452A1"/>
    <w:rsid w:val="003452CB"/>
    <w:rsid w:val="00345345"/>
    <w:rsid w:val="003453DD"/>
    <w:rsid w:val="003455C7"/>
    <w:rsid w:val="003456D3"/>
    <w:rsid w:val="0034570A"/>
    <w:rsid w:val="00345783"/>
    <w:rsid w:val="003458C8"/>
    <w:rsid w:val="003458E4"/>
    <w:rsid w:val="00345A12"/>
    <w:rsid w:val="00345A4E"/>
    <w:rsid w:val="00345A7C"/>
    <w:rsid w:val="00345B86"/>
    <w:rsid w:val="00345C0C"/>
    <w:rsid w:val="00345C80"/>
    <w:rsid w:val="00345E0C"/>
    <w:rsid w:val="00345FB9"/>
    <w:rsid w:val="003461F1"/>
    <w:rsid w:val="00346649"/>
    <w:rsid w:val="003467D6"/>
    <w:rsid w:val="00346804"/>
    <w:rsid w:val="00346893"/>
    <w:rsid w:val="003468FE"/>
    <w:rsid w:val="0034693E"/>
    <w:rsid w:val="00346BB7"/>
    <w:rsid w:val="00346CB1"/>
    <w:rsid w:val="00346CEC"/>
    <w:rsid w:val="00346D21"/>
    <w:rsid w:val="00346E9A"/>
    <w:rsid w:val="00346F1E"/>
    <w:rsid w:val="00346FC2"/>
    <w:rsid w:val="00346FCF"/>
    <w:rsid w:val="00347018"/>
    <w:rsid w:val="00347054"/>
    <w:rsid w:val="003470EF"/>
    <w:rsid w:val="0034716B"/>
    <w:rsid w:val="00347190"/>
    <w:rsid w:val="00347246"/>
    <w:rsid w:val="0034725F"/>
    <w:rsid w:val="003473D9"/>
    <w:rsid w:val="0034746D"/>
    <w:rsid w:val="00347534"/>
    <w:rsid w:val="0034757D"/>
    <w:rsid w:val="003475F1"/>
    <w:rsid w:val="00347663"/>
    <w:rsid w:val="0034780E"/>
    <w:rsid w:val="00347834"/>
    <w:rsid w:val="0034787C"/>
    <w:rsid w:val="003478C3"/>
    <w:rsid w:val="003479E3"/>
    <w:rsid w:val="003479FB"/>
    <w:rsid w:val="00347A24"/>
    <w:rsid w:val="00347C7A"/>
    <w:rsid w:val="00347CD7"/>
    <w:rsid w:val="00347CDA"/>
    <w:rsid w:val="00347ED1"/>
    <w:rsid w:val="00347F4C"/>
    <w:rsid w:val="00347F63"/>
    <w:rsid w:val="00347FD5"/>
    <w:rsid w:val="00350090"/>
    <w:rsid w:val="003500CE"/>
    <w:rsid w:val="00350192"/>
    <w:rsid w:val="00350265"/>
    <w:rsid w:val="0035027C"/>
    <w:rsid w:val="003502C9"/>
    <w:rsid w:val="00350465"/>
    <w:rsid w:val="00350578"/>
    <w:rsid w:val="00350581"/>
    <w:rsid w:val="003505D0"/>
    <w:rsid w:val="00350759"/>
    <w:rsid w:val="0035079C"/>
    <w:rsid w:val="00350942"/>
    <w:rsid w:val="00350A2E"/>
    <w:rsid w:val="00350AC6"/>
    <w:rsid w:val="00350C61"/>
    <w:rsid w:val="00350E1B"/>
    <w:rsid w:val="00351364"/>
    <w:rsid w:val="003513AA"/>
    <w:rsid w:val="003513DC"/>
    <w:rsid w:val="003515DD"/>
    <w:rsid w:val="00351731"/>
    <w:rsid w:val="003517FA"/>
    <w:rsid w:val="003518FC"/>
    <w:rsid w:val="00351A99"/>
    <w:rsid w:val="00351B92"/>
    <w:rsid w:val="00351BB1"/>
    <w:rsid w:val="00351C24"/>
    <w:rsid w:val="00351CC8"/>
    <w:rsid w:val="00351CD6"/>
    <w:rsid w:val="00351F02"/>
    <w:rsid w:val="00351F2B"/>
    <w:rsid w:val="00351FA5"/>
    <w:rsid w:val="0035202C"/>
    <w:rsid w:val="00352354"/>
    <w:rsid w:val="00352356"/>
    <w:rsid w:val="00352413"/>
    <w:rsid w:val="00352479"/>
    <w:rsid w:val="003524AC"/>
    <w:rsid w:val="003524FC"/>
    <w:rsid w:val="00352519"/>
    <w:rsid w:val="00352543"/>
    <w:rsid w:val="0035255E"/>
    <w:rsid w:val="003525DF"/>
    <w:rsid w:val="00352642"/>
    <w:rsid w:val="003526F2"/>
    <w:rsid w:val="0035273D"/>
    <w:rsid w:val="003527DF"/>
    <w:rsid w:val="00352BDC"/>
    <w:rsid w:val="00352C72"/>
    <w:rsid w:val="00352C7B"/>
    <w:rsid w:val="00352D31"/>
    <w:rsid w:val="00352F56"/>
    <w:rsid w:val="00352FAC"/>
    <w:rsid w:val="0035328A"/>
    <w:rsid w:val="00353357"/>
    <w:rsid w:val="00353358"/>
    <w:rsid w:val="00353416"/>
    <w:rsid w:val="003535BA"/>
    <w:rsid w:val="003535F1"/>
    <w:rsid w:val="0035369D"/>
    <w:rsid w:val="00353891"/>
    <w:rsid w:val="00353AC0"/>
    <w:rsid w:val="00353B19"/>
    <w:rsid w:val="00353B74"/>
    <w:rsid w:val="00353BF0"/>
    <w:rsid w:val="00353CB1"/>
    <w:rsid w:val="00353DCA"/>
    <w:rsid w:val="00353DF0"/>
    <w:rsid w:val="00354000"/>
    <w:rsid w:val="00354035"/>
    <w:rsid w:val="00354083"/>
    <w:rsid w:val="00354494"/>
    <w:rsid w:val="0035464A"/>
    <w:rsid w:val="00354990"/>
    <w:rsid w:val="00354A45"/>
    <w:rsid w:val="00354BE3"/>
    <w:rsid w:val="00354C07"/>
    <w:rsid w:val="00354C3C"/>
    <w:rsid w:val="00354C6A"/>
    <w:rsid w:val="00354DC3"/>
    <w:rsid w:val="00354FCE"/>
    <w:rsid w:val="003551E4"/>
    <w:rsid w:val="003552B1"/>
    <w:rsid w:val="003553AC"/>
    <w:rsid w:val="00355410"/>
    <w:rsid w:val="00355454"/>
    <w:rsid w:val="00355456"/>
    <w:rsid w:val="003556CC"/>
    <w:rsid w:val="00355713"/>
    <w:rsid w:val="00355726"/>
    <w:rsid w:val="00355735"/>
    <w:rsid w:val="003557EA"/>
    <w:rsid w:val="00355B24"/>
    <w:rsid w:val="00355B5D"/>
    <w:rsid w:val="00355C52"/>
    <w:rsid w:val="00355CC2"/>
    <w:rsid w:val="00355CF0"/>
    <w:rsid w:val="00355E69"/>
    <w:rsid w:val="00355F6F"/>
    <w:rsid w:val="00355FC8"/>
    <w:rsid w:val="00355FDA"/>
    <w:rsid w:val="00355FE4"/>
    <w:rsid w:val="0035608A"/>
    <w:rsid w:val="0035617D"/>
    <w:rsid w:val="0035618A"/>
    <w:rsid w:val="003562DC"/>
    <w:rsid w:val="003564B9"/>
    <w:rsid w:val="003564D8"/>
    <w:rsid w:val="003565E0"/>
    <w:rsid w:val="00356607"/>
    <w:rsid w:val="00356869"/>
    <w:rsid w:val="00356A05"/>
    <w:rsid w:val="00356A22"/>
    <w:rsid w:val="00356AC4"/>
    <w:rsid w:val="00356B52"/>
    <w:rsid w:val="00356C67"/>
    <w:rsid w:val="00356D44"/>
    <w:rsid w:val="00356DDE"/>
    <w:rsid w:val="00356E7C"/>
    <w:rsid w:val="00356EC2"/>
    <w:rsid w:val="0035704B"/>
    <w:rsid w:val="003570B9"/>
    <w:rsid w:val="003571E4"/>
    <w:rsid w:val="003572CB"/>
    <w:rsid w:val="00357446"/>
    <w:rsid w:val="003574B1"/>
    <w:rsid w:val="00357558"/>
    <w:rsid w:val="00357700"/>
    <w:rsid w:val="003577BA"/>
    <w:rsid w:val="00357B2B"/>
    <w:rsid w:val="00357C8F"/>
    <w:rsid w:val="00357CEE"/>
    <w:rsid w:val="00357E6E"/>
    <w:rsid w:val="00357EB2"/>
    <w:rsid w:val="00357ECA"/>
    <w:rsid w:val="00357F02"/>
    <w:rsid w:val="00357F17"/>
    <w:rsid w:val="00357F26"/>
    <w:rsid w:val="00360109"/>
    <w:rsid w:val="003601DA"/>
    <w:rsid w:val="00360270"/>
    <w:rsid w:val="003602C4"/>
    <w:rsid w:val="00360361"/>
    <w:rsid w:val="0036050B"/>
    <w:rsid w:val="003605D9"/>
    <w:rsid w:val="0036062C"/>
    <w:rsid w:val="00360682"/>
    <w:rsid w:val="003606B6"/>
    <w:rsid w:val="0036074C"/>
    <w:rsid w:val="00360817"/>
    <w:rsid w:val="003609B5"/>
    <w:rsid w:val="00360CC2"/>
    <w:rsid w:val="00360CF0"/>
    <w:rsid w:val="00360D7B"/>
    <w:rsid w:val="00360F9B"/>
    <w:rsid w:val="0036102C"/>
    <w:rsid w:val="003611B5"/>
    <w:rsid w:val="00361292"/>
    <w:rsid w:val="00361381"/>
    <w:rsid w:val="003613E8"/>
    <w:rsid w:val="0036154A"/>
    <w:rsid w:val="003615DC"/>
    <w:rsid w:val="00361627"/>
    <w:rsid w:val="00361716"/>
    <w:rsid w:val="0036172E"/>
    <w:rsid w:val="0036191D"/>
    <w:rsid w:val="00361A5A"/>
    <w:rsid w:val="00361BA4"/>
    <w:rsid w:val="00361C9C"/>
    <w:rsid w:val="00361CD0"/>
    <w:rsid w:val="00361D35"/>
    <w:rsid w:val="00361EB3"/>
    <w:rsid w:val="00361EF0"/>
    <w:rsid w:val="00361F6B"/>
    <w:rsid w:val="0036203B"/>
    <w:rsid w:val="00362135"/>
    <w:rsid w:val="00362137"/>
    <w:rsid w:val="003622EF"/>
    <w:rsid w:val="00362309"/>
    <w:rsid w:val="00362313"/>
    <w:rsid w:val="003623E2"/>
    <w:rsid w:val="003623F2"/>
    <w:rsid w:val="00362681"/>
    <w:rsid w:val="003628C5"/>
    <w:rsid w:val="003628C7"/>
    <w:rsid w:val="00362903"/>
    <w:rsid w:val="00362978"/>
    <w:rsid w:val="0036297E"/>
    <w:rsid w:val="00362A2A"/>
    <w:rsid w:val="00362BBF"/>
    <w:rsid w:val="00362C7F"/>
    <w:rsid w:val="00362CA0"/>
    <w:rsid w:val="00362D45"/>
    <w:rsid w:val="00362D98"/>
    <w:rsid w:val="00362DE9"/>
    <w:rsid w:val="00362E1A"/>
    <w:rsid w:val="00362F0B"/>
    <w:rsid w:val="0036308A"/>
    <w:rsid w:val="003630B9"/>
    <w:rsid w:val="00363138"/>
    <w:rsid w:val="00363257"/>
    <w:rsid w:val="003632FF"/>
    <w:rsid w:val="0036340F"/>
    <w:rsid w:val="00363510"/>
    <w:rsid w:val="00363535"/>
    <w:rsid w:val="0036356D"/>
    <w:rsid w:val="00363622"/>
    <w:rsid w:val="003639F1"/>
    <w:rsid w:val="00363ACC"/>
    <w:rsid w:val="00363B5E"/>
    <w:rsid w:val="00363BA6"/>
    <w:rsid w:val="00363C9A"/>
    <w:rsid w:val="00363D09"/>
    <w:rsid w:val="00363DE2"/>
    <w:rsid w:val="00363E03"/>
    <w:rsid w:val="00363E1B"/>
    <w:rsid w:val="00363E7B"/>
    <w:rsid w:val="00363EBE"/>
    <w:rsid w:val="003640F3"/>
    <w:rsid w:val="00364160"/>
    <w:rsid w:val="003641FF"/>
    <w:rsid w:val="00364321"/>
    <w:rsid w:val="0036437C"/>
    <w:rsid w:val="003643A4"/>
    <w:rsid w:val="003643F7"/>
    <w:rsid w:val="0036446B"/>
    <w:rsid w:val="003646A3"/>
    <w:rsid w:val="003646C2"/>
    <w:rsid w:val="00364803"/>
    <w:rsid w:val="003648C2"/>
    <w:rsid w:val="00364AFB"/>
    <w:rsid w:val="00364B16"/>
    <w:rsid w:val="00364B21"/>
    <w:rsid w:val="00364B3E"/>
    <w:rsid w:val="00364BB7"/>
    <w:rsid w:val="00364CA6"/>
    <w:rsid w:val="00364D15"/>
    <w:rsid w:val="0036509A"/>
    <w:rsid w:val="003651B5"/>
    <w:rsid w:val="003652B3"/>
    <w:rsid w:val="003653CA"/>
    <w:rsid w:val="003653EB"/>
    <w:rsid w:val="003653EE"/>
    <w:rsid w:val="00365430"/>
    <w:rsid w:val="00365471"/>
    <w:rsid w:val="0036566E"/>
    <w:rsid w:val="00365673"/>
    <w:rsid w:val="003656FF"/>
    <w:rsid w:val="00365712"/>
    <w:rsid w:val="00365924"/>
    <w:rsid w:val="003659F4"/>
    <w:rsid w:val="00365A56"/>
    <w:rsid w:val="00365BA8"/>
    <w:rsid w:val="00365CDA"/>
    <w:rsid w:val="00365D06"/>
    <w:rsid w:val="00365D6A"/>
    <w:rsid w:val="00365EAD"/>
    <w:rsid w:val="00365F1E"/>
    <w:rsid w:val="00366112"/>
    <w:rsid w:val="003662F0"/>
    <w:rsid w:val="003664D1"/>
    <w:rsid w:val="003664FB"/>
    <w:rsid w:val="00366523"/>
    <w:rsid w:val="003665DD"/>
    <w:rsid w:val="0036661A"/>
    <w:rsid w:val="00366712"/>
    <w:rsid w:val="003667AD"/>
    <w:rsid w:val="003667E9"/>
    <w:rsid w:val="0036687A"/>
    <w:rsid w:val="00366960"/>
    <w:rsid w:val="00366A84"/>
    <w:rsid w:val="00366BA4"/>
    <w:rsid w:val="00366BEA"/>
    <w:rsid w:val="00366C86"/>
    <w:rsid w:val="00366CB4"/>
    <w:rsid w:val="00366DF8"/>
    <w:rsid w:val="00366E1B"/>
    <w:rsid w:val="00366EA4"/>
    <w:rsid w:val="00366EC9"/>
    <w:rsid w:val="00366F91"/>
    <w:rsid w:val="00366FC5"/>
    <w:rsid w:val="0036705D"/>
    <w:rsid w:val="003671A9"/>
    <w:rsid w:val="00367255"/>
    <w:rsid w:val="00367487"/>
    <w:rsid w:val="00367583"/>
    <w:rsid w:val="00367630"/>
    <w:rsid w:val="0036763C"/>
    <w:rsid w:val="00367656"/>
    <w:rsid w:val="003676DF"/>
    <w:rsid w:val="003677AF"/>
    <w:rsid w:val="003678AC"/>
    <w:rsid w:val="00367A3E"/>
    <w:rsid w:val="00367B70"/>
    <w:rsid w:val="00367C6D"/>
    <w:rsid w:val="00367E62"/>
    <w:rsid w:val="00367F3B"/>
    <w:rsid w:val="00367F3C"/>
    <w:rsid w:val="00367F4B"/>
    <w:rsid w:val="00367FCD"/>
    <w:rsid w:val="00370111"/>
    <w:rsid w:val="00370235"/>
    <w:rsid w:val="00370431"/>
    <w:rsid w:val="0037049D"/>
    <w:rsid w:val="00370593"/>
    <w:rsid w:val="00370716"/>
    <w:rsid w:val="0037075B"/>
    <w:rsid w:val="00370947"/>
    <w:rsid w:val="00370AAA"/>
    <w:rsid w:val="00370C1E"/>
    <w:rsid w:val="00370C45"/>
    <w:rsid w:val="00370E71"/>
    <w:rsid w:val="0037100D"/>
    <w:rsid w:val="0037108A"/>
    <w:rsid w:val="003710AA"/>
    <w:rsid w:val="003710B3"/>
    <w:rsid w:val="003711B4"/>
    <w:rsid w:val="00371273"/>
    <w:rsid w:val="0037157F"/>
    <w:rsid w:val="003716D0"/>
    <w:rsid w:val="00371721"/>
    <w:rsid w:val="0037198B"/>
    <w:rsid w:val="003719FB"/>
    <w:rsid w:val="00371A32"/>
    <w:rsid w:val="00371A44"/>
    <w:rsid w:val="00371BB5"/>
    <w:rsid w:val="00371C54"/>
    <w:rsid w:val="00371D70"/>
    <w:rsid w:val="00371F24"/>
    <w:rsid w:val="00371FD6"/>
    <w:rsid w:val="0037207F"/>
    <w:rsid w:val="00372161"/>
    <w:rsid w:val="0037223B"/>
    <w:rsid w:val="00372339"/>
    <w:rsid w:val="0037264D"/>
    <w:rsid w:val="00372669"/>
    <w:rsid w:val="003727FC"/>
    <w:rsid w:val="0037285A"/>
    <w:rsid w:val="00372B1B"/>
    <w:rsid w:val="00372B2B"/>
    <w:rsid w:val="00372BBC"/>
    <w:rsid w:val="00372C6C"/>
    <w:rsid w:val="00372C90"/>
    <w:rsid w:val="00372D32"/>
    <w:rsid w:val="00372DA9"/>
    <w:rsid w:val="00372EF6"/>
    <w:rsid w:val="00372F60"/>
    <w:rsid w:val="00372F6D"/>
    <w:rsid w:val="00372FF5"/>
    <w:rsid w:val="00373002"/>
    <w:rsid w:val="003730E3"/>
    <w:rsid w:val="003731AB"/>
    <w:rsid w:val="00373291"/>
    <w:rsid w:val="003732CC"/>
    <w:rsid w:val="003734EA"/>
    <w:rsid w:val="003736EA"/>
    <w:rsid w:val="00373806"/>
    <w:rsid w:val="003738E8"/>
    <w:rsid w:val="00373EF2"/>
    <w:rsid w:val="00373F38"/>
    <w:rsid w:val="0037400C"/>
    <w:rsid w:val="003740E8"/>
    <w:rsid w:val="0037419B"/>
    <w:rsid w:val="003742B0"/>
    <w:rsid w:val="003742D1"/>
    <w:rsid w:val="0037434E"/>
    <w:rsid w:val="00374356"/>
    <w:rsid w:val="003744DD"/>
    <w:rsid w:val="003744FD"/>
    <w:rsid w:val="003744FF"/>
    <w:rsid w:val="00374648"/>
    <w:rsid w:val="003747AB"/>
    <w:rsid w:val="003748F8"/>
    <w:rsid w:val="00374995"/>
    <w:rsid w:val="00374ACB"/>
    <w:rsid w:val="00374AEF"/>
    <w:rsid w:val="00374BAD"/>
    <w:rsid w:val="00374BEC"/>
    <w:rsid w:val="00374CF5"/>
    <w:rsid w:val="00374EA7"/>
    <w:rsid w:val="00374F64"/>
    <w:rsid w:val="00375271"/>
    <w:rsid w:val="003752DC"/>
    <w:rsid w:val="003752DF"/>
    <w:rsid w:val="003754A1"/>
    <w:rsid w:val="00375508"/>
    <w:rsid w:val="00375525"/>
    <w:rsid w:val="003755EB"/>
    <w:rsid w:val="003757B0"/>
    <w:rsid w:val="00375A04"/>
    <w:rsid w:val="00375A34"/>
    <w:rsid w:val="00375A4D"/>
    <w:rsid w:val="00375A56"/>
    <w:rsid w:val="00375AED"/>
    <w:rsid w:val="00375B1C"/>
    <w:rsid w:val="00375BAC"/>
    <w:rsid w:val="00375D80"/>
    <w:rsid w:val="00375DB5"/>
    <w:rsid w:val="00375F58"/>
    <w:rsid w:val="00376055"/>
    <w:rsid w:val="0037616D"/>
    <w:rsid w:val="0037619C"/>
    <w:rsid w:val="003761BD"/>
    <w:rsid w:val="00376230"/>
    <w:rsid w:val="003763BB"/>
    <w:rsid w:val="003763C3"/>
    <w:rsid w:val="003764EF"/>
    <w:rsid w:val="0037691E"/>
    <w:rsid w:val="00376990"/>
    <w:rsid w:val="003769A1"/>
    <w:rsid w:val="00376B3B"/>
    <w:rsid w:val="00376D01"/>
    <w:rsid w:val="00376D1B"/>
    <w:rsid w:val="00376D77"/>
    <w:rsid w:val="00376E25"/>
    <w:rsid w:val="00376E26"/>
    <w:rsid w:val="00376F42"/>
    <w:rsid w:val="00377041"/>
    <w:rsid w:val="00377213"/>
    <w:rsid w:val="00377288"/>
    <w:rsid w:val="00377688"/>
    <w:rsid w:val="003776BB"/>
    <w:rsid w:val="00377801"/>
    <w:rsid w:val="00377808"/>
    <w:rsid w:val="00377D8B"/>
    <w:rsid w:val="00377E00"/>
    <w:rsid w:val="00377E14"/>
    <w:rsid w:val="00377F07"/>
    <w:rsid w:val="003800DD"/>
    <w:rsid w:val="003801B9"/>
    <w:rsid w:val="003801BE"/>
    <w:rsid w:val="0038024E"/>
    <w:rsid w:val="003802D7"/>
    <w:rsid w:val="00380371"/>
    <w:rsid w:val="003804E0"/>
    <w:rsid w:val="00380507"/>
    <w:rsid w:val="003805C3"/>
    <w:rsid w:val="00380616"/>
    <w:rsid w:val="003808BB"/>
    <w:rsid w:val="003809A1"/>
    <w:rsid w:val="00380ADE"/>
    <w:rsid w:val="00380C23"/>
    <w:rsid w:val="00380FBE"/>
    <w:rsid w:val="00381011"/>
    <w:rsid w:val="00381174"/>
    <w:rsid w:val="0038120B"/>
    <w:rsid w:val="0038120D"/>
    <w:rsid w:val="0038132D"/>
    <w:rsid w:val="00381387"/>
    <w:rsid w:val="0038145B"/>
    <w:rsid w:val="00381525"/>
    <w:rsid w:val="00381538"/>
    <w:rsid w:val="003815B9"/>
    <w:rsid w:val="003815DB"/>
    <w:rsid w:val="003815F4"/>
    <w:rsid w:val="0038165B"/>
    <w:rsid w:val="003816CF"/>
    <w:rsid w:val="003816DF"/>
    <w:rsid w:val="00381870"/>
    <w:rsid w:val="0038188F"/>
    <w:rsid w:val="00381BE7"/>
    <w:rsid w:val="00381D2E"/>
    <w:rsid w:val="00381D66"/>
    <w:rsid w:val="00381D80"/>
    <w:rsid w:val="00381DEE"/>
    <w:rsid w:val="00381DEF"/>
    <w:rsid w:val="00381EBC"/>
    <w:rsid w:val="00381EF8"/>
    <w:rsid w:val="00381FDA"/>
    <w:rsid w:val="00382046"/>
    <w:rsid w:val="003821B0"/>
    <w:rsid w:val="003821BE"/>
    <w:rsid w:val="003821CE"/>
    <w:rsid w:val="00382245"/>
    <w:rsid w:val="003825BE"/>
    <w:rsid w:val="00382613"/>
    <w:rsid w:val="00382634"/>
    <w:rsid w:val="00382704"/>
    <w:rsid w:val="00382860"/>
    <w:rsid w:val="003828D5"/>
    <w:rsid w:val="003828FF"/>
    <w:rsid w:val="00382A24"/>
    <w:rsid w:val="00382A73"/>
    <w:rsid w:val="00382C04"/>
    <w:rsid w:val="00382DF3"/>
    <w:rsid w:val="00382EAA"/>
    <w:rsid w:val="0038313E"/>
    <w:rsid w:val="0038314F"/>
    <w:rsid w:val="00383183"/>
    <w:rsid w:val="00383225"/>
    <w:rsid w:val="00383383"/>
    <w:rsid w:val="0038339B"/>
    <w:rsid w:val="00383415"/>
    <w:rsid w:val="00383708"/>
    <w:rsid w:val="0038372B"/>
    <w:rsid w:val="00383750"/>
    <w:rsid w:val="00383812"/>
    <w:rsid w:val="00383931"/>
    <w:rsid w:val="00383A42"/>
    <w:rsid w:val="00383A85"/>
    <w:rsid w:val="00383B74"/>
    <w:rsid w:val="00383BE6"/>
    <w:rsid w:val="00383C63"/>
    <w:rsid w:val="00383D1A"/>
    <w:rsid w:val="00383D4D"/>
    <w:rsid w:val="00383E96"/>
    <w:rsid w:val="00383F19"/>
    <w:rsid w:val="00383F51"/>
    <w:rsid w:val="00383FCB"/>
    <w:rsid w:val="003841A1"/>
    <w:rsid w:val="00384481"/>
    <w:rsid w:val="003844D6"/>
    <w:rsid w:val="00384505"/>
    <w:rsid w:val="00384860"/>
    <w:rsid w:val="003848C5"/>
    <w:rsid w:val="003848F7"/>
    <w:rsid w:val="003848F8"/>
    <w:rsid w:val="003848FB"/>
    <w:rsid w:val="003849A6"/>
    <w:rsid w:val="003849D0"/>
    <w:rsid w:val="00384A54"/>
    <w:rsid w:val="00384B4B"/>
    <w:rsid w:val="00384B69"/>
    <w:rsid w:val="00384BC3"/>
    <w:rsid w:val="00384C14"/>
    <w:rsid w:val="00384CD3"/>
    <w:rsid w:val="00384E8B"/>
    <w:rsid w:val="00384F18"/>
    <w:rsid w:val="00384FF0"/>
    <w:rsid w:val="003850AB"/>
    <w:rsid w:val="003850B1"/>
    <w:rsid w:val="0038518C"/>
    <w:rsid w:val="0038535D"/>
    <w:rsid w:val="003854BE"/>
    <w:rsid w:val="003854CB"/>
    <w:rsid w:val="0038558C"/>
    <w:rsid w:val="003855F2"/>
    <w:rsid w:val="00385749"/>
    <w:rsid w:val="00385774"/>
    <w:rsid w:val="0038577B"/>
    <w:rsid w:val="003859D0"/>
    <w:rsid w:val="00385ACA"/>
    <w:rsid w:val="00385ACB"/>
    <w:rsid w:val="00385B2B"/>
    <w:rsid w:val="00385B37"/>
    <w:rsid w:val="00385BA5"/>
    <w:rsid w:val="00385BAC"/>
    <w:rsid w:val="00385BF9"/>
    <w:rsid w:val="00385C3D"/>
    <w:rsid w:val="00385D29"/>
    <w:rsid w:val="00385D78"/>
    <w:rsid w:val="00385E0C"/>
    <w:rsid w:val="00385F11"/>
    <w:rsid w:val="00385F85"/>
    <w:rsid w:val="00386269"/>
    <w:rsid w:val="00386312"/>
    <w:rsid w:val="0038637C"/>
    <w:rsid w:val="003863AD"/>
    <w:rsid w:val="003863C2"/>
    <w:rsid w:val="00386647"/>
    <w:rsid w:val="003867F8"/>
    <w:rsid w:val="003868FA"/>
    <w:rsid w:val="00386928"/>
    <w:rsid w:val="0038693F"/>
    <w:rsid w:val="003869D1"/>
    <w:rsid w:val="003869DB"/>
    <w:rsid w:val="00386B35"/>
    <w:rsid w:val="00386BA1"/>
    <w:rsid w:val="00386CB4"/>
    <w:rsid w:val="00386CEC"/>
    <w:rsid w:val="00386DA3"/>
    <w:rsid w:val="00386DF7"/>
    <w:rsid w:val="00386E52"/>
    <w:rsid w:val="00386F77"/>
    <w:rsid w:val="003871C9"/>
    <w:rsid w:val="003871D9"/>
    <w:rsid w:val="00387210"/>
    <w:rsid w:val="0038731D"/>
    <w:rsid w:val="00387356"/>
    <w:rsid w:val="00387394"/>
    <w:rsid w:val="00387563"/>
    <w:rsid w:val="00387565"/>
    <w:rsid w:val="003875A1"/>
    <w:rsid w:val="00387632"/>
    <w:rsid w:val="00387655"/>
    <w:rsid w:val="00387672"/>
    <w:rsid w:val="003876AF"/>
    <w:rsid w:val="0038781B"/>
    <w:rsid w:val="003878CE"/>
    <w:rsid w:val="0038790C"/>
    <w:rsid w:val="00387A4D"/>
    <w:rsid w:val="00387B84"/>
    <w:rsid w:val="00387C4C"/>
    <w:rsid w:val="00387C8F"/>
    <w:rsid w:val="00387D19"/>
    <w:rsid w:val="003900FA"/>
    <w:rsid w:val="0039017A"/>
    <w:rsid w:val="00390214"/>
    <w:rsid w:val="0039052A"/>
    <w:rsid w:val="003905BC"/>
    <w:rsid w:val="00390625"/>
    <w:rsid w:val="0039063B"/>
    <w:rsid w:val="00390751"/>
    <w:rsid w:val="00390757"/>
    <w:rsid w:val="003907A6"/>
    <w:rsid w:val="00390808"/>
    <w:rsid w:val="003908AD"/>
    <w:rsid w:val="00390958"/>
    <w:rsid w:val="00390AB3"/>
    <w:rsid w:val="00390AF8"/>
    <w:rsid w:val="00390BD0"/>
    <w:rsid w:val="00390C4B"/>
    <w:rsid w:val="00390F83"/>
    <w:rsid w:val="003910DD"/>
    <w:rsid w:val="00391188"/>
    <w:rsid w:val="0039136B"/>
    <w:rsid w:val="0039142C"/>
    <w:rsid w:val="0039183C"/>
    <w:rsid w:val="00391858"/>
    <w:rsid w:val="00391B5B"/>
    <w:rsid w:val="00391BB6"/>
    <w:rsid w:val="00391F08"/>
    <w:rsid w:val="00391F35"/>
    <w:rsid w:val="00391FA9"/>
    <w:rsid w:val="0039213D"/>
    <w:rsid w:val="003921C6"/>
    <w:rsid w:val="00392273"/>
    <w:rsid w:val="0039230A"/>
    <w:rsid w:val="00392319"/>
    <w:rsid w:val="00392423"/>
    <w:rsid w:val="003924C7"/>
    <w:rsid w:val="00392564"/>
    <w:rsid w:val="003925FE"/>
    <w:rsid w:val="0039268E"/>
    <w:rsid w:val="003928C4"/>
    <w:rsid w:val="003928FF"/>
    <w:rsid w:val="0039290C"/>
    <w:rsid w:val="00392A76"/>
    <w:rsid w:val="00392C72"/>
    <w:rsid w:val="00392CB7"/>
    <w:rsid w:val="00392ECB"/>
    <w:rsid w:val="00392F7E"/>
    <w:rsid w:val="003932DC"/>
    <w:rsid w:val="00393486"/>
    <w:rsid w:val="00393495"/>
    <w:rsid w:val="0039358A"/>
    <w:rsid w:val="003935B4"/>
    <w:rsid w:val="00393690"/>
    <w:rsid w:val="00393698"/>
    <w:rsid w:val="003936A5"/>
    <w:rsid w:val="00393807"/>
    <w:rsid w:val="0039384F"/>
    <w:rsid w:val="00393871"/>
    <w:rsid w:val="003938E0"/>
    <w:rsid w:val="00393A45"/>
    <w:rsid w:val="00393ABE"/>
    <w:rsid w:val="00393C45"/>
    <w:rsid w:val="00393DCE"/>
    <w:rsid w:val="00393F79"/>
    <w:rsid w:val="00393FBA"/>
    <w:rsid w:val="0039407E"/>
    <w:rsid w:val="00394498"/>
    <w:rsid w:val="00394549"/>
    <w:rsid w:val="0039459D"/>
    <w:rsid w:val="003945A0"/>
    <w:rsid w:val="003947A0"/>
    <w:rsid w:val="003947BB"/>
    <w:rsid w:val="003947DA"/>
    <w:rsid w:val="00394871"/>
    <w:rsid w:val="003948D9"/>
    <w:rsid w:val="00394A64"/>
    <w:rsid w:val="00394B9B"/>
    <w:rsid w:val="00394BDB"/>
    <w:rsid w:val="00394C11"/>
    <w:rsid w:val="00394C3C"/>
    <w:rsid w:val="00394D64"/>
    <w:rsid w:val="00394D9D"/>
    <w:rsid w:val="00394E70"/>
    <w:rsid w:val="00394E7E"/>
    <w:rsid w:val="00395079"/>
    <w:rsid w:val="0039532F"/>
    <w:rsid w:val="00395504"/>
    <w:rsid w:val="00395543"/>
    <w:rsid w:val="00395825"/>
    <w:rsid w:val="003958FD"/>
    <w:rsid w:val="00395905"/>
    <w:rsid w:val="00395AB2"/>
    <w:rsid w:val="00395B59"/>
    <w:rsid w:val="00395D08"/>
    <w:rsid w:val="00395EA9"/>
    <w:rsid w:val="00395F6A"/>
    <w:rsid w:val="00395F7A"/>
    <w:rsid w:val="00395FF1"/>
    <w:rsid w:val="00395FF5"/>
    <w:rsid w:val="00396044"/>
    <w:rsid w:val="0039614D"/>
    <w:rsid w:val="003961DE"/>
    <w:rsid w:val="003962F9"/>
    <w:rsid w:val="003963D5"/>
    <w:rsid w:val="003963F0"/>
    <w:rsid w:val="00396404"/>
    <w:rsid w:val="003964A2"/>
    <w:rsid w:val="003965A0"/>
    <w:rsid w:val="00396623"/>
    <w:rsid w:val="003967B8"/>
    <w:rsid w:val="003967D8"/>
    <w:rsid w:val="003968CD"/>
    <w:rsid w:val="00396941"/>
    <w:rsid w:val="00396AAB"/>
    <w:rsid w:val="00396B10"/>
    <w:rsid w:val="00396BFF"/>
    <w:rsid w:val="00396D75"/>
    <w:rsid w:val="00396D92"/>
    <w:rsid w:val="00396E84"/>
    <w:rsid w:val="00396EFB"/>
    <w:rsid w:val="0039701C"/>
    <w:rsid w:val="00397067"/>
    <w:rsid w:val="00397174"/>
    <w:rsid w:val="0039722C"/>
    <w:rsid w:val="0039726C"/>
    <w:rsid w:val="003973F6"/>
    <w:rsid w:val="003975F6"/>
    <w:rsid w:val="00397616"/>
    <w:rsid w:val="00397735"/>
    <w:rsid w:val="0039776C"/>
    <w:rsid w:val="003978B2"/>
    <w:rsid w:val="00397915"/>
    <w:rsid w:val="00397A5E"/>
    <w:rsid w:val="00397B59"/>
    <w:rsid w:val="00397BA9"/>
    <w:rsid w:val="00397C70"/>
    <w:rsid w:val="00397D20"/>
    <w:rsid w:val="00397EAC"/>
    <w:rsid w:val="00397F8A"/>
    <w:rsid w:val="00397F8D"/>
    <w:rsid w:val="00397FCB"/>
    <w:rsid w:val="003A027F"/>
    <w:rsid w:val="003A037C"/>
    <w:rsid w:val="003A05E8"/>
    <w:rsid w:val="003A0651"/>
    <w:rsid w:val="003A0747"/>
    <w:rsid w:val="003A0779"/>
    <w:rsid w:val="003A09CE"/>
    <w:rsid w:val="003A0C22"/>
    <w:rsid w:val="003A0C89"/>
    <w:rsid w:val="003A0CBF"/>
    <w:rsid w:val="003A0CFA"/>
    <w:rsid w:val="003A0D4A"/>
    <w:rsid w:val="003A0D4C"/>
    <w:rsid w:val="003A0D6C"/>
    <w:rsid w:val="003A0D97"/>
    <w:rsid w:val="003A0DDA"/>
    <w:rsid w:val="003A0E3C"/>
    <w:rsid w:val="003A0E8A"/>
    <w:rsid w:val="003A0F18"/>
    <w:rsid w:val="003A0FBF"/>
    <w:rsid w:val="003A10D2"/>
    <w:rsid w:val="003A10E3"/>
    <w:rsid w:val="003A116B"/>
    <w:rsid w:val="003A12AF"/>
    <w:rsid w:val="003A13E5"/>
    <w:rsid w:val="003A14BE"/>
    <w:rsid w:val="003A14E2"/>
    <w:rsid w:val="003A1781"/>
    <w:rsid w:val="003A182E"/>
    <w:rsid w:val="003A1948"/>
    <w:rsid w:val="003A1999"/>
    <w:rsid w:val="003A1A5B"/>
    <w:rsid w:val="003A1AC6"/>
    <w:rsid w:val="003A1AC9"/>
    <w:rsid w:val="003A1BF0"/>
    <w:rsid w:val="003A1BFF"/>
    <w:rsid w:val="003A1C00"/>
    <w:rsid w:val="003A1C12"/>
    <w:rsid w:val="003A1C80"/>
    <w:rsid w:val="003A1C97"/>
    <w:rsid w:val="003A1CFA"/>
    <w:rsid w:val="003A1D12"/>
    <w:rsid w:val="003A1D9E"/>
    <w:rsid w:val="003A1DD6"/>
    <w:rsid w:val="003A1E57"/>
    <w:rsid w:val="003A1E95"/>
    <w:rsid w:val="003A1FC6"/>
    <w:rsid w:val="003A2029"/>
    <w:rsid w:val="003A2039"/>
    <w:rsid w:val="003A20CD"/>
    <w:rsid w:val="003A2164"/>
    <w:rsid w:val="003A21A3"/>
    <w:rsid w:val="003A25A4"/>
    <w:rsid w:val="003A283B"/>
    <w:rsid w:val="003A295A"/>
    <w:rsid w:val="003A2A0E"/>
    <w:rsid w:val="003A2B3A"/>
    <w:rsid w:val="003A2BCB"/>
    <w:rsid w:val="003A2C1A"/>
    <w:rsid w:val="003A2D98"/>
    <w:rsid w:val="003A2E36"/>
    <w:rsid w:val="003A2E5F"/>
    <w:rsid w:val="003A2E9E"/>
    <w:rsid w:val="003A2FC5"/>
    <w:rsid w:val="003A302E"/>
    <w:rsid w:val="003A30E4"/>
    <w:rsid w:val="003A312D"/>
    <w:rsid w:val="003A3147"/>
    <w:rsid w:val="003A32C5"/>
    <w:rsid w:val="003A3314"/>
    <w:rsid w:val="003A33AA"/>
    <w:rsid w:val="003A351F"/>
    <w:rsid w:val="003A3641"/>
    <w:rsid w:val="003A3681"/>
    <w:rsid w:val="003A3914"/>
    <w:rsid w:val="003A39B3"/>
    <w:rsid w:val="003A3B27"/>
    <w:rsid w:val="003A3C6C"/>
    <w:rsid w:val="003A3EF6"/>
    <w:rsid w:val="003A40B4"/>
    <w:rsid w:val="003A41D8"/>
    <w:rsid w:val="003A4267"/>
    <w:rsid w:val="003A42A2"/>
    <w:rsid w:val="003A43BA"/>
    <w:rsid w:val="003A44B0"/>
    <w:rsid w:val="003A492F"/>
    <w:rsid w:val="003A4B4E"/>
    <w:rsid w:val="003A4CF7"/>
    <w:rsid w:val="003A4D0D"/>
    <w:rsid w:val="003A4DAE"/>
    <w:rsid w:val="003A4EBF"/>
    <w:rsid w:val="003A4F4A"/>
    <w:rsid w:val="003A50AD"/>
    <w:rsid w:val="003A50F6"/>
    <w:rsid w:val="003A516E"/>
    <w:rsid w:val="003A525E"/>
    <w:rsid w:val="003A528F"/>
    <w:rsid w:val="003A52DE"/>
    <w:rsid w:val="003A5345"/>
    <w:rsid w:val="003A540A"/>
    <w:rsid w:val="003A543F"/>
    <w:rsid w:val="003A54A8"/>
    <w:rsid w:val="003A55E6"/>
    <w:rsid w:val="003A5879"/>
    <w:rsid w:val="003A58EF"/>
    <w:rsid w:val="003A590E"/>
    <w:rsid w:val="003A598C"/>
    <w:rsid w:val="003A59E7"/>
    <w:rsid w:val="003A59F7"/>
    <w:rsid w:val="003A5AED"/>
    <w:rsid w:val="003A5B92"/>
    <w:rsid w:val="003A5D4D"/>
    <w:rsid w:val="003A5EAF"/>
    <w:rsid w:val="003A60C8"/>
    <w:rsid w:val="003A6142"/>
    <w:rsid w:val="003A618E"/>
    <w:rsid w:val="003A61C0"/>
    <w:rsid w:val="003A6309"/>
    <w:rsid w:val="003A64EA"/>
    <w:rsid w:val="003A6569"/>
    <w:rsid w:val="003A6614"/>
    <w:rsid w:val="003A6633"/>
    <w:rsid w:val="003A668D"/>
    <w:rsid w:val="003A669B"/>
    <w:rsid w:val="003A679F"/>
    <w:rsid w:val="003A67AC"/>
    <w:rsid w:val="003A67EB"/>
    <w:rsid w:val="003A6817"/>
    <w:rsid w:val="003A6A8F"/>
    <w:rsid w:val="003A6AD3"/>
    <w:rsid w:val="003A6BF1"/>
    <w:rsid w:val="003A6D67"/>
    <w:rsid w:val="003A6E7E"/>
    <w:rsid w:val="003A7208"/>
    <w:rsid w:val="003A72B6"/>
    <w:rsid w:val="003A7363"/>
    <w:rsid w:val="003A7489"/>
    <w:rsid w:val="003A754B"/>
    <w:rsid w:val="003A78F9"/>
    <w:rsid w:val="003A79B9"/>
    <w:rsid w:val="003A7A62"/>
    <w:rsid w:val="003A7AC8"/>
    <w:rsid w:val="003A7C43"/>
    <w:rsid w:val="003A7D13"/>
    <w:rsid w:val="003A7DF3"/>
    <w:rsid w:val="003A7E48"/>
    <w:rsid w:val="003A7F7B"/>
    <w:rsid w:val="003B017E"/>
    <w:rsid w:val="003B0220"/>
    <w:rsid w:val="003B04BA"/>
    <w:rsid w:val="003B0595"/>
    <w:rsid w:val="003B0684"/>
    <w:rsid w:val="003B0904"/>
    <w:rsid w:val="003B09C7"/>
    <w:rsid w:val="003B0AD1"/>
    <w:rsid w:val="003B0BFF"/>
    <w:rsid w:val="003B0D6E"/>
    <w:rsid w:val="003B0EA9"/>
    <w:rsid w:val="003B105C"/>
    <w:rsid w:val="003B1062"/>
    <w:rsid w:val="003B1190"/>
    <w:rsid w:val="003B1286"/>
    <w:rsid w:val="003B13AE"/>
    <w:rsid w:val="003B13C7"/>
    <w:rsid w:val="003B1580"/>
    <w:rsid w:val="003B1707"/>
    <w:rsid w:val="003B1731"/>
    <w:rsid w:val="003B1800"/>
    <w:rsid w:val="003B1A3C"/>
    <w:rsid w:val="003B1B07"/>
    <w:rsid w:val="003B1B36"/>
    <w:rsid w:val="003B1D88"/>
    <w:rsid w:val="003B1EAD"/>
    <w:rsid w:val="003B1ECA"/>
    <w:rsid w:val="003B1F17"/>
    <w:rsid w:val="003B1F39"/>
    <w:rsid w:val="003B1FAE"/>
    <w:rsid w:val="003B2093"/>
    <w:rsid w:val="003B2234"/>
    <w:rsid w:val="003B2272"/>
    <w:rsid w:val="003B2403"/>
    <w:rsid w:val="003B2724"/>
    <w:rsid w:val="003B2763"/>
    <w:rsid w:val="003B285D"/>
    <w:rsid w:val="003B2BA8"/>
    <w:rsid w:val="003B2C75"/>
    <w:rsid w:val="003B2F28"/>
    <w:rsid w:val="003B3031"/>
    <w:rsid w:val="003B3239"/>
    <w:rsid w:val="003B3292"/>
    <w:rsid w:val="003B33F8"/>
    <w:rsid w:val="003B3401"/>
    <w:rsid w:val="003B3419"/>
    <w:rsid w:val="003B346C"/>
    <w:rsid w:val="003B3470"/>
    <w:rsid w:val="003B36AD"/>
    <w:rsid w:val="003B376A"/>
    <w:rsid w:val="003B3A9C"/>
    <w:rsid w:val="003B3BBD"/>
    <w:rsid w:val="003B3C9C"/>
    <w:rsid w:val="003B3CBB"/>
    <w:rsid w:val="003B3D00"/>
    <w:rsid w:val="003B3DE1"/>
    <w:rsid w:val="003B3E7B"/>
    <w:rsid w:val="003B3F01"/>
    <w:rsid w:val="003B402F"/>
    <w:rsid w:val="003B403D"/>
    <w:rsid w:val="003B4060"/>
    <w:rsid w:val="003B4090"/>
    <w:rsid w:val="003B41EF"/>
    <w:rsid w:val="003B429C"/>
    <w:rsid w:val="003B4321"/>
    <w:rsid w:val="003B440D"/>
    <w:rsid w:val="003B441B"/>
    <w:rsid w:val="003B4535"/>
    <w:rsid w:val="003B459F"/>
    <w:rsid w:val="003B45D8"/>
    <w:rsid w:val="003B4691"/>
    <w:rsid w:val="003B46C9"/>
    <w:rsid w:val="003B46DF"/>
    <w:rsid w:val="003B480B"/>
    <w:rsid w:val="003B4900"/>
    <w:rsid w:val="003B4943"/>
    <w:rsid w:val="003B49B0"/>
    <w:rsid w:val="003B4BCC"/>
    <w:rsid w:val="003B4C08"/>
    <w:rsid w:val="003B4DC7"/>
    <w:rsid w:val="003B50C9"/>
    <w:rsid w:val="003B50D1"/>
    <w:rsid w:val="003B50DC"/>
    <w:rsid w:val="003B50F3"/>
    <w:rsid w:val="003B5279"/>
    <w:rsid w:val="003B5409"/>
    <w:rsid w:val="003B54F1"/>
    <w:rsid w:val="003B5734"/>
    <w:rsid w:val="003B5738"/>
    <w:rsid w:val="003B5752"/>
    <w:rsid w:val="003B576C"/>
    <w:rsid w:val="003B57A0"/>
    <w:rsid w:val="003B5BB0"/>
    <w:rsid w:val="003B5E05"/>
    <w:rsid w:val="003B5E79"/>
    <w:rsid w:val="003B5F79"/>
    <w:rsid w:val="003B5F7E"/>
    <w:rsid w:val="003B61CC"/>
    <w:rsid w:val="003B6283"/>
    <w:rsid w:val="003B62EB"/>
    <w:rsid w:val="003B645E"/>
    <w:rsid w:val="003B648B"/>
    <w:rsid w:val="003B64AE"/>
    <w:rsid w:val="003B65B8"/>
    <w:rsid w:val="003B669E"/>
    <w:rsid w:val="003B6825"/>
    <w:rsid w:val="003B6852"/>
    <w:rsid w:val="003B695E"/>
    <w:rsid w:val="003B6A33"/>
    <w:rsid w:val="003B6BB7"/>
    <w:rsid w:val="003B6C5C"/>
    <w:rsid w:val="003B6E6A"/>
    <w:rsid w:val="003B70BA"/>
    <w:rsid w:val="003B7237"/>
    <w:rsid w:val="003B7266"/>
    <w:rsid w:val="003B7314"/>
    <w:rsid w:val="003B7329"/>
    <w:rsid w:val="003B73B6"/>
    <w:rsid w:val="003B74F6"/>
    <w:rsid w:val="003B75A6"/>
    <w:rsid w:val="003B7644"/>
    <w:rsid w:val="003B7651"/>
    <w:rsid w:val="003B771C"/>
    <w:rsid w:val="003B785A"/>
    <w:rsid w:val="003B7918"/>
    <w:rsid w:val="003B7947"/>
    <w:rsid w:val="003B796A"/>
    <w:rsid w:val="003B7981"/>
    <w:rsid w:val="003B7A7B"/>
    <w:rsid w:val="003B7A87"/>
    <w:rsid w:val="003B7C62"/>
    <w:rsid w:val="003B7E9A"/>
    <w:rsid w:val="003B7ECE"/>
    <w:rsid w:val="003C0001"/>
    <w:rsid w:val="003C0140"/>
    <w:rsid w:val="003C019A"/>
    <w:rsid w:val="003C0282"/>
    <w:rsid w:val="003C02BE"/>
    <w:rsid w:val="003C0485"/>
    <w:rsid w:val="003C0607"/>
    <w:rsid w:val="003C066C"/>
    <w:rsid w:val="003C06BE"/>
    <w:rsid w:val="003C0704"/>
    <w:rsid w:val="003C073B"/>
    <w:rsid w:val="003C078F"/>
    <w:rsid w:val="003C07CB"/>
    <w:rsid w:val="003C0829"/>
    <w:rsid w:val="003C0906"/>
    <w:rsid w:val="003C0B6F"/>
    <w:rsid w:val="003C0C4C"/>
    <w:rsid w:val="003C0DFA"/>
    <w:rsid w:val="003C0E33"/>
    <w:rsid w:val="003C0EC7"/>
    <w:rsid w:val="003C0F90"/>
    <w:rsid w:val="003C1068"/>
    <w:rsid w:val="003C10D4"/>
    <w:rsid w:val="003C12E2"/>
    <w:rsid w:val="003C15AA"/>
    <w:rsid w:val="003C15EB"/>
    <w:rsid w:val="003C169B"/>
    <w:rsid w:val="003C16A8"/>
    <w:rsid w:val="003C16AD"/>
    <w:rsid w:val="003C1728"/>
    <w:rsid w:val="003C17E8"/>
    <w:rsid w:val="003C18F4"/>
    <w:rsid w:val="003C19CA"/>
    <w:rsid w:val="003C1B66"/>
    <w:rsid w:val="003C1BF7"/>
    <w:rsid w:val="003C1C49"/>
    <w:rsid w:val="003C1F9A"/>
    <w:rsid w:val="003C208E"/>
    <w:rsid w:val="003C2109"/>
    <w:rsid w:val="003C2128"/>
    <w:rsid w:val="003C2216"/>
    <w:rsid w:val="003C2238"/>
    <w:rsid w:val="003C2280"/>
    <w:rsid w:val="003C232D"/>
    <w:rsid w:val="003C2335"/>
    <w:rsid w:val="003C23C2"/>
    <w:rsid w:val="003C2470"/>
    <w:rsid w:val="003C24CD"/>
    <w:rsid w:val="003C2612"/>
    <w:rsid w:val="003C2693"/>
    <w:rsid w:val="003C27B0"/>
    <w:rsid w:val="003C27EA"/>
    <w:rsid w:val="003C294F"/>
    <w:rsid w:val="003C2A21"/>
    <w:rsid w:val="003C2B10"/>
    <w:rsid w:val="003C2B54"/>
    <w:rsid w:val="003C2C1F"/>
    <w:rsid w:val="003C2D70"/>
    <w:rsid w:val="003C2F25"/>
    <w:rsid w:val="003C2F71"/>
    <w:rsid w:val="003C2FF1"/>
    <w:rsid w:val="003C306A"/>
    <w:rsid w:val="003C31A5"/>
    <w:rsid w:val="003C3262"/>
    <w:rsid w:val="003C3433"/>
    <w:rsid w:val="003C34EB"/>
    <w:rsid w:val="003C3561"/>
    <w:rsid w:val="003C36E3"/>
    <w:rsid w:val="003C3896"/>
    <w:rsid w:val="003C3902"/>
    <w:rsid w:val="003C3917"/>
    <w:rsid w:val="003C39D7"/>
    <w:rsid w:val="003C39DD"/>
    <w:rsid w:val="003C3B31"/>
    <w:rsid w:val="003C3C06"/>
    <w:rsid w:val="003C3CB8"/>
    <w:rsid w:val="003C3E4E"/>
    <w:rsid w:val="003C3EC8"/>
    <w:rsid w:val="003C3EDF"/>
    <w:rsid w:val="003C3FE3"/>
    <w:rsid w:val="003C40FB"/>
    <w:rsid w:val="003C425E"/>
    <w:rsid w:val="003C4302"/>
    <w:rsid w:val="003C43B5"/>
    <w:rsid w:val="003C44B8"/>
    <w:rsid w:val="003C45A3"/>
    <w:rsid w:val="003C46C8"/>
    <w:rsid w:val="003C4776"/>
    <w:rsid w:val="003C48ED"/>
    <w:rsid w:val="003C49FA"/>
    <w:rsid w:val="003C4A95"/>
    <w:rsid w:val="003C4B8D"/>
    <w:rsid w:val="003C4BC2"/>
    <w:rsid w:val="003C4D56"/>
    <w:rsid w:val="003C4DBD"/>
    <w:rsid w:val="003C4E66"/>
    <w:rsid w:val="003C4F2E"/>
    <w:rsid w:val="003C51D7"/>
    <w:rsid w:val="003C5209"/>
    <w:rsid w:val="003C5364"/>
    <w:rsid w:val="003C54F7"/>
    <w:rsid w:val="003C5551"/>
    <w:rsid w:val="003C556F"/>
    <w:rsid w:val="003C5705"/>
    <w:rsid w:val="003C5756"/>
    <w:rsid w:val="003C5815"/>
    <w:rsid w:val="003C585A"/>
    <w:rsid w:val="003C58DB"/>
    <w:rsid w:val="003C5AC6"/>
    <w:rsid w:val="003C5B31"/>
    <w:rsid w:val="003C5B35"/>
    <w:rsid w:val="003C5D09"/>
    <w:rsid w:val="003C5DF1"/>
    <w:rsid w:val="003C5F9A"/>
    <w:rsid w:val="003C5FF6"/>
    <w:rsid w:val="003C6060"/>
    <w:rsid w:val="003C6112"/>
    <w:rsid w:val="003C61C3"/>
    <w:rsid w:val="003C6217"/>
    <w:rsid w:val="003C6331"/>
    <w:rsid w:val="003C6460"/>
    <w:rsid w:val="003C6655"/>
    <w:rsid w:val="003C665B"/>
    <w:rsid w:val="003C675D"/>
    <w:rsid w:val="003C6770"/>
    <w:rsid w:val="003C6869"/>
    <w:rsid w:val="003C6872"/>
    <w:rsid w:val="003C689B"/>
    <w:rsid w:val="003C6929"/>
    <w:rsid w:val="003C6A5D"/>
    <w:rsid w:val="003C6BF1"/>
    <w:rsid w:val="003C6C33"/>
    <w:rsid w:val="003C6E62"/>
    <w:rsid w:val="003C6F33"/>
    <w:rsid w:val="003C771F"/>
    <w:rsid w:val="003C7875"/>
    <w:rsid w:val="003C7883"/>
    <w:rsid w:val="003C78B6"/>
    <w:rsid w:val="003C78C6"/>
    <w:rsid w:val="003C7963"/>
    <w:rsid w:val="003C79EA"/>
    <w:rsid w:val="003C7B59"/>
    <w:rsid w:val="003C7BB9"/>
    <w:rsid w:val="003C7BCE"/>
    <w:rsid w:val="003C7C82"/>
    <w:rsid w:val="003C7E2E"/>
    <w:rsid w:val="003C7E7D"/>
    <w:rsid w:val="003C7F4A"/>
    <w:rsid w:val="003C7F74"/>
    <w:rsid w:val="003D0004"/>
    <w:rsid w:val="003D00DD"/>
    <w:rsid w:val="003D0167"/>
    <w:rsid w:val="003D0173"/>
    <w:rsid w:val="003D0184"/>
    <w:rsid w:val="003D01DA"/>
    <w:rsid w:val="003D01F0"/>
    <w:rsid w:val="003D0275"/>
    <w:rsid w:val="003D02F4"/>
    <w:rsid w:val="003D036C"/>
    <w:rsid w:val="003D0648"/>
    <w:rsid w:val="003D0670"/>
    <w:rsid w:val="003D0960"/>
    <w:rsid w:val="003D09FF"/>
    <w:rsid w:val="003D0A43"/>
    <w:rsid w:val="003D0BC0"/>
    <w:rsid w:val="003D0BD8"/>
    <w:rsid w:val="003D0BEF"/>
    <w:rsid w:val="003D0C2F"/>
    <w:rsid w:val="003D0D79"/>
    <w:rsid w:val="003D0E15"/>
    <w:rsid w:val="003D1020"/>
    <w:rsid w:val="003D1052"/>
    <w:rsid w:val="003D107B"/>
    <w:rsid w:val="003D11FB"/>
    <w:rsid w:val="003D1251"/>
    <w:rsid w:val="003D14D6"/>
    <w:rsid w:val="003D14FF"/>
    <w:rsid w:val="003D1521"/>
    <w:rsid w:val="003D152F"/>
    <w:rsid w:val="003D162E"/>
    <w:rsid w:val="003D1894"/>
    <w:rsid w:val="003D18BD"/>
    <w:rsid w:val="003D19EA"/>
    <w:rsid w:val="003D1A3B"/>
    <w:rsid w:val="003D1AD8"/>
    <w:rsid w:val="003D1C7A"/>
    <w:rsid w:val="003D1CBF"/>
    <w:rsid w:val="003D1E05"/>
    <w:rsid w:val="003D1EC7"/>
    <w:rsid w:val="003D1FD6"/>
    <w:rsid w:val="003D1FED"/>
    <w:rsid w:val="003D2065"/>
    <w:rsid w:val="003D20A6"/>
    <w:rsid w:val="003D216A"/>
    <w:rsid w:val="003D216D"/>
    <w:rsid w:val="003D234B"/>
    <w:rsid w:val="003D238E"/>
    <w:rsid w:val="003D239C"/>
    <w:rsid w:val="003D2434"/>
    <w:rsid w:val="003D24C3"/>
    <w:rsid w:val="003D265A"/>
    <w:rsid w:val="003D2679"/>
    <w:rsid w:val="003D278A"/>
    <w:rsid w:val="003D27A2"/>
    <w:rsid w:val="003D2921"/>
    <w:rsid w:val="003D2A63"/>
    <w:rsid w:val="003D2C48"/>
    <w:rsid w:val="003D2CCE"/>
    <w:rsid w:val="003D2CE4"/>
    <w:rsid w:val="003D2D1B"/>
    <w:rsid w:val="003D2EDA"/>
    <w:rsid w:val="003D2EFF"/>
    <w:rsid w:val="003D3042"/>
    <w:rsid w:val="003D3086"/>
    <w:rsid w:val="003D3401"/>
    <w:rsid w:val="003D3425"/>
    <w:rsid w:val="003D34E1"/>
    <w:rsid w:val="003D36B5"/>
    <w:rsid w:val="003D3786"/>
    <w:rsid w:val="003D37F7"/>
    <w:rsid w:val="003D3846"/>
    <w:rsid w:val="003D38C6"/>
    <w:rsid w:val="003D39FF"/>
    <w:rsid w:val="003D3A04"/>
    <w:rsid w:val="003D3DEF"/>
    <w:rsid w:val="003D3E55"/>
    <w:rsid w:val="003D3EE6"/>
    <w:rsid w:val="003D3F19"/>
    <w:rsid w:val="003D3F51"/>
    <w:rsid w:val="003D40DE"/>
    <w:rsid w:val="003D4106"/>
    <w:rsid w:val="003D41CC"/>
    <w:rsid w:val="003D41D7"/>
    <w:rsid w:val="003D4223"/>
    <w:rsid w:val="003D422F"/>
    <w:rsid w:val="003D43EA"/>
    <w:rsid w:val="003D45A1"/>
    <w:rsid w:val="003D4631"/>
    <w:rsid w:val="003D4926"/>
    <w:rsid w:val="003D4A4A"/>
    <w:rsid w:val="003D4ACA"/>
    <w:rsid w:val="003D4BAD"/>
    <w:rsid w:val="003D4BC5"/>
    <w:rsid w:val="003D4BC6"/>
    <w:rsid w:val="003D4CBE"/>
    <w:rsid w:val="003D4DDF"/>
    <w:rsid w:val="003D4E56"/>
    <w:rsid w:val="003D4F06"/>
    <w:rsid w:val="003D4F2C"/>
    <w:rsid w:val="003D4F9B"/>
    <w:rsid w:val="003D50FE"/>
    <w:rsid w:val="003D510B"/>
    <w:rsid w:val="003D5230"/>
    <w:rsid w:val="003D5363"/>
    <w:rsid w:val="003D53CC"/>
    <w:rsid w:val="003D5416"/>
    <w:rsid w:val="003D5479"/>
    <w:rsid w:val="003D554A"/>
    <w:rsid w:val="003D5666"/>
    <w:rsid w:val="003D56EB"/>
    <w:rsid w:val="003D57A6"/>
    <w:rsid w:val="003D59B7"/>
    <w:rsid w:val="003D59C1"/>
    <w:rsid w:val="003D59E3"/>
    <w:rsid w:val="003D5AD6"/>
    <w:rsid w:val="003D5C50"/>
    <w:rsid w:val="003D5D04"/>
    <w:rsid w:val="003D5D81"/>
    <w:rsid w:val="003D5E62"/>
    <w:rsid w:val="003D6077"/>
    <w:rsid w:val="003D60A4"/>
    <w:rsid w:val="003D6440"/>
    <w:rsid w:val="003D644B"/>
    <w:rsid w:val="003D64A1"/>
    <w:rsid w:val="003D64AB"/>
    <w:rsid w:val="003D6521"/>
    <w:rsid w:val="003D6572"/>
    <w:rsid w:val="003D65AE"/>
    <w:rsid w:val="003D6652"/>
    <w:rsid w:val="003D67F3"/>
    <w:rsid w:val="003D684A"/>
    <w:rsid w:val="003D6955"/>
    <w:rsid w:val="003D695E"/>
    <w:rsid w:val="003D6A27"/>
    <w:rsid w:val="003D6AE4"/>
    <w:rsid w:val="003D6BDD"/>
    <w:rsid w:val="003D6C0D"/>
    <w:rsid w:val="003D6CCE"/>
    <w:rsid w:val="003D6DD9"/>
    <w:rsid w:val="003D6DDF"/>
    <w:rsid w:val="003D6E8C"/>
    <w:rsid w:val="003D6F0C"/>
    <w:rsid w:val="003D6F51"/>
    <w:rsid w:val="003D6F84"/>
    <w:rsid w:val="003D718A"/>
    <w:rsid w:val="003D71DC"/>
    <w:rsid w:val="003D7277"/>
    <w:rsid w:val="003D72D3"/>
    <w:rsid w:val="003D739F"/>
    <w:rsid w:val="003D744D"/>
    <w:rsid w:val="003D752A"/>
    <w:rsid w:val="003D7550"/>
    <w:rsid w:val="003D75CA"/>
    <w:rsid w:val="003D764D"/>
    <w:rsid w:val="003D76BB"/>
    <w:rsid w:val="003D77E9"/>
    <w:rsid w:val="003D787C"/>
    <w:rsid w:val="003D79E7"/>
    <w:rsid w:val="003D7BC2"/>
    <w:rsid w:val="003D7CAA"/>
    <w:rsid w:val="003D7E05"/>
    <w:rsid w:val="003D7E13"/>
    <w:rsid w:val="003D7E20"/>
    <w:rsid w:val="003D7E70"/>
    <w:rsid w:val="003D7EDF"/>
    <w:rsid w:val="003D7F01"/>
    <w:rsid w:val="003E002C"/>
    <w:rsid w:val="003E01AE"/>
    <w:rsid w:val="003E0216"/>
    <w:rsid w:val="003E04A6"/>
    <w:rsid w:val="003E05C3"/>
    <w:rsid w:val="003E05E6"/>
    <w:rsid w:val="003E0631"/>
    <w:rsid w:val="003E088A"/>
    <w:rsid w:val="003E08A0"/>
    <w:rsid w:val="003E08FE"/>
    <w:rsid w:val="003E0BE3"/>
    <w:rsid w:val="003E0BFD"/>
    <w:rsid w:val="003E0C54"/>
    <w:rsid w:val="003E0F1C"/>
    <w:rsid w:val="003E0FCE"/>
    <w:rsid w:val="003E1198"/>
    <w:rsid w:val="003E11A0"/>
    <w:rsid w:val="003E11EE"/>
    <w:rsid w:val="003E1202"/>
    <w:rsid w:val="003E120B"/>
    <w:rsid w:val="003E1400"/>
    <w:rsid w:val="003E1590"/>
    <w:rsid w:val="003E173C"/>
    <w:rsid w:val="003E1777"/>
    <w:rsid w:val="003E17AB"/>
    <w:rsid w:val="003E18AA"/>
    <w:rsid w:val="003E18C9"/>
    <w:rsid w:val="003E1940"/>
    <w:rsid w:val="003E1956"/>
    <w:rsid w:val="003E19B4"/>
    <w:rsid w:val="003E1B44"/>
    <w:rsid w:val="003E1C46"/>
    <w:rsid w:val="003E1D72"/>
    <w:rsid w:val="003E1D81"/>
    <w:rsid w:val="003E1DA6"/>
    <w:rsid w:val="003E1ED9"/>
    <w:rsid w:val="003E2194"/>
    <w:rsid w:val="003E2280"/>
    <w:rsid w:val="003E22ED"/>
    <w:rsid w:val="003E2311"/>
    <w:rsid w:val="003E2604"/>
    <w:rsid w:val="003E26B7"/>
    <w:rsid w:val="003E26B8"/>
    <w:rsid w:val="003E282F"/>
    <w:rsid w:val="003E2830"/>
    <w:rsid w:val="003E2897"/>
    <w:rsid w:val="003E28E6"/>
    <w:rsid w:val="003E29D5"/>
    <w:rsid w:val="003E29DA"/>
    <w:rsid w:val="003E2A4F"/>
    <w:rsid w:val="003E2A84"/>
    <w:rsid w:val="003E2C5D"/>
    <w:rsid w:val="003E2E6D"/>
    <w:rsid w:val="003E2E97"/>
    <w:rsid w:val="003E2EC3"/>
    <w:rsid w:val="003E2F0C"/>
    <w:rsid w:val="003E2FED"/>
    <w:rsid w:val="003E301D"/>
    <w:rsid w:val="003E302E"/>
    <w:rsid w:val="003E308F"/>
    <w:rsid w:val="003E326F"/>
    <w:rsid w:val="003E3283"/>
    <w:rsid w:val="003E32D2"/>
    <w:rsid w:val="003E338E"/>
    <w:rsid w:val="003E34A5"/>
    <w:rsid w:val="003E3777"/>
    <w:rsid w:val="003E3935"/>
    <w:rsid w:val="003E3B08"/>
    <w:rsid w:val="003E3B73"/>
    <w:rsid w:val="003E3BC8"/>
    <w:rsid w:val="003E3BCD"/>
    <w:rsid w:val="003E3BE7"/>
    <w:rsid w:val="003E3CBE"/>
    <w:rsid w:val="003E3D84"/>
    <w:rsid w:val="003E3F18"/>
    <w:rsid w:val="003E410C"/>
    <w:rsid w:val="003E410E"/>
    <w:rsid w:val="003E43A9"/>
    <w:rsid w:val="003E4521"/>
    <w:rsid w:val="003E4B5F"/>
    <w:rsid w:val="003E4BB3"/>
    <w:rsid w:val="003E4BFC"/>
    <w:rsid w:val="003E4C06"/>
    <w:rsid w:val="003E4CC6"/>
    <w:rsid w:val="003E4DD3"/>
    <w:rsid w:val="003E4F48"/>
    <w:rsid w:val="003E4FA1"/>
    <w:rsid w:val="003E4FB7"/>
    <w:rsid w:val="003E50E9"/>
    <w:rsid w:val="003E5318"/>
    <w:rsid w:val="003E5415"/>
    <w:rsid w:val="003E54EC"/>
    <w:rsid w:val="003E5527"/>
    <w:rsid w:val="003E554A"/>
    <w:rsid w:val="003E55FE"/>
    <w:rsid w:val="003E564C"/>
    <w:rsid w:val="003E56C9"/>
    <w:rsid w:val="003E56DA"/>
    <w:rsid w:val="003E56ED"/>
    <w:rsid w:val="003E573E"/>
    <w:rsid w:val="003E5882"/>
    <w:rsid w:val="003E597A"/>
    <w:rsid w:val="003E59AF"/>
    <w:rsid w:val="003E5A7B"/>
    <w:rsid w:val="003E5A99"/>
    <w:rsid w:val="003E5FAB"/>
    <w:rsid w:val="003E61BA"/>
    <w:rsid w:val="003E626A"/>
    <w:rsid w:val="003E6487"/>
    <w:rsid w:val="003E6587"/>
    <w:rsid w:val="003E65E7"/>
    <w:rsid w:val="003E6649"/>
    <w:rsid w:val="003E6862"/>
    <w:rsid w:val="003E6865"/>
    <w:rsid w:val="003E6A0E"/>
    <w:rsid w:val="003E6C4D"/>
    <w:rsid w:val="003E6CD6"/>
    <w:rsid w:val="003E6DE2"/>
    <w:rsid w:val="003E6ECC"/>
    <w:rsid w:val="003E705B"/>
    <w:rsid w:val="003E7129"/>
    <w:rsid w:val="003E71C5"/>
    <w:rsid w:val="003E71E6"/>
    <w:rsid w:val="003E71F5"/>
    <w:rsid w:val="003E72A1"/>
    <w:rsid w:val="003E72B8"/>
    <w:rsid w:val="003E7324"/>
    <w:rsid w:val="003E73DF"/>
    <w:rsid w:val="003E73F9"/>
    <w:rsid w:val="003E74B1"/>
    <w:rsid w:val="003E7636"/>
    <w:rsid w:val="003E7685"/>
    <w:rsid w:val="003E7760"/>
    <w:rsid w:val="003E7ADC"/>
    <w:rsid w:val="003E7B42"/>
    <w:rsid w:val="003E7CE5"/>
    <w:rsid w:val="003E7D25"/>
    <w:rsid w:val="003E7D6B"/>
    <w:rsid w:val="003E7DC3"/>
    <w:rsid w:val="003E7EE6"/>
    <w:rsid w:val="003E7F37"/>
    <w:rsid w:val="003E7FCA"/>
    <w:rsid w:val="003E7FDA"/>
    <w:rsid w:val="003F008F"/>
    <w:rsid w:val="003F01C6"/>
    <w:rsid w:val="003F0355"/>
    <w:rsid w:val="003F0528"/>
    <w:rsid w:val="003F05CA"/>
    <w:rsid w:val="003F060A"/>
    <w:rsid w:val="003F07C1"/>
    <w:rsid w:val="003F07DC"/>
    <w:rsid w:val="003F08B1"/>
    <w:rsid w:val="003F0969"/>
    <w:rsid w:val="003F0A07"/>
    <w:rsid w:val="003F0A44"/>
    <w:rsid w:val="003F0B24"/>
    <w:rsid w:val="003F0D0C"/>
    <w:rsid w:val="003F0DFE"/>
    <w:rsid w:val="003F0EE9"/>
    <w:rsid w:val="003F0F04"/>
    <w:rsid w:val="003F10CC"/>
    <w:rsid w:val="003F11DA"/>
    <w:rsid w:val="003F1204"/>
    <w:rsid w:val="003F1606"/>
    <w:rsid w:val="003F167C"/>
    <w:rsid w:val="003F1964"/>
    <w:rsid w:val="003F1A97"/>
    <w:rsid w:val="003F1BB2"/>
    <w:rsid w:val="003F1D29"/>
    <w:rsid w:val="003F1E8E"/>
    <w:rsid w:val="003F216A"/>
    <w:rsid w:val="003F2188"/>
    <w:rsid w:val="003F2259"/>
    <w:rsid w:val="003F236C"/>
    <w:rsid w:val="003F2393"/>
    <w:rsid w:val="003F2439"/>
    <w:rsid w:val="003F24F0"/>
    <w:rsid w:val="003F252F"/>
    <w:rsid w:val="003F259D"/>
    <w:rsid w:val="003F259E"/>
    <w:rsid w:val="003F28E9"/>
    <w:rsid w:val="003F294D"/>
    <w:rsid w:val="003F2B75"/>
    <w:rsid w:val="003F2BFC"/>
    <w:rsid w:val="003F2C0E"/>
    <w:rsid w:val="003F2CB8"/>
    <w:rsid w:val="003F2D54"/>
    <w:rsid w:val="003F2E52"/>
    <w:rsid w:val="003F2F85"/>
    <w:rsid w:val="003F2FBF"/>
    <w:rsid w:val="003F30E0"/>
    <w:rsid w:val="003F312A"/>
    <w:rsid w:val="003F3174"/>
    <w:rsid w:val="003F3312"/>
    <w:rsid w:val="003F3498"/>
    <w:rsid w:val="003F3855"/>
    <w:rsid w:val="003F394F"/>
    <w:rsid w:val="003F3991"/>
    <w:rsid w:val="003F3B73"/>
    <w:rsid w:val="003F3C85"/>
    <w:rsid w:val="003F3D77"/>
    <w:rsid w:val="003F3EF0"/>
    <w:rsid w:val="003F3F38"/>
    <w:rsid w:val="003F3F78"/>
    <w:rsid w:val="003F3F89"/>
    <w:rsid w:val="003F4023"/>
    <w:rsid w:val="003F4068"/>
    <w:rsid w:val="003F40B5"/>
    <w:rsid w:val="003F4369"/>
    <w:rsid w:val="003F4381"/>
    <w:rsid w:val="003F4485"/>
    <w:rsid w:val="003F4490"/>
    <w:rsid w:val="003F4684"/>
    <w:rsid w:val="003F473F"/>
    <w:rsid w:val="003F4798"/>
    <w:rsid w:val="003F4974"/>
    <w:rsid w:val="003F4991"/>
    <w:rsid w:val="003F4995"/>
    <w:rsid w:val="003F49C0"/>
    <w:rsid w:val="003F4A6B"/>
    <w:rsid w:val="003F4BEA"/>
    <w:rsid w:val="003F4C6E"/>
    <w:rsid w:val="003F4CCA"/>
    <w:rsid w:val="003F4D03"/>
    <w:rsid w:val="003F4D21"/>
    <w:rsid w:val="003F4F2E"/>
    <w:rsid w:val="003F4F36"/>
    <w:rsid w:val="003F5061"/>
    <w:rsid w:val="003F50F6"/>
    <w:rsid w:val="003F5106"/>
    <w:rsid w:val="003F5390"/>
    <w:rsid w:val="003F5422"/>
    <w:rsid w:val="003F54B6"/>
    <w:rsid w:val="003F5668"/>
    <w:rsid w:val="003F57D7"/>
    <w:rsid w:val="003F57DE"/>
    <w:rsid w:val="003F5814"/>
    <w:rsid w:val="003F586B"/>
    <w:rsid w:val="003F5981"/>
    <w:rsid w:val="003F59AF"/>
    <w:rsid w:val="003F5A21"/>
    <w:rsid w:val="003F5B9D"/>
    <w:rsid w:val="003F5CFC"/>
    <w:rsid w:val="003F5D9D"/>
    <w:rsid w:val="003F5DE3"/>
    <w:rsid w:val="003F5E6C"/>
    <w:rsid w:val="003F5EA4"/>
    <w:rsid w:val="003F6248"/>
    <w:rsid w:val="003F62DB"/>
    <w:rsid w:val="003F644F"/>
    <w:rsid w:val="003F648A"/>
    <w:rsid w:val="003F6494"/>
    <w:rsid w:val="003F67F7"/>
    <w:rsid w:val="003F681E"/>
    <w:rsid w:val="003F6838"/>
    <w:rsid w:val="003F6A34"/>
    <w:rsid w:val="003F6A5A"/>
    <w:rsid w:val="003F6B37"/>
    <w:rsid w:val="003F6FB6"/>
    <w:rsid w:val="003F7007"/>
    <w:rsid w:val="003F721A"/>
    <w:rsid w:val="003F7314"/>
    <w:rsid w:val="003F7337"/>
    <w:rsid w:val="003F75DB"/>
    <w:rsid w:val="003F76FF"/>
    <w:rsid w:val="003F7821"/>
    <w:rsid w:val="003F7AD3"/>
    <w:rsid w:val="003F7AF1"/>
    <w:rsid w:val="003F7B50"/>
    <w:rsid w:val="003F7CB3"/>
    <w:rsid w:val="003F7CF4"/>
    <w:rsid w:val="0040003E"/>
    <w:rsid w:val="0040011E"/>
    <w:rsid w:val="004001C1"/>
    <w:rsid w:val="00400261"/>
    <w:rsid w:val="00400308"/>
    <w:rsid w:val="00400466"/>
    <w:rsid w:val="004005DC"/>
    <w:rsid w:val="00400747"/>
    <w:rsid w:val="00400764"/>
    <w:rsid w:val="00400828"/>
    <w:rsid w:val="00400916"/>
    <w:rsid w:val="004009D8"/>
    <w:rsid w:val="00400B13"/>
    <w:rsid w:val="00400BE0"/>
    <w:rsid w:val="00400BE7"/>
    <w:rsid w:val="00400C4E"/>
    <w:rsid w:val="00400DBE"/>
    <w:rsid w:val="00400EF3"/>
    <w:rsid w:val="0040113E"/>
    <w:rsid w:val="00401282"/>
    <w:rsid w:val="00401302"/>
    <w:rsid w:val="00401348"/>
    <w:rsid w:val="00401393"/>
    <w:rsid w:val="004013AC"/>
    <w:rsid w:val="004014BC"/>
    <w:rsid w:val="004014C2"/>
    <w:rsid w:val="0040165A"/>
    <w:rsid w:val="00401837"/>
    <w:rsid w:val="0040187C"/>
    <w:rsid w:val="004018DF"/>
    <w:rsid w:val="004018FE"/>
    <w:rsid w:val="00401913"/>
    <w:rsid w:val="00401960"/>
    <w:rsid w:val="004019D9"/>
    <w:rsid w:val="00401A40"/>
    <w:rsid w:val="00401A47"/>
    <w:rsid w:val="00401AA1"/>
    <w:rsid w:val="00401CDA"/>
    <w:rsid w:val="00401E3C"/>
    <w:rsid w:val="00401EA3"/>
    <w:rsid w:val="00401F32"/>
    <w:rsid w:val="00401F7B"/>
    <w:rsid w:val="00401FED"/>
    <w:rsid w:val="004021A0"/>
    <w:rsid w:val="0040229E"/>
    <w:rsid w:val="004023C2"/>
    <w:rsid w:val="00402676"/>
    <w:rsid w:val="004027E9"/>
    <w:rsid w:val="00402817"/>
    <w:rsid w:val="004028F1"/>
    <w:rsid w:val="004029F8"/>
    <w:rsid w:val="00402A3B"/>
    <w:rsid w:val="00402B32"/>
    <w:rsid w:val="00402BD7"/>
    <w:rsid w:val="00402EC0"/>
    <w:rsid w:val="00402F34"/>
    <w:rsid w:val="00402F9C"/>
    <w:rsid w:val="00402FB6"/>
    <w:rsid w:val="0040304B"/>
    <w:rsid w:val="004030AE"/>
    <w:rsid w:val="004031CA"/>
    <w:rsid w:val="00403234"/>
    <w:rsid w:val="00403287"/>
    <w:rsid w:val="004032D9"/>
    <w:rsid w:val="0040332A"/>
    <w:rsid w:val="00403525"/>
    <w:rsid w:val="00403543"/>
    <w:rsid w:val="00403551"/>
    <w:rsid w:val="004035B6"/>
    <w:rsid w:val="0040360F"/>
    <w:rsid w:val="00403748"/>
    <w:rsid w:val="004037CD"/>
    <w:rsid w:val="00403860"/>
    <w:rsid w:val="00403C6B"/>
    <w:rsid w:val="00403C75"/>
    <w:rsid w:val="00403CE2"/>
    <w:rsid w:val="00403D36"/>
    <w:rsid w:val="00403E38"/>
    <w:rsid w:val="00403FC8"/>
    <w:rsid w:val="00404001"/>
    <w:rsid w:val="00404073"/>
    <w:rsid w:val="004040DF"/>
    <w:rsid w:val="004041F5"/>
    <w:rsid w:val="0040436F"/>
    <w:rsid w:val="004044D7"/>
    <w:rsid w:val="0040461A"/>
    <w:rsid w:val="00404741"/>
    <w:rsid w:val="00404798"/>
    <w:rsid w:val="004047B1"/>
    <w:rsid w:val="004047CC"/>
    <w:rsid w:val="004047E0"/>
    <w:rsid w:val="004047F8"/>
    <w:rsid w:val="004048FC"/>
    <w:rsid w:val="00404958"/>
    <w:rsid w:val="004049EF"/>
    <w:rsid w:val="00404B14"/>
    <w:rsid w:val="00404B93"/>
    <w:rsid w:val="00404BA3"/>
    <w:rsid w:val="00404D2E"/>
    <w:rsid w:val="00404F5C"/>
    <w:rsid w:val="00404F6A"/>
    <w:rsid w:val="00405092"/>
    <w:rsid w:val="0040511A"/>
    <w:rsid w:val="00405146"/>
    <w:rsid w:val="0040536D"/>
    <w:rsid w:val="00405454"/>
    <w:rsid w:val="004058A0"/>
    <w:rsid w:val="00405955"/>
    <w:rsid w:val="0040598A"/>
    <w:rsid w:val="004059AA"/>
    <w:rsid w:val="00405A45"/>
    <w:rsid w:val="00405AA1"/>
    <w:rsid w:val="00405BC2"/>
    <w:rsid w:val="00405C9C"/>
    <w:rsid w:val="00405CDF"/>
    <w:rsid w:val="00405D38"/>
    <w:rsid w:val="00405D40"/>
    <w:rsid w:val="00405D99"/>
    <w:rsid w:val="00405E37"/>
    <w:rsid w:val="00405F57"/>
    <w:rsid w:val="00405F89"/>
    <w:rsid w:val="004061D7"/>
    <w:rsid w:val="004061FF"/>
    <w:rsid w:val="00406330"/>
    <w:rsid w:val="00406445"/>
    <w:rsid w:val="004065C3"/>
    <w:rsid w:val="004067A2"/>
    <w:rsid w:val="004067D3"/>
    <w:rsid w:val="00406977"/>
    <w:rsid w:val="00406AE6"/>
    <w:rsid w:val="00406BE9"/>
    <w:rsid w:val="00406C7C"/>
    <w:rsid w:val="00406EB4"/>
    <w:rsid w:val="0040709A"/>
    <w:rsid w:val="00407139"/>
    <w:rsid w:val="0040722C"/>
    <w:rsid w:val="00407256"/>
    <w:rsid w:val="0040730A"/>
    <w:rsid w:val="004073E8"/>
    <w:rsid w:val="004074C8"/>
    <w:rsid w:val="004075D7"/>
    <w:rsid w:val="00407625"/>
    <w:rsid w:val="004076E7"/>
    <w:rsid w:val="004076E9"/>
    <w:rsid w:val="0040772F"/>
    <w:rsid w:val="0040783A"/>
    <w:rsid w:val="004078FE"/>
    <w:rsid w:val="004079BD"/>
    <w:rsid w:val="00407BD7"/>
    <w:rsid w:val="00407C03"/>
    <w:rsid w:val="00407C9D"/>
    <w:rsid w:val="00407CC5"/>
    <w:rsid w:val="00407F38"/>
    <w:rsid w:val="00407FA5"/>
    <w:rsid w:val="00410005"/>
    <w:rsid w:val="00410006"/>
    <w:rsid w:val="00410046"/>
    <w:rsid w:val="00410099"/>
    <w:rsid w:val="00410166"/>
    <w:rsid w:val="00410328"/>
    <w:rsid w:val="004103CC"/>
    <w:rsid w:val="00410532"/>
    <w:rsid w:val="004105F8"/>
    <w:rsid w:val="0041066F"/>
    <w:rsid w:val="0041069E"/>
    <w:rsid w:val="0041085D"/>
    <w:rsid w:val="004108AC"/>
    <w:rsid w:val="00410A65"/>
    <w:rsid w:val="00410B31"/>
    <w:rsid w:val="00410E20"/>
    <w:rsid w:val="00410EF0"/>
    <w:rsid w:val="00410F64"/>
    <w:rsid w:val="00411036"/>
    <w:rsid w:val="004111EC"/>
    <w:rsid w:val="0041120D"/>
    <w:rsid w:val="00411376"/>
    <w:rsid w:val="004113A3"/>
    <w:rsid w:val="0041153F"/>
    <w:rsid w:val="004118CD"/>
    <w:rsid w:val="00411902"/>
    <w:rsid w:val="00411917"/>
    <w:rsid w:val="00411A5B"/>
    <w:rsid w:val="00411B70"/>
    <w:rsid w:val="00411C6E"/>
    <w:rsid w:val="00411D3D"/>
    <w:rsid w:val="00411D64"/>
    <w:rsid w:val="00411F0D"/>
    <w:rsid w:val="00411FF4"/>
    <w:rsid w:val="004120C0"/>
    <w:rsid w:val="004121AB"/>
    <w:rsid w:val="004123AB"/>
    <w:rsid w:val="004123F9"/>
    <w:rsid w:val="00412544"/>
    <w:rsid w:val="00412624"/>
    <w:rsid w:val="00412733"/>
    <w:rsid w:val="00412750"/>
    <w:rsid w:val="0041286A"/>
    <w:rsid w:val="004129AC"/>
    <w:rsid w:val="00412A11"/>
    <w:rsid w:val="00412B86"/>
    <w:rsid w:val="00412E18"/>
    <w:rsid w:val="00412E74"/>
    <w:rsid w:val="00412F56"/>
    <w:rsid w:val="00412F77"/>
    <w:rsid w:val="00412FD4"/>
    <w:rsid w:val="00412FDA"/>
    <w:rsid w:val="00413159"/>
    <w:rsid w:val="00413273"/>
    <w:rsid w:val="004132E6"/>
    <w:rsid w:val="004134A9"/>
    <w:rsid w:val="004134F2"/>
    <w:rsid w:val="004135AC"/>
    <w:rsid w:val="0041368A"/>
    <w:rsid w:val="00413782"/>
    <w:rsid w:val="00413823"/>
    <w:rsid w:val="00413840"/>
    <w:rsid w:val="00413980"/>
    <w:rsid w:val="00413993"/>
    <w:rsid w:val="0041399C"/>
    <w:rsid w:val="00413C00"/>
    <w:rsid w:val="00413C04"/>
    <w:rsid w:val="00413C05"/>
    <w:rsid w:val="00413C50"/>
    <w:rsid w:val="00413C98"/>
    <w:rsid w:val="00413D1A"/>
    <w:rsid w:val="00413E7D"/>
    <w:rsid w:val="00413E92"/>
    <w:rsid w:val="00413EE2"/>
    <w:rsid w:val="00413EFD"/>
    <w:rsid w:val="00413FFD"/>
    <w:rsid w:val="00414136"/>
    <w:rsid w:val="004141DD"/>
    <w:rsid w:val="00414278"/>
    <w:rsid w:val="00414289"/>
    <w:rsid w:val="004145BD"/>
    <w:rsid w:val="00414616"/>
    <w:rsid w:val="0041469A"/>
    <w:rsid w:val="0041469B"/>
    <w:rsid w:val="0041471B"/>
    <w:rsid w:val="0041476D"/>
    <w:rsid w:val="00414845"/>
    <w:rsid w:val="004148D9"/>
    <w:rsid w:val="004148ED"/>
    <w:rsid w:val="004149CA"/>
    <w:rsid w:val="00414BAC"/>
    <w:rsid w:val="00414C7F"/>
    <w:rsid w:val="004151C6"/>
    <w:rsid w:val="00415258"/>
    <w:rsid w:val="004153D0"/>
    <w:rsid w:val="00415444"/>
    <w:rsid w:val="004154F3"/>
    <w:rsid w:val="0041568A"/>
    <w:rsid w:val="00415986"/>
    <w:rsid w:val="00415A56"/>
    <w:rsid w:val="00415AEB"/>
    <w:rsid w:val="00415BA2"/>
    <w:rsid w:val="00415C85"/>
    <w:rsid w:val="00415CE4"/>
    <w:rsid w:val="00415CE5"/>
    <w:rsid w:val="00415D1C"/>
    <w:rsid w:val="00415E2E"/>
    <w:rsid w:val="00415EA8"/>
    <w:rsid w:val="00415FF4"/>
    <w:rsid w:val="00416312"/>
    <w:rsid w:val="00416397"/>
    <w:rsid w:val="0041646F"/>
    <w:rsid w:val="004166B6"/>
    <w:rsid w:val="00416889"/>
    <w:rsid w:val="004169EC"/>
    <w:rsid w:val="00416A2F"/>
    <w:rsid w:val="00416B40"/>
    <w:rsid w:val="00416B46"/>
    <w:rsid w:val="00416C20"/>
    <w:rsid w:val="00416C2E"/>
    <w:rsid w:val="00416CCF"/>
    <w:rsid w:val="00416CF6"/>
    <w:rsid w:val="00416D36"/>
    <w:rsid w:val="00416E74"/>
    <w:rsid w:val="00417030"/>
    <w:rsid w:val="0041704B"/>
    <w:rsid w:val="0041716D"/>
    <w:rsid w:val="00417211"/>
    <w:rsid w:val="004172AE"/>
    <w:rsid w:val="004174B7"/>
    <w:rsid w:val="00417573"/>
    <w:rsid w:val="00417589"/>
    <w:rsid w:val="004177B0"/>
    <w:rsid w:val="0041787D"/>
    <w:rsid w:val="0041789A"/>
    <w:rsid w:val="004179C3"/>
    <w:rsid w:val="00417AD6"/>
    <w:rsid w:val="00417AFE"/>
    <w:rsid w:val="00417C01"/>
    <w:rsid w:val="00417C25"/>
    <w:rsid w:val="00417C28"/>
    <w:rsid w:val="00417D2B"/>
    <w:rsid w:val="00417F0A"/>
    <w:rsid w:val="00417F70"/>
    <w:rsid w:val="00420071"/>
    <w:rsid w:val="004202D7"/>
    <w:rsid w:val="0042040C"/>
    <w:rsid w:val="004204AD"/>
    <w:rsid w:val="00420541"/>
    <w:rsid w:val="0042059E"/>
    <w:rsid w:val="00420629"/>
    <w:rsid w:val="004206C8"/>
    <w:rsid w:val="004207AD"/>
    <w:rsid w:val="00420836"/>
    <w:rsid w:val="004208FE"/>
    <w:rsid w:val="004209E9"/>
    <w:rsid w:val="00420A44"/>
    <w:rsid w:val="00420A65"/>
    <w:rsid w:val="00420B27"/>
    <w:rsid w:val="00420B8C"/>
    <w:rsid w:val="00420C4A"/>
    <w:rsid w:val="00420DFC"/>
    <w:rsid w:val="00420F09"/>
    <w:rsid w:val="004210B0"/>
    <w:rsid w:val="0042116B"/>
    <w:rsid w:val="0042120A"/>
    <w:rsid w:val="0042130F"/>
    <w:rsid w:val="004214EB"/>
    <w:rsid w:val="00421507"/>
    <w:rsid w:val="00421679"/>
    <w:rsid w:val="00421776"/>
    <w:rsid w:val="004219BC"/>
    <w:rsid w:val="004219CE"/>
    <w:rsid w:val="004219FD"/>
    <w:rsid w:val="00421A4F"/>
    <w:rsid w:val="00421A61"/>
    <w:rsid w:val="00421B54"/>
    <w:rsid w:val="00421B73"/>
    <w:rsid w:val="00421F23"/>
    <w:rsid w:val="00421F66"/>
    <w:rsid w:val="00421F82"/>
    <w:rsid w:val="00421FCC"/>
    <w:rsid w:val="00422062"/>
    <w:rsid w:val="00422233"/>
    <w:rsid w:val="0042248F"/>
    <w:rsid w:val="004224BE"/>
    <w:rsid w:val="00422763"/>
    <w:rsid w:val="0042276E"/>
    <w:rsid w:val="004227C6"/>
    <w:rsid w:val="00422844"/>
    <w:rsid w:val="004228EF"/>
    <w:rsid w:val="004229D1"/>
    <w:rsid w:val="00422A05"/>
    <w:rsid w:val="00422B1E"/>
    <w:rsid w:val="00422BDB"/>
    <w:rsid w:val="00422C88"/>
    <w:rsid w:val="00422CDA"/>
    <w:rsid w:val="00422D46"/>
    <w:rsid w:val="00422E27"/>
    <w:rsid w:val="00422E33"/>
    <w:rsid w:val="00422E58"/>
    <w:rsid w:val="00422F5F"/>
    <w:rsid w:val="0042301C"/>
    <w:rsid w:val="00423069"/>
    <w:rsid w:val="004230EB"/>
    <w:rsid w:val="00423225"/>
    <w:rsid w:val="0042331E"/>
    <w:rsid w:val="0042342F"/>
    <w:rsid w:val="004234E9"/>
    <w:rsid w:val="00423575"/>
    <w:rsid w:val="004235D7"/>
    <w:rsid w:val="00423627"/>
    <w:rsid w:val="004236E4"/>
    <w:rsid w:val="004237DC"/>
    <w:rsid w:val="0042388F"/>
    <w:rsid w:val="00423979"/>
    <w:rsid w:val="004239D3"/>
    <w:rsid w:val="004239F3"/>
    <w:rsid w:val="00423A03"/>
    <w:rsid w:val="00423CCD"/>
    <w:rsid w:val="00423CED"/>
    <w:rsid w:val="00423DDA"/>
    <w:rsid w:val="00423E42"/>
    <w:rsid w:val="00423E6D"/>
    <w:rsid w:val="00423F3C"/>
    <w:rsid w:val="00423F52"/>
    <w:rsid w:val="0042405E"/>
    <w:rsid w:val="00424116"/>
    <w:rsid w:val="0042424A"/>
    <w:rsid w:val="0042439F"/>
    <w:rsid w:val="004243AE"/>
    <w:rsid w:val="00424531"/>
    <w:rsid w:val="004249FD"/>
    <w:rsid w:val="00424B66"/>
    <w:rsid w:val="00424CCE"/>
    <w:rsid w:val="00424CEB"/>
    <w:rsid w:val="00424DF0"/>
    <w:rsid w:val="00424DFB"/>
    <w:rsid w:val="00424E9C"/>
    <w:rsid w:val="00424F3B"/>
    <w:rsid w:val="00424F4A"/>
    <w:rsid w:val="00425143"/>
    <w:rsid w:val="0042514F"/>
    <w:rsid w:val="00425299"/>
    <w:rsid w:val="00425460"/>
    <w:rsid w:val="004254A8"/>
    <w:rsid w:val="004255A3"/>
    <w:rsid w:val="004256FB"/>
    <w:rsid w:val="0042591D"/>
    <w:rsid w:val="004259AC"/>
    <w:rsid w:val="00425B23"/>
    <w:rsid w:val="00425C45"/>
    <w:rsid w:val="00425C68"/>
    <w:rsid w:val="00425C75"/>
    <w:rsid w:val="00425DDB"/>
    <w:rsid w:val="00425F7B"/>
    <w:rsid w:val="00426092"/>
    <w:rsid w:val="004260A5"/>
    <w:rsid w:val="004262E2"/>
    <w:rsid w:val="00426471"/>
    <w:rsid w:val="0042650A"/>
    <w:rsid w:val="00426863"/>
    <w:rsid w:val="004268FB"/>
    <w:rsid w:val="00426949"/>
    <w:rsid w:val="00426A80"/>
    <w:rsid w:val="00426AF4"/>
    <w:rsid w:val="00426C08"/>
    <w:rsid w:val="00426C51"/>
    <w:rsid w:val="00426DA2"/>
    <w:rsid w:val="00426E42"/>
    <w:rsid w:val="00426E49"/>
    <w:rsid w:val="00426E63"/>
    <w:rsid w:val="00426FF5"/>
    <w:rsid w:val="004270C4"/>
    <w:rsid w:val="0042711A"/>
    <w:rsid w:val="004273F0"/>
    <w:rsid w:val="004274FF"/>
    <w:rsid w:val="00427508"/>
    <w:rsid w:val="00427658"/>
    <w:rsid w:val="00427669"/>
    <w:rsid w:val="0042799C"/>
    <w:rsid w:val="004279B4"/>
    <w:rsid w:val="00427A3B"/>
    <w:rsid w:val="00427AD0"/>
    <w:rsid w:val="00427C6C"/>
    <w:rsid w:val="00427DC1"/>
    <w:rsid w:val="00427F64"/>
    <w:rsid w:val="00427FDC"/>
    <w:rsid w:val="0043009F"/>
    <w:rsid w:val="004300FB"/>
    <w:rsid w:val="00430116"/>
    <w:rsid w:val="0043047F"/>
    <w:rsid w:val="004304C0"/>
    <w:rsid w:val="00430516"/>
    <w:rsid w:val="00430599"/>
    <w:rsid w:val="0043080F"/>
    <w:rsid w:val="00430858"/>
    <w:rsid w:val="004308C1"/>
    <w:rsid w:val="00430BB1"/>
    <w:rsid w:val="00430DE5"/>
    <w:rsid w:val="00430E09"/>
    <w:rsid w:val="00430E0E"/>
    <w:rsid w:val="00430EF4"/>
    <w:rsid w:val="00430F3B"/>
    <w:rsid w:val="00431059"/>
    <w:rsid w:val="004311F6"/>
    <w:rsid w:val="0043149C"/>
    <w:rsid w:val="00431585"/>
    <w:rsid w:val="004315A0"/>
    <w:rsid w:val="00431609"/>
    <w:rsid w:val="00431691"/>
    <w:rsid w:val="00431708"/>
    <w:rsid w:val="00431737"/>
    <w:rsid w:val="00431899"/>
    <w:rsid w:val="004318FB"/>
    <w:rsid w:val="004319E2"/>
    <w:rsid w:val="00431AB1"/>
    <w:rsid w:val="00431AD6"/>
    <w:rsid w:val="00431B3E"/>
    <w:rsid w:val="00431B99"/>
    <w:rsid w:val="00431DB4"/>
    <w:rsid w:val="00431E27"/>
    <w:rsid w:val="00431E3B"/>
    <w:rsid w:val="00431F09"/>
    <w:rsid w:val="00432020"/>
    <w:rsid w:val="0043202E"/>
    <w:rsid w:val="0043204F"/>
    <w:rsid w:val="00432090"/>
    <w:rsid w:val="004320C2"/>
    <w:rsid w:val="004320F5"/>
    <w:rsid w:val="00432318"/>
    <w:rsid w:val="0043259F"/>
    <w:rsid w:val="004326F3"/>
    <w:rsid w:val="00432759"/>
    <w:rsid w:val="00432849"/>
    <w:rsid w:val="00432A24"/>
    <w:rsid w:val="00432A85"/>
    <w:rsid w:val="00432C8C"/>
    <w:rsid w:val="00432D6A"/>
    <w:rsid w:val="00432D97"/>
    <w:rsid w:val="00432F41"/>
    <w:rsid w:val="00432FE7"/>
    <w:rsid w:val="00433076"/>
    <w:rsid w:val="004330F1"/>
    <w:rsid w:val="0043332E"/>
    <w:rsid w:val="0043336F"/>
    <w:rsid w:val="004333ED"/>
    <w:rsid w:val="00433468"/>
    <w:rsid w:val="004335B6"/>
    <w:rsid w:val="004335C0"/>
    <w:rsid w:val="004335FF"/>
    <w:rsid w:val="00433678"/>
    <w:rsid w:val="004336FF"/>
    <w:rsid w:val="0043382D"/>
    <w:rsid w:val="00433838"/>
    <w:rsid w:val="004338B0"/>
    <w:rsid w:val="004338F7"/>
    <w:rsid w:val="00433978"/>
    <w:rsid w:val="00433C3F"/>
    <w:rsid w:val="00433C75"/>
    <w:rsid w:val="00433DA1"/>
    <w:rsid w:val="00433F3E"/>
    <w:rsid w:val="00434051"/>
    <w:rsid w:val="0043408B"/>
    <w:rsid w:val="00434139"/>
    <w:rsid w:val="0043447D"/>
    <w:rsid w:val="004344C9"/>
    <w:rsid w:val="00434631"/>
    <w:rsid w:val="0043469A"/>
    <w:rsid w:val="0043474F"/>
    <w:rsid w:val="00434754"/>
    <w:rsid w:val="00434907"/>
    <w:rsid w:val="00434A29"/>
    <w:rsid w:val="00434A87"/>
    <w:rsid w:val="00434C2B"/>
    <w:rsid w:val="00434D46"/>
    <w:rsid w:val="00434FC1"/>
    <w:rsid w:val="00435070"/>
    <w:rsid w:val="004354D6"/>
    <w:rsid w:val="00435514"/>
    <w:rsid w:val="00435680"/>
    <w:rsid w:val="00435784"/>
    <w:rsid w:val="004357F2"/>
    <w:rsid w:val="00435834"/>
    <w:rsid w:val="00435889"/>
    <w:rsid w:val="00435A4C"/>
    <w:rsid w:val="00435B98"/>
    <w:rsid w:val="00435C5C"/>
    <w:rsid w:val="00435CF2"/>
    <w:rsid w:val="00435DEC"/>
    <w:rsid w:val="00435EC5"/>
    <w:rsid w:val="00435F3F"/>
    <w:rsid w:val="00436207"/>
    <w:rsid w:val="004363E2"/>
    <w:rsid w:val="00436500"/>
    <w:rsid w:val="0043650D"/>
    <w:rsid w:val="004366DA"/>
    <w:rsid w:val="004367BB"/>
    <w:rsid w:val="004369B2"/>
    <w:rsid w:val="00436AA5"/>
    <w:rsid w:val="00436B31"/>
    <w:rsid w:val="00436E2F"/>
    <w:rsid w:val="00436F4C"/>
    <w:rsid w:val="0043730C"/>
    <w:rsid w:val="004373BD"/>
    <w:rsid w:val="00437996"/>
    <w:rsid w:val="00437A0C"/>
    <w:rsid w:val="00437BD6"/>
    <w:rsid w:val="00437CDD"/>
    <w:rsid w:val="00437D13"/>
    <w:rsid w:val="00437E4A"/>
    <w:rsid w:val="00437EE9"/>
    <w:rsid w:val="00440030"/>
    <w:rsid w:val="004400CA"/>
    <w:rsid w:val="004401C7"/>
    <w:rsid w:val="00440332"/>
    <w:rsid w:val="0044049F"/>
    <w:rsid w:val="0044053D"/>
    <w:rsid w:val="004405EE"/>
    <w:rsid w:val="0044062D"/>
    <w:rsid w:val="0044069B"/>
    <w:rsid w:val="004409D3"/>
    <w:rsid w:val="00440B6B"/>
    <w:rsid w:val="00440C50"/>
    <w:rsid w:val="00440DB8"/>
    <w:rsid w:val="00440EF4"/>
    <w:rsid w:val="004410E1"/>
    <w:rsid w:val="004410F1"/>
    <w:rsid w:val="004411D0"/>
    <w:rsid w:val="00441225"/>
    <w:rsid w:val="0044122F"/>
    <w:rsid w:val="0044127A"/>
    <w:rsid w:val="00441380"/>
    <w:rsid w:val="0044153B"/>
    <w:rsid w:val="004417EA"/>
    <w:rsid w:val="004418A1"/>
    <w:rsid w:val="00441936"/>
    <w:rsid w:val="00441975"/>
    <w:rsid w:val="00441992"/>
    <w:rsid w:val="004419D9"/>
    <w:rsid w:val="00441BA6"/>
    <w:rsid w:val="00441C06"/>
    <w:rsid w:val="00441C3A"/>
    <w:rsid w:val="00441D68"/>
    <w:rsid w:val="00441D6D"/>
    <w:rsid w:val="00441EE1"/>
    <w:rsid w:val="00441F26"/>
    <w:rsid w:val="00441F57"/>
    <w:rsid w:val="00441F91"/>
    <w:rsid w:val="00442044"/>
    <w:rsid w:val="00442069"/>
    <w:rsid w:val="00442111"/>
    <w:rsid w:val="0044216B"/>
    <w:rsid w:val="00442239"/>
    <w:rsid w:val="00442253"/>
    <w:rsid w:val="0044229C"/>
    <w:rsid w:val="0044236E"/>
    <w:rsid w:val="0044239B"/>
    <w:rsid w:val="0044254D"/>
    <w:rsid w:val="00442555"/>
    <w:rsid w:val="00442715"/>
    <w:rsid w:val="00442972"/>
    <w:rsid w:val="004429B7"/>
    <w:rsid w:val="00442A0E"/>
    <w:rsid w:val="00442A3F"/>
    <w:rsid w:val="00442AAE"/>
    <w:rsid w:val="00442B68"/>
    <w:rsid w:val="00442C50"/>
    <w:rsid w:val="00442C5F"/>
    <w:rsid w:val="00442C81"/>
    <w:rsid w:val="00442C93"/>
    <w:rsid w:val="00442D66"/>
    <w:rsid w:val="00442FA6"/>
    <w:rsid w:val="00442FAA"/>
    <w:rsid w:val="00442FFD"/>
    <w:rsid w:val="0044307A"/>
    <w:rsid w:val="00443080"/>
    <w:rsid w:val="0044311F"/>
    <w:rsid w:val="00443233"/>
    <w:rsid w:val="00443262"/>
    <w:rsid w:val="0044335E"/>
    <w:rsid w:val="00443374"/>
    <w:rsid w:val="004434A5"/>
    <w:rsid w:val="004434B2"/>
    <w:rsid w:val="00443534"/>
    <w:rsid w:val="00443537"/>
    <w:rsid w:val="00443593"/>
    <w:rsid w:val="004435ED"/>
    <w:rsid w:val="00443729"/>
    <w:rsid w:val="0044379A"/>
    <w:rsid w:val="0044393C"/>
    <w:rsid w:val="00443B6F"/>
    <w:rsid w:val="00443B98"/>
    <w:rsid w:val="00443C19"/>
    <w:rsid w:val="00443E78"/>
    <w:rsid w:val="0044405A"/>
    <w:rsid w:val="00444064"/>
    <w:rsid w:val="004440F4"/>
    <w:rsid w:val="00444129"/>
    <w:rsid w:val="00444272"/>
    <w:rsid w:val="004443E7"/>
    <w:rsid w:val="0044446E"/>
    <w:rsid w:val="0044447B"/>
    <w:rsid w:val="004444A5"/>
    <w:rsid w:val="004445E5"/>
    <w:rsid w:val="004447BC"/>
    <w:rsid w:val="004447CD"/>
    <w:rsid w:val="004447E2"/>
    <w:rsid w:val="004449B6"/>
    <w:rsid w:val="00444AC7"/>
    <w:rsid w:val="00444BD1"/>
    <w:rsid w:val="00444C87"/>
    <w:rsid w:val="00444E9B"/>
    <w:rsid w:val="00444F44"/>
    <w:rsid w:val="004452E8"/>
    <w:rsid w:val="00445337"/>
    <w:rsid w:val="004453D5"/>
    <w:rsid w:val="004455C8"/>
    <w:rsid w:val="00445711"/>
    <w:rsid w:val="00445858"/>
    <w:rsid w:val="00445887"/>
    <w:rsid w:val="004458F8"/>
    <w:rsid w:val="0044590D"/>
    <w:rsid w:val="0044594B"/>
    <w:rsid w:val="00445A0C"/>
    <w:rsid w:val="00445BAC"/>
    <w:rsid w:val="00445CC1"/>
    <w:rsid w:val="00445CFE"/>
    <w:rsid w:val="00445D15"/>
    <w:rsid w:val="00445DCC"/>
    <w:rsid w:val="00445FA1"/>
    <w:rsid w:val="00445FDC"/>
    <w:rsid w:val="0044602C"/>
    <w:rsid w:val="00446151"/>
    <w:rsid w:val="004462B6"/>
    <w:rsid w:val="004462EC"/>
    <w:rsid w:val="00446657"/>
    <w:rsid w:val="0044671D"/>
    <w:rsid w:val="004467AC"/>
    <w:rsid w:val="004467F8"/>
    <w:rsid w:val="00446819"/>
    <w:rsid w:val="00446936"/>
    <w:rsid w:val="00446CA6"/>
    <w:rsid w:val="00446D40"/>
    <w:rsid w:val="00447075"/>
    <w:rsid w:val="0044708D"/>
    <w:rsid w:val="004470B9"/>
    <w:rsid w:val="004470F8"/>
    <w:rsid w:val="0044712E"/>
    <w:rsid w:val="004472F2"/>
    <w:rsid w:val="004473DE"/>
    <w:rsid w:val="0044743E"/>
    <w:rsid w:val="00447521"/>
    <w:rsid w:val="0044759A"/>
    <w:rsid w:val="004475D1"/>
    <w:rsid w:val="004476FA"/>
    <w:rsid w:val="004477C5"/>
    <w:rsid w:val="004477D9"/>
    <w:rsid w:val="0044780A"/>
    <w:rsid w:val="00447884"/>
    <w:rsid w:val="004478A5"/>
    <w:rsid w:val="0044794C"/>
    <w:rsid w:val="00447A82"/>
    <w:rsid w:val="00447B62"/>
    <w:rsid w:val="00447BF8"/>
    <w:rsid w:val="00447C04"/>
    <w:rsid w:val="00447CEE"/>
    <w:rsid w:val="00447D77"/>
    <w:rsid w:val="00447DA1"/>
    <w:rsid w:val="00447E09"/>
    <w:rsid w:val="00447E16"/>
    <w:rsid w:val="00447E17"/>
    <w:rsid w:val="00447E4B"/>
    <w:rsid w:val="00447E64"/>
    <w:rsid w:val="00447FE9"/>
    <w:rsid w:val="00450121"/>
    <w:rsid w:val="004501A6"/>
    <w:rsid w:val="004501F4"/>
    <w:rsid w:val="004502AE"/>
    <w:rsid w:val="00450326"/>
    <w:rsid w:val="004503F8"/>
    <w:rsid w:val="0045041C"/>
    <w:rsid w:val="00450651"/>
    <w:rsid w:val="00450B02"/>
    <w:rsid w:val="00450B2F"/>
    <w:rsid w:val="00450B51"/>
    <w:rsid w:val="0045101F"/>
    <w:rsid w:val="004510A9"/>
    <w:rsid w:val="004511C2"/>
    <w:rsid w:val="00451269"/>
    <w:rsid w:val="004512A7"/>
    <w:rsid w:val="0045132D"/>
    <w:rsid w:val="00451576"/>
    <w:rsid w:val="004517AA"/>
    <w:rsid w:val="00451A71"/>
    <w:rsid w:val="00451CD3"/>
    <w:rsid w:val="00451CFB"/>
    <w:rsid w:val="00451E69"/>
    <w:rsid w:val="00451E86"/>
    <w:rsid w:val="004520D0"/>
    <w:rsid w:val="0045219E"/>
    <w:rsid w:val="00452208"/>
    <w:rsid w:val="0045227F"/>
    <w:rsid w:val="004522D0"/>
    <w:rsid w:val="0045235F"/>
    <w:rsid w:val="00452366"/>
    <w:rsid w:val="004523BD"/>
    <w:rsid w:val="004525EC"/>
    <w:rsid w:val="00452623"/>
    <w:rsid w:val="004526A1"/>
    <w:rsid w:val="004526BD"/>
    <w:rsid w:val="004526ED"/>
    <w:rsid w:val="0045270D"/>
    <w:rsid w:val="004527A1"/>
    <w:rsid w:val="0045281C"/>
    <w:rsid w:val="00452955"/>
    <w:rsid w:val="00452A0B"/>
    <w:rsid w:val="00452A11"/>
    <w:rsid w:val="00452AC0"/>
    <w:rsid w:val="00452B4A"/>
    <w:rsid w:val="00452BA1"/>
    <w:rsid w:val="00452CC3"/>
    <w:rsid w:val="00452CCC"/>
    <w:rsid w:val="00452DDA"/>
    <w:rsid w:val="00452EB8"/>
    <w:rsid w:val="00452EF3"/>
    <w:rsid w:val="00452EF8"/>
    <w:rsid w:val="00452FCE"/>
    <w:rsid w:val="00452FDA"/>
    <w:rsid w:val="00453150"/>
    <w:rsid w:val="00453235"/>
    <w:rsid w:val="0045363E"/>
    <w:rsid w:val="004536A2"/>
    <w:rsid w:val="00453750"/>
    <w:rsid w:val="004537BF"/>
    <w:rsid w:val="0045392D"/>
    <w:rsid w:val="00453991"/>
    <w:rsid w:val="00453A58"/>
    <w:rsid w:val="00453ADF"/>
    <w:rsid w:val="00453AF2"/>
    <w:rsid w:val="00453CBF"/>
    <w:rsid w:val="00453D33"/>
    <w:rsid w:val="00453ED6"/>
    <w:rsid w:val="00454176"/>
    <w:rsid w:val="004541C5"/>
    <w:rsid w:val="0045440E"/>
    <w:rsid w:val="00454433"/>
    <w:rsid w:val="00454436"/>
    <w:rsid w:val="004544E0"/>
    <w:rsid w:val="004544E2"/>
    <w:rsid w:val="004545ED"/>
    <w:rsid w:val="0045463A"/>
    <w:rsid w:val="004546BC"/>
    <w:rsid w:val="00454726"/>
    <w:rsid w:val="004547E3"/>
    <w:rsid w:val="004548B6"/>
    <w:rsid w:val="00454BB2"/>
    <w:rsid w:val="00454C15"/>
    <w:rsid w:val="00454C34"/>
    <w:rsid w:val="00454D13"/>
    <w:rsid w:val="00454D50"/>
    <w:rsid w:val="00454EFE"/>
    <w:rsid w:val="00454FDE"/>
    <w:rsid w:val="00455043"/>
    <w:rsid w:val="00455208"/>
    <w:rsid w:val="0045529C"/>
    <w:rsid w:val="004552FA"/>
    <w:rsid w:val="0045530B"/>
    <w:rsid w:val="0045544B"/>
    <w:rsid w:val="004554FF"/>
    <w:rsid w:val="00455580"/>
    <w:rsid w:val="0045558A"/>
    <w:rsid w:val="00455647"/>
    <w:rsid w:val="004556A9"/>
    <w:rsid w:val="00455773"/>
    <w:rsid w:val="0045580B"/>
    <w:rsid w:val="00455A6E"/>
    <w:rsid w:val="00455D9B"/>
    <w:rsid w:val="00455DA1"/>
    <w:rsid w:val="00455ECA"/>
    <w:rsid w:val="00455FB8"/>
    <w:rsid w:val="00455FD0"/>
    <w:rsid w:val="004560C1"/>
    <w:rsid w:val="004560EB"/>
    <w:rsid w:val="0045610F"/>
    <w:rsid w:val="0045621A"/>
    <w:rsid w:val="0045625A"/>
    <w:rsid w:val="00456278"/>
    <w:rsid w:val="0045630A"/>
    <w:rsid w:val="00456375"/>
    <w:rsid w:val="004565D7"/>
    <w:rsid w:val="00456875"/>
    <w:rsid w:val="00456950"/>
    <w:rsid w:val="00456B82"/>
    <w:rsid w:val="00456BC4"/>
    <w:rsid w:val="00456BF7"/>
    <w:rsid w:val="00456D04"/>
    <w:rsid w:val="00456D10"/>
    <w:rsid w:val="00456DA3"/>
    <w:rsid w:val="00456F78"/>
    <w:rsid w:val="00457041"/>
    <w:rsid w:val="00457083"/>
    <w:rsid w:val="004571D2"/>
    <w:rsid w:val="004573C0"/>
    <w:rsid w:val="0045746C"/>
    <w:rsid w:val="00457600"/>
    <w:rsid w:val="004578A0"/>
    <w:rsid w:val="00457A3B"/>
    <w:rsid w:val="00457BCA"/>
    <w:rsid w:val="00457C36"/>
    <w:rsid w:val="00457D9E"/>
    <w:rsid w:val="00457E41"/>
    <w:rsid w:val="00457E85"/>
    <w:rsid w:val="00457FAD"/>
    <w:rsid w:val="004600B9"/>
    <w:rsid w:val="004602AF"/>
    <w:rsid w:val="004603D2"/>
    <w:rsid w:val="004604EB"/>
    <w:rsid w:val="004605AA"/>
    <w:rsid w:val="0046063D"/>
    <w:rsid w:val="00460668"/>
    <w:rsid w:val="00460AAF"/>
    <w:rsid w:val="00460C52"/>
    <w:rsid w:val="00460C9B"/>
    <w:rsid w:val="00460FD2"/>
    <w:rsid w:val="0046101F"/>
    <w:rsid w:val="00461052"/>
    <w:rsid w:val="00461063"/>
    <w:rsid w:val="00461144"/>
    <w:rsid w:val="0046124A"/>
    <w:rsid w:val="00461571"/>
    <w:rsid w:val="00461638"/>
    <w:rsid w:val="00461709"/>
    <w:rsid w:val="004619AE"/>
    <w:rsid w:val="004619FE"/>
    <w:rsid w:val="00461AC2"/>
    <w:rsid w:val="00461D39"/>
    <w:rsid w:val="00461F55"/>
    <w:rsid w:val="004620FE"/>
    <w:rsid w:val="0046212A"/>
    <w:rsid w:val="0046215A"/>
    <w:rsid w:val="00462247"/>
    <w:rsid w:val="004622A1"/>
    <w:rsid w:val="004622EE"/>
    <w:rsid w:val="004623C8"/>
    <w:rsid w:val="004628E1"/>
    <w:rsid w:val="004629BE"/>
    <w:rsid w:val="00462B5A"/>
    <w:rsid w:val="00462C71"/>
    <w:rsid w:val="00462D71"/>
    <w:rsid w:val="00462DFB"/>
    <w:rsid w:val="00462E82"/>
    <w:rsid w:val="00462F97"/>
    <w:rsid w:val="00462F9C"/>
    <w:rsid w:val="00462FE8"/>
    <w:rsid w:val="00463013"/>
    <w:rsid w:val="004631E1"/>
    <w:rsid w:val="0046327D"/>
    <w:rsid w:val="004632C2"/>
    <w:rsid w:val="004632DD"/>
    <w:rsid w:val="004632E8"/>
    <w:rsid w:val="00463474"/>
    <w:rsid w:val="00463487"/>
    <w:rsid w:val="00463571"/>
    <w:rsid w:val="004636E6"/>
    <w:rsid w:val="00463909"/>
    <w:rsid w:val="00463999"/>
    <w:rsid w:val="00463CAE"/>
    <w:rsid w:val="00463CBB"/>
    <w:rsid w:val="00463EB1"/>
    <w:rsid w:val="00463EB3"/>
    <w:rsid w:val="00463F92"/>
    <w:rsid w:val="00464083"/>
    <w:rsid w:val="0046411B"/>
    <w:rsid w:val="00464132"/>
    <w:rsid w:val="004642BF"/>
    <w:rsid w:val="0046430E"/>
    <w:rsid w:val="0046432D"/>
    <w:rsid w:val="004643A4"/>
    <w:rsid w:val="00464403"/>
    <w:rsid w:val="004644DC"/>
    <w:rsid w:val="004644E8"/>
    <w:rsid w:val="0046452D"/>
    <w:rsid w:val="004645C0"/>
    <w:rsid w:val="004645D4"/>
    <w:rsid w:val="004646BA"/>
    <w:rsid w:val="0046470F"/>
    <w:rsid w:val="004647F2"/>
    <w:rsid w:val="004648DC"/>
    <w:rsid w:val="00464A3F"/>
    <w:rsid w:val="00464BC9"/>
    <w:rsid w:val="00464C24"/>
    <w:rsid w:val="00464C60"/>
    <w:rsid w:val="00464DE1"/>
    <w:rsid w:val="00464DE2"/>
    <w:rsid w:val="00464E1C"/>
    <w:rsid w:val="00464F11"/>
    <w:rsid w:val="00464F13"/>
    <w:rsid w:val="00464F33"/>
    <w:rsid w:val="00464F51"/>
    <w:rsid w:val="0046522D"/>
    <w:rsid w:val="00465428"/>
    <w:rsid w:val="0046544E"/>
    <w:rsid w:val="004654C1"/>
    <w:rsid w:val="00465548"/>
    <w:rsid w:val="00465700"/>
    <w:rsid w:val="00465A63"/>
    <w:rsid w:val="00465A90"/>
    <w:rsid w:val="00465B9D"/>
    <w:rsid w:val="00465BF9"/>
    <w:rsid w:val="00465CE2"/>
    <w:rsid w:val="00465D86"/>
    <w:rsid w:val="00465D96"/>
    <w:rsid w:val="00466007"/>
    <w:rsid w:val="004660D6"/>
    <w:rsid w:val="0046613F"/>
    <w:rsid w:val="004661EE"/>
    <w:rsid w:val="004662FB"/>
    <w:rsid w:val="0046642A"/>
    <w:rsid w:val="00466461"/>
    <w:rsid w:val="0046650B"/>
    <w:rsid w:val="004666A8"/>
    <w:rsid w:val="004667B1"/>
    <w:rsid w:val="00466AD1"/>
    <w:rsid w:val="00466B9F"/>
    <w:rsid w:val="00466CBD"/>
    <w:rsid w:val="00466CDB"/>
    <w:rsid w:val="004675AA"/>
    <w:rsid w:val="00467794"/>
    <w:rsid w:val="0046782C"/>
    <w:rsid w:val="0046788C"/>
    <w:rsid w:val="004679DF"/>
    <w:rsid w:val="00467B02"/>
    <w:rsid w:val="00467B60"/>
    <w:rsid w:val="00467DA6"/>
    <w:rsid w:val="00467EA4"/>
    <w:rsid w:val="004700A1"/>
    <w:rsid w:val="004700BC"/>
    <w:rsid w:val="004702DD"/>
    <w:rsid w:val="0047034D"/>
    <w:rsid w:val="0047056F"/>
    <w:rsid w:val="004705E4"/>
    <w:rsid w:val="00470647"/>
    <w:rsid w:val="004706FF"/>
    <w:rsid w:val="00470711"/>
    <w:rsid w:val="00470804"/>
    <w:rsid w:val="004708DB"/>
    <w:rsid w:val="00470AA7"/>
    <w:rsid w:val="00470BCF"/>
    <w:rsid w:val="00470C63"/>
    <w:rsid w:val="00470C90"/>
    <w:rsid w:val="00470D40"/>
    <w:rsid w:val="00470EAF"/>
    <w:rsid w:val="00470F49"/>
    <w:rsid w:val="00470F55"/>
    <w:rsid w:val="00471182"/>
    <w:rsid w:val="004712AD"/>
    <w:rsid w:val="00471344"/>
    <w:rsid w:val="004713AF"/>
    <w:rsid w:val="0047144D"/>
    <w:rsid w:val="00471579"/>
    <w:rsid w:val="0047157B"/>
    <w:rsid w:val="004716DE"/>
    <w:rsid w:val="00471855"/>
    <w:rsid w:val="004718DF"/>
    <w:rsid w:val="00471902"/>
    <w:rsid w:val="00471925"/>
    <w:rsid w:val="00471987"/>
    <w:rsid w:val="00471D2A"/>
    <w:rsid w:val="00471FCE"/>
    <w:rsid w:val="004720EE"/>
    <w:rsid w:val="0047230A"/>
    <w:rsid w:val="0047231F"/>
    <w:rsid w:val="0047242F"/>
    <w:rsid w:val="004726FB"/>
    <w:rsid w:val="00472729"/>
    <w:rsid w:val="004727D1"/>
    <w:rsid w:val="004727EA"/>
    <w:rsid w:val="00472816"/>
    <w:rsid w:val="00472890"/>
    <w:rsid w:val="0047299A"/>
    <w:rsid w:val="004729AD"/>
    <w:rsid w:val="004729B5"/>
    <w:rsid w:val="00472B14"/>
    <w:rsid w:val="00472C12"/>
    <w:rsid w:val="00472C54"/>
    <w:rsid w:val="00472D0C"/>
    <w:rsid w:val="00472DEE"/>
    <w:rsid w:val="00472EFB"/>
    <w:rsid w:val="00472FFB"/>
    <w:rsid w:val="00472FFF"/>
    <w:rsid w:val="0047301D"/>
    <w:rsid w:val="00473263"/>
    <w:rsid w:val="004732A3"/>
    <w:rsid w:val="004732C1"/>
    <w:rsid w:val="0047331D"/>
    <w:rsid w:val="0047332D"/>
    <w:rsid w:val="0047336A"/>
    <w:rsid w:val="00473601"/>
    <w:rsid w:val="00473602"/>
    <w:rsid w:val="004739BD"/>
    <w:rsid w:val="00473A22"/>
    <w:rsid w:val="00473A87"/>
    <w:rsid w:val="00473A9F"/>
    <w:rsid w:val="00473B1D"/>
    <w:rsid w:val="00473C57"/>
    <w:rsid w:val="00473CDB"/>
    <w:rsid w:val="00473D2D"/>
    <w:rsid w:val="00473E58"/>
    <w:rsid w:val="00473F2E"/>
    <w:rsid w:val="00473F7E"/>
    <w:rsid w:val="00474012"/>
    <w:rsid w:val="004742EC"/>
    <w:rsid w:val="00474393"/>
    <w:rsid w:val="004744E2"/>
    <w:rsid w:val="00474600"/>
    <w:rsid w:val="0047462A"/>
    <w:rsid w:val="00474796"/>
    <w:rsid w:val="004747E3"/>
    <w:rsid w:val="00474878"/>
    <w:rsid w:val="004748BC"/>
    <w:rsid w:val="004748C1"/>
    <w:rsid w:val="00474935"/>
    <w:rsid w:val="0047496B"/>
    <w:rsid w:val="004749B2"/>
    <w:rsid w:val="00474A5F"/>
    <w:rsid w:val="00474A8E"/>
    <w:rsid w:val="00474B0B"/>
    <w:rsid w:val="00474BC9"/>
    <w:rsid w:val="00474C95"/>
    <w:rsid w:val="00474CB9"/>
    <w:rsid w:val="00474D48"/>
    <w:rsid w:val="00474D49"/>
    <w:rsid w:val="00474E63"/>
    <w:rsid w:val="00474E73"/>
    <w:rsid w:val="00474F44"/>
    <w:rsid w:val="0047503A"/>
    <w:rsid w:val="00475067"/>
    <w:rsid w:val="0047509B"/>
    <w:rsid w:val="004750B0"/>
    <w:rsid w:val="00475185"/>
    <w:rsid w:val="004753E4"/>
    <w:rsid w:val="00475432"/>
    <w:rsid w:val="0047549A"/>
    <w:rsid w:val="0047556A"/>
    <w:rsid w:val="0047560D"/>
    <w:rsid w:val="00475738"/>
    <w:rsid w:val="00475A2E"/>
    <w:rsid w:val="00475A87"/>
    <w:rsid w:val="00475AB1"/>
    <w:rsid w:val="00475BF3"/>
    <w:rsid w:val="00475C9B"/>
    <w:rsid w:val="00475CC2"/>
    <w:rsid w:val="00475D0A"/>
    <w:rsid w:val="00475E10"/>
    <w:rsid w:val="00475EF3"/>
    <w:rsid w:val="00475F05"/>
    <w:rsid w:val="0047610F"/>
    <w:rsid w:val="00476377"/>
    <w:rsid w:val="004765ED"/>
    <w:rsid w:val="00476A58"/>
    <w:rsid w:val="00476A93"/>
    <w:rsid w:val="00476B84"/>
    <w:rsid w:val="00476CA4"/>
    <w:rsid w:val="00476D31"/>
    <w:rsid w:val="00476D76"/>
    <w:rsid w:val="00476EBB"/>
    <w:rsid w:val="00476ED4"/>
    <w:rsid w:val="004771B0"/>
    <w:rsid w:val="00477234"/>
    <w:rsid w:val="004772CF"/>
    <w:rsid w:val="004773D8"/>
    <w:rsid w:val="0047762E"/>
    <w:rsid w:val="004778E9"/>
    <w:rsid w:val="0047794B"/>
    <w:rsid w:val="00477A50"/>
    <w:rsid w:val="00477AB0"/>
    <w:rsid w:val="00477BC6"/>
    <w:rsid w:val="00477BCD"/>
    <w:rsid w:val="00477D82"/>
    <w:rsid w:val="00477E31"/>
    <w:rsid w:val="00477E50"/>
    <w:rsid w:val="00477EC5"/>
    <w:rsid w:val="00477F9F"/>
    <w:rsid w:val="00480291"/>
    <w:rsid w:val="004803C1"/>
    <w:rsid w:val="004803F2"/>
    <w:rsid w:val="0048041E"/>
    <w:rsid w:val="004805FD"/>
    <w:rsid w:val="004806B7"/>
    <w:rsid w:val="004806D8"/>
    <w:rsid w:val="004807A0"/>
    <w:rsid w:val="00480884"/>
    <w:rsid w:val="0048099B"/>
    <w:rsid w:val="004809BB"/>
    <w:rsid w:val="00480B2F"/>
    <w:rsid w:val="00480B5D"/>
    <w:rsid w:val="00480CD7"/>
    <w:rsid w:val="00480D59"/>
    <w:rsid w:val="00480ED7"/>
    <w:rsid w:val="00480F28"/>
    <w:rsid w:val="004810C5"/>
    <w:rsid w:val="0048112B"/>
    <w:rsid w:val="00481199"/>
    <w:rsid w:val="004811DA"/>
    <w:rsid w:val="00481299"/>
    <w:rsid w:val="004812EA"/>
    <w:rsid w:val="004814C6"/>
    <w:rsid w:val="0048164A"/>
    <w:rsid w:val="004817DE"/>
    <w:rsid w:val="0048184B"/>
    <w:rsid w:val="00481889"/>
    <w:rsid w:val="00481935"/>
    <w:rsid w:val="004819A1"/>
    <w:rsid w:val="00481AB3"/>
    <w:rsid w:val="00481AB6"/>
    <w:rsid w:val="00481DD1"/>
    <w:rsid w:val="00481E0C"/>
    <w:rsid w:val="00481EB8"/>
    <w:rsid w:val="00481F6C"/>
    <w:rsid w:val="00482076"/>
    <w:rsid w:val="0048208F"/>
    <w:rsid w:val="00482111"/>
    <w:rsid w:val="00482197"/>
    <w:rsid w:val="004822BC"/>
    <w:rsid w:val="004826C1"/>
    <w:rsid w:val="00482782"/>
    <w:rsid w:val="004827A8"/>
    <w:rsid w:val="0048283F"/>
    <w:rsid w:val="00482861"/>
    <w:rsid w:val="004828B1"/>
    <w:rsid w:val="004829EC"/>
    <w:rsid w:val="00482E04"/>
    <w:rsid w:val="00482E35"/>
    <w:rsid w:val="00483008"/>
    <w:rsid w:val="00483123"/>
    <w:rsid w:val="0048338D"/>
    <w:rsid w:val="00483568"/>
    <w:rsid w:val="00483595"/>
    <w:rsid w:val="0048362B"/>
    <w:rsid w:val="0048368E"/>
    <w:rsid w:val="004836A3"/>
    <w:rsid w:val="0048375D"/>
    <w:rsid w:val="004837F4"/>
    <w:rsid w:val="00483812"/>
    <w:rsid w:val="004838D1"/>
    <w:rsid w:val="00483A38"/>
    <w:rsid w:val="00483AA7"/>
    <w:rsid w:val="00483C54"/>
    <w:rsid w:val="00483CE0"/>
    <w:rsid w:val="00483D7D"/>
    <w:rsid w:val="00483E94"/>
    <w:rsid w:val="00483EBD"/>
    <w:rsid w:val="00483F03"/>
    <w:rsid w:val="00483F25"/>
    <w:rsid w:val="00483F9A"/>
    <w:rsid w:val="00483FA9"/>
    <w:rsid w:val="004842E7"/>
    <w:rsid w:val="00484393"/>
    <w:rsid w:val="0048444F"/>
    <w:rsid w:val="00484513"/>
    <w:rsid w:val="00484640"/>
    <w:rsid w:val="004846BD"/>
    <w:rsid w:val="00484A28"/>
    <w:rsid w:val="00484A9E"/>
    <w:rsid w:val="00484C54"/>
    <w:rsid w:val="00484CF8"/>
    <w:rsid w:val="00484D22"/>
    <w:rsid w:val="00484E0B"/>
    <w:rsid w:val="00484E66"/>
    <w:rsid w:val="00484F09"/>
    <w:rsid w:val="00484F2E"/>
    <w:rsid w:val="00484FBB"/>
    <w:rsid w:val="00485056"/>
    <w:rsid w:val="0048506B"/>
    <w:rsid w:val="00485215"/>
    <w:rsid w:val="0048525A"/>
    <w:rsid w:val="0048534D"/>
    <w:rsid w:val="004853CF"/>
    <w:rsid w:val="0048543E"/>
    <w:rsid w:val="004854F6"/>
    <w:rsid w:val="00485513"/>
    <w:rsid w:val="0048559C"/>
    <w:rsid w:val="004855A1"/>
    <w:rsid w:val="004856E5"/>
    <w:rsid w:val="004856F1"/>
    <w:rsid w:val="004857E4"/>
    <w:rsid w:val="004858B8"/>
    <w:rsid w:val="004859FC"/>
    <w:rsid w:val="00485A21"/>
    <w:rsid w:val="00485BD8"/>
    <w:rsid w:val="00486025"/>
    <w:rsid w:val="004861E7"/>
    <w:rsid w:val="004864AA"/>
    <w:rsid w:val="00486529"/>
    <w:rsid w:val="0048654A"/>
    <w:rsid w:val="004865BA"/>
    <w:rsid w:val="00486689"/>
    <w:rsid w:val="004866BF"/>
    <w:rsid w:val="0048673E"/>
    <w:rsid w:val="00486752"/>
    <w:rsid w:val="004867C9"/>
    <w:rsid w:val="004867F6"/>
    <w:rsid w:val="00486878"/>
    <w:rsid w:val="00486970"/>
    <w:rsid w:val="00486AE0"/>
    <w:rsid w:val="00486B59"/>
    <w:rsid w:val="00486C24"/>
    <w:rsid w:val="00486C61"/>
    <w:rsid w:val="00486C80"/>
    <w:rsid w:val="00486ED4"/>
    <w:rsid w:val="00486FC7"/>
    <w:rsid w:val="00487031"/>
    <w:rsid w:val="004870E7"/>
    <w:rsid w:val="00487176"/>
    <w:rsid w:val="0048718E"/>
    <w:rsid w:val="0048749B"/>
    <w:rsid w:val="00487510"/>
    <w:rsid w:val="004878C8"/>
    <w:rsid w:val="00487939"/>
    <w:rsid w:val="00487AAF"/>
    <w:rsid w:val="00487BAC"/>
    <w:rsid w:val="00487CE3"/>
    <w:rsid w:val="00487E09"/>
    <w:rsid w:val="00487E0C"/>
    <w:rsid w:val="00487F45"/>
    <w:rsid w:val="00487FCC"/>
    <w:rsid w:val="00490071"/>
    <w:rsid w:val="0049028E"/>
    <w:rsid w:val="0049044E"/>
    <w:rsid w:val="00490504"/>
    <w:rsid w:val="0049055C"/>
    <w:rsid w:val="004905B0"/>
    <w:rsid w:val="00490670"/>
    <w:rsid w:val="004906C8"/>
    <w:rsid w:val="004907F2"/>
    <w:rsid w:val="004908AE"/>
    <w:rsid w:val="00490B35"/>
    <w:rsid w:val="00490B7C"/>
    <w:rsid w:val="00490C09"/>
    <w:rsid w:val="00490E96"/>
    <w:rsid w:val="00490F55"/>
    <w:rsid w:val="004911E7"/>
    <w:rsid w:val="004913BD"/>
    <w:rsid w:val="004913F0"/>
    <w:rsid w:val="0049149C"/>
    <w:rsid w:val="004914AB"/>
    <w:rsid w:val="004917B5"/>
    <w:rsid w:val="0049182D"/>
    <w:rsid w:val="004918B0"/>
    <w:rsid w:val="004919C8"/>
    <w:rsid w:val="00491AB2"/>
    <w:rsid w:val="00491B1D"/>
    <w:rsid w:val="00491BA2"/>
    <w:rsid w:val="00491C84"/>
    <w:rsid w:val="00491FB6"/>
    <w:rsid w:val="0049204C"/>
    <w:rsid w:val="0049251C"/>
    <w:rsid w:val="004925DF"/>
    <w:rsid w:val="0049261F"/>
    <w:rsid w:val="0049262A"/>
    <w:rsid w:val="0049289C"/>
    <w:rsid w:val="00492978"/>
    <w:rsid w:val="00492A93"/>
    <w:rsid w:val="00492BBF"/>
    <w:rsid w:val="00492D52"/>
    <w:rsid w:val="00492D71"/>
    <w:rsid w:val="00492D8D"/>
    <w:rsid w:val="00492D90"/>
    <w:rsid w:val="00492D97"/>
    <w:rsid w:val="00492E21"/>
    <w:rsid w:val="00492FC1"/>
    <w:rsid w:val="0049303D"/>
    <w:rsid w:val="0049305B"/>
    <w:rsid w:val="0049317B"/>
    <w:rsid w:val="004932D1"/>
    <w:rsid w:val="00493618"/>
    <w:rsid w:val="0049362A"/>
    <w:rsid w:val="0049362B"/>
    <w:rsid w:val="004937E2"/>
    <w:rsid w:val="00493916"/>
    <w:rsid w:val="00493C9B"/>
    <w:rsid w:val="00493D19"/>
    <w:rsid w:val="00493DB7"/>
    <w:rsid w:val="00493E21"/>
    <w:rsid w:val="00493F7C"/>
    <w:rsid w:val="00493FBA"/>
    <w:rsid w:val="0049400C"/>
    <w:rsid w:val="00494027"/>
    <w:rsid w:val="0049428B"/>
    <w:rsid w:val="004943DB"/>
    <w:rsid w:val="0049444C"/>
    <w:rsid w:val="004945EF"/>
    <w:rsid w:val="0049461D"/>
    <w:rsid w:val="00494687"/>
    <w:rsid w:val="0049479C"/>
    <w:rsid w:val="004947DD"/>
    <w:rsid w:val="00494A11"/>
    <w:rsid w:val="00494B44"/>
    <w:rsid w:val="00494C1F"/>
    <w:rsid w:val="00494C97"/>
    <w:rsid w:val="00494E21"/>
    <w:rsid w:val="00494FDB"/>
    <w:rsid w:val="00495010"/>
    <w:rsid w:val="004951FD"/>
    <w:rsid w:val="00495256"/>
    <w:rsid w:val="0049534E"/>
    <w:rsid w:val="0049546F"/>
    <w:rsid w:val="00495609"/>
    <w:rsid w:val="00495704"/>
    <w:rsid w:val="00495813"/>
    <w:rsid w:val="00495A76"/>
    <w:rsid w:val="00495A88"/>
    <w:rsid w:val="00495B81"/>
    <w:rsid w:val="00495DF6"/>
    <w:rsid w:val="00495E68"/>
    <w:rsid w:val="00495EDC"/>
    <w:rsid w:val="00496000"/>
    <w:rsid w:val="0049602F"/>
    <w:rsid w:val="00496298"/>
    <w:rsid w:val="004962BB"/>
    <w:rsid w:val="0049635F"/>
    <w:rsid w:val="0049649E"/>
    <w:rsid w:val="00496604"/>
    <w:rsid w:val="00496616"/>
    <w:rsid w:val="004968EE"/>
    <w:rsid w:val="00496914"/>
    <w:rsid w:val="004969D5"/>
    <w:rsid w:val="00496C49"/>
    <w:rsid w:val="00496D68"/>
    <w:rsid w:val="00496F25"/>
    <w:rsid w:val="00496FD2"/>
    <w:rsid w:val="004972A7"/>
    <w:rsid w:val="0049736B"/>
    <w:rsid w:val="0049737E"/>
    <w:rsid w:val="004973F1"/>
    <w:rsid w:val="00497422"/>
    <w:rsid w:val="00497815"/>
    <w:rsid w:val="0049787E"/>
    <w:rsid w:val="004978B4"/>
    <w:rsid w:val="00497917"/>
    <w:rsid w:val="00497A0A"/>
    <w:rsid w:val="00497D42"/>
    <w:rsid w:val="00497DEC"/>
    <w:rsid w:val="00497E2E"/>
    <w:rsid w:val="00497E64"/>
    <w:rsid w:val="004A0049"/>
    <w:rsid w:val="004A02E1"/>
    <w:rsid w:val="004A036F"/>
    <w:rsid w:val="004A04CE"/>
    <w:rsid w:val="004A063D"/>
    <w:rsid w:val="004A06D7"/>
    <w:rsid w:val="004A078F"/>
    <w:rsid w:val="004A07FC"/>
    <w:rsid w:val="004A086C"/>
    <w:rsid w:val="004A0984"/>
    <w:rsid w:val="004A0A8A"/>
    <w:rsid w:val="004A0B73"/>
    <w:rsid w:val="004A0BCB"/>
    <w:rsid w:val="004A0F01"/>
    <w:rsid w:val="004A0F84"/>
    <w:rsid w:val="004A0F9A"/>
    <w:rsid w:val="004A10E9"/>
    <w:rsid w:val="004A1178"/>
    <w:rsid w:val="004A11AC"/>
    <w:rsid w:val="004A130E"/>
    <w:rsid w:val="004A14D5"/>
    <w:rsid w:val="004A1592"/>
    <w:rsid w:val="004A17D6"/>
    <w:rsid w:val="004A1818"/>
    <w:rsid w:val="004A1830"/>
    <w:rsid w:val="004A19CB"/>
    <w:rsid w:val="004A19D3"/>
    <w:rsid w:val="004A1DAF"/>
    <w:rsid w:val="004A1E7E"/>
    <w:rsid w:val="004A1E85"/>
    <w:rsid w:val="004A1E9A"/>
    <w:rsid w:val="004A1EC8"/>
    <w:rsid w:val="004A20B6"/>
    <w:rsid w:val="004A2221"/>
    <w:rsid w:val="004A2714"/>
    <w:rsid w:val="004A278B"/>
    <w:rsid w:val="004A2853"/>
    <w:rsid w:val="004A28A9"/>
    <w:rsid w:val="004A298A"/>
    <w:rsid w:val="004A29C2"/>
    <w:rsid w:val="004A2B04"/>
    <w:rsid w:val="004A2B24"/>
    <w:rsid w:val="004A2B5A"/>
    <w:rsid w:val="004A2D15"/>
    <w:rsid w:val="004A2EF3"/>
    <w:rsid w:val="004A2FB6"/>
    <w:rsid w:val="004A2FFE"/>
    <w:rsid w:val="004A31D5"/>
    <w:rsid w:val="004A3205"/>
    <w:rsid w:val="004A3234"/>
    <w:rsid w:val="004A32D7"/>
    <w:rsid w:val="004A3417"/>
    <w:rsid w:val="004A3441"/>
    <w:rsid w:val="004A3475"/>
    <w:rsid w:val="004A365B"/>
    <w:rsid w:val="004A371A"/>
    <w:rsid w:val="004A3783"/>
    <w:rsid w:val="004A37B2"/>
    <w:rsid w:val="004A3868"/>
    <w:rsid w:val="004A3881"/>
    <w:rsid w:val="004A3C1F"/>
    <w:rsid w:val="004A3C3B"/>
    <w:rsid w:val="004A3C8A"/>
    <w:rsid w:val="004A3DB8"/>
    <w:rsid w:val="004A3E61"/>
    <w:rsid w:val="004A3FEB"/>
    <w:rsid w:val="004A3FF6"/>
    <w:rsid w:val="004A413A"/>
    <w:rsid w:val="004A4153"/>
    <w:rsid w:val="004A4235"/>
    <w:rsid w:val="004A459A"/>
    <w:rsid w:val="004A4647"/>
    <w:rsid w:val="004A47AB"/>
    <w:rsid w:val="004A484D"/>
    <w:rsid w:val="004A489F"/>
    <w:rsid w:val="004A49BC"/>
    <w:rsid w:val="004A49F8"/>
    <w:rsid w:val="004A4B2D"/>
    <w:rsid w:val="004A4BB8"/>
    <w:rsid w:val="004A4BCF"/>
    <w:rsid w:val="004A4C48"/>
    <w:rsid w:val="004A4CC9"/>
    <w:rsid w:val="004A4CCE"/>
    <w:rsid w:val="004A4E23"/>
    <w:rsid w:val="004A4E62"/>
    <w:rsid w:val="004A4E87"/>
    <w:rsid w:val="004A4EC0"/>
    <w:rsid w:val="004A503A"/>
    <w:rsid w:val="004A50B3"/>
    <w:rsid w:val="004A50FE"/>
    <w:rsid w:val="004A512C"/>
    <w:rsid w:val="004A534E"/>
    <w:rsid w:val="004A5391"/>
    <w:rsid w:val="004A539D"/>
    <w:rsid w:val="004A53E9"/>
    <w:rsid w:val="004A541D"/>
    <w:rsid w:val="004A541F"/>
    <w:rsid w:val="004A55B7"/>
    <w:rsid w:val="004A57BC"/>
    <w:rsid w:val="004A5852"/>
    <w:rsid w:val="004A5CF4"/>
    <w:rsid w:val="004A5D34"/>
    <w:rsid w:val="004A5E57"/>
    <w:rsid w:val="004A5E97"/>
    <w:rsid w:val="004A5F0D"/>
    <w:rsid w:val="004A5FE2"/>
    <w:rsid w:val="004A6136"/>
    <w:rsid w:val="004A61ED"/>
    <w:rsid w:val="004A6341"/>
    <w:rsid w:val="004A6576"/>
    <w:rsid w:val="004A6580"/>
    <w:rsid w:val="004A66CA"/>
    <w:rsid w:val="004A67D0"/>
    <w:rsid w:val="004A69DF"/>
    <w:rsid w:val="004A6B1F"/>
    <w:rsid w:val="004A6BFF"/>
    <w:rsid w:val="004A6CC0"/>
    <w:rsid w:val="004A6CD6"/>
    <w:rsid w:val="004A7082"/>
    <w:rsid w:val="004A70BA"/>
    <w:rsid w:val="004A723C"/>
    <w:rsid w:val="004A72CF"/>
    <w:rsid w:val="004A7334"/>
    <w:rsid w:val="004A73CA"/>
    <w:rsid w:val="004A773E"/>
    <w:rsid w:val="004A774F"/>
    <w:rsid w:val="004A78E1"/>
    <w:rsid w:val="004A7925"/>
    <w:rsid w:val="004A7A4A"/>
    <w:rsid w:val="004A7A52"/>
    <w:rsid w:val="004A7B51"/>
    <w:rsid w:val="004A7C80"/>
    <w:rsid w:val="004B0343"/>
    <w:rsid w:val="004B04A5"/>
    <w:rsid w:val="004B04BD"/>
    <w:rsid w:val="004B0574"/>
    <w:rsid w:val="004B061C"/>
    <w:rsid w:val="004B06E2"/>
    <w:rsid w:val="004B070C"/>
    <w:rsid w:val="004B070D"/>
    <w:rsid w:val="004B0711"/>
    <w:rsid w:val="004B0747"/>
    <w:rsid w:val="004B075C"/>
    <w:rsid w:val="004B07A8"/>
    <w:rsid w:val="004B0802"/>
    <w:rsid w:val="004B09FA"/>
    <w:rsid w:val="004B0A0F"/>
    <w:rsid w:val="004B0ACF"/>
    <w:rsid w:val="004B0B29"/>
    <w:rsid w:val="004B0B83"/>
    <w:rsid w:val="004B0D29"/>
    <w:rsid w:val="004B0D71"/>
    <w:rsid w:val="004B0E5E"/>
    <w:rsid w:val="004B0F71"/>
    <w:rsid w:val="004B1051"/>
    <w:rsid w:val="004B10A1"/>
    <w:rsid w:val="004B10B5"/>
    <w:rsid w:val="004B1150"/>
    <w:rsid w:val="004B1272"/>
    <w:rsid w:val="004B137F"/>
    <w:rsid w:val="004B13E5"/>
    <w:rsid w:val="004B163A"/>
    <w:rsid w:val="004B16EC"/>
    <w:rsid w:val="004B1866"/>
    <w:rsid w:val="004B18EF"/>
    <w:rsid w:val="004B1917"/>
    <w:rsid w:val="004B1923"/>
    <w:rsid w:val="004B1A82"/>
    <w:rsid w:val="004B1C0C"/>
    <w:rsid w:val="004B1D44"/>
    <w:rsid w:val="004B1D72"/>
    <w:rsid w:val="004B1E0F"/>
    <w:rsid w:val="004B1F2E"/>
    <w:rsid w:val="004B2273"/>
    <w:rsid w:val="004B23AE"/>
    <w:rsid w:val="004B23EB"/>
    <w:rsid w:val="004B26B1"/>
    <w:rsid w:val="004B26E1"/>
    <w:rsid w:val="004B27DA"/>
    <w:rsid w:val="004B2926"/>
    <w:rsid w:val="004B29C0"/>
    <w:rsid w:val="004B29C5"/>
    <w:rsid w:val="004B29DC"/>
    <w:rsid w:val="004B2A1A"/>
    <w:rsid w:val="004B2A84"/>
    <w:rsid w:val="004B2AB5"/>
    <w:rsid w:val="004B2B22"/>
    <w:rsid w:val="004B2B30"/>
    <w:rsid w:val="004B2BCD"/>
    <w:rsid w:val="004B2C3F"/>
    <w:rsid w:val="004B2CD2"/>
    <w:rsid w:val="004B2CE9"/>
    <w:rsid w:val="004B2DB3"/>
    <w:rsid w:val="004B3364"/>
    <w:rsid w:val="004B3392"/>
    <w:rsid w:val="004B33A6"/>
    <w:rsid w:val="004B33DC"/>
    <w:rsid w:val="004B3546"/>
    <w:rsid w:val="004B36ED"/>
    <w:rsid w:val="004B3738"/>
    <w:rsid w:val="004B37C3"/>
    <w:rsid w:val="004B3AC4"/>
    <w:rsid w:val="004B3B44"/>
    <w:rsid w:val="004B3B99"/>
    <w:rsid w:val="004B3BD8"/>
    <w:rsid w:val="004B3C5E"/>
    <w:rsid w:val="004B3CA3"/>
    <w:rsid w:val="004B3D0A"/>
    <w:rsid w:val="004B3DCA"/>
    <w:rsid w:val="004B3E78"/>
    <w:rsid w:val="004B4154"/>
    <w:rsid w:val="004B4282"/>
    <w:rsid w:val="004B42E8"/>
    <w:rsid w:val="004B4642"/>
    <w:rsid w:val="004B487C"/>
    <w:rsid w:val="004B48DA"/>
    <w:rsid w:val="004B4A02"/>
    <w:rsid w:val="004B4B62"/>
    <w:rsid w:val="004B4D06"/>
    <w:rsid w:val="004B4DB3"/>
    <w:rsid w:val="004B4FC7"/>
    <w:rsid w:val="004B50F6"/>
    <w:rsid w:val="004B511A"/>
    <w:rsid w:val="004B511B"/>
    <w:rsid w:val="004B5237"/>
    <w:rsid w:val="004B5271"/>
    <w:rsid w:val="004B52C6"/>
    <w:rsid w:val="004B52F5"/>
    <w:rsid w:val="004B531C"/>
    <w:rsid w:val="004B5362"/>
    <w:rsid w:val="004B53CF"/>
    <w:rsid w:val="004B55F8"/>
    <w:rsid w:val="004B569F"/>
    <w:rsid w:val="004B56A0"/>
    <w:rsid w:val="004B575E"/>
    <w:rsid w:val="004B5778"/>
    <w:rsid w:val="004B578E"/>
    <w:rsid w:val="004B57A7"/>
    <w:rsid w:val="004B57F7"/>
    <w:rsid w:val="004B594F"/>
    <w:rsid w:val="004B5AF2"/>
    <w:rsid w:val="004B5CAE"/>
    <w:rsid w:val="004B5D4B"/>
    <w:rsid w:val="004B5E16"/>
    <w:rsid w:val="004B5F14"/>
    <w:rsid w:val="004B60FC"/>
    <w:rsid w:val="004B61CD"/>
    <w:rsid w:val="004B61F7"/>
    <w:rsid w:val="004B626A"/>
    <w:rsid w:val="004B631A"/>
    <w:rsid w:val="004B6367"/>
    <w:rsid w:val="004B63D8"/>
    <w:rsid w:val="004B6532"/>
    <w:rsid w:val="004B67FE"/>
    <w:rsid w:val="004B6802"/>
    <w:rsid w:val="004B68FF"/>
    <w:rsid w:val="004B6AAA"/>
    <w:rsid w:val="004B6AC3"/>
    <w:rsid w:val="004B6C4D"/>
    <w:rsid w:val="004B6C94"/>
    <w:rsid w:val="004B6D52"/>
    <w:rsid w:val="004B6DA6"/>
    <w:rsid w:val="004B6E8A"/>
    <w:rsid w:val="004B6F26"/>
    <w:rsid w:val="004B6FAE"/>
    <w:rsid w:val="004B70AD"/>
    <w:rsid w:val="004B70B9"/>
    <w:rsid w:val="004B7233"/>
    <w:rsid w:val="004B74DD"/>
    <w:rsid w:val="004B74EA"/>
    <w:rsid w:val="004B75EB"/>
    <w:rsid w:val="004B7654"/>
    <w:rsid w:val="004B7702"/>
    <w:rsid w:val="004B77B6"/>
    <w:rsid w:val="004B785B"/>
    <w:rsid w:val="004B78EE"/>
    <w:rsid w:val="004B792E"/>
    <w:rsid w:val="004B7AB3"/>
    <w:rsid w:val="004B7B17"/>
    <w:rsid w:val="004B7F4B"/>
    <w:rsid w:val="004B7F93"/>
    <w:rsid w:val="004B7FC3"/>
    <w:rsid w:val="004C0081"/>
    <w:rsid w:val="004C00DA"/>
    <w:rsid w:val="004C0160"/>
    <w:rsid w:val="004C021F"/>
    <w:rsid w:val="004C027C"/>
    <w:rsid w:val="004C0330"/>
    <w:rsid w:val="004C0516"/>
    <w:rsid w:val="004C0645"/>
    <w:rsid w:val="004C0651"/>
    <w:rsid w:val="004C06A1"/>
    <w:rsid w:val="004C06E9"/>
    <w:rsid w:val="004C0774"/>
    <w:rsid w:val="004C0792"/>
    <w:rsid w:val="004C0915"/>
    <w:rsid w:val="004C09E2"/>
    <w:rsid w:val="004C0A06"/>
    <w:rsid w:val="004C0B8B"/>
    <w:rsid w:val="004C0BC9"/>
    <w:rsid w:val="004C0C62"/>
    <w:rsid w:val="004C100F"/>
    <w:rsid w:val="004C11CC"/>
    <w:rsid w:val="004C120D"/>
    <w:rsid w:val="004C1273"/>
    <w:rsid w:val="004C12BF"/>
    <w:rsid w:val="004C12D4"/>
    <w:rsid w:val="004C14E3"/>
    <w:rsid w:val="004C156C"/>
    <w:rsid w:val="004C15F7"/>
    <w:rsid w:val="004C165F"/>
    <w:rsid w:val="004C1776"/>
    <w:rsid w:val="004C17C1"/>
    <w:rsid w:val="004C17F5"/>
    <w:rsid w:val="004C1AE3"/>
    <w:rsid w:val="004C1AEA"/>
    <w:rsid w:val="004C1BC8"/>
    <w:rsid w:val="004C1C15"/>
    <w:rsid w:val="004C1C64"/>
    <w:rsid w:val="004C1C9F"/>
    <w:rsid w:val="004C1CA4"/>
    <w:rsid w:val="004C1CC1"/>
    <w:rsid w:val="004C1EDC"/>
    <w:rsid w:val="004C2122"/>
    <w:rsid w:val="004C2261"/>
    <w:rsid w:val="004C22C0"/>
    <w:rsid w:val="004C22CC"/>
    <w:rsid w:val="004C233F"/>
    <w:rsid w:val="004C248F"/>
    <w:rsid w:val="004C2538"/>
    <w:rsid w:val="004C25FC"/>
    <w:rsid w:val="004C262F"/>
    <w:rsid w:val="004C264C"/>
    <w:rsid w:val="004C26D6"/>
    <w:rsid w:val="004C27C0"/>
    <w:rsid w:val="004C2900"/>
    <w:rsid w:val="004C2912"/>
    <w:rsid w:val="004C298F"/>
    <w:rsid w:val="004C299C"/>
    <w:rsid w:val="004C29D7"/>
    <w:rsid w:val="004C29EF"/>
    <w:rsid w:val="004C2BFA"/>
    <w:rsid w:val="004C2C67"/>
    <w:rsid w:val="004C318B"/>
    <w:rsid w:val="004C32A6"/>
    <w:rsid w:val="004C3370"/>
    <w:rsid w:val="004C34A9"/>
    <w:rsid w:val="004C37DA"/>
    <w:rsid w:val="004C37F9"/>
    <w:rsid w:val="004C381E"/>
    <w:rsid w:val="004C3A50"/>
    <w:rsid w:val="004C3A5E"/>
    <w:rsid w:val="004C3AF7"/>
    <w:rsid w:val="004C3BD7"/>
    <w:rsid w:val="004C3D12"/>
    <w:rsid w:val="004C3D3E"/>
    <w:rsid w:val="004C3E6D"/>
    <w:rsid w:val="004C3F3C"/>
    <w:rsid w:val="004C4075"/>
    <w:rsid w:val="004C40A7"/>
    <w:rsid w:val="004C41E1"/>
    <w:rsid w:val="004C42AA"/>
    <w:rsid w:val="004C4394"/>
    <w:rsid w:val="004C441D"/>
    <w:rsid w:val="004C442E"/>
    <w:rsid w:val="004C4482"/>
    <w:rsid w:val="004C4489"/>
    <w:rsid w:val="004C449B"/>
    <w:rsid w:val="004C4564"/>
    <w:rsid w:val="004C4775"/>
    <w:rsid w:val="004C490B"/>
    <w:rsid w:val="004C4927"/>
    <w:rsid w:val="004C4988"/>
    <w:rsid w:val="004C49A4"/>
    <w:rsid w:val="004C4AB5"/>
    <w:rsid w:val="004C4C10"/>
    <w:rsid w:val="004C4EC9"/>
    <w:rsid w:val="004C4F69"/>
    <w:rsid w:val="004C4FB6"/>
    <w:rsid w:val="004C51DE"/>
    <w:rsid w:val="004C5228"/>
    <w:rsid w:val="004C524F"/>
    <w:rsid w:val="004C5324"/>
    <w:rsid w:val="004C53F5"/>
    <w:rsid w:val="004C54A2"/>
    <w:rsid w:val="004C5539"/>
    <w:rsid w:val="004C564B"/>
    <w:rsid w:val="004C568D"/>
    <w:rsid w:val="004C56D4"/>
    <w:rsid w:val="004C5740"/>
    <w:rsid w:val="004C58B7"/>
    <w:rsid w:val="004C58CD"/>
    <w:rsid w:val="004C5948"/>
    <w:rsid w:val="004C5AEA"/>
    <w:rsid w:val="004C5B1D"/>
    <w:rsid w:val="004C5C5A"/>
    <w:rsid w:val="004C5D7A"/>
    <w:rsid w:val="004C5EDA"/>
    <w:rsid w:val="004C5EF7"/>
    <w:rsid w:val="004C5FA2"/>
    <w:rsid w:val="004C5FBF"/>
    <w:rsid w:val="004C60B3"/>
    <w:rsid w:val="004C6136"/>
    <w:rsid w:val="004C618C"/>
    <w:rsid w:val="004C61D7"/>
    <w:rsid w:val="004C622A"/>
    <w:rsid w:val="004C6704"/>
    <w:rsid w:val="004C6A37"/>
    <w:rsid w:val="004C6B7B"/>
    <w:rsid w:val="004C6CB0"/>
    <w:rsid w:val="004C6F5A"/>
    <w:rsid w:val="004C7211"/>
    <w:rsid w:val="004C72A1"/>
    <w:rsid w:val="004C7319"/>
    <w:rsid w:val="004C735D"/>
    <w:rsid w:val="004C73AD"/>
    <w:rsid w:val="004C74FA"/>
    <w:rsid w:val="004C754B"/>
    <w:rsid w:val="004C7589"/>
    <w:rsid w:val="004C769E"/>
    <w:rsid w:val="004C76DC"/>
    <w:rsid w:val="004C7817"/>
    <w:rsid w:val="004C7852"/>
    <w:rsid w:val="004C7A18"/>
    <w:rsid w:val="004C7A24"/>
    <w:rsid w:val="004C7CC9"/>
    <w:rsid w:val="004C7DF4"/>
    <w:rsid w:val="004C7F05"/>
    <w:rsid w:val="004C7F06"/>
    <w:rsid w:val="004C7F66"/>
    <w:rsid w:val="004D0049"/>
    <w:rsid w:val="004D0247"/>
    <w:rsid w:val="004D0258"/>
    <w:rsid w:val="004D02F9"/>
    <w:rsid w:val="004D034D"/>
    <w:rsid w:val="004D03EF"/>
    <w:rsid w:val="004D042D"/>
    <w:rsid w:val="004D0710"/>
    <w:rsid w:val="004D084A"/>
    <w:rsid w:val="004D09A8"/>
    <w:rsid w:val="004D09F5"/>
    <w:rsid w:val="004D0A11"/>
    <w:rsid w:val="004D0A49"/>
    <w:rsid w:val="004D0D2E"/>
    <w:rsid w:val="004D0D3A"/>
    <w:rsid w:val="004D0DA5"/>
    <w:rsid w:val="004D0E02"/>
    <w:rsid w:val="004D0E15"/>
    <w:rsid w:val="004D0F18"/>
    <w:rsid w:val="004D0F1E"/>
    <w:rsid w:val="004D0F3C"/>
    <w:rsid w:val="004D10A3"/>
    <w:rsid w:val="004D1249"/>
    <w:rsid w:val="004D1298"/>
    <w:rsid w:val="004D12DA"/>
    <w:rsid w:val="004D12E8"/>
    <w:rsid w:val="004D1308"/>
    <w:rsid w:val="004D1412"/>
    <w:rsid w:val="004D1454"/>
    <w:rsid w:val="004D1592"/>
    <w:rsid w:val="004D169E"/>
    <w:rsid w:val="004D174F"/>
    <w:rsid w:val="004D1789"/>
    <w:rsid w:val="004D1826"/>
    <w:rsid w:val="004D1B88"/>
    <w:rsid w:val="004D1BE8"/>
    <w:rsid w:val="004D1BEE"/>
    <w:rsid w:val="004D1D11"/>
    <w:rsid w:val="004D1E00"/>
    <w:rsid w:val="004D1E3F"/>
    <w:rsid w:val="004D1E50"/>
    <w:rsid w:val="004D1F37"/>
    <w:rsid w:val="004D214B"/>
    <w:rsid w:val="004D2512"/>
    <w:rsid w:val="004D2554"/>
    <w:rsid w:val="004D267C"/>
    <w:rsid w:val="004D26CA"/>
    <w:rsid w:val="004D275E"/>
    <w:rsid w:val="004D2799"/>
    <w:rsid w:val="004D2A8E"/>
    <w:rsid w:val="004D2AA0"/>
    <w:rsid w:val="004D2B0B"/>
    <w:rsid w:val="004D2BA7"/>
    <w:rsid w:val="004D2D23"/>
    <w:rsid w:val="004D2D26"/>
    <w:rsid w:val="004D2D58"/>
    <w:rsid w:val="004D2E89"/>
    <w:rsid w:val="004D302D"/>
    <w:rsid w:val="004D30D3"/>
    <w:rsid w:val="004D30FE"/>
    <w:rsid w:val="004D3109"/>
    <w:rsid w:val="004D31FE"/>
    <w:rsid w:val="004D330E"/>
    <w:rsid w:val="004D3411"/>
    <w:rsid w:val="004D35AC"/>
    <w:rsid w:val="004D3640"/>
    <w:rsid w:val="004D387C"/>
    <w:rsid w:val="004D3894"/>
    <w:rsid w:val="004D38F1"/>
    <w:rsid w:val="004D398E"/>
    <w:rsid w:val="004D3B39"/>
    <w:rsid w:val="004D3BB8"/>
    <w:rsid w:val="004D3C66"/>
    <w:rsid w:val="004D3CC0"/>
    <w:rsid w:val="004D3E07"/>
    <w:rsid w:val="004D3EB6"/>
    <w:rsid w:val="004D3F68"/>
    <w:rsid w:val="004D40AA"/>
    <w:rsid w:val="004D40E8"/>
    <w:rsid w:val="004D42F7"/>
    <w:rsid w:val="004D4465"/>
    <w:rsid w:val="004D4582"/>
    <w:rsid w:val="004D459A"/>
    <w:rsid w:val="004D4748"/>
    <w:rsid w:val="004D4812"/>
    <w:rsid w:val="004D490A"/>
    <w:rsid w:val="004D4A8A"/>
    <w:rsid w:val="004D4B89"/>
    <w:rsid w:val="004D4BEA"/>
    <w:rsid w:val="004D4EA1"/>
    <w:rsid w:val="004D4EBA"/>
    <w:rsid w:val="004D51F7"/>
    <w:rsid w:val="004D56CD"/>
    <w:rsid w:val="004D57DA"/>
    <w:rsid w:val="004D57E7"/>
    <w:rsid w:val="004D590F"/>
    <w:rsid w:val="004D591E"/>
    <w:rsid w:val="004D5AAC"/>
    <w:rsid w:val="004D5CF9"/>
    <w:rsid w:val="004D5D27"/>
    <w:rsid w:val="004D5F91"/>
    <w:rsid w:val="004D601B"/>
    <w:rsid w:val="004D60AA"/>
    <w:rsid w:val="004D60E2"/>
    <w:rsid w:val="004D6137"/>
    <w:rsid w:val="004D637D"/>
    <w:rsid w:val="004D63A9"/>
    <w:rsid w:val="004D63E0"/>
    <w:rsid w:val="004D6538"/>
    <w:rsid w:val="004D655F"/>
    <w:rsid w:val="004D656F"/>
    <w:rsid w:val="004D65BF"/>
    <w:rsid w:val="004D661F"/>
    <w:rsid w:val="004D6655"/>
    <w:rsid w:val="004D6740"/>
    <w:rsid w:val="004D683A"/>
    <w:rsid w:val="004D6954"/>
    <w:rsid w:val="004D6AF8"/>
    <w:rsid w:val="004D6B1F"/>
    <w:rsid w:val="004D6B49"/>
    <w:rsid w:val="004D6B51"/>
    <w:rsid w:val="004D6B75"/>
    <w:rsid w:val="004D6C53"/>
    <w:rsid w:val="004D7054"/>
    <w:rsid w:val="004D712F"/>
    <w:rsid w:val="004D7298"/>
    <w:rsid w:val="004D737A"/>
    <w:rsid w:val="004D739B"/>
    <w:rsid w:val="004D73BE"/>
    <w:rsid w:val="004D74B3"/>
    <w:rsid w:val="004D75F8"/>
    <w:rsid w:val="004D760B"/>
    <w:rsid w:val="004D7676"/>
    <w:rsid w:val="004D770E"/>
    <w:rsid w:val="004D7825"/>
    <w:rsid w:val="004D7CA1"/>
    <w:rsid w:val="004D7CFF"/>
    <w:rsid w:val="004D7E1A"/>
    <w:rsid w:val="004D7EC9"/>
    <w:rsid w:val="004E00AB"/>
    <w:rsid w:val="004E02F2"/>
    <w:rsid w:val="004E036B"/>
    <w:rsid w:val="004E048C"/>
    <w:rsid w:val="004E0529"/>
    <w:rsid w:val="004E0587"/>
    <w:rsid w:val="004E059E"/>
    <w:rsid w:val="004E067C"/>
    <w:rsid w:val="004E086C"/>
    <w:rsid w:val="004E0D44"/>
    <w:rsid w:val="004E0F8B"/>
    <w:rsid w:val="004E1217"/>
    <w:rsid w:val="004E12AB"/>
    <w:rsid w:val="004E12D7"/>
    <w:rsid w:val="004E136D"/>
    <w:rsid w:val="004E15FB"/>
    <w:rsid w:val="004E1623"/>
    <w:rsid w:val="004E1795"/>
    <w:rsid w:val="004E1961"/>
    <w:rsid w:val="004E19BC"/>
    <w:rsid w:val="004E1C0D"/>
    <w:rsid w:val="004E1C9B"/>
    <w:rsid w:val="004E1CE2"/>
    <w:rsid w:val="004E1CE8"/>
    <w:rsid w:val="004E1D70"/>
    <w:rsid w:val="004E1F36"/>
    <w:rsid w:val="004E1F95"/>
    <w:rsid w:val="004E1FA8"/>
    <w:rsid w:val="004E1FCB"/>
    <w:rsid w:val="004E2013"/>
    <w:rsid w:val="004E210B"/>
    <w:rsid w:val="004E2274"/>
    <w:rsid w:val="004E227D"/>
    <w:rsid w:val="004E22CB"/>
    <w:rsid w:val="004E2332"/>
    <w:rsid w:val="004E2338"/>
    <w:rsid w:val="004E23A9"/>
    <w:rsid w:val="004E24EF"/>
    <w:rsid w:val="004E25BD"/>
    <w:rsid w:val="004E2646"/>
    <w:rsid w:val="004E26B6"/>
    <w:rsid w:val="004E2B85"/>
    <w:rsid w:val="004E2BA4"/>
    <w:rsid w:val="004E2D88"/>
    <w:rsid w:val="004E2EAF"/>
    <w:rsid w:val="004E2EC1"/>
    <w:rsid w:val="004E2F82"/>
    <w:rsid w:val="004E2F91"/>
    <w:rsid w:val="004E30EC"/>
    <w:rsid w:val="004E324F"/>
    <w:rsid w:val="004E3363"/>
    <w:rsid w:val="004E3528"/>
    <w:rsid w:val="004E357F"/>
    <w:rsid w:val="004E376A"/>
    <w:rsid w:val="004E37BF"/>
    <w:rsid w:val="004E384E"/>
    <w:rsid w:val="004E38CE"/>
    <w:rsid w:val="004E38D5"/>
    <w:rsid w:val="004E3948"/>
    <w:rsid w:val="004E3A44"/>
    <w:rsid w:val="004E3A8A"/>
    <w:rsid w:val="004E3B31"/>
    <w:rsid w:val="004E3B7C"/>
    <w:rsid w:val="004E3BA8"/>
    <w:rsid w:val="004E3D2D"/>
    <w:rsid w:val="004E3DF4"/>
    <w:rsid w:val="004E3E08"/>
    <w:rsid w:val="004E3F65"/>
    <w:rsid w:val="004E3F9E"/>
    <w:rsid w:val="004E3FA2"/>
    <w:rsid w:val="004E400E"/>
    <w:rsid w:val="004E41A7"/>
    <w:rsid w:val="004E4308"/>
    <w:rsid w:val="004E442D"/>
    <w:rsid w:val="004E455C"/>
    <w:rsid w:val="004E4580"/>
    <w:rsid w:val="004E45D4"/>
    <w:rsid w:val="004E4668"/>
    <w:rsid w:val="004E47AE"/>
    <w:rsid w:val="004E47BE"/>
    <w:rsid w:val="004E4AF1"/>
    <w:rsid w:val="004E4C28"/>
    <w:rsid w:val="004E4DEE"/>
    <w:rsid w:val="004E4E33"/>
    <w:rsid w:val="004E4E4C"/>
    <w:rsid w:val="004E5152"/>
    <w:rsid w:val="004E515A"/>
    <w:rsid w:val="004E5187"/>
    <w:rsid w:val="004E5271"/>
    <w:rsid w:val="004E528B"/>
    <w:rsid w:val="004E52FE"/>
    <w:rsid w:val="004E537F"/>
    <w:rsid w:val="004E5385"/>
    <w:rsid w:val="004E5402"/>
    <w:rsid w:val="004E5790"/>
    <w:rsid w:val="004E58A1"/>
    <w:rsid w:val="004E5916"/>
    <w:rsid w:val="004E5AF2"/>
    <w:rsid w:val="004E5AF8"/>
    <w:rsid w:val="004E5C8C"/>
    <w:rsid w:val="004E5CB9"/>
    <w:rsid w:val="004E5D1C"/>
    <w:rsid w:val="004E5E47"/>
    <w:rsid w:val="004E5E4E"/>
    <w:rsid w:val="004E60BE"/>
    <w:rsid w:val="004E6314"/>
    <w:rsid w:val="004E642E"/>
    <w:rsid w:val="004E647C"/>
    <w:rsid w:val="004E65D1"/>
    <w:rsid w:val="004E6B3B"/>
    <w:rsid w:val="004E6B68"/>
    <w:rsid w:val="004E6C8A"/>
    <w:rsid w:val="004E6C97"/>
    <w:rsid w:val="004E6DC5"/>
    <w:rsid w:val="004E6E1E"/>
    <w:rsid w:val="004E6EA8"/>
    <w:rsid w:val="004E6EC5"/>
    <w:rsid w:val="004E7004"/>
    <w:rsid w:val="004E7125"/>
    <w:rsid w:val="004E7138"/>
    <w:rsid w:val="004E7148"/>
    <w:rsid w:val="004E7149"/>
    <w:rsid w:val="004E73EC"/>
    <w:rsid w:val="004E7430"/>
    <w:rsid w:val="004E748D"/>
    <w:rsid w:val="004E76A0"/>
    <w:rsid w:val="004E76A4"/>
    <w:rsid w:val="004E77C9"/>
    <w:rsid w:val="004E7AAA"/>
    <w:rsid w:val="004E7CA8"/>
    <w:rsid w:val="004E7D00"/>
    <w:rsid w:val="004E7E41"/>
    <w:rsid w:val="004F01FD"/>
    <w:rsid w:val="004F0224"/>
    <w:rsid w:val="004F0232"/>
    <w:rsid w:val="004F03AF"/>
    <w:rsid w:val="004F05E9"/>
    <w:rsid w:val="004F0685"/>
    <w:rsid w:val="004F0733"/>
    <w:rsid w:val="004F0866"/>
    <w:rsid w:val="004F0A73"/>
    <w:rsid w:val="004F0ACB"/>
    <w:rsid w:val="004F0BCD"/>
    <w:rsid w:val="004F0C87"/>
    <w:rsid w:val="004F0CFE"/>
    <w:rsid w:val="004F0D75"/>
    <w:rsid w:val="004F0D8D"/>
    <w:rsid w:val="004F0E04"/>
    <w:rsid w:val="004F0F6A"/>
    <w:rsid w:val="004F1097"/>
    <w:rsid w:val="004F1102"/>
    <w:rsid w:val="004F118E"/>
    <w:rsid w:val="004F130D"/>
    <w:rsid w:val="004F13A7"/>
    <w:rsid w:val="004F1584"/>
    <w:rsid w:val="004F1B1E"/>
    <w:rsid w:val="004F1D44"/>
    <w:rsid w:val="004F1E0E"/>
    <w:rsid w:val="004F1ED8"/>
    <w:rsid w:val="004F2039"/>
    <w:rsid w:val="004F20B0"/>
    <w:rsid w:val="004F20F9"/>
    <w:rsid w:val="004F2163"/>
    <w:rsid w:val="004F21B0"/>
    <w:rsid w:val="004F22A4"/>
    <w:rsid w:val="004F22BC"/>
    <w:rsid w:val="004F2354"/>
    <w:rsid w:val="004F23AE"/>
    <w:rsid w:val="004F23D7"/>
    <w:rsid w:val="004F243A"/>
    <w:rsid w:val="004F2449"/>
    <w:rsid w:val="004F244C"/>
    <w:rsid w:val="004F2844"/>
    <w:rsid w:val="004F28E7"/>
    <w:rsid w:val="004F2B69"/>
    <w:rsid w:val="004F2BD3"/>
    <w:rsid w:val="004F2BF1"/>
    <w:rsid w:val="004F2C2E"/>
    <w:rsid w:val="004F2C7C"/>
    <w:rsid w:val="004F2D38"/>
    <w:rsid w:val="004F2D9E"/>
    <w:rsid w:val="004F2DF9"/>
    <w:rsid w:val="004F2E45"/>
    <w:rsid w:val="004F2E8E"/>
    <w:rsid w:val="004F2F05"/>
    <w:rsid w:val="004F2FE5"/>
    <w:rsid w:val="004F2FFB"/>
    <w:rsid w:val="004F3091"/>
    <w:rsid w:val="004F309C"/>
    <w:rsid w:val="004F30B7"/>
    <w:rsid w:val="004F3100"/>
    <w:rsid w:val="004F3102"/>
    <w:rsid w:val="004F310F"/>
    <w:rsid w:val="004F316E"/>
    <w:rsid w:val="004F32D8"/>
    <w:rsid w:val="004F33F4"/>
    <w:rsid w:val="004F3623"/>
    <w:rsid w:val="004F399F"/>
    <w:rsid w:val="004F3B78"/>
    <w:rsid w:val="004F3C7F"/>
    <w:rsid w:val="004F3CA8"/>
    <w:rsid w:val="004F3D5D"/>
    <w:rsid w:val="004F3F43"/>
    <w:rsid w:val="004F3FF5"/>
    <w:rsid w:val="004F402A"/>
    <w:rsid w:val="004F404F"/>
    <w:rsid w:val="004F4105"/>
    <w:rsid w:val="004F4495"/>
    <w:rsid w:val="004F4527"/>
    <w:rsid w:val="004F45C9"/>
    <w:rsid w:val="004F461D"/>
    <w:rsid w:val="004F46B0"/>
    <w:rsid w:val="004F46DA"/>
    <w:rsid w:val="004F482E"/>
    <w:rsid w:val="004F4835"/>
    <w:rsid w:val="004F4A40"/>
    <w:rsid w:val="004F4B3A"/>
    <w:rsid w:val="004F4B67"/>
    <w:rsid w:val="004F4C72"/>
    <w:rsid w:val="004F4D28"/>
    <w:rsid w:val="004F4EAE"/>
    <w:rsid w:val="004F4FCD"/>
    <w:rsid w:val="004F5028"/>
    <w:rsid w:val="004F503A"/>
    <w:rsid w:val="004F5089"/>
    <w:rsid w:val="004F50AE"/>
    <w:rsid w:val="004F516D"/>
    <w:rsid w:val="004F518F"/>
    <w:rsid w:val="004F5250"/>
    <w:rsid w:val="004F534E"/>
    <w:rsid w:val="004F5825"/>
    <w:rsid w:val="004F59AD"/>
    <w:rsid w:val="004F5A08"/>
    <w:rsid w:val="004F5A11"/>
    <w:rsid w:val="004F5AEB"/>
    <w:rsid w:val="004F5B42"/>
    <w:rsid w:val="004F5BA0"/>
    <w:rsid w:val="004F5BD9"/>
    <w:rsid w:val="004F5CCB"/>
    <w:rsid w:val="004F5DA2"/>
    <w:rsid w:val="004F5E30"/>
    <w:rsid w:val="004F62D6"/>
    <w:rsid w:val="004F64ED"/>
    <w:rsid w:val="004F656A"/>
    <w:rsid w:val="004F65BF"/>
    <w:rsid w:val="004F660B"/>
    <w:rsid w:val="004F67BF"/>
    <w:rsid w:val="004F68F4"/>
    <w:rsid w:val="004F6A71"/>
    <w:rsid w:val="004F6B5C"/>
    <w:rsid w:val="004F6B6B"/>
    <w:rsid w:val="004F6C2F"/>
    <w:rsid w:val="004F6CF3"/>
    <w:rsid w:val="004F6F75"/>
    <w:rsid w:val="004F6FC4"/>
    <w:rsid w:val="004F7163"/>
    <w:rsid w:val="004F719D"/>
    <w:rsid w:val="004F71AC"/>
    <w:rsid w:val="004F71DE"/>
    <w:rsid w:val="004F72B7"/>
    <w:rsid w:val="004F73DD"/>
    <w:rsid w:val="004F7454"/>
    <w:rsid w:val="004F7497"/>
    <w:rsid w:val="004F74DE"/>
    <w:rsid w:val="004F74F3"/>
    <w:rsid w:val="004F75A2"/>
    <w:rsid w:val="004F761F"/>
    <w:rsid w:val="004F766B"/>
    <w:rsid w:val="004F7725"/>
    <w:rsid w:val="004F7849"/>
    <w:rsid w:val="004F7B2D"/>
    <w:rsid w:val="004F7B4F"/>
    <w:rsid w:val="004F7B59"/>
    <w:rsid w:val="004F7C3A"/>
    <w:rsid w:val="004F7C5C"/>
    <w:rsid w:val="004F7DBE"/>
    <w:rsid w:val="004F7EAC"/>
    <w:rsid w:val="004F7EEA"/>
    <w:rsid w:val="004F7FB6"/>
    <w:rsid w:val="00500140"/>
    <w:rsid w:val="00500380"/>
    <w:rsid w:val="0050069F"/>
    <w:rsid w:val="00500763"/>
    <w:rsid w:val="00500834"/>
    <w:rsid w:val="005008CF"/>
    <w:rsid w:val="00500918"/>
    <w:rsid w:val="00500A2F"/>
    <w:rsid w:val="00500A64"/>
    <w:rsid w:val="00500ABC"/>
    <w:rsid w:val="00500AD3"/>
    <w:rsid w:val="00500BB2"/>
    <w:rsid w:val="00500D2C"/>
    <w:rsid w:val="005011D7"/>
    <w:rsid w:val="00501265"/>
    <w:rsid w:val="00501289"/>
    <w:rsid w:val="0050129D"/>
    <w:rsid w:val="0050137B"/>
    <w:rsid w:val="00501622"/>
    <w:rsid w:val="0050169A"/>
    <w:rsid w:val="00501821"/>
    <w:rsid w:val="005018CC"/>
    <w:rsid w:val="005019EB"/>
    <w:rsid w:val="00501B11"/>
    <w:rsid w:val="00501B27"/>
    <w:rsid w:val="00501BC8"/>
    <w:rsid w:val="00501C94"/>
    <w:rsid w:val="00501C9A"/>
    <w:rsid w:val="00501CD8"/>
    <w:rsid w:val="00501FDC"/>
    <w:rsid w:val="00501FE7"/>
    <w:rsid w:val="0050201B"/>
    <w:rsid w:val="0050212B"/>
    <w:rsid w:val="005022C3"/>
    <w:rsid w:val="00502315"/>
    <w:rsid w:val="0050231D"/>
    <w:rsid w:val="00502353"/>
    <w:rsid w:val="00502421"/>
    <w:rsid w:val="00502467"/>
    <w:rsid w:val="0050250A"/>
    <w:rsid w:val="00502550"/>
    <w:rsid w:val="00502576"/>
    <w:rsid w:val="00502644"/>
    <w:rsid w:val="005026F9"/>
    <w:rsid w:val="005027C3"/>
    <w:rsid w:val="00502813"/>
    <w:rsid w:val="00502A50"/>
    <w:rsid w:val="00502A72"/>
    <w:rsid w:val="00502C94"/>
    <w:rsid w:val="00502CD4"/>
    <w:rsid w:val="00502CF6"/>
    <w:rsid w:val="00502D87"/>
    <w:rsid w:val="00502F9D"/>
    <w:rsid w:val="00502FDC"/>
    <w:rsid w:val="00503071"/>
    <w:rsid w:val="005031BF"/>
    <w:rsid w:val="005031D0"/>
    <w:rsid w:val="005031F8"/>
    <w:rsid w:val="00503248"/>
    <w:rsid w:val="00503336"/>
    <w:rsid w:val="00503423"/>
    <w:rsid w:val="005034FD"/>
    <w:rsid w:val="005035BC"/>
    <w:rsid w:val="0050380F"/>
    <w:rsid w:val="00503A18"/>
    <w:rsid w:val="00503BBE"/>
    <w:rsid w:val="00503C82"/>
    <w:rsid w:val="00503D88"/>
    <w:rsid w:val="00503F2A"/>
    <w:rsid w:val="00503F7C"/>
    <w:rsid w:val="00503F93"/>
    <w:rsid w:val="00503F94"/>
    <w:rsid w:val="00504012"/>
    <w:rsid w:val="0050447C"/>
    <w:rsid w:val="00504524"/>
    <w:rsid w:val="005045E9"/>
    <w:rsid w:val="00504767"/>
    <w:rsid w:val="005047E0"/>
    <w:rsid w:val="005047E8"/>
    <w:rsid w:val="00504929"/>
    <w:rsid w:val="00504A35"/>
    <w:rsid w:val="0050500A"/>
    <w:rsid w:val="00505106"/>
    <w:rsid w:val="0050513F"/>
    <w:rsid w:val="005051B6"/>
    <w:rsid w:val="0050525C"/>
    <w:rsid w:val="005053A0"/>
    <w:rsid w:val="005053A1"/>
    <w:rsid w:val="00505775"/>
    <w:rsid w:val="005057E3"/>
    <w:rsid w:val="0050588E"/>
    <w:rsid w:val="005058AD"/>
    <w:rsid w:val="00505996"/>
    <w:rsid w:val="00505A40"/>
    <w:rsid w:val="00505A6C"/>
    <w:rsid w:val="00505A8B"/>
    <w:rsid w:val="00505AE5"/>
    <w:rsid w:val="00505B7A"/>
    <w:rsid w:val="00505B9F"/>
    <w:rsid w:val="00505CF4"/>
    <w:rsid w:val="00505E5F"/>
    <w:rsid w:val="00506160"/>
    <w:rsid w:val="005061EF"/>
    <w:rsid w:val="00506513"/>
    <w:rsid w:val="00506615"/>
    <w:rsid w:val="005066FE"/>
    <w:rsid w:val="0050679B"/>
    <w:rsid w:val="00506A33"/>
    <w:rsid w:val="00506ABF"/>
    <w:rsid w:val="00506C60"/>
    <w:rsid w:val="00506D82"/>
    <w:rsid w:val="00506F1B"/>
    <w:rsid w:val="005072E9"/>
    <w:rsid w:val="005073F3"/>
    <w:rsid w:val="0050758C"/>
    <w:rsid w:val="005075AE"/>
    <w:rsid w:val="0050778C"/>
    <w:rsid w:val="005077A3"/>
    <w:rsid w:val="0050789C"/>
    <w:rsid w:val="0050798D"/>
    <w:rsid w:val="005079D5"/>
    <w:rsid w:val="00507A59"/>
    <w:rsid w:val="00507AD4"/>
    <w:rsid w:val="00507C25"/>
    <w:rsid w:val="00507C2E"/>
    <w:rsid w:val="00507C64"/>
    <w:rsid w:val="00507E2D"/>
    <w:rsid w:val="005100EC"/>
    <w:rsid w:val="005101E1"/>
    <w:rsid w:val="005102F4"/>
    <w:rsid w:val="00510582"/>
    <w:rsid w:val="00510585"/>
    <w:rsid w:val="00510777"/>
    <w:rsid w:val="00510781"/>
    <w:rsid w:val="0051090F"/>
    <w:rsid w:val="00510ADB"/>
    <w:rsid w:val="00510C38"/>
    <w:rsid w:val="00510C74"/>
    <w:rsid w:val="00510C90"/>
    <w:rsid w:val="00510D02"/>
    <w:rsid w:val="00510E1B"/>
    <w:rsid w:val="00510E41"/>
    <w:rsid w:val="00510E59"/>
    <w:rsid w:val="00510FC2"/>
    <w:rsid w:val="0051107F"/>
    <w:rsid w:val="0051111D"/>
    <w:rsid w:val="00511295"/>
    <w:rsid w:val="005112D3"/>
    <w:rsid w:val="005113D9"/>
    <w:rsid w:val="0051198B"/>
    <w:rsid w:val="00511A31"/>
    <w:rsid w:val="00511ABE"/>
    <w:rsid w:val="00511B2E"/>
    <w:rsid w:val="00511BA7"/>
    <w:rsid w:val="00511C21"/>
    <w:rsid w:val="00511D87"/>
    <w:rsid w:val="00511D94"/>
    <w:rsid w:val="00511DAF"/>
    <w:rsid w:val="00511EAE"/>
    <w:rsid w:val="00511ECA"/>
    <w:rsid w:val="00511F45"/>
    <w:rsid w:val="005120B7"/>
    <w:rsid w:val="005120D5"/>
    <w:rsid w:val="005123DD"/>
    <w:rsid w:val="005123F1"/>
    <w:rsid w:val="00512578"/>
    <w:rsid w:val="005126F3"/>
    <w:rsid w:val="005126F4"/>
    <w:rsid w:val="0051289C"/>
    <w:rsid w:val="005128E9"/>
    <w:rsid w:val="00512B1B"/>
    <w:rsid w:val="00512C3A"/>
    <w:rsid w:val="00512CC2"/>
    <w:rsid w:val="00512D72"/>
    <w:rsid w:val="00512E46"/>
    <w:rsid w:val="00512F30"/>
    <w:rsid w:val="00513021"/>
    <w:rsid w:val="00513062"/>
    <w:rsid w:val="005130DF"/>
    <w:rsid w:val="005132BE"/>
    <w:rsid w:val="00513594"/>
    <w:rsid w:val="005135B2"/>
    <w:rsid w:val="005135D3"/>
    <w:rsid w:val="005135FA"/>
    <w:rsid w:val="00513698"/>
    <w:rsid w:val="00513707"/>
    <w:rsid w:val="0051370F"/>
    <w:rsid w:val="005138CF"/>
    <w:rsid w:val="00513A40"/>
    <w:rsid w:val="00513ABD"/>
    <w:rsid w:val="00513ABF"/>
    <w:rsid w:val="00513C3A"/>
    <w:rsid w:val="00513E0C"/>
    <w:rsid w:val="00513EFA"/>
    <w:rsid w:val="00513F7F"/>
    <w:rsid w:val="0051413E"/>
    <w:rsid w:val="005141FE"/>
    <w:rsid w:val="005143F0"/>
    <w:rsid w:val="00514438"/>
    <w:rsid w:val="00514457"/>
    <w:rsid w:val="00514745"/>
    <w:rsid w:val="0051474C"/>
    <w:rsid w:val="0051480C"/>
    <w:rsid w:val="0051480F"/>
    <w:rsid w:val="0051485F"/>
    <w:rsid w:val="0051486B"/>
    <w:rsid w:val="00514952"/>
    <w:rsid w:val="0051499E"/>
    <w:rsid w:val="00514A1C"/>
    <w:rsid w:val="00514A53"/>
    <w:rsid w:val="00514D16"/>
    <w:rsid w:val="00514DF8"/>
    <w:rsid w:val="00514E00"/>
    <w:rsid w:val="00515057"/>
    <w:rsid w:val="0051509A"/>
    <w:rsid w:val="0051517E"/>
    <w:rsid w:val="00515292"/>
    <w:rsid w:val="0051547C"/>
    <w:rsid w:val="005154B1"/>
    <w:rsid w:val="00515539"/>
    <w:rsid w:val="005156BD"/>
    <w:rsid w:val="005156C2"/>
    <w:rsid w:val="0051579E"/>
    <w:rsid w:val="00515A9F"/>
    <w:rsid w:val="00515D23"/>
    <w:rsid w:val="00515E0D"/>
    <w:rsid w:val="00515E88"/>
    <w:rsid w:val="00515F09"/>
    <w:rsid w:val="00515F68"/>
    <w:rsid w:val="005160FB"/>
    <w:rsid w:val="005161BA"/>
    <w:rsid w:val="005161DD"/>
    <w:rsid w:val="0051626F"/>
    <w:rsid w:val="0051634B"/>
    <w:rsid w:val="00516383"/>
    <w:rsid w:val="00516577"/>
    <w:rsid w:val="00516664"/>
    <w:rsid w:val="005168E3"/>
    <w:rsid w:val="005168FC"/>
    <w:rsid w:val="0051696F"/>
    <w:rsid w:val="00516984"/>
    <w:rsid w:val="00516B06"/>
    <w:rsid w:val="00516B69"/>
    <w:rsid w:val="00516B75"/>
    <w:rsid w:val="00516CC8"/>
    <w:rsid w:val="00516DE4"/>
    <w:rsid w:val="00516FE2"/>
    <w:rsid w:val="00517008"/>
    <w:rsid w:val="005171F6"/>
    <w:rsid w:val="005172B3"/>
    <w:rsid w:val="005172FA"/>
    <w:rsid w:val="00517365"/>
    <w:rsid w:val="0051738A"/>
    <w:rsid w:val="00517437"/>
    <w:rsid w:val="00517442"/>
    <w:rsid w:val="0051750C"/>
    <w:rsid w:val="00517590"/>
    <w:rsid w:val="005177FB"/>
    <w:rsid w:val="00517AB1"/>
    <w:rsid w:val="00517ADD"/>
    <w:rsid w:val="00517B92"/>
    <w:rsid w:val="00517BC6"/>
    <w:rsid w:val="00517C1D"/>
    <w:rsid w:val="00517C78"/>
    <w:rsid w:val="00517CC3"/>
    <w:rsid w:val="00517DA3"/>
    <w:rsid w:val="00517DC4"/>
    <w:rsid w:val="00517DE9"/>
    <w:rsid w:val="00520044"/>
    <w:rsid w:val="00520113"/>
    <w:rsid w:val="00520179"/>
    <w:rsid w:val="00520185"/>
    <w:rsid w:val="00520186"/>
    <w:rsid w:val="005201AB"/>
    <w:rsid w:val="00520269"/>
    <w:rsid w:val="00520312"/>
    <w:rsid w:val="005204FA"/>
    <w:rsid w:val="00520507"/>
    <w:rsid w:val="00520575"/>
    <w:rsid w:val="0052068A"/>
    <w:rsid w:val="00520754"/>
    <w:rsid w:val="005207A1"/>
    <w:rsid w:val="005208E7"/>
    <w:rsid w:val="00520908"/>
    <w:rsid w:val="005209EA"/>
    <w:rsid w:val="005209EC"/>
    <w:rsid w:val="00520D44"/>
    <w:rsid w:val="00521109"/>
    <w:rsid w:val="0052112A"/>
    <w:rsid w:val="005211B8"/>
    <w:rsid w:val="005211D0"/>
    <w:rsid w:val="0052139C"/>
    <w:rsid w:val="005213BA"/>
    <w:rsid w:val="005213DF"/>
    <w:rsid w:val="00521455"/>
    <w:rsid w:val="005214DE"/>
    <w:rsid w:val="005214FA"/>
    <w:rsid w:val="005214FD"/>
    <w:rsid w:val="00521692"/>
    <w:rsid w:val="0052185B"/>
    <w:rsid w:val="005218AA"/>
    <w:rsid w:val="005219A1"/>
    <w:rsid w:val="00521BA9"/>
    <w:rsid w:val="00521BB5"/>
    <w:rsid w:val="00521C75"/>
    <w:rsid w:val="00521D29"/>
    <w:rsid w:val="00521E0E"/>
    <w:rsid w:val="00521E27"/>
    <w:rsid w:val="00521EAC"/>
    <w:rsid w:val="00522096"/>
    <w:rsid w:val="005220BE"/>
    <w:rsid w:val="00522440"/>
    <w:rsid w:val="0052246C"/>
    <w:rsid w:val="0052247F"/>
    <w:rsid w:val="005224AF"/>
    <w:rsid w:val="0052250D"/>
    <w:rsid w:val="00522549"/>
    <w:rsid w:val="005226C2"/>
    <w:rsid w:val="005226EF"/>
    <w:rsid w:val="00522831"/>
    <w:rsid w:val="005228D1"/>
    <w:rsid w:val="0052299D"/>
    <w:rsid w:val="005229B8"/>
    <w:rsid w:val="00522C52"/>
    <w:rsid w:val="00522DE1"/>
    <w:rsid w:val="00522EA1"/>
    <w:rsid w:val="00523070"/>
    <w:rsid w:val="0052307E"/>
    <w:rsid w:val="005231DC"/>
    <w:rsid w:val="0052329B"/>
    <w:rsid w:val="00523851"/>
    <w:rsid w:val="00523867"/>
    <w:rsid w:val="00523B02"/>
    <w:rsid w:val="00523B1F"/>
    <w:rsid w:val="00523BD4"/>
    <w:rsid w:val="00523CB7"/>
    <w:rsid w:val="00524270"/>
    <w:rsid w:val="005242FC"/>
    <w:rsid w:val="005243DC"/>
    <w:rsid w:val="0052444A"/>
    <w:rsid w:val="005245BE"/>
    <w:rsid w:val="00524670"/>
    <w:rsid w:val="005246CF"/>
    <w:rsid w:val="00524788"/>
    <w:rsid w:val="005247EE"/>
    <w:rsid w:val="00524962"/>
    <w:rsid w:val="00524B2B"/>
    <w:rsid w:val="00524BA0"/>
    <w:rsid w:val="00524BA2"/>
    <w:rsid w:val="00524CB6"/>
    <w:rsid w:val="00524E7F"/>
    <w:rsid w:val="00524EF4"/>
    <w:rsid w:val="00524F3A"/>
    <w:rsid w:val="00525111"/>
    <w:rsid w:val="00525125"/>
    <w:rsid w:val="0052512A"/>
    <w:rsid w:val="005252CD"/>
    <w:rsid w:val="00525333"/>
    <w:rsid w:val="00525601"/>
    <w:rsid w:val="0052565E"/>
    <w:rsid w:val="00525708"/>
    <w:rsid w:val="00525882"/>
    <w:rsid w:val="00525A18"/>
    <w:rsid w:val="00525A66"/>
    <w:rsid w:val="00525BA5"/>
    <w:rsid w:val="00525C37"/>
    <w:rsid w:val="00525D07"/>
    <w:rsid w:val="00525DF3"/>
    <w:rsid w:val="00525E6C"/>
    <w:rsid w:val="00525EFA"/>
    <w:rsid w:val="00525F32"/>
    <w:rsid w:val="00525F93"/>
    <w:rsid w:val="00525FA9"/>
    <w:rsid w:val="00525FE1"/>
    <w:rsid w:val="00526315"/>
    <w:rsid w:val="005263FE"/>
    <w:rsid w:val="00526481"/>
    <w:rsid w:val="00526556"/>
    <w:rsid w:val="0052669C"/>
    <w:rsid w:val="00526750"/>
    <w:rsid w:val="005267EE"/>
    <w:rsid w:val="005268B3"/>
    <w:rsid w:val="00526935"/>
    <w:rsid w:val="00526C6F"/>
    <w:rsid w:val="00526CD4"/>
    <w:rsid w:val="00526FBA"/>
    <w:rsid w:val="005270E7"/>
    <w:rsid w:val="00527142"/>
    <w:rsid w:val="005271FB"/>
    <w:rsid w:val="0052730F"/>
    <w:rsid w:val="0052748C"/>
    <w:rsid w:val="00527545"/>
    <w:rsid w:val="0052760E"/>
    <w:rsid w:val="00527697"/>
    <w:rsid w:val="005276A8"/>
    <w:rsid w:val="005276B6"/>
    <w:rsid w:val="005276C0"/>
    <w:rsid w:val="005276FB"/>
    <w:rsid w:val="00527731"/>
    <w:rsid w:val="00527928"/>
    <w:rsid w:val="00527A70"/>
    <w:rsid w:val="00527BE9"/>
    <w:rsid w:val="00527C3B"/>
    <w:rsid w:val="00527C8B"/>
    <w:rsid w:val="00527CCD"/>
    <w:rsid w:val="00527E3C"/>
    <w:rsid w:val="00527EAB"/>
    <w:rsid w:val="00527F24"/>
    <w:rsid w:val="00527F34"/>
    <w:rsid w:val="00530001"/>
    <w:rsid w:val="00530149"/>
    <w:rsid w:val="00530182"/>
    <w:rsid w:val="005301E6"/>
    <w:rsid w:val="00530353"/>
    <w:rsid w:val="005303B7"/>
    <w:rsid w:val="005304B4"/>
    <w:rsid w:val="005304EE"/>
    <w:rsid w:val="0053088C"/>
    <w:rsid w:val="00530B14"/>
    <w:rsid w:val="00530CA0"/>
    <w:rsid w:val="00530D4D"/>
    <w:rsid w:val="00530E75"/>
    <w:rsid w:val="0053101B"/>
    <w:rsid w:val="005310A4"/>
    <w:rsid w:val="005310DD"/>
    <w:rsid w:val="00531125"/>
    <w:rsid w:val="00531153"/>
    <w:rsid w:val="00531230"/>
    <w:rsid w:val="00531269"/>
    <w:rsid w:val="0053129B"/>
    <w:rsid w:val="0053139E"/>
    <w:rsid w:val="00531469"/>
    <w:rsid w:val="005315C8"/>
    <w:rsid w:val="00531637"/>
    <w:rsid w:val="005316B2"/>
    <w:rsid w:val="00531754"/>
    <w:rsid w:val="00531765"/>
    <w:rsid w:val="00531AE1"/>
    <w:rsid w:val="00531BF5"/>
    <w:rsid w:val="00531CC6"/>
    <w:rsid w:val="00531E88"/>
    <w:rsid w:val="00532001"/>
    <w:rsid w:val="0053200F"/>
    <w:rsid w:val="005320CD"/>
    <w:rsid w:val="005321B3"/>
    <w:rsid w:val="00532492"/>
    <w:rsid w:val="005326F5"/>
    <w:rsid w:val="00532749"/>
    <w:rsid w:val="005327EA"/>
    <w:rsid w:val="00532A34"/>
    <w:rsid w:val="00532AF7"/>
    <w:rsid w:val="00532B23"/>
    <w:rsid w:val="00532E5F"/>
    <w:rsid w:val="00532F0B"/>
    <w:rsid w:val="00532F49"/>
    <w:rsid w:val="00533071"/>
    <w:rsid w:val="005332BA"/>
    <w:rsid w:val="005332E0"/>
    <w:rsid w:val="00533339"/>
    <w:rsid w:val="00533353"/>
    <w:rsid w:val="0053343F"/>
    <w:rsid w:val="005335AB"/>
    <w:rsid w:val="005337FA"/>
    <w:rsid w:val="0053384C"/>
    <w:rsid w:val="005338EB"/>
    <w:rsid w:val="005338F3"/>
    <w:rsid w:val="0053395E"/>
    <w:rsid w:val="00533B27"/>
    <w:rsid w:val="00533E50"/>
    <w:rsid w:val="00533EDD"/>
    <w:rsid w:val="00533F85"/>
    <w:rsid w:val="00534106"/>
    <w:rsid w:val="00534274"/>
    <w:rsid w:val="00534583"/>
    <w:rsid w:val="005345D4"/>
    <w:rsid w:val="0053473C"/>
    <w:rsid w:val="005347AC"/>
    <w:rsid w:val="005348A0"/>
    <w:rsid w:val="005349E9"/>
    <w:rsid w:val="00534A47"/>
    <w:rsid w:val="00534A9F"/>
    <w:rsid w:val="00534BBD"/>
    <w:rsid w:val="00534C3C"/>
    <w:rsid w:val="00534C7C"/>
    <w:rsid w:val="00534D9A"/>
    <w:rsid w:val="00534DCE"/>
    <w:rsid w:val="005351E9"/>
    <w:rsid w:val="00535297"/>
    <w:rsid w:val="005352E3"/>
    <w:rsid w:val="005353A4"/>
    <w:rsid w:val="0053545F"/>
    <w:rsid w:val="00535585"/>
    <w:rsid w:val="00535617"/>
    <w:rsid w:val="00535623"/>
    <w:rsid w:val="005356FF"/>
    <w:rsid w:val="0053572F"/>
    <w:rsid w:val="00535D2D"/>
    <w:rsid w:val="00535D75"/>
    <w:rsid w:val="0053605E"/>
    <w:rsid w:val="00536076"/>
    <w:rsid w:val="00536214"/>
    <w:rsid w:val="0053622E"/>
    <w:rsid w:val="005362DA"/>
    <w:rsid w:val="00536310"/>
    <w:rsid w:val="005364B1"/>
    <w:rsid w:val="00536753"/>
    <w:rsid w:val="0053677E"/>
    <w:rsid w:val="0053687F"/>
    <w:rsid w:val="00536896"/>
    <w:rsid w:val="00536902"/>
    <w:rsid w:val="00536956"/>
    <w:rsid w:val="00536BC3"/>
    <w:rsid w:val="00536C51"/>
    <w:rsid w:val="00536C7E"/>
    <w:rsid w:val="00536D1B"/>
    <w:rsid w:val="00536D2C"/>
    <w:rsid w:val="00536DD6"/>
    <w:rsid w:val="00536EE4"/>
    <w:rsid w:val="00536EFA"/>
    <w:rsid w:val="005370F2"/>
    <w:rsid w:val="00537158"/>
    <w:rsid w:val="00537264"/>
    <w:rsid w:val="005372B5"/>
    <w:rsid w:val="00537393"/>
    <w:rsid w:val="005373C9"/>
    <w:rsid w:val="00537515"/>
    <w:rsid w:val="00537531"/>
    <w:rsid w:val="00537596"/>
    <w:rsid w:val="005375A2"/>
    <w:rsid w:val="005375B8"/>
    <w:rsid w:val="00537664"/>
    <w:rsid w:val="005378AB"/>
    <w:rsid w:val="00537941"/>
    <w:rsid w:val="00537A07"/>
    <w:rsid w:val="00537C87"/>
    <w:rsid w:val="00537CE2"/>
    <w:rsid w:val="00537E2D"/>
    <w:rsid w:val="00537F48"/>
    <w:rsid w:val="00537F89"/>
    <w:rsid w:val="00540014"/>
    <w:rsid w:val="005400B5"/>
    <w:rsid w:val="005400ED"/>
    <w:rsid w:val="0054010B"/>
    <w:rsid w:val="005401F1"/>
    <w:rsid w:val="0054027E"/>
    <w:rsid w:val="005402CA"/>
    <w:rsid w:val="00540593"/>
    <w:rsid w:val="005405F3"/>
    <w:rsid w:val="00540625"/>
    <w:rsid w:val="0054073D"/>
    <w:rsid w:val="005407B3"/>
    <w:rsid w:val="00540807"/>
    <w:rsid w:val="0054094A"/>
    <w:rsid w:val="00540AB9"/>
    <w:rsid w:val="00540D57"/>
    <w:rsid w:val="00540E07"/>
    <w:rsid w:val="00540E67"/>
    <w:rsid w:val="00540F77"/>
    <w:rsid w:val="00540FF5"/>
    <w:rsid w:val="00541055"/>
    <w:rsid w:val="0054117D"/>
    <w:rsid w:val="00541276"/>
    <w:rsid w:val="00541309"/>
    <w:rsid w:val="0054136B"/>
    <w:rsid w:val="005414FE"/>
    <w:rsid w:val="005415B5"/>
    <w:rsid w:val="005415CC"/>
    <w:rsid w:val="00541613"/>
    <w:rsid w:val="005416B7"/>
    <w:rsid w:val="005417E5"/>
    <w:rsid w:val="00541842"/>
    <w:rsid w:val="00541854"/>
    <w:rsid w:val="0054198E"/>
    <w:rsid w:val="00541A61"/>
    <w:rsid w:val="00541A6D"/>
    <w:rsid w:val="00541C16"/>
    <w:rsid w:val="00541CBC"/>
    <w:rsid w:val="00541DB7"/>
    <w:rsid w:val="005422BB"/>
    <w:rsid w:val="00542332"/>
    <w:rsid w:val="00542534"/>
    <w:rsid w:val="0054254A"/>
    <w:rsid w:val="005426B4"/>
    <w:rsid w:val="005426BE"/>
    <w:rsid w:val="005426D2"/>
    <w:rsid w:val="005427FE"/>
    <w:rsid w:val="00542807"/>
    <w:rsid w:val="00542872"/>
    <w:rsid w:val="005428DD"/>
    <w:rsid w:val="00542941"/>
    <w:rsid w:val="005429FD"/>
    <w:rsid w:val="00542A92"/>
    <w:rsid w:val="00542B64"/>
    <w:rsid w:val="00542BBE"/>
    <w:rsid w:val="00542DB4"/>
    <w:rsid w:val="00542E25"/>
    <w:rsid w:val="00542E67"/>
    <w:rsid w:val="00542F33"/>
    <w:rsid w:val="00542F45"/>
    <w:rsid w:val="00543086"/>
    <w:rsid w:val="005430BD"/>
    <w:rsid w:val="0054335D"/>
    <w:rsid w:val="00543389"/>
    <w:rsid w:val="005433F2"/>
    <w:rsid w:val="005434F2"/>
    <w:rsid w:val="0054353F"/>
    <w:rsid w:val="00543579"/>
    <w:rsid w:val="00543625"/>
    <w:rsid w:val="005436EB"/>
    <w:rsid w:val="0054371E"/>
    <w:rsid w:val="00543861"/>
    <w:rsid w:val="0054387A"/>
    <w:rsid w:val="00543932"/>
    <w:rsid w:val="005439F8"/>
    <w:rsid w:val="00543A78"/>
    <w:rsid w:val="00543AF4"/>
    <w:rsid w:val="00543DDA"/>
    <w:rsid w:val="00543F9B"/>
    <w:rsid w:val="00543FC4"/>
    <w:rsid w:val="00544035"/>
    <w:rsid w:val="00544192"/>
    <w:rsid w:val="0054420C"/>
    <w:rsid w:val="0054422B"/>
    <w:rsid w:val="0054442B"/>
    <w:rsid w:val="00544455"/>
    <w:rsid w:val="005444DD"/>
    <w:rsid w:val="0054461A"/>
    <w:rsid w:val="005447F8"/>
    <w:rsid w:val="00544C15"/>
    <w:rsid w:val="00544C9E"/>
    <w:rsid w:val="00544CE6"/>
    <w:rsid w:val="00544E20"/>
    <w:rsid w:val="005451A9"/>
    <w:rsid w:val="005455DC"/>
    <w:rsid w:val="00545634"/>
    <w:rsid w:val="00545650"/>
    <w:rsid w:val="005456AF"/>
    <w:rsid w:val="005456EF"/>
    <w:rsid w:val="00545755"/>
    <w:rsid w:val="00545862"/>
    <w:rsid w:val="0054595A"/>
    <w:rsid w:val="00545B91"/>
    <w:rsid w:val="00545C1B"/>
    <w:rsid w:val="00545CC0"/>
    <w:rsid w:val="00545CE5"/>
    <w:rsid w:val="00545D28"/>
    <w:rsid w:val="00545E02"/>
    <w:rsid w:val="00545EC0"/>
    <w:rsid w:val="00546036"/>
    <w:rsid w:val="0054611E"/>
    <w:rsid w:val="00546129"/>
    <w:rsid w:val="00546293"/>
    <w:rsid w:val="0054660A"/>
    <w:rsid w:val="0054664A"/>
    <w:rsid w:val="00546695"/>
    <w:rsid w:val="005466D5"/>
    <w:rsid w:val="005468F2"/>
    <w:rsid w:val="00546A02"/>
    <w:rsid w:val="00546A09"/>
    <w:rsid w:val="00546A4F"/>
    <w:rsid w:val="00546AE6"/>
    <w:rsid w:val="00546D3C"/>
    <w:rsid w:val="00546D46"/>
    <w:rsid w:val="00546D4B"/>
    <w:rsid w:val="00546FA6"/>
    <w:rsid w:val="00547049"/>
    <w:rsid w:val="005471D4"/>
    <w:rsid w:val="005472D1"/>
    <w:rsid w:val="005473FF"/>
    <w:rsid w:val="0054772D"/>
    <w:rsid w:val="00547822"/>
    <w:rsid w:val="00547869"/>
    <w:rsid w:val="00547897"/>
    <w:rsid w:val="005478FC"/>
    <w:rsid w:val="0054796A"/>
    <w:rsid w:val="005479BB"/>
    <w:rsid w:val="00547A9D"/>
    <w:rsid w:val="00547B0C"/>
    <w:rsid w:val="00547C6A"/>
    <w:rsid w:val="00547D4A"/>
    <w:rsid w:val="00547DD4"/>
    <w:rsid w:val="00547DD5"/>
    <w:rsid w:val="00547E7F"/>
    <w:rsid w:val="00547EA3"/>
    <w:rsid w:val="00547F38"/>
    <w:rsid w:val="00550062"/>
    <w:rsid w:val="005500E5"/>
    <w:rsid w:val="005503DF"/>
    <w:rsid w:val="00550539"/>
    <w:rsid w:val="005506FF"/>
    <w:rsid w:val="005509E7"/>
    <w:rsid w:val="00550A35"/>
    <w:rsid w:val="00550A99"/>
    <w:rsid w:val="00550B90"/>
    <w:rsid w:val="00550C79"/>
    <w:rsid w:val="00550CDA"/>
    <w:rsid w:val="00550D4D"/>
    <w:rsid w:val="00550E54"/>
    <w:rsid w:val="00551009"/>
    <w:rsid w:val="00551172"/>
    <w:rsid w:val="00551195"/>
    <w:rsid w:val="005512E9"/>
    <w:rsid w:val="00551437"/>
    <w:rsid w:val="005514D6"/>
    <w:rsid w:val="005517D2"/>
    <w:rsid w:val="005519ED"/>
    <w:rsid w:val="00551AF5"/>
    <w:rsid w:val="00551B2D"/>
    <w:rsid w:val="00551B30"/>
    <w:rsid w:val="00551B4C"/>
    <w:rsid w:val="00551ED5"/>
    <w:rsid w:val="00551FE4"/>
    <w:rsid w:val="00551FE5"/>
    <w:rsid w:val="00552120"/>
    <w:rsid w:val="005521FD"/>
    <w:rsid w:val="0055237B"/>
    <w:rsid w:val="00552438"/>
    <w:rsid w:val="005524AB"/>
    <w:rsid w:val="005524C9"/>
    <w:rsid w:val="00552505"/>
    <w:rsid w:val="00552539"/>
    <w:rsid w:val="00552599"/>
    <w:rsid w:val="005525A6"/>
    <w:rsid w:val="00552699"/>
    <w:rsid w:val="00552713"/>
    <w:rsid w:val="005527F0"/>
    <w:rsid w:val="005528DA"/>
    <w:rsid w:val="00552930"/>
    <w:rsid w:val="00552991"/>
    <w:rsid w:val="00552AED"/>
    <w:rsid w:val="00552B58"/>
    <w:rsid w:val="0055317C"/>
    <w:rsid w:val="005533CD"/>
    <w:rsid w:val="00553408"/>
    <w:rsid w:val="0055355D"/>
    <w:rsid w:val="00553762"/>
    <w:rsid w:val="00553883"/>
    <w:rsid w:val="00553938"/>
    <w:rsid w:val="00553ADA"/>
    <w:rsid w:val="00553C01"/>
    <w:rsid w:val="00553D45"/>
    <w:rsid w:val="00553E43"/>
    <w:rsid w:val="00553E4B"/>
    <w:rsid w:val="0055407A"/>
    <w:rsid w:val="005540A8"/>
    <w:rsid w:val="005540AC"/>
    <w:rsid w:val="005540E9"/>
    <w:rsid w:val="005542E5"/>
    <w:rsid w:val="00554479"/>
    <w:rsid w:val="005545D5"/>
    <w:rsid w:val="00554618"/>
    <w:rsid w:val="005546AB"/>
    <w:rsid w:val="00554790"/>
    <w:rsid w:val="00554880"/>
    <w:rsid w:val="005548DB"/>
    <w:rsid w:val="005549BB"/>
    <w:rsid w:val="00554A0A"/>
    <w:rsid w:val="00554A12"/>
    <w:rsid w:val="00554B5F"/>
    <w:rsid w:val="00554C0E"/>
    <w:rsid w:val="00554C1B"/>
    <w:rsid w:val="00554C49"/>
    <w:rsid w:val="00554D45"/>
    <w:rsid w:val="00555156"/>
    <w:rsid w:val="0055517C"/>
    <w:rsid w:val="00555298"/>
    <w:rsid w:val="005552E1"/>
    <w:rsid w:val="00555383"/>
    <w:rsid w:val="005553A6"/>
    <w:rsid w:val="00555515"/>
    <w:rsid w:val="005556C7"/>
    <w:rsid w:val="005558A0"/>
    <w:rsid w:val="005559E5"/>
    <w:rsid w:val="00555AB6"/>
    <w:rsid w:val="00555BB6"/>
    <w:rsid w:val="00555BBA"/>
    <w:rsid w:val="00555F4B"/>
    <w:rsid w:val="00555FB8"/>
    <w:rsid w:val="0055600D"/>
    <w:rsid w:val="00556090"/>
    <w:rsid w:val="005561CA"/>
    <w:rsid w:val="005561F4"/>
    <w:rsid w:val="0055627B"/>
    <w:rsid w:val="005562C8"/>
    <w:rsid w:val="0055630B"/>
    <w:rsid w:val="00556576"/>
    <w:rsid w:val="0055660D"/>
    <w:rsid w:val="00556684"/>
    <w:rsid w:val="005566D2"/>
    <w:rsid w:val="0055674C"/>
    <w:rsid w:val="00556894"/>
    <w:rsid w:val="005568BA"/>
    <w:rsid w:val="00556919"/>
    <w:rsid w:val="00556999"/>
    <w:rsid w:val="00556AF5"/>
    <w:rsid w:val="00556BBA"/>
    <w:rsid w:val="00556C4C"/>
    <w:rsid w:val="00556D54"/>
    <w:rsid w:val="00556D85"/>
    <w:rsid w:val="00556F26"/>
    <w:rsid w:val="00556FD6"/>
    <w:rsid w:val="0055706B"/>
    <w:rsid w:val="0055707D"/>
    <w:rsid w:val="0055708A"/>
    <w:rsid w:val="0055710A"/>
    <w:rsid w:val="00557269"/>
    <w:rsid w:val="0055727B"/>
    <w:rsid w:val="00557482"/>
    <w:rsid w:val="00557509"/>
    <w:rsid w:val="00557636"/>
    <w:rsid w:val="005577F5"/>
    <w:rsid w:val="00557BF5"/>
    <w:rsid w:val="00557C10"/>
    <w:rsid w:val="00557C1A"/>
    <w:rsid w:val="00557C3D"/>
    <w:rsid w:val="00557E86"/>
    <w:rsid w:val="00557EDF"/>
    <w:rsid w:val="00557EF0"/>
    <w:rsid w:val="00557FA9"/>
    <w:rsid w:val="0056001D"/>
    <w:rsid w:val="00560062"/>
    <w:rsid w:val="00560104"/>
    <w:rsid w:val="00560134"/>
    <w:rsid w:val="005601A1"/>
    <w:rsid w:val="0056021C"/>
    <w:rsid w:val="005602E3"/>
    <w:rsid w:val="005603A6"/>
    <w:rsid w:val="005604AC"/>
    <w:rsid w:val="00560691"/>
    <w:rsid w:val="00560953"/>
    <w:rsid w:val="00560A58"/>
    <w:rsid w:val="00560B3A"/>
    <w:rsid w:val="00560C7C"/>
    <w:rsid w:val="00560D2F"/>
    <w:rsid w:val="00560D8C"/>
    <w:rsid w:val="00560E0E"/>
    <w:rsid w:val="00560F12"/>
    <w:rsid w:val="00560F6F"/>
    <w:rsid w:val="0056102E"/>
    <w:rsid w:val="00561190"/>
    <w:rsid w:val="0056120B"/>
    <w:rsid w:val="005612A7"/>
    <w:rsid w:val="005614B4"/>
    <w:rsid w:val="005614E5"/>
    <w:rsid w:val="0056151E"/>
    <w:rsid w:val="005615C0"/>
    <w:rsid w:val="005615C5"/>
    <w:rsid w:val="00561745"/>
    <w:rsid w:val="0056174C"/>
    <w:rsid w:val="005617BB"/>
    <w:rsid w:val="005617C0"/>
    <w:rsid w:val="00561A23"/>
    <w:rsid w:val="00561A69"/>
    <w:rsid w:val="00561AB8"/>
    <w:rsid w:val="00561B5C"/>
    <w:rsid w:val="00561CA8"/>
    <w:rsid w:val="00561DD5"/>
    <w:rsid w:val="00561EA4"/>
    <w:rsid w:val="00561FF3"/>
    <w:rsid w:val="00562288"/>
    <w:rsid w:val="005623C0"/>
    <w:rsid w:val="005623DE"/>
    <w:rsid w:val="00562417"/>
    <w:rsid w:val="00562649"/>
    <w:rsid w:val="0056270D"/>
    <w:rsid w:val="00562772"/>
    <w:rsid w:val="005628A9"/>
    <w:rsid w:val="00562C1E"/>
    <w:rsid w:val="00562DF3"/>
    <w:rsid w:val="00562DF5"/>
    <w:rsid w:val="00562EB9"/>
    <w:rsid w:val="00562F5C"/>
    <w:rsid w:val="00562FF5"/>
    <w:rsid w:val="0056317F"/>
    <w:rsid w:val="00563232"/>
    <w:rsid w:val="00563367"/>
    <w:rsid w:val="005633A9"/>
    <w:rsid w:val="0056341A"/>
    <w:rsid w:val="00563531"/>
    <w:rsid w:val="0056364C"/>
    <w:rsid w:val="0056371F"/>
    <w:rsid w:val="00563729"/>
    <w:rsid w:val="0056383B"/>
    <w:rsid w:val="00563860"/>
    <w:rsid w:val="00563943"/>
    <w:rsid w:val="00563A16"/>
    <w:rsid w:val="00563B1B"/>
    <w:rsid w:val="00563C73"/>
    <w:rsid w:val="00563D30"/>
    <w:rsid w:val="00563D6F"/>
    <w:rsid w:val="005644FD"/>
    <w:rsid w:val="00564671"/>
    <w:rsid w:val="00564AE3"/>
    <w:rsid w:val="00564BCD"/>
    <w:rsid w:val="00564ED1"/>
    <w:rsid w:val="00564F51"/>
    <w:rsid w:val="00564F85"/>
    <w:rsid w:val="00565060"/>
    <w:rsid w:val="005652D2"/>
    <w:rsid w:val="005656E6"/>
    <w:rsid w:val="0056591C"/>
    <w:rsid w:val="0056595C"/>
    <w:rsid w:val="0056595F"/>
    <w:rsid w:val="005659BF"/>
    <w:rsid w:val="00565A94"/>
    <w:rsid w:val="00565AB9"/>
    <w:rsid w:val="00565CCC"/>
    <w:rsid w:val="00565D13"/>
    <w:rsid w:val="00565DD0"/>
    <w:rsid w:val="00565DFE"/>
    <w:rsid w:val="00565E53"/>
    <w:rsid w:val="00565EA4"/>
    <w:rsid w:val="00565F29"/>
    <w:rsid w:val="00566162"/>
    <w:rsid w:val="00566181"/>
    <w:rsid w:val="005661D1"/>
    <w:rsid w:val="00566240"/>
    <w:rsid w:val="0056627F"/>
    <w:rsid w:val="005662A0"/>
    <w:rsid w:val="005662CE"/>
    <w:rsid w:val="0056646B"/>
    <w:rsid w:val="005665BB"/>
    <w:rsid w:val="00566678"/>
    <w:rsid w:val="005666B9"/>
    <w:rsid w:val="005666FD"/>
    <w:rsid w:val="00566726"/>
    <w:rsid w:val="00566B1D"/>
    <w:rsid w:val="00566CED"/>
    <w:rsid w:val="00566D21"/>
    <w:rsid w:val="00566E16"/>
    <w:rsid w:val="00566F2D"/>
    <w:rsid w:val="0056705D"/>
    <w:rsid w:val="0056712B"/>
    <w:rsid w:val="0056721C"/>
    <w:rsid w:val="00567303"/>
    <w:rsid w:val="00567329"/>
    <w:rsid w:val="005673A1"/>
    <w:rsid w:val="00567430"/>
    <w:rsid w:val="0056746B"/>
    <w:rsid w:val="00567592"/>
    <w:rsid w:val="005675A5"/>
    <w:rsid w:val="005676D9"/>
    <w:rsid w:val="0056782E"/>
    <w:rsid w:val="005678E4"/>
    <w:rsid w:val="00567917"/>
    <w:rsid w:val="00567A9E"/>
    <w:rsid w:val="00567AC3"/>
    <w:rsid w:val="00567D2B"/>
    <w:rsid w:val="00567E29"/>
    <w:rsid w:val="00567E62"/>
    <w:rsid w:val="00567EC3"/>
    <w:rsid w:val="00567F14"/>
    <w:rsid w:val="00567F22"/>
    <w:rsid w:val="00567FDF"/>
    <w:rsid w:val="0057003F"/>
    <w:rsid w:val="00570059"/>
    <w:rsid w:val="005700D3"/>
    <w:rsid w:val="00570115"/>
    <w:rsid w:val="00570172"/>
    <w:rsid w:val="00570182"/>
    <w:rsid w:val="00570279"/>
    <w:rsid w:val="005703F8"/>
    <w:rsid w:val="005704DA"/>
    <w:rsid w:val="00570538"/>
    <w:rsid w:val="00570570"/>
    <w:rsid w:val="00570668"/>
    <w:rsid w:val="00570788"/>
    <w:rsid w:val="0057083A"/>
    <w:rsid w:val="005708B1"/>
    <w:rsid w:val="005708CF"/>
    <w:rsid w:val="00570B38"/>
    <w:rsid w:val="00570B6B"/>
    <w:rsid w:val="00570E0B"/>
    <w:rsid w:val="00570EB6"/>
    <w:rsid w:val="00570EE3"/>
    <w:rsid w:val="00570F69"/>
    <w:rsid w:val="0057107E"/>
    <w:rsid w:val="00571257"/>
    <w:rsid w:val="005712B3"/>
    <w:rsid w:val="00571311"/>
    <w:rsid w:val="00571315"/>
    <w:rsid w:val="00571346"/>
    <w:rsid w:val="0057139A"/>
    <w:rsid w:val="00571436"/>
    <w:rsid w:val="0057157E"/>
    <w:rsid w:val="00571681"/>
    <w:rsid w:val="005716CB"/>
    <w:rsid w:val="005716EC"/>
    <w:rsid w:val="0057174F"/>
    <w:rsid w:val="005717BF"/>
    <w:rsid w:val="005717E5"/>
    <w:rsid w:val="00571986"/>
    <w:rsid w:val="00571A33"/>
    <w:rsid w:val="00571A78"/>
    <w:rsid w:val="00571B23"/>
    <w:rsid w:val="00571B5C"/>
    <w:rsid w:val="00571BE4"/>
    <w:rsid w:val="00571BF9"/>
    <w:rsid w:val="00571C24"/>
    <w:rsid w:val="00571DA7"/>
    <w:rsid w:val="00571E45"/>
    <w:rsid w:val="0057206E"/>
    <w:rsid w:val="00572332"/>
    <w:rsid w:val="00572387"/>
    <w:rsid w:val="00572464"/>
    <w:rsid w:val="005727EE"/>
    <w:rsid w:val="005728A0"/>
    <w:rsid w:val="005728CD"/>
    <w:rsid w:val="00572920"/>
    <w:rsid w:val="005729A1"/>
    <w:rsid w:val="005729EB"/>
    <w:rsid w:val="00572B25"/>
    <w:rsid w:val="00572CF7"/>
    <w:rsid w:val="0057304F"/>
    <w:rsid w:val="0057322C"/>
    <w:rsid w:val="00573264"/>
    <w:rsid w:val="005732AC"/>
    <w:rsid w:val="005734ED"/>
    <w:rsid w:val="0057366F"/>
    <w:rsid w:val="00573673"/>
    <w:rsid w:val="0057369B"/>
    <w:rsid w:val="00573713"/>
    <w:rsid w:val="005738B9"/>
    <w:rsid w:val="0057390A"/>
    <w:rsid w:val="00573924"/>
    <w:rsid w:val="00573A5E"/>
    <w:rsid w:val="00573ABE"/>
    <w:rsid w:val="00573AE8"/>
    <w:rsid w:val="00573CDA"/>
    <w:rsid w:val="00573DD5"/>
    <w:rsid w:val="00573E42"/>
    <w:rsid w:val="00573E5E"/>
    <w:rsid w:val="00574029"/>
    <w:rsid w:val="00574039"/>
    <w:rsid w:val="0057404A"/>
    <w:rsid w:val="00574145"/>
    <w:rsid w:val="00574382"/>
    <w:rsid w:val="00574449"/>
    <w:rsid w:val="005745DA"/>
    <w:rsid w:val="005747AD"/>
    <w:rsid w:val="0057483E"/>
    <w:rsid w:val="005749E8"/>
    <w:rsid w:val="00574A5C"/>
    <w:rsid w:val="00574A9C"/>
    <w:rsid w:val="00574AFD"/>
    <w:rsid w:val="00574C4F"/>
    <w:rsid w:val="00574E51"/>
    <w:rsid w:val="00574EBE"/>
    <w:rsid w:val="00574F7D"/>
    <w:rsid w:val="0057509F"/>
    <w:rsid w:val="00575142"/>
    <w:rsid w:val="005753AE"/>
    <w:rsid w:val="005753BE"/>
    <w:rsid w:val="005755D5"/>
    <w:rsid w:val="005755DD"/>
    <w:rsid w:val="005756B6"/>
    <w:rsid w:val="00575946"/>
    <w:rsid w:val="00575971"/>
    <w:rsid w:val="0057598E"/>
    <w:rsid w:val="00575AD6"/>
    <w:rsid w:val="00575B1B"/>
    <w:rsid w:val="00575B79"/>
    <w:rsid w:val="00575F1E"/>
    <w:rsid w:val="00575FE9"/>
    <w:rsid w:val="005761D7"/>
    <w:rsid w:val="00576372"/>
    <w:rsid w:val="005763BF"/>
    <w:rsid w:val="005763CE"/>
    <w:rsid w:val="00576458"/>
    <w:rsid w:val="00576508"/>
    <w:rsid w:val="0057660B"/>
    <w:rsid w:val="00576701"/>
    <w:rsid w:val="00576985"/>
    <w:rsid w:val="00576ABD"/>
    <w:rsid w:val="00576AE4"/>
    <w:rsid w:val="00576BE7"/>
    <w:rsid w:val="00576BF0"/>
    <w:rsid w:val="00576C9B"/>
    <w:rsid w:val="00576DEF"/>
    <w:rsid w:val="00576E93"/>
    <w:rsid w:val="00577151"/>
    <w:rsid w:val="00577207"/>
    <w:rsid w:val="0057723B"/>
    <w:rsid w:val="005772E0"/>
    <w:rsid w:val="0057734C"/>
    <w:rsid w:val="0057759E"/>
    <w:rsid w:val="005775B3"/>
    <w:rsid w:val="00577609"/>
    <w:rsid w:val="005776CE"/>
    <w:rsid w:val="005777E4"/>
    <w:rsid w:val="00577882"/>
    <w:rsid w:val="0057788E"/>
    <w:rsid w:val="00577892"/>
    <w:rsid w:val="00577AC9"/>
    <w:rsid w:val="00577B89"/>
    <w:rsid w:val="00577C05"/>
    <w:rsid w:val="00577DCF"/>
    <w:rsid w:val="00577DE2"/>
    <w:rsid w:val="00577E27"/>
    <w:rsid w:val="00580207"/>
    <w:rsid w:val="00580316"/>
    <w:rsid w:val="0058040B"/>
    <w:rsid w:val="005805E6"/>
    <w:rsid w:val="00580609"/>
    <w:rsid w:val="00580645"/>
    <w:rsid w:val="005806D1"/>
    <w:rsid w:val="0058078C"/>
    <w:rsid w:val="00580790"/>
    <w:rsid w:val="005807B3"/>
    <w:rsid w:val="005807CA"/>
    <w:rsid w:val="00580914"/>
    <w:rsid w:val="00580A21"/>
    <w:rsid w:val="00580A50"/>
    <w:rsid w:val="00580D09"/>
    <w:rsid w:val="00580D4C"/>
    <w:rsid w:val="00580D8A"/>
    <w:rsid w:val="00580F23"/>
    <w:rsid w:val="00580FEB"/>
    <w:rsid w:val="005810C9"/>
    <w:rsid w:val="005812CE"/>
    <w:rsid w:val="005813D7"/>
    <w:rsid w:val="005813DC"/>
    <w:rsid w:val="00581449"/>
    <w:rsid w:val="0058155C"/>
    <w:rsid w:val="005818D2"/>
    <w:rsid w:val="00581A98"/>
    <w:rsid w:val="00581C9D"/>
    <w:rsid w:val="00581DFF"/>
    <w:rsid w:val="00582335"/>
    <w:rsid w:val="00582342"/>
    <w:rsid w:val="005824E4"/>
    <w:rsid w:val="00582521"/>
    <w:rsid w:val="005826D5"/>
    <w:rsid w:val="00582746"/>
    <w:rsid w:val="005827D1"/>
    <w:rsid w:val="005827FA"/>
    <w:rsid w:val="00582846"/>
    <w:rsid w:val="00582916"/>
    <w:rsid w:val="00582994"/>
    <w:rsid w:val="005829F0"/>
    <w:rsid w:val="00582A31"/>
    <w:rsid w:val="00582A3D"/>
    <w:rsid w:val="00582AB2"/>
    <w:rsid w:val="00582AB3"/>
    <w:rsid w:val="00582E1F"/>
    <w:rsid w:val="00582F34"/>
    <w:rsid w:val="0058336F"/>
    <w:rsid w:val="005833DF"/>
    <w:rsid w:val="00583457"/>
    <w:rsid w:val="0058349F"/>
    <w:rsid w:val="0058354C"/>
    <w:rsid w:val="005835DF"/>
    <w:rsid w:val="00583608"/>
    <w:rsid w:val="00583665"/>
    <w:rsid w:val="00583726"/>
    <w:rsid w:val="005838DB"/>
    <w:rsid w:val="005839F8"/>
    <w:rsid w:val="00583A0C"/>
    <w:rsid w:val="00583A38"/>
    <w:rsid w:val="00583A42"/>
    <w:rsid w:val="00583B49"/>
    <w:rsid w:val="00583BE3"/>
    <w:rsid w:val="00583D0C"/>
    <w:rsid w:val="00583DED"/>
    <w:rsid w:val="00583E70"/>
    <w:rsid w:val="00583FBC"/>
    <w:rsid w:val="005840A5"/>
    <w:rsid w:val="005840AE"/>
    <w:rsid w:val="0058415C"/>
    <w:rsid w:val="0058425E"/>
    <w:rsid w:val="005842FB"/>
    <w:rsid w:val="005843B3"/>
    <w:rsid w:val="00584506"/>
    <w:rsid w:val="00584A30"/>
    <w:rsid w:val="00584BCA"/>
    <w:rsid w:val="00584CE8"/>
    <w:rsid w:val="00584DC1"/>
    <w:rsid w:val="0058500F"/>
    <w:rsid w:val="0058517B"/>
    <w:rsid w:val="0058536D"/>
    <w:rsid w:val="0058542F"/>
    <w:rsid w:val="005854BC"/>
    <w:rsid w:val="0058557B"/>
    <w:rsid w:val="00585752"/>
    <w:rsid w:val="00585870"/>
    <w:rsid w:val="00585910"/>
    <w:rsid w:val="00585B42"/>
    <w:rsid w:val="00585C1F"/>
    <w:rsid w:val="00585D0E"/>
    <w:rsid w:val="00585D41"/>
    <w:rsid w:val="00585F42"/>
    <w:rsid w:val="00585F4E"/>
    <w:rsid w:val="00585F5A"/>
    <w:rsid w:val="00585FA8"/>
    <w:rsid w:val="0058603B"/>
    <w:rsid w:val="0058610F"/>
    <w:rsid w:val="0058619E"/>
    <w:rsid w:val="005861B5"/>
    <w:rsid w:val="00586261"/>
    <w:rsid w:val="005862CB"/>
    <w:rsid w:val="00586313"/>
    <w:rsid w:val="005863C3"/>
    <w:rsid w:val="005863D2"/>
    <w:rsid w:val="005863D5"/>
    <w:rsid w:val="00586711"/>
    <w:rsid w:val="00586792"/>
    <w:rsid w:val="005867D9"/>
    <w:rsid w:val="00586838"/>
    <w:rsid w:val="00586AA8"/>
    <w:rsid w:val="00586B32"/>
    <w:rsid w:val="00586B54"/>
    <w:rsid w:val="00586B9B"/>
    <w:rsid w:val="00586FA7"/>
    <w:rsid w:val="00587019"/>
    <w:rsid w:val="0058717F"/>
    <w:rsid w:val="005871A0"/>
    <w:rsid w:val="005871C8"/>
    <w:rsid w:val="00587229"/>
    <w:rsid w:val="0058730F"/>
    <w:rsid w:val="00587445"/>
    <w:rsid w:val="00587480"/>
    <w:rsid w:val="00587532"/>
    <w:rsid w:val="00587554"/>
    <w:rsid w:val="00587606"/>
    <w:rsid w:val="005876CD"/>
    <w:rsid w:val="00587802"/>
    <w:rsid w:val="00587842"/>
    <w:rsid w:val="00587890"/>
    <w:rsid w:val="0058793C"/>
    <w:rsid w:val="00587996"/>
    <w:rsid w:val="005879DF"/>
    <w:rsid w:val="00587A75"/>
    <w:rsid w:val="00587BD5"/>
    <w:rsid w:val="00587EEF"/>
    <w:rsid w:val="00590076"/>
    <w:rsid w:val="00590087"/>
    <w:rsid w:val="005901E1"/>
    <w:rsid w:val="00590212"/>
    <w:rsid w:val="005902B6"/>
    <w:rsid w:val="005902EB"/>
    <w:rsid w:val="00590356"/>
    <w:rsid w:val="0059043C"/>
    <w:rsid w:val="00590454"/>
    <w:rsid w:val="005904DF"/>
    <w:rsid w:val="005904F9"/>
    <w:rsid w:val="00590586"/>
    <w:rsid w:val="005905C5"/>
    <w:rsid w:val="00590806"/>
    <w:rsid w:val="00590815"/>
    <w:rsid w:val="005908C1"/>
    <w:rsid w:val="005908C2"/>
    <w:rsid w:val="00590950"/>
    <w:rsid w:val="00590974"/>
    <w:rsid w:val="00590AF1"/>
    <w:rsid w:val="00590AFD"/>
    <w:rsid w:val="00590BED"/>
    <w:rsid w:val="00590D03"/>
    <w:rsid w:val="005911DD"/>
    <w:rsid w:val="0059120A"/>
    <w:rsid w:val="0059126C"/>
    <w:rsid w:val="005913D9"/>
    <w:rsid w:val="00591475"/>
    <w:rsid w:val="00591507"/>
    <w:rsid w:val="0059167A"/>
    <w:rsid w:val="005917CB"/>
    <w:rsid w:val="00591A6E"/>
    <w:rsid w:val="00591AFE"/>
    <w:rsid w:val="00591C2E"/>
    <w:rsid w:val="00591C35"/>
    <w:rsid w:val="00591DED"/>
    <w:rsid w:val="0059205D"/>
    <w:rsid w:val="0059205F"/>
    <w:rsid w:val="005924C0"/>
    <w:rsid w:val="00592548"/>
    <w:rsid w:val="0059259F"/>
    <w:rsid w:val="00592663"/>
    <w:rsid w:val="005926FC"/>
    <w:rsid w:val="0059275B"/>
    <w:rsid w:val="005928D0"/>
    <w:rsid w:val="0059290B"/>
    <w:rsid w:val="00592C0D"/>
    <w:rsid w:val="00592C67"/>
    <w:rsid w:val="00592D16"/>
    <w:rsid w:val="00592ED3"/>
    <w:rsid w:val="00592F1C"/>
    <w:rsid w:val="00592F3B"/>
    <w:rsid w:val="00592F7E"/>
    <w:rsid w:val="005930B6"/>
    <w:rsid w:val="005930C4"/>
    <w:rsid w:val="005930EC"/>
    <w:rsid w:val="0059327A"/>
    <w:rsid w:val="0059349F"/>
    <w:rsid w:val="00593640"/>
    <w:rsid w:val="00593724"/>
    <w:rsid w:val="00593985"/>
    <w:rsid w:val="00593AEA"/>
    <w:rsid w:val="00593B82"/>
    <w:rsid w:val="0059403A"/>
    <w:rsid w:val="0059405C"/>
    <w:rsid w:val="0059416E"/>
    <w:rsid w:val="0059418B"/>
    <w:rsid w:val="00594325"/>
    <w:rsid w:val="005944DA"/>
    <w:rsid w:val="0059459A"/>
    <w:rsid w:val="005945A0"/>
    <w:rsid w:val="005947DF"/>
    <w:rsid w:val="005947E3"/>
    <w:rsid w:val="005947F3"/>
    <w:rsid w:val="00594846"/>
    <w:rsid w:val="00594A08"/>
    <w:rsid w:val="00594A1A"/>
    <w:rsid w:val="00594A41"/>
    <w:rsid w:val="00594ADD"/>
    <w:rsid w:val="00594B87"/>
    <w:rsid w:val="00594B9B"/>
    <w:rsid w:val="00594C4F"/>
    <w:rsid w:val="00594CB4"/>
    <w:rsid w:val="00594CC4"/>
    <w:rsid w:val="00594D0C"/>
    <w:rsid w:val="00594D4A"/>
    <w:rsid w:val="00594E5B"/>
    <w:rsid w:val="00594E75"/>
    <w:rsid w:val="00594EDE"/>
    <w:rsid w:val="00594F2A"/>
    <w:rsid w:val="00594F3E"/>
    <w:rsid w:val="00594F82"/>
    <w:rsid w:val="00594FE1"/>
    <w:rsid w:val="00594FF7"/>
    <w:rsid w:val="005950A9"/>
    <w:rsid w:val="00595261"/>
    <w:rsid w:val="0059528D"/>
    <w:rsid w:val="00595321"/>
    <w:rsid w:val="005954B8"/>
    <w:rsid w:val="0059570A"/>
    <w:rsid w:val="0059576D"/>
    <w:rsid w:val="005957BD"/>
    <w:rsid w:val="005958AD"/>
    <w:rsid w:val="005959D1"/>
    <w:rsid w:val="00595A4D"/>
    <w:rsid w:val="00595C17"/>
    <w:rsid w:val="00595DFA"/>
    <w:rsid w:val="00595E5C"/>
    <w:rsid w:val="00595E95"/>
    <w:rsid w:val="00596121"/>
    <w:rsid w:val="005961E4"/>
    <w:rsid w:val="0059659D"/>
    <w:rsid w:val="0059673B"/>
    <w:rsid w:val="00596860"/>
    <w:rsid w:val="005968C3"/>
    <w:rsid w:val="0059691B"/>
    <w:rsid w:val="00596947"/>
    <w:rsid w:val="0059699A"/>
    <w:rsid w:val="005969DE"/>
    <w:rsid w:val="005969FD"/>
    <w:rsid w:val="00596A6D"/>
    <w:rsid w:val="00596A7E"/>
    <w:rsid w:val="00596C12"/>
    <w:rsid w:val="00596CA3"/>
    <w:rsid w:val="00596CA7"/>
    <w:rsid w:val="00596CD5"/>
    <w:rsid w:val="00596D2D"/>
    <w:rsid w:val="00596E9C"/>
    <w:rsid w:val="00596EB4"/>
    <w:rsid w:val="00597052"/>
    <w:rsid w:val="00597173"/>
    <w:rsid w:val="005972AC"/>
    <w:rsid w:val="00597425"/>
    <w:rsid w:val="00597456"/>
    <w:rsid w:val="00597518"/>
    <w:rsid w:val="005975AC"/>
    <w:rsid w:val="00597613"/>
    <w:rsid w:val="0059761B"/>
    <w:rsid w:val="005976E4"/>
    <w:rsid w:val="0059772D"/>
    <w:rsid w:val="00597755"/>
    <w:rsid w:val="00597775"/>
    <w:rsid w:val="005977FB"/>
    <w:rsid w:val="00597926"/>
    <w:rsid w:val="00597A45"/>
    <w:rsid w:val="00597AD1"/>
    <w:rsid w:val="00597BA6"/>
    <w:rsid w:val="00597D62"/>
    <w:rsid w:val="00597DAE"/>
    <w:rsid w:val="00597DFA"/>
    <w:rsid w:val="005A00C2"/>
    <w:rsid w:val="005A0402"/>
    <w:rsid w:val="005A05D6"/>
    <w:rsid w:val="005A0696"/>
    <w:rsid w:val="005A06F6"/>
    <w:rsid w:val="005A0882"/>
    <w:rsid w:val="005A08EE"/>
    <w:rsid w:val="005A094E"/>
    <w:rsid w:val="005A0B14"/>
    <w:rsid w:val="005A0B4F"/>
    <w:rsid w:val="005A0DDD"/>
    <w:rsid w:val="005A0E75"/>
    <w:rsid w:val="005A0ECB"/>
    <w:rsid w:val="005A0F88"/>
    <w:rsid w:val="005A11F4"/>
    <w:rsid w:val="005A126A"/>
    <w:rsid w:val="005A15CD"/>
    <w:rsid w:val="005A174D"/>
    <w:rsid w:val="005A17F4"/>
    <w:rsid w:val="005A17F6"/>
    <w:rsid w:val="005A182D"/>
    <w:rsid w:val="005A1893"/>
    <w:rsid w:val="005A1A7B"/>
    <w:rsid w:val="005A1D4E"/>
    <w:rsid w:val="005A2208"/>
    <w:rsid w:val="005A2282"/>
    <w:rsid w:val="005A2392"/>
    <w:rsid w:val="005A23F1"/>
    <w:rsid w:val="005A24A1"/>
    <w:rsid w:val="005A2512"/>
    <w:rsid w:val="005A2635"/>
    <w:rsid w:val="005A26B4"/>
    <w:rsid w:val="005A26CE"/>
    <w:rsid w:val="005A2718"/>
    <w:rsid w:val="005A27A8"/>
    <w:rsid w:val="005A2997"/>
    <w:rsid w:val="005A2B31"/>
    <w:rsid w:val="005A2DF5"/>
    <w:rsid w:val="005A2EC6"/>
    <w:rsid w:val="005A2EEC"/>
    <w:rsid w:val="005A2F31"/>
    <w:rsid w:val="005A3004"/>
    <w:rsid w:val="005A3026"/>
    <w:rsid w:val="005A3057"/>
    <w:rsid w:val="005A3322"/>
    <w:rsid w:val="005A3408"/>
    <w:rsid w:val="005A3524"/>
    <w:rsid w:val="005A3610"/>
    <w:rsid w:val="005A3648"/>
    <w:rsid w:val="005A3657"/>
    <w:rsid w:val="005A367E"/>
    <w:rsid w:val="005A36A4"/>
    <w:rsid w:val="005A37DD"/>
    <w:rsid w:val="005A385A"/>
    <w:rsid w:val="005A3894"/>
    <w:rsid w:val="005A3A06"/>
    <w:rsid w:val="005A3B57"/>
    <w:rsid w:val="005A3B5A"/>
    <w:rsid w:val="005A3C24"/>
    <w:rsid w:val="005A3D4B"/>
    <w:rsid w:val="005A3E71"/>
    <w:rsid w:val="005A3E7D"/>
    <w:rsid w:val="005A3EA6"/>
    <w:rsid w:val="005A3F9F"/>
    <w:rsid w:val="005A3FDC"/>
    <w:rsid w:val="005A409E"/>
    <w:rsid w:val="005A4310"/>
    <w:rsid w:val="005A4312"/>
    <w:rsid w:val="005A433D"/>
    <w:rsid w:val="005A4358"/>
    <w:rsid w:val="005A4541"/>
    <w:rsid w:val="005A45C3"/>
    <w:rsid w:val="005A4608"/>
    <w:rsid w:val="005A4735"/>
    <w:rsid w:val="005A499C"/>
    <w:rsid w:val="005A4B9F"/>
    <w:rsid w:val="005A4C68"/>
    <w:rsid w:val="005A4D82"/>
    <w:rsid w:val="005A4FE4"/>
    <w:rsid w:val="005A513F"/>
    <w:rsid w:val="005A51D2"/>
    <w:rsid w:val="005A51EB"/>
    <w:rsid w:val="005A522F"/>
    <w:rsid w:val="005A530C"/>
    <w:rsid w:val="005A538C"/>
    <w:rsid w:val="005A5395"/>
    <w:rsid w:val="005A5540"/>
    <w:rsid w:val="005A562B"/>
    <w:rsid w:val="005A57B5"/>
    <w:rsid w:val="005A5808"/>
    <w:rsid w:val="005A5832"/>
    <w:rsid w:val="005A5857"/>
    <w:rsid w:val="005A58B7"/>
    <w:rsid w:val="005A5907"/>
    <w:rsid w:val="005A5919"/>
    <w:rsid w:val="005A59E9"/>
    <w:rsid w:val="005A5E83"/>
    <w:rsid w:val="005A5ED1"/>
    <w:rsid w:val="005A5EE2"/>
    <w:rsid w:val="005A6159"/>
    <w:rsid w:val="005A6195"/>
    <w:rsid w:val="005A61D9"/>
    <w:rsid w:val="005A620A"/>
    <w:rsid w:val="005A62F4"/>
    <w:rsid w:val="005A62FB"/>
    <w:rsid w:val="005A64A9"/>
    <w:rsid w:val="005A64F9"/>
    <w:rsid w:val="005A659B"/>
    <w:rsid w:val="005A67DD"/>
    <w:rsid w:val="005A6927"/>
    <w:rsid w:val="005A6964"/>
    <w:rsid w:val="005A6A68"/>
    <w:rsid w:val="005A6A6B"/>
    <w:rsid w:val="005A6A87"/>
    <w:rsid w:val="005A6A88"/>
    <w:rsid w:val="005A6A8C"/>
    <w:rsid w:val="005A6B38"/>
    <w:rsid w:val="005A6C51"/>
    <w:rsid w:val="005A6C6E"/>
    <w:rsid w:val="005A6EFE"/>
    <w:rsid w:val="005A6F25"/>
    <w:rsid w:val="005A70C7"/>
    <w:rsid w:val="005A72CD"/>
    <w:rsid w:val="005A7319"/>
    <w:rsid w:val="005A74D2"/>
    <w:rsid w:val="005A77F3"/>
    <w:rsid w:val="005A7859"/>
    <w:rsid w:val="005A78E0"/>
    <w:rsid w:val="005A7926"/>
    <w:rsid w:val="005A7987"/>
    <w:rsid w:val="005A7AFE"/>
    <w:rsid w:val="005A7D80"/>
    <w:rsid w:val="005A7FBD"/>
    <w:rsid w:val="005B00A8"/>
    <w:rsid w:val="005B03DD"/>
    <w:rsid w:val="005B056E"/>
    <w:rsid w:val="005B059A"/>
    <w:rsid w:val="005B0601"/>
    <w:rsid w:val="005B0738"/>
    <w:rsid w:val="005B07F5"/>
    <w:rsid w:val="005B095D"/>
    <w:rsid w:val="005B098B"/>
    <w:rsid w:val="005B09E0"/>
    <w:rsid w:val="005B0A68"/>
    <w:rsid w:val="005B0BBD"/>
    <w:rsid w:val="005B0DD2"/>
    <w:rsid w:val="005B0DFD"/>
    <w:rsid w:val="005B0E43"/>
    <w:rsid w:val="005B0F15"/>
    <w:rsid w:val="005B0F1F"/>
    <w:rsid w:val="005B104B"/>
    <w:rsid w:val="005B1061"/>
    <w:rsid w:val="005B1094"/>
    <w:rsid w:val="005B10FF"/>
    <w:rsid w:val="005B1156"/>
    <w:rsid w:val="005B13A7"/>
    <w:rsid w:val="005B141A"/>
    <w:rsid w:val="005B142B"/>
    <w:rsid w:val="005B16BE"/>
    <w:rsid w:val="005B1736"/>
    <w:rsid w:val="005B17D2"/>
    <w:rsid w:val="005B17E4"/>
    <w:rsid w:val="005B1839"/>
    <w:rsid w:val="005B197E"/>
    <w:rsid w:val="005B1B89"/>
    <w:rsid w:val="005B1E7F"/>
    <w:rsid w:val="005B1EB6"/>
    <w:rsid w:val="005B212B"/>
    <w:rsid w:val="005B21A2"/>
    <w:rsid w:val="005B22E5"/>
    <w:rsid w:val="005B23D4"/>
    <w:rsid w:val="005B24E5"/>
    <w:rsid w:val="005B2568"/>
    <w:rsid w:val="005B25CB"/>
    <w:rsid w:val="005B25F3"/>
    <w:rsid w:val="005B266B"/>
    <w:rsid w:val="005B2807"/>
    <w:rsid w:val="005B2A62"/>
    <w:rsid w:val="005B2B31"/>
    <w:rsid w:val="005B2BE1"/>
    <w:rsid w:val="005B2D0A"/>
    <w:rsid w:val="005B2D39"/>
    <w:rsid w:val="005B2D62"/>
    <w:rsid w:val="005B2D76"/>
    <w:rsid w:val="005B2E5B"/>
    <w:rsid w:val="005B2EA3"/>
    <w:rsid w:val="005B2EF7"/>
    <w:rsid w:val="005B2FEC"/>
    <w:rsid w:val="005B3021"/>
    <w:rsid w:val="005B30FE"/>
    <w:rsid w:val="005B31AE"/>
    <w:rsid w:val="005B31C9"/>
    <w:rsid w:val="005B3303"/>
    <w:rsid w:val="005B3359"/>
    <w:rsid w:val="005B33A1"/>
    <w:rsid w:val="005B34BA"/>
    <w:rsid w:val="005B3610"/>
    <w:rsid w:val="005B36D9"/>
    <w:rsid w:val="005B37CC"/>
    <w:rsid w:val="005B3AEB"/>
    <w:rsid w:val="005B3B7D"/>
    <w:rsid w:val="005B3C09"/>
    <w:rsid w:val="005B3CE8"/>
    <w:rsid w:val="005B3D1F"/>
    <w:rsid w:val="005B3D77"/>
    <w:rsid w:val="005B3D9F"/>
    <w:rsid w:val="005B3E17"/>
    <w:rsid w:val="005B3E9C"/>
    <w:rsid w:val="005B3EB1"/>
    <w:rsid w:val="005B3F04"/>
    <w:rsid w:val="005B3F05"/>
    <w:rsid w:val="005B3F47"/>
    <w:rsid w:val="005B3F63"/>
    <w:rsid w:val="005B3FCE"/>
    <w:rsid w:val="005B4524"/>
    <w:rsid w:val="005B455E"/>
    <w:rsid w:val="005B45C8"/>
    <w:rsid w:val="005B45E6"/>
    <w:rsid w:val="005B47EB"/>
    <w:rsid w:val="005B4AB2"/>
    <w:rsid w:val="005B4ACB"/>
    <w:rsid w:val="005B4B0F"/>
    <w:rsid w:val="005B4C0E"/>
    <w:rsid w:val="005B4C69"/>
    <w:rsid w:val="005B4CF4"/>
    <w:rsid w:val="005B4E7E"/>
    <w:rsid w:val="005B5070"/>
    <w:rsid w:val="005B51E9"/>
    <w:rsid w:val="005B52B9"/>
    <w:rsid w:val="005B5318"/>
    <w:rsid w:val="005B531C"/>
    <w:rsid w:val="005B5324"/>
    <w:rsid w:val="005B5375"/>
    <w:rsid w:val="005B53DF"/>
    <w:rsid w:val="005B5475"/>
    <w:rsid w:val="005B56D4"/>
    <w:rsid w:val="005B583A"/>
    <w:rsid w:val="005B5902"/>
    <w:rsid w:val="005B5AA7"/>
    <w:rsid w:val="005B5C1D"/>
    <w:rsid w:val="005B5C42"/>
    <w:rsid w:val="005B5D82"/>
    <w:rsid w:val="005B5D87"/>
    <w:rsid w:val="005B6014"/>
    <w:rsid w:val="005B61EC"/>
    <w:rsid w:val="005B6236"/>
    <w:rsid w:val="005B626E"/>
    <w:rsid w:val="005B6324"/>
    <w:rsid w:val="005B636A"/>
    <w:rsid w:val="005B638D"/>
    <w:rsid w:val="005B6521"/>
    <w:rsid w:val="005B6534"/>
    <w:rsid w:val="005B6630"/>
    <w:rsid w:val="005B6725"/>
    <w:rsid w:val="005B6940"/>
    <w:rsid w:val="005B69C1"/>
    <w:rsid w:val="005B6ACE"/>
    <w:rsid w:val="005B6BB4"/>
    <w:rsid w:val="005B6CE1"/>
    <w:rsid w:val="005B6D28"/>
    <w:rsid w:val="005B6E46"/>
    <w:rsid w:val="005B6F27"/>
    <w:rsid w:val="005B6FAB"/>
    <w:rsid w:val="005B7027"/>
    <w:rsid w:val="005B71D9"/>
    <w:rsid w:val="005B7303"/>
    <w:rsid w:val="005B7327"/>
    <w:rsid w:val="005B73CD"/>
    <w:rsid w:val="005B73D0"/>
    <w:rsid w:val="005B7432"/>
    <w:rsid w:val="005B7443"/>
    <w:rsid w:val="005B7492"/>
    <w:rsid w:val="005B74A6"/>
    <w:rsid w:val="005B75DB"/>
    <w:rsid w:val="005B7670"/>
    <w:rsid w:val="005B767D"/>
    <w:rsid w:val="005B7803"/>
    <w:rsid w:val="005B7A05"/>
    <w:rsid w:val="005B7A20"/>
    <w:rsid w:val="005B7A87"/>
    <w:rsid w:val="005B7B95"/>
    <w:rsid w:val="005B7BDC"/>
    <w:rsid w:val="005B7CFF"/>
    <w:rsid w:val="005B7D2F"/>
    <w:rsid w:val="005C0005"/>
    <w:rsid w:val="005C000C"/>
    <w:rsid w:val="005C0015"/>
    <w:rsid w:val="005C0094"/>
    <w:rsid w:val="005C0110"/>
    <w:rsid w:val="005C0232"/>
    <w:rsid w:val="005C0243"/>
    <w:rsid w:val="005C0397"/>
    <w:rsid w:val="005C042B"/>
    <w:rsid w:val="005C074C"/>
    <w:rsid w:val="005C07D6"/>
    <w:rsid w:val="005C09F5"/>
    <w:rsid w:val="005C0B4E"/>
    <w:rsid w:val="005C0C8E"/>
    <w:rsid w:val="005C0D02"/>
    <w:rsid w:val="005C0DFA"/>
    <w:rsid w:val="005C0EEE"/>
    <w:rsid w:val="005C0FD3"/>
    <w:rsid w:val="005C0FF7"/>
    <w:rsid w:val="005C1085"/>
    <w:rsid w:val="005C1154"/>
    <w:rsid w:val="005C120C"/>
    <w:rsid w:val="005C12A6"/>
    <w:rsid w:val="005C1318"/>
    <w:rsid w:val="005C1606"/>
    <w:rsid w:val="005C1724"/>
    <w:rsid w:val="005C180D"/>
    <w:rsid w:val="005C1CC4"/>
    <w:rsid w:val="005C2057"/>
    <w:rsid w:val="005C205D"/>
    <w:rsid w:val="005C21DB"/>
    <w:rsid w:val="005C220E"/>
    <w:rsid w:val="005C2272"/>
    <w:rsid w:val="005C237C"/>
    <w:rsid w:val="005C26EE"/>
    <w:rsid w:val="005C2760"/>
    <w:rsid w:val="005C2C22"/>
    <w:rsid w:val="005C2F06"/>
    <w:rsid w:val="005C3069"/>
    <w:rsid w:val="005C327C"/>
    <w:rsid w:val="005C34A8"/>
    <w:rsid w:val="005C36FB"/>
    <w:rsid w:val="005C38C5"/>
    <w:rsid w:val="005C3A61"/>
    <w:rsid w:val="005C3CF4"/>
    <w:rsid w:val="005C3F8E"/>
    <w:rsid w:val="005C44CC"/>
    <w:rsid w:val="005C4547"/>
    <w:rsid w:val="005C45C8"/>
    <w:rsid w:val="005C4839"/>
    <w:rsid w:val="005C4901"/>
    <w:rsid w:val="005C4944"/>
    <w:rsid w:val="005C49B5"/>
    <w:rsid w:val="005C4A59"/>
    <w:rsid w:val="005C4B02"/>
    <w:rsid w:val="005C4B89"/>
    <w:rsid w:val="005C4C54"/>
    <w:rsid w:val="005C4C6D"/>
    <w:rsid w:val="005C4D7D"/>
    <w:rsid w:val="005C4E8D"/>
    <w:rsid w:val="005C4EAB"/>
    <w:rsid w:val="005C4F34"/>
    <w:rsid w:val="005C4F91"/>
    <w:rsid w:val="005C4FD4"/>
    <w:rsid w:val="005C518D"/>
    <w:rsid w:val="005C53D6"/>
    <w:rsid w:val="005C564A"/>
    <w:rsid w:val="005C58B0"/>
    <w:rsid w:val="005C5938"/>
    <w:rsid w:val="005C5962"/>
    <w:rsid w:val="005C5A90"/>
    <w:rsid w:val="005C5DDF"/>
    <w:rsid w:val="005C5E4D"/>
    <w:rsid w:val="005C5F25"/>
    <w:rsid w:val="005C5FE3"/>
    <w:rsid w:val="005C607A"/>
    <w:rsid w:val="005C60E0"/>
    <w:rsid w:val="005C6122"/>
    <w:rsid w:val="005C617E"/>
    <w:rsid w:val="005C6223"/>
    <w:rsid w:val="005C6255"/>
    <w:rsid w:val="005C63CB"/>
    <w:rsid w:val="005C6521"/>
    <w:rsid w:val="005C662C"/>
    <w:rsid w:val="005C66A8"/>
    <w:rsid w:val="005C670B"/>
    <w:rsid w:val="005C69A3"/>
    <w:rsid w:val="005C6A13"/>
    <w:rsid w:val="005C6A57"/>
    <w:rsid w:val="005C6B76"/>
    <w:rsid w:val="005C6C57"/>
    <w:rsid w:val="005C6D05"/>
    <w:rsid w:val="005C6DD3"/>
    <w:rsid w:val="005C6FB7"/>
    <w:rsid w:val="005C6FD4"/>
    <w:rsid w:val="005C70C7"/>
    <w:rsid w:val="005C70F2"/>
    <w:rsid w:val="005C70F3"/>
    <w:rsid w:val="005C7112"/>
    <w:rsid w:val="005C720B"/>
    <w:rsid w:val="005C72A7"/>
    <w:rsid w:val="005C72AE"/>
    <w:rsid w:val="005C730A"/>
    <w:rsid w:val="005C74A9"/>
    <w:rsid w:val="005C74F9"/>
    <w:rsid w:val="005C7500"/>
    <w:rsid w:val="005C761A"/>
    <w:rsid w:val="005C7686"/>
    <w:rsid w:val="005C76B4"/>
    <w:rsid w:val="005C7786"/>
    <w:rsid w:val="005C77A2"/>
    <w:rsid w:val="005C7B82"/>
    <w:rsid w:val="005C7C1A"/>
    <w:rsid w:val="005C7C2A"/>
    <w:rsid w:val="005C7CA1"/>
    <w:rsid w:val="005C7CAB"/>
    <w:rsid w:val="005C7D4B"/>
    <w:rsid w:val="005C7D6A"/>
    <w:rsid w:val="005C7DAE"/>
    <w:rsid w:val="005C7E80"/>
    <w:rsid w:val="005C7EE0"/>
    <w:rsid w:val="005D02CA"/>
    <w:rsid w:val="005D047A"/>
    <w:rsid w:val="005D04AE"/>
    <w:rsid w:val="005D076E"/>
    <w:rsid w:val="005D07E2"/>
    <w:rsid w:val="005D092D"/>
    <w:rsid w:val="005D0C3A"/>
    <w:rsid w:val="005D0C3B"/>
    <w:rsid w:val="005D0C4F"/>
    <w:rsid w:val="005D0C62"/>
    <w:rsid w:val="005D1048"/>
    <w:rsid w:val="005D1050"/>
    <w:rsid w:val="005D115C"/>
    <w:rsid w:val="005D118D"/>
    <w:rsid w:val="005D1255"/>
    <w:rsid w:val="005D1279"/>
    <w:rsid w:val="005D12BB"/>
    <w:rsid w:val="005D13DA"/>
    <w:rsid w:val="005D1492"/>
    <w:rsid w:val="005D1535"/>
    <w:rsid w:val="005D1563"/>
    <w:rsid w:val="005D167E"/>
    <w:rsid w:val="005D16E8"/>
    <w:rsid w:val="005D1960"/>
    <w:rsid w:val="005D19CB"/>
    <w:rsid w:val="005D1A5A"/>
    <w:rsid w:val="005D1B27"/>
    <w:rsid w:val="005D1BCC"/>
    <w:rsid w:val="005D1CED"/>
    <w:rsid w:val="005D1EC5"/>
    <w:rsid w:val="005D1EE0"/>
    <w:rsid w:val="005D1F48"/>
    <w:rsid w:val="005D1FE1"/>
    <w:rsid w:val="005D209A"/>
    <w:rsid w:val="005D20D7"/>
    <w:rsid w:val="005D20E6"/>
    <w:rsid w:val="005D215A"/>
    <w:rsid w:val="005D21EB"/>
    <w:rsid w:val="005D23C2"/>
    <w:rsid w:val="005D248B"/>
    <w:rsid w:val="005D2526"/>
    <w:rsid w:val="005D26FF"/>
    <w:rsid w:val="005D29F6"/>
    <w:rsid w:val="005D2E48"/>
    <w:rsid w:val="005D2E70"/>
    <w:rsid w:val="005D300A"/>
    <w:rsid w:val="005D3090"/>
    <w:rsid w:val="005D3351"/>
    <w:rsid w:val="005D33FD"/>
    <w:rsid w:val="005D3437"/>
    <w:rsid w:val="005D34D1"/>
    <w:rsid w:val="005D34EE"/>
    <w:rsid w:val="005D367C"/>
    <w:rsid w:val="005D3747"/>
    <w:rsid w:val="005D3761"/>
    <w:rsid w:val="005D3864"/>
    <w:rsid w:val="005D3A48"/>
    <w:rsid w:val="005D3A78"/>
    <w:rsid w:val="005D3DF7"/>
    <w:rsid w:val="005D3E4C"/>
    <w:rsid w:val="005D3E5F"/>
    <w:rsid w:val="005D3F24"/>
    <w:rsid w:val="005D3F5E"/>
    <w:rsid w:val="005D3F61"/>
    <w:rsid w:val="005D414D"/>
    <w:rsid w:val="005D417D"/>
    <w:rsid w:val="005D42B2"/>
    <w:rsid w:val="005D43F0"/>
    <w:rsid w:val="005D4586"/>
    <w:rsid w:val="005D46E5"/>
    <w:rsid w:val="005D47A6"/>
    <w:rsid w:val="005D4836"/>
    <w:rsid w:val="005D489C"/>
    <w:rsid w:val="005D48B7"/>
    <w:rsid w:val="005D491C"/>
    <w:rsid w:val="005D493C"/>
    <w:rsid w:val="005D4953"/>
    <w:rsid w:val="005D49DA"/>
    <w:rsid w:val="005D4CE4"/>
    <w:rsid w:val="005D4E44"/>
    <w:rsid w:val="005D4F09"/>
    <w:rsid w:val="005D4FA0"/>
    <w:rsid w:val="005D4FDF"/>
    <w:rsid w:val="005D5199"/>
    <w:rsid w:val="005D5203"/>
    <w:rsid w:val="005D52CD"/>
    <w:rsid w:val="005D53FA"/>
    <w:rsid w:val="005D5419"/>
    <w:rsid w:val="005D5471"/>
    <w:rsid w:val="005D5670"/>
    <w:rsid w:val="005D56AA"/>
    <w:rsid w:val="005D572A"/>
    <w:rsid w:val="005D58B4"/>
    <w:rsid w:val="005D58DF"/>
    <w:rsid w:val="005D5C80"/>
    <w:rsid w:val="005D5DAF"/>
    <w:rsid w:val="005D5EC5"/>
    <w:rsid w:val="005D6026"/>
    <w:rsid w:val="005D6103"/>
    <w:rsid w:val="005D618A"/>
    <w:rsid w:val="005D626F"/>
    <w:rsid w:val="005D64E9"/>
    <w:rsid w:val="005D65A4"/>
    <w:rsid w:val="005D66D5"/>
    <w:rsid w:val="005D673E"/>
    <w:rsid w:val="005D69BF"/>
    <w:rsid w:val="005D6DC2"/>
    <w:rsid w:val="005D6E0C"/>
    <w:rsid w:val="005D6E23"/>
    <w:rsid w:val="005D6F53"/>
    <w:rsid w:val="005D6FCC"/>
    <w:rsid w:val="005D70AA"/>
    <w:rsid w:val="005D7169"/>
    <w:rsid w:val="005D7292"/>
    <w:rsid w:val="005D73CC"/>
    <w:rsid w:val="005D74A9"/>
    <w:rsid w:val="005D7501"/>
    <w:rsid w:val="005D7517"/>
    <w:rsid w:val="005D76E8"/>
    <w:rsid w:val="005D7747"/>
    <w:rsid w:val="005D7BA3"/>
    <w:rsid w:val="005D7BE6"/>
    <w:rsid w:val="005D7D04"/>
    <w:rsid w:val="005D7E98"/>
    <w:rsid w:val="005E0062"/>
    <w:rsid w:val="005E006A"/>
    <w:rsid w:val="005E0113"/>
    <w:rsid w:val="005E0271"/>
    <w:rsid w:val="005E027E"/>
    <w:rsid w:val="005E0295"/>
    <w:rsid w:val="005E05B2"/>
    <w:rsid w:val="005E0694"/>
    <w:rsid w:val="005E06DC"/>
    <w:rsid w:val="005E06DE"/>
    <w:rsid w:val="005E0782"/>
    <w:rsid w:val="005E079B"/>
    <w:rsid w:val="005E0946"/>
    <w:rsid w:val="005E0963"/>
    <w:rsid w:val="005E0A4F"/>
    <w:rsid w:val="005E0E77"/>
    <w:rsid w:val="005E0EB4"/>
    <w:rsid w:val="005E0F89"/>
    <w:rsid w:val="005E0FBA"/>
    <w:rsid w:val="005E10CE"/>
    <w:rsid w:val="005E1219"/>
    <w:rsid w:val="005E154C"/>
    <w:rsid w:val="005E162A"/>
    <w:rsid w:val="005E1675"/>
    <w:rsid w:val="005E169B"/>
    <w:rsid w:val="005E18BB"/>
    <w:rsid w:val="005E19AE"/>
    <w:rsid w:val="005E1ABA"/>
    <w:rsid w:val="005E1B3E"/>
    <w:rsid w:val="005E1BE8"/>
    <w:rsid w:val="005E1C6B"/>
    <w:rsid w:val="005E1D33"/>
    <w:rsid w:val="005E1D39"/>
    <w:rsid w:val="005E1DB6"/>
    <w:rsid w:val="005E1DB7"/>
    <w:rsid w:val="005E1DF8"/>
    <w:rsid w:val="005E1EFF"/>
    <w:rsid w:val="005E1F8D"/>
    <w:rsid w:val="005E1FBD"/>
    <w:rsid w:val="005E2074"/>
    <w:rsid w:val="005E20E4"/>
    <w:rsid w:val="005E2144"/>
    <w:rsid w:val="005E2177"/>
    <w:rsid w:val="005E22E2"/>
    <w:rsid w:val="005E2316"/>
    <w:rsid w:val="005E2335"/>
    <w:rsid w:val="005E236C"/>
    <w:rsid w:val="005E246A"/>
    <w:rsid w:val="005E24D8"/>
    <w:rsid w:val="005E2540"/>
    <w:rsid w:val="005E2709"/>
    <w:rsid w:val="005E2733"/>
    <w:rsid w:val="005E27B1"/>
    <w:rsid w:val="005E285C"/>
    <w:rsid w:val="005E28D5"/>
    <w:rsid w:val="005E2AA8"/>
    <w:rsid w:val="005E2B81"/>
    <w:rsid w:val="005E2BCC"/>
    <w:rsid w:val="005E2E73"/>
    <w:rsid w:val="005E2EE7"/>
    <w:rsid w:val="005E308D"/>
    <w:rsid w:val="005E309E"/>
    <w:rsid w:val="005E30B2"/>
    <w:rsid w:val="005E3211"/>
    <w:rsid w:val="005E3277"/>
    <w:rsid w:val="005E32B1"/>
    <w:rsid w:val="005E32B5"/>
    <w:rsid w:val="005E32D5"/>
    <w:rsid w:val="005E33EE"/>
    <w:rsid w:val="005E3688"/>
    <w:rsid w:val="005E376F"/>
    <w:rsid w:val="005E390E"/>
    <w:rsid w:val="005E3913"/>
    <w:rsid w:val="005E391C"/>
    <w:rsid w:val="005E3963"/>
    <w:rsid w:val="005E39CD"/>
    <w:rsid w:val="005E3A7A"/>
    <w:rsid w:val="005E3B6C"/>
    <w:rsid w:val="005E3BAE"/>
    <w:rsid w:val="005E3BCA"/>
    <w:rsid w:val="005E3C5B"/>
    <w:rsid w:val="005E3DE8"/>
    <w:rsid w:val="005E3EDA"/>
    <w:rsid w:val="005E3F9C"/>
    <w:rsid w:val="005E3F9F"/>
    <w:rsid w:val="005E40CF"/>
    <w:rsid w:val="005E433F"/>
    <w:rsid w:val="005E448A"/>
    <w:rsid w:val="005E475C"/>
    <w:rsid w:val="005E47FD"/>
    <w:rsid w:val="005E48CD"/>
    <w:rsid w:val="005E4979"/>
    <w:rsid w:val="005E49EF"/>
    <w:rsid w:val="005E4B32"/>
    <w:rsid w:val="005E4BA9"/>
    <w:rsid w:val="005E4DBA"/>
    <w:rsid w:val="005E4EC9"/>
    <w:rsid w:val="005E505E"/>
    <w:rsid w:val="005E5196"/>
    <w:rsid w:val="005E52A3"/>
    <w:rsid w:val="005E52F0"/>
    <w:rsid w:val="005E53DE"/>
    <w:rsid w:val="005E551D"/>
    <w:rsid w:val="005E55B3"/>
    <w:rsid w:val="005E57F8"/>
    <w:rsid w:val="005E5940"/>
    <w:rsid w:val="005E5985"/>
    <w:rsid w:val="005E59E0"/>
    <w:rsid w:val="005E59FA"/>
    <w:rsid w:val="005E5AD0"/>
    <w:rsid w:val="005E5B44"/>
    <w:rsid w:val="005E5B75"/>
    <w:rsid w:val="005E5BD3"/>
    <w:rsid w:val="005E5FCB"/>
    <w:rsid w:val="005E5FEC"/>
    <w:rsid w:val="005E60EA"/>
    <w:rsid w:val="005E6134"/>
    <w:rsid w:val="005E61D4"/>
    <w:rsid w:val="005E632F"/>
    <w:rsid w:val="005E63D0"/>
    <w:rsid w:val="005E643A"/>
    <w:rsid w:val="005E65EA"/>
    <w:rsid w:val="005E6689"/>
    <w:rsid w:val="005E670C"/>
    <w:rsid w:val="005E6735"/>
    <w:rsid w:val="005E6779"/>
    <w:rsid w:val="005E67E0"/>
    <w:rsid w:val="005E68AF"/>
    <w:rsid w:val="005E68D7"/>
    <w:rsid w:val="005E69F1"/>
    <w:rsid w:val="005E6B6E"/>
    <w:rsid w:val="005E7081"/>
    <w:rsid w:val="005E70BB"/>
    <w:rsid w:val="005E70BE"/>
    <w:rsid w:val="005E717B"/>
    <w:rsid w:val="005E7343"/>
    <w:rsid w:val="005E7398"/>
    <w:rsid w:val="005E73D8"/>
    <w:rsid w:val="005E7471"/>
    <w:rsid w:val="005E7482"/>
    <w:rsid w:val="005E7661"/>
    <w:rsid w:val="005E76AC"/>
    <w:rsid w:val="005E7A62"/>
    <w:rsid w:val="005E7B00"/>
    <w:rsid w:val="005E7BE1"/>
    <w:rsid w:val="005E7C2F"/>
    <w:rsid w:val="005E7CD4"/>
    <w:rsid w:val="005E7D08"/>
    <w:rsid w:val="005E7D7B"/>
    <w:rsid w:val="005E7DD7"/>
    <w:rsid w:val="005E7EEE"/>
    <w:rsid w:val="005E7F35"/>
    <w:rsid w:val="005E7F4D"/>
    <w:rsid w:val="005E7F90"/>
    <w:rsid w:val="005E7FB2"/>
    <w:rsid w:val="005E7FDB"/>
    <w:rsid w:val="005E7FE9"/>
    <w:rsid w:val="005F004E"/>
    <w:rsid w:val="005F00D2"/>
    <w:rsid w:val="005F0256"/>
    <w:rsid w:val="005F0274"/>
    <w:rsid w:val="005F029D"/>
    <w:rsid w:val="005F0387"/>
    <w:rsid w:val="005F04BE"/>
    <w:rsid w:val="005F04DD"/>
    <w:rsid w:val="005F0829"/>
    <w:rsid w:val="005F08D2"/>
    <w:rsid w:val="005F09C0"/>
    <w:rsid w:val="005F0B71"/>
    <w:rsid w:val="005F0D01"/>
    <w:rsid w:val="005F0D80"/>
    <w:rsid w:val="005F1051"/>
    <w:rsid w:val="005F10C0"/>
    <w:rsid w:val="005F116A"/>
    <w:rsid w:val="005F1315"/>
    <w:rsid w:val="005F1325"/>
    <w:rsid w:val="005F13FA"/>
    <w:rsid w:val="005F13FD"/>
    <w:rsid w:val="005F14D2"/>
    <w:rsid w:val="005F1569"/>
    <w:rsid w:val="005F15C4"/>
    <w:rsid w:val="005F15CC"/>
    <w:rsid w:val="005F1784"/>
    <w:rsid w:val="005F17AD"/>
    <w:rsid w:val="005F190A"/>
    <w:rsid w:val="005F1B1E"/>
    <w:rsid w:val="005F1BFF"/>
    <w:rsid w:val="005F1D99"/>
    <w:rsid w:val="005F1DD1"/>
    <w:rsid w:val="005F1EBF"/>
    <w:rsid w:val="005F1F77"/>
    <w:rsid w:val="005F1FA0"/>
    <w:rsid w:val="005F2105"/>
    <w:rsid w:val="005F21CB"/>
    <w:rsid w:val="005F21FA"/>
    <w:rsid w:val="005F2254"/>
    <w:rsid w:val="005F22B5"/>
    <w:rsid w:val="005F22F0"/>
    <w:rsid w:val="005F22F5"/>
    <w:rsid w:val="005F2318"/>
    <w:rsid w:val="005F2334"/>
    <w:rsid w:val="005F250C"/>
    <w:rsid w:val="005F255E"/>
    <w:rsid w:val="005F2665"/>
    <w:rsid w:val="005F2844"/>
    <w:rsid w:val="005F288A"/>
    <w:rsid w:val="005F29F5"/>
    <w:rsid w:val="005F2B3C"/>
    <w:rsid w:val="005F2C43"/>
    <w:rsid w:val="005F2C94"/>
    <w:rsid w:val="005F2CE2"/>
    <w:rsid w:val="005F2F17"/>
    <w:rsid w:val="005F321A"/>
    <w:rsid w:val="005F325D"/>
    <w:rsid w:val="005F3272"/>
    <w:rsid w:val="005F3291"/>
    <w:rsid w:val="005F32BA"/>
    <w:rsid w:val="005F334F"/>
    <w:rsid w:val="005F342A"/>
    <w:rsid w:val="005F35C5"/>
    <w:rsid w:val="005F3756"/>
    <w:rsid w:val="005F3767"/>
    <w:rsid w:val="005F37F1"/>
    <w:rsid w:val="005F38FB"/>
    <w:rsid w:val="005F393A"/>
    <w:rsid w:val="005F3997"/>
    <w:rsid w:val="005F399D"/>
    <w:rsid w:val="005F3E5A"/>
    <w:rsid w:val="005F3ECC"/>
    <w:rsid w:val="005F3F2A"/>
    <w:rsid w:val="005F3F75"/>
    <w:rsid w:val="005F3F7C"/>
    <w:rsid w:val="005F3FD7"/>
    <w:rsid w:val="005F3FF4"/>
    <w:rsid w:val="005F408A"/>
    <w:rsid w:val="005F413B"/>
    <w:rsid w:val="005F41B9"/>
    <w:rsid w:val="005F41E3"/>
    <w:rsid w:val="005F42A2"/>
    <w:rsid w:val="005F4442"/>
    <w:rsid w:val="005F4470"/>
    <w:rsid w:val="005F44DE"/>
    <w:rsid w:val="005F48CB"/>
    <w:rsid w:val="005F48F1"/>
    <w:rsid w:val="005F490D"/>
    <w:rsid w:val="005F492D"/>
    <w:rsid w:val="005F49B3"/>
    <w:rsid w:val="005F4AD8"/>
    <w:rsid w:val="005F4BF9"/>
    <w:rsid w:val="005F4DFA"/>
    <w:rsid w:val="005F4E52"/>
    <w:rsid w:val="005F4FD0"/>
    <w:rsid w:val="005F513A"/>
    <w:rsid w:val="005F5144"/>
    <w:rsid w:val="005F521A"/>
    <w:rsid w:val="005F557A"/>
    <w:rsid w:val="005F56B4"/>
    <w:rsid w:val="005F5740"/>
    <w:rsid w:val="005F592B"/>
    <w:rsid w:val="005F59D8"/>
    <w:rsid w:val="005F59D9"/>
    <w:rsid w:val="005F5A3A"/>
    <w:rsid w:val="005F5AA0"/>
    <w:rsid w:val="005F5AF0"/>
    <w:rsid w:val="005F5C0C"/>
    <w:rsid w:val="005F5E49"/>
    <w:rsid w:val="005F5E73"/>
    <w:rsid w:val="005F5F0D"/>
    <w:rsid w:val="005F5F4D"/>
    <w:rsid w:val="005F6029"/>
    <w:rsid w:val="005F60FA"/>
    <w:rsid w:val="005F616A"/>
    <w:rsid w:val="005F6190"/>
    <w:rsid w:val="005F619B"/>
    <w:rsid w:val="005F6213"/>
    <w:rsid w:val="005F6258"/>
    <w:rsid w:val="005F633B"/>
    <w:rsid w:val="005F639B"/>
    <w:rsid w:val="005F63D0"/>
    <w:rsid w:val="005F6439"/>
    <w:rsid w:val="005F6612"/>
    <w:rsid w:val="005F66F4"/>
    <w:rsid w:val="005F683C"/>
    <w:rsid w:val="005F6845"/>
    <w:rsid w:val="005F6960"/>
    <w:rsid w:val="005F6978"/>
    <w:rsid w:val="005F6987"/>
    <w:rsid w:val="005F6990"/>
    <w:rsid w:val="005F6BE8"/>
    <w:rsid w:val="005F6BEF"/>
    <w:rsid w:val="005F6C6D"/>
    <w:rsid w:val="005F6CBA"/>
    <w:rsid w:val="005F6CC9"/>
    <w:rsid w:val="005F6D60"/>
    <w:rsid w:val="005F6DEF"/>
    <w:rsid w:val="005F6E6F"/>
    <w:rsid w:val="005F6F8A"/>
    <w:rsid w:val="005F705E"/>
    <w:rsid w:val="005F71DD"/>
    <w:rsid w:val="005F7270"/>
    <w:rsid w:val="005F7312"/>
    <w:rsid w:val="005F7361"/>
    <w:rsid w:val="005F73DD"/>
    <w:rsid w:val="005F74EC"/>
    <w:rsid w:val="005F7584"/>
    <w:rsid w:val="005F75AB"/>
    <w:rsid w:val="005F75BE"/>
    <w:rsid w:val="005F7811"/>
    <w:rsid w:val="005F7B07"/>
    <w:rsid w:val="005F7F9B"/>
    <w:rsid w:val="00600123"/>
    <w:rsid w:val="00600125"/>
    <w:rsid w:val="0060014A"/>
    <w:rsid w:val="00600166"/>
    <w:rsid w:val="0060020B"/>
    <w:rsid w:val="0060027D"/>
    <w:rsid w:val="006005CF"/>
    <w:rsid w:val="00600617"/>
    <w:rsid w:val="0060066C"/>
    <w:rsid w:val="006007F0"/>
    <w:rsid w:val="00600877"/>
    <w:rsid w:val="006008CE"/>
    <w:rsid w:val="00600E64"/>
    <w:rsid w:val="00600F3A"/>
    <w:rsid w:val="006010A2"/>
    <w:rsid w:val="006017B3"/>
    <w:rsid w:val="0060184B"/>
    <w:rsid w:val="00601A32"/>
    <w:rsid w:val="00601B38"/>
    <w:rsid w:val="00601B4B"/>
    <w:rsid w:val="00601B4C"/>
    <w:rsid w:val="00601D20"/>
    <w:rsid w:val="00601D6C"/>
    <w:rsid w:val="00601E03"/>
    <w:rsid w:val="00601EBA"/>
    <w:rsid w:val="00601F3C"/>
    <w:rsid w:val="00601FE2"/>
    <w:rsid w:val="0060208C"/>
    <w:rsid w:val="0060209C"/>
    <w:rsid w:val="006020CD"/>
    <w:rsid w:val="00602239"/>
    <w:rsid w:val="00602244"/>
    <w:rsid w:val="00602247"/>
    <w:rsid w:val="00602278"/>
    <w:rsid w:val="00602479"/>
    <w:rsid w:val="0060247A"/>
    <w:rsid w:val="006024EE"/>
    <w:rsid w:val="0060250F"/>
    <w:rsid w:val="006025C9"/>
    <w:rsid w:val="0060265F"/>
    <w:rsid w:val="0060268E"/>
    <w:rsid w:val="006026F7"/>
    <w:rsid w:val="00602805"/>
    <w:rsid w:val="00602833"/>
    <w:rsid w:val="0060294F"/>
    <w:rsid w:val="00602AE2"/>
    <w:rsid w:val="00602C40"/>
    <w:rsid w:val="00602C52"/>
    <w:rsid w:val="00602CF5"/>
    <w:rsid w:val="00602DA0"/>
    <w:rsid w:val="00602F73"/>
    <w:rsid w:val="006031AA"/>
    <w:rsid w:val="0060321B"/>
    <w:rsid w:val="00603419"/>
    <w:rsid w:val="0060344D"/>
    <w:rsid w:val="00603596"/>
    <w:rsid w:val="006036A6"/>
    <w:rsid w:val="006036E7"/>
    <w:rsid w:val="0060375B"/>
    <w:rsid w:val="006037E4"/>
    <w:rsid w:val="0060392F"/>
    <w:rsid w:val="00603970"/>
    <w:rsid w:val="0060399A"/>
    <w:rsid w:val="00603A00"/>
    <w:rsid w:val="00603AD0"/>
    <w:rsid w:val="00603B62"/>
    <w:rsid w:val="00603C33"/>
    <w:rsid w:val="00603CAE"/>
    <w:rsid w:val="00603DDB"/>
    <w:rsid w:val="00603EB4"/>
    <w:rsid w:val="00604087"/>
    <w:rsid w:val="006041BB"/>
    <w:rsid w:val="00604529"/>
    <w:rsid w:val="006045C8"/>
    <w:rsid w:val="006046CA"/>
    <w:rsid w:val="0060471E"/>
    <w:rsid w:val="00604781"/>
    <w:rsid w:val="00604881"/>
    <w:rsid w:val="006048A0"/>
    <w:rsid w:val="00604941"/>
    <w:rsid w:val="00604B36"/>
    <w:rsid w:val="00604B7A"/>
    <w:rsid w:val="00604BA8"/>
    <w:rsid w:val="00604DB1"/>
    <w:rsid w:val="00604E08"/>
    <w:rsid w:val="00604E79"/>
    <w:rsid w:val="00604F57"/>
    <w:rsid w:val="00604F88"/>
    <w:rsid w:val="00604FB5"/>
    <w:rsid w:val="006050ED"/>
    <w:rsid w:val="00605152"/>
    <w:rsid w:val="006054E4"/>
    <w:rsid w:val="0060556D"/>
    <w:rsid w:val="00605737"/>
    <w:rsid w:val="006057C1"/>
    <w:rsid w:val="006057E5"/>
    <w:rsid w:val="00605944"/>
    <w:rsid w:val="0060599D"/>
    <w:rsid w:val="00605B20"/>
    <w:rsid w:val="00605B7A"/>
    <w:rsid w:val="00605B90"/>
    <w:rsid w:val="00605F9A"/>
    <w:rsid w:val="0060608B"/>
    <w:rsid w:val="00606126"/>
    <w:rsid w:val="006061CA"/>
    <w:rsid w:val="006063F5"/>
    <w:rsid w:val="0060659F"/>
    <w:rsid w:val="006065C3"/>
    <w:rsid w:val="00606682"/>
    <w:rsid w:val="00606766"/>
    <w:rsid w:val="0060680B"/>
    <w:rsid w:val="006068AD"/>
    <w:rsid w:val="00606B54"/>
    <w:rsid w:val="00606C4F"/>
    <w:rsid w:val="00606D08"/>
    <w:rsid w:val="00606E31"/>
    <w:rsid w:val="00606FBE"/>
    <w:rsid w:val="00606FCB"/>
    <w:rsid w:val="00607043"/>
    <w:rsid w:val="006071B7"/>
    <w:rsid w:val="006072F9"/>
    <w:rsid w:val="0060738A"/>
    <w:rsid w:val="00607511"/>
    <w:rsid w:val="00607545"/>
    <w:rsid w:val="006076C7"/>
    <w:rsid w:val="00607730"/>
    <w:rsid w:val="006077F1"/>
    <w:rsid w:val="00607899"/>
    <w:rsid w:val="00607B13"/>
    <w:rsid w:val="00607B3E"/>
    <w:rsid w:val="00607B54"/>
    <w:rsid w:val="00607BCC"/>
    <w:rsid w:val="00607C33"/>
    <w:rsid w:val="00607C3F"/>
    <w:rsid w:val="00607C72"/>
    <w:rsid w:val="00607C89"/>
    <w:rsid w:val="00607E5E"/>
    <w:rsid w:val="00607EA2"/>
    <w:rsid w:val="00607FD4"/>
    <w:rsid w:val="00610075"/>
    <w:rsid w:val="006100CF"/>
    <w:rsid w:val="00610121"/>
    <w:rsid w:val="00610270"/>
    <w:rsid w:val="00610309"/>
    <w:rsid w:val="00610479"/>
    <w:rsid w:val="00610486"/>
    <w:rsid w:val="00610844"/>
    <w:rsid w:val="0061090D"/>
    <w:rsid w:val="00610995"/>
    <w:rsid w:val="00611127"/>
    <w:rsid w:val="006112BE"/>
    <w:rsid w:val="0061134F"/>
    <w:rsid w:val="00611374"/>
    <w:rsid w:val="0061137D"/>
    <w:rsid w:val="006113D2"/>
    <w:rsid w:val="006115FC"/>
    <w:rsid w:val="0061177A"/>
    <w:rsid w:val="00611819"/>
    <w:rsid w:val="00611836"/>
    <w:rsid w:val="0061183A"/>
    <w:rsid w:val="00611922"/>
    <w:rsid w:val="00611E04"/>
    <w:rsid w:val="00611E63"/>
    <w:rsid w:val="0061201C"/>
    <w:rsid w:val="006120A4"/>
    <w:rsid w:val="0061212A"/>
    <w:rsid w:val="00612356"/>
    <w:rsid w:val="00612376"/>
    <w:rsid w:val="00612500"/>
    <w:rsid w:val="0061270C"/>
    <w:rsid w:val="006128D8"/>
    <w:rsid w:val="00612A82"/>
    <w:rsid w:val="00612AF5"/>
    <w:rsid w:val="00612B67"/>
    <w:rsid w:val="00612BB3"/>
    <w:rsid w:val="00612BD2"/>
    <w:rsid w:val="00612CCE"/>
    <w:rsid w:val="00613053"/>
    <w:rsid w:val="00613143"/>
    <w:rsid w:val="0061314C"/>
    <w:rsid w:val="006133F0"/>
    <w:rsid w:val="0061358D"/>
    <w:rsid w:val="006135DA"/>
    <w:rsid w:val="0061371C"/>
    <w:rsid w:val="00613738"/>
    <w:rsid w:val="00613869"/>
    <w:rsid w:val="006138D2"/>
    <w:rsid w:val="0061394A"/>
    <w:rsid w:val="00613969"/>
    <w:rsid w:val="00613A3D"/>
    <w:rsid w:val="00613B93"/>
    <w:rsid w:val="00613D41"/>
    <w:rsid w:val="00613EE6"/>
    <w:rsid w:val="00613FEF"/>
    <w:rsid w:val="006142E1"/>
    <w:rsid w:val="006143C7"/>
    <w:rsid w:val="00614435"/>
    <w:rsid w:val="006144C6"/>
    <w:rsid w:val="00614571"/>
    <w:rsid w:val="0061478C"/>
    <w:rsid w:val="006147CA"/>
    <w:rsid w:val="00614AF9"/>
    <w:rsid w:val="00614B75"/>
    <w:rsid w:val="00614B80"/>
    <w:rsid w:val="00614BCA"/>
    <w:rsid w:val="00614DAD"/>
    <w:rsid w:val="00614FDD"/>
    <w:rsid w:val="00615054"/>
    <w:rsid w:val="00615074"/>
    <w:rsid w:val="0061515C"/>
    <w:rsid w:val="006151BB"/>
    <w:rsid w:val="006151E3"/>
    <w:rsid w:val="00615287"/>
    <w:rsid w:val="0061545D"/>
    <w:rsid w:val="006155F3"/>
    <w:rsid w:val="0061568F"/>
    <w:rsid w:val="00615AC7"/>
    <w:rsid w:val="00615E54"/>
    <w:rsid w:val="00615EAB"/>
    <w:rsid w:val="00615EF4"/>
    <w:rsid w:val="00615F30"/>
    <w:rsid w:val="00615FC5"/>
    <w:rsid w:val="006160BA"/>
    <w:rsid w:val="00616159"/>
    <w:rsid w:val="0061626A"/>
    <w:rsid w:val="0061632E"/>
    <w:rsid w:val="0061643D"/>
    <w:rsid w:val="00616522"/>
    <w:rsid w:val="00616551"/>
    <w:rsid w:val="006165A8"/>
    <w:rsid w:val="006166D0"/>
    <w:rsid w:val="00616987"/>
    <w:rsid w:val="00616B17"/>
    <w:rsid w:val="00616C2A"/>
    <w:rsid w:val="00616C6E"/>
    <w:rsid w:val="00616CEF"/>
    <w:rsid w:val="00616D4C"/>
    <w:rsid w:val="00616FA4"/>
    <w:rsid w:val="00617366"/>
    <w:rsid w:val="006173ED"/>
    <w:rsid w:val="0061757E"/>
    <w:rsid w:val="00617746"/>
    <w:rsid w:val="006177D0"/>
    <w:rsid w:val="00617802"/>
    <w:rsid w:val="00617833"/>
    <w:rsid w:val="006178B0"/>
    <w:rsid w:val="00617A8D"/>
    <w:rsid w:val="00617BCB"/>
    <w:rsid w:val="00617DA4"/>
    <w:rsid w:val="00617DB7"/>
    <w:rsid w:val="00617E47"/>
    <w:rsid w:val="00617E91"/>
    <w:rsid w:val="00617EA7"/>
    <w:rsid w:val="00617EF2"/>
    <w:rsid w:val="00620039"/>
    <w:rsid w:val="0062004D"/>
    <w:rsid w:val="0062033A"/>
    <w:rsid w:val="00620458"/>
    <w:rsid w:val="00620638"/>
    <w:rsid w:val="006206A1"/>
    <w:rsid w:val="006206D2"/>
    <w:rsid w:val="006209A9"/>
    <w:rsid w:val="006209E4"/>
    <w:rsid w:val="006209E9"/>
    <w:rsid w:val="00620B99"/>
    <w:rsid w:val="00620BA6"/>
    <w:rsid w:val="00620BAE"/>
    <w:rsid w:val="00620CFC"/>
    <w:rsid w:val="00620DCF"/>
    <w:rsid w:val="0062101E"/>
    <w:rsid w:val="006212AB"/>
    <w:rsid w:val="0062133F"/>
    <w:rsid w:val="0062136C"/>
    <w:rsid w:val="006213E3"/>
    <w:rsid w:val="006214D3"/>
    <w:rsid w:val="0062179D"/>
    <w:rsid w:val="0062192C"/>
    <w:rsid w:val="006219DA"/>
    <w:rsid w:val="00621A72"/>
    <w:rsid w:val="00621C64"/>
    <w:rsid w:val="00621D86"/>
    <w:rsid w:val="00621E60"/>
    <w:rsid w:val="00621EAD"/>
    <w:rsid w:val="00621EC5"/>
    <w:rsid w:val="00621FCF"/>
    <w:rsid w:val="00622012"/>
    <w:rsid w:val="0062204F"/>
    <w:rsid w:val="006220DE"/>
    <w:rsid w:val="006220E2"/>
    <w:rsid w:val="006221BE"/>
    <w:rsid w:val="00622262"/>
    <w:rsid w:val="006222E1"/>
    <w:rsid w:val="006222F2"/>
    <w:rsid w:val="006225D3"/>
    <w:rsid w:val="00622696"/>
    <w:rsid w:val="00622743"/>
    <w:rsid w:val="0062275E"/>
    <w:rsid w:val="006228C6"/>
    <w:rsid w:val="00622945"/>
    <w:rsid w:val="00622AC0"/>
    <w:rsid w:val="00622B8A"/>
    <w:rsid w:val="00622E3C"/>
    <w:rsid w:val="00623073"/>
    <w:rsid w:val="00623393"/>
    <w:rsid w:val="006233DA"/>
    <w:rsid w:val="00623472"/>
    <w:rsid w:val="006235A6"/>
    <w:rsid w:val="00623697"/>
    <w:rsid w:val="00623728"/>
    <w:rsid w:val="0062375F"/>
    <w:rsid w:val="00623769"/>
    <w:rsid w:val="00623775"/>
    <w:rsid w:val="0062378B"/>
    <w:rsid w:val="006237B4"/>
    <w:rsid w:val="006237D6"/>
    <w:rsid w:val="0062381D"/>
    <w:rsid w:val="00623883"/>
    <w:rsid w:val="006239A5"/>
    <w:rsid w:val="006239E3"/>
    <w:rsid w:val="00623A85"/>
    <w:rsid w:val="00623B8C"/>
    <w:rsid w:val="00623C94"/>
    <w:rsid w:val="00623CB4"/>
    <w:rsid w:val="00623DD2"/>
    <w:rsid w:val="0062405E"/>
    <w:rsid w:val="0062427F"/>
    <w:rsid w:val="00624310"/>
    <w:rsid w:val="00624499"/>
    <w:rsid w:val="006245D0"/>
    <w:rsid w:val="00624628"/>
    <w:rsid w:val="006247C6"/>
    <w:rsid w:val="006247CE"/>
    <w:rsid w:val="0062483A"/>
    <w:rsid w:val="00624885"/>
    <w:rsid w:val="00624921"/>
    <w:rsid w:val="00624B91"/>
    <w:rsid w:val="00624BF7"/>
    <w:rsid w:val="00624C78"/>
    <w:rsid w:val="00624D2F"/>
    <w:rsid w:val="00624D37"/>
    <w:rsid w:val="00624F2C"/>
    <w:rsid w:val="00624FB0"/>
    <w:rsid w:val="00625090"/>
    <w:rsid w:val="00625095"/>
    <w:rsid w:val="00625167"/>
    <w:rsid w:val="006254F7"/>
    <w:rsid w:val="0062550E"/>
    <w:rsid w:val="0062561A"/>
    <w:rsid w:val="00625675"/>
    <w:rsid w:val="006256D3"/>
    <w:rsid w:val="00625702"/>
    <w:rsid w:val="00625711"/>
    <w:rsid w:val="00625728"/>
    <w:rsid w:val="00625832"/>
    <w:rsid w:val="00625AF4"/>
    <w:rsid w:val="00625B25"/>
    <w:rsid w:val="00625CAA"/>
    <w:rsid w:val="00625DF1"/>
    <w:rsid w:val="00625E7F"/>
    <w:rsid w:val="00625F74"/>
    <w:rsid w:val="0062601F"/>
    <w:rsid w:val="0062618F"/>
    <w:rsid w:val="00626269"/>
    <w:rsid w:val="0062640B"/>
    <w:rsid w:val="0062667F"/>
    <w:rsid w:val="00626743"/>
    <w:rsid w:val="00626809"/>
    <w:rsid w:val="00626867"/>
    <w:rsid w:val="00626925"/>
    <w:rsid w:val="006269E4"/>
    <w:rsid w:val="00626ABC"/>
    <w:rsid w:val="00626BA2"/>
    <w:rsid w:val="00626C4A"/>
    <w:rsid w:val="00626C70"/>
    <w:rsid w:val="00626E31"/>
    <w:rsid w:val="00626E59"/>
    <w:rsid w:val="00626E67"/>
    <w:rsid w:val="00627026"/>
    <w:rsid w:val="006270EA"/>
    <w:rsid w:val="0062722F"/>
    <w:rsid w:val="0062738D"/>
    <w:rsid w:val="006276E0"/>
    <w:rsid w:val="0062787B"/>
    <w:rsid w:val="006278BD"/>
    <w:rsid w:val="006278D6"/>
    <w:rsid w:val="00627B06"/>
    <w:rsid w:val="00627BD8"/>
    <w:rsid w:val="00627CED"/>
    <w:rsid w:val="00627D59"/>
    <w:rsid w:val="00627EC4"/>
    <w:rsid w:val="00627F5E"/>
    <w:rsid w:val="00627FDC"/>
    <w:rsid w:val="006300C4"/>
    <w:rsid w:val="0063026C"/>
    <w:rsid w:val="0063035B"/>
    <w:rsid w:val="00630375"/>
    <w:rsid w:val="0063046A"/>
    <w:rsid w:val="00630520"/>
    <w:rsid w:val="006306E8"/>
    <w:rsid w:val="00630A20"/>
    <w:rsid w:val="00630A8E"/>
    <w:rsid w:val="00630A92"/>
    <w:rsid w:val="00630C12"/>
    <w:rsid w:val="00630C6E"/>
    <w:rsid w:val="00630C87"/>
    <w:rsid w:val="00630D46"/>
    <w:rsid w:val="00630E9F"/>
    <w:rsid w:val="00630EB2"/>
    <w:rsid w:val="00630ED4"/>
    <w:rsid w:val="00630EE3"/>
    <w:rsid w:val="00630F45"/>
    <w:rsid w:val="006310FF"/>
    <w:rsid w:val="00631150"/>
    <w:rsid w:val="00631266"/>
    <w:rsid w:val="006312B1"/>
    <w:rsid w:val="006312B2"/>
    <w:rsid w:val="0063138C"/>
    <w:rsid w:val="00631569"/>
    <w:rsid w:val="006315EB"/>
    <w:rsid w:val="0063181A"/>
    <w:rsid w:val="00631978"/>
    <w:rsid w:val="0063197A"/>
    <w:rsid w:val="006319A3"/>
    <w:rsid w:val="00631AC4"/>
    <w:rsid w:val="00631BE8"/>
    <w:rsid w:val="00631CFB"/>
    <w:rsid w:val="00631DFC"/>
    <w:rsid w:val="00631E72"/>
    <w:rsid w:val="0063201D"/>
    <w:rsid w:val="00632158"/>
    <w:rsid w:val="006321E4"/>
    <w:rsid w:val="0063254B"/>
    <w:rsid w:val="00632582"/>
    <w:rsid w:val="006327E5"/>
    <w:rsid w:val="006328DA"/>
    <w:rsid w:val="00632B41"/>
    <w:rsid w:val="00632BE0"/>
    <w:rsid w:val="00632CFF"/>
    <w:rsid w:val="00632D18"/>
    <w:rsid w:val="00632DB4"/>
    <w:rsid w:val="00632DBA"/>
    <w:rsid w:val="00632E78"/>
    <w:rsid w:val="00632EAA"/>
    <w:rsid w:val="00632EDE"/>
    <w:rsid w:val="00632F3F"/>
    <w:rsid w:val="00632F47"/>
    <w:rsid w:val="006330D6"/>
    <w:rsid w:val="00633196"/>
    <w:rsid w:val="006333A4"/>
    <w:rsid w:val="006333DD"/>
    <w:rsid w:val="00633577"/>
    <w:rsid w:val="0063364B"/>
    <w:rsid w:val="00633691"/>
    <w:rsid w:val="006336BB"/>
    <w:rsid w:val="006337C3"/>
    <w:rsid w:val="00633800"/>
    <w:rsid w:val="0063393F"/>
    <w:rsid w:val="0063394D"/>
    <w:rsid w:val="00633A70"/>
    <w:rsid w:val="00633AEC"/>
    <w:rsid w:val="00633B70"/>
    <w:rsid w:val="00633C94"/>
    <w:rsid w:val="00633D02"/>
    <w:rsid w:val="00633D8D"/>
    <w:rsid w:val="006340EA"/>
    <w:rsid w:val="0063412A"/>
    <w:rsid w:val="0063427B"/>
    <w:rsid w:val="0063450F"/>
    <w:rsid w:val="006345F4"/>
    <w:rsid w:val="00634677"/>
    <w:rsid w:val="0063474B"/>
    <w:rsid w:val="0063474C"/>
    <w:rsid w:val="00634856"/>
    <w:rsid w:val="00634993"/>
    <w:rsid w:val="00634C0B"/>
    <w:rsid w:val="00634D78"/>
    <w:rsid w:val="00634E0C"/>
    <w:rsid w:val="00634E9C"/>
    <w:rsid w:val="00634F30"/>
    <w:rsid w:val="00634F88"/>
    <w:rsid w:val="0063510E"/>
    <w:rsid w:val="006351F0"/>
    <w:rsid w:val="0063534F"/>
    <w:rsid w:val="00635350"/>
    <w:rsid w:val="00635404"/>
    <w:rsid w:val="00635477"/>
    <w:rsid w:val="0063552F"/>
    <w:rsid w:val="0063568F"/>
    <w:rsid w:val="00635699"/>
    <w:rsid w:val="0063584F"/>
    <w:rsid w:val="0063585A"/>
    <w:rsid w:val="0063586D"/>
    <w:rsid w:val="006359E0"/>
    <w:rsid w:val="00635BC5"/>
    <w:rsid w:val="00635CF3"/>
    <w:rsid w:val="00635D4D"/>
    <w:rsid w:val="00635D54"/>
    <w:rsid w:val="00635D59"/>
    <w:rsid w:val="00635DEC"/>
    <w:rsid w:val="00635E19"/>
    <w:rsid w:val="00635F42"/>
    <w:rsid w:val="00635F8C"/>
    <w:rsid w:val="0063608C"/>
    <w:rsid w:val="0063635D"/>
    <w:rsid w:val="006367D8"/>
    <w:rsid w:val="0063686A"/>
    <w:rsid w:val="006368FD"/>
    <w:rsid w:val="0063694E"/>
    <w:rsid w:val="00636953"/>
    <w:rsid w:val="006369CD"/>
    <w:rsid w:val="00636A06"/>
    <w:rsid w:val="00636BCA"/>
    <w:rsid w:val="00636DD9"/>
    <w:rsid w:val="00636E49"/>
    <w:rsid w:val="00636E4E"/>
    <w:rsid w:val="006370D0"/>
    <w:rsid w:val="00637294"/>
    <w:rsid w:val="00637312"/>
    <w:rsid w:val="0063753C"/>
    <w:rsid w:val="006375DA"/>
    <w:rsid w:val="0063799B"/>
    <w:rsid w:val="00637BAD"/>
    <w:rsid w:val="00637D2C"/>
    <w:rsid w:val="00637EE5"/>
    <w:rsid w:val="00637F13"/>
    <w:rsid w:val="00637FB5"/>
    <w:rsid w:val="006400EF"/>
    <w:rsid w:val="006401DD"/>
    <w:rsid w:val="006402F0"/>
    <w:rsid w:val="006403E4"/>
    <w:rsid w:val="0064040F"/>
    <w:rsid w:val="0064045F"/>
    <w:rsid w:val="00640491"/>
    <w:rsid w:val="006404C9"/>
    <w:rsid w:val="006406B9"/>
    <w:rsid w:val="006407B3"/>
    <w:rsid w:val="006407D5"/>
    <w:rsid w:val="006408C2"/>
    <w:rsid w:val="00640BAA"/>
    <w:rsid w:val="00640C69"/>
    <w:rsid w:val="00640DB5"/>
    <w:rsid w:val="00640DFA"/>
    <w:rsid w:val="00640E17"/>
    <w:rsid w:val="00640E47"/>
    <w:rsid w:val="00640EEE"/>
    <w:rsid w:val="0064101A"/>
    <w:rsid w:val="006410C0"/>
    <w:rsid w:val="006412EF"/>
    <w:rsid w:val="006412F3"/>
    <w:rsid w:val="00641330"/>
    <w:rsid w:val="006413FA"/>
    <w:rsid w:val="00641422"/>
    <w:rsid w:val="006415D2"/>
    <w:rsid w:val="006415E6"/>
    <w:rsid w:val="00641670"/>
    <w:rsid w:val="006417CF"/>
    <w:rsid w:val="0064194A"/>
    <w:rsid w:val="0064199C"/>
    <w:rsid w:val="006419AA"/>
    <w:rsid w:val="00641A5D"/>
    <w:rsid w:val="00641B7F"/>
    <w:rsid w:val="00641B9D"/>
    <w:rsid w:val="00641BA6"/>
    <w:rsid w:val="00641BB0"/>
    <w:rsid w:val="00641BB7"/>
    <w:rsid w:val="00641CF7"/>
    <w:rsid w:val="00641D07"/>
    <w:rsid w:val="00641EE5"/>
    <w:rsid w:val="00641F88"/>
    <w:rsid w:val="00641FD7"/>
    <w:rsid w:val="00641FDD"/>
    <w:rsid w:val="00642062"/>
    <w:rsid w:val="006420CE"/>
    <w:rsid w:val="00642144"/>
    <w:rsid w:val="00642232"/>
    <w:rsid w:val="0064234A"/>
    <w:rsid w:val="00642385"/>
    <w:rsid w:val="00642457"/>
    <w:rsid w:val="006424D6"/>
    <w:rsid w:val="00642987"/>
    <w:rsid w:val="00642B80"/>
    <w:rsid w:val="00642C5A"/>
    <w:rsid w:val="00642CFE"/>
    <w:rsid w:val="00642D58"/>
    <w:rsid w:val="00642D70"/>
    <w:rsid w:val="00642E71"/>
    <w:rsid w:val="0064302B"/>
    <w:rsid w:val="00643081"/>
    <w:rsid w:val="00643143"/>
    <w:rsid w:val="00643161"/>
    <w:rsid w:val="0064330B"/>
    <w:rsid w:val="00643346"/>
    <w:rsid w:val="0064366C"/>
    <w:rsid w:val="006436D7"/>
    <w:rsid w:val="00643857"/>
    <w:rsid w:val="00643962"/>
    <w:rsid w:val="00643978"/>
    <w:rsid w:val="00643A8D"/>
    <w:rsid w:val="00643AEF"/>
    <w:rsid w:val="00643CAE"/>
    <w:rsid w:val="00643D0D"/>
    <w:rsid w:val="00643E03"/>
    <w:rsid w:val="00643F35"/>
    <w:rsid w:val="00643F3C"/>
    <w:rsid w:val="00643F57"/>
    <w:rsid w:val="00643F8B"/>
    <w:rsid w:val="00644077"/>
    <w:rsid w:val="006440D7"/>
    <w:rsid w:val="0064410E"/>
    <w:rsid w:val="00644123"/>
    <w:rsid w:val="006442EC"/>
    <w:rsid w:val="0064443B"/>
    <w:rsid w:val="0064445D"/>
    <w:rsid w:val="006445F8"/>
    <w:rsid w:val="00644604"/>
    <w:rsid w:val="006449B6"/>
    <w:rsid w:val="00644AD3"/>
    <w:rsid w:val="00644CA5"/>
    <w:rsid w:val="00644DAC"/>
    <w:rsid w:val="00644DB5"/>
    <w:rsid w:val="006450CE"/>
    <w:rsid w:val="006450EE"/>
    <w:rsid w:val="006451EB"/>
    <w:rsid w:val="006452C0"/>
    <w:rsid w:val="006452F0"/>
    <w:rsid w:val="006454FB"/>
    <w:rsid w:val="0064559D"/>
    <w:rsid w:val="00645717"/>
    <w:rsid w:val="00645754"/>
    <w:rsid w:val="006457C4"/>
    <w:rsid w:val="00645830"/>
    <w:rsid w:val="006458DF"/>
    <w:rsid w:val="0064590C"/>
    <w:rsid w:val="0064599A"/>
    <w:rsid w:val="00645A35"/>
    <w:rsid w:val="00645A96"/>
    <w:rsid w:val="00645B82"/>
    <w:rsid w:val="00645C40"/>
    <w:rsid w:val="00645C89"/>
    <w:rsid w:val="00645E4F"/>
    <w:rsid w:val="00645EE9"/>
    <w:rsid w:val="0064601D"/>
    <w:rsid w:val="00646065"/>
    <w:rsid w:val="00646197"/>
    <w:rsid w:val="006464E3"/>
    <w:rsid w:val="006464F5"/>
    <w:rsid w:val="006465EC"/>
    <w:rsid w:val="0064662D"/>
    <w:rsid w:val="006467B0"/>
    <w:rsid w:val="006467C6"/>
    <w:rsid w:val="00646862"/>
    <w:rsid w:val="00646BA5"/>
    <w:rsid w:val="00646C38"/>
    <w:rsid w:val="00646DAD"/>
    <w:rsid w:val="00646E03"/>
    <w:rsid w:val="00646E99"/>
    <w:rsid w:val="00646F44"/>
    <w:rsid w:val="0064703D"/>
    <w:rsid w:val="0064706E"/>
    <w:rsid w:val="0064713E"/>
    <w:rsid w:val="006472B1"/>
    <w:rsid w:val="006472EA"/>
    <w:rsid w:val="00647605"/>
    <w:rsid w:val="006476F1"/>
    <w:rsid w:val="00647A03"/>
    <w:rsid w:val="00647A8F"/>
    <w:rsid w:val="00647AC3"/>
    <w:rsid w:val="00647C14"/>
    <w:rsid w:val="00647C8D"/>
    <w:rsid w:val="00647C94"/>
    <w:rsid w:val="00647D05"/>
    <w:rsid w:val="00647D81"/>
    <w:rsid w:val="00647F66"/>
    <w:rsid w:val="00650029"/>
    <w:rsid w:val="00650106"/>
    <w:rsid w:val="006501F1"/>
    <w:rsid w:val="0065020F"/>
    <w:rsid w:val="00650240"/>
    <w:rsid w:val="00650241"/>
    <w:rsid w:val="00650586"/>
    <w:rsid w:val="006508BB"/>
    <w:rsid w:val="006508D0"/>
    <w:rsid w:val="006509BA"/>
    <w:rsid w:val="00650B96"/>
    <w:rsid w:val="00650C1A"/>
    <w:rsid w:val="00650CA7"/>
    <w:rsid w:val="00650D5A"/>
    <w:rsid w:val="00650E0D"/>
    <w:rsid w:val="00650FBA"/>
    <w:rsid w:val="0065128B"/>
    <w:rsid w:val="006512D8"/>
    <w:rsid w:val="00651636"/>
    <w:rsid w:val="0065170A"/>
    <w:rsid w:val="0065190B"/>
    <w:rsid w:val="00651941"/>
    <w:rsid w:val="0065196B"/>
    <w:rsid w:val="006519D2"/>
    <w:rsid w:val="00651BA6"/>
    <w:rsid w:val="00651BB3"/>
    <w:rsid w:val="00651CAF"/>
    <w:rsid w:val="00651CFE"/>
    <w:rsid w:val="00651E58"/>
    <w:rsid w:val="00651EF1"/>
    <w:rsid w:val="00651F55"/>
    <w:rsid w:val="00651FA0"/>
    <w:rsid w:val="00652056"/>
    <w:rsid w:val="00652145"/>
    <w:rsid w:val="006521A1"/>
    <w:rsid w:val="006524C9"/>
    <w:rsid w:val="006524FE"/>
    <w:rsid w:val="00652553"/>
    <w:rsid w:val="006525B2"/>
    <w:rsid w:val="00652602"/>
    <w:rsid w:val="00652611"/>
    <w:rsid w:val="00652636"/>
    <w:rsid w:val="0065279E"/>
    <w:rsid w:val="0065286C"/>
    <w:rsid w:val="006528AB"/>
    <w:rsid w:val="0065295D"/>
    <w:rsid w:val="006529EB"/>
    <w:rsid w:val="00652A14"/>
    <w:rsid w:val="00652C90"/>
    <w:rsid w:val="00652DE5"/>
    <w:rsid w:val="00652EE5"/>
    <w:rsid w:val="00652F9D"/>
    <w:rsid w:val="0065308F"/>
    <w:rsid w:val="0065321D"/>
    <w:rsid w:val="0065329B"/>
    <w:rsid w:val="006532A9"/>
    <w:rsid w:val="006533BF"/>
    <w:rsid w:val="00653408"/>
    <w:rsid w:val="0065347F"/>
    <w:rsid w:val="0065369A"/>
    <w:rsid w:val="006538FF"/>
    <w:rsid w:val="0065395B"/>
    <w:rsid w:val="0065396A"/>
    <w:rsid w:val="006539A8"/>
    <w:rsid w:val="00653A06"/>
    <w:rsid w:val="00653A3E"/>
    <w:rsid w:val="00653AA3"/>
    <w:rsid w:val="00653CA1"/>
    <w:rsid w:val="00653DC3"/>
    <w:rsid w:val="00653E56"/>
    <w:rsid w:val="00653E67"/>
    <w:rsid w:val="00653E71"/>
    <w:rsid w:val="00653F58"/>
    <w:rsid w:val="00653F87"/>
    <w:rsid w:val="00653F8E"/>
    <w:rsid w:val="00653FB7"/>
    <w:rsid w:val="006541A0"/>
    <w:rsid w:val="006541DC"/>
    <w:rsid w:val="0065435F"/>
    <w:rsid w:val="006544F0"/>
    <w:rsid w:val="00654574"/>
    <w:rsid w:val="00654742"/>
    <w:rsid w:val="006548D7"/>
    <w:rsid w:val="006548DE"/>
    <w:rsid w:val="006549EF"/>
    <w:rsid w:val="00654BD1"/>
    <w:rsid w:val="00654DF9"/>
    <w:rsid w:val="00654E38"/>
    <w:rsid w:val="00654EF0"/>
    <w:rsid w:val="00654F71"/>
    <w:rsid w:val="00654F78"/>
    <w:rsid w:val="00654F98"/>
    <w:rsid w:val="00655039"/>
    <w:rsid w:val="006550EE"/>
    <w:rsid w:val="006552E2"/>
    <w:rsid w:val="00655372"/>
    <w:rsid w:val="006553B8"/>
    <w:rsid w:val="00655483"/>
    <w:rsid w:val="006555A3"/>
    <w:rsid w:val="00655612"/>
    <w:rsid w:val="0065562F"/>
    <w:rsid w:val="006556E5"/>
    <w:rsid w:val="006557BF"/>
    <w:rsid w:val="00655875"/>
    <w:rsid w:val="00655939"/>
    <w:rsid w:val="00655A0E"/>
    <w:rsid w:val="00655B6F"/>
    <w:rsid w:val="00655BEC"/>
    <w:rsid w:val="00655F8E"/>
    <w:rsid w:val="00656002"/>
    <w:rsid w:val="00656186"/>
    <w:rsid w:val="0065619A"/>
    <w:rsid w:val="00656306"/>
    <w:rsid w:val="00656457"/>
    <w:rsid w:val="00656614"/>
    <w:rsid w:val="0065671A"/>
    <w:rsid w:val="00656905"/>
    <w:rsid w:val="006569CC"/>
    <w:rsid w:val="00656B10"/>
    <w:rsid w:val="00656BC6"/>
    <w:rsid w:val="00656C02"/>
    <w:rsid w:val="00656C71"/>
    <w:rsid w:val="00656CAA"/>
    <w:rsid w:val="00656DD1"/>
    <w:rsid w:val="00656E60"/>
    <w:rsid w:val="00656EF8"/>
    <w:rsid w:val="006570B6"/>
    <w:rsid w:val="0065731F"/>
    <w:rsid w:val="006573D9"/>
    <w:rsid w:val="006574E8"/>
    <w:rsid w:val="00657518"/>
    <w:rsid w:val="006575F3"/>
    <w:rsid w:val="006576BB"/>
    <w:rsid w:val="00657884"/>
    <w:rsid w:val="00657B4A"/>
    <w:rsid w:val="00657CAF"/>
    <w:rsid w:val="00657D87"/>
    <w:rsid w:val="00657E7D"/>
    <w:rsid w:val="00660023"/>
    <w:rsid w:val="00660133"/>
    <w:rsid w:val="006601F7"/>
    <w:rsid w:val="00660404"/>
    <w:rsid w:val="006605F0"/>
    <w:rsid w:val="00660601"/>
    <w:rsid w:val="0066083B"/>
    <w:rsid w:val="00660879"/>
    <w:rsid w:val="006608D4"/>
    <w:rsid w:val="00660924"/>
    <w:rsid w:val="00660940"/>
    <w:rsid w:val="0066098D"/>
    <w:rsid w:val="00660A17"/>
    <w:rsid w:val="00660A48"/>
    <w:rsid w:val="00660C62"/>
    <w:rsid w:val="00661022"/>
    <w:rsid w:val="006610C0"/>
    <w:rsid w:val="006611BF"/>
    <w:rsid w:val="006611F4"/>
    <w:rsid w:val="00661208"/>
    <w:rsid w:val="006612B6"/>
    <w:rsid w:val="00661313"/>
    <w:rsid w:val="00661342"/>
    <w:rsid w:val="00661351"/>
    <w:rsid w:val="00661421"/>
    <w:rsid w:val="0066148A"/>
    <w:rsid w:val="006616F9"/>
    <w:rsid w:val="0066178C"/>
    <w:rsid w:val="00661A07"/>
    <w:rsid w:val="00661A93"/>
    <w:rsid w:val="00661D02"/>
    <w:rsid w:val="00661E95"/>
    <w:rsid w:val="0066215B"/>
    <w:rsid w:val="00662167"/>
    <w:rsid w:val="006621DD"/>
    <w:rsid w:val="0066245B"/>
    <w:rsid w:val="00662526"/>
    <w:rsid w:val="006625E3"/>
    <w:rsid w:val="006625FB"/>
    <w:rsid w:val="00662647"/>
    <w:rsid w:val="00662767"/>
    <w:rsid w:val="00662968"/>
    <w:rsid w:val="00662BF4"/>
    <w:rsid w:val="00662E5B"/>
    <w:rsid w:val="00662ECA"/>
    <w:rsid w:val="00662FF1"/>
    <w:rsid w:val="0066318D"/>
    <w:rsid w:val="00663457"/>
    <w:rsid w:val="00663463"/>
    <w:rsid w:val="0066350F"/>
    <w:rsid w:val="00663593"/>
    <w:rsid w:val="006635BB"/>
    <w:rsid w:val="006635DE"/>
    <w:rsid w:val="006639F8"/>
    <w:rsid w:val="00663B06"/>
    <w:rsid w:val="00663B8E"/>
    <w:rsid w:val="00663C3D"/>
    <w:rsid w:val="00663D3F"/>
    <w:rsid w:val="0066418A"/>
    <w:rsid w:val="006641E9"/>
    <w:rsid w:val="006641ED"/>
    <w:rsid w:val="006641F9"/>
    <w:rsid w:val="00664263"/>
    <w:rsid w:val="00664733"/>
    <w:rsid w:val="006647CA"/>
    <w:rsid w:val="006647DB"/>
    <w:rsid w:val="006648F8"/>
    <w:rsid w:val="0066494C"/>
    <w:rsid w:val="00664BD9"/>
    <w:rsid w:val="00664C3D"/>
    <w:rsid w:val="00664C95"/>
    <w:rsid w:val="00664E33"/>
    <w:rsid w:val="00664E7F"/>
    <w:rsid w:val="00664F50"/>
    <w:rsid w:val="00664FFB"/>
    <w:rsid w:val="00665189"/>
    <w:rsid w:val="00665301"/>
    <w:rsid w:val="006653AD"/>
    <w:rsid w:val="006655FE"/>
    <w:rsid w:val="00665715"/>
    <w:rsid w:val="00665783"/>
    <w:rsid w:val="0066586C"/>
    <w:rsid w:val="00665953"/>
    <w:rsid w:val="00665AA5"/>
    <w:rsid w:val="00665ACD"/>
    <w:rsid w:val="00665C1C"/>
    <w:rsid w:val="00665CAC"/>
    <w:rsid w:val="00665DBA"/>
    <w:rsid w:val="00665F35"/>
    <w:rsid w:val="00666023"/>
    <w:rsid w:val="00666194"/>
    <w:rsid w:val="00666230"/>
    <w:rsid w:val="00666459"/>
    <w:rsid w:val="006664C2"/>
    <w:rsid w:val="006665F6"/>
    <w:rsid w:val="006666B8"/>
    <w:rsid w:val="006666E9"/>
    <w:rsid w:val="006666F4"/>
    <w:rsid w:val="00666719"/>
    <w:rsid w:val="006667C7"/>
    <w:rsid w:val="006668B7"/>
    <w:rsid w:val="00666937"/>
    <w:rsid w:val="00666982"/>
    <w:rsid w:val="006669AE"/>
    <w:rsid w:val="006669E9"/>
    <w:rsid w:val="00666B81"/>
    <w:rsid w:val="00666C21"/>
    <w:rsid w:val="00666C70"/>
    <w:rsid w:val="00666CED"/>
    <w:rsid w:val="00666D59"/>
    <w:rsid w:val="00666DAE"/>
    <w:rsid w:val="00666E0A"/>
    <w:rsid w:val="00666FC9"/>
    <w:rsid w:val="00667016"/>
    <w:rsid w:val="00667188"/>
    <w:rsid w:val="006671D9"/>
    <w:rsid w:val="00667595"/>
    <w:rsid w:val="00667651"/>
    <w:rsid w:val="00667684"/>
    <w:rsid w:val="006677C3"/>
    <w:rsid w:val="00667AB4"/>
    <w:rsid w:val="00667CB2"/>
    <w:rsid w:val="00667E47"/>
    <w:rsid w:val="00667F47"/>
    <w:rsid w:val="00670115"/>
    <w:rsid w:val="00670424"/>
    <w:rsid w:val="00670594"/>
    <w:rsid w:val="006705CE"/>
    <w:rsid w:val="006706C0"/>
    <w:rsid w:val="00670AB5"/>
    <w:rsid w:val="00670B8F"/>
    <w:rsid w:val="00670D74"/>
    <w:rsid w:val="00670EBB"/>
    <w:rsid w:val="00670EBE"/>
    <w:rsid w:val="00670FDA"/>
    <w:rsid w:val="00671003"/>
    <w:rsid w:val="0067106F"/>
    <w:rsid w:val="00671126"/>
    <w:rsid w:val="0067118B"/>
    <w:rsid w:val="00671219"/>
    <w:rsid w:val="006712B1"/>
    <w:rsid w:val="0067139E"/>
    <w:rsid w:val="00671455"/>
    <w:rsid w:val="006718D1"/>
    <w:rsid w:val="00671A07"/>
    <w:rsid w:val="00671A91"/>
    <w:rsid w:val="00671AB8"/>
    <w:rsid w:val="00671C1E"/>
    <w:rsid w:val="00671CD5"/>
    <w:rsid w:val="00671E57"/>
    <w:rsid w:val="00671EB6"/>
    <w:rsid w:val="00671F39"/>
    <w:rsid w:val="0067201E"/>
    <w:rsid w:val="00672108"/>
    <w:rsid w:val="0067246E"/>
    <w:rsid w:val="0067257D"/>
    <w:rsid w:val="006725D9"/>
    <w:rsid w:val="0067276D"/>
    <w:rsid w:val="006727CE"/>
    <w:rsid w:val="00672865"/>
    <w:rsid w:val="00672891"/>
    <w:rsid w:val="006729D0"/>
    <w:rsid w:val="00672A5F"/>
    <w:rsid w:val="00672C9E"/>
    <w:rsid w:val="00672DA0"/>
    <w:rsid w:val="00672F4F"/>
    <w:rsid w:val="00672F8D"/>
    <w:rsid w:val="00672FE6"/>
    <w:rsid w:val="00673166"/>
    <w:rsid w:val="006731B7"/>
    <w:rsid w:val="0067321D"/>
    <w:rsid w:val="006732A1"/>
    <w:rsid w:val="00673399"/>
    <w:rsid w:val="006733F6"/>
    <w:rsid w:val="006733FA"/>
    <w:rsid w:val="0067346F"/>
    <w:rsid w:val="00673559"/>
    <w:rsid w:val="006737B3"/>
    <w:rsid w:val="006737C2"/>
    <w:rsid w:val="006738B6"/>
    <w:rsid w:val="00673B8A"/>
    <w:rsid w:val="00673C1F"/>
    <w:rsid w:val="00673C7D"/>
    <w:rsid w:val="00673CEF"/>
    <w:rsid w:val="00673D18"/>
    <w:rsid w:val="00673D82"/>
    <w:rsid w:val="00673D92"/>
    <w:rsid w:val="00673E2B"/>
    <w:rsid w:val="00674078"/>
    <w:rsid w:val="0067410B"/>
    <w:rsid w:val="00674426"/>
    <w:rsid w:val="00674467"/>
    <w:rsid w:val="00674519"/>
    <w:rsid w:val="00674823"/>
    <w:rsid w:val="0067493E"/>
    <w:rsid w:val="0067494A"/>
    <w:rsid w:val="00674BB9"/>
    <w:rsid w:val="00674C41"/>
    <w:rsid w:val="00674CD2"/>
    <w:rsid w:val="00674D1F"/>
    <w:rsid w:val="00674D64"/>
    <w:rsid w:val="00674DBE"/>
    <w:rsid w:val="00674DCC"/>
    <w:rsid w:val="00674E2C"/>
    <w:rsid w:val="00674E3D"/>
    <w:rsid w:val="00674F36"/>
    <w:rsid w:val="00674FDC"/>
    <w:rsid w:val="00675033"/>
    <w:rsid w:val="0067509F"/>
    <w:rsid w:val="006752AC"/>
    <w:rsid w:val="00675416"/>
    <w:rsid w:val="00675512"/>
    <w:rsid w:val="00675617"/>
    <w:rsid w:val="00675654"/>
    <w:rsid w:val="0067575F"/>
    <w:rsid w:val="0067590C"/>
    <w:rsid w:val="0067591E"/>
    <w:rsid w:val="0067596D"/>
    <w:rsid w:val="006759D4"/>
    <w:rsid w:val="006759DF"/>
    <w:rsid w:val="00675A65"/>
    <w:rsid w:val="00675BD6"/>
    <w:rsid w:val="00675C85"/>
    <w:rsid w:val="00675C99"/>
    <w:rsid w:val="00675E33"/>
    <w:rsid w:val="00675FAB"/>
    <w:rsid w:val="0067601C"/>
    <w:rsid w:val="006760F7"/>
    <w:rsid w:val="00676595"/>
    <w:rsid w:val="00676814"/>
    <w:rsid w:val="0067698E"/>
    <w:rsid w:val="006769F7"/>
    <w:rsid w:val="00676A3B"/>
    <w:rsid w:val="00676A9B"/>
    <w:rsid w:val="00676B8E"/>
    <w:rsid w:val="00676BED"/>
    <w:rsid w:val="00676E20"/>
    <w:rsid w:val="00676F07"/>
    <w:rsid w:val="00676FB0"/>
    <w:rsid w:val="00676FF9"/>
    <w:rsid w:val="006770C8"/>
    <w:rsid w:val="006770F1"/>
    <w:rsid w:val="00677124"/>
    <w:rsid w:val="006771F3"/>
    <w:rsid w:val="00677345"/>
    <w:rsid w:val="00677385"/>
    <w:rsid w:val="00677464"/>
    <w:rsid w:val="00677531"/>
    <w:rsid w:val="0067758F"/>
    <w:rsid w:val="00677632"/>
    <w:rsid w:val="00677637"/>
    <w:rsid w:val="0067768D"/>
    <w:rsid w:val="006776B7"/>
    <w:rsid w:val="006776C4"/>
    <w:rsid w:val="006778AA"/>
    <w:rsid w:val="006779E3"/>
    <w:rsid w:val="00677A1A"/>
    <w:rsid w:val="00677A78"/>
    <w:rsid w:val="00677BF7"/>
    <w:rsid w:val="00677D1E"/>
    <w:rsid w:val="00677D94"/>
    <w:rsid w:val="00677DE6"/>
    <w:rsid w:val="00677E19"/>
    <w:rsid w:val="00677E89"/>
    <w:rsid w:val="00677E8A"/>
    <w:rsid w:val="00677FBC"/>
    <w:rsid w:val="0068000D"/>
    <w:rsid w:val="00680045"/>
    <w:rsid w:val="00680158"/>
    <w:rsid w:val="00680161"/>
    <w:rsid w:val="006801E4"/>
    <w:rsid w:val="0068032D"/>
    <w:rsid w:val="006805E1"/>
    <w:rsid w:val="006806BD"/>
    <w:rsid w:val="006808A2"/>
    <w:rsid w:val="00680924"/>
    <w:rsid w:val="00680CD9"/>
    <w:rsid w:val="00680CEB"/>
    <w:rsid w:val="00680ED6"/>
    <w:rsid w:val="00680F6B"/>
    <w:rsid w:val="006810D2"/>
    <w:rsid w:val="0068117B"/>
    <w:rsid w:val="00681259"/>
    <w:rsid w:val="0068125B"/>
    <w:rsid w:val="0068139B"/>
    <w:rsid w:val="006813D6"/>
    <w:rsid w:val="0068158E"/>
    <w:rsid w:val="006816C8"/>
    <w:rsid w:val="0068184E"/>
    <w:rsid w:val="0068190B"/>
    <w:rsid w:val="00681B0F"/>
    <w:rsid w:val="00681D46"/>
    <w:rsid w:val="00681D5D"/>
    <w:rsid w:val="00681D8E"/>
    <w:rsid w:val="00681E50"/>
    <w:rsid w:val="00681EBE"/>
    <w:rsid w:val="00681EC8"/>
    <w:rsid w:val="00681ECF"/>
    <w:rsid w:val="00681FDA"/>
    <w:rsid w:val="00682033"/>
    <w:rsid w:val="0068203A"/>
    <w:rsid w:val="0068219D"/>
    <w:rsid w:val="006823F1"/>
    <w:rsid w:val="0068255E"/>
    <w:rsid w:val="006825A9"/>
    <w:rsid w:val="006826EF"/>
    <w:rsid w:val="00682760"/>
    <w:rsid w:val="00682865"/>
    <w:rsid w:val="00682917"/>
    <w:rsid w:val="00682961"/>
    <w:rsid w:val="006829E4"/>
    <w:rsid w:val="00682A5F"/>
    <w:rsid w:val="00682C39"/>
    <w:rsid w:val="00682C55"/>
    <w:rsid w:val="00682D37"/>
    <w:rsid w:val="00682D54"/>
    <w:rsid w:val="00682FCE"/>
    <w:rsid w:val="00683094"/>
    <w:rsid w:val="0068316E"/>
    <w:rsid w:val="00683263"/>
    <w:rsid w:val="0068334B"/>
    <w:rsid w:val="00683646"/>
    <w:rsid w:val="00683703"/>
    <w:rsid w:val="00683771"/>
    <w:rsid w:val="00683803"/>
    <w:rsid w:val="006838D0"/>
    <w:rsid w:val="00683972"/>
    <w:rsid w:val="006839A1"/>
    <w:rsid w:val="00683A10"/>
    <w:rsid w:val="00683A1B"/>
    <w:rsid w:val="00683AD2"/>
    <w:rsid w:val="00683C99"/>
    <w:rsid w:val="00683CCB"/>
    <w:rsid w:val="0068412E"/>
    <w:rsid w:val="00684197"/>
    <w:rsid w:val="006841B5"/>
    <w:rsid w:val="006841C6"/>
    <w:rsid w:val="006841DB"/>
    <w:rsid w:val="0068435B"/>
    <w:rsid w:val="00684384"/>
    <w:rsid w:val="0068450C"/>
    <w:rsid w:val="0068450D"/>
    <w:rsid w:val="006845D1"/>
    <w:rsid w:val="0068460B"/>
    <w:rsid w:val="006846A6"/>
    <w:rsid w:val="0068470E"/>
    <w:rsid w:val="00684721"/>
    <w:rsid w:val="00684920"/>
    <w:rsid w:val="006849E8"/>
    <w:rsid w:val="00684A65"/>
    <w:rsid w:val="00684D42"/>
    <w:rsid w:val="00685063"/>
    <w:rsid w:val="00685078"/>
    <w:rsid w:val="0068509B"/>
    <w:rsid w:val="006851DE"/>
    <w:rsid w:val="006851FF"/>
    <w:rsid w:val="006852AB"/>
    <w:rsid w:val="006852C9"/>
    <w:rsid w:val="006852D5"/>
    <w:rsid w:val="00685327"/>
    <w:rsid w:val="006853AD"/>
    <w:rsid w:val="006853C3"/>
    <w:rsid w:val="006856A1"/>
    <w:rsid w:val="006856B2"/>
    <w:rsid w:val="0068571B"/>
    <w:rsid w:val="006858A9"/>
    <w:rsid w:val="006859EE"/>
    <w:rsid w:val="00685A81"/>
    <w:rsid w:val="00685D79"/>
    <w:rsid w:val="00685E13"/>
    <w:rsid w:val="006860BE"/>
    <w:rsid w:val="006861F0"/>
    <w:rsid w:val="0068624C"/>
    <w:rsid w:val="00686302"/>
    <w:rsid w:val="00686390"/>
    <w:rsid w:val="00686398"/>
    <w:rsid w:val="006863FD"/>
    <w:rsid w:val="0068641D"/>
    <w:rsid w:val="006865BC"/>
    <w:rsid w:val="006865D2"/>
    <w:rsid w:val="0068660F"/>
    <w:rsid w:val="00686678"/>
    <w:rsid w:val="006866B5"/>
    <w:rsid w:val="00686925"/>
    <w:rsid w:val="00686A57"/>
    <w:rsid w:val="00686B98"/>
    <w:rsid w:val="00686BED"/>
    <w:rsid w:val="00686C76"/>
    <w:rsid w:val="00686D08"/>
    <w:rsid w:val="00686D4F"/>
    <w:rsid w:val="00686DBD"/>
    <w:rsid w:val="00687035"/>
    <w:rsid w:val="006870DF"/>
    <w:rsid w:val="006871D8"/>
    <w:rsid w:val="00687302"/>
    <w:rsid w:val="006873A4"/>
    <w:rsid w:val="00687798"/>
    <w:rsid w:val="0068788D"/>
    <w:rsid w:val="006878D3"/>
    <w:rsid w:val="006879FB"/>
    <w:rsid w:val="00687ABB"/>
    <w:rsid w:val="00687CC5"/>
    <w:rsid w:val="00687EB3"/>
    <w:rsid w:val="0069016B"/>
    <w:rsid w:val="006902B2"/>
    <w:rsid w:val="00690339"/>
    <w:rsid w:val="006904EA"/>
    <w:rsid w:val="00690661"/>
    <w:rsid w:val="006909AF"/>
    <w:rsid w:val="00690A70"/>
    <w:rsid w:val="00690CE1"/>
    <w:rsid w:val="00690D4E"/>
    <w:rsid w:val="00690DC4"/>
    <w:rsid w:val="006910E9"/>
    <w:rsid w:val="00691166"/>
    <w:rsid w:val="006914CA"/>
    <w:rsid w:val="00691517"/>
    <w:rsid w:val="00691531"/>
    <w:rsid w:val="006915EF"/>
    <w:rsid w:val="00691673"/>
    <w:rsid w:val="0069173F"/>
    <w:rsid w:val="0069179A"/>
    <w:rsid w:val="0069181A"/>
    <w:rsid w:val="0069193C"/>
    <w:rsid w:val="006919EE"/>
    <w:rsid w:val="00691A19"/>
    <w:rsid w:val="00691B05"/>
    <w:rsid w:val="00691B18"/>
    <w:rsid w:val="00691C6D"/>
    <w:rsid w:val="00691CFB"/>
    <w:rsid w:val="00691E89"/>
    <w:rsid w:val="00691F17"/>
    <w:rsid w:val="00692059"/>
    <w:rsid w:val="006920B1"/>
    <w:rsid w:val="0069218A"/>
    <w:rsid w:val="006921FA"/>
    <w:rsid w:val="00692269"/>
    <w:rsid w:val="00692372"/>
    <w:rsid w:val="00692567"/>
    <w:rsid w:val="0069277A"/>
    <w:rsid w:val="006929C4"/>
    <w:rsid w:val="006929EF"/>
    <w:rsid w:val="00692AE9"/>
    <w:rsid w:val="00692AFB"/>
    <w:rsid w:val="00692CD2"/>
    <w:rsid w:val="00692CDF"/>
    <w:rsid w:val="00692D48"/>
    <w:rsid w:val="00692E77"/>
    <w:rsid w:val="00692F11"/>
    <w:rsid w:val="00692F5C"/>
    <w:rsid w:val="00692F8E"/>
    <w:rsid w:val="00692FE3"/>
    <w:rsid w:val="0069314A"/>
    <w:rsid w:val="006932E8"/>
    <w:rsid w:val="00693344"/>
    <w:rsid w:val="00693366"/>
    <w:rsid w:val="0069337E"/>
    <w:rsid w:val="0069354C"/>
    <w:rsid w:val="006935C4"/>
    <w:rsid w:val="006935F3"/>
    <w:rsid w:val="00693606"/>
    <w:rsid w:val="00693644"/>
    <w:rsid w:val="0069368D"/>
    <w:rsid w:val="00693A53"/>
    <w:rsid w:val="00693BC6"/>
    <w:rsid w:val="00693C29"/>
    <w:rsid w:val="00693D0D"/>
    <w:rsid w:val="00693D98"/>
    <w:rsid w:val="00693DEE"/>
    <w:rsid w:val="00693E8E"/>
    <w:rsid w:val="00693FC0"/>
    <w:rsid w:val="006940CE"/>
    <w:rsid w:val="00694156"/>
    <w:rsid w:val="0069424B"/>
    <w:rsid w:val="00694288"/>
    <w:rsid w:val="0069428F"/>
    <w:rsid w:val="00694300"/>
    <w:rsid w:val="00694324"/>
    <w:rsid w:val="00694334"/>
    <w:rsid w:val="006943BE"/>
    <w:rsid w:val="006944C1"/>
    <w:rsid w:val="0069474E"/>
    <w:rsid w:val="006947BC"/>
    <w:rsid w:val="0069486D"/>
    <w:rsid w:val="0069490E"/>
    <w:rsid w:val="00694B92"/>
    <w:rsid w:val="00694C91"/>
    <w:rsid w:val="00694E78"/>
    <w:rsid w:val="00694F20"/>
    <w:rsid w:val="00694F61"/>
    <w:rsid w:val="00694FCA"/>
    <w:rsid w:val="00694FCD"/>
    <w:rsid w:val="00695049"/>
    <w:rsid w:val="00695159"/>
    <w:rsid w:val="0069524E"/>
    <w:rsid w:val="006952AA"/>
    <w:rsid w:val="006954CD"/>
    <w:rsid w:val="0069554D"/>
    <w:rsid w:val="006956F0"/>
    <w:rsid w:val="0069578D"/>
    <w:rsid w:val="006957D8"/>
    <w:rsid w:val="006958C2"/>
    <w:rsid w:val="00695909"/>
    <w:rsid w:val="0069593D"/>
    <w:rsid w:val="00695973"/>
    <w:rsid w:val="006959EF"/>
    <w:rsid w:val="00695A62"/>
    <w:rsid w:val="00695BFD"/>
    <w:rsid w:val="00695E6E"/>
    <w:rsid w:val="00696004"/>
    <w:rsid w:val="00696357"/>
    <w:rsid w:val="0069639A"/>
    <w:rsid w:val="00696433"/>
    <w:rsid w:val="006964DD"/>
    <w:rsid w:val="006964E0"/>
    <w:rsid w:val="0069652C"/>
    <w:rsid w:val="00696662"/>
    <w:rsid w:val="00696707"/>
    <w:rsid w:val="00696792"/>
    <w:rsid w:val="0069686E"/>
    <w:rsid w:val="0069694E"/>
    <w:rsid w:val="00696AEE"/>
    <w:rsid w:val="00696B5D"/>
    <w:rsid w:val="00696D67"/>
    <w:rsid w:val="00696E97"/>
    <w:rsid w:val="00696EB7"/>
    <w:rsid w:val="00696EF3"/>
    <w:rsid w:val="00696F5B"/>
    <w:rsid w:val="00696F83"/>
    <w:rsid w:val="00697008"/>
    <w:rsid w:val="0069702D"/>
    <w:rsid w:val="00697093"/>
    <w:rsid w:val="00697182"/>
    <w:rsid w:val="0069727D"/>
    <w:rsid w:val="006972BA"/>
    <w:rsid w:val="00697309"/>
    <w:rsid w:val="0069734A"/>
    <w:rsid w:val="006974D6"/>
    <w:rsid w:val="00697537"/>
    <w:rsid w:val="00697647"/>
    <w:rsid w:val="00697668"/>
    <w:rsid w:val="006976A9"/>
    <w:rsid w:val="00697782"/>
    <w:rsid w:val="0069791E"/>
    <w:rsid w:val="00697A06"/>
    <w:rsid w:val="00697A80"/>
    <w:rsid w:val="00697AAC"/>
    <w:rsid w:val="00697AF5"/>
    <w:rsid w:val="00697C09"/>
    <w:rsid w:val="00697D42"/>
    <w:rsid w:val="00697D4D"/>
    <w:rsid w:val="00697D66"/>
    <w:rsid w:val="00697E4C"/>
    <w:rsid w:val="00697F06"/>
    <w:rsid w:val="00697F7A"/>
    <w:rsid w:val="006A03EF"/>
    <w:rsid w:val="006A05CB"/>
    <w:rsid w:val="006A06F5"/>
    <w:rsid w:val="006A0735"/>
    <w:rsid w:val="006A0825"/>
    <w:rsid w:val="006A095E"/>
    <w:rsid w:val="006A09FD"/>
    <w:rsid w:val="006A0A71"/>
    <w:rsid w:val="006A0C62"/>
    <w:rsid w:val="006A0D3B"/>
    <w:rsid w:val="006A0D3E"/>
    <w:rsid w:val="006A0DB3"/>
    <w:rsid w:val="006A0DBF"/>
    <w:rsid w:val="006A0FFA"/>
    <w:rsid w:val="006A11B8"/>
    <w:rsid w:val="006A11E0"/>
    <w:rsid w:val="006A1326"/>
    <w:rsid w:val="006A14D1"/>
    <w:rsid w:val="006A1594"/>
    <w:rsid w:val="006A160A"/>
    <w:rsid w:val="006A1619"/>
    <w:rsid w:val="006A161E"/>
    <w:rsid w:val="006A16A5"/>
    <w:rsid w:val="006A182E"/>
    <w:rsid w:val="006A188C"/>
    <w:rsid w:val="006A18CA"/>
    <w:rsid w:val="006A1929"/>
    <w:rsid w:val="006A1B91"/>
    <w:rsid w:val="006A1C6B"/>
    <w:rsid w:val="006A1CCF"/>
    <w:rsid w:val="006A1CD3"/>
    <w:rsid w:val="006A1D4A"/>
    <w:rsid w:val="006A1D77"/>
    <w:rsid w:val="006A21A5"/>
    <w:rsid w:val="006A2230"/>
    <w:rsid w:val="006A2271"/>
    <w:rsid w:val="006A22B5"/>
    <w:rsid w:val="006A22DE"/>
    <w:rsid w:val="006A23B0"/>
    <w:rsid w:val="006A23F9"/>
    <w:rsid w:val="006A2485"/>
    <w:rsid w:val="006A24AD"/>
    <w:rsid w:val="006A24E2"/>
    <w:rsid w:val="006A2585"/>
    <w:rsid w:val="006A2840"/>
    <w:rsid w:val="006A2854"/>
    <w:rsid w:val="006A2867"/>
    <w:rsid w:val="006A29B5"/>
    <w:rsid w:val="006A2A84"/>
    <w:rsid w:val="006A2B69"/>
    <w:rsid w:val="006A2C48"/>
    <w:rsid w:val="006A2CAA"/>
    <w:rsid w:val="006A2CB3"/>
    <w:rsid w:val="006A2CEC"/>
    <w:rsid w:val="006A302B"/>
    <w:rsid w:val="006A313F"/>
    <w:rsid w:val="006A314D"/>
    <w:rsid w:val="006A3203"/>
    <w:rsid w:val="006A358B"/>
    <w:rsid w:val="006A35EF"/>
    <w:rsid w:val="006A37F1"/>
    <w:rsid w:val="006A3A85"/>
    <w:rsid w:val="006A3AC6"/>
    <w:rsid w:val="006A3AD5"/>
    <w:rsid w:val="006A3B1D"/>
    <w:rsid w:val="006A3C44"/>
    <w:rsid w:val="006A3CFF"/>
    <w:rsid w:val="006A3D24"/>
    <w:rsid w:val="006A3D2C"/>
    <w:rsid w:val="006A3E7B"/>
    <w:rsid w:val="006A3EA1"/>
    <w:rsid w:val="006A3FAA"/>
    <w:rsid w:val="006A4084"/>
    <w:rsid w:val="006A4258"/>
    <w:rsid w:val="006A426F"/>
    <w:rsid w:val="006A4335"/>
    <w:rsid w:val="006A437F"/>
    <w:rsid w:val="006A4542"/>
    <w:rsid w:val="006A4674"/>
    <w:rsid w:val="006A4794"/>
    <w:rsid w:val="006A47C5"/>
    <w:rsid w:val="006A496F"/>
    <w:rsid w:val="006A4982"/>
    <w:rsid w:val="006A4A55"/>
    <w:rsid w:val="006A4C40"/>
    <w:rsid w:val="006A4D23"/>
    <w:rsid w:val="006A4E93"/>
    <w:rsid w:val="006A4EAC"/>
    <w:rsid w:val="006A4FE3"/>
    <w:rsid w:val="006A508D"/>
    <w:rsid w:val="006A5254"/>
    <w:rsid w:val="006A52D8"/>
    <w:rsid w:val="006A548D"/>
    <w:rsid w:val="006A56A2"/>
    <w:rsid w:val="006A579F"/>
    <w:rsid w:val="006A5861"/>
    <w:rsid w:val="006A5975"/>
    <w:rsid w:val="006A5A6C"/>
    <w:rsid w:val="006A5AC7"/>
    <w:rsid w:val="006A5BF7"/>
    <w:rsid w:val="006A5C31"/>
    <w:rsid w:val="006A5CBF"/>
    <w:rsid w:val="006A5D0E"/>
    <w:rsid w:val="006A5E01"/>
    <w:rsid w:val="006A5EDC"/>
    <w:rsid w:val="006A5F4D"/>
    <w:rsid w:val="006A5FE8"/>
    <w:rsid w:val="006A602F"/>
    <w:rsid w:val="006A6065"/>
    <w:rsid w:val="006A60C8"/>
    <w:rsid w:val="006A6108"/>
    <w:rsid w:val="006A613E"/>
    <w:rsid w:val="006A6305"/>
    <w:rsid w:val="006A646F"/>
    <w:rsid w:val="006A6596"/>
    <w:rsid w:val="006A66F3"/>
    <w:rsid w:val="006A6967"/>
    <w:rsid w:val="006A69F8"/>
    <w:rsid w:val="006A6A5A"/>
    <w:rsid w:val="006A6C39"/>
    <w:rsid w:val="006A6C7F"/>
    <w:rsid w:val="006A6C87"/>
    <w:rsid w:val="006A6CAE"/>
    <w:rsid w:val="006A6D35"/>
    <w:rsid w:val="006A6DEF"/>
    <w:rsid w:val="006A6E24"/>
    <w:rsid w:val="006A6E75"/>
    <w:rsid w:val="006A6F9A"/>
    <w:rsid w:val="006A6FF8"/>
    <w:rsid w:val="006A7041"/>
    <w:rsid w:val="006A7173"/>
    <w:rsid w:val="006A71DF"/>
    <w:rsid w:val="006A7223"/>
    <w:rsid w:val="006A753F"/>
    <w:rsid w:val="006A75CC"/>
    <w:rsid w:val="006A7737"/>
    <w:rsid w:val="006A78EF"/>
    <w:rsid w:val="006A7BA0"/>
    <w:rsid w:val="006A7FC6"/>
    <w:rsid w:val="006B008A"/>
    <w:rsid w:val="006B00A8"/>
    <w:rsid w:val="006B00BE"/>
    <w:rsid w:val="006B00D0"/>
    <w:rsid w:val="006B0169"/>
    <w:rsid w:val="006B019B"/>
    <w:rsid w:val="006B02DA"/>
    <w:rsid w:val="006B0335"/>
    <w:rsid w:val="006B04D2"/>
    <w:rsid w:val="006B0564"/>
    <w:rsid w:val="006B0601"/>
    <w:rsid w:val="006B06C2"/>
    <w:rsid w:val="006B07A3"/>
    <w:rsid w:val="006B07FA"/>
    <w:rsid w:val="006B097B"/>
    <w:rsid w:val="006B0B0A"/>
    <w:rsid w:val="006B0C59"/>
    <w:rsid w:val="006B0CA2"/>
    <w:rsid w:val="006B0CCF"/>
    <w:rsid w:val="006B0DFF"/>
    <w:rsid w:val="006B0E06"/>
    <w:rsid w:val="006B0E58"/>
    <w:rsid w:val="006B0E9A"/>
    <w:rsid w:val="006B1046"/>
    <w:rsid w:val="006B12E4"/>
    <w:rsid w:val="006B12F0"/>
    <w:rsid w:val="006B135B"/>
    <w:rsid w:val="006B1473"/>
    <w:rsid w:val="006B167D"/>
    <w:rsid w:val="006B17D9"/>
    <w:rsid w:val="006B17F4"/>
    <w:rsid w:val="006B19A1"/>
    <w:rsid w:val="006B1A01"/>
    <w:rsid w:val="006B1A41"/>
    <w:rsid w:val="006B1A6E"/>
    <w:rsid w:val="006B1B11"/>
    <w:rsid w:val="006B1B23"/>
    <w:rsid w:val="006B1DB8"/>
    <w:rsid w:val="006B1E0B"/>
    <w:rsid w:val="006B1EF7"/>
    <w:rsid w:val="006B1F1E"/>
    <w:rsid w:val="006B20B0"/>
    <w:rsid w:val="006B22A8"/>
    <w:rsid w:val="006B2333"/>
    <w:rsid w:val="006B2382"/>
    <w:rsid w:val="006B255F"/>
    <w:rsid w:val="006B2662"/>
    <w:rsid w:val="006B2895"/>
    <w:rsid w:val="006B2992"/>
    <w:rsid w:val="006B2996"/>
    <w:rsid w:val="006B299F"/>
    <w:rsid w:val="006B2A13"/>
    <w:rsid w:val="006B2C75"/>
    <w:rsid w:val="006B2C8D"/>
    <w:rsid w:val="006B2D59"/>
    <w:rsid w:val="006B2E3F"/>
    <w:rsid w:val="006B2FBD"/>
    <w:rsid w:val="006B3069"/>
    <w:rsid w:val="006B31C9"/>
    <w:rsid w:val="006B32FE"/>
    <w:rsid w:val="006B337D"/>
    <w:rsid w:val="006B343A"/>
    <w:rsid w:val="006B34BC"/>
    <w:rsid w:val="006B34FC"/>
    <w:rsid w:val="006B34FD"/>
    <w:rsid w:val="006B3545"/>
    <w:rsid w:val="006B372E"/>
    <w:rsid w:val="006B3747"/>
    <w:rsid w:val="006B386A"/>
    <w:rsid w:val="006B395C"/>
    <w:rsid w:val="006B3B1E"/>
    <w:rsid w:val="006B3C11"/>
    <w:rsid w:val="006B3CFE"/>
    <w:rsid w:val="006B3D18"/>
    <w:rsid w:val="006B3D26"/>
    <w:rsid w:val="006B3FE6"/>
    <w:rsid w:val="006B3FF3"/>
    <w:rsid w:val="006B4327"/>
    <w:rsid w:val="006B4335"/>
    <w:rsid w:val="006B4458"/>
    <w:rsid w:val="006B4478"/>
    <w:rsid w:val="006B448C"/>
    <w:rsid w:val="006B44C2"/>
    <w:rsid w:val="006B459B"/>
    <w:rsid w:val="006B464C"/>
    <w:rsid w:val="006B46E0"/>
    <w:rsid w:val="006B46F4"/>
    <w:rsid w:val="006B4747"/>
    <w:rsid w:val="006B4766"/>
    <w:rsid w:val="006B4847"/>
    <w:rsid w:val="006B488D"/>
    <w:rsid w:val="006B4A51"/>
    <w:rsid w:val="006B4AA1"/>
    <w:rsid w:val="006B4B48"/>
    <w:rsid w:val="006B4B50"/>
    <w:rsid w:val="006B4D66"/>
    <w:rsid w:val="006B5012"/>
    <w:rsid w:val="006B5173"/>
    <w:rsid w:val="006B528B"/>
    <w:rsid w:val="006B52FA"/>
    <w:rsid w:val="006B53BB"/>
    <w:rsid w:val="006B53F6"/>
    <w:rsid w:val="006B564E"/>
    <w:rsid w:val="006B5650"/>
    <w:rsid w:val="006B5727"/>
    <w:rsid w:val="006B5758"/>
    <w:rsid w:val="006B582A"/>
    <w:rsid w:val="006B5842"/>
    <w:rsid w:val="006B584F"/>
    <w:rsid w:val="006B58C9"/>
    <w:rsid w:val="006B58E6"/>
    <w:rsid w:val="006B5C09"/>
    <w:rsid w:val="006B5C19"/>
    <w:rsid w:val="006B5CD1"/>
    <w:rsid w:val="006B5DA9"/>
    <w:rsid w:val="006B5EAD"/>
    <w:rsid w:val="006B5EF8"/>
    <w:rsid w:val="006B5F11"/>
    <w:rsid w:val="006B6126"/>
    <w:rsid w:val="006B61F2"/>
    <w:rsid w:val="006B624A"/>
    <w:rsid w:val="006B6292"/>
    <w:rsid w:val="006B636C"/>
    <w:rsid w:val="006B63BD"/>
    <w:rsid w:val="006B68AF"/>
    <w:rsid w:val="006B6A08"/>
    <w:rsid w:val="006B6A26"/>
    <w:rsid w:val="006B6AEF"/>
    <w:rsid w:val="006B6D1C"/>
    <w:rsid w:val="006B6D84"/>
    <w:rsid w:val="006B6E33"/>
    <w:rsid w:val="006B6F45"/>
    <w:rsid w:val="006B70F5"/>
    <w:rsid w:val="006B711F"/>
    <w:rsid w:val="006B7125"/>
    <w:rsid w:val="006B72E5"/>
    <w:rsid w:val="006B7384"/>
    <w:rsid w:val="006B7397"/>
    <w:rsid w:val="006B73A3"/>
    <w:rsid w:val="006B742E"/>
    <w:rsid w:val="006B74EF"/>
    <w:rsid w:val="006B7825"/>
    <w:rsid w:val="006B7B75"/>
    <w:rsid w:val="006B7BE4"/>
    <w:rsid w:val="006B7BFC"/>
    <w:rsid w:val="006B7C88"/>
    <w:rsid w:val="006B7CC9"/>
    <w:rsid w:val="006B7CE2"/>
    <w:rsid w:val="006B7DE6"/>
    <w:rsid w:val="006B7E5D"/>
    <w:rsid w:val="006B7E65"/>
    <w:rsid w:val="006B7F67"/>
    <w:rsid w:val="006C002E"/>
    <w:rsid w:val="006C0281"/>
    <w:rsid w:val="006C02B0"/>
    <w:rsid w:val="006C038D"/>
    <w:rsid w:val="006C03EF"/>
    <w:rsid w:val="006C048B"/>
    <w:rsid w:val="006C056A"/>
    <w:rsid w:val="006C0605"/>
    <w:rsid w:val="006C0874"/>
    <w:rsid w:val="006C08D7"/>
    <w:rsid w:val="006C0908"/>
    <w:rsid w:val="006C090F"/>
    <w:rsid w:val="006C0AA3"/>
    <w:rsid w:val="006C0CB7"/>
    <w:rsid w:val="006C0F35"/>
    <w:rsid w:val="006C0F4E"/>
    <w:rsid w:val="006C10CD"/>
    <w:rsid w:val="006C112D"/>
    <w:rsid w:val="006C1131"/>
    <w:rsid w:val="006C1135"/>
    <w:rsid w:val="006C11BB"/>
    <w:rsid w:val="006C1554"/>
    <w:rsid w:val="006C1585"/>
    <w:rsid w:val="006C15D6"/>
    <w:rsid w:val="006C1638"/>
    <w:rsid w:val="006C1A28"/>
    <w:rsid w:val="006C1EDD"/>
    <w:rsid w:val="006C2040"/>
    <w:rsid w:val="006C20B0"/>
    <w:rsid w:val="006C217B"/>
    <w:rsid w:val="006C21A7"/>
    <w:rsid w:val="006C21F3"/>
    <w:rsid w:val="006C225B"/>
    <w:rsid w:val="006C2388"/>
    <w:rsid w:val="006C23A6"/>
    <w:rsid w:val="006C240F"/>
    <w:rsid w:val="006C2664"/>
    <w:rsid w:val="006C27A1"/>
    <w:rsid w:val="006C27AF"/>
    <w:rsid w:val="006C280A"/>
    <w:rsid w:val="006C2860"/>
    <w:rsid w:val="006C2966"/>
    <w:rsid w:val="006C2AAF"/>
    <w:rsid w:val="006C2C21"/>
    <w:rsid w:val="006C2C4E"/>
    <w:rsid w:val="006C2C53"/>
    <w:rsid w:val="006C2CDC"/>
    <w:rsid w:val="006C2DF6"/>
    <w:rsid w:val="006C2FAB"/>
    <w:rsid w:val="006C3128"/>
    <w:rsid w:val="006C3251"/>
    <w:rsid w:val="006C3385"/>
    <w:rsid w:val="006C33D6"/>
    <w:rsid w:val="006C347A"/>
    <w:rsid w:val="006C35BD"/>
    <w:rsid w:val="006C3786"/>
    <w:rsid w:val="006C38EE"/>
    <w:rsid w:val="006C3A87"/>
    <w:rsid w:val="006C3AE3"/>
    <w:rsid w:val="006C3BC7"/>
    <w:rsid w:val="006C3C8A"/>
    <w:rsid w:val="006C41F6"/>
    <w:rsid w:val="006C4227"/>
    <w:rsid w:val="006C4245"/>
    <w:rsid w:val="006C42BD"/>
    <w:rsid w:val="006C42DF"/>
    <w:rsid w:val="006C430A"/>
    <w:rsid w:val="006C46AB"/>
    <w:rsid w:val="006C4886"/>
    <w:rsid w:val="006C4A89"/>
    <w:rsid w:val="006C4C03"/>
    <w:rsid w:val="006C4C40"/>
    <w:rsid w:val="006C4CF4"/>
    <w:rsid w:val="006C4DA6"/>
    <w:rsid w:val="006C4FD9"/>
    <w:rsid w:val="006C4FF5"/>
    <w:rsid w:val="006C5372"/>
    <w:rsid w:val="006C53F1"/>
    <w:rsid w:val="006C540C"/>
    <w:rsid w:val="006C5534"/>
    <w:rsid w:val="006C590C"/>
    <w:rsid w:val="006C59A9"/>
    <w:rsid w:val="006C5AE0"/>
    <w:rsid w:val="006C5AEF"/>
    <w:rsid w:val="006C5AFE"/>
    <w:rsid w:val="006C5B25"/>
    <w:rsid w:val="006C5BC8"/>
    <w:rsid w:val="006C5C6A"/>
    <w:rsid w:val="006C5D18"/>
    <w:rsid w:val="006C5D36"/>
    <w:rsid w:val="006C5E19"/>
    <w:rsid w:val="006C5F4C"/>
    <w:rsid w:val="006C60DE"/>
    <w:rsid w:val="006C61C5"/>
    <w:rsid w:val="006C61E5"/>
    <w:rsid w:val="006C6209"/>
    <w:rsid w:val="006C6274"/>
    <w:rsid w:val="006C627F"/>
    <w:rsid w:val="006C6349"/>
    <w:rsid w:val="006C6361"/>
    <w:rsid w:val="006C63DA"/>
    <w:rsid w:val="006C651B"/>
    <w:rsid w:val="006C660B"/>
    <w:rsid w:val="006C6675"/>
    <w:rsid w:val="006C6741"/>
    <w:rsid w:val="006C6914"/>
    <w:rsid w:val="006C6B78"/>
    <w:rsid w:val="006C6BB2"/>
    <w:rsid w:val="006C6CD0"/>
    <w:rsid w:val="006C6CF1"/>
    <w:rsid w:val="006C6D4A"/>
    <w:rsid w:val="006C6DAE"/>
    <w:rsid w:val="006C6ED6"/>
    <w:rsid w:val="006C6F43"/>
    <w:rsid w:val="006C701E"/>
    <w:rsid w:val="006C7052"/>
    <w:rsid w:val="006C7183"/>
    <w:rsid w:val="006C7226"/>
    <w:rsid w:val="006C723C"/>
    <w:rsid w:val="006C72DB"/>
    <w:rsid w:val="006C754E"/>
    <w:rsid w:val="006C75AE"/>
    <w:rsid w:val="006C75BF"/>
    <w:rsid w:val="006C7735"/>
    <w:rsid w:val="006C785D"/>
    <w:rsid w:val="006C78C6"/>
    <w:rsid w:val="006C7A05"/>
    <w:rsid w:val="006C7A5F"/>
    <w:rsid w:val="006C7ABC"/>
    <w:rsid w:val="006C7CA4"/>
    <w:rsid w:val="006C7D80"/>
    <w:rsid w:val="006C7EC2"/>
    <w:rsid w:val="006D0169"/>
    <w:rsid w:val="006D020C"/>
    <w:rsid w:val="006D051C"/>
    <w:rsid w:val="006D05EB"/>
    <w:rsid w:val="006D05F4"/>
    <w:rsid w:val="006D0981"/>
    <w:rsid w:val="006D0A2D"/>
    <w:rsid w:val="006D0A5D"/>
    <w:rsid w:val="006D0A5F"/>
    <w:rsid w:val="006D0BC2"/>
    <w:rsid w:val="006D0C20"/>
    <w:rsid w:val="006D0CD1"/>
    <w:rsid w:val="006D0D0A"/>
    <w:rsid w:val="006D0DA2"/>
    <w:rsid w:val="006D0F12"/>
    <w:rsid w:val="006D0F71"/>
    <w:rsid w:val="006D10CC"/>
    <w:rsid w:val="006D10E3"/>
    <w:rsid w:val="006D15C2"/>
    <w:rsid w:val="006D163A"/>
    <w:rsid w:val="006D1652"/>
    <w:rsid w:val="006D1737"/>
    <w:rsid w:val="006D17DC"/>
    <w:rsid w:val="006D198B"/>
    <w:rsid w:val="006D1B41"/>
    <w:rsid w:val="006D1B57"/>
    <w:rsid w:val="006D1B6C"/>
    <w:rsid w:val="006D207A"/>
    <w:rsid w:val="006D2447"/>
    <w:rsid w:val="006D296A"/>
    <w:rsid w:val="006D297D"/>
    <w:rsid w:val="006D2A58"/>
    <w:rsid w:val="006D2AD8"/>
    <w:rsid w:val="006D2C14"/>
    <w:rsid w:val="006D2D18"/>
    <w:rsid w:val="006D2D90"/>
    <w:rsid w:val="006D2E97"/>
    <w:rsid w:val="006D2F07"/>
    <w:rsid w:val="006D3131"/>
    <w:rsid w:val="006D320F"/>
    <w:rsid w:val="006D3311"/>
    <w:rsid w:val="006D3496"/>
    <w:rsid w:val="006D35E1"/>
    <w:rsid w:val="006D3731"/>
    <w:rsid w:val="006D37A9"/>
    <w:rsid w:val="006D38B8"/>
    <w:rsid w:val="006D3941"/>
    <w:rsid w:val="006D3A23"/>
    <w:rsid w:val="006D3A2F"/>
    <w:rsid w:val="006D3A9A"/>
    <w:rsid w:val="006D3ACE"/>
    <w:rsid w:val="006D3B58"/>
    <w:rsid w:val="006D3D9E"/>
    <w:rsid w:val="006D3E96"/>
    <w:rsid w:val="006D3F9D"/>
    <w:rsid w:val="006D3FD2"/>
    <w:rsid w:val="006D3FE1"/>
    <w:rsid w:val="006D3FF6"/>
    <w:rsid w:val="006D400A"/>
    <w:rsid w:val="006D413E"/>
    <w:rsid w:val="006D41B8"/>
    <w:rsid w:val="006D41D6"/>
    <w:rsid w:val="006D430D"/>
    <w:rsid w:val="006D4314"/>
    <w:rsid w:val="006D4399"/>
    <w:rsid w:val="006D43BE"/>
    <w:rsid w:val="006D442B"/>
    <w:rsid w:val="006D45CA"/>
    <w:rsid w:val="006D4688"/>
    <w:rsid w:val="006D477A"/>
    <w:rsid w:val="006D477E"/>
    <w:rsid w:val="006D4859"/>
    <w:rsid w:val="006D4959"/>
    <w:rsid w:val="006D4966"/>
    <w:rsid w:val="006D49A4"/>
    <w:rsid w:val="006D4B37"/>
    <w:rsid w:val="006D4B97"/>
    <w:rsid w:val="006D4BAF"/>
    <w:rsid w:val="006D4DB9"/>
    <w:rsid w:val="006D4E39"/>
    <w:rsid w:val="006D515C"/>
    <w:rsid w:val="006D5257"/>
    <w:rsid w:val="006D5557"/>
    <w:rsid w:val="006D57C5"/>
    <w:rsid w:val="006D5805"/>
    <w:rsid w:val="006D580F"/>
    <w:rsid w:val="006D595E"/>
    <w:rsid w:val="006D59F6"/>
    <w:rsid w:val="006D5A42"/>
    <w:rsid w:val="006D5A8A"/>
    <w:rsid w:val="006D5B31"/>
    <w:rsid w:val="006D5B51"/>
    <w:rsid w:val="006D5B6E"/>
    <w:rsid w:val="006D5B8C"/>
    <w:rsid w:val="006D5D18"/>
    <w:rsid w:val="006D5D66"/>
    <w:rsid w:val="006D5E65"/>
    <w:rsid w:val="006D5E7F"/>
    <w:rsid w:val="006D5EF2"/>
    <w:rsid w:val="006D6196"/>
    <w:rsid w:val="006D61E1"/>
    <w:rsid w:val="006D6213"/>
    <w:rsid w:val="006D628F"/>
    <w:rsid w:val="006D62D6"/>
    <w:rsid w:val="006D638D"/>
    <w:rsid w:val="006D64B4"/>
    <w:rsid w:val="006D6605"/>
    <w:rsid w:val="006D67A7"/>
    <w:rsid w:val="006D6811"/>
    <w:rsid w:val="006D685E"/>
    <w:rsid w:val="006D690C"/>
    <w:rsid w:val="006D6A53"/>
    <w:rsid w:val="006D6DA0"/>
    <w:rsid w:val="006D6E3C"/>
    <w:rsid w:val="006D6EDA"/>
    <w:rsid w:val="006D6EEB"/>
    <w:rsid w:val="006D6F93"/>
    <w:rsid w:val="006D6FAE"/>
    <w:rsid w:val="006D700C"/>
    <w:rsid w:val="006D706A"/>
    <w:rsid w:val="006D712D"/>
    <w:rsid w:val="006D723A"/>
    <w:rsid w:val="006D72D9"/>
    <w:rsid w:val="006D72F1"/>
    <w:rsid w:val="006D7457"/>
    <w:rsid w:val="006D74B4"/>
    <w:rsid w:val="006D757C"/>
    <w:rsid w:val="006D75B8"/>
    <w:rsid w:val="006D7786"/>
    <w:rsid w:val="006D77C8"/>
    <w:rsid w:val="006D78EA"/>
    <w:rsid w:val="006D7922"/>
    <w:rsid w:val="006D795C"/>
    <w:rsid w:val="006D79C0"/>
    <w:rsid w:val="006D79F8"/>
    <w:rsid w:val="006D7A5A"/>
    <w:rsid w:val="006D7D0D"/>
    <w:rsid w:val="006D7D4B"/>
    <w:rsid w:val="006D7DA9"/>
    <w:rsid w:val="006D7DDD"/>
    <w:rsid w:val="006D7E0A"/>
    <w:rsid w:val="006E0127"/>
    <w:rsid w:val="006E0143"/>
    <w:rsid w:val="006E014D"/>
    <w:rsid w:val="006E01DA"/>
    <w:rsid w:val="006E0262"/>
    <w:rsid w:val="006E0387"/>
    <w:rsid w:val="006E044B"/>
    <w:rsid w:val="006E04DB"/>
    <w:rsid w:val="006E04F3"/>
    <w:rsid w:val="006E083C"/>
    <w:rsid w:val="006E0874"/>
    <w:rsid w:val="006E090C"/>
    <w:rsid w:val="006E0A7B"/>
    <w:rsid w:val="006E0D36"/>
    <w:rsid w:val="006E0E23"/>
    <w:rsid w:val="006E0EC6"/>
    <w:rsid w:val="006E0F4F"/>
    <w:rsid w:val="006E0F7E"/>
    <w:rsid w:val="006E0FB9"/>
    <w:rsid w:val="006E1006"/>
    <w:rsid w:val="006E12BF"/>
    <w:rsid w:val="006E14A9"/>
    <w:rsid w:val="006E15B6"/>
    <w:rsid w:val="006E1636"/>
    <w:rsid w:val="006E1746"/>
    <w:rsid w:val="006E189E"/>
    <w:rsid w:val="006E19A6"/>
    <w:rsid w:val="006E1AD6"/>
    <w:rsid w:val="006E1C29"/>
    <w:rsid w:val="006E1C41"/>
    <w:rsid w:val="006E1DBC"/>
    <w:rsid w:val="006E1E15"/>
    <w:rsid w:val="006E1F06"/>
    <w:rsid w:val="006E1F0D"/>
    <w:rsid w:val="006E1FA8"/>
    <w:rsid w:val="006E2168"/>
    <w:rsid w:val="006E2242"/>
    <w:rsid w:val="006E2259"/>
    <w:rsid w:val="006E22A6"/>
    <w:rsid w:val="006E2399"/>
    <w:rsid w:val="006E24F2"/>
    <w:rsid w:val="006E2584"/>
    <w:rsid w:val="006E25BC"/>
    <w:rsid w:val="006E269F"/>
    <w:rsid w:val="006E270B"/>
    <w:rsid w:val="006E28AE"/>
    <w:rsid w:val="006E2968"/>
    <w:rsid w:val="006E29ED"/>
    <w:rsid w:val="006E2A2E"/>
    <w:rsid w:val="006E2A8B"/>
    <w:rsid w:val="006E2ADC"/>
    <w:rsid w:val="006E2C83"/>
    <w:rsid w:val="006E2DF7"/>
    <w:rsid w:val="006E2EA5"/>
    <w:rsid w:val="006E2EA9"/>
    <w:rsid w:val="006E2EC3"/>
    <w:rsid w:val="006E2F5C"/>
    <w:rsid w:val="006E3122"/>
    <w:rsid w:val="006E31B0"/>
    <w:rsid w:val="006E3211"/>
    <w:rsid w:val="006E324A"/>
    <w:rsid w:val="006E3769"/>
    <w:rsid w:val="006E37F1"/>
    <w:rsid w:val="006E3913"/>
    <w:rsid w:val="006E3A55"/>
    <w:rsid w:val="006E3C7A"/>
    <w:rsid w:val="006E3DE4"/>
    <w:rsid w:val="006E3E72"/>
    <w:rsid w:val="006E3E95"/>
    <w:rsid w:val="006E403C"/>
    <w:rsid w:val="006E406C"/>
    <w:rsid w:val="006E4104"/>
    <w:rsid w:val="006E412E"/>
    <w:rsid w:val="006E4328"/>
    <w:rsid w:val="006E4499"/>
    <w:rsid w:val="006E4695"/>
    <w:rsid w:val="006E4719"/>
    <w:rsid w:val="006E4804"/>
    <w:rsid w:val="006E4D2A"/>
    <w:rsid w:val="006E4D52"/>
    <w:rsid w:val="006E4F8E"/>
    <w:rsid w:val="006E4F8F"/>
    <w:rsid w:val="006E52B3"/>
    <w:rsid w:val="006E52C4"/>
    <w:rsid w:val="006E54D2"/>
    <w:rsid w:val="006E5547"/>
    <w:rsid w:val="006E5627"/>
    <w:rsid w:val="006E5929"/>
    <w:rsid w:val="006E59E5"/>
    <w:rsid w:val="006E5A59"/>
    <w:rsid w:val="006E5A8E"/>
    <w:rsid w:val="006E5AF0"/>
    <w:rsid w:val="006E5B37"/>
    <w:rsid w:val="006E5C6F"/>
    <w:rsid w:val="006E5C89"/>
    <w:rsid w:val="006E5D8F"/>
    <w:rsid w:val="006E5EBB"/>
    <w:rsid w:val="006E5EC6"/>
    <w:rsid w:val="006E6086"/>
    <w:rsid w:val="006E61B7"/>
    <w:rsid w:val="006E6336"/>
    <w:rsid w:val="006E63FE"/>
    <w:rsid w:val="006E6403"/>
    <w:rsid w:val="006E6462"/>
    <w:rsid w:val="006E6493"/>
    <w:rsid w:val="006E650B"/>
    <w:rsid w:val="006E6C52"/>
    <w:rsid w:val="006E6DB8"/>
    <w:rsid w:val="006E6F7E"/>
    <w:rsid w:val="006E6F83"/>
    <w:rsid w:val="006E6FDD"/>
    <w:rsid w:val="006E70FC"/>
    <w:rsid w:val="006E73BA"/>
    <w:rsid w:val="006E7442"/>
    <w:rsid w:val="006E75A1"/>
    <w:rsid w:val="006E75F5"/>
    <w:rsid w:val="006E7610"/>
    <w:rsid w:val="006E766D"/>
    <w:rsid w:val="006E7B43"/>
    <w:rsid w:val="006E7C0B"/>
    <w:rsid w:val="006E7C73"/>
    <w:rsid w:val="006E7CB6"/>
    <w:rsid w:val="006E7DE9"/>
    <w:rsid w:val="006E7E0A"/>
    <w:rsid w:val="006F0063"/>
    <w:rsid w:val="006F01EA"/>
    <w:rsid w:val="006F02D7"/>
    <w:rsid w:val="006F03CC"/>
    <w:rsid w:val="006F046F"/>
    <w:rsid w:val="006F0491"/>
    <w:rsid w:val="006F0576"/>
    <w:rsid w:val="006F0594"/>
    <w:rsid w:val="006F059F"/>
    <w:rsid w:val="006F08CA"/>
    <w:rsid w:val="006F0DFC"/>
    <w:rsid w:val="006F0F07"/>
    <w:rsid w:val="006F0F64"/>
    <w:rsid w:val="006F0FBF"/>
    <w:rsid w:val="006F0FC3"/>
    <w:rsid w:val="006F118A"/>
    <w:rsid w:val="006F11AA"/>
    <w:rsid w:val="006F11BA"/>
    <w:rsid w:val="006F13A4"/>
    <w:rsid w:val="006F196A"/>
    <w:rsid w:val="006F1BE2"/>
    <w:rsid w:val="006F1D1C"/>
    <w:rsid w:val="006F1F23"/>
    <w:rsid w:val="006F20E8"/>
    <w:rsid w:val="006F22E1"/>
    <w:rsid w:val="006F23AA"/>
    <w:rsid w:val="006F2516"/>
    <w:rsid w:val="006F26E9"/>
    <w:rsid w:val="006F27CA"/>
    <w:rsid w:val="006F286D"/>
    <w:rsid w:val="006F297C"/>
    <w:rsid w:val="006F2A32"/>
    <w:rsid w:val="006F2AA6"/>
    <w:rsid w:val="006F2DFF"/>
    <w:rsid w:val="006F2E0C"/>
    <w:rsid w:val="006F2F05"/>
    <w:rsid w:val="006F2F83"/>
    <w:rsid w:val="006F300B"/>
    <w:rsid w:val="006F3070"/>
    <w:rsid w:val="006F3163"/>
    <w:rsid w:val="006F3257"/>
    <w:rsid w:val="006F3480"/>
    <w:rsid w:val="006F34D4"/>
    <w:rsid w:val="006F3539"/>
    <w:rsid w:val="006F3559"/>
    <w:rsid w:val="006F38A3"/>
    <w:rsid w:val="006F3994"/>
    <w:rsid w:val="006F39A4"/>
    <w:rsid w:val="006F39AC"/>
    <w:rsid w:val="006F3A7E"/>
    <w:rsid w:val="006F3C00"/>
    <w:rsid w:val="006F3CA9"/>
    <w:rsid w:val="006F3D86"/>
    <w:rsid w:val="006F3EC0"/>
    <w:rsid w:val="006F40B7"/>
    <w:rsid w:val="006F4285"/>
    <w:rsid w:val="006F428A"/>
    <w:rsid w:val="006F4294"/>
    <w:rsid w:val="006F42C2"/>
    <w:rsid w:val="006F42C3"/>
    <w:rsid w:val="006F436E"/>
    <w:rsid w:val="006F437D"/>
    <w:rsid w:val="006F453F"/>
    <w:rsid w:val="006F471B"/>
    <w:rsid w:val="006F4747"/>
    <w:rsid w:val="006F4753"/>
    <w:rsid w:val="006F48DE"/>
    <w:rsid w:val="006F4902"/>
    <w:rsid w:val="006F49DA"/>
    <w:rsid w:val="006F4A5E"/>
    <w:rsid w:val="006F4A5F"/>
    <w:rsid w:val="006F4AC9"/>
    <w:rsid w:val="006F4CE9"/>
    <w:rsid w:val="006F4D6F"/>
    <w:rsid w:val="006F4DA6"/>
    <w:rsid w:val="006F4FB6"/>
    <w:rsid w:val="006F502A"/>
    <w:rsid w:val="006F51ED"/>
    <w:rsid w:val="006F52D0"/>
    <w:rsid w:val="006F5626"/>
    <w:rsid w:val="006F56B1"/>
    <w:rsid w:val="006F58F3"/>
    <w:rsid w:val="006F5948"/>
    <w:rsid w:val="006F5A2B"/>
    <w:rsid w:val="006F5A51"/>
    <w:rsid w:val="006F5AF6"/>
    <w:rsid w:val="006F5AF9"/>
    <w:rsid w:val="006F5C10"/>
    <w:rsid w:val="006F5D05"/>
    <w:rsid w:val="006F5D9C"/>
    <w:rsid w:val="006F5EE1"/>
    <w:rsid w:val="006F60BD"/>
    <w:rsid w:val="006F639B"/>
    <w:rsid w:val="006F63B2"/>
    <w:rsid w:val="006F64D7"/>
    <w:rsid w:val="006F662D"/>
    <w:rsid w:val="006F6633"/>
    <w:rsid w:val="006F671A"/>
    <w:rsid w:val="006F67C9"/>
    <w:rsid w:val="006F6932"/>
    <w:rsid w:val="006F6C42"/>
    <w:rsid w:val="006F6E6E"/>
    <w:rsid w:val="006F6F29"/>
    <w:rsid w:val="006F6F72"/>
    <w:rsid w:val="006F6FED"/>
    <w:rsid w:val="006F6FF5"/>
    <w:rsid w:val="006F7085"/>
    <w:rsid w:val="006F70B1"/>
    <w:rsid w:val="006F70B7"/>
    <w:rsid w:val="006F71F2"/>
    <w:rsid w:val="006F724F"/>
    <w:rsid w:val="006F72B3"/>
    <w:rsid w:val="006F72DB"/>
    <w:rsid w:val="006F75B2"/>
    <w:rsid w:val="006F7602"/>
    <w:rsid w:val="006F771D"/>
    <w:rsid w:val="006F777A"/>
    <w:rsid w:val="006F77A1"/>
    <w:rsid w:val="006F77C2"/>
    <w:rsid w:val="006F7D84"/>
    <w:rsid w:val="006F7F5C"/>
    <w:rsid w:val="006F7FA1"/>
    <w:rsid w:val="006F7FB1"/>
    <w:rsid w:val="00700188"/>
    <w:rsid w:val="007001DC"/>
    <w:rsid w:val="00700229"/>
    <w:rsid w:val="00700295"/>
    <w:rsid w:val="007002BC"/>
    <w:rsid w:val="00700395"/>
    <w:rsid w:val="00700428"/>
    <w:rsid w:val="0070045F"/>
    <w:rsid w:val="007004A5"/>
    <w:rsid w:val="00700772"/>
    <w:rsid w:val="007007B6"/>
    <w:rsid w:val="00700859"/>
    <w:rsid w:val="00700887"/>
    <w:rsid w:val="007008BF"/>
    <w:rsid w:val="00700911"/>
    <w:rsid w:val="007009EB"/>
    <w:rsid w:val="00700ABE"/>
    <w:rsid w:val="00700B44"/>
    <w:rsid w:val="00700B5D"/>
    <w:rsid w:val="00700B6B"/>
    <w:rsid w:val="00700C65"/>
    <w:rsid w:val="00700C92"/>
    <w:rsid w:val="00700C98"/>
    <w:rsid w:val="00700DF5"/>
    <w:rsid w:val="00700F05"/>
    <w:rsid w:val="00700F76"/>
    <w:rsid w:val="00700F96"/>
    <w:rsid w:val="00701109"/>
    <w:rsid w:val="00701497"/>
    <w:rsid w:val="0070150B"/>
    <w:rsid w:val="00701618"/>
    <w:rsid w:val="0070161A"/>
    <w:rsid w:val="0070178B"/>
    <w:rsid w:val="007018BF"/>
    <w:rsid w:val="00701983"/>
    <w:rsid w:val="00701A17"/>
    <w:rsid w:val="00701A8B"/>
    <w:rsid w:val="00701B89"/>
    <w:rsid w:val="00701BF1"/>
    <w:rsid w:val="00701C52"/>
    <w:rsid w:val="00701EB5"/>
    <w:rsid w:val="007021F0"/>
    <w:rsid w:val="00702464"/>
    <w:rsid w:val="0070264C"/>
    <w:rsid w:val="00702667"/>
    <w:rsid w:val="00702683"/>
    <w:rsid w:val="007026BB"/>
    <w:rsid w:val="007027E6"/>
    <w:rsid w:val="007028C4"/>
    <w:rsid w:val="00702946"/>
    <w:rsid w:val="007029A3"/>
    <w:rsid w:val="00702A9A"/>
    <w:rsid w:val="00702B36"/>
    <w:rsid w:val="00702CF2"/>
    <w:rsid w:val="00702D0E"/>
    <w:rsid w:val="00702D3F"/>
    <w:rsid w:val="00702E60"/>
    <w:rsid w:val="00702E99"/>
    <w:rsid w:val="00702F29"/>
    <w:rsid w:val="00702F75"/>
    <w:rsid w:val="00702FFF"/>
    <w:rsid w:val="00703044"/>
    <w:rsid w:val="0070335A"/>
    <w:rsid w:val="0070336A"/>
    <w:rsid w:val="00703393"/>
    <w:rsid w:val="00703422"/>
    <w:rsid w:val="007034F3"/>
    <w:rsid w:val="0070363E"/>
    <w:rsid w:val="007036E6"/>
    <w:rsid w:val="0070376E"/>
    <w:rsid w:val="007038B1"/>
    <w:rsid w:val="007038DC"/>
    <w:rsid w:val="0070393B"/>
    <w:rsid w:val="0070394E"/>
    <w:rsid w:val="007039AF"/>
    <w:rsid w:val="00703A13"/>
    <w:rsid w:val="00703A16"/>
    <w:rsid w:val="00703A84"/>
    <w:rsid w:val="00703BBA"/>
    <w:rsid w:val="00703D34"/>
    <w:rsid w:val="00703DB8"/>
    <w:rsid w:val="00703DC2"/>
    <w:rsid w:val="00703E68"/>
    <w:rsid w:val="00703EC1"/>
    <w:rsid w:val="00703F34"/>
    <w:rsid w:val="00703FCB"/>
    <w:rsid w:val="00704093"/>
    <w:rsid w:val="007042EA"/>
    <w:rsid w:val="00704456"/>
    <w:rsid w:val="0070457B"/>
    <w:rsid w:val="00704608"/>
    <w:rsid w:val="00704619"/>
    <w:rsid w:val="00704636"/>
    <w:rsid w:val="007046FC"/>
    <w:rsid w:val="00704879"/>
    <w:rsid w:val="0070487C"/>
    <w:rsid w:val="00704D52"/>
    <w:rsid w:val="00704D9E"/>
    <w:rsid w:val="00704DD1"/>
    <w:rsid w:val="00704E56"/>
    <w:rsid w:val="00704F58"/>
    <w:rsid w:val="00704FFA"/>
    <w:rsid w:val="007050CB"/>
    <w:rsid w:val="007050E3"/>
    <w:rsid w:val="007051AB"/>
    <w:rsid w:val="007052DA"/>
    <w:rsid w:val="007056E0"/>
    <w:rsid w:val="00705797"/>
    <w:rsid w:val="00705806"/>
    <w:rsid w:val="007058FC"/>
    <w:rsid w:val="00705CFD"/>
    <w:rsid w:val="00705EF5"/>
    <w:rsid w:val="00705FFB"/>
    <w:rsid w:val="0070605F"/>
    <w:rsid w:val="00706229"/>
    <w:rsid w:val="00706273"/>
    <w:rsid w:val="0070628E"/>
    <w:rsid w:val="0070637D"/>
    <w:rsid w:val="007063E8"/>
    <w:rsid w:val="00706425"/>
    <w:rsid w:val="00706434"/>
    <w:rsid w:val="00706449"/>
    <w:rsid w:val="007064B0"/>
    <w:rsid w:val="00706721"/>
    <w:rsid w:val="007067D4"/>
    <w:rsid w:val="0070685B"/>
    <w:rsid w:val="0070688A"/>
    <w:rsid w:val="007068D8"/>
    <w:rsid w:val="007069BE"/>
    <w:rsid w:val="00706A2C"/>
    <w:rsid w:val="00706C2F"/>
    <w:rsid w:val="00706C60"/>
    <w:rsid w:val="00706C66"/>
    <w:rsid w:val="00706CA6"/>
    <w:rsid w:val="00706D85"/>
    <w:rsid w:val="00706EE3"/>
    <w:rsid w:val="00706EFB"/>
    <w:rsid w:val="00706F75"/>
    <w:rsid w:val="0070701C"/>
    <w:rsid w:val="007070C8"/>
    <w:rsid w:val="0070728B"/>
    <w:rsid w:val="007072AC"/>
    <w:rsid w:val="007072BD"/>
    <w:rsid w:val="007074A9"/>
    <w:rsid w:val="00707665"/>
    <w:rsid w:val="007077A5"/>
    <w:rsid w:val="00707857"/>
    <w:rsid w:val="0070786A"/>
    <w:rsid w:val="00707A21"/>
    <w:rsid w:val="00707AF5"/>
    <w:rsid w:val="00707B7B"/>
    <w:rsid w:val="00707BE0"/>
    <w:rsid w:val="00707BEB"/>
    <w:rsid w:val="00707CAA"/>
    <w:rsid w:val="00707CD8"/>
    <w:rsid w:val="00707D20"/>
    <w:rsid w:val="00707E4F"/>
    <w:rsid w:val="00707E58"/>
    <w:rsid w:val="00707FDC"/>
    <w:rsid w:val="00710037"/>
    <w:rsid w:val="00710072"/>
    <w:rsid w:val="00710175"/>
    <w:rsid w:val="00710268"/>
    <w:rsid w:val="007102E2"/>
    <w:rsid w:val="007102FE"/>
    <w:rsid w:val="00710328"/>
    <w:rsid w:val="007103C8"/>
    <w:rsid w:val="007103E2"/>
    <w:rsid w:val="007103E5"/>
    <w:rsid w:val="00710482"/>
    <w:rsid w:val="007104EA"/>
    <w:rsid w:val="00710522"/>
    <w:rsid w:val="007105FC"/>
    <w:rsid w:val="00710760"/>
    <w:rsid w:val="00710956"/>
    <w:rsid w:val="007109F6"/>
    <w:rsid w:val="00710C35"/>
    <w:rsid w:val="00710DBC"/>
    <w:rsid w:val="00710DD2"/>
    <w:rsid w:val="00710F1D"/>
    <w:rsid w:val="00711059"/>
    <w:rsid w:val="00711092"/>
    <w:rsid w:val="007110D3"/>
    <w:rsid w:val="007112F1"/>
    <w:rsid w:val="007113AD"/>
    <w:rsid w:val="00711475"/>
    <w:rsid w:val="007114F1"/>
    <w:rsid w:val="0071150C"/>
    <w:rsid w:val="00711529"/>
    <w:rsid w:val="00711579"/>
    <w:rsid w:val="00711859"/>
    <w:rsid w:val="0071191B"/>
    <w:rsid w:val="00711B7A"/>
    <w:rsid w:val="00711B83"/>
    <w:rsid w:val="00711E27"/>
    <w:rsid w:val="00711F1D"/>
    <w:rsid w:val="00711F48"/>
    <w:rsid w:val="00711FF8"/>
    <w:rsid w:val="007120D8"/>
    <w:rsid w:val="00712334"/>
    <w:rsid w:val="00712432"/>
    <w:rsid w:val="0071263D"/>
    <w:rsid w:val="007128B7"/>
    <w:rsid w:val="007128C6"/>
    <w:rsid w:val="007129DE"/>
    <w:rsid w:val="00712B2E"/>
    <w:rsid w:val="00712B7F"/>
    <w:rsid w:val="00712BC4"/>
    <w:rsid w:val="00712DB0"/>
    <w:rsid w:val="00712DD4"/>
    <w:rsid w:val="00712E1B"/>
    <w:rsid w:val="00712F35"/>
    <w:rsid w:val="00712F6C"/>
    <w:rsid w:val="00712FF8"/>
    <w:rsid w:val="00713192"/>
    <w:rsid w:val="00713271"/>
    <w:rsid w:val="00713321"/>
    <w:rsid w:val="007133E3"/>
    <w:rsid w:val="00713404"/>
    <w:rsid w:val="0071343A"/>
    <w:rsid w:val="00713452"/>
    <w:rsid w:val="0071347B"/>
    <w:rsid w:val="00713494"/>
    <w:rsid w:val="00713602"/>
    <w:rsid w:val="0071364D"/>
    <w:rsid w:val="007136CB"/>
    <w:rsid w:val="00713716"/>
    <w:rsid w:val="00713809"/>
    <w:rsid w:val="007138D0"/>
    <w:rsid w:val="00713CA0"/>
    <w:rsid w:val="00713DBB"/>
    <w:rsid w:val="00713DE4"/>
    <w:rsid w:val="00713EE7"/>
    <w:rsid w:val="00713F32"/>
    <w:rsid w:val="00714063"/>
    <w:rsid w:val="00714121"/>
    <w:rsid w:val="0071429D"/>
    <w:rsid w:val="007144A1"/>
    <w:rsid w:val="00714511"/>
    <w:rsid w:val="0071456A"/>
    <w:rsid w:val="007145BF"/>
    <w:rsid w:val="0071470E"/>
    <w:rsid w:val="007148E1"/>
    <w:rsid w:val="007148EB"/>
    <w:rsid w:val="00714D79"/>
    <w:rsid w:val="00715053"/>
    <w:rsid w:val="0071508B"/>
    <w:rsid w:val="007150B9"/>
    <w:rsid w:val="007150D0"/>
    <w:rsid w:val="00715181"/>
    <w:rsid w:val="00715210"/>
    <w:rsid w:val="00715254"/>
    <w:rsid w:val="007153A3"/>
    <w:rsid w:val="0071551D"/>
    <w:rsid w:val="00715754"/>
    <w:rsid w:val="007157B3"/>
    <w:rsid w:val="007157CB"/>
    <w:rsid w:val="0071596A"/>
    <w:rsid w:val="00715AC6"/>
    <w:rsid w:val="00715CA1"/>
    <w:rsid w:val="00715CD4"/>
    <w:rsid w:val="00715F25"/>
    <w:rsid w:val="00715FDD"/>
    <w:rsid w:val="00716004"/>
    <w:rsid w:val="0071610C"/>
    <w:rsid w:val="00716163"/>
    <w:rsid w:val="0071616B"/>
    <w:rsid w:val="0071631B"/>
    <w:rsid w:val="00716330"/>
    <w:rsid w:val="00716384"/>
    <w:rsid w:val="0071643C"/>
    <w:rsid w:val="007164F3"/>
    <w:rsid w:val="007165C8"/>
    <w:rsid w:val="007166A3"/>
    <w:rsid w:val="00716701"/>
    <w:rsid w:val="00716754"/>
    <w:rsid w:val="007167A0"/>
    <w:rsid w:val="0071691B"/>
    <w:rsid w:val="00716923"/>
    <w:rsid w:val="00716A32"/>
    <w:rsid w:val="00716B4D"/>
    <w:rsid w:val="00716C0D"/>
    <w:rsid w:val="00716C12"/>
    <w:rsid w:val="00716C42"/>
    <w:rsid w:val="00716C88"/>
    <w:rsid w:val="00716D46"/>
    <w:rsid w:val="00716D8A"/>
    <w:rsid w:val="00716DF9"/>
    <w:rsid w:val="0071714E"/>
    <w:rsid w:val="007171C2"/>
    <w:rsid w:val="007172B0"/>
    <w:rsid w:val="0071732A"/>
    <w:rsid w:val="0071734C"/>
    <w:rsid w:val="0071747C"/>
    <w:rsid w:val="007174D9"/>
    <w:rsid w:val="007175E2"/>
    <w:rsid w:val="00717654"/>
    <w:rsid w:val="007178A5"/>
    <w:rsid w:val="007178AD"/>
    <w:rsid w:val="00717AFD"/>
    <w:rsid w:val="00717BDA"/>
    <w:rsid w:val="00717D8E"/>
    <w:rsid w:val="00717F12"/>
    <w:rsid w:val="00717F9B"/>
    <w:rsid w:val="0072006C"/>
    <w:rsid w:val="0072008E"/>
    <w:rsid w:val="00720136"/>
    <w:rsid w:val="00720142"/>
    <w:rsid w:val="0072035A"/>
    <w:rsid w:val="007203ED"/>
    <w:rsid w:val="00720571"/>
    <w:rsid w:val="00720650"/>
    <w:rsid w:val="0072065D"/>
    <w:rsid w:val="0072069C"/>
    <w:rsid w:val="00720746"/>
    <w:rsid w:val="00720764"/>
    <w:rsid w:val="007209D6"/>
    <w:rsid w:val="00720A13"/>
    <w:rsid w:val="00720A1B"/>
    <w:rsid w:val="00720A73"/>
    <w:rsid w:val="00720B02"/>
    <w:rsid w:val="00720BE0"/>
    <w:rsid w:val="00720C44"/>
    <w:rsid w:val="00720D53"/>
    <w:rsid w:val="00721016"/>
    <w:rsid w:val="007210E1"/>
    <w:rsid w:val="00721452"/>
    <w:rsid w:val="00721512"/>
    <w:rsid w:val="00721564"/>
    <w:rsid w:val="007216B6"/>
    <w:rsid w:val="0072170E"/>
    <w:rsid w:val="00721740"/>
    <w:rsid w:val="00721765"/>
    <w:rsid w:val="00721849"/>
    <w:rsid w:val="0072187E"/>
    <w:rsid w:val="0072199D"/>
    <w:rsid w:val="00721A88"/>
    <w:rsid w:val="00721C69"/>
    <w:rsid w:val="00721CBF"/>
    <w:rsid w:val="00721FBB"/>
    <w:rsid w:val="0072232A"/>
    <w:rsid w:val="00722391"/>
    <w:rsid w:val="007224B9"/>
    <w:rsid w:val="007224F7"/>
    <w:rsid w:val="0072252E"/>
    <w:rsid w:val="0072278C"/>
    <w:rsid w:val="007227C6"/>
    <w:rsid w:val="00722906"/>
    <w:rsid w:val="0072296F"/>
    <w:rsid w:val="00722980"/>
    <w:rsid w:val="00722A53"/>
    <w:rsid w:val="00722AE7"/>
    <w:rsid w:val="00722B52"/>
    <w:rsid w:val="00722B61"/>
    <w:rsid w:val="00722CAB"/>
    <w:rsid w:val="00722CBF"/>
    <w:rsid w:val="00722E9D"/>
    <w:rsid w:val="00722F6A"/>
    <w:rsid w:val="00722F81"/>
    <w:rsid w:val="00723194"/>
    <w:rsid w:val="00723334"/>
    <w:rsid w:val="00723396"/>
    <w:rsid w:val="0072351D"/>
    <w:rsid w:val="0072373A"/>
    <w:rsid w:val="007237FF"/>
    <w:rsid w:val="007238AA"/>
    <w:rsid w:val="00723908"/>
    <w:rsid w:val="0072397A"/>
    <w:rsid w:val="00723CD7"/>
    <w:rsid w:val="00723D34"/>
    <w:rsid w:val="00723F96"/>
    <w:rsid w:val="00724106"/>
    <w:rsid w:val="00724208"/>
    <w:rsid w:val="00724556"/>
    <w:rsid w:val="007246D2"/>
    <w:rsid w:val="007248A7"/>
    <w:rsid w:val="007248F0"/>
    <w:rsid w:val="0072490E"/>
    <w:rsid w:val="007249F4"/>
    <w:rsid w:val="00724B34"/>
    <w:rsid w:val="00724B85"/>
    <w:rsid w:val="00724CEB"/>
    <w:rsid w:val="00724D20"/>
    <w:rsid w:val="00724E3A"/>
    <w:rsid w:val="00724F5F"/>
    <w:rsid w:val="00724F7E"/>
    <w:rsid w:val="00724F94"/>
    <w:rsid w:val="00724FAF"/>
    <w:rsid w:val="0072502D"/>
    <w:rsid w:val="007251A8"/>
    <w:rsid w:val="007255AE"/>
    <w:rsid w:val="007255FC"/>
    <w:rsid w:val="007257C4"/>
    <w:rsid w:val="00725899"/>
    <w:rsid w:val="007258D6"/>
    <w:rsid w:val="007258EC"/>
    <w:rsid w:val="00725ABE"/>
    <w:rsid w:val="00725C33"/>
    <w:rsid w:val="00725EC9"/>
    <w:rsid w:val="00725F9D"/>
    <w:rsid w:val="00725FD8"/>
    <w:rsid w:val="00726035"/>
    <w:rsid w:val="00726094"/>
    <w:rsid w:val="007261B6"/>
    <w:rsid w:val="007262AE"/>
    <w:rsid w:val="00726320"/>
    <w:rsid w:val="00726347"/>
    <w:rsid w:val="00726361"/>
    <w:rsid w:val="007263E1"/>
    <w:rsid w:val="007265CA"/>
    <w:rsid w:val="0072681F"/>
    <w:rsid w:val="0072699D"/>
    <w:rsid w:val="007269A8"/>
    <w:rsid w:val="00726A12"/>
    <w:rsid w:val="00726A80"/>
    <w:rsid w:val="00726AD6"/>
    <w:rsid w:val="00726D6D"/>
    <w:rsid w:val="00726D9F"/>
    <w:rsid w:val="00726DC2"/>
    <w:rsid w:val="00726DEF"/>
    <w:rsid w:val="00726EB1"/>
    <w:rsid w:val="007270F5"/>
    <w:rsid w:val="007270F7"/>
    <w:rsid w:val="00727127"/>
    <w:rsid w:val="00727199"/>
    <w:rsid w:val="007271AD"/>
    <w:rsid w:val="007271E8"/>
    <w:rsid w:val="00727327"/>
    <w:rsid w:val="007273EF"/>
    <w:rsid w:val="007276FB"/>
    <w:rsid w:val="0072779F"/>
    <w:rsid w:val="007277DA"/>
    <w:rsid w:val="007278E5"/>
    <w:rsid w:val="007278F3"/>
    <w:rsid w:val="00727BDF"/>
    <w:rsid w:val="00727D10"/>
    <w:rsid w:val="00727E49"/>
    <w:rsid w:val="00727E92"/>
    <w:rsid w:val="0073008F"/>
    <w:rsid w:val="007300D7"/>
    <w:rsid w:val="007301A5"/>
    <w:rsid w:val="007302DD"/>
    <w:rsid w:val="007303C6"/>
    <w:rsid w:val="0073044C"/>
    <w:rsid w:val="00730470"/>
    <w:rsid w:val="007304F0"/>
    <w:rsid w:val="007308E3"/>
    <w:rsid w:val="00730909"/>
    <w:rsid w:val="00730A79"/>
    <w:rsid w:val="00730B40"/>
    <w:rsid w:val="00730B8F"/>
    <w:rsid w:val="00730BA1"/>
    <w:rsid w:val="00730D22"/>
    <w:rsid w:val="00730E4F"/>
    <w:rsid w:val="00730F5B"/>
    <w:rsid w:val="00730FD9"/>
    <w:rsid w:val="00731025"/>
    <w:rsid w:val="00731053"/>
    <w:rsid w:val="007310E6"/>
    <w:rsid w:val="00731139"/>
    <w:rsid w:val="0073121B"/>
    <w:rsid w:val="0073136F"/>
    <w:rsid w:val="00731413"/>
    <w:rsid w:val="0073145F"/>
    <w:rsid w:val="007314A3"/>
    <w:rsid w:val="007315CF"/>
    <w:rsid w:val="0073168C"/>
    <w:rsid w:val="0073191A"/>
    <w:rsid w:val="00731A7C"/>
    <w:rsid w:val="00731C15"/>
    <w:rsid w:val="00731D91"/>
    <w:rsid w:val="00731DB3"/>
    <w:rsid w:val="00731E47"/>
    <w:rsid w:val="00731F0E"/>
    <w:rsid w:val="00731F57"/>
    <w:rsid w:val="00731FB2"/>
    <w:rsid w:val="00732022"/>
    <w:rsid w:val="007322B9"/>
    <w:rsid w:val="00732443"/>
    <w:rsid w:val="007326E5"/>
    <w:rsid w:val="0073284E"/>
    <w:rsid w:val="007328DD"/>
    <w:rsid w:val="00732963"/>
    <w:rsid w:val="00732A74"/>
    <w:rsid w:val="00732A90"/>
    <w:rsid w:val="00732C0F"/>
    <w:rsid w:val="00732D16"/>
    <w:rsid w:val="00732F4F"/>
    <w:rsid w:val="00732F55"/>
    <w:rsid w:val="0073302E"/>
    <w:rsid w:val="007330B5"/>
    <w:rsid w:val="007331DC"/>
    <w:rsid w:val="0073320C"/>
    <w:rsid w:val="0073344C"/>
    <w:rsid w:val="007335BF"/>
    <w:rsid w:val="0073365A"/>
    <w:rsid w:val="00733886"/>
    <w:rsid w:val="00733958"/>
    <w:rsid w:val="0073395D"/>
    <w:rsid w:val="00733B60"/>
    <w:rsid w:val="00733C33"/>
    <w:rsid w:val="00733D2C"/>
    <w:rsid w:val="00733D3C"/>
    <w:rsid w:val="00733DC2"/>
    <w:rsid w:val="00733EC0"/>
    <w:rsid w:val="0073423A"/>
    <w:rsid w:val="00734410"/>
    <w:rsid w:val="00734482"/>
    <w:rsid w:val="007346AA"/>
    <w:rsid w:val="00734BC6"/>
    <w:rsid w:val="00734BE7"/>
    <w:rsid w:val="00734C5B"/>
    <w:rsid w:val="00734DBD"/>
    <w:rsid w:val="00734F76"/>
    <w:rsid w:val="00734FA5"/>
    <w:rsid w:val="00734FF9"/>
    <w:rsid w:val="007351DB"/>
    <w:rsid w:val="007353E8"/>
    <w:rsid w:val="00735496"/>
    <w:rsid w:val="007356D9"/>
    <w:rsid w:val="007356F2"/>
    <w:rsid w:val="00735738"/>
    <w:rsid w:val="007357F8"/>
    <w:rsid w:val="00735895"/>
    <w:rsid w:val="00735A91"/>
    <w:rsid w:val="007360B4"/>
    <w:rsid w:val="007360DF"/>
    <w:rsid w:val="007361DA"/>
    <w:rsid w:val="007363C1"/>
    <w:rsid w:val="007364D7"/>
    <w:rsid w:val="00736550"/>
    <w:rsid w:val="0073661D"/>
    <w:rsid w:val="0073685D"/>
    <w:rsid w:val="007369B7"/>
    <w:rsid w:val="00736A3B"/>
    <w:rsid w:val="00736A42"/>
    <w:rsid w:val="00736B43"/>
    <w:rsid w:val="00736B88"/>
    <w:rsid w:val="00736C0C"/>
    <w:rsid w:val="00736C92"/>
    <w:rsid w:val="00736D08"/>
    <w:rsid w:val="00736FE0"/>
    <w:rsid w:val="007370BC"/>
    <w:rsid w:val="00737109"/>
    <w:rsid w:val="00737543"/>
    <w:rsid w:val="007376B9"/>
    <w:rsid w:val="007378DE"/>
    <w:rsid w:val="007379BA"/>
    <w:rsid w:val="00737A1A"/>
    <w:rsid w:val="00737FBE"/>
    <w:rsid w:val="00737FF7"/>
    <w:rsid w:val="00740015"/>
    <w:rsid w:val="0074007D"/>
    <w:rsid w:val="007401DB"/>
    <w:rsid w:val="007402BF"/>
    <w:rsid w:val="00740334"/>
    <w:rsid w:val="00740379"/>
    <w:rsid w:val="0074047B"/>
    <w:rsid w:val="00740589"/>
    <w:rsid w:val="0074067B"/>
    <w:rsid w:val="007407AE"/>
    <w:rsid w:val="007408D7"/>
    <w:rsid w:val="00740A6C"/>
    <w:rsid w:val="00740A8F"/>
    <w:rsid w:val="00740AA8"/>
    <w:rsid w:val="00740B55"/>
    <w:rsid w:val="00740DE8"/>
    <w:rsid w:val="00740F8D"/>
    <w:rsid w:val="00740FD7"/>
    <w:rsid w:val="007412CD"/>
    <w:rsid w:val="0074130A"/>
    <w:rsid w:val="00741402"/>
    <w:rsid w:val="007415A8"/>
    <w:rsid w:val="007415FB"/>
    <w:rsid w:val="007416BC"/>
    <w:rsid w:val="00741798"/>
    <w:rsid w:val="007417B8"/>
    <w:rsid w:val="007417D0"/>
    <w:rsid w:val="007417DB"/>
    <w:rsid w:val="007418EF"/>
    <w:rsid w:val="00741AFE"/>
    <w:rsid w:val="00741BF1"/>
    <w:rsid w:val="00741BF2"/>
    <w:rsid w:val="00741C00"/>
    <w:rsid w:val="00741D93"/>
    <w:rsid w:val="00741DE2"/>
    <w:rsid w:val="00742017"/>
    <w:rsid w:val="0074204C"/>
    <w:rsid w:val="0074214E"/>
    <w:rsid w:val="007423BE"/>
    <w:rsid w:val="00742AEC"/>
    <w:rsid w:val="00742AFA"/>
    <w:rsid w:val="00742C6F"/>
    <w:rsid w:val="00742D46"/>
    <w:rsid w:val="00742D9E"/>
    <w:rsid w:val="00742ED1"/>
    <w:rsid w:val="0074308A"/>
    <w:rsid w:val="007430CC"/>
    <w:rsid w:val="007432F5"/>
    <w:rsid w:val="00743317"/>
    <w:rsid w:val="007433D9"/>
    <w:rsid w:val="0074342A"/>
    <w:rsid w:val="0074342B"/>
    <w:rsid w:val="0074342F"/>
    <w:rsid w:val="007436D5"/>
    <w:rsid w:val="00743752"/>
    <w:rsid w:val="00743850"/>
    <w:rsid w:val="00743857"/>
    <w:rsid w:val="007438BD"/>
    <w:rsid w:val="007438DD"/>
    <w:rsid w:val="00743ABD"/>
    <w:rsid w:val="00743C1D"/>
    <w:rsid w:val="00743C44"/>
    <w:rsid w:val="00743C59"/>
    <w:rsid w:val="007441FA"/>
    <w:rsid w:val="00744400"/>
    <w:rsid w:val="00744435"/>
    <w:rsid w:val="007444C6"/>
    <w:rsid w:val="007444D7"/>
    <w:rsid w:val="0074469B"/>
    <w:rsid w:val="00744797"/>
    <w:rsid w:val="00744799"/>
    <w:rsid w:val="007447ED"/>
    <w:rsid w:val="007447F6"/>
    <w:rsid w:val="00744A77"/>
    <w:rsid w:val="00744B02"/>
    <w:rsid w:val="00744C37"/>
    <w:rsid w:val="00744C98"/>
    <w:rsid w:val="00744DF0"/>
    <w:rsid w:val="00745024"/>
    <w:rsid w:val="00745268"/>
    <w:rsid w:val="00745572"/>
    <w:rsid w:val="007456FC"/>
    <w:rsid w:val="0074578F"/>
    <w:rsid w:val="00745797"/>
    <w:rsid w:val="007458A1"/>
    <w:rsid w:val="00745980"/>
    <w:rsid w:val="00745AE9"/>
    <w:rsid w:val="00745B0E"/>
    <w:rsid w:val="00745C0A"/>
    <w:rsid w:val="00745D16"/>
    <w:rsid w:val="00745D65"/>
    <w:rsid w:val="00745D8F"/>
    <w:rsid w:val="00745DEE"/>
    <w:rsid w:val="00745E6D"/>
    <w:rsid w:val="00745EBF"/>
    <w:rsid w:val="00745FAB"/>
    <w:rsid w:val="00745FCA"/>
    <w:rsid w:val="0074602B"/>
    <w:rsid w:val="0074606E"/>
    <w:rsid w:val="007461F2"/>
    <w:rsid w:val="0074622F"/>
    <w:rsid w:val="007462A6"/>
    <w:rsid w:val="0074634B"/>
    <w:rsid w:val="007464B4"/>
    <w:rsid w:val="00746567"/>
    <w:rsid w:val="007469F5"/>
    <w:rsid w:val="00746A71"/>
    <w:rsid w:val="00746AAD"/>
    <w:rsid w:val="00746AFD"/>
    <w:rsid w:val="00746B4C"/>
    <w:rsid w:val="00746B95"/>
    <w:rsid w:val="00746D39"/>
    <w:rsid w:val="00746DF1"/>
    <w:rsid w:val="00746ED7"/>
    <w:rsid w:val="00746F23"/>
    <w:rsid w:val="00746F29"/>
    <w:rsid w:val="00747012"/>
    <w:rsid w:val="007473E7"/>
    <w:rsid w:val="007474E3"/>
    <w:rsid w:val="007475DA"/>
    <w:rsid w:val="0074783C"/>
    <w:rsid w:val="00747881"/>
    <w:rsid w:val="007478D8"/>
    <w:rsid w:val="00747952"/>
    <w:rsid w:val="00747AAB"/>
    <w:rsid w:val="00747C0C"/>
    <w:rsid w:val="00747DC5"/>
    <w:rsid w:val="00747DD1"/>
    <w:rsid w:val="00747E70"/>
    <w:rsid w:val="00747E79"/>
    <w:rsid w:val="00747F13"/>
    <w:rsid w:val="00747F28"/>
    <w:rsid w:val="00747F4C"/>
    <w:rsid w:val="00747F79"/>
    <w:rsid w:val="0075016D"/>
    <w:rsid w:val="0075028C"/>
    <w:rsid w:val="0075040B"/>
    <w:rsid w:val="00750439"/>
    <w:rsid w:val="0075045E"/>
    <w:rsid w:val="007504BF"/>
    <w:rsid w:val="007505B6"/>
    <w:rsid w:val="00750620"/>
    <w:rsid w:val="0075081A"/>
    <w:rsid w:val="007509EE"/>
    <w:rsid w:val="00750A0F"/>
    <w:rsid w:val="00750AA9"/>
    <w:rsid w:val="00750B61"/>
    <w:rsid w:val="00750EDD"/>
    <w:rsid w:val="00750F7A"/>
    <w:rsid w:val="007510DB"/>
    <w:rsid w:val="007510E8"/>
    <w:rsid w:val="00751205"/>
    <w:rsid w:val="007514E7"/>
    <w:rsid w:val="00751527"/>
    <w:rsid w:val="0075159C"/>
    <w:rsid w:val="007516BF"/>
    <w:rsid w:val="007518B8"/>
    <w:rsid w:val="00751A33"/>
    <w:rsid w:val="00751AD6"/>
    <w:rsid w:val="00751AFF"/>
    <w:rsid w:val="00751B3A"/>
    <w:rsid w:val="00751BAB"/>
    <w:rsid w:val="00751BD6"/>
    <w:rsid w:val="00751D39"/>
    <w:rsid w:val="00751D46"/>
    <w:rsid w:val="00751F7E"/>
    <w:rsid w:val="00752015"/>
    <w:rsid w:val="00752230"/>
    <w:rsid w:val="007522BB"/>
    <w:rsid w:val="0075243D"/>
    <w:rsid w:val="0075261B"/>
    <w:rsid w:val="0075261C"/>
    <w:rsid w:val="007527D3"/>
    <w:rsid w:val="0075280D"/>
    <w:rsid w:val="00752834"/>
    <w:rsid w:val="00752853"/>
    <w:rsid w:val="007529CD"/>
    <w:rsid w:val="00752A54"/>
    <w:rsid w:val="00752ADB"/>
    <w:rsid w:val="00752AE8"/>
    <w:rsid w:val="00752CFB"/>
    <w:rsid w:val="00752D0F"/>
    <w:rsid w:val="00752DAF"/>
    <w:rsid w:val="00752F0E"/>
    <w:rsid w:val="00752F47"/>
    <w:rsid w:val="00752FC3"/>
    <w:rsid w:val="00752FE1"/>
    <w:rsid w:val="007530A5"/>
    <w:rsid w:val="0075315C"/>
    <w:rsid w:val="0075329E"/>
    <w:rsid w:val="00753348"/>
    <w:rsid w:val="007533D6"/>
    <w:rsid w:val="007533D8"/>
    <w:rsid w:val="00753447"/>
    <w:rsid w:val="0075361B"/>
    <w:rsid w:val="00753665"/>
    <w:rsid w:val="00753685"/>
    <w:rsid w:val="00753737"/>
    <w:rsid w:val="0075388A"/>
    <w:rsid w:val="007539C2"/>
    <w:rsid w:val="00753C39"/>
    <w:rsid w:val="00753ED6"/>
    <w:rsid w:val="00753F00"/>
    <w:rsid w:val="00753F02"/>
    <w:rsid w:val="00754034"/>
    <w:rsid w:val="0075406F"/>
    <w:rsid w:val="0075408E"/>
    <w:rsid w:val="00754182"/>
    <w:rsid w:val="00754318"/>
    <w:rsid w:val="0075439C"/>
    <w:rsid w:val="007544F2"/>
    <w:rsid w:val="00754655"/>
    <w:rsid w:val="0075479F"/>
    <w:rsid w:val="007547AB"/>
    <w:rsid w:val="00754807"/>
    <w:rsid w:val="00754808"/>
    <w:rsid w:val="00754867"/>
    <w:rsid w:val="00754909"/>
    <w:rsid w:val="00754982"/>
    <w:rsid w:val="007549B9"/>
    <w:rsid w:val="00754AD5"/>
    <w:rsid w:val="00754CF1"/>
    <w:rsid w:val="00754E46"/>
    <w:rsid w:val="00754E88"/>
    <w:rsid w:val="00755090"/>
    <w:rsid w:val="00755176"/>
    <w:rsid w:val="007552A0"/>
    <w:rsid w:val="00755371"/>
    <w:rsid w:val="007553C2"/>
    <w:rsid w:val="007553C7"/>
    <w:rsid w:val="00755726"/>
    <w:rsid w:val="007557D3"/>
    <w:rsid w:val="0075587A"/>
    <w:rsid w:val="007559D0"/>
    <w:rsid w:val="00755A3E"/>
    <w:rsid w:val="00755B01"/>
    <w:rsid w:val="00755B08"/>
    <w:rsid w:val="00755B0E"/>
    <w:rsid w:val="00755BC7"/>
    <w:rsid w:val="00755C79"/>
    <w:rsid w:val="00755E84"/>
    <w:rsid w:val="007560B1"/>
    <w:rsid w:val="0075616D"/>
    <w:rsid w:val="00756232"/>
    <w:rsid w:val="0075635F"/>
    <w:rsid w:val="00756865"/>
    <w:rsid w:val="0075690C"/>
    <w:rsid w:val="00756932"/>
    <w:rsid w:val="0075698A"/>
    <w:rsid w:val="007569F4"/>
    <w:rsid w:val="00756AD7"/>
    <w:rsid w:val="00756B02"/>
    <w:rsid w:val="00756B7F"/>
    <w:rsid w:val="00756BED"/>
    <w:rsid w:val="00756CC3"/>
    <w:rsid w:val="00756DFA"/>
    <w:rsid w:val="00756E26"/>
    <w:rsid w:val="00756E3F"/>
    <w:rsid w:val="00756F62"/>
    <w:rsid w:val="00757375"/>
    <w:rsid w:val="007574AC"/>
    <w:rsid w:val="007575DD"/>
    <w:rsid w:val="007576EA"/>
    <w:rsid w:val="0075799F"/>
    <w:rsid w:val="00757A10"/>
    <w:rsid w:val="00757A5D"/>
    <w:rsid w:val="00757B23"/>
    <w:rsid w:val="00757B3B"/>
    <w:rsid w:val="00757C8C"/>
    <w:rsid w:val="00757CC2"/>
    <w:rsid w:val="00757D7D"/>
    <w:rsid w:val="00757E9E"/>
    <w:rsid w:val="00757F0D"/>
    <w:rsid w:val="00757F26"/>
    <w:rsid w:val="00757FD1"/>
    <w:rsid w:val="0076047D"/>
    <w:rsid w:val="0076058C"/>
    <w:rsid w:val="007605E5"/>
    <w:rsid w:val="00760621"/>
    <w:rsid w:val="00760645"/>
    <w:rsid w:val="007607AF"/>
    <w:rsid w:val="007607D7"/>
    <w:rsid w:val="00760813"/>
    <w:rsid w:val="00760840"/>
    <w:rsid w:val="00760882"/>
    <w:rsid w:val="007609C8"/>
    <w:rsid w:val="00760D42"/>
    <w:rsid w:val="00760E0A"/>
    <w:rsid w:val="00760E65"/>
    <w:rsid w:val="00760E81"/>
    <w:rsid w:val="00760F19"/>
    <w:rsid w:val="00760F38"/>
    <w:rsid w:val="0076109D"/>
    <w:rsid w:val="00761740"/>
    <w:rsid w:val="0076180F"/>
    <w:rsid w:val="00761829"/>
    <w:rsid w:val="007618D2"/>
    <w:rsid w:val="007619AE"/>
    <w:rsid w:val="00761A5D"/>
    <w:rsid w:val="00761AC2"/>
    <w:rsid w:val="00761C45"/>
    <w:rsid w:val="00761DA1"/>
    <w:rsid w:val="00761E95"/>
    <w:rsid w:val="00761F26"/>
    <w:rsid w:val="00761FE6"/>
    <w:rsid w:val="00762235"/>
    <w:rsid w:val="00762296"/>
    <w:rsid w:val="007622DD"/>
    <w:rsid w:val="0076231E"/>
    <w:rsid w:val="007623B8"/>
    <w:rsid w:val="0076242B"/>
    <w:rsid w:val="0076258B"/>
    <w:rsid w:val="007626EC"/>
    <w:rsid w:val="007626F7"/>
    <w:rsid w:val="00762732"/>
    <w:rsid w:val="00762951"/>
    <w:rsid w:val="007629B4"/>
    <w:rsid w:val="00762AD7"/>
    <w:rsid w:val="00762B03"/>
    <w:rsid w:val="00762C0D"/>
    <w:rsid w:val="00762C1B"/>
    <w:rsid w:val="00762C21"/>
    <w:rsid w:val="00762C7D"/>
    <w:rsid w:val="00762D09"/>
    <w:rsid w:val="00762D36"/>
    <w:rsid w:val="00762DC4"/>
    <w:rsid w:val="00762E81"/>
    <w:rsid w:val="0076307A"/>
    <w:rsid w:val="007630BD"/>
    <w:rsid w:val="0076312B"/>
    <w:rsid w:val="007631EC"/>
    <w:rsid w:val="00763247"/>
    <w:rsid w:val="0076324C"/>
    <w:rsid w:val="007632D0"/>
    <w:rsid w:val="00763330"/>
    <w:rsid w:val="00763384"/>
    <w:rsid w:val="00763460"/>
    <w:rsid w:val="00763493"/>
    <w:rsid w:val="007636BD"/>
    <w:rsid w:val="007638BF"/>
    <w:rsid w:val="00763B44"/>
    <w:rsid w:val="00763CE6"/>
    <w:rsid w:val="00763CFE"/>
    <w:rsid w:val="00763D3B"/>
    <w:rsid w:val="00763EE0"/>
    <w:rsid w:val="00763EFD"/>
    <w:rsid w:val="00764062"/>
    <w:rsid w:val="00764101"/>
    <w:rsid w:val="00764167"/>
    <w:rsid w:val="007642FD"/>
    <w:rsid w:val="00764351"/>
    <w:rsid w:val="0076435C"/>
    <w:rsid w:val="00764424"/>
    <w:rsid w:val="00764478"/>
    <w:rsid w:val="007644BE"/>
    <w:rsid w:val="007645B9"/>
    <w:rsid w:val="00764759"/>
    <w:rsid w:val="00764760"/>
    <w:rsid w:val="007648ED"/>
    <w:rsid w:val="00764B8E"/>
    <w:rsid w:val="00764C4E"/>
    <w:rsid w:val="00764DCA"/>
    <w:rsid w:val="00764E16"/>
    <w:rsid w:val="00765081"/>
    <w:rsid w:val="007650E4"/>
    <w:rsid w:val="0076518E"/>
    <w:rsid w:val="007652AA"/>
    <w:rsid w:val="0076555C"/>
    <w:rsid w:val="007656CC"/>
    <w:rsid w:val="007658F4"/>
    <w:rsid w:val="00765BD0"/>
    <w:rsid w:val="00765BEF"/>
    <w:rsid w:val="00765C1F"/>
    <w:rsid w:val="00765CAF"/>
    <w:rsid w:val="00765DFE"/>
    <w:rsid w:val="00765E0C"/>
    <w:rsid w:val="00765F2B"/>
    <w:rsid w:val="00765FC1"/>
    <w:rsid w:val="00766273"/>
    <w:rsid w:val="007662D4"/>
    <w:rsid w:val="00766340"/>
    <w:rsid w:val="007664F5"/>
    <w:rsid w:val="007665DF"/>
    <w:rsid w:val="00766626"/>
    <w:rsid w:val="00766846"/>
    <w:rsid w:val="0076690B"/>
    <w:rsid w:val="0076696C"/>
    <w:rsid w:val="00766A2A"/>
    <w:rsid w:val="00766A6E"/>
    <w:rsid w:val="00766AA1"/>
    <w:rsid w:val="00766B1F"/>
    <w:rsid w:val="00766CCD"/>
    <w:rsid w:val="00766D53"/>
    <w:rsid w:val="00766E1C"/>
    <w:rsid w:val="00767069"/>
    <w:rsid w:val="00767163"/>
    <w:rsid w:val="007671D1"/>
    <w:rsid w:val="00767291"/>
    <w:rsid w:val="007672A4"/>
    <w:rsid w:val="007672B7"/>
    <w:rsid w:val="00767309"/>
    <w:rsid w:val="00767372"/>
    <w:rsid w:val="007673C7"/>
    <w:rsid w:val="00767519"/>
    <w:rsid w:val="00767562"/>
    <w:rsid w:val="00767565"/>
    <w:rsid w:val="00767602"/>
    <w:rsid w:val="0076765E"/>
    <w:rsid w:val="007676AB"/>
    <w:rsid w:val="007676B6"/>
    <w:rsid w:val="007677E0"/>
    <w:rsid w:val="00767825"/>
    <w:rsid w:val="00767AB6"/>
    <w:rsid w:val="00767AD8"/>
    <w:rsid w:val="00767B3E"/>
    <w:rsid w:val="00767BFE"/>
    <w:rsid w:val="00767CA1"/>
    <w:rsid w:val="00767E86"/>
    <w:rsid w:val="00767EDB"/>
    <w:rsid w:val="00767EE3"/>
    <w:rsid w:val="007700E8"/>
    <w:rsid w:val="007701B2"/>
    <w:rsid w:val="0077048D"/>
    <w:rsid w:val="007704AB"/>
    <w:rsid w:val="007704BB"/>
    <w:rsid w:val="00770501"/>
    <w:rsid w:val="00770640"/>
    <w:rsid w:val="0077068A"/>
    <w:rsid w:val="00770774"/>
    <w:rsid w:val="007707DE"/>
    <w:rsid w:val="00770973"/>
    <w:rsid w:val="00770A37"/>
    <w:rsid w:val="00770A87"/>
    <w:rsid w:val="00770C0A"/>
    <w:rsid w:val="00770C40"/>
    <w:rsid w:val="00770CBA"/>
    <w:rsid w:val="00770D60"/>
    <w:rsid w:val="00770D98"/>
    <w:rsid w:val="00770E8E"/>
    <w:rsid w:val="00770EC3"/>
    <w:rsid w:val="007710A9"/>
    <w:rsid w:val="007710C6"/>
    <w:rsid w:val="00771125"/>
    <w:rsid w:val="0077118E"/>
    <w:rsid w:val="007711D8"/>
    <w:rsid w:val="0077159C"/>
    <w:rsid w:val="007716AD"/>
    <w:rsid w:val="00771778"/>
    <w:rsid w:val="0077185A"/>
    <w:rsid w:val="00771969"/>
    <w:rsid w:val="00771999"/>
    <w:rsid w:val="00771A27"/>
    <w:rsid w:val="00771B34"/>
    <w:rsid w:val="00771B6C"/>
    <w:rsid w:val="00771B89"/>
    <w:rsid w:val="00771CE9"/>
    <w:rsid w:val="00771D9F"/>
    <w:rsid w:val="00771E2A"/>
    <w:rsid w:val="00771E5D"/>
    <w:rsid w:val="00771E63"/>
    <w:rsid w:val="00771F68"/>
    <w:rsid w:val="00771FE1"/>
    <w:rsid w:val="007720F5"/>
    <w:rsid w:val="007722A8"/>
    <w:rsid w:val="007722D4"/>
    <w:rsid w:val="007723A6"/>
    <w:rsid w:val="007723A7"/>
    <w:rsid w:val="0077245D"/>
    <w:rsid w:val="0077249B"/>
    <w:rsid w:val="00772577"/>
    <w:rsid w:val="0077286B"/>
    <w:rsid w:val="00772872"/>
    <w:rsid w:val="007729A1"/>
    <w:rsid w:val="00772B40"/>
    <w:rsid w:val="00772C83"/>
    <w:rsid w:val="00772E62"/>
    <w:rsid w:val="00772E7B"/>
    <w:rsid w:val="0077316F"/>
    <w:rsid w:val="00773278"/>
    <w:rsid w:val="00773458"/>
    <w:rsid w:val="0077347C"/>
    <w:rsid w:val="007734F6"/>
    <w:rsid w:val="00773550"/>
    <w:rsid w:val="007735AF"/>
    <w:rsid w:val="007735B5"/>
    <w:rsid w:val="007736D2"/>
    <w:rsid w:val="007736D3"/>
    <w:rsid w:val="0077384A"/>
    <w:rsid w:val="0077388A"/>
    <w:rsid w:val="007738C5"/>
    <w:rsid w:val="007739C1"/>
    <w:rsid w:val="007739EF"/>
    <w:rsid w:val="00773A63"/>
    <w:rsid w:val="00773B67"/>
    <w:rsid w:val="00773BEB"/>
    <w:rsid w:val="00773D91"/>
    <w:rsid w:val="00773DAD"/>
    <w:rsid w:val="00773E04"/>
    <w:rsid w:val="00773F01"/>
    <w:rsid w:val="0077403D"/>
    <w:rsid w:val="00774216"/>
    <w:rsid w:val="0077421B"/>
    <w:rsid w:val="007742BE"/>
    <w:rsid w:val="007742D8"/>
    <w:rsid w:val="0077452F"/>
    <w:rsid w:val="0077467F"/>
    <w:rsid w:val="007746C5"/>
    <w:rsid w:val="00774763"/>
    <w:rsid w:val="00774931"/>
    <w:rsid w:val="00774A41"/>
    <w:rsid w:val="00774ADE"/>
    <w:rsid w:val="00774B68"/>
    <w:rsid w:val="00774BF3"/>
    <w:rsid w:val="00774D4C"/>
    <w:rsid w:val="00774DE6"/>
    <w:rsid w:val="00774E0D"/>
    <w:rsid w:val="007750D0"/>
    <w:rsid w:val="00775133"/>
    <w:rsid w:val="0077516F"/>
    <w:rsid w:val="0077538F"/>
    <w:rsid w:val="007753E8"/>
    <w:rsid w:val="007753FE"/>
    <w:rsid w:val="00775486"/>
    <w:rsid w:val="007755FE"/>
    <w:rsid w:val="00775831"/>
    <w:rsid w:val="007758EF"/>
    <w:rsid w:val="007758FC"/>
    <w:rsid w:val="00775A28"/>
    <w:rsid w:val="00775B1B"/>
    <w:rsid w:val="00775B70"/>
    <w:rsid w:val="00775D9D"/>
    <w:rsid w:val="00775E84"/>
    <w:rsid w:val="00776014"/>
    <w:rsid w:val="007761BA"/>
    <w:rsid w:val="00776278"/>
    <w:rsid w:val="007764C0"/>
    <w:rsid w:val="00776564"/>
    <w:rsid w:val="0077662E"/>
    <w:rsid w:val="007766E1"/>
    <w:rsid w:val="007766EF"/>
    <w:rsid w:val="007768FF"/>
    <w:rsid w:val="00776958"/>
    <w:rsid w:val="00776BC1"/>
    <w:rsid w:val="00776BFA"/>
    <w:rsid w:val="00776C85"/>
    <w:rsid w:val="00776D7A"/>
    <w:rsid w:val="00776DA3"/>
    <w:rsid w:val="00776DB7"/>
    <w:rsid w:val="00776DBC"/>
    <w:rsid w:val="00776DE1"/>
    <w:rsid w:val="00776E2A"/>
    <w:rsid w:val="00776F44"/>
    <w:rsid w:val="00776F50"/>
    <w:rsid w:val="00776F75"/>
    <w:rsid w:val="00777030"/>
    <w:rsid w:val="0077747E"/>
    <w:rsid w:val="0077749A"/>
    <w:rsid w:val="007775A0"/>
    <w:rsid w:val="007775B2"/>
    <w:rsid w:val="007776A5"/>
    <w:rsid w:val="007776B9"/>
    <w:rsid w:val="0077772F"/>
    <w:rsid w:val="0077797C"/>
    <w:rsid w:val="00777AFA"/>
    <w:rsid w:val="00777C08"/>
    <w:rsid w:val="00777C90"/>
    <w:rsid w:val="00777EC2"/>
    <w:rsid w:val="00777F2A"/>
    <w:rsid w:val="0078018B"/>
    <w:rsid w:val="007801A6"/>
    <w:rsid w:val="0078048D"/>
    <w:rsid w:val="007804C8"/>
    <w:rsid w:val="00780574"/>
    <w:rsid w:val="007806C8"/>
    <w:rsid w:val="00780738"/>
    <w:rsid w:val="007807E0"/>
    <w:rsid w:val="00780929"/>
    <w:rsid w:val="00780B45"/>
    <w:rsid w:val="00780BB4"/>
    <w:rsid w:val="00780C22"/>
    <w:rsid w:val="00780D02"/>
    <w:rsid w:val="00780D11"/>
    <w:rsid w:val="00780E8C"/>
    <w:rsid w:val="00780EB6"/>
    <w:rsid w:val="00780F23"/>
    <w:rsid w:val="00780FA0"/>
    <w:rsid w:val="00781195"/>
    <w:rsid w:val="007811B4"/>
    <w:rsid w:val="007811E8"/>
    <w:rsid w:val="007813F2"/>
    <w:rsid w:val="00781456"/>
    <w:rsid w:val="00781496"/>
    <w:rsid w:val="00781535"/>
    <w:rsid w:val="0078153E"/>
    <w:rsid w:val="00781701"/>
    <w:rsid w:val="00781744"/>
    <w:rsid w:val="007817C5"/>
    <w:rsid w:val="00781893"/>
    <w:rsid w:val="007818B6"/>
    <w:rsid w:val="007818C2"/>
    <w:rsid w:val="00781A01"/>
    <w:rsid w:val="00781A17"/>
    <w:rsid w:val="00781C19"/>
    <w:rsid w:val="00781C83"/>
    <w:rsid w:val="00781CBE"/>
    <w:rsid w:val="00781EA4"/>
    <w:rsid w:val="00781EE7"/>
    <w:rsid w:val="0078203D"/>
    <w:rsid w:val="00782210"/>
    <w:rsid w:val="0078224A"/>
    <w:rsid w:val="0078227C"/>
    <w:rsid w:val="007823D5"/>
    <w:rsid w:val="007823F7"/>
    <w:rsid w:val="0078244A"/>
    <w:rsid w:val="0078247B"/>
    <w:rsid w:val="0078258E"/>
    <w:rsid w:val="00782668"/>
    <w:rsid w:val="00782679"/>
    <w:rsid w:val="00782911"/>
    <w:rsid w:val="0078294E"/>
    <w:rsid w:val="00782A9B"/>
    <w:rsid w:val="00782B26"/>
    <w:rsid w:val="00782B63"/>
    <w:rsid w:val="00782C48"/>
    <w:rsid w:val="00782C91"/>
    <w:rsid w:val="00782EA3"/>
    <w:rsid w:val="00783079"/>
    <w:rsid w:val="00783268"/>
    <w:rsid w:val="007832EC"/>
    <w:rsid w:val="0078337D"/>
    <w:rsid w:val="007833AD"/>
    <w:rsid w:val="007833CD"/>
    <w:rsid w:val="00783529"/>
    <w:rsid w:val="0078356D"/>
    <w:rsid w:val="00783653"/>
    <w:rsid w:val="0078366A"/>
    <w:rsid w:val="007837B6"/>
    <w:rsid w:val="00783943"/>
    <w:rsid w:val="0078396A"/>
    <w:rsid w:val="00783A50"/>
    <w:rsid w:val="00783B7C"/>
    <w:rsid w:val="00783BFB"/>
    <w:rsid w:val="00783C91"/>
    <w:rsid w:val="00783DF0"/>
    <w:rsid w:val="00783E82"/>
    <w:rsid w:val="00783F68"/>
    <w:rsid w:val="00783FED"/>
    <w:rsid w:val="007842FA"/>
    <w:rsid w:val="0078447C"/>
    <w:rsid w:val="007844DB"/>
    <w:rsid w:val="0078492A"/>
    <w:rsid w:val="00784D9C"/>
    <w:rsid w:val="00784E31"/>
    <w:rsid w:val="00784FE4"/>
    <w:rsid w:val="00784FEB"/>
    <w:rsid w:val="007851C0"/>
    <w:rsid w:val="00785327"/>
    <w:rsid w:val="007853FF"/>
    <w:rsid w:val="007854DF"/>
    <w:rsid w:val="007854E8"/>
    <w:rsid w:val="0078557B"/>
    <w:rsid w:val="007855D5"/>
    <w:rsid w:val="007856DF"/>
    <w:rsid w:val="007857F9"/>
    <w:rsid w:val="0078588B"/>
    <w:rsid w:val="00785B94"/>
    <w:rsid w:val="00785D17"/>
    <w:rsid w:val="00785E20"/>
    <w:rsid w:val="0078602B"/>
    <w:rsid w:val="00786080"/>
    <w:rsid w:val="00786137"/>
    <w:rsid w:val="0078622E"/>
    <w:rsid w:val="00786277"/>
    <w:rsid w:val="007863C4"/>
    <w:rsid w:val="007865B8"/>
    <w:rsid w:val="00786650"/>
    <w:rsid w:val="007866A2"/>
    <w:rsid w:val="00786717"/>
    <w:rsid w:val="007869AF"/>
    <w:rsid w:val="00786A22"/>
    <w:rsid w:val="00786A38"/>
    <w:rsid w:val="00786B1C"/>
    <w:rsid w:val="00786D88"/>
    <w:rsid w:val="00787070"/>
    <w:rsid w:val="007870DA"/>
    <w:rsid w:val="00787134"/>
    <w:rsid w:val="00787273"/>
    <w:rsid w:val="0078733B"/>
    <w:rsid w:val="00787361"/>
    <w:rsid w:val="00787480"/>
    <w:rsid w:val="00787826"/>
    <w:rsid w:val="00787871"/>
    <w:rsid w:val="007878AD"/>
    <w:rsid w:val="0078795E"/>
    <w:rsid w:val="00787993"/>
    <w:rsid w:val="00787A52"/>
    <w:rsid w:val="00787AC7"/>
    <w:rsid w:val="00787B34"/>
    <w:rsid w:val="00787D15"/>
    <w:rsid w:val="00787DC5"/>
    <w:rsid w:val="00787E56"/>
    <w:rsid w:val="00787EAD"/>
    <w:rsid w:val="00787EDA"/>
    <w:rsid w:val="00790007"/>
    <w:rsid w:val="00790018"/>
    <w:rsid w:val="007900BD"/>
    <w:rsid w:val="00790192"/>
    <w:rsid w:val="0079045F"/>
    <w:rsid w:val="007904F6"/>
    <w:rsid w:val="0079058A"/>
    <w:rsid w:val="0079070E"/>
    <w:rsid w:val="007907BE"/>
    <w:rsid w:val="00790982"/>
    <w:rsid w:val="00790998"/>
    <w:rsid w:val="00790AC4"/>
    <w:rsid w:val="00790B38"/>
    <w:rsid w:val="00790BAB"/>
    <w:rsid w:val="00790D44"/>
    <w:rsid w:val="00790D53"/>
    <w:rsid w:val="00790EA3"/>
    <w:rsid w:val="00790EEC"/>
    <w:rsid w:val="00790EF6"/>
    <w:rsid w:val="00790F06"/>
    <w:rsid w:val="00790F7C"/>
    <w:rsid w:val="007910DC"/>
    <w:rsid w:val="00791538"/>
    <w:rsid w:val="0079155F"/>
    <w:rsid w:val="00791594"/>
    <w:rsid w:val="00791635"/>
    <w:rsid w:val="00791698"/>
    <w:rsid w:val="00791716"/>
    <w:rsid w:val="007918D9"/>
    <w:rsid w:val="0079193B"/>
    <w:rsid w:val="00791961"/>
    <w:rsid w:val="007919E0"/>
    <w:rsid w:val="00791B6F"/>
    <w:rsid w:val="00791C6B"/>
    <w:rsid w:val="00791DF9"/>
    <w:rsid w:val="00791F58"/>
    <w:rsid w:val="00791F9E"/>
    <w:rsid w:val="00792070"/>
    <w:rsid w:val="007921C1"/>
    <w:rsid w:val="00792377"/>
    <w:rsid w:val="007923E3"/>
    <w:rsid w:val="007924DC"/>
    <w:rsid w:val="007925F8"/>
    <w:rsid w:val="00792658"/>
    <w:rsid w:val="007926A1"/>
    <w:rsid w:val="00792850"/>
    <w:rsid w:val="00792887"/>
    <w:rsid w:val="00792A85"/>
    <w:rsid w:val="00792B2B"/>
    <w:rsid w:val="00792B34"/>
    <w:rsid w:val="00792C94"/>
    <w:rsid w:val="00792DDF"/>
    <w:rsid w:val="00792E14"/>
    <w:rsid w:val="00792EE5"/>
    <w:rsid w:val="00792F40"/>
    <w:rsid w:val="00792FB9"/>
    <w:rsid w:val="007930A2"/>
    <w:rsid w:val="007930FE"/>
    <w:rsid w:val="0079317A"/>
    <w:rsid w:val="007932FB"/>
    <w:rsid w:val="0079343C"/>
    <w:rsid w:val="007934D1"/>
    <w:rsid w:val="0079356F"/>
    <w:rsid w:val="00793572"/>
    <w:rsid w:val="007935D3"/>
    <w:rsid w:val="007936BE"/>
    <w:rsid w:val="0079392B"/>
    <w:rsid w:val="00793CFB"/>
    <w:rsid w:val="00793DE7"/>
    <w:rsid w:val="00793F2E"/>
    <w:rsid w:val="00793FC3"/>
    <w:rsid w:val="00794087"/>
    <w:rsid w:val="00794171"/>
    <w:rsid w:val="007941C9"/>
    <w:rsid w:val="007942B5"/>
    <w:rsid w:val="007942F9"/>
    <w:rsid w:val="00794364"/>
    <w:rsid w:val="00794398"/>
    <w:rsid w:val="007945D6"/>
    <w:rsid w:val="007945E9"/>
    <w:rsid w:val="007946EE"/>
    <w:rsid w:val="0079479C"/>
    <w:rsid w:val="00794A18"/>
    <w:rsid w:val="00794A7F"/>
    <w:rsid w:val="00794A83"/>
    <w:rsid w:val="00794B83"/>
    <w:rsid w:val="00794BA0"/>
    <w:rsid w:val="00794BC9"/>
    <w:rsid w:val="00794BFB"/>
    <w:rsid w:val="00794C9A"/>
    <w:rsid w:val="00794CBE"/>
    <w:rsid w:val="00794D80"/>
    <w:rsid w:val="00794D95"/>
    <w:rsid w:val="00794ED7"/>
    <w:rsid w:val="00794F82"/>
    <w:rsid w:val="00795115"/>
    <w:rsid w:val="00795169"/>
    <w:rsid w:val="0079529B"/>
    <w:rsid w:val="00795413"/>
    <w:rsid w:val="00795436"/>
    <w:rsid w:val="00795469"/>
    <w:rsid w:val="007954D0"/>
    <w:rsid w:val="007954F5"/>
    <w:rsid w:val="007956F5"/>
    <w:rsid w:val="007957E6"/>
    <w:rsid w:val="0079590A"/>
    <w:rsid w:val="00795954"/>
    <w:rsid w:val="0079596A"/>
    <w:rsid w:val="00795A09"/>
    <w:rsid w:val="00795A23"/>
    <w:rsid w:val="00795AD2"/>
    <w:rsid w:val="00795B8F"/>
    <w:rsid w:val="00795C4A"/>
    <w:rsid w:val="00795CFC"/>
    <w:rsid w:val="00795E7C"/>
    <w:rsid w:val="0079618B"/>
    <w:rsid w:val="00796655"/>
    <w:rsid w:val="0079669E"/>
    <w:rsid w:val="007967A9"/>
    <w:rsid w:val="007967BB"/>
    <w:rsid w:val="00796861"/>
    <w:rsid w:val="007968DD"/>
    <w:rsid w:val="007968E5"/>
    <w:rsid w:val="007969C9"/>
    <w:rsid w:val="007969CE"/>
    <w:rsid w:val="00796A56"/>
    <w:rsid w:val="00796BE5"/>
    <w:rsid w:val="00796C06"/>
    <w:rsid w:val="00796C0E"/>
    <w:rsid w:val="00796DB6"/>
    <w:rsid w:val="00796DB8"/>
    <w:rsid w:val="00796E2B"/>
    <w:rsid w:val="00796E5B"/>
    <w:rsid w:val="00797041"/>
    <w:rsid w:val="00797260"/>
    <w:rsid w:val="00797274"/>
    <w:rsid w:val="0079748A"/>
    <w:rsid w:val="007974EB"/>
    <w:rsid w:val="007975C9"/>
    <w:rsid w:val="00797606"/>
    <w:rsid w:val="00797617"/>
    <w:rsid w:val="0079767D"/>
    <w:rsid w:val="007977C5"/>
    <w:rsid w:val="0079783E"/>
    <w:rsid w:val="00797844"/>
    <w:rsid w:val="00797904"/>
    <w:rsid w:val="00797950"/>
    <w:rsid w:val="00797C46"/>
    <w:rsid w:val="00797CAB"/>
    <w:rsid w:val="00797ECE"/>
    <w:rsid w:val="00797FD3"/>
    <w:rsid w:val="007A00FE"/>
    <w:rsid w:val="007A01B6"/>
    <w:rsid w:val="007A0246"/>
    <w:rsid w:val="007A029F"/>
    <w:rsid w:val="007A02D0"/>
    <w:rsid w:val="007A0567"/>
    <w:rsid w:val="007A0576"/>
    <w:rsid w:val="007A0627"/>
    <w:rsid w:val="007A07FD"/>
    <w:rsid w:val="007A09E8"/>
    <w:rsid w:val="007A0BDF"/>
    <w:rsid w:val="007A0BF8"/>
    <w:rsid w:val="007A0DCE"/>
    <w:rsid w:val="007A0E55"/>
    <w:rsid w:val="007A0F12"/>
    <w:rsid w:val="007A0F6D"/>
    <w:rsid w:val="007A10BE"/>
    <w:rsid w:val="007A11A7"/>
    <w:rsid w:val="007A11AA"/>
    <w:rsid w:val="007A126B"/>
    <w:rsid w:val="007A1474"/>
    <w:rsid w:val="007A1497"/>
    <w:rsid w:val="007A14D5"/>
    <w:rsid w:val="007A1575"/>
    <w:rsid w:val="007A1722"/>
    <w:rsid w:val="007A17E6"/>
    <w:rsid w:val="007A1A35"/>
    <w:rsid w:val="007A1A36"/>
    <w:rsid w:val="007A1C7F"/>
    <w:rsid w:val="007A1D39"/>
    <w:rsid w:val="007A1D82"/>
    <w:rsid w:val="007A1EC4"/>
    <w:rsid w:val="007A1F34"/>
    <w:rsid w:val="007A1F71"/>
    <w:rsid w:val="007A1F95"/>
    <w:rsid w:val="007A2204"/>
    <w:rsid w:val="007A22D4"/>
    <w:rsid w:val="007A2367"/>
    <w:rsid w:val="007A23A7"/>
    <w:rsid w:val="007A244E"/>
    <w:rsid w:val="007A247A"/>
    <w:rsid w:val="007A249F"/>
    <w:rsid w:val="007A24A5"/>
    <w:rsid w:val="007A253C"/>
    <w:rsid w:val="007A26B8"/>
    <w:rsid w:val="007A2707"/>
    <w:rsid w:val="007A274E"/>
    <w:rsid w:val="007A27D3"/>
    <w:rsid w:val="007A2A1B"/>
    <w:rsid w:val="007A2D86"/>
    <w:rsid w:val="007A2E33"/>
    <w:rsid w:val="007A2ED8"/>
    <w:rsid w:val="007A2F6F"/>
    <w:rsid w:val="007A3119"/>
    <w:rsid w:val="007A323B"/>
    <w:rsid w:val="007A331E"/>
    <w:rsid w:val="007A333C"/>
    <w:rsid w:val="007A3383"/>
    <w:rsid w:val="007A3435"/>
    <w:rsid w:val="007A3459"/>
    <w:rsid w:val="007A353E"/>
    <w:rsid w:val="007A367A"/>
    <w:rsid w:val="007A36C5"/>
    <w:rsid w:val="007A3770"/>
    <w:rsid w:val="007A3899"/>
    <w:rsid w:val="007A38FC"/>
    <w:rsid w:val="007A390C"/>
    <w:rsid w:val="007A39DC"/>
    <w:rsid w:val="007A39DF"/>
    <w:rsid w:val="007A3B7A"/>
    <w:rsid w:val="007A3C17"/>
    <w:rsid w:val="007A3CF2"/>
    <w:rsid w:val="007A3D02"/>
    <w:rsid w:val="007A3E40"/>
    <w:rsid w:val="007A3F52"/>
    <w:rsid w:val="007A4147"/>
    <w:rsid w:val="007A4218"/>
    <w:rsid w:val="007A43DD"/>
    <w:rsid w:val="007A4518"/>
    <w:rsid w:val="007A469E"/>
    <w:rsid w:val="007A46D9"/>
    <w:rsid w:val="007A482A"/>
    <w:rsid w:val="007A487E"/>
    <w:rsid w:val="007A4884"/>
    <w:rsid w:val="007A48DF"/>
    <w:rsid w:val="007A4986"/>
    <w:rsid w:val="007A4A76"/>
    <w:rsid w:val="007A4B9E"/>
    <w:rsid w:val="007A4BE2"/>
    <w:rsid w:val="007A4C3C"/>
    <w:rsid w:val="007A4CB2"/>
    <w:rsid w:val="007A4CFA"/>
    <w:rsid w:val="007A4F47"/>
    <w:rsid w:val="007A4F60"/>
    <w:rsid w:val="007A4FC2"/>
    <w:rsid w:val="007A4FEE"/>
    <w:rsid w:val="007A5003"/>
    <w:rsid w:val="007A50E7"/>
    <w:rsid w:val="007A5165"/>
    <w:rsid w:val="007A5178"/>
    <w:rsid w:val="007A5222"/>
    <w:rsid w:val="007A53D6"/>
    <w:rsid w:val="007A5599"/>
    <w:rsid w:val="007A571B"/>
    <w:rsid w:val="007A5785"/>
    <w:rsid w:val="007A58D7"/>
    <w:rsid w:val="007A58FF"/>
    <w:rsid w:val="007A596E"/>
    <w:rsid w:val="007A5993"/>
    <w:rsid w:val="007A6212"/>
    <w:rsid w:val="007A6253"/>
    <w:rsid w:val="007A630F"/>
    <w:rsid w:val="007A6320"/>
    <w:rsid w:val="007A6321"/>
    <w:rsid w:val="007A6420"/>
    <w:rsid w:val="007A65BD"/>
    <w:rsid w:val="007A6696"/>
    <w:rsid w:val="007A66DF"/>
    <w:rsid w:val="007A6721"/>
    <w:rsid w:val="007A6958"/>
    <w:rsid w:val="007A6B01"/>
    <w:rsid w:val="007A6C3E"/>
    <w:rsid w:val="007A6C44"/>
    <w:rsid w:val="007A6CE6"/>
    <w:rsid w:val="007A6D05"/>
    <w:rsid w:val="007A6DA0"/>
    <w:rsid w:val="007A70D1"/>
    <w:rsid w:val="007A73AF"/>
    <w:rsid w:val="007A73C6"/>
    <w:rsid w:val="007A73F7"/>
    <w:rsid w:val="007A7416"/>
    <w:rsid w:val="007A7458"/>
    <w:rsid w:val="007A74A6"/>
    <w:rsid w:val="007A76F0"/>
    <w:rsid w:val="007A77D9"/>
    <w:rsid w:val="007A77E1"/>
    <w:rsid w:val="007A7841"/>
    <w:rsid w:val="007A7AE5"/>
    <w:rsid w:val="007A7AF5"/>
    <w:rsid w:val="007A7B06"/>
    <w:rsid w:val="007A7CE9"/>
    <w:rsid w:val="007A7F02"/>
    <w:rsid w:val="007A7FDB"/>
    <w:rsid w:val="007B003C"/>
    <w:rsid w:val="007B010A"/>
    <w:rsid w:val="007B02A5"/>
    <w:rsid w:val="007B02C4"/>
    <w:rsid w:val="007B0314"/>
    <w:rsid w:val="007B054B"/>
    <w:rsid w:val="007B0555"/>
    <w:rsid w:val="007B059A"/>
    <w:rsid w:val="007B0753"/>
    <w:rsid w:val="007B08C5"/>
    <w:rsid w:val="007B0923"/>
    <w:rsid w:val="007B0A4D"/>
    <w:rsid w:val="007B0CA4"/>
    <w:rsid w:val="007B0CB1"/>
    <w:rsid w:val="007B0D13"/>
    <w:rsid w:val="007B0D3A"/>
    <w:rsid w:val="007B0E45"/>
    <w:rsid w:val="007B0EC3"/>
    <w:rsid w:val="007B0FE6"/>
    <w:rsid w:val="007B1054"/>
    <w:rsid w:val="007B1109"/>
    <w:rsid w:val="007B1151"/>
    <w:rsid w:val="007B1167"/>
    <w:rsid w:val="007B11AB"/>
    <w:rsid w:val="007B1327"/>
    <w:rsid w:val="007B1476"/>
    <w:rsid w:val="007B1744"/>
    <w:rsid w:val="007B179E"/>
    <w:rsid w:val="007B17A8"/>
    <w:rsid w:val="007B17B3"/>
    <w:rsid w:val="007B18D3"/>
    <w:rsid w:val="007B1A32"/>
    <w:rsid w:val="007B1A7D"/>
    <w:rsid w:val="007B1B78"/>
    <w:rsid w:val="007B1B84"/>
    <w:rsid w:val="007B1BC1"/>
    <w:rsid w:val="007B1BCB"/>
    <w:rsid w:val="007B1BF7"/>
    <w:rsid w:val="007B1F30"/>
    <w:rsid w:val="007B1FB5"/>
    <w:rsid w:val="007B205B"/>
    <w:rsid w:val="007B21A1"/>
    <w:rsid w:val="007B22EA"/>
    <w:rsid w:val="007B238F"/>
    <w:rsid w:val="007B2438"/>
    <w:rsid w:val="007B2478"/>
    <w:rsid w:val="007B26C1"/>
    <w:rsid w:val="007B273A"/>
    <w:rsid w:val="007B2847"/>
    <w:rsid w:val="007B28A8"/>
    <w:rsid w:val="007B2926"/>
    <w:rsid w:val="007B29AB"/>
    <w:rsid w:val="007B2AD8"/>
    <w:rsid w:val="007B2BE7"/>
    <w:rsid w:val="007B2C10"/>
    <w:rsid w:val="007B2D48"/>
    <w:rsid w:val="007B2DE2"/>
    <w:rsid w:val="007B2EF6"/>
    <w:rsid w:val="007B2FCF"/>
    <w:rsid w:val="007B3149"/>
    <w:rsid w:val="007B322D"/>
    <w:rsid w:val="007B3232"/>
    <w:rsid w:val="007B33C9"/>
    <w:rsid w:val="007B33F1"/>
    <w:rsid w:val="007B346E"/>
    <w:rsid w:val="007B35A2"/>
    <w:rsid w:val="007B366B"/>
    <w:rsid w:val="007B3ACD"/>
    <w:rsid w:val="007B3AE6"/>
    <w:rsid w:val="007B3BDF"/>
    <w:rsid w:val="007B3D74"/>
    <w:rsid w:val="007B3DBC"/>
    <w:rsid w:val="007B3F9B"/>
    <w:rsid w:val="007B406A"/>
    <w:rsid w:val="007B4190"/>
    <w:rsid w:val="007B4219"/>
    <w:rsid w:val="007B4323"/>
    <w:rsid w:val="007B4326"/>
    <w:rsid w:val="007B44B3"/>
    <w:rsid w:val="007B4548"/>
    <w:rsid w:val="007B4662"/>
    <w:rsid w:val="007B48B4"/>
    <w:rsid w:val="007B49A9"/>
    <w:rsid w:val="007B4C0F"/>
    <w:rsid w:val="007B4F3E"/>
    <w:rsid w:val="007B5007"/>
    <w:rsid w:val="007B5108"/>
    <w:rsid w:val="007B5167"/>
    <w:rsid w:val="007B5240"/>
    <w:rsid w:val="007B537E"/>
    <w:rsid w:val="007B5451"/>
    <w:rsid w:val="007B546E"/>
    <w:rsid w:val="007B5472"/>
    <w:rsid w:val="007B54ED"/>
    <w:rsid w:val="007B587A"/>
    <w:rsid w:val="007B5B80"/>
    <w:rsid w:val="007B5CF5"/>
    <w:rsid w:val="007B5E13"/>
    <w:rsid w:val="007B5E2A"/>
    <w:rsid w:val="007B5F6B"/>
    <w:rsid w:val="007B605B"/>
    <w:rsid w:val="007B61D3"/>
    <w:rsid w:val="007B6243"/>
    <w:rsid w:val="007B6286"/>
    <w:rsid w:val="007B6485"/>
    <w:rsid w:val="007B661A"/>
    <w:rsid w:val="007B674F"/>
    <w:rsid w:val="007B68FC"/>
    <w:rsid w:val="007B6974"/>
    <w:rsid w:val="007B69C4"/>
    <w:rsid w:val="007B6A9E"/>
    <w:rsid w:val="007B6B11"/>
    <w:rsid w:val="007B6BD7"/>
    <w:rsid w:val="007B6BED"/>
    <w:rsid w:val="007B6D16"/>
    <w:rsid w:val="007B6D32"/>
    <w:rsid w:val="007B6ED1"/>
    <w:rsid w:val="007B7062"/>
    <w:rsid w:val="007B70B4"/>
    <w:rsid w:val="007B7107"/>
    <w:rsid w:val="007B71AB"/>
    <w:rsid w:val="007B74D3"/>
    <w:rsid w:val="007B7511"/>
    <w:rsid w:val="007B754C"/>
    <w:rsid w:val="007B7590"/>
    <w:rsid w:val="007B75B9"/>
    <w:rsid w:val="007B767D"/>
    <w:rsid w:val="007B7746"/>
    <w:rsid w:val="007B7A03"/>
    <w:rsid w:val="007B7B9E"/>
    <w:rsid w:val="007B7BCD"/>
    <w:rsid w:val="007B7BE0"/>
    <w:rsid w:val="007B7BE2"/>
    <w:rsid w:val="007B7EC0"/>
    <w:rsid w:val="007C01A6"/>
    <w:rsid w:val="007C0380"/>
    <w:rsid w:val="007C0840"/>
    <w:rsid w:val="007C09CE"/>
    <w:rsid w:val="007C0AAA"/>
    <w:rsid w:val="007C0ABE"/>
    <w:rsid w:val="007C0B87"/>
    <w:rsid w:val="007C0F67"/>
    <w:rsid w:val="007C1062"/>
    <w:rsid w:val="007C109D"/>
    <w:rsid w:val="007C1177"/>
    <w:rsid w:val="007C13B3"/>
    <w:rsid w:val="007C1442"/>
    <w:rsid w:val="007C185D"/>
    <w:rsid w:val="007C187E"/>
    <w:rsid w:val="007C18A5"/>
    <w:rsid w:val="007C18FF"/>
    <w:rsid w:val="007C19DC"/>
    <w:rsid w:val="007C1B15"/>
    <w:rsid w:val="007C1C8D"/>
    <w:rsid w:val="007C1CC6"/>
    <w:rsid w:val="007C1CDC"/>
    <w:rsid w:val="007C1DA4"/>
    <w:rsid w:val="007C1E3F"/>
    <w:rsid w:val="007C1EED"/>
    <w:rsid w:val="007C1F58"/>
    <w:rsid w:val="007C2052"/>
    <w:rsid w:val="007C216E"/>
    <w:rsid w:val="007C22A0"/>
    <w:rsid w:val="007C22FB"/>
    <w:rsid w:val="007C2314"/>
    <w:rsid w:val="007C23A7"/>
    <w:rsid w:val="007C2443"/>
    <w:rsid w:val="007C25A5"/>
    <w:rsid w:val="007C26C3"/>
    <w:rsid w:val="007C28C9"/>
    <w:rsid w:val="007C29BA"/>
    <w:rsid w:val="007C29EF"/>
    <w:rsid w:val="007C2A18"/>
    <w:rsid w:val="007C2A3F"/>
    <w:rsid w:val="007C2AD8"/>
    <w:rsid w:val="007C2C6E"/>
    <w:rsid w:val="007C2D64"/>
    <w:rsid w:val="007C2DF4"/>
    <w:rsid w:val="007C2DF9"/>
    <w:rsid w:val="007C2E2D"/>
    <w:rsid w:val="007C2E96"/>
    <w:rsid w:val="007C3045"/>
    <w:rsid w:val="007C31DD"/>
    <w:rsid w:val="007C3257"/>
    <w:rsid w:val="007C32AE"/>
    <w:rsid w:val="007C32BE"/>
    <w:rsid w:val="007C32C4"/>
    <w:rsid w:val="007C3439"/>
    <w:rsid w:val="007C3548"/>
    <w:rsid w:val="007C3554"/>
    <w:rsid w:val="007C35A3"/>
    <w:rsid w:val="007C3627"/>
    <w:rsid w:val="007C37C0"/>
    <w:rsid w:val="007C37E2"/>
    <w:rsid w:val="007C384A"/>
    <w:rsid w:val="007C3A66"/>
    <w:rsid w:val="007C3B7D"/>
    <w:rsid w:val="007C3BF1"/>
    <w:rsid w:val="007C3CC2"/>
    <w:rsid w:val="007C3D15"/>
    <w:rsid w:val="007C3E00"/>
    <w:rsid w:val="007C3E43"/>
    <w:rsid w:val="007C3E53"/>
    <w:rsid w:val="007C3F22"/>
    <w:rsid w:val="007C4071"/>
    <w:rsid w:val="007C40AC"/>
    <w:rsid w:val="007C40D9"/>
    <w:rsid w:val="007C4327"/>
    <w:rsid w:val="007C4376"/>
    <w:rsid w:val="007C43CD"/>
    <w:rsid w:val="007C44F0"/>
    <w:rsid w:val="007C4690"/>
    <w:rsid w:val="007C4A18"/>
    <w:rsid w:val="007C4B2D"/>
    <w:rsid w:val="007C4B9F"/>
    <w:rsid w:val="007C4D76"/>
    <w:rsid w:val="007C4DAA"/>
    <w:rsid w:val="007C4DD0"/>
    <w:rsid w:val="007C4E48"/>
    <w:rsid w:val="007C4F74"/>
    <w:rsid w:val="007C5124"/>
    <w:rsid w:val="007C5266"/>
    <w:rsid w:val="007C52D6"/>
    <w:rsid w:val="007C538F"/>
    <w:rsid w:val="007C53E6"/>
    <w:rsid w:val="007C54ED"/>
    <w:rsid w:val="007C5662"/>
    <w:rsid w:val="007C583C"/>
    <w:rsid w:val="007C5892"/>
    <w:rsid w:val="007C598C"/>
    <w:rsid w:val="007C59E4"/>
    <w:rsid w:val="007C5AE5"/>
    <w:rsid w:val="007C5CA6"/>
    <w:rsid w:val="007C5CB5"/>
    <w:rsid w:val="007C5D33"/>
    <w:rsid w:val="007C5DDC"/>
    <w:rsid w:val="007C5E21"/>
    <w:rsid w:val="007C5E3B"/>
    <w:rsid w:val="007C5E3E"/>
    <w:rsid w:val="007C5EEA"/>
    <w:rsid w:val="007C5F15"/>
    <w:rsid w:val="007C5FFA"/>
    <w:rsid w:val="007C60EE"/>
    <w:rsid w:val="007C60F1"/>
    <w:rsid w:val="007C6157"/>
    <w:rsid w:val="007C622F"/>
    <w:rsid w:val="007C637A"/>
    <w:rsid w:val="007C639D"/>
    <w:rsid w:val="007C642F"/>
    <w:rsid w:val="007C668A"/>
    <w:rsid w:val="007C6716"/>
    <w:rsid w:val="007C6879"/>
    <w:rsid w:val="007C6916"/>
    <w:rsid w:val="007C694D"/>
    <w:rsid w:val="007C6A1D"/>
    <w:rsid w:val="007C6B2A"/>
    <w:rsid w:val="007C6C41"/>
    <w:rsid w:val="007C6C6A"/>
    <w:rsid w:val="007C6CFB"/>
    <w:rsid w:val="007C6D1F"/>
    <w:rsid w:val="007C6D8C"/>
    <w:rsid w:val="007C6DAB"/>
    <w:rsid w:val="007C6FBC"/>
    <w:rsid w:val="007C711A"/>
    <w:rsid w:val="007C717A"/>
    <w:rsid w:val="007C71F8"/>
    <w:rsid w:val="007C7204"/>
    <w:rsid w:val="007C720E"/>
    <w:rsid w:val="007C72F2"/>
    <w:rsid w:val="007C7454"/>
    <w:rsid w:val="007C74DF"/>
    <w:rsid w:val="007C74F2"/>
    <w:rsid w:val="007C7550"/>
    <w:rsid w:val="007C759B"/>
    <w:rsid w:val="007C75D2"/>
    <w:rsid w:val="007C77D1"/>
    <w:rsid w:val="007C78C0"/>
    <w:rsid w:val="007C78F2"/>
    <w:rsid w:val="007C79D3"/>
    <w:rsid w:val="007C7AB3"/>
    <w:rsid w:val="007C7C9F"/>
    <w:rsid w:val="007C7CF0"/>
    <w:rsid w:val="007C7EF8"/>
    <w:rsid w:val="007C7F16"/>
    <w:rsid w:val="007D00CA"/>
    <w:rsid w:val="007D01CB"/>
    <w:rsid w:val="007D025C"/>
    <w:rsid w:val="007D035A"/>
    <w:rsid w:val="007D03B2"/>
    <w:rsid w:val="007D03E5"/>
    <w:rsid w:val="007D03F0"/>
    <w:rsid w:val="007D03FF"/>
    <w:rsid w:val="007D0548"/>
    <w:rsid w:val="007D0573"/>
    <w:rsid w:val="007D0667"/>
    <w:rsid w:val="007D06A9"/>
    <w:rsid w:val="007D06E7"/>
    <w:rsid w:val="007D0724"/>
    <w:rsid w:val="007D07F9"/>
    <w:rsid w:val="007D08A5"/>
    <w:rsid w:val="007D08E4"/>
    <w:rsid w:val="007D0988"/>
    <w:rsid w:val="007D0A39"/>
    <w:rsid w:val="007D0B10"/>
    <w:rsid w:val="007D0C87"/>
    <w:rsid w:val="007D0E59"/>
    <w:rsid w:val="007D0FB4"/>
    <w:rsid w:val="007D104A"/>
    <w:rsid w:val="007D112F"/>
    <w:rsid w:val="007D12AA"/>
    <w:rsid w:val="007D15D9"/>
    <w:rsid w:val="007D161C"/>
    <w:rsid w:val="007D18F8"/>
    <w:rsid w:val="007D198A"/>
    <w:rsid w:val="007D1A77"/>
    <w:rsid w:val="007D1CD4"/>
    <w:rsid w:val="007D1E20"/>
    <w:rsid w:val="007D1F57"/>
    <w:rsid w:val="007D1F60"/>
    <w:rsid w:val="007D2064"/>
    <w:rsid w:val="007D20EC"/>
    <w:rsid w:val="007D20EE"/>
    <w:rsid w:val="007D21D8"/>
    <w:rsid w:val="007D21D9"/>
    <w:rsid w:val="007D2407"/>
    <w:rsid w:val="007D24CB"/>
    <w:rsid w:val="007D250A"/>
    <w:rsid w:val="007D2556"/>
    <w:rsid w:val="007D2788"/>
    <w:rsid w:val="007D28B8"/>
    <w:rsid w:val="007D2912"/>
    <w:rsid w:val="007D2924"/>
    <w:rsid w:val="007D2AA7"/>
    <w:rsid w:val="007D2C05"/>
    <w:rsid w:val="007D2CA7"/>
    <w:rsid w:val="007D2FC6"/>
    <w:rsid w:val="007D302A"/>
    <w:rsid w:val="007D322A"/>
    <w:rsid w:val="007D3395"/>
    <w:rsid w:val="007D33BA"/>
    <w:rsid w:val="007D3403"/>
    <w:rsid w:val="007D3643"/>
    <w:rsid w:val="007D3B8A"/>
    <w:rsid w:val="007D400F"/>
    <w:rsid w:val="007D40C2"/>
    <w:rsid w:val="007D40D2"/>
    <w:rsid w:val="007D418F"/>
    <w:rsid w:val="007D41D9"/>
    <w:rsid w:val="007D44FC"/>
    <w:rsid w:val="007D45FC"/>
    <w:rsid w:val="007D46AF"/>
    <w:rsid w:val="007D46D2"/>
    <w:rsid w:val="007D4958"/>
    <w:rsid w:val="007D4ADF"/>
    <w:rsid w:val="007D4AEF"/>
    <w:rsid w:val="007D4B12"/>
    <w:rsid w:val="007D4B18"/>
    <w:rsid w:val="007D4BFB"/>
    <w:rsid w:val="007D4CD6"/>
    <w:rsid w:val="007D4D98"/>
    <w:rsid w:val="007D4E4F"/>
    <w:rsid w:val="007D4F8A"/>
    <w:rsid w:val="007D4FA2"/>
    <w:rsid w:val="007D5006"/>
    <w:rsid w:val="007D5295"/>
    <w:rsid w:val="007D52E5"/>
    <w:rsid w:val="007D5392"/>
    <w:rsid w:val="007D5478"/>
    <w:rsid w:val="007D5564"/>
    <w:rsid w:val="007D556A"/>
    <w:rsid w:val="007D561E"/>
    <w:rsid w:val="007D56BD"/>
    <w:rsid w:val="007D56DE"/>
    <w:rsid w:val="007D573C"/>
    <w:rsid w:val="007D5B62"/>
    <w:rsid w:val="007D5C9D"/>
    <w:rsid w:val="007D5CC0"/>
    <w:rsid w:val="007D5EE3"/>
    <w:rsid w:val="007D5FE3"/>
    <w:rsid w:val="007D61E2"/>
    <w:rsid w:val="007D6237"/>
    <w:rsid w:val="007D62F4"/>
    <w:rsid w:val="007D63FF"/>
    <w:rsid w:val="007D6667"/>
    <w:rsid w:val="007D676C"/>
    <w:rsid w:val="007D6913"/>
    <w:rsid w:val="007D69E9"/>
    <w:rsid w:val="007D6A0A"/>
    <w:rsid w:val="007D6A11"/>
    <w:rsid w:val="007D6A38"/>
    <w:rsid w:val="007D6AD8"/>
    <w:rsid w:val="007D6CEB"/>
    <w:rsid w:val="007D6DF9"/>
    <w:rsid w:val="007D6E06"/>
    <w:rsid w:val="007D7101"/>
    <w:rsid w:val="007D736A"/>
    <w:rsid w:val="007D741C"/>
    <w:rsid w:val="007D75D8"/>
    <w:rsid w:val="007D75E4"/>
    <w:rsid w:val="007D7639"/>
    <w:rsid w:val="007D7698"/>
    <w:rsid w:val="007D7741"/>
    <w:rsid w:val="007D7825"/>
    <w:rsid w:val="007D78F4"/>
    <w:rsid w:val="007D7952"/>
    <w:rsid w:val="007D79F7"/>
    <w:rsid w:val="007D7B5B"/>
    <w:rsid w:val="007D7C08"/>
    <w:rsid w:val="007D7CF7"/>
    <w:rsid w:val="007D7F20"/>
    <w:rsid w:val="007E00AD"/>
    <w:rsid w:val="007E0246"/>
    <w:rsid w:val="007E03E5"/>
    <w:rsid w:val="007E042C"/>
    <w:rsid w:val="007E04D0"/>
    <w:rsid w:val="007E0790"/>
    <w:rsid w:val="007E07E8"/>
    <w:rsid w:val="007E08B8"/>
    <w:rsid w:val="007E08FF"/>
    <w:rsid w:val="007E0AC5"/>
    <w:rsid w:val="007E0BAF"/>
    <w:rsid w:val="007E0BD8"/>
    <w:rsid w:val="007E0CDC"/>
    <w:rsid w:val="007E0D59"/>
    <w:rsid w:val="007E0E75"/>
    <w:rsid w:val="007E0FE1"/>
    <w:rsid w:val="007E0FE8"/>
    <w:rsid w:val="007E1003"/>
    <w:rsid w:val="007E10FB"/>
    <w:rsid w:val="007E1121"/>
    <w:rsid w:val="007E116C"/>
    <w:rsid w:val="007E1288"/>
    <w:rsid w:val="007E12BC"/>
    <w:rsid w:val="007E1375"/>
    <w:rsid w:val="007E13EB"/>
    <w:rsid w:val="007E15BE"/>
    <w:rsid w:val="007E15E4"/>
    <w:rsid w:val="007E15EF"/>
    <w:rsid w:val="007E1794"/>
    <w:rsid w:val="007E17C9"/>
    <w:rsid w:val="007E1800"/>
    <w:rsid w:val="007E1925"/>
    <w:rsid w:val="007E1A87"/>
    <w:rsid w:val="007E1BDF"/>
    <w:rsid w:val="007E1BE5"/>
    <w:rsid w:val="007E1C76"/>
    <w:rsid w:val="007E1D55"/>
    <w:rsid w:val="007E1DB1"/>
    <w:rsid w:val="007E1DBA"/>
    <w:rsid w:val="007E1DF5"/>
    <w:rsid w:val="007E1E74"/>
    <w:rsid w:val="007E1EC5"/>
    <w:rsid w:val="007E1FF3"/>
    <w:rsid w:val="007E213C"/>
    <w:rsid w:val="007E229B"/>
    <w:rsid w:val="007E24AF"/>
    <w:rsid w:val="007E24BA"/>
    <w:rsid w:val="007E2689"/>
    <w:rsid w:val="007E2914"/>
    <w:rsid w:val="007E2B3D"/>
    <w:rsid w:val="007E2D09"/>
    <w:rsid w:val="007E2E44"/>
    <w:rsid w:val="007E2EA3"/>
    <w:rsid w:val="007E2F5F"/>
    <w:rsid w:val="007E3037"/>
    <w:rsid w:val="007E30FA"/>
    <w:rsid w:val="007E35F4"/>
    <w:rsid w:val="007E35F7"/>
    <w:rsid w:val="007E3605"/>
    <w:rsid w:val="007E36BE"/>
    <w:rsid w:val="007E36F3"/>
    <w:rsid w:val="007E383D"/>
    <w:rsid w:val="007E3904"/>
    <w:rsid w:val="007E392F"/>
    <w:rsid w:val="007E39C5"/>
    <w:rsid w:val="007E3A44"/>
    <w:rsid w:val="007E3B31"/>
    <w:rsid w:val="007E3D6F"/>
    <w:rsid w:val="007E3D8F"/>
    <w:rsid w:val="007E3E41"/>
    <w:rsid w:val="007E3F7F"/>
    <w:rsid w:val="007E4218"/>
    <w:rsid w:val="007E42D4"/>
    <w:rsid w:val="007E4487"/>
    <w:rsid w:val="007E4564"/>
    <w:rsid w:val="007E4598"/>
    <w:rsid w:val="007E4966"/>
    <w:rsid w:val="007E4CE4"/>
    <w:rsid w:val="007E4E63"/>
    <w:rsid w:val="007E4ECC"/>
    <w:rsid w:val="007E4F62"/>
    <w:rsid w:val="007E4FE0"/>
    <w:rsid w:val="007E50B6"/>
    <w:rsid w:val="007E5361"/>
    <w:rsid w:val="007E54C4"/>
    <w:rsid w:val="007E54CE"/>
    <w:rsid w:val="007E55CD"/>
    <w:rsid w:val="007E565B"/>
    <w:rsid w:val="007E587A"/>
    <w:rsid w:val="007E5993"/>
    <w:rsid w:val="007E5BA6"/>
    <w:rsid w:val="007E5C56"/>
    <w:rsid w:val="007E5D3F"/>
    <w:rsid w:val="007E5FBE"/>
    <w:rsid w:val="007E609E"/>
    <w:rsid w:val="007E60E8"/>
    <w:rsid w:val="007E614D"/>
    <w:rsid w:val="007E61B2"/>
    <w:rsid w:val="007E61D7"/>
    <w:rsid w:val="007E64C5"/>
    <w:rsid w:val="007E65C6"/>
    <w:rsid w:val="007E6636"/>
    <w:rsid w:val="007E6699"/>
    <w:rsid w:val="007E6A3C"/>
    <w:rsid w:val="007E6A92"/>
    <w:rsid w:val="007E6C12"/>
    <w:rsid w:val="007E6CC3"/>
    <w:rsid w:val="007E7048"/>
    <w:rsid w:val="007E7055"/>
    <w:rsid w:val="007E705C"/>
    <w:rsid w:val="007E70BB"/>
    <w:rsid w:val="007E7139"/>
    <w:rsid w:val="007E7777"/>
    <w:rsid w:val="007E7820"/>
    <w:rsid w:val="007E783B"/>
    <w:rsid w:val="007E7899"/>
    <w:rsid w:val="007E799C"/>
    <w:rsid w:val="007E79D9"/>
    <w:rsid w:val="007E7C67"/>
    <w:rsid w:val="007F0035"/>
    <w:rsid w:val="007F02E8"/>
    <w:rsid w:val="007F0386"/>
    <w:rsid w:val="007F03B1"/>
    <w:rsid w:val="007F0554"/>
    <w:rsid w:val="007F058D"/>
    <w:rsid w:val="007F083C"/>
    <w:rsid w:val="007F08BF"/>
    <w:rsid w:val="007F090E"/>
    <w:rsid w:val="007F0918"/>
    <w:rsid w:val="007F092B"/>
    <w:rsid w:val="007F09F3"/>
    <w:rsid w:val="007F0A01"/>
    <w:rsid w:val="007F0B04"/>
    <w:rsid w:val="007F0B91"/>
    <w:rsid w:val="007F0C7C"/>
    <w:rsid w:val="007F0DB1"/>
    <w:rsid w:val="007F0F2E"/>
    <w:rsid w:val="007F1161"/>
    <w:rsid w:val="007F11E3"/>
    <w:rsid w:val="007F124F"/>
    <w:rsid w:val="007F1274"/>
    <w:rsid w:val="007F133E"/>
    <w:rsid w:val="007F13EA"/>
    <w:rsid w:val="007F153C"/>
    <w:rsid w:val="007F1912"/>
    <w:rsid w:val="007F19C4"/>
    <w:rsid w:val="007F1A05"/>
    <w:rsid w:val="007F1A7D"/>
    <w:rsid w:val="007F1AE1"/>
    <w:rsid w:val="007F1D38"/>
    <w:rsid w:val="007F1D6F"/>
    <w:rsid w:val="007F1F3A"/>
    <w:rsid w:val="007F1F56"/>
    <w:rsid w:val="007F1FD9"/>
    <w:rsid w:val="007F1FDB"/>
    <w:rsid w:val="007F2333"/>
    <w:rsid w:val="007F23B0"/>
    <w:rsid w:val="007F23E1"/>
    <w:rsid w:val="007F2574"/>
    <w:rsid w:val="007F2688"/>
    <w:rsid w:val="007F2789"/>
    <w:rsid w:val="007F27F0"/>
    <w:rsid w:val="007F28E1"/>
    <w:rsid w:val="007F291A"/>
    <w:rsid w:val="007F2981"/>
    <w:rsid w:val="007F2A01"/>
    <w:rsid w:val="007F2AF7"/>
    <w:rsid w:val="007F2B86"/>
    <w:rsid w:val="007F2BB6"/>
    <w:rsid w:val="007F2C5A"/>
    <w:rsid w:val="007F2C68"/>
    <w:rsid w:val="007F2C6B"/>
    <w:rsid w:val="007F2D86"/>
    <w:rsid w:val="007F2DD8"/>
    <w:rsid w:val="007F2E50"/>
    <w:rsid w:val="007F2E5C"/>
    <w:rsid w:val="007F2ECA"/>
    <w:rsid w:val="007F2F7D"/>
    <w:rsid w:val="007F322F"/>
    <w:rsid w:val="007F32AA"/>
    <w:rsid w:val="007F3381"/>
    <w:rsid w:val="007F36AD"/>
    <w:rsid w:val="007F3750"/>
    <w:rsid w:val="007F392F"/>
    <w:rsid w:val="007F398A"/>
    <w:rsid w:val="007F3A02"/>
    <w:rsid w:val="007F3AE4"/>
    <w:rsid w:val="007F3B1F"/>
    <w:rsid w:val="007F3B96"/>
    <w:rsid w:val="007F3C3E"/>
    <w:rsid w:val="007F3CAB"/>
    <w:rsid w:val="007F3CE5"/>
    <w:rsid w:val="007F3D32"/>
    <w:rsid w:val="007F3DD5"/>
    <w:rsid w:val="007F4097"/>
    <w:rsid w:val="007F4169"/>
    <w:rsid w:val="007F4193"/>
    <w:rsid w:val="007F41C5"/>
    <w:rsid w:val="007F4439"/>
    <w:rsid w:val="007F45E7"/>
    <w:rsid w:val="007F4658"/>
    <w:rsid w:val="007F46D5"/>
    <w:rsid w:val="007F4780"/>
    <w:rsid w:val="007F4791"/>
    <w:rsid w:val="007F47EF"/>
    <w:rsid w:val="007F4909"/>
    <w:rsid w:val="007F4944"/>
    <w:rsid w:val="007F4987"/>
    <w:rsid w:val="007F4C4D"/>
    <w:rsid w:val="007F4C98"/>
    <w:rsid w:val="007F4D83"/>
    <w:rsid w:val="007F4D8C"/>
    <w:rsid w:val="007F4D8D"/>
    <w:rsid w:val="007F4E7D"/>
    <w:rsid w:val="007F4EC9"/>
    <w:rsid w:val="007F4EF2"/>
    <w:rsid w:val="007F4EF6"/>
    <w:rsid w:val="007F4FBC"/>
    <w:rsid w:val="007F4FED"/>
    <w:rsid w:val="007F5214"/>
    <w:rsid w:val="007F52BC"/>
    <w:rsid w:val="007F5409"/>
    <w:rsid w:val="007F561D"/>
    <w:rsid w:val="007F5788"/>
    <w:rsid w:val="007F57B6"/>
    <w:rsid w:val="007F5936"/>
    <w:rsid w:val="007F5940"/>
    <w:rsid w:val="007F5967"/>
    <w:rsid w:val="007F5A50"/>
    <w:rsid w:val="007F5D62"/>
    <w:rsid w:val="007F5DF1"/>
    <w:rsid w:val="007F5F07"/>
    <w:rsid w:val="007F5FD2"/>
    <w:rsid w:val="007F60B4"/>
    <w:rsid w:val="007F60DA"/>
    <w:rsid w:val="007F60DB"/>
    <w:rsid w:val="007F61E3"/>
    <w:rsid w:val="007F6279"/>
    <w:rsid w:val="007F6522"/>
    <w:rsid w:val="007F667E"/>
    <w:rsid w:val="007F675B"/>
    <w:rsid w:val="007F682B"/>
    <w:rsid w:val="007F6882"/>
    <w:rsid w:val="007F68CC"/>
    <w:rsid w:val="007F6988"/>
    <w:rsid w:val="007F6A02"/>
    <w:rsid w:val="007F6A8A"/>
    <w:rsid w:val="007F6CC1"/>
    <w:rsid w:val="007F6E95"/>
    <w:rsid w:val="007F6EAA"/>
    <w:rsid w:val="007F6EF4"/>
    <w:rsid w:val="007F7014"/>
    <w:rsid w:val="007F706D"/>
    <w:rsid w:val="007F7163"/>
    <w:rsid w:val="007F7316"/>
    <w:rsid w:val="007F760C"/>
    <w:rsid w:val="007F763F"/>
    <w:rsid w:val="007F769B"/>
    <w:rsid w:val="007F79D2"/>
    <w:rsid w:val="007F7B58"/>
    <w:rsid w:val="007F7B99"/>
    <w:rsid w:val="007F7CA8"/>
    <w:rsid w:val="007F7DBB"/>
    <w:rsid w:val="007F7E38"/>
    <w:rsid w:val="007F7E3F"/>
    <w:rsid w:val="007F7EA1"/>
    <w:rsid w:val="007F7EB9"/>
    <w:rsid w:val="007F7F9E"/>
    <w:rsid w:val="00800091"/>
    <w:rsid w:val="008000A3"/>
    <w:rsid w:val="008002F0"/>
    <w:rsid w:val="0080032F"/>
    <w:rsid w:val="008003CB"/>
    <w:rsid w:val="008004AF"/>
    <w:rsid w:val="0080056A"/>
    <w:rsid w:val="0080057B"/>
    <w:rsid w:val="0080072F"/>
    <w:rsid w:val="0080078B"/>
    <w:rsid w:val="00800793"/>
    <w:rsid w:val="008008FB"/>
    <w:rsid w:val="008009A0"/>
    <w:rsid w:val="008009C2"/>
    <w:rsid w:val="00800A14"/>
    <w:rsid w:val="00800ADE"/>
    <w:rsid w:val="00800C47"/>
    <w:rsid w:val="00800CC7"/>
    <w:rsid w:val="00800D53"/>
    <w:rsid w:val="00800DF4"/>
    <w:rsid w:val="00800F14"/>
    <w:rsid w:val="00800FA2"/>
    <w:rsid w:val="008010B2"/>
    <w:rsid w:val="0080120D"/>
    <w:rsid w:val="0080127E"/>
    <w:rsid w:val="00801290"/>
    <w:rsid w:val="0080132D"/>
    <w:rsid w:val="00801374"/>
    <w:rsid w:val="008013BC"/>
    <w:rsid w:val="00801622"/>
    <w:rsid w:val="0080166C"/>
    <w:rsid w:val="008016EB"/>
    <w:rsid w:val="00801703"/>
    <w:rsid w:val="00801718"/>
    <w:rsid w:val="008017D0"/>
    <w:rsid w:val="0080186D"/>
    <w:rsid w:val="00801AD8"/>
    <w:rsid w:val="00801AED"/>
    <w:rsid w:val="00801B09"/>
    <w:rsid w:val="00801BEE"/>
    <w:rsid w:val="00801C6B"/>
    <w:rsid w:val="00801E4F"/>
    <w:rsid w:val="00801E8B"/>
    <w:rsid w:val="00801F2D"/>
    <w:rsid w:val="0080244D"/>
    <w:rsid w:val="00802475"/>
    <w:rsid w:val="008024FE"/>
    <w:rsid w:val="00802532"/>
    <w:rsid w:val="00802638"/>
    <w:rsid w:val="00802820"/>
    <w:rsid w:val="008028D7"/>
    <w:rsid w:val="00802C30"/>
    <w:rsid w:val="008031D5"/>
    <w:rsid w:val="008031EE"/>
    <w:rsid w:val="0080328B"/>
    <w:rsid w:val="008032D2"/>
    <w:rsid w:val="00803458"/>
    <w:rsid w:val="00803558"/>
    <w:rsid w:val="008035B6"/>
    <w:rsid w:val="00803652"/>
    <w:rsid w:val="008038A5"/>
    <w:rsid w:val="008038E6"/>
    <w:rsid w:val="00803AA6"/>
    <w:rsid w:val="00803B9F"/>
    <w:rsid w:val="00803BC8"/>
    <w:rsid w:val="00803C78"/>
    <w:rsid w:val="0080404D"/>
    <w:rsid w:val="00804051"/>
    <w:rsid w:val="00804094"/>
    <w:rsid w:val="0080413F"/>
    <w:rsid w:val="00804220"/>
    <w:rsid w:val="00804280"/>
    <w:rsid w:val="00804326"/>
    <w:rsid w:val="008044D7"/>
    <w:rsid w:val="00804512"/>
    <w:rsid w:val="00804535"/>
    <w:rsid w:val="00804546"/>
    <w:rsid w:val="00804578"/>
    <w:rsid w:val="00804595"/>
    <w:rsid w:val="00804926"/>
    <w:rsid w:val="00804947"/>
    <w:rsid w:val="0080497A"/>
    <w:rsid w:val="00804985"/>
    <w:rsid w:val="00804A10"/>
    <w:rsid w:val="00804BD0"/>
    <w:rsid w:val="00804CAB"/>
    <w:rsid w:val="00804D13"/>
    <w:rsid w:val="00804D14"/>
    <w:rsid w:val="00804D17"/>
    <w:rsid w:val="00804D5B"/>
    <w:rsid w:val="00804F69"/>
    <w:rsid w:val="00804FAE"/>
    <w:rsid w:val="00804FD8"/>
    <w:rsid w:val="008050F9"/>
    <w:rsid w:val="008051ED"/>
    <w:rsid w:val="00805380"/>
    <w:rsid w:val="008053A7"/>
    <w:rsid w:val="008053AD"/>
    <w:rsid w:val="0080567C"/>
    <w:rsid w:val="008056B4"/>
    <w:rsid w:val="008056D5"/>
    <w:rsid w:val="008057CF"/>
    <w:rsid w:val="00805823"/>
    <w:rsid w:val="00805891"/>
    <w:rsid w:val="008058B6"/>
    <w:rsid w:val="008059FD"/>
    <w:rsid w:val="00805A7A"/>
    <w:rsid w:val="00805A96"/>
    <w:rsid w:val="00805B27"/>
    <w:rsid w:val="00805B7C"/>
    <w:rsid w:val="00805D4E"/>
    <w:rsid w:val="00805DE3"/>
    <w:rsid w:val="00806158"/>
    <w:rsid w:val="00806180"/>
    <w:rsid w:val="00806250"/>
    <w:rsid w:val="008062DB"/>
    <w:rsid w:val="008062DD"/>
    <w:rsid w:val="0080637E"/>
    <w:rsid w:val="00806392"/>
    <w:rsid w:val="00806506"/>
    <w:rsid w:val="00806707"/>
    <w:rsid w:val="0080676B"/>
    <w:rsid w:val="0080680F"/>
    <w:rsid w:val="008068BE"/>
    <w:rsid w:val="0080690F"/>
    <w:rsid w:val="00806A8D"/>
    <w:rsid w:val="00806C11"/>
    <w:rsid w:val="00806E44"/>
    <w:rsid w:val="00806F62"/>
    <w:rsid w:val="00806FA2"/>
    <w:rsid w:val="00806FAA"/>
    <w:rsid w:val="00806FE2"/>
    <w:rsid w:val="0080716A"/>
    <w:rsid w:val="0080718F"/>
    <w:rsid w:val="008071A5"/>
    <w:rsid w:val="008071E0"/>
    <w:rsid w:val="00807407"/>
    <w:rsid w:val="0080740F"/>
    <w:rsid w:val="00807415"/>
    <w:rsid w:val="00807480"/>
    <w:rsid w:val="0080758E"/>
    <w:rsid w:val="0080763E"/>
    <w:rsid w:val="008076AB"/>
    <w:rsid w:val="00807727"/>
    <w:rsid w:val="008077DE"/>
    <w:rsid w:val="00807816"/>
    <w:rsid w:val="008078E3"/>
    <w:rsid w:val="0080790E"/>
    <w:rsid w:val="00807959"/>
    <w:rsid w:val="00807A40"/>
    <w:rsid w:val="00807AC3"/>
    <w:rsid w:val="00807ADB"/>
    <w:rsid w:val="00807AFB"/>
    <w:rsid w:val="00807B43"/>
    <w:rsid w:val="00807D7B"/>
    <w:rsid w:val="00807EC3"/>
    <w:rsid w:val="00807F2D"/>
    <w:rsid w:val="008100C0"/>
    <w:rsid w:val="00810171"/>
    <w:rsid w:val="008102DB"/>
    <w:rsid w:val="008103FB"/>
    <w:rsid w:val="008105AF"/>
    <w:rsid w:val="00810632"/>
    <w:rsid w:val="00810640"/>
    <w:rsid w:val="008106E4"/>
    <w:rsid w:val="0081072D"/>
    <w:rsid w:val="00810769"/>
    <w:rsid w:val="0081079C"/>
    <w:rsid w:val="008108A0"/>
    <w:rsid w:val="008108C7"/>
    <w:rsid w:val="008108D1"/>
    <w:rsid w:val="008109F7"/>
    <w:rsid w:val="00810A74"/>
    <w:rsid w:val="00810AD7"/>
    <w:rsid w:val="00810AD9"/>
    <w:rsid w:val="00810B99"/>
    <w:rsid w:val="00810F41"/>
    <w:rsid w:val="00810F48"/>
    <w:rsid w:val="0081100A"/>
    <w:rsid w:val="0081100F"/>
    <w:rsid w:val="00811273"/>
    <w:rsid w:val="008113F3"/>
    <w:rsid w:val="0081157D"/>
    <w:rsid w:val="0081179B"/>
    <w:rsid w:val="00811AF3"/>
    <w:rsid w:val="00811B7B"/>
    <w:rsid w:val="00811CA5"/>
    <w:rsid w:val="00811CEC"/>
    <w:rsid w:val="00811D3E"/>
    <w:rsid w:val="00811E2E"/>
    <w:rsid w:val="00811E9D"/>
    <w:rsid w:val="00811EE2"/>
    <w:rsid w:val="00811EEF"/>
    <w:rsid w:val="00811FC9"/>
    <w:rsid w:val="008121F4"/>
    <w:rsid w:val="00812238"/>
    <w:rsid w:val="008122D8"/>
    <w:rsid w:val="00812338"/>
    <w:rsid w:val="00812494"/>
    <w:rsid w:val="0081249E"/>
    <w:rsid w:val="00812519"/>
    <w:rsid w:val="008125D9"/>
    <w:rsid w:val="00812720"/>
    <w:rsid w:val="00812768"/>
    <w:rsid w:val="00812A61"/>
    <w:rsid w:val="00812A84"/>
    <w:rsid w:val="00812A99"/>
    <w:rsid w:val="00812AD1"/>
    <w:rsid w:val="00812BFE"/>
    <w:rsid w:val="00812C07"/>
    <w:rsid w:val="00812E04"/>
    <w:rsid w:val="00812E1D"/>
    <w:rsid w:val="00812E5A"/>
    <w:rsid w:val="00812E99"/>
    <w:rsid w:val="00812EB1"/>
    <w:rsid w:val="00812F5A"/>
    <w:rsid w:val="00813181"/>
    <w:rsid w:val="008131DE"/>
    <w:rsid w:val="008131E7"/>
    <w:rsid w:val="0081322E"/>
    <w:rsid w:val="00813468"/>
    <w:rsid w:val="008134CC"/>
    <w:rsid w:val="00813519"/>
    <w:rsid w:val="008135B8"/>
    <w:rsid w:val="00813611"/>
    <w:rsid w:val="0081379B"/>
    <w:rsid w:val="008138D6"/>
    <w:rsid w:val="008138ED"/>
    <w:rsid w:val="00813A2B"/>
    <w:rsid w:val="00813B82"/>
    <w:rsid w:val="00813BCA"/>
    <w:rsid w:val="00813D7E"/>
    <w:rsid w:val="00813DBE"/>
    <w:rsid w:val="00813ECE"/>
    <w:rsid w:val="00814107"/>
    <w:rsid w:val="00814135"/>
    <w:rsid w:val="00814532"/>
    <w:rsid w:val="0081469C"/>
    <w:rsid w:val="008146C5"/>
    <w:rsid w:val="00814827"/>
    <w:rsid w:val="0081487B"/>
    <w:rsid w:val="008148F1"/>
    <w:rsid w:val="00814A26"/>
    <w:rsid w:val="00814CA8"/>
    <w:rsid w:val="00814CB6"/>
    <w:rsid w:val="00814D00"/>
    <w:rsid w:val="00814D2C"/>
    <w:rsid w:val="00814E26"/>
    <w:rsid w:val="00814E4E"/>
    <w:rsid w:val="00814ED0"/>
    <w:rsid w:val="00814F2E"/>
    <w:rsid w:val="00814F37"/>
    <w:rsid w:val="008151AF"/>
    <w:rsid w:val="008151E9"/>
    <w:rsid w:val="008152F3"/>
    <w:rsid w:val="008154CC"/>
    <w:rsid w:val="008154F6"/>
    <w:rsid w:val="008156DE"/>
    <w:rsid w:val="008157BE"/>
    <w:rsid w:val="00815AC3"/>
    <w:rsid w:val="00815BEA"/>
    <w:rsid w:val="00815BED"/>
    <w:rsid w:val="00815C03"/>
    <w:rsid w:val="00815C35"/>
    <w:rsid w:val="00815DDF"/>
    <w:rsid w:val="00815F38"/>
    <w:rsid w:val="00815F7A"/>
    <w:rsid w:val="00816039"/>
    <w:rsid w:val="00816056"/>
    <w:rsid w:val="0081609E"/>
    <w:rsid w:val="00816133"/>
    <w:rsid w:val="00816247"/>
    <w:rsid w:val="008162E3"/>
    <w:rsid w:val="0081642E"/>
    <w:rsid w:val="00816510"/>
    <w:rsid w:val="008166CB"/>
    <w:rsid w:val="008168DC"/>
    <w:rsid w:val="008169E8"/>
    <w:rsid w:val="008169F6"/>
    <w:rsid w:val="00816B28"/>
    <w:rsid w:val="00816BBE"/>
    <w:rsid w:val="00816BDD"/>
    <w:rsid w:val="00816EB5"/>
    <w:rsid w:val="00816EE1"/>
    <w:rsid w:val="00816FAD"/>
    <w:rsid w:val="00817057"/>
    <w:rsid w:val="00817084"/>
    <w:rsid w:val="008170C5"/>
    <w:rsid w:val="00817185"/>
    <w:rsid w:val="00817292"/>
    <w:rsid w:val="00817595"/>
    <w:rsid w:val="00817689"/>
    <w:rsid w:val="008176C4"/>
    <w:rsid w:val="00817715"/>
    <w:rsid w:val="008178B9"/>
    <w:rsid w:val="008178DE"/>
    <w:rsid w:val="0081791E"/>
    <w:rsid w:val="00817AA1"/>
    <w:rsid w:val="00817BB8"/>
    <w:rsid w:val="00817CEE"/>
    <w:rsid w:val="0082007F"/>
    <w:rsid w:val="0082020E"/>
    <w:rsid w:val="0082022B"/>
    <w:rsid w:val="00820262"/>
    <w:rsid w:val="0082038A"/>
    <w:rsid w:val="0082044A"/>
    <w:rsid w:val="00820472"/>
    <w:rsid w:val="00820743"/>
    <w:rsid w:val="0082088F"/>
    <w:rsid w:val="00820B2F"/>
    <w:rsid w:val="00820B43"/>
    <w:rsid w:val="00820BAB"/>
    <w:rsid w:val="00820C33"/>
    <w:rsid w:val="00820C5F"/>
    <w:rsid w:val="00820C96"/>
    <w:rsid w:val="00820D0C"/>
    <w:rsid w:val="00820DC7"/>
    <w:rsid w:val="00820EFD"/>
    <w:rsid w:val="00821121"/>
    <w:rsid w:val="0082115D"/>
    <w:rsid w:val="0082119E"/>
    <w:rsid w:val="008215C2"/>
    <w:rsid w:val="008215DB"/>
    <w:rsid w:val="00821709"/>
    <w:rsid w:val="00821899"/>
    <w:rsid w:val="008219BE"/>
    <w:rsid w:val="00821C9A"/>
    <w:rsid w:val="00821D2A"/>
    <w:rsid w:val="00821E5E"/>
    <w:rsid w:val="00821E8B"/>
    <w:rsid w:val="00821F2A"/>
    <w:rsid w:val="00822082"/>
    <w:rsid w:val="00822174"/>
    <w:rsid w:val="008222A6"/>
    <w:rsid w:val="008222AC"/>
    <w:rsid w:val="00822337"/>
    <w:rsid w:val="00822352"/>
    <w:rsid w:val="008223A9"/>
    <w:rsid w:val="008224FE"/>
    <w:rsid w:val="008225A4"/>
    <w:rsid w:val="008226F4"/>
    <w:rsid w:val="0082270C"/>
    <w:rsid w:val="008229C0"/>
    <w:rsid w:val="008229E3"/>
    <w:rsid w:val="00822B08"/>
    <w:rsid w:val="00822B75"/>
    <w:rsid w:val="00822C4A"/>
    <w:rsid w:val="00822C8E"/>
    <w:rsid w:val="00822D3C"/>
    <w:rsid w:val="00822D58"/>
    <w:rsid w:val="00822E78"/>
    <w:rsid w:val="00822F27"/>
    <w:rsid w:val="00823009"/>
    <w:rsid w:val="00823027"/>
    <w:rsid w:val="00823077"/>
    <w:rsid w:val="008230CA"/>
    <w:rsid w:val="0082314D"/>
    <w:rsid w:val="008232D6"/>
    <w:rsid w:val="00823514"/>
    <w:rsid w:val="0082379C"/>
    <w:rsid w:val="008238E1"/>
    <w:rsid w:val="0082391A"/>
    <w:rsid w:val="00823998"/>
    <w:rsid w:val="00823AB8"/>
    <w:rsid w:val="00823B4A"/>
    <w:rsid w:val="00823BA5"/>
    <w:rsid w:val="00823C17"/>
    <w:rsid w:val="00823C1E"/>
    <w:rsid w:val="00823EE1"/>
    <w:rsid w:val="00823EFF"/>
    <w:rsid w:val="00824031"/>
    <w:rsid w:val="008240C2"/>
    <w:rsid w:val="008240EE"/>
    <w:rsid w:val="00824589"/>
    <w:rsid w:val="008246C2"/>
    <w:rsid w:val="008249AC"/>
    <w:rsid w:val="008249E6"/>
    <w:rsid w:val="00824A6D"/>
    <w:rsid w:val="00824AB1"/>
    <w:rsid w:val="00824B9C"/>
    <w:rsid w:val="00824BEC"/>
    <w:rsid w:val="00824C04"/>
    <w:rsid w:val="00824DD3"/>
    <w:rsid w:val="00824DEA"/>
    <w:rsid w:val="0082509D"/>
    <w:rsid w:val="0082516F"/>
    <w:rsid w:val="008252C0"/>
    <w:rsid w:val="00825303"/>
    <w:rsid w:val="008254B1"/>
    <w:rsid w:val="0082551D"/>
    <w:rsid w:val="00825565"/>
    <w:rsid w:val="008255EB"/>
    <w:rsid w:val="00825748"/>
    <w:rsid w:val="008257C8"/>
    <w:rsid w:val="00825AE6"/>
    <w:rsid w:val="00825BF9"/>
    <w:rsid w:val="00825D7F"/>
    <w:rsid w:val="00825F38"/>
    <w:rsid w:val="0082601B"/>
    <w:rsid w:val="00826040"/>
    <w:rsid w:val="0082613F"/>
    <w:rsid w:val="0082629A"/>
    <w:rsid w:val="008263A6"/>
    <w:rsid w:val="00826469"/>
    <w:rsid w:val="008264D4"/>
    <w:rsid w:val="00826546"/>
    <w:rsid w:val="008266E0"/>
    <w:rsid w:val="008268CD"/>
    <w:rsid w:val="00826908"/>
    <w:rsid w:val="0082691C"/>
    <w:rsid w:val="00826A3C"/>
    <w:rsid w:val="00826E5C"/>
    <w:rsid w:val="00826EE6"/>
    <w:rsid w:val="0082708E"/>
    <w:rsid w:val="0082736C"/>
    <w:rsid w:val="008273A7"/>
    <w:rsid w:val="008273FA"/>
    <w:rsid w:val="00827487"/>
    <w:rsid w:val="0082781D"/>
    <w:rsid w:val="008278BF"/>
    <w:rsid w:val="00827922"/>
    <w:rsid w:val="00827AD5"/>
    <w:rsid w:val="00827F1A"/>
    <w:rsid w:val="00827F26"/>
    <w:rsid w:val="00827FD8"/>
    <w:rsid w:val="0083016A"/>
    <w:rsid w:val="008303FB"/>
    <w:rsid w:val="00830539"/>
    <w:rsid w:val="008305D7"/>
    <w:rsid w:val="0083095F"/>
    <w:rsid w:val="008309FB"/>
    <w:rsid w:val="00830A9C"/>
    <w:rsid w:val="00830B78"/>
    <w:rsid w:val="00830BB9"/>
    <w:rsid w:val="00830CA0"/>
    <w:rsid w:val="00830D69"/>
    <w:rsid w:val="00830ECE"/>
    <w:rsid w:val="00830F12"/>
    <w:rsid w:val="00830F69"/>
    <w:rsid w:val="00831095"/>
    <w:rsid w:val="008311F7"/>
    <w:rsid w:val="00831299"/>
    <w:rsid w:val="008312FE"/>
    <w:rsid w:val="00831396"/>
    <w:rsid w:val="008314EC"/>
    <w:rsid w:val="00831731"/>
    <w:rsid w:val="008317E6"/>
    <w:rsid w:val="008318A5"/>
    <w:rsid w:val="00831985"/>
    <w:rsid w:val="00831A46"/>
    <w:rsid w:val="00831C6F"/>
    <w:rsid w:val="00831D3B"/>
    <w:rsid w:val="00831E32"/>
    <w:rsid w:val="0083201D"/>
    <w:rsid w:val="00832114"/>
    <w:rsid w:val="008321F5"/>
    <w:rsid w:val="008321FD"/>
    <w:rsid w:val="0083222F"/>
    <w:rsid w:val="008322B5"/>
    <w:rsid w:val="0083259C"/>
    <w:rsid w:val="00832711"/>
    <w:rsid w:val="00832824"/>
    <w:rsid w:val="008329EA"/>
    <w:rsid w:val="00832AB2"/>
    <w:rsid w:val="00832AC0"/>
    <w:rsid w:val="00832B88"/>
    <w:rsid w:val="00832BE4"/>
    <w:rsid w:val="00832C99"/>
    <w:rsid w:val="00832DC4"/>
    <w:rsid w:val="00832FFE"/>
    <w:rsid w:val="008332A2"/>
    <w:rsid w:val="008332BE"/>
    <w:rsid w:val="00833301"/>
    <w:rsid w:val="00833564"/>
    <w:rsid w:val="008335C0"/>
    <w:rsid w:val="00833653"/>
    <w:rsid w:val="008336F1"/>
    <w:rsid w:val="0083370D"/>
    <w:rsid w:val="008337EB"/>
    <w:rsid w:val="00833840"/>
    <w:rsid w:val="00833907"/>
    <w:rsid w:val="008339D2"/>
    <w:rsid w:val="00833C1D"/>
    <w:rsid w:val="00833CA1"/>
    <w:rsid w:val="00833EC0"/>
    <w:rsid w:val="00833F3F"/>
    <w:rsid w:val="00833F7F"/>
    <w:rsid w:val="0083401A"/>
    <w:rsid w:val="0083420E"/>
    <w:rsid w:val="00834279"/>
    <w:rsid w:val="00834307"/>
    <w:rsid w:val="008343EA"/>
    <w:rsid w:val="00834472"/>
    <w:rsid w:val="008344F2"/>
    <w:rsid w:val="00834547"/>
    <w:rsid w:val="008346F8"/>
    <w:rsid w:val="00834732"/>
    <w:rsid w:val="00834787"/>
    <w:rsid w:val="008349B1"/>
    <w:rsid w:val="00834AED"/>
    <w:rsid w:val="00834D15"/>
    <w:rsid w:val="00834D77"/>
    <w:rsid w:val="00834EB5"/>
    <w:rsid w:val="00834F73"/>
    <w:rsid w:val="00835088"/>
    <w:rsid w:val="00835125"/>
    <w:rsid w:val="008352A7"/>
    <w:rsid w:val="008352FE"/>
    <w:rsid w:val="0083530C"/>
    <w:rsid w:val="00835603"/>
    <w:rsid w:val="0083562E"/>
    <w:rsid w:val="00835661"/>
    <w:rsid w:val="008356C4"/>
    <w:rsid w:val="008357A8"/>
    <w:rsid w:val="008358A8"/>
    <w:rsid w:val="00835AC9"/>
    <w:rsid w:val="00835DA1"/>
    <w:rsid w:val="00835EE2"/>
    <w:rsid w:val="00835F38"/>
    <w:rsid w:val="00835FD1"/>
    <w:rsid w:val="008360A9"/>
    <w:rsid w:val="008360E1"/>
    <w:rsid w:val="0083616B"/>
    <w:rsid w:val="0083617C"/>
    <w:rsid w:val="008361BE"/>
    <w:rsid w:val="00836330"/>
    <w:rsid w:val="008363B4"/>
    <w:rsid w:val="008363BD"/>
    <w:rsid w:val="0083659C"/>
    <w:rsid w:val="008366B2"/>
    <w:rsid w:val="0083679D"/>
    <w:rsid w:val="008368AE"/>
    <w:rsid w:val="008368BB"/>
    <w:rsid w:val="0083696A"/>
    <w:rsid w:val="00836A00"/>
    <w:rsid w:val="00836C73"/>
    <w:rsid w:val="00836CC8"/>
    <w:rsid w:val="00836E93"/>
    <w:rsid w:val="00836F98"/>
    <w:rsid w:val="0083714E"/>
    <w:rsid w:val="008371C5"/>
    <w:rsid w:val="00837208"/>
    <w:rsid w:val="00837291"/>
    <w:rsid w:val="00837322"/>
    <w:rsid w:val="00837356"/>
    <w:rsid w:val="008373BE"/>
    <w:rsid w:val="008373F4"/>
    <w:rsid w:val="0083740F"/>
    <w:rsid w:val="00837674"/>
    <w:rsid w:val="0083768A"/>
    <w:rsid w:val="008377FB"/>
    <w:rsid w:val="0083786F"/>
    <w:rsid w:val="008378F2"/>
    <w:rsid w:val="00837B9D"/>
    <w:rsid w:val="00837BC0"/>
    <w:rsid w:val="00837C4E"/>
    <w:rsid w:val="00837DE2"/>
    <w:rsid w:val="00837E27"/>
    <w:rsid w:val="00837ED5"/>
    <w:rsid w:val="00837EF9"/>
    <w:rsid w:val="00837F1A"/>
    <w:rsid w:val="00837FAF"/>
    <w:rsid w:val="00840070"/>
    <w:rsid w:val="00840137"/>
    <w:rsid w:val="008401AF"/>
    <w:rsid w:val="0084021E"/>
    <w:rsid w:val="0084025B"/>
    <w:rsid w:val="008403C0"/>
    <w:rsid w:val="008405E5"/>
    <w:rsid w:val="00840864"/>
    <w:rsid w:val="0084086C"/>
    <w:rsid w:val="008408A3"/>
    <w:rsid w:val="0084092F"/>
    <w:rsid w:val="0084097E"/>
    <w:rsid w:val="00840ADB"/>
    <w:rsid w:val="00840CD6"/>
    <w:rsid w:val="00840F0D"/>
    <w:rsid w:val="00840F7D"/>
    <w:rsid w:val="00841045"/>
    <w:rsid w:val="00841179"/>
    <w:rsid w:val="008412EA"/>
    <w:rsid w:val="00841491"/>
    <w:rsid w:val="008416B3"/>
    <w:rsid w:val="00841720"/>
    <w:rsid w:val="008417C0"/>
    <w:rsid w:val="0084187F"/>
    <w:rsid w:val="00841A00"/>
    <w:rsid w:val="00841AA0"/>
    <w:rsid w:val="00841BBE"/>
    <w:rsid w:val="00841CAC"/>
    <w:rsid w:val="00841DFE"/>
    <w:rsid w:val="00841E12"/>
    <w:rsid w:val="00841F83"/>
    <w:rsid w:val="00842090"/>
    <w:rsid w:val="0084220A"/>
    <w:rsid w:val="008422CC"/>
    <w:rsid w:val="0084234B"/>
    <w:rsid w:val="00842495"/>
    <w:rsid w:val="008424C7"/>
    <w:rsid w:val="008425F6"/>
    <w:rsid w:val="00842680"/>
    <w:rsid w:val="00842789"/>
    <w:rsid w:val="008427BF"/>
    <w:rsid w:val="008427C3"/>
    <w:rsid w:val="008429D0"/>
    <w:rsid w:val="008429FB"/>
    <w:rsid w:val="00842C64"/>
    <w:rsid w:val="00842CA6"/>
    <w:rsid w:val="00842E76"/>
    <w:rsid w:val="0084305C"/>
    <w:rsid w:val="0084307A"/>
    <w:rsid w:val="00843198"/>
    <w:rsid w:val="008432D5"/>
    <w:rsid w:val="00843343"/>
    <w:rsid w:val="008433EF"/>
    <w:rsid w:val="008434E6"/>
    <w:rsid w:val="0084360D"/>
    <w:rsid w:val="0084362E"/>
    <w:rsid w:val="0084367C"/>
    <w:rsid w:val="008436A6"/>
    <w:rsid w:val="008437FF"/>
    <w:rsid w:val="008439A4"/>
    <w:rsid w:val="00843A34"/>
    <w:rsid w:val="00843A40"/>
    <w:rsid w:val="00843A44"/>
    <w:rsid w:val="00843AC6"/>
    <w:rsid w:val="00843C86"/>
    <w:rsid w:val="00843D5A"/>
    <w:rsid w:val="00843FEC"/>
    <w:rsid w:val="0084438E"/>
    <w:rsid w:val="008444B5"/>
    <w:rsid w:val="00844541"/>
    <w:rsid w:val="0084455C"/>
    <w:rsid w:val="008445C9"/>
    <w:rsid w:val="00844745"/>
    <w:rsid w:val="00844B15"/>
    <w:rsid w:val="00844B1E"/>
    <w:rsid w:val="00844BAE"/>
    <w:rsid w:val="00844CAC"/>
    <w:rsid w:val="00844CB1"/>
    <w:rsid w:val="00844D02"/>
    <w:rsid w:val="00844D12"/>
    <w:rsid w:val="00844EE9"/>
    <w:rsid w:val="00844F62"/>
    <w:rsid w:val="00845008"/>
    <w:rsid w:val="008450B2"/>
    <w:rsid w:val="0084513E"/>
    <w:rsid w:val="008451C6"/>
    <w:rsid w:val="00845259"/>
    <w:rsid w:val="008452FE"/>
    <w:rsid w:val="008453C1"/>
    <w:rsid w:val="00845408"/>
    <w:rsid w:val="0084541F"/>
    <w:rsid w:val="008454C9"/>
    <w:rsid w:val="0084569D"/>
    <w:rsid w:val="008456FF"/>
    <w:rsid w:val="00845939"/>
    <w:rsid w:val="0084599A"/>
    <w:rsid w:val="00845B04"/>
    <w:rsid w:val="00845B55"/>
    <w:rsid w:val="00845C6E"/>
    <w:rsid w:val="00845D3B"/>
    <w:rsid w:val="00845DB0"/>
    <w:rsid w:val="00845E0D"/>
    <w:rsid w:val="00846241"/>
    <w:rsid w:val="00846357"/>
    <w:rsid w:val="0084637F"/>
    <w:rsid w:val="0084643E"/>
    <w:rsid w:val="008464F8"/>
    <w:rsid w:val="0084658E"/>
    <w:rsid w:val="0084664F"/>
    <w:rsid w:val="00846662"/>
    <w:rsid w:val="008466AA"/>
    <w:rsid w:val="0084674E"/>
    <w:rsid w:val="0084678E"/>
    <w:rsid w:val="008467BF"/>
    <w:rsid w:val="00846ADC"/>
    <w:rsid w:val="00846BDC"/>
    <w:rsid w:val="00846D43"/>
    <w:rsid w:val="00846E20"/>
    <w:rsid w:val="00846F5D"/>
    <w:rsid w:val="00846F91"/>
    <w:rsid w:val="00847064"/>
    <w:rsid w:val="00847068"/>
    <w:rsid w:val="00847125"/>
    <w:rsid w:val="00847177"/>
    <w:rsid w:val="00847189"/>
    <w:rsid w:val="008471E6"/>
    <w:rsid w:val="00847261"/>
    <w:rsid w:val="008472BE"/>
    <w:rsid w:val="00847377"/>
    <w:rsid w:val="008473B0"/>
    <w:rsid w:val="0084743E"/>
    <w:rsid w:val="008474BC"/>
    <w:rsid w:val="00847779"/>
    <w:rsid w:val="0084785E"/>
    <w:rsid w:val="008478F7"/>
    <w:rsid w:val="0084791C"/>
    <w:rsid w:val="0084796F"/>
    <w:rsid w:val="008479F1"/>
    <w:rsid w:val="00847A62"/>
    <w:rsid w:val="00847DCD"/>
    <w:rsid w:val="00847DD7"/>
    <w:rsid w:val="00847DED"/>
    <w:rsid w:val="008502AA"/>
    <w:rsid w:val="00850430"/>
    <w:rsid w:val="008505A1"/>
    <w:rsid w:val="008505E9"/>
    <w:rsid w:val="00850652"/>
    <w:rsid w:val="00850A96"/>
    <w:rsid w:val="00850AA1"/>
    <w:rsid w:val="00850B3A"/>
    <w:rsid w:val="00850CF0"/>
    <w:rsid w:val="00850D80"/>
    <w:rsid w:val="00850DF5"/>
    <w:rsid w:val="00850E7C"/>
    <w:rsid w:val="00850EF8"/>
    <w:rsid w:val="00850F68"/>
    <w:rsid w:val="00851448"/>
    <w:rsid w:val="00851570"/>
    <w:rsid w:val="008515A2"/>
    <w:rsid w:val="00851658"/>
    <w:rsid w:val="0085180B"/>
    <w:rsid w:val="00851A06"/>
    <w:rsid w:val="00851A8E"/>
    <w:rsid w:val="00851B4F"/>
    <w:rsid w:val="00851B74"/>
    <w:rsid w:val="00851C21"/>
    <w:rsid w:val="00851CA2"/>
    <w:rsid w:val="00851D69"/>
    <w:rsid w:val="00851D93"/>
    <w:rsid w:val="00852084"/>
    <w:rsid w:val="00852150"/>
    <w:rsid w:val="00852259"/>
    <w:rsid w:val="00852410"/>
    <w:rsid w:val="00852506"/>
    <w:rsid w:val="00852788"/>
    <w:rsid w:val="00852867"/>
    <w:rsid w:val="008528F0"/>
    <w:rsid w:val="00852930"/>
    <w:rsid w:val="00852A72"/>
    <w:rsid w:val="00852A98"/>
    <w:rsid w:val="00852AE6"/>
    <w:rsid w:val="00852AF2"/>
    <w:rsid w:val="00852D10"/>
    <w:rsid w:val="00852EF2"/>
    <w:rsid w:val="00852F39"/>
    <w:rsid w:val="008531BF"/>
    <w:rsid w:val="0085323B"/>
    <w:rsid w:val="0085329F"/>
    <w:rsid w:val="0085331B"/>
    <w:rsid w:val="00853448"/>
    <w:rsid w:val="00853484"/>
    <w:rsid w:val="008535C5"/>
    <w:rsid w:val="008535C7"/>
    <w:rsid w:val="00853955"/>
    <w:rsid w:val="008539F8"/>
    <w:rsid w:val="00853C3E"/>
    <w:rsid w:val="00853C58"/>
    <w:rsid w:val="00853FCF"/>
    <w:rsid w:val="00854136"/>
    <w:rsid w:val="0085424C"/>
    <w:rsid w:val="0085428B"/>
    <w:rsid w:val="008547B6"/>
    <w:rsid w:val="0085486C"/>
    <w:rsid w:val="008548CD"/>
    <w:rsid w:val="008548EA"/>
    <w:rsid w:val="008549A1"/>
    <w:rsid w:val="008549B3"/>
    <w:rsid w:val="008549DD"/>
    <w:rsid w:val="00854B33"/>
    <w:rsid w:val="00854B62"/>
    <w:rsid w:val="00854B94"/>
    <w:rsid w:val="00854C25"/>
    <w:rsid w:val="00854C38"/>
    <w:rsid w:val="00854E50"/>
    <w:rsid w:val="00854FCA"/>
    <w:rsid w:val="00854FF9"/>
    <w:rsid w:val="0085501E"/>
    <w:rsid w:val="00855038"/>
    <w:rsid w:val="008551C9"/>
    <w:rsid w:val="008552E1"/>
    <w:rsid w:val="0085547F"/>
    <w:rsid w:val="008557BF"/>
    <w:rsid w:val="00855920"/>
    <w:rsid w:val="00855958"/>
    <w:rsid w:val="00855A05"/>
    <w:rsid w:val="00855A08"/>
    <w:rsid w:val="00855A4B"/>
    <w:rsid w:val="00855AF2"/>
    <w:rsid w:val="00855B9D"/>
    <w:rsid w:val="00855E3C"/>
    <w:rsid w:val="0085611F"/>
    <w:rsid w:val="00856126"/>
    <w:rsid w:val="00856183"/>
    <w:rsid w:val="00856210"/>
    <w:rsid w:val="00856286"/>
    <w:rsid w:val="008564D8"/>
    <w:rsid w:val="0085650A"/>
    <w:rsid w:val="00856569"/>
    <w:rsid w:val="00856652"/>
    <w:rsid w:val="0085674A"/>
    <w:rsid w:val="008567CB"/>
    <w:rsid w:val="008567E6"/>
    <w:rsid w:val="00856872"/>
    <w:rsid w:val="00856939"/>
    <w:rsid w:val="00856E97"/>
    <w:rsid w:val="00856F2C"/>
    <w:rsid w:val="00857026"/>
    <w:rsid w:val="00857217"/>
    <w:rsid w:val="0085727A"/>
    <w:rsid w:val="008574F0"/>
    <w:rsid w:val="00857697"/>
    <w:rsid w:val="00857A59"/>
    <w:rsid w:val="00857B44"/>
    <w:rsid w:val="00857B82"/>
    <w:rsid w:val="00857BE3"/>
    <w:rsid w:val="00857F45"/>
    <w:rsid w:val="00860008"/>
    <w:rsid w:val="00860014"/>
    <w:rsid w:val="008601A4"/>
    <w:rsid w:val="00860378"/>
    <w:rsid w:val="008604CE"/>
    <w:rsid w:val="00860565"/>
    <w:rsid w:val="008605B2"/>
    <w:rsid w:val="00860854"/>
    <w:rsid w:val="00860861"/>
    <w:rsid w:val="00860B36"/>
    <w:rsid w:val="00860B80"/>
    <w:rsid w:val="00860BB8"/>
    <w:rsid w:val="00860D0D"/>
    <w:rsid w:val="00860E15"/>
    <w:rsid w:val="00860E8D"/>
    <w:rsid w:val="00860F6F"/>
    <w:rsid w:val="00861046"/>
    <w:rsid w:val="00861051"/>
    <w:rsid w:val="00861092"/>
    <w:rsid w:val="00861099"/>
    <w:rsid w:val="0086114A"/>
    <w:rsid w:val="0086115C"/>
    <w:rsid w:val="00861167"/>
    <w:rsid w:val="00861211"/>
    <w:rsid w:val="00861272"/>
    <w:rsid w:val="008612FB"/>
    <w:rsid w:val="00861495"/>
    <w:rsid w:val="008614D3"/>
    <w:rsid w:val="00861688"/>
    <w:rsid w:val="00861913"/>
    <w:rsid w:val="008619BF"/>
    <w:rsid w:val="008619CE"/>
    <w:rsid w:val="008619D4"/>
    <w:rsid w:val="00861A32"/>
    <w:rsid w:val="00861AD0"/>
    <w:rsid w:val="00861B37"/>
    <w:rsid w:val="00861B58"/>
    <w:rsid w:val="00861CB3"/>
    <w:rsid w:val="00861DEF"/>
    <w:rsid w:val="00861E5F"/>
    <w:rsid w:val="00861EDB"/>
    <w:rsid w:val="0086205A"/>
    <w:rsid w:val="00862109"/>
    <w:rsid w:val="0086224E"/>
    <w:rsid w:val="0086238D"/>
    <w:rsid w:val="008623B4"/>
    <w:rsid w:val="008624B7"/>
    <w:rsid w:val="00862512"/>
    <w:rsid w:val="00862646"/>
    <w:rsid w:val="00862692"/>
    <w:rsid w:val="0086272B"/>
    <w:rsid w:val="00862889"/>
    <w:rsid w:val="0086290C"/>
    <w:rsid w:val="008629A9"/>
    <w:rsid w:val="008629EB"/>
    <w:rsid w:val="00862AC8"/>
    <w:rsid w:val="00862DC4"/>
    <w:rsid w:val="00863021"/>
    <w:rsid w:val="00863031"/>
    <w:rsid w:val="008630AE"/>
    <w:rsid w:val="00863161"/>
    <w:rsid w:val="0086318A"/>
    <w:rsid w:val="00863204"/>
    <w:rsid w:val="00863216"/>
    <w:rsid w:val="00863295"/>
    <w:rsid w:val="008633CA"/>
    <w:rsid w:val="00863602"/>
    <w:rsid w:val="00863670"/>
    <w:rsid w:val="00863853"/>
    <w:rsid w:val="00863918"/>
    <w:rsid w:val="008639CF"/>
    <w:rsid w:val="00863B4F"/>
    <w:rsid w:val="00863B78"/>
    <w:rsid w:val="00863C38"/>
    <w:rsid w:val="00863D95"/>
    <w:rsid w:val="00863FFB"/>
    <w:rsid w:val="0086416A"/>
    <w:rsid w:val="008641AF"/>
    <w:rsid w:val="00864260"/>
    <w:rsid w:val="0086427F"/>
    <w:rsid w:val="00864355"/>
    <w:rsid w:val="00864376"/>
    <w:rsid w:val="00864402"/>
    <w:rsid w:val="0086456D"/>
    <w:rsid w:val="0086459B"/>
    <w:rsid w:val="008645A1"/>
    <w:rsid w:val="008645E0"/>
    <w:rsid w:val="008646FE"/>
    <w:rsid w:val="00864720"/>
    <w:rsid w:val="00864814"/>
    <w:rsid w:val="00864819"/>
    <w:rsid w:val="00864884"/>
    <w:rsid w:val="008649A5"/>
    <w:rsid w:val="00864D78"/>
    <w:rsid w:val="00864E10"/>
    <w:rsid w:val="00864E28"/>
    <w:rsid w:val="00865040"/>
    <w:rsid w:val="00865047"/>
    <w:rsid w:val="0086505C"/>
    <w:rsid w:val="008650F1"/>
    <w:rsid w:val="008653E9"/>
    <w:rsid w:val="00865478"/>
    <w:rsid w:val="0086550B"/>
    <w:rsid w:val="00865612"/>
    <w:rsid w:val="00865732"/>
    <w:rsid w:val="0086597D"/>
    <w:rsid w:val="008659B2"/>
    <w:rsid w:val="008659D2"/>
    <w:rsid w:val="00865AC6"/>
    <w:rsid w:val="00865B70"/>
    <w:rsid w:val="00865BFD"/>
    <w:rsid w:val="00865C70"/>
    <w:rsid w:val="00865CCB"/>
    <w:rsid w:val="00865D41"/>
    <w:rsid w:val="00865DAB"/>
    <w:rsid w:val="00865FCB"/>
    <w:rsid w:val="008662C8"/>
    <w:rsid w:val="0086657D"/>
    <w:rsid w:val="00866641"/>
    <w:rsid w:val="00866861"/>
    <w:rsid w:val="00866980"/>
    <w:rsid w:val="008669AF"/>
    <w:rsid w:val="008669BF"/>
    <w:rsid w:val="00866C96"/>
    <w:rsid w:val="00866DA3"/>
    <w:rsid w:val="00866F41"/>
    <w:rsid w:val="0086705B"/>
    <w:rsid w:val="0086708E"/>
    <w:rsid w:val="00867149"/>
    <w:rsid w:val="008672CC"/>
    <w:rsid w:val="0086745D"/>
    <w:rsid w:val="008674F1"/>
    <w:rsid w:val="008675AC"/>
    <w:rsid w:val="0086786F"/>
    <w:rsid w:val="008678C3"/>
    <w:rsid w:val="00867A44"/>
    <w:rsid w:val="00867C09"/>
    <w:rsid w:val="00867CAA"/>
    <w:rsid w:val="00867D52"/>
    <w:rsid w:val="00867E18"/>
    <w:rsid w:val="00867E49"/>
    <w:rsid w:val="00867E6D"/>
    <w:rsid w:val="00867EF4"/>
    <w:rsid w:val="0087000D"/>
    <w:rsid w:val="0087018C"/>
    <w:rsid w:val="00870200"/>
    <w:rsid w:val="00870353"/>
    <w:rsid w:val="0087035B"/>
    <w:rsid w:val="008704D0"/>
    <w:rsid w:val="00870630"/>
    <w:rsid w:val="008709C3"/>
    <w:rsid w:val="00870A34"/>
    <w:rsid w:val="00870AF8"/>
    <w:rsid w:val="00870B4E"/>
    <w:rsid w:val="00870D34"/>
    <w:rsid w:val="00870ED9"/>
    <w:rsid w:val="00870F14"/>
    <w:rsid w:val="00870F3F"/>
    <w:rsid w:val="00870F90"/>
    <w:rsid w:val="00871017"/>
    <w:rsid w:val="008710B5"/>
    <w:rsid w:val="008710C4"/>
    <w:rsid w:val="00871311"/>
    <w:rsid w:val="0087141A"/>
    <w:rsid w:val="0087148B"/>
    <w:rsid w:val="00871563"/>
    <w:rsid w:val="008715DA"/>
    <w:rsid w:val="00871717"/>
    <w:rsid w:val="008717D5"/>
    <w:rsid w:val="008717ED"/>
    <w:rsid w:val="008718A2"/>
    <w:rsid w:val="00871A8D"/>
    <w:rsid w:val="00871B60"/>
    <w:rsid w:val="00871D2B"/>
    <w:rsid w:val="00871E72"/>
    <w:rsid w:val="00871FA8"/>
    <w:rsid w:val="008721CE"/>
    <w:rsid w:val="0087220E"/>
    <w:rsid w:val="008722BC"/>
    <w:rsid w:val="008722CF"/>
    <w:rsid w:val="00872459"/>
    <w:rsid w:val="0087249F"/>
    <w:rsid w:val="008725D4"/>
    <w:rsid w:val="0087279A"/>
    <w:rsid w:val="008728A3"/>
    <w:rsid w:val="008728BC"/>
    <w:rsid w:val="0087292F"/>
    <w:rsid w:val="00872A0C"/>
    <w:rsid w:val="00872B4B"/>
    <w:rsid w:val="00872BAD"/>
    <w:rsid w:val="00872C93"/>
    <w:rsid w:val="00872CAF"/>
    <w:rsid w:val="00872FC0"/>
    <w:rsid w:val="0087308B"/>
    <w:rsid w:val="008730C3"/>
    <w:rsid w:val="00873194"/>
    <w:rsid w:val="0087324B"/>
    <w:rsid w:val="00873253"/>
    <w:rsid w:val="0087348E"/>
    <w:rsid w:val="0087355C"/>
    <w:rsid w:val="0087358C"/>
    <w:rsid w:val="00873797"/>
    <w:rsid w:val="00873882"/>
    <w:rsid w:val="00873A3C"/>
    <w:rsid w:val="00873A50"/>
    <w:rsid w:val="00873AEB"/>
    <w:rsid w:val="00873CAC"/>
    <w:rsid w:val="00873F0A"/>
    <w:rsid w:val="00873FC0"/>
    <w:rsid w:val="00874217"/>
    <w:rsid w:val="0087421D"/>
    <w:rsid w:val="00874391"/>
    <w:rsid w:val="008743F3"/>
    <w:rsid w:val="008743F5"/>
    <w:rsid w:val="0087450C"/>
    <w:rsid w:val="00874520"/>
    <w:rsid w:val="00874699"/>
    <w:rsid w:val="00874905"/>
    <w:rsid w:val="00874BB8"/>
    <w:rsid w:val="00874C7D"/>
    <w:rsid w:val="00874CDB"/>
    <w:rsid w:val="00874D7D"/>
    <w:rsid w:val="00874E0A"/>
    <w:rsid w:val="00874E94"/>
    <w:rsid w:val="00874EFE"/>
    <w:rsid w:val="00875086"/>
    <w:rsid w:val="00875127"/>
    <w:rsid w:val="00875351"/>
    <w:rsid w:val="0087539D"/>
    <w:rsid w:val="008753E5"/>
    <w:rsid w:val="00875526"/>
    <w:rsid w:val="00875542"/>
    <w:rsid w:val="0087558E"/>
    <w:rsid w:val="008757FC"/>
    <w:rsid w:val="0087582F"/>
    <w:rsid w:val="00875AFE"/>
    <w:rsid w:val="00875CAE"/>
    <w:rsid w:val="008762B0"/>
    <w:rsid w:val="0087638A"/>
    <w:rsid w:val="008763DF"/>
    <w:rsid w:val="008764A5"/>
    <w:rsid w:val="00876566"/>
    <w:rsid w:val="008767EA"/>
    <w:rsid w:val="008767FD"/>
    <w:rsid w:val="00876A45"/>
    <w:rsid w:val="00876A5D"/>
    <w:rsid w:val="00876B17"/>
    <w:rsid w:val="00876BA0"/>
    <w:rsid w:val="00876DD2"/>
    <w:rsid w:val="00876DE0"/>
    <w:rsid w:val="00876EBB"/>
    <w:rsid w:val="00876EE0"/>
    <w:rsid w:val="00876F9C"/>
    <w:rsid w:val="00877097"/>
    <w:rsid w:val="0087718C"/>
    <w:rsid w:val="0087720B"/>
    <w:rsid w:val="008772E3"/>
    <w:rsid w:val="008772E9"/>
    <w:rsid w:val="00877456"/>
    <w:rsid w:val="0087745D"/>
    <w:rsid w:val="0087755B"/>
    <w:rsid w:val="00877637"/>
    <w:rsid w:val="00877693"/>
    <w:rsid w:val="00877701"/>
    <w:rsid w:val="008777FE"/>
    <w:rsid w:val="00877987"/>
    <w:rsid w:val="00877B71"/>
    <w:rsid w:val="00877C56"/>
    <w:rsid w:val="00877E75"/>
    <w:rsid w:val="00877EA9"/>
    <w:rsid w:val="00880035"/>
    <w:rsid w:val="00880064"/>
    <w:rsid w:val="0088008A"/>
    <w:rsid w:val="008800F9"/>
    <w:rsid w:val="0088037F"/>
    <w:rsid w:val="0088042F"/>
    <w:rsid w:val="008804C8"/>
    <w:rsid w:val="008805E9"/>
    <w:rsid w:val="00880633"/>
    <w:rsid w:val="008806BE"/>
    <w:rsid w:val="0088089C"/>
    <w:rsid w:val="0088092E"/>
    <w:rsid w:val="00880A0F"/>
    <w:rsid w:val="00880B4D"/>
    <w:rsid w:val="00880B7C"/>
    <w:rsid w:val="00880BAA"/>
    <w:rsid w:val="00880CFD"/>
    <w:rsid w:val="00880F18"/>
    <w:rsid w:val="008812B1"/>
    <w:rsid w:val="0088141B"/>
    <w:rsid w:val="0088144D"/>
    <w:rsid w:val="00881519"/>
    <w:rsid w:val="0088157C"/>
    <w:rsid w:val="00881683"/>
    <w:rsid w:val="008816E5"/>
    <w:rsid w:val="00881844"/>
    <w:rsid w:val="0088189D"/>
    <w:rsid w:val="008819EC"/>
    <w:rsid w:val="00881B97"/>
    <w:rsid w:val="00881CD5"/>
    <w:rsid w:val="00881E0F"/>
    <w:rsid w:val="00881E69"/>
    <w:rsid w:val="00881E7E"/>
    <w:rsid w:val="00881EBA"/>
    <w:rsid w:val="0088233E"/>
    <w:rsid w:val="008825AE"/>
    <w:rsid w:val="0088262A"/>
    <w:rsid w:val="0088268E"/>
    <w:rsid w:val="008826C1"/>
    <w:rsid w:val="008826F5"/>
    <w:rsid w:val="008827D3"/>
    <w:rsid w:val="0088282C"/>
    <w:rsid w:val="0088286F"/>
    <w:rsid w:val="008828C6"/>
    <w:rsid w:val="0088292C"/>
    <w:rsid w:val="00882948"/>
    <w:rsid w:val="00882954"/>
    <w:rsid w:val="00882963"/>
    <w:rsid w:val="008829C5"/>
    <w:rsid w:val="00882A58"/>
    <w:rsid w:val="00882B35"/>
    <w:rsid w:val="00882CB5"/>
    <w:rsid w:val="00882D5B"/>
    <w:rsid w:val="00882DD2"/>
    <w:rsid w:val="00882DFE"/>
    <w:rsid w:val="00882E48"/>
    <w:rsid w:val="00882EB8"/>
    <w:rsid w:val="00882EE3"/>
    <w:rsid w:val="00883134"/>
    <w:rsid w:val="00883160"/>
    <w:rsid w:val="008831A9"/>
    <w:rsid w:val="008831E6"/>
    <w:rsid w:val="00883365"/>
    <w:rsid w:val="00883398"/>
    <w:rsid w:val="008834A2"/>
    <w:rsid w:val="00883697"/>
    <w:rsid w:val="00883805"/>
    <w:rsid w:val="0088385E"/>
    <w:rsid w:val="008839FE"/>
    <w:rsid w:val="00883AA8"/>
    <w:rsid w:val="00883AE5"/>
    <w:rsid w:val="00883B85"/>
    <w:rsid w:val="00883C5B"/>
    <w:rsid w:val="00883D67"/>
    <w:rsid w:val="00884073"/>
    <w:rsid w:val="00884177"/>
    <w:rsid w:val="008842EF"/>
    <w:rsid w:val="0088478C"/>
    <w:rsid w:val="008847B8"/>
    <w:rsid w:val="008848F9"/>
    <w:rsid w:val="00884936"/>
    <w:rsid w:val="00884949"/>
    <w:rsid w:val="00884A8F"/>
    <w:rsid w:val="00884CBD"/>
    <w:rsid w:val="00884D6E"/>
    <w:rsid w:val="00884DFD"/>
    <w:rsid w:val="00884E6C"/>
    <w:rsid w:val="00884EEB"/>
    <w:rsid w:val="00885057"/>
    <w:rsid w:val="0088506E"/>
    <w:rsid w:val="008851C3"/>
    <w:rsid w:val="00885307"/>
    <w:rsid w:val="00885329"/>
    <w:rsid w:val="0088535B"/>
    <w:rsid w:val="008853EB"/>
    <w:rsid w:val="00885438"/>
    <w:rsid w:val="00885499"/>
    <w:rsid w:val="008854D8"/>
    <w:rsid w:val="00885533"/>
    <w:rsid w:val="00885567"/>
    <w:rsid w:val="00885666"/>
    <w:rsid w:val="0088577B"/>
    <w:rsid w:val="0088583D"/>
    <w:rsid w:val="008858A4"/>
    <w:rsid w:val="008858AC"/>
    <w:rsid w:val="008858FF"/>
    <w:rsid w:val="0088593D"/>
    <w:rsid w:val="00885A63"/>
    <w:rsid w:val="00885AF1"/>
    <w:rsid w:val="00885AF3"/>
    <w:rsid w:val="00885B74"/>
    <w:rsid w:val="00885BDB"/>
    <w:rsid w:val="00885BF3"/>
    <w:rsid w:val="00885C5C"/>
    <w:rsid w:val="00885C63"/>
    <w:rsid w:val="00885DA9"/>
    <w:rsid w:val="00885E1B"/>
    <w:rsid w:val="00886349"/>
    <w:rsid w:val="008863CB"/>
    <w:rsid w:val="00886572"/>
    <w:rsid w:val="00886619"/>
    <w:rsid w:val="008868F0"/>
    <w:rsid w:val="00886951"/>
    <w:rsid w:val="0088698A"/>
    <w:rsid w:val="00886A08"/>
    <w:rsid w:val="00886A8C"/>
    <w:rsid w:val="00886D4A"/>
    <w:rsid w:val="00886F88"/>
    <w:rsid w:val="0088711B"/>
    <w:rsid w:val="0088742A"/>
    <w:rsid w:val="0088767F"/>
    <w:rsid w:val="008876D2"/>
    <w:rsid w:val="008877D8"/>
    <w:rsid w:val="008878A5"/>
    <w:rsid w:val="008878F4"/>
    <w:rsid w:val="0088791F"/>
    <w:rsid w:val="00887A17"/>
    <w:rsid w:val="00887AC5"/>
    <w:rsid w:val="00887B11"/>
    <w:rsid w:val="00887BC4"/>
    <w:rsid w:val="00887EB6"/>
    <w:rsid w:val="00887EBC"/>
    <w:rsid w:val="00887ED5"/>
    <w:rsid w:val="00887F85"/>
    <w:rsid w:val="00890096"/>
    <w:rsid w:val="008901A5"/>
    <w:rsid w:val="008901B0"/>
    <w:rsid w:val="008901F4"/>
    <w:rsid w:val="008901FD"/>
    <w:rsid w:val="008906B4"/>
    <w:rsid w:val="0089080C"/>
    <w:rsid w:val="00890814"/>
    <w:rsid w:val="00890918"/>
    <w:rsid w:val="008909FB"/>
    <w:rsid w:val="00890A36"/>
    <w:rsid w:val="00890A53"/>
    <w:rsid w:val="00890AAF"/>
    <w:rsid w:val="00890AE9"/>
    <w:rsid w:val="00890BF8"/>
    <w:rsid w:val="00890CB1"/>
    <w:rsid w:val="00890D76"/>
    <w:rsid w:val="00890DB6"/>
    <w:rsid w:val="00890DD6"/>
    <w:rsid w:val="00890DF4"/>
    <w:rsid w:val="008910BF"/>
    <w:rsid w:val="00891191"/>
    <w:rsid w:val="00891236"/>
    <w:rsid w:val="00891287"/>
    <w:rsid w:val="008916C3"/>
    <w:rsid w:val="008919E1"/>
    <w:rsid w:val="00891B83"/>
    <w:rsid w:val="00891DD8"/>
    <w:rsid w:val="00891E76"/>
    <w:rsid w:val="00891ED0"/>
    <w:rsid w:val="00891F0C"/>
    <w:rsid w:val="008921BC"/>
    <w:rsid w:val="00892235"/>
    <w:rsid w:val="00892240"/>
    <w:rsid w:val="008922E2"/>
    <w:rsid w:val="0089245B"/>
    <w:rsid w:val="0089246E"/>
    <w:rsid w:val="0089253C"/>
    <w:rsid w:val="008926B2"/>
    <w:rsid w:val="00892750"/>
    <w:rsid w:val="00892752"/>
    <w:rsid w:val="00892789"/>
    <w:rsid w:val="00892A79"/>
    <w:rsid w:val="00892BE0"/>
    <w:rsid w:val="00892D08"/>
    <w:rsid w:val="00892F53"/>
    <w:rsid w:val="00892FEB"/>
    <w:rsid w:val="00893102"/>
    <w:rsid w:val="00893374"/>
    <w:rsid w:val="008933AD"/>
    <w:rsid w:val="008933EA"/>
    <w:rsid w:val="00893577"/>
    <w:rsid w:val="008935D9"/>
    <w:rsid w:val="008936DE"/>
    <w:rsid w:val="008937BD"/>
    <w:rsid w:val="008937ED"/>
    <w:rsid w:val="008937F8"/>
    <w:rsid w:val="0089389A"/>
    <w:rsid w:val="00893995"/>
    <w:rsid w:val="008939CC"/>
    <w:rsid w:val="00893AAE"/>
    <w:rsid w:val="00893B2A"/>
    <w:rsid w:val="00893D2A"/>
    <w:rsid w:val="00893D43"/>
    <w:rsid w:val="00893D73"/>
    <w:rsid w:val="00893E1E"/>
    <w:rsid w:val="0089403C"/>
    <w:rsid w:val="008940E7"/>
    <w:rsid w:val="00894151"/>
    <w:rsid w:val="00894221"/>
    <w:rsid w:val="008942B0"/>
    <w:rsid w:val="008942FE"/>
    <w:rsid w:val="0089433C"/>
    <w:rsid w:val="008944DD"/>
    <w:rsid w:val="008945D7"/>
    <w:rsid w:val="00894686"/>
    <w:rsid w:val="0089474D"/>
    <w:rsid w:val="008947FB"/>
    <w:rsid w:val="00894941"/>
    <w:rsid w:val="008949C8"/>
    <w:rsid w:val="00894A0C"/>
    <w:rsid w:val="00894A18"/>
    <w:rsid w:val="00894BE1"/>
    <w:rsid w:val="00894C2B"/>
    <w:rsid w:val="00894C9D"/>
    <w:rsid w:val="00894E6B"/>
    <w:rsid w:val="00894E96"/>
    <w:rsid w:val="00894FAE"/>
    <w:rsid w:val="008951D7"/>
    <w:rsid w:val="00895237"/>
    <w:rsid w:val="008953B7"/>
    <w:rsid w:val="008953BC"/>
    <w:rsid w:val="0089548D"/>
    <w:rsid w:val="008955D8"/>
    <w:rsid w:val="0089565C"/>
    <w:rsid w:val="00895671"/>
    <w:rsid w:val="00895701"/>
    <w:rsid w:val="0089572A"/>
    <w:rsid w:val="008958EF"/>
    <w:rsid w:val="00895956"/>
    <w:rsid w:val="008959AB"/>
    <w:rsid w:val="008959EB"/>
    <w:rsid w:val="008959EF"/>
    <w:rsid w:val="00895CF0"/>
    <w:rsid w:val="00895DF5"/>
    <w:rsid w:val="00895E97"/>
    <w:rsid w:val="00895F04"/>
    <w:rsid w:val="00895F40"/>
    <w:rsid w:val="008960D8"/>
    <w:rsid w:val="0089612D"/>
    <w:rsid w:val="00896248"/>
    <w:rsid w:val="008963C8"/>
    <w:rsid w:val="00896456"/>
    <w:rsid w:val="0089648D"/>
    <w:rsid w:val="008966EC"/>
    <w:rsid w:val="00896850"/>
    <w:rsid w:val="00896879"/>
    <w:rsid w:val="008968A3"/>
    <w:rsid w:val="008968E3"/>
    <w:rsid w:val="00896B66"/>
    <w:rsid w:val="00896D34"/>
    <w:rsid w:val="00896E95"/>
    <w:rsid w:val="00896F8F"/>
    <w:rsid w:val="0089714F"/>
    <w:rsid w:val="008972D7"/>
    <w:rsid w:val="008972F6"/>
    <w:rsid w:val="00897345"/>
    <w:rsid w:val="0089735A"/>
    <w:rsid w:val="00897489"/>
    <w:rsid w:val="0089759C"/>
    <w:rsid w:val="008977B4"/>
    <w:rsid w:val="0089786B"/>
    <w:rsid w:val="00897994"/>
    <w:rsid w:val="00897B81"/>
    <w:rsid w:val="00897E03"/>
    <w:rsid w:val="00897E6F"/>
    <w:rsid w:val="008A00B0"/>
    <w:rsid w:val="008A0109"/>
    <w:rsid w:val="008A01CF"/>
    <w:rsid w:val="008A0218"/>
    <w:rsid w:val="008A0331"/>
    <w:rsid w:val="008A0357"/>
    <w:rsid w:val="008A0423"/>
    <w:rsid w:val="008A042C"/>
    <w:rsid w:val="008A052E"/>
    <w:rsid w:val="008A0682"/>
    <w:rsid w:val="008A0800"/>
    <w:rsid w:val="008A08FD"/>
    <w:rsid w:val="008A0948"/>
    <w:rsid w:val="008A0A62"/>
    <w:rsid w:val="008A0AD2"/>
    <w:rsid w:val="008A1012"/>
    <w:rsid w:val="008A11C7"/>
    <w:rsid w:val="008A124F"/>
    <w:rsid w:val="008A142B"/>
    <w:rsid w:val="008A144E"/>
    <w:rsid w:val="008A1556"/>
    <w:rsid w:val="008A1643"/>
    <w:rsid w:val="008A1757"/>
    <w:rsid w:val="008A181C"/>
    <w:rsid w:val="008A19D1"/>
    <w:rsid w:val="008A1A45"/>
    <w:rsid w:val="008A1AED"/>
    <w:rsid w:val="008A1B34"/>
    <w:rsid w:val="008A1B45"/>
    <w:rsid w:val="008A1E83"/>
    <w:rsid w:val="008A1ED5"/>
    <w:rsid w:val="008A1EE3"/>
    <w:rsid w:val="008A1F89"/>
    <w:rsid w:val="008A1FF5"/>
    <w:rsid w:val="008A2093"/>
    <w:rsid w:val="008A20C8"/>
    <w:rsid w:val="008A2154"/>
    <w:rsid w:val="008A250F"/>
    <w:rsid w:val="008A2660"/>
    <w:rsid w:val="008A26F2"/>
    <w:rsid w:val="008A286F"/>
    <w:rsid w:val="008A2B84"/>
    <w:rsid w:val="008A2D19"/>
    <w:rsid w:val="008A2F90"/>
    <w:rsid w:val="008A2FE4"/>
    <w:rsid w:val="008A307D"/>
    <w:rsid w:val="008A30A6"/>
    <w:rsid w:val="008A30EC"/>
    <w:rsid w:val="008A31EC"/>
    <w:rsid w:val="008A328F"/>
    <w:rsid w:val="008A32E1"/>
    <w:rsid w:val="008A33AE"/>
    <w:rsid w:val="008A33C8"/>
    <w:rsid w:val="008A348C"/>
    <w:rsid w:val="008A351D"/>
    <w:rsid w:val="008A374F"/>
    <w:rsid w:val="008A376F"/>
    <w:rsid w:val="008A38E7"/>
    <w:rsid w:val="008A3AA0"/>
    <w:rsid w:val="008A3C0A"/>
    <w:rsid w:val="008A3C28"/>
    <w:rsid w:val="008A3CED"/>
    <w:rsid w:val="008A3DBF"/>
    <w:rsid w:val="008A3EDF"/>
    <w:rsid w:val="008A4024"/>
    <w:rsid w:val="008A4178"/>
    <w:rsid w:val="008A41AF"/>
    <w:rsid w:val="008A4360"/>
    <w:rsid w:val="008A43EF"/>
    <w:rsid w:val="008A4462"/>
    <w:rsid w:val="008A4485"/>
    <w:rsid w:val="008A4661"/>
    <w:rsid w:val="008A46FD"/>
    <w:rsid w:val="008A476D"/>
    <w:rsid w:val="008A47F7"/>
    <w:rsid w:val="008A4887"/>
    <w:rsid w:val="008A49D3"/>
    <w:rsid w:val="008A49F8"/>
    <w:rsid w:val="008A4BDF"/>
    <w:rsid w:val="008A4C9F"/>
    <w:rsid w:val="008A4CA4"/>
    <w:rsid w:val="008A4D4F"/>
    <w:rsid w:val="008A4DC9"/>
    <w:rsid w:val="008A4DDC"/>
    <w:rsid w:val="008A4E6E"/>
    <w:rsid w:val="008A4F9C"/>
    <w:rsid w:val="008A4FB3"/>
    <w:rsid w:val="008A4FB4"/>
    <w:rsid w:val="008A50ED"/>
    <w:rsid w:val="008A5135"/>
    <w:rsid w:val="008A51CC"/>
    <w:rsid w:val="008A52DD"/>
    <w:rsid w:val="008A53AD"/>
    <w:rsid w:val="008A557B"/>
    <w:rsid w:val="008A55EC"/>
    <w:rsid w:val="008A579B"/>
    <w:rsid w:val="008A584E"/>
    <w:rsid w:val="008A5993"/>
    <w:rsid w:val="008A59A9"/>
    <w:rsid w:val="008A5AA1"/>
    <w:rsid w:val="008A5AFB"/>
    <w:rsid w:val="008A5AFD"/>
    <w:rsid w:val="008A5D31"/>
    <w:rsid w:val="008A60CF"/>
    <w:rsid w:val="008A60FF"/>
    <w:rsid w:val="008A61AA"/>
    <w:rsid w:val="008A61FB"/>
    <w:rsid w:val="008A6270"/>
    <w:rsid w:val="008A6332"/>
    <w:rsid w:val="008A636E"/>
    <w:rsid w:val="008A6549"/>
    <w:rsid w:val="008A65B3"/>
    <w:rsid w:val="008A6641"/>
    <w:rsid w:val="008A6701"/>
    <w:rsid w:val="008A6774"/>
    <w:rsid w:val="008A6950"/>
    <w:rsid w:val="008A695A"/>
    <w:rsid w:val="008A6962"/>
    <w:rsid w:val="008A6D89"/>
    <w:rsid w:val="008A6DE9"/>
    <w:rsid w:val="008A6E1C"/>
    <w:rsid w:val="008A6F45"/>
    <w:rsid w:val="008A7004"/>
    <w:rsid w:val="008A7108"/>
    <w:rsid w:val="008A7155"/>
    <w:rsid w:val="008A71E7"/>
    <w:rsid w:val="008A7225"/>
    <w:rsid w:val="008A72BB"/>
    <w:rsid w:val="008A741C"/>
    <w:rsid w:val="008A7569"/>
    <w:rsid w:val="008A75C5"/>
    <w:rsid w:val="008A7734"/>
    <w:rsid w:val="008A77CE"/>
    <w:rsid w:val="008A793D"/>
    <w:rsid w:val="008A7979"/>
    <w:rsid w:val="008A7B02"/>
    <w:rsid w:val="008A7BB3"/>
    <w:rsid w:val="008A7C4E"/>
    <w:rsid w:val="008A7C7D"/>
    <w:rsid w:val="008A7DB6"/>
    <w:rsid w:val="008A7EAD"/>
    <w:rsid w:val="008A7F59"/>
    <w:rsid w:val="008B0147"/>
    <w:rsid w:val="008B0209"/>
    <w:rsid w:val="008B03D5"/>
    <w:rsid w:val="008B0408"/>
    <w:rsid w:val="008B04AF"/>
    <w:rsid w:val="008B0550"/>
    <w:rsid w:val="008B05DD"/>
    <w:rsid w:val="008B0629"/>
    <w:rsid w:val="008B071D"/>
    <w:rsid w:val="008B079D"/>
    <w:rsid w:val="008B08E9"/>
    <w:rsid w:val="008B095E"/>
    <w:rsid w:val="008B0A69"/>
    <w:rsid w:val="008B0AAF"/>
    <w:rsid w:val="008B0AB3"/>
    <w:rsid w:val="008B0AD0"/>
    <w:rsid w:val="008B0C6A"/>
    <w:rsid w:val="008B0D1C"/>
    <w:rsid w:val="008B0D5C"/>
    <w:rsid w:val="008B0E50"/>
    <w:rsid w:val="008B0F90"/>
    <w:rsid w:val="008B1064"/>
    <w:rsid w:val="008B1066"/>
    <w:rsid w:val="008B12F3"/>
    <w:rsid w:val="008B13BA"/>
    <w:rsid w:val="008B13D4"/>
    <w:rsid w:val="008B1427"/>
    <w:rsid w:val="008B14B6"/>
    <w:rsid w:val="008B15F2"/>
    <w:rsid w:val="008B170B"/>
    <w:rsid w:val="008B1722"/>
    <w:rsid w:val="008B175B"/>
    <w:rsid w:val="008B1857"/>
    <w:rsid w:val="008B1987"/>
    <w:rsid w:val="008B1A2C"/>
    <w:rsid w:val="008B1A4D"/>
    <w:rsid w:val="008B1AA1"/>
    <w:rsid w:val="008B1ADF"/>
    <w:rsid w:val="008B1B27"/>
    <w:rsid w:val="008B1B6F"/>
    <w:rsid w:val="008B1B9F"/>
    <w:rsid w:val="008B1C5A"/>
    <w:rsid w:val="008B1CAA"/>
    <w:rsid w:val="008B1CF0"/>
    <w:rsid w:val="008B1F46"/>
    <w:rsid w:val="008B207B"/>
    <w:rsid w:val="008B210A"/>
    <w:rsid w:val="008B2197"/>
    <w:rsid w:val="008B2228"/>
    <w:rsid w:val="008B23D8"/>
    <w:rsid w:val="008B24AB"/>
    <w:rsid w:val="008B24B3"/>
    <w:rsid w:val="008B252A"/>
    <w:rsid w:val="008B25B1"/>
    <w:rsid w:val="008B25C5"/>
    <w:rsid w:val="008B2648"/>
    <w:rsid w:val="008B266D"/>
    <w:rsid w:val="008B2719"/>
    <w:rsid w:val="008B27B4"/>
    <w:rsid w:val="008B27BD"/>
    <w:rsid w:val="008B283D"/>
    <w:rsid w:val="008B2863"/>
    <w:rsid w:val="008B2B4D"/>
    <w:rsid w:val="008B2DE2"/>
    <w:rsid w:val="008B2FC4"/>
    <w:rsid w:val="008B304C"/>
    <w:rsid w:val="008B3108"/>
    <w:rsid w:val="008B31CF"/>
    <w:rsid w:val="008B3222"/>
    <w:rsid w:val="008B3299"/>
    <w:rsid w:val="008B33A6"/>
    <w:rsid w:val="008B350C"/>
    <w:rsid w:val="008B3791"/>
    <w:rsid w:val="008B3877"/>
    <w:rsid w:val="008B3A00"/>
    <w:rsid w:val="008B3A55"/>
    <w:rsid w:val="008B3B53"/>
    <w:rsid w:val="008B3C1B"/>
    <w:rsid w:val="008B3C66"/>
    <w:rsid w:val="008B3CCB"/>
    <w:rsid w:val="008B3D89"/>
    <w:rsid w:val="008B3E1A"/>
    <w:rsid w:val="008B3E7B"/>
    <w:rsid w:val="008B3EA7"/>
    <w:rsid w:val="008B3F21"/>
    <w:rsid w:val="008B3FC5"/>
    <w:rsid w:val="008B40D4"/>
    <w:rsid w:val="008B41B3"/>
    <w:rsid w:val="008B4229"/>
    <w:rsid w:val="008B4259"/>
    <w:rsid w:val="008B4552"/>
    <w:rsid w:val="008B4641"/>
    <w:rsid w:val="008B4731"/>
    <w:rsid w:val="008B4769"/>
    <w:rsid w:val="008B48EF"/>
    <w:rsid w:val="008B491F"/>
    <w:rsid w:val="008B497D"/>
    <w:rsid w:val="008B4999"/>
    <w:rsid w:val="008B4B9C"/>
    <w:rsid w:val="008B4DB8"/>
    <w:rsid w:val="008B4DC1"/>
    <w:rsid w:val="008B4E2E"/>
    <w:rsid w:val="008B506F"/>
    <w:rsid w:val="008B50EE"/>
    <w:rsid w:val="008B5294"/>
    <w:rsid w:val="008B53A0"/>
    <w:rsid w:val="008B53CB"/>
    <w:rsid w:val="008B5482"/>
    <w:rsid w:val="008B5492"/>
    <w:rsid w:val="008B5B83"/>
    <w:rsid w:val="008B5BE5"/>
    <w:rsid w:val="008B5D18"/>
    <w:rsid w:val="008B5E96"/>
    <w:rsid w:val="008B5F0A"/>
    <w:rsid w:val="008B5F33"/>
    <w:rsid w:val="008B6007"/>
    <w:rsid w:val="008B60E0"/>
    <w:rsid w:val="008B6172"/>
    <w:rsid w:val="008B6296"/>
    <w:rsid w:val="008B62EF"/>
    <w:rsid w:val="008B63BF"/>
    <w:rsid w:val="008B6459"/>
    <w:rsid w:val="008B65B8"/>
    <w:rsid w:val="008B65C0"/>
    <w:rsid w:val="008B65D9"/>
    <w:rsid w:val="008B65EC"/>
    <w:rsid w:val="008B67CB"/>
    <w:rsid w:val="008B67CE"/>
    <w:rsid w:val="008B6801"/>
    <w:rsid w:val="008B68CF"/>
    <w:rsid w:val="008B6B03"/>
    <w:rsid w:val="008B6BA3"/>
    <w:rsid w:val="008B6F2D"/>
    <w:rsid w:val="008B7078"/>
    <w:rsid w:val="008B7227"/>
    <w:rsid w:val="008B7352"/>
    <w:rsid w:val="008B7520"/>
    <w:rsid w:val="008B792F"/>
    <w:rsid w:val="008B7937"/>
    <w:rsid w:val="008B7945"/>
    <w:rsid w:val="008B794A"/>
    <w:rsid w:val="008B7BE4"/>
    <w:rsid w:val="008B7D35"/>
    <w:rsid w:val="008B7E37"/>
    <w:rsid w:val="008C0242"/>
    <w:rsid w:val="008C0506"/>
    <w:rsid w:val="008C086B"/>
    <w:rsid w:val="008C0936"/>
    <w:rsid w:val="008C094F"/>
    <w:rsid w:val="008C09C5"/>
    <w:rsid w:val="008C0AAA"/>
    <w:rsid w:val="008C0AB9"/>
    <w:rsid w:val="008C0B44"/>
    <w:rsid w:val="008C0BA9"/>
    <w:rsid w:val="008C0CC3"/>
    <w:rsid w:val="008C0D0F"/>
    <w:rsid w:val="008C0F5D"/>
    <w:rsid w:val="008C132A"/>
    <w:rsid w:val="008C13B1"/>
    <w:rsid w:val="008C1405"/>
    <w:rsid w:val="008C1460"/>
    <w:rsid w:val="008C158B"/>
    <w:rsid w:val="008C175A"/>
    <w:rsid w:val="008C18E0"/>
    <w:rsid w:val="008C1A24"/>
    <w:rsid w:val="008C1B7F"/>
    <w:rsid w:val="008C1B99"/>
    <w:rsid w:val="008C1C17"/>
    <w:rsid w:val="008C1C64"/>
    <w:rsid w:val="008C1E1D"/>
    <w:rsid w:val="008C1E7F"/>
    <w:rsid w:val="008C1E9F"/>
    <w:rsid w:val="008C1F4E"/>
    <w:rsid w:val="008C1F91"/>
    <w:rsid w:val="008C207B"/>
    <w:rsid w:val="008C2113"/>
    <w:rsid w:val="008C21C1"/>
    <w:rsid w:val="008C234E"/>
    <w:rsid w:val="008C2527"/>
    <w:rsid w:val="008C25FD"/>
    <w:rsid w:val="008C2653"/>
    <w:rsid w:val="008C26A8"/>
    <w:rsid w:val="008C26BC"/>
    <w:rsid w:val="008C2790"/>
    <w:rsid w:val="008C279F"/>
    <w:rsid w:val="008C27DE"/>
    <w:rsid w:val="008C286A"/>
    <w:rsid w:val="008C293B"/>
    <w:rsid w:val="008C29C7"/>
    <w:rsid w:val="008C29C9"/>
    <w:rsid w:val="008C2A36"/>
    <w:rsid w:val="008C2A8B"/>
    <w:rsid w:val="008C2A9F"/>
    <w:rsid w:val="008C2ACF"/>
    <w:rsid w:val="008C2D84"/>
    <w:rsid w:val="008C2E73"/>
    <w:rsid w:val="008C30F1"/>
    <w:rsid w:val="008C30FB"/>
    <w:rsid w:val="008C314E"/>
    <w:rsid w:val="008C319B"/>
    <w:rsid w:val="008C3428"/>
    <w:rsid w:val="008C3436"/>
    <w:rsid w:val="008C35F6"/>
    <w:rsid w:val="008C36D6"/>
    <w:rsid w:val="008C3A7F"/>
    <w:rsid w:val="008C3B16"/>
    <w:rsid w:val="008C3BCD"/>
    <w:rsid w:val="008C3C28"/>
    <w:rsid w:val="008C3C51"/>
    <w:rsid w:val="008C3DCB"/>
    <w:rsid w:val="008C3E1D"/>
    <w:rsid w:val="008C3F32"/>
    <w:rsid w:val="008C40E9"/>
    <w:rsid w:val="008C41DA"/>
    <w:rsid w:val="008C4244"/>
    <w:rsid w:val="008C426E"/>
    <w:rsid w:val="008C43C6"/>
    <w:rsid w:val="008C4401"/>
    <w:rsid w:val="008C4456"/>
    <w:rsid w:val="008C44B8"/>
    <w:rsid w:val="008C45B4"/>
    <w:rsid w:val="008C4617"/>
    <w:rsid w:val="008C47D2"/>
    <w:rsid w:val="008C4883"/>
    <w:rsid w:val="008C48C9"/>
    <w:rsid w:val="008C4943"/>
    <w:rsid w:val="008C4A40"/>
    <w:rsid w:val="008C4AFB"/>
    <w:rsid w:val="008C4B50"/>
    <w:rsid w:val="008C4BFF"/>
    <w:rsid w:val="008C4C48"/>
    <w:rsid w:val="008C4D3E"/>
    <w:rsid w:val="008C4E4C"/>
    <w:rsid w:val="008C4E95"/>
    <w:rsid w:val="008C4EBF"/>
    <w:rsid w:val="008C4FB9"/>
    <w:rsid w:val="008C5265"/>
    <w:rsid w:val="008C52C5"/>
    <w:rsid w:val="008C535F"/>
    <w:rsid w:val="008C5427"/>
    <w:rsid w:val="008C54B6"/>
    <w:rsid w:val="008C5608"/>
    <w:rsid w:val="008C5658"/>
    <w:rsid w:val="008C5789"/>
    <w:rsid w:val="008C592E"/>
    <w:rsid w:val="008C5AFD"/>
    <w:rsid w:val="008C5E7F"/>
    <w:rsid w:val="008C5F3C"/>
    <w:rsid w:val="008C5F54"/>
    <w:rsid w:val="008C6248"/>
    <w:rsid w:val="008C626D"/>
    <w:rsid w:val="008C637C"/>
    <w:rsid w:val="008C644C"/>
    <w:rsid w:val="008C6600"/>
    <w:rsid w:val="008C6708"/>
    <w:rsid w:val="008C68EF"/>
    <w:rsid w:val="008C6A65"/>
    <w:rsid w:val="008C6AC7"/>
    <w:rsid w:val="008C6CC7"/>
    <w:rsid w:val="008C6D2A"/>
    <w:rsid w:val="008C6D5D"/>
    <w:rsid w:val="008C6DCE"/>
    <w:rsid w:val="008C6E16"/>
    <w:rsid w:val="008C6E42"/>
    <w:rsid w:val="008C705F"/>
    <w:rsid w:val="008C7072"/>
    <w:rsid w:val="008C7107"/>
    <w:rsid w:val="008C7148"/>
    <w:rsid w:val="008C71BB"/>
    <w:rsid w:val="008C71D2"/>
    <w:rsid w:val="008C72CA"/>
    <w:rsid w:val="008C7356"/>
    <w:rsid w:val="008C74D2"/>
    <w:rsid w:val="008C7523"/>
    <w:rsid w:val="008C75B5"/>
    <w:rsid w:val="008C7650"/>
    <w:rsid w:val="008C765B"/>
    <w:rsid w:val="008C783B"/>
    <w:rsid w:val="008C7900"/>
    <w:rsid w:val="008C7A81"/>
    <w:rsid w:val="008C7D52"/>
    <w:rsid w:val="008C7D9F"/>
    <w:rsid w:val="008D0126"/>
    <w:rsid w:val="008D0153"/>
    <w:rsid w:val="008D01FE"/>
    <w:rsid w:val="008D038D"/>
    <w:rsid w:val="008D03FD"/>
    <w:rsid w:val="008D0409"/>
    <w:rsid w:val="008D0497"/>
    <w:rsid w:val="008D0539"/>
    <w:rsid w:val="008D058A"/>
    <w:rsid w:val="008D0783"/>
    <w:rsid w:val="008D0863"/>
    <w:rsid w:val="008D08CF"/>
    <w:rsid w:val="008D0942"/>
    <w:rsid w:val="008D0CFD"/>
    <w:rsid w:val="008D0D70"/>
    <w:rsid w:val="008D0D9B"/>
    <w:rsid w:val="008D0DD2"/>
    <w:rsid w:val="008D0DED"/>
    <w:rsid w:val="008D1291"/>
    <w:rsid w:val="008D12CF"/>
    <w:rsid w:val="008D13F5"/>
    <w:rsid w:val="008D146A"/>
    <w:rsid w:val="008D162A"/>
    <w:rsid w:val="008D17A1"/>
    <w:rsid w:val="008D18DC"/>
    <w:rsid w:val="008D1BD4"/>
    <w:rsid w:val="008D1D54"/>
    <w:rsid w:val="008D1DE1"/>
    <w:rsid w:val="008D1EFD"/>
    <w:rsid w:val="008D1F9D"/>
    <w:rsid w:val="008D1FAE"/>
    <w:rsid w:val="008D20A1"/>
    <w:rsid w:val="008D21EC"/>
    <w:rsid w:val="008D220B"/>
    <w:rsid w:val="008D226A"/>
    <w:rsid w:val="008D22F3"/>
    <w:rsid w:val="008D2335"/>
    <w:rsid w:val="008D24DD"/>
    <w:rsid w:val="008D25C2"/>
    <w:rsid w:val="008D25D0"/>
    <w:rsid w:val="008D27F7"/>
    <w:rsid w:val="008D2881"/>
    <w:rsid w:val="008D28EC"/>
    <w:rsid w:val="008D293E"/>
    <w:rsid w:val="008D299D"/>
    <w:rsid w:val="008D2BD8"/>
    <w:rsid w:val="008D2CAA"/>
    <w:rsid w:val="008D2CB3"/>
    <w:rsid w:val="008D2CBD"/>
    <w:rsid w:val="008D2CC1"/>
    <w:rsid w:val="008D2E43"/>
    <w:rsid w:val="008D2E84"/>
    <w:rsid w:val="008D2F7C"/>
    <w:rsid w:val="008D30C0"/>
    <w:rsid w:val="008D3117"/>
    <w:rsid w:val="008D318B"/>
    <w:rsid w:val="008D322B"/>
    <w:rsid w:val="008D3455"/>
    <w:rsid w:val="008D34EF"/>
    <w:rsid w:val="008D360F"/>
    <w:rsid w:val="008D3716"/>
    <w:rsid w:val="008D375D"/>
    <w:rsid w:val="008D38E2"/>
    <w:rsid w:val="008D3942"/>
    <w:rsid w:val="008D394B"/>
    <w:rsid w:val="008D39D5"/>
    <w:rsid w:val="008D3A97"/>
    <w:rsid w:val="008D3B11"/>
    <w:rsid w:val="008D3B52"/>
    <w:rsid w:val="008D4371"/>
    <w:rsid w:val="008D445A"/>
    <w:rsid w:val="008D4686"/>
    <w:rsid w:val="008D4758"/>
    <w:rsid w:val="008D47C4"/>
    <w:rsid w:val="008D48AB"/>
    <w:rsid w:val="008D4952"/>
    <w:rsid w:val="008D49AA"/>
    <w:rsid w:val="008D4A57"/>
    <w:rsid w:val="008D4B0D"/>
    <w:rsid w:val="008D4C8E"/>
    <w:rsid w:val="008D4D36"/>
    <w:rsid w:val="008D4E31"/>
    <w:rsid w:val="008D4E3A"/>
    <w:rsid w:val="008D4EA9"/>
    <w:rsid w:val="008D501F"/>
    <w:rsid w:val="008D5117"/>
    <w:rsid w:val="008D532F"/>
    <w:rsid w:val="008D5338"/>
    <w:rsid w:val="008D540D"/>
    <w:rsid w:val="008D54D9"/>
    <w:rsid w:val="008D5560"/>
    <w:rsid w:val="008D558D"/>
    <w:rsid w:val="008D56B1"/>
    <w:rsid w:val="008D56D4"/>
    <w:rsid w:val="008D56D5"/>
    <w:rsid w:val="008D571E"/>
    <w:rsid w:val="008D58B2"/>
    <w:rsid w:val="008D5A71"/>
    <w:rsid w:val="008D5ADA"/>
    <w:rsid w:val="008D5B4A"/>
    <w:rsid w:val="008D5B54"/>
    <w:rsid w:val="008D5D41"/>
    <w:rsid w:val="008D5E34"/>
    <w:rsid w:val="008D6090"/>
    <w:rsid w:val="008D626F"/>
    <w:rsid w:val="008D6287"/>
    <w:rsid w:val="008D62CF"/>
    <w:rsid w:val="008D653A"/>
    <w:rsid w:val="008D668D"/>
    <w:rsid w:val="008D681D"/>
    <w:rsid w:val="008D686A"/>
    <w:rsid w:val="008D6967"/>
    <w:rsid w:val="008D69CB"/>
    <w:rsid w:val="008D6A46"/>
    <w:rsid w:val="008D6A97"/>
    <w:rsid w:val="008D6BC4"/>
    <w:rsid w:val="008D6C08"/>
    <w:rsid w:val="008D6DD3"/>
    <w:rsid w:val="008D6E3E"/>
    <w:rsid w:val="008D6F42"/>
    <w:rsid w:val="008D7099"/>
    <w:rsid w:val="008D72F1"/>
    <w:rsid w:val="008D7384"/>
    <w:rsid w:val="008D7421"/>
    <w:rsid w:val="008D74C2"/>
    <w:rsid w:val="008D751E"/>
    <w:rsid w:val="008D7546"/>
    <w:rsid w:val="008D75C2"/>
    <w:rsid w:val="008D75FD"/>
    <w:rsid w:val="008D7755"/>
    <w:rsid w:val="008D7A88"/>
    <w:rsid w:val="008D7ADB"/>
    <w:rsid w:val="008D7CBB"/>
    <w:rsid w:val="008D7DA7"/>
    <w:rsid w:val="008D7DEB"/>
    <w:rsid w:val="008D7F21"/>
    <w:rsid w:val="008D7FA1"/>
    <w:rsid w:val="008D7FE1"/>
    <w:rsid w:val="008E00BB"/>
    <w:rsid w:val="008E018E"/>
    <w:rsid w:val="008E025B"/>
    <w:rsid w:val="008E0292"/>
    <w:rsid w:val="008E0294"/>
    <w:rsid w:val="008E02CD"/>
    <w:rsid w:val="008E031B"/>
    <w:rsid w:val="008E035B"/>
    <w:rsid w:val="008E0514"/>
    <w:rsid w:val="008E0529"/>
    <w:rsid w:val="008E0A68"/>
    <w:rsid w:val="008E0A95"/>
    <w:rsid w:val="008E0C02"/>
    <w:rsid w:val="008E0C1D"/>
    <w:rsid w:val="008E0C48"/>
    <w:rsid w:val="008E0C4B"/>
    <w:rsid w:val="008E0E09"/>
    <w:rsid w:val="008E0EE6"/>
    <w:rsid w:val="008E0F81"/>
    <w:rsid w:val="008E0F8C"/>
    <w:rsid w:val="008E0FB1"/>
    <w:rsid w:val="008E0FEE"/>
    <w:rsid w:val="008E12AF"/>
    <w:rsid w:val="008E1366"/>
    <w:rsid w:val="008E136A"/>
    <w:rsid w:val="008E1432"/>
    <w:rsid w:val="008E14AC"/>
    <w:rsid w:val="008E1580"/>
    <w:rsid w:val="008E16C8"/>
    <w:rsid w:val="008E17BF"/>
    <w:rsid w:val="008E17CF"/>
    <w:rsid w:val="008E1966"/>
    <w:rsid w:val="008E1AE0"/>
    <w:rsid w:val="008E1B97"/>
    <w:rsid w:val="008E1CF8"/>
    <w:rsid w:val="008E1DD1"/>
    <w:rsid w:val="008E1EB0"/>
    <w:rsid w:val="008E2026"/>
    <w:rsid w:val="008E2048"/>
    <w:rsid w:val="008E2255"/>
    <w:rsid w:val="008E22AB"/>
    <w:rsid w:val="008E236F"/>
    <w:rsid w:val="008E23DF"/>
    <w:rsid w:val="008E24DD"/>
    <w:rsid w:val="008E260C"/>
    <w:rsid w:val="008E265B"/>
    <w:rsid w:val="008E279D"/>
    <w:rsid w:val="008E2841"/>
    <w:rsid w:val="008E28DF"/>
    <w:rsid w:val="008E28E9"/>
    <w:rsid w:val="008E2A1D"/>
    <w:rsid w:val="008E2A20"/>
    <w:rsid w:val="008E2A33"/>
    <w:rsid w:val="008E2B16"/>
    <w:rsid w:val="008E2CCB"/>
    <w:rsid w:val="008E2D12"/>
    <w:rsid w:val="008E2DFE"/>
    <w:rsid w:val="008E2E82"/>
    <w:rsid w:val="008E2ECC"/>
    <w:rsid w:val="008E2FB7"/>
    <w:rsid w:val="008E2FB8"/>
    <w:rsid w:val="008E2FBC"/>
    <w:rsid w:val="008E30E6"/>
    <w:rsid w:val="008E317D"/>
    <w:rsid w:val="008E31B0"/>
    <w:rsid w:val="008E32E3"/>
    <w:rsid w:val="008E32FF"/>
    <w:rsid w:val="008E33A7"/>
    <w:rsid w:val="008E3409"/>
    <w:rsid w:val="008E34B5"/>
    <w:rsid w:val="008E369F"/>
    <w:rsid w:val="008E3787"/>
    <w:rsid w:val="008E384E"/>
    <w:rsid w:val="008E3918"/>
    <w:rsid w:val="008E39A9"/>
    <w:rsid w:val="008E3AB8"/>
    <w:rsid w:val="008E3AE3"/>
    <w:rsid w:val="008E3AFE"/>
    <w:rsid w:val="008E3CAA"/>
    <w:rsid w:val="008E3CDD"/>
    <w:rsid w:val="008E3D0D"/>
    <w:rsid w:val="008E3FC8"/>
    <w:rsid w:val="008E4031"/>
    <w:rsid w:val="008E40E1"/>
    <w:rsid w:val="008E40F6"/>
    <w:rsid w:val="008E4182"/>
    <w:rsid w:val="008E4336"/>
    <w:rsid w:val="008E437B"/>
    <w:rsid w:val="008E43AB"/>
    <w:rsid w:val="008E444B"/>
    <w:rsid w:val="008E4610"/>
    <w:rsid w:val="008E4688"/>
    <w:rsid w:val="008E47CE"/>
    <w:rsid w:val="008E47F5"/>
    <w:rsid w:val="008E4C41"/>
    <w:rsid w:val="008E4C6E"/>
    <w:rsid w:val="008E4DE6"/>
    <w:rsid w:val="008E4E4C"/>
    <w:rsid w:val="008E4E60"/>
    <w:rsid w:val="008E4E62"/>
    <w:rsid w:val="008E5101"/>
    <w:rsid w:val="008E52BF"/>
    <w:rsid w:val="008E52D6"/>
    <w:rsid w:val="008E532C"/>
    <w:rsid w:val="008E544B"/>
    <w:rsid w:val="008E55C6"/>
    <w:rsid w:val="008E56C6"/>
    <w:rsid w:val="008E57DA"/>
    <w:rsid w:val="008E58E6"/>
    <w:rsid w:val="008E5A08"/>
    <w:rsid w:val="008E5C32"/>
    <w:rsid w:val="008E5C96"/>
    <w:rsid w:val="008E5DE8"/>
    <w:rsid w:val="008E5EA1"/>
    <w:rsid w:val="008E5EB9"/>
    <w:rsid w:val="008E604B"/>
    <w:rsid w:val="008E6074"/>
    <w:rsid w:val="008E60DB"/>
    <w:rsid w:val="008E6295"/>
    <w:rsid w:val="008E62BB"/>
    <w:rsid w:val="008E635F"/>
    <w:rsid w:val="008E636D"/>
    <w:rsid w:val="008E6399"/>
    <w:rsid w:val="008E645B"/>
    <w:rsid w:val="008E6605"/>
    <w:rsid w:val="008E663E"/>
    <w:rsid w:val="008E6669"/>
    <w:rsid w:val="008E66B1"/>
    <w:rsid w:val="008E67FD"/>
    <w:rsid w:val="008E6844"/>
    <w:rsid w:val="008E6931"/>
    <w:rsid w:val="008E6980"/>
    <w:rsid w:val="008E6A75"/>
    <w:rsid w:val="008E6D5F"/>
    <w:rsid w:val="008E6F04"/>
    <w:rsid w:val="008E6F70"/>
    <w:rsid w:val="008E6F89"/>
    <w:rsid w:val="008E702A"/>
    <w:rsid w:val="008E7298"/>
    <w:rsid w:val="008E735F"/>
    <w:rsid w:val="008E73C9"/>
    <w:rsid w:val="008E75D8"/>
    <w:rsid w:val="008E78C6"/>
    <w:rsid w:val="008E7905"/>
    <w:rsid w:val="008E79E5"/>
    <w:rsid w:val="008E7BEB"/>
    <w:rsid w:val="008E7CB5"/>
    <w:rsid w:val="008E7CBF"/>
    <w:rsid w:val="008E7D1E"/>
    <w:rsid w:val="008E7D7A"/>
    <w:rsid w:val="008E7F5D"/>
    <w:rsid w:val="008E7F6B"/>
    <w:rsid w:val="008F0006"/>
    <w:rsid w:val="008F008D"/>
    <w:rsid w:val="008F0175"/>
    <w:rsid w:val="008F02B1"/>
    <w:rsid w:val="008F0447"/>
    <w:rsid w:val="008F0477"/>
    <w:rsid w:val="008F048D"/>
    <w:rsid w:val="008F05F8"/>
    <w:rsid w:val="008F0631"/>
    <w:rsid w:val="008F0844"/>
    <w:rsid w:val="008F08AE"/>
    <w:rsid w:val="008F08FD"/>
    <w:rsid w:val="008F0932"/>
    <w:rsid w:val="008F09DE"/>
    <w:rsid w:val="008F0AC6"/>
    <w:rsid w:val="008F0BE4"/>
    <w:rsid w:val="008F0CA7"/>
    <w:rsid w:val="008F0DE4"/>
    <w:rsid w:val="008F0F0F"/>
    <w:rsid w:val="008F101E"/>
    <w:rsid w:val="008F1074"/>
    <w:rsid w:val="008F1241"/>
    <w:rsid w:val="008F1267"/>
    <w:rsid w:val="008F12F2"/>
    <w:rsid w:val="008F13EB"/>
    <w:rsid w:val="008F1416"/>
    <w:rsid w:val="008F168B"/>
    <w:rsid w:val="008F179D"/>
    <w:rsid w:val="008F1864"/>
    <w:rsid w:val="008F18BE"/>
    <w:rsid w:val="008F1A92"/>
    <w:rsid w:val="008F1BC8"/>
    <w:rsid w:val="008F1C82"/>
    <w:rsid w:val="008F1D79"/>
    <w:rsid w:val="008F1D9D"/>
    <w:rsid w:val="008F1EEB"/>
    <w:rsid w:val="008F1F2D"/>
    <w:rsid w:val="008F1FCA"/>
    <w:rsid w:val="008F1FED"/>
    <w:rsid w:val="008F22C0"/>
    <w:rsid w:val="008F22F0"/>
    <w:rsid w:val="008F2314"/>
    <w:rsid w:val="008F2339"/>
    <w:rsid w:val="008F2471"/>
    <w:rsid w:val="008F256D"/>
    <w:rsid w:val="008F25C2"/>
    <w:rsid w:val="008F2675"/>
    <w:rsid w:val="008F2758"/>
    <w:rsid w:val="008F28BA"/>
    <w:rsid w:val="008F2913"/>
    <w:rsid w:val="008F297B"/>
    <w:rsid w:val="008F2A59"/>
    <w:rsid w:val="008F2A70"/>
    <w:rsid w:val="008F2B64"/>
    <w:rsid w:val="008F2BA9"/>
    <w:rsid w:val="008F2CBD"/>
    <w:rsid w:val="008F2E6A"/>
    <w:rsid w:val="008F309D"/>
    <w:rsid w:val="008F325C"/>
    <w:rsid w:val="008F32A4"/>
    <w:rsid w:val="008F347A"/>
    <w:rsid w:val="008F352C"/>
    <w:rsid w:val="008F358B"/>
    <w:rsid w:val="008F35AE"/>
    <w:rsid w:val="008F35D1"/>
    <w:rsid w:val="008F3602"/>
    <w:rsid w:val="008F36B0"/>
    <w:rsid w:val="008F36EF"/>
    <w:rsid w:val="008F372D"/>
    <w:rsid w:val="008F384D"/>
    <w:rsid w:val="008F38BF"/>
    <w:rsid w:val="008F38EF"/>
    <w:rsid w:val="008F39BC"/>
    <w:rsid w:val="008F3A7D"/>
    <w:rsid w:val="008F3AF0"/>
    <w:rsid w:val="008F3BE7"/>
    <w:rsid w:val="008F3C50"/>
    <w:rsid w:val="008F3C9C"/>
    <w:rsid w:val="008F4000"/>
    <w:rsid w:val="008F4155"/>
    <w:rsid w:val="008F4287"/>
    <w:rsid w:val="008F42A8"/>
    <w:rsid w:val="008F431C"/>
    <w:rsid w:val="008F4336"/>
    <w:rsid w:val="008F45F3"/>
    <w:rsid w:val="008F4627"/>
    <w:rsid w:val="008F463E"/>
    <w:rsid w:val="008F46B3"/>
    <w:rsid w:val="008F46D6"/>
    <w:rsid w:val="008F4975"/>
    <w:rsid w:val="008F4A4B"/>
    <w:rsid w:val="008F4A84"/>
    <w:rsid w:val="008F4AD5"/>
    <w:rsid w:val="008F4AEF"/>
    <w:rsid w:val="008F4B01"/>
    <w:rsid w:val="008F4B26"/>
    <w:rsid w:val="008F4C67"/>
    <w:rsid w:val="008F4CBE"/>
    <w:rsid w:val="008F4DB2"/>
    <w:rsid w:val="008F4F9E"/>
    <w:rsid w:val="008F50D3"/>
    <w:rsid w:val="008F51BE"/>
    <w:rsid w:val="008F53FA"/>
    <w:rsid w:val="008F54B0"/>
    <w:rsid w:val="008F5535"/>
    <w:rsid w:val="008F5663"/>
    <w:rsid w:val="008F5680"/>
    <w:rsid w:val="008F57CB"/>
    <w:rsid w:val="008F5898"/>
    <w:rsid w:val="008F5905"/>
    <w:rsid w:val="008F5971"/>
    <w:rsid w:val="008F5A08"/>
    <w:rsid w:val="008F5B3B"/>
    <w:rsid w:val="008F5F52"/>
    <w:rsid w:val="008F5F77"/>
    <w:rsid w:val="008F60FF"/>
    <w:rsid w:val="008F6187"/>
    <w:rsid w:val="008F61CE"/>
    <w:rsid w:val="008F640B"/>
    <w:rsid w:val="008F66D1"/>
    <w:rsid w:val="008F677D"/>
    <w:rsid w:val="008F6BDF"/>
    <w:rsid w:val="008F6DB5"/>
    <w:rsid w:val="008F6DC8"/>
    <w:rsid w:val="008F6E36"/>
    <w:rsid w:val="008F6EE9"/>
    <w:rsid w:val="008F6FFF"/>
    <w:rsid w:val="008F70E4"/>
    <w:rsid w:val="008F70FA"/>
    <w:rsid w:val="008F725C"/>
    <w:rsid w:val="008F7320"/>
    <w:rsid w:val="008F73D4"/>
    <w:rsid w:val="008F74AB"/>
    <w:rsid w:val="008F74C4"/>
    <w:rsid w:val="008F7688"/>
    <w:rsid w:val="008F7723"/>
    <w:rsid w:val="008F7809"/>
    <w:rsid w:val="008F781D"/>
    <w:rsid w:val="008F794E"/>
    <w:rsid w:val="008F79E0"/>
    <w:rsid w:val="008F7A85"/>
    <w:rsid w:val="008F7AD0"/>
    <w:rsid w:val="008F7B32"/>
    <w:rsid w:val="008F7FE4"/>
    <w:rsid w:val="00900025"/>
    <w:rsid w:val="00900121"/>
    <w:rsid w:val="0090019A"/>
    <w:rsid w:val="0090037E"/>
    <w:rsid w:val="009003FA"/>
    <w:rsid w:val="009006FF"/>
    <w:rsid w:val="009007AE"/>
    <w:rsid w:val="00900927"/>
    <w:rsid w:val="00900D0F"/>
    <w:rsid w:val="00900E1C"/>
    <w:rsid w:val="0090100F"/>
    <w:rsid w:val="00901139"/>
    <w:rsid w:val="009011BA"/>
    <w:rsid w:val="0090135F"/>
    <w:rsid w:val="0090136D"/>
    <w:rsid w:val="00901550"/>
    <w:rsid w:val="009017E7"/>
    <w:rsid w:val="00901A07"/>
    <w:rsid w:val="00901A08"/>
    <w:rsid w:val="00901AE3"/>
    <w:rsid w:val="00901AF3"/>
    <w:rsid w:val="00901C3D"/>
    <w:rsid w:val="00901CE0"/>
    <w:rsid w:val="00901D0E"/>
    <w:rsid w:val="00901D32"/>
    <w:rsid w:val="00901DE2"/>
    <w:rsid w:val="00901FF5"/>
    <w:rsid w:val="0090202D"/>
    <w:rsid w:val="009020D1"/>
    <w:rsid w:val="009020F0"/>
    <w:rsid w:val="009023E8"/>
    <w:rsid w:val="0090245A"/>
    <w:rsid w:val="00902571"/>
    <w:rsid w:val="009025E5"/>
    <w:rsid w:val="0090262D"/>
    <w:rsid w:val="00902755"/>
    <w:rsid w:val="009028E3"/>
    <w:rsid w:val="00902A82"/>
    <w:rsid w:val="00902C84"/>
    <w:rsid w:val="00902D3C"/>
    <w:rsid w:val="00902DFB"/>
    <w:rsid w:val="00902E9A"/>
    <w:rsid w:val="00902FD2"/>
    <w:rsid w:val="00902FE5"/>
    <w:rsid w:val="00903075"/>
    <w:rsid w:val="009030D1"/>
    <w:rsid w:val="00903144"/>
    <w:rsid w:val="009031D9"/>
    <w:rsid w:val="009032A2"/>
    <w:rsid w:val="00903411"/>
    <w:rsid w:val="0090342F"/>
    <w:rsid w:val="00903456"/>
    <w:rsid w:val="009034D4"/>
    <w:rsid w:val="0090354C"/>
    <w:rsid w:val="00903591"/>
    <w:rsid w:val="00903791"/>
    <w:rsid w:val="009038E5"/>
    <w:rsid w:val="009039F7"/>
    <w:rsid w:val="00903A15"/>
    <w:rsid w:val="00903A6C"/>
    <w:rsid w:val="00903B5D"/>
    <w:rsid w:val="00903B99"/>
    <w:rsid w:val="00903BD0"/>
    <w:rsid w:val="00903C1E"/>
    <w:rsid w:val="00903D15"/>
    <w:rsid w:val="00903E32"/>
    <w:rsid w:val="00903E9F"/>
    <w:rsid w:val="00903EF6"/>
    <w:rsid w:val="00903F34"/>
    <w:rsid w:val="00903F8A"/>
    <w:rsid w:val="00903FA3"/>
    <w:rsid w:val="00903FC3"/>
    <w:rsid w:val="0090404E"/>
    <w:rsid w:val="0090418B"/>
    <w:rsid w:val="009042AF"/>
    <w:rsid w:val="00904325"/>
    <w:rsid w:val="00904455"/>
    <w:rsid w:val="00904513"/>
    <w:rsid w:val="00904570"/>
    <w:rsid w:val="00904709"/>
    <w:rsid w:val="009048C2"/>
    <w:rsid w:val="00904925"/>
    <w:rsid w:val="00904A81"/>
    <w:rsid w:val="00904B0F"/>
    <w:rsid w:val="00904BF9"/>
    <w:rsid w:val="00904C28"/>
    <w:rsid w:val="00904C86"/>
    <w:rsid w:val="00904CCB"/>
    <w:rsid w:val="00904D3D"/>
    <w:rsid w:val="00904D4F"/>
    <w:rsid w:val="00904F0D"/>
    <w:rsid w:val="00904F94"/>
    <w:rsid w:val="00905084"/>
    <w:rsid w:val="009051EE"/>
    <w:rsid w:val="00905384"/>
    <w:rsid w:val="009053BC"/>
    <w:rsid w:val="00905428"/>
    <w:rsid w:val="009055E3"/>
    <w:rsid w:val="009055E9"/>
    <w:rsid w:val="00905642"/>
    <w:rsid w:val="009057B0"/>
    <w:rsid w:val="009057FB"/>
    <w:rsid w:val="00905801"/>
    <w:rsid w:val="009059E2"/>
    <w:rsid w:val="00905A63"/>
    <w:rsid w:val="00905B0B"/>
    <w:rsid w:val="00905D9C"/>
    <w:rsid w:val="00905E10"/>
    <w:rsid w:val="00905F8E"/>
    <w:rsid w:val="0090618F"/>
    <w:rsid w:val="009062E5"/>
    <w:rsid w:val="009064D3"/>
    <w:rsid w:val="00906542"/>
    <w:rsid w:val="009065EE"/>
    <w:rsid w:val="009066B4"/>
    <w:rsid w:val="00906844"/>
    <w:rsid w:val="0090689B"/>
    <w:rsid w:val="009068CF"/>
    <w:rsid w:val="009068F5"/>
    <w:rsid w:val="00906A6F"/>
    <w:rsid w:val="00906B18"/>
    <w:rsid w:val="00906B7D"/>
    <w:rsid w:val="00906BCD"/>
    <w:rsid w:val="00906DFE"/>
    <w:rsid w:val="00906E89"/>
    <w:rsid w:val="00906ED4"/>
    <w:rsid w:val="00906F77"/>
    <w:rsid w:val="00906FF3"/>
    <w:rsid w:val="009070A9"/>
    <w:rsid w:val="00907111"/>
    <w:rsid w:val="00907114"/>
    <w:rsid w:val="0090754B"/>
    <w:rsid w:val="00907569"/>
    <w:rsid w:val="00907716"/>
    <w:rsid w:val="0090785F"/>
    <w:rsid w:val="00907874"/>
    <w:rsid w:val="009078CF"/>
    <w:rsid w:val="009078F4"/>
    <w:rsid w:val="009079A4"/>
    <w:rsid w:val="00907A80"/>
    <w:rsid w:val="00907BB5"/>
    <w:rsid w:val="00907D86"/>
    <w:rsid w:val="00910004"/>
    <w:rsid w:val="00910077"/>
    <w:rsid w:val="00910141"/>
    <w:rsid w:val="0091026A"/>
    <w:rsid w:val="009102BD"/>
    <w:rsid w:val="009102E6"/>
    <w:rsid w:val="009104E0"/>
    <w:rsid w:val="0091054E"/>
    <w:rsid w:val="009108CB"/>
    <w:rsid w:val="009109FA"/>
    <w:rsid w:val="00910A6E"/>
    <w:rsid w:val="00910C07"/>
    <w:rsid w:val="00910C55"/>
    <w:rsid w:val="00910D49"/>
    <w:rsid w:val="00910E1B"/>
    <w:rsid w:val="00910EC1"/>
    <w:rsid w:val="00910F11"/>
    <w:rsid w:val="00910F89"/>
    <w:rsid w:val="009110B2"/>
    <w:rsid w:val="00911251"/>
    <w:rsid w:val="009113A4"/>
    <w:rsid w:val="00911496"/>
    <w:rsid w:val="009115B0"/>
    <w:rsid w:val="00911623"/>
    <w:rsid w:val="0091163D"/>
    <w:rsid w:val="0091189B"/>
    <w:rsid w:val="0091199A"/>
    <w:rsid w:val="00911ABE"/>
    <w:rsid w:val="00911CEB"/>
    <w:rsid w:val="00911D49"/>
    <w:rsid w:val="00911E05"/>
    <w:rsid w:val="00911F6D"/>
    <w:rsid w:val="0091212F"/>
    <w:rsid w:val="0091217C"/>
    <w:rsid w:val="009121D2"/>
    <w:rsid w:val="00912257"/>
    <w:rsid w:val="00912271"/>
    <w:rsid w:val="009122C0"/>
    <w:rsid w:val="0091247D"/>
    <w:rsid w:val="0091262F"/>
    <w:rsid w:val="009127A9"/>
    <w:rsid w:val="0091284A"/>
    <w:rsid w:val="00912BA7"/>
    <w:rsid w:val="00912C90"/>
    <w:rsid w:val="009130A6"/>
    <w:rsid w:val="009133A6"/>
    <w:rsid w:val="00913416"/>
    <w:rsid w:val="009134E7"/>
    <w:rsid w:val="00913616"/>
    <w:rsid w:val="0091369A"/>
    <w:rsid w:val="009136D3"/>
    <w:rsid w:val="0091379A"/>
    <w:rsid w:val="0091391F"/>
    <w:rsid w:val="00913A6E"/>
    <w:rsid w:val="00913BF1"/>
    <w:rsid w:val="00913C80"/>
    <w:rsid w:val="00913DA8"/>
    <w:rsid w:val="00913F00"/>
    <w:rsid w:val="009140D9"/>
    <w:rsid w:val="009140E2"/>
    <w:rsid w:val="00914149"/>
    <w:rsid w:val="00914150"/>
    <w:rsid w:val="009141D2"/>
    <w:rsid w:val="009141E9"/>
    <w:rsid w:val="00914213"/>
    <w:rsid w:val="009142DA"/>
    <w:rsid w:val="00914333"/>
    <w:rsid w:val="00914352"/>
    <w:rsid w:val="0091437B"/>
    <w:rsid w:val="009143F0"/>
    <w:rsid w:val="00914726"/>
    <w:rsid w:val="00914792"/>
    <w:rsid w:val="00914A37"/>
    <w:rsid w:val="00914A8B"/>
    <w:rsid w:val="00914AB7"/>
    <w:rsid w:val="00914F2E"/>
    <w:rsid w:val="00914FF3"/>
    <w:rsid w:val="0091512C"/>
    <w:rsid w:val="00915291"/>
    <w:rsid w:val="00915377"/>
    <w:rsid w:val="00915415"/>
    <w:rsid w:val="009154E8"/>
    <w:rsid w:val="00915575"/>
    <w:rsid w:val="009155E2"/>
    <w:rsid w:val="009156C7"/>
    <w:rsid w:val="0091593F"/>
    <w:rsid w:val="00915952"/>
    <w:rsid w:val="00915958"/>
    <w:rsid w:val="00915B5E"/>
    <w:rsid w:val="00915C78"/>
    <w:rsid w:val="00915CA2"/>
    <w:rsid w:val="00915CA5"/>
    <w:rsid w:val="00915CC3"/>
    <w:rsid w:val="00915E14"/>
    <w:rsid w:val="00915E3B"/>
    <w:rsid w:val="00915F2C"/>
    <w:rsid w:val="009161C7"/>
    <w:rsid w:val="009162B6"/>
    <w:rsid w:val="009162DF"/>
    <w:rsid w:val="009164EE"/>
    <w:rsid w:val="009166F8"/>
    <w:rsid w:val="00916A5E"/>
    <w:rsid w:val="00916ABF"/>
    <w:rsid w:val="00916BB9"/>
    <w:rsid w:val="00916C6C"/>
    <w:rsid w:val="00916D50"/>
    <w:rsid w:val="00916EFB"/>
    <w:rsid w:val="00917033"/>
    <w:rsid w:val="00917041"/>
    <w:rsid w:val="009170FD"/>
    <w:rsid w:val="00917211"/>
    <w:rsid w:val="00917302"/>
    <w:rsid w:val="00917350"/>
    <w:rsid w:val="00917379"/>
    <w:rsid w:val="009178B0"/>
    <w:rsid w:val="00917BA2"/>
    <w:rsid w:val="00917C0D"/>
    <w:rsid w:val="00917C33"/>
    <w:rsid w:val="00917C35"/>
    <w:rsid w:val="00917D31"/>
    <w:rsid w:val="00917DD8"/>
    <w:rsid w:val="00917DED"/>
    <w:rsid w:val="00917EA2"/>
    <w:rsid w:val="00917EB0"/>
    <w:rsid w:val="00917F3F"/>
    <w:rsid w:val="009201F4"/>
    <w:rsid w:val="009201F9"/>
    <w:rsid w:val="009202F1"/>
    <w:rsid w:val="009203CC"/>
    <w:rsid w:val="0092055E"/>
    <w:rsid w:val="00920717"/>
    <w:rsid w:val="009207F8"/>
    <w:rsid w:val="00920B06"/>
    <w:rsid w:val="00920B23"/>
    <w:rsid w:val="00920B7C"/>
    <w:rsid w:val="00920BF4"/>
    <w:rsid w:val="00920C70"/>
    <w:rsid w:val="00920C79"/>
    <w:rsid w:val="00920D04"/>
    <w:rsid w:val="00920E5E"/>
    <w:rsid w:val="0092110C"/>
    <w:rsid w:val="00921300"/>
    <w:rsid w:val="00921326"/>
    <w:rsid w:val="0092142F"/>
    <w:rsid w:val="00921434"/>
    <w:rsid w:val="009214D6"/>
    <w:rsid w:val="00921536"/>
    <w:rsid w:val="009216A9"/>
    <w:rsid w:val="00921800"/>
    <w:rsid w:val="00921849"/>
    <w:rsid w:val="00921855"/>
    <w:rsid w:val="009218C0"/>
    <w:rsid w:val="009219DC"/>
    <w:rsid w:val="00921A6D"/>
    <w:rsid w:val="00921DCA"/>
    <w:rsid w:val="00921EED"/>
    <w:rsid w:val="009220D9"/>
    <w:rsid w:val="009220DE"/>
    <w:rsid w:val="00922180"/>
    <w:rsid w:val="0092221F"/>
    <w:rsid w:val="009222DF"/>
    <w:rsid w:val="0092231E"/>
    <w:rsid w:val="00922323"/>
    <w:rsid w:val="0092236E"/>
    <w:rsid w:val="009223AC"/>
    <w:rsid w:val="00922421"/>
    <w:rsid w:val="00922423"/>
    <w:rsid w:val="0092247A"/>
    <w:rsid w:val="009224A7"/>
    <w:rsid w:val="009226A0"/>
    <w:rsid w:val="009226AF"/>
    <w:rsid w:val="0092278A"/>
    <w:rsid w:val="00922E1E"/>
    <w:rsid w:val="00922EEC"/>
    <w:rsid w:val="00922EF5"/>
    <w:rsid w:val="00922FA4"/>
    <w:rsid w:val="00922FAE"/>
    <w:rsid w:val="009230AC"/>
    <w:rsid w:val="00923195"/>
    <w:rsid w:val="009231B2"/>
    <w:rsid w:val="009233B5"/>
    <w:rsid w:val="009233CA"/>
    <w:rsid w:val="0092372E"/>
    <w:rsid w:val="00923975"/>
    <w:rsid w:val="00923A65"/>
    <w:rsid w:val="00923CF1"/>
    <w:rsid w:val="00923D7E"/>
    <w:rsid w:val="00923F31"/>
    <w:rsid w:val="0092401A"/>
    <w:rsid w:val="009242E5"/>
    <w:rsid w:val="0092432A"/>
    <w:rsid w:val="009244CC"/>
    <w:rsid w:val="00924527"/>
    <w:rsid w:val="00924622"/>
    <w:rsid w:val="00924662"/>
    <w:rsid w:val="009246B6"/>
    <w:rsid w:val="00924963"/>
    <w:rsid w:val="00924A85"/>
    <w:rsid w:val="00924B14"/>
    <w:rsid w:val="00924C97"/>
    <w:rsid w:val="00924CC0"/>
    <w:rsid w:val="00924CD5"/>
    <w:rsid w:val="00924D05"/>
    <w:rsid w:val="00924D65"/>
    <w:rsid w:val="00924EE0"/>
    <w:rsid w:val="00924F47"/>
    <w:rsid w:val="009250AD"/>
    <w:rsid w:val="009250C0"/>
    <w:rsid w:val="009252CC"/>
    <w:rsid w:val="009252E4"/>
    <w:rsid w:val="0092539A"/>
    <w:rsid w:val="009253E5"/>
    <w:rsid w:val="00925481"/>
    <w:rsid w:val="009254A9"/>
    <w:rsid w:val="009254FF"/>
    <w:rsid w:val="00925543"/>
    <w:rsid w:val="009255FB"/>
    <w:rsid w:val="00925700"/>
    <w:rsid w:val="0092576D"/>
    <w:rsid w:val="009257C3"/>
    <w:rsid w:val="00925805"/>
    <w:rsid w:val="00925937"/>
    <w:rsid w:val="00925A17"/>
    <w:rsid w:val="00925A39"/>
    <w:rsid w:val="00925C42"/>
    <w:rsid w:val="00925DA0"/>
    <w:rsid w:val="00925DA7"/>
    <w:rsid w:val="00925F5A"/>
    <w:rsid w:val="00926094"/>
    <w:rsid w:val="00926126"/>
    <w:rsid w:val="009261CD"/>
    <w:rsid w:val="0092623B"/>
    <w:rsid w:val="00926361"/>
    <w:rsid w:val="009263F5"/>
    <w:rsid w:val="00926432"/>
    <w:rsid w:val="009265C6"/>
    <w:rsid w:val="00926A5B"/>
    <w:rsid w:val="00926BB2"/>
    <w:rsid w:val="00926C98"/>
    <w:rsid w:val="00926CBF"/>
    <w:rsid w:val="00926D74"/>
    <w:rsid w:val="00926D76"/>
    <w:rsid w:val="00926D9E"/>
    <w:rsid w:val="00926F07"/>
    <w:rsid w:val="00926F75"/>
    <w:rsid w:val="00926F90"/>
    <w:rsid w:val="0092708C"/>
    <w:rsid w:val="009270E0"/>
    <w:rsid w:val="00927117"/>
    <w:rsid w:val="0092749D"/>
    <w:rsid w:val="009274F3"/>
    <w:rsid w:val="009275BF"/>
    <w:rsid w:val="00927658"/>
    <w:rsid w:val="009276E3"/>
    <w:rsid w:val="009276F4"/>
    <w:rsid w:val="00927974"/>
    <w:rsid w:val="0092797F"/>
    <w:rsid w:val="00927A23"/>
    <w:rsid w:val="00927B03"/>
    <w:rsid w:val="00927B6D"/>
    <w:rsid w:val="0093002A"/>
    <w:rsid w:val="00930159"/>
    <w:rsid w:val="009301AC"/>
    <w:rsid w:val="009301C7"/>
    <w:rsid w:val="00930288"/>
    <w:rsid w:val="009302FF"/>
    <w:rsid w:val="009303A0"/>
    <w:rsid w:val="00930446"/>
    <w:rsid w:val="00930504"/>
    <w:rsid w:val="00930506"/>
    <w:rsid w:val="00930597"/>
    <w:rsid w:val="009305DB"/>
    <w:rsid w:val="009305DC"/>
    <w:rsid w:val="009306E5"/>
    <w:rsid w:val="009306E7"/>
    <w:rsid w:val="009308E8"/>
    <w:rsid w:val="00930A9A"/>
    <w:rsid w:val="00930FEF"/>
    <w:rsid w:val="0093124B"/>
    <w:rsid w:val="00931303"/>
    <w:rsid w:val="00931314"/>
    <w:rsid w:val="009315B9"/>
    <w:rsid w:val="009315D6"/>
    <w:rsid w:val="009316FB"/>
    <w:rsid w:val="00931776"/>
    <w:rsid w:val="009318C7"/>
    <w:rsid w:val="00931A27"/>
    <w:rsid w:val="00931BF9"/>
    <w:rsid w:val="00931C20"/>
    <w:rsid w:val="00931F12"/>
    <w:rsid w:val="00931F6B"/>
    <w:rsid w:val="00931FAE"/>
    <w:rsid w:val="00932134"/>
    <w:rsid w:val="0093237E"/>
    <w:rsid w:val="009325D6"/>
    <w:rsid w:val="0093271E"/>
    <w:rsid w:val="009327AD"/>
    <w:rsid w:val="009327D8"/>
    <w:rsid w:val="009329D1"/>
    <w:rsid w:val="00932B9A"/>
    <w:rsid w:val="00932C19"/>
    <w:rsid w:val="00932CED"/>
    <w:rsid w:val="00932D49"/>
    <w:rsid w:val="00932D4C"/>
    <w:rsid w:val="00932E91"/>
    <w:rsid w:val="00932F39"/>
    <w:rsid w:val="009331B0"/>
    <w:rsid w:val="009335AF"/>
    <w:rsid w:val="009335D7"/>
    <w:rsid w:val="009336BD"/>
    <w:rsid w:val="00933753"/>
    <w:rsid w:val="009338F3"/>
    <w:rsid w:val="00933926"/>
    <w:rsid w:val="009339AE"/>
    <w:rsid w:val="009339C6"/>
    <w:rsid w:val="00933A07"/>
    <w:rsid w:val="00933AC9"/>
    <w:rsid w:val="00933B0F"/>
    <w:rsid w:val="00933B73"/>
    <w:rsid w:val="00933BED"/>
    <w:rsid w:val="00933D81"/>
    <w:rsid w:val="00933E79"/>
    <w:rsid w:val="00933F52"/>
    <w:rsid w:val="00933FA0"/>
    <w:rsid w:val="00934014"/>
    <w:rsid w:val="00934099"/>
    <w:rsid w:val="009341B7"/>
    <w:rsid w:val="00934203"/>
    <w:rsid w:val="0093423D"/>
    <w:rsid w:val="00934248"/>
    <w:rsid w:val="00934273"/>
    <w:rsid w:val="0093430B"/>
    <w:rsid w:val="0093439F"/>
    <w:rsid w:val="009343E9"/>
    <w:rsid w:val="0093440D"/>
    <w:rsid w:val="00934493"/>
    <w:rsid w:val="00934527"/>
    <w:rsid w:val="00934593"/>
    <w:rsid w:val="00934791"/>
    <w:rsid w:val="009348F6"/>
    <w:rsid w:val="0093498F"/>
    <w:rsid w:val="00934ABD"/>
    <w:rsid w:val="00934AD8"/>
    <w:rsid w:val="00934AEC"/>
    <w:rsid w:val="00934D2D"/>
    <w:rsid w:val="00934E01"/>
    <w:rsid w:val="00934E3F"/>
    <w:rsid w:val="00934E96"/>
    <w:rsid w:val="00934EEC"/>
    <w:rsid w:val="00935021"/>
    <w:rsid w:val="009350EE"/>
    <w:rsid w:val="009351CA"/>
    <w:rsid w:val="00935283"/>
    <w:rsid w:val="00935541"/>
    <w:rsid w:val="0093558A"/>
    <w:rsid w:val="009355D2"/>
    <w:rsid w:val="00935687"/>
    <w:rsid w:val="0093591C"/>
    <w:rsid w:val="00935924"/>
    <w:rsid w:val="00935938"/>
    <w:rsid w:val="0093593F"/>
    <w:rsid w:val="00935A50"/>
    <w:rsid w:val="00935B06"/>
    <w:rsid w:val="00935B5D"/>
    <w:rsid w:val="00935C96"/>
    <w:rsid w:val="00935D64"/>
    <w:rsid w:val="00935E37"/>
    <w:rsid w:val="00935E4A"/>
    <w:rsid w:val="00935E94"/>
    <w:rsid w:val="00935EE0"/>
    <w:rsid w:val="00936066"/>
    <w:rsid w:val="0093612B"/>
    <w:rsid w:val="0093616B"/>
    <w:rsid w:val="0093617C"/>
    <w:rsid w:val="00936273"/>
    <w:rsid w:val="009363B9"/>
    <w:rsid w:val="00936403"/>
    <w:rsid w:val="0093661E"/>
    <w:rsid w:val="00936776"/>
    <w:rsid w:val="00936981"/>
    <w:rsid w:val="0093699F"/>
    <w:rsid w:val="009369D8"/>
    <w:rsid w:val="00936A82"/>
    <w:rsid w:val="00936B7D"/>
    <w:rsid w:val="00936DCD"/>
    <w:rsid w:val="00936DF7"/>
    <w:rsid w:val="00936ECF"/>
    <w:rsid w:val="00936FA0"/>
    <w:rsid w:val="0093713D"/>
    <w:rsid w:val="0093725E"/>
    <w:rsid w:val="0093728A"/>
    <w:rsid w:val="00937308"/>
    <w:rsid w:val="0093736B"/>
    <w:rsid w:val="009373C1"/>
    <w:rsid w:val="0093748E"/>
    <w:rsid w:val="0093753B"/>
    <w:rsid w:val="009375C2"/>
    <w:rsid w:val="009375D7"/>
    <w:rsid w:val="00937681"/>
    <w:rsid w:val="0093768C"/>
    <w:rsid w:val="009376BF"/>
    <w:rsid w:val="009376C8"/>
    <w:rsid w:val="0093781A"/>
    <w:rsid w:val="009378D1"/>
    <w:rsid w:val="00937AEF"/>
    <w:rsid w:val="00937C73"/>
    <w:rsid w:val="00937C93"/>
    <w:rsid w:val="00937D17"/>
    <w:rsid w:val="00937D6A"/>
    <w:rsid w:val="00937E06"/>
    <w:rsid w:val="00937F14"/>
    <w:rsid w:val="00937F94"/>
    <w:rsid w:val="00937FAD"/>
    <w:rsid w:val="00937FC3"/>
    <w:rsid w:val="00937FD8"/>
    <w:rsid w:val="0094007B"/>
    <w:rsid w:val="009403F8"/>
    <w:rsid w:val="0094042B"/>
    <w:rsid w:val="0094058D"/>
    <w:rsid w:val="0094092F"/>
    <w:rsid w:val="00940971"/>
    <w:rsid w:val="0094098E"/>
    <w:rsid w:val="00940A82"/>
    <w:rsid w:val="00940BA9"/>
    <w:rsid w:val="00940C14"/>
    <w:rsid w:val="00940C98"/>
    <w:rsid w:val="00940CCA"/>
    <w:rsid w:val="00940D76"/>
    <w:rsid w:val="00940D82"/>
    <w:rsid w:val="00940DA0"/>
    <w:rsid w:val="00940ECE"/>
    <w:rsid w:val="00941116"/>
    <w:rsid w:val="009412C9"/>
    <w:rsid w:val="0094163D"/>
    <w:rsid w:val="009416B0"/>
    <w:rsid w:val="009417E5"/>
    <w:rsid w:val="00941B18"/>
    <w:rsid w:val="00941BC3"/>
    <w:rsid w:val="00941C3B"/>
    <w:rsid w:val="00941CE2"/>
    <w:rsid w:val="00941E2C"/>
    <w:rsid w:val="00941E39"/>
    <w:rsid w:val="00941E5D"/>
    <w:rsid w:val="00941E85"/>
    <w:rsid w:val="00941EA1"/>
    <w:rsid w:val="00942056"/>
    <w:rsid w:val="00942061"/>
    <w:rsid w:val="00942189"/>
    <w:rsid w:val="00942415"/>
    <w:rsid w:val="009424CE"/>
    <w:rsid w:val="00942639"/>
    <w:rsid w:val="0094264D"/>
    <w:rsid w:val="00942686"/>
    <w:rsid w:val="009426E9"/>
    <w:rsid w:val="0094283A"/>
    <w:rsid w:val="00942A15"/>
    <w:rsid w:val="00942A1A"/>
    <w:rsid w:val="00942A7A"/>
    <w:rsid w:val="00942AB0"/>
    <w:rsid w:val="00942B95"/>
    <w:rsid w:val="00942CDD"/>
    <w:rsid w:val="00942E08"/>
    <w:rsid w:val="00942E6A"/>
    <w:rsid w:val="00942E80"/>
    <w:rsid w:val="00942E93"/>
    <w:rsid w:val="00943092"/>
    <w:rsid w:val="00943177"/>
    <w:rsid w:val="009431CD"/>
    <w:rsid w:val="00943266"/>
    <w:rsid w:val="00943371"/>
    <w:rsid w:val="00943500"/>
    <w:rsid w:val="0094356D"/>
    <w:rsid w:val="009435DC"/>
    <w:rsid w:val="00943616"/>
    <w:rsid w:val="0094365B"/>
    <w:rsid w:val="00943691"/>
    <w:rsid w:val="009436C4"/>
    <w:rsid w:val="009438DD"/>
    <w:rsid w:val="0094390F"/>
    <w:rsid w:val="00943949"/>
    <w:rsid w:val="009439A7"/>
    <w:rsid w:val="00943A11"/>
    <w:rsid w:val="00943A92"/>
    <w:rsid w:val="00943C7C"/>
    <w:rsid w:val="00943DA2"/>
    <w:rsid w:val="00943DBE"/>
    <w:rsid w:val="00943DD5"/>
    <w:rsid w:val="00943E24"/>
    <w:rsid w:val="00943F21"/>
    <w:rsid w:val="00943F9D"/>
    <w:rsid w:val="009441DA"/>
    <w:rsid w:val="0094430C"/>
    <w:rsid w:val="00944427"/>
    <w:rsid w:val="0094446D"/>
    <w:rsid w:val="009444D0"/>
    <w:rsid w:val="009444D4"/>
    <w:rsid w:val="0094453E"/>
    <w:rsid w:val="00944745"/>
    <w:rsid w:val="00944962"/>
    <w:rsid w:val="00944C4A"/>
    <w:rsid w:val="00944CDE"/>
    <w:rsid w:val="00944D0C"/>
    <w:rsid w:val="00944D3E"/>
    <w:rsid w:val="00944EE4"/>
    <w:rsid w:val="00944F34"/>
    <w:rsid w:val="00944FA0"/>
    <w:rsid w:val="00944FB8"/>
    <w:rsid w:val="00945101"/>
    <w:rsid w:val="009452DD"/>
    <w:rsid w:val="00945354"/>
    <w:rsid w:val="009453A8"/>
    <w:rsid w:val="009453B9"/>
    <w:rsid w:val="0094542A"/>
    <w:rsid w:val="009456FC"/>
    <w:rsid w:val="0094579B"/>
    <w:rsid w:val="009457FE"/>
    <w:rsid w:val="0094582A"/>
    <w:rsid w:val="00945954"/>
    <w:rsid w:val="00945978"/>
    <w:rsid w:val="00945AE3"/>
    <w:rsid w:val="00945BA4"/>
    <w:rsid w:val="00945BB3"/>
    <w:rsid w:val="00945CF2"/>
    <w:rsid w:val="00945E7E"/>
    <w:rsid w:val="00945E99"/>
    <w:rsid w:val="00945F5A"/>
    <w:rsid w:val="00945FC5"/>
    <w:rsid w:val="009462EC"/>
    <w:rsid w:val="0094635A"/>
    <w:rsid w:val="00946483"/>
    <w:rsid w:val="009468CC"/>
    <w:rsid w:val="00946A06"/>
    <w:rsid w:val="00946A17"/>
    <w:rsid w:val="00946A94"/>
    <w:rsid w:val="00946BEC"/>
    <w:rsid w:val="00946D19"/>
    <w:rsid w:val="00946D68"/>
    <w:rsid w:val="00946E46"/>
    <w:rsid w:val="00946F70"/>
    <w:rsid w:val="00946FFC"/>
    <w:rsid w:val="0094711E"/>
    <w:rsid w:val="009473F1"/>
    <w:rsid w:val="009474FA"/>
    <w:rsid w:val="00947531"/>
    <w:rsid w:val="00947553"/>
    <w:rsid w:val="0094763F"/>
    <w:rsid w:val="0094767D"/>
    <w:rsid w:val="009478C1"/>
    <w:rsid w:val="009478F5"/>
    <w:rsid w:val="009479B4"/>
    <w:rsid w:val="00947AB4"/>
    <w:rsid w:val="00947ACA"/>
    <w:rsid w:val="00947B00"/>
    <w:rsid w:val="00947C8F"/>
    <w:rsid w:val="00947D3F"/>
    <w:rsid w:val="00947FED"/>
    <w:rsid w:val="00950148"/>
    <w:rsid w:val="009501DA"/>
    <w:rsid w:val="0095028C"/>
    <w:rsid w:val="0095043A"/>
    <w:rsid w:val="0095045E"/>
    <w:rsid w:val="00950727"/>
    <w:rsid w:val="00950772"/>
    <w:rsid w:val="009507CA"/>
    <w:rsid w:val="00950888"/>
    <w:rsid w:val="00950959"/>
    <w:rsid w:val="00950A63"/>
    <w:rsid w:val="00950BC7"/>
    <w:rsid w:val="00950C02"/>
    <w:rsid w:val="00950C75"/>
    <w:rsid w:val="00950CF1"/>
    <w:rsid w:val="00950E6E"/>
    <w:rsid w:val="00950E78"/>
    <w:rsid w:val="00950F3E"/>
    <w:rsid w:val="00951072"/>
    <w:rsid w:val="009513F9"/>
    <w:rsid w:val="00951523"/>
    <w:rsid w:val="00951729"/>
    <w:rsid w:val="009518DC"/>
    <w:rsid w:val="0095195D"/>
    <w:rsid w:val="009519D7"/>
    <w:rsid w:val="00951A51"/>
    <w:rsid w:val="00951B76"/>
    <w:rsid w:val="00951B96"/>
    <w:rsid w:val="00951BED"/>
    <w:rsid w:val="00951D4E"/>
    <w:rsid w:val="00951F64"/>
    <w:rsid w:val="00951FC1"/>
    <w:rsid w:val="0095201C"/>
    <w:rsid w:val="00952032"/>
    <w:rsid w:val="00952036"/>
    <w:rsid w:val="0095204E"/>
    <w:rsid w:val="0095229E"/>
    <w:rsid w:val="009522CF"/>
    <w:rsid w:val="00952333"/>
    <w:rsid w:val="00952564"/>
    <w:rsid w:val="00952623"/>
    <w:rsid w:val="00952753"/>
    <w:rsid w:val="009527CB"/>
    <w:rsid w:val="009528A8"/>
    <w:rsid w:val="00952C42"/>
    <w:rsid w:val="00952C88"/>
    <w:rsid w:val="00952D64"/>
    <w:rsid w:val="00952D86"/>
    <w:rsid w:val="00952DEE"/>
    <w:rsid w:val="00952EC1"/>
    <w:rsid w:val="00952F9B"/>
    <w:rsid w:val="0095301D"/>
    <w:rsid w:val="00953038"/>
    <w:rsid w:val="00953118"/>
    <w:rsid w:val="00953225"/>
    <w:rsid w:val="00953229"/>
    <w:rsid w:val="0095345A"/>
    <w:rsid w:val="00953493"/>
    <w:rsid w:val="009535E2"/>
    <w:rsid w:val="009536B5"/>
    <w:rsid w:val="009538BB"/>
    <w:rsid w:val="009538D6"/>
    <w:rsid w:val="009539B1"/>
    <w:rsid w:val="00953AA6"/>
    <w:rsid w:val="00953B38"/>
    <w:rsid w:val="00953CA5"/>
    <w:rsid w:val="00953E54"/>
    <w:rsid w:val="00953E73"/>
    <w:rsid w:val="00953FB6"/>
    <w:rsid w:val="0095416F"/>
    <w:rsid w:val="00954197"/>
    <w:rsid w:val="009542A4"/>
    <w:rsid w:val="009542FE"/>
    <w:rsid w:val="00954532"/>
    <w:rsid w:val="00954573"/>
    <w:rsid w:val="009547AF"/>
    <w:rsid w:val="00954D0E"/>
    <w:rsid w:val="00954D6B"/>
    <w:rsid w:val="00954E32"/>
    <w:rsid w:val="00954EAD"/>
    <w:rsid w:val="00954FBA"/>
    <w:rsid w:val="00954FE6"/>
    <w:rsid w:val="00954FF6"/>
    <w:rsid w:val="009550BF"/>
    <w:rsid w:val="009550CB"/>
    <w:rsid w:val="009550DA"/>
    <w:rsid w:val="009551FA"/>
    <w:rsid w:val="009553BF"/>
    <w:rsid w:val="009553FF"/>
    <w:rsid w:val="0095543D"/>
    <w:rsid w:val="00955496"/>
    <w:rsid w:val="00955625"/>
    <w:rsid w:val="00955757"/>
    <w:rsid w:val="0095577E"/>
    <w:rsid w:val="009557FD"/>
    <w:rsid w:val="0095585D"/>
    <w:rsid w:val="00955A06"/>
    <w:rsid w:val="00955A3D"/>
    <w:rsid w:val="00955AC0"/>
    <w:rsid w:val="00955AF3"/>
    <w:rsid w:val="00955B26"/>
    <w:rsid w:val="00955B67"/>
    <w:rsid w:val="00955C88"/>
    <w:rsid w:val="00955CF9"/>
    <w:rsid w:val="00955D15"/>
    <w:rsid w:val="00955DD3"/>
    <w:rsid w:val="00955EA4"/>
    <w:rsid w:val="00956052"/>
    <w:rsid w:val="0095605B"/>
    <w:rsid w:val="009561B7"/>
    <w:rsid w:val="009561C4"/>
    <w:rsid w:val="009561C6"/>
    <w:rsid w:val="009561D7"/>
    <w:rsid w:val="009561E0"/>
    <w:rsid w:val="00956226"/>
    <w:rsid w:val="00956274"/>
    <w:rsid w:val="00956486"/>
    <w:rsid w:val="00956865"/>
    <w:rsid w:val="00956A24"/>
    <w:rsid w:val="00956AAB"/>
    <w:rsid w:val="00956B99"/>
    <w:rsid w:val="00956C75"/>
    <w:rsid w:val="00956D37"/>
    <w:rsid w:val="00956DE5"/>
    <w:rsid w:val="00956E83"/>
    <w:rsid w:val="00956EF3"/>
    <w:rsid w:val="009572DB"/>
    <w:rsid w:val="009575C9"/>
    <w:rsid w:val="009577E7"/>
    <w:rsid w:val="0095781B"/>
    <w:rsid w:val="00957979"/>
    <w:rsid w:val="00957BCD"/>
    <w:rsid w:val="00957C87"/>
    <w:rsid w:val="00957D19"/>
    <w:rsid w:val="00957D62"/>
    <w:rsid w:val="00957D80"/>
    <w:rsid w:val="00957E75"/>
    <w:rsid w:val="00957E9F"/>
    <w:rsid w:val="00957FDB"/>
    <w:rsid w:val="009600F6"/>
    <w:rsid w:val="00960159"/>
    <w:rsid w:val="009601D4"/>
    <w:rsid w:val="00960250"/>
    <w:rsid w:val="009602BD"/>
    <w:rsid w:val="009604B5"/>
    <w:rsid w:val="0096058A"/>
    <w:rsid w:val="009605D6"/>
    <w:rsid w:val="009606AA"/>
    <w:rsid w:val="009608B5"/>
    <w:rsid w:val="00960A16"/>
    <w:rsid w:val="00960A1E"/>
    <w:rsid w:val="00960B52"/>
    <w:rsid w:val="00960D02"/>
    <w:rsid w:val="00960DB5"/>
    <w:rsid w:val="00960E86"/>
    <w:rsid w:val="00960F69"/>
    <w:rsid w:val="00961029"/>
    <w:rsid w:val="0096107E"/>
    <w:rsid w:val="009610EA"/>
    <w:rsid w:val="0096136C"/>
    <w:rsid w:val="009617AA"/>
    <w:rsid w:val="00961991"/>
    <w:rsid w:val="009619B7"/>
    <w:rsid w:val="00961A39"/>
    <w:rsid w:val="00961ACA"/>
    <w:rsid w:val="00961CE6"/>
    <w:rsid w:val="00961DB1"/>
    <w:rsid w:val="00961DB4"/>
    <w:rsid w:val="00961DBC"/>
    <w:rsid w:val="00961EF2"/>
    <w:rsid w:val="0096200A"/>
    <w:rsid w:val="00962187"/>
    <w:rsid w:val="009624C3"/>
    <w:rsid w:val="0096261B"/>
    <w:rsid w:val="0096268B"/>
    <w:rsid w:val="0096273F"/>
    <w:rsid w:val="009627A6"/>
    <w:rsid w:val="009627E2"/>
    <w:rsid w:val="00962AD6"/>
    <w:rsid w:val="00962ADD"/>
    <w:rsid w:val="00962CA9"/>
    <w:rsid w:val="00962EA3"/>
    <w:rsid w:val="0096309E"/>
    <w:rsid w:val="009630B0"/>
    <w:rsid w:val="009630F0"/>
    <w:rsid w:val="00963578"/>
    <w:rsid w:val="009637BA"/>
    <w:rsid w:val="0096390E"/>
    <w:rsid w:val="00963A0F"/>
    <w:rsid w:val="00963B2E"/>
    <w:rsid w:val="00963C13"/>
    <w:rsid w:val="00963D45"/>
    <w:rsid w:val="00963DBE"/>
    <w:rsid w:val="009641E8"/>
    <w:rsid w:val="009643EA"/>
    <w:rsid w:val="00964477"/>
    <w:rsid w:val="009644B7"/>
    <w:rsid w:val="009644F5"/>
    <w:rsid w:val="009645DE"/>
    <w:rsid w:val="00964786"/>
    <w:rsid w:val="009647E6"/>
    <w:rsid w:val="00964A4E"/>
    <w:rsid w:val="00964B7D"/>
    <w:rsid w:val="00964BB9"/>
    <w:rsid w:val="00964E48"/>
    <w:rsid w:val="00964F54"/>
    <w:rsid w:val="00965093"/>
    <w:rsid w:val="009652DD"/>
    <w:rsid w:val="00965342"/>
    <w:rsid w:val="00965346"/>
    <w:rsid w:val="009655B2"/>
    <w:rsid w:val="00965632"/>
    <w:rsid w:val="0096571F"/>
    <w:rsid w:val="00965739"/>
    <w:rsid w:val="00965887"/>
    <w:rsid w:val="009659B7"/>
    <w:rsid w:val="00965E28"/>
    <w:rsid w:val="00965F19"/>
    <w:rsid w:val="00965F90"/>
    <w:rsid w:val="009661A0"/>
    <w:rsid w:val="00966230"/>
    <w:rsid w:val="009663C8"/>
    <w:rsid w:val="009664AE"/>
    <w:rsid w:val="00966745"/>
    <w:rsid w:val="009667BC"/>
    <w:rsid w:val="009669C5"/>
    <w:rsid w:val="00966A00"/>
    <w:rsid w:val="00966A1A"/>
    <w:rsid w:val="00966C37"/>
    <w:rsid w:val="00966C6A"/>
    <w:rsid w:val="00966CD1"/>
    <w:rsid w:val="00966E27"/>
    <w:rsid w:val="00966F04"/>
    <w:rsid w:val="00966F0B"/>
    <w:rsid w:val="0096709C"/>
    <w:rsid w:val="00967143"/>
    <w:rsid w:val="00967292"/>
    <w:rsid w:val="00967307"/>
    <w:rsid w:val="0096743A"/>
    <w:rsid w:val="0096756C"/>
    <w:rsid w:val="009675DD"/>
    <w:rsid w:val="009675E5"/>
    <w:rsid w:val="0096787A"/>
    <w:rsid w:val="009678E7"/>
    <w:rsid w:val="0096799F"/>
    <w:rsid w:val="009679FC"/>
    <w:rsid w:val="00967B8A"/>
    <w:rsid w:val="00967C41"/>
    <w:rsid w:val="00967C43"/>
    <w:rsid w:val="00967C61"/>
    <w:rsid w:val="00967E8C"/>
    <w:rsid w:val="00967FB5"/>
    <w:rsid w:val="00970025"/>
    <w:rsid w:val="00970166"/>
    <w:rsid w:val="00970524"/>
    <w:rsid w:val="00970528"/>
    <w:rsid w:val="00970586"/>
    <w:rsid w:val="0097059A"/>
    <w:rsid w:val="0097066A"/>
    <w:rsid w:val="00970926"/>
    <w:rsid w:val="009709A1"/>
    <w:rsid w:val="009709DD"/>
    <w:rsid w:val="00970A0E"/>
    <w:rsid w:val="00970AA3"/>
    <w:rsid w:val="00970AE5"/>
    <w:rsid w:val="00970B42"/>
    <w:rsid w:val="00970B68"/>
    <w:rsid w:val="00970B9C"/>
    <w:rsid w:val="00970DEE"/>
    <w:rsid w:val="00970F00"/>
    <w:rsid w:val="00971229"/>
    <w:rsid w:val="00971289"/>
    <w:rsid w:val="009712FE"/>
    <w:rsid w:val="0097130F"/>
    <w:rsid w:val="0097133C"/>
    <w:rsid w:val="00971367"/>
    <w:rsid w:val="009714F5"/>
    <w:rsid w:val="00971687"/>
    <w:rsid w:val="00971810"/>
    <w:rsid w:val="009718BA"/>
    <w:rsid w:val="009719B4"/>
    <w:rsid w:val="00971B22"/>
    <w:rsid w:val="00971C25"/>
    <w:rsid w:val="00971C72"/>
    <w:rsid w:val="00971D16"/>
    <w:rsid w:val="00971D56"/>
    <w:rsid w:val="00971E12"/>
    <w:rsid w:val="00971EE6"/>
    <w:rsid w:val="00972067"/>
    <w:rsid w:val="00972241"/>
    <w:rsid w:val="00972338"/>
    <w:rsid w:val="009723B1"/>
    <w:rsid w:val="009723BF"/>
    <w:rsid w:val="00972519"/>
    <w:rsid w:val="0097254E"/>
    <w:rsid w:val="00972833"/>
    <w:rsid w:val="0097292B"/>
    <w:rsid w:val="00972BA0"/>
    <w:rsid w:val="00972BE6"/>
    <w:rsid w:val="00972C5E"/>
    <w:rsid w:val="00972C84"/>
    <w:rsid w:val="00972CA7"/>
    <w:rsid w:val="00972D21"/>
    <w:rsid w:val="00972E10"/>
    <w:rsid w:val="00972E36"/>
    <w:rsid w:val="00972E7C"/>
    <w:rsid w:val="00972F4B"/>
    <w:rsid w:val="00972F5B"/>
    <w:rsid w:val="00972F72"/>
    <w:rsid w:val="00973052"/>
    <w:rsid w:val="00973088"/>
    <w:rsid w:val="00973173"/>
    <w:rsid w:val="00973198"/>
    <w:rsid w:val="00973213"/>
    <w:rsid w:val="00973259"/>
    <w:rsid w:val="0097325F"/>
    <w:rsid w:val="00973534"/>
    <w:rsid w:val="00973645"/>
    <w:rsid w:val="00973691"/>
    <w:rsid w:val="00973712"/>
    <w:rsid w:val="00973724"/>
    <w:rsid w:val="009739A2"/>
    <w:rsid w:val="009739C3"/>
    <w:rsid w:val="00973A2C"/>
    <w:rsid w:val="00973A37"/>
    <w:rsid w:val="00973B7A"/>
    <w:rsid w:val="00973C1C"/>
    <w:rsid w:val="00973DCB"/>
    <w:rsid w:val="00973FCA"/>
    <w:rsid w:val="00973FFB"/>
    <w:rsid w:val="009741C5"/>
    <w:rsid w:val="009741E3"/>
    <w:rsid w:val="009742B3"/>
    <w:rsid w:val="009742D9"/>
    <w:rsid w:val="009743CF"/>
    <w:rsid w:val="009743DF"/>
    <w:rsid w:val="00974462"/>
    <w:rsid w:val="009746B7"/>
    <w:rsid w:val="009748B9"/>
    <w:rsid w:val="00974961"/>
    <w:rsid w:val="00974A00"/>
    <w:rsid w:val="00974A9C"/>
    <w:rsid w:val="00974B4A"/>
    <w:rsid w:val="00974B7D"/>
    <w:rsid w:val="00974C43"/>
    <w:rsid w:val="00974D1A"/>
    <w:rsid w:val="00974E14"/>
    <w:rsid w:val="00974EF1"/>
    <w:rsid w:val="00974F34"/>
    <w:rsid w:val="00974F45"/>
    <w:rsid w:val="009750F6"/>
    <w:rsid w:val="009751D5"/>
    <w:rsid w:val="009751ED"/>
    <w:rsid w:val="00975263"/>
    <w:rsid w:val="00975341"/>
    <w:rsid w:val="009753EF"/>
    <w:rsid w:val="009753F7"/>
    <w:rsid w:val="00975455"/>
    <w:rsid w:val="0097547E"/>
    <w:rsid w:val="009754EA"/>
    <w:rsid w:val="00975582"/>
    <w:rsid w:val="00975593"/>
    <w:rsid w:val="0097560F"/>
    <w:rsid w:val="009756AD"/>
    <w:rsid w:val="009756DF"/>
    <w:rsid w:val="009756F6"/>
    <w:rsid w:val="009758A2"/>
    <w:rsid w:val="009758DA"/>
    <w:rsid w:val="00975991"/>
    <w:rsid w:val="00975A80"/>
    <w:rsid w:val="00975AAF"/>
    <w:rsid w:val="00975C4F"/>
    <w:rsid w:val="00975C74"/>
    <w:rsid w:val="00975CB3"/>
    <w:rsid w:val="00975CF9"/>
    <w:rsid w:val="00975DC0"/>
    <w:rsid w:val="00975FEB"/>
    <w:rsid w:val="0097609D"/>
    <w:rsid w:val="009760DD"/>
    <w:rsid w:val="00976197"/>
    <w:rsid w:val="00976290"/>
    <w:rsid w:val="00976321"/>
    <w:rsid w:val="00976450"/>
    <w:rsid w:val="00976581"/>
    <w:rsid w:val="00976595"/>
    <w:rsid w:val="00976673"/>
    <w:rsid w:val="00976914"/>
    <w:rsid w:val="00976A3E"/>
    <w:rsid w:val="00976AA9"/>
    <w:rsid w:val="00976CFE"/>
    <w:rsid w:val="00976D4A"/>
    <w:rsid w:val="00976F75"/>
    <w:rsid w:val="00976F9F"/>
    <w:rsid w:val="00976FDA"/>
    <w:rsid w:val="00977283"/>
    <w:rsid w:val="00977288"/>
    <w:rsid w:val="009772FB"/>
    <w:rsid w:val="0097738C"/>
    <w:rsid w:val="0097745A"/>
    <w:rsid w:val="00977491"/>
    <w:rsid w:val="009775D5"/>
    <w:rsid w:val="00977630"/>
    <w:rsid w:val="00977691"/>
    <w:rsid w:val="009776DA"/>
    <w:rsid w:val="009778D1"/>
    <w:rsid w:val="0097793C"/>
    <w:rsid w:val="009779B1"/>
    <w:rsid w:val="009779DC"/>
    <w:rsid w:val="009779E3"/>
    <w:rsid w:val="009779F9"/>
    <w:rsid w:val="00977BA8"/>
    <w:rsid w:val="00977CB1"/>
    <w:rsid w:val="00977D0B"/>
    <w:rsid w:val="00977D56"/>
    <w:rsid w:val="00980058"/>
    <w:rsid w:val="009800AF"/>
    <w:rsid w:val="00980118"/>
    <w:rsid w:val="009801DF"/>
    <w:rsid w:val="009801FB"/>
    <w:rsid w:val="0098020A"/>
    <w:rsid w:val="009802C8"/>
    <w:rsid w:val="00980306"/>
    <w:rsid w:val="00980313"/>
    <w:rsid w:val="009807C2"/>
    <w:rsid w:val="00980811"/>
    <w:rsid w:val="009808FC"/>
    <w:rsid w:val="00980B34"/>
    <w:rsid w:val="00980B41"/>
    <w:rsid w:val="00980BF0"/>
    <w:rsid w:val="00980C11"/>
    <w:rsid w:val="00980DF6"/>
    <w:rsid w:val="00980E2F"/>
    <w:rsid w:val="00980F02"/>
    <w:rsid w:val="00980F2A"/>
    <w:rsid w:val="009810BD"/>
    <w:rsid w:val="00981148"/>
    <w:rsid w:val="00981184"/>
    <w:rsid w:val="00981279"/>
    <w:rsid w:val="009813C6"/>
    <w:rsid w:val="0098149C"/>
    <w:rsid w:val="009814D3"/>
    <w:rsid w:val="009815B3"/>
    <w:rsid w:val="009816BA"/>
    <w:rsid w:val="00981824"/>
    <w:rsid w:val="00981A71"/>
    <w:rsid w:val="00981B8E"/>
    <w:rsid w:val="00981D46"/>
    <w:rsid w:val="00981DC8"/>
    <w:rsid w:val="00981EC1"/>
    <w:rsid w:val="00981FDE"/>
    <w:rsid w:val="009820AF"/>
    <w:rsid w:val="00982110"/>
    <w:rsid w:val="00982162"/>
    <w:rsid w:val="0098220B"/>
    <w:rsid w:val="00982442"/>
    <w:rsid w:val="0098283B"/>
    <w:rsid w:val="0098289D"/>
    <w:rsid w:val="00982C1B"/>
    <w:rsid w:val="00982C1D"/>
    <w:rsid w:val="00982C6E"/>
    <w:rsid w:val="00982CC0"/>
    <w:rsid w:val="00982DA8"/>
    <w:rsid w:val="00982DAA"/>
    <w:rsid w:val="00982DD8"/>
    <w:rsid w:val="00982E6B"/>
    <w:rsid w:val="00982EAE"/>
    <w:rsid w:val="00982ECC"/>
    <w:rsid w:val="00983070"/>
    <w:rsid w:val="00983224"/>
    <w:rsid w:val="009832EF"/>
    <w:rsid w:val="0098368F"/>
    <w:rsid w:val="00983699"/>
    <w:rsid w:val="00983818"/>
    <w:rsid w:val="0098392B"/>
    <w:rsid w:val="009839EE"/>
    <w:rsid w:val="00983A08"/>
    <w:rsid w:val="00983A84"/>
    <w:rsid w:val="00983AE1"/>
    <w:rsid w:val="00983B6F"/>
    <w:rsid w:val="00983C40"/>
    <w:rsid w:val="00983C86"/>
    <w:rsid w:val="00983CE7"/>
    <w:rsid w:val="00983D5C"/>
    <w:rsid w:val="00983FD4"/>
    <w:rsid w:val="00984039"/>
    <w:rsid w:val="009840A1"/>
    <w:rsid w:val="009840AB"/>
    <w:rsid w:val="009840C2"/>
    <w:rsid w:val="009841B7"/>
    <w:rsid w:val="009842F4"/>
    <w:rsid w:val="00984465"/>
    <w:rsid w:val="0098455E"/>
    <w:rsid w:val="009846A8"/>
    <w:rsid w:val="009846E9"/>
    <w:rsid w:val="00984716"/>
    <w:rsid w:val="00984830"/>
    <w:rsid w:val="00984901"/>
    <w:rsid w:val="00984954"/>
    <w:rsid w:val="009849EC"/>
    <w:rsid w:val="00984A4D"/>
    <w:rsid w:val="00984A58"/>
    <w:rsid w:val="00984AA1"/>
    <w:rsid w:val="00984D65"/>
    <w:rsid w:val="00984F16"/>
    <w:rsid w:val="00984F1C"/>
    <w:rsid w:val="0098516A"/>
    <w:rsid w:val="00985329"/>
    <w:rsid w:val="00985521"/>
    <w:rsid w:val="0098567A"/>
    <w:rsid w:val="00985714"/>
    <w:rsid w:val="009857C1"/>
    <w:rsid w:val="00985819"/>
    <w:rsid w:val="00985AEF"/>
    <w:rsid w:val="00985F93"/>
    <w:rsid w:val="00985FF4"/>
    <w:rsid w:val="00986011"/>
    <w:rsid w:val="009860E6"/>
    <w:rsid w:val="0098616C"/>
    <w:rsid w:val="0098619D"/>
    <w:rsid w:val="009862C2"/>
    <w:rsid w:val="0098634C"/>
    <w:rsid w:val="00986368"/>
    <w:rsid w:val="009863D1"/>
    <w:rsid w:val="0098641D"/>
    <w:rsid w:val="0098641E"/>
    <w:rsid w:val="00986575"/>
    <w:rsid w:val="009866BF"/>
    <w:rsid w:val="009867E0"/>
    <w:rsid w:val="00986A9B"/>
    <w:rsid w:val="00986AC8"/>
    <w:rsid w:val="00986B68"/>
    <w:rsid w:val="00986B9F"/>
    <w:rsid w:val="00986C31"/>
    <w:rsid w:val="00986D2A"/>
    <w:rsid w:val="00986FBC"/>
    <w:rsid w:val="00986FFB"/>
    <w:rsid w:val="00987005"/>
    <w:rsid w:val="009870E4"/>
    <w:rsid w:val="0098712B"/>
    <w:rsid w:val="009871BC"/>
    <w:rsid w:val="00987203"/>
    <w:rsid w:val="00987212"/>
    <w:rsid w:val="0098752A"/>
    <w:rsid w:val="00987550"/>
    <w:rsid w:val="00987759"/>
    <w:rsid w:val="0098775F"/>
    <w:rsid w:val="009878EF"/>
    <w:rsid w:val="00987927"/>
    <w:rsid w:val="00987960"/>
    <w:rsid w:val="00987B41"/>
    <w:rsid w:val="00987C08"/>
    <w:rsid w:val="00987C13"/>
    <w:rsid w:val="00987C4D"/>
    <w:rsid w:val="00987DA0"/>
    <w:rsid w:val="00987EA9"/>
    <w:rsid w:val="00987FCA"/>
    <w:rsid w:val="00990003"/>
    <w:rsid w:val="0099001B"/>
    <w:rsid w:val="009900B5"/>
    <w:rsid w:val="009900E3"/>
    <w:rsid w:val="00990257"/>
    <w:rsid w:val="00990363"/>
    <w:rsid w:val="00990381"/>
    <w:rsid w:val="0099063A"/>
    <w:rsid w:val="0099078F"/>
    <w:rsid w:val="00990DF4"/>
    <w:rsid w:val="00990DF6"/>
    <w:rsid w:val="00990F64"/>
    <w:rsid w:val="009910A6"/>
    <w:rsid w:val="009910B8"/>
    <w:rsid w:val="009910BA"/>
    <w:rsid w:val="00991356"/>
    <w:rsid w:val="00991382"/>
    <w:rsid w:val="0099138A"/>
    <w:rsid w:val="00991592"/>
    <w:rsid w:val="0099162A"/>
    <w:rsid w:val="00991687"/>
    <w:rsid w:val="00991701"/>
    <w:rsid w:val="00991942"/>
    <w:rsid w:val="009919DE"/>
    <w:rsid w:val="00991A49"/>
    <w:rsid w:val="00991B0C"/>
    <w:rsid w:val="00991DB8"/>
    <w:rsid w:val="00991E4A"/>
    <w:rsid w:val="00991F31"/>
    <w:rsid w:val="00991F72"/>
    <w:rsid w:val="00991FD9"/>
    <w:rsid w:val="00992017"/>
    <w:rsid w:val="00992177"/>
    <w:rsid w:val="009923C8"/>
    <w:rsid w:val="00992676"/>
    <w:rsid w:val="009927EF"/>
    <w:rsid w:val="009928E3"/>
    <w:rsid w:val="009929B2"/>
    <w:rsid w:val="00992A15"/>
    <w:rsid w:val="00992BEB"/>
    <w:rsid w:val="00992F03"/>
    <w:rsid w:val="00992FA6"/>
    <w:rsid w:val="00992FDB"/>
    <w:rsid w:val="009931C3"/>
    <w:rsid w:val="00993519"/>
    <w:rsid w:val="0099358C"/>
    <w:rsid w:val="00993621"/>
    <w:rsid w:val="0099365E"/>
    <w:rsid w:val="009937B2"/>
    <w:rsid w:val="00993BCD"/>
    <w:rsid w:val="00993C1F"/>
    <w:rsid w:val="00993CDC"/>
    <w:rsid w:val="00993D96"/>
    <w:rsid w:val="00993FC2"/>
    <w:rsid w:val="00994020"/>
    <w:rsid w:val="009940F8"/>
    <w:rsid w:val="009940FC"/>
    <w:rsid w:val="00994108"/>
    <w:rsid w:val="00994390"/>
    <w:rsid w:val="0099441E"/>
    <w:rsid w:val="009945A9"/>
    <w:rsid w:val="00994707"/>
    <w:rsid w:val="0099483E"/>
    <w:rsid w:val="00994963"/>
    <w:rsid w:val="009949F0"/>
    <w:rsid w:val="00994AA9"/>
    <w:rsid w:val="00994B0A"/>
    <w:rsid w:val="00994C0B"/>
    <w:rsid w:val="00994D7F"/>
    <w:rsid w:val="00994F64"/>
    <w:rsid w:val="00994F7D"/>
    <w:rsid w:val="00995069"/>
    <w:rsid w:val="009950FE"/>
    <w:rsid w:val="0099517F"/>
    <w:rsid w:val="0099522E"/>
    <w:rsid w:val="0099522F"/>
    <w:rsid w:val="009952BD"/>
    <w:rsid w:val="009952D2"/>
    <w:rsid w:val="0099539D"/>
    <w:rsid w:val="00995481"/>
    <w:rsid w:val="00995509"/>
    <w:rsid w:val="00995708"/>
    <w:rsid w:val="00995748"/>
    <w:rsid w:val="009957AD"/>
    <w:rsid w:val="009957CB"/>
    <w:rsid w:val="00995981"/>
    <w:rsid w:val="009959F4"/>
    <w:rsid w:val="00995B80"/>
    <w:rsid w:val="00995C05"/>
    <w:rsid w:val="00995CD1"/>
    <w:rsid w:val="00995E0A"/>
    <w:rsid w:val="00995E2E"/>
    <w:rsid w:val="00995E47"/>
    <w:rsid w:val="00995E9B"/>
    <w:rsid w:val="00995F82"/>
    <w:rsid w:val="00996020"/>
    <w:rsid w:val="00996148"/>
    <w:rsid w:val="0099617B"/>
    <w:rsid w:val="00996269"/>
    <w:rsid w:val="00996388"/>
    <w:rsid w:val="009963AF"/>
    <w:rsid w:val="0099649B"/>
    <w:rsid w:val="00996501"/>
    <w:rsid w:val="0099651A"/>
    <w:rsid w:val="009965A4"/>
    <w:rsid w:val="009965F7"/>
    <w:rsid w:val="009966C6"/>
    <w:rsid w:val="0099681E"/>
    <w:rsid w:val="00996896"/>
    <w:rsid w:val="009968AA"/>
    <w:rsid w:val="009968CC"/>
    <w:rsid w:val="00996900"/>
    <w:rsid w:val="00996981"/>
    <w:rsid w:val="009969EF"/>
    <w:rsid w:val="00996BBE"/>
    <w:rsid w:val="00996C06"/>
    <w:rsid w:val="00996C10"/>
    <w:rsid w:val="00996D5A"/>
    <w:rsid w:val="00996D84"/>
    <w:rsid w:val="00996F1E"/>
    <w:rsid w:val="00996F57"/>
    <w:rsid w:val="00997000"/>
    <w:rsid w:val="00997167"/>
    <w:rsid w:val="009974A3"/>
    <w:rsid w:val="00997534"/>
    <w:rsid w:val="00997698"/>
    <w:rsid w:val="009976D5"/>
    <w:rsid w:val="00997782"/>
    <w:rsid w:val="00997874"/>
    <w:rsid w:val="00997A89"/>
    <w:rsid w:val="00997C31"/>
    <w:rsid w:val="00997D02"/>
    <w:rsid w:val="00997FD9"/>
    <w:rsid w:val="009A0045"/>
    <w:rsid w:val="009A00C2"/>
    <w:rsid w:val="009A00CB"/>
    <w:rsid w:val="009A0168"/>
    <w:rsid w:val="009A01F9"/>
    <w:rsid w:val="009A043A"/>
    <w:rsid w:val="009A0458"/>
    <w:rsid w:val="009A048B"/>
    <w:rsid w:val="009A07D6"/>
    <w:rsid w:val="009A07E3"/>
    <w:rsid w:val="009A081B"/>
    <w:rsid w:val="009A081E"/>
    <w:rsid w:val="009A0865"/>
    <w:rsid w:val="009A08B6"/>
    <w:rsid w:val="009A08FA"/>
    <w:rsid w:val="009A0A50"/>
    <w:rsid w:val="009A0C14"/>
    <w:rsid w:val="009A0C68"/>
    <w:rsid w:val="009A0DB0"/>
    <w:rsid w:val="009A0ED4"/>
    <w:rsid w:val="009A103C"/>
    <w:rsid w:val="009A12FF"/>
    <w:rsid w:val="009A1376"/>
    <w:rsid w:val="009A13D5"/>
    <w:rsid w:val="009A143E"/>
    <w:rsid w:val="009A1549"/>
    <w:rsid w:val="009A15CC"/>
    <w:rsid w:val="009A178C"/>
    <w:rsid w:val="009A18D0"/>
    <w:rsid w:val="009A1967"/>
    <w:rsid w:val="009A19A4"/>
    <w:rsid w:val="009A19F9"/>
    <w:rsid w:val="009A1AEE"/>
    <w:rsid w:val="009A1B75"/>
    <w:rsid w:val="009A1B7D"/>
    <w:rsid w:val="009A1BA7"/>
    <w:rsid w:val="009A1C39"/>
    <w:rsid w:val="009A1CB1"/>
    <w:rsid w:val="009A1D07"/>
    <w:rsid w:val="009A1E2F"/>
    <w:rsid w:val="009A1E8D"/>
    <w:rsid w:val="009A1F6E"/>
    <w:rsid w:val="009A21D3"/>
    <w:rsid w:val="009A231B"/>
    <w:rsid w:val="009A23B6"/>
    <w:rsid w:val="009A24BF"/>
    <w:rsid w:val="009A24D2"/>
    <w:rsid w:val="009A2594"/>
    <w:rsid w:val="009A2C03"/>
    <w:rsid w:val="009A2D31"/>
    <w:rsid w:val="009A2E6A"/>
    <w:rsid w:val="009A303D"/>
    <w:rsid w:val="009A308E"/>
    <w:rsid w:val="009A3208"/>
    <w:rsid w:val="009A33FB"/>
    <w:rsid w:val="009A3501"/>
    <w:rsid w:val="009A3522"/>
    <w:rsid w:val="009A366D"/>
    <w:rsid w:val="009A36D7"/>
    <w:rsid w:val="009A370E"/>
    <w:rsid w:val="009A3813"/>
    <w:rsid w:val="009A3917"/>
    <w:rsid w:val="009A3966"/>
    <w:rsid w:val="009A397A"/>
    <w:rsid w:val="009A3B97"/>
    <w:rsid w:val="009A3D17"/>
    <w:rsid w:val="009A3EA9"/>
    <w:rsid w:val="009A40A8"/>
    <w:rsid w:val="009A4216"/>
    <w:rsid w:val="009A43BF"/>
    <w:rsid w:val="009A43E0"/>
    <w:rsid w:val="009A4483"/>
    <w:rsid w:val="009A4502"/>
    <w:rsid w:val="009A4858"/>
    <w:rsid w:val="009A4973"/>
    <w:rsid w:val="009A4B82"/>
    <w:rsid w:val="009A4D62"/>
    <w:rsid w:val="009A4E0C"/>
    <w:rsid w:val="009A4EF1"/>
    <w:rsid w:val="009A4F73"/>
    <w:rsid w:val="009A5120"/>
    <w:rsid w:val="009A51FE"/>
    <w:rsid w:val="009A52D5"/>
    <w:rsid w:val="009A5555"/>
    <w:rsid w:val="009A55C9"/>
    <w:rsid w:val="009A55CF"/>
    <w:rsid w:val="009A5723"/>
    <w:rsid w:val="009A5741"/>
    <w:rsid w:val="009A5749"/>
    <w:rsid w:val="009A5850"/>
    <w:rsid w:val="009A58E4"/>
    <w:rsid w:val="009A5A8D"/>
    <w:rsid w:val="009A5C14"/>
    <w:rsid w:val="009A5CFF"/>
    <w:rsid w:val="009A5DBC"/>
    <w:rsid w:val="009A5EE3"/>
    <w:rsid w:val="009A5EE7"/>
    <w:rsid w:val="009A60DC"/>
    <w:rsid w:val="009A60EF"/>
    <w:rsid w:val="009A62AF"/>
    <w:rsid w:val="009A6357"/>
    <w:rsid w:val="009A6481"/>
    <w:rsid w:val="009A6515"/>
    <w:rsid w:val="009A664B"/>
    <w:rsid w:val="009A6691"/>
    <w:rsid w:val="009A69D9"/>
    <w:rsid w:val="009A6EE0"/>
    <w:rsid w:val="009A6F8D"/>
    <w:rsid w:val="009A7152"/>
    <w:rsid w:val="009A7166"/>
    <w:rsid w:val="009A7212"/>
    <w:rsid w:val="009A752D"/>
    <w:rsid w:val="009A760D"/>
    <w:rsid w:val="009A77A6"/>
    <w:rsid w:val="009A7812"/>
    <w:rsid w:val="009A7823"/>
    <w:rsid w:val="009A784A"/>
    <w:rsid w:val="009A79AA"/>
    <w:rsid w:val="009A7A0C"/>
    <w:rsid w:val="009A7BF4"/>
    <w:rsid w:val="009A7C31"/>
    <w:rsid w:val="009A7C35"/>
    <w:rsid w:val="009B008D"/>
    <w:rsid w:val="009B01E3"/>
    <w:rsid w:val="009B025B"/>
    <w:rsid w:val="009B041A"/>
    <w:rsid w:val="009B04E4"/>
    <w:rsid w:val="009B0508"/>
    <w:rsid w:val="009B0701"/>
    <w:rsid w:val="009B0734"/>
    <w:rsid w:val="009B088F"/>
    <w:rsid w:val="009B0891"/>
    <w:rsid w:val="009B08C6"/>
    <w:rsid w:val="009B08ED"/>
    <w:rsid w:val="009B091C"/>
    <w:rsid w:val="009B0964"/>
    <w:rsid w:val="009B0BBE"/>
    <w:rsid w:val="009B0CB2"/>
    <w:rsid w:val="009B0D6E"/>
    <w:rsid w:val="009B0E0C"/>
    <w:rsid w:val="009B0F01"/>
    <w:rsid w:val="009B0FF6"/>
    <w:rsid w:val="009B10AC"/>
    <w:rsid w:val="009B125A"/>
    <w:rsid w:val="009B141A"/>
    <w:rsid w:val="009B1474"/>
    <w:rsid w:val="009B152C"/>
    <w:rsid w:val="009B161B"/>
    <w:rsid w:val="009B168D"/>
    <w:rsid w:val="009B17A7"/>
    <w:rsid w:val="009B18CA"/>
    <w:rsid w:val="009B1901"/>
    <w:rsid w:val="009B1B95"/>
    <w:rsid w:val="009B1BED"/>
    <w:rsid w:val="009B1C02"/>
    <w:rsid w:val="009B1C09"/>
    <w:rsid w:val="009B1DD2"/>
    <w:rsid w:val="009B1EDF"/>
    <w:rsid w:val="009B208F"/>
    <w:rsid w:val="009B21B7"/>
    <w:rsid w:val="009B2249"/>
    <w:rsid w:val="009B2369"/>
    <w:rsid w:val="009B23AB"/>
    <w:rsid w:val="009B2553"/>
    <w:rsid w:val="009B257F"/>
    <w:rsid w:val="009B263A"/>
    <w:rsid w:val="009B266B"/>
    <w:rsid w:val="009B28E2"/>
    <w:rsid w:val="009B2AE5"/>
    <w:rsid w:val="009B2AED"/>
    <w:rsid w:val="009B2B49"/>
    <w:rsid w:val="009B2B6D"/>
    <w:rsid w:val="009B2C22"/>
    <w:rsid w:val="009B2CC8"/>
    <w:rsid w:val="009B2D57"/>
    <w:rsid w:val="009B3149"/>
    <w:rsid w:val="009B3178"/>
    <w:rsid w:val="009B32D2"/>
    <w:rsid w:val="009B3410"/>
    <w:rsid w:val="009B3635"/>
    <w:rsid w:val="009B3665"/>
    <w:rsid w:val="009B3688"/>
    <w:rsid w:val="009B371E"/>
    <w:rsid w:val="009B374C"/>
    <w:rsid w:val="009B37B3"/>
    <w:rsid w:val="009B37C8"/>
    <w:rsid w:val="009B37DD"/>
    <w:rsid w:val="009B3820"/>
    <w:rsid w:val="009B392B"/>
    <w:rsid w:val="009B39E0"/>
    <w:rsid w:val="009B3A4E"/>
    <w:rsid w:val="009B3AA2"/>
    <w:rsid w:val="009B3B28"/>
    <w:rsid w:val="009B3E2B"/>
    <w:rsid w:val="009B406C"/>
    <w:rsid w:val="009B40A2"/>
    <w:rsid w:val="009B40F6"/>
    <w:rsid w:val="009B4168"/>
    <w:rsid w:val="009B41B4"/>
    <w:rsid w:val="009B41C5"/>
    <w:rsid w:val="009B41CC"/>
    <w:rsid w:val="009B4214"/>
    <w:rsid w:val="009B4363"/>
    <w:rsid w:val="009B4592"/>
    <w:rsid w:val="009B47DB"/>
    <w:rsid w:val="009B47FD"/>
    <w:rsid w:val="009B489E"/>
    <w:rsid w:val="009B4B90"/>
    <w:rsid w:val="009B4BA9"/>
    <w:rsid w:val="009B4BC6"/>
    <w:rsid w:val="009B4CC5"/>
    <w:rsid w:val="009B4EF9"/>
    <w:rsid w:val="009B50DA"/>
    <w:rsid w:val="009B512D"/>
    <w:rsid w:val="009B5137"/>
    <w:rsid w:val="009B52B7"/>
    <w:rsid w:val="009B557F"/>
    <w:rsid w:val="009B5636"/>
    <w:rsid w:val="009B58D6"/>
    <w:rsid w:val="009B5A2A"/>
    <w:rsid w:val="009B5B19"/>
    <w:rsid w:val="009B5B64"/>
    <w:rsid w:val="009B5B88"/>
    <w:rsid w:val="009B5D53"/>
    <w:rsid w:val="009B5DEB"/>
    <w:rsid w:val="009B5ECC"/>
    <w:rsid w:val="009B5F4D"/>
    <w:rsid w:val="009B6110"/>
    <w:rsid w:val="009B61AE"/>
    <w:rsid w:val="009B62AE"/>
    <w:rsid w:val="009B62B9"/>
    <w:rsid w:val="009B640C"/>
    <w:rsid w:val="009B648D"/>
    <w:rsid w:val="009B6505"/>
    <w:rsid w:val="009B66F2"/>
    <w:rsid w:val="009B6703"/>
    <w:rsid w:val="009B6731"/>
    <w:rsid w:val="009B68E7"/>
    <w:rsid w:val="009B68EE"/>
    <w:rsid w:val="009B68F1"/>
    <w:rsid w:val="009B6DB0"/>
    <w:rsid w:val="009B6E23"/>
    <w:rsid w:val="009B6E85"/>
    <w:rsid w:val="009B6EA9"/>
    <w:rsid w:val="009B7005"/>
    <w:rsid w:val="009B7062"/>
    <w:rsid w:val="009B7074"/>
    <w:rsid w:val="009B72BC"/>
    <w:rsid w:val="009B7375"/>
    <w:rsid w:val="009B759E"/>
    <w:rsid w:val="009B7629"/>
    <w:rsid w:val="009B7687"/>
    <w:rsid w:val="009B76FA"/>
    <w:rsid w:val="009B79D5"/>
    <w:rsid w:val="009B79E7"/>
    <w:rsid w:val="009B79EF"/>
    <w:rsid w:val="009B7A9B"/>
    <w:rsid w:val="009B7BC8"/>
    <w:rsid w:val="009B7FC1"/>
    <w:rsid w:val="009C0031"/>
    <w:rsid w:val="009C008C"/>
    <w:rsid w:val="009C009F"/>
    <w:rsid w:val="009C0325"/>
    <w:rsid w:val="009C0422"/>
    <w:rsid w:val="009C05D5"/>
    <w:rsid w:val="009C0606"/>
    <w:rsid w:val="009C0658"/>
    <w:rsid w:val="009C082F"/>
    <w:rsid w:val="009C0AFC"/>
    <w:rsid w:val="009C0B9C"/>
    <w:rsid w:val="009C0E79"/>
    <w:rsid w:val="009C0E7A"/>
    <w:rsid w:val="009C0FF4"/>
    <w:rsid w:val="009C109E"/>
    <w:rsid w:val="009C10B6"/>
    <w:rsid w:val="009C1128"/>
    <w:rsid w:val="009C115B"/>
    <w:rsid w:val="009C115E"/>
    <w:rsid w:val="009C141C"/>
    <w:rsid w:val="009C14C6"/>
    <w:rsid w:val="009C1736"/>
    <w:rsid w:val="009C1778"/>
    <w:rsid w:val="009C179C"/>
    <w:rsid w:val="009C17A2"/>
    <w:rsid w:val="009C17DC"/>
    <w:rsid w:val="009C197B"/>
    <w:rsid w:val="009C1B51"/>
    <w:rsid w:val="009C1E1C"/>
    <w:rsid w:val="009C214C"/>
    <w:rsid w:val="009C225F"/>
    <w:rsid w:val="009C24EC"/>
    <w:rsid w:val="009C25B0"/>
    <w:rsid w:val="009C25BC"/>
    <w:rsid w:val="009C267E"/>
    <w:rsid w:val="009C27B8"/>
    <w:rsid w:val="009C2874"/>
    <w:rsid w:val="009C2975"/>
    <w:rsid w:val="009C2AAF"/>
    <w:rsid w:val="009C2D56"/>
    <w:rsid w:val="009C2DF2"/>
    <w:rsid w:val="009C2E05"/>
    <w:rsid w:val="009C2E13"/>
    <w:rsid w:val="009C3015"/>
    <w:rsid w:val="009C3220"/>
    <w:rsid w:val="009C3296"/>
    <w:rsid w:val="009C329B"/>
    <w:rsid w:val="009C3498"/>
    <w:rsid w:val="009C34CF"/>
    <w:rsid w:val="009C351C"/>
    <w:rsid w:val="009C35AF"/>
    <w:rsid w:val="009C3609"/>
    <w:rsid w:val="009C363C"/>
    <w:rsid w:val="009C364A"/>
    <w:rsid w:val="009C374D"/>
    <w:rsid w:val="009C3776"/>
    <w:rsid w:val="009C380F"/>
    <w:rsid w:val="009C3817"/>
    <w:rsid w:val="009C38D3"/>
    <w:rsid w:val="009C3933"/>
    <w:rsid w:val="009C3958"/>
    <w:rsid w:val="009C3C09"/>
    <w:rsid w:val="009C3CD2"/>
    <w:rsid w:val="009C3ECF"/>
    <w:rsid w:val="009C3F38"/>
    <w:rsid w:val="009C408D"/>
    <w:rsid w:val="009C40BE"/>
    <w:rsid w:val="009C412B"/>
    <w:rsid w:val="009C4182"/>
    <w:rsid w:val="009C4199"/>
    <w:rsid w:val="009C441D"/>
    <w:rsid w:val="009C4495"/>
    <w:rsid w:val="009C4526"/>
    <w:rsid w:val="009C46BF"/>
    <w:rsid w:val="009C4706"/>
    <w:rsid w:val="009C4749"/>
    <w:rsid w:val="009C4775"/>
    <w:rsid w:val="009C47DD"/>
    <w:rsid w:val="009C4803"/>
    <w:rsid w:val="009C488E"/>
    <w:rsid w:val="009C4972"/>
    <w:rsid w:val="009C4A09"/>
    <w:rsid w:val="009C4A55"/>
    <w:rsid w:val="009C4B77"/>
    <w:rsid w:val="009C4C8B"/>
    <w:rsid w:val="009C4CA9"/>
    <w:rsid w:val="009C4EA5"/>
    <w:rsid w:val="009C5015"/>
    <w:rsid w:val="009C5082"/>
    <w:rsid w:val="009C512D"/>
    <w:rsid w:val="009C51D4"/>
    <w:rsid w:val="009C51E8"/>
    <w:rsid w:val="009C523B"/>
    <w:rsid w:val="009C52BC"/>
    <w:rsid w:val="009C5506"/>
    <w:rsid w:val="009C56B3"/>
    <w:rsid w:val="009C57A9"/>
    <w:rsid w:val="009C58B1"/>
    <w:rsid w:val="009C5966"/>
    <w:rsid w:val="009C5AE7"/>
    <w:rsid w:val="009C5B37"/>
    <w:rsid w:val="009C5B96"/>
    <w:rsid w:val="009C5C07"/>
    <w:rsid w:val="009C5C09"/>
    <w:rsid w:val="009C5D67"/>
    <w:rsid w:val="009C5E26"/>
    <w:rsid w:val="009C6093"/>
    <w:rsid w:val="009C6142"/>
    <w:rsid w:val="009C6270"/>
    <w:rsid w:val="009C6467"/>
    <w:rsid w:val="009C66E1"/>
    <w:rsid w:val="009C672E"/>
    <w:rsid w:val="009C677B"/>
    <w:rsid w:val="009C682B"/>
    <w:rsid w:val="009C68D0"/>
    <w:rsid w:val="009C68F9"/>
    <w:rsid w:val="009C6998"/>
    <w:rsid w:val="009C6CF0"/>
    <w:rsid w:val="009C6FAE"/>
    <w:rsid w:val="009C71E2"/>
    <w:rsid w:val="009C7383"/>
    <w:rsid w:val="009C73B1"/>
    <w:rsid w:val="009C746F"/>
    <w:rsid w:val="009C75C1"/>
    <w:rsid w:val="009C762F"/>
    <w:rsid w:val="009C76B6"/>
    <w:rsid w:val="009C780C"/>
    <w:rsid w:val="009C78C5"/>
    <w:rsid w:val="009C7900"/>
    <w:rsid w:val="009C7927"/>
    <w:rsid w:val="009C7977"/>
    <w:rsid w:val="009C7CAA"/>
    <w:rsid w:val="009C7D15"/>
    <w:rsid w:val="009C7DB9"/>
    <w:rsid w:val="009C7F96"/>
    <w:rsid w:val="009D01F8"/>
    <w:rsid w:val="009D02B8"/>
    <w:rsid w:val="009D0468"/>
    <w:rsid w:val="009D04C0"/>
    <w:rsid w:val="009D04EC"/>
    <w:rsid w:val="009D0524"/>
    <w:rsid w:val="009D05BE"/>
    <w:rsid w:val="009D05E4"/>
    <w:rsid w:val="009D06CA"/>
    <w:rsid w:val="009D06FC"/>
    <w:rsid w:val="009D07C6"/>
    <w:rsid w:val="009D07E5"/>
    <w:rsid w:val="009D0BB4"/>
    <w:rsid w:val="009D0C47"/>
    <w:rsid w:val="009D0CBA"/>
    <w:rsid w:val="009D0D1E"/>
    <w:rsid w:val="009D0DC4"/>
    <w:rsid w:val="009D1124"/>
    <w:rsid w:val="009D118E"/>
    <w:rsid w:val="009D11A0"/>
    <w:rsid w:val="009D13FB"/>
    <w:rsid w:val="009D14FB"/>
    <w:rsid w:val="009D15B3"/>
    <w:rsid w:val="009D16D5"/>
    <w:rsid w:val="009D1748"/>
    <w:rsid w:val="009D1824"/>
    <w:rsid w:val="009D1826"/>
    <w:rsid w:val="009D18EF"/>
    <w:rsid w:val="009D1946"/>
    <w:rsid w:val="009D1A0B"/>
    <w:rsid w:val="009D1AF9"/>
    <w:rsid w:val="009D1C65"/>
    <w:rsid w:val="009D1EEF"/>
    <w:rsid w:val="009D206D"/>
    <w:rsid w:val="009D2211"/>
    <w:rsid w:val="009D2485"/>
    <w:rsid w:val="009D259E"/>
    <w:rsid w:val="009D25B3"/>
    <w:rsid w:val="009D265B"/>
    <w:rsid w:val="009D27CD"/>
    <w:rsid w:val="009D27F1"/>
    <w:rsid w:val="009D2902"/>
    <w:rsid w:val="009D2953"/>
    <w:rsid w:val="009D2A75"/>
    <w:rsid w:val="009D2B12"/>
    <w:rsid w:val="009D2C74"/>
    <w:rsid w:val="009D2C7E"/>
    <w:rsid w:val="009D2CC1"/>
    <w:rsid w:val="009D2DA6"/>
    <w:rsid w:val="009D2E23"/>
    <w:rsid w:val="009D2F16"/>
    <w:rsid w:val="009D3077"/>
    <w:rsid w:val="009D30CF"/>
    <w:rsid w:val="009D30F4"/>
    <w:rsid w:val="009D31B6"/>
    <w:rsid w:val="009D325D"/>
    <w:rsid w:val="009D3262"/>
    <w:rsid w:val="009D346C"/>
    <w:rsid w:val="009D35E4"/>
    <w:rsid w:val="009D3638"/>
    <w:rsid w:val="009D3921"/>
    <w:rsid w:val="009D3998"/>
    <w:rsid w:val="009D3A0D"/>
    <w:rsid w:val="009D3AF1"/>
    <w:rsid w:val="009D3B9D"/>
    <w:rsid w:val="009D3FB7"/>
    <w:rsid w:val="009D3FC5"/>
    <w:rsid w:val="009D409C"/>
    <w:rsid w:val="009D4101"/>
    <w:rsid w:val="009D42A3"/>
    <w:rsid w:val="009D4390"/>
    <w:rsid w:val="009D43BB"/>
    <w:rsid w:val="009D449B"/>
    <w:rsid w:val="009D4510"/>
    <w:rsid w:val="009D4644"/>
    <w:rsid w:val="009D46FD"/>
    <w:rsid w:val="009D479F"/>
    <w:rsid w:val="009D4820"/>
    <w:rsid w:val="009D49C6"/>
    <w:rsid w:val="009D4BCE"/>
    <w:rsid w:val="009D4C3E"/>
    <w:rsid w:val="009D4D82"/>
    <w:rsid w:val="009D4EB2"/>
    <w:rsid w:val="009D51A0"/>
    <w:rsid w:val="009D5290"/>
    <w:rsid w:val="009D52F5"/>
    <w:rsid w:val="009D53F1"/>
    <w:rsid w:val="009D55E5"/>
    <w:rsid w:val="009D5705"/>
    <w:rsid w:val="009D5710"/>
    <w:rsid w:val="009D576F"/>
    <w:rsid w:val="009D57A9"/>
    <w:rsid w:val="009D584F"/>
    <w:rsid w:val="009D5907"/>
    <w:rsid w:val="009D5946"/>
    <w:rsid w:val="009D5A0C"/>
    <w:rsid w:val="009D5A60"/>
    <w:rsid w:val="009D5A98"/>
    <w:rsid w:val="009D5B36"/>
    <w:rsid w:val="009D5B9E"/>
    <w:rsid w:val="009D5BF8"/>
    <w:rsid w:val="009D5C71"/>
    <w:rsid w:val="009D5D70"/>
    <w:rsid w:val="009D5E02"/>
    <w:rsid w:val="009D5E38"/>
    <w:rsid w:val="009D5F06"/>
    <w:rsid w:val="009D6040"/>
    <w:rsid w:val="009D6098"/>
    <w:rsid w:val="009D60F1"/>
    <w:rsid w:val="009D6194"/>
    <w:rsid w:val="009D629F"/>
    <w:rsid w:val="009D6358"/>
    <w:rsid w:val="009D6447"/>
    <w:rsid w:val="009D6486"/>
    <w:rsid w:val="009D64B1"/>
    <w:rsid w:val="009D66D5"/>
    <w:rsid w:val="009D6791"/>
    <w:rsid w:val="009D681B"/>
    <w:rsid w:val="009D6843"/>
    <w:rsid w:val="009D6848"/>
    <w:rsid w:val="009D68A1"/>
    <w:rsid w:val="009D6926"/>
    <w:rsid w:val="009D696E"/>
    <w:rsid w:val="009D6B41"/>
    <w:rsid w:val="009D6C71"/>
    <w:rsid w:val="009D6D0C"/>
    <w:rsid w:val="009D6F26"/>
    <w:rsid w:val="009D6FB4"/>
    <w:rsid w:val="009D7069"/>
    <w:rsid w:val="009D70C2"/>
    <w:rsid w:val="009D7114"/>
    <w:rsid w:val="009D7128"/>
    <w:rsid w:val="009D72E6"/>
    <w:rsid w:val="009D7318"/>
    <w:rsid w:val="009D7396"/>
    <w:rsid w:val="009D74FB"/>
    <w:rsid w:val="009D7685"/>
    <w:rsid w:val="009D77A7"/>
    <w:rsid w:val="009D7850"/>
    <w:rsid w:val="009D79A1"/>
    <w:rsid w:val="009D79D6"/>
    <w:rsid w:val="009D7A69"/>
    <w:rsid w:val="009D7A95"/>
    <w:rsid w:val="009D7A9E"/>
    <w:rsid w:val="009D7B9F"/>
    <w:rsid w:val="009D7D25"/>
    <w:rsid w:val="009D7E92"/>
    <w:rsid w:val="009D7F9F"/>
    <w:rsid w:val="009E00B1"/>
    <w:rsid w:val="009E010B"/>
    <w:rsid w:val="009E021E"/>
    <w:rsid w:val="009E033C"/>
    <w:rsid w:val="009E0577"/>
    <w:rsid w:val="009E0580"/>
    <w:rsid w:val="009E0599"/>
    <w:rsid w:val="009E0638"/>
    <w:rsid w:val="009E06A8"/>
    <w:rsid w:val="009E09BA"/>
    <w:rsid w:val="009E0AB1"/>
    <w:rsid w:val="009E0B04"/>
    <w:rsid w:val="009E0B2E"/>
    <w:rsid w:val="009E0BD2"/>
    <w:rsid w:val="009E0BF2"/>
    <w:rsid w:val="009E0DF4"/>
    <w:rsid w:val="009E0E42"/>
    <w:rsid w:val="009E0F44"/>
    <w:rsid w:val="009E0F47"/>
    <w:rsid w:val="009E0F50"/>
    <w:rsid w:val="009E12E6"/>
    <w:rsid w:val="009E13DA"/>
    <w:rsid w:val="009E1437"/>
    <w:rsid w:val="009E14C0"/>
    <w:rsid w:val="009E151C"/>
    <w:rsid w:val="009E15E8"/>
    <w:rsid w:val="009E16A1"/>
    <w:rsid w:val="009E16D2"/>
    <w:rsid w:val="009E1779"/>
    <w:rsid w:val="009E1A2B"/>
    <w:rsid w:val="009E1A41"/>
    <w:rsid w:val="009E1A67"/>
    <w:rsid w:val="009E1B90"/>
    <w:rsid w:val="009E1C05"/>
    <w:rsid w:val="009E1C0A"/>
    <w:rsid w:val="009E1E14"/>
    <w:rsid w:val="009E1E2C"/>
    <w:rsid w:val="009E1F7F"/>
    <w:rsid w:val="009E203D"/>
    <w:rsid w:val="009E20E9"/>
    <w:rsid w:val="009E2134"/>
    <w:rsid w:val="009E2145"/>
    <w:rsid w:val="009E21D0"/>
    <w:rsid w:val="009E2260"/>
    <w:rsid w:val="009E2479"/>
    <w:rsid w:val="009E2488"/>
    <w:rsid w:val="009E24FA"/>
    <w:rsid w:val="009E2563"/>
    <w:rsid w:val="009E265B"/>
    <w:rsid w:val="009E2690"/>
    <w:rsid w:val="009E270A"/>
    <w:rsid w:val="009E28B6"/>
    <w:rsid w:val="009E2928"/>
    <w:rsid w:val="009E2A8C"/>
    <w:rsid w:val="009E2C13"/>
    <w:rsid w:val="009E30B9"/>
    <w:rsid w:val="009E30D2"/>
    <w:rsid w:val="009E311E"/>
    <w:rsid w:val="009E3267"/>
    <w:rsid w:val="009E345D"/>
    <w:rsid w:val="009E39CD"/>
    <w:rsid w:val="009E3AAE"/>
    <w:rsid w:val="009E3B09"/>
    <w:rsid w:val="009E3B20"/>
    <w:rsid w:val="009E3B2D"/>
    <w:rsid w:val="009E3DD1"/>
    <w:rsid w:val="009E3EDA"/>
    <w:rsid w:val="009E3F1E"/>
    <w:rsid w:val="009E4223"/>
    <w:rsid w:val="009E426D"/>
    <w:rsid w:val="009E4430"/>
    <w:rsid w:val="009E4582"/>
    <w:rsid w:val="009E4598"/>
    <w:rsid w:val="009E46A0"/>
    <w:rsid w:val="009E46B0"/>
    <w:rsid w:val="009E46D7"/>
    <w:rsid w:val="009E46DA"/>
    <w:rsid w:val="009E4795"/>
    <w:rsid w:val="009E47E3"/>
    <w:rsid w:val="009E487D"/>
    <w:rsid w:val="009E49CA"/>
    <w:rsid w:val="009E4A93"/>
    <w:rsid w:val="009E4A9E"/>
    <w:rsid w:val="009E4BD3"/>
    <w:rsid w:val="009E4D09"/>
    <w:rsid w:val="009E4D82"/>
    <w:rsid w:val="009E4E37"/>
    <w:rsid w:val="009E5026"/>
    <w:rsid w:val="009E5179"/>
    <w:rsid w:val="009E53BC"/>
    <w:rsid w:val="009E542E"/>
    <w:rsid w:val="009E54A6"/>
    <w:rsid w:val="009E5759"/>
    <w:rsid w:val="009E5920"/>
    <w:rsid w:val="009E5942"/>
    <w:rsid w:val="009E5998"/>
    <w:rsid w:val="009E5A50"/>
    <w:rsid w:val="009E5A98"/>
    <w:rsid w:val="009E5A9D"/>
    <w:rsid w:val="009E5B0E"/>
    <w:rsid w:val="009E5C7B"/>
    <w:rsid w:val="009E5D11"/>
    <w:rsid w:val="009E5DAD"/>
    <w:rsid w:val="009E5EC0"/>
    <w:rsid w:val="009E5EE0"/>
    <w:rsid w:val="009E5FE4"/>
    <w:rsid w:val="009E61A5"/>
    <w:rsid w:val="009E622E"/>
    <w:rsid w:val="009E6273"/>
    <w:rsid w:val="009E638F"/>
    <w:rsid w:val="009E641A"/>
    <w:rsid w:val="009E6494"/>
    <w:rsid w:val="009E6512"/>
    <w:rsid w:val="009E6518"/>
    <w:rsid w:val="009E6595"/>
    <w:rsid w:val="009E65A3"/>
    <w:rsid w:val="009E67DD"/>
    <w:rsid w:val="009E6885"/>
    <w:rsid w:val="009E6957"/>
    <w:rsid w:val="009E6997"/>
    <w:rsid w:val="009E69A3"/>
    <w:rsid w:val="009E6B0F"/>
    <w:rsid w:val="009E6B63"/>
    <w:rsid w:val="009E6EE2"/>
    <w:rsid w:val="009E7046"/>
    <w:rsid w:val="009E7071"/>
    <w:rsid w:val="009E73D9"/>
    <w:rsid w:val="009E74EE"/>
    <w:rsid w:val="009E7569"/>
    <w:rsid w:val="009E7570"/>
    <w:rsid w:val="009E786E"/>
    <w:rsid w:val="009E790E"/>
    <w:rsid w:val="009E7968"/>
    <w:rsid w:val="009E7A93"/>
    <w:rsid w:val="009E7D12"/>
    <w:rsid w:val="009F0124"/>
    <w:rsid w:val="009F048B"/>
    <w:rsid w:val="009F05A9"/>
    <w:rsid w:val="009F05E8"/>
    <w:rsid w:val="009F06BB"/>
    <w:rsid w:val="009F0769"/>
    <w:rsid w:val="009F083D"/>
    <w:rsid w:val="009F08C4"/>
    <w:rsid w:val="009F0945"/>
    <w:rsid w:val="009F0AFD"/>
    <w:rsid w:val="009F0B11"/>
    <w:rsid w:val="009F0BD3"/>
    <w:rsid w:val="009F0D57"/>
    <w:rsid w:val="009F0D9B"/>
    <w:rsid w:val="009F0EC3"/>
    <w:rsid w:val="009F0F97"/>
    <w:rsid w:val="009F0FAA"/>
    <w:rsid w:val="009F101B"/>
    <w:rsid w:val="009F102A"/>
    <w:rsid w:val="009F103A"/>
    <w:rsid w:val="009F11F2"/>
    <w:rsid w:val="009F120D"/>
    <w:rsid w:val="009F1217"/>
    <w:rsid w:val="009F12B3"/>
    <w:rsid w:val="009F1311"/>
    <w:rsid w:val="009F1342"/>
    <w:rsid w:val="009F14D4"/>
    <w:rsid w:val="009F155B"/>
    <w:rsid w:val="009F1689"/>
    <w:rsid w:val="009F16D8"/>
    <w:rsid w:val="009F1718"/>
    <w:rsid w:val="009F175C"/>
    <w:rsid w:val="009F1859"/>
    <w:rsid w:val="009F18A6"/>
    <w:rsid w:val="009F194F"/>
    <w:rsid w:val="009F1A55"/>
    <w:rsid w:val="009F1A6F"/>
    <w:rsid w:val="009F1A86"/>
    <w:rsid w:val="009F1AB7"/>
    <w:rsid w:val="009F1B55"/>
    <w:rsid w:val="009F1C38"/>
    <w:rsid w:val="009F1CC0"/>
    <w:rsid w:val="009F1E91"/>
    <w:rsid w:val="009F1EA6"/>
    <w:rsid w:val="009F2078"/>
    <w:rsid w:val="009F20B4"/>
    <w:rsid w:val="009F2448"/>
    <w:rsid w:val="009F2454"/>
    <w:rsid w:val="009F252B"/>
    <w:rsid w:val="009F254A"/>
    <w:rsid w:val="009F255D"/>
    <w:rsid w:val="009F28E5"/>
    <w:rsid w:val="009F2957"/>
    <w:rsid w:val="009F2B75"/>
    <w:rsid w:val="009F2BDF"/>
    <w:rsid w:val="009F2C9B"/>
    <w:rsid w:val="009F2D8A"/>
    <w:rsid w:val="009F2E02"/>
    <w:rsid w:val="009F2E34"/>
    <w:rsid w:val="009F2FA6"/>
    <w:rsid w:val="009F3049"/>
    <w:rsid w:val="009F3090"/>
    <w:rsid w:val="009F3175"/>
    <w:rsid w:val="009F31C0"/>
    <w:rsid w:val="009F3293"/>
    <w:rsid w:val="009F32CF"/>
    <w:rsid w:val="009F3341"/>
    <w:rsid w:val="009F33E4"/>
    <w:rsid w:val="009F3589"/>
    <w:rsid w:val="009F36D3"/>
    <w:rsid w:val="009F3780"/>
    <w:rsid w:val="009F386A"/>
    <w:rsid w:val="009F38F4"/>
    <w:rsid w:val="009F38FF"/>
    <w:rsid w:val="009F398C"/>
    <w:rsid w:val="009F3A31"/>
    <w:rsid w:val="009F3A78"/>
    <w:rsid w:val="009F3AA0"/>
    <w:rsid w:val="009F3B5E"/>
    <w:rsid w:val="009F3B79"/>
    <w:rsid w:val="009F3BE3"/>
    <w:rsid w:val="009F3C05"/>
    <w:rsid w:val="009F3C6F"/>
    <w:rsid w:val="009F3D1B"/>
    <w:rsid w:val="009F3EB7"/>
    <w:rsid w:val="009F3F19"/>
    <w:rsid w:val="009F4026"/>
    <w:rsid w:val="009F42AB"/>
    <w:rsid w:val="009F42C7"/>
    <w:rsid w:val="009F43A4"/>
    <w:rsid w:val="009F458B"/>
    <w:rsid w:val="009F4615"/>
    <w:rsid w:val="009F475F"/>
    <w:rsid w:val="009F47FB"/>
    <w:rsid w:val="009F4871"/>
    <w:rsid w:val="009F4982"/>
    <w:rsid w:val="009F4BED"/>
    <w:rsid w:val="009F4DC7"/>
    <w:rsid w:val="009F4ED3"/>
    <w:rsid w:val="009F4F9C"/>
    <w:rsid w:val="009F5093"/>
    <w:rsid w:val="009F50A5"/>
    <w:rsid w:val="009F5146"/>
    <w:rsid w:val="009F5157"/>
    <w:rsid w:val="009F5273"/>
    <w:rsid w:val="009F5314"/>
    <w:rsid w:val="009F54B3"/>
    <w:rsid w:val="009F557F"/>
    <w:rsid w:val="009F5882"/>
    <w:rsid w:val="009F59C9"/>
    <w:rsid w:val="009F5A44"/>
    <w:rsid w:val="009F5A82"/>
    <w:rsid w:val="009F5ADA"/>
    <w:rsid w:val="009F5C73"/>
    <w:rsid w:val="009F5C84"/>
    <w:rsid w:val="009F5E3B"/>
    <w:rsid w:val="009F5E6D"/>
    <w:rsid w:val="009F613F"/>
    <w:rsid w:val="009F6216"/>
    <w:rsid w:val="009F6267"/>
    <w:rsid w:val="009F62BF"/>
    <w:rsid w:val="009F62C4"/>
    <w:rsid w:val="009F63D6"/>
    <w:rsid w:val="009F6514"/>
    <w:rsid w:val="009F6540"/>
    <w:rsid w:val="009F6598"/>
    <w:rsid w:val="009F668A"/>
    <w:rsid w:val="009F66C7"/>
    <w:rsid w:val="009F66CA"/>
    <w:rsid w:val="009F6802"/>
    <w:rsid w:val="009F68CD"/>
    <w:rsid w:val="009F68D5"/>
    <w:rsid w:val="009F69E6"/>
    <w:rsid w:val="009F6E26"/>
    <w:rsid w:val="009F6E8E"/>
    <w:rsid w:val="009F6EF5"/>
    <w:rsid w:val="009F6F0D"/>
    <w:rsid w:val="009F6F58"/>
    <w:rsid w:val="009F6F6D"/>
    <w:rsid w:val="009F71B7"/>
    <w:rsid w:val="009F720A"/>
    <w:rsid w:val="009F736A"/>
    <w:rsid w:val="009F738D"/>
    <w:rsid w:val="009F741F"/>
    <w:rsid w:val="009F7492"/>
    <w:rsid w:val="009F77E1"/>
    <w:rsid w:val="009F7A29"/>
    <w:rsid w:val="009F7A71"/>
    <w:rsid w:val="009F7B96"/>
    <w:rsid w:val="009F7D5B"/>
    <w:rsid w:val="009F7DF2"/>
    <w:rsid w:val="009F7ED8"/>
    <w:rsid w:val="009F7EDA"/>
    <w:rsid w:val="00A00013"/>
    <w:rsid w:val="00A00079"/>
    <w:rsid w:val="00A00237"/>
    <w:rsid w:val="00A00268"/>
    <w:rsid w:val="00A00280"/>
    <w:rsid w:val="00A003CD"/>
    <w:rsid w:val="00A0056A"/>
    <w:rsid w:val="00A005BD"/>
    <w:rsid w:val="00A0080D"/>
    <w:rsid w:val="00A008E9"/>
    <w:rsid w:val="00A00997"/>
    <w:rsid w:val="00A00A06"/>
    <w:rsid w:val="00A00A2F"/>
    <w:rsid w:val="00A00AB4"/>
    <w:rsid w:val="00A00C7C"/>
    <w:rsid w:val="00A00F00"/>
    <w:rsid w:val="00A00F6A"/>
    <w:rsid w:val="00A010D5"/>
    <w:rsid w:val="00A01176"/>
    <w:rsid w:val="00A013FA"/>
    <w:rsid w:val="00A016AA"/>
    <w:rsid w:val="00A0176D"/>
    <w:rsid w:val="00A0178B"/>
    <w:rsid w:val="00A017EA"/>
    <w:rsid w:val="00A01850"/>
    <w:rsid w:val="00A01AB4"/>
    <w:rsid w:val="00A01C91"/>
    <w:rsid w:val="00A01DC3"/>
    <w:rsid w:val="00A01E9C"/>
    <w:rsid w:val="00A01EA4"/>
    <w:rsid w:val="00A01FC8"/>
    <w:rsid w:val="00A02061"/>
    <w:rsid w:val="00A020B8"/>
    <w:rsid w:val="00A0226D"/>
    <w:rsid w:val="00A02571"/>
    <w:rsid w:val="00A025B9"/>
    <w:rsid w:val="00A02628"/>
    <w:rsid w:val="00A0262A"/>
    <w:rsid w:val="00A02735"/>
    <w:rsid w:val="00A028AC"/>
    <w:rsid w:val="00A02A6D"/>
    <w:rsid w:val="00A02ACC"/>
    <w:rsid w:val="00A02D1C"/>
    <w:rsid w:val="00A02D9B"/>
    <w:rsid w:val="00A02DA8"/>
    <w:rsid w:val="00A02F0E"/>
    <w:rsid w:val="00A02F4F"/>
    <w:rsid w:val="00A02F75"/>
    <w:rsid w:val="00A02FB3"/>
    <w:rsid w:val="00A02FF0"/>
    <w:rsid w:val="00A0306B"/>
    <w:rsid w:val="00A0312E"/>
    <w:rsid w:val="00A03183"/>
    <w:rsid w:val="00A0328E"/>
    <w:rsid w:val="00A032E2"/>
    <w:rsid w:val="00A03429"/>
    <w:rsid w:val="00A034BC"/>
    <w:rsid w:val="00A034C5"/>
    <w:rsid w:val="00A034DF"/>
    <w:rsid w:val="00A035C4"/>
    <w:rsid w:val="00A036EF"/>
    <w:rsid w:val="00A037D9"/>
    <w:rsid w:val="00A037F1"/>
    <w:rsid w:val="00A03898"/>
    <w:rsid w:val="00A03933"/>
    <w:rsid w:val="00A03966"/>
    <w:rsid w:val="00A03B43"/>
    <w:rsid w:val="00A03C36"/>
    <w:rsid w:val="00A03D1B"/>
    <w:rsid w:val="00A03D49"/>
    <w:rsid w:val="00A04017"/>
    <w:rsid w:val="00A040F8"/>
    <w:rsid w:val="00A04195"/>
    <w:rsid w:val="00A04304"/>
    <w:rsid w:val="00A0430D"/>
    <w:rsid w:val="00A04373"/>
    <w:rsid w:val="00A043D5"/>
    <w:rsid w:val="00A0440C"/>
    <w:rsid w:val="00A04477"/>
    <w:rsid w:val="00A047B9"/>
    <w:rsid w:val="00A047FA"/>
    <w:rsid w:val="00A04820"/>
    <w:rsid w:val="00A049CB"/>
    <w:rsid w:val="00A04B3B"/>
    <w:rsid w:val="00A04B7D"/>
    <w:rsid w:val="00A04B9F"/>
    <w:rsid w:val="00A04BBD"/>
    <w:rsid w:val="00A04EE0"/>
    <w:rsid w:val="00A04F68"/>
    <w:rsid w:val="00A04FC0"/>
    <w:rsid w:val="00A05170"/>
    <w:rsid w:val="00A051A4"/>
    <w:rsid w:val="00A05206"/>
    <w:rsid w:val="00A0559A"/>
    <w:rsid w:val="00A05773"/>
    <w:rsid w:val="00A057B4"/>
    <w:rsid w:val="00A05A49"/>
    <w:rsid w:val="00A05A91"/>
    <w:rsid w:val="00A05B35"/>
    <w:rsid w:val="00A05BFC"/>
    <w:rsid w:val="00A05C3D"/>
    <w:rsid w:val="00A05CDE"/>
    <w:rsid w:val="00A05E07"/>
    <w:rsid w:val="00A05E8D"/>
    <w:rsid w:val="00A05F1C"/>
    <w:rsid w:val="00A05F30"/>
    <w:rsid w:val="00A05F44"/>
    <w:rsid w:val="00A05F56"/>
    <w:rsid w:val="00A05F5E"/>
    <w:rsid w:val="00A05FE6"/>
    <w:rsid w:val="00A06327"/>
    <w:rsid w:val="00A0639F"/>
    <w:rsid w:val="00A06436"/>
    <w:rsid w:val="00A06640"/>
    <w:rsid w:val="00A0689F"/>
    <w:rsid w:val="00A068C0"/>
    <w:rsid w:val="00A06AB9"/>
    <w:rsid w:val="00A06B97"/>
    <w:rsid w:val="00A06BD5"/>
    <w:rsid w:val="00A06CCC"/>
    <w:rsid w:val="00A06D8D"/>
    <w:rsid w:val="00A06D93"/>
    <w:rsid w:val="00A06D9C"/>
    <w:rsid w:val="00A06DAB"/>
    <w:rsid w:val="00A06F0F"/>
    <w:rsid w:val="00A0723B"/>
    <w:rsid w:val="00A0728B"/>
    <w:rsid w:val="00A073E8"/>
    <w:rsid w:val="00A0742B"/>
    <w:rsid w:val="00A0744C"/>
    <w:rsid w:val="00A07466"/>
    <w:rsid w:val="00A07660"/>
    <w:rsid w:val="00A076A0"/>
    <w:rsid w:val="00A07885"/>
    <w:rsid w:val="00A078B2"/>
    <w:rsid w:val="00A078D3"/>
    <w:rsid w:val="00A079E0"/>
    <w:rsid w:val="00A07A30"/>
    <w:rsid w:val="00A07C40"/>
    <w:rsid w:val="00A07F45"/>
    <w:rsid w:val="00A07FCD"/>
    <w:rsid w:val="00A10074"/>
    <w:rsid w:val="00A100F0"/>
    <w:rsid w:val="00A103C2"/>
    <w:rsid w:val="00A1051C"/>
    <w:rsid w:val="00A1093C"/>
    <w:rsid w:val="00A10963"/>
    <w:rsid w:val="00A10971"/>
    <w:rsid w:val="00A10BB5"/>
    <w:rsid w:val="00A10C08"/>
    <w:rsid w:val="00A10C64"/>
    <w:rsid w:val="00A10C9C"/>
    <w:rsid w:val="00A10D51"/>
    <w:rsid w:val="00A10DDF"/>
    <w:rsid w:val="00A10E4C"/>
    <w:rsid w:val="00A10FAE"/>
    <w:rsid w:val="00A10FD0"/>
    <w:rsid w:val="00A110E2"/>
    <w:rsid w:val="00A11164"/>
    <w:rsid w:val="00A1128F"/>
    <w:rsid w:val="00A11324"/>
    <w:rsid w:val="00A115B8"/>
    <w:rsid w:val="00A11679"/>
    <w:rsid w:val="00A11681"/>
    <w:rsid w:val="00A117FF"/>
    <w:rsid w:val="00A118BB"/>
    <w:rsid w:val="00A11A78"/>
    <w:rsid w:val="00A11AB9"/>
    <w:rsid w:val="00A11BA3"/>
    <w:rsid w:val="00A11CD5"/>
    <w:rsid w:val="00A11DD9"/>
    <w:rsid w:val="00A11EA7"/>
    <w:rsid w:val="00A11EF4"/>
    <w:rsid w:val="00A120FE"/>
    <w:rsid w:val="00A12106"/>
    <w:rsid w:val="00A12113"/>
    <w:rsid w:val="00A12120"/>
    <w:rsid w:val="00A1224C"/>
    <w:rsid w:val="00A12470"/>
    <w:rsid w:val="00A124A6"/>
    <w:rsid w:val="00A124C7"/>
    <w:rsid w:val="00A12544"/>
    <w:rsid w:val="00A1261E"/>
    <w:rsid w:val="00A126A8"/>
    <w:rsid w:val="00A12755"/>
    <w:rsid w:val="00A1277D"/>
    <w:rsid w:val="00A1281A"/>
    <w:rsid w:val="00A1284C"/>
    <w:rsid w:val="00A12879"/>
    <w:rsid w:val="00A12887"/>
    <w:rsid w:val="00A12A2E"/>
    <w:rsid w:val="00A12A98"/>
    <w:rsid w:val="00A12B92"/>
    <w:rsid w:val="00A12BE0"/>
    <w:rsid w:val="00A12CBC"/>
    <w:rsid w:val="00A12D21"/>
    <w:rsid w:val="00A12D69"/>
    <w:rsid w:val="00A12DCA"/>
    <w:rsid w:val="00A12E58"/>
    <w:rsid w:val="00A12E9B"/>
    <w:rsid w:val="00A13033"/>
    <w:rsid w:val="00A13061"/>
    <w:rsid w:val="00A13141"/>
    <w:rsid w:val="00A131CA"/>
    <w:rsid w:val="00A135ED"/>
    <w:rsid w:val="00A136BC"/>
    <w:rsid w:val="00A1375B"/>
    <w:rsid w:val="00A1380F"/>
    <w:rsid w:val="00A13AB2"/>
    <w:rsid w:val="00A13B67"/>
    <w:rsid w:val="00A13C89"/>
    <w:rsid w:val="00A13CA6"/>
    <w:rsid w:val="00A13D2C"/>
    <w:rsid w:val="00A13EBA"/>
    <w:rsid w:val="00A13ED9"/>
    <w:rsid w:val="00A13F0F"/>
    <w:rsid w:val="00A140ED"/>
    <w:rsid w:val="00A1410F"/>
    <w:rsid w:val="00A14121"/>
    <w:rsid w:val="00A1415B"/>
    <w:rsid w:val="00A141C7"/>
    <w:rsid w:val="00A141D8"/>
    <w:rsid w:val="00A14224"/>
    <w:rsid w:val="00A1426F"/>
    <w:rsid w:val="00A1436B"/>
    <w:rsid w:val="00A143D2"/>
    <w:rsid w:val="00A14430"/>
    <w:rsid w:val="00A14476"/>
    <w:rsid w:val="00A1447C"/>
    <w:rsid w:val="00A144EC"/>
    <w:rsid w:val="00A145B8"/>
    <w:rsid w:val="00A1474A"/>
    <w:rsid w:val="00A1479C"/>
    <w:rsid w:val="00A1484A"/>
    <w:rsid w:val="00A1489A"/>
    <w:rsid w:val="00A1491C"/>
    <w:rsid w:val="00A14995"/>
    <w:rsid w:val="00A149B1"/>
    <w:rsid w:val="00A14A91"/>
    <w:rsid w:val="00A14AEF"/>
    <w:rsid w:val="00A14B9E"/>
    <w:rsid w:val="00A14C0C"/>
    <w:rsid w:val="00A14C10"/>
    <w:rsid w:val="00A14DDF"/>
    <w:rsid w:val="00A14EE0"/>
    <w:rsid w:val="00A1510F"/>
    <w:rsid w:val="00A152E9"/>
    <w:rsid w:val="00A153AC"/>
    <w:rsid w:val="00A15415"/>
    <w:rsid w:val="00A1567B"/>
    <w:rsid w:val="00A15694"/>
    <w:rsid w:val="00A156E4"/>
    <w:rsid w:val="00A15744"/>
    <w:rsid w:val="00A157BE"/>
    <w:rsid w:val="00A15844"/>
    <w:rsid w:val="00A15968"/>
    <w:rsid w:val="00A15AD9"/>
    <w:rsid w:val="00A15B3C"/>
    <w:rsid w:val="00A15BCA"/>
    <w:rsid w:val="00A15CC8"/>
    <w:rsid w:val="00A1608E"/>
    <w:rsid w:val="00A160AD"/>
    <w:rsid w:val="00A16114"/>
    <w:rsid w:val="00A16167"/>
    <w:rsid w:val="00A16193"/>
    <w:rsid w:val="00A1625C"/>
    <w:rsid w:val="00A16387"/>
    <w:rsid w:val="00A16486"/>
    <w:rsid w:val="00A16531"/>
    <w:rsid w:val="00A166FE"/>
    <w:rsid w:val="00A1686F"/>
    <w:rsid w:val="00A169F2"/>
    <w:rsid w:val="00A16A19"/>
    <w:rsid w:val="00A16A4F"/>
    <w:rsid w:val="00A16AF5"/>
    <w:rsid w:val="00A16E99"/>
    <w:rsid w:val="00A1705F"/>
    <w:rsid w:val="00A17198"/>
    <w:rsid w:val="00A17300"/>
    <w:rsid w:val="00A173EA"/>
    <w:rsid w:val="00A1741C"/>
    <w:rsid w:val="00A175D2"/>
    <w:rsid w:val="00A17674"/>
    <w:rsid w:val="00A1772C"/>
    <w:rsid w:val="00A1775F"/>
    <w:rsid w:val="00A1781A"/>
    <w:rsid w:val="00A179D1"/>
    <w:rsid w:val="00A17A01"/>
    <w:rsid w:val="00A17A46"/>
    <w:rsid w:val="00A2019B"/>
    <w:rsid w:val="00A202DA"/>
    <w:rsid w:val="00A20373"/>
    <w:rsid w:val="00A2037F"/>
    <w:rsid w:val="00A20415"/>
    <w:rsid w:val="00A204B7"/>
    <w:rsid w:val="00A2051F"/>
    <w:rsid w:val="00A20658"/>
    <w:rsid w:val="00A207FA"/>
    <w:rsid w:val="00A20801"/>
    <w:rsid w:val="00A2081C"/>
    <w:rsid w:val="00A208EC"/>
    <w:rsid w:val="00A2090B"/>
    <w:rsid w:val="00A2098D"/>
    <w:rsid w:val="00A20C4C"/>
    <w:rsid w:val="00A20D44"/>
    <w:rsid w:val="00A20DB8"/>
    <w:rsid w:val="00A210CC"/>
    <w:rsid w:val="00A21175"/>
    <w:rsid w:val="00A212E3"/>
    <w:rsid w:val="00A213A4"/>
    <w:rsid w:val="00A215DB"/>
    <w:rsid w:val="00A2176F"/>
    <w:rsid w:val="00A2198E"/>
    <w:rsid w:val="00A21B09"/>
    <w:rsid w:val="00A21FF6"/>
    <w:rsid w:val="00A22007"/>
    <w:rsid w:val="00A22501"/>
    <w:rsid w:val="00A225C1"/>
    <w:rsid w:val="00A2266E"/>
    <w:rsid w:val="00A22952"/>
    <w:rsid w:val="00A2296E"/>
    <w:rsid w:val="00A22987"/>
    <w:rsid w:val="00A22A1F"/>
    <w:rsid w:val="00A22BAD"/>
    <w:rsid w:val="00A22C70"/>
    <w:rsid w:val="00A22F46"/>
    <w:rsid w:val="00A22F75"/>
    <w:rsid w:val="00A23243"/>
    <w:rsid w:val="00A233AE"/>
    <w:rsid w:val="00A2341C"/>
    <w:rsid w:val="00A23457"/>
    <w:rsid w:val="00A2359F"/>
    <w:rsid w:val="00A235C1"/>
    <w:rsid w:val="00A23631"/>
    <w:rsid w:val="00A238BE"/>
    <w:rsid w:val="00A23996"/>
    <w:rsid w:val="00A239ED"/>
    <w:rsid w:val="00A23AB7"/>
    <w:rsid w:val="00A23C3E"/>
    <w:rsid w:val="00A23C75"/>
    <w:rsid w:val="00A23F0D"/>
    <w:rsid w:val="00A23F47"/>
    <w:rsid w:val="00A2410F"/>
    <w:rsid w:val="00A24114"/>
    <w:rsid w:val="00A242C7"/>
    <w:rsid w:val="00A24426"/>
    <w:rsid w:val="00A245B9"/>
    <w:rsid w:val="00A245E9"/>
    <w:rsid w:val="00A2463E"/>
    <w:rsid w:val="00A24718"/>
    <w:rsid w:val="00A248A0"/>
    <w:rsid w:val="00A24920"/>
    <w:rsid w:val="00A2499B"/>
    <w:rsid w:val="00A24B5D"/>
    <w:rsid w:val="00A24CBF"/>
    <w:rsid w:val="00A24D56"/>
    <w:rsid w:val="00A24F71"/>
    <w:rsid w:val="00A25061"/>
    <w:rsid w:val="00A250A4"/>
    <w:rsid w:val="00A25217"/>
    <w:rsid w:val="00A25237"/>
    <w:rsid w:val="00A2533C"/>
    <w:rsid w:val="00A254A2"/>
    <w:rsid w:val="00A25661"/>
    <w:rsid w:val="00A256F6"/>
    <w:rsid w:val="00A25765"/>
    <w:rsid w:val="00A257F5"/>
    <w:rsid w:val="00A25818"/>
    <w:rsid w:val="00A258CC"/>
    <w:rsid w:val="00A258F0"/>
    <w:rsid w:val="00A25AB8"/>
    <w:rsid w:val="00A25B0E"/>
    <w:rsid w:val="00A25C3E"/>
    <w:rsid w:val="00A25F01"/>
    <w:rsid w:val="00A25F2A"/>
    <w:rsid w:val="00A25F8B"/>
    <w:rsid w:val="00A25F8C"/>
    <w:rsid w:val="00A25FB5"/>
    <w:rsid w:val="00A25FE3"/>
    <w:rsid w:val="00A2610C"/>
    <w:rsid w:val="00A26183"/>
    <w:rsid w:val="00A26249"/>
    <w:rsid w:val="00A262B8"/>
    <w:rsid w:val="00A26333"/>
    <w:rsid w:val="00A26359"/>
    <w:rsid w:val="00A263CA"/>
    <w:rsid w:val="00A265E1"/>
    <w:rsid w:val="00A267AA"/>
    <w:rsid w:val="00A26859"/>
    <w:rsid w:val="00A26923"/>
    <w:rsid w:val="00A2693A"/>
    <w:rsid w:val="00A26970"/>
    <w:rsid w:val="00A26B54"/>
    <w:rsid w:val="00A26CED"/>
    <w:rsid w:val="00A26D31"/>
    <w:rsid w:val="00A26DD5"/>
    <w:rsid w:val="00A26E71"/>
    <w:rsid w:val="00A26ED1"/>
    <w:rsid w:val="00A2701E"/>
    <w:rsid w:val="00A270D5"/>
    <w:rsid w:val="00A2710E"/>
    <w:rsid w:val="00A273E8"/>
    <w:rsid w:val="00A2746B"/>
    <w:rsid w:val="00A27568"/>
    <w:rsid w:val="00A276DA"/>
    <w:rsid w:val="00A27709"/>
    <w:rsid w:val="00A27A0B"/>
    <w:rsid w:val="00A27AD3"/>
    <w:rsid w:val="00A27B0F"/>
    <w:rsid w:val="00A27B2C"/>
    <w:rsid w:val="00A27B6B"/>
    <w:rsid w:val="00A27BC4"/>
    <w:rsid w:val="00A27CDE"/>
    <w:rsid w:val="00A27D70"/>
    <w:rsid w:val="00A27DB7"/>
    <w:rsid w:val="00A27EF0"/>
    <w:rsid w:val="00A27F10"/>
    <w:rsid w:val="00A3001A"/>
    <w:rsid w:val="00A300F3"/>
    <w:rsid w:val="00A301FC"/>
    <w:rsid w:val="00A30312"/>
    <w:rsid w:val="00A30462"/>
    <w:rsid w:val="00A30483"/>
    <w:rsid w:val="00A306E5"/>
    <w:rsid w:val="00A30793"/>
    <w:rsid w:val="00A3097C"/>
    <w:rsid w:val="00A30A39"/>
    <w:rsid w:val="00A30C54"/>
    <w:rsid w:val="00A30C99"/>
    <w:rsid w:val="00A30DDD"/>
    <w:rsid w:val="00A31076"/>
    <w:rsid w:val="00A3107C"/>
    <w:rsid w:val="00A310E4"/>
    <w:rsid w:val="00A3114E"/>
    <w:rsid w:val="00A31364"/>
    <w:rsid w:val="00A313B8"/>
    <w:rsid w:val="00A314B4"/>
    <w:rsid w:val="00A31809"/>
    <w:rsid w:val="00A3188D"/>
    <w:rsid w:val="00A31A09"/>
    <w:rsid w:val="00A31A42"/>
    <w:rsid w:val="00A31CDA"/>
    <w:rsid w:val="00A31DD7"/>
    <w:rsid w:val="00A31E17"/>
    <w:rsid w:val="00A31E6E"/>
    <w:rsid w:val="00A31F3E"/>
    <w:rsid w:val="00A320FA"/>
    <w:rsid w:val="00A321D1"/>
    <w:rsid w:val="00A321F2"/>
    <w:rsid w:val="00A32243"/>
    <w:rsid w:val="00A322CE"/>
    <w:rsid w:val="00A32390"/>
    <w:rsid w:val="00A3265E"/>
    <w:rsid w:val="00A32791"/>
    <w:rsid w:val="00A327BB"/>
    <w:rsid w:val="00A327F4"/>
    <w:rsid w:val="00A3280F"/>
    <w:rsid w:val="00A32843"/>
    <w:rsid w:val="00A32912"/>
    <w:rsid w:val="00A32927"/>
    <w:rsid w:val="00A329E7"/>
    <w:rsid w:val="00A32AB2"/>
    <w:rsid w:val="00A32E8C"/>
    <w:rsid w:val="00A33025"/>
    <w:rsid w:val="00A330B4"/>
    <w:rsid w:val="00A3318D"/>
    <w:rsid w:val="00A33194"/>
    <w:rsid w:val="00A331AF"/>
    <w:rsid w:val="00A331BA"/>
    <w:rsid w:val="00A33274"/>
    <w:rsid w:val="00A33282"/>
    <w:rsid w:val="00A33369"/>
    <w:rsid w:val="00A33475"/>
    <w:rsid w:val="00A334A8"/>
    <w:rsid w:val="00A334DA"/>
    <w:rsid w:val="00A3351E"/>
    <w:rsid w:val="00A3369D"/>
    <w:rsid w:val="00A3373B"/>
    <w:rsid w:val="00A338D6"/>
    <w:rsid w:val="00A33A74"/>
    <w:rsid w:val="00A33AB9"/>
    <w:rsid w:val="00A33D23"/>
    <w:rsid w:val="00A33D24"/>
    <w:rsid w:val="00A33D4F"/>
    <w:rsid w:val="00A33E21"/>
    <w:rsid w:val="00A33E83"/>
    <w:rsid w:val="00A33F3B"/>
    <w:rsid w:val="00A33F55"/>
    <w:rsid w:val="00A34112"/>
    <w:rsid w:val="00A34120"/>
    <w:rsid w:val="00A34257"/>
    <w:rsid w:val="00A3426F"/>
    <w:rsid w:val="00A3448A"/>
    <w:rsid w:val="00A345A9"/>
    <w:rsid w:val="00A34608"/>
    <w:rsid w:val="00A3469C"/>
    <w:rsid w:val="00A347C5"/>
    <w:rsid w:val="00A348E8"/>
    <w:rsid w:val="00A34943"/>
    <w:rsid w:val="00A34AC1"/>
    <w:rsid w:val="00A34C9C"/>
    <w:rsid w:val="00A34D44"/>
    <w:rsid w:val="00A34ED6"/>
    <w:rsid w:val="00A34F2B"/>
    <w:rsid w:val="00A34F53"/>
    <w:rsid w:val="00A34FFA"/>
    <w:rsid w:val="00A3504D"/>
    <w:rsid w:val="00A35090"/>
    <w:rsid w:val="00A35111"/>
    <w:rsid w:val="00A35132"/>
    <w:rsid w:val="00A35166"/>
    <w:rsid w:val="00A351A2"/>
    <w:rsid w:val="00A35258"/>
    <w:rsid w:val="00A352E3"/>
    <w:rsid w:val="00A3536D"/>
    <w:rsid w:val="00A3539C"/>
    <w:rsid w:val="00A354C9"/>
    <w:rsid w:val="00A356F2"/>
    <w:rsid w:val="00A35713"/>
    <w:rsid w:val="00A35770"/>
    <w:rsid w:val="00A35799"/>
    <w:rsid w:val="00A35A3F"/>
    <w:rsid w:val="00A35A64"/>
    <w:rsid w:val="00A35BE5"/>
    <w:rsid w:val="00A35CC7"/>
    <w:rsid w:val="00A35CD2"/>
    <w:rsid w:val="00A35CDB"/>
    <w:rsid w:val="00A35EC1"/>
    <w:rsid w:val="00A35ED1"/>
    <w:rsid w:val="00A35FF6"/>
    <w:rsid w:val="00A36025"/>
    <w:rsid w:val="00A360A7"/>
    <w:rsid w:val="00A3629F"/>
    <w:rsid w:val="00A362D2"/>
    <w:rsid w:val="00A36348"/>
    <w:rsid w:val="00A36618"/>
    <w:rsid w:val="00A36739"/>
    <w:rsid w:val="00A3673F"/>
    <w:rsid w:val="00A367DA"/>
    <w:rsid w:val="00A367DF"/>
    <w:rsid w:val="00A368C4"/>
    <w:rsid w:val="00A3693F"/>
    <w:rsid w:val="00A36A2A"/>
    <w:rsid w:val="00A36A45"/>
    <w:rsid w:val="00A36B6B"/>
    <w:rsid w:val="00A36BE6"/>
    <w:rsid w:val="00A36BFD"/>
    <w:rsid w:val="00A36C50"/>
    <w:rsid w:val="00A36C6E"/>
    <w:rsid w:val="00A36DF5"/>
    <w:rsid w:val="00A36EB7"/>
    <w:rsid w:val="00A372A3"/>
    <w:rsid w:val="00A37401"/>
    <w:rsid w:val="00A37435"/>
    <w:rsid w:val="00A37484"/>
    <w:rsid w:val="00A374FC"/>
    <w:rsid w:val="00A37548"/>
    <w:rsid w:val="00A375BA"/>
    <w:rsid w:val="00A3764E"/>
    <w:rsid w:val="00A37684"/>
    <w:rsid w:val="00A376AF"/>
    <w:rsid w:val="00A37978"/>
    <w:rsid w:val="00A37A5C"/>
    <w:rsid w:val="00A37A61"/>
    <w:rsid w:val="00A37AC4"/>
    <w:rsid w:val="00A37B3D"/>
    <w:rsid w:val="00A37B69"/>
    <w:rsid w:val="00A37CF5"/>
    <w:rsid w:val="00A37D00"/>
    <w:rsid w:val="00A37D43"/>
    <w:rsid w:val="00A37F89"/>
    <w:rsid w:val="00A40133"/>
    <w:rsid w:val="00A40291"/>
    <w:rsid w:val="00A4039E"/>
    <w:rsid w:val="00A403C3"/>
    <w:rsid w:val="00A403D2"/>
    <w:rsid w:val="00A404A8"/>
    <w:rsid w:val="00A4052C"/>
    <w:rsid w:val="00A406BF"/>
    <w:rsid w:val="00A406CD"/>
    <w:rsid w:val="00A407D0"/>
    <w:rsid w:val="00A40996"/>
    <w:rsid w:val="00A409DE"/>
    <w:rsid w:val="00A40DE1"/>
    <w:rsid w:val="00A40F20"/>
    <w:rsid w:val="00A40F71"/>
    <w:rsid w:val="00A40FEE"/>
    <w:rsid w:val="00A41143"/>
    <w:rsid w:val="00A41284"/>
    <w:rsid w:val="00A41655"/>
    <w:rsid w:val="00A416AE"/>
    <w:rsid w:val="00A41747"/>
    <w:rsid w:val="00A4184E"/>
    <w:rsid w:val="00A4195E"/>
    <w:rsid w:val="00A419D1"/>
    <w:rsid w:val="00A419ED"/>
    <w:rsid w:val="00A41A2B"/>
    <w:rsid w:val="00A41AEA"/>
    <w:rsid w:val="00A41C3B"/>
    <w:rsid w:val="00A41C7E"/>
    <w:rsid w:val="00A41E3D"/>
    <w:rsid w:val="00A41E92"/>
    <w:rsid w:val="00A41F7D"/>
    <w:rsid w:val="00A42009"/>
    <w:rsid w:val="00A420A3"/>
    <w:rsid w:val="00A42187"/>
    <w:rsid w:val="00A4232F"/>
    <w:rsid w:val="00A42349"/>
    <w:rsid w:val="00A4234B"/>
    <w:rsid w:val="00A4237F"/>
    <w:rsid w:val="00A423A9"/>
    <w:rsid w:val="00A426CE"/>
    <w:rsid w:val="00A42708"/>
    <w:rsid w:val="00A42988"/>
    <w:rsid w:val="00A42B47"/>
    <w:rsid w:val="00A42C0D"/>
    <w:rsid w:val="00A42D1A"/>
    <w:rsid w:val="00A4314A"/>
    <w:rsid w:val="00A4326E"/>
    <w:rsid w:val="00A433F7"/>
    <w:rsid w:val="00A434D3"/>
    <w:rsid w:val="00A4367C"/>
    <w:rsid w:val="00A436E6"/>
    <w:rsid w:val="00A438BC"/>
    <w:rsid w:val="00A438E0"/>
    <w:rsid w:val="00A43ABE"/>
    <w:rsid w:val="00A43B93"/>
    <w:rsid w:val="00A43CCC"/>
    <w:rsid w:val="00A43E49"/>
    <w:rsid w:val="00A44134"/>
    <w:rsid w:val="00A441C7"/>
    <w:rsid w:val="00A4439A"/>
    <w:rsid w:val="00A44412"/>
    <w:rsid w:val="00A44523"/>
    <w:rsid w:val="00A44545"/>
    <w:rsid w:val="00A44550"/>
    <w:rsid w:val="00A44638"/>
    <w:rsid w:val="00A44691"/>
    <w:rsid w:val="00A44715"/>
    <w:rsid w:val="00A4477E"/>
    <w:rsid w:val="00A44794"/>
    <w:rsid w:val="00A44915"/>
    <w:rsid w:val="00A44955"/>
    <w:rsid w:val="00A449D4"/>
    <w:rsid w:val="00A44A96"/>
    <w:rsid w:val="00A44CA0"/>
    <w:rsid w:val="00A44FA3"/>
    <w:rsid w:val="00A450D5"/>
    <w:rsid w:val="00A4518B"/>
    <w:rsid w:val="00A451E3"/>
    <w:rsid w:val="00A451FB"/>
    <w:rsid w:val="00A453E1"/>
    <w:rsid w:val="00A454C2"/>
    <w:rsid w:val="00A45650"/>
    <w:rsid w:val="00A45694"/>
    <w:rsid w:val="00A45783"/>
    <w:rsid w:val="00A458DA"/>
    <w:rsid w:val="00A45B0A"/>
    <w:rsid w:val="00A45CE5"/>
    <w:rsid w:val="00A45D3E"/>
    <w:rsid w:val="00A45EE9"/>
    <w:rsid w:val="00A45FB1"/>
    <w:rsid w:val="00A45FCF"/>
    <w:rsid w:val="00A46130"/>
    <w:rsid w:val="00A46133"/>
    <w:rsid w:val="00A462EA"/>
    <w:rsid w:val="00A462F4"/>
    <w:rsid w:val="00A4637D"/>
    <w:rsid w:val="00A4659A"/>
    <w:rsid w:val="00A46600"/>
    <w:rsid w:val="00A46637"/>
    <w:rsid w:val="00A46A90"/>
    <w:rsid w:val="00A46B31"/>
    <w:rsid w:val="00A46BE7"/>
    <w:rsid w:val="00A46C00"/>
    <w:rsid w:val="00A46C4A"/>
    <w:rsid w:val="00A46C5D"/>
    <w:rsid w:val="00A46D5B"/>
    <w:rsid w:val="00A46D88"/>
    <w:rsid w:val="00A46DE5"/>
    <w:rsid w:val="00A46E6B"/>
    <w:rsid w:val="00A4708C"/>
    <w:rsid w:val="00A4722C"/>
    <w:rsid w:val="00A47677"/>
    <w:rsid w:val="00A476C8"/>
    <w:rsid w:val="00A477ED"/>
    <w:rsid w:val="00A47863"/>
    <w:rsid w:val="00A479C5"/>
    <w:rsid w:val="00A47ABA"/>
    <w:rsid w:val="00A47B73"/>
    <w:rsid w:val="00A47B78"/>
    <w:rsid w:val="00A47B8B"/>
    <w:rsid w:val="00A47E65"/>
    <w:rsid w:val="00A47F1D"/>
    <w:rsid w:val="00A47F8F"/>
    <w:rsid w:val="00A5018E"/>
    <w:rsid w:val="00A501E3"/>
    <w:rsid w:val="00A50252"/>
    <w:rsid w:val="00A50280"/>
    <w:rsid w:val="00A5036C"/>
    <w:rsid w:val="00A503BF"/>
    <w:rsid w:val="00A503DC"/>
    <w:rsid w:val="00A50526"/>
    <w:rsid w:val="00A5083E"/>
    <w:rsid w:val="00A509D2"/>
    <w:rsid w:val="00A509D5"/>
    <w:rsid w:val="00A50A51"/>
    <w:rsid w:val="00A50AF7"/>
    <w:rsid w:val="00A50BC3"/>
    <w:rsid w:val="00A50C82"/>
    <w:rsid w:val="00A50D4C"/>
    <w:rsid w:val="00A50E17"/>
    <w:rsid w:val="00A50E21"/>
    <w:rsid w:val="00A50E33"/>
    <w:rsid w:val="00A50EE9"/>
    <w:rsid w:val="00A50FB5"/>
    <w:rsid w:val="00A50FBD"/>
    <w:rsid w:val="00A5104E"/>
    <w:rsid w:val="00A51050"/>
    <w:rsid w:val="00A51202"/>
    <w:rsid w:val="00A51249"/>
    <w:rsid w:val="00A512A8"/>
    <w:rsid w:val="00A5136B"/>
    <w:rsid w:val="00A516F1"/>
    <w:rsid w:val="00A517BF"/>
    <w:rsid w:val="00A518D8"/>
    <w:rsid w:val="00A519E4"/>
    <w:rsid w:val="00A51A2F"/>
    <w:rsid w:val="00A51A4A"/>
    <w:rsid w:val="00A51A58"/>
    <w:rsid w:val="00A51C15"/>
    <w:rsid w:val="00A51C19"/>
    <w:rsid w:val="00A51C23"/>
    <w:rsid w:val="00A51D01"/>
    <w:rsid w:val="00A51DB6"/>
    <w:rsid w:val="00A51E91"/>
    <w:rsid w:val="00A51EC8"/>
    <w:rsid w:val="00A52028"/>
    <w:rsid w:val="00A522A2"/>
    <w:rsid w:val="00A52389"/>
    <w:rsid w:val="00A523A3"/>
    <w:rsid w:val="00A52585"/>
    <w:rsid w:val="00A525A6"/>
    <w:rsid w:val="00A526DF"/>
    <w:rsid w:val="00A528D8"/>
    <w:rsid w:val="00A52927"/>
    <w:rsid w:val="00A52B9F"/>
    <w:rsid w:val="00A52C3D"/>
    <w:rsid w:val="00A52E44"/>
    <w:rsid w:val="00A52E45"/>
    <w:rsid w:val="00A52E69"/>
    <w:rsid w:val="00A52F4B"/>
    <w:rsid w:val="00A53263"/>
    <w:rsid w:val="00A532A0"/>
    <w:rsid w:val="00A532B6"/>
    <w:rsid w:val="00A533D1"/>
    <w:rsid w:val="00A534B6"/>
    <w:rsid w:val="00A534E8"/>
    <w:rsid w:val="00A536B3"/>
    <w:rsid w:val="00A53747"/>
    <w:rsid w:val="00A53786"/>
    <w:rsid w:val="00A5390A"/>
    <w:rsid w:val="00A53A1B"/>
    <w:rsid w:val="00A53B69"/>
    <w:rsid w:val="00A53CE5"/>
    <w:rsid w:val="00A53DD8"/>
    <w:rsid w:val="00A53EA9"/>
    <w:rsid w:val="00A53F97"/>
    <w:rsid w:val="00A54080"/>
    <w:rsid w:val="00A540AD"/>
    <w:rsid w:val="00A54189"/>
    <w:rsid w:val="00A54214"/>
    <w:rsid w:val="00A5433D"/>
    <w:rsid w:val="00A54355"/>
    <w:rsid w:val="00A543E1"/>
    <w:rsid w:val="00A544BB"/>
    <w:rsid w:val="00A544E8"/>
    <w:rsid w:val="00A54515"/>
    <w:rsid w:val="00A545A3"/>
    <w:rsid w:val="00A54605"/>
    <w:rsid w:val="00A5478E"/>
    <w:rsid w:val="00A548C3"/>
    <w:rsid w:val="00A54AA6"/>
    <w:rsid w:val="00A54AE3"/>
    <w:rsid w:val="00A54C84"/>
    <w:rsid w:val="00A54EC3"/>
    <w:rsid w:val="00A54F52"/>
    <w:rsid w:val="00A54FA7"/>
    <w:rsid w:val="00A54FF7"/>
    <w:rsid w:val="00A550E1"/>
    <w:rsid w:val="00A55457"/>
    <w:rsid w:val="00A5559D"/>
    <w:rsid w:val="00A55803"/>
    <w:rsid w:val="00A55F83"/>
    <w:rsid w:val="00A55FBC"/>
    <w:rsid w:val="00A5605B"/>
    <w:rsid w:val="00A56127"/>
    <w:rsid w:val="00A56175"/>
    <w:rsid w:val="00A561B2"/>
    <w:rsid w:val="00A561E7"/>
    <w:rsid w:val="00A562B4"/>
    <w:rsid w:val="00A5636F"/>
    <w:rsid w:val="00A5675E"/>
    <w:rsid w:val="00A5679D"/>
    <w:rsid w:val="00A567DF"/>
    <w:rsid w:val="00A5692D"/>
    <w:rsid w:val="00A56961"/>
    <w:rsid w:val="00A5696F"/>
    <w:rsid w:val="00A56A8A"/>
    <w:rsid w:val="00A56C7D"/>
    <w:rsid w:val="00A56CCC"/>
    <w:rsid w:val="00A56D05"/>
    <w:rsid w:val="00A56DB1"/>
    <w:rsid w:val="00A56DBF"/>
    <w:rsid w:val="00A56F2B"/>
    <w:rsid w:val="00A56F43"/>
    <w:rsid w:val="00A5709C"/>
    <w:rsid w:val="00A570E7"/>
    <w:rsid w:val="00A57160"/>
    <w:rsid w:val="00A572E1"/>
    <w:rsid w:val="00A5730C"/>
    <w:rsid w:val="00A57384"/>
    <w:rsid w:val="00A57460"/>
    <w:rsid w:val="00A5750D"/>
    <w:rsid w:val="00A57551"/>
    <w:rsid w:val="00A57672"/>
    <w:rsid w:val="00A57724"/>
    <w:rsid w:val="00A57A66"/>
    <w:rsid w:val="00A57AE7"/>
    <w:rsid w:val="00A57B14"/>
    <w:rsid w:val="00A57CF6"/>
    <w:rsid w:val="00A57E57"/>
    <w:rsid w:val="00A57ED6"/>
    <w:rsid w:val="00A60072"/>
    <w:rsid w:val="00A60387"/>
    <w:rsid w:val="00A6052E"/>
    <w:rsid w:val="00A606E5"/>
    <w:rsid w:val="00A608C4"/>
    <w:rsid w:val="00A60B2C"/>
    <w:rsid w:val="00A60BFC"/>
    <w:rsid w:val="00A60E31"/>
    <w:rsid w:val="00A60E54"/>
    <w:rsid w:val="00A60EA4"/>
    <w:rsid w:val="00A60EC8"/>
    <w:rsid w:val="00A6109D"/>
    <w:rsid w:val="00A61225"/>
    <w:rsid w:val="00A61413"/>
    <w:rsid w:val="00A614B9"/>
    <w:rsid w:val="00A61809"/>
    <w:rsid w:val="00A61A3E"/>
    <w:rsid w:val="00A61BA0"/>
    <w:rsid w:val="00A61C0C"/>
    <w:rsid w:val="00A61C7F"/>
    <w:rsid w:val="00A61F05"/>
    <w:rsid w:val="00A6202B"/>
    <w:rsid w:val="00A62058"/>
    <w:rsid w:val="00A62101"/>
    <w:rsid w:val="00A6212F"/>
    <w:rsid w:val="00A6218B"/>
    <w:rsid w:val="00A62253"/>
    <w:rsid w:val="00A62462"/>
    <w:rsid w:val="00A62818"/>
    <w:rsid w:val="00A628FA"/>
    <w:rsid w:val="00A62952"/>
    <w:rsid w:val="00A62A00"/>
    <w:rsid w:val="00A62A52"/>
    <w:rsid w:val="00A62B6E"/>
    <w:rsid w:val="00A62B80"/>
    <w:rsid w:val="00A62B8D"/>
    <w:rsid w:val="00A62C03"/>
    <w:rsid w:val="00A62CE1"/>
    <w:rsid w:val="00A62EB7"/>
    <w:rsid w:val="00A63055"/>
    <w:rsid w:val="00A632A9"/>
    <w:rsid w:val="00A63353"/>
    <w:rsid w:val="00A6335B"/>
    <w:rsid w:val="00A6344B"/>
    <w:rsid w:val="00A63493"/>
    <w:rsid w:val="00A634B3"/>
    <w:rsid w:val="00A634D9"/>
    <w:rsid w:val="00A63570"/>
    <w:rsid w:val="00A635FC"/>
    <w:rsid w:val="00A636DA"/>
    <w:rsid w:val="00A6376E"/>
    <w:rsid w:val="00A637C8"/>
    <w:rsid w:val="00A637E5"/>
    <w:rsid w:val="00A637EC"/>
    <w:rsid w:val="00A63861"/>
    <w:rsid w:val="00A63900"/>
    <w:rsid w:val="00A6397E"/>
    <w:rsid w:val="00A63A1D"/>
    <w:rsid w:val="00A63B22"/>
    <w:rsid w:val="00A63C50"/>
    <w:rsid w:val="00A63D50"/>
    <w:rsid w:val="00A63D59"/>
    <w:rsid w:val="00A63D75"/>
    <w:rsid w:val="00A63D96"/>
    <w:rsid w:val="00A63EE2"/>
    <w:rsid w:val="00A63FAB"/>
    <w:rsid w:val="00A64062"/>
    <w:rsid w:val="00A64100"/>
    <w:rsid w:val="00A641AD"/>
    <w:rsid w:val="00A6425A"/>
    <w:rsid w:val="00A64440"/>
    <w:rsid w:val="00A646C9"/>
    <w:rsid w:val="00A64709"/>
    <w:rsid w:val="00A648F9"/>
    <w:rsid w:val="00A64962"/>
    <w:rsid w:val="00A64B23"/>
    <w:rsid w:val="00A64B29"/>
    <w:rsid w:val="00A64B62"/>
    <w:rsid w:val="00A64B6E"/>
    <w:rsid w:val="00A64B81"/>
    <w:rsid w:val="00A64C20"/>
    <w:rsid w:val="00A64DB0"/>
    <w:rsid w:val="00A64EED"/>
    <w:rsid w:val="00A650EA"/>
    <w:rsid w:val="00A65110"/>
    <w:rsid w:val="00A6511A"/>
    <w:rsid w:val="00A6514C"/>
    <w:rsid w:val="00A6515E"/>
    <w:rsid w:val="00A6518B"/>
    <w:rsid w:val="00A651F0"/>
    <w:rsid w:val="00A652B3"/>
    <w:rsid w:val="00A6530A"/>
    <w:rsid w:val="00A653B6"/>
    <w:rsid w:val="00A655DC"/>
    <w:rsid w:val="00A655FF"/>
    <w:rsid w:val="00A65630"/>
    <w:rsid w:val="00A656E6"/>
    <w:rsid w:val="00A6572E"/>
    <w:rsid w:val="00A65797"/>
    <w:rsid w:val="00A658DD"/>
    <w:rsid w:val="00A6594A"/>
    <w:rsid w:val="00A65957"/>
    <w:rsid w:val="00A65AEC"/>
    <w:rsid w:val="00A65D75"/>
    <w:rsid w:val="00A65E6C"/>
    <w:rsid w:val="00A65E95"/>
    <w:rsid w:val="00A65EC8"/>
    <w:rsid w:val="00A65F48"/>
    <w:rsid w:val="00A66038"/>
    <w:rsid w:val="00A66112"/>
    <w:rsid w:val="00A6642A"/>
    <w:rsid w:val="00A66572"/>
    <w:rsid w:val="00A6668C"/>
    <w:rsid w:val="00A668CA"/>
    <w:rsid w:val="00A669E0"/>
    <w:rsid w:val="00A66A3D"/>
    <w:rsid w:val="00A66A4E"/>
    <w:rsid w:val="00A66AE9"/>
    <w:rsid w:val="00A66B3C"/>
    <w:rsid w:val="00A66D76"/>
    <w:rsid w:val="00A66E08"/>
    <w:rsid w:val="00A66E28"/>
    <w:rsid w:val="00A66E5A"/>
    <w:rsid w:val="00A66F11"/>
    <w:rsid w:val="00A66F57"/>
    <w:rsid w:val="00A670C0"/>
    <w:rsid w:val="00A67159"/>
    <w:rsid w:val="00A671EC"/>
    <w:rsid w:val="00A67279"/>
    <w:rsid w:val="00A673C1"/>
    <w:rsid w:val="00A6760B"/>
    <w:rsid w:val="00A67758"/>
    <w:rsid w:val="00A6784F"/>
    <w:rsid w:val="00A67C14"/>
    <w:rsid w:val="00A67C29"/>
    <w:rsid w:val="00A67CF6"/>
    <w:rsid w:val="00A67EE4"/>
    <w:rsid w:val="00A7017C"/>
    <w:rsid w:val="00A701E0"/>
    <w:rsid w:val="00A703F7"/>
    <w:rsid w:val="00A705A1"/>
    <w:rsid w:val="00A70636"/>
    <w:rsid w:val="00A707E8"/>
    <w:rsid w:val="00A70825"/>
    <w:rsid w:val="00A70897"/>
    <w:rsid w:val="00A70C10"/>
    <w:rsid w:val="00A70C48"/>
    <w:rsid w:val="00A70EC1"/>
    <w:rsid w:val="00A70F58"/>
    <w:rsid w:val="00A70F7A"/>
    <w:rsid w:val="00A710FB"/>
    <w:rsid w:val="00A713E7"/>
    <w:rsid w:val="00A71487"/>
    <w:rsid w:val="00A714B7"/>
    <w:rsid w:val="00A715A9"/>
    <w:rsid w:val="00A71666"/>
    <w:rsid w:val="00A716A9"/>
    <w:rsid w:val="00A718EC"/>
    <w:rsid w:val="00A71981"/>
    <w:rsid w:val="00A71C00"/>
    <w:rsid w:val="00A71C4E"/>
    <w:rsid w:val="00A71C74"/>
    <w:rsid w:val="00A71CB8"/>
    <w:rsid w:val="00A71CEA"/>
    <w:rsid w:val="00A71D16"/>
    <w:rsid w:val="00A71D21"/>
    <w:rsid w:val="00A71FAF"/>
    <w:rsid w:val="00A720B8"/>
    <w:rsid w:val="00A720D8"/>
    <w:rsid w:val="00A72133"/>
    <w:rsid w:val="00A72155"/>
    <w:rsid w:val="00A722C2"/>
    <w:rsid w:val="00A7230E"/>
    <w:rsid w:val="00A72339"/>
    <w:rsid w:val="00A723F3"/>
    <w:rsid w:val="00A7250A"/>
    <w:rsid w:val="00A725CF"/>
    <w:rsid w:val="00A72679"/>
    <w:rsid w:val="00A7268E"/>
    <w:rsid w:val="00A72704"/>
    <w:rsid w:val="00A7270D"/>
    <w:rsid w:val="00A72750"/>
    <w:rsid w:val="00A72916"/>
    <w:rsid w:val="00A729DB"/>
    <w:rsid w:val="00A72B9A"/>
    <w:rsid w:val="00A72ED7"/>
    <w:rsid w:val="00A72F4A"/>
    <w:rsid w:val="00A73061"/>
    <w:rsid w:val="00A73566"/>
    <w:rsid w:val="00A736A2"/>
    <w:rsid w:val="00A73747"/>
    <w:rsid w:val="00A737BE"/>
    <w:rsid w:val="00A73808"/>
    <w:rsid w:val="00A73882"/>
    <w:rsid w:val="00A7399C"/>
    <w:rsid w:val="00A739B0"/>
    <w:rsid w:val="00A73A2E"/>
    <w:rsid w:val="00A73C0F"/>
    <w:rsid w:val="00A73CF4"/>
    <w:rsid w:val="00A73D3E"/>
    <w:rsid w:val="00A73D7B"/>
    <w:rsid w:val="00A73F0C"/>
    <w:rsid w:val="00A73F46"/>
    <w:rsid w:val="00A73F96"/>
    <w:rsid w:val="00A73F9A"/>
    <w:rsid w:val="00A73FB6"/>
    <w:rsid w:val="00A7402A"/>
    <w:rsid w:val="00A740D8"/>
    <w:rsid w:val="00A743B1"/>
    <w:rsid w:val="00A744ED"/>
    <w:rsid w:val="00A74618"/>
    <w:rsid w:val="00A74683"/>
    <w:rsid w:val="00A7473D"/>
    <w:rsid w:val="00A7475B"/>
    <w:rsid w:val="00A7480B"/>
    <w:rsid w:val="00A74A9F"/>
    <w:rsid w:val="00A74B49"/>
    <w:rsid w:val="00A74D4E"/>
    <w:rsid w:val="00A74D8E"/>
    <w:rsid w:val="00A74F0C"/>
    <w:rsid w:val="00A7502B"/>
    <w:rsid w:val="00A750AE"/>
    <w:rsid w:val="00A7515E"/>
    <w:rsid w:val="00A752FF"/>
    <w:rsid w:val="00A75395"/>
    <w:rsid w:val="00A75430"/>
    <w:rsid w:val="00A75444"/>
    <w:rsid w:val="00A75531"/>
    <w:rsid w:val="00A75633"/>
    <w:rsid w:val="00A75712"/>
    <w:rsid w:val="00A75931"/>
    <w:rsid w:val="00A75941"/>
    <w:rsid w:val="00A75960"/>
    <w:rsid w:val="00A75A2E"/>
    <w:rsid w:val="00A75A70"/>
    <w:rsid w:val="00A75A9E"/>
    <w:rsid w:val="00A75B23"/>
    <w:rsid w:val="00A75B2C"/>
    <w:rsid w:val="00A75BCE"/>
    <w:rsid w:val="00A75C16"/>
    <w:rsid w:val="00A75C8E"/>
    <w:rsid w:val="00A75C94"/>
    <w:rsid w:val="00A75D60"/>
    <w:rsid w:val="00A75D9B"/>
    <w:rsid w:val="00A75E29"/>
    <w:rsid w:val="00A75EDB"/>
    <w:rsid w:val="00A75F0B"/>
    <w:rsid w:val="00A75F8C"/>
    <w:rsid w:val="00A76012"/>
    <w:rsid w:val="00A760B4"/>
    <w:rsid w:val="00A76104"/>
    <w:rsid w:val="00A76105"/>
    <w:rsid w:val="00A765BA"/>
    <w:rsid w:val="00A766A2"/>
    <w:rsid w:val="00A766B0"/>
    <w:rsid w:val="00A768A5"/>
    <w:rsid w:val="00A768ED"/>
    <w:rsid w:val="00A7695E"/>
    <w:rsid w:val="00A76A5C"/>
    <w:rsid w:val="00A76AB4"/>
    <w:rsid w:val="00A76C3C"/>
    <w:rsid w:val="00A76CF1"/>
    <w:rsid w:val="00A76DCB"/>
    <w:rsid w:val="00A76F26"/>
    <w:rsid w:val="00A76FA1"/>
    <w:rsid w:val="00A76FAA"/>
    <w:rsid w:val="00A770EB"/>
    <w:rsid w:val="00A771E6"/>
    <w:rsid w:val="00A7724E"/>
    <w:rsid w:val="00A772FF"/>
    <w:rsid w:val="00A77445"/>
    <w:rsid w:val="00A774EA"/>
    <w:rsid w:val="00A775C9"/>
    <w:rsid w:val="00A776E4"/>
    <w:rsid w:val="00A77829"/>
    <w:rsid w:val="00A77833"/>
    <w:rsid w:val="00A77852"/>
    <w:rsid w:val="00A77EBE"/>
    <w:rsid w:val="00A77F44"/>
    <w:rsid w:val="00A80039"/>
    <w:rsid w:val="00A800B7"/>
    <w:rsid w:val="00A801FB"/>
    <w:rsid w:val="00A8023B"/>
    <w:rsid w:val="00A80269"/>
    <w:rsid w:val="00A80470"/>
    <w:rsid w:val="00A805BC"/>
    <w:rsid w:val="00A805F7"/>
    <w:rsid w:val="00A80670"/>
    <w:rsid w:val="00A80686"/>
    <w:rsid w:val="00A8068A"/>
    <w:rsid w:val="00A80694"/>
    <w:rsid w:val="00A806FE"/>
    <w:rsid w:val="00A808B4"/>
    <w:rsid w:val="00A80936"/>
    <w:rsid w:val="00A8095D"/>
    <w:rsid w:val="00A8096D"/>
    <w:rsid w:val="00A80A6E"/>
    <w:rsid w:val="00A80A95"/>
    <w:rsid w:val="00A80B60"/>
    <w:rsid w:val="00A80B67"/>
    <w:rsid w:val="00A80C7E"/>
    <w:rsid w:val="00A80D11"/>
    <w:rsid w:val="00A80DB6"/>
    <w:rsid w:val="00A810D5"/>
    <w:rsid w:val="00A81167"/>
    <w:rsid w:val="00A812A7"/>
    <w:rsid w:val="00A81407"/>
    <w:rsid w:val="00A814B5"/>
    <w:rsid w:val="00A8173D"/>
    <w:rsid w:val="00A8181E"/>
    <w:rsid w:val="00A819E8"/>
    <w:rsid w:val="00A81A26"/>
    <w:rsid w:val="00A81AA7"/>
    <w:rsid w:val="00A81B17"/>
    <w:rsid w:val="00A81B4A"/>
    <w:rsid w:val="00A81CB9"/>
    <w:rsid w:val="00A81FFF"/>
    <w:rsid w:val="00A8203D"/>
    <w:rsid w:val="00A82271"/>
    <w:rsid w:val="00A82287"/>
    <w:rsid w:val="00A822F2"/>
    <w:rsid w:val="00A8238B"/>
    <w:rsid w:val="00A823BE"/>
    <w:rsid w:val="00A8253A"/>
    <w:rsid w:val="00A82564"/>
    <w:rsid w:val="00A82566"/>
    <w:rsid w:val="00A82701"/>
    <w:rsid w:val="00A8274A"/>
    <w:rsid w:val="00A82807"/>
    <w:rsid w:val="00A82967"/>
    <w:rsid w:val="00A829E1"/>
    <w:rsid w:val="00A82A1A"/>
    <w:rsid w:val="00A82D6A"/>
    <w:rsid w:val="00A82E08"/>
    <w:rsid w:val="00A82E3A"/>
    <w:rsid w:val="00A830A0"/>
    <w:rsid w:val="00A83101"/>
    <w:rsid w:val="00A83232"/>
    <w:rsid w:val="00A8328F"/>
    <w:rsid w:val="00A832CE"/>
    <w:rsid w:val="00A832D9"/>
    <w:rsid w:val="00A834C9"/>
    <w:rsid w:val="00A83559"/>
    <w:rsid w:val="00A835F1"/>
    <w:rsid w:val="00A836D0"/>
    <w:rsid w:val="00A83779"/>
    <w:rsid w:val="00A837CF"/>
    <w:rsid w:val="00A83882"/>
    <w:rsid w:val="00A83884"/>
    <w:rsid w:val="00A83889"/>
    <w:rsid w:val="00A838BD"/>
    <w:rsid w:val="00A83919"/>
    <w:rsid w:val="00A8399F"/>
    <w:rsid w:val="00A839E0"/>
    <w:rsid w:val="00A83A2A"/>
    <w:rsid w:val="00A83B29"/>
    <w:rsid w:val="00A83BAA"/>
    <w:rsid w:val="00A83C50"/>
    <w:rsid w:val="00A83DDF"/>
    <w:rsid w:val="00A83E2E"/>
    <w:rsid w:val="00A83E71"/>
    <w:rsid w:val="00A83ECD"/>
    <w:rsid w:val="00A83ED6"/>
    <w:rsid w:val="00A83EE6"/>
    <w:rsid w:val="00A8400A"/>
    <w:rsid w:val="00A840B0"/>
    <w:rsid w:val="00A840B3"/>
    <w:rsid w:val="00A840B9"/>
    <w:rsid w:val="00A840DB"/>
    <w:rsid w:val="00A84134"/>
    <w:rsid w:val="00A84311"/>
    <w:rsid w:val="00A84475"/>
    <w:rsid w:val="00A844CE"/>
    <w:rsid w:val="00A8464D"/>
    <w:rsid w:val="00A8477F"/>
    <w:rsid w:val="00A8496E"/>
    <w:rsid w:val="00A849AE"/>
    <w:rsid w:val="00A84A43"/>
    <w:rsid w:val="00A84AC4"/>
    <w:rsid w:val="00A84B04"/>
    <w:rsid w:val="00A84B79"/>
    <w:rsid w:val="00A84BDA"/>
    <w:rsid w:val="00A84C00"/>
    <w:rsid w:val="00A84CBA"/>
    <w:rsid w:val="00A84CE7"/>
    <w:rsid w:val="00A84CEA"/>
    <w:rsid w:val="00A854BA"/>
    <w:rsid w:val="00A85588"/>
    <w:rsid w:val="00A85792"/>
    <w:rsid w:val="00A857A0"/>
    <w:rsid w:val="00A857FD"/>
    <w:rsid w:val="00A85ABA"/>
    <w:rsid w:val="00A85DA0"/>
    <w:rsid w:val="00A85EE5"/>
    <w:rsid w:val="00A85F09"/>
    <w:rsid w:val="00A8605C"/>
    <w:rsid w:val="00A86090"/>
    <w:rsid w:val="00A860A5"/>
    <w:rsid w:val="00A86272"/>
    <w:rsid w:val="00A862AD"/>
    <w:rsid w:val="00A86320"/>
    <w:rsid w:val="00A8646E"/>
    <w:rsid w:val="00A8657C"/>
    <w:rsid w:val="00A86765"/>
    <w:rsid w:val="00A868B9"/>
    <w:rsid w:val="00A868E1"/>
    <w:rsid w:val="00A86941"/>
    <w:rsid w:val="00A86AA2"/>
    <w:rsid w:val="00A86BBF"/>
    <w:rsid w:val="00A86BFC"/>
    <w:rsid w:val="00A86D9E"/>
    <w:rsid w:val="00A86DE4"/>
    <w:rsid w:val="00A86F57"/>
    <w:rsid w:val="00A86F59"/>
    <w:rsid w:val="00A86F85"/>
    <w:rsid w:val="00A86F8E"/>
    <w:rsid w:val="00A8724C"/>
    <w:rsid w:val="00A87278"/>
    <w:rsid w:val="00A872B7"/>
    <w:rsid w:val="00A87395"/>
    <w:rsid w:val="00A87442"/>
    <w:rsid w:val="00A874E8"/>
    <w:rsid w:val="00A8756F"/>
    <w:rsid w:val="00A876E9"/>
    <w:rsid w:val="00A87785"/>
    <w:rsid w:val="00A879EF"/>
    <w:rsid w:val="00A87A5B"/>
    <w:rsid w:val="00A87B47"/>
    <w:rsid w:val="00A87DDC"/>
    <w:rsid w:val="00A87F39"/>
    <w:rsid w:val="00A900FF"/>
    <w:rsid w:val="00A901B6"/>
    <w:rsid w:val="00A90227"/>
    <w:rsid w:val="00A90245"/>
    <w:rsid w:val="00A90252"/>
    <w:rsid w:val="00A90263"/>
    <w:rsid w:val="00A902E7"/>
    <w:rsid w:val="00A90377"/>
    <w:rsid w:val="00A9039B"/>
    <w:rsid w:val="00A90583"/>
    <w:rsid w:val="00A90B49"/>
    <w:rsid w:val="00A90C86"/>
    <w:rsid w:val="00A90C88"/>
    <w:rsid w:val="00A90C9B"/>
    <w:rsid w:val="00A90CC1"/>
    <w:rsid w:val="00A90FB6"/>
    <w:rsid w:val="00A90FCC"/>
    <w:rsid w:val="00A910F4"/>
    <w:rsid w:val="00A9113B"/>
    <w:rsid w:val="00A91169"/>
    <w:rsid w:val="00A91199"/>
    <w:rsid w:val="00A91254"/>
    <w:rsid w:val="00A91330"/>
    <w:rsid w:val="00A9139C"/>
    <w:rsid w:val="00A91901"/>
    <w:rsid w:val="00A919A6"/>
    <w:rsid w:val="00A91AF3"/>
    <w:rsid w:val="00A91C14"/>
    <w:rsid w:val="00A91D0C"/>
    <w:rsid w:val="00A91D27"/>
    <w:rsid w:val="00A91DB2"/>
    <w:rsid w:val="00A91E72"/>
    <w:rsid w:val="00A91E8B"/>
    <w:rsid w:val="00A91F3A"/>
    <w:rsid w:val="00A91FE7"/>
    <w:rsid w:val="00A92171"/>
    <w:rsid w:val="00A922AF"/>
    <w:rsid w:val="00A92393"/>
    <w:rsid w:val="00A92428"/>
    <w:rsid w:val="00A92707"/>
    <w:rsid w:val="00A92839"/>
    <w:rsid w:val="00A92A40"/>
    <w:rsid w:val="00A92D11"/>
    <w:rsid w:val="00A92E86"/>
    <w:rsid w:val="00A92ED3"/>
    <w:rsid w:val="00A92FB0"/>
    <w:rsid w:val="00A930F5"/>
    <w:rsid w:val="00A93219"/>
    <w:rsid w:val="00A93323"/>
    <w:rsid w:val="00A934CE"/>
    <w:rsid w:val="00A93B37"/>
    <w:rsid w:val="00A93CA0"/>
    <w:rsid w:val="00A93D5E"/>
    <w:rsid w:val="00A93E10"/>
    <w:rsid w:val="00A93EA4"/>
    <w:rsid w:val="00A93FA4"/>
    <w:rsid w:val="00A9402C"/>
    <w:rsid w:val="00A9419E"/>
    <w:rsid w:val="00A941BB"/>
    <w:rsid w:val="00A94206"/>
    <w:rsid w:val="00A942BA"/>
    <w:rsid w:val="00A94383"/>
    <w:rsid w:val="00A9470D"/>
    <w:rsid w:val="00A94768"/>
    <w:rsid w:val="00A947A6"/>
    <w:rsid w:val="00A947EB"/>
    <w:rsid w:val="00A9482D"/>
    <w:rsid w:val="00A949C3"/>
    <w:rsid w:val="00A94A8E"/>
    <w:rsid w:val="00A94C16"/>
    <w:rsid w:val="00A94DCC"/>
    <w:rsid w:val="00A94E4A"/>
    <w:rsid w:val="00A94E81"/>
    <w:rsid w:val="00A9534A"/>
    <w:rsid w:val="00A9550E"/>
    <w:rsid w:val="00A95538"/>
    <w:rsid w:val="00A955A2"/>
    <w:rsid w:val="00A955DE"/>
    <w:rsid w:val="00A95616"/>
    <w:rsid w:val="00A9572F"/>
    <w:rsid w:val="00A9578A"/>
    <w:rsid w:val="00A95844"/>
    <w:rsid w:val="00A958B4"/>
    <w:rsid w:val="00A95B13"/>
    <w:rsid w:val="00A95C3E"/>
    <w:rsid w:val="00A95C61"/>
    <w:rsid w:val="00A95D04"/>
    <w:rsid w:val="00A95D38"/>
    <w:rsid w:val="00A95D3C"/>
    <w:rsid w:val="00A95EB5"/>
    <w:rsid w:val="00A95F23"/>
    <w:rsid w:val="00A96185"/>
    <w:rsid w:val="00A96245"/>
    <w:rsid w:val="00A96461"/>
    <w:rsid w:val="00A96604"/>
    <w:rsid w:val="00A96607"/>
    <w:rsid w:val="00A96A69"/>
    <w:rsid w:val="00A96AD0"/>
    <w:rsid w:val="00A96B61"/>
    <w:rsid w:val="00A96D7F"/>
    <w:rsid w:val="00A96DE1"/>
    <w:rsid w:val="00A96EC0"/>
    <w:rsid w:val="00A96FDB"/>
    <w:rsid w:val="00A971A7"/>
    <w:rsid w:val="00A972BC"/>
    <w:rsid w:val="00A972ED"/>
    <w:rsid w:val="00A97408"/>
    <w:rsid w:val="00A97490"/>
    <w:rsid w:val="00A97597"/>
    <w:rsid w:val="00A9773B"/>
    <w:rsid w:val="00A9782C"/>
    <w:rsid w:val="00A97869"/>
    <w:rsid w:val="00A978C8"/>
    <w:rsid w:val="00A979F1"/>
    <w:rsid w:val="00A97A68"/>
    <w:rsid w:val="00A97A74"/>
    <w:rsid w:val="00A97B22"/>
    <w:rsid w:val="00A97BA2"/>
    <w:rsid w:val="00A97C65"/>
    <w:rsid w:val="00A97DC4"/>
    <w:rsid w:val="00A97ED2"/>
    <w:rsid w:val="00A97F82"/>
    <w:rsid w:val="00AA0055"/>
    <w:rsid w:val="00AA0239"/>
    <w:rsid w:val="00AA0334"/>
    <w:rsid w:val="00AA0395"/>
    <w:rsid w:val="00AA0659"/>
    <w:rsid w:val="00AA06E7"/>
    <w:rsid w:val="00AA07F2"/>
    <w:rsid w:val="00AA091A"/>
    <w:rsid w:val="00AA0955"/>
    <w:rsid w:val="00AA0AC7"/>
    <w:rsid w:val="00AA0AC8"/>
    <w:rsid w:val="00AA0B8C"/>
    <w:rsid w:val="00AA0B93"/>
    <w:rsid w:val="00AA0C5D"/>
    <w:rsid w:val="00AA0C74"/>
    <w:rsid w:val="00AA0D74"/>
    <w:rsid w:val="00AA0DA2"/>
    <w:rsid w:val="00AA0E7F"/>
    <w:rsid w:val="00AA0F9F"/>
    <w:rsid w:val="00AA1103"/>
    <w:rsid w:val="00AA12C0"/>
    <w:rsid w:val="00AA12F4"/>
    <w:rsid w:val="00AA130C"/>
    <w:rsid w:val="00AA1528"/>
    <w:rsid w:val="00AA1595"/>
    <w:rsid w:val="00AA15C8"/>
    <w:rsid w:val="00AA16A5"/>
    <w:rsid w:val="00AA17C4"/>
    <w:rsid w:val="00AA1853"/>
    <w:rsid w:val="00AA1A03"/>
    <w:rsid w:val="00AA1B11"/>
    <w:rsid w:val="00AA1B43"/>
    <w:rsid w:val="00AA1C91"/>
    <w:rsid w:val="00AA1CF8"/>
    <w:rsid w:val="00AA1E40"/>
    <w:rsid w:val="00AA1E61"/>
    <w:rsid w:val="00AA1F2E"/>
    <w:rsid w:val="00AA1FF8"/>
    <w:rsid w:val="00AA206B"/>
    <w:rsid w:val="00AA2106"/>
    <w:rsid w:val="00AA211E"/>
    <w:rsid w:val="00AA2441"/>
    <w:rsid w:val="00AA245F"/>
    <w:rsid w:val="00AA256B"/>
    <w:rsid w:val="00AA2651"/>
    <w:rsid w:val="00AA2769"/>
    <w:rsid w:val="00AA277D"/>
    <w:rsid w:val="00AA28A8"/>
    <w:rsid w:val="00AA28B8"/>
    <w:rsid w:val="00AA2914"/>
    <w:rsid w:val="00AA2A70"/>
    <w:rsid w:val="00AA2BA0"/>
    <w:rsid w:val="00AA2BE2"/>
    <w:rsid w:val="00AA2CD3"/>
    <w:rsid w:val="00AA2CF3"/>
    <w:rsid w:val="00AA2D78"/>
    <w:rsid w:val="00AA2DB7"/>
    <w:rsid w:val="00AA2E39"/>
    <w:rsid w:val="00AA2E61"/>
    <w:rsid w:val="00AA2F13"/>
    <w:rsid w:val="00AA2FB4"/>
    <w:rsid w:val="00AA2FC1"/>
    <w:rsid w:val="00AA3097"/>
    <w:rsid w:val="00AA314B"/>
    <w:rsid w:val="00AA31C6"/>
    <w:rsid w:val="00AA3493"/>
    <w:rsid w:val="00AA358D"/>
    <w:rsid w:val="00AA3A28"/>
    <w:rsid w:val="00AA3A5C"/>
    <w:rsid w:val="00AA3ADF"/>
    <w:rsid w:val="00AA3B92"/>
    <w:rsid w:val="00AA3C55"/>
    <w:rsid w:val="00AA3D33"/>
    <w:rsid w:val="00AA3F12"/>
    <w:rsid w:val="00AA43D8"/>
    <w:rsid w:val="00AA442B"/>
    <w:rsid w:val="00AA449A"/>
    <w:rsid w:val="00AA44D7"/>
    <w:rsid w:val="00AA4515"/>
    <w:rsid w:val="00AA453C"/>
    <w:rsid w:val="00AA4AF7"/>
    <w:rsid w:val="00AA4B3A"/>
    <w:rsid w:val="00AA4B8D"/>
    <w:rsid w:val="00AA4BB2"/>
    <w:rsid w:val="00AA4D36"/>
    <w:rsid w:val="00AA4F11"/>
    <w:rsid w:val="00AA4F29"/>
    <w:rsid w:val="00AA501E"/>
    <w:rsid w:val="00AA503A"/>
    <w:rsid w:val="00AA5181"/>
    <w:rsid w:val="00AA52A6"/>
    <w:rsid w:val="00AA52F9"/>
    <w:rsid w:val="00AA534C"/>
    <w:rsid w:val="00AA57CB"/>
    <w:rsid w:val="00AA57E3"/>
    <w:rsid w:val="00AA580C"/>
    <w:rsid w:val="00AA592A"/>
    <w:rsid w:val="00AA5B6B"/>
    <w:rsid w:val="00AA5B70"/>
    <w:rsid w:val="00AA5B88"/>
    <w:rsid w:val="00AA5BB5"/>
    <w:rsid w:val="00AA5CE0"/>
    <w:rsid w:val="00AA5DCE"/>
    <w:rsid w:val="00AA5E72"/>
    <w:rsid w:val="00AA5FB0"/>
    <w:rsid w:val="00AA617E"/>
    <w:rsid w:val="00AA621A"/>
    <w:rsid w:val="00AA6340"/>
    <w:rsid w:val="00AA6349"/>
    <w:rsid w:val="00AA63B5"/>
    <w:rsid w:val="00AA6420"/>
    <w:rsid w:val="00AA654E"/>
    <w:rsid w:val="00AA65BB"/>
    <w:rsid w:val="00AA662D"/>
    <w:rsid w:val="00AA6712"/>
    <w:rsid w:val="00AA693D"/>
    <w:rsid w:val="00AA699C"/>
    <w:rsid w:val="00AA6A40"/>
    <w:rsid w:val="00AA6B67"/>
    <w:rsid w:val="00AA6CD8"/>
    <w:rsid w:val="00AA6E13"/>
    <w:rsid w:val="00AA6F52"/>
    <w:rsid w:val="00AA702F"/>
    <w:rsid w:val="00AA70FB"/>
    <w:rsid w:val="00AA7199"/>
    <w:rsid w:val="00AA721B"/>
    <w:rsid w:val="00AA755C"/>
    <w:rsid w:val="00AA7628"/>
    <w:rsid w:val="00AA7657"/>
    <w:rsid w:val="00AA77C2"/>
    <w:rsid w:val="00AA7833"/>
    <w:rsid w:val="00AA79EA"/>
    <w:rsid w:val="00AA7AE7"/>
    <w:rsid w:val="00AA7BC4"/>
    <w:rsid w:val="00AA7DEA"/>
    <w:rsid w:val="00AA7F2B"/>
    <w:rsid w:val="00AA7F34"/>
    <w:rsid w:val="00AB009D"/>
    <w:rsid w:val="00AB00AC"/>
    <w:rsid w:val="00AB0194"/>
    <w:rsid w:val="00AB02A5"/>
    <w:rsid w:val="00AB02E1"/>
    <w:rsid w:val="00AB033A"/>
    <w:rsid w:val="00AB0438"/>
    <w:rsid w:val="00AB04FF"/>
    <w:rsid w:val="00AB05FA"/>
    <w:rsid w:val="00AB06D7"/>
    <w:rsid w:val="00AB07E8"/>
    <w:rsid w:val="00AB07EB"/>
    <w:rsid w:val="00AB09AF"/>
    <w:rsid w:val="00AB0AC8"/>
    <w:rsid w:val="00AB0BDB"/>
    <w:rsid w:val="00AB0D2D"/>
    <w:rsid w:val="00AB100D"/>
    <w:rsid w:val="00AB115C"/>
    <w:rsid w:val="00AB1170"/>
    <w:rsid w:val="00AB11C5"/>
    <w:rsid w:val="00AB1226"/>
    <w:rsid w:val="00AB133B"/>
    <w:rsid w:val="00AB13E1"/>
    <w:rsid w:val="00AB14E6"/>
    <w:rsid w:val="00AB16BF"/>
    <w:rsid w:val="00AB17A8"/>
    <w:rsid w:val="00AB19B9"/>
    <w:rsid w:val="00AB1B1B"/>
    <w:rsid w:val="00AB1B81"/>
    <w:rsid w:val="00AB1B90"/>
    <w:rsid w:val="00AB1CB1"/>
    <w:rsid w:val="00AB1CF8"/>
    <w:rsid w:val="00AB1D79"/>
    <w:rsid w:val="00AB1D85"/>
    <w:rsid w:val="00AB1E0A"/>
    <w:rsid w:val="00AB1E2D"/>
    <w:rsid w:val="00AB1F70"/>
    <w:rsid w:val="00AB206F"/>
    <w:rsid w:val="00AB2195"/>
    <w:rsid w:val="00AB220A"/>
    <w:rsid w:val="00AB2292"/>
    <w:rsid w:val="00AB22BA"/>
    <w:rsid w:val="00AB235F"/>
    <w:rsid w:val="00AB2416"/>
    <w:rsid w:val="00AB25BB"/>
    <w:rsid w:val="00AB25DF"/>
    <w:rsid w:val="00AB26C8"/>
    <w:rsid w:val="00AB27CF"/>
    <w:rsid w:val="00AB2832"/>
    <w:rsid w:val="00AB28AB"/>
    <w:rsid w:val="00AB2A59"/>
    <w:rsid w:val="00AB2AC1"/>
    <w:rsid w:val="00AB2B7E"/>
    <w:rsid w:val="00AB2B80"/>
    <w:rsid w:val="00AB2D20"/>
    <w:rsid w:val="00AB306B"/>
    <w:rsid w:val="00AB31EC"/>
    <w:rsid w:val="00AB32AB"/>
    <w:rsid w:val="00AB34AB"/>
    <w:rsid w:val="00AB34C3"/>
    <w:rsid w:val="00AB34CE"/>
    <w:rsid w:val="00AB365D"/>
    <w:rsid w:val="00AB3672"/>
    <w:rsid w:val="00AB36C3"/>
    <w:rsid w:val="00AB37C6"/>
    <w:rsid w:val="00AB3858"/>
    <w:rsid w:val="00AB3870"/>
    <w:rsid w:val="00AB3B49"/>
    <w:rsid w:val="00AB3D77"/>
    <w:rsid w:val="00AB3DB3"/>
    <w:rsid w:val="00AB3ED3"/>
    <w:rsid w:val="00AB3EDB"/>
    <w:rsid w:val="00AB4057"/>
    <w:rsid w:val="00AB408A"/>
    <w:rsid w:val="00AB40B6"/>
    <w:rsid w:val="00AB415F"/>
    <w:rsid w:val="00AB41D7"/>
    <w:rsid w:val="00AB432A"/>
    <w:rsid w:val="00AB4343"/>
    <w:rsid w:val="00AB4493"/>
    <w:rsid w:val="00AB45FC"/>
    <w:rsid w:val="00AB46DA"/>
    <w:rsid w:val="00AB479E"/>
    <w:rsid w:val="00AB498E"/>
    <w:rsid w:val="00AB4A3D"/>
    <w:rsid w:val="00AB4AD6"/>
    <w:rsid w:val="00AB4B9E"/>
    <w:rsid w:val="00AB4BA4"/>
    <w:rsid w:val="00AB4CCA"/>
    <w:rsid w:val="00AB4E75"/>
    <w:rsid w:val="00AB4E7B"/>
    <w:rsid w:val="00AB4F58"/>
    <w:rsid w:val="00AB5060"/>
    <w:rsid w:val="00AB5107"/>
    <w:rsid w:val="00AB510B"/>
    <w:rsid w:val="00AB5269"/>
    <w:rsid w:val="00AB529A"/>
    <w:rsid w:val="00AB52B6"/>
    <w:rsid w:val="00AB543C"/>
    <w:rsid w:val="00AB55DF"/>
    <w:rsid w:val="00AB5801"/>
    <w:rsid w:val="00AB5944"/>
    <w:rsid w:val="00AB594B"/>
    <w:rsid w:val="00AB5A05"/>
    <w:rsid w:val="00AB5A0D"/>
    <w:rsid w:val="00AB5AE7"/>
    <w:rsid w:val="00AB5B31"/>
    <w:rsid w:val="00AB5BA1"/>
    <w:rsid w:val="00AB5C79"/>
    <w:rsid w:val="00AB5CA8"/>
    <w:rsid w:val="00AB5CB9"/>
    <w:rsid w:val="00AB5CC6"/>
    <w:rsid w:val="00AB5CDC"/>
    <w:rsid w:val="00AB5D85"/>
    <w:rsid w:val="00AB5DA1"/>
    <w:rsid w:val="00AB5F5C"/>
    <w:rsid w:val="00AB5F9C"/>
    <w:rsid w:val="00AB6076"/>
    <w:rsid w:val="00AB60AA"/>
    <w:rsid w:val="00AB610C"/>
    <w:rsid w:val="00AB6208"/>
    <w:rsid w:val="00AB6218"/>
    <w:rsid w:val="00AB6221"/>
    <w:rsid w:val="00AB625F"/>
    <w:rsid w:val="00AB6282"/>
    <w:rsid w:val="00AB62A6"/>
    <w:rsid w:val="00AB6372"/>
    <w:rsid w:val="00AB6469"/>
    <w:rsid w:val="00AB6527"/>
    <w:rsid w:val="00AB65D7"/>
    <w:rsid w:val="00AB67FF"/>
    <w:rsid w:val="00AB68CB"/>
    <w:rsid w:val="00AB6B6D"/>
    <w:rsid w:val="00AB6BC3"/>
    <w:rsid w:val="00AB6E64"/>
    <w:rsid w:val="00AB7143"/>
    <w:rsid w:val="00AB71C4"/>
    <w:rsid w:val="00AB75B9"/>
    <w:rsid w:val="00AB7604"/>
    <w:rsid w:val="00AB768D"/>
    <w:rsid w:val="00AB76D8"/>
    <w:rsid w:val="00AB7824"/>
    <w:rsid w:val="00AB79F7"/>
    <w:rsid w:val="00AB7A0F"/>
    <w:rsid w:val="00AB7E12"/>
    <w:rsid w:val="00AC0019"/>
    <w:rsid w:val="00AC005D"/>
    <w:rsid w:val="00AC0070"/>
    <w:rsid w:val="00AC0177"/>
    <w:rsid w:val="00AC01ED"/>
    <w:rsid w:val="00AC0257"/>
    <w:rsid w:val="00AC02C7"/>
    <w:rsid w:val="00AC0300"/>
    <w:rsid w:val="00AC0428"/>
    <w:rsid w:val="00AC0430"/>
    <w:rsid w:val="00AC0818"/>
    <w:rsid w:val="00AC0A1D"/>
    <w:rsid w:val="00AC0AAF"/>
    <w:rsid w:val="00AC0ABF"/>
    <w:rsid w:val="00AC0B2F"/>
    <w:rsid w:val="00AC0B57"/>
    <w:rsid w:val="00AC0B77"/>
    <w:rsid w:val="00AC0C68"/>
    <w:rsid w:val="00AC0D2F"/>
    <w:rsid w:val="00AC0D80"/>
    <w:rsid w:val="00AC0F30"/>
    <w:rsid w:val="00AC1032"/>
    <w:rsid w:val="00AC12BD"/>
    <w:rsid w:val="00AC13F6"/>
    <w:rsid w:val="00AC1682"/>
    <w:rsid w:val="00AC1769"/>
    <w:rsid w:val="00AC17E3"/>
    <w:rsid w:val="00AC1867"/>
    <w:rsid w:val="00AC18C1"/>
    <w:rsid w:val="00AC1941"/>
    <w:rsid w:val="00AC1AAE"/>
    <w:rsid w:val="00AC1BC8"/>
    <w:rsid w:val="00AC1BE5"/>
    <w:rsid w:val="00AC1C4E"/>
    <w:rsid w:val="00AC1D73"/>
    <w:rsid w:val="00AC1EC8"/>
    <w:rsid w:val="00AC1FF9"/>
    <w:rsid w:val="00AC208D"/>
    <w:rsid w:val="00AC2261"/>
    <w:rsid w:val="00AC27DD"/>
    <w:rsid w:val="00AC27FD"/>
    <w:rsid w:val="00AC28AE"/>
    <w:rsid w:val="00AC2A45"/>
    <w:rsid w:val="00AC2A7D"/>
    <w:rsid w:val="00AC2A8F"/>
    <w:rsid w:val="00AC2E90"/>
    <w:rsid w:val="00AC2E9E"/>
    <w:rsid w:val="00AC2F01"/>
    <w:rsid w:val="00AC2F9C"/>
    <w:rsid w:val="00AC300E"/>
    <w:rsid w:val="00AC3017"/>
    <w:rsid w:val="00AC3365"/>
    <w:rsid w:val="00AC3404"/>
    <w:rsid w:val="00AC3507"/>
    <w:rsid w:val="00AC3541"/>
    <w:rsid w:val="00AC3D24"/>
    <w:rsid w:val="00AC3D4D"/>
    <w:rsid w:val="00AC3D4E"/>
    <w:rsid w:val="00AC3D6E"/>
    <w:rsid w:val="00AC3DD1"/>
    <w:rsid w:val="00AC3EEE"/>
    <w:rsid w:val="00AC4142"/>
    <w:rsid w:val="00AC4152"/>
    <w:rsid w:val="00AC41B8"/>
    <w:rsid w:val="00AC42E1"/>
    <w:rsid w:val="00AC42FB"/>
    <w:rsid w:val="00AC43EC"/>
    <w:rsid w:val="00AC444F"/>
    <w:rsid w:val="00AC45CB"/>
    <w:rsid w:val="00AC47B2"/>
    <w:rsid w:val="00AC49FC"/>
    <w:rsid w:val="00AC4BE4"/>
    <w:rsid w:val="00AC4C40"/>
    <w:rsid w:val="00AC4C66"/>
    <w:rsid w:val="00AC4CCB"/>
    <w:rsid w:val="00AC4D55"/>
    <w:rsid w:val="00AC4F8F"/>
    <w:rsid w:val="00AC55A8"/>
    <w:rsid w:val="00AC57C9"/>
    <w:rsid w:val="00AC57F9"/>
    <w:rsid w:val="00AC58C3"/>
    <w:rsid w:val="00AC59D7"/>
    <w:rsid w:val="00AC5AF2"/>
    <w:rsid w:val="00AC5B21"/>
    <w:rsid w:val="00AC5C71"/>
    <w:rsid w:val="00AC5D78"/>
    <w:rsid w:val="00AC5DE1"/>
    <w:rsid w:val="00AC600E"/>
    <w:rsid w:val="00AC6076"/>
    <w:rsid w:val="00AC61B6"/>
    <w:rsid w:val="00AC623C"/>
    <w:rsid w:val="00AC62DA"/>
    <w:rsid w:val="00AC62E4"/>
    <w:rsid w:val="00AC630A"/>
    <w:rsid w:val="00AC6321"/>
    <w:rsid w:val="00AC6362"/>
    <w:rsid w:val="00AC64D6"/>
    <w:rsid w:val="00AC64EA"/>
    <w:rsid w:val="00AC6534"/>
    <w:rsid w:val="00AC6594"/>
    <w:rsid w:val="00AC66CF"/>
    <w:rsid w:val="00AC6739"/>
    <w:rsid w:val="00AC67E9"/>
    <w:rsid w:val="00AC6A1A"/>
    <w:rsid w:val="00AC6A1E"/>
    <w:rsid w:val="00AC6A38"/>
    <w:rsid w:val="00AC6B13"/>
    <w:rsid w:val="00AC6BFA"/>
    <w:rsid w:val="00AC6C40"/>
    <w:rsid w:val="00AC6DB4"/>
    <w:rsid w:val="00AC6E47"/>
    <w:rsid w:val="00AC6EEE"/>
    <w:rsid w:val="00AC6F31"/>
    <w:rsid w:val="00AC6FBE"/>
    <w:rsid w:val="00AC6FEF"/>
    <w:rsid w:val="00AC70DE"/>
    <w:rsid w:val="00AC71B6"/>
    <w:rsid w:val="00AC7371"/>
    <w:rsid w:val="00AC74E5"/>
    <w:rsid w:val="00AC78CE"/>
    <w:rsid w:val="00AC7C63"/>
    <w:rsid w:val="00AC7F06"/>
    <w:rsid w:val="00AC7F96"/>
    <w:rsid w:val="00AC7FBD"/>
    <w:rsid w:val="00AC7FE9"/>
    <w:rsid w:val="00AD0098"/>
    <w:rsid w:val="00AD0123"/>
    <w:rsid w:val="00AD0215"/>
    <w:rsid w:val="00AD02CB"/>
    <w:rsid w:val="00AD035F"/>
    <w:rsid w:val="00AD0458"/>
    <w:rsid w:val="00AD04B1"/>
    <w:rsid w:val="00AD04FB"/>
    <w:rsid w:val="00AD0593"/>
    <w:rsid w:val="00AD09A1"/>
    <w:rsid w:val="00AD0A30"/>
    <w:rsid w:val="00AD0A55"/>
    <w:rsid w:val="00AD0C47"/>
    <w:rsid w:val="00AD0EE1"/>
    <w:rsid w:val="00AD0F3B"/>
    <w:rsid w:val="00AD0F7E"/>
    <w:rsid w:val="00AD1184"/>
    <w:rsid w:val="00AD1244"/>
    <w:rsid w:val="00AD139C"/>
    <w:rsid w:val="00AD13AC"/>
    <w:rsid w:val="00AD1406"/>
    <w:rsid w:val="00AD1483"/>
    <w:rsid w:val="00AD1502"/>
    <w:rsid w:val="00AD162B"/>
    <w:rsid w:val="00AD18B0"/>
    <w:rsid w:val="00AD1A1B"/>
    <w:rsid w:val="00AD1C61"/>
    <w:rsid w:val="00AD1D02"/>
    <w:rsid w:val="00AD1DA6"/>
    <w:rsid w:val="00AD1E7C"/>
    <w:rsid w:val="00AD1E7F"/>
    <w:rsid w:val="00AD21C6"/>
    <w:rsid w:val="00AD2280"/>
    <w:rsid w:val="00AD24D8"/>
    <w:rsid w:val="00AD2510"/>
    <w:rsid w:val="00AD2540"/>
    <w:rsid w:val="00AD259A"/>
    <w:rsid w:val="00AD2646"/>
    <w:rsid w:val="00AD2649"/>
    <w:rsid w:val="00AD265E"/>
    <w:rsid w:val="00AD26C9"/>
    <w:rsid w:val="00AD26F2"/>
    <w:rsid w:val="00AD275F"/>
    <w:rsid w:val="00AD2889"/>
    <w:rsid w:val="00AD2890"/>
    <w:rsid w:val="00AD2A0C"/>
    <w:rsid w:val="00AD2A13"/>
    <w:rsid w:val="00AD2A37"/>
    <w:rsid w:val="00AD2C31"/>
    <w:rsid w:val="00AD2C99"/>
    <w:rsid w:val="00AD2D22"/>
    <w:rsid w:val="00AD2D3C"/>
    <w:rsid w:val="00AD2DE2"/>
    <w:rsid w:val="00AD30BB"/>
    <w:rsid w:val="00AD30DE"/>
    <w:rsid w:val="00AD34BC"/>
    <w:rsid w:val="00AD3518"/>
    <w:rsid w:val="00AD35A0"/>
    <w:rsid w:val="00AD35ED"/>
    <w:rsid w:val="00AD37C0"/>
    <w:rsid w:val="00AD37D6"/>
    <w:rsid w:val="00AD3806"/>
    <w:rsid w:val="00AD3818"/>
    <w:rsid w:val="00AD382C"/>
    <w:rsid w:val="00AD3967"/>
    <w:rsid w:val="00AD39E4"/>
    <w:rsid w:val="00AD3AC5"/>
    <w:rsid w:val="00AD3C48"/>
    <w:rsid w:val="00AD3C8F"/>
    <w:rsid w:val="00AD3CDE"/>
    <w:rsid w:val="00AD3D4B"/>
    <w:rsid w:val="00AD3E64"/>
    <w:rsid w:val="00AD3EDC"/>
    <w:rsid w:val="00AD40A9"/>
    <w:rsid w:val="00AD41D3"/>
    <w:rsid w:val="00AD42A7"/>
    <w:rsid w:val="00AD43D1"/>
    <w:rsid w:val="00AD4668"/>
    <w:rsid w:val="00AD48DD"/>
    <w:rsid w:val="00AD4A3E"/>
    <w:rsid w:val="00AD4EBA"/>
    <w:rsid w:val="00AD4F07"/>
    <w:rsid w:val="00AD5090"/>
    <w:rsid w:val="00AD5129"/>
    <w:rsid w:val="00AD5139"/>
    <w:rsid w:val="00AD519C"/>
    <w:rsid w:val="00AD51DE"/>
    <w:rsid w:val="00AD526B"/>
    <w:rsid w:val="00AD54C4"/>
    <w:rsid w:val="00AD54D5"/>
    <w:rsid w:val="00AD54EE"/>
    <w:rsid w:val="00AD55EA"/>
    <w:rsid w:val="00AD56C1"/>
    <w:rsid w:val="00AD5797"/>
    <w:rsid w:val="00AD5974"/>
    <w:rsid w:val="00AD5AD6"/>
    <w:rsid w:val="00AD5B01"/>
    <w:rsid w:val="00AD5EF5"/>
    <w:rsid w:val="00AD6151"/>
    <w:rsid w:val="00AD628E"/>
    <w:rsid w:val="00AD62AA"/>
    <w:rsid w:val="00AD6322"/>
    <w:rsid w:val="00AD6391"/>
    <w:rsid w:val="00AD63CB"/>
    <w:rsid w:val="00AD65BB"/>
    <w:rsid w:val="00AD6770"/>
    <w:rsid w:val="00AD68BD"/>
    <w:rsid w:val="00AD6A88"/>
    <w:rsid w:val="00AD6ABB"/>
    <w:rsid w:val="00AD6ABF"/>
    <w:rsid w:val="00AD6B7F"/>
    <w:rsid w:val="00AD6C50"/>
    <w:rsid w:val="00AD6D15"/>
    <w:rsid w:val="00AD6D93"/>
    <w:rsid w:val="00AD6DB7"/>
    <w:rsid w:val="00AD6E1E"/>
    <w:rsid w:val="00AD707F"/>
    <w:rsid w:val="00AD7128"/>
    <w:rsid w:val="00AD7189"/>
    <w:rsid w:val="00AD72AF"/>
    <w:rsid w:val="00AD72B4"/>
    <w:rsid w:val="00AD72B6"/>
    <w:rsid w:val="00AD72D6"/>
    <w:rsid w:val="00AD7432"/>
    <w:rsid w:val="00AD770A"/>
    <w:rsid w:val="00AD7787"/>
    <w:rsid w:val="00AD78D3"/>
    <w:rsid w:val="00AD7A12"/>
    <w:rsid w:val="00AD7AD0"/>
    <w:rsid w:val="00AD7BB9"/>
    <w:rsid w:val="00AD7C45"/>
    <w:rsid w:val="00AD7CE9"/>
    <w:rsid w:val="00AD7D92"/>
    <w:rsid w:val="00AD7E1B"/>
    <w:rsid w:val="00AD7E64"/>
    <w:rsid w:val="00AD7F75"/>
    <w:rsid w:val="00AE007B"/>
    <w:rsid w:val="00AE0099"/>
    <w:rsid w:val="00AE0242"/>
    <w:rsid w:val="00AE02A1"/>
    <w:rsid w:val="00AE02D1"/>
    <w:rsid w:val="00AE0338"/>
    <w:rsid w:val="00AE03D1"/>
    <w:rsid w:val="00AE0409"/>
    <w:rsid w:val="00AE04B7"/>
    <w:rsid w:val="00AE04F8"/>
    <w:rsid w:val="00AE0513"/>
    <w:rsid w:val="00AE0541"/>
    <w:rsid w:val="00AE06CA"/>
    <w:rsid w:val="00AE07AD"/>
    <w:rsid w:val="00AE0845"/>
    <w:rsid w:val="00AE0A3A"/>
    <w:rsid w:val="00AE0A90"/>
    <w:rsid w:val="00AE0AF6"/>
    <w:rsid w:val="00AE0C3A"/>
    <w:rsid w:val="00AE0D92"/>
    <w:rsid w:val="00AE0DAA"/>
    <w:rsid w:val="00AE0E16"/>
    <w:rsid w:val="00AE122B"/>
    <w:rsid w:val="00AE1257"/>
    <w:rsid w:val="00AE12EA"/>
    <w:rsid w:val="00AE1363"/>
    <w:rsid w:val="00AE136C"/>
    <w:rsid w:val="00AE1538"/>
    <w:rsid w:val="00AE1740"/>
    <w:rsid w:val="00AE188E"/>
    <w:rsid w:val="00AE1A1D"/>
    <w:rsid w:val="00AE1AFA"/>
    <w:rsid w:val="00AE1B7F"/>
    <w:rsid w:val="00AE1DB3"/>
    <w:rsid w:val="00AE1F0F"/>
    <w:rsid w:val="00AE1F6C"/>
    <w:rsid w:val="00AE2070"/>
    <w:rsid w:val="00AE20D2"/>
    <w:rsid w:val="00AE2237"/>
    <w:rsid w:val="00AE22A9"/>
    <w:rsid w:val="00AE2379"/>
    <w:rsid w:val="00AE23AC"/>
    <w:rsid w:val="00AE2458"/>
    <w:rsid w:val="00AE24BC"/>
    <w:rsid w:val="00AE24C9"/>
    <w:rsid w:val="00AE2511"/>
    <w:rsid w:val="00AE2591"/>
    <w:rsid w:val="00AE25E4"/>
    <w:rsid w:val="00AE26A6"/>
    <w:rsid w:val="00AE26CA"/>
    <w:rsid w:val="00AE27A3"/>
    <w:rsid w:val="00AE2821"/>
    <w:rsid w:val="00AE28CB"/>
    <w:rsid w:val="00AE2957"/>
    <w:rsid w:val="00AE299D"/>
    <w:rsid w:val="00AE2AC9"/>
    <w:rsid w:val="00AE2BF8"/>
    <w:rsid w:val="00AE2CB1"/>
    <w:rsid w:val="00AE2CE4"/>
    <w:rsid w:val="00AE2D58"/>
    <w:rsid w:val="00AE2D63"/>
    <w:rsid w:val="00AE2DB8"/>
    <w:rsid w:val="00AE2DE7"/>
    <w:rsid w:val="00AE2ED6"/>
    <w:rsid w:val="00AE2F6C"/>
    <w:rsid w:val="00AE2F75"/>
    <w:rsid w:val="00AE31B1"/>
    <w:rsid w:val="00AE32F4"/>
    <w:rsid w:val="00AE3380"/>
    <w:rsid w:val="00AE33AB"/>
    <w:rsid w:val="00AE3420"/>
    <w:rsid w:val="00AE34AF"/>
    <w:rsid w:val="00AE34BB"/>
    <w:rsid w:val="00AE352D"/>
    <w:rsid w:val="00AE37B3"/>
    <w:rsid w:val="00AE39D1"/>
    <w:rsid w:val="00AE3AF6"/>
    <w:rsid w:val="00AE3B2F"/>
    <w:rsid w:val="00AE3B7B"/>
    <w:rsid w:val="00AE3EB6"/>
    <w:rsid w:val="00AE3FC2"/>
    <w:rsid w:val="00AE3FDC"/>
    <w:rsid w:val="00AE4040"/>
    <w:rsid w:val="00AE40D1"/>
    <w:rsid w:val="00AE4247"/>
    <w:rsid w:val="00AE4872"/>
    <w:rsid w:val="00AE4882"/>
    <w:rsid w:val="00AE48F7"/>
    <w:rsid w:val="00AE4B0B"/>
    <w:rsid w:val="00AE4B79"/>
    <w:rsid w:val="00AE4C8C"/>
    <w:rsid w:val="00AE4D34"/>
    <w:rsid w:val="00AE4DC6"/>
    <w:rsid w:val="00AE4E1F"/>
    <w:rsid w:val="00AE5107"/>
    <w:rsid w:val="00AE53FE"/>
    <w:rsid w:val="00AE5447"/>
    <w:rsid w:val="00AE5514"/>
    <w:rsid w:val="00AE5693"/>
    <w:rsid w:val="00AE5900"/>
    <w:rsid w:val="00AE59F4"/>
    <w:rsid w:val="00AE5B99"/>
    <w:rsid w:val="00AE5CC5"/>
    <w:rsid w:val="00AE5D23"/>
    <w:rsid w:val="00AE5E8D"/>
    <w:rsid w:val="00AE5F1F"/>
    <w:rsid w:val="00AE6087"/>
    <w:rsid w:val="00AE60FA"/>
    <w:rsid w:val="00AE61A6"/>
    <w:rsid w:val="00AE61B3"/>
    <w:rsid w:val="00AE61B9"/>
    <w:rsid w:val="00AE64A1"/>
    <w:rsid w:val="00AE6835"/>
    <w:rsid w:val="00AE69EA"/>
    <w:rsid w:val="00AE6A41"/>
    <w:rsid w:val="00AE6AFA"/>
    <w:rsid w:val="00AE6B32"/>
    <w:rsid w:val="00AE6BA2"/>
    <w:rsid w:val="00AE6D85"/>
    <w:rsid w:val="00AE702B"/>
    <w:rsid w:val="00AE708A"/>
    <w:rsid w:val="00AE71FE"/>
    <w:rsid w:val="00AE7283"/>
    <w:rsid w:val="00AE74B3"/>
    <w:rsid w:val="00AE76C5"/>
    <w:rsid w:val="00AE76E6"/>
    <w:rsid w:val="00AE7789"/>
    <w:rsid w:val="00AE778A"/>
    <w:rsid w:val="00AE77AE"/>
    <w:rsid w:val="00AE77C8"/>
    <w:rsid w:val="00AE77D2"/>
    <w:rsid w:val="00AE7997"/>
    <w:rsid w:val="00AE7ACD"/>
    <w:rsid w:val="00AE7AD6"/>
    <w:rsid w:val="00AE7B18"/>
    <w:rsid w:val="00AE7B6F"/>
    <w:rsid w:val="00AE7C80"/>
    <w:rsid w:val="00AE7D35"/>
    <w:rsid w:val="00AE7DDA"/>
    <w:rsid w:val="00AE7E4B"/>
    <w:rsid w:val="00AE7EB4"/>
    <w:rsid w:val="00AE7EE7"/>
    <w:rsid w:val="00AE7EF7"/>
    <w:rsid w:val="00AE7F2B"/>
    <w:rsid w:val="00AE7FC0"/>
    <w:rsid w:val="00AF00E6"/>
    <w:rsid w:val="00AF0207"/>
    <w:rsid w:val="00AF02D2"/>
    <w:rsid w:val="00AF03AE"/>
    <w:rsid w:val="00AF045C"/>
    <w:rsid w:val="00AF05E1"/>
    <w:rsid w:val="00AF05F0"/>
    <w:rsid w:val="00AF0686"/>
    <w:rsid w:val="00AF06C2"/>
    <w:rsid w:val="00AF083C"/>
    <w:rsid w:val="00AF09B2"/>
    <w:rsid w:val="00AF0A43"/>
    <w:rsid w:val="00AF0A84"/>
    <w:rsid w:val="00AF0B64"/>
    <w:rsid w:val="00AF0D02"/>
    <w:rsid w:val="00AF0D21"/>
    <w:rsid w:val="00AF0D41"/>
    <w:rsid w:val="00AF0D75"/>
    <w:rsid w:val="00AF0E3A"/>
    <w:rsid w:val="00AF0E74"/>
    <w:rsid w:val="00AF1017"/>
    <w:rsid w:val="00AF1090"/>
    <w:rsid w:val="00AF1330"/>
    <w:rsid w:val="00AF14E6"/>
    <w:rsid w:val="00AF15A8"/>
    <w:rsid w:val="00AF1779"/>
    <w:rsid w:val="00AF1857"/>
    <w:rsid w:val="00AF19C4"/>
    <w:rsid w:val="00AF19D5"/>
    <w:rsid w:val="00AF19DB"/>
    <w:rsid w:val="00AF1AC5"/>
    <w:rsid w:val="00AF1B42"/>
    <w:rsid w:val="00AF1C21"/>
    <w:rsid w:val="00AF1C92"/>
    <w:rsid w:val="00AF1DE5"/>
    <w:rsid w:val="00AF1DF4"/>
    <w:rsid w:val="00AF1E33"/>
    <w:rsid w:val="00AF1E6E"/>
    <w:rsid w:val="00AF1EAF"/>
    <w:rsid w:val="00AF226E"/>
    <w:rsid w:val="00AF230F"/>
    <w:rsid w:val="00AF24AE"/>
    <w:rsid w:val="00AF256C"/>
    <w:rsid w:val="00AF27C1"/>
    <w:rsid w:val="00AF28ED"/>
    <w:rsid w:val="00AF299E"/>
    <w:rsid w:val="00AF29D2"/>
    <w:rsid w:val="00AF29FD"/>
    <w:rsid w:val="00AF2B12"/>
    <w:rsid w:val="00AF2B5D"/>
    <w:rsid w:val="00AF2C1D"/>
    <w:rsid w:val="00AF2D3F"/>
    <w:rsid w:val="00AF2D41"/>
    <w:rsid w:val="00AF2E48"/>
    <w:rsid w:val="00AF2ED7"/>
    <w:rsid w:val="00AF30C0"/>
    <w:rsid w:val="00AF32D8"/>
    <w:rsid w:val="00AF33B2"/>
    <w:rsid w:val="00AF34B6"/>
    <w:rsid w:val="00AF3513"/>
    <w:rsid w:val="00AF3619"/>
    <w:rsid w:val="00AF3625"/>
    <w:rsid w:val="00AF367A"/>
    <w:rsid w:val="00AF3693"/>
    <w:rsid w:val="00AF36B7"/>
    <w:rsid w:val="00AF3715"/>
    <w:rsid w:val="00AF3774"/>
    <w:rsid w:val="00AF3783"/>
    <w:rsid w:val="00AF3830"/>
    <w:rsid w:val="00AF383C"/>
    <w:rsid w:val="00AF3A75"/>
    <w:rsid w:val="00AF3A86"/>
    <w:rsid w:val="00AF3B33"/>
    <w:rsid w:val="00AF3B6F"/>
    <w:rsid w:val="00AF3BBC"/>
    <w:rsid w:val="00AF3BBF"/>
    <w:rsid w:val="00AF3E0E"/>
    <w:rsid w:val="00AF3EDB"/>
    <w:rsid w:val="00AF3F13"/>
    <w:rsid w:val="00AF3F49"/>
    <w:rsid w:val="00AF4264"/>
    <w:rsid w:val="00AF426C"/>
    <w:rsid w:val="00AF44D9"/>
    <w:rsid w:val="00AF4650"/>
    <w:rsid w:val="00AF4676"/>
    <w:rsid w:val="00AF46AF"/>
    <w:rsid w:val="00AF4845"/>
    <w:rsid w:val="00AF4984"/>
    <w:rsid w:val="00AF49A1"/>
    <w:rsid w:val="00AF4A4C"/>
    <w:rsid w:val="00AF4E19"/>
    <w:rsid w:val="00AF4E9D"/>
    <w:rsid w:val="00AF4EAD"/>
    <w:rsid w:val="00AF517F"/>
    <w:rsid w:val="00AF526B"/>
    <w:rsid w:val="00AF52F7"/>
    <w:rsid w:val="00AF54BC"/>
    <w:rsid w:val="00AF54F4"/>
    <w:rsid w:val="00AF55E2"/>
    <w:rsid w:val="00AF560D"/>
    <w:rsid w:val="00AF5630"/>
    <w:rsid w:val="00AF57C2"/>
    <w:rsid w:val="00AF585D"/>
    <w:rsid w:val="00AF588D"/>
    <w:rsid w:val="00AF58E4"/>
    <w:rsid w:val="00AF5BDD"/>
    <w:rsid w:val="00AF5C66"/>
    <w:rsid w:val="00AF5E93"/>
    <w:rsid w:val="00AF5EC1"/>
    <w:rsid w:val="00AF60F8"/>
    <w:rsid w:val="00AF615D"/>
    <w:rsid w:val="00AF6232"/>
    <w:rsid w:val="00AF6234"/>
    <w:rsid w:val="00AF6255"/>
    <w:rsid w:val="00AF629F"/>
    <w:rsid w:val="00AF62C4"/>
    <w:rsid w:val="00AF62DE"/>
    <w:rsid w:val="00AF62EE"/>
    <w:rsid w:val="00AF630F"/>
    <w:rsid w:val="00AF63F7"/>
    <w:rsid w:val="00AF6481"/>
    <w:rsid w:val="00AF6743"/>
    <w:rsid w:val="00AF68E1"/>
    <w:rsid w:val="00AF68F1"/>
    <w:rsid w:val="00AF6941"/>
    <w:rsid w:val="00AF6A68"/>
    <w:rsid w:val="00AF6DAF"/>
    <w:rsid w:val="00AF6DC4"/>
    <w:rsid w:val="00AF6E14"/>
    <w:rsid w:val="00AF6FF4"/>
    <w:rsid w:val="00AF7095"/>
    <w:rsid w:val="00AF712F"/>
    <w:rsid w:val="00AF71A3"/>
    <w:rsid w:val="00AF71C5"/>
    <w:rsid w:val="00AF71ED"/>
    <w:rsid w:val="00AF7320"/>
    <w:rsid w:val="00AF7335"/>
    <w:rsid w:val="00AF7469"/>
    <w:rsid w:val="00AF75C9"/>
    <w:rsid w:val="00AF7620"/>
    <w:rsid w:val="00AF7678"/>
    <w:rsid w:val="00AF76E8"/>
    <w:rsid w:val="00AF77C4"/>
    <w:rsid w:val="00AF792D"/>
    <w:rsid w:val="00AF7A83"/>
    <w:rsid w:val="00AF7ABC"/>
    <w:rsid w:val="00AF7AD0"/>
    <w:rsid w:val="00AF7D29"/>
    <w:rsid w:val="00AF7E55"/>
    <w:rsid w:val="00AF7EA6"/>
    <w:rsid w:val="00B000BF"/>
    <w:rsid w:val="00B000E2"/>
    <w:rsid w:val="00B00229"/>
    <w:rsid w:val="00B00293"/>
    <w:rsid w:val="00B002AF"/>
    <w:rsid w:val="00B002C8"/>
    <w:rsid w:val="00B003E5"/>
    <w:rsid w:val="00B00489"/>
    <w:rsid w:val="00B004EC"/>
    <w:rsid w:val="00B00765"/>
    <w:rsid w:val="00B007A6"/>
    <w:rsid w:val="00B0080F"/>
    <w:rsid w:val="00B00990"/>
    <w:rsid w:val="00B00A32"/>
    <w:rsid w:val="00B00AE8"/>
    <w:rsid w:val="00B00B1E"/>
    <w:rsid w:val="00B00B4D"/>
    <w:rsid w:val="00B00B9E"/>
    <w:rsid w:val="00B00BBC"/>
    <w:rsid w:val="00B00BDD"/>
    <w:rsid w:val="00B00BE9"/>
    <w:rsid w:val="00B00D63"/>
    <w:rsid w:val="00B00E3D"/>
    <w:rsid w:val="00B00FBA"/>
    <w:rsid w:val="00B010D0"/>
    <w:rsid w:val="00B0113B"/>
    <w:rsid w:val="00B0118C"/>
    <w:rsid w:val="00B011BF"/>
    <w:rsid w:val="00B01226"/>
    <w:rsid w:val="00B01277"/>
    <w:rsid w:val="00B01279"/>
    <w:rsid w:val="00B0131F"/>
    <w:rsid w:val="00B013B6"/>
    <w:rsid w:val="00B014AF"/>
    <w:rsid w:val="00B014E6"/>
    <w:rsid w:val="00B01501"/>
    <w:rsid w:val="00B0151C"/>
    <w:rsid w:val="00B01548"/>
    <w:rsid w:val="00B016F8"/>
    <w:rsid w:val="00B017BD"/>
    <w:rsid w:val="00B0198E"/>
    <w:rsid w:val="00B01A79"/>
    <w:rsid w:val="00B01A96"/>
    <w:rsid w:val="00B01AD2"/>
    <w:rsid w:val="00B01BCC"/>
    <w:rsid w:val="00B01F0A"/>
    <w:rsid w:val="00B0200C"/>
    <w:rsid w:val="00B02081"/>
    <w:rsid w:val="00B02089"/>
    <w:rsid w:val="00B0216A"/>
    <w:rsid w:val="00B02256"/>
    <w:rsid w:val="00B022A7"/>
    <w:rsid w:val="00B022C4"/>
    <w:rsid w:val="00B0232A"/>
    <w:rsid w:val="00B0246A"/>
    <w:rsid w:val="00B029A4"/>
    <w:rsid w:val="00B02A43"/>
    <w:rsid w:val="00B02A56"/>
    <w:rsid w:val="00B02A58"/>
    <w:rsid w:val="00B02ABF"/>
    <w:rsid w:val="00B02C05"/>
    <w:rsid w:val="00B02CF1"/>
    <w:rsid w:val="00B02FB6"/>
    <w:rsid w:val="00B03022"/>
    <w:rsid w:val="00B034B7"/>
    <w:rsid w:val="00B03603"/>
    <w:rsid w:val="00B0361D"/>
    <w:rsid w:val="00B0375A"/>
    <w:rsid w:val="00B03B06"/>
    <w:rsid w:val="00B03B71"/>
    <w:rsid w:val="00B03D0C"/>
    <w:rsid w:val="00B03F21"/>
    <w:rsid w:val="00B03FED"/>
    <w:rsid w:val="00B04052"/>
    <w:rsid w:val="00B04233"/>
    <w:rsid w:val="00B04360"/>
    <w:rsid w:val="00B04414"/>
    <w:rsid w:val="00B044ED"/>
    <w:rsid w:val="00B046B8"/>
    <w:rsid w:val="00B046BD"/>
    <w:rsid w:val="00B047E1"/>
    <w:rsid w:val="00B04948"/>
    <w:rsid w:val="00B049CA"/>
    <w:rsid w:val="00B04A27"/>
    <w:rsid w:val="00B04AEE"/>
    <w:rsid w:val="00B04BE1"/>
    <w:rsid w:val="00B04C15"/>
    <w:rsid w:val="00B04C5C"/>
    <w:rsid w:val="00B04DE6"/>
    <w:rsid w:val="00B05050"/>
    <w:rsid w:val="00B05066"/>
    <w:rsid w:val="00B052FA"/>
    <w:rsid w:val="00B05406"/>
    <w:rsid w:val="00B054E4"/>
    <w:rsid w:val="00B0553D"/>
    <w:rsid w:val="00B055E3"/>
    <w:rsid w:val="00B057C6"/>
    <w:rsid w:val="00B0580B"/>
    <w:rsid w:val="00B05A9C"/>
    <w:rsid w:val="00B05B1A"/>
    <w:rsid w:val="00B05C5D"/>
    <w:rsid w:val="00B05DD1"/>
    <w:rsid w:val="00B05E3F"/>
    <w:rsid w:val="00B05EA9"/>
    <w:rsid w:val="00B05FA6"/>
    <w:rsid w:val="00B060A6"/>
    <w:rsid w:val="00B061FF"/>
    <w:rsid w:val="00B06254"/>
    <w:rsid w:val="00B062CA"/>
    <w:rsid w:val="00B06396"/>
    <w:rsid w:val="00B0642D"/>
    <w:rsid w:val="00B066F9"/>
    <w:rsid w:val="00B06785"/>
    <w:rsid w:val="00B06841"/>
    <w:rsid w:val="00B06880"/>
    <w:rsid w:val="00B068C7"/>
    <w:rsid w:val="00B06BC3"/>
    <w:rsid w:val="00B06CEC"/>
    <w:rsid w:val="00B06F37"/>
    <w:rsid w:val="00B06FA9"/>
    <w:rsid w:val="00B06FB5"/>
    <w:rsid w:val="00B06FE3"/>
    <w:rsid w:val="00B06FF9"/>
    <w:rsid w:val="00B07001"/>
    <w:rsid w:val="00B07305"/>
    <w:rsid w:val="00B07353"/>
    <w:rsid w:val="00B075E7"/>
    <w:rsid w:val="00B07849"/>
    <w:rsid w:val="00B078DC"/>
    <w:rsid w:val="00B0796A"/>
    <w:rsid w:val="00B07BF2"/>
    <w:rsid w:val="00B07EB8"/>
    <w:rsid w:val="00B07F9D"/>
    <w:rsid w:val="00B1029C"/>
    <w:rsid w:val="00B10438"/>
    <w:rsid w:val="00B1055D"/>
    <w:rsid w:val="00B1061F"/>
    <w:rsid w:val="00B10893"/>
    <w:rsid w:val="00B10A3D"/>
    <w:rsid w:val="00B10C1E"/>
    <w:rsid w:val="00B10E5C"/>
    <w:rsid w:val="00B10EA4"/>
    <w:rsid w:val="00B11146"/>
    <w:rsid w:val="00B11174"/>
    <w:rsid w:val="00B111E8"/>
    <w:rsid w:val="00B112B0"/>
    <w:rsid w:val="00B11324"/>
    <w:rsid w:val="00B11344"/>
    <w:rsid w:val="00B11537"/>
    <w:rsid w:val="00B115F0"/>
    <w:rsid w:val="00B1167D"/>
    <w:rsid w:val="00B116C6"/>
    <w:rsid w:val="00B11830"/>
    <w:rsid w:val="00B1189A"/>
    <w:rsid w:val="00B1191B"/>
    <w:rsid w:val="00B11AEC"/>
    <w:rsid w:val="00B11C11"/>
    <w:rsid w:val="00B11C8E"/>
    <w:rsid w:val="00B11D6C"/>
    <w:rsid w:val="00B11D74"/>
    <w:rsid w:val="00B11DE5"/>
    <w:rsid w:val="00B120A1"/>
    <w:rsid w:val="00B1214C"/>
    <w:rsid w:val="00B122D1"/>
    <w:rsid w:val="00B12541"/>
    <w:rsid w:val="00B126B9"/>
    <w:rsid w:val="00B12733"/>
    <w:rsid w:val="00B127DF"/>
    <w:rsid w:val="00B128DD"/>
    <w:rsid w:val="00B12ACF"/>
    <w:rsid w:val="00B12BC2"/>
    <w:rsid w:val="00B12C60"/>
    <w:rsid w:val="00B12D35"/>
    <w:rsid w:val="00B12D49"/>
    <w:rsid w:val="00B12DED"/>
    <w:rsid w:val="00B12EC0"/>
    <w:rsid w:val="00B12F57"/>
    <w:rsid w:val="00B13015"/>
    <w:rsid w:val="00B13191"/>
    <w:rsid w:val="00B132C6"/>
    <w:rsid w:val="00B133FA"/>
    <w:rsid w:val="00B13658"/>
    <w:rsid w:val="00B13688"/>
    <w:rsid w:val="00B136B1"/>
    <w:rsid w:val="00B13846"/>
    <w:rsid w:val="00B13980"/>
    <w:rsid w:val="00B13AA5"/>
    <w:rsid w:val="00B13CA4"/>
    <w:rsid w:val="00B13EEC"/>
    <w:rsid w:val="00B13F1A"/>
    <w:rsid w:val="00B13F5A"/>
    <w:rsid w:val="00B13F97"/>
    <w:rsid w:val="00B14055"/>
    <w:rsid w:val="00B140C5"/>
    <w:rsid w:val="00B1412E"/>
    <w:rsid w:val="00B14251"/>
    <w:rsid w:val="00B142DC"/>
    <w:rsid w:val="00B143F0"/>
    <w:rsid w:val="00B14421"/>
    <w:rsid w:val="00B14450"/>
    <w:rsid w:val="00B14510"/>
    <w:rsid w:val="00B147E4"/>
    <w:rsid w:val="00B147F3"/>
    <w:rsid w:val="00B148BF"/>
    <w:rsid w:val="00B14997"/>
    <w:rsid w:val="00B14B03"/>
    <w:rsid w:val="00B14BF7"/>
    <w:rsid w:val="00B14CD9"/>
    <w:rsid w:val="00B14E62"/>
    <w:rsid w:val="00B14EB4"/>
    <w:rsid w:val="00B14EC8"/>
    <w:rsid w:val="00B15122"/>
    <w:rsid w:val="00B15132"/>
    <w:rsid w:val="00B151E9"/>
    <w:rsid w:val="00B153C9"/>
    <w:rsid w:val="00B154B9"/>
    <w:rsid w:val="00B15850"/>
    <w:rsid w:val="00B1591B"/>
    <w:rsid w:val="00B15A14"/>
    <w:rsid w:val="00B15B39"/>
    <w:rsid w:val="00B15B69"/>
    <w:rsid w:val="00B15C24"/>
    <w:rsid w:val="00B15CDC"/>
    <w:rsid w:val="00B15D0A"/>
    <w:rsid w:val="00B15D2F"/>
    <w:rsid w:val="00B15E2C"/>
    <w:rsid w:val="00B15F16"/>
    <w:rsid w:val="00B15F90"/>
    <w:rsid w:val="00B1604C"/>
    <w:rsid w:val="00B16344"/>
    <w:rsid w:val="00B16403"/>
    <w:rsid w:val="00B16465"/>
    <w:rsid w:val="00B1648C"/>
    <w:rsid w:val="00B16562"/>
    <w:rsid w:val="00B1661A"/>
    <w:rsid w:val="00B16634"/>
    <w:rsid w:val="00B16648"/>
    <w:rsid w:val="00B169C1"/>
    <w:rsid w:val="00B16A0D"/>
    <w:rsid w:val="00B16A98"/>
    <w:rsid w:val="00B16B31"/>
    <w:rsid w:val="00B16C60"/>
    <w:rsid w:val="00B16CBC"/>
    <w:rsid w:val="00B16CD4"/>
    <w:rsid w:val="00B16F52"/>
    <w:rsid w:val="00B1708F"/>
    <w:rsid w:val="00B170C5"/>
    <w:rsid w:val="00B170DF"/>
    <w:rsid w:val="00B17152"/>
    <w:rsid w:val="00B171DF"/>
    <w:rsid w:val="00B1721A"/>
    <w:rsid w:val="00B17231"/>
    <w:rsid w:val="00B17236"/>
    <w:rsid w:val="00B17281"/>
    <w:rsid w:val="00B1735B"/>
    <w:rsid w:val="00B174E2"/>
    <w:rsid w:val="00B17889"/>
    <w:rsid w:val="00B17933"/>
    <w:rsid w:val="00B17B55"/>
    <w:rsid w:val="00B17B87"/>
    <w:rsid w:val="00B17B8D"/>
    <w:rsid w:val="00B17BBB"/>
    <w:rsid w:val="00B17BDC"/>
    <w:rsid w:val="00B17CB1"/>
    <w:rsid w:val="00B17D55"/>
    <w:rsid w:val="00B17D93"/>
    <w:rsid w:val="00B17E20"/>
    <w:rsid w:val="00B17F47"/>
    <w:rsid w:val="00B2012E"/>
    <w:rsid w:val="00B20145"/>
    <w:rsid w:val="00B2018D"/>
    <w:rsid w:val="00B201AC"/>
    <w:rsid w:val="00B202B7"/>
    <w:rsid w:val="00B202C6"/>
    <w:rsid w:val="00B203D3"/>
    <w:rsid w:val="00B203E0"/>
    <w:rsid w:val="00B2078F"/>
    <w:rsid w:val="00B207AE"/>
    <w:rsid w:val="00B20866"/>
    <w:rsid w:val="00B20887"/>
    <w:rsid w:val="00B208A6"/>
    <w:rsid w:val="00B20B9C"/>
    <w:rsid w:val="00B20CC4"/>
    <w:rsid w:val="00B20DBD"/>
    <w:rsid w:val="00B20DC8"/>
    <w:rsid w:val="00B20E43"/>
    <w:rsid w:val="00B20ED9"/>
    <w:rsid w:val="00B20F31"/>
    <w:rsid w:val="00B20F44"/>
    <w:rsid w:val="00B21153"/>
    <w:rsid w:val="00B211BF"/>
    <w:rsid w:val="00B211DB"/>
    <w:rsid w:val="00B21275"/>
    <w:rsid w:val="00B2127E"/>
    <w:rsid w:val="00B2127F"/>
    <w:rsid w:val="00B212F2"/>
    <w:rsid w:val="00B2138B"/>
    <w:rsid w:val="00B213BD"/>
    <w:rsid w:val="00B214BE"/>
    <w:rsid w:val="00B215BF"/>
    <w:rsid w:val="00B21637"/>
    <w:rsid w:val="00B21640"/>
    <w:rsid w:val="00B21707"/>
    <w:rsid w:val="00B21770"/>
    <w:rsid w:val="00B21781"/>
    <w:rsid w:val="00B219CE"/>
    <w:rsid w:val="00B21AAB"/>
    <w:rsid w:val="00B21B13"/>
    <w:rsid w:val="00B21C7B"/>
    <w:rsid w:val="00B21D91"/>
    <w:rsid w:val="00B21E09"/>
    <w:rsid w:val="00B21E4E"/>
    <w:rsid w:val="00B22027"/>
    <w:rsid w:val="00B2206F"/>
    <w:rsid w:val="00B22155"/>
    <w:rsid w:val="00B22387"/>
    <w:rsid w:val="00B223EE"/>
    <w:rsid w:val="00B2243A"/>
    <w:rsid w:val="00B2245D"/>
    <w:rsid w:val="00B22646"/>
    <w:rsid w:val="00B226EF"/>
    <w:rsid w:val="00B22816"/>
    <w:rsid w:val="00B228AD"/>
    <w:rsid w:val="00B22960"/>
    <w:rsid w:val="00B229DD"/>
    <w:rsid w:val="00B22A48"/>
    <w:rsid w:val="00B22A69"/>
    <w:rsid w:val="00B22B18"/>
    <w:rsid w:val="00B22D37"/>
    <w:rsid w:val="00B22D69"/>
    <w:rsid w:val="00B22D6F"/>
    <w:rsid w:val="00B22DAD"/>
    <w:rsid w:val="00B23060"/>
    <w:rsid w:val="00B23099"/>
    <w:rsid w:val="00B23146"/>
    <w:rsid w:val="00B2315F"/>
    <w:rsid w:val="00B231AA"/>
    <w:rsid w:val="00B231B0"/>
    <w:rsid w:val="00B2332A"/>
    <w:rsid w:val="00B233BA"/>
    <w:rsid w:val="00B233EA"/>
    <w:rsid w:val="00B234BF"/>
    <w:rsid w:val="00B23606"/>
    <w:rsid w:val="00B236AD"/>
    <w:rsid w:val="00B2377D"/>
    <w:rsid w:val="00B237DC"/>
    <w:rsid w:val="00B238E1"/>
    <w:rsid w:val="00B238F7"/>
    <w:rsid w:val="00B2391D"/>
    <w:rsid w:val="00B23931"/>
    <w:rsid w:val="00B2393F"/>
    <w:rsid w:val="00B23B58"/>
    <w:rsid w:val="00B23B91"/>
    <w:rsid w:val="00B23D59"/>
    <w:rsid w:val="00B24039"/>
    <w:rsid w:val="00B2414D"/>
    <w:rsid w:val="00B2418C"/>
    <w:rsid w:val="00B24216"/>
    <w:rsid w:val="00B242FB"/>
    <w:rsid w:val="00B243DF"/>
    <w:rsid w:val="00B2455D"/>
    <w:rsid w:val="00B247B5"/>
    <w:rsid w:val="00B247F2"/>
    <w:rsid w:val="00B24804"/>
    <w:rsid w:val="00B24892"/>
    <w:rsid w:val="00B24A43"/>
    <w:rsid w:val="00B24A7E"/>
    <w:rsid w:val="00B24E83"/>
    <w:rsid w:val="00B24ED2"/>
    <w:rsid w:val="00B24F02"/>
    <w:rsid w:val="00B25026"/>
    <w:rsid w:val="00B2504F"/>
    <w:rsid w:val="00B25078"/>
    <w:rsid w:val="00B250C1"/>
    <w:rsid w:val="00B250C2"/>
    <w:rsid w:val="00B251FC"/>
    <w:rsid w:val="00B25205"/>
    <w:rsid w:val="00B253B7"/>
    <w:rsid w:val="00B25496"/>
    <w:rsid w:val="00B25630"/>
    <w:rsid w:val="00B256B0"/>
    <w:rsid w:val="00B258BE"/>
    <w:rsid w:val="00B258C1"/>
    <w:rsid w:val="00B25AFC"/>
    <w:rsid w:val="00B25E04"/>
    <w:rsid w:val="00B25EAB"/>
    <w:rsid w:val="00B25EBC"/>
    <w:rsid w:val="00B25FE3"/>
    <w:rsid w:val="00B260DE"/>
    <w:rsid w:val="00B260E1"/>
    <w:rsid w:val="00B26148"/>
    <w:rsid w:val="00B2623B"/>
    <w:rsid w:val="00B26493"/>
    <w:rsid w:val="00B265D2"/>
    <w:rsid w:val="00B266FA"/>
    <w:rsid w:val="00B267AA"/>
    <w:rsid w:val="00B26820"/>
    <w:rsid w:val="00B268AE"/>
    <w:rsid w:val="00B26AD1"/>
    <w:rsid w:val="00B26B56"/>
    <w:rsid w:val="00B26C50"/>
    <w:rsid w:val="00B26C53"/>
    <w:rsid w:val="00B26EAD"/>
    <w:rsid w:val="00B26F76"/>
    <w:rsid w:val="00B26FA4"/>
    <w:rsid w:val="00B2712B"/>
    <w:rsid w:val="00B27230"/>
    <w:rsid w:val="00B272EF"/>
    <w:rsid w:val="00B2733E"/>
    <w:rsid w:val="00B2759C"/>
    <w:rsid w:val="00B27816"/>
    <w:rsid w:val="00B2783A"/>
    <w:rsid w:val="00B27938"/>
    <w:rsid w:val="00B27A33"/>
    <w:rsid w:val="00B27A3C"/>
    <w:rsid w:val="00B27A5E"/>
    <w:rsid w:val="00B27AB4"/>
    <w:rsid w:val="00B27ACF"/>
    <w:rsid w:val="00B27AD5"/>
    <w:rsid w:val="00B27B91"/>
    <w:rsid w:val="00B27CF5"/>
    <w:rsid w:val="00B27DDC"/>
    <w:rsid w:val="00B27F9B"/>
    <w:rsid w:val="00B27FE1"/>
    <w:rsid w:val="00B30087"/>
    <w:rsid w:val="00B30184"/>
    <w:rsid w:val="00B30365"/>
    <w:rsid w:val="00B30390"/>
    <w:rsid w:val="00B303B2"/>
    <w:rsid w:val="00B30502"/>
    <w:rsid w:val="00B30646"/>
    <w:rsid w:val="00B306B6"/>
    <w:rsid w:val="00B3072E"/>
    <w:rsid w:val="00B30916"/>
    <w:rsid w:val="00B30B3D"/>
    <w:rsid w:val="00B30B57"/>
    <w:rsid w:val="00B30B61"/>
    <w:rsid w:val="00B30BC2"/>
    <w:rsid w:val="00B30CDB"/>
    <w:rsid w:val="00B31002"/>
    <w:rsid w:val="00B31102"/>
    <w:rsid w:val="00B311D3"/>
    <w:rsid w:val="00B3139E"/>
    <w:rsid w:val="00B313BB"/>
    <w:rsid w:val="00B31437"/>
    <w:rsid w:val="00B314BF"/>
    <w:rsid w:val="00B316BE"/>
    <w:rsid w:val="00B317A9"/>
    <w:rsid w:val="00B317BB"/>
    <w:rsid w:val="00B31866"/>
    <w:rsid w:val="00B31962"/>
    <w:rsid w:val="00B31A27"/>
    <w:rsid w:val="00B31B5A"/>
    <w:rsid w:val="00B31BF6"/>
    <w:rsid w:val="00B31D0A"/>
    <w:rsid w:val="00B31D16"/>
    <w:rsid w:val="00B31D45"/>
    <w:rsid w:val="00B31EC5"/>
    <w:rsid w:val="00B3205E"/>
    <w:rsid w:val="00B32076"/>
    <w:rsid w:val="00B32212"/>
    <w:rsid w:val="00B32217"/>
    <w:rsid w:val="00B32477"/>
    <w:rsid w:val="00B324EC"/>
    <w:rsid w:val="00B3250D"/>
    <w:rsid w:val="00B325BF"/>
    <w:rsid w:val="00B326AB"/>
    <w:rsid w:val="00B326D5"/>
    <w:rsid w:val="00B32993"/>
    <w:rsid w:val="00B32AE9"/>
    <w:rsid w:val="00B32AEA"/>
    <w:rsid w:val="00B32BC3"/>
    <w:rsid w:val="00B33151"/>
    <w:rsid w:val="00B331C1"/>
    <w:rsid w:val="00B33311"/>
    <w:rsid w:val="00B33407"/>
    <w:rsid w:val="00B3346E"/>
    <w:rsid w:val="00B337CE"/>
    <w:rsid w:val="00B3381A"/>
    <w:rsid w:val="00B33853"/>
    <w:rsid w:val="00B3386C"/>
    <w:rsid w:val="00B33896"/>
    <w:rsid w:val="00B338E7"/>
    <w:rsid w:val="00B33953"/>
    <w:rsid w:val="00B3397E"/>
    <w:rsid w:val="00B33980"/>
    <w:rsid w:val="00B33ABD"/>
    <w:rsid w:val="00B33BDA"/>
    <w:rsid w:val="00B33D08"/>
    <w:rsid w:val="00B33D21"/>
    <w:rsid w:val="00B33E62"/>
    <w:rsid w:val="00B33F35"/>
    <w:rsid w:val="00B33F71"/>
    <w:rsid w:val="00B33F74"/>
    <w:rsid w:val="00B33FD4"/>
    <w:rsid w:val="00B3450D"/>
    <w:rsid w:val="00B34540"/>
    <w:rsid w:val="00B346B4"/>
    <w:rsid w:val="00B3474D"/>
    <w:rsid w:val="00B347AA"/>
    <w:rsid w:val="00B34861"/>
    <w:rsid w:val="00B34A15"/>
    <w:rsid w:val="00B34AFE"/>
    <w:rsid w:val="00B34B83"/>
    <w:rsid w:val="00B34C33"/>
    <w:rsid w:val="00B34D2C"/>
    <w:rsid w:val="00B34D3E"/>
    <w:rsid w:val="00B34DC5"/>
    <w:rsid w:val="00B34EE7"/>
    <w:rsid w:val="00B34F06"/>
    <w:rsid w:val="00B350D2"/>
    <w:rsid w:val="00B3517D"/>
    <w:rsid w:val="00B352E2"/>
    <w:rsid w:val="00B35439"/>
    <w:rsid w:val="00B3550A"/>
    <w:rsid w:val="00B3566B"/>
    <w:rsid w:val="00B35744"/>
    <w:rsid w:val="00B357DB"/>
    <w:rsid w:val="00B357EB"/>
    <w:rsid w:val="00B358C0"/>
    <w:rsid w:val="00B3594A"/>
    <w:rsid w:val="00B35A90"/>
    <w:rsid w:val="00B35B66"/>
    <w:rsid w:val="00B35B93"/>
    <w:rsid w:val="00B35D71"/>
    <w:rsid w:val="00B361CD"/>
    <w:rsid w:val="00B361E3"/>
    <w:rsid w:val="00B3630D"/>
    <w:rsid w:val="00B36352"/>
    <w:rsid w:val="00B3655B"/>
    <w:rsid w:val="00B365E5"/>
    <w:rsid w:val="00B367A1"/>
    <w:rsid w:val="00B3680F"/>
    <w:rsid w:val="00B36870"/>
    <w:rsid w:val="00B368DB"/>
    <w:rsid w:val="00B368EC"/>
    <w:rsid w:val="00B3696E"/>
    <w:rsid w:val="00B3699C"/>
    <w:rsid w:val="00B36AA2"/>
    <w:rsid w:val="00B36FB2"/>
    <w:rsid w:val="00B3706C"/>
    <w:rsid w:val="00B371D5"/>
    <w:rsid w:val="00B37200"/>
    <w:rsid w:val="00B37310"/>
    <w:rsid w:val="00B3738F"/>
    <w:rsid w:val="00B373C9"/>
    <w:rsid w:val="00B37421"/>
    <w:rsid w:val="00B3768D"/>
    <w:rsid w:val="00B37696"/>
    <w:rsid w:val="00B376C6"/>
    <w:rsid w:val="00B376D9"/>
    <w:rsid w:val="00B377A1"/>
    <w:rsid w:val="00B377C1"/>
    <w:rsid w:val="00B37848"/>
    <w:rsid w:val="00B3793E"/>
    <w:rsid w:val="00B37AC4"/>
    <w:rsid w:val="00B37D5C"/>
    <w:rsid w:val="00B37F38"/>
    <w:rsid w:val="00B40177"/>
    <w:rsid w:val="00B401A7"/>
    <w:rsid w:val="00B40225"/>
    <w:rsid w:val="00B40518"/>
    <w:rsid w:val="00B40578"/>
    <w:rsid w:val="00B405CB"/>
    <w:rsid w:val="00B40621"/>
    <w:rsid w:val="00B406D1"/>
    <w:rsid w:val="00B40745"/>
    <w:rsid w:val="00B40748"/>
    <w:rsid w:val="00B407B8"/>
    <w:rsid w:val="00B408B3"/>
    <w:rsid w:val="00B4091C"/>
    <w:rsid w:val="00B409B0"/>
    <w:rsid w:val="00B409D1"/>
    <w:rsid w:val="00B40A6D"/>
    <w:rsid w:val="00B40B85"/>
    <w:rsid w:val="00B40BA8"/>
    <w:rsid w:val="00B40BEF"/>
    <w:rsid w:val="00B40C25"/>
    <w:rsid w:val="00B40D15"/>
    <w:rsid w:val="00B40FCF"/>
    <w:rsid w:val="00B40FD4"/>
    <w:rsid w:val="00B41042"/>
    <w:rsid w:val="00B41278"/>
    <w:rsid w:val="00B4143F"/>
    <w:rsid w:val="00B415C6"/>
    <w:rsid w:val="00B41605"/>
    <w:rsid w:val="00B4177B"/>
    <w:rsid w:val="00B417AB"/>
    <w:rsid w:val="00B4187D"/>
    <w:rsid w:val="00B4195D"/>
    <w:rsid w:val="00B41C07"/>
    <w:rsid w:val="00B41D78"/>
    <w:rsid w:val="00B41E02"/>
    <w:rsid w:val="00B41F41"/>
    <w:rsid w:val="00B41F9C"/>
    <w:rsid w:val="00B41FFD"/>
    <w:rsid w:val="00B421A2"/>
    <w:rsid w:val="00B421ED"/>
    <w:rsid w:val="00B42265"/>
    <w:rsid w:val="00B422C2"/>
    <w:rsid w:val="00B42348"/>
    <w:rsid w:val="00B42449"/>
    <w:rsid w:val="00B4257F"/>
    <w:rsid w:val="00B426AA"/>
    <w:rsid w:val="00B4275E"/>
    <w:rsid w:val="00B42796"/>
    <w:rsid w:val="00B42D7D"/>
    <w:rsid w:val="00B42F6B"/>
    <w:rsid w:val="00B43134"/>
    <w:rsid w:val="00B43170"/>
    <w:rsid w:val="00B4318F"/>
    <w:rsid w:val="00B431F5"/>
    <w:rsid w:val="00B431FA"/>
    <w:rsid w:val="00B43341"/>
    <w:rsid w:val="00B43504"/>
    <w:rsid w:val="00B4350F"/>
    <w:rsid w:val="00B435E9"/>
    <w:rsid w:val="00B4371E"/>
    <w:rsid w:val="00B43878"/>
    <w:rsid w:val="00B438BA"/>
    <w:rsid w:val="00B43A36"/>
    <w:rsid w:val="00B43A71"/>
    <w:rsid w:val="00B43B41"/>
    <w:rsid w:val="00B43F5D"/>
    <w:rsid w:val="00B43FE3"/>
    <w:rsid w:val="00B44101"/>
    <w:rsid w:val="00B44197"/>
    <w:rsid w:val="00B444E6"/>
    <w:rsid w:val="00B446DD"/>
    <w:rsid w:val="00B447C5"/>
    <w:rsid w:val="00B447D2"/>
    <w:rsid w:val="00B4483F"/>
    <w:rsid w:val="00B44C6F"/>
    <w:rsid w:val="00B44CF9"/>
    <w:rsid w:val="00B44D11"/>
    <w:rsid w:val="00B44DFF"/>
    <w:rsid w:val="00B44E2E"/>
    <w:rsid w:val="00B44F9C"/>
    <w:rsid w:val="00B44FED"/>
    <w:rsid w:val="00B450AA"/>
    <w:rsid w:val="00B450C6"/>
    <w:rsid w:val="00B45128"/>
    <w:rsid w:val="00B4519A"/>
    <w:rsid w:val="00B451EC"/>
    <w:rsid w:val="00B45214"/>
    <w:rsid w:val="00B4549E"/>
    <w:rsid w:val="00B454F5"/>
    <w:rsid w:val="00B45805"/>
    <w:rsid w:val="00B459B1"/>
    <w:rsid w:val="00B45B7F"/>
    <w:rsid w:val="00B45C9C"/>
    <w:rsid w:val="00B45CE6"/>
    <w:rsid w:val="00B45D9C"/>
    <w:rsid w:val="00B45DA3"/>
    <w:rsid w:val="00B45DF5"/>
    <w:rsid w:val="00B45E00"/>
    <w:rsid w:val="00B45F48"/>
    <w:rsid w:val="00B45F5C"/>
    <w:rsid w:val="00B45F67"/>
    <w:rsid w:val="00B45F82"/>
    <w:rsid w:val="00B45FA7"/>
    <w:rsid w:val="00B46091"/>
    <w:rsid w:val="00B46146"/>
    <w:rsid w:val="00B46258"/>
    <w:rsid w:val="00B462E6"/>
    <w:rsid w:val="00B463FF"/>
    <w:rsid w:val="00B4641E"/>
    <w:rsid w:val="00B46540"/>
    <w:rsid w:val="00B4679D"/>
    <w:rsid w:val="00B469AD"/>
    <w:rsid w:val="00B469BB"/>
    <w:rsid w:val="00B46A0F"/>
    <w:rsid w:val="00B46B4B"/>
    <w:rsid w:val="00B46B54"/>
    <w:rsid w:val="00B46BE0"/>
    <w:rsid w:val="00B46C46"/>
    <w:rsid w:val="00B46E04"/>
    <w:rsid w:val="00B46E35"/>
    <w:rsid w:val="00B46E3C"/>
    <w:rsid w:val="00B47120"/>
    <w:rsid w:val="00B47308"/>
    <w:rsid w:val="00B474DC"/>
    <w:rsid w:val="00B47582"/>
    <w:rsid w:val="00B478A1"/>
    <w:rsid w:val="00B479B8"/>
    <w:rsid w:val="00B47C04"/>
    <w:rsid w:val="00B47E6F"/>
    <w:rsid w:val="00B47F10"/>
    <w:rsid w:val="00B47F71"/>
    <w:rsid w:val="00B47F78"/>
    <w:rsid w:val="00B501AD"/>
    <w:rsid w:val="00B501CB"/>
    <w:rsid w:val="00B502F4"/>
    <w:rsid w:val="00B502FC"/>
    <w:rsid w:val="00B50311"/>
    <w:rsid w:val="00B50322"/>
    <w:rsid w:val="00B503F0"/>
    <w:rsid w:val="00B5045B"/>
    <w:rsid w:val="00B5077B"/>
    <w:rsid w:val="00B507C9"/>
    <w:rsid w:val="00B508C3"/>
    <w:rsid w:val="00B50935"/>
    <w:rsid w:val="00B50A0C"/>
    <w:rsid w:val="00B50A78"/>
    <w:rsid w:val="00B50AC1"/>
    <w:rsid w:val="00B50AC2"/>
    <w:rsid w:val="00B50B11"/>
    <w:rsid w:val="00B50B88"/>
    <w:rsid w:val="00B50BBB"/>
    <w:rsid w:val="00B50BFD"/>
    <w:rsid w:val="00B50C48"/>
    <w:rsid w:val="00B50CBC"/>
    <w:rsid w:val="00B50DD5"/>
    <w:rsid w:val="00B510A7"/>
    <w:rsid w:val="00B5113E"/>
    <w:rsid w:val="00B511B3"/>
    <w:rsid w:val="00B51307"/>
    <w:rsid w:val="00B513C6"/>
    <w:rsid w:val="00B51448"/>
    <w:rsid w:val="00B51472"/>
    <w:rsid w:val="00B516B2"/>
    <w:rsid w:val="00B5174D"/>
    <w:rsid w:val="00B517AA"/>
    <w:rsid w:val="00B51929"/>
    <w:rsid w:val="00B51BF4"/>
    <w:rsid w:val="00B51DF0"/>
    <w:rsid w:val="00B51EE5"/>
    <w:rsid w:val="00B51FCB"/>
    <w:rsid w:val="00B5208E"/>
    <w:rsid w:val="00B520C9"/>
    <w:rsid w:val="00B523A8"/>
    <w:rsid w:val="00B525D6"/>
    <w:rsid w:val="00B5272F"/>
    <w:rsid w:val="00B52787"/>
    <w:rsid w:val="00B527AE"/>
    <w:rsid w:val="00B527EB"/>
    <w:rsid w:val="00B52828"/>
    <w:rsid w:val="00B5296B"/>
    <w:rsid w:val="00B52982"/>
    <w:rsid w:val="00B52A31"/>
    <w:rsid w:val="00B52C7C"/>
    <w:rsid w:val="00B52CDF"/>
    <w:rsid w:val="00B52E6B"/>
    <w:rsid w:val="00B52EBB"/>
    <w:rsid w:val="00B52FBD"/>
    <w:rsid w:val="00B5313B"/>
    <w:rsid w:val="00B532AC"/>
    <w:rsid w:val="00B532E9"/>
    <w:rsid w:val="00B53344"/>
    <w:rsid w:val="00B5339F"/>
    <w:rsid w:val="00B53491"/>
    <w:rsid w:val="00B535F7"/>
    <w:rsid w:val="00B5368E"/>
    <w:rsid w:val="00B5370D"/>
    <w:rsid w:val="00B53895"/>
    <w:rsid w:val="00B538A1"/>
    <w:rsid w:val="00B53A9E"/>
    <w:rsid w:val="00B53AE0"/>
    <w:rsid w:val="00B53B96"/>
    <w:rsid w:val="00B53BD4"/>
    <w:rsid w:val="00B53C0E"/>
    <w:rsid w:val="00B53D35"/>
    <w:rsid w:val="00B53DBB"/>
    <w:rsid w:val="00B53F1C"/>
    <w:rsid w:val="00B53FEA"/>
    <w:rsid w:val="00B53FF5"/>
    <w:rsid w:val="00B541C6"/>
    <w:rsid w:val="00B542AA"/>
    <w:rsid w:val="00B54317"/>
    <w:rsid w:val="00B54337"/>
    <w:rsid w:val="00B54488"/>
    <w:rsid w:val="00B54531"/>
    <w:rsid w:val="00B54536"/>
    <w:rsid w:val="00B54679"/>
    <w:rsid w:val="00B54688"/>
    <w:rsid w:val="00B54874"/>
    <w:rsid w:val="00B548AF"/>
    <w:rsid w:val="00B548E1"/>
    <w:rsid w:val="00B5499C"/>
    <w:rsid w:val="00B54ADD"/>
    <w:rsid w:val="00B54B56"/>
    <w:rsid w:val="00B54C92"/>
    <w:rsid w:val="00B54D8B"/>
    <w:rsid w:val="00B54EB2"/>
    <w:rsid w:val="00B54EB8"/>
    <w:rsid w:val="00B54F08"/>
    <w:rsid w:val="00B55324"/>
    <w:rsid w:val="00B554B2"/>
    <w:rsid w:val="00B554D6"/>
    <w:rsid w:val="00B555EA"/>
    <w:rsid w:val="00B55AD0"/>
    <w:rsid w:val="00B55B48"/>
    <w:rsid w:val="00B55C07"/>
    <w:rsid w:val="00B55DD2"/>
    <w:rsid w:val="00B55E7E"/>
    <w:rsid w:val="00B55F3A"/>
    <w:rsid w:val="00B560BC"/>
    <w:rsid w:val="00B561B0"/>
    <w:rsid w:val="00B561DF"/>
    <w:rsid w:val="00B563F0"/>
    <w:rsid w:val="00B5652D"/>
    <w:rsid w:val="00B566FF"/>
    <w:rsid w:val="00B56751"/>
    <w:rsid w:val="00B569C5"/>
    <w:rsid w:val="00B56AAA"/>
    <w:rsid w:val="00B56B66"/>
    <w:rsid w:val="00B56B85"/>
    <w:rsid w:val="00B56BAD"/>
    <w:rsid w:val="00B56F8C"/>
    <w:rsid w:val="00B57211"/>
    <w:rsid w:val="00B5723F"/>
    <w:rsid w:val="00B5729C"/>
    <w:rsid w:val="00B573F7"/>
    <w:rsid w:val="00B57467"/>
    <w:rsid w:val="00B574CF"/>
    <w:rsid w:val="00B5754A"/>
    <w:rsid w:val="00B576CD"/>
    <w:rsid w:val="00B577FD"/>
    <w:rsid w:val="00B57878"/>
    <w:rsid w:val="00B578DD"/>
    <w:rsid w:val="00B579B6"/>
    <w:rsid w:val="00B57A2D"/>
    <w:rsid w:val="00B57A47"/>
    <w:rsid w:val="00B57A51"/>
    <w:rsid w:val="00B57F3C"/>
    <w:rsid w:val="00B57FB6"/>
    <w:rsid w:val="00B6016C"/>
    <w:rsid w:val="00B602E3"/>
    <w:rsid w:val="00B60529"/>
    <w:rsid w:val="00B6062E"/>
    <w:rsid w:val="00B606D7"/>
    <w:rsid w:val="00B60AD4"/>
    <w:rsid w:val="00B60B06"/>
    <w:rsid w:val="00B60C34"/>
    <w:rsid w:val="00B60CF8"/>
    <w:rsid w:val="00B60D92"/>
    <w:rsid w:val="00B610C3"/>
    <w:rsid w:val="00B6114E"/>
    <w:rsid w:val="00B61325"/>
    <w:rsid w:val="00B613C5"/>
    <w:rsid w:val="00B614C9"/>
    <w:rsid w:val="00B616DE"/>
    <w:rsid w:val="00B6173A"/>
    <w:rsid w:val="00B6177B"/>
    <w:rsid w:val="00B61B0C"/>
    <w:rsid w:val="00B61BB0"/>
    <w:rsid w:val="00B61BFA"/>
    <w:rsid w:val="00B61CB3"/>
    <w:rsid w:val="00B61DED"/>
    <w:rsid w:val="00B61F5E"/>
    <w:rsid w:val="00B61F79"/>
    <w:rsid w:val="00B61FD2"/>
    <w:rsid w:val="00B62007"/>
    <w:rsid w:val="00B62015"/>
    <w:rsid w:val="00B6208A"/>
    <w:rsid w:val="00B620A0"/>
    <w:rsid w:val="00B621B0"/>
    <w:rsid w:val="00B627EE"/>
    <w:rsid w:val="00B627F2"/>
    <w:rsid w:val="00B62BC2"/>
    <w:rsid w:val="00B62CDA"/>
    <w:rsid w:val="00B62DEE"/>
    <w:rsid w:val="00B62E48"/>
    <w:rsid w:val="00B62EE7"/>
    <w:rsid w:val="00B62F8C"/>
    <w:rsid w:val="00B63010"/>
    <w:rsid w:val="00B631F4"/>
    <w:rsid w:val="00B63260"/>
    <w:rsid w:val="00B6342C"/>
    <w:rsid w:val="00B63635"/>
    <w:rsid w:val="00B637A5"/>
    <w:rsid w:val="00B637DF"/>
    <w:rsid w:val="00B638F1"/>
    <w:rsid w:val="00B63922"/>
    <w:rsid w:val="00B6398D"/>
    <w:rsid w:val="00B639B6"/>
    <w:rsid w:val="00B63B70"/>
    <w:rsid w:val="00B63D29"/>
    <w:rsid w:val="00B63F02"/>
    <w:rsid w:val="00B6402E"/>
    <w:rsid w:val="00B6403A"/>
    <w:rsid w:val="00B64101"/>
    <w:rsid w:val="00B6410E"/>
    <w:rsid w:val="00B641BD"/>
    <w:rsid w:val="00B64224"/>
    <w:rsid w:val="00B64268"/>
    <w:rsid w:val="00B6445E"/>
    <w:rsid w:val="00B6448B"/>
    <w:rsid w:val="00B645C7"/>
    <w:rsid w:val="00B6465D"/>
    <w:rsid w:val="00B64844"/>
    <w:rsid w:val="00B64AD2"/>
    <w:rsid w:val="00B64B93"/>
    <w:rsid w:val="00B64BE0"/>
    <w:rsid w:val="00B64C5C"/>
    <w:rsid w:val="00B64C7E"/>
    <w:rsid w:val="00B64C80"/>
    <w:rsid w:val="00B64DD4"/>
    <w:rsid w:val="00B64EAF"/>
    <w:rsid w:val="00B64F16"/>
    <w:rsid w:val="00B64F7D"/>
    <w:rsid w:val="00B65076"/>
    <w:rsid w:val="00B65394"/>
    <w:rsid w:val="00B653D4"/>
    <w:rsid w:val="00B65442"/>
    <w:rsid w:val="00B6562A"/>
    <w:rsid w:val="00B657A4"/>
    <w:rsid w:val="00B65AA9"/>
    <w:rsid w:val="00B65ADC"/>
    <w:rsid w:val="00B65B0F"/>
    <w:rsid w:val="00B65B5E"/>
    <w:rsid w:val="00B65E53"/>
    <w:rsid w:val="00B65E54"/>
    <w:rsid w:val="00B65F6E"/>
    <w:rsid w:val="00B661DB"/>
    <w:rsid w:val="00B66394"/>
    <w:rsid w:val="00B6640F"/>
    <w:rsid w:val="00B6642F"/>
    <w:rsid w:val="00B665CA"/>
    <w:rsid w:val="00B66AEF"/>
    <w:rsid w:val="00B66E30"/>
    <w:rsid w:val="00B6700E"/>
    <w:rsid w:val="00B6706C"/>
    <w:rsid w:val="00B670B4"/>
    <w:rsid w:val="00B6718B"/>
    <w:rsid w:val="00B67311"/>
    <w:rsid w:val="00B67316"/>
    <w:rsid w:val="00B67333"/>
    <w:rsid w:val="00B674A2"/>
    <w:rsid w:val="00B6771F"/>
    <w:rsid w:val="00B67AD4"/>
    <w:rsid w:val="00B67B9F"/>
    <w:rsid w:val="00B67BC3"/>
    <w:rsid w:val="00B67CBE"/>
    <w:rsid w:val="00B67CC3"/>
    <w:rsid w:val="00B67D14"/>
    <w:rsid w:val="00B67DEA"/>
    <w:rsid w:val="00B701BA"/>
    <w:rsid w:val="00B701C3"/>
    <w:rsid w:val="00B703DE"/>
    <w:rsid w:val="00B704CF"/>
    <w:rsid w:val="00B70574"/>
    <w:rsid w:val="00B70640"/>
    <w:rsid w:val="00B70672"/>
    <w:rsid w:val="00B70802"/>
    <w:rsid w:val="00B708E0"/>
    <w:rsid w:val="00B70911"/>
    <w:rsid w:val="00B70A8A"/>
    <w:rsid w:val="00B70AC0"/>
    <w:rsid w:val="00B70CC9"/>
    <w:rsid w:val="00B70DA3"/>
    <w:rsid w:val="00B71051"/>
    <w:rsid w:val="00B711BF"/>
    <w:rsid w:val="00B71270"/>
    <w:rsid w:val="00B7158C"/>
    <w:rsid w:val="00B716D3"/>
    <w:rsid w:val="00B71732"/>
    <w:rsid w:val="00B717A5"/>
    <w:rsid w:val="00B71A16"/>
    <w:rsid w:val="00B71C22"/>
    <w:rsid w:val="00B72244"/>
    <w:rsid w:val="00B722D8"/>
    <w:rsid w:val="00B7237A"/>
    <w:rsid w:val="00B72599"/>
    <w:rsid w:val="00B727DD"/>
    <w:rsid w:val="00B728E1"/>
    <w:rsid w:val="00B72A6A"/>
    <w:rsid w:val="00B72A82"/>
    <w:rsid w:val="00B72B5B"/>
    <w:rsid w:val="00B72B99"/>
    <w:rsid w:val="00B72C50"/>
    <w:rsid w:val="00B72D05"/>
    <w:rsid w:val="00B72E6B"/>
    <w:rsid w:val="00B72F95"/>
    <w:rsid w:val="00B72FE7"/>
    <w:rsid w:val="00B73041"/>
    <w:rsid w:val="00B7316F"/>
    <w:rsid w:val="00B73198"/>
    <w:rsid w:val="00B731F3"/>
    <w:rsid w:val="00B7322F"/>
    <w:rsid w:val="00B73383"/>
    <w:rsid w:val="00B73397"/>
    <w:rsid w:val="00B733BD"/>
    <w:rsid w:val="00B73467"/>
    <w:rsid w:val="00B73499"/>
    <w:rsid w:val="00B734E1"/>
    <w:rsid w:val="00B7394C"/>
    <w:rsid w:val="00B73998"/>
    <w:rsid w:val="00B739A1"/>
    <w:rsid w:val="00B73A69"/>
    <w:rsid w:val="00B73B9A"/>
    <w:rsid w:val="00B73BB6"/>
    <w:rsid w:val="00B73C05"/>
    <w:rsid w:val="00B73C81"/>
    <w:rsid w:val="00B73CBF"/>
    <w:rsid w:val="00B73CC0"/>
    <w:rsid w:val="00B73F4B"/>
    <w:rsid w:val="00B73F92"/>
    <w:rsid w:val="00B74096"/>
    <w:rsid w:val="00B741CA"/>
    <w:rsid w:val="00B74274"/>
    <w:rsid w:val="00B742F3"/>
    <w:rsid w:val="00B743C7"/>
    <w:rsid w:val="00B74525"/>
    <w:rsid w:val="00B7454C"/>
    <w:rsid w:val="00B7481E"/>
    <w:rsid w:val="00B74840"/>
    <w:rsid w:val="00B748DB"/>
    <w:rsid w:val="00B74998"/>
    <w:rsid w:val="00B74B3F"/>
    <w:rsid w:val="00B74BF4"/>
    <w:rsid w:val="00B74C64"/>
    <w:rsid w:val="00B74C76"/>
    <w:rsid w:val="00B74E86"/>
    <w:rsid w:val="00B74F00"/>
    <w:rsid w:val="00B7504C"/>
    <w:rsid w:val="00B75078"/>
    <w:rsid w:val="00B7509F"/>
    <w:rsid w:val="00B750F5"/>
    <w:rsid w:val="00B75158"/>
    <w:rsid w:val="00B75161"/>
    <w:rsid w:val="00B7541B"/>
    <w:rsid w:val="00B755F2"/>
    <w:rsid w:val="00B7578D"/>
    <w:rsid w:val="00B75831"/>
    <w:rsid w:val="00B7583D"/>
    <w:rsid w:val="00B75875"/>
    <w:rsid w:val="00B758BC"/>
    <w:rsid w:val="00B7596D"/>
    <w:rsid w:val="00B75CC2"/>
    <w:rsid w:val="00B75CCA"/>
    <w:rsid w:val="00B75DE2"/>
    <w:rsid w:val="00B75DFF"/>
    <w:rsid w:val="00B76009"/>
    <w:rsid w:val="00B76302"/>
    <w:rsid w:val="00B76330"/>
    <w:rsid w:val="00B7636C"/>
    <w:rsid w:val="00B764A6"/>
    <w:rsid w:val="00B765CF"/>
    <w:rsid w:val="00B766DC"/>
    <w:rsid w:val="00B767D6"/>
    <w:rsid w:val="00B76852"/>
    <w:rsid w:val="00B76937"/>
    <w:rsid w:val="00B76960"/>
    <w:rsid w:val="00B76EA9"/>
    <w:rsid w:val="00B76F60"/>
    <w:rsid w:val="00B7700B"/>
    <w:rsid w:val="00B77241"/>
    <w:rsid w:val="00B77249"/>
    <w:rsid w:val="00B77275"/>
    <w:rsid w:val="00B77478"/>
    <w:rsid w:val="00B77498"/>
    <w:rsid w:val="00B774B3"/>
    <w:rsid w:val="00B774C0"/>
    <w:rsid w:val="00B7766C"/>
    <w:rsid w:val="00B776BD"/>
    <w:rsid w:val="00B779C8"/>
    <w:rsid w:val="00B77A22"/>
    <w:rsid w:val="00B77AF1"/>
    <w:rsid w:val="00B77B24"/>
    <w:rsid w:val="00B77B9B"/>
    <w:rsid w:val="00B77BA1"/>
    <w:rsid w:val="00B77C40"/>
    <w:rsid w:val="00B8006B"/>
    <w:rsid w:val="00B8006E"/>
    <w:rsid w:val="00B80080"/>
    <w:rsid w:val="00B801AF"/>
    <w:rsid w:val="00B80273"/>
    <w:rsid w:val="00B80287"/>
    <w:rsid w:val="00B802D0"/>
    <w:rsid w:val="00B803E4"/>
    <w:rsid w:val="00B80485"/>
    <w:rsid w:val="00B804EB"/>
    <w:rsid w:val="00B80547"/>
    <w:rsid w:val="00B80556"/>
    <w:rsid w:val="00B806CF"/>
    <w:rsid w:val="00B80753"/>
    <w:rsid w:val="00B80766"/>
    <w:rsid w:val="00B8086F"/>
    <w:rsid w:val="00B80A99"/>
    <w:rsid w:val="00B80B9B"/>
    <w:rsid w:val="00B80D5F"/>
    <w:rsid w:val="00B80E24"/>
    <w:rsid w:val="00B80E4F"/>
    <w:rsid w:val="00B8118F"/>
    <w:rsid w:val="00B8135A"/>
    <w:rsid w:val="00B8137D"/>
    <w:rsid w:val="00B813AB"/>
    <w:rsid w:val="00B813DD"/>
    <w:rsid w:val="00B81460"/>
    <w:rsid w:val="00B81518"/>
    <w:rsid w:val="00B81582"/>
    <w:rsid w:val="00B8183A"/>
    <w:rsid w:val="00B8187E"/>
    <w:rsid w:val="00B81926"/>
    <w:rsid w:val="00B81965"/>
    <w:rsid w:val="00B81966"/>
    <w:rsid w:val="00B81A5A"/>
    <w:rsid w:val="00B81AEE"/>
    <w:rsid w:val="00B81BFC"/>
    <w:rsid w:val="00B81C23"/>
    <w:rsid w:val="00B81C88"/>
    <w:rsid w:val="00B81C9B"/>
    <w:rsid w:val="00B81D4B"/>
    <w:rsid w:val="00B81D8A"/>
    <w:rsid w:val="00B81E55"/>
    <w:rsid w:val="00B81FFB"/>
    <w:rsid w:val="00B822E2"/>
    <w:rsid w:val="00B82331"/>
    <w:rsid w:val="00B823F1"/>
    <w:rsid w:val="00B8242B"/>
    <w:rsid w:val="00B8243B"/>
    <w:rsid w:val="00B82535"/>
    <w:rsid w:val="00B8254E"/>
    <w:rsid w:val="00B8260C"/>
    <w:rsid w:val="00B8279E"/>
    <w:rsid w:val="00B829A6"/>
    <w:rsid w:val="00B82A58"/>
    <w:rsid w:val="00B82B6A"/>
    <w:rsid w:val="00B82BBB"/>
    <w:rsid w:val="00B82BD3"/>
    <w:rsid w:val="00B82C0F"/>
    <w:rsid w:val="00B82CCA"/>
    <w:rsid w:val="00B82CD5"/>
    <w:rsid w:val="00B82F22"/>
    <w:rsid w:val="00B83131"/>
    <w:rsid w:val="00B831CF"/>
    <w:rsid w:val="00B83350"/>
    <w:rsid w:val="00B833F5"/>
    <w:rsid w:val="00B83455"/>
    <w:rsid w:val="00B83548"/>
    <w:rsid w:val="00B83594"/>
    <w:rsid w:val="00B83637"/>
    <w:rsid w:val="00B83700"/>
    <w:rsid w:val="00B83910"/>
    <w:rsid w:val="00B83AD7"/>
    <w:rsid w:val="00B83B07"/>
    <w:rsid w:val="00B83B42"/>
    <w:rsid w:val="00B83BCE"/>
    <w:rsid w:val="00B83C9F"/>
    <w:rsid w:val="00B83CE4"/>
    <w:rsid w:val="00B83F13"/>
    <w:rsid w:val="00B83F86"/>
    <w:rsid w:val="00B83FCC"/>
    <w:rsid w:val="00B843A1"/>
    <w:rsid w:val="00B8441F"/>
    <w:rsid w:val="00B8445A"/>
    <w:rsid w:val="00B8446F"/>
    <w:rsid w:val="00B845D4"/>
    <w:rsid w:val="00B84682"/>
    <w:rsid w:val="00B846BD"/>
    <w:rsid w:val="00B846E6"/>
    <w:rsid w:val="00B84757"/>
    <w:rsid w:val="00B8484F"/>
    <w:rsid w:val="00B84920"/>
    <w:rsid w:val="00B84953"/>
    <w:rsid w:val="00B84973"/>
    <w:rsid w:val="00B84B59"/>
    <w:rsid w:val="00B84BB6"/>
    <w:rsid w:val="00B84CBA"/>
    <w:rsid w:val="00B84D1C"/>
    <w:rsid w:val="00B84E82"/>
    <w:rsid w:val="00B84FAE"/>
    <w:rsid w:val="00B85194"/>
    <w:rsid w:val="00B851D6"/>
    <w:rsid w:val="00B853A9"/>
    <w:rsid w:val="00B853C7"/>
    <w:rsid w:val="00B854DF"/>
    <w:rsid w:val="00B85604"/>
    <w:rsid w:val="00B85636"/>
    <w:rsid w:val="00B856A6"/>
    <w:rsid w:val="00B856D6"/>
    <w:rsid w:val="00B8578E"/>
    <w:rsid w:val="00B85856"/>
    <w:rsid w:val="00B85A22"/>
    <w:rsid w:val="00B85A5B"/>
    <w:rsid w:val="00B85A65"/>
    <w:rsid w:val="00B85AEB"/>
    <w:rsid w:val="00B85B09"/>
    <w:rsid w:val="00B85C29"/>
    <w:rsid w:val="00B85C82"/>
    <w:rsid w:val="00B85D43"/>
    <w:rsid w:val="00B85F4C"/>
    <w:rsid w:val="00B86093"/>
    <w:rsid w:val="00B86094"/>
    <w:rsid w:val="00B860E2"/>
    <w:rsid w:val="00B86180"/>
    <w:rsid w:val="00B861D9"/>
    <w:rsid w:val="00B86297"/>
    <w:rsid w:val="00B86348"/>
    <w:rsid w:val="00B8643A"/>
    <w:rsid w:val="00B8646E"/>
    <w:rsid w:val="00B86579"/>
    <w:rsid w:val="00B866DF"/>
    <w:rsid w:val="00B866F0"/>
    <w:rsid w:val="00B86917"/>
    <w:rsid w:val="00B86984"/>
    <w:rsid w:val="00B869CB"/>
    <w:rsid w:val="00B869DB"/>
    <w:rsid w:val="00B869E1"/>
    <w:rsid w:val="00B86B37"/>
    <w:rsid w:val="00B86B3F"/>
    <w:rsid w:val="00B86B62"/>
    <w:rsid w:val="00B86BC6"/>
    <w:rsid w:val="00B86BD8"/>
    <w:rsid w:val="00B86C88"/>
    <w:rsid w:val="00B86CB4"/>
    <w:rsid w:val="00B86DB1"/>
    <w:rsid w:val="00B86F82"/>
    <w:rsid w:val="00B870B6"/>
    <w:rsid w:val="00B871DB"/>
    <w:rsid w:val="00B87303"/>
    <w:rsid w:val="00B87356"/>
    <w:rsid w:val="00B8737F"/>
    <w:rsid w:val="00B873A1"/>
    <w:rsid w:val="00B874F3"/>
    <w:rsid w:val="00B877B1"/>
    <w:rsid w:val="00B8793F"/>
    <w:rsid w:val="00B879FF"/>
    <w:rsid w:val="00B87B09"/>
    <w:rsid w:val="00B87BCB"/>
    <w:rsid w:val="00B87E42"/>
    <w:rsid w:val="00B87EDE"/>
    <w:rsid w:val="00B87EF7"/>
    <w:rsid w:val="00B901D2"/>
    <w:rsid w:val="00B901F8"/>
    <w:rsid w:val="00B90269"/>
    <w:rsid w:val="00B90297"/>
    <w:rsid w:val="00B903DE"/>
    <w:rsid w:val="00B903FC"/>
    <w:rsid w:val="00B90443"/>
    <w:rsid w:val="00B90564"/>
    <w:rsid w:val="00B9064F"/>
    <w:rsid w:val="00B906CB"/>
    <w:rsid w:val="00B906D1"/>
    <w:rsid w:val="00B906DF"/>
    <w:rsid w:val="00B90723"/>
    <w:rsid w:val="00B9072E"/>
    <w:rsid w:val="00B9075D"/>
    <w:rsid w:val="00B908C2"/>
    <w:rsid w:val="00B90A92"/>
    <w:rsid w:val="00B90B6F"/>
    <w:rsid w:val="00B90D10"/>
    <w:rsid w:val="00B90D90"/>
    <w:rsid w:val="00B90F10"/>
    <w:rsid w:val="00B90F99"/>
    <w:rsid w:val="00B91035"/>
    <w:rsid w:val="00B912FB"/>
    <w:rsid w:val="00B9151B"/>
    <w:rsid w:val="00B91593"/>
    <w:rsid w:val="00B91605"/>
    <w:rsid w:val="00B9163F"/>
    <w:rsid w:val="00B91699"/>
    <w:rsid w:val="00B91793"/>
    <w:rsid w:val="00B917E2"/>
    <w:rsid w:val="00B91A53"/>
    <w:rsid w:val="00B91A8B"/>
    <w:rsid w:val="00B91A8D"/>
    <w:rsid w:val="00B91B54"/>
    <w:rsid w:val="00B91BD6"/>
    <w:rsid w:val="00B91CD6"/>
    <w:rsid w:val="00B91CD9"/>
    <w:rsid w:val="00B91D2F"/>
    <w:rsid w:val="00B91D32"/>
    <w:rsid w:val="00B91D91"/>
    <w:rsid w:val="00B91DB1"/>
    <w:rsid w:val="00B91EC8"/>
    <w:rsid w:val="00B91EDE"/>
    <w:rsid w:val="00B91EE7"/>
    <w:rsid w:val="00B92068"/>
    <w:rsid w:val="00B920AA"/>
    <w:rsid w:val="00B920E6"/>
    <w:rsid w:val="00B92135"/>
    <w:rsid w:val="00B921B6"/>
    <w:rsid w:val="00B92318"/>
    <w:rsid w:val="00B9258B"/>
    <w:rsid w:val="00B927E4"/>
    <w:rsid w:val="00B9288D"/>
    <w:rsid w:val="00B92985"/>
    <w:rsid w:val="00B929B4"/>
    <w:rsid w:val="00B929D0"/>
    <w:rsid w:val="00B92C25"/>
    <w:rsid w:val="00B92D28"/>
    <w:rsid w:val="00B92DE2"/>
    <w:rsid w:val="00B92EE4"/>
    <w:rsid w:val="00B92FDF"/>
    <w:rsid w:val="00B93084"/>
    <w:rsid w:val="00B9330C"/>
    <w:rsid w:val="00B93377"/>
    <w:rsid w:val="00B9363E"/>
    <w:rsid w:val="00B9372D"/>
    <w:rsid w:val="00B93735"/>
    <w:rsid w:val="00B93769"/>
    <w:rsid w:val="00B9379E"/>
    <w:rsid w:val="00B93832"/>
    <w:rsid w:val="00B9388B"/>
    <w:rsid w:val="00B93972"/>
    <w:rsid w:val="00B93A4F"/>
    <w:rsid w:val="00B93BA8"/>
    <w:rsid w:val="00B93C15"/>
    <w:rsid w:val="00B93CA9"/>
    <w:rsid w:val="00B93CBB"/>
    <w:rsid w:val="00B93CD7"/>
    <w:rsid w:val="00B93F53"/>
    <w:rsid w:val="00B93FEE"/>
    <w:rsid w:val="00B94083"/>
    <w:rsid w:val="00B94158"/>
    <w:rsid w:val="00B941AD"/>
    <w:rsid w:val="00B9422E"/>
    <w:rsid w:val="00B942FB"/>
    <w:rsid w:val="00B94320"/>
    <w:rsid w:val="00B9433E"/>
    <w:rsid w:val="00B9434D"/>
    <w:rsid w:val="00B946BD"/>
    <w:rsid w:val="00B94744"/>
    <w:rsid w:val="00B948AA"/>
    <w:rsid w:val="00B948AD"/>
    <w:rsid w:val="00B9499B"/>
    <w:rsid w:val="00B94A0C"/>
    <w:rsid w:val="00B94A50"/>
    <w:rsid w:val="00B94B24"/>
    <w:rsid w:val="00B94DD7"/>
    <w:rsid w:val="00B94E42"/>
    <w:rsid w:val="00B94FCE"/>
    <w:rsid w:val="00B951C5"/>
    <w:rsid w:val="00B95575"/>
    <w:rsid w:val="00B9570C"/>
    <w:rsid w:val="00B95C80"/>
    <w:rsid w:val="00B95CD6"/>
    <w:rsid w:val="00B95CDE"/>
    <w:rsid w:val="00B95D31"/>
    <w:rsid w:val="00B95D47"/>
    <w:rsid w:val="00B95D4E"/>
    <w:rsid w:val="00B95EBB"/>
    <w:rsid w:val="00B96085"/>
    <w:rsid w:val="00B96220"/>
    <w:rsid w:val="00B962EF"/>
    <w:rsid w:val="00B9641A"/>
    <w:rsid w:val="00B96433"/>
    <w:rsid w:val="00B964EE"/>
    <w:rsid w:val="00B96622"/>
    <w:rsid w:val="00B96755"/>
    <w:rsid w:val="00B967C0"/>
    <w:rsid w:val="00B967E5"/>
    <w:rsid w:val="00B96A4A"/>
    <w:rsid w:val="00B96A5C"/>
    <w:rsid w:val="00B96A96"/>
    <w:rsid w:val="00B96B93"/>
    <w:rsid w:val="00B96C26"/>
    <w:rsid w:val="00B96DAD"/>
    <w:rsid w:val="00B97074"/>
    <w:rsid w:val="00B970E4"/>
    <w:rsid w:val="00B971AF"/>
    <w:rsid w:val="00B971B5"/>
    <w:rsid w:val="00B97209"/>
    <w:rsid w:val="00B972A4"/>
    <w:rsid w:val="00B97484"/>
    <w:rsid w:val="00B974F8"/>
    <w:rsid w:val="00B9768A"/>
    <w:rsid w:val="00B977A1"/>
    <w:rsid w:val="00B977FE"/>
    <w:rsid w:val="00B978AC"/>
    <w:rsid w:val="00B97997"/>
    <w:rsid w:val="00B97A15"/>
    <w:rsid w:val="00B97BB8"/>
    <w:rsid w:val="00B97C28"/>
    <w:rsid w:val="00B97D02"/>
    <w:rsid w:val="00B97DC7"/>
    <w:rsid w:val="00B97E14"/>
    <w:rsid w:val="00BA00BB"/>
    <w:rsid w:val="00BA01E8"/>
    <w:rsid w:val="00BA02CC"/>
    <w:rsid w:val="00BA034E"/>
    <w:rsid w:val="00BA03E0"/>
    <w:rsid w:val="00BA055D"/>
    <w:rsid w:val="00BA060B"/>
    <w:rsid w:val="00BA0886"/>
    <w:rsid w:val="00BA08E2"/>
    <w:rsid w:val="00BA09E4"/>
    <w:rsid w:val="00BA0A34"/>
    <w:rsid w:val="00BA0B9F"/>
    <w:rsid w:val="00BA0BEE"/>
    <w:rsid w:val="00BA0E5C"/>
    <w:rsid w:val="00BA0F87"/>
    <w:rsid w:val="00BA112A"/>
    <w:rsid w:val="00BA119A"/>
    <w:rsid w:val="00BA11AE"/>
    <w:rsid w:val="00BA11B9"/>
    <w:rsid w:val="00BA1413"/>
    <w:rsid w:val="00BA1435"/>
    <w:rsid w:val="00BA14CE"/>
    <w:rsid w:val="00BA16BB"/>
    <w:rsid w:val="00BA175F"/>
    <w:rsid w:val="00BA1898"/>
    <w:rsid w:val="00BA19C0"/>
    <w:rsid w:val="00BA1A83"/>
    <w:rsid w:val="00BA1AF8"/>
    <w:rsid w:val="00BA1B06"/>
    <w:rsid w:val="00BA1C0F"/>
    <w:rsid w:val="00BA1CBC"/>
    <w:rsid w:val="00BA1E32"/>
    <w:rsid w:val="00BA1EA8"/>
    <w:rsid w:val="00BA1FA3"/>
    <w:rsid w:val="00BA2056"/>
    <w:rsid w:val="00BA22D6"/>
    <w:rsid w:val="00BA2340"/>
    <w:rsid w:val="00BA235E"/>
    <w:rsid w:val="00BA23C0"/>
    <w:rsid w:val="00BA24C4"/>
    <w:rsid w:val="00BA26A6"/>
    <w:rsid w:val="00BA27A8"/>
    <w:rsid w:val="00BA2B53"/>
    <w:rsid w:val="00BA2B6C"/>
    <w:rsid w:val="00BA2C99"/>
    <w:rsid w:val="00BA2F6F"/>
    <w:rsid w:val="00BA2F78"/>
    <w:rsid w:val="00BA306C"/>
    <w:rsid w:val="00BA310D"/>
    <w:rsid w:val="00BA3121"/>
    <w:rsid w:val="00BA31E9"/>
    <w:rsid w:val="00BA323A"/>
    <w:rsid w:val="00BA330C"/>
    <w:rsid w:val="00BA34BB"/>
    <w:rsid w:val="00BA3619"/>
    <w:rsid w:val="00BA36FE"/>
    <w:rsid w:val="00BA38D0"/>
    <w:rsid w:val="00BA3C88"/>
    <w:rsid w:val="00BA3CE3"/>
    <w:rsid w:val="00BA3D65"/>
    <w:rsid w:val="00BA3E0A"/>
    <w:rsid w:val="00BA3EB3"/>
    <w:rsid w:val="00BA4053"/>
    <w:rsid w:val="00BA4095"/>
    <w:rsid w:val="00BA4329"/>
    <w:rsid w:val="00BA44D7"/>
    <w:rsid w:val="00BA4745"/>
    <w:rsid w:val="00BA47C5"/>
    <w:rsid w:val="00BA4848"/>
    <w:rsid w:val="00BA4979"/>
    <w:rsid w:val="00BA4986"/>
    <w:rsid w:val="00BA4A46"/>
    <w:rsid w:val="00BA4B41"/>
    <w:rsid w:val="00BA4B8E"/>
    <w:rsid w:val="00BA4CD5"/>
    <w:rsid w:val="00BA4CFB"/>
    <w:rsid w:val="00BA4EC1"/>
    <w:rsid w:val="00BA4F79"/>
    <w:rsid w:val="00BA4FB8"/>
    <w:rsid w:val="00BA4FE5"/>
    <w:rsid w:val="00BA501B"/>
    <w:rsid w:val="00BA5187"/>
    <w:rsid w:val="00BA51B1"/>
    <w:rsid w:val="00BA557A"/>
    <w:rsid w:val="00BA56FD"/>
    <w:rsid w:val="00BA57C6"/>
    <w:rsid w:val="00BA5861"/>
    <w:rsid w:val="00BA5904"/>
    <w:rsid w:val="00BA590E"/>
    <w:rsid w:val="00BA5B7B"/>
    <w:rsid w:val="00BA5BDF"/>
    <w:rsid w:val="00BA5CF4"/>
    <w:rsid w:val="00BA5CFB"/>
    <w:rsid w:val="00BA5D80"/>
    <w:rsid w:val="00BA5D94"/>
    <w:rsid w:val="00BA5F01"/>
    <w:rsid w:val="00BA5F9C"/>
    <w:rsid w:val="00BA6064"/>
    <w:rsid w:val="00BA62C7"/>
    <w:rsid w:val="00BA6378"/>
    <w:rsid w:val="00BA653D"/>
    <w:rsid w:val="00BA676F"/>
    <w:rsid w:val="00BA6774"/>
    <w:rsid w:val="00BA6785"/>
    <w:rsid w:val="00BA6918"/>
    <w:rsid w:val="00BA6A99"/>
    <w:rsid w:val="00BA6C04"/>
    <w:rsid w:val="00BA6C10"/>
    <w:rsid w:val="00BA6C13"/>
    <w:rsid w:val="00BA6C1C"/>
    <w:rsid w:val="00BA6C42"/>
    <w:rsid w:val="00BA6C87"/>
    <w:rsid w:val="00BA6C9F"/>
    <w:rsid w:val="00BA6CE3"/>
    <w:rsid w:val="00BA6E0D"/>
    <w:rsid w:val="00BA6E79"/>
    <w:rsid w:val="00BA6F88"/>
    <w:rsid w:val="00BA704F"/>
    <w:rsid w:val="00BA70B1"/>
    <w:rsid w:val="00BA711C"/>
    <w:rsid w:val="00BA7147"/>
    <w:rsid w:val="00BA71C2"/>
    <w:rsid w:val="00BA73D8"/>
    <w:rsid w:val="00BA7747"/>
    <w:rsid w:val="00BA7830"/>
    <w:rsid w:val="00BA7A75"/>
    <w:rsid w:val="00BA7BD8"/>
    <w:rsid w:val="00BA7CE8"/>
    <w:rsid w:val="00BA7D3E"/>
    <w:rsid w:val="00BB002C"/>
    <w:rsid w:val="00BB0102"/>
    <w:rsid w:val="00BB016F"/>
    <w:rsid w:val="00BB05E8"/>
    <w:rsid w:val="00BB05F2"/>
    <w:rsid w:val="00BB075C"/>
    <w:rsid w:val="00BB07DD"/>
    <w:rsid w:val="00BB08B2"/>
    <w:rsid w:val="00BB08D1"/>
    <w:rsid w:val="00BB0969"/>
    <w:rsid w:val="00BB0C30"/>
    <w:rsid w:val="00BB0DE6"/>
    <w:rsid w:val="00BB0F5B"/>
    <w:rsid w:val="00BB106B"/>
    <w:rsid w:val="00BB10D4"/>
    <w:rsid w:val="00BB10EA"/>
    <w:rsid w:val="00BB1308"/>
    <w:rsid w:val="00BB135B"/>
    <w:rsid w:val="00BB13A5"/>
    <w:rsid w:val="00BB13F8"/>
    <w:rsid w:val="00BB1412"/>
    <w:rsid w:val="00BB151C"/>
    <w:rsid w:val="00BB161E"/>
    <w:rsid w:val="00BB1671"/>
    <w:rsid w:val="00BB18C7"/>
    <w:rsid w:val="00BB18E0"/>
    <w:rsid w:val="00BB18ED"/>
    <w:rsid w:val="00BB1988"/>
    <w:rsid w:val="00BB19C1"/>
    <w:rsid w:val="00BB1A3C"/>
    <w:rsid w:val="00BB1A40"/>
    <w:rsid w:val="00BB1A55"/>
    <w:rsid w:val="00BB1A5E"/>
    <w:rsid w:val="00BB1A9A"/>
    <w:rsid w:val="00BB1B18"/>
    <w:rsid w:val="00BB1B3D"/>
    <w:rsid w:val="00BB1C1C"/>
    <w:rsid w:val="00BB1C92"/>
    <w:rsid w:val="00BB1CD4"/>
    <w:rsid w:val="00BB1DA8"/>
    <w:rsid w:val="00BB1F1D"/>
    <w:rsid w:val="00BB214D"/>
    <w:rsid w:val="00BB2264"/>
    <w:rsid w:val="00BB2306"/>
    <w:rsid w:val="00BB231C"/>
    <w:rsid w:val="00BB23A6"/>
    <w:rsid w:val="00BB23D8"/>
    <w:rsid w:val="00BB24B2"/>
    <w:rsid w:val="00BB2500"/>
    <w:rsid w:val="00BB2518"/>
    <w:rsid w:val="00BB2609"/>
    <w:rsid w:val="00BB27BE"/>
    <w:rsid w:val="00BB2803"/>
    <w:rsid w:val="00BB2928"/>
    <w:rsid w:val="00BB2AE2"/>
    <w:rsid w:val="00BB2D5C"/>
    <w:rsid w:val="00BB2F4E"/>
    <w:rsid w:val="00BB325A"/>
    <w:rsid w:val="00BB33F4"/>
    <w:rsid w:val="00BB35AF"/>
    <w:rsid w:val="00BB3615"/>
    <w:rsid w:val="00BB3656"/>
    <w:rsid w:val="00BB37CC"/>
    <w:rsid w:val="00BB394C"/>
    <w:rsid w:val="00BB39CB"/>
    <w:rsid w:val="00BB3B51"/>
    <w:rsid w:val="00BB3DE4"/>
    <w:rsid w:val="00BB3E40"/>
    <w:rsid w:val="00BB3EA8"/>
    <w:rsid w:val="00BB3F63"/>
    <w:rsid w:val="00BB3FED"/>
    <w:rsid w:val="00BB405F"/>
    <w:rsid w:val="00BB4124"/>
    <w:rsid w:val="00BB4311"/>
    <w:rsid w:val="00BB43D2"/>
    <w:rsid w:val="00BB4660"/>
    <w:rsid w:val="00BB471D"/>
    <w:rsid w:val="00BB48D6"/>
    <w:rsid w:val="00BB4B1D"/>
    <w:rsid w:val="00BB4B4B"/>
    <w:rsid w:val="00BB4B73"/>
    <w:rsid w:val="00BB4D45"/>
    <w:rsid w:val="00BB4D6B"/>
    <w:rsid w:val="00BB4F17"/>
    <w:rsid w:val="00BB4FB2"/>
    <w:rsid w:val="00BB4FD0"/>
    <w:rsid w:val="00BB5126"/>
    <w:rsid w:val="00BB513D"/>
    <w:rsid w:val="00BB52CA"/>
    <w:rsid w:val="00BB5304"/>
    <w:rsid w:val="00BB567F"/>
    <w:rsid w:val="00BB56D1"/>
    <w:rsid w:val="00BB579C"/>
    <w:rsid w:val="00BB5890"/>
    <w:rsid w:val="00BB593C"/>
    <w:rsid w:val="00BB5994"/>
    <w:rsid w:val="00BB59A4"/>
    <w:rsid w:val="00BB59EF"/>
    <w:rsid w:val="00BB5AAD"/>
    <w:rsid w:val="00BB5ACD"/>
    <w:rsid w:val="00BB5C6D"/>
    <w:rsid w:val="00BB5D33"/>
    <w:rsid w:val="00BB5E3A"/>
    <w:rsid w:val="00BB5F5D"/>
    <w:rsid w:val="00BB60F5"/>
    <w:rsid w:val="00BB62DA"/>
    <w:rsid w:val="00BB644B"/>
    <w:rsid w:val="00BB6625"/>
    <w:rsid w:val="00BB675E"/>
    <w:rsid w:val="00BB6A3E"/>
    <w:rsid w:val="00BB6ADD"/>
    <w:rsid w:val="00BB6CC0"/>
    <w:rsid w:val="00BB6DB8"/>
    <w:rsid w:val="00BB6E31"/>
    <w:rsid w:val="00BB6E75"/>
    <w:rsid w:val="00BB6F66"/>
    <w:rsid w:val="00BB7225"/>
    <w:rsid w:val="00BB7238"/>
    <w:rsid w:val="00BB74AF"/>
    <w:rsid w:val="00BB75C8"/>
    <w:rsid w:val="00BB7603"/>
    <w:rsid w:val="00BB7825"/>
    <w:rsid w:val="00BB7836"/>
    <w:rsid w:val="00BB7897"/>
    <w:rsid w:val="00BB7957"/>
    <w:rsid w:val="00BB797E"/>
    <w:rsid w:val="00BB79F2"/>
    <w:rsid w:val="00BB7AD2"/>
    <w:rsid w:val="00BB7ADE"/>
    <w:rsid w:val="00BB7B59"/>
    <w:rsid w:val="00BB7C22"/>
    <w:rsid w:val="00BB7D55"/>
    <w:rsid w:val="00BB7D58"/>
    <w:rsid w:val="00BB7D72"/>
    <w:rsid w:val="00BB7DD1"/>
    <w:rsid w:val="00BB7E1C"/>
    <w:rsid w:val="00BB7F5A"/>
    <w:rsid w:val="00BC0205"/>
    <w:rsid w:val="00BC024A"/>
    <w:rsid w:val="00BC0275"/>
    <w:rsid w:val="00BC0358"/>
    <w:rsid w:val="00BC054B"/>
    <w:rsid w:val="00BC05C2"/>
    <w:rsid w:val="00BC05C7"/>
    <w:rsid w:val="00BC065A"/>
    <w:rsid w:val="00BC0689"/>
    <w:rsid w:val="00BC06CB"/>
    <w:rsid w:val="00BC0768"/>
    <w:rsid w:val="00BC0861"/>
    <w:rsid w:val="00BC09C4"/>
    <w:rsid w:val="00BC09F8"/>
    <w:rsid w:val="00BC09F9"/>
    <w:rsid w:val="00BC0A3D"/>
    <w:rsid w:val="00BC0B44"/>
    <w:rsid w:val="00BC0C5C"/>
    <w:rsid w:val="00BC0F79"/>
    <w:rsid w:val="00BC104B"/>
    <w:rsid w:val="00BC1062"/>
    <w:rsid w:val="00BC1137"/>
    <w:rsid w:val="00BC11C5"/>
    <w:rsid w:val="00BC1292"/>
    <w:rsid w:val="00BC12D0"/>
    <w:rsid w:val="00BC13C3"/>
    <w:rsid w:val="00BC1438"/>
    <w:rsid w:val="00BC166F"/>
    <w:rsid w:val="00BC16D2"/>
    <w:rsid w:val="00BC1700"/>
    <w:rsid w:val="00BC1810"/>
    <w:rsid w:val="00BC18ED"/>
    <w:rsid w:val="00BC1B82"/>
    <w:rsid w:val="00BC1EC7"/>
    <w:rsid w:val="00BC1F9D"/>
    <w:rsid w:val="00BC208A"/>
    <w:rsid w:val="00BC2137"/>
    <w:rsid w:val="00BC2176"/>
    <w:rsid w:val="00BC2262"/>
    <w:rsid w:val="00BC22D1"/>
    <w:rsid w:val="00BC2326"/>
    <w:rsid w:val="00BC23C7"/>
    <w:rsid w:val="00BC23DD"/>
    <w:rsid w:val="00BC23F9"/>
    <w:rsid w:val="00BC2431"/>
    <w:rsid w:val="00BC2466"/>
    <w:rsid w:val="00BC254C"/>
    <w:rsid w:val="00BC2557"/>
    <w:rsid w:val="00BC2622"/>
    <w:rsid w:val="00BC266C"/>
    <w:rsid w:val="00BC266F"/>
    <w:rsid w:val="00BC2A59"/>
    <w:rsid w:val="00BC2C0C"/>
    <w:rsid w:val="00BC2C5D"/>
    <w:rsid w:val="00BC2D94"/>
    <w:rsid w:val="00BC2F20"/>
    <w:rsid w:val="00BC303A"/>
    <w:rsid w:val="00BC309B"/>
    <w:rsid w:val="00BC3222"/>
    <w:rsid w:val="00BC322D"/>
    <w:rsid w:val="00BC32A4"/>
    <w:rsid w:val="00BC3495"/>
    <w:rsid w:val="00BC353C"/>
    <w:rsid w:val="00BC354E"/>
    <w:rsid w:val="00BC37AF"/>
    <w:rsid w:val="00BC3889"/>
    <w:rsid w:val="00BC38F3"/>
    <w:rsid w:val="00BC3B18"/>
    <w:rsid w:val="00BC3BD0"/>
    <w:rsid w:val="00BC3FD2"/>
    <w:rsid w:val="00BC4034"/>
    <w:rsid w:val="00BC4076"/>
    <w:rsid w:val="00BC4156"/>
    <w:rsid w:val="00BC4221"/>
    <w:rsid w:val="00BC435A"/>
    <w:rsid w:val="00BC4515"/>
    <w:rsid w:val="00BC46D9"/>
    <w:rsid w:val="00BC48E3"/>
    <w:rsid w:val="00BC491C"/>
    <w:rsid w:val="00BC4952"/>
    <w:rsid w:val="00BC496D"/>
    <w:rsid w:val="00BC4A46"/>
    <w:rsid w:val="00BC4A69"/>
    <w:rsid w:val="00BC4A9F"/>
    <w:rsid w:val="00BC4ABF"/>
    <w:rsid w:val="00BC4AFF"/>
    <w:rsid w:val="00BC4B1D"/>
    <w:rsid w:val="00BC4BCE"/>
    <w:rsid w:val="00BC4F39"/>
    <w:rsid w:val="00BC4F57"/>
    <w:rsid w:val="00BC500E"/>
    <w:rsid w:val="00BC50F6"/>
    <w:rsid w:val="00BC5161"/>
    <w:rsid w:val="00BC5171"/>
    <w:rsid w:val="00BC51A4"/>
    <w:rsid w:val="00BC51A7"/>
    <w:rsid w:val="00BC5270"/>
    <w:rsid w:val="00BC52E8"/>
    <w:rsid w:val="00BC56AF"/>
    <w:rsid w:val="00BC56DB"/>
    <w:rsid w:val="00BC5978"/>
    <w:rsid w:val="00BC59CE"/>
    <w:rsid w:val="00BC5B2C"/>
    <w:rsid w:val="00BC5BEA"/>
    <w:rsid w:val="00BC5F36"/>
    <w:rsid w:val="00BC6047"/>
    <w:rsid w:val="00BC60F7"/>
    <w:rsid w:val="00BC610C"/>
    <w:rsid w:val="00BC638E"/>
    <w:rsid w:val="00BC63A8"/>
    <w:rsid w:val="00BC6444"/>
    <w:rsid w:val="00BC64CA"/>
    <w:rsid w:val="00BC64FD"/>
    <w:rsid w:val="00BC6829"/>
    <w:rsid w:val="00BC691F"/>
    <w:rsid w:val="00BC6985"/>
    <w:rsid w:val="00BC6A1A"/>
    <w:rsid w:val="00BC6AD9"/>
    <w:rsid w:val="00BC6B5E"/>
    <w:rsid w:val="00BC6C0A"/>
    <w:rsid w:val="00BC6F79"/>
    <w:rsid w:val="00BC70F4"/>
    <w:rsid w:val="00BC711A"/>
    <w:rsid w:val="00BC71E4"/>
    <w:rsid w:val="00BC7430"/>
    <w:rsid w:val="00BC7433"/>
    <w:rsid w:val="00BC75C4"/>
    <w:rsid w:val="00BC76F5"/>
    <w:rsid w:val="00BC77F6"/>
    <w:rsid w:val="00BC79BB"/>
    <w:rsid w:val="00BC7A77"/>
    <w:rsid w:val="00BC7AB1"/>
    <w:rsid w:val="00BC7BDA"/>
    <w:rsid w:val="00BC7C8F"/>
    <w:rsid w:val="00BC7DD7"/>
    <w:rsid w:val="00BC7E2A"/>
    <w:rsid w:val="00BC7F21"/>
    <w:rsid w:val="00BC7F22"/>
    <w:rsid w:val="00BD0176"/>
    <w:rsid w:val="00BD01A8"/>
    <w:rsid w:val="00BD03C4"/>
    <w:rsid w:val="00BD04C4"/>
    <w:rsid w:val="00BD0528"/>
    <w:rsid w:val="00BD05CD"/>
    <w:rsid w:val="00BD06FD"/>
    <w:rsid w:val="00BD07B4"/>
    <w:rsid w:val="00BD0803"/>
    <w:rsid w:val="00BD08CE"/>
    <w:rsid w:val="00BD09CD"/>
    <w:rsid w:val="00BD0AEC"/>
    <w:rsid w:val="00BD0AF9"/>
    <w:rsid w:val="00BD0C4B"/>
    <w:rsid w:val="00BD0CD2"/>
    <w:rsid w:val="00BD0E75"/>
    <w:rsid w:val="00BD10CE"/>
    <w:rsid w:val="00BD112A"/>
    <w:rsid w:val="00BD11E5"/>
    <w:rsid w:val="00BD1280"/>
    <w:rsid w:val="00BD14F7"/>
    <w:rsid w:val="00BD1707"/>
    <w:rsid w:val="00BD1747"/>
    <w:rsid w:val="00BD1BE4"/>
    <w:rsid w:val="00BD1C9A"/>
    <w:rsid w:val="00BD1CF3"/>
    <w:rsid w:val="00BD2394"/>
    <w:rsid w:val="00BD2456"/>
    <w:rsid w:val="00BD24A0"/>
    <w:rsid w:val="00BD2565"/>
    <w:rsid w:val="00BD2589"/>
    <w:rsid w:val="00BD258E"/>
    <w:rsid w:val="00BD2B5D"/>
    <w:rsid w:val="00BD2C5B"/>
    <w:rsid w:val="00BD2C7B"/>
    <w:rsid w:val="00BD2E1B"/>
    <w:rsid w:val="00BD2E57"/>
    <w:rsid w:val="00BD2E62"/>
    <w:rsid w:val="00BD2EC5"/>
    <w:rsid w:val="00BD2EDC"/>
    <w:rsid w:val="00BD3038"/>
    <w:rsid w:val="00BD3073"/>
    <w:rsid w:val="00BD3273"/>
    <w:rsid w:val="00BD3395"/>
    <w:rsid w:val="00BD340B"/>
    <w:rsid w:val="00BD3427"/>
    <w:rsid w:val="00BD34B3"/>
    <w:rsid w:val="00BD34EA"/>
    <w:rsid w:val="00BD37CA"/>
    <w:rsid w:val="00BD39B5"/>
    <w:rsid w:val="00BD3A14"/>
    <w:rsid w:val="00BD3A6D"/>
    <w:rsid w:val="00BD3C0B"/>
    <w:rsid w:val="00BD3C1E"/>
    <w:rsid w:val="00BD3C38"/>
    <w:rsid w:val="00BD3CE0"/>
    <w:rsid w:val="00BD3CE2"/>
    <w:rsid w:val="00BD3F1E"/>
    <w:rsid w:val="00BD4123"/>
    <w:rsid w:val="00BD4439"/>
    <w:rsid w:val="00BD4467"/>
    <w:rsid w:val="00BD452D"/>
    <w:rsid w:val="00BD45FF"/>
    <w:rsid w:val="00BD4689"/>
    <w:rsid w:val="00BD473C"/>
    <w:rsid w:val="00BD478B"/>
    <w:rsid w:val="00BD4832"/>
    <w:rsid w:val="00BD489D"/>
    <w:rsid w:val="00BD491B"/>
    <w:rsid w:val="00BD4A35"/>
    <w:rsid w:val="00BD4B58"/>
    <w:rsid w:val="00BD4CFA"/>
    <w:rsid w:val="00BD4D6E"/>
    <w:rsid w:val="00BD4DBC"/>
    <w:rsid w:val="00BD4E55"/>
    <w:rsid w:val="00BD4F66"/>
    <w:rsid w:val="00BD4F7C"/>
    <w:rsid w:val="00BD4FA6"/>
    <w:rsid w:val="00BD500F"/>
    <w:rsid w:val="00BD5080"/>
    <w:rsid w:val="00BD508F"/>
    <w:rsid w:val="00BD50A2"/>
    <w:rsid w:val="00BD5115"/>
    <w:rsid w:val="00BD516B"/>
    <w:rsid w:val="00BD51CA"/>
    <w:rsid w:val="00BD5313"/>
    <w:rsid w:val="00BD5395"/>
    <w:rsid w:val="00BD5463"/>
    <w:rsid w:val="00BD551D"/>
    <w:rsid w:val="00BD5566"/>
    <w:rsid w:val="00BD5575"/>
    <w:rsid w:val="00BD5616"/>
    <w:rsid w:val="00BD5654"/>
    <w:rsid w:val="00BD56B4"/>
    <w:rsid w:val="00BD57F5"/>
    <w:rsid w:val="00BD58F6"/>
    <w:rsid w:val="00BD59B3"/>
    <w:rsid w:val="00BD59BB"/>
    <w:rsid w:val="00BD5BB3"/>
    <w:rsid w:val="00BD5D8D"/>
    <w:rsid w:val="00BD5D9E"/>
    <w:rsid w:val="00BD5DAA"/>
    <w:rsid w:val="00BD5F4B"/>
    <w:rsid w:val="00BD5F86"/>
    <w:rsid w:val="00BD5FF4"/>
    <w:rsid w:val="00BD607A"/>
    <w:rsid w:val="00BD6128"/>
    <w:rsid w:val="00BD614E"/>
    <w:rsid w:val="00BD62B3"/>
    <w:rsid w:val="00BD637B"/>
    <w:rsid w:val="00BD63BF"/>
    <w:rsid w:val="00BD65A4"/>
    <w:rsid w:val="00BD65B9"/>
    <w:rsid w:val="00BD6AF9"/>
    <w:rsid w:val="00BD6B69"/>
    <w:rsid w:val="00BD6BD5"/>
    <w:rsid w:val="00BD6C6C"/>
    <w:rsid w:val="00BD6DE5"/>
    <w:rsid w:val="00BD6E09"/>
    <w:rsid w:val="00BD7022"/>
    <w:rsid w:val="00BD7087"/>
    <w:rsid w:val="00BD71E8"/>
    <w:rsid w:val="00BD73ED"/>
    <w:rsid w:val="00BD7484"/>
    <w:rsid w:val="00BD750B"/>
    <w:rsid w:val="00BD75F5"/>
    <w:rsid w:val="00BD76A3"/>
    <w:rsid w:val="00BD7730"/>
    <w:rsid w:val="00BD7850"/>
    <w:rsid w:val="00BD78CA"/>
    <w:rsid w:val="00BD7993"/>
    <w:rsid w:val="00BD7A91"/>
    <w:rsid w:val="00BD7AD1"/>
    <w:rsid w:val="00BD7BBF"/>
    <w:rsid w:val="00BD7BF7"/>
    <w:rsid w:val="00BD7C98"/>
    <w:rsid w:val="00BD7DB9"/>
    <w:rsid w:val="00BD7E39"/>
    <w:rsid w:val="00BE00CB"/>
    <w:rsid w:val="00BE0211"/>
    <w:rsid w:val="00BE02A5"/>
    <w:rsid w:val="00BE03D3"/>
    <w:rsid w:val="00BE048D"/>
    <w:rsid w:val="00BE051E"/>
    <w:rsid w:val="00BE0541"/>
    <w:rsid w:val="00BE09FF"/>
    <w:rsid w:val="00BE0A52"/>
    <w:rsid w:val="00BE0B97"/>
    <w:rsid w:val="00BE0C9C"/>
    <w:rsid w:val="00BE0DC1"/>
    <w:rsid w:val="00BE0E09"/>
    <w:rsid w:val="00BE0E7C"/>
    <w:rsid w:val="00BE0EA8"/>
    <w:rsid w:val="00BE0F6E"/>
    <w:rsid w:val="00BE10A4"/>
    <w:rsid w:val="00BE1211"/>
    <w:rsid w:val="00BE1405"/>
    <w:rsid w:val="00BE1451"/>
    <w:rsid w:val="00BE14BD"/>
    <w:rsid w:val="00BE14EF"/>
    <w:rsid w:val="00BE152D"/>
    <w:rsid w:val="00BE1672"/>
    <w:rsid w:val="00BE16CA"/>
    <w:rsid w:val="00BE17B9"/>
    <w:rsid w:val="00BE18AB"/>
    <w:rsid w:val="00BE19B9"/>
    <w:rsid w:val="00BE19C2"/>
    <w:rsid w:val="00BE19FD"/>
    <w:rsid w:val="00BE1B24"/>
    <w:rsid w:val="00BE1BFD"/>
    <w:rsid w:val="00BE1CB7"/>
    <w:rsid w:val="00BE1E45"/>
    <w:rsid w:val="00BE1EA5"/>
    <w:rsid w:val="00BE1ED3"/>
    <w:rsid w:val="00BE1F1A"/>
    <w:rsid w:val="00BE1F45"/>
    <w:rsid w:val="00BE1FAE"/>
    <w:rsid w:val="00BE2084"/>
    <w:rsid w:val="00BE209D"/>
    <w:rsid w:val="00BE212A"/>
    <w:rsid w:val="00BE223C"/>
    <w:rsid w:val="00BE2322"/>
    <w:rsid w:val="00BE2377"/>
    <w:rsid w:val="00BE2492"/>
    <w:rsid w:val="00BE24C3"/>
    <w:rsid w:val="00BE252D"/>
    <w:rsid w:val="00BE252E"/>
    <w:rsid w:val="00BE25F3"/>
    <w:rsid w:val="00BE26F2"/>
    <w:rsid w:val="00BE2741"/>
    <w:rsid w:val="00BE2791"/>
    <w:rsid w:val="00BE27CA"/>
    <w:rsid w:val="00BE284D"/>
    <w:rsid w:val="00BE2957"/>
    <w:rsid w:val="00BE2978"/>
    <w:rsid w:val="00BE2A98"/>
    <w:rsid w:val="00BE2C75"/>
    <w:rsid w:val="00BE2CBF"/>
    <w:rsid w:val="00BE2F6C"/>
    <w:rsid w:val="00BE3020"/>
    <w:rsid w:val="00BE328A"/>
    <w:rsid w:val="00BE333D"/>
    <w:rsid w:val="00BE337F"/>
    <w:rsid w:val="00BE3390"/>
    <w:rsid w:val="00BE33D2"/>
    <w:rsid w:val="00BE3530"/>
    <w:rsid w:val="00BE3546"/>
    <w:rsid w:val="00BE35CF"/>
    <w:rsid w:val="00BE3669"/>
    <w:rsid w:val="00BE36D4"/>
    <w:rsid w:val="00BE37D5"/>
    <w:rsid w:val="00BE37FC"/>
    <w:rsid w:val="00BE3825"/>
    <w:rsid w:val="00BE3826"/>
    <w:rsid w:val="00BE3871"/>
    <w:rsid w:val="00BE3B18"/>
    <w:rsid w:val="00BE3C78"/>
    <w:rsid w:val="00BE3DB0"/>
    <w:rsid w:val="00BE3EE7"/>
    <w:rsid w:val="00BE4177"/>
    <w:rsid w:val="00BE41A8"/>
    <w:rsid w:val="00BE4347"/>
    <w:rsid w:val="00BE443D"/>
    <w:rsid w:val="00BE4487"/>
    <w:rsid w:val="00BE4715"/>
    <w:rsid w:val="00BE48A6"/>
    <w:rsid w:val="00BE49A9"/>
    <w:rsid w:val="00BE4DC4"/>
    <w:rsid w:val="00BE4F25"/>
    <w:rsid w:val="00BE4F75"/>
    <w:rsid w:val="00BE4FF3"/>
    <w:rsid w:val="00BE4FFE"/>
    <w:rsid w:val="00BE501B"/>
    <w:rsid w:val="00BE50B0"/>
    <w:rsid w:val="00BE511D"/>
    <w:rsid w:val="00BE51A2"/>
    <w:rsid w:val="00BE537B"/>
    <w:rsid w:val="00BE537E"/>
    <w:rsid w:val="00BE5577"/>
    <w:rsid w:val="00BE571C"/>
    <w:rsid w:val="00BE5744"/>
    <w:rsid w:val="00BE5796"/>
    <w:rsid w:val="00BE587D"/>
    <w:rsid w:val="00BE58D5"/>
    <w:rsid w:val="00BE5B2E"/>
    <w:rsid w:val="00BE5C58"/>
    <w:rsid w:val="00BE5CAF"/>
    <w:rsid w:val="00BE5CB2"/>
    <w:rsid w:val="00BE5D9C"/>
    <w:rsid w:val="00BE5DD6"/>
    <w:rsid w:val="00BE6030"/>
    <w:rsid w:val="00BE6096"/>
    <w:rsid w:val="00BE6233"/>
    <w:rsid w:val="00BE6325"/>
    <w:rsid w:val="00BE650F"/>
    <w:rsid w:val="00BE652E"/>
    <w:rsid w:val="00BE6595"/>
    <w:rsid w:val="00BE66AB"/>
    <w:rsid w:val="00BE67E2"/>
    <w:rsid w:val="00BE67FB"/>
    <w:rsid w:val="00BE685B"/>
    <w:rsid w:val="00BE6885"/>
    <w:rsid w:val="00BE68FF"/>
    <w:rsid w:val="00BE6984"/>
    <w:rsid w:val="00BE6A04"/>
    <w:rsid w:val="00BE6BD0"/>
    <w:rsid w:val="00BE6C35"/>
    <w:rsid w:val="00BE6D81"/>
    <w:rsid w:val="00BE6D86"/>
    <w:rsid w:val="00BE6D94"/>
    <w:rsid w:val="00BE7063"/>
    <w:rsid w:val="00BE720D"/>
    <w:rsid w:val="00BE7231"/>
    <w:rsid w:val="00BE72E4"/>
    <w:rsid w:val="00BE73A4"/>
    <w:rsid w:val="00BE73F3"/>
    <w:rsid w:val="00BE744A"/>
    <w:rsid w:val="00BE753B"/>
    <w:rsid w:val="00BE7676"/>
    <w:rsid w:val="00BE773B"/>
    <w:rsid w:val="00BE7761"/>
    <w:rsid w:val="00BE7842"/>
    <w:rsid w:val="00BE7878"/>
    <w:rsid w:val="00BE7A30"/>
    <w:rsid w:val="00BE7ADA"/>
    <w:rsid w:val="00BE7B60"/>
    <w:rsid w:val="00BE7B6C"/>
    <w:rsid w:val="00BE7C4A"/>
    <w:rsid w:val="00BE7C72"/>
    <w:rsid w:val="00BE7DA7"/>
    <w:rsid w:val="00BF001C"/>
    <w:rsid w:val="00BF00A5"/>
    <w:rsid w:val="00BF00DB"/>
    <w:rsid w:val="00BF0144"/>
    <w:rsid w:val="00BF016F"/>
    <w:rsid w:val="00BF023E"/>
    <w:rsid w:val="00BF02A1"/>
    <w:rsid w:val="00BF0303"/>
    <w:rsid w:val="00BF03AC"/>
    <w:rsid w:val="00BF03EA"/>
    <w:rsid w:val="00BF044B"/>
    <w:rsid w:val="00BF046C"/>
    <w:rsid w:val="00BF04DE"/>
    <w:rsid w:val="00BF0539"/>
    <w:rsid w:val="00BF06B4"/>
    <w:rsid w:val="00BF071A"/>
    <w:rsid w:val="00BF0824"/>
    <w:rsid w:val="00BF0919"/>
    <w:rsid w:val="00BF0940"/>
    <w:rsid w:val="00BF0A39"/>
    <w:rsid w:val="00BF0A8F"/>
    <w:rsid w:val="00BF0AEA"/>
    <w:rsid w:val="00BF0B18"/>
    <w:rsid w:val="00BF0C4F"/>
    <w:rsid w:val="00BF0C7B"/>
    <w:rsid w:val="00BF0D54"/>
    <w:rsid w:val="00BF0EBB"/>
    <w:rsid w:val="00BF0FF6"/>
    <w:rsid w:val="00BF1047"/>
    <w:rsid w:val="00BF10D4"/>
    <w:rsid w:val="00BF116F"/>
    <w:rsid w:val="00BF1207"/>
    <w:rsid w:val="00BF1255"/>
    <w:rsid w:val="00BF14A0"/>
    <w:rsid w:val="00BF1637"/>
    <w:rsid w:val="00BF163C"/>
    <w:rsid w:val="00BF170B"/>
    <w:rsid w:val="00BF18D8"/>
    <w:rsid w:val="00BF191F"/>
    <w:rsid w:val="00BF1944"/>
    <w:rsid w:val="00BF1AD8"/>
    <w:rsid w:val="00BF1B21"/>
    <w:rsid w:val="00BF1B7D"/>
    <w:rsid w:val="00BF1C1A"/>
    <w:rsid w:val="00BF1D58"/>
    <w:rsid w:val="00BF1E28"/>
    <w:rsid w:val="00BF1E4A"/>
    <w:rsid w:val="00BF21CF"/>
    <w:rsid w:val="00BF22F8"/>
    <w:rsid w:val="00BF235C"/>
    <w:rsid w:val="00BF2408"/>
    <w:rsid w:val="00BF2545"/>
    <w:rsid w:val="00BF25F4"/>
    <w:rsid w:val="00BF26DF"/>
    <w:rsid w:val="00BF294F"/>
    <w:rsid w:val="00BF2A99"/>
    <w:rsid w:val="00BF2B60"/>
    <w:rsid w:val="00BF2FF2"/>
    <w:rsid w:val="00BF3077"/>
    <w:rsid w:val="00BF31AC"/>
    <w:rsid w:val="00BF31F7"/>
    <w:rsid w:val="00BF3303"/>
    <w:rsid w:val="00BF3347"/>
    <w:rsid w:val="00BF341C"/>
    <w:rsid w:val="00BF3484"/>
    <w:rsid w:val="00BF34DF"/>
    <w:rsid w:val="00BF351D"/>
    <w:rsid w:val="00BF3624"/>
    <w:rsid w:val="00BF375D"/>
    <w:rsid w:val="00BF3961"/>
    <w:rsid w:val="00BF39A3"/>
    <w:rsid w:val="00BF3B77"/>
    <w:rsid w:val="00BF3BDF"/>
    <w:rsid w:val="00BF3CF7"/>
    <w:rsid w:val="00BF3DD7"/>
    <w:rsid w:val="00BF3FB4"/>
    <w:rsid w:val="00BF418A"/>
    <w:rsid w:val="00BF42C5"/>
    <w:rsid w:val="00BF4378"/>
    <w:rsid w:val="00BF4457"/>
    <w:rsid w:val="00BF44CA"/>
    <w:rsid w:val="00BF455E"/>
    <w:rsid w:val="00BF4577"/>
    <w:rsid w:val="00BF45DA"/>
    <w:rsid w:val="00BF4602"/>
    <w:rsid w:val="00BF4627"/>
    <w:rsid w:val="00BF4656"/>
    <w:rsid w:val="00BF478B"/>
    <w:rsid w:val="00BF478C"/>
    <w:rsid w:val="00BF4870"/>
    <w:rsid w:val="00BF49CD"/>
    <w:rsid w:val="00BF49FA"/>
    <w:rsid w:val="00BF4A90"/>
    <w:rsid w:val="00BF4B41"/>
    <w:rsid w:val="00BF4D50"/>
    <w:rsid w:val="00BF4EA3"/>
    <w:rsid w:val="00BF4EF8"/>
    <w:rsid w:val="00BF518E"/>
    <w:rsid w:val="00BF5201"/>
    <w:rsid w:val="00BF52A8"/>
    <w:rsid w:val="00BF5384"/>
    <w:rsid w:val="00BF5389"/>
    <w:rsid w:val="00BF553F"/>
    <w:rsid w:val="00BF555D"/>
    <w:rsid w:val="00BF55EF"/>
    <w:rsid w:val="00BF573E"/>
    <w:rsid w:val="00BF5839"/>
    <w:rsid w:val="00BF5B3D"/>
    <w:rsid w:val="00BF5B7C"/>
    <w:rsid w:val="00BF5C1F"/>
    <w:rsid w:val="00BF5E85"/>
    <w:rsid w:val="00BF5EB4"/>
    <w:rsid w:val="00BF5FAF"/>
    <w:rsid w:val="00BF5FD6"/>
    <w:rsid w:val="00BF61A5"/>
    <w:rsid w:val="00BF6273"/>
    <w:rsid w:val="00BF6332"/>
    <w:rsid w:val="00BF6355"/>
    <w:rsid w:val="00BF638B"/>
    <w:rsid w:val="00BF63B7"/>
    <w:rsid w:val="00BF6468"/>
    <w:rsid w:val="00BF65DD"/>
    <w:rsid w:val="00BF66B1"/>
    <w:rsid w:val="00BF6716"/>
    <w:rsid w:val="00BF69BF"/>
    <w:rsid w:val="00BF6AD9"/>
    <w:rsid w:val="00BF6B18"/>
    <w:rsid w:val="00BF6BC2"/>
    <w:rsid w:val="00BF6E90"/>
    <w:rsid w:val="00BF6EBB"/>
    <w:rsid w:val="00BF6F17"/>
    <w:rsid w:val="00BF6F61"/>
    <w:rsid w:val="00BF7132"/>
    <w:rsid w:val="00BF722A"/>
    <w:rsid w:val="00BF7329"/>
    <w:rsid w:val="00BF7664"/>
    <w:rsid w:val="00BF76E0"/>
    <w:rsid w:val="00BF770A"/>
    <w:rsid w:val="00BF7773"/>
    <w:rsid w:val="00BF7810"/>
    <w:rsid w:val="00BF787C"/>
    <w:rsid w:val="00BF7A38"/>
    <w:rsid w:val="00BF7DD1"/>
    <w:rsid w:val="00BF7E12"/>
    <w:rsid w:val="00BF7E25"/>
    <w:rsid w:val="00BF7E3C"/>
    <w:rsid w:val="00BF7E47"/>
    <w:rsid w:val="00C00167"/>
    <w:rsid w:val="00C001CF"/>
    <w:rsid w:val="00C001F1"/>
    <w:rsid w:val="00C00223"/>
    <w:rsid w:val="00C00253"/>
    <w:rsid w:val="00C0034B"/>
    <w:rsid w:val="00C0034D"/>
    <w:rsid w:val="00C00515"/>
    <w:rsid w:val="00C00581"/>
    <w:rsid w:val="00C005AF"/>
    <w:rsid w:val="00C00717"/>
    <w:rsid w:val="00C00A0C"/>
    <w:rsid w:val="00C00A84"/>
    <w:rsid w:val="00C00A95"/>
    <w:rsid w:val="00C00B15"/>
    <w:rsid w:val="00C00B1B"/>
    <w:rsid w:val="00C00B8A"/>
    <w:rsid w:val="00C00CD2"/>
    <w:rsid w:val="00C00E95"/>
    <w:rsid w:val="00C00F22"/>
    <w:rsid w:val="00C01247"/>
    <w:rsid w:val="00C0135F"/>
    <w:rsid w:val="00C013A4"/>
    <w:rsid w:val="00C01677"/>
    <w:rsid w:val="00C0167E"/>
    <w:rsid w:val="00C0168C"/>
    <w:rsid w:val="00C016B8"/>
    <w:rsid w:val="00C01779"/>
    <w:rsid w:val="00C01B0E"/>
    <w:rsid w:val="00C01C0D"/>
    <w:rsid w:val="00C01CDC"/>
    <w:rsid w:val="00C01D80"/>
    <w:rsid w:val="00C01E5E"/>
    <w:rsid w:val="00C01FF2"/>
    <w:rsid w:val="00C021C1"/>
    <w:rsid w:val="00C02374"/>
    <w:rsid w:val="00C02554"/>
    <w:rsid w:val="00C0264E"/>
    <w:rsid w:val="00C026E1"/>
    <w:rsid w:val="00C02771"/>
    <w:rsid w:val="00C02813"/>
    <w:rsid w:val="00C0281B"/>
    <w:rsid w:val="00C02894"/>
    <w:rsid w:val="00C028E6"/>
    <w:rsid w:val="00C02936"/>
    <w:rsid w:val="00C02C13"/>
    <w:rsid w:val="00C02C1B"/>
    <w:rsid w:val="00C02CB2"/>
    <w:rsid w:val="00C02CC0"/>
    <w:rsid w:val="00C02E2C"/>
    <w:rsid w:val="00C02EFC"/>
    <w:rsid w:val="00C02F2E"/>
    <w:rsid w:val="00C0304D"/>
    <w:rsid w:val="00C030B3"/>
    <w:rsid w:val="00C03209"/>
    <w:rsid w:val="00C0340F"/>
    <w:rsid w:val="00C034CE"/>
    <w:rsid w:val="00C034F8"/>
    <w:rsid w:val="00C035D2"/>
    <w:rsid w:val="00C036A4"/>
    <w:rsid w:val="00C03783"/>
    <w:rsid w:val="00C037D8"/>
    <w:rsid w:val="00C03828"/>
    <w:rsid w:val="00C0389A"/>
    <w:rsid w:val="00C038C2"/>
    <w:rsid w:val="00C03ADE"/>
    <w:rsid w:val="00C03E3B"/>
    <w:rsid w:val="00C03F54"/>
    <w:rsid w:val="00C03F8E"/>
    <w:rsid w:val="00C040E1"/>
    <w:rsid w:val="00C04161"/>
    <w:rsid w:val="00C04186"/>
    <w:rsid w:val="00C042C3"/>
    <w:rsid w:val="00C043A6"/>
    <w:rsid w:val="00C044F0"/>
    <w:rsid w:val="00C0450F"/>
    <w:rsid w:val="00C04763"/>
    <w:rsid w:val="00C047B7"/>
    <w:rsid w:val="00C0482E"/>
    <w:rsid w:val="00C048B4"/>
    <w:rsid w:val="00C04981"/>
    <w:rsid w:val="00C04997"/>
    <w:rsid w:val="00C049E7"/>
    <w:rsid w:val="00C04A67"/>
    <w:rsid w:val="00C04AD6"/>
    <w:rsid w:val="00C04C0D"/>
    <w:rsid w:val="00C04C30"/>
    <w:rsid w:val="00C04CAE"/>
    <w:rsid w:val="00C04D92"/>
    <w:rsid w:val="00C04E25"/>
    <w:rsid w:val="00C050A9"/>
    <w:rsid w:val="00C050B0"/>
    <w:rsid w:val="00C05532"/>
    <w:rsid w:val="00C05630"/>
    <w:rsid w:val="00C057AA"/>
    <w:rsid w:val="00C05834"/>
    <w:rsid w:val="00C05975"/>
    <w:rsid w:val="00C05BF3"/>
    <w:rsid w:val="00C05D20"/>
    <w:rsid w:val="00C06154"/>
    <w:rsid w:val="00C06162"/>
    <w:rsid w:val="00C062A7"/>
    <w:rsid w:val="00C062F3"/>
    <w:rsid w:val="00C06415"/>
    <w:rsid w:val="00C0644E"/>
    <w:rsid w:val="00C064E5"/>
    <w:rsid w:val="00C065A2"/>
    <w:rsid w:val="00C065D8"/>
    <w:rsid w:val="00C06744"/>
    <w:rsid w:val="00C067E9"/>
    <w:rsid w:val="00C0689F"/>
    <w:rsid w:val="00C068C6"/>
    <w:rsid w:val="00C069AA"/>
    <w:rsid w:val="00C06AF4"/>
    <w:rsid w:val="00C06C11"/>
    <w:rsid w:val="00C06F31"/>
    <w:rsid w:val="00C07003"/>
    <w:rsid w:val="00C07049"/>
    <w:rsid w:val="00C07168"/>
    <w:rsid w:val="00C071A6"/>
    <w:rsid w:val="00C0725B"/>
    <w:rsid w:val="00C0733D"/>
    <w:rsid w:val="00C073FC"/>
    <w:rsid w:val="00C07400"/>
    <w:rsid w:val="00C07407"/>
    <w:rsid w:val="00C0751C"/>
    <w:rsid w:val="00C07574"/>
    <w:rsid w:val="00C07745"/>
    <w:rsid w:val="00C07761"/>
    <w:rsid w:val="00C0777C"/>
    <w:rsid w:val="00C0793E"/>
    <w:rsid w:val="00C0795C"/>
    <w:rsid w:val="00C07AD2"/>
    <w:rsid w:val="00C07BD9"/>
    <w:rsid w:val="00C07BE6"/>
    <w:rsid w:val="00C07C76"/>
    <w:rsid w:val="00C07CB1"/>
    <w:rsid w:val="00C07E84"/>
    <w:rsid w:val="00C07EFB"/>
    <w:rsid w:val="00C1000E"/>
    <w:rsid w:val="00C10070"/>
    <w:rsid w:val="00C10211"/>
    <w:rsid w:val="00C1039C"/>
    <w:rsid w:val="00C1053F"/>
    <w:rsid w:val="00C106BC"/>
    <w:rsid w:val="00C106C8"/>
    <w:rsid w:val="00C108C4"/>
    <w:rsid w:val="00C10A7F"/>
    <w:rsid w:val="00C10C68"/>
    <w:rsid w:val="00C10CBA"/>
    <w:rsid w:val="00C10E6D"/>
    <w:rsid w:val="00C10F30"/>
    <w:rsid w:val="00C10F60"/>
    <w:rsid w:val="00C110CD"/>
    <w:rsid w:val="00C11167"/>
    <w:rsid w:val="00C1124A"/>
    <w:rsid w:val="00C11840"/>
    <w:rsid w:val="00C11921"/>
    <w:rsid w:val="00C11954"/>
    <w:rsid w:val="00C1199A"/>
    <w:rsid w:val="00C119EC"/>
    <w:rsid w:val="00C11A8E"/>
    <w:rsid w:val="00C11B60"/>
    <w:rsid w:val="00C11BAC"/>
    <w:rsid w:val="00C11BAF"/>
    <w:rsid w:val="00C11BEA"/>
    <w:rsid w:val="00C11CAB"/>
    <w:rsid w:val="00C11D0A"/>
    <w:rsid w:val="00C11FC6"/>
    <w:rsid w:val="00C11FD5"/>
    <w:rsid w:val="00C11FEA"/>
    <w:rsid w:val="00C12050"/>
    <w:rsid w:val="00C1213D"/>
    <w:rsid w:val="00C121AA"/>
    <w:rsid w:val="00C12249"/>
    <w:rsid w:val="00C1225D"/>
    <w:rsid w:val="00C123E7"/>
    <w:rsid w:val="00C12408"/>
    <w:rsid w:val="00C124AF"/>
    <w:rsid w:val="00C125FF"/>
    <w:rsid w:val="00C12818"/>
    <w:rsid w:val="00C12919"/>
    <w:rsid w:val="00C129A7"/>
    <w:rsid w:val="00C12A2E"/>
    <w:rsid w:val="00C12AE3"/>
    <w:rsid w:val="00C12BA0"/>
    <w:rsid w:val="00C12C7A"/>
    <w:rsid w:val="00C12C89"/>
    <w:rsid w:val="00C12CE5"/>
    <w:rsid w:val="00C12EE7"/>
    <w:rsid w:val="00C13039"/>
    <w:rsid w:val="00C1312B"/>
    <w:rsid w:val="00C133CB"/>
    <w:rsid w:val="00C1351E"/>
    <w:rsid w:val="00C13545"/>
    <w:rsid w:val="00C13785"/>
    <w:rsid w:val="00C13815"/>
    <w:rsid w:val="00C13864"/>
    <w:rsid w:val="00C13986"/>
    <w:rsid w:val="00C13C3E"/>
    <w:rsid w:val="00C13D13"/>
    <w:rsid w:val="00C13DB3"/>
    <w:rsid w:val="00C13DF3"/>
    <w:rsid w:val="00C13FB1"/>
    <w:rsid w:val="00C14188"/>
    <w:rsid w:val="00C14394"/>
    <w:rsid w:val="00C14402"/>
    <w:rsid w:val="00C14568"/>
    <w:rsid w:val="00C14657"/>
    <w:rsid w:val="00C14775"/>
    <w:rsid w:val="00C14950"/>
    <w:rsid w:val="00C14A65"/>
    <w:rsid w:val="00C14AEE"/>
    <w:rsid w:val="00C14C43"/>
    <w:rsid w:val="00C14C78"/>
    <w:rsid w:val="00C14CEC"/>
    <w:rsid w:val="00C14E7F"/>
    <w:rsid w:val="00C15147"/>
    <w:rsid w:val="00C1520F"/>
    <w:rsid w:val="00C152E7"/>
    <w:rsid w:val="00C153C1"/>
    <w:rsid w:val="00C153E3"/>
    <w:rsid w:val="00C153F6"/>
    <w:rsid w:val="00C1541A"/>
    <w:rsid w:val="00C154D0"/>
    <w:rsid w:val="00C1551B"/>
    <w:rsid w:val="00C15682"/>
    <w:rsid w:val="00C156E1"/>
    <w:rsid w:val="00C15716"/>
    <w:rsid w:val="00C15800"/>
    <w:rsid w:val="00C1583D"/>
    <w:rsid w:val="00C15856"/>
    <w:rsid w:val="00C15907"/>
    <w:rsid w:val="00C15BA7"/>
    <w:rsid w:val="00C15C4A"/>
    <w:rsid w:val="00C15D4B"/>
    <w:rsid w:val="00C15D86"/>
    <w:rsid w:val="00C15DFA"/>
    <w:rsid w:val="00C15F64"/>
    <w:rsid w:val="00C15F8B"/>
    <w:rsid w:val="00C1607E"/>
    <w:rsid w:val="00C160C0"/>
    <w:rsid w:val="00C16262"/>
    <w:rsid w:val="00C1635C"/>
    <w:rsid w:val="00C163E8"/>
    <w:rsid w:val="00C16706"/>
    <w:rsid w:val="00C16731"/>
    <w:rsid w:val="00C16866"/>
    <w:rsid w:val="00C16883"/>
    <w:rsid w:val="00C16889"/>
    <w:rsid w:val="00C1690A"/>
    <w:rsid w:val="00C1698F"/>
    <w:rsid w:val="00C16A6A"/>
    <w:rsid w:val="00C16B92"/>
    <w:rsid w:val="00C16BB1"/>
    <w:rsid w:val="00C16BC4"/>
    <w:rsid w:val="00C16DD0"/>
    <w:rsid w:val="00C16F34"/>
    <w:rsid w:val="00C16FEE"/>
    <w:rsid w:val="00C17109"/>
    <w:rsid w:val="00C171E7"/>
    <w:rsid w:val="00C17211"/>
    <w:rsid w:val="00C17244"/>
    <w:rsid w:val="00C17365"/>
    <w:rsid w:val="00C1738A"/>
    <w:rsid w:val="00C173A9"/>
    <w:rsid w:val="00C17596"/>
    <w:rsid w:val="00C1769F"/>
    <w:rsid w:val="00C176A5"/>
    <w:rsid w:val="00C176D7"/>
    <w:rsid w:val="00C17709"/>
    <w:rsid w:val="00C1777C"/>
    <w:rsid w:val="00C17ADF"/>
    <w:rsid w:val="00C17AE5"/>
    <w:rsid w:val="00C17B65"/>
    <w:rsid w:val="00C17CBE"/>
    <w:rsid w:val="00C17ED1"/>
    <w:rsid w:val="00C17F87"/>
    <w:rsid w:val="00C200B4"/>
    <w:rsid w:val="00C20164"/>
    <w:rsid w:val="00C20219"/>
    <w:rsid w:val="00C2021C"/>
    <w:rsid w:val="00C20303"/>
    <w:rsid w:val="00C20505"/>
    <w:rsid w:val="00C20622"/>
    <w:rsid w:val="00C20637"/>
    <w:rsid w:val="00C20812"/>
    <w:rsid w:val="00C2092D"/>
    <w:rsid w:val="00C20A47"/>
    <w:rsid w:val="00C20AF6"/>
    <w:rsid w:val="00C20D07"/>
    <w:rsid w:val="00C20D21"/>
    <w:rsid w:val="00C20E0C"/>
    <w:rsid w:val="00C20F03"/>
    <w:rsid w:val="00C21102"/>
    <w:rsid w:val="00C21114"/>
    <w:rsid w:val="00C2118E"/>
    <w:rsid w:val="00C211F7"/>
    <w:rsid w:val="00C212B5"/>
    <w:rsid w:val="00C212DF"/>
    <w:rsid w:val="00C2144A"/>
    <w:rsid w:val="00C214C1"/>
    <w:rsid w:val="00C21527"/>
    <w:rsid w:val="00C215FD"/>
    <w:rsid w:val="00C217C9"/>
    <w:rsid w:val="00C217FF"/>
    <w:rsid w:val="00C21800"/>
    <w:rsid w:val="00C21810"/>
    <w:rsid w:val="00C2189E"/>
    <w:rsid w:val="00C2195A"/>
    <w:rsid w:val="00C21A2D"/>
    <w:rsid w:val="00C21ABD"/>
    <w:rsid w:val="00C21AD3"/>
    <w:rsid w:val="00C21B15"/>
    <w:rsid w:val="00C21B3C"/>
    <w:rsid w:val="00C21B89"/>
    <w:rsid w:val="00C21B9F"/>
    <w:rsid w:val="00C21BDE"/>
    <w:rsid w:val="00C21BFC"/>
    <w:rsid w:val="00C21DDE"/>
    <w:rsid w:val="00C21E84"/>
    <w:rsid w:val="00C21F0D"/>
    <w:rsid w:val="00C21FBD"/>
    <w:rsid w:val="00C22025"/>
    <w:rsid w:val="00C22078"/>
    <w:rsid w:val="00C220D3"/>
    <w:rsid w:val="00C22229"/>
    <w:rsid w:val="00C222A2"/>
    <w:rsid w:val="00C22351"/>
    <w:rsid w:val="00C223C8"/>
    <w:rsid w:val="00C2251C"/>
    <w:rsid w:val="00C2259D"/>
    <w:rsid w:val="00C225CF"/>
    <w:rsid w:val="00C225D8"/>
    <w:rsid w:val="00C2260F"/>
    <w:rsid w:val="00C226F0"/>
    <w:rsid w:val="00C22799"/>
    <w:rsid w:val="00C22830"/>
    <w:rsid w:val="00C228CC"/>
    <w:rsid w:val="00C22909"/>
    <w:rsid w:val="00C22998"/>
    <w:rsid w:val="00C22A48"/>
    <w:rsid w:val="00C22AA1"/>
    <w:rsid w:val="00C22C5F"/>
    <w:rsid w:val="00C22C88"/>
    <w:rsid w:val="00C22D96"/>
    <w:rsid w:val="00C22E0B"/>
    <w:rsid w:val="00C22FF0"/>
    <w:rsid w:val="00C23165"/>
    <w:rsid w:val="00C23213"/>
    <w:rsid w:val="00C23292"/>
    <w:rsid w:val="00C23296"/>
    <w:rsid w:val="00C233D8"/>
    <w:rsid w:val="00C23486"/>
    <w:rsid w:val="00C23573"/>
    <w:rsid w:val="00C236B1"/>
    <w:rsid w:val="00C236C4"/>
    <w:rsid w:val="00C237B0"/>
    <w:rsid w:val="00C238B7"/>
    <w:rsid w:val="00C238FE"/>
    <w:rsid w:val="00C239F6"/>
    <w:rsid w:val="00C23A28"/>
    <w:rsid w:val="00C23C74"/>
    <w:rsid w:val="00C23D45"/>
    <w:rsid w:val="00C23E0C"/>
    <w:rsid w:val="00C23E9B"/>
    <w:rsid w:val="00C23F65"/>
    <w:rsid w:val="00C23F76"/>
    <w:rsid w:val="00C240BF"/>
    <w:rsid w:val="00C240DF"/>
    <w:rsid w:val="00C24188"/>
    <w:rsid w:val="00C2418E"/>
    <w:rsid w:val="00C2429A"/>
    <w:rsid w:val="00C242BD"/>
    <w:rsid w:val="00C24496"/>
    <w:rsid w:val="00C244A8"/>
    <w:rsid w:val="00C244FE"/>
    <w:rsid w:val="00C245E4"/>
    <w:rsid w:val="00C24653"/>
    <w:rsid w:val="00C2473D"/>
    <w:rsid w:val="00C247D2"/>
    <w:rsid w:val="00C24868"/>
    <w:rsid w:val="00C2494C"/>
    <w:rsid w:val="00C24ACA"/>
    <w:rsid w:val="00C24CF1"/>
    <w:rsid w:val="00C24DB2"/>
    <w:rsid w:val="00C24EE9"/>
    <w:rsid w:val="00C24F56"/>
    <w:rsid w:val="00C25142"/>
    <w:rsid w:val="00C2517C"/>
    <w:rsid w:val="00C2537E"/>
    <w:rsid w:val="00C253DF"/>
    <w:rsid w:val="00C25427"/>
    <w:rsid w:val="00C2542F"/>
    <w:rsid w:val="00C25658"/>
    <w:rsid w:val="00C25868"/>
    <w:rsid w:val="00C25895"/>
    <w:rsid w:val="00C258E5"/>
    <w:rsid w:val="00C25982"/>
    <w:rsid w:val="00C25A25"/>
    <w:rsid w:val="00C25A3C"/>
    <w:rsid w:val="00C25AAA"/>
    <w:rsid w:val="00C25ACB"/>
    <w:rsid w:val="00C25D50"/>
    <w:rsid w:val="00C25EC5"/>
    <w:rsid w:val="00C25F3F"/>
    <w:rsid w:val="00C25FC1"/>
    <w:rsid w:val="00C2600B"/>
    <w:rsid w:val="00C26254"/>
    <w:rsid w:val="00C264DD"/>
    <w:rsid w:val="00C26611"/>
    <w:rsid w:val="00C266E3"/>
    <w:rsid w:val="00C26942"/>
    <w:rsid w:val="00C2695E"/>
    <w:rsid w:val="00C26A70"/>
    <w:rsid w:val="00C27085"/>
    <w:rsid w:val="00C27305"/>
    <w:rsid w:val="00C27331"/>
    <w:rsid w:val="00C2733A"/>
    <w:rsid w:val="00C27376"/>
    <w:rsid w:val="00C27644"/>
    <w:rsid w:val="00C2779F"/>
    <w:rsid w:val="00C27866"/>
    <w:rsid w:val="00C27A6B"/>
    <w:rsid w:val="00C27AAB"/>
    <w:rsid w:val="00C27DD3"/>
    <w:rsid w:val="00C27E29"/>
    <w:rsid w:val="00C27EB4"/>
    <w:rsid w:val="00C27F08"/>
    <w:rsid w:val="00C27F2A"/>
    <w:rsid w:val="00C27F68"/>
    <w:rsid w:val="00C3009D"/>
    <w:rsid w:val="00C300EC"/>
    <w:rsid w:val="00C30237"/>
    <w:rsid w:val="00C3023F"/>
    <w:rsid w:val="00C303C5"/>
    <w:rsid w:val="00C30421"/>
    <w:rsid w:val="00C3046F"/>
    <w:rsid w:val="00C3053C"/>
    <w:rsid w:val="00C30718"/>
    <w:rsid w:val="00C307F2"/>
    <w:rsid w:val="00C307FB"/>
    <w:rsid w:val="00C3085F"/>
    <w:rsid w:val="00C30960"/>
    <w:rsid w:val="00C30B31"/>
    <w:rsid w:val="00C30B5F"/>
    <w:rsid w:val="00C30BBF"/>
    <w:rsid w:val="00C30C5F"/>
    <w:rsid w:val="00C30D14"/>
    <w:rsid w:val="00C30F17"/>
    <w:rsid w:val="00C30F68"/>
    <w:rsid w:val="00C310BD"/>
    <w:rsid w:val="00C31301"/>
    <w:rsid w:val="00C313FF"/>
    <w:rsid w:val="00C3170B"/>
    <w:rsid w:val="00C317A8"/>
    <w:rsid w:val="00C31949"/>
    <w:rsid w:val="00C31ECC"/>
    <w:rsid w:val="00C3213B"/>
    <w:rsid w:val="00C321B0"/>
    <w:rsid w:val="00C3224E"/>
    <w:rsid w:val="00C322DB"/>
    <w:rsid w:val="00C322FC"/>
    <w:rsid w:val="00C323A0"/>
    <w:rsid w:val="00C32420"/>
    <w:rsid w:val="00C32496"/>
    <w:rsid w:val="00C324FA"/>
    <w:rsid w:val="00C3252A"/>
    <w:rsid w:val="00C32630"/>
    <w:rsid w:val="00C327C4"/>
    <w:rsid w:val="00C32A14"/>
    <w:rsid w:val="00C32BC1"/>
    <w:rsid w:val="00C32BC6"/>
    <w:rsid w:val="00C32EB4"/>
    <w:rsid w:val="00C32EEA"/>
    <w:rsid w:val="00C32FB7"/>
    <w:rsid w:val="00C331C8"/>
    <w:rsid w:val="00C33206"/>
    <w:rsid w:val="00C33226"/>
    <w:rsid w:val="00C334C4"/>
    <w:rsid w:val="00C336C5"/>
    <w:rsid w:val="00C339BF"/>
    <w:rsid w:val="00C33A2D"/>
    <w:rsid w:val="00C33A7A"/>
    <w:rsid w:val="00C33ABC"/>
    <w:rsid w:val="00C33AD9"/>
    <w:rsid w:val="00C33B40"/>
    <w:rsid w:val="00C33C7A"/>
    <w:rsid w:val="00C33E2F"/>
    <w:rsid w:val="00C34331"/>
    <w:rsid w:val="00C343D9"/>
    <w:rsid w:val="00C3444A"/>
    <w:rsid w:val="00C3448E"/>
    <w:rsid w:val="00C344BF"/>
    <w:rsid w:val="00C34622"/>
    <w:rsid w:val="00C346EF"/>
    <w:rsid w:val="00C347A9"/>
    <w:rsid w:val="00C34977"/>
    <w:rsid w:val="00C34B5D"/>
    <w:rsid w:val="00C34C32"/>
    <w:rsid w:val="00C34CE0"/>
    <w:rsid w:val="00C34E28"/>
    <w:rsid w:val="00C3501F"/>
    <w:rsid w:val="00C350F3"/>
    <w:rsid w:val="00C3519F"/>
    <w:rsid w:val="00C352A9"/>
    <w:rsid w:val="00C35417"/>
    <w:rsid w:val="00C354AE"/>
    <w:rsid w:val="00C355C2"/>
    <w:rsid w:val="00C356BF"/>
    <w:rsid w:val="00C3596E"/>
    <w:rsid w:val="00C35AB9"/>
    <w:rsid w:val="00C35B86"/>
    <w:rsid w:val="00C35DEB"/>
    <w:rsid w:val="00C35E20"/>
    <w:rsid w:val="00C36045"/>
    <w:rsid w:val="00C361B7"/>
    <w:rsid w:val="00C3620B"/>
    <w:rsid w:val="00C3623A"/>
    <w:rsid w:val="00C3623F"/>
    <w:rsid w:val="00C36527"/>
    <w:rsid w:val="00C3656A"/>
    <w:rsid w:val="00C36573"/>
    <w:rsid w:val="00C3660A"/>
    <w:rsid w:val="00C36646"/>
    <w:rsid w:val="00C369E7"/>
    <w:rsid w:val="00C369F7"/>
    <w:rsid w:val="00C36A96"/>
    <w:rsid w:val="00C36B10"/>
    <w:rsid w:val="00C36CAB"/>
    <w:rsid w:val="00C36EC4"/>
    <w:rsid w:val="00C370EE"/>
    <w:rsid w:val="00C372A4"/>
    <w:rsid w:val="00C3741C"/>
    <w:rsid w:val="00C3742F"/>
    <w:rsid w:val="00C3749B"/>
    <w:rsid w:val="00C374CF"/>
    <w:rsid w:val="00C3757F"/>
    <w:rsid w:val="00C377ED"/>
    <w:rsid w:val="00C37802"/>
    <w:rsid w:val="00C378B7"/>
    <w:rsid w:val="00C3799D"/>
    <w:rsid w:val="00C37A1A"/>
    <w:rsid w:val="00C37AC2"/>
    <w:rsid w:val="00C37C6E"/>
    <w:rsid w:val="00C37C78"/>
    <w:rsid w:val="00C37D7A"/>
    <w:rsid w:val="00C37E21"/>
    <w:rsid w:val="00C37E93"/>
    <w:rsid w:val="00C37ED6"/>
    <w:rsid w:val="00C37F2B"/>
    <w:rsid w:val="00C4011C"/>
    <w:rsid w:val="00C40324"/>
    <w:rsid w:val="00C4032D"/>
    <w:rsid w:val="00C403B4"/>
    <w:rsid w:val="00C404FA"/>
    <w:rsid w:val="00C405AD"/>
    <w:rsid w:val="00C405BA"/>
    <w:rsid w:val="00C407A0"/>
    <w:rsid w:val="00C408B1"/>
    <w:rsid w:val="00C40B8F"/>
    <w:rsid w:val="00C40E0B"/>
    <w:rsid w:val="00C41027"/>
    <w:rsid w:val="00C4106F"/>
    <w:rsid w:val="00C4120A"/>
    <w:rsid w:val="00C41250"/>
    <w:rsid w:val="00C41294"/>
    <w:rsid w:val="00C412D5"/>
    <w:rsid w:val="00C4141D"/>
    <w:rsid w:val="00C41511"/>
    <w:rsid w:val="00C415E7"/>
    <w:rsid w:val="00C4173D"/>
    <w:rsid w:val="00C41871"/>
    <w:rsid w:val="00C41945"/>
    <w:rsid w:val="00C41A15"/>
    <w:rsid w:val="00C41A2E"/>
    <w:rsid w:val="00C41B8D"/>
    <w:rsid w:val="00C41BCC"/>
    <w:rsid w:val="00C41CA0"/>
    <w:rsid w:val="00C41F3D"/>
    <w:rsid w:val="00C41FCC"/>
    <w:rsid w:val="00C4217D"/>
    <w:rsid w:val="00C4225F"/>
    <w:rsid w:val="00C4227A"/>
    <w:rsid w:val="00C4229B"/>
    <w:rsid w:val="00C422E6"/>
    <w:rsid w:val="00C42500"/>
    <w:rsid w:val="00C425B2"/>
    <w:rsid w:val="00C426D4"/>
    <w:rsid w:val="00C42853"/>
    <w:rsid w:val="00C42B16"/>
    <w:rsid w:val="00C42B40"/>
    <w:rsid w:val="00C42B45"/>
    <w:rsid w:val="00C42C2B"/>
    <w:rsid w:val="00C42D83"/>
    <w:rsid w:val="00C42EC4"/>
    <w:rsid w:val="00C431F7"/>
    <w:rsid w:val="00C43368"/>
    <w:rsid w:val="00C43395"/>
    <w:rsid w:val="00C435AC"/>
    <w:rsid w:val="00C435F6"/>
    <w:rsid w:val="00C43661"/>
    <w:rsid w:val="00C4367C"/>
    <w:rsid w:val="00C43756"/>
    <w:rsid w:val="00C4384F"/>
    <w:rsid w:val="00C438F8"/>
    <w:rsid w:val="00C439F6"/>
    <w:rsid w:val="00C43A43"/>
    <w:rsid w:val="00C43BD6"/>
    <w:rsid w:val="00C43CC3"/>
    <w:rsid w:val="00C43F82"/>
    <w:rsid w:val="00C43F86"/>
    <w:rsid w:val="00C43FC5"/>
    <w:rsid w:val="00C4406B"/>
    <w:rsid w:val="00C44092"/>
    <w:rsid w:val="00C4411F"/>
    <w:rsid w:val="00C4433F"/>
    <w:rsid w:val="00C4434B"/>
    <w:rsid w:val="00C44398"/>
    <w:rsid w:val="00C44402"/>
    <w:rsid w:val="00C444D5"/>
    <w:rsid w:val="00C446EF"/>
    <w:rsid w:val="00C4494B"/>
    <w:rsid w:val="00C44961"/>
    <w:rsid w:val="00C449A6"/>
    <w:rsid w:val="00C44A3F"/>
    <w:rsid w:val="00C44BBD"/>
    <w:rsid w:val="00C44C20"/>
    <w:rsid w:val="00C45099"/>
    <w:rsid w:val="00C450FE"/>
    <w:rsid w:val="00C4511D"/>
    <w:rsid w:val="00C45187"/>
    <w:rsid w:val="00C451F7"/>
    <w:rsid w:val="00C4525B"/>
    <w:rsid w:val="00C452CB"/>
    <w:rsid w:val="00C45381"/>
    <w:rsid w:val="00C453C8"/>
    <w:rsid w:val="00C456B7"/>
    <w:rsid w:val="00C45733"/>
    <w:rsid w:val="00C45790"/>
    <w:rsid w:val="00C45D99"/>
    <w:rsid w:val="00C45ECD"/>
    <w:rsid w:val="00C4606D"/>
    <w:rsid w:val="00C46512"/>
    <w:rsid w:val="00C46585"/>
    <w:rsid w:val="00C46621"/>
    <w:rsid w:val="00C46627"/>
    <w:rsid w:val="00C467A8"/>
    <w:rsid w:val="00C468AD"/>
    <w:rsid w:val="00C46A3D"/>
    <w:rsid w:val="00C46A66"/>
    <w:rsid w:val="00C46A73"/>
    <w:rsid w:val="00C46BA1"/>
    <w:rsid w:val="00C46CD5"/>
    <w:rsid w:val="00C46D4E"/>
    <w:rsid w:val="00C46D82"/>
    <w:rsid w:val="00C46E3A"/>
    <w:rsid w:val="00C46E60"/>
    <w:rsid w:val="00C46F01"/>
    <w:rsid w:val="00C46F20"/>
    <w:rsid w:val="00C46F7A"/>
    <w:rsid w:val="00C47029"/>
    <w:rsid w:val="00C47264"/>
    <w:rsid w:val="00C4751A"/>
    <w:rsid w:val="00C47521"/>
    <w:rsid w:val="00C47758"/>
    <w:rsid w:val="00C477A4"/>
    <w:rsid w:val="00C477CE"/>
    <w:rsid w:val="00C477E8"/>
    <w:rsid w:val="00C478FA"/>
    <w:rsid w:val="00C47B45"/>
    <w:rsid w:val="00C47BF9"/>
    <w:rsid w:val="00C47D08"/>
    <w:rsid w:val="00C50039"/>
    <w:rsid w:val="00C500D7"/>
    <w:rsid w:val="00C50156"/>
    <w:rsid w:val="00C5057B"/>
    <w:rsid w:val="00C505D2"/>
    <w:rsid w:val="00C50650"/>
    <w:rsid w:val="00C50655"/>
    <w:rsid w:val="00C50727"/>
    <w:rsid w:val="00C507D3"/>
    <w:rsid w:val="00C50928"/>
    <w:rsid w:val="00C50948"/>
    <w:rsid w:val="00C50970"/>
    <w:rsid w:val="00C509A0"/>
    <w:rsid w:val="00C50E5E"/>
    <w:rsid w:val="00C510C0"/>
    <w:rsid w:val="00C511C6"/>
    <w:rsid w:val="00C512DF"/>
    <w:rsid w:val="00C5140D"/>
    <w:rsid w:val="00C514E5"/>
    <w:rsid w:val="00C51555"/>
    <w:rsid w:val="00C51671"/>
    <w:rsid w:val="00C51731"/>
    <w:rsid w:val="00C517E0"/>
    <w:rsid w:val="00C51833"/>
    <w:rsid w:val="00C51977"/>
    <w:rsid w:val="00C519C0"/>
    <w:rsid w:val="00C51B84"/>
    <w:rsid w:val="00C51C7A"/>
    <w:rsid w:val="00C51DF9"/>
    <w:rsid w:val="00C51E8A"/>
    <w:rsid w:val="00C51FC4"/>
    <w:rsid w:val="00C5203E"/>
    <w:rsid w:val="00C52067"/>
    <w:rsid w:val="00C520D9"/>
    <w:rsid w:val="00C52100"/>
    <w:rsid w:val="00C52272"/>
    <w:rsid w:val="00C522C1"/>
    <w:rsid w:val="00C522D4"/>
    <w:rsid w:val="00C5237C"/>
    <w:rsid w:val="00C5237F"/>
    <w:rsid w:val="00C5239B"/>
    <w:rsid w:val="00C523D5"/>
    <w:rsid w:val="00C524FE"/>
    <w:rsid w:val="00C52624"/>
    <w:rsid w:val="00C526D2"/>
    <w:rsid w:val="00C52742"/>
    <w:rsid w:val="00C52958"/>
    <w:rsid w:val="00C52B1D"/>
    <w:rsid w:val="00C52C32"/>
    <w:rsid w:val="00C52C41"/>
    <w:rsid w:val="00C52E3F"/>
    <w:rsid w:val="00C52E68"/>
    <w:rsid w:val="00C52EE3"/>
    <w:rsid w:val="00C52FEB"/>
    <w:rsid w:val="00C53051"/>
    <w:rsid w:val="00C530AB"/>
    <w:rsid w:val="00C53292"/>
    <w:rsid w:val="00C533E6"/>
    <w:rsid w:val="00C53451"/>
    <w:rsid w:val="00C53567"/>
    <w:rsid w:val="00C536B9"/>
    <w:rsid w:val="00C5378A"/>
    <w:rsid w:val="00C537A8"/>
    <w:rsid w:val="00C5387B"/>
    <w:rsid w:val="00C53A9E"/>
    <w:rsid w:val="00C53D1F"/>
    <w:rsid w:val="00C53D8B"/>
    <w:rsid w:val="00C53E9E"/>
    <w:rsid w:val="00C53EA9"/>
    <w:rsid w:val="00C53FAB"/>
    <w:rsid w:val="00C54038"/>
    <w:rsid w:val="00C54119"/>
    <w:rsid w:val="00C541CE"/>
    <w:rsid w:val="00C54227"/>
    <w:rsid w:val="00C5423B"/>
    <w:rsid w:val="00C54240"/>
    <w:rsid w:val="00C54263"/>
    <w:rsid w:val="00C5437A"/>
    <w:rsid w:val="00C543BA"/>
    <w:rsid w:val="00C543F0"/>
    <w:rsid w:val="00C5447C"/>
    <w:rsid w:val="00C546B1"/>
    <w:rsid w:val="00C547F9"/>
    <w:rsid w:val="00C54800"/>
    <w:rsid w:val="00C549B4"/>
    <w:rsid w:val="00C549EB"/>
    <w:rsid w:val="00C549FB"/>
    <w:rsid w:val="00C54A2F"/>
    <w:rsid w:val="00C54BA2"/>
    <w:rsid w:val="00C54C30"/>
    <w:rsid w:val="00C54C66"/>
    <w:rsid w:val="00C54E7A"/>
    <w:rsid w:val="00C54E8C"/>
    <w:rsid w:val="00C54F1D"/>
    <w:rsid w:val="00C54FAD"/>
    <w:rsid w:val="00C5505B"/>
    <w:rsid w:val="00C55065"/>
    <w:rsid w:val="00C55195"/>
    <w:rsid w:val="00C55290"/>
    <w:rsid w:val="00C5529A"/>
    <w:rsid w:val="00C552DB"/>
    <w:rsid w:val="00C554B4"/>
    <w:rsid w:val="00C554F5"/>
    <w:rsid w:val="00C55512"/>
    <w:rsid w:val="00C557B7"/>
    <w:rsid w:val="00C558EC"/>
    <w:rsid w:val="00C5595D"/>
    <w:rsid w:val="00C559D6"/>
    <w:rsid w:val="00C55A90"/>
    <w:rsid w:val="00C55C8B"/>
    <w:rsid w:val="00C55C9E"/>
    <w:rsid w:val="00C55CDE"/>
    <w:rsid w:val="00C55D49"/>
    <w:rsid w:val="00C55E2D"/>
    <w:rsid w:val="00C55EA6"/>
    <w:rsid w:val="00C55EAD"/>
    <w:rsid w:val="00C55F1A"/>
    <w:rsid w:val="00C561DD"/>
    <w:rsid w:val="00C56515"/>
    <w:rsid w:val="00C565F4"/>
    <w:rsid w:val="00C56755"/>
    <w:rsid w:val="00C5679E"/>
    <w:rsid w:val="00C5681A"/>
    <w:rsid w:val="00C56A9D"/>
    <w:rsid w:val="00C56B63"/>
    <w:rsid w:val="00C56F4C"/>
    <w:rsid w:val="00C5704D"/>
    <w:rsid w:val="00C5705C"/>
    <w:rsid w:val="00C57077"/>
    <w:rsid w:val="00C570C2"/>
    <w:rsid w:val="00C571F3"/>
    <w:rsid w:val="00C572F5"/>
    <w:rsid w:val="00C57308"/>
    <w:rsid w:val="00C57339"/>
    <w:rsid w:val="00C573A2"/>
    <w:rsid w:val="00C57452"/>
    <w:rsid w:val="00C57453"/>
    <w:rsid w:val="00C57496"/>
    <w:rsid w:val="00C5757F"/>
    <w:rsid w:val="00C575F0"/>
    <w:rsid w:val="00C57765"/>
    <w:rsid w:val="00C57790"/>
    <w:rsid w:val="00C5786C"/>
    <w:rsid w:val="00C57877"/>
    <w:rsid w:val="00C57A56"/>
    <w:rsid w:val="00C57A6D"/>
    <w:rsid w:val="00C57A7B"/>
    <w:rsid w:val="00C57AD3"/>
    <w:rsid w:val="00C57AF9"/>
    <w:rsid w:val="00C57BAE"/>
    <w:rsid w:val="00C57DA1"/>
    <w:rsid w:val="00C57F3C"/>
    <w:rsid w:val="00C60072"/>
    <w:rsid w:val="00C6007E"/>
    <w:rsid w:val="00C60150"/>
    <w:rsid w:val="00C60189"/>
    <w:rsid w:val="00C602D5"/>
    <w:rsid w:val="00C603EE"/>
    <w:rsid w:val="00C604F6"/>
    <w:rsid w:val="00C60542"/>
    <w:rsid w:val="00C60567"/>
    <w:rsid w:val="00C6062E"/>
    <w:rsid w:val="00C609B4"/>
    <w:rsid w:val="00C60A02"/>
    <w:rsid w:val="00C60A31"/>
    <w:rsid w:val="00C60A70"/>
    <w:rsid w:val="00C60A91"/>
    <w:rsid w:val="00C60A9C"/>
    <w:rsid w:val="00C60E80"/>
    <w:rsid w:val="00C60E93"/>
    <w:rsid w:val="00C60ED9"/>
    <w:rsid w:val="00C60FBA"/>
    <w:rsid w:val="00C6100B"/>
    <w:rsid w:val="00C6117F"/>
    <w:rsid w:val="00C61219"/>
    <w:rsid w:val="00C61220"/>
    <w:rsid w:val="00C615E2"/>
    <w:rsid w:val="00C61626"/>
    <w:rsid w:val="00C6164B"/>
    <w:rsid w:val="00C61717"/>
    <w:rsid w:val="00C617C9"/>
    <w:rsid w:val="00C61880"/>
    <w:rsid w:val="00C61BC5"/>
    <w:rsid w:val="00C61CBF"/>
    <w:rsid w:val="00C61F38"/>
    <w:rsid w:val="00C61FF9"/>
    <w:rsid w:val="00C62015"/>
    <w:rsid w:val="00C62299"/>
    <w:rsid w:val="00C62409"/>
    <w:rsid w:val="00C6254D"/>
    <w:rsid w:val="00C625B3"/>
    <w:rsid w:val="00C625BB"/>
    <w:rsid w:val="00C625C6"/>
    <w:rsid w:val="00C6264C"/>
    <w:rsid w:val="00C626C5"/>
    <w:rsid w:val="00C626F9"/>
    <w:rsid w:val="00C62775"/>
    <w:rsid w:val="00C628B9"/>
    <w:rsid w:val="00C629B8"/>
    <w:rsid w:val="00C62C3D"/>
    <w:rsid w:val="00C62CDE"/>
    <w:rsid w:val="00C62E75"/>
    <w:rsid w:val="00C62F9A"/>
    <w:rsid w:val="00C63117"/>
    <w:rsid w:val="00C631CE"/>
    <w:rsid w:val="00C63547"/>
    <w:rsid w:val="00C636D9"/>
    <w:rsid w:val="00C637F1"/>
    <w:rsid w:val="00C63804"/>
    <w:rsid w:val="00C63A3A"/>
    <w:rsid w:val="00C63AC0"/>
    <w:rsid w:val="00C63B47"/>
    <w:rsid w:val="00C63C1A"/>
    <w:rsid w:val="00C63C4A"/>
    <w:rsid w:val="00C63D55"/>
    <w:rsid w:val="00C63DBA"/>
    <w:rsid w:val="00C63E0C"/>
    <w:rsid w:val="00C63E92"/>
    <w:rsid w:val="00C63FBB"/>
    <w:rsid w:val="00C64163"/>
    <w:rsid w:val="00C64273"/>
    <w:rsid w:val="00C6428A"/>
    <w:rsid w:val="00C643C4"/>
    <w:rsid w:val="00C6452B"/>
    <w:rsid w:val="00C64675"/>
    <w:rsid w:val="00C64727"/>
    <w:rsid w:val="00C648C1"/>
    <w:rsid w:val="00C64C67"/>
    <w:rsid w:val="00C64D90"/>
    <w:rsid w:val="00C6515C"/>
    <w:rsid w:val="00C65473"/>
    <w:rsid w:val="00C65477"/>
    <w:rsid w:val="00C655E8"/>
    <w:rsid w:val="00C6572E"/>
    <w:rsid w:val="00C65746"/>
    <w:rsid w:val="00C65827"/>
    <w:rsid w:val="00C6584D"/>
    <w:rsid w:val="00C65919"/>
    <w:rsid w:val="00C65976"/>
    <w:rsid w:val="00C65B6D"/>
    <w:rsid w:val="00C65BA1"/>
    <w:rsid w:val="00C65BD5"/>
    <w:rsid w:val="00C65BFD"/>
    <w:rsid w:val="00C65C6F"/>
    <w:rsid w:val="00C65F91"/>
    <w:rsid w:val="00C662A9"/>
    <w:rsid w:val="00C664B1"/>
    <w:rsid w:val="00C665C7"/>
    <w:rsid w:val="00C66850"/>
    <w:rsid w:val="00C66880"/>
    <w:rsid w:val="00C66B97"/>
    <w:rsid w:val="00C66C3F"/>
    <w:rsid w:val="00C66CE0"/>
    <w:rsid w:val="00C66F16"/>
    <w:rsid w:val="00C67069"/>
    <w:rsid w:val="00C67211"/>
    <w:rsid w:val="00C67240"/>
    <w:rsid w:val="00C67269"/>
    <w:rsid w:val="00C6728C"/>
    <w:rsid w:val="00C67325"/>
    <w:rsid w:val="00C67466"/>
    <w:rsid w:val="00C6747B"/>
    <w:rsid w:val="00C674FA"/>
    <w:rsid w:val="00C676F3"/>
    <w:rsid w:val="00C6777D"/>
    <w:rsid w:val="00C677D7"/>
    <w:rsid w:val="00C678EC"/>
    <w:rsid w:val="00C67B34"/>
    <w:rsid w:val="00C67BF8"/>
    <w:rsid w:val="00C67D32"/>
    <w:rsid w:val="00C67DFD"/>
    <w:rsid w:val="00C67EAD"/>
    <w:rsid w:val="00C67F05"/>
    <w:rsid w:val="00C700C9"/>
    <w:rsid w:val="00C7028B"/>
    <w:rsid w:val="00C7032B"/>
    <w:rsid w:val="00C70402"/>
    <w:rsid w:val="00C70496"/>
    <w:rsid w:val="00C704A2"/>
    <w:rsid w:val="00C704CB"/>
    <w:rsid w:val="00C70621"/>
    <w:rsid w:val="00C70762"/>
    <w:rsid w:val="00C7081A"/>
    <w:rsid w:val="00C708A0"/>
    <w:rsid w:val="00C708E0"/>
    <w:rsid w:val="00C70A99"/>
    <w:rsid w:val="00C70B6C"/>
    <w:rsid w:val="00C70B9F"/>
    <w:rsid w:val="00C71018"/>
    <w:rsid w:val="00C71088"/>
    <w:rsid w:val="00C710EE"/>
    <w:rsid w:val="00C713DE"/>
    <w:rsid w:val="00C7160A"/>
    <w:rsid w:val="00C71683"/>
    <w:rsid w:val="00C7171A"/>
    <w:rsid w:val="00C71845"/>
    <w:rsid w:val="00C71A26"/>
    <w:rsid w:val="00C71A72"/>
    <w:rsid w:val="00C71A80"/>
    <w:rsid w:val="00C71D04"/>
    <w:rsid w:val="00C71E56"/>
    <w:rsid w:val="00C71EE1"/>
    <w:rsid w:val="00C71F94"/>
    <w:rsid w:val="00C72084"/>
    <w:rsid w:val="00C7227D"/>
    <w:rsid w:val="00C72294"/>
    <w:rsid w:val="00C725B3"/>
    <w:rsid w:val="00C726E8"/>
    <w:rsid w:val="00C72725"/>
    <w:rsid w:val="00C72783"/>
    <w:rsid w:val="00C727AB"/>
    <w:rsid w:val="00C7288B"/>
    <w:rsid w:val="00C72A9C"/>
    <w:rsid w:val="00C72E91"/>
    <w:rsid w:val="00C72EF0"/>
    <w:rsid w:val="00C72F9F"/>
    <w:rsid w:val="00C73176"/>
    <w:rsid w:val="00C7327D"/>
    <w:rsid w:val="00C7345C"/>
    <w:rsid w:val="00C7354D"/>
    <w:rsid w:val="00C736B3"/>
    <w:rsid w:val="00C736CE"/>
    <w:rsid w:val="00C73919"/>
    <w:rsid w:val="00C73A1A"/>
    <w:rsid w:val="00C73B5E"/>
    <w:rsid w:val="00C73CA9"/>
    <w:rsid w:val="00C73DD4"/>
    <w:rsid w:val="00C73F5A"/>
    <w:rsid w:val="00C73FF6"/>
    <w:rsid w:val="00C7405D"/>
    <w:rsid w:val="00C741C3"/>
    <w:rsid w:val="00C7424E"/>
    <w:rsid w:val="00C742BB"/>
    <w:rsid w:val="00C74368"/>
    <w:rsid w:val="00C743C7"/>
    <w:rsid w:val="00C74442"/>
    <w:rsid w:val="00C744A5"/>
    <w:rsid w:val="00C7462A"/>
    <w:rsid w:val="00C74750"/>
    <w:rsid w:val="00C747BD"/>
    <w:rsid w:val="00C7490D"/>
    <w:rsid w:val="00C74956"/>
    <w:rsid w:val="00C749B5"/>
    <w:rsid w:val="00C74A99"/>
    <w:rsid w:val="00C74B13"/>
    <w:rsid w:val="00C74C21"/>
    <w:rsid w:val="00C74CA0"/>
    <w:rsid w:val="00C74E61"/>
    <w:rsid w:val="00C74F2F"/>
    <w:rsid w:val="00C756EC"/>
    <w:rsid w:val="00C75706"/>
    <w:rsid w:val="00C75862"/>
    <w:rsid w:val="00C75BF8"/>
    <w:rsid w:val="00C75F05"/>
    <w:rsid w:val="00C75F5A"/>
    <w:rsid w:val="00C762F1"/>
    <w:rsid w:val="00C76684"/>
    <w:rsid w:val="00C768D1"/>
    <w:rsid w:val="00C7695D"/>
    <w:rsid w:val="00C76A50"/>
    <w:rsid w:val="00C76B62"/>
    <w:rsid w:val="00C76BDD"/>
    <w:rsid w:val="00C76E9A"/>
    <w:rsid w:val="00C76FFD"/>
    <w:rsid w:val="00C7703D"/>
    <w:rsid w:val="00C771F5"/>
    <w:rsid w:val="00C7725C"/>
    <w:rsid w:val="00C77610"/>
    <w:rsid w:val="00C77624"/>
    <w:rsid w:val="00C77831"/>
    <w:rsid w:val="00C77A91"/>
    <w:rsid w:val="00C77C4F"/>
    <w:rsid w:val="00C77CE8"/>
    <w:rsid w:val="00C77D2A"/>
    <w:rsid w:val="00C77D60"/>
    <w:rsid w:val="00C77DAF"/>
    <w:rsid w:val="00C77EE7"/>
    <w:rsid w:val="00C77F1C"/>
    <w:rsid w:val="00C77F20"/>
    <w:rsid w:val="00C77F43"/>
    <w:rsid w:val="00C77F5D"/>
    <w:rsid w:val="00C77F80"/>
    <w:rsid w:val="00C80097"/>
    <w:rsid w:val="00C80175"/>
    <w:rsid w:val="00C80238"/>
    <w:rsid w:val="00C804BA"/>
    <w:rsid w:val="00C804FB"/>
    <w:rsid w:val="00C80586"/>
    <w:rsid w:val="00C805D1"/>
    <w:rsid w:val="00C8066A"/>
    <w:rsid w:val="00C80778"/>
    <w:rsid w:val="00C80A34"/>
    <w:rsid w:val="00C80AE3"/>
    <w:rsid w:val="00C80D73"/>
    <w:rsid w:val="00C80DC7"/>
    <w:rsid w:val="00C8108F"/>
    <w:rsid w:val="00C81143"/>
    <w:rsid w:val="00C8129D"/>
    <w:rsid w:val="00C81352"/>
    <w:rsid w:val="00C81434"/>
    <w:rsid w:val="00C815EC"/>
    <w:rsid w:val="00C8160F"/>
    <w:rsid w:val="00C81634"/>
    <w:rsid w:val="00C817CD"/>
    <w:rsid w:val="00C817F2"/>
    <w:rsid w:val="00C817F3"/>
    <w:rsid w:val="00C81B25"/>
    <w:rsid w:val="00C81B88"/>
    <w:rsid w:val="00C81C1B"/>
    <w:rsid w:val="00C81C43"/>
    <w:rsid w:val="00C81CD8"/>
    <w:rsid w:val="00C81D2E"/>
    <w:rsid w:val="00C81D38"/>
    <w:rsid w:val="00C81D76"/>
    <w:rsid w:val="00C81EA3"/>
    <w:rsid w:val="00C81F89"/>
    <w:rsid w:val="00C81FCE"/>
    <w:rsid w:val="00C8242B"/>
    <w:rsid w:val="00C82455"/>
    <w:rsid w:val="00C82489"/>
    <w:rsid w:val="00C8254C"/>
    <w:rsid w:val="00C826E7"/>
    <w:rsid w:val="00C828A8"/>
    <w:rsid w:val="00C82913"/>
    <w:rsid w:val="00C82991"/>
    <w:rsid w:val="00C82B22"/>
    <w:rsid w:val="00C82C63"/>
    <w:rsid w:val="00C82CE5"/>
    <w:rsid w:val="00C82D77"/>
    <w:rsid w:val="00C82D7E"/>
    <w:rsid w:val="00C82DD8"/>
    <w:rsid w:val="00C82EAA"/>
    <w:rsid w:val="00C82EED"/>
    <w:rsid w:val="00C83007"/>
    <w:rsid w:val="00C83045"/>
    <w:rsid w:val="00C83184"/>
    <w:rsid w:val="00C831F6"/>
    <w:rsid w:val="00C83280"/>
    <w:rsid w:val="00C8341C"/>
    <w:rsid w:val="00C83448"/>
    <w:rsid w:val="00C8345B"/>
    <w:rsid w:val="00C83493"/>
    <w:rsid w:val="00C83503"/>
    <w:rsid w:val="00C83576"/>
    <w:rsid w:val="00C836DE"/>
    <w:rsid w:val="00C838EF"/>
    <w:rsid w:val="00C83982"/>
    <w:rsid w:val="00C83BE6"/>
    <w:rsid w:val="00C83C36"/>
    <w:rsid w:val="00C83E40"/>
    <w:rsid w:val="00C83EF2"/>
    <w:rsid w:val="00C83FBB"/>
    <w:rsid w:val="00C83FFE"/>
    <w:rsid w:val="00C84016"/>
    <w:rsid w:val="00C84070"/>
    <w:rsid w:val="00C84109"/>
    <w:rsid w:val="00C8410A"/>
    <w:rsid w:val="00C8429F"/>
    <w:rsid w:val="00C8432D"/>
    <w:rsid w:val="00C8433C"/>
    <w:rsid w:val="00C843ED"/>
    <w:rsid w:val="00C84478"/>
    <w:rsid w:val="00C846A1"/>
    <w:rsid w:val="00C846D1"/>
    <w:rsid w:val="00C8474F"/>
    <w:rsid w:val="00C849B1"/>
    <w:rsid w:val="00C84B48"/>
    <w:rsid w:val="00C84CC2"/>
    <w:rsid w:val="00C84F15"/>
    <w:rsid w:val="00C850B7"/>
    <w:rsid w:val="00C8519E"/>
    <w:rsid w:val="00C85203"/>
    <w:rsid w:val="00C85367"/>
    <w:rsid w:val="00C853EB"/>
    <w:rsid w:val="00C853F3"/>
    <w:rsid w:val="00C8549E"/>
    <w:rsid w:val="00C8573D"/>
    <w:rsid w:val="00C857C7"/>
    <w:rsid w:val="00C857FB"/>
    <w:rsid w:val="00C85802"/>
    <w:rsid w:val="00C85870"/>
    <w:rsid w:val="00C85941"/>
    <w:rsid w:val="00C85AB4"/>
    <w:rsid w:val="00C85C47"/>
    <w:rsid w:val="00C85CA7"/>
    <w:rsid w:val="00C85CBD"/>
    <w:rsid w:val="00C85DDC"/>
    <w:rsid w:val="00C85FB3"/>
    <w:rsid w:val="00C860A5"/>
    <w:rsid w:val="00C8611D"/>
    <w:rsid w:val="00C862E2"/>
    <w:rsid w:val="00C86395"/>
    <w:rsid w:val="00C863B1"/>
    <w:rsid w:val="00C8640D"/>
    <w:rsid w:val="00C86464"/>
    <w:rsid w:val="00C86488"/>
    <w:rsid w:val="00C864D7"/>
    <w:rsid w:val="00C86727"/>
    <w:rsid w:val="00C86985"/>
    <w:rsid w:val="00C86A01"/>
    <w:rsid w:val="00C86A39"/>
    <w:rsid w:val="00C86A57"/>
    <w:rsid w:val="00C86CEC"/>
    <w:rsid w:val="00C86F99"/>
    <w:rsid w:val="00C86FB6"/>
    <w:rsid w:val="00C871D8"/>
    <w:rsid w:val="00C87390"/>
    <w:rsid w:val="00C87392"/>
    <w:rsid w:val="00C873B2"/>
    <w:rsid w:val="00C87510"/>
    <w:rsid w:val="00C87542"/>
    <w:rsid w:val="00C8758F"/>
    <w:rsid w:val="00C87593"/>
    <w:rsid w:val="00C875C6"/>
    <w:rsid w:val="00C87659"/>
    <w:rsid w:val="00C87756"/>
    <w:rsid w:val="00C877C2"/>
    <w:rsid w:val="00C878B0"/>
    <w:rsid w:val="00C87964"/>
    <w:rsid w:val="00C87A60"/>
    <w:rsid w:val="00C87B9A"/>
    <w:rsid w:val="00C87CFE"/>
    <w:rsid w:val="00C87DB0"/>
    <w:rsid w:val="00C87E65"/>
    <w:rsid w:val="00C87ED3"/>
    <w:rsid w:val="00C902E4"/>
    <w:rsid w:val="00C903DE"/>
    <w:rsid w:val="00C903EE"/>
    <w:rsid w:val="00C9048D"/>
    <w:rsid w:val="00C90571"/>
    <w:rsid w:val="00C90689"/>
    <w:rsid w:val="00C909CB"/>
    <w:rsid w:val="00C909ED"/>
    <w:rsid w:val="00C90A0E"/>
    <w:rsid w:val="00C90A9B"/>
    <w:rsid w:val="00C90AE3"/>
    <w:rsid w:val="00C90DA4"/>
    <w:rsid w:val="00C90DCD"/>
    <w:rsid w:val="00C90F55"/>
    <w:rsid w:val="00C90FCE"/>
    <w:rsid w:val="00C910D8"/>
    <w:rsid w:val="00C9118A"/>
    <w:rsid w:val="00C911BF"/>
    <w:rsid w:val="00C9129A"/>
    <w:rsid w:val="00C913BA"/>
    <w:rsid w:val="00C91400"/>
    <w:rsid w:val="00C91463"/>
    <w:rsid w:val="00C91616"/>
    <w:rsid w:val="00C9161B"/>
    <w:rsid w:val="00C91749"/>
    <w:rsid w:val="00C91797"/>
    <w:rsid w:val="00C91822"/>
    <w:rsid w:val="00C91874"/>
    <w:rsid w:val="00C918A3"/>
    <w:rsid w:val="00C91ADC"/>
    <w:rsid w:val="00C91C03"/>
    <w:rsid w:val="00C91C0B"/>
    <w:rsid w:val="00C91C10"/>
    <w:rsid w:val="00C91E99"/>
    <w:rsid w:val="00C91ECA"/>
    <w:rsid w:val="00C91F31"/>
    <w:rsid w:val="00C91F5C"/>
    <w:rsid w:val="00C920B8"/>
    <w:rsid w:val="00C921D6"/>
    <w:rsid w:val="00C9222A"/>
    <w:rsid w:val="00C92256"/>
    <w:rsid w:val="00C92277"/>
    <w:rsid w:val="00C92327"/>
    <w:rsid w:val="00C92331"/>
    <w:rsid w:val="00C9242E"/>
    <w:rsid w:val="00C92445"/>
    <w:rsid w:val="00C92461"/>
    <w:rsid w:val="00C924A4"/>
    <w:rsid w:val="00C92588"/>
    <w:rsid w:val="00C925A3"/>
    <w:rsid w:val="00C92671"/>
    <w:rsid w:val="00C9267C"/>
    <w:rsid w:val="00C927F3"/>
    <w:rsid w:val="00C928E9"/>
    <w:rsid w:val="00C92A60"/>
    <w:rsid w:val="00C92AE5"/>
    <w:rsid w:val="00C92B27"/>
    <w:rsid w:val="00C92B54"/>
    <w:rsid w:val="00C92F7F"/>
    <w:rsid w:val="00C92FDB"/>
    <w:rsid w:val="00C93142"/>
    <w:rsid w:val="00C93242"/>
    <w:rsid w:val="00C93308"/>
    <w:rsid w:val="00C933B9"/>
    <w:rsid w:val="00C933F6"/>
    <w:rsid w:val="00C937B2"/>
    <w:rsid w:val="00C93831"/>
    <w:rsid w:val="00C938F3"/>
    <w:rsid w:val="00C938F8"/>
    <w:rsid w:val="00C9396B"/>
    <w:rsid w:val="00C939DD"/>
    <w:rsid w:val="00C93BB9"/>
    <w:rsid w:val="00C93DD0"/>
    <w:rsid w:val="00C94173"/>
    <w:rsid w:val="00C941A2"/>
    <w:rsid w:val="00C941C8"/>
    <w:rsid w:val="00C94204"/>
    <w:rsid w:val="00C94219"/>
    <w:rsid w:val="00C94311"/>
    <w:rsid w:val="00C9433D"/>
    <w:rsid w:val="00C94379"/>
    <w:rsid w:val="00C9448C"/>
    <w:rsid w:val="00C9455F"/>
    <w:rsid w:val="00C94673"/>
    <w:rsid w:val="00C946D1"/>
    <w:rsid w:val="00C94FD2"/>
    <w:rsid w:val="00C95025"/>
    <w:rsid w:val="00C951D9"/>
    <w:rsid w:val="00C952E3"/>
    <w:rsid w:val="00C956A8"/>
    <w:rsid w:val="00C958E0"/>
    <w:rsid w:val="00C95947"/>
    <w:rsid w:val="00C95964"/>
    <w:rsid w:val="00C95AB7"/>
    <w:rsid w:val="00C95B34"/>
    <w:rsid w:val="00C95B51"/>
    <w:rsid w:val="00C95B53"/>
    <w:rsid w:val="00C95CE1"/>
    <w:rsid w:val="00C95D01"/>
    <w:rsid w:val="00C95D17"/>
    <w:rsid w:val="00C95E9D"/>
    <w:rsid w:val="00C95F19"/>
    <w:rsid w:val="00C95F7B"/>
    <w:rsid w:val="00C95FD5"/>
    <w:rsid w:val="00C9616C"/>
    <w:rsid w:val="00C963EF"/>
    <w:rsid w:val="00C9650D"/>
    <w:rsid w:val="00C965CC"/>
    <w:rsid w:val="00C96697"/>
    <w:rsid w:val="00C969F7"/>
    <w:rsid w:val="00C96A7C"/>
    <w:rsid w:val="00C96AC8"/>
    <w:rsid w:val="00C96CA2"/>
    <w:rsid w:val="00C96DCA"/>
    <w:rsid w:val="00C96E39"/>
    <w:rsid w:val="00C96E89"/>
    <w:rsid w:val="00C96EB6"/>
    <w:rsid w:val="00C96F38"/>
    <w:rsid w:val="00C97019"/>
    <w:rsid w:val="00C970BC"/>
    <w:rsid w:val="00C97140"/>
    <w:rsid w:val="00C97172"/>
    <w:rsid w:val="00C97188"/>
    <w:rsid w:val="00C97237"/>
    <w:rsid w:val="00C972EF"/>
    <w:rsid w:val="00C97300"/>
    <w:rsid w:val="00C9739F"/>
    <w:rsid w:val="00C973E0"/>
    <w:rsid w:val="00C97456"/>
    <w:rsid w:val="00C974EF"/>
    <w:rsid w:val="00C977DD"/>
    <w:rsid w:val="00C9782F"/>
    <w:rsid w:val="00C9783B"/>
    <w:rsid w:val="00C978FD"/>
    <w:rsid w:val="00C979C0"/>
    <w:rsid w:val="00C979C8"/>
    <w:rsid w:val="00C97B7B"/>
    <w:rsid w:val="00C97CC5"/>
    <w:rsid w:val="00C97F5A"/>
    <w:rsid w:val="00CA0014"/>
    <w:rsid w:val="00CA005F"/>
    <w:rsid w:val="00CA00AE"/>
    <w:rsid w:val="00CA02EE"/>
    <w:rsid w:val="00CA03ED"/>
    <w:rsid w:val="00CA063F"/>
    <w:rsid w:val="00CA06D5"/>
    <w:rsid w:val="00CA088B"/>
    <w:rsid w:val="00CA0A24"/>
    <w:rsid w:val="00CA0A3B"/>
    <w:rsid w:val="00CA0C07"/>
    <w:rsid w:val="00CA0C66"/>
    <w:rsid w:val="00CA0C7A"/>
    <w:rsid w:val="00CA0D0A"/>
    <w:rsid w:val="00CA1116"/>
    <w:rsid w:val="00CA11AE"/>
    <w:rsid w:val="00CA12EC"/>
    <w:rsid w:val="00CA1338"/>
    <w:rsid w:val="00CA171A"/>
    <w:rsid w:val="00CA178C"/>
    <w:rsid w:val="00CA1830"/>
    <w:rsid w:val="00CA18FB"/>
    <w:rsid w:val="00CA1B23"/>
    <w:rsid w:val="00CA1B3C"/>
    <w:rsid w:val="00CA1BAC"/>
    <w:rsid w:val="00CA1D1E"/>
    <w:rsid w:val="00CA1DC8"/>
    <w:rsid w:val="00CA20FF"/>
    <w:rsid w:val="00CA22ED"/>
    <w:rsid w:val="00CA2319"/>
    <w:rsid w:val="00CA2444"/>
    <w:rsid w:val="00CA29C1"/>
    <w:rsid w:val="00CA2D4A"/>
    <w:rsid w:val="00CA2DBA"/>
    <w:rsid w:val="00CA2E52"/>
    <w:rsid w:val="00CA2ECC"/>
    <w:rsid w:val="00CA2FAE"/>
    <w:rsid w:val="00CA3185"/>
    <w:rsid w:val="00CA31BB"/>
    <w:rsid w:val="00CA328C"/>
    <w:rsid w:val="00CA3310"/>
    <w:rsid w:val="00CA3321"/>
    <w:rsid w:val="00CA3351"/>
    <w:rsid w:val="00CA3389"/>
    <w:rsid w:val="00CA339C"/>
    <w:rsid w:val="00CA33E6"/>
    <w:rsid w:val="00CA34E3"/>
    <w:rsid w:val="00CA359E"/>
    <w:rsid w:val="00CA359F"/>
    <w:rsid w:val="00CA3754"/>
    <w:rsid w:val="00CA396C"/>
    <w:rsid w:val="00CA39B2"/>
    <w:rsid w:val="00CA3ADE"/>
    <w:rsid w:val="00CA3D12"/>
    <w:rsid w:val="00CA3DCA"/>
    <w:rsid w:val="00CA3DFE"/>
    <w:rsid w:val="00CA4037"/>
    <w:rsid w:val="00CA41AB"/>
    <w:rsid w:val="00CA4208"/>
    <w:rsid w:val="00CA4216"/>
    <w:rsid w:val="00CA4398"/>
    <w:rsid w:val="00CA447B"/>
    <w:rsid w:val="00CA45AE"/>
    <w:rsid w:val="00CA45F0"/>
    <w:rsid w:val="00CA4641"/>
    <w:rsid w:val="00CA4748"/>
    <w:rsid w:val="00CA48A4"/>
    <w:rsid w:val="00CA494F"/>
    <w:rsid w:val="00CA4A3E"/>
    <w:rsid w:val="00CA4AA9"/>
    <w:rsid w:val="00CA4B49"/>
    <w:rsid w:val="00CA4D2D"/>
    <w:rsid w:val="00CA4D96"/>
    <w:rsid w:val="00CA4E5C"/>
    <w:rsid w:val="00CA4F8E"/>
    <w:rsid w:val="00CA502B"/>
    <w:rsid w:val="00CA5137"/>
    <w:rsid w:val="00CA5143"/>
    <w:rsid w:val="00CA519A"/>
    <w:rsid w:val="00CA51B2"/>
    <w:rsid w:val="00CA52F3"/>
    <w:rsid w:val="00CA53AF"/>
    <w:rsid w:val="00CA545B"/>
    <w:rsid w:val="00CA5468"/>
    <w:rsid w:val="00CA555D"/>
    <w:rsid w:val="00CA5579"/>
    <w:rsid w:val="00CA5632"/>
    <w:rsid w:val="00CA56F7"/>
    <w:rsid w:val="00CA5788"/>
    <w:rsid w:val="00CA5925"/>
    <w:rsid w:val="00CA597B"/>
    <w:rsid w:val="00CA5A24"/>
    <w:rsid w:val="00CA5A4F"/>
    <w:rsid w:val="00CA5B05"/>
    <w:rsid w:val="00CA5C39"/>
    <w:rsid w:val="00CA5C9B"/>
    <w:rsid w:val="00CA5E13"/>
    <w:rsid w:val="00CA5E83"/>
    <w:rsid w:val="00CA5ECD"/>
    <w:rsid w:val="00CA5F50"/>
    <w:rsid w:val="00CA5FC6"/>
    <w:rsid w:val="00CA609F"/>
    <w:rsid w:val="00CA6244"/>
    <w:rsid w:val="00CA6314"/>
    <w:rsid w:val="00CA6473"/>
    <w:rsid w:val="00CA648E"/>
    <w:rsid w:val="00CA64AC"/>
    <w:rsid w:val="00CA6590"/>
    <w:rsid w:val="00CA689E"/>
    <w:rsid w:val="00CA6AD3"/>
    <w:rsid w:val="00CA6B9C"/>
    <w:rsid w:val="00CA6C45"/>
    <w:rsid w:val="00CA6CC1"/>
    <w:rsid w:val="00CA6D7D"/>
    <w:rsid w:val="00CA6E02"/>
    <w:rsid w:val="00CA6F49"/>
    <w:rsid w:val="00CA6F69"/>
    <w:rsid w:val="00CA6FB0"/>
    <w:rsid w:val="00CA707E"/>
    <w:rsid w:val="00CA7115"/>
    <w:rsid w:val="00CA711E"/>
    <w:rsid w:val="00CA72CE"/>
    <w:rsid w:val="00CA734A"/>
    <w:rsid w:val="00CA7360"/>
    <w:rsid w:val="00CA740D"/>
    <w:rsid w:val="00CA746B"/>
    <w:rsid w:val="00CA75BD"/>
    <w:rsid w:val="00CA762E"/>
    <w:rsid w:val="00CA76EF"/>
    <w:rsid w:val="00CA7846"/>
    <w:rsid w:val="00CA78BE"/>
    <w:rsid w:val="00CA7975"/>
    <w:rsid w:val="00CA7998"/>
    <w:rsid w:val="00CA7A4D"/>
    <w:rsid w:val="00CA7A69"/>
    <w:rsid w:val="00CA7A85"/>
    <w:rsid w:val="00CA7AFA"/>
    <w:rsid w:val="00CA7C1C"/>
    <w:rsid w:val="00CA7CB5"/>
    <w:rsid w:val="00CA7D76"/>
    <w:rsid w:val="00CA7E22"/>
    <w:rsid w:val="00CA7E28"/>
    <w:rsid w:val="00CB0354"/>
    <w:rsid w:val="00CB03C6"/>
    <w:rsid w:val="00CB0400"/>
    <w:rsid w:val="00CB046A"/>
    <w:rsid w:val="00CB0563"/>
    <w:rsid w:val="00CB05C0"/>
    <w:rsid w:val="00CB05DE"/>
    <w:rsid w:val="00CB0647"/>
    <w:rsid w:val="00CB0701"/>
    <w:rsid w:val="00CB073C"/>
    <w:rsid w:val="00CB08A0"/>
    <w:rsid w:val="00CB0A02"/>
    <w:rsid w:val="00CB0CD0"/>
    <w:rsid w:val="00CB0DC8"/>
    <w:rsid w:val="00CB10E1"/>
    <w:rsid w:val="00CB123A"/>
    <w:rsid w:val="00CB129F"/>
    <w:rsid w:val="00CB1359"/>
    <w:rsid w:val="00CB138C"/>
    <w:rsid w:val="00CB1551"/>
    <w:rsid w:val="00CB167D"/>
    <w:rsid w:val="00CB182D"/>
    <w:rsid w:val="00CB18FA"/>
    <w:rsid w:val="00CB1943"/>
    <w:rsid w:val="00CB195B"/>
    <w:rsid w:val="00CB1A74"/>
    <w:rsid w:val="00CB1B74"/>
    <w:rsid w:val="00CB1BC4"/>
    <w:rsid w:val="00CB1C27"/>
    <w:rsid w:val="00CB1D4D"/>
    <w:rsid w:val="00CB1E97"/>
    <w:rsid w:val="00CB1F6C"/>
    <w:rsid w:val="00CB206C"/>
    <w:rsid w:val="00CB217B"/>
    <w:rsid w:val="00CB2214"/>
    <w:rsid w:val="00CB24CA"/>
    <w:rsid w:val="00CB274C"/>
    <w:rsid w:val="00CB2756"/>
    <w:rsid w:val="00CB291A"/>
    <w:rsid w:val="00CB2928"/>
    <w:rsid w:val="00CB2A9A"/>
    <w:rsid w:val="00CB2B1E"/>
    <w:rsid w:val="00CB2B8C"/>
    <w:rsid w:val="00CB2BC6"/>
    <w:rsid w:val="00CB2C3A"/>
    <w:rsid w:val="00CB2C74"/>
    <w:rsid w:val="00CB2CB5"/>
    <w:rsid w:val="00CB2CF0"/>
    <w:rsid w:val="00CB2DFC"/>
    <w:rsid w:val="00CB2F92"/>
    <w:rsid w:val="00CB3038"/>
    <w:rsid w:val="00CB3098"/>
    <w:rsid w:val="00CB3153"/>
    <w:rsid w:val="00CB315D"/>
    <w:rsid w:val="00CB3187"/>
    <w:rsid w:val="00CB31F4"/>
    <w:rsid w:val="00CB3390"/>
    <w:rsid w:val="00CB3404"/>
    <w:rsid w:val="00CB346C"/>
    <w:rsid w:val="00CB3521"/>
    <w:rsid w:val="00CB35C7"/>
    <w:rsid w:val="00CB3619"/>
    <w:rsid w:val="00CB36FC"/>
    <w:rsid w:val="00CB3807"/>
    <w:rsid w:val="00CB388D"/>
    <w:rsid w:val="00CB3B8E"/>
    <w:rsid w:val="00CB3C6B"/>
    <w:rsid w:val="00CB3C71"/>
    <w:rsid w:val="00CB3D37"/>
    <w:rsid w:val="00CB3D52"/>
    <w:rsid w:val="00CB3DC9"/>
    <w:rsid w:val="00CB3F5B"/>
    <w:rsid w:val="00CB428F"/>
    <w:rsid w:val="00CB42D0"/>
    <w:rsid w:val="00CB46CE"/>
    <w:rsid w:val="00CB4712"/>
    <w:rsid w:val="00CB4795"/>
    <w:rsid w:val="00CB483E"/>
    <w:rsid w:val="00CB487A"/>
    <w:rsid w:val="00CB4C85"/>
    <w:rsid w:val="00CB4CC3"/>
    <w:rsid w:val="00CB4CCC"/>
    <w:rsid w:val="00CB4E3F"/>
    <w:rsid w:val="00CB4EE6"/>
    <w:rsid w:val="00CB507D"/>
    <w:rsid w:val="00CB5098"/>
    <w:rsid w:val="00CB5522"/>
    <w:rsid w:val="00CB55B8"/>
    <w:rsid w:val="00CB5812"/>
    <w:rsid w:val="00CB589F"/>
    <w:rsid w:val="00CB58CC"/>
    <w:rsid w:val="00CB5A40"/>
    <w:rsid w:val="00CB5AA4"/>
    <w:rsid w:val="00CB5C0D"/>
    <w:rsid w:val="00CB5D65"/>
    <w:rsid w:val="00CB5F4F"/>
    <w:rsid w:val="00CB60C2"/>
    <w:rsid w:val="00CB63F1"/>
    <w:rsid w:val="00CB6547"/>
    <w:rsid w:val="00CB6595"/>
    <w:rsid w:val="00CB65B4"/>
    <w:rsid w:val="00CB65F3"/>
    <w:rsid w:val="00CB6985"/>
    <w:rsid w:val="00CB69C6"/>
    <w:rsid w:val="00CB6A4C"/>
    <w:rsid w:val="00CB6B2E"/>
    <w:rsid w:val="00CB6B7F"/>
    <w:rsid w:val="00CB6CBD"/>
    <w:rsid w:val="00CB6D08"/>
    <w:rsid w:val="00CB70A5"/>
    <w:rsid w:val="00CB70A9"/>
    <w:rsid w:val="00CB7199"/>
    <w:rsid w:val="00CB7288"/>
    <w:rsid w:val="00CB729E"/>
    <w:rsid w:val="00CB73A6"/>
    <w:rsid w:val="00CB73BF"/>
    <w:rsid w:val="00CB75D3"/>
    <w:rsid w:val="00CB7661"/>
    <w:rsid w:val="00CB768D"/>
    <w:rsid w:val="00CB76A6"/>
    <w:rsid w:val="00CB76E3"/>
    <w:rsid w:val="00CB77D4"/>
    <w:rsid w:val="00CB79D0"/>
    <w:rsid w:val="00CB7B4F"/>
    <w:rsid w:val="00CB7F1C"/>
    <w:rsid w:val="00CB7F85"/>
    <w:rsid w:val="00CB7FD7"/>
    <w:rsid w:val="00CC0031"/>
    <w:rsid w:val="00CC0048"/>
    <w:rsid w:val="00CC0092"/>
    <w:rsid w:val="00CC0228"/>
    <w:rsid w:val="00CC02E9"/>
    <w:rsid w:val="00CC0374"/>
    <w:rsid w:val="00CC039B"/>
    <w:rsid w:val="00CC06E8"/>
    <w:rsid w:val="00CC07C4"/>
    <w:rsid w:val="00CC088E"/>
    <w:rsid w:val="00CC08FD"/>
    <w:rsid w:val="00CC0929"/>
    <w:rsid w:val="00CC092A"/>
    <w:rsid w:val="00CC0AED"/>
    <w:rsid w:val="00CC0B1F"/>
    <w:rsid w:val="00CC0B3E"/>
    <w:rsid w:val="00CC0B72"/>
    <w:rsid w:val="00CC0B83"/>
    <w:rsid w:val="00CC0BCB"/>
    <w:rsid w:val="00CC0BDB"/>
    <w:rsid w:val="00CC0BE9"/>
    <w:rsid w:val="00CC0BEF"/>
    <w:rsid w:val="00CC0D73"/>
    <w:rsid w:val="00CC0E95"/>
    <w:rsid w:val="00CC0F35"/>
    <w:rsid w:val="00CC0FD5"/>
    <w:rsid w:val="00CC1113"/>
    <w:rsid w:val="00CC1188"/>
    <w:rsid w:val="00CC1527"/>
    <w:rsid w:val="00CC158A"/>
    <w:rsid w:val="00CC1800"/>
    <w:rsid w:val="00CC1867"/>
    <w:rsid w:val="00CC1AAB"/>
    <w:rsid w:val="00CC1C32"/>
    <w:rsid w:val="00CC1C3D"/>
    <w:rsid w:val="00CC1E17"/>
    <w:rsid w:val="00CC1FC2"/>
    <w:rsid w:val="00CC1FC8"/>
    <w:rsid w:val="00CC210A"/>
    <w:rsid w:val="00CC2132"/>
    <w:rsid w:val="00CC217A"/>
    <w:rsid w:val="00CC2217"/>
    <w:rsid w:val="00CC235F"/>
    <w:rsid w:val="00CC2390"/>
    <w:rsid w:val="00CC23AD"/>
    <w:rsid w:val="00CC2416"/>
    <w:rsid w:val="00CC253E"/>
    <w:rsid w:val="00CC25E6"/>
    <w:rsid w:val="00CC262D"/>
    <w:rsid w:val="00CC26A0"/>
    <w:rsid w:val="00CC26FC"/>
    <w:rsid w:val="00CC27DB"/>
    <w:rsid w:val="00CC2913"/>
    <w:rsid w:val="00CC294F"/>
    <w:rsid w:val="00CC2960"/>
    <w:rsid w:val="00CC2964"/>
    <w:rsid w:val="00CC29C0"/>
    <w:rsid w:val="00CC2BD2"/>
    <w:rsid w:val="00CC2BF4"/>
    <w:rsid w:val="00CC2C1F"/>
    <w:rsid w:val="00CC2C6B"/>
    <w:rsid w:val="00CC2D11"/>
    <w:rsid w:val="00CC2DF3"/>
    <w:rsid w:val="00CC2ED5"/>
    <w:rsid w:val="00CC3100"/>
    <w:rsid w:val="00CC31F9"/>
    <w:rsid w:val="00CC3229"/>
    <w:rsid w:val="00CC32AB"/>
    <w:rsid w:val="00CC3343"/>
    <w:rsid w:val="00CC3564"/>
    <w:rsid w:val="00CC3569"/>
    <w:rsid w:val="00CC37F6"/>
    <w:rsid w:val="00CC3857"/>
    <w:rsid w:val="00CC389F"/>
    <w:rsid w:val="00CC38AF"/>
    <w:rsid w:val="00CC390E"/>
    <w:rsid w:val="00CC3969"/>
    <w:rsid w:val="00CC3A38"/>
    <w:rsid w:val="00CC3ABB"/>
    <w:rsid w:val="00CC3BC1"/>
    <w:rsid w:val="00CC3BCE"/>
    <w:rsid w:val="00CC3C58"/>
    <w:rsid w:val="00CC4171"/>
    <w:rsid w:val="00CC42F7"/>
    <w:rsid w:val="00CC435A"/>
    <w:rsid w:val="00CC4396"/>
    <w:rsid w:val="00CC4465"/>
    <w:rsid w:val="00CC4593"/>
    <w:rsid w:val="00CC46F6"/>
    <w:rsid w:val="00CC49CD"/>
    <w:rsid w:val="00CC4A60"/>
    <w:rsid w:val="00CC4CE1"/>
    <w:rsid w:val="00CC4D78"/>
    <w:rsid w:val="00CC4E0A"/>
    <w:rsid w:val="00CC4E38"/>
    <w:rsid w:val="00CC4F1C"/>
    <w:rsid w:val="00CC4FAD"/>
    <w:rsid w:val="00CC502C"/>
    <w:rsid w:val="00CC5049"/>
    <w:rsid w:val="00CC5170"/>
    <w:rsid w:val="00CC5177"/>
    <w:rsid w:val="00CC5389"/>
    <w:rsid w:val="00CC53D0"/>
    <w:rsid w:val="00CC555F"/>
    <w:rsid w:val="00CC561C"/>
    <w:rsid w:val="00CC5651"/>
    <w:rsid w:val="00CC56D2"/>
    <w:rsid w:val="00CC597E"/>
    <w:rsid w:val="00CC5C31"/>
    <w:rsid w:val="00CC5D9B"/>
    <w:rsid w:val="00CC5DAE"/>
    <w:rsid w:val="00CC5F30"/>
    <w:rsid w:val="00CC6007"/>
    <w:rsid w:val="00CC6341"/>
    <w:rsid w:val="00CC6597"/>
    <w:rsid w:val="00CC6659"/>
    <w:rsid w:val="00CC6687"/>
    <w:rsid w:val="00CC66CD"/>
    <w:rsid w:val="00CC671E"/>
    <w:rsid w:val="00CC6B5D"/>
    <w:rsid w:val="00CC6B6D"/>
    <w:rsid w:val="00CC6C5A"/>
    <w:rsid w:val="00CC6C73"/>
    <w:rsid w:val="00CC6C9A"/>
    <w:rsid w:val="00CC6D34"/>
    <w:rsid w:val="00CC6E2B"/>
    <w:rsid w:val="00CC6EAF"/>
    <w:rsid w:val="00CC6F27"/>
    <w:rsid w:val="00CC6FA0"/>
    <w:rsid w:val="00CC6FF9"/>
    <w:rsid w:val="00CC7033"/>
    <w:rsid w:val="00CC70AF"/>
    <w:rsid w:val="00CC73EF"/>
    <w:rsid w:val="00CC7410"/>
    <w:rsid w:val="00CC75B4"/>
    <w:rsid w:val="00CC75B5"/>
    <w:rsid w:val="00CC764D"/>
    <w:rsid w:val="00CC7652"/>
    <w:rsid w:val="00CC7673"/>
    <w:rsid w:val="00CC76EA"/>
    <w:rsid w:val="00CC7736"/>
    <w:rsid w:val="00CC7960"/>
    <w:rsid w:val="00CC7A5D"/>
    <w:rsid w:val="00CC7C2B"/>
    <w:rsid w:val="00CC7C93"/>
    <w:rsid w:val="00CC7CAD"/>
    <w:rsid w:val="00CC7CB9"/>
    <w:rsid w:val="00CC7D0C"/>
    <w:rsid w:val="00CC7D6F"/>
    <w:rsid w:val="00CC7E01"/>
    <w:rsid w:val="00CC7E4C"/>
    <w:rsid w:val="00CD0041"/>
    <w:rsid w:val="00CD01E2"/>
    <w:rsid w:val="00CD02E2"/>
    <w:rsid w:val="00CD06B0"/>
    <w:rsid w:val="00CD06FC"/>
    <w:rsid w:val="00CD07DE"/>
    <w:rsid w:val="00CD0862"/>
    <w:rsid w:val="00CD090C"/>
    <w:rsid w:val="00CD09D2"/>
    <w:rsid w:val="00CD0AE5"/>
    <w:rsid w:val="00CD0B8B"/>
    <w:rsid w:val="00CD0D1D"/>
    <w:rsid w:val="00CD0E08"/>
    <w:rsid w:val="00CD0FB0"/>
    <w:rsid w:val="00CD1072"/>
    <w:rsid w:val="00CD1147"/>
    <w:rsid w:val="00CD1167"/>
    <w:rsid w:val="00CD11A4"/>
    <w:rsid w:val="00CD11CE"/>
    <w:rsid w:val="00CD1297"/>
    <w:rsid w:val="00CD131C"/>
    <w:rsid w:val="00CD1331"/>
    <w:rsid w:val="00CD139F"/>
    <w:rsid w:val="00CD1412"/>
    <w:rsid w:val="00CD141B"/>
    <w:rsid w:val="00CD147C"/>
    <w:rsid w:val="00CD159B"/>
    <w:rsid w:val="00CD160F"/>
    <w:rsid w:val="00CD16A5"/>
    <w:rsid w:val="00CD17C6"/>
    <w:rsid w:val="00CD18A7"/>
    <w:rsid w:val="00CD1AAF"/>
    <w:rsid w:val="00CD1AEB"/>
    <w:rsid w:val="00CD1B2E"/>
    <w:rsid w:val="00CD1B7C"/>
    <w:rsid w:val="00CD1B9C"/>
    <w:rsid w:val="00CD1C7B"/>
    <w:rsid w:val="00CD1D34"/>
    <w:rsid w:val="00CD1F49"/>
    <w:rsid w:val="00CD2064"/>
    <w:rsid w:val="00CD2170"/>
    <w:rsid w:val="00CD2218"/>
    <w:rsid w:val="00CD2236"/>
    <w:rsid w:val="00CD2392"/>
    <w:rsid w:val="00CD247F"/>
    <w:rsid w:val="00CD25B1"/>
    <w:rsid w:val="00CD260E"/>
    <w:rsid w:val="00CD26C3"/>
    <w:rsid w:val="00CD2728"/>
    <w:rsid w:val="00CD277C"/>
    <w:rsid w:val="00CD2872"/>
    <w:rsid w:val="00CD2E4F"/>
    <w:rsid w:val="00CD3141"/>
    <w:rsid w:val="00CD314E"/>
    <w:rsid w:val="00CD3151"/>
    <w:rsid w:val="00CD318C"/>
    <w:rsid w:val="00CD3235"/>
    <w:rsid w:val="00CD327A"/>
    <w:rsid w:val="00CD34F5"/>
    <w:rsid w:val="00CD350A"/>
    <w:rsid w:val="00CD355E"/>
    <w:rsid w:val="00CD3660"/>
    <w:rsid w:val="00CD3697"/>
    <w:rsid w:val="00CD36EA"/>
    <w:rsid w:val="00CD3779"/>
    <w:rsid w:val="00CD395E"/>
    <w:rsid w:val="00CD3A33"/>
    <w:rsid w:val="00CD3AC5"/>
    <w:rsid w:val="00CD3B51"/>
    <w:rsid w:val="00CD3DF0"/>
    <w:rsid w:val="00CD3F73"/>
    <w:rsid w:val="00CD3FEF"/>
    <w:rsid w:val="00CD4047"/>
    <w:rsid w:val="00CD40A8"/>
    <w:rsid w:val="00CD4119"/>
    <w:rsid w:val="00CD4121"/>
    <w:rsid w:val="00CD412C"/>
    <w:rsid w:val="00CD4147"/>
    <w:rsid w:val="00CD4161"/>
    <w:rsid w:val="00CD439F"/>
    <w:rsid w:val="00CD462B"/>
    <w:rsid w:val="00CD477F"/>
    <w:rsid w:val="00CD484A"/>
    <w:rsid w:val="00CD4AB1"/>
    <w:rsid w:val="00CD4C6C"/>
    <w:rsid w:val="00CD4DA3"/>
    <w:rsid w:val="00CD4DAD"/>
    <w:rsid w:val="00CD4E4D"/>
    <w:rsid w:val="00CD4E75"/>
    <w:rsid w:val="00CD5025"/>
    <w:rsid w:val="00CD503E"/>
    <w:rsid w:val="00CD5070"/>
    <w:rsid w:val="00CD5126"/>
    <w:rsid w:val="00CD518B"/>
    <w:rsid w:val="00CD531A"/>
    <w:rsid w:val="00CD54C4"/>
    <w:rsid w:val="00CD575A"/>
    <w:rsid w:val="00CD577F"/>
    <w:rsid w:val="00CD579E"/>
    <w:rsid w:val="00CD5810"/>
    <w:rsid w:val="00CD58E2"/>
    <w:rsid w:val="00CD59C8"/>
    <w:rsid w:val="00CD5B45"/>
    <w:rsid w:val="00CD5BEE"/>
    <w:rsid w:val="00CD5E09"/>
    <w:rsid w:val="00CD5E99"/>
    <w:rsid w:val="00CD5ECA"/>
    <w:rsid w:val="00CD5F0E"/>
    <w:rsid w:val="00CD5FD1"/>
    <w:rsid w:val="00CD6023"/>
    <w:rsid w:val="00CD60FD"/>
    <w:rsid w:val="00CD61C5"/>
    <w:rsid w:val="00CD6300"/>
    <w:rsid w:val="00CD64ED"/>
    <w:rsid w:val="00CD6A19"/>
    <w:rsid w:val="00CD6AC2"/>
    <w:rsid w:val="00CD6B91"/>
    <w:rsid w:val="00CD6BC8"/>
    <w:rsid w:val="00CD6C11"/>
    <w:rsid w:val="00CD6C1B"/>
    <w:rsid w:val="00CD6D55"/>
    <w:rsid w:val="00CD6DCC"/>
    <w:rsid w:val="00CD6EE3"/>
    <w:rsid w:val="00CD6F6D"/>
    <w:rsid w:val="00CD6FBB"/>
    <w:rsid w:val="00CD7027"/>
    <w:rsid w:val="00CD702D"/>
    <w:rsid w:val="00CD7260"/>
    <w:rsid w:val="00CD7334"/>
    <w:rsid w:val="00CD7364"/>
    <w:rsid w:val="00CD7411"/>
    <w:rsid w:val="00CD762D"/>
    <w:rsid w:val="00CD769B"/>
    <w:rsid w:val="00CD7798"/>
    <w:rsid w:val="00CD78F5"/>
    <w:rsid w:val="00CD79DC"/>
    <w:rsid w:val="00CD79F6"/>
    <w:rsid w:val="00CD7B8E"/>
    <w:rsid w:val="00CD7BFC"/>
    <w:rsid w:val="00CD7D75"/>
    <w:rsid w:val="00CD7FA2"/>
    <w:rsid w:val="00CE01B1"/>
    <w:rsid w:val="00CE02E8"/>
    <w:rsid w:val="00CE04F6"/>
    <w:rsid w:val="00CE0508"/>
    <w:rsid w:val="00CE0616"/>
    <w:rsid w:val="00CE08D9"/>
    <w:rsid w:val="00CE0952"/>
    <w:rsid w:val="00CE099B"/>
    <w:rsid w:val="00CE0A18"/>
    <w:rsid w:val="00CE0A96"/>
    <w:rsid w:val="00CE0AAD"/>
    <w:rsid w:val="00CE0D92"/>
    <w:rsid w:val="00CE0DE7"/>
    <w:rsid w:val="00CE114B"/>
    <w:rsid w:val="00CE1169"/>
    <w:rsid w:val="00CE11A5"/>
    <w:rsid w:val="00CE1344"/>
    <w:rsid w:val="00CE1395"/>
    <w:rsid w:val="00CE1616"/>
    <w:rsid w:val="00CE1660"/>
    <w:rsid w:val="00CE16D7"/>
    <w:rsid w:val="00CE17CD"/>
    <w:rsid w:val="00CE17F0"/>
    <w:rsid w:val="00CE18CA"/>
    <w:rsid w:val="00CE1BE4"/>
    <w:rsid w:val="00CE1C6C"/>
    <w:rsid w:val="00CE1CBA"/>
    <w:rsid w:val="00CE1D3D"/>
    <w:rsid w:val="00CE1D7A"/>
    <w:rsid w:val="00CE1DE8"/>
    <w:rsid w:val="00CE1DFC"/>
    <w:rsid w:val="00CE1E19"/>
    <w:rsid w:val="00CE2025"/>
    <w:rsid w:val="00CE206D"/>
    <w:rsid w:val="00CE21C9"/>
    <w:rsid w:val="00CE2254"/>
    <w:rsid w:val="00CE2599"/>
    <w:rsid w:val="00CE25C7"/>
    <w:rsid w:val="00CE266B"/>
    <w:rsid w:val="00CE298A"/>
    <w:rsid w:val="00CE29F1"/>
    <w:rsid w:val="00CE2B2C"/>
    <w:rsid w:val="00CE2D40"/>
    <w:rsid w:val="00CE2DA1"/>
    <w:rsid w:val="00CE2E17"/>
    <w:rsid w:val="00CE2E20"/>
    <w:rsid w:val="00CE2EC6"/>
    <w:rsid w:val="00CE2FA0"/>
    <w:rsid w:val="00CE3038"/>
    <w:rsid w:val="00CE3308"/>
    <w:rsid w:val="00CE3381"/>
    <w:rsid w:val="00CE37E6"/>
    <w:rsid w:val="00CE3829"/>
    <w:rsid w:val="00CE3AD2"/>
    <w:rsid w:val="00CE3BA9"/>
    <w:rsid w:val="00CE3D27"/>
    <w:rsid w:val="00CE3DEA"/>
    <w:rsid w:val="00CE3EEE"/>
    <w:rsid w:val="00CE3FC5"/>
    <w:rsid w:val="00CE4017"/>
    <w:rsid w:val="00CE4024"/>
    <w:rsid w:val="00CE4467"/>
    <w:rsid w:val="00CE44E9"/>
    <w:rsid w:val="00CE456B"/>
    <w:rsid w:val="00CE45FD"/>
    <w:rsid w:val="00CE468E"/>
    <w:rsid w:val="00CE47FB"/>
    <w:rsid w:val="00CE4A53"/>
    <w:rsid w:val="00CE4D74"/>
    <w:rsid w:val="00CE4DD6"/>
    <w:rsid w:val="00CE4E12"/>
    <w:rsid w:val="00CE4E9B"/>
    <w:rsid w:val="00CE4FE7"/>
    <w:rsid w:val="00CE5030"/>
    <w:rsid w:val="00CE5042"/>
    <w:rsid w:val="00CE5243"/>
    <w:rsid w:val="00CE5284"/>
    <w:rsid w:val="00CE529E"/>
    <w:rsid w:val="00CE5450"/>
    <w:rsid w:val="00CE5545"/>
    <w:rsid w:val="00CE559E"/>
    <w:rsid w:val="00CE5711"/>
    <w:rsid w:val="00CE57D9"/>
    <w:rsid w:val="00CE594A"/>
    <w:rsid w:val="00CE59F5"/>
    <w:rsid w:val="00CE5A23"/>
    <w:rsid w:val="00CE5C0F"/>
    <w:rsid w:val="00CE5C63"/>
    <w:rsid w:val="00CE5D15"/>
    <w:rsid w:val="00CE5D4D"/>
    <w:rsid w:val="00CE5E70"/>
    <w:rsid w:val="00CE5EE2"/>
    <w:rsid w:val="00CE5F7D"/>
    <w:rsid w:val="00CE6018"/>
    <w:rsid w:val="00CE60CA"/>
    <w:rsid w:val="00CE613E"/>
    <w:rsid w:val="00CE62BA"/>
    <w:rsid w:val="00CE6378"/>
    <w:rsid w:val="00CE63F9"/>
    <w:rsid w:val="00CE64CA"/>
    <w:rsid w:val="00CE6545"/>
    <w:rsid w:val="00CE6586"/>
    <w:rsid w:val="00CE664D"/>
    <w:rsid w:val="00CE6829"/>
    <w:rsid w:val="00CE6868"/>
    <w:rsid w:val="00CE68F1"/>
    <w:rsid w:val="00CE6956"/>
    <w:rsid w:val="00CE6A0A"/>
    <w:rsid w:val="00CE6AC7"/>
    <w:rsid w:val="00CE6AEC"/>
    <w:rsid w:val="00CE6B02"/>
    <w:rsid w:val="00CE6B51"/>
    <w:rsid w:val="00CE6BB7"/>
    <w:rsid w:val="00CE6CD0"/>
    <w:rsid w:val="00CE6CE9"/>
    <w:rsid w:val="00CE6E4A"/>
    <w:rsid w:val="00CE6E9B"/>
    <w:rsid w:val="00CE6EC7"/>
    <w:rsid w:val="00CE6F04"/>
    <w:rsid w:val="00CE7035"/>
    <w:rsid w:val="00CE704B"/>
    <w:rsid w:val="00CE70A4"/>
    <w:rsid w:val="00CE70FE"/>
    <w:rsid w:val="00CE73D4"/>
    <w:rsid w:val="00CE74C0"/>
    <w:rsid w:val="00CE7522"/>
    <w:rsid w:val="00CE7618"/>
    <w:rsid w:val="00CE76A7"/>
    <w:rsid w:val="00CE783E"/>
    <w:rsid w:val="00CE787E"/>
    <w:rsid w:val="00CE78AE"/>
    <w:rsid w:val="00CE7904"/>
    <w:rsid w:val="00CE799B"/>
    <w:rsid w:val="00CE7A0F"/>
    <w:rsid w:val="00CE7B61"/>
    <w:rsid w:val="00CE7C17"/>
    <w:rsid w:val="00CE7E69"/>
    <w:rsid w:val="00CF0045"/>
    <w:rsid w:val="00CF0050"/>
    <w:rsid w:val="00CF01AE"/>
    <w:rsid w:val="00CF03EA"/>
    <w:rsid w:val="00CF040B"/>
    <w:rsid w:val="00CF05FD"/>
    <w:rsid w:val="00CF06D9"/>
    <w:rsid w:val="00CF0963"/>
    <w:rsid w:val="00CF0AEF"/>
    <w:rsid w:val="00CF0AFA"/>
    <w:rsid w:val="00CF0B6B"/>
    <w:rsid w:val="00CF0C12"/>
    <w:rsid w:val="00CF0C24"/>
    <w:rsid w:val="00CF0D83"/>
    <w:rsid w:val="00CF0ECC"/>
    <w:rsid w:val="00CF0F36"/>
    <w:rsid w:val="00CF0FAA"/>
    <w:rsid w:val="00CF106C"/>
    <w:rsid w:val="00CF109C"/>
    <w:rsid w:val="00CF11FB"/>
    <w:rsid w:val="00CF130B"/>
    <w:rsid w:val="00CF140F"/>
    <w:rsid w:val="00CF145F"/>
    <w:rsid w:val="00CF1462"/>
    <w:rsid w:val="00CF166F"/>
    <w:rsid w:val="00CF1670"/>
    <w:rsid w:val="00CF16B9"/>
    <w:rsid w:val="00CF1807"/>
    <w:rsid w:val="00CF1867"/>
    <w:rsid w:val="00CF19EC"/>
    <w:rsid w:val="00CF1B7E"/>
    <w:rsid w:val="00CF1B9A"/>
    <w:rsid w:val="00CF1BB4"/>
    <w:rsid w:val="00CF1C4C"/>
    <w:rsid w:val="00CF1CD9"/>
    <w:rsid w:val="00CF1E28"/>
    <w:rsid w:val="00CF1E41"/>
    <w:rsid w:val="00CF1EBC"/>
    <w:rsid w:val="00CF1F10"/>
    <w:rsid w:val="00CF1F9C"/>
    <w:rsid w:val="00CF1FB5"/>
    <w:rsid w:val="00CF2112"/>
    <w:rsid w:val="00CF224E"/>
    <w:rsid w:val="00CF2271"/>
    <w:rsid w:val="00CF22CC"/>
    <w:rsid w:val="00CF2338"/>
    <w:rsid w:val="00CF259E"/>
    <w:rsid w:val="00CF261F"/>
    <w:rsid w:val="00CF26A7"/>
    <w:rsid w:val="00CF26DA"/>
    <w:rsid w:val="00CF29D4"/>
    <w:rsid w:val="00CF2B83"/>
    <w:rsid w:val="00CF2BA0"/>
    <w:rsid w:val="00CF2BDD"/>
    <w:rsid w:val="00CF2DA4"/>
    <w:rsid w:val="00CF2DDD"/>
    <w:rsid w:val="00CF2E39"/>
    <w:rsid w:val="00CF2EAD"/>
    <w:rsid w:val="00CF2FAC"/>
    <w:rsid w:val="00CF2FBE"/>
    <w:rsid w:val="00CF2FEF"/>
    <w:rsid w:val="00CF3375"/>
    <w:rsid w:val="00CF345A"/>
    <w:rsid w:val="00CF3515"/>
    <w:rsid w:val="00CF3533"/>
    <w:rsid w:val="00CF35E5"/>
    <w:rsid w:val="00CF37C8"/>
    <w:rsid w:val="00CF3A4D"/>
    <w:rsid w:val="00CF417F"/>
    <w:rsid w:val="00CF43E3"/>
    <w:rsid w:val="00CF44DD"/>
    <w:rsid w:val="00CF47D9"/>
    <w:rsid w:val="00CF481E"/>
    <w:rsid w:val="00CF48A2"/>
    <w:rsid w:val="00CF48B0"/>
    <w:rsid w:val="00CF4935"/>
    <w:rsid w:val="00CF49B2"/>
    <w:rsid w:val="00CF4B4A"/>
    <w:rsid w:val="00CF4E54"/>
    <w:rsid w:val="00CF4EFB"/>
    <w:rsid w:val="00CF4FC7"/>
    <w:rsid w:val="00CF5058"/>
    <w:rsid w:val="00CF5103"/>
    <w:rsid w:val="00CF5184"/>
    <w:rsid w:val="00CF51DF"/>
    <w:rsid w:val="00CF5360"/>
    <w:rsid w:val="00CF55FA"/>
    <w:rsid w:val="00CF57B4"/>
    <w:rsid w:val="00CF58BD"/>
    <w:rsid w:val="00CF59BB"/>
    <w:rsid w:val="00CF5A23"/>
    <w:rsid w:val="00CF5A51"/>
    <w:rsid w:val="00CF5AB8"/>
    <w:rsid w:val="00CF5B29"/>
    <w:rsid w:val="00CF5B47"/>
    <w:rsid w:val="00CF5BAB"/>
    <w:rsid w:val="00CF5C4C"/>
    <w:rsid w:val="00CF5D79"/>
    <w:rsid w:val="00CF5F6D"/>
    <w:rsid w:val="00CF61D4"/>
    <w:rsid w:val="00CF6294"/>
    <w:rsid w:val="00CF636D"/>
    <w:rsid w:val="00CF654E"/>
    <w:rsid w:val="00CF6579"/>
    <w:rsid w:val="00CF6614"/>
    <w:rsid w:val="00CF6679"/>
    <w:rsid w:val="00CF6779"/>
    <w:rsid w:val="00CF687E"/>
    <w:rsid w:val="00CF6984"/>
    <w:rsid w:val="00CF6A42"/>
    <w:rsid w:val="00CF6ACC"/>
    <w:rsid w:val="00CF6ADF"/>
    <w:rsid w:val="00CF6C17"/>
    <w:rsid w:val="00CF6C27"/>
    <w:rsid w:val="00CF6C94"/>
    <w:rsid w:val="00CF6D1A"/>
    <w:rsid w:val="00CF6E80"/>
    <w:rsid w:val="00CF6E82"/>
    <w:rsid w:val="00CF6E8D"/>
    <w:rsid w:val="00CF6EDC"/>
    <w:rsid w:val="00CF6F1C"/>
    <w:rsid w:val="00CF7017"/>
    <w:rsid w:val="00CF7061"/>
    <w:rsid w:val="00CF72F8"/>
    <w:rsid w:val="00CF7312"/>
    <w:rsid w:val="00CF7380"/>
    <w:rsid w:val="00CF77B3"/>
    <w:rsid w:val="00CF7841"/>
    <w:rsid w:val="00CF797E"/>
    <w:rsid w:val="00CF79D3"/>
    <w:rsid w:val="00CF79FD"/>
    <w:rsid w:val="00CF7B26"/>
    <w:rsid w:val="00CF7B69"/>
    <w:rsid w:val="00CF7C08"/>
    <w:rsid w:val="00CF7C8B"/>
    <w:rsid w:val="00CF7F73"/>
    <w:rsid w:val="00D0013C"/>
    <w:rsid w:val="00D0023C"/>
    <w:rsid w:val="00D00500"/>
    <w:rsid w:val="00D00688"/>
    <w:rsid w:val="00D006BD"/>
    <w:rsid w:val="00D008EB"/>
    <w:rsid w:val="00D009CD"/>
    <w:rsid w:val="00D009DB"/>
    <w:rsid w:val="00D00B58"/>
    <w:rsid w:val="00D00CD3"/>
    <w:rsid w:val="00D00D62"/>
    <w:rsid w:val="00D00F9C"/>
    <w:rsid w:val="00D00FC5"/>
    <w:rsid w:val="00D00FFB"/>
    <w:rsid w:val="00D0118B"/>
    <w:rsid w:val="00D011C6"/>
    <w:rsid w:val="00D0123E"/>
    <w:rsid w:val="00D0138C"/>
    <w:rsid w:val="00D01449"/>
    <w:rsid w:val="00D014B1"/>
    <w:rsid w:val="00D01543"/>
    <w:rsid w:val="00D01628"/>
    <w:rsid w:val="00D0168B"/>
    <w:rsid w:val="00D01696"/>
    <w:rsid w:val="00D016B9"/>
    <w:rsid w:val="00D017B9"/>
    <w:rsid w:val="00D017FE"/>
    <w:rsid w:val="00D0183C"/>
    <w:rsid w:val="00D01926"/>
    <w:rsid w:val="00D01968"/>
    <w:rsid w:val="00D01AD3"/>
    <w:rsid w:val="00D01B05"/>
    <w:rsid w:val="00D01D3A"/>
    <w:rsid w:val="00D01D4F"/>
    <w:rsid w:val="00D01F35"/>
    <w:rsid w:val="00D02045"/>
    <w:rsid w:val="00D02209"/>
    <w:rsid w:val="00D022CE"/>
    <w:rsid w:val="00D02480"/>
    <w:rsid w:val="00D024C7"/>
    <w:rsid w:val="00D025A8"/>
    <w:rsid w:val="00D026F2"/>
    <w:rsid w:val="00D0276C"/>
    <w:rsid w:val="00D02893"/>
    <w:rsid w:val="00D0294A"/>
    <w:rsid w:val="00D02B4B"/>
    <w:rsid w:val="00D02C05"/>
    <w:rsid w:val="00D02C62"/>
    <w:rsid w:val="00D02CA5"/>
    <w:rsid w:val="00D02E1B"/>
    <w:rsid w:val="00D02EA7"/>
    <w:rsid w:val="00D0305E"/>
    <w:rsid w:val="00D03063"/>
    <w:rsid w:val="00D030C0"/>
    <w:rsid w:val="00D0312C"/>
    <w:rsid w:val="00D031F4"/>
    <w:rsid w:val="00D0323E"/>
    <w:rsid w:val="00D032E6"/>
    <w:rsid w:val="00D033BE"/>
    <w:rsid w:val="00D0355E"/>
    <w:rsid w:val="00D035F4"/>
    <w:rsid w:val="00D03606"/>
    <w:rsid w:val="00D0363D"/>
    <w:rsid w:val="00D037CA"/>
    <w:rsid w:val="00D03AA0"/>
    <w:rsid w:val="00D03AE1"/>
    <w:rsid w:val="00D03C83"/>
    <w:rsid w:val="00D03CA0"/>
    <w:rsid w:val="00D03E9D"/>
    <w:rsid w:val="00D03EB5"/>
    <w:rsid w:val="00D03ED7"/>
    <w:rsid w:val="00D040A2"/>
    <w:rsid w:val="00D0422D"/>
    <w:rsid w:val="00D04279"/>
    <w:rsid w:val="00D042E0"/>
    <w:rsid w:val="00D04531"/>
    <w:rsid w:val="00D04532"/>
    <w:rsid w:val="00D04538"/>
    <w:rsid w:val="00D047A1"/>
    <w:rsid w:val="00D047CF"/>
    <w:rsid w:val="00D04818"/>
    <w:rsid w:val="00D04840"/>
    <w:rsid w:val="00D0493F"/>
    <w:rsid w:val="00D04AC7"/>
    <w:rsid w:val="00D04B38"/>
    <w:rsid w:val="00D04B76"/>
    <w:rsid w:val="00D04BCF"/>
    <w:rsid w:val="00D04C58"/>
    <w:rsid w:val="00D04C74"/>
    <w:rsid w:val="00D04C94"/>
    <w:rsid w:val="00D04CD6"/>
    <w:rsid w:val="00D04E30"/>
    <w:rsid w:val="00D04F99"/>
    <w:rsid w:val="00D04FF1"/>
    <w:rsid w:val="00D050E7"/>
    <w:rsid w:val="00D05249"/>
    <w:rsid w:val="00D05376"/>
    <w:rsid w:val="00D053B9"/>
    <w:rsid w:val="00D05630"/>
    <w:rsid w:val="00D05675"/>
    <w:rsid w:val="00D05B2E"/>
    <w:rsid w:val="00D05B8A"/>
    <w:rsid w:val="00D05C4F"/>
    <w:rsid w:val="00D05CA2"/>
    <w:rsid w:val="00D05E07"/>
    <w:rsid w:val="00D05E52"/>
    <w:rsid w:val="00D05EDD"/>
    <w:rsid w:val="00D05F57"/>
    <w:rsid w:val="00D060A1"/>
    <w:rsid w:val="00D06141"/>
    <w:rsid w:val="00D062D3"/>
    <w:rsid w:val="00D062F5"/>
    <w:rsid w:val="00D064EC"/>
    <w:rsid w:val="00D067DB"/>
    <w:rsid w:val="00D067F2"/>
    <w:rsid w:val="00D06822"/>
    <w:rsid w:val="00D0695B"/>
    <w:rsid w:val="00D06960"/>
    <w:rsid w:val="00D069CE"/>
    <w:rsid w:val="00D06ADB"/>
    <w:rsid w:val="00D06D1A"/>
    <w:rsid w:val="00D06F5E"/>
    <w:rsid w:val="00D06F92"/>
    <w:rsid w:val="00D07396"/>
    <w:rsid w:val="00D073C9"/>
    <w:rsid w:val="00D0749C"/>
    <w:rsid w:val="00D07579"/>
    <w:rsid w:val="00D07656"/>
    <w:rsid w:val="00D078E3"/>
    <w:rsid w:val="00D079D7"/>
    <w:rsid w:val="00D07A08"/>
    <w:rsid w:val="00D07A9D"/>
    <w:rsid w:val="00D07AD7"/>
    <w:rsid w:val="00D07DB2"/>
    <w:rsid w:val="00D10046"/>
    <w:rsid w:val="00D10087"/>
    <w:rsid w:val="00D1008F"/>
    <w:rsid w:val="00D100D3"/>
    <w:rsid w:val="00D10169"/>
    <w:rsid w:val="00D1018E"/>
    <w:rsid w:val="00D10438"/>
    <w:rsid w:val="00D1049F"/>
    <w:rsid w:val="00D1063E"/>
    <w:rsid w:val="00D1065E"/>
    <w:rsid w:val="00D1070A"/>
    <w:rsid w:val="00D10765"/>
    <w:rsid w:val="00D10977"/>
    <w:rsid w:val="00D109DD"/>
    <w:rsid w:val="00D10CDF"/>
    <w:rsid w:val="00D10D54"/>
    <w:rsid w:val="00D11177"/>
    <w:rsid w:val="00D1132E"/>
    <w:rsid w:val="00D11362"/>
    <w:rsid w:val="00D11398"/>
    <w:rsid w:val="00D114B6"/>
    <w:rsid w:val="00D114E5"/>
    <w:rsid w:val="00D1155B"/>
    <w:rsid w:val="00D1174E"/>
    <w:rsid w:val="00D11786"/>
    <w:rsid w:val="00D117AB"/>
    <w:rsid w:val="00D11810"/>
    <w:rsid w:val="00D11832"/>
    <w:rsid w:val="00D1185F"/>
    <w:rsid w:val="00D1189A"/>
    <w:rsid w:val="00D118E3"/>
    <w:rsid w:val="00D11908"/>
    <w:rsid w:val="00D11B34"/>
    <w:rsid w:val="00D11B97"/>
    <w:rsid w:val="00D11BD6"/>
    <w:rsid w:val="00D11C0C"/>
    <w:rsid w:val="00D11CD0"/>
    <w:rsid w:val="00D11D13"/>
    <w:rsid w:val="00D11D95"/>
    <w:rsid w:val="00D11E6A"/>
    <w:rsid w:val="00D11EB1"/>
    <w:rsid w:val="00D12073"/>
    <w:rsid w:val="00D12263"/>
    <w:rsid w:val="00D122D0"/>
    <w:rsid w:val="00D1242D"/>
    <w:rsid w:val="00D1242F"/>
    <w:rsid w:val="00D12446"/>
    <w:rsid w:val="00D12493"/>
    <w:rsid w:val="00D124A8"/>
    <w:rsid w:val="00D1251E"/>
    <w:rsid w:val="00D1256C"/>
    <w:rsid w:val="00D125A0"/>
    <w:rsid w:val="00D125E0"/>
    <w:rsid w:val="00D12821"/>
    <w:rsid w:val="00D1289B"/>
    <w:rsid w:val="00D12995"/>
    <w:rsid w:val="00D12A5A"/>
    <w:rsid w:val="00D12A7C"/>
    <w:rsid w:val="00D12AC5"/>
    <w:rsid w:val="00D12BF4"/>
    <w:rsid w:val="00D12E8C"/>
    <w:rsid w:val="00D12F08"/>
    <w:rsid w:val="00D1307D"/>
    <w:rsid w:val="00D1320B"/>
    <w:rsid w:val="00D132AD"/>
    <w:rsid w:val="00D132FE"/>
    <w:rsid w:val="00D133D1"/>
    <w:rsid w:val="00D13467"/>
    <w:rsid w:val="00D134C9"/>
    <w:rsid w:val="00D134EF"/>
    <w:rsid w:val="00D13A4E"/>
    <w:rsid w:val="00D13AD3"/>
    <w:rsid w:val="00D13EAC"/>
    <w:rsid w:val="00D13F0D"/>
    <w:rsid w:val="00D13F96"/>
    <w:rsid w:val="00D14047"/>
    <w:rsid w:val="00D1413E"/>
    <w:rsid w:val="00D145E2"/>
    <w:rsid w:val="00D14641"/>
    <w:rsid w:val="00D147E4"/>
    <w:rsid w:val="00D148FE"/>
    <w:rsid w:val="00D14AB8"/>
    <w:rsid w:val="00D14C78"/>
    <w:rsid w:val="00D14DA8"/>
    <w:rsid w:val="00D14E6B"/>
    <w:rsid w:val="00D15004"/>
    <w:rsid w:val="00D153AE"/>
    <w:rsid w:val="00D15468"/>
    <w:rsid w:val="00D1554E"/>
    <w:rsid w:val="00D15824"/>
    <w:rsid w:val="00D15916"/>
    <w:rsid w:val="00D15968"/>
    <w:rsid w:val="00D15987"/>
    <w:rsid w:val="00D159BA"/>
    <w:rsid w:val="00D159FE"/>
    <w:rsid w:val="00D15A7D"/>
    <w:rsid w:val="00D15AE3"/>
    <w:rsid w:val="00D15CB4"/>
    <w:rsid w:val="00D15D6A"/>
    <w:rsid w:val="00D15D6E"/>
    <w:rsid w:val="00D15EB5"/>
    <w:rsid w:val="00D15F53"/>
    <w:rsid w:val="00D15F93"/>
    <w:rsid w:val="00D15FB7"/>
    <w:rsid w:val="00D16096"/>
    <w:rsid w:val="00D160CF"/>
    <w:rsid w:val="00D1612D"/>
    <w:rsid w:val="00D16149"/>
    <w:rsid w:val="00D16180"/>
    <w:rsid w:val="00D16232"/>
    <w:rsid w:val="00D1623B"/>
    <w:rsid w:val="00D16269"/>
    <w:rsid w:val="00D16292"/>
    <w:rsid w:val="00D1650A"/>
    <w:rsid w:val="00D1665C"/>
    <w:rsid w:val="00D16906"/>
    <w:rsid w:val="00D16A52"/>
    <w:rsid w:val="00D16D36"/>
    <w:rsid w:val="00D16D5B"/>
    <w:rsid w:val="00D16D6B"/>
    <w:rsid w:val="00D16F16"/>
    <w:rsid w:val="00D16F8A"/>
    <w:rsid w:val="00D16FBF"/>
    <w:rsid w:val="00D17079"/>
    <w:rsid w:val="00D17082"/>
    <w:rsid w:val="00D17119"/>
    <w:rsid w:val="00D17146"/>
    <w:rsid w:val="00D1715C"/>
    <w:rsid w:val="00D17225"/>
    <w:rsid w:val="00D172DC"/>
    <w:rsid w:val="00D1730F"/>
    <w:rsid w:val="00D17473"/>
    <w:rsid w:val="00D1753C"/>
    <w:rsid w:val="00D175B9"/>
    <w:rsid w:val="00D17824"/>
    <w:rsid w:val="00D17970"/>
    <w:rsid w:val="00D179DD"/>
    <w:rsid w:val="00D17D81"/>
    <w:rsid w:val="00D17ECC"/>
    <w:rsid w:val="00D17F09"/>
    <w:rsid w:val="00D17F1C"/>
    <w:rsid w:val="00D200B5"/>
    <w:rsid w:val="00D200E8"/>
    <w:rsid w:val="00D20136"/>
    <w:rsid w:val="00D201B8"/>
    <w:rsid w:val="00D20256"/>
    <w:rsid w:val="00D202D8"/>
    <w:rsid w:val="00D20399"/>
    <w:rsid w:val="00D20475"/>
    <w:rsid w:val="00D20548"/>
    <w:rsid w:val="00D20596"/>
    <w:rsid w:val="00D205DD"/>
    <w:rsid w:val="00D206EE"/>
    <w:rsid w:val="00D2089A"/>
    <w:rsid w:val="00D2091E"/>
    <w:rsid w:val="00D2094E"/>
    <w:rsid w:val="00D20B22"/>
    <w:rsid w:val="00D20BD1"/>
    <w:rsid w:val="00D20CD5"/>
    <w:rsid w:val="00D20DBF"/>
    <w:rsid w:val="00D20E30"/>
    <w:rsid w:val="00D20E36"/>
    <w:rsid w:val="00D20EB3"/>
    <w:rsid w:val="00D20F65"/>
    <w:rsid w:val="00D21296"/>
    <w:rsid w:val="00D2153F"/>
    <w:rsid w:val="00D21606"/>
    <w:rsid w:val="00D21632"/>
    <w:rsid w:val="00D2169C"/>
    <w:rsid w:val="00D218AF"/>
    <w:rsid w:val="00D218BF"/>
    <w:rsid w:val="00D21979"/>
    <w:rsid w:val="00D2197C"/>
    <w:rsid w:val="00D219D9"/>
    <w:rsid w:val="00D21A47"/>
    <w:rsid w:val="00D21AB5"/>
    <w:rsid w:val="00D21AD2"/>
    <w:rsid w:val="00D21B3F"/>
    <w:rsid w:val="00D21C95"/>
    <w:rsid w:val="00D21CE7"/>
    <w:rsid w:val="00D21D24"/>
    <w:rsid w:val="00D21F35"/>
    <w:rsid w:val="00D21F90"/>
    <w:rsid w:val="00D21FB4"/>
    <w:rsid w:val="00D22015"/>
    <w:rsid w:val="00D22101"/>
    <w:rsid w:val="00D22139"/>
    <w:rsid w:val="00D224E6"/>
    <w:rsid w:val="00D2254F"/>
    <w:rsid w:val="00D22559"/>
    <w:rsid w:val="00D22747"/>
    <w:rsid w:val="00D22944"/>
    <w:rsid w:val="00D229AC"/>
    <w:rsid w:val="00D22CCD"/>
    <w:rsid w:val="00D22D6F"/>
    <w:rsid w:val="00D22D98"/>
    <w:rsid w:val="00D22E9F"/>
    <w:rsid w:val="00D2304C"/>
    <w:rsid w:val="00D232D6"/>
    <w:rsid w:val="00D23303"/>
    <w:rsid w:val="00D23319"/>
    <w:rsid w:val="00D233F6"/>
    <w:rsid w:val="00D23411"/>
    <w:rsid w:val="00D2348B"/>
    <w:rsid w:val="00D236B5"/>
    <w:rsid w:val="00D23A6A"/>
    <w:rsid w:val="00D23D72"/>
    <w:rsid w:val="00D23DDE"/>
    <w:rsid w:val="00D23E2A"/>
    <w:rsid w:val="00D23F62"/>
    <w:rsid w:val="00D241E1"/>
    <w:rsid w:val="00D24280"/>
    <w:rsid w:val="00D2458B"/>
    <w:rsid w:val="00D245F5"/>
    <w:rsid w:val="00D246CF"/>
    <w:rsid w:val="00D24816"/>
    <w:rsid w:val="00D248D6"/>
    <w:rsid w:val="00D24A3B"/>
    <w:rsid w:val="00D24AE4"/>
    <w:rsid w:val="00D24B8B"/>
    <w:rsid w:val="00D24CCC"/>
    <w:rsid w:val="00D24CEF"/>
    <w:rsid w:val="00D24E08"/>
    <w:rsid w:val="00D24E1D"/>
    <w:rsid w:val="00D24F2C"/>
    <w:rsid w:val="00D24FFB"/>
    <w:rsid w:val="00D2508C"/>
    <w:rsid w:val="00D25131"/>
    <w:rsid w:val="00D25196"/>
    <w:rsid w:val="00D25303"/>
    <w:rsid w:val="00D253D7"/>
    <w:rsid w:val="00D25544"/>
    <w:rsid w:val="00D2554D"/>
    <w:rsid w:val="00D2584C"/>
    <w:rsid w:val="00D25870"/>
    <w:rsid w:val="00D25AAF"/>
    <w:rsid w:val="00D25BA5"/>
    <w:rsid w:val="00D25D4F"/>
    <w:rsid w:val="00D25EFF"/>
    <w:rsid w:val="00D260D6"/>
    <w:rsid w:val="00D26281"/>
    <w:rsid w:val="00D26302"/>
    <w:rsid w:val="00D26314"/>
    <w:rsid w:val="00D263B9"/>
    <w:rsid w:val="00D263C7"/>
    <w:rsid w:val="00D26480"/>
    <w:rsid w:val="00D26516"/>
    <w:rsid w:val="00D266DE"/>
    <w:rsid w:val="00D266FD"/>
    <w:rsid w:val="00D26769"/>
    <w:rsid w:val="00D26821"/>
    <w:rsid w:val="00D2685E"/>
    <w:rsid w:val="00D26A52"/>
    <w:rsid w:val="00D26B7A"/>
    <w:rsid w:val="00D26B81"/>
    <w:rsid w:val="00D26BF0"/>
    <w:rsid w:val="00D26C39"/>
    <w:rsid w:val="00D26FCB"/>
    <w:rsid w:val="00D26FE0"/>
    <w:rsid w:val="00D270BC"/>
    <w:rsid w:val="00D271E8"/>
    <w:rsid w:val="00D2728B"/>
    <w:rsid w:val="00D27388"/>
    <w:rsid w:val="00D273AC"/>
    <w:rsid w:val="00D2753A"/>
    <w:rsid w:val="00D27820"/>
    <w:rsid w:val="00D278A0"/>
    <w:rsid w:val="00D27926"/>
    <w:rsid w:val="00D2792C"/>
    <w:rsid w:val="00D27A75"/>
    <w:rsid w:val="00D27B78"/>
    <w:rsid w:val="00D27CF9"/>
    <w:rsid w:val="00D27D1E"/>
    <w:rsid w:val="00D27D95"/>
    <w:rsid w:val="00D27F03"/>
    <w:rsid w:val="00D27F15"/>
    <w:rsid w:val="00D3004E"/>
    <w:rsid w:val="00D3005D"/>
    <w:rsid w:val="00D3009B"/>
    <w:rsid w:val="00D300BE"/>
    <w:rsid w:val="00D300F0"/>
    <w:rsid w:val="00D301C1"/>
    <w:rsid w:val="00D30552"/>
    <w:rsid w:val="00D305BC"/>
    <w:rsid w:val="00D305C4"/>
    <w:rsid w:val="00D3064F"/>
    <w:rsid w:val="00D306ED"/>
    <w:rsid w:val="00D307FC"/>
    <w:rsid w:val="00D30802"/>
    <w:rsid w:val="00D308C6"/>
    <w:rsid w:val="00D3096F"/>
    <w:rsid w:val="00D30A59"/>
    <w:rsid w:val="00D30A61"/>
    <w:rsid w:val="00D30B14"/>
    <w:rsid w:val="00D30B79"/>
    <w:rsid w:val="00D30CD0"/>
    <w:rsid w:val="00D30CE5"/>
    <w:rsid w:val="00D30D0F"/>
    <w:rsid w:val="00D30D79"/>
    <w:rsid w:val="00D30E7C"/>
    <w:rsid w:val="00D30F52"/>
    <w:rsid w:val="00D30FA5"/>
    <w:rsid w:val="00D31075"/>
    <w:rsid w:val="00D3118B"/>
    <w:rsid w:val="00D3123E"/>
    <w:rsid w:val="00D31459"/>
    <w:rsid w:val="00D314BF"/>
    <w:rsid w:val="00D315F1"/>
    <w:rsid w:val="00D31847"/>
    <w:rsid w:val="00D3191B"/>
    <w:rsid w:val="00D3195E"/>
    <w:rsid w:val="00D319F4"/>
    <w:rsid w:val="00D31B63"/>
    <w:rsid w:val="00D31C2E"/>
    <w:rsid w:val="00D31EA4"/>
    <w:rsid w:val="00D31F00"/>
    <w:rsid w:val="00D31F17"/>
    <w:rsid w:val="00D32029"/>
    <w:rsid w:val="00D320DF"/>
    <w:rsid w:val="00D32170"/>
    <w:rsid w:val="00D321D8"/>
    <w:rsid w:val="00D32210"/>
    <w:rsid w:val="00D322DF"/>
    <w:rsid w:val="00D323BF"/>
    <w:rsid w:val="00D323D0"/>
    <w:rsid w:val="00D32541"/>
    <w:rsid w:val="00D32673"/>
    <w:rsid w:val="00D32837"/>
    <w:rsid w:val="00D32921"/>
    <w:rsid w:val="00D32A40"/>
    <w:rsid w:val="00D32B8C"/>
    <w:rsid w:val="00D32C86"/>
    <w:rsid w:val="00D32F21"/>
    <w:rsid w:val="00D331DE"/>
    <w:rsid w:val="00D3327D"/>
    <w:rsid w:val="00D333FD"/>
    <w:rsid w:val="00D33444"/>
    <w:rsid w:val="00D334C3"/>
    <w:rsid w:val="00D33542"/>
    <w:rsid w:val="00D335E2"/>
    <w:rsid w:val="00D33716"/>
    <w:rsid w:val="00D33901"/>
    <w:rsid w:val="00D339C5"/>
    <w:rsid w:val="00D33AF1"/>
    <w:rsid w:val="00D33B29"/>
    <w:rsid w:val="00D33CFF"/>
    <w:rsid w:val="00D33E3A"/>
    <w:rsid w:val="00D33E5C"/>
    <w:rsid w:val="00D33E71"/>
    <w:rsid w:val="00D33EB0"/>
    <w:rsid w:val="00D33FD6"/>
    <w:rsid w:val="00D3409B"/>
    <w:rsid w:val="00D3420F"/>
    <w:rsid w:val="00D34368"/>
    <w:rsid w:val="00D345F0"/>
    <w:rsid w:val="00D34778"/>
    <w:rsid w:val="00D34984"/>
    <w:rsid w:val="00D349DD"/>
    <w:rsid w:val="00D34A61"/>
    <w:rsid w:val="00D34A63"/>
    <w:rsid w:val="00D34BF9"/>
    <w:rsid w:val="00D34D5C"/>
    <w:rsid w:val="00D34E0B"/>
    <w:rsid w:val="00D34E1E"/>
    <w:rsid w:val="00D34E48"/>
    <w:rsid w:val="00D34FC8"/>
    <w:rsid w:val="00D3525D"/>
    <w:rsid w:val="00D35446"/>
    <w:rsid w:val="00D35583"/>
    <w:rsid w:val="00D355B3"/>
    <w:rsid w:val="00D3592F"/>
    <w:rsid w:val="00D359F1"/>
    <w:rsid w:val="00D35A0F"/>
    <w:rsid w:val="00D35BC2"/>
    <w:rsid w:val="00D35C24"/>
    <w:rsid w:val="00D35C29"/>
    <w:rsid w:val="00D35C45"/>
    <w:rsid w:val="00D35CB9"/>
    <w:rsid w:val="00D35D0A"/>
    <w:rsid w:val="00D35D7A"/>
    <w:rsid w:val="00D35D8A"/>
    <w:rsid w:val="00D35E48"/>
    <w:rsid w:val="00D35E62"/>
    <w:rsid w:val="00D35E9F"/>
    <w:rsid w:val="00D35F71"/>
    <w:rsid w:val="00D3615B"/>
    <w:rsid w:val="00D3618F"/>
    <w:rsid w:val="00D361B9"/>
    <w:rsid w:val="00D36274"/>
    <w:rsid w:val="00D3635A"/>
    <w:rsid w:val="00D36547"/>
    <w:rsid w:val="00D3656D"/>
    <w:rsid w:val="00D3657C"/>
    <w:rsid w:val="00D365B4"/>
    <w:rsid w:val="00D365BD"/>
    <w:rsid w:val="00D365C0"/>
    <w:rsid w:val="00D3669B"/>
    <w:rsid w:val="00D3670C"/>
    <w:rsid w:val="00D3671A"/>
    <w:rsid w:val="00D36752"/>
    <w:rsid w:val="00D36882"/>
    <w:rsid w:val="00D36988"/>
    <w:rsid w:val="00D36A0B"/>
    <w:rsid w:val="00D36ABE"/>
    <w:rsid w:val="00D36B6E"/>
    <w:rsid w:val="00D36C45"/>
    <w:rsid w:val="00D36CE1"/>
    <w:rsid w:val="00D36D31"/>
    <w:rsid w:val="00D36D32"/>
    <w:rsid w:val="00D36DCE"/>
    <w:rsid w:val="00D36E9E"/>
    <w:rsid w:val="00D371B1"/>
    <w:rsid w:val="00D3734C"/>
    <w:rsid w:val="00D37486"/>
    <w:rsid w:val="00D374AA"/>
    <w:rsid w:val="00D3757F"/>
    <w:rsid w:val="00D376B7"/>
    <w:rsid w:val="00D3770E"/>
    <w:rsid w:val="00D37720"/>
    <w:rsid w:val="00D3780A"/>
    <w:rsid w:val="00D37854"/>
    <w:rsid w:val="00D37AD9"/>
    <w:rsid w:val="00D37CCE"/>
    <w:rsid w:val="00D37D3C"/>
    <w:rsid w:val="00D37D55"/>
    <w:rsid w:val="00D37D5F"/>
    <w:rsid w:val="00D400EF"/>
    <w:rsid w:val="00D400F4"/>
    <w:rsid w:val="00D4025F"/>
    <w:rsid w:val="00D40287"/>
    <w:rsid w:val="00D40461"/>
    <w:rsid w:val="00D404B9"/>
    <w:rsid w:val="00D4055D"/>
    <w:rsid w:val="00D406AB"/>
    <w:rsid w:val="00D40726"/>
    <w:rsid w:val="00D40784"/>
    <w:rsid w:val="00D407D3"/>
    <w:rsid w:val="00D4082D"/>
    <w:rsid w:val="00D408CC"/>
    <w:rsid w:val="00D4092D"/>
    <w:rsid w:val="00D4093B"/>
    <w:rsid w:val="00D40A20"/>
    <w:rsid w:val="00D40A8F"/>
    <w:rsid w:val="00D40B5B"/>
    <w:rsid w:val="00D40D69"/>
    <w:rsid w:val="00D40D70"/>
    <w:rsid w:val="00D40DE7"/>
    <w:rsid w:val="00D40E1C"/>
    <w:rsid w:val="00D40E87"/>
    <w:rsid w:val="00D40F55"/>
    <w:rsid w:val="00D40FB0"/>
    <w:rsid w:val="00D40FDE"/>
    <w:rsid w:val="00D41072"/>
    <w:rsid w:val="00D410B9"/>
    <w:rsid w:val="00D415EC"/>
    <w:rsid w:val="00D4169B"/>
    <w:rsid w:val="00D4178C"/>
    <w:rsid w:val="00D417CD"/>
    <w:rsid w:val="00D4188B"/>
    <w:rsid w:val="00D41ADE"/>
    <w:rsid w:val="00D41BA2"/>
    <w:rsid w:val="00D41BE6"/>
    <w:rsid w:val="00D41CFC"/>
    <w:rsid w:val="00D41D15"/>
    <w:rsid w:val="00D41FFD"/>
    <w:rsid w:val="00D42100"/>
    <w:rsid w:val="00D4211B"/>
    <w:rsid w:val="00D42134"/>
    <w:rsid w:val="00D42230"/>
    <w:rsid w:val="00D422D1"/>
    <w:rsid w:val="00D424D5"/>
    <w:rsid w:val="00D425A5"/>
    <w:rsid w:val="00D426B8"/>
    <w:rsid w:val="00D4270E"/>
    <w:rsid w:val="00D427CB"/>
    <w:rsid w:val="00D4287E"/>
    <w:rsid w:val="00D429B5"/>
    <w:rsid w:val="00D429FB"/>
    <w:rsid w:val="00D42A0A"/>
    <w:rsid w:val="00D42A34"/>
    <w:rsid w:val="00D42A7E"/>
    <w:rsid w:val="00D42B30"/>
    <w:rsid w:val="00D42BB2"/>
    <w:rsid w:val="00D42CBA"/>
    <w:rsid w:val="00D42E14"/>
    <w:rsid w:val="00D42F03"/>
    <w:rsid w:val="00D42F99"/>
    <w:rsid w:val="00D430EA"/>
    <w:rsid w:val="00D43123"/>
    <w:rsid w:val="00D43165"/>
    <w:rsid w:val="00D431AD"/>
    <w:rsid w:val="00D43228"/>
    <w:rsid w:val="00D432C9"/>
    <w:rsid w:val="00D4334B"/>
    <w:rsid w:val="00D435A7"/>
    <w:rsid w:val="00D43939"/>
    <w:rsid w:val="00D43AE7"/>
    <w:rsid w:val="00D43B57"/>
    <w:rsid w:val="00D43C03"/>
    <w:rsid w:val="00D43EC2"/>
    <w:rsid w:val="00D43F30"/>
    <w:rsid w:val="00D4416A"/>
    <w:rsid w:val="00D4418C"/>
    <w:rsid w:val="00D441EC"/>
    <w:rsid w:val="00D444F2"/>
    <w:rsid w:val="00D444F9"/>
    <w:rsid w:val="00D44759"/>
    <w:rsid w:val="00D447EA"/>
    <w:rsid w:val="00D448D7"/>
    <w:rsid w:val="00D44961"/>
    <w:rsid w:val="00D44972"/>
    <w:rsid w:val="00D4499D"/>
    <w:rsid w:val="00D44D98"/>
    <w:rsid w:val="00D44E3B"/>
    <w:rsid w:val="00D44E58"/>
    <w:rsid w:val="00D44F2E"/>
    <w:rsid w:val="00D44F7A"/>
    <w:rsid w:val="00D44FA6"/>
    <w:rsid w:val="00D44FC6"/>
    <w:rsid w:val="00D45136"/>
    <w:rsid w:val="00D45152"/>
    <w:rsid w:val="00D451E4"/>
    <w:rsid w:val="00D452C6"/>
    <w:rsid w:val="00D4539D"/>
    <w:rsid w:val="00D453C6"/>
    <w:rsid w:val="00D45538"/>
    <w:rsid w:val="00D456D0"/>
    <w:rsid w:val="00D457F6"/>
    <w:rsid w:val="00D459B8"/>
    <w:rsid w:val="00D459F3"/>
    <w:rsid w:val="00D459F4"/>
    <w:rsid w:val="00D45BCA"/>
    <w:rsid w:val="00D45C15"/>
    <w:rsid w:val="00D45CCC"/>
    <w:rsid w:val="00D45DEE"/>
    <w:rsid w:val="00D45E88"/>
    <w:rsid w:val="00D46104"/>
    <w:rsid w:val="00D46111"/>
    <w:rsid w:val="00D4615E"/>
    <w:rsid w:val="00D4623F"/>
    <w:rsid w:val="00D46534"/>
    <w:rsid w:val="00D46582"/>
    <w:rsid w:val="00D465EF"/>
    <w:rsid w:val="00D4699D"/>
    <w:rsid w:val="00D4699E"/>
    <w:rsid w:val="00D46B67"/>
    <w:rsid w:val="00D46BC7"/>
    <w:rsid w:val="00D46CAE"/>
    <w:rsid w:val="00D46ED4"/>
    <w:rsid w:val="00D47058"/>
    <w:rsid w:val="00D470D7"/>
    <w:rsid w:val="00D47154"/>
    <w:rsid w:val="00D47389"/>
    <w:rsid w:val="00D4749F"/>
    <w:rsid w:val="00D474C4"/>
    <w:rsid w:val="00D47827"/>
    <w:rsid w:val="00D4782A"/>
    <w:rsid w:val="00D4795B"/>
    <w:rsid w:val="00D47987"/>
    <w:rsid w:val="00D479CA"/>
    <w:rsid w:val="00D47A79"/>
    <w:rsid w:val="00D47B16"/>
    <w:rsid w:val="00D47C01"/>
    <w:rsid w:val="00D47EDD"/>
    <w:rsid w:val="00D47F8B"/>
    <w:rsid w:val="00D500A8"/>
    <w:rsid w:val="00D5026F"/>
    <w:rsid w:val="00D50405"/>
    <w:rsid w:val="00D50622"/>
    <w:rsid w:val="00D506A9"/>
    <w:rsid w:val="00D50709"/>
    <w:rsid w:val="00D50734"/>
    <w:rsid w:val="00D507DE"/>
    <w:rsid w:val="00D5080E"/>
    <w:rsid w:val="00D50864"/>
    <w:rsid w:val="00D50986"/>
    <w:rsid w:val="00D50A37"/>
    <w:rsid w:val="00D50AE5"/>
    <w:rsid w:val="00D50E65"/>
    <w:rsid w:val="00D51017"/>
    <w:rsid w:val="00D513C6"/>
    <w:rsid w:val="00D513CE"/>
    <w:rsid w:val="00D5143E"/>
    <w:rsid w:val="00D51636"/>
    <w:rsid w:val="00D51757"/>
    <w:rsid w:val="00D5195C"/>
    <w:rsid w:val="00D5199E"/>
    <w:rsid w:val="00D51A2A"/>
    <w:rsid w:val="00D51AEB"/>
    <w:rsid w:val="00D51AF0"/>
    <w:rsid w:val="00D51B56"/>
    <w:rsid w:val="00D51BDE"/>
    <w:rsid w:val="00D51C2F"/>
    <w:rsid w:val="00D51C36"/>
    <w:rsid w:val="00D51D05"/>
    <w:rsid w:val="00D51E96"/>
    <w:rsid w:val="00D52075"/>
    <w:rsid w:val="00D5210D"/>
    <w:rsid w:val="00D521DE"/>
    <w:rsid w:val="00D521E1"/>
    <w:rsid w:val="00D52237"/>
    <w:rsid w:val="00D523CB"/>
    <w:rsid w:val="00D5249D"/>
    <w:rsid w:val="00D524AF"/>
    <w:rsid w:val="00D524DD"/>
    <w:rsid w:val="00D52526"/>
    <w:rsid w:val="00D52597"/>
    <w:rsid w:val="00D525A1"/>
    <w:rsid w:val="00D525C0"/>
    <w:rsid w:val="00D52659"/>
    <w:rsid w:val="00D5281D"/>
    <w:rsid w:val="00D528E7"/>
    <w:rsid w:val="00D528FA"/>
    <w:rsid w:val="00D529CB"/>
    <w:rsid w:val="00D529F9"/>
    <w:rsid w:val="00D52A18"/>
    <w:rsid w:val="00D52A2B"/>
    <w:rsid w:val="00D52B99"/>
    <w:rsid w:val="00D52BD5"/>
    <w:rsid w:val="00D52C5C"/>
    <w:rsid w:val="00D52CC2"/>
    <w:rsid w:val="00D52D64"/>
    <w:rsid w:val="00D52D98"/>
    <w:rsid w:val="00D52E71"/>
    <w:rsid w:val="00D52EAB"/>
    <w:rsid w:val="00D52EC8"/>
    <w:rsid w:val="00D52FEB"/>
    <w:rsid w:val="00D530FD"/>
    <w:rsid w:val="00D5314B"/>
    <w:rsid w:val="00D5318B"/>
    <w:rsid w:val="00D531DC"/>
    <w:rsid w:val="00D531EF"/>
    <w:rsid w:val="00D5334A"/>
    <w:rsid w:val="00D53362"/>
    <w:rsid w:val="00D53455"/>
    <w:rsid w:val="00D53769"/>
    <w:rsid w:val="00D5377E"/>
    <w:rsid w:val="00D537A0"/>
    <w:rsid w:val="00D53837"/>
    <w:rsid w:val="00D538BE"/>
    <w:rsid w:val="00D53B88"/>
    <w:rsid w:val="00D53C4A"/>
    <w:rsid w:val="00D53E7D"/>
    <w:rsid w:val="00D53E94"/>
    <w:rsid w:val="00D53EFA"/>
    <w:rsid w:val="00D53F4E"/>
    <w:rsid w:val="00D542BF"/>
    <w:rsid w:val="00D543AC"/>
    <w:rsid w:val="00D5475A"/>
    <w:rsid w:val="00D55051"/>
    <w:rsid w:val="00D550AB"/>
    <w:rsid w:val="00D550E7"/>
    <w:rsid w:val="00D551A1"/>
    <w:rsid w:val="00D553E6"/>
    <w:rsid w:val="00D5550F"/>
    <w:rsid w:val="00D55791"/>
    <w:rsid w:val="00D557C6"/>
    <w:rsid w:val="00D557D1"/>
    <w:rsid w:val="00D55860"/>
    <w:rsid w:val="00D5588F"/>
    <w:rsid w:val="00D55947"/>
    <w:rsid w:val="00D55952"/>
    <w:rsid w:val="00D559C4"/>
    <w:rsid w:val="00D55B57"/>
    <w:rsid w:val="00D55BAD"/>
    <w:rsid w:val="00D55D98"/>
    <w:rsid w:val="00D55D9F"/>
    <w:rsid w:val="00D55EE7"/>
    <w:rsid w:val="00D55F31"/>
    <w:rsid w:val="00D55FD1"/>
    <w:rsid w:val="00D5626D"/>
    <w:rsid w:val="00D562A2"/>
    <w:rsid w:val="00D563AF"/>
    <w:rsid w:val="00D563D1"/>
    <w:rsid w:val="00D56485"/>
    <w:rsid w:val="00D56497"/>
    <w:rsid w:val="00D565C5"/>
    <w:rsid w:val="00D5669A"/>
    <w:rsid w:val="00D5675C"/>
    <w:rsid w:val="00D5682B"/>
    <w:rsid w:val="00D5692A"/>
    <w:rsid w:val="00D56946"/>
    <w:rsid w:val="00D56976"/>
    <w:rsid w:val="00D56AFD"/>
    <w:rsid w:val="00D56B6E"/>
    <w:rsid w:val="00D56BE5"/>
    <w:rsid w:val="00D56C78"/>
    <w:rsid w:val="00D56E42"/>
    <w:rsid w:val="00D56ED9"/>
    <w:rsid w:val="00D57001"/>
    <w:rsid w:val="00D57023"/>
    <w:rsid w:val="00D5727E"/>
    <w:rsid w:val="00D57307"/>
    <w:rsid w:val="00D57325"/>
    <w:rsid w:val="00D57331"/>
    <w:rsid w:val="00D5744D"/>
    <w:rsid w:val="00D575B6"/>
    <w:rsid w:val="00D5766A"/>
    <w:rsid w:val="00D578E6"/>
    <w:rsid w:val="00D579B7"/>
    <w:rsid w:val="00D57A94"/>
    <w:rsid w:val="00D57BC3"/>
    <w:rsid w:val="00D57C4E"/>
    <w:rsid w:val="00D57C5E"/>
    <w:rsid w:val="00D57CF3"/>
    <w:rsid w:val="00D57D55"/>
    <w:rsid w:val="00D57D93"/>
    <w:rsid w:val="00D57EC3"/>
    <w:rsid w:val="00D57EFB"/>
    <w:rsid w:val="00D57F94"/>
    <w:rsid w:val="00D60080"/>
    <w:rsid w:val="00D600A5"/>
    <w:rsid w:val="00D600C8"/>
    <w:rsid w:val="00D60121"/>
    <w:rsid w:val="00D6019B"/>
    <w:rsid w:val="00D60492"/>
    <w:rsid w:val="00D605C8"/>
    <w:rsid w:val="00D6066D"/>
    <w:rsid w:val="00D60D46"/>
    <w:rsid w:val="00D60D62"/>
    <w:rsid w:val="00D60E7F"/>
    <w:rsid w:val="00D6105C"/>
    <w:rsid w:val="00D61064"/>
    <w:rsid w:val="00D61297"/>
    <w:rsid w:val="00D6129F"/>
    <w:rsid w:val="00D612E1"/>
    <w:rsid w:val="00D61396"/>
    <w:rsid w:val="00D61967"/>
    <w:rsid w:val="00D61A6E"/>
    <w:rsid w:val="00D61ADF"/>
    <w:rsid w:val="00D61B2C"/>
    <w:rsid w:val="00D61C11"/>
    <w:rsid w:val="00D61C6D"/>
    <w:rsid w:val="00D61E11"/>
    <w:rsid w:val="00D61E22"/>
    <w:rsid w:val="00D61E25"/>
    <w:rsid w:val="00D61FD9"/>
    <w:rsid w:val="00D62016"/>
    <w:rsid w:val="00D620B3"/>
    <w:rsid w:val="00D62353"/>
    <w:rsid w:val="00D62529"/>
    <w:rsid w:val="00D6255C"/>
    <w:rsid w:val="00D625E4"/>
    <w:rsid w:val="00D6262E"/>
    <w:rsid w:val="00D62768"/>
    <w:rsid w:val="00D6277E"/>
    <w:rsid w:val="00D627E3"/>
    <w:rsid w:val="00D628BB"/>
    <w:rsid w:val="00D6291C"/>
    <w:rsid w:val="00D62938"/>
    <w:rsid w:val="00D6298C"/>
    <w:rsid w:val="00D629EF"/>
    <w:rsid w:val="00D62AF3"/>
    <w:rsid w:val="00D62B4A"/>
    <w:rsid w:val="00D62BF8"/>
    <w:rsid w:val="00D62C82"/>
    <w:rsid w:val="00D62C87"/>
    <w:rsid w:val="00D62D43"/>
    <w:rsid w:val="00D62DB6"/>
    <w:rsid w:val="00D62DBB"/>
    <w:rsid w:val="00D62DF9"/>
    <w:rsid w:val="00D62E8C"/>
    <w:rsid w:val="00D63248"/>
    <w:rsid w:val="00D6329C"/>
    <w:rsid w:val="00D632AD"/>
    <w:rsid w:val="00D63310"/>
    <w:rsid w:val="00D63315"/>
    <w:rsid w:val="00D63473"/>
    <w:rsid w:val="00D6354E"/>
    <w:rsid w:val="00D635B9"/>
    <w:rsid w:val="00D636E2"/>
    <w:rsid w:val="00D63761"/>
    <w:rsid w:val="00D638F4"/>
    <w:rsid w:val="00D63BC7"/>
    <w:rsid w:val="00D63C33"/>
    <w:rsid w:val="00D63C8B"/>
    <w:rsid w:val="00D63C93"/>
    <w:rsid w:val="00D63EDE"/>
    <w:rsid w:val="00D63EE9"/>
    <w:rsid w:val="00D63F63"/>
    <w:rsid w:val="00D63F97"/>
    <w:rsid w:val="00D64200"/>
    <w:rsid w:val="00D643C8"/>
    <w:rsid w:val="00D64551"/>
    <w:rsid w:val="00D645B0"/>
    <w:rsid w:val="00D64740"/>
    <w:rsid w:val="00D64782"/>
    <w:rsid w:val="00D647A1"/>
    <w:rsid w:val="00D6481F"/>
    <w:rsid w:val="00D6482A"/>
    <w:rsid w:val="00D64908"/>
    <w:rsid w:val="00D64AF6"/>
    <w:rsid w:val="00D64B79"/>
    <w:rsid w:val="00D64BD1"/>
    <w:rsid w:val="00D64BDA"/>
    <w:rsid w:val="00D64C26"/>
    <w:rsid w:val="00D64CF6"/>
    <w:rsid w:val="00D64D24"/>
    <w:rsid w:val="00D650A2"/>
    <w:rsid w:val="00D652D7"/>
    <w:rsid w:val="00D6543B"/>
    <w:rsid w:val="00D6545D"/>
    <w:rsid w:val="00D654B6"/>
    <w:rsid w:val="00D654D8"/>
    <w:rsid w:val="00D654EC"/>
    <w:rsid w:val="00D655C2"/>
    <w:rsid w:val="00D6572A"/>
    <w:rsid w:val="00D6581E"/>
    <w:rsid w:val="00D6584C"/>
    <w:rsid w:val="00D6586E"/>
    <w:rsid w:val="00D658B0"/>
    <w:rsid w:val="00D659C0"/>
    <w:rsid w:val="00D659F3"/>
    <w:rsid w:val="00D65AC6"/>
    <w:rsid w:val="00D65B60"/>
    <w:rsid w:val="00D663AA"/>
    <w:rsid w:val="00D66555"/>
    <w:rsid w:val="00D667CF"/>
    <w:rsid w:val="00D668BD"/>
    <w:rsid w:val="00D66A24"/>
    <w:rsid w:val="00D66AE2"/>
    <w:rsid w:val="00D66AF4"/>
    <w:rsid w:val="00D66B1F"/>
    <w:rsid w:val="00D66B98"/>
    <w:rsid w:val="00D66BE1"/>
    <w:rsid w:val="00D66BF4"/>
    <w:rsid w:val="00D66CCF"/>
    <w:rsid w:val="00D66D94"/>
    <w:rsid w:val="00D66DFB"/>
    <w:rsid w:val="00D66E46"/>
    <w:rsid w:val="00D66F4B"/>
    <w:rsid w:val="00D66F6B"/>
    <w:rsid w:val="00D67102"/>
    <w:rsid w:val="00D67158"/>
    <w:rsid w:val="00D67191"/>
    <w:rsid w:val="00D671BC"/>
    <w:rsid w:val="00D67249"/>
    <w:rsid w:val="00D677E1"/>
    <w:rsid w:val="00D67989"/>
    <w:rsid w:val="00D67BA0"/>
    <w:rsid w:val="00D67BCF"/>
    <w:rsid w:val="00D67C65"/>
    <w:rsid w:val="00D67DC9"/>
    <w:rsid w:val="00D67DD0"/>
    <w:rsid w:val="00D67E14"/>
    <w:rsid w:val="00D67F0D"/>
    <w:rsid w:val="00D67F42"/>
    <w:rsid w:val="00D70263"/>
    <w:rsid w:val="00D70374"/>
    <w:rsid w:val="00D703C4"/>
    <w:rsid w:val="00D703CA"/>
    <w:rsid w:val="00D703CE"/>
    <w:rsid w:val="00D70435"/>
    <w:rsid w:val="00D70501"/>
    <w:rsid w:val="00D70599"/>
    <w:rsid w:val="00D70756"/>
    <w:rsid w:val="00D70775"/>
    <w:rsid w:val="00D70BA8"/>
    <w:rsid w:val="00D70D3C"/>
    <w:rsid w:val="00D70DCC"/>
    <w:rsid w:val="00D7108D"/>
    <w:rsid w:val="00D7114C"/>
    <w:rsid w:val="00D712A7"/>
    <w:rsid w:val="00D71369"/>
    <w:rsid w:val="00D71484"/>
    <w:rsid w:val="00D71511"/>
    <w:rsid w:val="00D7151F"/>
    <w:rsid w:val="00D71561"/>
    <w:rsid w:val="00D7168F"/>
    <w:rsid w:val="00D716A3"/>
    <w:rsid w:val="00D7178B"/>
    <w:rsid w:val="00D7179F"/>
    <w:rsid w:val="00D71A32"/>
    <w:rsid w:val="00D71B59"/>
    <w:rsid w:val="00D71CD3"/>
    <w:rsid w:val="00D71F5B"/>
    <w:rsid w:val="00D72070"/>
    <w:rsid w:val="00D72171"/>
    <w:rsid w:val="00D721BF"/>
    <w:rsid w:val="00D721C7"/>
    <w:rsid w:val="00D72329"/>
    <w:rsid w:val="00D724E0"/>
    <w:rsid w:val="00D725E8"/>
    <w:rsid w:val="00D72906"/>
    <w:rsid w:val="00D7298F"/>
    <w:rsid w:val="00D72997"/>
    <w:rsid w:val="00D7299F"/>
    <w:rsid w:val="00D72C42"/>
    <w:rsid w:val="00D72D83"/>
    <w:rsid w:val="00D72DFC"/>
    <w:rsid w:val="00D72EC4"/>
    <w:rsid w:val="00D72EF0"/>
    <w:rsid w:val="00D7307F"/>
    <w:rsid w:val="00D730AC"/>
    <w:rsid w:val="00D73144"/>
    <w:rsid w:val="00D73429"/>
    <w:rsid w:val="00D73439"/>
    <w:rsid w:val="00D73513"/>
    <w:rsid w:val="00D7352D"/>
    <w:rsid w:val="00D735B4"/>
    <w:rsid w:val="00D735E8"/>
    <w:rsid w:val="00D7363A"/>
    <w:rsid w:val="00D7368C"/>
    <w:rsid w:val="00D736B8"/>
    <w:rsid w:val="00D736CD"/>
    <w:rsid w:val="00D73920"/>
    <w:rsid w:val="00D73AB2"/>
    <w:rsid w:val="00D73ADB"/>
    <w:rsid w:val="00D73B23"/>
    <w:rsid w:val="00D73B94"/>
    <w:rsid w:val="00D73F0F"/>
    <w:rsid w:val="00D73F33"/>
    <w:rsid w:val="00D73FB2"/>
    <w:rsid w:val="00D73FF4"/>
    <w:rsid w:val="00D742AC"/>
    <w:rsid w:val="00D742D2"/>
    <w:rsid w:val="00D742E0"/>
    <w:rsid w:val="00D743A7"/>
    <w:rsid w:val="00D7440D"/>
    <w:rsid w:val="00D7447B"/>
    <w:rsid w:val="00D7468E"/>
    <w:rsid w:val="00D74750"/>
    <w:rsid w:val="00D74930"/>
    <w:rsid w:val="00D74AEE"/>
    <w:rsid w:val="00D74B33"/>
    <w:rsid w:val="00D74BAD"/>
    <w:rsid w:val="00D74EF3"/>
    <w:rsid w:val="00D74F70"/>
    <w:rsid w:val="00D751D4"/>
    <w:rsid w:val="00D751D5"/>
    <w:rsid w:val="00D753DC"/>
    <w:rsid w:val="00D75776"/>
    <w:rsid w:val="00D7579D"/>
    <w:rsid w:val="00D75949"/>
    <w:rsid w:val="00D7595C"/>
    <w:rsid w:val="00D75A16"/>
    <w:rsid w:val="00D75C2B"/>
    <w:rsid w:val="00D75F92"/>
    <w:rsid w:val="00D76004"/>
    <w:rsid w:val="00D7601E"/>
    <w:rsid w:val="00D76021"/>
    <w:rsid w:val="00D760A0"/>
    <w:rsid w:val="00D760E4"/>
    <w:rsid w:val="00D7618C"/>
    <w:rsid w:val="00D76193"/>
    <w:rsid w:val="00D76246"/>
    <w:rsid w:val="00D763F8"/>
    <w:rsid w:val="00D76571"/>
    <w:rsid w:val="00D76640"/>
    <w:rsid w:val="00D7672B"/>
    <w:rsid w:val="00D768AE"/>
    <w:rsid w:val="00D76920"/>
    <w:rsid w:val="00D76B6A"/>
    <w:rsid w:val="00D76E0C"/>
    <w:rsid w:val="00D76E35"/>
    <w:rsid w:val="00D76F58"/>
    <w:rsid w:val="00D77149"/>
    <w:rsid w:val="00D77430"/>
    <w:rsid w:val="00D77499"/>
    <w:rsid w:val="00D774B2"/>
    <w:rsid w:val="00D775A3"/>
    <w:rsid w:val="00D775CB"/>
    <w:rsid w:val="00D7762D"/>
    <w:rsid w:val="00D777DC"/>
    <w:rsid w:val="00D77B02"/>
    <w:rsid w:val="00D77BCA"/>
    <w:rsid w:val="00D77C0C"/>
    <w:rsid w:val="00D77C24"/>
    <w:rsid w:val="00D77D13"/>
    <w:rsid w:val="00D77F3A"/>
    <w:rsid w:val="00D77F5B"/>
    <w:rsid w:val="00D77F73"/>
    <w:rsid w:val="00D77F8A"/>
    <w:rsid w:val="00D77FCC"/>
    <w:rsid w:val="00D77FE5"/>
    <w:rsid w:val="00D80015"/>
    <w:rsid w:val="00D8002D"/>
    <w:rsid w:val="00D80161"/>
    <w:rsid w:val="00D8019F"/>
    <w:rsid w:val="00D801E7"/>
    <w:rsid w:val="00D801F1"/>
    <w:rsid w:val="00D80256"/>
    <w:rsid w:val="00D8039D"/>
    <w:rsid w:val="00D80468"/>
    <w:rsid w:val="00D80509"/>
    <w:rsid w:val="00D8060F"/>
    <w:rsid w:val="00D80782"/>
    <w:rsid w:val="00D807EC"/>
    <w:rsid w:val="00D807EE"/>
    <w:rsid w:val="00D80931"/>
    <w:rsid w:val="00D809F2"/>
    <w:rsid w:val="00D80B63"/>
    <w:rsid w:val="00D80C3A"/>
    <w:rsid w:val="00D80D28"/>
    <w:rsid w:val="00D80F6A"/>
    <w:rsid w:val="00D80FA1"/>
    <w:rsid w:val="00D81095"/>
    <w:rsid w:val="00D81107"/>
    <w:rsid w:val="00D8115F"/>
    <w:rsid w:val="00D8119C"/>
    <w:rsid w:val="00D81399"/>
    <w:rsid w:val="00D81523"/>
    <w:rsid w:val="00D8176D"/>
    <w:rsid w:val="00D817FA"/>
    <w:rsid w:val="00D81872"/>
    <w:rsid w:val="00D819FC"/>
    <w:rsid w:val="00D81ACA"/>
    <w:rsid w:val="00D81B6E"/>
    <w:rsid w:val="00D81B74"/>
    <w:rsid w:val="00D81BAB"/>
    <w:rsid w:val="00D81BBA"/>
    <w:rsid w:val="00D81C09"/>
    <w:rsid w:val="00D81D32"/>
    <w:rsid w:val="00D81E49"/>
    <w:rsid w:val="00D81EC6"/>
    <w:rsid w:val="00D81F6D"/>
    <w:rsid w:val="00D821A1"/>
    <w:rsid w:val="00D8235A"/>
    <w:rsid w:val="00D8244D"/>
    <w:rsid w:val="00D826AC"/>
    <w:rsid w:val="00D82A40"/>
    <w:rsid w:val="00D82AFA"/>
    <w:rsid w:val="00D82D77"/>
    <w:rsid w:val="00D82E32"/>
    <w:rsid w:val="00D82EEE"/>
    <w:rsid w:val="00D82F69"/>
    <w:rsid w:val="00D82FD8"/>
    <w:rsid w:val="00D83096"/>
    <w:rsid w:val="00D83107"/>
    <w:rsid w:val="00D83144"/>
    <w:rsid w:val="00D8334C"/>
    <w:rsid w:val="00D8356F"/>
    <w:rsid w:val="00D83616"/>
    <w:rsid w:val="00D8366E"/>
    <w:rsid w:val="00D8369D"/>
    <w:rsid w:val="00D8374F"/>
    <w:rsid w:val="00D83820"/>
    <w:rsid w:val="00D83C52"/>
    <w:rsid w:val="00D83C89"/>
    <w:rsid w:val="00D83C9B"/>
    <w:rsid w:val="00D83CC7"/>
    <w:rsid w:val="00D83E4E"/>
    <w:rsid w:val="00D843C6"/>
    <w:rsid w:val="00D843FF"/>
    <w:rsid w:val="00D845BD"/>
    <w:rsid w:val="00D84644"/>
    <w:rsid w:val="00D8470C"/>
    <w:rsid w:val="00D84745"/>
    <w:rsid w:val="00D848AA"/>
    <w:rsid w:val="00D8491D"/>
    <w:rsid w:val="00D84A44"/>
    <w:rsid w:val="00D84A65"/>
    <w:rsid w:val="00D84ABF"/>
    <w:rsid w:val="00D84AE9"/>
    <w:rsid w:val="00D84B9C"/>
    <w:rsid w:val="00D84BF8"/>
    <w:rsid w:val="00D84C05"/>
    <w:rsid w:val="00D84D98"/>
    <w:rsid w:val="00D84D9F"/>
    <w:rsid w:val="00D84F95"/>
    <w:rsid w:val="00D84FC8"/>
    <w:rsid w:val="00D851E3"/>
    <w:rsid w:val="00D854BA"/>
    <w:rsid w:val="00D85521"/>
    <w:rsid w:val="00D85611"/>
    <w:rsid w:val="00D8562F"/>
    <w:rsid w:val="00D8568D"/>
    <w:rsid w:val="00D85769"/>
    <w:rsid w:val="00D8576D"/>
    <w:rsid w:val="00D85952"/>
    <w:rsid w:val="00D85B1A"/>
    <w:rsid w:val="00D85B97"/>
    <w:rsid w:val="00D85C4B"/>
    <w:rsid w:val="00D85C88"/>
    <w:rsid w:val="00D85CC6"/>
    <w:rsid w:val="00D85CC9"/>
    <w:rsid w:val="00D85D13"/>
    <w:rsid w:val="00D85D1F"/>
    <w:rsid w:val="00D85E09"/>
    <w:rsid w:val="00D85E13"/>
    <w:rsid w:val="00D85E58"/>
    <w:rsid w:val="00D85EFD"/>
    <w:rsid w:val="00D8604B"/>
    <w:rsid w:val="00D86266"/>
    <w:rsid w:val="00D8644C"/>
    <w:rsid w:val="00D864A6"/>
    <w:rsid w:val="00D865FA"/>
    <w:rsid w:val="00D86711"/>
    <w:rsid w:val="00D86729"/>
    <w:rsid w:val="00D867A3"/>
    <w:rsid w:val="00D86804"/>
    <w:rsid w:val="00D86C1C"/>
    <w:rsid w:val="00D8700C"/>
    <w:rsid w:val="00D870E3"/>
    <w:rsid w:val="00D871EF"/>
    <w:rsid w:val="00D8728F"/>
    <w:rsid w:val="00D8738D"/>
    <w:rsid w:val="00D8746E"/>
    <w:rsid w:val="00D87532"/>
    <w:rsid w:val="00D87576"/>
    <w:rsid w:val="00D875AA"/>
    <w:rsid w:val="00D8769D"/>
    <w:rsid w:val="00D87808"/>
    <w:rsid w:val="00D879A0"/>
    <w:rsid w:val="00D87D2A"/>
    <w:rsid w:val="00D87D74"/>
    <w:rsid w:val="00D87DF2"/>
    <w:rsid w:val="00D87E66"/>
    <w:rsid w:val="00D87E8E"/>
    <w:rsid w:val="00D87F30"/>
    <w:rsid w:val="00D87FBA"/>
    <w:rsid w:val="00D90146"/>
    <w:rsid w:val="00D90174"/>
    <w:rsid w:val="00D902DC"/>
    <w:rsid w:val="00D903E3"/>
    <w:rsid w:val="00D90521"/>
    <w:rsid w:val="00D90551"/>
    <w:rsid w:val="00D9063B"/>
    <w:rsid w:val="00D9071A"/>
    <w:rsid w:val="00D90866"/>
    <w:rsid w:val="00D908A8"/>
    <w:rsid w:val="00D90919"/>
    <w:rsid w:val="00D9091D"/>
    <w:rsid w:val="00D909C8"/>
    <w:rsid w:val="00D90A2A"/>
    <w:rsid w:val="00D90B51"/>
    <w:rsid w:val="00D90C67"/>
    <w:rsid w:val="00D90E37"/>
    <w:rsid w:val="00D90E74"/>
    <w:rsid w:val="00D911B8"/>
    <w:rsid w:val="00D91261"/>
    <w:rsid w:val="00D9132E"/>
    <w:rsid w:val="00D913A6"/>
    <w:rsid w:val="00D9155A"/>
    <w:rsid w:val="00D9167B"/>
    <w:rsid w:val="00D916D8"/>
    <w:rsid w:val="00D9173B"/>
    <w:rsid w:val="00D917A6"/>
    <w:rsid w:val="00D9186A"/>
    <w:rsid w:val="00D91884"/>
    <w:rsid w:val="00D919D7"/>
    <w:rsid w:val="00D919EE"/>
    <w:rsid w:val="00D91A77"/>
    <w:rsid w:val="00D91B80"/>
    <w:rsid w:val="00D92212"/>
    <w:rsid w:val="00D9245D"/>
    <w:rsid w:val="00D924CE"/>
    <w:rsid w:val="00D924ED"/>
    <w:rsid w:val="00D925B4"/>
    <w:rsid w:val="00D925CB"/>
    <w:rsid w:val="00D926A0"/>
    <w:rsid w:val="00D926BF"/>
    <w:rsid w:val="00D926D7"/>
    <w:rsid w:val="00D92711"/>
    <w:rsid w:val="00D92712"/>
    <w:rsid w:val="00D92806"/>
    <w:rsid w:val="00D9290D"/>
    <w:rsid w:val="00D92BFE"/>
    <w:rsid w:val="00D92D20"/>
    <w:rsid w:val="00D92E2F"/>
    <w:rsid w:val="00D92EE9"/>
    <w:rsid w:val="00D92F3F"/>
    <w:rsid w:val="00D93008"/>
    <w:rsid w:val="00D9313B"/>
    <w:rsid w:val="00D932C1"/>
    <w:rsid w:val="00D9330A"/>
    <w:rsid w:val="00D93400"/>
    <w:rsid w:val="00D93444"/>
    <w:rsid w:val="00D934D7"/>
    <w:rsid w:val="00D934EC"/>
    <w:rsid w:val="00D93573"/>
    <w:rsid w:val="00D93733"/>
    <w:rsid w:val="00D9388B"/>
    <w:rsid w:val="00D93963"/>
    <w:rsid w:val="00D93A7F"/>
    <w:rsid w:val="00D93AF4"/>
    <w:rsid w:val="00D93BEB"/>
    <w:rsid w:val="00D93C20"/>
    <w:rsid w:val="00D93C87"/>
    <w:rsid w:val="00D93DBE"/>
    <w:rsid w:val="00D93F46"/>
    <w:rsid w:val="00D93F69"/>
    <w:rsid w:val="00D94390"/>
    <w:rsid w:val="00D9444D"/>
    <w:rsid w:val="00D94484"/>
    <w:rsid w:val="00D9468B"/>
    <w:rsid w:val="00D946B7"/>
    <w:rsid w:val="00D946CA"/>
    <w:rsid w:val="00D9486D"/>
    <w:rsid w:val="00D948BF"/>
    <w:rsid w:val="00D948F4"/>
    <w:rsid w:val="00D94A07"/>
    <w:rsid w:val="00D94B2A"/>
    <w:rsid w:val="00D94D56"/>
    <w:rsid w:val="00D94D6F"/>
    <w:rsid w:val="00D94DBC"/>
    <w:rsid w:val="00D94DFD"/>
    <w:rsid w:val="00D94EE8"/>
    <w:rsid w:val="00D9510E"/>
    <w:rsid w:val="00D95140"/>
    <w:rsid w:val="00D95194"/>
    <w:rsid w:val="00D951AB"/>
    <w:rsid w:val="00D9557E"/>
    <w:rsid w:val="00D95596"/>
    <w:rsid w:val="00D95604"/>
    <w:rsid w:val="00D956DF"/>
    <w:rsid w:val="00D957BD"/>
    <w:rsid w:val="00D95B81"/>
    <w:rsid w:val="00D95BA9"/>
    <w:rsid w:val="00D95C05"/>
    <w:rsid w:val="00D95C70"/>
    <w:rsid w:val="00D95CC1"/>
    <w:rsid w:val="00D9606F"/>
    <w:rsid w:val="00D9610D"/>
    <w:rsid w:val="00D9616B"/>
    <w:rsid w:val="00D96255"/>
    <w:rsid w:val="00D962DA"/>
    <w:rsid w:val="00D965B9"/>
    <w:rsid w:val="00D965F9"/>
    <w:rsid w:val="00D96674"/>
    <w:rsid w:val="00D96676"/>
    <w:rsid w:val="00D96A90"/>
    <w:rsid w:val="00D96D7B"/>
    <w:rsid w:val="00D96DE8"/>
    <w:rsid w:val="00D96DEA"/>
    <w:rsid w:val="00D96F07"/>
    <w:rsid w:val="00D96F40"/>
    <w:rsid w:val="00D9710F"/>
    <w:rsid w:val="00D9724F"/>
    <w:rsid w:val="00D9743F"/>
    <w:rsid w:val="00D97448"/>
    <w:rsid w:val="00D97498"/>
    <w:rsid w:val="00D97542"/>
    <w:rsid w:val="00D976C1"/>
    <w:rsid w:val="00D979F2"/>
    <w:rsid w:val="00D97AC5"/>
    <w:rsid w:val="00D97AD5"/>
    <w:rsid w:val="00D97C4E"/>
    <w:rsid w:val="00D97C95"/>
    <w:rsid w:val="00D97D48"/>
    <w:rsid w:val="00D97D93"/>
    <w:rsid w:val="00D97DD2"/>
    <w:rsid w:val="00D97EE4"/>
    <w:rsid w:val="00D97F66"/>
    <w:rsid w:val="00D97F77"/>
    <w:rsid w:val="00D97F91"/>
    <w:rsid w:val="00D97FD4"/>
    <w:rsid w:val="00DA0055"/>
    <w:rsid w:val="00DA0192"/>
    <w:rsid w:val="00DA01E5"/>
    <w:rsid w:val="00DA04D8"/>
    <w:rsid w:val="00DA05CA"/>
    <w:rsid w:val="00DA0611"/>
    <w:rsid w:val="00DA085C"/>
    <w:rsid w:val="00DA0B84"/>
    <w:rsid w:val="00DA0B96"/>
    <w:rsid w:val="00DA0BAF"/>
    <w:rsid w:val="00DA0D63"/>
    <w:rsid w:val="00DA0DDB"/>
    <w:rsid w:val="00DA0E21"/>
    <w:rsid w:val="00DA0FCF"/>
    <w:rsid w:val="00DA0FEF"/>
    <w:rsid w:val="00DA11E2"/>
    <w:rsid w:val="00DA11EF"/>
    <w:rsid w:val="00DA126E"/>
    <w:rsid w:val="00DA133F"/>
    <w:rsid w:val="00DA13C3"/>
    <w:rsid w:val="00DA13C6"/>
    <w:rsid w:val="00DA14DA"/>
    <w:rsid w:val="00DA14E9"/>
    <w:rsid w:val="00DA16DA"/>
    <w:rsid w:val="00DA178B"/>
    <w:rsid w:val="00DA18A2"/>
    <w:rsid w:val="00DA194C"/>
    <w:rsid w:val="00DA1A94"/>
    <w:rsid w:val="00DA1B04"/>
    <w:rsid w:val="00DA1B2E"/>
    <w:rsid w:val="00DA1BDB"/>
    <w:rsid w:val="00DA1D2C"/>
    <w:rsid w:val="00DA1D62"/>
    <w:rsid w:val="00DA20E4"/>
    <w:rsid w:val="00DA2161"/>
    <w:rsid w:val="00DA23C8"/>
    <w:rsid w:val="00DA2464"/>
    <w:rsid w:val="00DA24A3"/>
    <w:rsid w:val="00DA257D"/>
    <w:rsid w:val="00DA25EF"/>
    <w:rsid w:val="00DA2682"/>
    <w:rsid w:val="00DA26A1"/>
    <w:rsid w:val="00DA272B"/>
    <w:rsid w:val="00DA2763"/>
    <w:rsid w:val="00DA27A3"/>
    <w:rsid w:val="00DA27D2"/>
    <w:rsid w:val="00DA27D3"/>
    <w:rsid w:val="00DA283B"/>
    <w:rsid w:val="00DA28B9"/>
    <w:rsid w:val="00DA2A37"/>
    <w:rsid w:val="00DA2BE8"/>
    <w:rsid w:val="00DA2C51"/>
    <w:rsid w:val="00DA2CCF"/>
    <w:rsid w:val="00DA2D12"/>
    <w:rsid w:val="00DA2DE2"/>
    <w:rsid w:val="00DA2DFD"/>
    <w:rsid w:val="00DA2E91"/>
    <w:rsid w:val="00DA3080"/>
    <w:rsid w:val="00DA30EE"/>
    <w:rsid w:val="00DA3190"/>
    <w:rsid w:val="00DA3195"/>
    <w:rsid w:val="00DA31D9"/>
    <w:rsid w:val="00DA3234"/>
    <w:rsid w:val="00DA327E"/>
    <w:rsid w:val="00DA3386"/>
    <w:rsid w:val="00DA339D"/>
    <w:rsid w:val="00DA3418"/>
    <w:rsid w:val="00DA3440"/>
    <w:rsid w:val="00DA34F3"/>
    <w:rsid w:val="00DA3517"/>
    <w:rsid w:val="00DA36BB"/>
    <w:rsid w:val="00DA373B"/>
    <w:rsid w:val="00DA392A"/>
    <w:rsid w:val="00DA3965"/>
    <w:rsid w:val="00DA3987"/>
    <w:rsid w:val="00DA3AD2"/>
    <w:rsid w:val="00DA3BA4"/>
    <w:rsid w:val="00DA3C05"/>
    <w:rsid w:val="00DA3D03"/>
    <w:rsid w:val="00DA3D69"/>
    <w:rsid w:val="00DA3F94"/>
    <w:rsid w:val="00DA40E9"/>
    <w:rsid w:val="00DA4147"/>
    <w:rsid w:val="00DA41E7"/>
    <w:rsid w:val="00DA4299"/>
    <w:rsid w:val="00DA4411"/>
    <w:rsid w:val="00DA45FB"/>
    <w:rsid w:val="00DA4935"/>
    <w:rsid w:val="00DA497E"/>
    <w:rsid w:val="00DA49C6"/>
    <w:rsid w:val="00DA49DB"/>
    <w:rsid w:val="00DA4A47"/>
    <w:rsid w:val="00DA4BEC"/>
    <w:rsid w:val="00DA4C5F"/>
    <w:rsid w:val="00DA4E1D"/>
    <w:rsid w:val="00DA4E3E"/>
    <w:rsid w:val="00DA4EDA"/>
    <w:rsid w:val="00DA50E0"/>
    <w:rsid w:val="00DA5144"/>
    <w:rsid w:val="00DA52CA"/>
    <w:rsid w:val="00DA557E"/>
    <w:rsid w:val="00DA558A"/>
    <w:rsid w:val="00DA5631"/>
    <w:rsid w:val="00DA57FA"/>
    <w:rsid w:val="00DA58EC"/>
    <w:rsid w:val="00DA5A72"/>
    <w:rsid w:val="00DA5AD3"/>
    <w:rsid w:val="00DA5B6E"/>
    <w:rsid w:val="00DA5C92"/>
    <w:rsid w:val="00DA5C9D"/>
    <w:rsid w:val="00DA5CB5"/>
    <w:rsid w:val="00DA5E25"/>
    <w:rsid w:val="00DA5E78"/>
    <w:rsid w:val="00DA5F6C"/>
    <w:rsid w:val="00DA5FCB"/>
    <w:rsid w:val="00DA61B1"/>
    <w:rsid w:val="00DA636F"/>
    <w:rsid w:val="00DA63BC"/>
    <w:rsid w:val="00DA63C6"/>
    <w:rsid w:val="00DA6AD9"/>
    <w:rsid w:val="00DA6B4D"/>
    <w:rsid w:val="00DA6CA6"/>
    <w:rsid w:val="00DA6CD1"/>
    <w:rsid w:val="00DA6E01"/>
    <w:rsid w:val="00DA6FA3"/>
    <w:rsid w:val="00DA7119"/>
    <w:rsid w:val="00DA7282"/>
    <w:rsid w:val="00DA72F5"/>
    <w:rsid w:val="00DA7355"/>
    <w:rsid w:val="00DA73DA"/>
    <w:rsid w:val="00DA76F1"/>
    <w:rsid w:val="00DA7775"/>
    <w:rsid w:val="00DA7A24"/>
    <w:rsid w:val="00DA7A81"/>
    <w:rsid w:val="00DA7B05"/>
    <w:rsid w:val="00DA7CD3"/>
    <w:rsid w:val="00DA7D8E"/>
    <w:rsid w:val="00DA7DD7"/>
    <w:rsid w:val="00DA7EAB"/>
    <w:rsid w:val="00DB0264"/>
    <w:rsid w:val="00DB03DE"/>
    <w:rsid w:val="00DB070A"/>
    <w:rsid w:val="00DB0729"/>
    <w:rsid w:val="00DB072E"/>
    <w:rsid w:val="00DB0768"/>
    <w:rsid w:val="00DB0879"/>
    <w:rsid w:val="00DB08B7"/>
    <w:rsid w:val="00DB0A7B"/>
    <w:rsid w:val="00DB0B4E"/>
    <w:rsid w:val="00DB0B82"/>
    <w:rsid w:val="00DB0BCA"/>
    <w:rsid w:val="00DB0C36"/>
    <w:rsid w:val="00DB0F2F"/>
    <w:rsid w:val="00DB0F60"/>
    <w:rsid w:val="00DB0FEF"/>
    <w:rsid w:val="00DB102B"/>
    <w:rsid w:val="00DB10F1"/>
    <w:rsid w:val="00DB11CB"/>
    <w:rsid w:val="00DB1245"/>
    <w:rsid w:val="00DB1280"/>
    <w:rsid w:val="00DB12EC"/>
    <w:rsid w:val="00DB14AC"/>
    <w:rsid w:val="00DB1530"/>
    <w:rsid w:val="00DB1564"/>
    <w:rsid w:val="00DB1576"/>
    <w:rsid w:val="00DB17C3"/>
    <w:rsid w:val="00DB185E"/>
    <w:rsid w:val="00DB18BC"/>
    <w:rsid w:val="00DB1917"/>
    <w:rsid w:val="00DB1ACF"/>
    <w:rsid w:val="00DB1B90"/>
    <w:rsid w:val="00DB1EA0"/>
    <w:rsid w:val="00DB206C"/>
    <w:rsid w:val="00DB2144"/>
    <w:rsid w:val="00DB21EA"/>
    <w:rsid w:val="00DB22A3"/>
    <w:rsid w:val="00DB22B1"/>
    <w:rsid w:val="00DB22FB"/>
    <w:rsid w:val="00DB2439"/>
    <w:rsid w:val="00DB2477"/>
    <w:rsid w:val="00DB2578"/>
    <w:rsid w:val="00DB2584"/>
    <w:rsid w:val="00DB2AA5"/>
    <w:rsid w:val="00DB2C33"/>
    <w:rsid w:val="00DB2D8D"/>
    <w:rsid w:val="00DB2E2C"/>
    <w:rsid w:val="00DB2F53"/>
    <w:rsid w:val="00DB2F82"/>
    <w:rsid w:val="00DB2F9C"/>
    <w:rsid w:val="00DB2FA7"/>
    <w:rsid w:val="00DB3004"/>
    <w:rsid w:val="00DB318E"/>
    <w:rsid w:val="00DB31D5"/>
    <w:rsid w:val="00DB3201"/>
    <w:rsid w:val="00DB3215"/>
    <w:rsid w:val="00DB3342"/>
    <w:rsid w:val="00DB3449"/>
    <w:rsid w:val="00DB3482"/>
    <w:rsid w:val="00DB34A9"/>
    <w:rsid w:val="00DB34C6"/>
    <w:rsid w:val="00DB3523"/>
    <w:rsid w:val="00DB36FA"/>
    <w:rsid w:val="00DB376A"/>
    <w:rsid w:val="00DB38B0"/>
    <w:rsid w:val="00DB38EB"/>
    <w:rsid w:val="00DB3917"/>
    <w:rsid w:val="00DB39D2"/>
    <w:rsid w:val="00DB3AA5"/>
    <w:rsid w:val="00DB3BD0"/>
    <w:rsid w:val="00DB3C6B"/>
    <w:rsid w:val="00DB3CAA"/>
    <w:rsid w:val="00DB3D3B"/>
    <w:rsid w:val="00DB3E0F"/>
    <w:rsid w:val="00DB3E44"/>
    <w:rsid w:val="00DB3EB6"/>
    <w:rsid w:val="00DB3FB2"/>
    <w:rsid w:val="00DB3FF6"/>
    <w:rsid w:val="00DB4032"/>
    <w:rsid w:val="00DB406A"/>
    <w:rsid w:val="00DB4087"/>
    <w:rsid w:val="00DB419D"/>
    <w:rsid w:val="00DB426D"/>
    <w:rsid w:val="00DB42F2"/>
    <w:rsid w:val="00DB42FD"/>
    <w:rsid w:val="00DB442D"/>
    <w:rsid w:val="00DB44E4"/>
    <w:rsid w:val="00DB459F"/>
    <w:rsid w:val="00DB464B"/>
    <w:rsid w:val="00DB4652"/>
    <w:rsid w:val="00DB477A"/>
    <w:rsid w:val="00DB49CF"/>
    <w:rsid w:val="00DB4A14"/>
    <w:rsid w:val="00DB4B68"/>
    <w:rsid w:val="00DB4C46"/>
    <w:rsid w:val="00DB4C7C"/>
    <w:rsid w:val="00DB4DE1"/>
    <w:rsid w:val="00DB4E3F"/>
    <w:rsid w:val="00DB4ECA"/>
    <w:rsid w:val="00DB4FA1"/>
    <w:rsid w:val="00DB5046"/>
    <w:rsid w:val="00DB521C"/>
    <w:rsid w:val="00DB522E"/>
    <w:rsid w:val="00DB523E"/>
    <w:rsid w:val="00DB54AA"/>
    <w:rsid w:val="00DB54FF"/>
    <w:rsid w:val="00DB5501"/>
    <w:rsid w:val="00DB551E"/>
    <w:rsid w:val="00DB553D"/>
    <w:rsid w:val="00DB55F0"/>
    <w:rsid w:val="00DB570E"/>
    <w:rsid w:val="00DB580B"/>
    <w:rsid w:val="00DB58C3"/>
    <w:rsid w:val="00DB5916"/>
    <w:rsid w:val="00DB5920"/>
    <w:rsid w:val="00DB597B"/>
    <w:rsid w:val="00DB5CA9"/>
    <w:rsid w:val="00DB5EAB"/>
    <w:rsid w:val="00DB6099"/>
    <w:rsid w:val="00DB61D0"/>
    <w:rsid w:val="00DB6250"/>
    <w:rsid w:val="00DB62FE"/>
    <w:rsid w:val="00DB6439"/>
    <w:rsid w:val="00DB647E"/>
    <w:rsid w:val="00DB6494"/>
    <w:rsid w:val="00DB671D"/>
    <w:rsid w:val="00DB67D6"/>
    <w:rsid w:val="00DB6AAF"/>
    <w:rsid w:val="00DB6ABD"/>
    <w:rsid w:val="00DB6BEA"/>
    <w:rsid w:val="00DB6BF4"/>
    <w:rsid w:val="00DB6C98"/>
    <w:rsid w:val="00DB6CE2"/>
    <w:rsid w:val="00DB6DE7"/>
    <w:rsid w:val="00DB6FAD"/>
    <w:rsid w:val="00DB7052"/>
    <w:rsid w:val="00DB7076"/>
    <w:rsid w:val="00DB70E7"/>
    <w:rsid w:val="00DB715F"/>
    <w:rsid w:val="00DB73EC"/>
    <w:rsid w:val="00DB74AB"/>
    <w:rsid w:val="00DB75D3"/>
    <w:rsid w:val="00DB75E7"/>
    <w:rsid w:val="00DB767B"/>
    <w:rsid w:val="00DB76DE"/>
    <w:rsid w:val="00DB76EC"/>
    <w:rsid w:val="00DB7775"/>
    <w:rsid w:val="00DB7794"/>
    <w:rsid w:val="00DB77EE"/>
    <w:rsid w:val="00DB77FF"/>
    <w:rsid w:val="00DB785F"/>
    <w:rsid w:val="00DB794A"/>
    <w:rsid w:val="00DB7B5A"/>
    <w:rsid w:val="00DB7B94"/>
    <w:rsid w:val="00DB7B96"/>
    <w:rsid w:val="00DB7C06"/>
    <w:rsid w:val="00DB7DB9"/>
    <w:rsid w:val="00DB7E07"/>
    <w:rsid w:val="00DB7E56"/>
    <w:rsid w:val="00DB7F1D"/>
    <w:rsid w:val="00DB7FD2"/>
    <w:rsid w:val="00DC0033"/>
    <w:rsid w:val="00DC00B2"/>
    <w:rsid w:val="00DC01B1"/>
    <w:rsid w:val="00DC030C"/>
    <w:rsid w:val="00DC030E"/>
    <w:rsid w:val="00DC0337"/>
    <w:rsid w:val="00DC0462"/>
    <w:rsid w:val="00DC08BC"/>
    <w:rsid w:val="00DC08D4"/>
    <w:rsid w:val="00DC08FF"/>
    <w:rsid w:val="00DC0A1E"/>
    <w:rsid w:val="00DC0A26"/>
    <w:rsid w:val="00DC0AE9"/>
    <w:rsid w:val="00DC0B08"/>
    <w:rsid w:val="00DC0B2C"/>
    <w:rsid w:val="00DC0C28"/>
    <w:rsid w:val="00DC0CAA"/>
    <w:rsid w:val="00DC0DED"/>
    <w:rsid w:val="00DC0E2F"/>
    <w:rsid w:val="00DC0EAF"/>
    <w:rsid w:val="00DC1036"/>
    <w:rsid w:val="00DC11B2"/>
    <w:rsid w:val="00DC11D2"/>
    <w:rsid w:val="00DC11D7"/>
    <w:rsid w:val="00DC15DF"/>
    <w:rsid w:val="00DC1608"/>
    <w:rsid w:val="00DC16EC"/>
    <w:rsid w:val="00DC1751"/>
    <w:rsid w:val="00DC18C7"/>
    <w:rsid w:val="00DC198A"/>
    <w:rsid w:val="00DC1A2D"/>
    <w:rsid w:val="00DC1AA7"/>
    <w:rsid w:val="00DC1B4F"/>
    <w:rsid w:val="00DC1C14"/>
    <w:rsid w:val="00DC1D6E"/>
    <w:rsid w:val="00DC1EA8"/>
    <w:rsid w:val="00DC1EB9"/>
    <w:rsid w:val="00DC1F2F"/>
    <w:rsid w:val="00DC1F41"/>
    <w:rsid w:val="00DC2196"/>
    <w:rsid w:val="00DC21ED"/>
    <w:rsid w:val="00DC223F"/>
    <w:rsid w:val="00DC2283"/>
    <w:rsid w:val="00DC22D4"/>
    <w:rsid w:val="00DC2356"/>
    <w:rsid w:val="00DC24A7"/>
    <w:rsid w:val="00DC2549"/>
    <w:rsid w:val="00DC257F"/>
    <w:rsid w:val="00DC264B"/>
    <w:rsid w:val="00DC282C"/>
    <w:rsid w:val="00DC2903"/>
    <w:rsid w:val="00DC2AE9"/>
    <w:rsid w:val="00DC2B17"/>
    <w:rsid w:val="00DC2DA8"/>
    <w:rsid w:val="00DC2F9E"/>
    <w:rsid w:val="00DC30C2"/>
    <w:rsid w:val="00DC314F"/>
    <w:rsid w:val="00DC3250"/>
    <w:rsid w:val="00DC32F5"/>
    <w:rsid w:val="00DC35C0"/>
    <w:rsid w:val="00DC36EF"/>
    <w:rsid w:val="00DC3739"/>
    <w:rsid w:val="00DC3873"/>
    <w:rsid w:val="00DC3ABD"/>
    <w:rsid w:val="00DC3B77"/>
    <w:rsid w:val="00DC3B8A"/>
    <w:rsid w:val="00DC3BF7"/>
    <w:rsid w:val="00DC3E6A"/>
    <w:rsid w:val="00DC3EEA"/>
    <w:rsid w:val="00DC4245"/>
    <w:rsid w:val="00DC4277"/>
    <w:rsid w:val="00DC42E7"/>
    <w:rsid w:val="00DC465E"/>
    <w:rsid w:val="00DC46D3"/>
    <w:rsid w:val="00DC47CA"/>
    <w:rsid w:val="00DC4825"/>
    <w:rsid w:val="00DC48B0"/>
    <w:rsid w:val="00DC48D5"/>
    <w:rsid w:val="00DC495D"/>
    <w:rsid w:val="00DC4B87"/>
    <w:rsid w:val="00DC4D52"/>
    <w:rsid w:val="00DC4F9B"/>
    <w:rsid w:val="00DC4FB8"/>
    <w:rsid w:val="00DC517D"/>
    <w:rsid w:val="00DC51BA"/>
    <w:rsid w:val="00DC51D3"/>
    <w:rsid w:val="00DC51EF"/>
    <w:rsid w:val="00DC5321"/>
    <w:rsid w:val="00DC5357"/>
    <w:rsid w:val="00DC5511"/>
    <w:rsid w:val="00DC55B3"/>
    <w:rsid w:val="00DC5B85"/>
    <w:rsid w:val="00DC5E32"/>
    <w:rsid w:val="00DC5F56"/>
    <w:rsid w:val="00DC5F9D"/>
    <w:rsid w:val="00DC6028"/>
    <w:rsid w:val="00DC60C7"/>
    <w:rsid w:val="00DC6225"/>
    <w:rsid w:val="00DC63F0"/>
    <w:rsid w:val="00DC645F"/>
    <w:rsid w:val="00DC655F"/>
    <w:rsid w:val="00DC6647"/>
    <w:rsid w:val="00DC6704"/>
    <w:rsid w:val="00DC685C"/>
    <w:rsid w:val="00DC6929"/>
    <w:rsid w:val="00DC69A9"/>
    <w:rsid w:val="00DC6A91"/>
    <w:rsid w:val="00DC6ACA"/>
    <w:rsid w:val="00DC6AE0"/>
    <w:rsid w:val="00DC6BAF"/>
    <w:rsid w:val="00DC6D1D"/>
    <w:rsid w:val="00DC6D6D"/>
    <w:rsid w:val="00DC6DC8"/>
    <w:rsid w:val="00DC6E51"/>
    <w:rsid w:val="00DC6EAB"/>
    <w:rsid w:val="00DC6EC9"/>
    <w:rsid w:val="00DC6F72"/>
    <w:rsid w:val="00DC6FBE"/>
    <w:rsid w:val="00DC7126"/>
    <w:rsid w:val="00DC7143"/>
    <w:rsid w:val="00DC7188"/>
    <w:rsid w:val="00DC71CC"/>
    <w:rsid w:val="00DC727D"/>
    <w:rsid w:val="00DC7415"/>
    <w:rsid w:val="00DC7446"/>
    <w:rsid w:val="00DC74B7"/>
    <w:rsid w:val="00DC7588"/>
    <w:rsid w:val="00DC7595"/>
    <w:rsid w:val="00DC7614"/>
    <w:rsid w:val="00DC764E"/>
    <w:rsid w:val="00DC7715"/>
    <w:rsid w:val="00DC790F"/>
    <w:rsid w:val="00DC79CA"/>
    <w:rsid w:val="00DC7A98"/>
    <w:rsid w:val="00DC7B45"/>
    <w:rsid w:val="00DC7B62"/>
    <w:rsid w:val="00DC7BA2"/>
    <w:rsid w:val="00DC7C41"/>
    <w:rsid w:val="00DC7DBD"/>
    <w:rsid w:val="00DC7DD3"/>
    <w:rsid w:val="00DD00D9"/>
    <w:rsid w:val="00DD0316"/>
    <w:rsid w:val="00DD0361"/>
    <w:rsid w:val="00DD03A4"/>
    <w:rsid w:val="00DD04DB"/>
    <w:rsid w:val="00DD06B1"/>
    <w:rsid w:val="00DD075B"/>
    <w:rsid w:val="00DD0796"/>
    <w:rsid w:val="00DD07D3"/>
    <w:rsid w:val="00DD087C"/>
    <w:rsid w:val="00DD0916"/>
    <w:rsid w:val="00DD0931"/>
    <w:rsid w:val="00DD0950"/>
    <w:rsid w:val="00DD0A23"/>
    <w:rsid w:val="00DD0A24"/>
    <w:rsid w:val="00DD0B5B"/>
    <w:rsid w:val="00DD0C10"/>
    <w:rsid w:val="00DD0D3A"/>
    <w:rsid w:val="00DD0E74"/>
    <w:rsid w:val="00DD10EB"/>
    <w:rsid w:val="00DD10F5"/>
    <w:rsid w:val="00DD11DC"/>
    <w:rsid w:val="00DD11E3"/>
    <w:rsid w:val="00DD131B"/>
    <w:rsid w:val="00DD1430"/>
    <w:rsid w:val="00DD14FA"/>
    <w:rsid w:val="00DD1565"/>
    <w:rsid w:val="00DD163B"/>
    <w:rsid w:val="00DD170E"/>
    <w:rsid w:val="00DD183C"/>
    <w:rsid w:val="00DD189C"/>
    <w:rsid w:val="00DD1A68"/>
    <w:rsid w:val="00DD1C0D"/>
    <w:rsid w:val="00DD1D31"/>
    <w:rsid w:val="00DD1DB1"/>
    <w:rsid w:val="00DD1FD5"/>
    <w:rsid w:val="00DD20A2"/>
    <w:rsid w:val="00DD21CA"/>
    <w:rsid w:val="00DD222F"/>
    <w:rsid w:val="00DD2275"/>
    <w:rsid w:val="00DD2388"/>
    <w:rsid w:val="00DD24AE"/>
    <w:rsid w:val="00DD24ED"/>
    <w:rsid w:val="00DD2597"/>
    <w:rsid w:val="00DD264D"/>
    <w:rsid w:val="00DD26A7"/>
    <w:rsid w:val="00DD27CC"/>
    <w:rsid w:val="00DD2949"/>
    <w:rsid w:val="00DD2971"/>
    <w:rsid w:val="00DD2A89"/>
    <w:rsid w:val="00DD2BF7"/>
    <w:rsid w:val="00DD2D0A"/>
    <w:rsid w:val="00DD2D32"/>
    <w:rsid w:val="00DD2D33"/>
    <w:rsid w:val="00DD2DA5"/>
    <w:rsid w:val="00DD2DD3"/>
    <w:rsid w:val="00DD2F2B"/>
    <w:rsid w:val="00DD2FB1"/>
    <w:rsid w:val="00DD3038"/>
    <w:rsid w:val="00DD318A"/>
    <w:rsid w:val="00DD331A"/>
    <w:rsid w:val="00DD332A"/>
    <w:rsid w:val="00DD33B0"/>
    <w:rsid w:val="00DD340E"/>
    <w:rsid w:val="00DD3441"/>
    <w:rsid w:val="00DD345A"/>
    <w:rsid w:val="00DD3542"/>
    <w:rsid w:val="00DD35B1"/>
    <w:rsid w:val="00DD360F"/>
    <w:rsid w:val="00DD365D"/>
    <w:rsid w:val="00DD3688"/>
    <w:rsid w:val="00DD3704"/>
    <w:rsid w:val="00DD3750"/>
    <w:rsid w:val="00DD3760"/>
    <w:rsid w:val="00DD379D"/>
    <w:rsid w:val="00DD3A50"/>
    <w:rsid w:val="00DD3A77"/>
    <w:rsid w:val="00DD3C21"/>
    <w:rsid w:val="00DD3CD1"/>
    <w:rsid w:val="00DD3CD5"/>
    <w:rsid w:val="00DD3D15"/>
    <w:rsid w:val="00DD3DCC"/>
    <w:rsid w:val="00DD3F63"/>
    <w:rsid w:val="00DD419E"/>
    <w:rsid w:val="00DD4243"/>
    <w:rsid w:val="00DD42E3"/>
    <w:rsid w:val="00DD4431"/>
    <w:rsid w:val="00DD4507"/>
    <w:rsid w:val="00DD46ED"/>
    <w:rsid w:val="00DD4796"/>
    <w:rsid w:val="00DD48C5"/>
    <w:rsid w:val="00DD48C8"/>
    <w:rsid w:val="00DD4A32"/>
    <w:rsid w:val="00DD4B7F"/>
    <w:rsid w:val="00DD4C96"/>
    <w:rsid w:val="00DD4ECF"/>
    <w:rsid w:val="00DD4F16"/>
    <w:rsid w:val="00DD4F87"/>
    <w:rsid w:val="00DD50FC"/>
    <w:rsid w:val="00DD51FF"/>
    <w:rsid w:val="00DD5290"/>
    <w:rsid w:val="00DD52BD"/>
    <w:rsid w:val="00DD538E"/>
    <w:rsid w:val="00DD5433"/>
    <w:rsid w:val="00DD548B"/>
    <w:rsid w:val="00DD5568"/>
    <w:rsid w:val="00DD56D0"/>
    <w:rsid w:val="00DD5858"/>
    <w:rsid w:val="00DD59DA"/>
    <w:rsid w:val="00DD59F5"/>
    <w:rsid w:val="00DD59FE"/>
    <w:rsid w:val="00DD5A19"/>
    <w:rsid w:val="00DD5ACF"/>
    <w:rsid w:val="00DD5B0D"/>
    <w:rsid w:val="00DD5B0F"/>
    <w:rsid w:val="00DD5B39"/>
    <w:rsid w:val="00DD5BB8"/>
    <w:rsid w:val="00DD5C79"/>
    <w:rsid w:val="00DD5DA8"/>
    <w:rsid w:val="00DD5DFB"/>
    <w:rsid w:val="00DD5E21"/>
    <w:rsid w:val="00DD5E66"/>
    <w:rsid w:val="00DD5F61"/>
    <w:rsid w:val="00DD6016"/>
    <w:rsid w:val="00DD6149"/>
    <w:rsid w:val="00DD6197"/>
    <w:rsid w:val="00DD6212"/>
    <w:rsid w:val="00DD623F"/>
    <w:rsid w:val="00DD6378"/>
    <w:rsid w:val="00DD65F2"/>
    <w:rsid w:val="00DD672B"/>
    <w:rsid w:val="00DD67F2"/>
    <w:rsid w:val="00DD688E"/>
    <w:rsid w:val="00DD699A"/>
    <w:rsid w:val="00DD6BB9"/>
    <w:rsid w:val="00DD6C62"/>
    <w:rsid w:val="00DD6DA6"/>
    <w:rsid w:val="00DD6E69"/>
    <w:rsid w:val="00DD6FFB"/>
    <w:rsid w:val="00DD7020"/>
    <w:rsid w:val="00DD71DC"/>
    <w:rsid w:val="00DD7217"/>
    <w:rsid w:val="00DD726C"/>
    <w:rsid w:val="00DD72B8"/>
    <w:rsid w:val="00DD72C0"/>
    <w:rsid w:val="00DD73DB"/>
    <w:rsid w:val="00DD73FD"/>
    <w:rsid w:val="00DD7408"/>
    <w:rsid w:val="00DD7471"/>
    <w:rsid w:val="00DD74DF"/>
    <w:rsid w:val="00DD753A"/>
    <w:rsid w:val="00DD7696"/>
    <w:rsid w:val="00DD76D0"/>
    <w:rsid w:val="00DD7704"/>
    <w:rsid w:val="00DD77E2"/>
    <w:rsid w:val="00DD78D0"/>
    <w:rsid w:val="00DD79F4"/>
    <w:rsid w:val="00DD7C44"/>
    <w:rsid w:val="00DD7DCC"/>
    <w:rsid w:val="00DD7F57"/>
    <w:rsid w:val="00DE0290"/>
    <w:rsid w:val="00DE02AE"/>
    <w:rsid w:val="00DE040A"/>
    <w:rsid w:val="00DE04E4"/>
    <w:rsid w:val="00DE058D"/>
    <w:rsid w:val="00DE05B3"/>
    <w:rsid w:val="00DE0701"/>
    <w:rsid w:val="00DE0732"/>
    <w:rsid w:val="00DE0866"/>
    <w:rsid w:val="00DE0884"/>
    <w:rsid w:val="00DE0A5B"/>
    <w:rsid w:val="00DE0B2B"/>
    <w:rsid w:val="00DE0D77"/>
    <w:rsid w:val="00DE0EC7"/>
    <w:rsid w:val="00DE0ED3"/>
    <w:rsid w:val="00DE0F2D"/>
    <w:rsid w:val="00DE0FA2"/>
    <w:rsid w:val="00DE0FB2"/>
    <w:rsid w:val="00DE112B"/>
    <w:rsid w:val="00DE124D"/>
    <w:rsid w:val="00DE1269"/>
    <w:rsid w:val="00DE1436"/>
    <w:rsid w:val="00DE14AF"/>
    <w:rsid w:val="00DE15A1"/>
    <w:rsid w:val="00DE1775"/>
    <w:rsid w:val="00DE1791"/>
    <w:rsid w:val="00DE1849"/>
    <w:rsid w:val="00DE19DA"/>
    <w:rsid w:val="00DE1A6A"/>
    <w:rsid w:val="00DE1AAB"/>
    <w:rsid w:val="00DE1ABC"/>
    <w:rsid w:val="00DE1AC6"/>
    <w:rsid w:val="00DE1B46"/>
    <w:rsid w:val="00DE1BAC"/>
    <w:rsid w:val="00DE1D99"/>
    <w:rsid w:val="00DE1E33"/>
    <w:rsid w:val="00DE2291"/>
    <w:rsid w:val="00DE22C3"/>
    <w:rsid w:val="00DE22D1"/>
    <w:rsid w:val="00DE2398"/>
    <w:rsid w:val="00DE2437"/>
    <w:rsid w:val="00DE25D5"/>
    <w:rsid w:val="00DE2656"/>
    <w:rsid w:val="00DE28F0"/>
    <w:rsid w:val="00DE2940"/>
    <w:rsid w:val="00DE29AB"/>
    <w:rsid w:val="00DE2A06"/>
    <w:rsid w:val="00DE2A99"/>
    <w:rsid w:val="00DE2B48"/>
    <w:rsid w:val="00DE2C73"/>
    <w:rsid w:val="00DE2CB5"/>
    <w:rsid w:val="00DE2CF5"/>
    <w:rsid w:val="00DE2D00"/>
    <w:rsid w:val="00DE2F3C"/>
    <w:rsid w:val="00DE2F83"/>
    <w:rsid w:val="00DE30A1"/>
    <w:rsid w:val="00DE3200"/>
    <w:rsid w:val="00DE3211"/>
    <w:rsid w:val="00DE3321"/>
    <w:rsid w:val="00DE33C9"/>
    <w:rsid w:val="00DE3526"/>
    <w:rsid w:val="00DE3528"/>
    <w:rsid w:val="00DE3605"/>
    <w:rsid w:val="00DE3759"/>
    <w:rsid w:val="00DE3763"/>
    <w:rsid w:val="00DE3868"/>
    <w:rsid w:val="00DE3B51"/>
    <w:rsid w:val="00DE3BF7"/>
    <w:rsid w:val="00DE3E7B"/>
    <w:rsid w:val="00DE3EB0"/>
    <w:rsid w:val="00DE3ED4"/>
    <w:rsid w:val="00DE3EFC"/>
    <w:rsid w:val="00DE3F93"/>
    <w:rsid w:val="00DE3FBE"/>
    <w:rsid w:val="00DE3FE9"/>
    <w:rsid w:val="00DE4191"/>
    <w:rsid w:val="00DE41BB"/>
    <w:rsid w:val="00DE41CB"/>
    <w:rsid w:val="00DE4407"/>
    <w:rsid w:val="00DE4690"/>
    <w:rsid w:val="00DE4856"/>
    <w:rsid w:val="00DE4B85"/>
    <w:rsid w:val="00DE4D46"/>
    <w:rsid w:val="00DE4EC3"/>
    <w:rsid w:val="00DE4F9B"/>
    <w:rsid w:val="00DE4FC2"/>
    <w:rsid w:val="00DE4FE4"/>
    <w:rsid w:val="00DE511E"/>
    <w:rsid w:val="00DE5166"/>
    <w:rsid w:val="00DE5169"/>
    <w:rsid w:val="00DE517B"/>
    <w:rsid w:val="00DE531C"/>
    <w:rsid w:val="00DE53D7"/>
    <w:rsid w:val="00DE5452"/>
    <w:rsid w:val="00DE5595"/>
    <w:rsid w:val="00DE563F"/>
    <w:rsid w:val="00DE5652"/>
    <w:rsid w:val="00DE56A2"/>
    <w:rsid w:val="00DE5701"/>
    <w:rsid w:val="00DE57D3"/>
    <w:rsid w:val="00DE5894"/>
    <w:rsid w:val="00DE58A2"/>
    <w:rsid w:val="00DE5B28"/>
    <w:rsid w:val="00DE5BE2"/>
    <w:rsid w:val="00DE5BEF"/>
    <w:rsid w:val="00DE5C20"/>
    <w:rsid w:val="00DE5C4F"/>
    <w:rsid w:val="00DE5D14"/>
    <w:rsid w:val="00DE5D85"/>
    <w:rsid w:val="00DE5DEA"/>
    <w:rsid w:val="00DE5E56"/>
    <w:rsid w:val="00DE6086"/>
    <w:rsid w:val="00DE60AF"/>
    <w:rsid w:val="00DE60F5"/>
    <w:rsid w:val="00DE6148"/>
    <w:rsid w:val="00DE63AE"/>
    <w:rsid w:val="00DE6403"/>
    <w:rsid w:val="00DE6404"/>
    <w:rsid w:val="00DE64AA"/>
    <w:rsid w:val="00DE6638"/>
    <w:rsid w:val="00DE66DE"/>
    <w:rsid w:val="00DE6855"/>
    <w:rsid w:val="00DE68B8"/>
    <w:rsid w:val="00DE68C2"/>
    <w:rsid w:val="00DE6905"/>
    <w:rsid w:val="00DE6950"/>
    <w:rsid w:val="00DE6A32"/>
    <w:rsid w:val="00DE6B80"/>
    <w:rsid w:val="00DE6C29"/>
    <w:rsid w:val="00DE6D18"/>
    <w:rsid w:val="00DE6E2B"/>
    <w:rsid w:val="00DE70A3"/>
    <w:rsid w:val="00DE712C"/>
    <w:rsid w:val="00DE7150"/>
    <w:rsid w:val="00DE724E"/>
    <w:rsid w:val="00DE74E9"/>
    <w:rsid w:val="00DE7581"/>
    <w:rsid w:val="00DE768D"/>
    <w:rsid w:val="00DE770B"/>
    <w:rsid w:val="00DE7791"/>
    <w:rsid w:val="00DE7961"/>
    <w:rsid w:val="00DE7B7A"/>
    <w:rsid w:val="00DE7F04"/>
    <w:rsid w:val="00DE7F5E"/>
    <w:rsid w:val="00DF000C"/>
    <w:rsid w:val="00DF00A2"/>
    <w:rsid w:val="00DF010E"/>
    <w:rsid w:val="00DF015C"/>
    <w:rsid w:val="00DF0193"/>
    <w:rsid w:val="00DF02D3"/>
    <w:rsid w:val="00DF04D6"/>
    <w:rsid w:val="00DF04F0"/>
    <w:rsid w:val="00DF053F"/>
    <w:rsid w:val="00DF0682"/>
    <w:rsid w:val="00DF07C1"/>
    <w:rsid w:val="00DF0881"/>
    <w:rsid w:val="00DF0CFB"/>
    <w:rsid w:val="00DF0F8E"/>
    <w:rsid w:val="00DF10C2"/>
    <w:rsid w:val="00DF10CD"/>
    <w:rsid w:val="00DF12F8"/>
    <w:rsid w:val="00DF1348"/>
    <w:rsid w:val="00DF1368"/>
    <w:rsid w:val="00DF148D"/>
    <w:rsid w:val="00DF159F"/>
    <w:rsid w:val="00DF15A0"/>
    <w:rsid w:val="00DF16E2"/>
    <w:rsid w:val="00DF1778"/>
    <w:rsid w:val="00DF17C1"/>
    <w:rsid w:val="00DF186F"/>
    <w:rsid w:val="00DF19F0"/>
    <w:rsid w:val="00DF19FC"/>
    <w:rsid w:val="00DF1AD9"/>
    <w:rsid w:val="00DF1B1C"/>
    <w:rsid w:val="00DF1B24"/>
    <w:rsid w:val="00DF1C28"/>
    <w:rsid w:val="00DF1C6C"/>
    <w:rsid w:val="00DF1C84"/>
    <w:rsid w:val="00DF1CB3"/>
    <w:rsid w:val="00DF1CCD"/>
    <w:rsid w:val="00DF1E83"/>
    <w:rsid w:val="00DF2164"/>
    <w:rsid w:val="00DF2200"/>
    <w:rsid w:val="00DF220D"/>
    <w:rsid w:val="00DF2303"/>
    <w:rsid w:val="00DF240F"/>
    <w:rsid w:val="00DF2461"/>
    <w:rsid w:val="00DF2491"/>
    <w:rsid w:val="00DF26F7"/>
    <w:rsid w:val="00DF2730"/>
    <w:rsid w:val="00DF2A06"/>
    <w:rsid w:val="00DF2A49"/>
    <w:rsid w:val="00DF2AC8"/>
    <w:rsid w:val="00DF2B0F"/>
    <w:rsid w:val="00DF2C04"/>
    <w:rsid w:val="00DF2FEA"/>
    <w:rsid w:val="00DF30A7"/>
    <w:rsid w:val="00DF30BE"/>
    <w:rsid w:val="00DF3277"/>
    <w:rsid w:val="00DF33A2"/>
    <w:rsid w:val="00DF349B"/>
    <w:rsid w:val="00DF3542"/>
    <w:rsid w:val="00DF37C8"/>
    <w:rsid w:val="00DF3905"/>
    <w:rsid w:val="00DF395C"/>
    <w:rsid w:val="00DF3C6B"/>
    <w:rsid w:val="00DF3E70"/>
    <w:rsid w:val="00DF3E9E"/>
    <w:rsid w:val="00DF428D"/>
    <w:rsid w:val="00DF4391"/>
    <w:rsid w:val="00DF455F"/>
    <w:rsid w:val="00DF45E7"/>
    <w:rsid w:val="00DF47C8"/>
    <w:rsid w:val="00DF4839"/>
    <w:rsid w:val="00DF4A0A"/>
    <w:rsid w:val="00DF4B03"/>
    <w:rsid w:val="00DF4BA4"/>
    <w:rsid w:val="00DF4BE4"/>
    <w:rsid w:val="00DF4CC0"/>
    <w:rsid w:val="00DF4D7D"/>
    <w:rsid w:val="00DF4E60"/>
    <w:rsid w:val="00DF4FE3"/>
    <w:rsid w:val="00DF5032"/>
    <w:rsid w:val="00DF50D8"/>
    <w:rsid w:val="00DF5322"/>
    <w:rsid w:val="00DF53A7"/>
    <w:rsid w:val="00DF553C"/>
    <w:rsid w:val="00DF576A"/>
    <w:rsid w:val="00DF576C"/>
    <w:rsid w:val="00DF57EB"/>
    <w:rsid w:val="00DF5835"/>
    <w:rsid w:val="00DF5876"/>
    <w:rsid w:val="00DF5963"/>
    <w:rsid w:val="00DF5A9B"/>
    <w:rsid w:val="00DF5C72"/>
    <w:rsid w:val="00DF5DE5"/>
    <w:rsid w:val="00DF5F21"/>
    <w:rsid w:val="00DF5FA7"/>
    <w:rsid w:val="00DF5FE6"/>
    <w:rsid w:val="00DF6039"/>
    <w:rsid w:val="00DF609D"/>
    <w:rsid w:val="00DF60AC"/>
    <w:rsid w:val="00DF60EF"/>
    <w:rsid w:val="00DF6182"/>
    <w:rsid w:val="00DF61D1"/>
    <w:rsid w:val="00DF63AC"/>
    <w:rsid w:val="00DF6434"/>
    <w:rsid w:val="00DF64A0"/>
    <w:rsid w:val="00DF64E0"/>
    <w:rsid w:val="00DF6686"/>
    <w:rsid w:val="00DF66DA"/>
    <w:rsid w:val="00DF678C"/>
    <w:rsid w:val="00DF679D"/>
    <w:rsid w:val="00DF67C8"/>
    <w:rsid w:val="00DF6933"/>
    <w:rsid w:val="00DF69D0"/>
    <w:rsid w:val="00DF6C69"/>
    <w:rsid w:val="00DF6D7A"/>
    <w:rsid w:val="00DF6DA9"/>
    <w:rsid w:val="00DF6E1B"/>
    <w:rsid w:val="00DF6EE8"/>
    <w:rsid w:val="00DF6F10"/>
    <w:rsid w:val="00DF6F21"/>
    <w:rsid w:val="00DF6F2D"/>
    <w:rsid w:val="00DF6F8D"/>
    <w:rsid w:val="00DF71C7"/>
    <w:rsid w:val="00DF71F2"/>
    <w:rsid w:val="00DF7301"/>
    <w:rsid w:val="00DF7325"/>
    <w:rsid w:val="00DF7352"/>
    <w:rsid w:val="00DF75E8"/>
    <w:rsid w:val="00DF7750"/>
    <w:rsid w:val="00DF77ED"/>
    <w:rsid w:val="00DF792C"/>
    <w:rsid w:val="00DF797C"/>
    <w:rsid w:val="00DF79FE"/>
    <w:rsid w:val="00DF7B4F"/>
    <w:rsid w:val="00DF7B8C"/>
    <w:rsid w:val="00DF7D4D"/>
    <w:rsid w:val="00DF7DFA"/>
    <w:rsid w:val="00DF7FAC"/>
    <w:rsid w:val="00E000A3"/>
    <w:rsid w:val="00E0025C"/>
    <w:rsid w:val="00E002E0"/>
    <w:rsid w:val="00E00597"/>
    <w:rsid w:val="00E00691"/>
    <w:rsid w:val="00E008EA"/>
    <w:rsid w:val="00E00935"/>
    <w:rsid w:val="00E00B7F"/>
    <w:rsid w:val="00E00B99"/>
    <w:rsid w:val="00E00BA4"/>
    <w:rsid w:val="00E00BC9"/>
    <w:rsid w:val="00E00BCF"/>
    <w:rsid w:val="00E00CC5"/>
    <w:rsid w:val="00E00F36"/>
    <w:rsid w:val="00E00FA5"/>
    <w:rsid w:val="00E01153"/>
    <w:rsid w:val="00E01157"/>
    <w:rsid w:val="00E012C5"/>
    <w:rsid w:val="00E015A5"/>
    <w:rsid w:val="00E015B7"/>
    <w:rsid w:val="00E0163F"/>
    <w:rsid w:val="00E01722"/>
    <w:rsid w:val="00E01767"/>
    <w:rsid w:val="00E01AF8"/>
    <w:rsid w:val="00E01C87"/>
    <w:rsid w:val="00E01CB5"/>
    <w:rsid w:val="00E01D6F"/>
    <w:rsid w:val="00E01D7F"/>
    <w:rsid w:val="00E01DDB"/>
    <w:rsid w:val="00E01F11"/>
    <w:rsid w:val="00E01F7A"/>
    <w:rsid w:val="00E021A0"/>
    <w:rsid w:val="00E022BC"/>
    <w:rsid w:val="00E022C2"/>
    <w:rsid w:val="00E022F4"/>
    <w:rsid w:val="00E026BC"/>
    <w:rsid w:val="00E0285D"/>
    <w:rsid w:val="00E028DB"/>
    <w:rsid w:val="00E02A12"/>
    <w:rsid w:val="00E02A77"/>
    <w:rsid w:val="00E02BAF"/>
    <w:rsid w:val="00E02C4A"/>
    <w:rsid w:val="00E02C66"/>
    <w:rsid w:val="00E03138"/>
    <w:rsid w:val="00E0313E"/>
    <w:rsid w:val="00E0322A"/>
    <w:rsid w:val="00E0326B"/>
    <w:rsid w:val="00E03309"/>
    <w:rsid w:val="00E033F1"/>
    <w:rsid w:val="00E03400"/>
    <w:rsid w:val="00E034B9"/>
    <w:rsid w:val="00E03578"/>
    <w:rsid w:val="00E03587"/>
    <w:rsid w:val="00E03690"/>
    <w:rsid w:val="00E03871"/>
    <w:rsid w:val="00E038B7"/>
    <w:rsid w:val="00E038CB"/>
    <w:rsid w:val="00E0390F"/>
    <w:rsid w:val="00E03949"/>
    <w:rsid w:val="00E0396E"/>
    <w:rsid w:val="00E039A0"/>
    <w:rsid w:val="00E03A0B"/>
    <w:rsid w:val="00E03A19"/>
    <w:rsid w:val="00E03DAB"/>
    <w:rsid w:val="00E03DE8"/>
    <w:rsid w:val="00E03E42"/>
    <w:rsid w:val="00E03F00"/>
    <w:rsid w:val="00E03F74"/>
    <w:rsid w:val="00E03FF8"/>
    <w:rsid w:val="00E04190"/>
    <w:rsid w:val="00E04270"/>
    <w:rsid w:val="00E04376"/>
    <w:rsid w:val="00E043E6"/>
    <w:rsid w:val="00E044C1"/>
    <w:rsid w:val="00E045EE"/>
    <w:rsid w:val="00E04635"/>
    <w:rsid w:val="00E04837"/>
    <w:rsid w:val="00E04858"/>
    <w:rsid w:val="00E04881"/>
    <w:rsid w:val="00E0491A"/>
    <w:rsid w:val="00E04A95"/>
    <w:rsid w:val="00E04AD1"/>
    <w:rsid w:val="00E04BB4"/>
    <w:rsid w:val="00E04DFD"/>
    <w:rsid w:val="00E04EF4"/>
    <w:rsid w:val="00E04F64"/>
    <w:rsid w:val="00E05083"/>
    <w:rsid w:val="00E050B7"/>
    <w:rsid w:val="00E0515A"/>
    <w:rsid w:val="00E05215"/>
    <w:rsid w:val="00E052DE"/>
    <w:rsid w:val="00E05318"/>
    <w:rsid w:val="00E05405"/>
    <w:rsid w:val="00E0541D"/>
    <w:rsid w:val="00E05432"/>
    <w:rsid w:val="00E057F8"/>
    <w:rsid w:val="00E0583F"/>
    <w:rsid w:val="00E05853"/>
    <w:rsid w:val="00E05901"/>
    <w:rsid w:val="00E059C3"/>
    <w:rsid w:val="00E05A3A"/>
    <w:rsid w:val="00E05A54"/>
    <w:rsid w:val="00E05ACA"/>
    <w:rsid w:val="00E05B9F"/>
    <w:rsid w:val="00E05C0A"/>
    <w:rsid w:val="00E05C1A"/>
    <w:rsid w:val="00E05CB2"/>
    <w:rsid w:val="00E05D87"/>
    <w:rsid w:val="00E05F1E"/>
    <w:rsid w:val="00E05FB5"/>
    <w:rsid w:val="00E06023"/>
    <w:rsid w:val="00E06281"/>
    <w:rsid w:val="00E0634F"/>
    <w:rsid w:val="00E0686E"/>
    <w:rsid w:val="00E06A2E"/>
    <w:rsid w:val="00E06AB1"/>
    <w:rsid w:val="00E06C11"/>
    <w:rsid w:val="00E06CE8"/>
    <w:rsid w:val="00E06EF3"/>
    <w:rsid w:val="00E06F69"/>
    <w:rsid w:val="00E06F71"/>
    <w:rsid w:val="00E070A2"/>
    <w:rsid w:val="00E07202"/>
    <w:rsid w:val="00E0721C"/>
    <w:rsid w:val="00E0731C"/>
    <w:rsid w:val="00E07389"/>
    <w:rsid w:val="00E073E2"/>
    <w:rsid w:val="00E0748B"/>
    <w:rsid w:val="00E074EE"/>
    <w:rsid w:val="00E075AE"/>
    <w:rsid w:val="00E07744"/>
    <w:rsid w:val="00E07891"/>
    <w:rsid w:val="00E078C2"/>
    <w:rsid w:val="00E07976"/>
    <w:rsid w:val="00E07A4F"/>
    <w:rsid w:val="00E07AC1"/>
    <w:rsid w:val="00E07B62"/>
    <w:rsid w:val="00E10207"/>
    <w:rsid w:val="00E10245"/>
    <w:rsid w:val="00E104C0"/>
    <w:rsid w:val="00E10563"/>
    <w:rsid w:val="00E105A1"/>
    <w:rsid w:val="00E10729"/>
    <w:rsid w:val="00E10C3A"/>
    <w:rsid w:val="00E1107E"/>
    <w:rsid w:val="00E11128"/>
    <w:rsid w:val="00E11156"/>
    <w:rsid w:val="00E11195"/>
    <w:rsid w:val="00E113AD"/>
    <w:rsid w:val="00E11417"/>
    <w:rsid w:val="00E11500"/>
    <w:rsid w:val="00E11586"/>
    <w:rsid w:val="00E11648"/>
    <w:rsid w:val="00E116E0"/>
    <w:rsid w:val="00E117E3"/>
    <w:rsid w:val="00E118CA"/>
    <w:rsid w:val="00E118FE"/>
    <w:rsid w:val="00E11980"/>
    <w:rsid w:val="00E119DE"/>
    <w:rsid w:val="00E11A3D"/>
    <w:rsid w:val="00E11BC3"/>
    <w:rsid w:val="00E11C8E"/>
    <w:rsid w:val="00E11E01"/>
    <w:rsid w:val="00E11E1D"/>
    <w:rsid w:val="00E11E40"/>
    <w:rsid w:val="00E11E59"/>
    <w:rsid w:val="00E12024"/>
    <w:rsid w:val="00E12130"/>
    <w:rsid w:val="00E12171"/>
    <w:rsid w:val="00E12177"/>
    <w:rsid w:val="00E121FD"/>
    <w:rsid w:val="00E12471"/>
    <w:rsid w:val="00E1250A"/>
    <w:rsid w:val="00E12657"/>
    <w:rsid w:val="00E12749"/>
    <w:rsid w:val="00E127CF"/>
    <w:rsid w:val="00E1283F"/>
    <w:rsid w:val="00E128CE"/>
    <w:rsid w:val="00E1294D"/>
    <w:rsid w:val="00E12A03"/>
    <w:rsid w:val="00E12A42"/>
    <w:rsid w:val="00E12DE5"/>
    <w:rsid w:val="00E12EED"/>
    <w:rsid w:val="00E13149"/>
    <w:rsid w:val="00E13478"/>
    <w:rsid w:val="00E13498"/>
    <w:rsid w:val="00E134B1"/>
    <w:rsid w:val="00E13516"/>
    <w:rsid w:val="00E1361B"/>
    <w:rsid w:val="00E13671"/>
    <w:rsid w:val="00E136E5"/>
    <w:rsid w:val="00E136EC"/>
    <w:rsid w:val="00E13716"/>
    <w:rsid w:val="00E137D5"/>
    <w:rsid w:val="00E13A1B"/>
    <w:rsid w:val="00E13B32"/>
    <w:rsid w:val="00E13B40"/>
    <w:rsid w:val="00E13C48"/>
    <w:rsid w:val="00E13D7E"/>
    <w:rsid w:val="00E13F02"/>
    <w:rsid w:val="00E14029"/>
    <w:rsid w:val="00E141E0"/>
    <w:rsid w:val="00E14206"/>
    <w:rsid w:val="00E1429A"/>
    <w:rsid w:val="00E14348"/>
    <w:rsid w:val="00E14428"/>
    <w:rsid w:val="00E14463"/>
    <w:rsid w:val="00E14535"/>
    <w:rsid w:val="00E14553"/>
    <w:rsid w:val="00E145F1"/>
    <w:rsid w:val="00E1461E"/>
    <w:rsid w:val="00E14700"/>
    <w:rsid w:val="00E147A0"/>
    <w:rsid w:val="00E14990"/>
    <w:rsid w:val="00E14AC7"/>
    <w:rsid w:val="00E14BFC"/>
    <w:rsid w:val="00E14C27"/>
    <w:rsid w:val="00E14DCD"/>
    <w:rsid w:val="00E14E3A"/>
    <w:rsid w:val="00E14E5A"/>
    <w:rsid w:val="00E150FC"/>
    <w:rsid w:val="00E1527A"/>
    <w:rsid w:val="00E152BA"/>
    <w:rsid w:val="00E15305"/>
    <w:rsid w:val="00E155A2"/>
    <w:rsid w:val="00E155DC"/>
    <w:rsid w:val="00E1566D"/>
    <w:rsid w:val="00E156D4"/>
    <w:rsid w:val="00E15724"/>
    <w:rsid w:val="00E157C8"/>
    <w:rsid w:val="00E157DC"/>
    <w:rsid w:val="00E15832"/>
    <w:rsid w:val="00E15977"/>
    <w:rsid w:val="00E15A45"/>
    <w:rsid w:val="00E15B6A"/>
    <w:rsid w:val="00E15BFE"/>
    <w:rsid w:val="00E15E31"/>
    <w:rsid w:val="00E15E51"/>
    <w:rsid w:val="00E15E7D"/>
    <w:rsid w:val="00E15F92"/>
    <w:rsid w:val="00E15FB3"/>
    <w:rsid w:val="00E1609F"/>
    <w:rsid w:val="00E160C4"/>
    <w:rsid w:val="00E160CF"/>
    <w:rsid w:val="00E16219"/>
    <w:rsid w:val="00E162AE"/>
    <w:rsid w:val="00E16584"/>
    <w:rsid w:val="00E16627"/>
    <w:rsid w:val="00E16693"/>
    <w:rsid w:val="00E16860"/>
    <w:rsid w:val="00E16883"/>
    <w:rsid w:val="00E169F8"/>
    <w:rsid w:val="00E16B32"/>
    <w:rsid w:val="00E16B7E"/>
    <w:rsid w:val="00E16D32"/>
    <w:rsid w:val="00E16DDF"/>
    <w:rsid w:val="00E17190"/>
    <w:rsid w:val="00E17348"/>
    <w:rsid w:val="00E17365"/>
    <w:rsid w:val="00E17411"/>
    <w:rsid w:val="00E17568"/>
    <w:rsid w:val="00E1759A"/>
    <w:rsid w:val="00E175FE"/>
    <w:rsid w:val="00E1772B"/>
    <w:rsid w:val="00E17734"/>
    <w:rsid w:val="00E1790E"/>
    <w:rsid w:val="00E17975"/>
    <w:rsid w:val="00E17A93"/>
    <w:rsid w:val="00E17C8E"/>
    <w:rsid w:val="00E17D97"/>
    <w:rsid w:val="00E17F09"/>
    <w:rsid w:val="00E20061"/>
    <w:rsid w:val="00E20248"/>
    <w:rsid w:val="00E2031A"/>
    <w:rsid w:val="00E2050E"/>
    <w:rsid w:val="00E2052A"/>
    <w:rsid w:val="00E20560"/>
    <w:rsid w:val="00E20623"/>
    <w:rsid w:val="00E20651"/>
    <w:rsid w:val="00E20712"/>
    <w:rsid w:val="00E20866"/>
    <w:rsid w:val="00E20A0D"/>
    <w:rsid w:val="00E20B1E"/>
    <w:rsid w:val="00E20BD3"/>
    <w:rsid w:val="00E20CEC"/>
    <w:rsid w:val="00E20F33"/>
    <w:rsid w:val="00E20F6D"/>
    <w:rsid w:val="00E210DF"/>
    <w:rsid w:val="00E21248"/>
    <w:rsid w:val="00E21254"/>
    <w:rsid w:val="00E212CA"/>
    <w:rsid w:val="00E21315"/>
    <w:rsid w:val="00E21498"/>
    <w:rsid w:val="00E2149C"/>
    <w:rsid w:val="00E218FC"/>
    <w:rsid w:val="00E21B9F"/>
    <w:rsid w:val="00E21C25"/>
    <w:rsid w:val="00E21C48"/>
    <w:rsid w:val="00E21CAC"/>
    <w:rsid w:val="00E21D07"/>
    <w:rsid w:val="00E21F15"/>
    <w:rsid w:val="00E21FE1"/>
    <w:rsid w:val="00E21FFF"/>
    <w:rsid w:val="00E22007"/>
    <w:rsid w:val="00E22034"/>
    <w:rsid w:val="00E22162"/>
    <w:rsid w:val="00E221C4"/>
    <w:rsid w:val="00E222CC"/>
    <w:rsid w:val="00E222D3"/>
    <w:rsid w:val="00E22311"/>
    <w:rsid w:val="00E224F7"/>
    <w:rsid w:val="00E2258B"/>
    <w:rsid w:val="00E226CE"/>
    <w:rsid w:val="00E226F9"/>
    <w:rsid w:val="00E228D9"/>
    <w:rsid w:val="00E22950"/>
    <w:rsid w:val="00E22982"/>
    <w:rsid w:val="00E22AD9"/>
    <w:rsid w:val="00E22B56"/>
    <w:rsid w:val="00E22DAC"/>
    <w:rsid w:val="00E22F2C"/>
    <w:rsid w:val="00E23048"/>
    <w:rsid w:val="00E233C5"/>
    <w:rsid w:val="00E236F5"/>
    <w:rsid w:val="00E237AE"/>
    <w:rsid w:val="00E23CB9"/>
    <w:rsid w:val="00E23CE2"/>
    <w:rsid w:val="00E23D27"/>
    <w:rsid w:val="00E23D86"/>
    <w:rsid w:val="00E23E36"/>
    <w:rsid w:val="00E23EA5"/>
    <w:rsid w:val="00E23FF8"/>
    <w:rsid w:val="00E24185"/>
    <w:rsid w:val="00E2437E"/>
    <w:rsid w:val="00E2438A"/>
    <w:rsid w:val="00E24733"/>
    <w:rsid w:val="00E24755"/>
    <w:rsid w:val="00E2487C"/>
    <w:rsid w:val="00E248D4"/>
    <w:rsid w:val="00E2493E"/>
    <w:rsid w:val="00E249B7"/>
    <w:rsid w:val="00E24A02"/>
    <w:rsid w:val="00E24BC2"/>
    <w:rsid w:val="00E24CDF"/>
    <w:rsid w:val="00E24D20"/>
    <w:rsid w:val="00E24ECC"/>
    <w:rsid w:val="00E24F77"/>
    <w:rsid w:val="00E25150"/>
    <w:rsid w:val="00E2531E"/>
    <w:rsid w:val="00E2534F"/>
    <w:rsid w:val="00E253EE"/>
    <w:rsid w:val="00E253F4"/>
    <w:rsid w:val="00E254A5"/>
    <w:rsid w:val="00E254A8"/>
    <w:rsid w:val="00E254E7"/>
    <w:rsid w:val="00E254FA"/>
    <w:rsid w:val="00E2564C"/>
    <w:rsid w:val="00E257B6"/>
    <w:rsid w:val="00E25811"/>
    <w:rsid w:val="00E258DE"/>
    <w:rsid w:val="00E2594A"/>
    <w:rsid w:val="00E25A38"/>
    <w:rsid w:val="00E25A55"/>
    <w:rsid w:val="00E25A67"/>
    <w:rsid w:val="00E25AFD"/>
    <w:rsid w:val="00E25D8C"/>
    <w:rsid w:val="00E25DEA"/>
    <w:rsid w:val="00E25E49"/>
    <w:rsid w:val="00E25EA7"/>
    <w:rsid w:val="00E25FB0"/>
    <w:rsid w:val="00E26051"/>
    <w:rsid w:val="00E26097"/>
    <w:rsid w:val="00E26102"/>
    <w:rsid w:val="00E2632A"/>
    <w:rsid w:val="00E26533"/>
    <w:rsid w:val="00E2654F"/>
    <w:rsid w:val="00E2665B"/>
    <w:rsid w:val="00E26685"/>
    <w:rsid w:val="00E2675B"/>
    <w:rsid w:val="00E26844"/>
    <w:rsid w:val="00E26A04"/>
    <w:rsid w:val="00E26BC7"/>
    <w:rsid w:val="00E26C25"/>
    <w:rsid w:val="00E26D9E"/>
    <w:rsid w:val="00E26DCD"/>
    <w:rsid w:val="00E26DEB"/>
    <w:rsid w:val="00E2701A"/>
    <w:rsid w:val="00E2705B"/>
    <w:rsid w:val="00E270E3"/>
    <w:rsid w:val="00E270E6"/>
    <w:rsid w:val="00E271F6"/>
    <w:rsid w:val="00E2737A"/>
    <w:rsid w:val="00E2765F"/>
    <w:rsid w:val="00E276C3"/>
    <w:rsid w:val="00E2770C"/>
    <w:rsid w:val="00E27719"/>
    <w:rsid w:val="00E277A2"/>
    <w:rsid w:val="00E27895"/>
    <w:rsid w:val="00E2791A"/>
    <w:rsid w:val="00E2794A"/>
    <w:rsid w:val="00E27A29"/>
    <w:rsid w:val="00E27A46"/>
    <w:rsid w:val="00E27B34"/>
    <w:rsid w:val="00E27F1C"/>
    <w:rsid w:val="00E27F9E"/>
    <w:rsid w:val="00E30007"/>
    <w:rsid w:val="00E300DE"/>
    <w:rsid w:val="00E3016B"/>
    <w:rsid w:val="00E30224"/>
    <w:rsid w:val="00E305CC"/>
    <w:rsid w:val="00E30668"/>
    <w:rsid w:val="00E30687"/>
    <w:rsid w:val="00E30711"/>
    <w:rsid w:val="00E30730"/>
    <w:rsid w:val="00E30908"/>
    <w:rsid w:val="00E30960"/>
    <w:rsid w:val="00E30A5D"/>
    <w:rsid w:val="00E30A6C"/>
    <w:rsid w:val="00E30AC1"/>
    <w:rsid w:val="00E30F6E"/>
    <w:rsid w:val="00E3109A"/>
    <w:rsid w:val="00E3110C"/>
    <w:rsid w:val="00E312D0"/>
    <w:rsid w:val="00E3131F"/>
    <w:rsid w:val="00E3137D"/>
    <w:rsid w:val="00E313CF"/>
    <w:rsid w:val="00E31410"/>
    <w:rsid w:val="00E31535"/>
    <w:rsid w:val="00E31586"/>
    <w:rsid w:val="00E31709"/>
    <w:rsid w:val="00E31933"/>
    <w:rsid w:val="00E31948"/>
    <w:rsid w:val="00E31960"/>
    <w:rsid w:val="00E31963"/>
    <w:rsid w:val="00E319EB"/>
    <w:rsid w:val="00E319FC"/>
    <w:rsid w:val="00E319FD"/>
    <w:rsid w:val="00E31A65"/>
    <w:rsid w:val="00E31B25"/>
    <w:rsid w:val="00E31E40"/>
    <w:rsid w:val="00E31ED3"/>
    <w:rsid w:val="00E31EFA"/>
    <w:rsid w:val="00E3203A"/>
    <w:rsid w:val="00E32090"/>
    <w:rsid w:val="00E320B9"/>
    <w:rsid w:val="00E320BA"/>
    <w:rsid w:val="00E32122"/>
    <w:rsid w:val="00E321E5"/>
    <w:rsid w:val="00E323C6"/>
    <w:rsid w:val="00E323EF"/>
    <w:rsid w:val="00E3246F"/>
    <w:rsid w:val="00E32495"/>
    <w:rsid w:val="00E324A4"/>
    <w:rsid w:val="00E32775"/>
    <w:rsid w:val="00E3287B"/>
    <w:rsid w:val="00E328DC"/>
    <w:rsid w:val="00E3295C"/>
    <w:rsid w:val="00E32984"/>
    <w:rsid w:val="00E329CB"/>
    <w:rsid w:val="00E329E8"/>
    <w:rsid w:val="00E32A90"/>
    <w:rsid w:val="00E32AF9"/>
    <w:rsid w:val="00E32BED"/>
    <w:rsid w:val="00E32C93"/>
    <w:rsid w:val="00E32D13"/>
    <w:rsid w:val="00E32D76"/>
    <w:rsid w:val="00E32DAC"/>
    <w:rsid w:val="00E32F28"/>
    <w:rsid w:val="00E33035"/>
    <w:rsid w:val="00E33105"/>
    <w:rsid w:val="00E33284"/>
    <w:rsid w:val="00E332BD"/>
    <w:rsid w:val="00E3335D"/>
    <w:rsid w:val="00E3352E"/>
    <w:rsid w:val="00E33552"/>
    <w:rsid w:val="00E3358E"/>
    <w:rsid w:val="00E33596"/>
    <w:rsid w:val="00E335E8"/>
    <w:rsid w:val="00E3361B"/>
    <w:rsid w:val="00E33767"/>
    <w:rsid w:val="00E33945"/>
    <w:rsid w:val="00E33B2B"/>
    <w:rsid w:val="00E33C0C"/>
    <w:rsid w:val="00E33CB2"/>
    <w:rsid w:val="00E34096"/>
    <w:rsid w:val="00E340D9"/>
    <w:rsid w:val="00E340DB"/>
    <w:rsid w:val="00E344D2"/>
    <w:rsid w:val="00E344F3"/>
    <w:rsid w:val="00E34506"/>
    <w:rsid w:val="00E34681"/>
    <w:rsid w:val="00E349FA"/>
    <w:rsid w:val="00E34D08"/>
    <w:rsid w:val="00E34D40"/>
    <w:rsid w:val="00E34D91"/>
    <w:rsid w:val="00E34E13"/>
    <w:rsid w:val="00E34E26"/>
    <w:rsid w:val="00E34EC4"/>
    <w:rsid w:val="00E35083"/>
    <w:rsid w:val="00E353AB"/>
    <w:rsid w:val="00E353E2"/>
    <w:rsid w:val="00E356D1"/>
    <w:rsid w:val="00E35786"/>
    <w:rsid w:val="00E35845"/>
    <w:rsid w:val="00E35855"/>
    <w:rsid w:val="00E359E7"/>
    <w:rsid w:val="00E35AB1"/>
    <w:rsid w:val="00E35B4E"/>
    <w:rsid w:val="00E35B7E"/>
    <w:rsid w:val="00E35B88"/>
    <w:rsid w:val="00E35BA7"/>
    <w:rsid w:val="00E35C5D"/>
    <w:rsid w:val="00E35E5B"/>
    <w:rsid w:val="00E36184"/>
    <w:rsid w:val="00E36188"/>
    <w:rsid w:val="00E361CB"/>
    <w:rsid w:val="00E3626E"/>
    <w:rsid w:val="00E36363"/>
    <w:rsid w:val="00E363F9"/>
    <w:rsid w:val="00E36430"/>
    <w:rsid w:val="00E364A8"/>
    <w:rsid w:val="00E367A2"/>
    <w:rsid w:val="00E367F0"/>
    <w:rsid w:val="00E3683D"/>
    <w:rsid w:val="00E36846"/>
    <w:rsid w:val="00E368DD"/>
    <w:rsid w:val="00E37152"/>
    <w:rsid w:val="00E371C0"/>
    <w:rsid w:val="00E371C3"/>
    <w:rsid w:val="00E3721A"/>
    <w:rsid w:val="00E372E3"/>
    <w:rsid w:val="00E37317"/>
    <w:rsid w:val="00E3736E"/>
    <w:rsid w:val="00E37376"/>
    <w:rsid w:val="00E37412"/>
    <w:rsid w:val="00E375E5"/>
    <w:rsid w:val="00E375F3"/>
    <w:rsid w:val="00E37942"/>
    <w:rsid w:val="00E37A96"/>
    <w:rsid w:val="00E37AF3"/>
    <w:rsid w:val="00E37B12"/>
    <w:rsid w:val="00E37BBA"/>
    <w:rsid w:val="00E37DC6"/>
    <w:rsid w:val="00E37E42"/>
    <w:rsid w:val="00E37E63"/>
    <w:rsid w:val="00E37F7E"/>
    <w:rsid w:val="00E4009D"/>
    <w:rsid w:val="00E40144"/>
    <w:rsid w:val="00E40189"/>
    <w:rsid w:val="00E401AC"/>
    <w:rsid w:val="00E403A5"/>
    <w:rsid w:val="00E40726"/>
    <w:rsid w:val="00E407CF"/>
    <w:rsid w:val="00E40832"/>
    <w:rsid w:val="00E4087B"/>
    <w:rsid w:val="00E409F9"/>
    <w:rsid w:val="00E40A2C"/>
    <w:rsid w:val="00E40B25"/>
    <w:rsid w:val="00E40D73"/>
    <w:rsid w:val="00E40DB9"/>
    <w:rsid w:val="00E40FC8"/>
    <w:rsid w:val="00E41074"/>
    <w:rsid w:val="00E41174"/>
    <w:rsid w:val="00E4120E"/>
    <w:rsid w:val="00E412F8"/>
    <w:rsid w:val="00E415F8"/>
    <w:rsid w:val="00E4176F"/>
    <w:rsid w:val="00E4178E"/>
    <w:rsid w:val="00E419F1"/>
    <w:rsid w:val="00E41B3C"/>
    <w:rsid w:val="00E41B9E"/>
    <w:rsid w:val="00E41CDE"/>
    <w:rsid w:val="00E41CF8"/>
    <w:rsid w:val="00E41D6E"/>
    <w:rsid w:val="00E41D8E"/>
    <w:rsid w:val="00E41FE9"/>
    <w:rsid w:val="00E42000"/>
    <w:rsid w:val="00E42005"/>
    <w:rsid w:val="00E4215E"/>
    <w:rsid w:val="00E421F9"/>
    <w:rsid w:val="00E422DE"/>
    <w:rsid w:val="00E42399"/>
    <w:rsid w:val="00E423AE"/>
    <w:rsid w:val="00E423C8"/>
    <w:rsid w:val="00E424B9"/>
    <w:rsid w:val="00E42513"/>
    <w:rsid w:val="00E425B9"/>
    <w:rsid w:val="00E4266A"/>
    <w:rsid w:val="00E426B7"/>
    <w:rsid w:val="00E4279D"/>
    <w:rsid w:val="00E428FD"/>
    <w:rsid w:val="00E4298B"/>
    <w:rsid w:val="00E429DF"/>
    <w:rsid w:val="00E429EC"/>
    <w:rsid w:val="00E42A95"/>
    <w:rsid w:val="00E42A96"/>
    <w:rsid w:val="00E42AFD"/>
    <w:rsid w:val="00E42BC0"/>
    <w:rsid w:val="00E42DDB"/>
    <w:rsid w:val="00E42EBA"/>
    <w:rsid w:val="00E42EDA"/>
    <w:rsid w:val="00E42F05"/>
    <w:rsid w:val="00E42FFE"/>
    <w:rsid w:val="00E4308D"/>
    <w:rsid w:val="00E431A4"/>
    <w:rsid w:val="00E43281"/>
    <w:rsid w:val="00E432B7"/>
    <w:rsid w:val="00E433B9"/>
    <w:rsid w:val="00E433C1"/>
    <w:rsid w:val="00E43662"/>
    <w:rsid w:val="00E437D8"/>
    <w:rsid w:val="00E4382C"/>
    <w:rsid w:val="00E4386D"/>
    <w:rsid w:val="00E4398C"/>
    <w:rsid w:val="00E43B1B"/>
    <w:rsid w:val="00E43B1C"/>
    <w:rsid w:val="00E43B71"/>
    <w:rsid w:val="00E43B92"/>
    <w:rsid w:val="00E43CD9"/>
    <w:rsid w:val="00E43D37"/>
    <w:rsid w:val="00E43F45"/>
    <w:rsid w:val="00E43FEE"/>
    <w:rsid w:val="00E44017"/>
    <w:rsid w:val="00E44026"/>
    <w:rsid w:val="00E44257"/>
    <w:rsid w:val="00E4425A"/>
    <w:rsid w:val="00E442B7"/>
    <w:rsid w:val="00E443D5"/>
    <w:rsid w:val="00E44621"/>
    <w:rsid w:val="00E446D8"/>
    <w:rsid w:val="00E4487F"/>
    <w:rsid w:val="00E448C8"/>
    <w:rsid w:val="00E448C9"/>
    <w:rsid w:val="00E44A3D"/>
    <w:rsid w:val="00E44C6E"/>
    <w:rsid w:val="00E44D88"/>
    <w:rsid w:val="00E44F05"/>
    <w:rsid w:val="00E44F25"/>
    <w:rsid w:val="00E44F37"/>
    <w:rsid w:val="00E4521A"/>
    <w:rsid w:val="00E45267"/>
    <w:rsid w:val="00E45425"/>
    <w:rsid w:val="00E454A3"/>
    <w:rsid w:val="00E45553"/>
    <w:rsid w:val="00E45653"/>
    <w:rsid w:val="00E456DD"/>
    <w:rsid w:val="00E4574F"/>
    <w:rsid w:val="00E45884"/>
    <w:rsid w:val="00E458C9"/>
    <w:rsid w:val="00E45926"/>
    <w:rsid w:val="00E45927"/>
    <w:rsid w:val="00E45985"/>
    <w:rsid w:val="00E459F5"/>
    <w:rsid w:val="00E459FD"/>
    <w:rsid w:val="00E45A80"/>
    <w:rsid w:val="00E45B9F"/>
    <w:rsid w:val="00E45D4D"/>
    <w:rsid w:val="00E45D93"/>
    <w:rsid w:val="00E45F09"/>
    <w:rsid w:val="00E45FB2"/>
    <w:rsid w:val="00E45FCA"/>
    <w:rsid w:val="00E46036"/>
    <w:rsid w:val="00E460A4"/>
    <w:rsid w:val="00E46357"/>
    <w:rsid w:val="00E46517"/>
    <w:rsid w:val="00E46551"/>
    <w:rsid w:val="00E466D9"/>
    <w:rsid w:val="00E46711"/>
    <w:rsid w:val="00E46914"/>
    <w:rsid w:val="00E46B49"/>
    <w:rsid w:val="00E46B8F"/>
    <w:rsid w:val="00E46C82"/>
    <w:rsid w:val="00E46D07"/>
    <w:rsid w:val="00E46FCC"/>
    <w:rsid w:val="00E47028"/>
    <w:rsid w:val="00E4707D"/>
    <w:rsid w:val="00E471FF"/>
    <w:rsid w:val="00E4722D"/>
    <w:rsid w:val="00E47394"/>
    <w:rsid w:val="00E4740D"/>
    <w:rsid w:val="00E47453"/>
    <w:rsid w:val="00E47525"/>
    <w:rsid w:val="00E4767E"/>
    <w:rsid w:val="00E47702"/>
    <w:rsid w:val="00E477B0"/>
    <w:rsid w:val="00E478B9"/>
    <w:rsid w:val="00E47A0B"/>
    <w:rsid w:val="00E47A37"/>
    <w:rsid w:val="00E47A3D"/>
    <w:rsid w:val="00E47B54"/>
    <w:rsid w:val="00E47B56"/>
    <w:rsid w:val="00E47BED"/>
    <w:rsid w:val="00E47C3D"/>
    <w:rsid w:val="00E47C7E"/>
    <w:rsid w:val="00E47D26"/>
    <w:rsid w:val="00E47D44"/>
    <w:rsid w:val="00E47F14"/>
    <w:rsid w:val="00E47F9F"/>
    <w:rsid w:val="00E50056"/>
    <w:rsid w:val="00E50180"/>
    <w:rsid w:val="00E501F1"/>
    <w:rsid w:val="00E5035E"/>
    <w:rsid w:val="00E503B6"/>
    <w:rsid w:val="00E503E4"/>
    <w:rsid w:val="00E504C1"/>
    <w:rsid w:val="00E505A2"/>
    <w:rsid w:val="00E50804"/>
    <w:rsid w:val="00E5092F"/>
    <w:rsid w:val="00E50AC6"/>
    <w:rsid w:val="00E50BD9"/>
    <w:rsid w:val="00E50C06"/>
    <w:rsid w:val="00E50D6E"/>
    <w:rsid w:val="00E50FA6"/>
    <w:rsid w:val="00E50FB3"/>
    <w:rsid w:val="00E5103B"/>
    <w:rsid w:val="00E5110C"/>
    <w:rsid w:val="00E511B7"/>
    <w:rsid w:val="00E5126B"/>
    <w:rsid w:val="00E51305"/>
    <w:rsid w:val="00E51474"/>
    <w:rsid w:val="00E5177F"/>
    <w:rsid w:val="00E5179D"/>
    <w:rsid w:val="00E51908"/>
    <w:rsid w:val="00E51A57"/>
    <w:rsid w:val="00E51CE3"/>
    <w:rsid w:val="00E51D4E"/>
    <w:rsid w:val="00E51D6D"/>
    <w:rsid w:val="00E51D7B"/>
    <w:rsid w:val="00E51E4A"/>
    <w:rsid w:val="00E51E91"/>
    <w:rsid w:val="00E51F39"/>
    <w:rsid w:val="00E51FB9"/>
    <w:rsid w:val="00E5205A"/>
    <w:rsid w:val="00E520B0"/>
    <w:rsid w:val="00E52258"/>
    <w:rsid w:val="00E52320"/>
    <w:rsid w:val="00E524B7"/>
    <w:rsid w:val="00E525D7"/>
    <w:rsid w:val="00E52643"/>
    <w:rsid w:val="00E5271C"/>
    <w:rsid w:val="00E527AD"/>
    <w:rsid w:val="00E52932"/>
    <w:rsid w:val="00E5295A"/>
    <w:rsid w:val="00E52C38"/>
    <w:rsid w:val="00E52DCD"/>
    <w:rsid w:val="00E52DF1"/>
    <w:rsid w:val="00E52E82"/>
    <w:rsid w:val="00E52E9C"/>
    <w:rsid w:val="00E52EE2"/>
    <w:rsid w:val="00E52F6A"/>
    <w:rsid w:val="00E52F97"/>
    <w:rsid w:val="00E52FE5"/>
    <w:rsid w:val="00E530A6"/>
    <w:rsid w:val="00E53130"/>
    <w:rsid w:val="00E531AD"/>
    <w:rsid w:val="00E531D5"/>
    <w:rsid w:val="00E53360"/>
    <w:rsid w:val="00E5349F"/>
    <w:rsid w:val="00E534DE"/>
    <w:rsid w:val="00E537E0"/>
    <w:rsid w:val="00E53838"/>
    <w:rsid w:val="00E538CD"/>
    <w:rsid w:val="00E53936"/>
    <w:rsid w:val="00E53AFC"/>
    <w:rsid w:val="00E53CC1"/>
    <w:rsid w:val="00E53DDA"/>
    <w:rsid w:val="00E53F43"/>
    <w:rsid w:val="00E53FB3"/>
    <w:rsid w:val="00E54009"/>
    <w:rsid w:val="00E54092"/>
    <w:rsid w:val="00E5413C"/>
    <w:rsid w:val="00E541BA"/>
    <w:rsid w:val="00E54398"/>
    <w:rsid w:val="00E5446D"/>
    <w:rsid w:val="00E54507"/>
    <w:rsid w:val="00E54B50"/>
    <w:rsid w:val="00E54B6D"/>
    <w:rsid w:val="00E54CEF"/>
    <w:rsid w:val="00E54D1A"/>
    <w:rsid w:val="00E54E3A"/>
    <w:rsid w:val="00E54E90"/>
    <w:rsid w:val="00E54F8B"/>
    <w:rsid w:val="00E54FAD"/>
    <w:rsid w:val="00E55186"/>
    <w:rsid w:val="00E55217"/>
    <w:rsid w:val="00E55355"/>
    <w:rsid w:val="00E553E7"/>
    <w:rsid w:val="00E5550F"/>
    <w:rsid w:val="00E5551C"/>
    <w:rsid w:val="00E5552B"/>
    <w:rsid w:val="00E5568A"/>
    <w:rsid w:val="00E556C0"/>
    <w:rsid w:val="00E55741"/>
    <w:rsid w:val="00E55969"/>
    <w:rsid w:val="00E55978"/>
    <w:rsid w:val="00E55B25"/>
    <w:rsid w:val="00E55B62"/>
    <w:rsid w:val="00E55BAA"/>
    <w:rsid w:val="00E55C68"/>
    <w:rsid w:val="00E55CBD"/>
    <w:rsid w:val="00E55DB9"/>
    <w:rsid w:val="00E55EF1"/>
    <w:rsid w:val="00E55F38"/>
    <w:rsid w:val="00E55F5F"/>
    <w:rsid w:val="00E56091"/>
    <w:rsid w:val="00E560D0"/>
    <w:rsid w:val="00E561AA"/>
    <w:rsid w:val="00E56267"/>
    <w:rsid w:val="00E5672C"/>
    <w:rsid w:val="00E56784"/>
    <w:rsid w:val="00E56877"/>
    <w:rsid w:val="00E5698E"/>
    <w:rsid w:val="00E56A20"/>
    <w:rsid w:val="00E56A54"/>
    <w:rsid w:val="00E56A71"/>
    <w:rsid w:val="00E56E71"/>
    <w:rsid w:val="00E56FC6"/>
    <w:rsid w:val="00E57157"/>
    <w:rsid w:val="00E57176"/>
    <w:rsid w:val="00E57214"/>
    <w:rsid w:val="00E57216"/>
    <w:rsid w:val="00E5726C"/>
    <w:rsid w:val="00E572B3"/>
    <w:rsid w:val="00E57363"/>
    <w:rsid w:val="00E576F8"/>
    <w:rsid w:val="00E57750"/>
    <w:rsid w:val="00E5782E"/>
    <w:rsid w:val="00E5783E"/>
    <w:rsid w:val="00E57957"/>
    <w:rsid w:val="00E579CF"/>
    <w:rsid w:val="00E57B6B"/>
    <w:rsid w:val="00E57CF1"/>
    <w:rsid w:val="00E57D5D"/>
    <w:rsid w:val="00E57FA7"/>
    <w:rsid w:val="00E6007A"/>
    <w:rsid w:val="00E600D7"/>
    <w:rsid w:val="00E603AC"/>
    <w:rsid w:val="00E603B3"/>
    <w:rsid w:val="00E603B6"/>
    <w:rsid w:val="00E6043F"/>
    <w:rsid w:val="00E604C3"/>
    <w:rsid w:val="00E60940"/>
    <w:rsid w:val="00E60A0A"/>
    <w:rsid w:val="00E60AAE"/>
    <w:rsid w:val="00E60C3E"/>
    <w:rsid w:val="00E60C59"/>
    <w:rsid w:val="00E60C6F"/>
    <w:rsid w:val="00E60DBC"/>
    <w:rsid w:val="00E60E84"/>
    <w:rsid w:val="00E60E91"/>
    <w:rsid w:val="00E61081"/>
    <w:rsid w:val="00E61619"/>
    <w:rsid w:val="00E61C37"/>
    <w:rsid w:val="00E61D19"/>
    <w:rsid w:val="00E61D7B"/>
    <w:rsid w:val="00E61E02"/>
    <w:rsid w:val="00E61E28"/>
    <w:rsid w:val="00E61E72"/>
    <w:rsid w:val="00E61E73"/>
    <w:rsid w:val="00E61EB6"/>
    <w:rsid w:val="00E620EC"/>
    <w:rsid w:val="00E623D8"/>
    <w:rsid w:val="00E62699"/>
    <w:rsid w:val="00E62707"/>
    <w:rsid w:val="00E628EE"/>
    <w:rsid w:val="00E62A2A"/>
    <w:rsid w:val="00E62ED7"/>
    <w:rsid w:val="00E62F87"/>
    <w:rsid w:val="00E6307E"/>
    <w:rsid w:val="00E6311E"/>
    <w:rsid w:val="00E63266"/>
    <w:rsid w:val="00E63370"/>
    <w:rsid w:val="00E63505"/>
    <w:rsid w:val="00E63529"/>
    <w:rsid w:val="00E6354D"/>
    <w:rsid w:val="00E636CA"/>
    <w:rsid w:val="00E63918"/>
    <w:rsid w:val="00E63A0A"/>
    <w:rsid w:val="00E63BC4"/>
    <w:rsid w:val="00E63F45"/>
    <w:rsid w:val="00E63F85"/>
    <w:rsid w:val="00E63FD2"/>
    <w:rsid w:val="00E6412E"/>
    <w:rsid w:val="00E641EC"/>
    <w:rsid w:val="00E64236"/>
    <w:rsid w:val="00E644D7"/>
    <w:rsid w:val="00E6460F"/>
    <w:rsid w:val="00E646A7"/>
    <w:rsid w:val="00E646C4"/>
    <w:rsid w:val="00E649D1"/>
    <w:rsid w:val="00E64B33"/>
    <w:rsid w:val="00E64D0D"/>
    <w:rsid w:val="00E64DD7"/>
    <w:rsid w:val="00E64FAE"/>
    <w:rsid w:val="00E650A3"/>
    <w:rsid w:val="00E650CD"/>
    <w:rsid w:val="00E650ED"/>
    <w:rsid w:val="00E651EE"/>
    <w:rsid w:val="00E652A3"/>
    <w:rsid w:val="00E653B3"/>
    <w:rsid w:val="00E653E3"/>
    <w:rsid w:val="00E655AA"/>
    <w:rsid w:val="00E656A0"/>
    <w:rsid w:val="00E656A1"/>
    <w:rsid w:val="00E657D8"/>
    <w:rsid w:val="00E65A3A"/>
    <w:rsid w:val="00E65A9B"/>
    <w:rsid w:val="00E65ACA"/>
    <w:rsid w:val="00E65CAB"/>
    <w:rsid w:val="00E65D36"/>
    <w:rsid w:val="00E65D60"/>
    <w:rsid w:val="00E65E0E"/>
    <w:rsid w:val="00E65E7E"/>
    <w:rsid w:val="00E66032"/>
    <w:rsid w:val="00E6604D"/>
    <w:rsid w:val="00E660BC"/>
    <w:rsid w:val="00E66229"/>
    <w:rsid w:val="00E66280"/>
    <w:rsid w:val="00E66416"/>
    <w:rsid w:val="00E66432"/>
    <w:rsid w:val="00E6643F"/>
    <w:rsid w:val="00E66595"/>
    <w:rsid w:val="00E665E1"/>
    <w:rsid w:val="00E666BF"/>
    <w:rsid w:val="00E6680A"/>
    <w:rsid w:val="00E66A76"/>
    <w:rsid w:val="00E66D0C"/>
    <w:rsid w:val="00E66D0D"/>
    <w:rsid w:val="00E66D9A"/>
    <w:rsid w:val="00E66D9B"/>
    <w:rsid w:val="00E66DB2"/>
    <w:rsid w:val="00E66DD3"/>
    <w:rsid w:val="00E672B6"/>
    <w:rsid w:val="00E672E3"/>
    <w:rsid w:val="00E672E8"/>
    <w:rsid w:val="00E6750C"/>
    <w:rsid w:val="00E6752E"/>
    <w:rsid w:val="00E6765C"/>
    <w:rsid w:val="00E67667"/>
    <w:rsid w:val="00E6780D"/>
    <w:rsid w:val="00E67811"/>
    <w:rsid w:val="00E67838"/>
    <w:rsid w:val="00E67929"/>
    <w:rsid w:val="00E679E9"/>
    <w:rsid w:val="00E67A09"/>
    <w:rsid w:val="00E67A6F"/>
    <w:rsid w:val="00E67ADD"/>
    <w:rsid w:val="00E67B3D"/>
    <w:rsid w:val="00E67B5A"/>
    <w:rsid w:val="00E67C04"/>
    <w:rsid w:val="00E67CF9"/>
    <w:rsid w:val="00E67D9C"/>
    <w:rsid w:val="00E67E12"/>
    <w:rsid w:val="00E70038"/>
    <w:rsid w:val="00E70388"/>
    <w:rsid w:val="00E703C9"/>
    <w:rsid w:val="00E70555"/>
    <w:rsid w:val="00E705AD"/>
    <w:rsid w:val="00E706AB"/>
    <w:rsid w:val="00E706C8"/>
    <w:rsid w:val="00E706F6"/>
    <w:rsid w:val="00E7079B"/>
    <w:rsid w:val="00E7091A"/>
    <w:rsid w:val="00E70A5E"/>
    <w:rsid w:val="00E70A98"/>
    <w:rsid w:val="00E70AB4"/>
    <w:rsid w:val="00E70B67"/>
    <w:rsid w:val="00E70C84"/>
    <w:rsid w:val="00E70D52"/>
    <w:rsid w:val="00E70DFC"/>
    <w:rsid w:val="00E70E62"/>
    <w:rsid w:val="00E70F5D"/>
    <w:rsid w:val="00E70F73"/>
    <w:rsid w:val="00E7108E"/>
    <w:rsid w:val="00E71156"/>
    <w:rsid w:val="00E7121D"/>
    <w:rsid w:val="00E7134E"/>
    <w:rsid w:val="00E71403"/>
    <w:rsid w:val="00E714BF"/>
    <w:rsid w:val="00E71731"/>
    <w:rsid w:val="00E71745"/>
    <w:rsid w:val="00E71753"/>
    <w:rsid w:val="00E71783"/>
    <w:rsid w:val="00E718C4"/>
    <w:rsid w:val="00E7196C"/>
    <w:rsid w:val="00E71970"/>
    <w:rsid w:val="00E719BF"/>
    <w:rsid w:val="00E71A59"/>
    <w:rsid w:val="00E71AC8"/>
    <w:rsid w:val="00E71B4A"/>
    <w:rsid w:val="00E71BD4"/>
    <w:rsid w:val="00E71C76"/>
    <w:rsid w:val="00E71CD6"/>
    <w:rsid w:val="00E71F06"/>
    <w:rsid w:val="00E721A7"/>
    <w:rsid w:val="00E72289"/>
    <w:rsid w:val="00E722A0"/>
    <w:rsid w:val="00E7238B"/>
    <w:rsid w:val="00E7244C"/>
    <w:rsid w:val="00E7244F"/>
    <w:rsid w:val="00E724EE"/>
    <w:rsid w:val="00E7250B"/>
    <w:rsid w:val="00E7251B"/>
    <w:rsid w:val="00E7275E"/>
    <w:rsid w:val="00E727EA"/>
    <w:rsid w:val="00E727F7"/>
    <w:rsid w:val="00E728E0"/>
    <w:rsid w:val="00E72930"/>
    <w:rsid w:val="00E72A4F"/>
    <w:rsid w:val="00E72A61"/>
    <w:rsid w:val="00E72B03"/>
    <w:rsid w:val="00E72B19"/>
    <w:rsid w:val="00E72B64"/>
    <w:rsid w:val="00E72D33"/>
    <w:rsid w:val="00E72DBC"/>
    <w:rsid w:val="00E72FCD"/>
    <w:rsid w:val="00E72FE7"/>
    <w:rsid w:val="00E7300E"/>
    <w:rsid w:val="00E73066"/>
    <w:rsid w:val="00E73098"/>
    <w:rsid w:val="00E73144"/>
    <w:rsid w:val="00E73208"/>
    <w:rsid w:val="00E73283"/>
    <w:rsid w:val="00E73362"/>
    <w:rsid w:val="00E73478"/>
    <w:rsid w:val="00E7374E"/>
    <w:rsid w:val="00E73829"/>
    <w:rsid w:val="00E739FF"/>
    <w:rsid w:val="00E73A4B"/>
    <w:rsid w:val="00E73A77"/>
    <w:rsid w:val="00E73B0F"/>
    <w:rsid w:val="00E73B24"/>
    <w:rsid w:val="00E73E6E"/>
    <w:rsid w:val="00E73EAA"/>
    <w:rsid w:val="00E73EB3"/>
    <w:rsid w:val="00E74243"/>
    <w:rsid w:val="00E7424E"/>
    <w:rsid w:val="00E742B1"/>
    <w:rsid w:val="00E7439B"/>
    <w:rsid w:val="00E743C2"/>
    <w:rsid w:val="00E74534"/>
    <w:rsid w:val="00E74792"/>
    <w:rsid w:val="00E74A8E"/>
    <w:rsid w:val="00E74BDF"/>
    <w:rsid w:val="00E74C32"/>
    <w:rsid w:val="00E74D86"/>
    <w:rsid w:val="00E74D9F"/>
    <w:rsid w:val="00E74E56"/>
    <w:rsid w:val="00E74E66"/>
    <w:rsid w:val="00E74F2B"/>
    <w:rsid w:val="00E751DE"/>
    <w:rsid w:val="00E75209"/>
    <w:rsid w:val="00E75284"/>
    <w:rsid w:val="00E752FF"/>
    <w:rsid w:val="00E75363"/>
    <w:rsid w:val="00E753CE"/>
    <w:rsid w:val="00E754E6"/>
    <w:rsid w:val="00E75516"/>
    <w:rsid w:val="00E75712"/>
    <w:rsid w:val="00E757B6"/>
    <w:rsid w:val="00E758E0"/>
    <w:rsid w:val="00E759B3"/>
    <w:rsid w:val="00E759F1"/>
    <w:rsid w:val="00E75A91"/>
    <w:rsid w:val="00E75B31"/>
    <w:rsid w:val="00E75B8F"/>
    <w:rsid w:val="00E75B97"/>
    <w:rsid w:val="00E75C43"/>
    <w:rsid w:val="00E75D10"/>
    <w:rsid w:val="00E75D6D"/>
    <w:rsid w:val="00E75DC8"/>
    <w:rsid w:val="00E75F7D"/>
    <w:rsid w:val="00E7622F"/>
    <w:rsid w:val="00E7645C"/>
    <w:rsid w:val="00E7657D"/>
    <w:rsid w:val="00E767D7"/>
    <w:rsid w:val="00E767DD"/>
    <w:rsid w:val="00E768ED"/>
    <w:rsid w:val="00E7696C"/>
    <w:rsid w:val="00E76AFB"/>
    <w:rsid w:val="00E76BFD"/>
    <w:rsid w:val="00E76C6B"/>
    <w:rsid w:val="00E76CAD"/>
    <w:rsid w:val="00E76D51"/>
    <w:rsid w:val="00E76D71"/>
    <w:rsid w:val="00E76D8C"/>
    <w:rsid w:val="00E76DCB"/>
    <w:rsid w:val="00E771A8"/>
    <w:rsid w:val="00E77223"/>
    <w:rsid w:val="00E77408"/>
    <w:rsid w:val="00E7740A"/>
    <w:rsid w:val="00E775F1"/>
    <w:rsid w:val="00E77626"/>
    <w:rsid w:val="00E7762C"/>
    <w:rsid w:val="00E776FD"/>
    <w:rsid w:val="00E77732"/>
    <w:rsid w:val="00E7784C"/>
    <w:rsid w:val="00E778B1"/>
    <w:rsid w:val="00E778F7"/>
    <w:rsid w:val="00E77977"/>
    <w:rsid w:val="00E77AB3"/>
    <w:rsid w:val="00E77AE7"/>
    <w:rsid w:val="00E77BAE"/>
    <w:rsid w:val="00E77BB0"/>
    <w:rsid w:val="00E77CE3"/>
    <w:rsid w:val="00E77D27"/>
    <w:rsid w:val="00E77EBA"/>
    <w:rsid w:val="00E77EFC"/>
    <w:rsid w:val="00E80140"/>
    <w:rsid w:val="00E8057D"/>
    <w:rsid w:val="00E8060C"/>
    <w:rsid w:val="00E80642"/>
    <w:rsid w:val="00E80663"/>
    <w:rsid w:val="00E806FC"/>
    <w:rsid w:val="00E8074A"/>
    <w:rsid w:val="00E8080F"/>
    <w:rsid w:val="00E80F68"/>
    <w:rsid w:val="00E80F91"/>
    <w:rsid w:val="00E810F0"/>
    <w:rsid w:val="00E8110B"/>
    <w:rsid w:val="00E81173"/>
    <w:rsid w:val="00E8122D"/>
    <w:rsid w:val="00E812A9"/>
    <w:rsid w:val="00E81348"/>
    <w:rsid w:val="00E813F7"/>
    <w:rsid w:val="00E816B7"/>
    <w:rsid w:val="00E81882"/>
    <w:rsid w:val="00E818A1"/>
    <w:rsid w:val="00E818ED"/>
    <w:rsid w:val="00E81935"/>
    <w:rsid w:val="00E81D32"/>
    <w:rsid w:val="00E81DF8"/>
    <w:rsid w:val="00E81E11"/>
    <w:rsid w:val="00E81ED2"/>
    <w:rsid w:val="00E81F55"/>
    <w:rsid w:val="00E8203E"/>
    <w:rsid w:val="00E8214B"/>
    <w:rsid w:val="00E8214C"/>
    <w:rsid w:val="00E82166"/>
    <w:rsid w:val="00E82583"/>
    <w:rsid w:val="00E82685"/>
    <w:rsid w:val="00E826DC"/>
    <w:rsid w:val="00E828A1"/>
    <w:rsid w:val="00E829AF"/>
    <w:rsid w:val="00E82A30"/>
    <w:rsid w:val="00E82A6C"/>
    <w:rsid w:val="00E82C61"/>
    <w:rsid w:val="00E82D67"/>
    <w:rsid w:val="00E82E36"/>
    <w:rsid w:val="00E82E53"/>
    <w:rsid w:val="00E82F18"/>
    <w:rsid w:val="00E8301A"/>
    <w:rsid w:val="00E83138"/>
    <w:rsid w:val="00E8348E"/>
    <w:rsid w:val="00E8359C"/>
    <w:rsid w:val="00E835EB"/>
    <w:rsid w:val="00E8364C"/>
    <w:rsid w:val="00E8365B"/>
    <w:rsid w:val="00E836AA"/>
    <w:rsid w:val="00E836DC"/>
    <w:rsid w:val="00E836E6"/>
    <w:rsid w:val="00E83755"/>
    <w:rsid w:val="00E83793"/>
    <w:rsid w:val="00E837AE"/>
    <w:rsid w:val="00E83A9D"/>
    <w:rsid w:val="00E83B2C"/>
    <w:rsid w:val="00E83B51"/>
    <w:rsid w:val="00E83C20"/>
    <w:rsid w:val="00E83C22"/>
    <w:rsid w:val="00E83D5C"/>
    <w:rsid w:val="00E83DD7"/>
    <w:rsid w:val="00E83E4D"/>
    <w:rsid w:val="00E840CD"/>
    <w:rsid w:val="00E8413F"/>
    <w:rsid w:val="00E84161"/>
    <w:rsid w:val="00E8416F"/>
    <w:rsid w:val="00E841E1"/>
    <w:rsid w:val="00E8429D"/>
    <w:rsid w:val="00E84460"/>
    <w:rsid w:val="00E84463"/>
    <w:rsid w:val="00E84524"/>
    <w:rsid w:val="00E8458F"/>
    <w:rsid w:val="00E845C3"/>
    <w:rsid w:val="00E849D2"/>
    <w:rsid w:val="00E84A55"/>
    <w:rsid w:val="00E84BE5"/>
    <w:rsid w:val="00E84C7D"/>
    <w:rsid w:val="00E84CDF"/>
    <w:rsid w:val="00E84D60"/>
    <w:rsid w:val="00E84DF1"/>
    <w:rsid w:val="00E84E8B"/>
    <w:rsid w:val="00E8514D"/>
    <w:rsid w:val="00E85296"/>
    <w:rsid w:val="00E85383"/>
    <w:rsid w:val="00E85390"/>
    <w:rsid w:val="00E854DF"/>
    <w:rsid w:val="00E85541"/>
    <w:rsid w:val="00E856D4"/>
    <w:rsid w:val="00E85820"/>
    <w:rsid w:val="00E8599B"/>
    <w:rsid w:val="00E85B90"/>
    <w:rsid w:val="00E85BE9"/>
    <w:rsid w:val="00E85BF0"/>
    <w:rsid w:val="00E85D62"/>
    <w:rsid w:val="00E85E03"/>
    <w:rsid w:val="00E85ECD"/>
    <w:rsid w:val="00E85FD3"/>
    <w:rsid w:val="00E86040"/>
    <w:rsid w:val="00E86063"/>
    <w:rsid w:val="00E8607F"/>
    <w:rsid w:val="00E860B6"/>
    <w:rsid w:val="00E862CD"/>
    <w:rsid w:val="00E862DE"/>
    <w:rsid w:val="00E86423"/>
    <w:rsid w:val="00E8644B"/>
    <w:rsid w:val="00E8652B"/>
    <w:rsid w:val="00E86557"/>
    <w:rsid w:val="00E86654"/>
    <w:rsid w:val="00E86689"/>
    <w:rsid w:val="00E866BC"/>
    <w:rsid w:val="00E866FA"/>
    <w:rsid w:val="00E86AA6"/>
    <w:rsid w:val="00E86BCB"/>
    <w:rsid w:val="00E86C86"/>
    <w:rsid w:val="00E86E1F"/>
    <w:rsid w:val="00E872DB"/>
    <w:rsid w:val="00E8731F"/>
    <w:rsid w:val="00E87334"/>
    <w:rsid w:val="00E8744A"/>
    <w:rsid w:val="00E874DD"/>
    <w:rsid w:val="00E875E6"/>
    <w:rsid w:val="00E87705"/>
    <w:rsid w:val="00E87714"/>
    <w:rsid w:val="00E87896"/>
    <w:rsid w:val="00E87901"/>
    <w:rsid w:val="00E87954"/>
    <w:rsid w:val="00E87978"/>
    <w:rsid w:val="00E879C3"/>
    <w:rsid w:val="00E87A69"/>
    <w:rsid w:val="00E87B68"/>
    <w:rsid w:val="00E87C41"/>
    <w:rsid w:val="00E87C99"/>
    <w:rsid w:val="00E87D36"/>
    <w:rsid w:val="00E900B5"/>
    <w:rsid w:val="00E900EB"/>
    <w:rsid w:val="00E902A8"/>
    <w:rsid w:val="00E90314"/>
    <w:rsid w:val="00E9036D"/>
    <w:rsid w:val="00E9048B"/>
    <w:rsid w:val="00E904AD"/>
    <w:rsid w:val="00E906AF"/>
    <w:rsid w:val="00E9079A"/>
    <w:rsid w:val="00E90849"/>
    <w:rsid w:val="00E90945"/>
    <w:rsid w:val="00E9099B"/>
    <w:rsid w:val="00E909E3"/>
    <w:rsid w:val="00E90AAE"/>
    <w:rsid w:val="00E90BE1"/>
    <w:rsid w:val="00E90CDA"/>
    <w:rsid w:val="00E90E03"/>
    <w:rsid w:val="00E90F2D"/>
    <w:rsid w:val="00E90FF2"/>
    <w:rsid w:val="00E91056"/>
    <w:rsid w:val="00E9123E"/>
    <w:rsid w:val="00E912E3"/>
    <w:rsid w:val="00E91304"/>
    <w:rsid w:val="00E9137D"/>
    <w:rsid w:val="00E91419"/>
    <w:rsid w:val="00E9148E"/>
    <w:rsid w:val="00E91490"/>
    <w:rsid w:val="00E915ED"/>
    <w:rsid w:val="00E91785"/>
    <w:rsid w:val="00E91984"/>
    <w:rsid w:val="00E91A7F"/>
    <w:rsid w:val="00E91AF6"/>
    <w:rsid w:val="00E91AFD"/>
    <w:rsid w:val="00E91ED2"/>
    <w:rsid w:val="00E91EFE"/>
    <w:rsid w:val="00E91F8D"/>
    <w:rsid w:val="00E91FF1"/>
    <w:rsid w:val="00E92017"/>
    <w:rsid w:val="00E9202C"/>
    <w:rsid w:val="00E92163"/>
    <w:rsid w:val="00E9224E"/>
    <w:rsid w:val="00E922F1"/>
    <w:rsid w:val="00E92363"/>
    <w:rsid w:val="00E923C8"/>
    <w:rsid w:val="00E925E1"/>
    <w:rsid w:val="00E92776"/>
    <w:rsid w:val="00E92899"/>
    <w:rsid w:val="00E928D5"/>
    <w:rsid w:val="00E92914"/>
    <w:rsid w:val="00E929F2"/>
    <w:rsid w:val="00E92B47"/>
    <w:rsid w:val="00E92D06"/>
    <w:rsid w:val="00E92D5C"/>
    <w:rsid w:val="00E93067"/>
    <w:rsid w:val="00E93364"/>
    <w:rsid w:val="00E93400"/>
    <w:rsid w:val="00E93401"/>
    <w:rsid w:val="00E9353F"/>
    <w:rsid w:val="00E9380F"/>
    <w:rsid w:val="00E93921"/>
    <w:rsid w:val="00E93A9F"/>
    <w:rsid w:val="00E93AD3"/>
    <w:rsid w:val="00E93B40"/>
    <w:rsid w:val="00E93B4E"/>
    <w:rsid w:val="00E93CF6"/>
    <w:rsid w:val="00E93D82"/>
    <w:rsid w:val="00E93DAC"/>
    <w:rsid w:val="00E93E52"/>
    <w:rsid w:val="00E93F6C"/>
    <w:rsid w:val="00E93F82"/>
    <w:rsid w:val="00E94011"/>
    <w:rsid w:val="00E94248"/>
    <w:rsid w:val="00E94253"/>
    <w:rsid w:val="00E9445B"/>
    <w:rsid w:val="00E94463"/>
    <w:rsid w:val="00E94814"/>
    <w:rsid w:val="00E94860"/>
    <w:rsid w:val="00E948CF"/>
    <w:rsid w:val="00E94900"/>
    <w:rsid w:val="00E94AF9"/>
    <w:rsid w:val="00E94B5B"/>
    <w:rsid w:val="00E94D28"/>
    <w:rsid w:val="00E94D37"/>
    <w:rsid w:val="00E94ED7"/>
    <w:rsid w:val="00E95076"/>
    <w:rsid w:val="00E9525D"/>
    <w:rsid w:val="00E95272"/>
    <w:rsid w:val="00E952BF"/>
    <w:rsid w:val="00E952FC"/>
    <w:rsid w:val="00E95333"/>
    <w:rsid w:val="00E95337"/>
    <w:rsid w:val="00E953DE"/>
    <w:rsid w:val="00E95585"/>
    <w:rsid w:val="00E95608"/>
    <w:rsid w:val="00E9564C"/>
    <w:rsid w:val="00E95751"/>
    <w:rsid w:val="00E957B3"/>
    <w:rsid w:val="00E957F3"/>
    <w:rsid w:val="00E95941"/>
    <w:rsid w:val="00E95972"/>
    <w:rsid w:val="00E95A86"/>
    <w:rsid w:val="00E95ADA"/>
    <w:rsid w:val="00E95B4B"/>
    <w:rsid w:val="00E95C54"/>
    <w:rsid w:val="00E95E1C"/>
    <w:rsid w:val="00E95E60"/>
    <w:rsid w:val="00E95EA8"/>
    <w:rsid w:val="00E95ECD"/>
    <w:rsid w:val="00E95F6C"/>
    <w:rsid w:val="00E960D9"/>
    <w:rsid w:val="00E961E8"/>
    <w:rsid w:val="00E962BF"/>
    <w:rsid w:val="00E962CB"/>
    <w:rsid w:val="00E964D7"/>
    <w:rsid w:val="00E96539"/>
    <w:rsid w:val="00E9659C"/>
    <w:rsid w:val="00E965BC"/>
    <w:rsid w:val="00E9662C"/>
    <w:rsid w:val="00E9666D"/>
    <w:rsid w:val="00E96816"/>
    <w:rsid w:val="00E968F4"/>
    <w:rsid w:val="00E96938"/>
    <w:rsid w:val="00E969A3"/>
    <w:rsid w:val="00E969C2"/>
    <w:rsid w:val="00E969E8"/>
    <w:rsid w:val="00E96A74"/>
    <w:rsid w:val="00E96BA1"/>
    <w:rsid w:val="00E97016"/>
    <w:rsid w:val="00E9710E"/>
    <w:rsid w:val="00E97217"/>
    <w:rsid w:val="00E9721F"/>
    <w:rsid w:val="00E972AB"/>
    <w:rsid w:val="00E972FB"/>
    <w:rsid w:val="00E973D1"/>
    <w:rsid w:val="00E973FE"/>
    <w:rsid w:val="00E9750D"/>
    <w:rsid w:val="00E977D8"/>
    <w:rsid w:val="00E978B4"/>
    <w:rsid w:val="00E97A49"/>
    <w:rsid w:val="00E97C9C"/>
    <w:rsid w:val="00E97CAE"/>
    <w:rsid w:val="00E97E34"/>
    <w:rsid w:val="00E97E88"/>
    <w:rsid w:val="00E97EC3"/>
    <w:rsid w:val="00E97F8E"/>
    <w:rsid w:val="00E97FD6"/>
    <w:rsid w:val="00EA0021"/>
    <w:rsid w:val="00EA004C"/>
    <w:rsid w:val="00EA00D7"/>
    <w:rsid w:val="00EA0174"/>
    <w:rsid w:val="00EA022E"/>
    <w:rsid w:val="00EA02D1"/>
    <w:rsid w:val="00EA02FA"/>
    <w:rsid w:val="00EA03EA"/>
    <w:rsid w:val="00EA04EA"/>
    <w:rsid w:val="00EA0503"/>
    <w:rsid w:val="00EA080F"/>
    <w:rsid w:val="00EA0B57"/>
    <w:rsid w:val="00EA0CF4"/>
    <w:rsid w:val="00EA0DDB"/>
    <w:rsid w:val="00EA0FC7"/>
    <w:rsid w:val="00EA0FD1"/>
    <w:rsid w:val="00EA1048"/>
    <w:rsid w:val="00EA1157"/>
    <w:rsid w:val="00EA11BB"/>
    <w:rsid w:val="00EA126C"/>
    <w:rsid w:val="00EA127D"/>
    <w:rsid w:val="00EA1300"/>
    <w:rsid w:val="00EA1370"/>
    <w:rsid w:val="00EA1436"/>
    <w:rsid w:val="00EA1593"/>
    <w:rsid w:val="00EA160D"/>
    <w:rsid w:val="00EA176B"/>
    <w:rsid w:val="00EA189F"/>
    <w:rsid w:val="00EA192D"/>
    <w:rsid w:val="00EA1AFC"/>
    <w:rsid w:val="00EA1B6E"/>
    <w:rsid w:val="00EA1C37"/>
    <w:rsid w:val="00EA1D2F"/>
    <w:rsid w:val="00EA1D67"/>
    <w:rsid w:val="00EA1F07"/>
    <w:rsid w:val="00EA2310"/>
    <w:rsid w:val="00EA24F3"/>
    <w:rsid w:val="00EA26F8"/>
    <w:rsid w:val="00EA2724"/>
    <w:rsid w:val="00EA2735"/>
    <w:rsid w:val="00EA2748"/>
    <w:rsid w:val="00EA27E5"/>
    <w:rsid w:val="00EA281B"/>
    <w:rsid w:val="00EA2A08"/>
    <w:rsid w:val="00EA2A9C"/>
    <w:rsid w:val="00EA2B6E"/>
    <w:rsid w:val="00EA2C05"/>
    <w:rsid w:val="00EA2C9D"/>
    <w:rsid w:val="00EA2D4A"/>
    <w:rsid w:val="00EA2D59"/>
    <w:rsid w:val="00EA2DFC"/>
    <w:rsid w:val="00EA2FE1"/>
    <w:rsid w:val="00EA2FEC"/>
    <w:rsid w:val="00EA30AA"/>
    <w:rsid w:val="00EA30D5"/>
    <w:rsid w:val="00EA31AF"/>
    <w:rsid w:val="00EA3488"/>
    <w:rsid w:val="00EA35CF"/>
    <w:rsid w:val="00EA36F8"/>
    <w:rsid w:val="00EA382B"/>
    <w:rsid w:val="00EA3B8B"/>
    <w:rsid w:val="00EA3DF0"/>
    <w:rsid w:val="00EA3E59"/>
    <w:rsid w:val="00EA3EF3"/>
    <w:rsid w:val="00EA3F25"/>
    <w:rsid w:val="00EA403D"/>
    <w:rsid w:val="00EA423B"/>
    <w:rsid w:val="00EA45A2"/>
    <w:rsid w:val="00EA45DB"/>
    <w:rsid w:val="00EA4787"/>
    <w:rsid w:val="00EA48FF"/>
    <w:rsid w:val="00EA49ED"/>
    <w:rsid w:val="00EA4B7F"/>
    <w:rsid w:val="00EA4C41"/>
    <w:rsid w:val="00EA4DCB"/>
    <w:rsid w:val="00EA4E31"/>
    <w:rsid w:val="00EA4ECD"/>
    <w:rsid w:val="00EA5043"/>
    <w:rsid w:val="00EA508C"/>
    <w:rsid w:val="00EA50D1"/>
    <w:rsid w:val="00EA5269"/>
    <w:rsid w:val="00EA5304"/>
    <w:rsid w:val="00EA5413"/>
    <w:rsid w:val="00EA54D2"/>
    <w:rsid w:val="00EA5569"/>
    <w:rsid w:val="00EA5655"/>
    <w:rsid w:val="00EA5739"/>
    <w:rsid w:val="00EA5832"/>
    <w:rsid w:val="00EA58C8"/>
    <w:rsid w:val="00EA599B"/>
    <w:rsid w:val="00EA5D10"/>
    <w:rsid w:val="00EA5DF4"/>
    <w:rsid w:val="00EA5F2D"/>
    <w:rsid w:val="00EA5F83"/>
    <w:rsid w:val="00EA600D"/>
    <w:rsid w:val="00EA60CA"/>
    <w:rsid w:val="00EA6243"/>
    <w:rsid w:val="00EA6450"/>
    <w:rsid w:val="00EA64D8"/>
    <w:rsid w:val="00EA65AC"/>
    <w:rsid w:val="00EA65C0"/>
    <w:rsid w:val="00EA665C"/>
    <w:rsid w:val="00EA66B0"/>
    <w:rsid w:val="00EA6717"/>
    <w:rsid w:val="00EA6786"/>
    <w:rsid w:val="00EA68D1"/>
    <w:rsid w:val="00EA692C"/>
    <w:rsid w:val="00EA6942"/>
    <w:rsid w:val="00EA6A59"/>
    <w:rsid w:val="00EA6A8B"/>
    <w:rsid w:val="00EA6C1F"/>
    <w:rsid w:val="00EA6E0E"/>
    <w:rsid w:val="00EA6E21"/>
    <w:rsid w:val="00EA6E25"/>
    <w:rsid w:val="00EA6E6B"/>
    <w:rsid w:val="00EA6EA5"/>
    <w:rsid w:val="00EA6EAC"/>
    <w:rsid w:val="00EA6F32"/>
    <w:rsid w:val="00EA7029"/>
    <w:rsid w:val="00EA705B"/>
    <w:rsid w:val="00EA709C"/>
    <w:rsid w:val="00EA71C8"/>
    <w:rsid w:val="00EA734F"/>
    <w:rsid w:val="00EA74B8"/>
    <w:rsid w:val="00EA7602"/>
    <w:rsid w:val="00EA7699"/>
    <w:rsid w:val="00EA780B"/>
    <w:rsid w:val="00EA784C"/>
    <w:rsid w:val="00EA7876"/>
    <w:rsid w:val="00EA7894"/>
    <w:rsid w:val="00EA78DA"/>
    <w:rsid w:val="00EA7A20"/>
    <w:rsid w:val="00EA7B75"/>
    <w:rsid w:val="00EA7CA2"/>
    <w:rsid w:val="00EA7D77"/>
    <w:rsid w:val="00EA7F2A"/>
    <w:rsid w:val="00EA7F33"/>
    <w:rsid w:val="00EA7F75"/>
    <w:rsid w:val="00EB0014"/>
    <w:rsid w:val="00EB0111"/>
    <w:rsid w:val="00EB027E"/>
    <w:rsid w:val="00EB04BE"/>
    <w:rsid w:val="00EB0546"/>
    <w:rsid w:val="00EB0688"/>
    <w:rsid w:val="00EB07CF"/>
    <w:rsid w:val="00EB0A0E"/>
    <w:rsid w:val="00EB0A5D"/>
    <w:rsid w:val="00EB0A79"/>
    <w:rsid w:val="00EB0AE7"/>
    <w:rsid w:val="00EB0B58"/>
    <w:rsid w:val="00EB0BC8"/>
    <w:rsid w:val="00EB0C7A"/>
    <w:rsid w:val="00EB0E5E"/>
    <w:rsid w:val="00EB0EDD"/>
    <w:rsid w:val="00EB18B8"/>
    <w:rsid w:val="00EB18F4"/>
    <w:rsid w:val="00EB1905"/>
    <w:rsid w:val="00EB1988"/>
    <w:rsid w:val="00EB1A0D"/>
    <w:rsid w:val="00EB1A37"/>
    <w:rsid w:val="00EB1AFF"/>
    <w:rsid w:val="00EB1B41"/>
    <w:rsid w:val="00EB1BC7"/>
    <w:rsid w:val="00EB1C3A"/>
    <w:rsid w:val="00EB1CDD"/>
    <w:rsid w:val="00EB1EBD"/>
    <w:rsid w:val="00EB1F82"/>
    <w:rsid w:val="00EB1FA5"/>
    <w:rsid w:val="00EB207F"/>
    <w:rsid w:val="00EB209F"/>
    <w:rsid w:val="00EB22F6"/>
    <w:rsid w:val="00EB2350"/>
    <w:rsid w:val="00EB2704"/>
    <w:rsid w:val="00EB271B"/>
    <w:rsid w:val="00EB2744"/>
    <w:rsid w:val="00EB2854"/>
    <w:rsid w:val="00EB2A04"/>
    <w:rsid w:val="00EB2A36"/>
    <w:rsid w:val="00EB2AB0"/>
    <w:rsid w:val="00EB2B3E"/>
    <w:rsid w:val="00EB2BB6"/>
    <w:rsid w:val="00EB2BD9"/>
    <w:rsid w:val="00EB2BF9"/>
    <w:rsid w:val="00EB2C2F"/>
    <w:rsid w:val="00EB2C38"/>
    <w:rsid w:val="00EB2C3F"/>
    <w:rsid w:val="00EB2C6E"/>
    <w:rsid w:val="00EB2C76"/>
    <w:rsid w:val="00EB2D15"/>
    <w:rsid w:val="00EB2DDA"/>
    <w:rsid w:val="00EB2E91"/>
    <w:rsid w:val="00EB2F79"/>
    <w:rsid w:val="00EB3002"/>
    <w:rsid w:val="00EB30B1"/>
    <w:rsid w:val="00EB30C4"/>
    <w:rsid w:val="00EB314A"/>
    <w:rsid w:val="00EB3170"/>
    <w:rsid w:val="00EB31AD"/>
    <w:rsid w:val="00EB31B1"/>
    <w:rsid w:val="00EB3564"/>
    <w:rsid w:val="00EB3851"/>
    <w:rsid w:val="00EB38B4"/>
    <w:rsid w:val="00EB3906"/>
    <w:rsid w:val="00EB3A74"/>
    <w:rsid w:val="00EB3ACD"/>
    <w:rsid w:val="00EB3B2B"/>
    <w:rsid w:val="00EB3C3B"/>
    <w:rsid w:val="00EB3C5F"/>
    <w:rsid w:val="00EB3C6D"/>
    <w:rsid w:val="00EB3C79"/>
    <w:rsid w:val="00EB3DB8"/>
    <w:rsid w:val="00EB3F87"/>
    <w:rsid w:val="00EB40AB"/>
    <w:rsid w:val="00EB4117"/>
    <w:rsid w:val="00EB44AA"/>
    <w:rsid w:val="00EB451B"/>
    <w:rsid w:val="00EB48BC"/>
    <w:rsid w:val="00EB48DA"/>
    <w:rsid w:val="00EB48F3"/>
    <w:rsid w:val="00EB4ADC"/>
    <w:rsid w:val="00EB4C71"/>
    <w:rsid w:val="00EB4CE7"/>
    <w:rsid w:val="00EB4D96"/>
    <w:rsid w:val="00EB4DC1"/>
    <w:rsid w:val="00EB4EC7"/>
    <w:rsid w:val="00EB4EF9"/>
    <w:rsid w:val="00EB4F1C"/>
    <w:rsid w:val="00EB4FB8"/>
    <w:rsid w:val="00EB5021"/>
    <w:rsid w:val="00EB5060"/>
    <w:rsid w:val="00EB5075"/>
    <w:rsid w:val="00EB50DA"/>
    <w:rsid w:val="00EB51E5"/>
    <w:rsid w:val="00EB5268"/>
    <w:rsid w:val="00EB538B"/>
    <w:rsid w:val="00EB53AD"/>
    <w:rsid w:val="00EB542E"/>
    <w:rsid w:val="00EB5448"/>
    <w:rsid w:val="00EB55EA"/>
    <w:rsid w:val="00EB5677"/>
    <w:rsid w:val="00EB5956"/>
    <w:rsid w:val="00EB5961"/>
    <w:rsid w:val="00EB59D2"/>
    <w:rsid w:val="00EB5A13"/>
    <w:rsid w:val="00EB5B08"/>
    <w:rsid w:val="00EB5B0D"/>
    <w:rsid w:val="00EB5B10"/>
    <w:rsid w:val="00EB5D51"/>
    <w:rsid w:val="00EB5D74"/>
    <w:rsid w:val="00EB5F22"/>
    <w:rsid w:val="00EB5F43"/>
    <w:rsid w:val="00EB5FE2"/>
    <w:rsid w:val="00EB6235"/>
    <w:rsid w:val="00EB624B"/>
    <w:rsid w:val="00EB6335"/>
    <w:rsid w:val="00EB634C"/>
    <w:rsid w:val="00EB6378"/>
    <w:rsid w:val="00EB63F9"/>
    <w:rsid w:val="00EB6536"/>
    <w:rsid w:val="00EB656B"/>
    <w:rsid w:val="00EB6582"/>
    <w:rsid w:val="00EB65A3"/>
    <w:rsid w:val="00EB6726"/>
    <w:rsid w:val="00EB6741"/>
    <w:rsid w:val="00EB676C"/>
    <w:rsid w:val="00EB67C0"/>
    <w:rsid w:val="00EB68AE"/>
    <w:rsid w:val="00EB6907"/>
    <w:rsid w:val="00EB69E4"/>
    <w:rsid w:val="00EB6E62"/>
    <w:rsid w:val="00EB700C"/>
    <w:rsid w:val="00EB708C"/>
    <w:rsid w:val="00EB7225"/>
    <w:rsid w:val="00EB7287"/>
    <w:rsid w:val="00EB7306"/>
    <w:rsid w:val="00EB7316"/>
    <w:rsid w:val="00EB7391"/>
    <w:rsid w:val="00EB7597"/>
    <w:rsid w:val="00EB76E4"/>
    <w:rsid w:val="00EB7701"/>
    <w:rsid w:val="00EB7789"/>
    <w:rsid w:val="00EB787C"/>
    <w:rsid w:val="00EB78A4"/>
    <w:rsid w:val="00EB78E2"/>
    <w:rsid w:val="00EB7907"/>
    <w:rsid w:val="00EB7A4F"/>
    <w:rsid w:val="00EB7A56"/>
    <w:rsid w:val="00EB7C70"/>
    <w:rsid w:val="00EB7D22"/>
    <w:rsid w:val="00EB7D57"/>
    <w:rsid w:val="00EB7DC5"/>
    <w:rsid w:val="00EB7E3B"/>
    <w:rsid w:val="00EB7E99"/>
    <w:rsid w:val="00EB7F64"/>
    <w:rsid w:val="00EB7F7E"/>
    <w:rsid w:val="00EC00DF"/>
    <w:rsid w:val="00EC0177"/>
    <w:rsid w:val="00EC0447"/>
    <w:rsid w:val="00EC0493"/>
    <w:rsid w:val="00EC0588"/>
    <w:rsid w:val="00EC0687"/>
    <w:rsid w:val="00EC06F4"/>
    <w:rsid w:val="00EC080B"/>
    <w:rsid w:val="00EC0E06"/>
    <w:rsid w:val="00EC1027"/>
    <w:rsid w:val="00EC1227"/>
    <w:rsid w:val="00EC138A"/>
    <w:rsid w:val="00EC1533"/>
    <w:rsid w:val="00EC157E"/>
    <w:rsid w:val="00EC15BF"/>
    <w:rsid w:val="00EC1750"/>
    <w:rsid w:val="00EC189E"/>
    <w:rsid w:val="00EC191A"/>
    <w:rsid w:val="00EC1929"/>
    <w:rsid w:val="00EC1A37"/>
    <w:rsid w:val="00EC1A50"/>
    <w:rsid w:val="00EC1A95"/>
    <w:rsid w:val="00EC1B5C"/>
    <w:rsid w:val="00EC1C54"/>
    <w:rsid w:val="00EC1C74"/>
    <w:rsid w:val="00EC1DAA"/>
    <w:rsid w:val="00EC1E5B"/>
    <w:rsid w:val="00EC1ED0"/>
    <w:rsid w:val="00EC2295"/>
    <w:rsid w:val="00EC22A5"/>
    <w:rsid w:val="00EC22EC"/>
    <w:rsid w:val="00EC239A"/>
    <w:rsid w:val="00EC271B"/>
    <w:rsid w:val="00EC28D0"/>
    <w:rsid w:val="00EC28DF"/>
    <w:rsid w:val="00EC2B20"/>
    <w:rsid w:val="00EC2CCE"/>
    <w:rsid w:val="00EC2D0C"/>
    <w:rsid w:val="00EC2E3A"/>
    <w:rsid w:val="00EC2ED7"/>
    <w:rsid w:val="00EC30B3"/>
    <w:rsid w:val="00EC30BB"/>
    <w:rsid w:val="00EC3158"/>
    <w:rsid w:val="00EC3169"/>
    <w:rsid w:val="00EC321D"/>
    <w:rsid w:val="00EC3343"/>
    <w:rsid w:val="00EC35D1"/>
    <w:rsid w:val="00EC3665"/>
    <w:rsid w:val="00EC3691"/>
    <w:rsid w:val="00EC3851"/>
    <w:rsid w:val="00EC38DD"/>
    <w:rsid w:val="00EC3BD4"/>
    <w:rsid w:val="00EC3E79"/>
    <w:rsid w:val="00EC3FD8"/>
    <w:rsid w:val="00EC41A6"/>
    <w:rsid w:val="00EC4201"/>
    <w:rsid w:val="00EC4308"/>
    <w:rsid w:val="00EC43AA"/>
    <w:rsid w:val="00EC4431"/>
    <w:rsid w:val="00EC4473"/>
    <w:rsid w:val="00EC4A1D"/>
    <w:rsid w:val="00EC4B08"/>
    <w:rsid w:val="00EC4B3C"/>
    <w:rsid w:val="00EC4BC9"/>
    <w:rsid w:val="00EC4CCD"/>
    <w:rsid w:val="00EC4D04"/>
    <w:rsid w:val="00EC4D3B"/>
    <w:rsid w:val="00EC4DEF"/>
    <w:rsid w:val="00EC4E8C"/>
    <w:rsid w:val="00EC4EA8"/>
    <w:rsid w:val="00EC4F3E"/>
    <w:rsid w:val="00EC5045"/>
    <w:rsid w:val="00EC50AD"/>
    <w:rsid w:val="00EC517C"/>
    <w:rsid w:val="00EC5373"/>
    <w:rsid w:val="00EC5426"/>
    <w:rsid w:val="00EC542D"/>
    <w:rsid w:val="00EC5447"/>
    <w:rsid w:val="00EC5605"/>
    <w:rsid w:val="00EC567D"/>
    <w:rsid w:val="00EC5761"/>
    <w:rsid w:val="00EC584B"/>
    <w:rsid w:val="00EC587B"/>
    <w:rsid w:val="00EC5926"/>
    <w:rsid w:val="00EC59E2"/>
    <w:rsid w:val="00EC5ADE"/>
    <w:rsid w:val="00EC5B7C"/>
    <w:rsid w:val="00EC5BB3"/>
    <w:rsid w:val="00EC5C4A"/>
    <w:rsid w:val="00EC5C9E"/>
    <w:rsid w:val="00EC601E"/>
    <w:rsid w:val="00EC60C6"/>
    <w:rsid w:val="00EC63B5"/>
    <w:rsid w:val="00EC63FC"/>
    <w:rsid w:val="00EC641A"/>
    <w:rsid w:val="00EC6443"/>
    <w:rsid w:val="00EC655C"/>
    <w:rsid w:val="00EC6577"/>
    <w:rsid w:val="00EC670D"/>
    <w:rsid w:val="00EC6748"/>
    <w:rsid w:val="00EC6911"/>
    <w:rsid w:val="00EC6980"/>
    <w:rsid w:val="00EC6AD7"/>
    <w:rsid w:val="00EC6B1F"/>
    <w:rsid w:val="00EC6B61"/>
    <w:rsid w:val="00EC6C49"/>
    <w:rsid w:val="00EC6E5E"/>
    <w:rsid w:val="00EC6FC0"/>
    <w:rsid w:val="00EC7035"/>
    <w:rsid w:val="00EC71DD"/>
    <w:rsid w:val="00EC723F"/>
    <w:rsid w:val="00EC7290"/>
    <w:rsid w:val="00EC73C0"/>
    <w:rsid w:val="00EC743F"/>
    <w:rsid w:val="00EC7610"/>
    <w:rsid w:val="00EC7676"/>
    <w:rsid w:val="00EC7721"/>
    <w:rsid w:val="00EC778E"/>
    <w:rsid w:val="00EC7880"/>
    <w:rsid w:val="00EC78AD"/>
    <w:rsid w:val="00EC7AE7"/>
    <w:rsid w:val="00EC7D19"/>
    <w:rsid w:val="00EC7DCF"/>
    <w:rsid w:val="00EC7EED"/>
    <w:rsid w:val="00EC7FDB"/>
    <w:rsid w:val="00ED002B"/>
    <w:rsid w:val="00ED0051"/>
    <w:rsid w:val="00ED00FF"/>
    <w:rsid w:val="00ED0133"/>
    <w:rsid w:val="00ED01B9"/>
    <w:rsid w:val="00ED025D"/>
    <w:rsid w:val="00ED034D"/>
    <w:rsid w:val="00ED055C"/>
    <w:rsid w:val="00ED0770"/>
    <w:rsid w:val="00ED0823"/>
    <w:rsid w:val="00ED08B4"/>
    <w:rsid w:val="00ED0B2B"/>
    <w:rsid w:val="00ED0B52"/>
    <w:rsid w:val="00ED0CD6"/>
    <w:rsid w:val="00ED0DFF"/>
    <w:rsid w:val="00ED0E47"/>
    <w:rsid w:val="00ED0EF6"/>
    <w:rsid w:val="00ED110A"/>
    <w:rsid w:val="00ED12BE"/>
    <w:rsid w:val="00ED13E1"/>
    <w:rsid w:val="00ED1425"/>
    <w:rsid w:val="00ED144B"/>
    <w:rsid w:val="00ED151A"/>
    <w:rsid w:val="00ED1539"/>
    <w:rsid w:val="00ED1694"/>
    <w:rsid w:val="00ED16CF"/>
    <w:rsid w:val="00ED16D7"/>
    <w:rsid w:val="00ED1839"/>
    <w:rsid w:val="00ED18E8"/>
    <w:rsid w:val="00ED195A"/>
    <w:rsid w:val="00ED196E"/>
    <w:rsid w:val="00ED198F"/>
    <w:rsid w:val="00ED1A50"/>
    <w:rsid w:val="00ED1D83"/>
    <w:rsid w:val="00ED1EC0"/>
    <w:rsid w:val="00ED1F54"/>
    <w:rsid w:val="00ED21CA"/>
    <w:rsid w:val="00ED2232"/>
    <w:rsid w:val="00ED2553"/>
    <w:rsid w:val="00ED2698"/>
    <w:rsid w:val="00ED26A1"/>
    <w:rsid w:val="00ED278A"/>
    <w:rsid w:val="00ED2799"/>
    <w:rsid w:val="00ED2964"/>
    <w:rsid w:val="00ED2BEB"/>
    <w:rsid w:val="00ED2CEA"/>
    <w:rsid w:val="00ED2D9F"/>
    <w:rsid w:val="00ED2DF4"/>
    <w:rsid w:val="00ED2E01"/>
    <w:rsid w:val="00ED2FBA"/>
    <w:rsid w:val="00ED2FC2"/>
    <w:rsid w:val="00ED3330"/>
    <w:rsid w:val="00ED333E"/>
    <w:rsid w:val="00ED339B"/>
    <w:rsid w:val="00ED3411"/>
    <w:rsid w:val="00ED3622"/>
    <w:rsid w:val="00ED3774"/>
    <w:rsid w:val="00ED37F1"/>
    <w:rsid w:val="00ED3803"/>
    <w:rsid w:val="00ED3831"/>
    <w:rsid w:val="00ED3A11"/>
    <w:rsid w:val="00ED3A18"/>
    <w:rsid w:val="00ED3A47"/>
    <w:rsid w:val="00ED3BF1"/>
    <w:rsid w:val="00ED3BFD"/>
    <w:rsid w:val="00ED3E86"/>
    <w:rsid w:val="00ED3EF1"/>
    <w:rsid w:val="00ED3F5C"/>
    <w:rsid w:val="00ED40E7"/>
    <w:rsid w:val="00ED4291"/>
    <w:rsid w:val="00ED4352"/>
    <w:rsid w:val="00ED439C"/>
    <w:rsid w:val="00ED44E2"/>
    <w:rsid w:val="00ED44F5"/>
    <w:rsid w:val="00ED454E"/>
    <w:rsid w:val="00ED4588"/>
    <w:rsid w:val="00ED4692"/>
    <w:rsid w:val="00ED474F"/>
    <w:rsid w:val="00ED4CB2"/>
    <w:rsid w:val="00ED4F44"/>
    <w:rsid w:val="00ED4FBA"/>
    <w:rsid w:val="00ED4FD9"/>
    <w:rsid w:val="00ED5030"/>
    <w:rsid w:val="00ED5225"/>
    <w:rsid w:val="00ED5274"/>
    <w:rsid w:val="00ED5381"/>
    <w:rsid w:val="00ED53BE"/>
    <w:rsid w:val="00ED54B7"/>
    <w:rsid w:val="00ED5728"/>
    <w:rsid w:val="00ED57A1"/>
    <w:rsid w:val="00ED580E"/>
    <w:rsid w:val="00ED58D6"/>
    <w:rsid w:val="00ED5A8B"/>
    <w:rsid w:val="00ED5B09"/>
    <w:rsid w:val="00ED5B43"/>
    <w:rsid w:val="00ED5B66"/>
    <w:rsid w:val="00ED5C40"/>
    <w:rsid w:val="00ED5C97"/>
    <w:rsid w:val="00ED5CD8"/>
    <w:rsid w:val="00ED5D60"/>
    <w:rsid w:val="00ED5DA0"/>
    <w:rsid w:val="00ED5EDC"/>
    <w:rsid w:val="00ED5F00"/>
    <w:rsid w:val="00ED6143"/>
    <w:rsid w:val="00ED62E2"/>
    <w:rsid w:val="00ED630F"/>
    <w:rsid w:val="00ED6490"/>
    <w:rsid w:val="00ED64D1"/>
    <w:rsid w:val="00ED656B"/>
    <w:rsid w:val="00ED659C"/>
    <w:rsid w:val="00ED65B7"/>
    <w:rsid w:val="00ED6824"/>
    <w:rsid w:val="00ED6842"/>
    <w:rsid w:val="00ED68B5"/>
    <w:rsid w:val="00ED6B1E"/>
    <w:rsid w:val="00ED6BEE"/>
    <w:rsid w:val="00ED6C00"/>
    <w:rsid w:val="00ED6C18"/>
    <w:rsid w:val="00ED6C1C"/>
    <w:rsid w:val="00ED6C85"/>
    <w:rsid w:val="00ED6C8C"/>
    <w:rsid w:val="00ED6EA1"/>
    <w:rsid w:val="00ED7013"/>
    <w:rsid w:val="00ED7272"/>
    <w:rsid w:val="00ED7338"/>
    <w:rsid w:val="00ED759B"/>
    <w:rsid w:val="00ED772A"/>
    <w:rsid w:val="00ED7732"/>
    <w:rsid w:val="00ED77D2"/>
    <w:rsid w:val="00ED7981"/>
    <w:rsid w:val="00ED7A0F"/>
    <w:rsid w:val="00ED7A6A"/>
    <w:rsid w:val="00ED7B05"/>
    <w:rsid w:val="00ED7B5E"/>
    <w:rsid w:val="00ED7CF8"/>
    <w:rsid w:val="00ED7D3F"/>
    <w:rsid w:val="00ED7E2E"/>
    <w:rsid w:val="00ED7EEC"/>
    <w:rsid w:val="00EE0277"/>
    <w:rsid w:val="00EE0291"/>
    <w:rsid w:val="00EE02A1"/>
    <w:rsid w:val="00EE02AF"/>
    <w:rsid w:val="00EE0420"/>
    <w:rsid w:val="00EE04B4"/>
    <w:rsid w:val="00EE050D"/>
    <w:rsid w:val="00EE05D3"/>
    <w:rsid w:val="00EE068A"/>
    <w:rsid w:val="00EE0807"/>
    <w:rsid w:val="00EE08CD"/>
    <w:rsid w:val="00EE0945"/>
    <w:rsid w:val="00EE0995"/>
    <w:rsid w:val="00EE0A6C"/>
    <w:rsid w:val="00EE0B28"/>
    <w:rsid w:val="00EE0CEC"/>
    <w:rsid w:val="00EE0D1C"/>
    <w:rsid w:val="00EE0D3D"/>
    <w:rsid w:val="00EE0DF5"/>
    <w:rsid w:val="00EE0E6B"/>
    <w:rsid w:val="00EE0F02"/>
    <w:rsid w:val="00EE1005"/>
    <w:rsid w:val="00EE1307"/>
    <w:rsid w:val="00EE138D"/>
    <w:rsid w:val="00EE1412"/>
    <w:rsid w:val="00EE144E"/>
    <w:rsid w:val="00EE15DD"/>
    <w:rsid w:val="00EE15EE"/>
    <w:rsid w:val="00EE160F"/>
    <w:rsid w:val="00EE169D"/>
    <w:rsid w:val="00EE17CB"/>
    <w:rsid w:val="00EE17EE"/>
    <w:rsid w:val="00EE1919"/>
    <w:rsid w:val="00EE19DB"/>
    <w:rsid w:val="00EE1B3A"/>
    <w:rsid w:val="00EE1B7C"/>
    <w:rsid w:val="00EE1B8F"/>
    <w:rsid w:val="00EE1BF3"/>
    <w:rsid w:val="00EE1C2E"/>
    <w:rsid w:val="00EE1F88"/>
    <w:rsid w:val="00EE2057"/>
    <w:rsid w:val="00EE2106"/>
    <w:rsid w:val="00EE2165"/>
    <w:rsid w:val="00EE21F1"/>
    <w:rsid w:val="00EE223C"/>
    <w:rsid w:val="00EE22BF"/>
    <w:rsid w:val="00EE2386"/>
    <w:rsid w:val="00EE2607"/>
    <w:rsid w:val="00EE267E"/>
    <w:rsid w:val="00EE2A05"/>
    <w:rsid w:val="00EE2C01"/>
    <w:rsid w:val="00EE2D23"/>
    <w:rsid w:val="00EE2D74"/>
    <w:rsid w:val="00EE2D8C"/>
    <w:rsid w:val="00EE2E27"/>
    <w:rsid w:val="00EE3020"/>
    <w:rsid w:val="00EE3035"/>
    <w:rsid w:val="00EE3047"/>
    <w:rsid w:val="00EE30FC"/>
    <w:rsid w:val="00EE3181"/>
    <w:rsid w:val="00EE318D"/>
    <w:rsid w:val="00EE32A6"/>
    <w:rsid w:val="00EE3340"/>
    <w:rsid w:val="00EE3442"/>
    <w:rsid w:val="00EE3567"/>
    <w:rsid w:val="00EE360B"/>
    <w:rsid w:val="00EE36F8"/>
    <w:rsid w:val="00EE3711"/>
    <w:rsid w:val="00EE3756"/>
    <w:rsid w:val="00EE37FE"/>
    <w:rsid w:val="00EE38CD"/>
    <w:rsid w:val="00EE3931"/>
    <w:rsid w:val="00EE395D"/>
    <w:rsid w:val="00EE39F9"/>
    <w:rsid w:val="00EE3A70"/>
    <w:rsid w:val="00EE3ABA"/>
    <w:rsid w:val="00EE3AC1"/>
    <w:rsid w:val="00EE3B81"/>
    <w:rsid w:val="00EE3C6D"/>
    <w:rsid w:val="00EE3D3C"/>
    <w:rsid w:val="00EE3E30"/>
    <w:rsid w:val="00EE3E45"/>
    <w:rsid w:val="00EE3E5F"/>
    <w:rsid w:val="00EE3E92"/>
    <w:rsid w:val="00EE4076"/>
    <w:rsid w:val="00EE40F2"/>
    <w:rsid w:val="00EE40F5"/>
    <w:rsid w:val="00EE4157"/>
    <w:rsid w:val="00EE41B9"/>
    <w:rsid w:val="00EE4272"/>
    <w:rsid w:val="00EE443A"/>
    <w:rsid w:val="00EE4498"/>
    <w:rsid w:val="00EE46A9"/>
    <w:rsid w:val="00EE46C0"/>
    <w:rsid w:val="00EE46DD"/>
    <w:rsid w:val="00EE4746"/>
    <w:rsid w:val="00EE479B"/>
    <w:rsid w:val="00EE48B0"/>
    <w:rsid w:val="00EE49C4"/>
    <w:rsid w:val="00EE4C08"/>
    <w:rsid w:val="00EE4D64"/>
    <w:rsid w:val="00EE4EAB"/>
    <w:rsid w:val="00EE4EB2"/>
    <w:rsid w:val="00EE4EE3"/>
    <w:rsid w:val="00EE4F28"/>
    <w:rsid w:val="00EE4FFC"/>
    <w:rsid w:val="00EE5019"/>
    <w:rsid w:val="00EE5042"/>
    <w:rsid w:val="00EE5183"/>
    <w:rsid w:val="00EE53A8"/>
    <w:rsid w:val="00EE5435"/>
    <w:rsid w:val="00EE54E2"/>
    <w:rsid w:val="00EE55C8"/>
    <w:rsid w:val="00EE5836"/>
    <w:rsid w:val="00EE58C3"/>
    <w:rsid w:val="00EE58D2"/>
    <w:rsid w:val="00EE5919"/>
    <w:rsid w:val="00EE596C"/>
    <w:rsid w:val="00EE59C9"/>
    <w:rsid w:val="00EE5B3D"/>
    <w:rsid w:val="00EE5B8E"/>
    <w:rsid w:val="00EE5BA1"/>
    <w:rsid w:val="00EE6078"/>
    <w:rsid w:val="00EE6095"/>
    <w:rsid w:val="00EE6235"/>
    <w:rsid w:val="00EE6366"/>
    <w:rsid w:val="00EE666D"/>
    <w:rsid w:val="00EE6737"/>
    <w:rsid w:val="00EE68EF"/>
    <w:rsid w:val="00EE68F2"/>
    <w:rsid w:val="00EE690E"/>
    <w:rsid w:val="00EE6998"/>
    <w:rsid w:val="00EE6B0A"/>
    <w:rsid w:val="00EE6B52"/>
    <w:rsid w:val="00EE6C05"/>
    <w:rsid w:val="00EE6CB3"/>
    <w:rsid w:val="00EE6D1A"/>
    <w:rsid w:val="00EE6D5C"/>
    <w:rsid w:val="00EE6D98"/>
    <w:rsid w:val="00EE6E16"/>
    <w:rsid w:val="00EE7050"/>
    <w:rsid w:val="00EE7276"/>
    <w:rsid w:val="00EE72A0"/>
    <w:rsid w:val="00EE72A4"/>
    <w:rsid w:val="00EE7330"/>
    <w:rsid w:val="00EE74F7"/>
    <w:rsid w:val="00EE767E"/>
    <w:rsid w:val="00EE78B8"/>
    <w:rsid w:val="00EE7958"/>
    <w:rsid w:val="00EE79AB"/>
    <w:rsid w:val="00EE7AFC"/>
    <w:rsid w:val="00EE7C15"/>
    <w:rsid w:val="00EE7C5B"/>
    <w:rsid w:val="00EE7CDC"/>
    <w:rsid w:val="00EE7F68"/>
    <w:rsid w:val="00EE7FB0"/>
    <w:rsid w:val="00EE7FC3"/>
    <w:rsid w:val="00EF008A"/>
    <w:rsid w:val="00EF00B1"/>
    <w:rsid w:val="00EF015D"/>
    <w:rsid w:val="00EF01A6"/>
    <w:rsid w:val="00EF0217"/>
    <w:rsid w:val="00EF03B8"/>
    <w:rsid w:val="00EF03BB"/>
    <w:rsid w:val="00EF0415"/>
    <w:rsid w:val="00EF0488"/>
    <w:rsid w:val="00EF050B"/>
    <w:rsid w:val="00EF0616"/>
    <w:rsid w:val="00EF0640"/>
    <w:rsid w:val="00EF07E8"/>
    <w:rsid w:val="00EF07EE"/>
    <w:rsid w:val="00EF0826"/>
    <w:rsid w:val="00EF0851"/>
    <w:rsid w:val="00EF0882"/>
    <w:rsid w:val="00EF08D9"/>
    <w:rsid w:val="00EF08EE"/>
    <w:rsid w:val="00EF0900"/>
    <w:rsid w:val="00EF093E"/>
    <w:rsid w:val="00EF0A8B"/>
    <w:rsid w:val="00EF0AA8"/>
    <w:rsid w:val="00EF0BFA"/>
    <w:rsid w:val="00EF0D52"/>
    <w:rsid w:val="00EF0D86"/>
    <w:rsid w:val="00EF0E93"/>
    <w:rsid w:val="00EF0E95"/>
    <w:rsid w:val="00EF1247"/>
    <w:rsid w:val="00EF1251"/>
    <w:rsid w:val="00EF127B"/>
    <w:rsid w:val="00EF12F3"/>
    <w:rsid w:val="00EF134A"/>
    <w:rsid w:val="00EF13CC"/>
    <w:rsid w:val="00EF16CF"/>
    <w:rsid w:val="00EF174E"/>
    <w:rsid w:val="00EF1814"/>
    <w:rsid w:val="00EF1916"/>
    <w:rsid w:val="00EF1976"/>
    <w:rsid w:val="00EF1C81"/>
    <w:rsid w:val="00EF1D1A"/>
    <w:rsid w:val="00EF1D1C"/>
    <w:rsid w:val="00EF1DF8"/>
    <w:rsid w:val="00EF1E78"/>
    <w:rsid w:val="00EF1F0B"/>
    <w:rsid w:val="00EF21CC"/>
    <w:rsid w:val="00EF2294"/>
    <w:rsid w:val="00EF25C5"/>
    <w:rsid w:val="00EF2647"/>
    <w:rsid w:val="00EF2655"/>
    <w:rsid w:val="00EF281F"/>
    <w:rsid w:val="00EF29B7"/>
    <w:rsid w:val="00EF2C2C"/>
    <w:rsid w:val="00EF2CBB"/>
    <w:rsid w:val="00EF2CC4"/>
    <w:rsid w:val="00EF2CD5"/>
    <w:rsid w:val="00EF2CF6"/>
    <w:rsid w:val="00EF2DFE"/>
    <w:rsid w:val="00EF2E0A"/>
    <w:rsid w:val="00EF2E19"/>
    <w:rsid w:val="00EF2E6C"/>
    <w:rsid w:val="00EF2F4A"/>
    <w:rsid w:val="00EF2FA1"/>
    <w:rsid w:val="00EF2FA6"/>
    <w:rsid w:val="00EF2FE6"/>
    <w:rsid w:val="00EF312C"/>
    <w:rsid w:val="00EF3230"/>
    <w:rsid w:val="00EF3293"/>
    <w:rsid w:val="00EF32E1"/>
    <w:rsid w:val="00EF348D"/>
    <w:rsid w:val="00EF34C6"/>
    <w:rsid w:val="00EF35D2"/>
    <w:rsid w:val="00EF3609"/>
    <w:rsid w:val="00EF372D"/>
    <w:rsid w:val="00EF38B0"/>
    <w:rsid w:val="00EF396B"/>
    <w:rsid w:val="00EF396E"/>
    <w:rsid w:val="00EF39FF"/>
    <w:rsid w:val="00EF3A65"/>
    <w:rsid w:val="00EF3B20"/>
    <w:rsid w:val="00EF3BA9"/>
    <w:rsid w:val="00EF3C6A"/>
    <w:rsid w:val="00EF3D91"/>
    <w:rsid w:val="00EF3D92"/>
    <w:rsid w:val="00EF3E61"/>
    <w:rsid w:val="00EF3E9B"/>
    <w:rsid w:val="00EF3ED1"/>
    <w:rsid w:val="00EF3FB0"/>
    <w:rsid w:val="00EF4138"/>
    <w:rsid w:val="00EF4310"/>
    <w:rsid w:val="00EF44AB"/>
    <w:rsid w:val="00EF44D5"/>
    <w:rsid w:val="00EF463C"/>
    <w:rsid w:val="00EF46BE"/>
    <w:rsid w:val="00EF46E9"/>
    <w:rsid w:val="00EF479B"/>
    <w:rsid w:val="00EF4B00"/>
    <w:rsid w:val="00EF4BE9"/>
    <w:rsid w:val="00EF4CCA"/>
    <w:rsid w:val="00EF4CE2"/>
    <w:rsid w:val="00EF4D03"/>
    <w:rsid w:val="00EF4E23"/>
    <w:rsid w:val="00EF4F1D"/>
    <w:rsid w:val="00EF5123"/>
    <w:rsid w:val="00EF5177"/>
    <w:rsid w:val="00EF520B"/>
    <w:rsid w:val="00EF5218"/>
    <w:rsid w:val="00EF5308"/>
    <w:rsid w:val="00EF5312"/>
    <w:rsid w:val="00EF5379"/>
    <w:rsid w:val="00EF5422"/>
    <w:rsid w:val="00EF549C"/>
    <w:rsid w:val="00EF5555"/>
    <w:rsid w:val="00EF557A"/>
    <w:rsid w:val="00EF5611"/>
    <w:rsid w:val="00EF57D7"/>
    <w:rsid w:val="00EF585A"/>
    <w:rsid w:val="00EF587A"/>
    <w:rsid w:val="00EF58DA"/>
    <w:rsid w:val="00EF58E4"/>
    <w:rsid w:val="00EF5ACC"/>
    <w:rsid w:val="00EF5C9B"/>
    <w:rsid w:val="00EF5CAD"/>
    <w:rsid w:val="00EF5CFF"/>
    <w:rsid w:val="00EF5E5C"/>
    <w:rsid w:val="00EF5E65"/>
    <w:rsid w:val="00EF5EC6"/>
    <w:rsid w:val="00EF5FED"/>
    <w:rsid w:val="00EF614B"/>
    <w:rsid w:val="00EF61FC"/>
    <w:rsid w:val="00EF6260"/>
    <w:rsid w:val="00EF62F1"/>
    <w:rsid w:val="00EF650D"/>
    <w:rsid w:val="00EF6560"/>
    <w:rsid w:val="00EF6618"/>
    <w:rsid w:val="00EF66A2"/>
    <w:rsid w:val="00EF66EA"/>
    <w:rsid w:val="00EF689B"/>
    <w:rsid w:val="00EF68F2"/>
    <w:rsid w:val="00EF6BF2"/>
    <w:rsid w:val="00EF6C1F"/>
    <w:rsid w:val="00EF6CBB"/>
    <w:rsid w:val="00EF6CCF"/>
    <w:rsid w:val="00EF6D39"/>
    <w:rsid w:val="00EF6ED5"/>
    <w:rsid w:val="00EF6EEA"/>
    <w:rsid w:val="00EF6F8B"/>
    <w:rsid w:val="00EF71B0"/>
    <w:rsid w:val="00EF7225"/>
    <w:rsid w:val="00EF727F"/>
    <w:rsid w:val="00EF732F"/>
    <w:rsid w:val="00EF73F2"/>
    <w:rsid w:val="00EF767E"/>
    <w:rsid w:val="00EF7763"/>
    <w:rsid w:val="00EF7929"/>
    <w:rsid w:val="00EF7985"/>
    <w:rsid w:val="00EF7A10"/>
    <w:rsid w:val="00EF7B41"/>
    <w:rsid w:val="00EF7B82"/>
    <w:rsid w:val="00EF7BC4"/>
    <w:rsid w:val="00EF7C08"/>
    <w:rsid w:val="00EF7D89"/>
    <w:rsid w:val="00EF7DF9"/>
    <w:rsid w:val="00EF7E2E"/>
    <w:rsid w:val="00EF7FA5"/>
    <w:rsid w:val="00EF7FEE"/>
    <w:rsid w:val="00EF7FF3"/>
    <w:rsid w:val="00F00154"/>
    <w:rsid w:val="00F002B0"/>
    <w:rsid w:val="00F002BD"/>
    <w:rsid w:val="00F00436"/>
    <w:rsid w:val="00F0066C"/>
    <w:rsid w:val="00F0068F"/>
    <w:rsid w:val="00F00841"/>
    <w:rsid w:val="00F0084C"/>
    <w:rsid w:val="00F00C2D"/>
    <w:rsid w:val="00F00E26"/>
    <w:rsid w:val="00F00EA8"/>
    <w:rsid w:val="00F00F6D"/>
    <w:rsid w:val="00F01011"/>
    <w:rsid w:val="00F0134F"/>
    <w:rsid w:val="00F01474"/>
    <w:rsid w:val="00F01475"/>
    <w:rsid w:val="00F0147B"/>
    <w:rsid w:val="00F016D1"/>
    <w:rsid w:val="00F016F7"/>
    <w:rsid w:val="00F017C9"/>
    <w:rsid w:val="00F018C5"/>
    <w:rsid w:val="00F018E3"/>
    <w:rsid w:val="00F01A29"/>
    <w:rsid w:val="00F01A7B"/>
    <w:rsid w:val="00F01A7D"/>
    <w:rsid w:val="00F01B18"/>
    <w:rsid w:val="00F01C92"/>
    <w:rsid w:val="00F01CC7"/>
    <w:rsid w:val="00F01DE7"/>
    <w:rsid w:val="00F020F1"/>
    <w:rsid w:val="00F0235F"/>
    <w:rsid w:val="00F0242F"/>
    <w:rsid w:val="00F02466"/>
    <w:rsid w:val="00F025E4"/>
    <w:rsid w:val="00F02873"/>
    <w:rsid w:val="00F029C6"/>
    <w:rsid w:val="00F029DF"/>
    <w:rsid w:val="00F02C9D"/>
    <w:rsid w:val="00F02CD5"/>
    <w:rsid w:val="00F02E41"/>
    <w:rsid w:val="00F02FC0"/>
    <w:rsid w:val="00F0330F"/>
    <w:rsid w:val="00F03556"/>
    <w:rsid w:val="00F0367F"/>
    <w:rsid w:val="00F036F7"/>
    <w:rsid w:val="00F03780"/>
    <w:rsid w:val="00F0378E"/>
    <w:rsid w:val="00F03918"/>
    <w:rsid w:val="00F039D7"/>
    <w:rsid w:val="00F03AD8"/>
    <w:rsid w:val="00F03AE7"/>
    <w:rsid w:val="00F03AF3"/>
    <w:rsid w:val="00F03BD8"/>
    <w:rsid w:val="00F03C5E"/>
    <w:rsid w:val="00F03CCA"/>
    <w:rsid w:val="00F03DC3"/>
    <w:rsid w:val="00F03F2C"/>
    <w:rsid w:val="00F0402D"/>
    <w:rsid w:val="00F0405A"/>
    <w:rsid w:val="00F04330"/>
    <w:rsid w:val="00F043CC"/>
    <w:rsid w:val="00F04440"/>
    <w:rsid w:val="00F04483"/>
    <w:rsid w:val="00F044DC"/>
    <w:rsid w:val="00F04596"/>
    <w:rsid w:val="00F04607"/>
    <w:rsid w:val="00F0461D"/>
    <w:rsid w:val="00F04687"/>
    <w:rsid w:val="00F046C8"/>
    <w:rsid w:val="00F0475A"/>
    <w:rsid w:val="00F04D22"/>
    <w:rsid w:val="00F04F52"/>
    <w:rsid w:val="00F04F9D"/>
    <w:rsid w:val="00F04FE8"/>
    <w:rsid w:val="00F05029"/>
    <w:rsid w:val="00F05060"/>
    <w:rsid w:val="00F0509A"/>
    <w:rsid w:val="00F050A4"/>
    <w:rsid w:val="00F051E8"/>
    <w:rsid w:val="00F052D0"/>
    <w:rsid w:val="00F05755"/>
    <w:rsid w:val="00F0575B"/>
    <w:rsid w:val="00F059E1"/>
    <w:rsid w:val="00F05B39"/>
    <w:rsid w:val="00F05C02"/>
    <w:rsid w:val="00F05CE4"/>
    <w:rsid w:val="00F05DE1"/>
    <w:rsid w:val="00F05EC9"/>
    <w:rsid w:val="00F05F80"/>
    <w:rsid w:val="00F06048"/>
    <w:rsid w:val="00F0607B"/>
    <w:rsid w:val="00F060B5"/>
    <w:rsid w:val="00F0618C"/>
    <w:rsid w:val="00F061F0"/>
    <w:rsid w:val="00F06206"/>
    <w:rsid w:val="00F06295"/>
    <w:rsid w:val="00F062AB"/>
    <w:rsid w:val="00F062B1"/>
    <w:rsid w:val="00F062DE"/>
    <w:rsid w:val="00F062E0"/>
    <w:rsid w:val="00F06373"/>
    <w:rsid w:val="00F06394"/>
    <w:rsid w:val="00F06403"/>
    <w:rsid w:val="00F06422"/>
    <w:rsid w:val="00F06527"/>
    <w:rsid w:val="00F0656A"/>
    <w:rsid w:val="00F06685"/>
    <w:rsid w:val="00F06781"/>
    <w:rsid w:val="00F0679C"/>
    <w:rsid w:val="00F06807"/>
    <w:rsid w:val="00F06929"/>
    <w:rsid w:val="00F069E9"/>
    <w:rsid w:val="00F06B07"/>
    <w:rsid w:val="00F06B81"/>
    <w:rsid w:val="00F06BD3"/>
    <w:rsid w:val="00F06E29"/>
    <w:rsid w:val="00F06E81"/>
    <w:rsid w:val="00F06F21"/>
    <w:rsid w:val="00F06F96"/>
    <w:rsid w:val="00F06FA9"/>
    <w:rsid w:val="00F07027"/>
    <w:rsid w:val="00F07127"/>
    <w:rsid w:val="00F0718C"/>
    <w:rsid w:val="00F07197"/>
    <w:rsid w:val="00F07214"/>
    <w:rsid w:val="00F0733E"/>
    <w:rsid w:val="00F07442"/>
    <w:rsid w:val="00F074FE"/>
    <w:rsid w:val="00F076BA"/>
    <w:rsid w:val="00F076DB"/>
    <w:rsid w:val="00F077A3"/>
    <w:rsid w:val="00F077AC"/>
    <w:rsid w:val="00F0795D"/>
    <w:rsid w:val="00F07A44"/>
    <w:rsid w:val="00F07BD5"/>
    <w:rsid w:val="00F07C48"/>
    <w:rsid w:val="00F07C4C"/>
    <w:rsid w:val="00F07C7F"/>
    <w:rsid w:val="00F07CA5"/>
    <w:rsid w:val="00F07CC5"/>
    <w:rsid w:val="00F07D91"/>
    <w:rsid w:val="00F07E33"/>
    <w:rsid w:val="00F07E6A"/>
    <w:rsid w:val="00F07F77"/>
    <w:rsid w:val="00F10068"/>
    <w:rsid w:val="00F100F2"/>
    <w:rsid w:val="00F103A0"/>
    <w:rsid w:val="00F103D2"/>
    <w:rsid w:val="00F104F9"/>
    <w:rsid w:val="00F1053A"/>
    <w:rsid w:val="00F105C4"/>
    <w:rsid w:val="00F10619"/>
    <w:rsid w:val="00F109BB"/>
    <w:rsid w:val="00F10A7D"/>
    <w:rsid w:val="00F10EA9"/>
    <w:rsid w:val="00F10EAF"/>
    <w:rsid w:val="00F10F8A"/>
    <w:rsid w:val="00F110B9"/>
    <w:rsid w:val="00F1113E"/>
    <w:rsid w:val="00F1125D"/>
    <w:rsid w:val="00F114C9"/>
    <w:rsid w:val="00F1151D"/>
    <w:rsid w:val="00F1153B"/>
    <w:rsid w:val="00F115C3"/>
    <w:rsid w:val="00F115E7"/>
    <w:rsid w:val="00F1173A"/>
    <w:rsid w:val="00F1179B"/>
    <w:rsid w:val="00F11A77"/>
    <w:rsid w:val="00F11C6F"/>
    <w:rsid w:val="00F11CB8"/>
    <w:rsid w:val="00F11CFE"/>
    <w:rsid w:val="00F11EE8"/>
    <w:rsid w:val="00F11F68"/>
    <w:rsid w:val="00F120AD"/>
    <w:rsid w:val="00F1221D"/>
    <w:rsid w:val="00F122DE"/>
    <w:rsid w:val="00F1230A"/>
    <w:rsid w:val="00F12315"/>
    <w:rsid w:val="00F12317"/>
    <w:rsid w:val="00F12449"/>
    <w:rsid w:val="00F125E0"/>
    <w:rsid w:val="00F127B5"/>
    <w:rsid w:val="00F1286B"/>
    <w:rsid w:val="00F12884"/>
    <w:rsid w:val="00F128BC"/>
    <w:rsid w:val="00F128C0"/>
    <w:rsid w:val="00F128D8"/>
    <w:rsid w:val="00F128DB"/>
    <w:rsid w:val="00F129BF"/>
    <w:rsid w:val="00F12A2A"/>
    <w:rsid w:val="00F12C50"/>
    <w:rsid w:val="00F12DA8"/>
    <w:rsid w:val="00F12DED"/>
    <w:rsid w:val="00F12E95"/>
    <w:rsid w:val="00F12EFC"/>
    <w:rsid w:val="00F13013"/>
    <w:rsid w:val="00F13372"/>
    <w:rsid w:val="00F13405"/>
    <w:rsid w:val="00F1348C"/>
    <w:rsid w:val="00F13499"/>
    <w:rsid w:val="00F1354E"/>
    <w:rsid w:val="00F13555"/>
    <w:rsid w:val="00F135F8"/>
    <w:rsid w:val="00F13658"/>
    <w:rsid w:val="00F13673"/>
    <w:rsid w:val="00F1382F"/>
    <w:rsid w:val="00F1384A"/>
    <w:rsid w:val="00F13956"/>
    <w:rsid w:val="00F13B40"/>
    <w:rsid w:val="00F13B9D"/>
    <w:rsid w:val="00F13CB5"/>
    <w:rsid w:val="00F13E09"/>
    <w:rsid w:val="00F13E47"/>
    <w:rsid w:val="00F13E80"/>
    <w:rsid w:val="00F13F97"/>
    <w:rsid w:val="00F13F98"/>
    <w:rsid w:val="00F14238"/>
    <w:rsid w:val="00F1425C"/>
    <w:rsid w:val="00F1440D"/>
    <w:rsid w:val="00F146E9"/>
    <w:rsid w:val="00F148B9"/>
    <w:rsid w:val="00F149F6"/>
    <w:rsid w:val="00F14C22"/>
    <w:rsid w:val="00F14C8C"/>
    <w:rsid w:val="00F14CB7"/>
    <w:rsid w:val="00F14DCE"/>
    <w:rsid w:val="00F14F73"/>
    <w:rsid w:val="00F1504E"/>
    <w:rsid w:val="00F150FE"/>
    <w:rsid w:val="00F1522C"/>
    <w:rsid w:val="00F1540C"/>
    <w:rsid w:val="00F15611"/>
    <w:rsid w:val="00F1582C"/>
    <w:rsid w:val="00F1592B"/>
    <w:rsid w:val="00F159B7"/>
    <w:rsid w:val="00F15B60"/>
    <w:rsid w:val="00F15B66"/>
    <w:rsid w:val="00F15B7A"/>
    <w:rsid w:val="00F15CAE"/>
    <w:rsid w:val="00F15E78"/>
    <w:rsid w:val="00F16124"/>
    <w:rsid w:val="00F1615C"/>
    <w:rsid w:val="00F16480"/>
    <w:rsid w:val="00F16484"/>
    <w:rsid w:val="00F164CA"/>
    <w:rsid w:val="00F166D3"/>
    <w:rsid w:val="00F16724"/>
    <w:rsid w:val="00F167CE"/>
    <w:rsid w:val="00F1682E"/>
    <w:rsid w:val="00F16978"/>
    <w:rsid w:val="00F16B67"/>
    <w:rsid w:val="00F16B77"/>
    <w:rsid w:val="00F16E18"/>
    <w:rsid w:val="00F16E1A"/>
    <w:rsid w:val="00F16E23"/>
    <w:rsid w:val="00F16EC2"/>
    <w:rsid w:val="00F16F5B"/>
    <w:rsid w:val="00F171D4"/>
    <w:rsid w:val="00F171E0"/>
    <w:rsid w:val="00F172D4"/>
    <w:rsid w:val="00F17357"/>
    <w:rsid w:val="00F1744C"/>
    <w:rsid w:val="00F17508"/>
    <w:rsid w:val="00F1757F"/>
    <w:rsid w:val="00F17611"/>
    <w:rsid w:val="00F17655"/>
    <w:rsid w:val="00F17724"/>
    <w:rsid w:val="00F177B5"/>
    <w:rsid w:val="00F177DE"/>
    <w:rsid w:val="00F17944"/>
    <w:rsid w:val="00F17A2A"/>
    <w:rsid w:val="00F17B1B"/>
    <w:rsid w:val="00F17B1E"/>
    <w:rsid w:val="00F17B34"/>
    <w:rsid w:val="00F17C42"/>
    <w:rsid w:val="00F17DED"/>
    <w:rsid w:val="00F17EB4"/>
    <w:rsid w:val="00F17EE1"/>
    <w:rsid w:val="00F200C2"/>
    <w:rsid w:val="00F201BD"/>
    <w:rsid w:val="00F203C3"/>
    <w:rsid w:val="00F20407"/>
    <w:rsid w:val="00F20453"/>
    <w:rsid w:val="00F2045F"/>
    <w:rsid w:val="00F206BD"/>
    <w:rsid w:val="00F206EA"/>
    <w:rsid w:val="00F2071D"/>
    <w:rsid w:val="00F207DC"/>
    <w:rsid w:val="00F2082F"/>
    <w:rsid w:val="00F20B3A"/>
    <w:rsid w:val="00F20C8E"/>
    <w:rsid w:val="00F20CEA"/>
    <w:rsid w:val="00F20DB8"/>
    <w:rsid w:val="00F20E42"/>
    <w:rsid w:val="00F20E9C"/>
    <w:rsid w:val="00F21049"/>
    <w:rsid w:val="00F21099"/>
    <w:rsid w:val="00F21223"/>
    <w:rsid w:val="00F21228"/>
    <w:rsid w:val="00F21238"/>
    <w:rsid w:val="00F21293"/>
    <w:rsid w:val="00F213B3"/>
    <w:rsid w:val="00F2140F"/>
    <w:rsid w:val="00F21579"/>
    <w:rsid w:val="00F21604"/>
    <w:rsid w:val="00F216CB"/>
    <w:rsid w:val="00F217B4"/>
    <w:rsid w:val="00F21851"/>
    <w:rsid w:val="00F218E4"/>
    <w:rsid w:val="00F21913"/>
    <w:rsid w:val="00F21A18"/>
    <w:rsid w:val="00F21AC3"/>
    <w:rsid w:val="00F21CB0"/>
    <w:rsid w:val="00F21CBA"/>
    <w:rsid w:val="00F21CE6"/>
    <w:rsid w:val="00F21E03"/>
    <w:rsid w:val="00F21EC2"/>
    <w:rsid w:val="00F220C0"/>
    <w:rsid w:val="00F220C9"/>
    <w:rsid w:val="00F22248"/>
    <w:rsid w:val="00F2229B"/>
    <w:rsid w:val="00F22399"/>
    <w:rsid w:val="00F22616"/>
    <w:rsid w:val="00F22668"/>
    <w:rsid w:val="00F226BE"/>
    <w:rsid w:val="00F227B9"/>
    <w:rsid w:val="00F228E6"/>
    <w:rsid w:val="00F22972"/>
    <w:rsid w:val="00F22A5D"/>
    <w:rsid w:val="00F22C34"/>
    <w:rsid w:val="00F22C42"/>
    <w:rsid w:val="00F22F41"/>
    <w:rsid w:val="00F22F69"/>
    <w:rsid w:val="00F22FC0"/>
    <w:rsid w:val="00F2347A"/>
    <w:rsid w:val="00F236D6"/>
    <w:rsid w:val="00F238F3"/>
    <w:rsid w:val="00F23939"/>
    <w:rsid w:val="00F23C5C"/>
    <w:rsid w:val="00F23CEA"/>
    <w:rsid w:val="00F23DF5"/>
    <w:rsid w:val="00F23FE9"/>
    <w:rsid w:val="00F240EB"/>
    <w:rsid w:val="00F2415D"/>
    <w:rsid w:val="00F241A0"/>
    <w:rsid w:val="00F2423B"/>
    <w:rsid w:val="00F2431A"/>
    <w:rsid w:val="00F2433A"/>
    <w:rsid w:val="00F24482"/>
    <w:rsid w:val="00F24631"/>
    <w:rsid w:val="00F246D2"/>
    <w:rsid w:val="00F24746"/>
    <w:rsid w:val="00F24788"/>
    <w:rsid w:val="00F247CC"/>
    <w:rsid w:val="00F248A8"/>
    <w:rsid w:val="00F248AD"/>
    <w:rsid w:val="00F24949"/>
    <w:rsid w:val="00F2497C"/>
    <w:rsid w:val="00F24A40"/>
    <w:rsid w:val="00F24A60"/>
    <w:rsid w:val="00F24C92"/>
    <w:rsid w:val="00F24CD9"/>
    <w:rsid w:val="00F24D31"/>
    <w:rsid w:val="00F24D45"/>
    <w:rsid w:val="00F24EC6"/>
    <w:rsid w:val="00F254A3"/>
    <w:rsid w:val="00F255E5"/>
    <w:rsid w:val="00F2570F"/>
    <w:rsid w:val="00F25743"/>
    <w:rsid w:val="00F25778"/>
    <w:rsid w:val="00F257D4"/>
    <w:rsid w:val="00F257E0"/>
    <w:rsid w:val="00F25845"/>
    <w:rsid w:val="00F259CF"/>
    <w:rsid w:val="00F25AA3"/>
    <w:rsid w:val="00F25C03"/>
    <w:rsid w:val="00F25C3B"/>
    <w:rsid w:val="00F25CCE"/>
    <w:rsid w:val="00F25CF8"/>
    <w:rsid w:val="00F25D33"/>
    <w:rsid w:val="00F25D60"/>
    <w:rsid w:val="00F25E26"/>
    <w:rsid w:val="00F261D5"/>
    <w:rsid w:val="00F26539"/>
    <w:rsid w:val="00F265A5"/>
    <w:rsid w:val="00F26851"/>
    <w:rsid w:val="00F26A88"/>
    <w:rsid w:val="00F26B74"/>
    <w:rsid w:val="00F26CBD"/>
    <w:rsid w:val="00F26EC3"/>
    <w:rsid w:val="00F26ECB"/>
    <w:rsid w:val="00F271CD"/>
    <w:rsid w:val="00F27257"/>
    <w:rsid w:val="00F2731C"/>
    <w:rsid w:val="00F2745E"/>
    <w:rsid w:val="00F276FA"/>
    <w:rsid w:val="00F2770D"/>
    <w:rsid w:val="00F27847"/>
    <w:rsid w:val="00F278C5"/>
    <w:rsid w:val="00F278EF"/>
    <w:rsid w:val="00F27957"/>
    <w:rsid w:val="00F27A26"/>
    <w:rsid w:val="00F27A6A"/>
    <w:rsid w:val="00F27EDE"/>
    <w:rsid w:val="00F30012"/>
    <w:rsid w:val="00F302FD"/>
    <w:rsid w:val="00F30397"/>
    <w:rsid w:val="00F303EB"/>
    <w:rsid w:val="00F304D6"/>
    <w:rsid w:val="00F305C1"/>
    <w:rsid w:val="00F30721"/>
    <w:rsid w:val="00F307E4"/>
    <w:rsid w:val="00F30A26"/>
    <w:rsid w:val="00F30A5B"/>
    <w:rsid w:val="00F30BFC"/>
    <w:rsid w:val="00F30C03"/>
    <w:rsid w:val="00F31011"/>
    <w:rsid w:val="00F3107D"/>
    <w:rsid w:val="00F3118E"/>
    <w:rsid w:val="00F31219"/>
    <w:rsid w:val="00F312F3"/>
    <w:rsid w:val="00F313A5"/>
    <w:rsid w:val="00F3145A"/>
    <w:rsid w:val="00F314C6"/>
    <w:rsid w:val="00F31619"/>
    <w:rsid w:val="00F31754"/>
    <w:rsid w:val="00F31777"/>
    <w:rsid w:val="00F319A8"/>
    <w:rsid w:val="00F31AD3"/>
    <w:rsid w:val="00F31C5E"/>
    <w:rsid w:val="00F31C8B"/>
    <w:rsid w:val="00F31CF8"/>
    <w:rsid w:val="00F31FB6"/>
    <w:rsid w:val="00F3207E"/>
    <w:rsid w:val="00F320ED"/>
    <w:rsid w:val="00F32120"/>
    <w:rsid w:val="00F32257"/>
    <w:rsid w:val="00F32288"/>
    <w:rsid w:val="00F3234D"/>
    <w:rsid w:val="00F323ED"/>
    <w:rsid w:val="00F32559"/>
    <w:rsid w:val="00F32745"/>
    <w:rsid w:val="00F3279F"/>
    <w:rsid w:val="00F32818"/>
    <w:rsid w:val="00F32953"/>
    <w:rsid w:val="00F32F2F"/>
    <w:rsid w:val="00F32FA4"/>
    <w:rsid w:val="00F33011"/>
    <w:rsid w:val="00F33106"/>
    <w:rsid w:val="00F3328A"/>
    <w:rsid w:val="00F332D9"/>
    <w:rsid w:val="00F333CF"/>
    <w:rsid w:val="00F333E3"/>
    <w:rsid w:val="00F33405"/>
    <w:rsid w:val="00F3342E"/>
    <w:rsid w:val="00F33451"/>
    <w:rsid w:val="00F33697"/>
    <w:rsid w:val="00F33915"/>
    <w:rsid w:val="00F33A86"/>
    <w:rsid w:val="00F33A8B"/>
    <w:rsid w:val="00F33B73"/>
    <w:rsid w:val="00F33BA4"/>
    <w:rsid w:val="00F33C4F"/>
    <w:rsid w:val="00F33E48"/>
    <w:rsid w:val="00F3415D"/>
    <w:rsid w:val="00F3429E"/>
    <w:rsid w:val="00F34533"/>
    <w:rsid w:val="00F345B0"/>
    <w:rsid w:val="00F34604"/>
    <w:rsid w:val="00F3495E"/>
    <w:rsid w:val="00F349E0"/>
    <w:rsid w:val="00F34A06"/>
    <w:rsid w:val="00F34A7F"/>
    <w:rsid w:val="00F34AA6"/>
    <w:rsid w:val="00F34AF2"/>
    <w:rsid w:val="00F34EBA"/>
    <w:rsid w:val="00F34EC9"/>
    <w:rsid w:val="00F34EE0"/>
    <w:rsid w:val="00F35362"/>
    <w:rsid w:val="00F353A8"/>
    <w:rsid w:val="00F35440"/>
    <w:rsid w:val="00F355C3"/>
    <w:rsid w:val="00F355ED"/>
    <w:rsid w:val="00F356A0"/>
    <w:rsid w:val="00F356C6"/>
    <w:rsid w:val="00F357C3"/>
    <w:rsid w:val="00F3580E"/>
    <w:rsid w:val="00F35927"/>
    <w:rsid w:val="00F359E4"/>
    <w:rsid w:val="00F35AFD"/>
    <w:rsid w:val="00F35B99"/>
    <w:rsid w:val="00F35E2B"/>
    <w:rsid w:val="00F35E66"/>
    <w:rsid w:val="00F35F47"/>
    <w:rsid w:val="00F361A6"/>
    <w:rsid w:val="00F36239"/>
    <w:rsid w:val="00F362D4"/>
    <w:rsid w:val="00F3632E"/>
    <w:rsid w:val="00F363A7"/>
    <w:rsid w:val="00F363A9"/>
    <w:rsid w:val="00F365E8"/>
    <w:rsid w:val="00F365E9"/>
    <w:rsid w:val="00F368C9"/>
    <w:rsid w:val="00F36975"/>
    <w:rsid w:val="00F36A45"/>
    <w:rsid w:val="00F36BC4"/>
    <w:rsid w:val="00F36C4E"/>
    <w:rsid w:val="00F36C8D"/>
    <w:rsid w:val="00F36F82"/>
    <w:rsid w:val="00F37087"/>
    <w:rsid w:val="00F373E6"/>
    <w:rsid w:val="00F3755D"/>
    <w:rsid w:val="00F375BF"/>
    <w:rsid w:val="00F3777C"/>
    <w:rsid w:val="00F37805"/>
    <w:rsid w:val="00F3795A"/>
    <w:rsid w:val="00F379BB"/>
    <w:rsid w:val="00F37A31"/>
    <w:rsid w:val="00F37B5B"/>
    <w:rsid w:val="00F37C31"/>
    <w:rsid w:val="00F37D0C"/>
    <w:rsid w:val="00F37D36"/>
    <w:rsid w:val="00F37D96"/>
    <w:rsid w:val="00F37DAB"/>
    <w:rsid w:val="00F40071"/>
    <w:rsid w:val="00F400D3"/>
    <w:rsid w:val="00F401C8"/>
    <w:rsid w:val="00F402D6"/>
    <w:rsid w:val="00F402F5"/>
    <w:rsid w:val="00F4054E"/>
    <w:rsid w:val="00F4059E"/>
    <w:rsid w:val="00F405F7"/>
    <w:rsid w:val="00F4066F"/>
    <w:rsid w:val="00F40849"/>
    <w:rsid w:val="00F40903"/>
    <w:rsid w:val="00F4090F"/>
    <w:rsid w:val="00F40A0C"/>
    <w:rsid w:val="00F40AC4"/>
    <w:rsid w:val="00F40BAC"/>
    <w:rsid w:val="00F40DA6"/>
    <w:rsid w:val="00F40E35"/>
    <w:rsid w:val="00F40F4B"/>
    <w:rsid w:val="00F40FF6"/>
    <w:rsid w:val="00F4108F"/>
    <w:rsid w:val="00F412FC"/>
    <w:rsid w:val="00F4132E"/>
    <w:rsid w:val="00F41371"/>
    <w:rsid w:val="00F414D0"/>
    <w:rsid w:val="00F4163C"/>
    <w:rsid w:val="00F417BD"/>
    <w:rsid w:val="00F4185E"/>
    <w:rsid w:val="00F4188D"/>
    <w:rsid w:val="00F418E3"/>
    <w:rsid w:val="00F41ACD"/>
    <w:rsid w:val="00F41B95"/>
    <w:rsid w:val="00F41BD1"/>
    <w:rsid w:val="00F41BD5"/>
    <w:rsid w:val="00F41CB6"/>
    <w:rsid w:val="00F41DFC"/>
    <w:rsid w:val="00F4200D"/>
    <w:rsid w:val="00F42017"/>
    <w:rsid w:val="00F420A6"/>
    <w:rsid w:val="00F4214E"/>
    <w:rsid w:val="00F4221A"/>
    <w:rsid w:val="00F42274"/>
    <w:rsid w:val="00F422CF"/>
    <w:rsid w:val="00F422FE"/>
    <w:rsid w:val="00F42604"/>
    <w:rsid w:val="00F428F2"/>
    <w:rsid w:val="00F4290B"/>
    <w:rsid w:val="00F429FE"/>
    <w:rsid w:val="00F42AB8"/>
    <w:rsid w:val="00F42BB6"/>
    <w:rsid w:val="00F42D14"/>
    <w:rsid w:val="00F42D21"/>
    <w:rsid w:val="00F42DBB"/>
    <w:rsid w:val="00F42FBB"/>
    <w:rsid w:val="00F42FFB"/>
    <w:rsid w:val="00F43048"/>
    <w:rsid w:val="00F43129"/>
    <w:rsid w:val="00F43313"/>
    <w:rsid w:val="00F434BC"/>
    <w:rsid w:val="00F43569"/>
    <w:rsid w:val="00F43631"/>
    <w:rsid w:val="00F43684"/>
    <w:rsid w:val="00F436CB"/>
    <w:rsid w:val="00F43859"/>
    <w:rsid w:val="00F43B57"/>
    <w:rsid w:val="00F43BF7"/>
    <w:rsid w:val="00F43C09"/>
    <w:rsid w:val="00F43D41"/>
    <w:rsid w:val="00F43D4A"/>
    <w:rsid w:val="00F43DED"/>
    <w:rsid w:val="00F43E27"/>
    <w:rsid w:val="00F43E2C"/>
    <w:rsid w:val="00F43EA0"/>
    <w:rsid w:val="00F43EBF"/>
    <w:rsid w:val="00F44070"/>
    <w:rsid w:val="00F4422B"/>
    <w:rsid w:val="00F4430B"/>
    <w:rsid w:val="00F4434F"/>
    <w:rsid w:val="00F443D4"/>
    <w:rsid w:val="00F4440B"/>
    <w:rsid w:val="00F44593"/>
    <w:rsid w:val="00F44771"/>
    <w:rsid w:val="00F4483F"/>
    <w:rsid w:val="00F44853"/>
    <w:rsid w:val="00F449C6"/>
    <w:rsid w:val="00F44AEF"/>
    <w:rsid w:val="00F44B65"/>
    <w:rsid w:val="00F44BA7"/>
    <w:rsid w:val="00F44BBA"/>
    <w:rsid w:val="00F44CD0"/>
    <w:rsid w:val="00F44CEE"/>
    <w:rsid w:val="00F44FCE"/>
    <w:rsid w:val="00F45164"/>
    <w:rsid w:val="00F4524A"/>
    <w:rsid w:val="00F45304"/>
    <w:rsid w:val="00F45458"/>
    <w:rsid w:val="00F455C8"/>
    <w:rsid w:val="00F455CD"/>
    <w:rsid w:val="00F45684"/>
    <w:rsid w:val="00F4571A"/>
    <w:rsid w:val="00F45767"/>
    <w:rsid w:val="00F45830"/>
    <w:rsid w:val="00F45C4C"/>
    <w:rsid w:val="00F45F4B"/>
    <w:rsid w:val="00F46077"/>
    <w:rsid w:val="00F4615B"/>
    <w:rsid w:val="00F46202"/>
    <w:rsid w:val="00F46209"/>
    <w:rsid w:val="00F46258"/>
    <w:rsid w:val="00F463BD"/>
    <w:rsid w:val="00F463CB"/>
    <w:rsid w:val="00F465B4"/>
    <w:rsid w:val="00F466C9"/>
    <w:rsid w:val="00F466F2"/>
    <w:rsid w:val="00F468F1"/>
    <w:rsid w:val="00F46A92"/>
    <w:rsid w:val="00F46AF7"/>
    <w:rsid w:val="00F46B20"/>
    <w:rsid w:val="00F46C55"/>
    <w:rsid w:val="00F46D11"/>
    <w:rsid w:val="00F46E34"/>
    <w:rsid w:val="00F46E5E"/>
    <w:rsid w:val="00F46EB8"/>
    <w:rsid w:val="00F46FF8"/>
    <w:rsid w:val="00F47008"/>
    <w:rsid w:val="00F47053"/>
    <w:rsid w:val="00F470D8"/>
    <w:rsid w:val="00F471EF"/>
    <w:rsid w:val="00F4725A"/>
    <w:rsid w:val="00F472B0"/>
    <w:rsid w:val="00F472C3"/>
    <w:rsid w:val="00F47341"/>
    <w:rsid w:val="00F47501"/>
    <w:rsid w:val="00F47558"/>
    <w:rsid w:val="00F475A2"/>
    <w:rsid w:val="00F47657"/>
    <w:rsid w:val="00F476AF"/>
    <w:rsid w:val="00F47755"/>
    <w:rsid w:val="00F477D5"/>
    <w:rsid w:val="00F4783F"/>
    <w:rsid w:val="00F47959"/>
    <w:rsid w:val="00F47AEF"/>
    <w:rsid w:val="00F47BC3"/>
    <w:rsid w:val="00F47D03"/>
    <w:rsid w:val="00F47D05"/>
    <w:rsid w:val="00F47DBA"/>
    <w:rsid w:val="00F50165"/>
    <w:rsid w:val="00F5019B"/>
    <w:rsid w:val="00F50217"/>
    <w:rsid w:val="00F5027B"/>
    <w:rsid w:val="00F50477"/>
    <w:rsid w:val="00F509EC"/>
    <w:rsid w:val="00F50A6F"/>
    <w:rsid w:val="00F50E61"/>
    <w:rsid w:val="00F50F2E"/>
    <w:rsid w:val="00F512B9"/>
    <w:rsid w:val="00F512E8"/>
    <w:rsid w:val="00F5135B"/>
    <w:rsid w:val="00F513A6"/>
    <w:rsid w:val="00F515E0"/>
    <w:rsid w:val="00F515F1"/>
    <w:rsid w:val="00F515F8"/>
    <w:rsid w:val="00F5169F"/>
    <w:rsid w:val="00F516E6"/>
    <w:rsid w:val="00F51A9E"/>
    <w:rsid w:val="00F51AC6"/>
    <w:rsid w:val="00F51ADA"/>
    <w:rsid w:val="00F51B81"/>
    <w:rsid w:val="00F51BA3"/>
    <w:rsid w:val="00F51D36"/>
    <w:rsid w:val="00F51D48"/>
    <w:rsid w:val="00F51D6B"/>
    <w:rsid w:val="00F5209F"/>
    <w:rsid w:val="00F520AF"/>
    <w:rsid w:val="00F52130"/>
    <w:rsid w:val="00F522BE"/>
    <w:rsid w:val="00F5230E"/>
    <w:rsid w:val="00F52363"/>
    <w:rsid w:val="00F526FD"/>
    <w:rsid w:val="00F528DD"/>
    <w:rsid w:val="00F5295F"/>
    <w:rsid w:val="00F5296D"/>
    <w:rsid w:val="00F52DFC"/>
    <w:rsid w:val="00F52E74"/>
    <w:rsid w:val="00F52ED1"/>
    <w:rsid w:val="00F52F18"/>
    <w:rsid w:val="00F53023"/>
    <w:rsid w:val="00F5302B"/>
    <w:rsid w:val="00F53235"/>
    <w:rsid w:val="00F5325C"/>
    <w:rsid w:val="00F5331C"/>
    <w:rsid w:val="00F5332D"/>
    <w:rsid w:val="00F533A2"/>
    <w:rsid w:val="00F53479"/>
    <w:rsid w:val="00F5356C"/>
    <w:rsid w:val="00F53580"/>
    <w:rsid w:val="00F537C1"/>
    <w:rsid w:val="00F53953"/>
    <w:rsid w:val="00F53C0A"/>
    <w:rsid w:val="00F53C39"/>
    <w:rsid w:val="00F53C85"/>
    <w:rsid w:val="00F53D5A"/>
    <w:rsid w:val="00F53DC2"/>
    <w:rsid w:val="00F53DDA"/>
    <w:rsid w:val="00F53E60"/>
    <w:rsid w:val="00F53F4F"/>
    <w:rsid w:val="00F54030"/>
    <w:rsid w:val="00F542CF"/>
    <w:rsid w:val="00F54481"/>
    <w:rsid w:val="00F544E7"/>
    <w:rsid w:val="00F54925"/>
    <w:rsid w:val="00F54926"/>
    <w:rsid w:val="00F54966"/>
    <w:rsid w:val="00F54BA1"/>
    <w:rsid w:val="00F54BB4"/>
    <w:rsid w:val="00F54C9C"/>
    <w:rsid w:val="00F54D50"/>
    <w:rsid w:val="00F54F98"/>
    <w:rsid w:val="00F54FE7"/>
    <w:rsid w:val="00F55016"/>
    <w:rsid w:val="00F55208"/>
    <w:rsid w:val="00F5520C"/>
    <w:rsid w:val="00F55212"/>
    <w:rsid w:val="00F55301"/>
    <w:rsid w:val="00F55358"/>
    <w:rsid w:val="00F55450"/>
    <w:rsid w:val="00F554BF"/>
    <w:rsid w:val="00F554E4"/>
    <w:rsid w:val="00F55501"/>
    <w:rsid w:val="00F55587"/>
    <w:rsid w:val="00F555DA"/>
    <w:rsid w:val="00F5580F"/>
    <w:rsid w:val="00F5587C"/>
    <w:rsid w:val="00F559CD"/>
    <w:rsid w:val="00F55B27"/>
    <w:rsid w:val="00F55B32"/>
    <w:rsid w:val="00F55B3D"/>
    <w:rsid w:val="00F55B6C"/>
    <w:rsid w:val="00F55B84"/>
    <w:rsid w:val="00F55C9E"/>
    <w:rsid w:val="00F55CCD"/>
    <w:rsid w:val="00F55E3E"/>
    <w:rsid w:val="00F55EE9"/>
    <w:rsid w:val="00F55FC7"/>
    <w:rsid w:val="00F56092"/>
    <w:rsid w:val="00F5619C"/>
    <w:rsid w:val="00F563E9"/>
    <w:rsid w:val="00F56527"/>
    <w:rsid w:val="00F56618"/>
    <w:rsid w:val="00F56673"/>
    <w:rsid w:val="00F5673B"/>
    <w:rsid w:val="00F5677D"/>
    <w:rsid w:val="00F5693C"/>
    <w:rsid w:val="00F56988"/>
    <w:rsid w:val="00F569B5"/>
    <w:rsid w:val="00F56A3E"/>
    <w:rsid w:val="00F56BE0"/>
    <w:rsid w:val="00F56BF9"/>
    <w:rsid w:val="00F56C3E"/>
    <w:rsid w:val="00F56D1D"/>
    <w:rsid w:val="00F56E59"/>
    <w:rsid w:val="00F56E7C"/>
    <w:rsid w:val="00F570AE"/>
    <w:rsid w:val="00F572E6"/>
    <w:rsid w:val="00F57478"/>
    <w:rsid w:val="00F57489"/>
    <w:rsid w:val="00F575C3"/>
    <w:rsid w:val="00F5760B"/>
    <w:rsid w:val="00F57704"/>
    <w:rsid w:val="00F57724"/>
    <w:rsid w:val="00F579B0"/>
    <w:rsid w:val="00F57A9D"/>
    <w:rsid w:val="00F57ADD"/>
    <w:rsid w:val="00F57AFD"/>
    <w:rsid w:val="00F57B7D"/>
    <w:rsid w:val="00F57E11"/>
    <w:rsid w:val="00F57EBE"/>
    <w:rsid w:val="00F57FE0"/>
    <w:rsid w:val="00F600A4"/>
    <w:rsid w:val="00F600D4"/>
    <w:rsid w:val="00F600E3"/>
    <w:rsid w:val="00F602A1"/>
    <w:rsid w:val="00F6039D"/>
    <w:rsid w:val="00F60437"/>
    <w:rsid w:val="00F6061E"/>
    <w:rsid w:val="00F6069E"/>
    <w:rsid w:val="00F60735"/>
    <w:rsid w:val="00F6074F"/>
    <w:rsid w:val="00F607A3"/>
    <w:rsid w:val="00F607C2"/>
    <w:rsid w:val="00F607D2"/>
    <w:rsid w:val="00F60832"/>
    <w:rsid w:val="00F60878"/>
    <w:rsid w:val="00F60B59"/>
    <w:rsid w:val="00F60BD8"/>
    <w:rsid w:val="00F60C73"/>
    <w:rsid w:val="00F60D55"/>
    <w:rsid w:val="00F60D5B"/>
    <w:rsid w:val="00F60DC4"/>
    <w:rsid w:val="00F610B1"/>
    <w:rsid w:val="00F6126C"/>
    <w:rsid w:val="00F6140C"/>
    <w:rsid w:val="00F61507"/>
    <w:rsid w:val="00F61586"/>
    <w:rsid w:val="00F61667"/>
    <w:rsid w:val="00F61673"/>
    <w:rsid w:val="00F61740"/>
    <w:rsid w:val="00F61A94"/>
    <w:rsid w:val="00F61AE9"/>
    <w:rsid w:val="00F61B20"/>
    <w:rsid w:val="00F61C09"/>
    <w:rsid w:val="00F61C17"/>
    <w:rsid w:val="00F61C2F"/>
    <w:rsid w:val="00F61D00"/>
    <w:rsid w:val="00F61D2F"/>
    <w:rsid w:val="00F61DB7"/>
    <w:rsid w:val="00F61E54"/>
    <w:rsid w:val="00F62033"/>
    <w:rsid w:val="00F62111"/>
    <w:rsid w:val="00F621FB"/>
    <w:rsid w:val="00F622DD"/>
    <w:rsid w:val="00F6246F"/>
    <w:rsid w:val="00F624AE"/>
    <w:rsid w:val="00F624E0"/>
    <w:rsid w:val="00F62512"/>
    <w:rsid w:val="00F6257F"/>
    <w:rsid w:val="00F625DC"/>
    <w:rsid w:val="00F62608"/>
    <w:rsid w:val="00F62667"/>
    <w:rsid w:val="00F628A2"/>
    <w:rsid w:val="00F628BA"/>
    <w:rsid w:val="00F628F3"/>
    <w:rsid w:val="00F62E21"/>
    <w:rsid w:val="00F630A5"/>
    <w:rsid w:val="00F631BD"/>
    <w:rsid w:val="00F632E8"/>
    <w:rsid w:val="00F63313"/>
    <w:rsid w:val="00F6338A"/>
    <w:rsid w:val="00F633C4"/>
    <w:rsid w:val="00F634C6"/>
    <w:rsid w:val="00F635E2"/>
    <w:rsid w:val="00F636BB"/>
    <w:rsid w:val="00F6373E"/>
    <w:rsid w:val="00F63BAD"/>
    <w:rsid w:val="00F63C78"/>
    <w:rsid w:val="00F63DA2"/>
    <w:rsid w:val="00F63ED3"/>
    <w:rsid w:val="00F63FFF"/>
    <w:rsid w:val="00F64032"/>
    <w:rsid w:val="00F640F2"/>
    <w:rsid w:val="00F6419C"/>
    <w:rsid w:val="00F641ED"/>
    <w:rsid w:val="00F64262"/>
    <w:rsid w:val="00F64353"/>
    <w:rsid w:val="00F64725"/>
    <w:rsid w:val="00F6476C"/>
    <w:rsid w:val="00F6478D"/>
    <w:rsid w:val="00F64853"/>
    <w:rsid w:val="00F6485A"/>
    <w:rsid w:val="00F64867"/>
    <w:rsid w:val="00F648E5"/>
    <w:rsid w:val="00F64AA3"/>
    <w:rsid w:val="00F64B3B"/>
    <w:rsid w:val="00F64BF8"/>
    <w:rsid w:val="00F64C4A"/>
    <w:rsid w:val="00F64C79"/>
    <w:rsid w:val="00F64C89"/>
    <w:rsid w:val="00F64CBB"/>
    <w:rsid w:val="00F64DB7"/>
    <w:rsid w:val="00F64DC1"/>
    <w:rsid w:val="00F64DE0"/>
    <w:rsid w:val="00F64E21"/>
    <w:rsid w:val="00F64EC1"/>
    <w:rsid w:val="00F64F62"/>
    <w:rsid w:val="00F6503C"/>
    <w:rsid w:val="00F6507A"/>
    <w:rsid w:val="00F650B4"/>
    <w:rsid w:val="00F650EE"/>
    <w:rsid w:val="00F6531A"/>
    <w:rsid w:val="00F6544F"/>
    <w:rsid w:val="00F658FA"/>
    <w:rsid w:val="00F65958"/>
    <w:rsid w:val="00F65BA5"/>
    <w:rsid w:val="00F65C45"/>
    <w:rsid w:val="00F65C9F"/>
    <w:rsid w:val="00F65CC5"/>
    <w:rsid w:val="00F65DC8"/>
    <w:rsid w:val="00F65E0A"/>
    <w:rsid w:val="00F65E6D"/>
    <w:rsid w:val="00F6600D"/>
    <w:rsid w:val="00F66071"/>
    <w:rsid w:val="00F66277"/>
    <w:rsid w:val="00F664B4"/>
    <w:rsid w:val="00F664FA"/>
    <w:rsid w:val="00F666BE"/>
    <w:rsid w:val="00F669A7"/>
    <w:rsid w:val="00F66C58"/>
    <w:rsid w:val="00F66F1F"/>
    <w:rsid w:val="00F670D7"/>
    <w:rsid w:val="00F67132"/>
    <w:rsid w:val="00F6717A"/>
    <w:rsid w:val="00F6719F"/>
    <w:rsid w:val="00F671CF"/>
    <w:rsid w:val="00F671DB"/>
    <w:rsid w:val="00F6721A"/>
    <w:rsid w:val="00F67251"/>
    <w:rsid w:val="00F672D6"/>
    <w:rsid w:val="00F67306"/>
    <w:rsid w:val="00F673AD"/>
    <w:rsid w:val="00F674CA"/>
    <w:rsid w:val="00F67650"/>
    <w:rsid w:val="00F67699"/>
    <w:rsid w:val="00F67723"/>
    <w:rsid w:val="00F678B8"/>
    <w:rsid w:val="00F678D1"/>
    <w:rsid w:val="00F678EC"/>
    <w:rsid w:val="00F679F4"/>
    <w:rsid w:val="00F67A2A"/>
    <w:rsid w:val="00F67B82"/>
    <w:rsid w:val="00F67C11"/>
    <w:rsid w:val="00F67D52"/>
    <w:rsid w:val="00F67E1C"/>
    <w:rsid w:val="00F67F5B"/>
    <w:rsid w:val="00F701BA"/>
    <w:rsid w:val="00F702C2"/>
    <w:rsid w:val="00F7035D"/>
    <w:rsid w:val="00F70402"/>
    <w:rsid w:val="00F70425"/>
    <w:rsid w:val="00F70602"/>
    <w:rsid w:val="00F7072C"/>
    <w:rsid w:val="00F7080B"/>
    <w:rsid w:val="00F7094C"/>
    <w:rsid w:val="00F709D3"/>
    <w:rsid w:val="00F70AC8"/>
    <w:rsid w:val="00F70B2B"/>
    <w:rsid w:val="00F70D16"/>
    <w:rsid w:val="00F70DEB"/>
    <w:rsid w:val="00F70E2C"/>
    <w:rsid w:val="00F70F10"/>
    <w:rsid w:val="00F710E9"/>
    <w:rsid w:val="00F712F6"/>
    <w:rsid w:val="00F71306"/>
    <w:rsid w:val="00F71406"/>
    <w:rsid w:val="00F71435"/>
    <w:rsid w:val="00F714D0"/>
    <w:rsid w:val="00F716EA"/>
    <w:rsid w:val="00F71747"/>
    <w:rsid w:val="00F71968"/>
    <w:rsid w:val="00F71995"/>
    <w:rsid w:val="00F71997"/>
    <w:rsid w:val="00F71BD5"/>
    <w:rsid w:val="00F71C2D"/>
    <w:rsid w:val="00F71D58"/>
    <w:rsid w:val="00F71F0B"/>
    <w:rsid w:val="00F72116"/>
    <w:rsid w:val="00F72177"/>
    <w:rsid w:val="00F722C2"/>
    <w:rsid w:val="00F722E3"/>
    <w:rsid w:val="00F72720"/>
    <w:rsid w:val="00F727FB"/>
    <w:rsid w:val="00F7280A"/>
    <w:rsid w:val="00F72817"/>
    <w:rsid w:val="00F728C0"/>
    <w:rsid w:val="00F72972"/>
    <w:rsid w:val="00F72B8C"/>
    <w:rsid w:val="00F72BC9"/>
    <w:rsid w:val="00F72BDD"/>
    <w:rsid w:val="00F72CA2"/>
    <w:rsid w:val="00F72ECA"/>
    <w:rsid w:val="00F72FE7"/>
    <w:rsid w:val="00F73029"/>
    <w:rsid w:val="00F73137"/>
    <w:rsid w:val="00F731D3"/>
    <w:rsid w:val="00F731F4"/>
    <w:rsid w:val="00F733F8"/>
    <w:rsid w:val="00F73438"/>
    <w:rsid w:val="00F734FA"/>
    <w:rsid w:val="00F7350D"/>
    <w:rsid w:val="00F735A7"/>
    <w:rsid w:val="00F73617"/>
    <w:rsid w:val="00F73714"/>
    <w:rsid w:val="00F7371D"/>
    <w:rsid w:val="00F73863"/>
    <w:rsid w:val="00F73A49"/>
    <w:rsid w:val="00F73AB7"/>
    <w:rsid w:val="00F73ABF"/>
    <w:rsid w:val="00F73ADB"/>
    <w:rsid w:val="00F73C26"/>
    <w:rsid w:val="00F73DDB"/>
    <w:rsid w:val="00F73E20"/>
    <w:rsid w:val="00F73E87"/>
    <w:rsid w:val="00F73EA2"/>
    <w:rsid w:val="00F73F74"/>
    <w:rsid w:val="00F73FAE"/>
    <w:rsid w:val="00F74046"/>
    <w:rsid w:val="00F7414A"/>
    <w:rsid w:val="00F7432B"/>
    <w:rsid w:val="00F74368"/>
    <w:rsid w:val="00F74543"/>
    <w:rsid w:val="00F7456D"/>
    <w:rsid w:val="00F7465A"/>
    <w:rsid w:val="00F746A1"/>
    <w:rsid w:val="00F746C8"/>
    <w:rsid w:val="00F746FA"/>
    <w:rsid w:val="00F7470B"/>
    <w:rsid w:val="00F7489F"/>
    <w:rsid w:val="00F74A05"/>
    <w:rsid w:val="00F74AC2"/>
    <w:rsid w:val="00F74BCC"/>
    <w:rsid w:val="00F74C22"/>
    <w:rsid w:val="00F7503B"/>
    <w:rsid w:val="00F750E2"/>
    <w:rsid w:val="00F751D3"/>
    <w:rsid w:val="00F752C5"/>
    <w:rsid w:val="00F753AC"/>
    <w:rsid w:val="00F753AF"/>
    <w:rsid w:val="00F753FC"/>
    <w:rsid w:val="00F7542E"/>
    <w:rsid w:val="00F75687"/>
    <w:rsid w:val="00F756CE"/>
    <w:rsid w:val="00F757F1"/>
    <w:rsid w:val="00F75BA6"/>
    <w:rsid w:val="00F75C0B"/>
    <w:rsid w:val="00F75C53"/>
    <w:rsid w:val="00F75CAC"/>
    <w:rsid w:val="00F75E13"/>
    <w:rsid w:val="00F75F75"/>
    <w:rsid w:val="00F76111"/>
    <w:rsid w:val="00F761B0"/>
    <w:rsid w:val="00F76627"/>
    <w:rsid w:val="00F76651"/>
    <w:rsid w:val="00F766EB"/>
    <w:rsid w:val="00F76A2C"/>
    <w:rsid w:val="00F76B2A"/>
    <w:rsid w:val="00F76BC5"/>
    <w:rsid w:val="00F76C8C"/>
    <w:rsid w:val="00F76D57"/>
    <w:rsid w:val="00F76DEE"/>
    <w:rsid w:val="00F76ECD"/>
    <w:rsid w:val="00F76F53"/>
    <w:rsid w:val="00F7712A"/>
    <w:rsid w:val="00F773DF"/>
    <w:rsid w:val="00F7747B"/>
    <w:rsid w:val="00F775C8"/>
    <w:rsid w:val="00F77711"/>
    <w:rsid w:val="00F777D8"/>
    <w:rsid w:val="00F77890"/>
    <w:rsid w:val="00F778AF"/>
    <w:rsid w:val="00F779A5"/>
    <w:rsid w:val="00F77D2C"/>
    <w:rsid w:val="00F77DA4"/>
    <w:rsid w:val="00F77ED5"/>
    <w:rsid w:val="00F801AC"/>
    <w:rsid w:val="00F801DD"/>
    <w:rsid w:val="00F8024D"/>
    <w:rsid w:val="00F802E6"/>
    <w:rsid w:val="00F80430"/>
    <w:rsid w:val="00F8048B"/>
    <w:rsid w:val="00F8070E"/>
    <w:rsid w:val="00F8077D"/>
    <w:rsid w:val="00F80854"/>
    <w:rsid w:val="00F80A3F"/>
    <w:rsid w:val="00F80B06"/>
    <w:rsid w:val="00F80BE1"/>
    <w:rsid w:val="00F80C97"/>
    <w:rsid w:val="00F80CFC"/>
    <w:rsid w:val="00F80DE4"/>
    <w:rsid w:val="00F80EA5"/>
    <w:rsid w:val="00F80F03"/>
    <w:rsid w:val="00F8100A"/>
    <w:rsid w:val="00F8110A"/>
    <w:rsid w:val="00F81127"/>
    <w:rsid w:val="00F811D5"/>
    <w:rsid w:val="00F81269"/>
    <w:rsid w:val="00F812E5"/>
    <w:rsid w:val="00F8132E"/>
    <w:rsid w:val="00F81467"/>
    <w:rsid w:val="00F814C3"/>
    <w:rsid w:val="00F81501"/>
    <w:rsid w:val="00F8161F"/>
    <w:rsid w:val="00F816BF"/>
    <w:rsid w:val="00F81849"/>
    <w:rsid w:val="00F818C7"/>
    <w:rsid w:val="00F81949"/>
    <w:rsid w:val="00F81B22"/>
    <w:rsid w:val="00F81B24"/>
    <w:rsid w:val="00F81E54"/>
    <w:rsid w:val="00F8206D"/>
    <w:rsid w:val="00F823FC"/>
    <w:rsid w:val="00F82449"/>
    <w:rsid w:val="00F8247C"/>
    <w:rsid w:val="00F82547"/>
    <w:rsid w:val="00F827A3"/>
    <w:rsid w:val="00F828ED"/>
    <w:rsid w:val="00F82A34"/>
    <w:rsid w:val="00F82CE2"/>
    <w:rsid w:val="00F82EA8"/>
    <w:rsid w:val="00F82F85"/>
    <w:rsid w:val="00F83004"/>
    <w:rsid w:val="00F830DC"/>
    <w:rsid w:val="00F83102"/>
    <w:rsid w:val="00F83238"/>
    <w:rsid w:val="00F8325C"/>
    <w:rsid w:val="00F83285"/>
    <w:rsid w:val="00F8343E"/>
    <w:rsid w:val="00F8353F"/>
    <w:rsid w:val="00F836E7"/>
    <w:rsid w:val="00F83777"/>
    <w:rsid w:val="00F83853"/>
    <w:rsid w:val="00F83859"/>
    <w:rsid w:val="00F838D3"/>
    <w:rsid w:val="00F83938"/>
    <w:rsid w:val="00F83A26"/>
    <w:rsid w:val="00F83A34"/>
    <w:rsid w:val="00F83AAB"/>
    <w:rsid w:val="00F83B5C"/>
    <w:rsid w:val="00F83BEF"/>
    <w:rsid w:val="00F83C51"/>
    <w:rsid w:val="00F83CBD"/>
    <w:rsid w:val="00F83D81"/>
    <w:rsid w:val="00F83D9B"/>
    <w:rsid w:val="00F8413B"/>
    <w:rsid w:val="00F84163"/>
    <w:rsid w:val="00F841E8"/>
    <w:rsid w:val="00F84331"/>
    <w:rsid w:val="00F84392"/>
    <w:rsid w:val="00F845F1"/>
    <w:rsid w:val="00F84615"/>
    <w:rsid w:val="00F846DD"/>
    <w:rsid w:val="00F84748"/>
    <w:rsid w:val="00F84815"/>
    <w:rsid w:val="00F8484E"/>
    <w:rsid w:val="00F8490D"/>
    <w:rsid w:val="00F84A98"/>
    <w:rsid w:val="00F84BD2"/>
    <w:rsid w:val="00F84C15"/>
    <w:rsid w:val="00F84F9B"/>
    <w:rsid w:val="00F84F9E"/>
    <w:rsid w:val="00F850CF"/>
    <w:rsid w:val="00F85116"/>
    <w:rsid w:val="00F851CB"/>
    <w:rsid w:val="00F853BA"/>
    <w:rsid w:val="00F85592"/>
    <w:rsid w:val="00F855EC"/>
    <w:rsid w:val="00F856B1"/>
    <w:rsid w:val="00F856B7"/>
    <w:rsid w:val="00F856E7"/>
    <w:rsid w:val="00F85832"/>
    <w:rsid w:val="00F858F3"/>
    <w:rsid w:val="00F85940"/>
    <w:rsid w:val="00F85D88"/>
    <w:rsid w:val="00F85DBA"/>
    <w:rsid w:val="00F85DEB"/>
    <w:rsid w:val="00F85E38"/>
    <w:rsid w:val="00F85EA7"/>
    <w:rsid w:val="00F86070"/>
    <w:rsid w:val="00F86177"/>
    <w:rsid w:val="00F861D0"/>
    <w:rsid w:val="00F862C5"/>
    <w:rsid w:val="00F86308"/>
    <w:rsid w:val="00F8632A"/>
    <w:rsid w:val="00F8648D"/>
    <w:rsid w:val="00F868DA"/>
    <w:rsid w:val="00F86905"/>
    <w:rsid w:val="00F86927"/>
    <w:rsid w:val="00F8694C"/>
    <w:rsid w:val="00F86989"/>
    <w:rsid w:val="00F86C0C"/>
    <w:rsid w:val="00F86C55"/>
    <w:rsid w:val="00F86C9A"/>
    <w:rsid w:val="00F86D64"/>
    <w:rsid w:val="00F86D6F"/>
    <w:rsid w:val="00F86D89"/>
    <w:rsid w:val="00F86F3E"/>
    <w:rsid w:val="00F86F40"/>
    <w:rsid w:val="00F87245"/>
    <w:rsid w:val="00F872FA"/>
    <w:rsid w:val="00F8753B"/>
    <w:rsid w:val="00F875FC"/>
    <w:rsid w:val="00F87628"/>
    <w:rsid w:val="00F87677"/>
    <w:rsid w:val="00F876A4"/>
    <w:rsid w:val="00F877B7"/>
    <w:rsid w:val="00F877F2"/>
    <w:rsid w:val="00F877FF"/>
    <w:rsid w:val="00F878A2"/>
    <w:rsid w:val="00F878B2"/>
    <w:rsid w:val="00F878E0"/>
    <w:rsid w:val="00F8795B"/>
    <w:rsid w:val="00F87B01"/>
    <w:rsid w:val="00F87B6A"/>
    <w:rsid w:val="00F87BF3"/>
    <w:rsid w:val="00F87C5C"/>
    <w:rsid w:val="00F87C8D"/>
    <w:rsid w:val="00F87D0E"/>
    <w:rsid w:val="00F87E43"/>
    <w:rsid w:val="00F87F39"/>
    <w:rsid w:val="00F9005C"/>
    <w:rsid w:val="00F9005E"/>
    <w:rsid w:val="00F90083"/>
    <w:rsid w:val="00F90188"/>
    <w:rsid w:val="00F90235"/>
    <w:rsid w:val="00F90496"/>
    <w:rsid w:val="00F904E9"/>
    <w:rsid w:val="00F9068B"/>
    <w:rsid w:val="00F906F6"/>
    <w:rsid w:val="00F9093E"/>
    <w:rsid w:val="00F9098C"/>
    <w:rsid w:val="00F90A08"/>
    <w:rsid w:val="00F90B70"/>
    <w:rsid w:val="00F90DCD"/>
    <w:rsid w:val="00F90E48"/>
    <w:rsid w:val="00F91253"/>
    <w:rsid w:val="00F91269"/>
    <w:rsid w:val="00F912C3"/>
    <w:rsid w:val="00F913B9"/>
    <w:rsid w:val="00F913D1"/>
    <w:rsid w:val="00F914EC"/>
    <w:rsid w:val="00F915FB"/>
    <w:rsid w:val="00F91791"/>
    <w:rsid w:val="00F91881"/>
    <w:rsid w:val="00F918AE"/>
    <w:rsid w:val="00F918C6"/>
    <w:rsid w:val="00F91931"/>
    <w:rsid w:val="00F91A3A"/>
    <w:rsid w:val="00F91A96"/>
    <w:rsid w:val="00F91D39"/>
    <w:rsid w:val="00F91D73"/>
    <w:rsid w:val="00F91D99"/>
    <w:rsid w:val="00F91E06"/>
    <w:rsid w:val="00F91E58"/>
    <w:rsid w:val="00F91EA5"/>
    <w:rsid w:val="00F922D8"/>
    <w:rsid w:val="00F9230F"/>
    <w:rsid w:val="00F9257C"/>
    <w:rsid w:val="00F9297F"/>
    <w:rsid w:val="00F92B00"/>
    <w:rsid w:val="00F92CB9"/>
    <w:rsid w:val="00F92D41"/>
    <w:rsid w:val="00F92F42"/>
    <w:rsid w:val="00F93093"/>
    <w:rsid w:val="00F930B6"/>
    <w:rsid w:val="00F930EB"/>
    <w:rsid w:val="00F931A0"/>
    <w:rsid w:val="00F9326F"/>
    <w:rsid w:val="00F932C6"/>
    <w:rsid w:val="00F9334F"/>
    <w:rsid w:val="00F93356"/>
    <w:rsid w:val="00F9340B"/>
    <w:rsid w:val="00F9345E"/>
    <w:rsid w:val="00F934D0"/>
    <w:rsid w:val="00F934ED"/>
    <w:rsid w:val="00F93634"/>
    <w:rsid w:val="00F936E1"/>
    <w:rsid w:val="00F9393B"/>
    <w:rsid w:val="00F93977"/>
    <w:rsid w:val="00F939C7"/>
    <w:rsid w:val="00F93A01"/>
    <w:rsid w:val="00F93A4C"/>
    <w:rsid w:val="00F93A82"/>
    <w:rsid w:val="00F93CE1"/>
    <w:rsid w:val="00F93CF8"/>
    <w:rsid w:val="00F93E19"/>
    <w:rsid w:val="00F93F5B"/>
    <w:rsid w:val="00F93F6E"/>
    <w:rsid w:val="00F93FBB"/>
    <w:rsid w:val="00F940D9"/>
    <w:rsid w:val="00F94167"/>
    <w:rsid w:val="00F94192"/>
    <w:rsid w:val="00F94223"/>
    <w:rsid w:val="00F942CA"/>
    <w:rsid w:val="00F944EE"/>
    <w:rsid w:val="00F94726"/>
    <w:rsid w:val="00F94971"/>
    <w:rsid w:val="00F94C8B"/>
    <w:rsid w:val="00F94D92"/>
    <w:rsid w:val="00F94DA2"/>
    <w:rsid w:val="00F94DAA"/>
    <w:rsid w:val="00F94DC5"/>
    <w:rsid w:val="00F94E05"/>
    <w:rsid w:val="00F94EDD"/>
    <w:rsid w:val="00F94FB8"/>
    <w:rsid w:val="00F94FCF"/>
    <w:rsid w:val="00F9504C"/>
    <w:rsid w:val="00F953EC"/>
    <w:rsid w:val="00F95546"/>
    <w:rsid w:val="00F955EC"/>
    <w:rsid w:val="00F956CD"/>
    <w:rsid w:val="00F95810"/>
    <w:rsid w:val="00F9581E"/>
    <w:rsid w:val="00F959B4"/>
    <w:rsid w:val="00F95B1C"/>
    <w:rsid w:val="00F95CD3"/>
    <w:rsid w:val="00F95DEB"/>
    <w:rsid w:val="00F95E17"/>
    <w:rsid w:val="00F95E44"/>
    <w:rsid w:val="00F95F65"/>
    <w:rsid w:val="00F95F91"/>
    <w:rsid w:val="00F95FBA"/>
    <w:rsid w:val="00F96119"/>
    <w:rsid w:val="00F961A7"/>
    <w:rsid w:val="00F96251"/>
    <w:rsid w:val="00F9631B"/>
    <w:rsid w:val="00F9666F"/>
    <w:rsid w:val="00F9667B"/>
    <w:rsid w:val="00F966D4"/>
    <w:rsid w:val="00F9691E"/>
    <w:rsid w:val="00F9698B"/>
    <w:rsid w:val="00F96A6D"/>
    <w:rsid w:val="00F96C0C"/>
    <w:rsid w:val="00F96C9A"/>
    <w:rsid w:val="00F96D08"/>
    <w:rsid w:val="00F96D7A"/>
    <w:rsid w:val="00F970D7"/>
    <w:rsid w:val="00F97145"/>
    <w:rsid w:val="00F972E9"/>
    <w:rsid w:val="00F97440"/>
    <w:rsid w:val="00F97526"/>
    <w:rsid w:val="00F97575"/>
    <w:rsid w:val="00F97589"/>
    <w:rsid w:val="00F9763E"/>
    <w:rsid w:val="00F9794A"/>
    <w:rsid w:val="00F97A71"/>
    <w:rsid w:val="00F97AA4"/>
    <w:rsid w:val="00F97C74"/>
    <w:rsid w:val="00F97CD0"/>
    <w:rsid w:val="00F97CD4"/>
    <w:rsid w:val="00F97D8D"/>
    <w:rsid w:val="00FA0011"/>
    <w:rsid w:val="00FA0172"/>
    <w:rsid w:val="00FA01FF"/>
    <w:rsid w:val="00FA021B"/>
    <w:rsid w:val="00FA0225"/>
    <w:rsid w:val="00FA024E"/>
    <w:rsid w:val="00FA0417"/>
    <w:rsid w:val="00FA055A"/>
    <w:rsid w:val="00FA06F3"/>
    <w:rsid w:val="00FA07F6"/>
    <w:rsid w:val="00FA081C"/>
    <w:rsid w:val="00FA08C0"/>
    <w:rsid w:val="00FA0A2F"/>
    <w:rsid w:val="00FA0A58"/>
    <w:rsid w:val="00FA0AD6"/>
    <w:rsid w:val="00FA0D0B"/>
    <w:rsid w:val="00FA0E0D"/>
    <w:rsid w:val="00FA0E14"/>
    <w:rsid w:val="00FA0F1A"/>
    <w:rsid w:val="00FA0F44"/>
    <w:rsid w:val="00FA0F9E"/>
    <w:rsid w:val="00FA1102"/>
    <w:rsid w:val="00FA1196"/>
    <w:rsid w:val="00FA11E0"/>
    <w:rsid w:val="00FA11FF"/>
    <w:rsid w:val="00FA1218"/>
    <w:rsid w:val="00FA12D9"/>
    <w:rsid w:val="00FA12FB"/>
    <w:rsid w:val="00FA135A"/>
    <w:rsid w:val="00FA13CB"/>
    <w:rsid w:val="00FA1433"/>
    <w:rsid w:val="00FA158A"/>
    <w:rsid w:val="00FA15D7"/>
    <w:rsid w:val="00FA16A1"/>
    <w:rsid w:val="00FA1734"/>
    <w:rsid w:val="00FA1773"/>
    <w:rsid w:val="00FA183D"/>
    <w:rsid w:val="00FA19AA"/>
    <w:rsid w:val="00FA1A5A"/>
    <w:rsid w:val="00FA1CDE"/>
    <w:rsid w:val="00FA1DDD"/>
    <w:rsid w:val="00FA1DE4"/>
    <w:rsid w:val="00FA1E39"/>
    <w:rsid w:val="00FA1E3E"/>
    <w:rsid w:val="00FA1E75"/>
    <w:rsid w:val="00FA1F32"/>
    <w:rsid w:val="00FA20AF"/>
    <w:rsid w:val="00FA20FC"/>
    <w:rsid w:val="00FA2108"/>
    <w:rsid w:val="00FA2343"/>
    <w:rsid w:val="00FA24B2"/>
    <w:rsid w:val="00FA26DF"/>
    <w:rsid w:val="00FA2782"/>
    <w:rsid w:val="00FA2789"/>
    <w:rsid w:val="00FA27F7"/>
    <w:rsid w:val="00FA2866"/>
    <w:rsid w:val="00FA2A5D"/>
    <w:rsid w:val="00FA2A88"/>
    <w:rsid w:val="00FA2A8F"/>
    <w:rsid w:val="00FA2A9F"/>
    <w:rsid w:val="00FA2AEC"/>
    <w:rsid w:val="00FA2B99"/>
    <w:rsid w:val="00FA2BF9"/>
    <w:rsid w:val="00FA2C66"/>
    <w:rsid w:val="00FA2CD7"/>
    <w:rsid w:val="00FA2E18"/>
    <w:rsid w:val="00FA2E9E"/>
    <w:rsid w:val="00FA3084"/>
    <w:rsid w:val="00FA311D"/>
    <w:rsid w:val="00FA3161"/>
    <w:rsid w:val="00FA32FC"/>
    <w:rsid w:val="00FA3338"/>
    <w:rsid w:val="00FA334B"/>
    <w:rsid w:val="00FA33B0"/>
    <w:rsid w:val="00FA3475"/>
    <w:rsid w:val="00FA34A7"/>
    <w:rsid w:val="00FA3704"/>
    <w:rsid w:val="00FA3736"/>
    <w:rsid w:val="00FA3767"/>
    <w:rsid w:val="00FA3831"/>
    <w:rsid w:val="00FA3A59"/>
    <w:rsid w:val="00FA3B35"/>
    <w:rsid w:val="00FA3C59"/>
    <w:rsid w:val="00FA3C7F"/>
    <w:rsid w:val="00FA3D3C"/>
    <w:rsid w:val="00FA3EED"/>
    <w:rsid w:val="00FA3F2C"/>
    <w:rsid w:val="00FA3F43"/>
    <w:rsid w:val="00FA403A"/>
    <w:rsid w:val="00FA40E4"/>
    <w:rsid w:val="00FA425E"/>
    <w:rsid w:val="00FA43E0"/>
    <w:rsid w:val="00FA45A0"/>
    <w:rsid w:val="00FA4629"/>
    <w:rsid w:val="00FA4760"/>
    <w:rsid w:val="00FA4B07"/>
    <w:rsid w:val="00FA4CBB"/>
    <w:rsid w:val="00FA4CC5"/>
    <w:rsid w:val="00FA4CF4"/>
    <w:rsid w:val="00FA4DB1"/>
    <w:rsid w:val="00FA4E25"/>
    <w:rsid w:val="00FA4E28"/>
    <w:rsid w:val="00FA4F0E"/>
    <w:rsid w:val="00FA5028"/>
    <w:rsid w:val="00FA524D"/>
    <w:rsid w:val="00FA5302"/>
    <w:rsid w:val="00FA53AB"/>
    <w:rsid w:val="00FA53E4"/>
    <w:rsid w:val="00FA553C"/>
    <w:rsid w:val="00FA5583"/>
    <w:rsid w:val="00FA566C"/>
    <w:rsid w:val="00FA56BD"/>
    <w:rsid w:val="00FA5866"/>
    <w:rsid w:val="00FA58D9"/>
    <w:rsid w:val="00FA5986"/>
    <w:rsid w:val="00FA5C3B"/>
    <w:rsid w:val="00FA5CEB"/>
    <w:rsid w:val="00FA5DB9"/>
    <w:rsid w:val="00FA5F49"/>
    <w:rsid w:val="00FA60EF"/>
    <w:rsid w:val="00FA613A"/>
    <w:rsid w:val="00FA6198"/>
    <w:rsid w:val="00FA61E7"/>
    <w:rsid w:val="00FA6212"/>
    <w:rsid w:val="00FA626D"/>
    <w:rsid w:val="00FA63E9"/>
    <w:rsid w:val="00FA6516"/>
    <w:rsid w:val="00FA6745"/>
    <w:rsid w:val="00FA6A61"/>
    <w:rsid w:val="00FA6A80"/>
    <w:rsid w:val="00FA6C18"/>
    <w:rsid w:val="00FA6DCA"/>
    <w:rsid w:val="00FA6DEE"/>
    <w:rsid w:val="00FA6FC5"/>
    <w:rsid w:val="00FA731A"/>
    <w:rsid w:val="00FA73D0"/>
    <w:rsid w:val="00FA7617"/>
    <w:rsid w:val="00FA7698"/>
    <w:rsid w:val="00FA7763"/>
    <w:rsid w:val="00FA777D"/>
    <w:rsid w:val="00FA7849"/>
    <w:rsid w:val="00FA78EE"/>
    <w:rsid w:val="00FA7908"/>
    <w:rsid w:val="00FA7B45"/>
    <w:rsid w:val="00FA7B7A"/>
    <w:rsid w:val="00FA7C1C"/>
    <w:rsid w:val="00FA7D4B"/>
    <w:rsid w:val="00FA7F85"/>
    <w:rsid w:val="00FB00D1"/>
    <w:rsid w:val="00FB014A"/>
    <w:rsid w:val="00FB018F"/>
    <w:rsid w:val="00FB01BE"/>
    <w:rsid w:val="00FB0436"/>
    <w:rsid w:val="00FB0562"/>
    <w:rsid w:val="00FB0669"/>
    <w:rsid w:val="00FB08BA"/>
    <w:rsid w:val="00FB098C"/>
    <w:rsid w:val="00FB0A7F"/>
    <w:rsid w:val="00FB0C98"/>
    <w:rsid w:val="00FB0CDE"/>
    <w:rsid w:val="00FB0D01"/>
    <w:rsid w:val="00FB0DFA"/>
    <w:rsid w:val="00FB0F7E"/>
    <w:rsid w:val="00FB0FCC"/>
    <w:rsid w:val="00FB1024"/>
    <w:rsid w:val="00FB1232"/>
    <w:rsid w:val="00FB1267"/>
    <w:rsid w:val="00FB1349"/>
    <w:rsid w:val="00FB134C"/>
    <w:rsid w:val="00FB14E3"/>
    <w:rsid w:val="00FB15C3"/>
    <w:rsid w:val="00FB161B"/>
    <w:rsid w:val="00FB163F"/>
    <w:rsid w:val="00FB1675"/>
    <w:rsid w:val="00FB1717"/>
    <w:rsid w:val="00FB17A5"/>
    <w:rsid w:val="00FB18D2"/>
    <w:rsid w:val="00FB1906"/>
    <w:rsid w:val="00FB1917"/>
    <w:rsid w:val="00FB1963"/>
    <w:rsid w:val="00FB19C0"/>
    <w:rsid w:val="00FB19F1"/>
    <w:rsid w:val="00FB1A14"/>
    <w:rsid w:val="00FB1C00"/>
    <w:rsid w:val="00FB1C29"/>
    <w:rsid w:val="00FB1DEF"/>
    <w:rsid w:val="00FB1EDE"/>
    <w:rsid w:val="00FB1F1B"/>
    <w:rsid w:val="00FB1FE2"/>
    <w:rsid w:val="00FB2450"/>
    <w:rsid w:val="00FB24C9"/>
    <w:rsid w:val="00FB2636"/>
    <w:rsid w:val="00FB266F"/>
    <w:rsid w:val="00FB277D"/>
    <w:rsid w:val="00FB2843"/>
    <w:rsid w:val="00FB2A6D"/>
    <w:rsid w:val="00FB2A7F"/>
    <w:rsid w:val="00FB2AD9"/>
    <w:rsid w:val="00FB2B63"/>
    <w:rsid w:val="00FB2C3A"/>
    <w:rsid w:val="00FB2CF0"/>
    <w:rsid w:val="00FB2D2C"/>
    <w:rsid w:val="00FB2D2E"/>
    <w:rsid w:val="00FB2DFD"/>
    <w:rsid w:val="00FB2E3A"/>
    <w:rsid w:val="00FB2F02"/>
    <w:rsid w:val="00FB3040"/>
    <w:rsid w:val="00FB332E"/>
    <w:rsid w:val="00FB333C"/>
    <w:rsid w:val="00FB334B"/>
    <w:rsid w:val="00FB3445"/>
    <w:rsid w:val="00FB348F"/>
    <w:rsid w:val="00FB3548"/>
    <w:rsid w:val="00FB3580"/>
    <w:rsid w:val="00FB36E3"/>
    <w:rsid w:val="00FB37F1"/>
    <w:rsid w:val="00FB385F"/>
    <w:rsid w:val="00FB398A"/>
    <w:rsid w:val="00FB3A38"/>
    <w:rsid w:val="00FB3AEF"/>
    <w:rsid w:val="00FB3B64"/>
    <w:rsid w:val="00FB3C3D"/>
    <w:rsid w:val="00FB3C98"/>
    <w:rsid w:val="00FB3D5C"/>
    <w:rsid w:val="00FB3EF6"/>
    <w:rsid w:val="00FB3FAB"/>
    <w:rsid w:val="00FB3FD9"/>
    <w:rsid w:val="00FB4142"/>
    <w:rsid w:val="00FB4399"/>
    <w:rsid w:val="00FB4405"/>
    <w:rsid w:val="00FB4419"/>
    <w:rsid w:val="00FB468A"/>
    <w:rsid w:val="00FB4976"/>
    <w:rsid w:val="00FB497F"/>
    <w:rsid w:val="00FB4A89"/>
    <w:rsid w:val="00FB4B63"/>
    <w:rsid w:val="00FB4B8A"/>
    <w:rsid w:val="00FB4F31"/>
    <w:rsid w:val="00FB4F50"/>
    <w:rsid w:val="00FB4FA7"/>
    <w:rsid w:val="00FB50A8"/>
    <w:rsid w:val="00FB5130"/>
    <w:rsid w:val="00FB532A"/>
    <w:rsid w:val="00FB5386"/>
    <w:rsid w:val="00FB53CA"/>
    <w:rsid w:val="00FB5689"/>
    <w:rsid w:val="00FB56C7"/>
    <w:rsid w:val="00FB56F1"/>
    <w:rsid w:val="00FB578D"/>
    <w:rsid w:val="00FB5824"/>
    <w:rsid w:val="00FB5838"/>
    <w:rsid w:val="00FB59DE"/>
    <w:rsid w:val="00FB5BBB"/>
    <w:rsid w:val="00FB5C6D"/>
    <w:rsid w:val="00FB5D45"/>
    <w:rsid w:val="00FB5E7A"/>
    <w:rsid w:val="00FB606E"/>
    <w:rsid w:val="00FB6129"/>
    <w:rsid w:val="00FB6306"/>
    <w:rsid w:val="00FB630A"/>
    <w:rsid w:val="00FB64A4"/>
    <w:rsid w:val="00FB66A0"/>
    <w:rsid w:val="00FB6745"/>
    <w:rsid w:val="00FB6804"/>
    <w:rsid w:val="00FB6812"/>
    <w:rsid w:val="00FB6A47"/>
    <w:rsid w:val="00FB6BB1"/>
    <w:rsid w:val="00FB6CDE"/>
    <w:rsid w:val="00FB6E63"/>
    <w:rsid w:val="00FB6EB7"/>
    <w:rsid w:val="00FB6FC9"/>
    <w:rsid w:val="00FB703B"/>
    <w:rsid w:val="00FB705B"/>
    <w:rsid w:val="00FB7109"/>
    <w:rsid w:val="00FB741F"/>
    <w:rsid w:val="00FB7469"/>
    <w:rsid w:val="00FB795D"/>
    <w:rsid w:val="00FB7A8B"/>
    <w:rsid w:val="00FB7C41"/>
    <w:rsid w:val="00FB7CAE"/>
    <w:rsid w:val="00FB7DAF"/>
    <w:rsid w:val="00FB7E92"/>
    <w:rsid w:val="00FB7F02"/>
    <w:rsid w:val="00FC018E"/>
    <w:rsid w:val="00FC01DC"/>
    <w:rsid w:val="00FC04E6"/>
    <w:rsid w:val="00FC059B"/>
    <w:rsid w:val="00FC0713"/>
    <w:rsid w:val="00FC09EE"/>
    <w:rsid w:val="00FC0A8B"/>
    <w:rsid w:val="00FC0A97"/>
    <w:rsid w:val="00FC0AD7"/>
    <w:rsid w:val="00FC0B33"/>
    <w:rsid w:val="00FC0BEA"/>
    <w:rsid w:val="00FC0CA0"/>
    <w:rsid w:val="00FC0E32"/>
    <w:rsid w:val="00FC0F61"/>
    <w:rsid w:val="00FC100C"/>
    <w:rsid w:val="00FC10ED"/>
    <w:rsid w:val="00FC10F4"/>
    <w:rsid w:val="00FC1152"/>
    <w:rsid w:val="00FC1477"/>
    <w:rsid w:val="00FC14D6"/>
    <w:rsid w:val="00FC14E9"/>
    <w:rsid w:val="00FC160C"/>
    <w:rsid w:val="00FC1684"/>
    <w:rsid w:val="00FC16B2"/>
    <w:rsid w:val="00FC17FF"/>
    <w:rsid w:val="00FC1A02"/>
    <w:rsid w:val="00FC1C43"/>
    <w:rsid w:val="00FC1CD3"/>
    <w:rsid w:val="00FC1CEB"/>
    <w:rsid w:val="00FC1DD6"/>
    <w:rsid w:val="00FC1EDB"/>
    <w:rsid w:val="00FC1F75"/>
    <w:rsid w:val="00FC2228"/>
    <w:rsid w:val="00FC2235"/>
    <w:rsid w:val="00FC2317"/>
    <w:rsid w:val="00FC2413"/>
    <w:rsid w:val="00FC2429"/>
    <w:rsid w:val="00FC254C"/>
    <w:rsid w:val="00FC255F"/>
    <w:rsid w:val="00FC25A5"/>
    <w:rsid w:val="00FC25FA"/>
    <w:rsid w:val="00FC26FE"/>
    <w:rsid w:val="00FC272C"/>
    <w:rsid w:val="00FC2860"/>
    <w:rsid w:val="00FC2881"/>
    <w:rsid w:val="00FC2899"/>
    <w:rsid w:val="00FC28AC"/>
    <w:rsid w:val="00FC2A07"/>
    <w:rsid w:val="00FC2A8E"/>
    <w:rsid w:val="00FC2B0E"/>
    <w:rsid w:val="00FC2B64"/>
    <w:rsid w:val="00FC2C4C"/>
    <w:rsid w:val="00FC2D35"/>
    <w:rsid w:val="00FC2D96"/>
    <w:rsid w:val="00FC2DC4"/>
    <w:rsid w:val="00FC2F4A"/>
    <w:rsid w:val="00FC31C1"/>
    <w:rsid w:val="00FC31FF"/>
    <w:rsid w:val="00FC33D6"/>
    <w:rsid w:val="00FC342B"/>
    <w:rsid w:val="00FC344B"/>
    <w:rsid w:val="00FC3486"/>
    <w:rsid w:val="00FC35EE"/>
    <w:rsid w:val="00FC372C"/>
    <w:rsid w:val="00FC373E"/>
    <w:rsid w:val="00FC38DD"/>
    <w:rsid w:val="00FC3991"/>
    <w:rsid w:val="00FC3A5B"/>
    <w:rsid w:val="00FC3B17"/>
    <w:rsid w:val="00FC3BBE"/>
    <w:rsid w:val="00FC3E3B"/>
    <w:rsid w:val="00FC3FE7"/>
    <w:rsid w:val="00FC429C"/>
    <w:rsid w:val="00FC43B5"/>
    <w:rsid w:val="00FC4475"/>
    <w:rsid w:val="00FC45E9"/>
    <w:rsid w:val="00FC465D"/>
    <w:rsid w:val="00FC46B4"/>
    <w:rsid w:val="00FC4784"/>
    <w:rsid w:val="00FC488D"/>
    <w:rsid w:val="00FC48C2"/>
    <w:rsid w:val="00FC490B"/>
    <w:rsid w:val="00FC49ED"/>
    <w:rsid w:val="00FC4AEE"/>
    <w:rsid w:val="00FC4B25"/>
    <w:rsid w:val="00FC4B2D"/>
    <w:rsid w:val="00FC4C7C"/>
    <w:rsid w:val="00FC4D31"/>
    <w:rsid w:val="00FC4DC1"/>
    <w:rsid w:val="00FC4E37"/>
    <w:rsid w:val="00FC4E59"/>
    <w:rsid w:val="00FC4EF1"/>
    <w:rsid w:val="00FC4FE2"/>
    <w:rsid w:val="00FC5080"/>
    <w:rsid w:val="00FC51A5"/>
    <w:rsid w:val="00FC5210"/>
    <w:rsid w:val="00FC52B3"/>
    <w:rsid w:val="00FC544A"/>
    <w:rsid w:val="00FC555B"/>
    <w:rsid w:val="00FC55FA"/>
    <w:rsid w:val="00FC560E"/>
    <w:rsid w:val="00FC5624"/>
    <w:rsid w:val="00FC562B"/>
    <w:rsid w:val="00FC56C4"/>
    <w:rsid w:val="00FC574B"/>
    <w:rsid w:val="00FC5CA9"/>
    <w:rsid w:val="00FC5D70"/>
    <w:rsid w:val="00FC5E0F"/>
    <w:rsid w:val="00FC5E48"/>
    <w:rsid w:val="00FC5F75"/>
    <w:rsid w:val="00FC6023"/>
    <w:rsid w:val="00FC607B"/>
    <w:rsid w:val="00FC6132"/>
    <w:rsid w:val="00FC624B"/>
    <w:rsid w:val="00FC62A3"/>
    <w:rsid w:val="00FC63B7"/>
    <w:rsid w:val="00FC6506"/>
    <w:rsid w:val="00FC6599"/>
    <w:rsid w:val="00FC65CD"/>
    <w:rsid w:val="00FC6614"/>
    <w:rsid w:val="00FC66E5"/>
    <w:rsid w:val="00FC694A"/>
    <w:rsid w:val="00FC69C9"/>
    <w:rsid w:val="00FC6A27"/>
    <w:rsid w:val="00FC6B6C"/>
    <w:rsid w:val="00FC6B71"/>
    <w:rsid w:val="00FC6BD0"/>
    <w:rsid w:val="00FC6C73"/>
    <w:rsid w:val="00FC6C93"/>
    <w:rsid w:val="00FC7040"/>
    <w:rsid w:val="00FC720E"/>
    <w:rsid w:val="00FC739F"/>
    <w:rsid w:val="00FC74F5"/>
    <w:rsid w:val="00FC759C"/>
    <w:rsid w:val="00FC75B2"/>
    <w:rsid w:val="00FC7607"/>
    <w:rsid w:val="00FC7613"/>
    <w:rsid w:val="00FC7732"/>
    <w:rsid w:val="00FC77E4"/>
    <w:rsid w:val="00FC7804"/>
    <w:rsid w:val="00FC7817"/>
    <w:rsid w:val="00FC78F7"/>
    <w:rsid w:val="00FC79E4"/>
    <w:rsid w:val="00FC7A88"/>
    <w:rsid w:val="00FC7A97"/>
    <w:rsid w:val="00FC7B06"/>
    <w:rsid w:val="00FC7BAD"/>
    <w:rsid w:val="00FC7C53"/>
    <w:rsid w:val="00FC7C8C"/>
    <w:rsid w:val="00FC7DF7"/>
    <w:rsid w:val="00FC7E97"/>
    <w:rsid w:val="00FD013C"/>
    <w:rsid w:val="00FD02B7"/>
    <w:rsid w:val="00FD0343"/>
    <w:rsid w:val="00FD04D7"/>
    <w:rsid w:val="00FD0551"/>
    <w:rsid w:val="00FD056E"/>
    <w:rsid w:val="00FD089F"/>
    <w:rsid w:val="00FD0A9D"/>
    <w:rsid w:val="00FD0C1A"/>
    <w:rsid w:val="00FD0C39"/>
    <w:rsid w:val="00FD0DB4"/>
    <w:rsid w:val="00FD0EEB"/>
    <w:rsid w:val="00FD0EF7"/>
    <w:rsid w:val="00FD0F0C"/>
    <w:rsid w:val="00FD0F10"/>
    <w:rsid w:val="00FD0F36"/>
    <w:rsid w:val="00FD1031"/>
    <w:rsid w:val="00FD105F"/>
    <w:rsid w:val="00FD10CC"/>
    <w:rsid w:val="00FD1119"/>
    <w:rsid w:val="00FD12E8"/>
    <w:rsid w:val="00FD13E4"/>
    <w:rsid w:val="00FD1543"/>
    <w:rsid w:val="00FD1553"/>
    <w:rsid w:val="00FD1581"/>
    <w:rsid w:val="00FD15B2"/>
    <w:rsid w:val="00FD179D"/>
    <w:rsid w:val="00FD1800"/>
    <w:rsid w:val="00FD187C"/>
    <w:rsid w:val="00FD1891"/>
    <w:rsid w:val="00FD1A85"/>
    <w:rsid w:val="00FD1B0A"/>
    <w:rsid w:val="00FD1B8A"/>
    <w:rsid w:val="00FD1BC0"/>
    <w:rsid w:val="00FD1CB1"/>
    <w:rsid w:val="00FD1CDA"/>
    <w:rsid w:val="00FD1DD1"/>
    <w:rsid w:val="00FD1E12"/>
    <w:rsid w:val="00FD1F77"/>
    <w:rsid w:val="00FD21C7"/>
    <w:rsid w:val="00FD21D1"/>
    <w:rsid w:val="00FD22E0"/>
    <w:rsid w:val="00FD239F"/>
    <w:rsid w:val="00FD2882"/>
    <w:rsid w:val="00FD29B5"/>
    <w:rsid w:val="00FD2AE6"/>
    <w:rsid w:val="00FD2B0D"/>
    <w:rsid w:val="00FD2B3E"/>
    <w:rsid w:val="00FD2BA7"/>
    <w:rsid w:val="00FD2C9F"/>
    <w:rsid w:val="00FD2CB1"/>
    <w:rsid w:val="00FD2DC2"/>
    <w:rsid w:val="00FD3026"/>
    <w:rsid w:val="00FD30AC"/>
    <w:rsid w:val="00FD318E"/>
    <w:rsid w:val="00FD32A5"/>
    <w:rsid w:val="00FD337D"/>
    <w:rsid w:val="00FD3447"/>
    <w:rsid w:val="00FD3595"/>
    <w:rsid w:val="00FD377E"/>
    <w:rsid w:val="00FD3832"/>
    <w:rsid w:val="00FD387A"/>
    <w:rsid w:val="00FD39CD"/>
    <w:rsid w:val="00FD3A60"/>
    <w:rsid w:val="00FD3AC5"/>
    <w:rsid w:val="00FD3C34"/>
    <w:rsid w:val="00FD3C4D"/>
    <w:rsid w:val="00FD3C6A"/>
    <w:rsid w:val="00FD3E6D"/>
    <w:rsid w:val="00FD3F21"/>
    <w:rsid w:val="00FD4029"/>
    <w:rsid w:val="00FD41FC"/>
    <w:rsid w:val="00FD428E"/>
    <w:rsid w:val="00FD42AD"/>
    <w:rsid w:val="00FD42B6"/>
    <w:rsid w:val="00FD4323"/>
    <w:rsid w:val="00FD435D"/>
    <w:rsid w:val="00FD43C0"/>
    <w:rsid w:val="00FD445F"/>
    <w:rsid w:val="00FD4481"/>
    <w:rsid w:val="00FD44B0"/>
    <w:rsid w:val="00FD454F"/>
    <w:rsid w:val="00FD45DB"/>
    <w:rsid w:val="00FD4606"/>
    <w:rsid w:val="00FD47B5"/>
    <w:rsid w:val="00FD4806"/>
    <w:rsid w:val="00FD48C4"/>
    <w:rsid w:val="00FD48D6"/>
    <w:rsid w:val="00FD4915"/>
    <w:rsid w:val="00FD49A4"/>
    <w:rsid w:val="00FD4A56"/>
    <w:rsid w:val="00FD4DA9"/>
    <w:rsid w:val="00FD4E8F"/>
    <w:rsid w:val="00FD4F43"/>
    <w:rsid w:val="00FD4FAA"/>
    <w:rsid w:val="00FD50B4"/>
    <w:rsid w:val="00FD50E7"/>
    <w:rsid w:val="00FD530B"/>
    <w:rsid w:val="00FD5327"/>
    <w:rsid w:val="00FD540C"/>
    <w:rsid w:val="00FD541F"/>
    <w:rsid w:val="00FD5448"/>
    <w:rsid w:val="00FD556D"/>
    <w:rsid w:val="00FD578C"/>
    <w:rsid w:val="00FD59AA"/>
    <w:rsid w:val="00FD59B5"/>
    <w:rsid w:val="00FD5AF7"/>
    <w:rsid w:val="00FD5B0A"/>
    <w:rsid w:val="00FD5C27"/>
    <w:rsid w:val="00FD5CA0"/>
    <w:rsid w:val="00FD5F07"/>
    <w:rsid w:val="00FD5F7A"/>
    <w:rsid w:val="00FD5FCF"/>
    <w:rsid w:val="00FD6014"/>
    <w:rsid w:val="00FD601B"/>
    <w:rsid w:val="00FD6150"/>
    <w:rsid w:val="00FD6314"/>
    <w:rsid w:val="00FD6491"/>
    <w:rsid w:val="00FD65A7"/>
    <w:rsid w:val="00FD66E0"/>
    <w:rsid w:val="00FD66E3"/>
    <w:rsid w:val="00FD6748"/>
    <w:rsid w:val="00FD6839"/>
    <w:rsid w:val="00FD685D"/>
    <w:rsid w:val="00FD6880"/>
    <w:rsid w:val="00FD6929"/>
    <w:rsid w:val="00FD6ADB"/>
    <w:rsid w:val="00FD6C08"/>
    <w:rsid w:val="00FD6CDA"/>
    <w:rsid w:val="00FD6D78"/>
    <w:rsid w:val="00FD6D95"/>
    <w:rsid w:val="00FD70C2"/>
    <w:rsid w:val="00FD716C"/>
    <w:rsid w:val="00FD7187"/>
    <w:rsid w:val="00FD71CF"/>
    <w:rsid w:val="00FD7247"/>
    <w:rsid w:val="00FD7304"/>
    <w:rsid w:val="00FD7494"/>
    <w:rsid w:val="00FD768E"/>
    <w:rsid w:val="00FD77EF"/>
    <w:rsid w:val="00FD7861"/>
    <w:rsid w:val="00FD7916"/>
    <w:rsid w:val="00FD7B12"/>
    <w:rsid w:val="00FD7EEF"/>
    <w:rsid w:val="00FD7F13"/>
    <w:rsid w:val="00FE01D4"/>
    <w:rsid w:val="00FE02ED"/>
    <w:rsid w:val="00FE055C"/>
    <w:rsid w:val="00FE07BB"/>
    <w:rsid w:val="00FE090E"/>
    <w:rsid w:val="00FE0A82"/>
    <w:rsid w:val="00FE0ADD"/>
    <w:rsid w:val="00FE0DF5"/>
    <w:rsid w:val="00FE0DFC"/>
    <w:rsid w:val="00FE0E95"/>
    <w:rsid w:val="00FE0EE8"/>
    <w:rsid w:val="00FE0F42"/>
    <w:rsid w:val="00FE1078"/>
    <w:rsid w:val="00FE10B2"/>
    <w:rsid w:val="00FE1282"/>
    <w:rsid w:val="00FE13B1"/>
    <w:rsid w:val="00FE1457"/>
    <w:rsid w:val="00FE1465"/>
    <w:rsid w:val="00FE1479"/>
    <w:rsid w:val="00FE14CE"/>
    <w:rsid w:val="00FE14D3"/>
    <w:rsid w:val="00FE1580"/>
    <w:rsid w:val="00FE172E"/>
    <w:rsid w:val="00FE185E"/>
    <w:rsid w:val="00FE198D"/>
    <w:rsid w:val="00FE19CB"/>
    <w:rsid w:val="00FE1A8C"/>
    <w:rsid w:val="00FE1B19"/>
    <w:rsid w:val="00FE1BBD"/>
    <w:rsid w:val="00FE1BFC"/>
    <w:rsid w:val="00FE1C87"/>
    <w:rsid w:val="00FE1DC7"/>
    <w:rsid w:val="00FE1EF7"/>
    <w:rsid w:val="00FE20B0"/>
    <w:rsid w:val="00FE2102"/>
    <w:rsid w:val="00FE21BB"/>
    <w:rsid w:val="00FE21F9"/>
    <w:rsid w:val="00FE2407"/>
    <w:rsid w:val="00FE283D"/>
    <w:rsid w:val="00FE289D"/>
    <w:rsid w:val="00FE2B84"/>
    <w:rsid w:val="00FE2B8D"/>
    <w:rsid w:val="00FE2E4B"/>
    <w:rsid w:val="00FE2EED"/>
    <w:rsid w:val="00FE2F39"/>
    <w:rsid w:val="00FE31E7"/>
    <w:rsid w:val="00FE334C"/>
    <w:rsid w:val="00FE337A"/>
    <w:rsid w:val="00FE33E1"/>
    <w:rsid w:val="00FE3524"/>
    <w:rsid w:val="00FE3525"/>
    <w:rsid w:val="00FE36A0"/>
    <w:rsid w:val="00FE3791"/>
    <w:rsid w:val="00FE37CA"/>
    <w:rsid w:val="00FE3934"/>
    <w:rsid w:val="00FE3AD5"/>
    <w:rsid w:val="00FE3CF3"/>
    <w:rsid w:val="00FE3D31"/>
    <w:rsid w:val="00FE3E10"/>
    <w:rsid w:val="00FE3EA5"/>
    <w:rsid w:val="00FE3EB2"/>
    <w:rsid w:val="00FE3EF6"/>
    <w:rsid w:val="00FE40D6"/>
    <w:rsid w:val="00FE410D"/>
    <w:rsid w:val="00FE41BF"/>
    <w:rsid w:val="00FE4320"/>
    <w:rsid w:val="00FE43A6"/>
    <w:rsid w:val="00FE442C"/>
    <w:rsid w:val="00FE470B"/>
    <w:rsid w:val="00FE4793"/>
    <w:rsid w:val="00FE4835"/>
    <w:rsid w:val="00FE48B0"/>
    <w:rsid w:val="00FE48D4"/>
    <w:rsid w:val="00FE4A56"/>
    <w:rsid w:val="00FE4AF0"/>
    <w:rsid w:val="00FE4BD6"/>
    <w:rsid w:val="00FE4C70"/>
    <w:rsid w:val="00FE4CBA"/>
    <w:rsid w:val="00FE4DC0"/>
    <w:rsid w:val="00FE4E50"/>
    <w:rsid w:val="00FE4F40"/>
    <w:rsid w:val="00FE4F85"/>
    <w:rsid w:val="00FE508D"/>
    <w:rsid w:val="00FE5225"/>
    <w:rsid w:val="00FE53EB"/>
    <w:rsid w:val="00FE59F0"/>
    <w:rsid w:val="00FE5A5E"/>
    <w:rsid w:val="00FE5B15"/>
    <w:rsid w:val="00FE5CA9"/>
    <w:rsid w:val="00FE5D39"/>
    <w:rsid w:val="00FE5D7C"/>
    <w:rsid w:val="00FE5DE7"/>
    <w:rsid w:val="00FE5F7A"/>
    <w:rsid w:val="00FE60CC"/>
    <w:rsid w:val="00FE612E"/>
    <w:rsid w:val="00FE619E"/>
    <w:rsid w:val="00FE6247"/>
    <w:rsid w:val="00FE6299"/>
    <w:rsid w:val="00FE6305"/>
    <w:rsid w:val="00FE6323"/>
    <w:rsid w:val="00FE6516"/>
    <w:rsid w:val="00FE65D9"/>
    <w:rsid w:val="00FE663F"/>
    <w:rsid w:val="00FE6894"/>
    <w:rsid w:val="00FE694D"/>
    <w:rsid w:val="00FE6996"/>
    <w:rsid w:val="00FE69AF"/>
    <w:rsid w:val="00FE6A2D"/>
    <w:rsid w:val="00FE6B9F"/>
    <w:rsid w:val="00FE6BAB"/>
    <w:rsid w:val="00FE6BD2"/>
    <w:rsid w:val="00FE6CB2"/>
    <w:rsid w:val="00FE6D8D"/>
    <w:rsid w:val="00FE711A"/>
    <w:rsid w:val="00FE725B"/>
    <w:rsid w:val="00FE73F8"/>
    <w:rsid w:val="00FE7438"/>
    <w:rsid w:val="00FE7459"/>
    <w:rsid w:val="00FE7501"/>
    <w:rsid w:val="00FE7541"/>
    <w:rsid w:val="00FE759A"/>
    <w:rsid w:val="00FE7937"/>
    <w:rsid w:val="00FE7967"/>
    <w:rsid w:val="00FE79DB"/>
    <w:rsid w:val="00FE7A83"/>
    <w:rsid w:val="00FE7AA8"/>
    <w:rsid w:val="00FE7ABA"/>
    <w:rsid w:val="00FE7C1E"/>
    <w:rsid w:val="00FE7C5D"/>
    <w:rsid w:val="00FE7E3A"/>
    <w:rsid w:val="00FE7E8D"/>
    <w:rsid w:val="00FE7EF6"/>
    <w:rsid w:val="00FE7F7C"/>
    <w:rsid w:val="00FF0059"/>
    <w:rsid w:val="00FF00AC"/>
    <w:rsid w:val="00FF00D2"/>
    <w:rsid w:val="00FF01AD"/>
    <w:rsid w:val="00FF036F"/>
    <w:rsid w:val="00FF0381"/>
    <w:rsid w:val="00FF0452"/>
    <w:rsid w:val="00FF049B"/>
    <w:rsid w:val="00FF05DC"/>
    <w:rsid w:val="00FF0646"/>
    <w:rsid w:val="00FF075E"/>
    <w:rsid w:val="00FF07DC"/>
    <w:rsid w:val="00FF07F6"/>
    <w:rsid w:val="00FF086D"/>
    <w:rsid w:val="00FF0D36"/>
    <w:rsid w:val="00FF0D5A"/>
    <w:rsid w:val="00FF0D6D"/>
    <w:rsid w:val="00FF0E32"/>
    <w:rsid w:val="00FF0F60"/>
    <w:rsid w:val="00FF0F7F"/>
    <w:rsid w:val="00FF1006"/>
    <w:rsid w:val="00FF103F"/>
    <w:rsid w:val="00FF117A"/>
    <w:rsid w:val="00FF11A9"/>
    <w:rsid w:val="00FF12E7"/>
    <w:rsid w:val="00FF131E"/>
    <w:rsid w:val="00FF1391"/>
    <w:rsid w:val="00FF13FE"/>
    <w:rsid w:val="00FF1544"/>
    <w:rsid w:val="00FF155E"/>
    <w:rsid w:val="00FF15E5"/>
    <w:rsid w:val="00FF16F9"/>
    <w:rsid w:val="00FF177F"/>
    <w:rsid w:val="00FF1794"/>
    <w:rsid w:val="00FF1859"/>
    <w:rsid w:val="00FF1878"/>
    <w:rsid w:val="00FF1879"/>
    <w:rsid w:val="00FF18F2"/>
    <w:rsid w:val="00FF1B47"/>
    <w:rsid w:val="00FF1B52"/>
    <w:rsid w:val="00FF1BF5"/>
    <w:rsid w:val="00FF1BF8"/>
    <w:rsid w:val="00FF1C27"/>
    <w:rsid w:val="00FF1C37"/>
    <w:rsid w:val="00FF1D8E"/>
    <w:rsid w:val="00FF1F49"/>
    <w:rsid w:val="00FF217F"/>
    <w:rsid w:val="00FF218D"/>
    <w:rsid w:val="00FF2388"/>
    <w:rsid w:val="00FF2540"/>
    <w:rsid w:val="00FF2585"/>
    <w:rsid w:val="00FF25EC"/>
    <w:rsid w:val="00FF2678"/>
    <w:rsid w:val="00FF2746"/>
    <w:rsid w:val="00FF279B"/>
    <w:rsid w:val="00FF27E6"/>
    <w:rsid w:val="00FF28FE"/>
    <w:rsid w:val="00FF2985"/>
    <w:rsid w:val="00FF2A4C"/>
    <w:rsid w:val="00FF2B2F"/>
    <w:rsid w:val="00FF2B7A"/>
    <w:rsid w:val="00FF2D77"/>
    <w:rsid w:val="00FF2DFC"/>
    <w:rsid w:val="00FF2E2C"/>
    <w:rsid w:val="00FF2F62"/>
    <w:rsid w:val="00FF2FB7"/>
    <w:rsid w:val="00FF301F"/>
    <w:rsid w:val="00FF308C"/>
    <w:rsid w:val="00FF3277"/>
    <w:rsid w:val="00FF32B3"/>
    <w:rsid w:val="00FF33B2"/>
    <w:rsid w:val="00FF3455"/>
    <w:rsid w:val="00FF350C"/>
    <w:rsid w:val="00FF3777"/>
    <w:rsid w:val="00FF37BE"/>
    <w:rsid w:val="00FF37D5"/>
    <w:rsid w:val="00FF37F7"/>
    <w:rsid w:val="00FF37FB"/>
    <w:rsid w:val="00FF38CB"/>
    <w:rsid w:val="00FF3A31"/>
    <w:rsid w:val="00FF3C11"/>
    <w:rsid w:val="00FF3C17"/>
    <w:rsid w:val="00FF3D5D"/>
    <w:rsid w:val="00FF3DB8"/>
    <w:rsid w:val="00FF3E7D"/>
    <w:rsid w:val="00FF3E81"/>
    <w:rsid w:val="00FF3EC1"/>
    <w:rsid w:val="00FF3F7E"/>
    <w:rsid w:val="00FF4005"/>
    <w:rsid w:val="00FF412D"/>
    <w:rsid w:val="00FF4142"/>
    <w:rsid w:val="00FF4170"/>
    <w:rsid w:val="00FF41A3"/>
    <w:rsid w:val="00FF424E"/>
    <w:rsid w:val="00FF42AB"/>
    <w:rsid w:val="00FF434B"/>
    <w:rsid w:val="00FF43D0"/>
    <w:rsid w:val="00FF455F"/>
    <w:rsid w:val="00FF45B3"/>
    <w:rsid w:val="00FF45DA"/>
    <w:rsid w:val="00FF4786"/>
    <w:rsid w:val="00FF4B05"/>
    <w:rsid w:val="00FF4B7C"/>
    <w:rsid w:val="00FF4BD0"/>
    <w:rsid w:val="00FF4C8E"/>
    <w:rsid w:val="00FF4E6B"/>
    <w:rsid w:val="00FF4FA9"/>
    <w:rsid w:val="00FF4FBB"/>
    <w:rsid w:val="00FF5234"/>
    <w:rsid w:val="00FF52F0"/>
    <w:rsid w:val="00FF53B2"/>
    <w:rsid w:val="00FF5425"/>
    <w:rsid w:val="00FF5492"/>
    <w:rsid w:val="00FF5605"/>
    <w:rsid w:val="00FF560B"/>
    <w:rsid w:val="00FF5907"/>
    <w:rsid w:val="00FF598A"/>
    <w:rsid w:val="00FF59A1"/>
    <w:rsid w:val="00FF5B59"/>
    <w:rsid w:val="00FF5B75"/>
    <w:rsid w:val="00FF5B7E"/>
    <w:rsid w:val="00FF5BDA"/>
    <w:rsid w:val="00FF5C56"/>
    <w:rsid w:val="00FF5C7D"/>
    <w:rsid w:val="00FF5E70"/>
    <w:rsid w:val="00FF5F0E"/>
    <w:rsid w:val="00FF5FC6"/>
    <w:rsid w:val="00FF6048"/>
    <w:rsid w:val="00FF60EC"/>
    <w:rsid w:val="00FF60F6"/>
    <w:rsid w:val="00FF61F1"/>
    <w:rsid w:val="00FF6200"/>
    <w:rsid w:val="00FF63DF"/>
    <w:rsid w:val="00FF64B0"/>
    <w:rsid w:val="00FF6537"/>
    <w:rsid w:val="00FF6A9D"/>
    <w:rsid w:val="00FF6C41"/>
    <w:rsid w:val="00FF6CAE"/>
    <w:rsid w:val="00FF6CD0"/>
    <w:rsid w:val="00FF6E1F"/>
    <w:rsid w:val="00FF701B"/>
    <w:rsid w:val="00FF70E5"/>
    <w:rsid w:val="00FF7137"/>
    <w:rsid w:val="00FF7316"/>
    <w:rsid w:val="00FF731E"/>
    <w:rsid w:val="00FF759A"/>
    <w:rsid w:val="00FF77CA"/>
    <w:rsid w:val="00FF786C"/>
    <w:rsid w:val="00FF78B4"/>
    <w:rsid w:val="00FF78FA"/>
    <w:rsid w:val="00FF7960"/>
    <w:rsid w:val="00FF7A0C"/>
    <w:rsid w:val="00FF7A2F"/>
    <w:rsid w:val="00FF7A51"/>
    <w:rsid w:val="00FF7AC7"/>
    <w:rsid w:val="00FF7AF4"/>
    <w:rsid w:val="00FF7B32"/>
    <w:rsid w:val="00FF7BBB"/>
    <w:rsid w:val="00FF7BD3"/>
    <w:rsid w:val="00FF7C72"/>
    <w:rsid w:val="00FF7CE2"/>
    <w:rsid w:val="00FF7D15"/>
    <w:rsid w:val="00FF7D17"/>
    <w:rsid w:val="00FF7E12"/>
    <w:rsid w:val="00FF7FBF"/>
    <w:rsid w:val="04F501E2"/>
    <w:rsid w:val="0A45CF30"/>
    <w:rsid w:val="0DA6A252"/>
    <w:rsid w:val="13BE47EC"/>
    <w:rsid w:val="13C0EE3D"/>
    <w:rsid w:val="1543ACA7"/>
    <w:rsid w:val="1D8AEC76"/>
    <w:rsid w:val="2AC9B6EA"/>
    <w:rsid w:val="2EDF5742"/>
    <w:rsid w:val="3347B59D"/>
    <w:rsid w:val="44C22A38"/>
    <w:rsid w:val="47A29002"/>
    <w:rsid w:val="5280C1F6"/>
    <w:rsid w:val="53A979A0"/>
    <w:rsid w:val="56251DE9"/>
    <w:rsid w:val="5BBCAD15"/>
    <w:rsid w:val="61831750"/>
    <w:rsid w:val="732CEA2C"/>
    <w:rsid w:val="74096C9E"/>
    <w:rsid w:val="7547B7EA"/>
    <w:rsid w:val="76C31F94"/>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BB3813"/>
  <w15:docId w15:val="{F97CFDE1-849E-C342-8D51-EBE338852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4648"/>
    <w:pPr>
      <w:spacing w:after="0" w:line="240" w:lineRule="auto"/>
    </w:pPr>
    <w:rPr>
      <w:rFonts w:ascii="Times New Roman" w:eastAsia="Times New Roman" w:hAnsi="Times New Roman" w:cs="Times New Roman"/>
      <w:sz w:val="24"/>
      <w:szCs w:val="24"/>
      <w:lang w:eastAsia="es-MX"/>
    </w:rPr>
  </w:style>
  <w:style w:type="paragraph" w:styleId="Ttulo1">
    <w:name w:val="heading 1"/>
    <w:basedOn w:val="Ttulo7"/>
    <w:next w:val="Normal"/>
    <w:link w:val="Ttulo1Car"/>
    <w:uiPriority w:val="9"/>
    <w:qFormat/>
    <w:rsid w:val="00C76E9A"/>
    <w:pPr>
      <w:ind w:right="51"/>
      <w:outlineLvl w:val="0"/>
    </w:pPr>
  </w:style>
  <w:style w:type="paragraph" w:styleId="Ttulo2">
    <w:name w:val="heading 2"/>
    <w:basedOn w:val="Normal"/>
    <w:next w:val="Normal"/>
    <w:link w:val="Ttulo2Car"/>
    <w:uiPriority w:val="9"/>
    <w:unhideWhenUsed/>
    <w:qFormat/>
    <w:rsid w:val="006C7183"/>
    <w:pPr>
      <w:widowControl w:val="0"/>
      <w:tabs>
        <w:tab w:val="left" w:pos="426"/>
      </w:tabs>
      <w:jc w:val="both"/>
      <w:outlineLvl w:val="1"/>
    </w:pPr>
    <w:rPr>
      <w:b/>
      <w:sz w:val="28"/>
      <w:szCs w:val="28"/>
      <w:lang w:eastAsia="es-CO"/>
    </w:rPr>
  </w:style>
  <w:style w:type="paragraph" w:styleId="Ttulo3">
    <w:name w:val="heading 3"/>
    <w:basedOn w:val="Normal"/>
    <w:next w:val="Normal"/>
    <w:link w:val="Ttulo3Car"/>
    <w:uiPriority w:val="9"/>
    <w:unhideWhenUsed/>
    <w:qFormat/>
    <w:rsid w:val="00802C30"/>
    <w:pPr>
      <w:widowControl w:val="0"/>
      <w:jc w:val="both"/>
      <w:outlineLvl w:val="2"/>
    </w:pPr>
    <w:rPr>
      <w:b/>
      <w:iCs/>
      <w:sz w:val="28"/>
      <w:szCs w:val="28"/>
      <w:lang w:val="es-ES_tradnl" w:eastAsia="es-CO"/>
    </w:rPr>
  </w:style>
  <w:style w:type="paragraph" w:styleId="Ttulo4">
    <w:name w:val="heading 4"/>
    <w:basedOn w:val="Prrafodelista"/>
    <w:next w:val="Normal"/>
    <w:link w:val="Ttulo4Car"/>
    <w:uiPriority w:val="9"/>
    <w:unhideWhenUsed/>
    <w:qFormat/>
    <w:rsid w:val="003947A0"/>
    <w:pPr>
      <w:widowControl/>
      <w:tabs>
        <w:tab w:val="left" w:pos="284"/>
        <w:tab w:val="left" w:pos="567"/>
      </w:tabs>
      <w:ind w:left="567" w:right="51"/>
      <w:contextualSpacing w:val="0"/>
      <w:outlineLvl w:val="3"/>
    </w:pPr>
    <w:rPr>
      <w:i/>
      <w:iCs/>
      <w:lang w:val="es-ES"/>
    </w:rPr>
  </w:style>
  <w:style w:type="paragraph" w:styleId="Ttulo5">
    <w:name w:val="heading 5"/>
    <w:basedOn w:val="Normal"/>
    <w:next w:val="Normal"/>
    <w:link w:val="Ttulo5Car"/>
    <w:uiPriority w:val="9"/>
    <w:semiHidden/>
    <w:unhideWhenUsed/>
    <w:qFormat/>
    <w:rsid w:val="00200940"/>
    <w:pPr>
      <w:keepNext/>
      <w:keepLines/>
      <w:widowControl w:val="0"/>
      <w:spacing w:before="40"/>
      <w:jc w:val="both"/>
      <w:outlineLvl w:val="4"/>
    </w:pPr>
    <w:rPr>
      <w:rFonts w:ascii="Calibri Light" w:eastAsia="MS Gothic" w:hAnsi="Calibri Light"/>
      <w:color w:val="2E74B5"/>
      <w:sz w:val="28"/>
      <w:szCs w:val="28"/>
      <w:lang w:eastAsia="es-CO"/>
    </w:rPr>
  </w:style>
  <w:style w:type="paragraph" w:styleId="Ttulo6">
    <w:name w:val="heading 6"/>
    <w:basedOn w:val="Normal"/>
    <w:next w:val="Normal"/>
    <w:link w:val="Ttulo6Car"/>
    <w:uiPriority w:val="9"/>
    <w:unhideWhenUsed/>
    <w:qFormat/>
    <w:rsid w:val="00F7747B"/>
    <w:pPr>
      <w:keepNext/>
      <w:keepLines/>
      <w:spacing w:before="40"/>
      <w:outlineLvl w:val="5"/>
    </w:pPr>
    <w:rPr>
      <w:rFonts w:asciiTheme="majorHAnsi" w:eastAsiaTheme="majorEastAsia" w:hAnsiTheme="majorHAnsi" w:cstheme="majorBidi"/>
      <w:color w:val="1F4D78" w:themeColor="accent1" w:themeShade="7F"/>
      <w:lang w:eastAsia="es-ES_tradnl"/>
    </w:rPr>
  </w:style>
  <w:style w:type="paragraph" w:styleId="Ttulo7">
    <w:name w:val="heading 7"/>
    <w:basedOn w:val="Normal"/>
    <w:next w:val="Normal"/>
    <w:link w:val="Ttulo7Car"/>
    <w:uiPriority w:val="9"/>
    <w:unhideWhenUsed/>
    <w:qFormat/>
    <w:rsid w:val="00796BE5"/>
    <w:pPr>
      <w:widowControl w:val="0"/>
      <w:jc w:val="center"/>
      <w:outlineLvl w:val="6"/>
    </w:pPr>
    <w:rPr>
      <w:b/>
      <w:sz w:val="28"/>
      <w:szCs w:val="28"/>
      <w:lang w:eastAsia="es-CO"/>
    </w:rPr>
  </w:style>
  <w:style w:type="paragraph" w:styleId="Ttulo8">
    <w:name w:val="heading 8"/>
    <w:basedOn w:val="Normal"/>
    <w:next w:val="Normal"/>
    <w:link w:val="Ttulo8Car"/>
    <w:uiPriority w:val="9"/>
    <w:unhideWhenUsed/>
    <w:qFormat/>
    <w:rsid w:val="00796BE5"/>
    <w:pPr>
      <w:widowControl w:val="0"/>
      <w:jc w:val="both"/>
      <w:outlineLvl w:val="7"/>
    </w:pPr>
    <w:rPr>
      <w:b/>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6BE5"/>
    <w:pPr>
      <w:widowControl w:val="0"/>
      <w:tabs>
        <w:tab w:val="center" w:pos="4419"/>
        <w:tab w:val="right" w:pos="8838"/>
      </w:tabs>
      <w:jc w:val="both"/>
    </w:pPr>
    <w:rPr>
      <w:sz w:val="28"/>
      <w:szCs w:val="28"/>
      <w:lang w:eastAsia="es-CO"/>
    </w:rPr>
  </w:style>
  <w:style w:type="character" w:customStyle="1" w:styleId="EncabezadoCar">
    <w:name w:val="Encabezado Car"/>
    <w:basedOn w:val="Fuentedeprrafopredeter"/>
    <w:link w:val="Encabezado"/>
    <w:uiPriority w:val="99"/>
    <w:rsid w:val="00796BE5"/>
  </w:style>
  <w:style w:type="paragraph" w:styleId="Piedepgina">
    <w:name w:val="footer"/>
    <w:basedOn w:val="Normal"/>
    <w:link w:val="PiedepginaCar"/>
    <w:uiPriority w:val="99"/>
    <w:unhideWhenUsed/>
    <w:rsid w:val="00796BE5"/>
    <w:pPr>
      <w:widowControl w:val="0"/>
      <w:tabs>
        <w:tab w:val="center" w:pos="4419"/>
        <w:tab w:val="right" w:pos="8838"/>
      </w:tabs>
      <w:jc w:val="both"/>
    </w:pPr>
    <w:rPr>
      <w:sz w:val="28"/>
      <w:szCs w:val="28"/>
      <w:lang w:eastAsia="es-CO"/>
    </w:rPr>
  </w:style>
  <w:style w:type="character" w:customStyle="1" w:styleId="PiedepginaCar">
    <w:name w:val="Pie de página Car"/>
    <w:basedOn w:val="Fuentedeprrafopredeter"/>
    <w:link w:val="Piedepgina"/>
    <w:uiPriority w:val="99"/>
    <w:rsid w:val="00796BE5"/>
  </w:style>
  <w:style w:type="paragraph" w:styleId="Sinespaciado">
    <w:name w:val="No Spacing"/>
    <w:link w:val="SinespaciadoCar"/>
    <w:uiPriority w:val="1"/>
    <w:qFormat/>
    <w:rsid w:val="00796BE5"/>
    <w:pPr>
      <w:widowControl w:val="0"/>
      <w:spacing w:after="0" w:line="240" w:lineRule="auto"/>
      <w:jc w:val="both"/>
    </w:pPr>
    <w:rPr>
      <w:rFonts w:ascii="Times New Roman" w:eastAsia="Times New Roman" w:hAnsi="Times New Roman" w:cs="Times New Roman"/>
      <w:sz w:val="28"/>
      <w:szCs w:val="28"/>
      <w:lang w:eastAsia="es-CO"/>
    </w:rPr>
  </w:style>
  <w:style w:type="character" w:customStyle="1" w:styleId="Ttulo7Car">
    <w:name w:val="Título 7 Car"/>
    <w:basedOn w:val="Fuentedeprrafopredeter"/>
    <w:link w:val="Ttulo7"/>
    <w:uiPriority w:val="9"/>
    <w:rsid w:val="00796BE5"/>
    <w:rPr>
      <w:rFonts w:ascii="Times New Roman" w:eastAsia="Times New Roman" w:hAnsi="Times New Roman" w:cs="Times New Roman"/>
      <w:b/>
      <w:sz w:val="28"/>
      <w:szCs w:val="28"/>
      <w:lang w:eastAsia="es-CO"/>
    </w:rPr>
  </w:style>
  <w:style w:type="character" w:customStyle="1" w:styleId="Ttulo8Car">
    <w:name w:val="Título 8 Car"/>
    <w:basedOn w:val="Fuentedeprrafopredeter"/>
    <w:link w:val="Ttulo8"/>
    <w:uiPriority w:val="9"/>
    <w:rsid w:val="00796BE5"/>
    <w:rPr>
      <w:rFonts w:ascii="Times New Roman" w:eastAsia="Times New Roman" w:hAnsi="Times New Roman" w:cs="Times New Roman"/>
      <w:b/>
      <w:sz w:val="28"/>
      <w:szCs w:val="28"/>
      <w:lang w:eastAsia="es-CO"/>
    </w:rPr>
  </w:style>
  <w:style w:type="paragraph" w:styleId="Textonotapie">
    <w:name w:val="footnote text"/>
    <w:aliases w:val="Footnote Text Char Char Char Char Char,Footnote Text Char Char Char Char,Footnote reference,FA Fu,Footnote Text Char Char Char,texto de nota al pie,Footnote Text Char Char Char Char Char Char Char Char,texto de nota al,Footnote Text Char"/>
    <w:basedOn w:val="Normal"/>
    <w:link w:val="TextonotapieCar"/>
    <w:uiPriority w:val="99"/>
    <w:unhideWhenUsed/>
    <w:qFormat/>
    <w:rsid w:val="00796BE5"/>
    <w:pPr>
      <w:widowControl w:val="0"/>
      <w:jc w:val="both"/>
    </w:pPr>
    <w:rPr>
      <w:sz w:val="20"/>
      <w:szCs w:val="20"/>
      <w:lang w:eastAsia="es-CO"/>
    </w:rPr>
  </w:style>
  <w:style w:type="character" w:customStyle="1" w:styleId="TextonotapieCar">
    <w:name w:val="Texto nota pie Car"/>
    <w:aliases w:val="Footnote Text Char Char Char Char Char Car,Footnote Text Char Char Char Char Car,Footnote reference Car,FA Fu Car,Footnote Text Char Char Char Car,texto de nota al pie Car,Footnote Text Char Char Char Char Char Char Char Char Car"/>
    <w:basedOn w:val="Fuentedeprrafopredeter"/>
    <w:link w:val="Textonotapie"/>
    <w:uiPriority w:val="99"/>
    <w:qFormat/>
    <w:rsid w:val="00796BE5"/>
    <w:rPr>
      <w:rFonts w:ascii="Times New Roman" w:eastAsia="Times New Roman" w:hAnsi="Times New Roman" w:cs="Times New Roman"/>
      <w:sz w:val="20"/>
      <w:szCs w:val="20"/>
      <w:lang w:eastAsia="es-CO"/>
    </w:rPr>
  </w:style>
  <w:style w:type="character" w:styleId="Refdenotaalpie">
    <w:name w:val="footnote reference"/>
    <w:aliases w:val="Texto de nota al pie,referencia nota al pie,Ref. de nota al pie 2,Pie de Página,FC,Footnotes refss,Appel note de bas de page,Texto de nota al pi,Footnote number,BVI fnr,4_G,16 Point,Superscript 6 Point,Texto nota al pie,Pie de P_gi,R"/>
    <w:basedOn w:val="Fuentedeprrafopredeter"/>
    <w:link w:val="Piedepagina"/>
    <w:uiPriority w:val="99"/>
    <w:unhideWhenUsed/>
    <w:qFormat/>
    <w:rsid w:val="00796BE5"/>
    <w:rPr>
      <w:vertAlign w:val="superscript"/>
    </w:rPr>
  </w:style>
  <w:style w:type="paragraph" w:styleId="Prrafodelista">
    <w:name w:val="List Paragraph"/>
    <w:aliases w:val="Ha,lp1,Footnote,List Paragraph2,Colorful List - Accent 11,List Paragraph1,titulo 3,Bullets,Párrafo de lista2,Bullet List,FooterText,numbered,Paragraphe de liste1,Bulletr List Paragraph,Foot,列出段落,列出段落1,List Paragraph21,リスト段落1,Lista1,Boli"/>
    <w:basedOn w:val="Normal"/>
    <w:link w:val="PrrafodelistaCar"/>
    <w:uiPriority w:val="34"/>
    <w:qFormat/>
    <w:rsid w:val="00796BE5"/>
    <w:pPr>
      <w:widowControl w:val="0"/>
      <w:ind w:left="720"/>
      <w:contextualSpacing/>
      <w:jc w:val="both"/>
    </w:pPr>
    <w:rPr>
      <w:sz w:val="28"/>
      <w:szCs w:val="28"/>
      <w:lang w:eastAsia="es-CO"/>
    </w:rPr>
  </w:style>
  <w:style w:type="table" w:styleId="Tablaconcuadrcula">
    <w:name w:val="Table Grid"/>
    <w:basedOn w:val="Tablanormal"/>
    <w:uiPriority w:val="39"/>
    <w:rsid w:val="00796BE5"/>
    <w:pPr>
      <w:widowControl w:val="0"/>
      <w:spacing w:after="0" w:line="240" w:lineRule="auto"/>
      <w:jc w:val="both"/>
    </w:pPr>
    <w:rPr>
      <w:rFonts w:ascii="Times New Roman" w:eastAsia="Times New Roman" w:hAnsi="Times New Roman" w:cs="Times New Roman"/>
      <w:sz w:val="28"/>
      <w:szCs w:val="28"/>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76E9A"/>
    <w:rPr>
      <w:rFonts w:ascii="Times New Roman" w:eastAsia="Times New Roman" w:hAnsi="Times New Roman" w:cs="Times New Roman"/>
      <w:b/>
      <w:sz w:val="28"/>
      <w:szCs w:val="28"/>
      <w:lang w:eastAsia="es-CO"/>
    </w:rPr>
  </w:style>
  <w:style w:type="character" w:customStyle="1" w:styleId="Ttulo2Car">
    <w:name w:val="Título 2 Car"/>
    <w:basedOn w:val="Fuentedeprrafopredeter"/>
    <w:link w:val="Ttulo2"/>
    <w:uiPriority w:val="9"/>
    <w:rsid w:val="006C7183"/>
    <w:rPr>
      <w:rFonts w:ascii="Times New Roman" w:eastAsia="Times New Roman" w:hAnsi="Times New Roman" w:cs="Times New Roman"/>
      <w:b/>
      <w:sz w:val="28"/>
      <w:szCs w:val="28"/>
      <w:lang w:eastAsia="es-CO"/>
    </w:rPr>
  </w:style>
  <w:style w:type="character" w:styleId="Refdecomentario">
    <w:name w:val="annotation reference"/>
    <w:basedOn w:val="Fuentedeprrafopredeter"/>
    <w:uiPriority w:val="99"/>
    <w:unhideWhenUsed/>
    <w:rsid w:val="00B01A79"/>
    <w:rPr>
      <w:sz w:val="16"/>
      <w:szCs w:val="16"/>
    </w:rPr>
  </w:style>
  <w:style w:type="paragraph" w:styleId="Textocomentario">
    <w:name w:val="annotation text"/>
    <w:basedOn w:val="Normal"/>
    <w:link w:val="TextocomentarioCar"/>
    <w:uiPriority w:val="99"/>
    <w:unhideWhenUsed/>
    <w:rsid w:val="00B01A79"/>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B01A79"/>
    <w:rPr>
      <w:sz w:val="20"/>
      <w:szCs w:val="20"/>
    </w:rPr>
  </w:style>
  <w:style w:type="paragraph" w:styleId="Textodeglobo">
    <w:name w:val="Balloon Text"/>
    <w:basedOn w:val="Normal"/>
    <w:link w:val="TextodegloboCar"/>
    <w:uiPriority w:val="99"/>
    <w:semiHidden/>
    <w:unhideWhenUsed/>
    <w:rsid w:val="00B01A79"/>
    <w:pPr>
      <w:widowControl w:val="0"/>
      <w:jc w:val="both"/>
    </w:pPr>
    <w:rPr>
      <w:rFonts w:ascii="Segoe UI" w:hAnsi="Segoe UI" w:cs="Segoe UI"/>
      <w:sz w:val="18"/>
      <w:szCs w:val="18"/>
      <w:lang w:eastAsia="es-CO"/>
    </w:rPr>
  </w:style>
  <w:style w:type="character" w:customStyle="1" w:styleId="TextodegloboCar">
    <w:name w:val="Texto de globo Car"/>
    <w:basedOn w:val="Fuentedeprrafopredeter"/>
    <w:link w:val="Textodeglobo"/>
    <w:uiPriority w:val="99"/>
    <w:semiHidden/>
    <w:rsid w:val="00B01A79"/>
    <w:rPr>
      <w:rFonts w:ascii="Segoe UI" w:eastAsia="Times New Roman" w:hAnsi="Segoe UI" w:cs="Segoe UI"/>
      <w:sz w:val="18"/>
      <w:szCs w:val="18"/>
      <w:lang w:eastAsia="es-CO"/>
    </w:rPr>
  </w:style>
  <w:style w:type="character" w:customStyle="1" w:styleId="Ttulo3Car">
    <w:name w:val="Título 3 Car"/>
    <w:basedOn w:val="Fuentedeprrafopredeter"/>
    <w:link w:val="Ttulo3"/>
    <w:uiPriority w:val="9"/>
    <w:rsid w:val="00802C30"/>
    <w:rPr>
      <w:rFonts w:ascii="Times New Roman" w:eastAsia="Times New Roman" w:hAnsi="Times New Roman" w:cs="Times New Roman"/>
      <w:b/>
      <w:iCs/>
      <w:sz w:val="28"/>
      <w:szCs w:val="28"/>
      <w:lang w:val="es-ES_tradnl" w:eastAsia="es-CO"/>
    </w:rPr>
  </w:style>
  <w:style w:type="paragraph" w:styleId="Cita">
    <w:name w:val="Quote"/>
    <w:basedOn w:val="Subttulo"/>
    <w:next w:val="Normal"/>
    <w:link w:val="CitaCar"/>
    <w:uiPriority w:val="29"/>
    <w:qFormat/>
    <w:rsid w:val="006712B1"/>
    <w:rPr>
      <w:rFonts w:eastAsiaTheme="minorHAnsi"/>
      <w:sz w:val="24"/>
      <w:szCs w:val="24"/>
      <w:lang w:eastAsia="en-US"/>
    </w:rPr>
  </w:style>
  <w:style w:type="character" w:customStyle="1" w:styleId="CitaCar">
    <w:name w:val="Cita Car"/>
    <w:basedOn w:val="Fuentedeprrafopredeter"/>
    <w:link w:val="Cita"/>
    <w:uiPriority w:val="29"/>
    <w:rsid w:val="006712B1"/>
    <w:rPr>
      <w:rFonts w:ascii="Times New Roman" w:hAnsi="Times New Roman" w:cs="Times New Roman"/>
      <w:sz w:val="24"/>
      <w:szCs w:val="24"/>
    </w:rPr>
  </w:style>
  <w:style w:type="paragraph" w:styleId="NormalWeb">
    <w:name w:val="Normal (Web)"/>
    <w:basedOn w:val="Normal"/>
    <w:uiPriority w:val="99"/>
    <w:unhideWhenUsed/>
    <w:rsid w:val="000E005B"/>
    <w:pPr>
      <w:widowControl w:val="0"/>
      <w:jc w:val="both"/>
    </w:pPr>
    <w:rPr>
      <w:lang w:eastAsia="es-CO"/>
    </w:rPr>
  </w:style>
  <w:style w:type="paragraph" w:styleId="Asuntodelcomentario">
    <w:name w:val="annotation subject"/>
    <w:basedOn w:val="Textocomentario"/>
    <w:next w:val="Textocomentario"/>
    <w:link w:val="AsuntodelcomentarioCar"/>
    <w:uiPriority w:val="99"/>
    <w:semiHidden/>
    <w:unhideWhenUsed/>
    <w:rsid w:val="001C6F97"/>
    <w:pPr>
      <w:widowControl w:val="0"/>
      <w:spacing w:after="0"/>
      <w:jc w:val="both"/>
    </w:pPr>
    <w:rPr>
      <w:rFonts w:ascii="Times New Roman" w:eastAsia="Times New Roman" w:hAnsi="Times New Roman" w:cs="Times New Roman"/>
      <w:b/>
      <w:bCs/>
      <w:lang w:eastAsia="es-CO"/>
    </w:rPr>
  </w:style>
  <w:style w:type="character" w:customStyle="1" w:styleId="AsuntodelcomentarioCar">
    <w:name w:val="Asunto del comentario Car"/>
    <w:basedOn w:val="TextocomentarioCar"/>
    <w:link w:val="Asuntodelcomentario"/>
    <w:uiPriority w:val="99"/>
    <w:semiHidden/>
    <w:rsid w:val="001C6F97"/>
    <w:rPr>
      <w:rFonts w:ascii="Times New Roman" w:eastAsia="Times New Roman" w:hAnsi="Times New Roman" w:cs="Times New Roman"/>
      <w:b/>
      <w:bCs/>
      <w:sz w:val="20"/>
      <w:szCs w:val="20"/>
      <w:lang w:eastAsia="es-CO"/>
    </w:rPr>
  </w:style>
  <w:style w:type="character" w:styleId="Hipervnculo">
    <w:name w:val="Hyperlink"/>
    <w:basedOn w:val="Fuentedeprrafopredeter"/>
    <w:uiPriority w:val="99"/>
    <w:unhideWhenUsed/>
    <w:rsid w:val="00071E36"/>
    <w:rPr>
      <w:color w:val="0563C1" w:themeColor="hyperlink"/>
      <w:u w:val="single"/>
    </w:rPr>
  </w:style>
  <w:style w:type="paragraph" w:styleId="Subttulo">
    <w:name w:val="Subtitle"/>
    <w:basedOn w:val="Normal"/>
    <w:next w:val="Normal"/>
    <w:link w:val="SubttuloCar"/>
    <w:uiPriority w:val="11"/>
    <w:qFormat/>
    <w:rsid w:val="00DD264D"/>
    <w:pPr>
      <w:widowControl w:val="0"/>
      <w:ind w:left="567"/>
      <w:jc w:val="both"/>
    </w:pPr>
    <w:rPr>
      <w:sz w:val="26"/>
      <w:szCs w:val="26"/>
      <w:lang w:eastAsia="es-CO"/>
    </w:rPr>
  </w:style>
  <w:style w:type="character" w:customStyle="1" w:styleId="SubttuloCar">
    <w:name w:val="Subtítulo Car"/>
    <w:basedOn w:val="Fuentedeprrafopredeter"/>
    <w:link w:val="Subttulo"/>
    <w:uiPriority w:val="11"/>
    <w:rsid w:val="00DD264D"/>
    <w:rPr>
      <w:rFonts w:ascii="Times New Roman" w:eastAsia="Times New Roman" w:hAnsi="Times New Roman" w:cs="Times New Roman"/>
      <w:sz w:val="26"/>
      <w:szCs w:val="26"/>
      <w:lang w:eastAsia="es-CO"/>
    </w:rPr>
  </w:style>
  <w:style w:type="paragraph" w:styleId="Textoindependiente">
    <w:name w:val="Body Text"/>
    <w:basedOn w:val="Normal"/>
    <w:link w:val="TextoindependienteCar"/>
    <w:uiPriority w:val="99"/>
    <w:unhideWhenUsed/>
    <w:rsid w:val="000C2A70"/>
    <w:pPr>
      <w:widowControl w:val="0"/>
      <w:spacing w:after="120"/>
      <w:jc w:val="both"/>
    </w:pPr>
    <w:rPr>
      <w:sz w:val="28"/>
      <w:szCs w:val="28"/>
      <w:lang w:eastAsia="es-CO"/>
    </w:rPr>
  </w:style>
  <w:style w:type="character" w:customStyle="1" w:styleId="TextoindependienteCar">
    <w:name w:val="Texto independiente Car"/>
    <w:basedOn w:val="Fuentedeprrafopredeter"/>
    <w:link w:val="Textoindependiente"/>
    <w:uiPriority w:val="1"/>
    <w:rsid w:val="000C2A70"/>
    <w:rPr>
      <w:rFonts w:ascii="Times New Roman" w:eastAsia="Times New Roman" w:hAnsi="Times New Roman" w:cs="Times New Roman"/>
      <w:sz w:val="28"/>
      <w:szCs w:val="28"/>
      <w:lang w:eastAsia="es-CO"/>
    </w:rPr>
  </w:style>
  <w:style w:type="paragraph" w:styleId="Textoindependiente3">
    <w:name w:val="Body Text 3"/>
    <w:basedOn w:val="Normal"/>
    <w:link w:val="Textoindependiente3Car"/>
    <w:uiPriority w:val="99"/>
    <w:semiHidden/>
    <w:unhideWhenUsed/>
    <w:rsid w:val="009D51A0"/>
    <w:pPr>
      <w:widowControl w:val="0"/>
      <w:spacing w:after="120"/>
      <w:jc w:val="both"/>
    </w:pPr>
    <w:rPr>
      <w:sz w:val="16"/>
      <w:szCs w:val="16"/>
      <w:lang w:eastAsia="es-CO"/>
    </w:rPr>
  </w:style>
  <w:style w:type="character" w:customStyle="1" w:styleId="Textoindependiente3Car">
    <w:name w:val="Texto independiente 3 Car"/>
    <w:basedOn w:val="Fuentedeprrafopredeter"/>
    <w:link w:val="Textoindependiente3"/>
    <w:uiPriority w:val="99"/>
    <w:semiHidden/>
    <w:rsid w:val="009D51A0"/>
    <w:rPr>
      <w:rFonts w:ascii="Times New Roman" w:eastAsia="Times New Roman" w:hAnsi="Times New Roman" w:cs="Times New Roman"/>
      <w:sz w:val="16"/>
      <w:szCs w:val="16"/>
      <w:lang w:eastAsia="es-CO"/>
    </w:rPr>
  </w:style>
  <w:style w:type="character" w:customStyle="1" w:styleId="Mencinsinresolver1">
    <w:name w:val="Mención sin resolver1"/>
    <w:basedOn w:val="Fuentedeprrafopredeter"/>
    <w:uiPriority w:val="99"/>
    <w:semiHidden/>
    <w:unhideWhenUsed/>
    <w:rsid w:val="002D7926"/>
    <w:rPr>
      <w:color w:val="605E5C"/>
      <w:shd w:val="clear" w:color="auto" w:fill="E1DFDD"/>
    </w:rPr>
  </w:style>
  <w:style w:type="paragraph" w:customStyle="1" w:styleId="Car">
    <w:name w:val="Car"/>
    <w:basedOn w:val="Normal"/>
    <w:rsid w:val="00F0461D"/>
    <w:pPr>
      <w:spacing w:after="160" w:line="240" w:lineRule="exact"/>
    </w:pPr>
    <w:rPr>
      <w:rFonts w:eastAsia="MS Mincho"/>
      <w:noProof/>
      <w:color w:val="000000"/>
      <w:sz w:val="20"/>
      <w:szCs w:val="20"/>
      <w:lang w:eastAsia="es-CO"/>
    </w:rPr>
  </w:style>
  <w:style w:type="character" w:customStyle="1" w:styleId="Ttulo4Car">
    <w:name w:val="Título 4 Car"/>
    <w:basedOn w:val="Fuentedeprrafopredeter"/>
    <w:link w:val="Ttulo4"/>
    <w:uiPriority w:val="9"/>
    <w:rsid w:val="003947A0"/>
    <w:rPr>
      <w:rFonts w:ascii="Times New Roman" w:eastAsia="Times New Roman" w:hAnsi="Times New Roman" w:cs="Times New Roman"/>
      <w:i/>
      <w:iCs/>
      <w:sz w:val="28"/>
      <w:szCs w:val="28"/>
      <w:lang w:val="es-ES" w:eastAsia="es-CO"/>
    </w:rPr>
  </w:style>
  <w:style w:type="paragraph" w:customStyle="1" w:styleId="Piedepagina">
    <w:name w:val="Pie de pagina"/>
    <w:aliases w:val="Ref. de nota al pie2,Nota de pie"/>
    <w:basedOn w:val="Normal"/>
    <w:link w:val="Refdenotaalpie"/>
    <w:uiPriority w:val="99"/>
    <w:qFormat/>
    <w:rsid w:val="008254B1"/>
    <w:pPr>
      <w:spacing w:after="160" w:line="240" w:lineRule="exact"/>
    </w:pPr>
    <w:rPr>
      <w:rFonts w:asciiTheme="minorHAnsi" w:eastAsiaTheme="minorHAnsi" w:hAnsiTheme="minorHAnsi" w:cstheme="minorBidi"/>
      <w:sz w:val="22"/>
      <w:szCs w:val="22"/>
      <w:vertAlign w:val="superscript"/>
      <w:lang w:eastAsia="en-US"/>
    </w:rPr>
  </w:style>
  <w:style w:type="character" w:customStyle="1" w:styleId="Mencinsinresolver2">
    <w:name w:val="Mención sin resolver2"/>
    <w:basedOn w:val="Fuentedeprrafopredeter"/>
    <w:uiPriority w:val="99"/>
    <w:semiHidden/>
    <w:unhideWhenUsed/>
    <w:rsid w:val="00001145"/>
    <w:rPr>
      <w:color w:val="605E5C"/>
      <w:shd w:val="clear" w:color="auto" w:fill="E1DFDD"/>
    </w:rPr>
  </w:style>
  <w:style w:type="character" w:styleId="Hipervnculovisitado">
    <w:name w:val="FollowedHyperlink"/>
    <w:basedOn w:val="Fuentedeprrafopredeter"/>
    <w:uiPriority w:val="99"/>
    <w:semiHidden/>
    <w:unhideWhenUsed/>
    <w:rsid w:val="00F04330"/>
    <w:rPr>
      <w:color w:val="954F72" w:themeColor="followedHyperlink"/>
      <w:u w:val="single"/>
    </w:rPr>
  </w:style>
  <w:style w:type="table" w:customStyle="1" w:styleId="Tablaconcuadrcula1">
    <w:name w:val="Tabla con cuadrícula1"/>
    <w:basedOn w:val="Tablanormal"/>
    <w:next w:val="Tablaconcuadrcula"/>
    <w:uiPriority w:val="39"/>
    <w:rsid w:val="00DB3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A1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E5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56E71"/>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a Car,lp1 Car,Footnote Car,List Paragraph2 Car,Colorful List - Accent 11 Car,List Paragraph1 Car,titulo 3 Car,Bullets Car,Párrafo de lista2 Car,Bullet List Car,FooterText Car,numbered Car,Paragraphe de liste1 Car,Foot Car,列出段落 Car"/>
    <w:link w:val="Prrafodelista"/>
    <w:uiPriority w:val="34"/>
    <w:qFormat/>
    <w:locked/>
    <w:rsid w:val="008A1757"/>
    <w:rPr>
      <w:rFonts w:ascii="Times New Roman" w:eastAsia="Times New Roman" w:hAnsi="Times New Roman" w:cs="Times New Roman"/>
      <w:sz w:val="28"/>
      <w:szCs w:val="28"/>
      <w:lang w:eastAsia="es-CO"/>
    </w:rPr>
  </w:style>
  <w:style w:type="character" w:customStyle="1" w:styleId="Ttulo5Car">
    <w:name w:val="Título 5 Car"/>
    <w:basedOn w:val="Fuentedeprrafopredeter"/>
    <w:link w:val="Ttulo5"/>
    <w:uiPriority w:val="9"/>
    <w:semiHidden/>
    <w:rsid w:val="00200940"/>
    <w:rPr>
      <w:rFonts w:ascii="Calibri Light" w:eastAsia="MS Gothic" w:hAnsi="Calibri Light" w:cs="Times New Roman"/>
      <w:color w:val="2E74B5"/>
      <w:sz w:val="28"/>
      <w:szCs w:val="28"/>
      <w:lang w:eastAsia="es-CO"/>
    </w:rPr>
  </w:style>
  <w:style w:type="character" w:styleId="nfasis">
    <w:name w:val="Emphasis"/>
    <w:uiPriority w:val="20"/>
    <w:qFormat/>
    <w:rsid w:val="00200940"/>
    <w:rPr>
      <w:rFonts w:ascii="Times New Roman" w:hAnsi="Times New Roman"/>
      <w:b/>
      <w:sz w:val="28"/>
    </w:rPr>
  </w:style>
  <w:style w:type="character" w:customStyle="1" w:styleId="Mencinsinresolver21">
    <w:name w:val="Mención sin resolver21"/>
    <w:uiPriority w:val="99"/>
    <w:semiHidden/>
    <w:unhideWhenUsed/>
    <w:rsid w:val="00200940"/>
    <w:rPr>
      <w:color w:val="605E5C"/>
      <w:shd w:val="clear" w:color="auto" w:fill="E1DFDD"/>
    </w:rPr>
  </w:style>
  <w:style w:type="character" w:customStyle="1" w:styleId="Mencinsinresolver3">
    <w:name w:val="Mención sin resolver3"/>
    <w:uiPriority w:val="99"/>
    <w:semiHidden/>
    <w:unhideWhenUsed/>
    <w:rsid w:val="00200940"/>
    <w:rPr>
      <w:color w:val="605E5C"/>
      <w:shd w:val="clear" w:color="auto" w:fill="E1DFDD"/>
    </w:rPr>
  </w:style>
  <w:style w:type="character" w:customStyle="1" w:styleId="apple-converted-space">
    <w:name w:val="apple-converted-space"/>
    <w:basedOn w:val="Fuentedeprrafopredeter"/>
    <w:rsid w:val="00200940"/>
  </w:style>
  <w:style w:type="paragraph" w:styleId="Revisin">
    <w:name w:val="Revision"/>
    <w:hidden/>
    <w:uiPriority w:val="99"/>
    <w:semiHidden/>
    <w:rsid w:val="00BC70F4"/>
    <w:pPr>
      <w:spacing w:after="0" w:line="240" w:lineRule="auto"/>
    </w:pPr>
    <w:rPr>
      <w:rFonts w:ascii="Times New Roman" w:eastAsia="Times New Roman" w:hAnsi="Times New Roman" w:cs="Times New Roman"/>
      <w:sz w:val="28"/>
      <w:szCs w:val="28"/>
      <w:lang w:eastAsia="es-CO"/>
    </w:rPr>
  </w:style>
  <w:style w:type="paragraph" w:styleId="Textoindependiente2">
    <w:name w:val="Body Text 2"/>
    <w:basedOn w:val="Normal"/>
    <w:link w:val="Textoindependiente2Car"/>
    <w:uiPriority w:val="99"/>
    <w:semiHidden/>
    <w:unhideWhenUsed/>
    <w:rsid w:val="00594CB4"/>
    <w:pPr>
      <w:widowControl w:val="0"/>
      <w:spacing w:after="120" w:line="480" w:lineRule="auto"/>
      <w:jc w:val="both"/>
    </w:pPr>
    <w:rPr>
      <w:sz w:val="28"/>
      <w:szCs w:val="28"/>
      <w:lang w:eastAsia="es-CO"/>
    </w:rPr>
  </w:style>
  <w:style w:type="character" w:customStyle="1" w:styleId="Textoindependiente2Car">
    <w:name w:val="Texto independiente 2 Car"/>
    <w:basedOn w:val="Fuentedeprrafopredeter"/>
    <w:link w:val="Textoindependiente2"/>
    <w:uiPriority w:val="99"/>
    <w:semiHidden/>
    <w:rsid w:val="00594CB4"/>
    <w:rPr>
      <w:rFonts w:ascii="Times New Roman" w:eastAsia="Times New Roman" w:hAnsi="Times New Roman" w:cs="Times New Roman"/>
      <w:sz w:val="28"/>
      <w:szCs w:val="28"/>
      <w:lang w:eastAsia="es-CO"/>
    </w:rPr>
  </w:style>
  <w:style w:type="character" w:customStyle="1" w:styleId="TextonotapieCar1">
    <w:name w:val="Texto nota pie Car1"/>
    <w:aliases w:val="Ref. de nota al pie1 Car1,Texto de nota al pie Car1,referencia nota al pie Car1,Fago Fußnotenzeichen Car1,Appel note de bas de page Car1,Footnotes refss Car1,Footnote number Car,BVI fnr Car,f Car,Ref. de nota al pie2 Car,4_G Car,f"/>
    <w:uiPriority w:val="99"/>
    <w:qFormat/>
    <w:locked/>
    <w:rsid w:val="00E270E3"/>
    <w:rPr>
      <w:rFonts w:ascii="Times New Roman" w:eastAsia="SimSun" w:hAnsi="Times New Roman"/>
      <w:kern w:val="0"/>
      <w:sz w:val="20"/>
      <w:lang w:val="es-ES" w:eastAsia="zh-CN"/>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C7160A"/>
    <w:pPr>
      <w:jc w:val="both"/>
    </w:pPr>
    <w:rPr>
      <w:rFonts w:asciiTheme="minorHAnsi" w:eastAsiaTheme="minorHAnsi" w:hAnsiTheme="minorHAnsi" w:cstheme="minorBidi"/>
      <w:sz w:val="22"/>
      <w:szCs w:val="22"/>
      <w:vertAlign w:val="superscript"/>
      <w:lang w:eastAsia="en-US"/>
    </w:rPr>
  </w:style>
  <w:style w:type="paragraph" w:customStyle="1" w:styleId="whitespace-pre-wrap">
    <w:name w:val="whitespace-pre-wrap"/>
    <w:basedOn w:val="Normal"/>
    <w:rsid w:val="00F278EF"/>
    <w:pPr>
      <w:spacing w:before="100" w:beforeAutospacing="1" w:after="100" w:afterAutospacing="1"/>
    </w:pPr>
    <w:rPr>
      <w:lang w:eastAsia="es-ES_tradnl"/>
    </w:rPr>
  </w:style>
  <w:style w:type="character" w:customStyle="1" w:styleId="normaltextrun">
    <w:name w:val="normaltextrun"/>
    <w:basedOn w:val="Fuentedeprrafopredeter"/>
    <w:rsid w:val="00C352A9"/>
  </w:style>
  <w:style w:type="character" w:customStyle="1" w:styleId="eop">
    <w:name w:val="eop"/>
    <w:basedOn w:val="Fuentedeprrafopredeter"/>
    <w:rsid w:val="00C352A9"/>
  </w:style>
  <w:style w:type="character" w:customStyle="1" w:styleId="findhit">
    <w:name w:val="findhit"/>
    <w:basedOn w:val="Fuentedeprrafopredeter"/>
    <w:rsid w:val="00C352A9"/>
  </w:style>
  <w:style w:type="character" w:styleId="Textoennegrita">
    <w:name w:val="Strong"/>
    <w:basedOn w:val="Fuentedeprrafopredeter"/>
    <w:uiPriority w:val="22"/>
    <w:qFormat/>
    <w:rsid w:val="00937FAD"/>
    <w:rPr>
      <w:b/>
      <w:bCs/>
    </w:rPr>
  </w:style>
  <w:style w:type="character" w:customStyle="1" w:styleId="Mencinsinresolver4">
    <w:name w:val="Mención sin resolver4"/>
    <w:basedOn w:val="Fuentedeprrafopredeter"/>
    <w:uiPriority w:val="99"/>
    <w:semiHidden/>
    <w:unhideWhenUsed/>
    <w:rsid w:val="00B26AD1"/>
    <w:rPr>
      <w:color w:val="605E5C"/>
      <w:shd w:val="clear" w:color="auto" w:fill="E1DFDD"/>
    </w:rPr>
  </w:style>
  <w:style w:type="paragraph" w:customStyle="1" w:styleId="paragraph">
    <w:name w:val="paragraph"/>
    <w:basedOn w:val="Normal"/>
    <w:rsid w:val="0050231D"/>
    <w:pPr>
      <w:spacing w:before="100" w:beforeAutospacing="1" w:after="100" w:afterAutospacing="1"/>
    </w:pPr>
    <w:rPr>
      <w:lang w:eastAsia="es-ES_tradnl"/>
    </w:rPr>
  </w:style>
  <w:style w:type="character" w:customStyle="1" w:styleId="superscript">
    <w:name w:val="superscript"/>
    <w:basedOn w:val="Fuentedeprrafopredeter"/>
    <w:rsid w:val="0050231D"/>
  </w:style>
  <w:style w:type="paragraph" w:customStyle="1" w:styleId="TableParagraph">
    <w:name w:val="Table Paragraph"/>
    <w:basedOn w:val="Normal"/>
    <w:uiPriority w:val="1"/>
    <w:qFormat/>
    <w:rsid w:val="00A44915"/>
    <w:pPr>
      <w:widowControl w:val="0"/>
      <w:autoSpaceDE w:val="0"/>
      <w:autoSpaceDN w:val="0"/>
    </w:pPr>
    <w:rPr>
      <w:sz w:val="22"/>
      <w:szCs w:val="22"/>
      <w:lang w:val="es-ES" w:eastAsia="en-US"/>
    </w:rPr>
  </w:style>
  <w:style w:type="paragraph" w:styleId="Textonotaalfinal">
    <w:name w:val="endnote text"/>
    <w:basedOn w:val="Normal"/>
    <w:link w:val="TextonotaalfinalCar"/>
    <w:uiPriority w:val="99"/>
    <w:semiHidden/>
    <w:unhideWhenUsed/>
    <w:rsid w:val="005902EB"/>
    <w:rPr>
      <w:sz w:val="20"/>
      <w:szCs w:val="20"/>
      <w:lang w:eastAsia="es-ES_tradnl"/>
    </w:rPr>
  </w:style>
  <w:style w:type="character" w:customStyle="1" w:styleId="TextonotaalfinalCar">
    <w:name w:val="Texto nota al final Car"/>
    <w:basedOn w:val="Fuentedeprrafopredeter"/>
    <w:link w:val="Textonotaalfinal"/>
    <w:uiPriority w:val="99"/>
    <w:semiHidden/>
    <w:rsid w:val="005902EB"/>
    <w:rPr>
      <w:rFonts w:ascii="Times New Roman" w:eastAsia="Times New Roman" w:hAnsi="Times New Roman" w:cs="Times New Roman"/>
      <w:sz w:val="20"/>
      <w:szCs w:val="20"/>
      <w:lang w:eastAsia="es-MX"/>
    </w:rPr>
  </w:style>
  <w:style w:type="character" w:styleId="Refdenotaalfinal">
    <w:name w:val="endnote reference"/>
    <w:basedOn w:val="Fuentedeprrafopredeter"/>
    <w:uiPriority w:val="99"/>
    <w:semiHidden/>
    <w:unhideWhenUsed/>
    <w:rsid w:val="005902EB"/>
    <w:rPr>
      <w:vertAlign w:val="superscript"/>
    </w:rPr>
  </w:style>
  <w:style w:type="character" w:customStyle="1" w:styleId="Ttulo6Car">
    <w:name w:val="Título 6 Car"/>
    <w:basedOn w:val="Fuentedeprrafopredeter"/>
    <w:link w:val="Ttulo6"/>
    <w:uiPriority w:val="9"/>
    <w:rsid w:val="00F7747B"/>
    <w:rPr>
      <w:rFonts w:asciiTheme="majorHAnsi" w:eastAsiaTheme="majorEastAsia" w:hAnsiTheme="majorHAnsi" w:cstheme="majorBidi"/>
      <w:color w:val="1F4D78" w:themeColor="accent1" w:themeShade="7F"/>
      <w:sz w:val="24"/>
      <w:szCs w:val="24"/>
      <w:lang w:eastAsia="es-MX"/>
    </w:rPr>
  </w:style>
  <w:style w:type="character" w:customStyle="1" w:styleId="s6">
    <w:name w:val="s6"/>
    <w:basedOn w:val="Fuentedeprrafopredeter"/>
    <w:rsid w:val="00830ECE"/>
  </w:style>
  <w:style w:type="character" w:customStyle="1" w:styleId="yt-core-attributed-string">
    <w:name w:val="yt-core-attributed-string"/>
    <w:basedOn w:val="Fuentedeprrafopredeter"/>
    <w:rsid w:val="00FB24C9"/>
  </w:style>
  <w:style w:type="character" w:customStyle="1" w:styleId="ms-1">
    <w:name w:val="ms-1"/>
    <w:basedOn w:val="Fuentedeprrafopredeter"/>
    <w:rsid w:val="00797FD3"/>
  </w:style>
  <w:style w:type="character" w:customStyle="1" w:styleId="max-w-15ch">
    <w:name w:val="max-w-[15ch]"/>
    <w:basedOn w:val="Fuentedeprrafopredeter"/>
    <w:rsid w:val="00797FD3"/>
  </w:style>
  <w:style w:type="character" w:customStyle="1" w:styleId="-me-1">
    <w:name w:val="-me-1"/>
    <w:basedOn w:val="Fuentedeprrafopredeter"/>
    <w:rsid w:val="00797FD3"/>
  </w:style>
  <w:style w:type="character" w:customStyle="1" w:styleId="titlepl">
    <w:name w:val="titlepl"/>
    <w:basedOn w:val="Fuentedeprrafopredeter"/>
    <w:rsid w:val="000F7330"/>
  </w:style>
  <w:style w:type="character" w:customStyle="1" w:styleId="SinespaciadoCar">
    <w:name w:val="Sin espaciado Car"/>
    <w:link w:val="Sinespaciado"/>
    <w:uiPriority w:val="1"/>
    <w:rsid w:val="007A2A1B"/>
    <w:rPr>
      <w:rFonts w:ascii="Times New Roman" w:eastAsia="Times New Roman" w:hAnsi="Times New Roman" w:cs="Times New Roman"/>
      <w:sz w:val="28"/>
      <w:szCs w:val="28"/>
      <w:lang w:eastAsia="es-CO"/>
    </w:rPr>
  </w:style>
  <w:style w:type="character" w:customStyle="1" w:styleId="vkekvd">
    <w:name w:val="vkekvd"/>
    <w:basedOn w:val="Fuentedeprrafopredeter"/>
    <w:rsid w:val="00056321"/>
  </w:style>
  <w:style w:type="paragraph" w:styleId="TtuloTDC">
    <w:name w:val="TOC Heading"/>
    <w:basedOn w:val="Ttulo1"/>
    <w:next w:val="Normal"/>
    <w:uiPriority w:val="39"/>
    <w:unhideWhenUsed/>
    <w:qFormat/>
    <w:rsid w:val="00557EF0"/>
    <w:pPr>
      <w:keepNext/>
      <w:keepLines/>
      <w:widowControl/>
      <w:spacing w:before="240" w:line="259" w:lineRule="auto"/>
      <w:ind w:right="0"/>
      <w:jc w:val="left"/>
      <w:outlineLvl w:val="9"/>
    </w:pPr>
    <w:rPr>
      <w:rFonts w:asciiTheme="majorHAnsi" w:eastAsiaTheme="majorEastAsia" w:hAnsiTheme="majorHAnsi" w:cstheme="majorBidi"/>
      <w:b w:val="0"/>
      <w:color w:val="2E74B5" w:themeColor="accent1" w:themeShade="BF"/>
      <w:sz w:val="32"/>
      <w:szCs w:val="32"/>
    </w:rPr>
  </w:style>
  <w:style w:type="paragraph" w:styleId="TDC1">
    <w:name w:val="toc 1"/>
    <w:basedOn w:val="Normal"/>
    <w:next w:val="Normal"/>
    <w:autoRedefine/>
    <w:uiPriority w:val="39"/>
    <w:unhideWhenUsed/>
    <w:rsid w:val="00557EF0"/>
    <w:pPr>
      <w:spacing w:after="100"/>
    </w:pPr>
  </w:style>
  <w:style w:type="paragraph" w:styleId="TDC2">
    <w:name w:val="toc 2"/>
    <w:basedOn w:val="Normal"/>
    <w:next w:val="Normal"/>
    <w:autoRedefine/>
    <w:uiPriority w:val="39"/>
    <w:unhideWhenUsed/>
    <w:rsid w:val="00557EF0"/>
    <w:pPr>
      <w:spacing w:after="100"/>
      <w:ind w:left="240"/>
    </w:pPr>
  </w:style>
  <w:style w:type="paragraph" w:styleId="TDC3">
    <w:name w:val="toc 3"/>
    <w:basedOn w:val="Normal"/>
    <w:next w:val="Normal"/>
    <w:autoRedefine/>
    <w:uiPriority w:val="39"/>
    <w:unhideWhenUsed/>
    <w:rsid w:val="00557EF0"/>
    <w:pPr>
      <w:spacing w:after="100"/>
      <w:ind w:left="480"/>
    </w:pPr>
  </w:style>
  <w:style w:type="character" w:customStyle="1" w:styleId="Mencinsinresolver5">
    <w:name w:val="Mención sin resolver5"/>
    <w:basedOn w:val="Fuentedeprrafopredeter"/>
    <w:uiPriority w:val="99"/>
    <w:semiHidden/>
    <w:unhideWhenUsed/>
    <w:rsid w:val="00485A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9441">
      <w:bodyDiv w:val="1"/>
      <w:marLeft w:val="0"/>
      <w:marRight w:val="0"/>
      <w:marTop w:val="0"/>
      <w:marBottom w:val="0"/>
      <w:divBdr>
        <w:top w:val="none" w:sz="0" w:space="0" w:color="auto"/>
        <w:left w:val="none" w:sz="0" w:space="0" w:color="auto"/>
        <w:bottom w:val="none" w:sz="0" w:space="0" w:color="auto"/>
        <w:right w:val="none" w:sz="0" w:space="0" w:color="auto"/>
      </w:divBdr>
      <w:divsChild>
        <w:div w:id="485897176">
          <w:marLeft w:val="0"/>
          <w:marRight w:val="0"/>
          <w:marTop w:val="0"/>
          <w:marBottom w:val="150"/>
          <w:divBdr>
            <w:top w:val="none" w:sz="0" w:space="0" w:color="auto"/>
            <w:left w:val="none" w:sz="0" w:space="0" w:color="auto"/>
            <w:bottom w:val="none" w:sz="0" w:space="0" w:color="auto"/>
            <w:right w:val="none" w:sz="0" w:space="0" w:color="auto"/>
          </w:divBdr>
        </w:div>
      </w:divsChild>
    </w:div>
    <w:div w:id="13461629">
      <w:bodyDiv w:val="1"/>
      <w:marLeft w:val="0"/>
      <w:marRight w:val="0"/>
      <w:marTop w:val="0"/>
      <w:marBottom w:val="0"/>
      <w:divBdr>
        <w:top w:val="none" w:sz="0" w:space="0" w:color="auto"/>
        <w:left w:val="none" w:sz="0" w:space="0" w:color="auto"/>
        <w:bottom w:val="none" w:sz="0" w:space="0" w:color="auto"/>
        <w:right w:val="none" w:sz="0" w:space="0" w:color="auto"/>
      </w:divBdr>
    </w:div>
    <w:div w:id="14157867">
      <w:bodyDiv w:val="1"/>
      <w:marLeft w:val="0"/>
      <w:marRight w:val="0"/>
      <w:marTop w:val="0"/>
      <w:marBottom w:val="0"/>
      <w:divBdr>
        <w:top w:val="none" w:sz="0" w:space="0" w:color="auto"/>
        <w:left w:val="none" w:sz="0" w:space="0" w:color="auto"/>
        <w:bottom w:val="none" w:sz="0" w:space="0" w:color="auto"/>
        <w:right w:val="none" w:sz="0" w:space="0" w:color="auto"/>
      </w:divBdr>
    </w:div>
    <w:div w:id="17703879">
      <w:bodyDiv w:val="1"/>
      <w:marLeft w:val="0"/>
      <w:marRight w:val="0"/>
      <w:marTop w:val="0"/>
      <w:marBottom w:val="0"/>
      <w:divBdr>
        <w:top w:val="none" w:sz="0" w:space="0" w:color="auto"/>
        <w:left w:val="none" w:sz="0" w:space="0" w:color="auto"/>
        <w:bottom w:val="none" w:sz="0" w:space="0" w:color="auto"/>
        <w:right w:val="none" w:sz="0" w:space="0" w:color="auto"/>
      </w:divBdr>
    </w:div>
    <w:div w:id="26103639">
      <w:bodyDiv w:val="1"/>
      <w:marLeft w:val="0"/>
      <w:marRight w:val="0"/>
      <w:marTop w:val="0"/>
      <w:marBottom w:val="0"/>
      <w:divBdr>
        <w:top w:val="none" w:sz="0" w:space="0" w:color="auto"/>
        <w:left w:val="none" w:sz="0" w:space="0" w:color="auto"/>
        <w:bottom w:val="none" w:sz="0" w:space="0" w:color="auto"/>
        <w:right w:val="none" w:sz="0" w:space="0" w:color="auto"/>
      </w:divBdr>
    </w:div>
    <w:div w:id="31272841">
      <w:bodyDiv w:val="1"/>
      <w:marLeft w:val="0"/>
      <w:marRight w:val="0"/>
      <w:marTop w:val="0"/>
      <w:marBottom w:val="0"/>
      <w:divBdr>
        <w:top w:val="none" w:sz="0" w:space="0" w:color="auto"/>
        <w:left w:val="none" w:sz="0" w:space="0" w:color="auto"/>
        <w:bottom w:val="none" w:sz="0" w:space="0" w:color="auto"/>
        <w:right w:val="none" w:sz="0" w:space="0" w:color="auto"/>
      </w:divBdr>
    </w:div>
    <w:div w:id="35979429">
      <w:bodyDiv w:val="1"/>
      <w:marLeft w:val="0"/>
      <w:marRight w:val="0"/>
      <w:marTop w:val="0"/>
      <w:marBottom w:val="0"/>
      <w:divBdr>
        <w:top w:val="none" w:sz="0" w:space="0" w:color="auto"/>
        <w:left w:val="none" w:sz="0" w:space="0" w:color="auto"/>
        <w:bottom w:val="none" w:sz="0" w:space="0" w:color="auto"/>
        <w:right w:val="none" w:sz="0" w:space="0" w:color="auto"/>
      </w:divBdr>
    </w:div>
    <w:div w:id="43602001">
      <w:bodyDiv w:val="1"/>
      <w:marLeft w:val="0"/>
      <w:marRight w:val="0"/>
      <w:marTop w:val="0"/>
      <w:marBottom w:val="0"/>
      <w:divBdr>
        <w:top w:val="none" w:sz="0" w:space="0" w:color="auto"/>
        <w:left w:val="none" w:sz="0" w:space="0" w:color="auto"/>
        <w:bottom w:val="none" w:sz="0" w:space="0" w:color="auto"/>
        <w:right w:val="none" w:sz="0" w:space="0" w:color="auto"/>
      </w:divBdr>
      <w:divsChild>
        <w:div w:id="107236795">
          <w:marLeft w:val="0"/>
          <w:marRight w:val="0"/>
          <w:marTop w:val="0"/>
          <w:marBottom w:val="0"/>
          <w:divBdr>
            <w:top w:val="none" w:sz="0" w:space="0" w:color="auto"/>
            <w:left w:val="none" w:sz="0" w:space="0" w:color="auto"/>
            <w:bottom w:val="none" w:sz="0" w:space="0" w:color="auto"/>
            <w:right w:val="none" w:sz="0" w:space="0" w:color="auto"/>
          </w:divBdr>
        </w:div>
        <w:div w:id="127014100">
          <w:marLeft w:val="0"/>
          <w:marRight w:val="0"/>
          <w:marTop w:val="0"/>
          <w:marBottom w:val="0"/>
          <w:divBdr>
            <w:top w:val="none" w:sz="0" w:space="0" w:color="auto"/>
            <w:left w:val="none" w:sz="0" w:space="0" w:color="auto"/>
            <w:bottom w:val="none" w:sz="0" w:space="0" w:color="auto"/>
            <w:right w:val="none" w:sz="0" w:space="0" w:color="auto"/>
          </w:divBdr>
        </w:div>
        <w:div w:id="178664037">
          <w:marLeft w:val="0"/>
          <w:marRight w:val="0"/>
          <w:marTop w:val="0"/>
          <w:marBottom w:val="0"/>
          <w:divBdr>
            <w:top w:val="none" w:sz="0" w:space="0" w:color="auto"/>
            <w:left w:val="none" w:sz="0" w:space="0" w:color="auto"/>
            <w:bottom w:val="none" w:sz="0" w:space="0" w:color="auto"/>
            <w:right w:val="none" w:sz="0" w:space="0" w:color="auto"/>
          </w:divBdr>
        </w:div>
        <w:div w:id="206794105">
          <w:marLeft w:val="0"/>
          <w:marRight w:val="0"/>
          <w:marTop w:val="0"/>
          <w:marBottom w:val="0"/>
          <w:divBdr>
            <w:top w:val="none" w:sz="0" w:space="0" w:color="auto"/>
            <w:left w:val="none" w:sz="0" w:space="0" w:color="auto"/>
            <w:bottom w:val="none" w:sz="0" w:space="0" w:color="auto"/>
            <w:right w:val="none" w:sz="0" w:space="0" w:color="auto"/>
          </w:divBdr>
        </w:div>
        <w:div w:id="225723295">
          <w:marLeft w:val="0"/>
          <w:marRight w:val="0"/>
          <w:marTop w:val="0"/>
          <w:marBottom w:val="0"/>
          <w:divBdr>
            <w:top w:val="none" w:sz="0" w:space="0" w:color="auto"/>
            <w:left w:val="none" w:sz="0" w:space="0" w:color="auto"/>
            <w:bottom w:val="none" w:sz="0" w:space="0" w:color="auto"/>
            <w:right w:val="none" w:sz="0" w:space="0" w:color="auto"/>
          </w:divBdr>
        </w:div>
        <w:div w:id="334915284">
          <w:marLeft w:val="0"/>
          <w:marRight w:val="0"/>
          <w:marTop w:val="0"/>
          <w:marBottom w:val="0"/>
          <w:divBdr>
            <w:top w:val="none" w:sz="0" w:space="0" w:color="auto"/>
            <w:left w:val="none" w:sz="0" w:space="0" w:color="auto"/>
            <w:bottom w:val="none" w:sz="0" w:space="0" w:color="auto"/>
            <w:right w:val="none" w:sz="0" w:space="0" w:color="auto"/>
          </w:divBdr>
        </w:div>
        <w:div w:id="437674524">
          <w:marLeft w:val="0"/>
          <w:marRight w:val="0"/>
          <w:marTop w:val="0"/>
          <w:marBottom w:val="0"/>
          <w:divBdr>
            <w:top w:val="none" w:sz="0" w:space="0" w:color="auto"/>
            <w:left w:val="none" w:sz="0" w:space="0" w:color="auto"/>
            <w:bottom w:val="none" w:sz="0" w:space="0" w:color="auto"/>
            <w:right w:val="none" w:sz="0" w:space="0" w:color="auto"/>
          </w:divBdr>
        </w:div>
        <w:div w:id="560478974">
          <w:marLeft w:val="0"/>
          <w:marRight w:val="0"/>
          <w:marTop w:val="0"/>
          <w:marBottom w:val="0"/>
          <w:divBdr>
            <w:top w:val="none" w:sz="0" w:space="0" w:color="auto"/>
            <w:left w:val="none" w:sz="0" w:space="0" w:color="auto"/>
            <w:bottom w:val="none" w:sz="0" w:space="0" w:color="auto"/>
            <w:right w:val="none" w:sz="0" w:space="0" w:color="auto"/>
          </w:divBdr>
        </w:div>
        <w:div w:id="655454349">
          <w:marLeft w:val="0"/>
          <w:marRight w:val="0"/>
          <w:marTop w:val="0"/>
          <w:marBottom w:val="0"/>
          <w:divBdr>
            <w:top w:val="none" w:sz="0" w:space="0" w:color="auto"/>
            <w:left w:val="none" w:sz="0" w:space="0" w:color="auto"/>
            <w:bottom w:val="none" w:sz="0" w:space="0" w:color="auto"/>
            <w:right w:val="none" w:sz="0" w:space="0" w:color="auto"/>
          </w:divBdr>
        </w:div>
        <w:div w:id="752046342">
          <w:marLeft w:val="0"/>
          <w:marRight w:val="0"/>
          <w:marTop w:val="0"/>
          <w:marBottom w:val="0"/>
          <w:divBdr>
            <w:top w:val="none" w:sz="0" w:space="0" w:color="auto"/>
            <w:left w:val="none" w:sz="0" w:space="0" w:color="auto"/>
            <w:bottom w:val="none" w:sz="0" w:space="0" w:color="auto"/>
            <w:right w:val="none" w:sz="0" w:space="0" w:color="auto"/>
          </w:divBdr>
        </w:div>
        <w:div w:id="799149805">
          <w:marLeft w:val="0"/>
          <w:marRight w:val="0"/>
          <w:marTop w:val="0"/>
          <w:marBottom w:val="0"/>
          <w:divBdr>
            <w:top w:val="none" w:sz="0" w:space="0" w:color="auto"/>
            <w:left w:val="none" w:sz="0" w:space="0" w:color="auto"/>
            <w:bottom w:val="none" w:sz="0" w:space="0" w:color="auto"/>
            <w:right w:val="none" w:sz="0" w:space="0" w:color="auto"/>
          </w:divBdr>
        </w:div>
        <w:div w:id="867330278">
          <w:marLeft w:val="0"/>
          <w:marRight w:val="0"/>
          <w:marTop w:val="0"/>
          <w:marBottom w:val="0"/>
          <w:divBdr>
            <w:top w:val="none" w:sz="0" w:space="0" w:color="auto"/>
            <w:left w:val="none" w:sz="0" w:space="0" w:color="auto"/>
            <w:bottom w:val="none" w:sz="0" w:space="0" w:color="auto"/>
            <w:right w:val="none" w:sz="0" w:space="0" w:color="auto"/>
          </w:divBdr>
        </w:div>
        <w:div w:id="921993023">
          <w:marLeft w:val="0"/>
          <w:marRight w:val="0"/>
          <w:marTop w:val="0"/>
          <w:marBottom w:val="0"/>
          <w:divBdr>
            <w:top w:val="none" w:sz="0" w:space="0" w:color="auto"/>
            <w:left w:val="none" w:sz="0" w:space="0" w:color="auto"/>
            <w:bottom w:val="none" w:sz="0" w:space="0" w:color="auto"/>
            <w:right w:val="none" w:sz="0" w:space="0" w:color="auto"/>
          </w:divBdr>
        </w:div>
        <w:div w:id="977877930">
          <w:marLeft w:val="0"/>
          <w:marRight w:val="0"/>
          <w:marTop w:val="0"/>
          <w:marBottom w:val="0"/>
          <w:divBdr>
            <w:top w:val="none" w:sz="0" w:space="0" w:color="auto"/>
            <w:left w:val="none" w:sz="0" w:space="0" w:color="auto"/>
            <w:bottom w:val="none" w:sz="0" w:space="0" w:color="auto"/>
            <w:right w:val="none" w:sz="0" w:space="0" w:color="auto"/>
          </w:divBdr>
        </w:div>
        <w:div w:id="1128814781">
          <w:marLeft w:val="0"/>
          <w:marRight w:val="0"/>
          <w:marTop w:val="0"/>
          <w:marBottom w:val="0"/>
          <w:divBdr>
            <w:top w:val="none" w:sz="0" w:space="0" w:color="auto"/>
            <w:left w:val="none" w:sz="0" w:space="0" w:color="auto"/>
            <w:bottom w:val="none" w:sz="0" w:space="0" w:color="auto"/>
            <w:right w:val="none" w:sz="0" w:space="0" w:color="auto"/>
          </w:divBdr>
        </w:div>
        <w:div w:id="1303386306">
          <w:marLeft w:val="0"/>
          <w:marRight w:val="0"/>
          <w:marTop w:val="0"/>
          <w:marBottom w:val="0"/>
          <w:divBdr>
            <w:top w:val="none" w:sz="0" w:space="0" w:color="auto"/>
            <w:left w:val="none" w:sz="0" w:space="0" w:color="auto"/>
            <w:bottom w:val="none" w:sz="0" w:space="0" w:color="auto"/>
            <w:right w:val="none" w:sz="0" w:space="0" w:color="auto"/>
          </w:divBdr>
        </w:div>
        <w:div w:id="1456485315">
          <w:marLeft w:val="0"/>
          <w:marRight w:val="0"/>
          <w:marTop w:val="0"/>
          <w:marBottom w:val="0"/>
          <w:divBdr>
            <w:top w:val="none" w:sz="0" w:space="0" w:color="auto"/>
            <w:left w:val="none" w:sz="0" w:space="0" w:color="auto"/>
            <w:bottom w:val="none" w:sz="0" w:space="0" w:color="auto"/>
            <w:right w:val="none" w:sz="0" w:space="0" w:color="auto"/>
          </w:divBdr>
        </w:div>
        <w:div w:id="1484202042">
          <w:marLeft w:val="0"/>
          <w:marRight w:val="0"/>
          <w:marTop w:val="0"/>
          <w:marBottom w:val="0"/>
          <w:divBdr>
            <w:top w:val="none" w:sz="0" w:space="0" w:color="auto"/>
            <w:left w:val="none" w:sz="0" w:space="0" w:color="auto"/>
            <w:bottom w:val="none" w:sz="0" w:space="0" w:color="auto"/>
            <w:right w:val="none" w:sz="0" w:space="0" w:color="auto"/>
          </w:divBdr>
        </w:div>
        <w:div w:id="1790926007">
          <w:marLeft w:val="0"/>
          <w:marRight w:val="0"/>
          <w:marTop w:val="0"/>
          <w:marBottom w:val="0"/>
          <w:divBdr>
            <w:top w:val="none" w:sz="0" w:space="0" w:color="auto"/>
            <w:left w:val="none" w:sz="0" w:space="0" w:color="auto"/>
            <w:bottom w:val="none" w:sz="0" w:space="0" w:color="auto"/>
            <w:right w:val="none" w:sz="0" w:space="0" w:color="auto"/>
          </w:divBdr>
        </w:div>
        <w:div w:id="1815099693">
          <w:marLeft w:val="0"/>
          <w:marRight w:val="0"/>
          <w:marTop w:val="0"/>
          <w:marBottom w:val="0"/>
          <w:divBdr>
            <w:top w:val="none" w:sz="0" w:space="0" w:color="auto"/>
            <w:left w:val="none" w:sz="0" w:space="0" w:color="auto"/>
            <w:bottom w:val="none" w:sz="0" w:space="0" w:color="auto"/>
            <w:right w:val="none" w:sz="0" w:space="0" w:color="auto"/>
          </w:divBdr>
        </w:div>
        <w:div w:id="1855068744">
          <w:marLeft w:val="0"/>
          <w:marRight w:val="0"/>
          <w:marTop w:val="0"/>
          <w:marBottom w:val="0"/>
          <w:divBdr>
            <w:top w:val="none" w:sz="0" w:space="0" w:color="auto"/>
            <w:left w:val="none" w:sz="0" w:space="0" w:color="auto"/>
            <w:bottom w:val="none" w:sz="0" w:space="0" w:color="auto"/>
            <w:right w:val="none" w:sz="0" w:space="0" w:color="auto"/>
          </w:divBdr>
        </w:div>
        <w:div w:id="1885872035">
          <w:marLeft w:val="0"/>
          <w:marRight w:val="0"/>
          <w:marTop w:val="0"/>
          <w:marBottom w:val="0"/>
          <w:divBdr>
            <w:top w:val="none" w:sz="0" w:space="0" w:color="auto"/>
            <w:left w:val="none" w:sz="0" w:space="0" w:color="auto"/>
            <w:bottom w:val="none" w:sz="0" w:space="0" w:color="auto"/>
            <w:right w:val="none" w:sz="0" w:space="0" w:color="auto"/>
          </w:divBdr>
        </w:div>
        <w:div w:id="1891305135">
          <w:marLeft w:val="0"/>
          <w:marRight w:val="0"/>
          <w:marTop w:val="0"/>
          <w:marBottom w:val="0"/>
          <w:divBdr>
            <w:top w:val="none" w:sz="0" w:space="0" w:color="auto"/>
            <w:left w:val="none" w:sz="0" w:space="0" w:color="auto"/>
            <w:bottom w:val="none" w:sz="0" w:space="0" w:color="auto"/>
            <w:right w:val="none" w:sz="0" w:space="0" w:color="auto"/>
          </w:divBdr>
        </w:div>
        <w:div w:id="1951162412">
          <w:marLeft w:val="0"/>
          <w:marRight w:val="0"/>
          <w:marTop w:val="0"/>
          <w:marBottom w:val="0"/>
          <w:divBdr>
            <w:top w:val="none" w:sz="0" w:space="0" w:color="auto"/>
            <w:left w:val="none" w:sz="0" w:space="0" w:color="auto"/>
            <w:bottom w:val="none" w:sz="0" w:space="0" w:color="auto"/>
            <w:right w:val="none" w:sz="0" w:space="0" w:color="auto"/>
          </w:divBdr>
        </w:div>
        <w:div w:id="1992053312">
          <w:marLeft w:val="0"/>
          <w:marRight w:val="0"/>
          <w:marTop w:val="0"/>
          <w:marBottom w:val="0"/>
          <w:divBdr>
            <w:top w:val="none" w:sz="0" w:space="0" w:color="auto"/>
            <w:left w:val="none" w:sz="0" w:space="0" w:color="auto"/>
            <w:bottom w:val="none" w:sz="0" w:space="0" w:color="auto"/>
            <w:right w:val="none" w:sz="0" w:space="0" w:color="auto"/>
          </w:divBdr>
        </w:div>
      </w:divsChild>
    </w:div>
    <w:div w:id="45645389">
      <w:bodyDiv w:val="1"/>
      <w:marLeft w:val="0"/>
      <w:marRight w:val="0"/>
      <w:marTop w:val="0"/>
      <w:marBottom w:val="0"/>
      <w:divBdr>
        <w:top w:val="none" w:sz="0" w:space="0" w:color="auto"/>
        <w:left w:val="none" w:sz="0" w:space="0" w:color="auto"/>
        <w:bottom w:val="none" w:sz="0" w:space="0" w:color="auto"/>
        <w:right w:val="none" w:sz="0" w:space="0" w:color="auto"/>
      </w:divBdr>
    </w:div>
    <w:div w:id="46153939">
      <w:bodyDiv w:val="1"/>
      <w:marLeft w:val="0"/>
      <w:marRight w:val="0"/>
      <w:marTop w:val="0"/>
      <w:marBottom w:val="0"/>
      <w:divBdr>
        <w:top w:val="none" w:sz="0" w:space="0" w:color="auto"/>
        <w:left w:val="none" w:sz="0" w:space="0" w:color="auto"/>
        <w:bottom w:val="none" w:sz="0" w:space="0" w:color="auto"/>
        <w:right w:val="none" w:sz="0" w:space="0" w:color="auto"/>
      </w:divBdr>
    </w:div>
    <w:div w:id="46952589">
      <w:bodyDiv w:val="1"/>
      <w:marLeft w:val="0"/>
      <w:marRight w:val="0"/>
      <w:marTop w:val="0"/>
      <w:marBottom w:val="0"/>
      <w:divBdr>
        <w:top w:val="none" w:sz="0" w:space="0" w:color="auto"/>
        <w:left w:val="none" w:sz="0" w:space="0" w:color="auto"/>
        <w:bottom w:val="none" w:sz="0" w:space="0" w:color="auto"/>
        <w:right w:val="none" w:sz="0" w:space="0" w:color="auto"/>
      </w:divBdr>
      <w:divsChild>
        <w:div w:id="511383283">
          <w:marLeft w:val="0"/>
          <w:marRight w:val="0"/>
          <w:marTop w:val="0"/>
          <w:marBottom w:val="0"/>
          <w:divBdr>
            <w:top w:val="none" w:sz="0" w:space="0" w:color="auto"/>
            <w:left w:val="none" w:sz="0" w:space="0" w:color="auto"/>
            <w:bottom w:val="none" w:sz="0" w:space="0" w:color="auto"/>
            <w:right w:val="none" w:sz="0" w:space="0" w:color="auto"/>
          </w:divBdr>
          <w:divsChild>
            <w:div w:id="38090813">
              <w:marLeft w:val="0"/>
              <w:marRight w:val="0"/>
              <w:marTop w:val="0"/>
              <w:marBottom w:val="0"/>
              <w:divBdr>
                <w:top w:val="none" w:sz="0" w:space="0" w:color="auto"/>
                <w:left w:val="none" w:sz="0" w:space="0" w:color="auto"/>
                <w:bottom w:val="none" w:sz="0" w:space="0" w:color="auto"/>
                <w:right w:val="none" w:sz="0" w:space="0" w:color="auto"/>
              </w:divBdr>
              <w:divsChild>
                <w:div w:id="4727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85401">
      <w:bodyDiv w:val="1"/>
      <w:marLeft w:val="0"/>
      <w:marRight w:val="0"/>
      <w:marTop w:val="0"/>
      <w:marBottom w:val="0"/>
      <w:divBdr>
        <w:top w:val="none" w:sz="0" w:space="0" w:color="auto"/>
        <w:left w:val="none" w:sz="0" w:space="0" w:color="auto"/>
        <w:bottom w:val="none" w:sz="0" w:space="0" w:color="auto"/>
        <w:right w:val="none" w:sz="0" w:space="0" w:color="auto"/>
      </w:divBdr>
    </w:div>
    <w:div w:id="49109912">
      <w:bodyDiv w:val="1"/>
      <w:marLeft w:val="0"/>
      <w:marRight w:val="0"/>
      <w:marTop w:val="0"/>
      <w:marBottom w:val="0"/>
      <w:divBdr>
        <w:top w:val="none" w:sz="0" w:space="0" w:color="auto"/>
        <w:left w:val="none" w:sz="0" w:space="0" w:color="auto"/>
        <w:bottom w:val="none" w:sz="0" w:space="0" w:color="auto"/>
        <w:right w:val="none" w:sz="0" w:space="0" w:color="auto"/>
      </w:divBdr>
    </w:div>
    <w:div w:id="54280076">
      <w:bodyDiv w:val="1"/>
      <w:marLeft w:val="0"/>
      <w:marRight w:val="0"/>
      <w:marTop w:val="0"/>
      <w:marBottom w:val="0"/>
      <w:divBdr>
        <w:top w:val="none" w:sz="0" w:space="0" w:color="auto"/>
        <w:left w:val="none" w:sz="0" w:space="0" w:color="auto"/>
        <w:bottom w:val="none" w:sz="0" w:space="0" w:color="auto"/>
        <w:right w:val="none" w:sz="0" w:space="0" w:color="auto"/>
      </w:divBdr>
    </w:div>
    <w:div w:id="58022534">
      <w:bodyDiv w:val="1"/>
      <w:marLeft w:val="0"/>
      <w:marRight w:val="0"/>
      <w:marTop w:val="0"/>
      <w:marBottom w:val="0"/>
      <w:divBdr>
        <w:top w:val="none" w:sz="0" w:space="0" w:color="auto"/>
        <w:left w:val="none" w:sz="0" w:space="0" w:color="auto"/>
        <w:bottom w:val="none" w:sz="0" w:space="0" w:color="auto"/>
        <w:right w:val="none" w:sz="0" w:space="0" w:color="auto"/>
      </w:divBdr>
    </w:div>
    <w:div w:id="62994790">
      <w:bodyDiv w:val="1"/>
      <w:marLeft w:val="0"/>
      <w:marRight w:val="0"/>
      <w:marTop w:val="0"/>
      <w:marBottom w:val="0"/>
      <w:divBdr>
        <w:top w:val="none" w:sz="0" w:space="0" w:color="auto"/>
        <w:left w:val="none" w:sz="0" w:space="0" w:color="auto"/>
        <w:bottom w:val="none" w:sz="0" w:space="0" w:color="auto"/>
        <w:right w:val="none" w:sz="0" w:space="0" w:color="auto"/>
      </w:divBdr>
    </w:div>
    <w:div w:id="72165038">
      <w:bodyDiv w:val="1"/>
      <w:marLeft w:val="0"/>
      <w:marRight w:val="0"/>
      <w:marTop w:val="0"/>
      <w:marBottom w:val="0"/>
      <w:divBdr>
        <w:top w:val="none" w:sz="0" w:space="0" w:color="auto"/>
        <w:left w:val="none" w:sz="0" w:space="0" w:color="auto"/>
        <w:bottom w:val="none" w:sz="0" w:space="0" w:color="auto"/>
        <w:right w:val="none" w:sz="0" w:space="0" w:color="auto"/>
      </w:divBdr>
    </w:div>
    <w:div w:id="77022851">
      <w:bodyDiv w:val="1"/>
      <w:marLeft w:val="0"/>
      <w:marRight w:val="0"/>
      <w:marTop w:val="0"/>
      <w:marBottom w:val="0"/>
      <w:divBdr>
        <w:top w:val="none" w:sz="0" w:space="0" w:color="auto"/>
        <w:left w:val="none" w:sz="0" w:space="0" w:color="auto"/>
        <w:bottom w:val="none" w:sz="0" w:space="0" w:color="auto"/>
        <w:right w:val="none" w:sz="0" w:space="0" w:color="auto"/>
      </w:divBdr>
      <w:divsChild>
        <w:div w:id="430249285">
          <w:marLeft w:val="0"/>
          <w:marRight w:val="0"/>
          <w:marTop w:val="0"/>
          <w:marBottom w:val="0"/>
          <w:divBdr>
            <w:top w:val="none" w:sz="0" w:space="0" w:color="auto"/>
            <w:left w:val="none" w:sz="0" w:space="0" w:color="auto"/>
            <w:bottom w:val="none" w:sz="0" w:space="0" w:color="auto"/>
            <w:right w:val="none" w:sz="0" w:space="0" w:color="auto"/>
          </w:divBdr>
          <w:divsChild>
            <w:div w:id="1886792471">
              <w:marLeft w:val="0"/>
              <w:marRight w:val="0"/>
              <w:marTop w:val="0"/>
              <w:marBottom w:val="0"/>
              <w:divBdr>
                <w:top w:val="none" w:sz="0" w:space="0" w:color="auto"/>
                <w:left w:val="none" w:sz="0" w:space="0" w:color="auto"/>
                <w:bottom w:val="none" w:sz="0" w:space="0" w:color="auto"/>
                <w:right w:val="none" w:sz="0" w:space="0" w:color="auto"/>
              </w:divBdr>
              <w:divsChild>
                <w:div w:id="1090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13544">
      <w:bodyDiv w:val="1"/>
      <w:marLeft w:val="0"/>
      <w:marRight w:val="0"/>
      <w:marTop w:val="0"/>
      <w:marBottom w:val="0"/>
      <w:divBdr>
        <w:top w:val="none" w:sz="0" w:space="0" w:color="auto"/>
        <w:left w:val="none" w:sz="0" w:space="0" w:color="auto"/>
        <w:bottom w:val="none" w:sz="0" w:space="0" w:color="auto"/>
        <w:right w:val="none" w:sz="0" w:space="0" w:color="auto"/>
      </w:divBdr>
    </w:div>
    <w:div w:id="100614547">
      <w:bodyDiv w:val="1"/>
      <w:marLeft w:val="0"/>
      <w:marRight w:val="0"/>
      <w:marTop w:val="0"/>
      <w:marBottom w:val="0"/>
      <w:divBdr>
        <w:top w:val="none" w:sz="0" w:space="0" w:color="auto"/>
        <w:left w:val="none" w:sz="0" w:space="0" w:color="auto"/>
        <w:bottom w:val="none" w:sz="0" w:space="0" w:color="auto"/>
        <w:right w:val="none" w:sz="0" w:space="0" w:color="auto"/>
      </w:divBdr>
    </w:div>
    <w:div w:id="102773443">
      <w:bodyDiv w:val="1"/>
      <w:marLeft w:val="0"/>
      <w:marRight w:val="0"/>
      <w:marTop w:val="0"/>
      <w:marBottom w:val="0"/>
      <w:divBdr>
        <w:top w:val="none" w:sz="0" w:space="0" w:color="auto"/>
        <w:left w:val="none" w:sz="0" w:space="0" w:color="auto"/>
        <w:bottom w:val="none" w:sz="0" w:space="0" w:color="auto"/>
        <w:right w:val="none" w:sz="0" w:space="0" w:color="auto"/>
      </w:divBdr>
    </w:div>
    <w:div w:id="109596902">
      <w:bodyDiv w:val="1"/>
      <w:marLeft w:val="0"/>
      <w:marRight w:val="0"/>
      <w:marTop w:val="0"/>
      <w:marBottom w:val="0"/>
      <w:divBdr>
        <w:top w:val="none" w:sz="0" w:space="0" w:color="auto"/>
        <w:left w:val="none" w:sz="0" w:space="0" w:color="auto"/>
        <w:bottom w:val="none" w:sz="0" w:space="0" w:color="auto"/>
        <w:right w:val="none" w:sz="0" w:space="0" w:color="auto"/>
      </w:divBdr>
    </w:div>
    <w:div w:id="111945512">
      <w:bodyDiv w:val="1"/>
      <w:marLeft w:val="0"/>
      <w:marRight w:val="0"/>
      <w:marTop w:val="0"/>
      <w:marBottom w:val="0"/>
      <w:divBdr>
        <w:top w:val="none" w:sz="0" w:space="0" w:color="auto"/>
        <w:left w:val="none" w:sz="0" w:space="0" w:color="auto"/>
        <w:bottom w:val="none" w:sz="0" w:space="0" w:color="auto"/>
        <w:right w:val="none" w:sz="0" w:space="0" w:color="auto"/>
      </w:divBdr>
    </w:div>
    <w:div w:id="121000256">
      <w:bodyDiv w:val="1"/>
      <w:marLeft w:val="0"/>
      <w:marRight w:val="0"/>
      <w:marTop w:val="0"/>
      <w:marBottom w:val="0"/>
      <w:divBdr>
        <w:top w:val="none" w:sz="0" w:space="0" w:color="auto"/>
        <w:left w:val="none" w:sz="0" w:space="0" w:color="auto"/>
        <w:bottom w:val="none" w:sz="0" w:space="0" w:color="auto"/>
        <w:right w:val="none" w:sz="0" w:space="0" w:color="auto"/>
      </w:divBdr>
      <w:divsChild>
        <w:div w:id="823475221">
          <w:marLeft w:val="0"/>
          <w:marRight w:val="0"/>
          <w:marTop w:val="0"/>
          <w:marBottom w:val="0"/>
          <w:divBdr>
            <w:top w:val="none" w:sz="0" w:space="0" w:color="auto"/>
            <w:left w:val="none" w:sz="0" w:space="0" w:color="auto"/>
            <w:bottom w:val="none" w:sz="0" w:space="0" w:color="auto"/>
            <w:right w:val="none" w:sz="0" w:space="0" w:color="auto"/>
          </w:divBdr>
          <w:divsChild>
            <w:div w:id="1206287070">
              <w:marLeft w:val="0"/>
              <w:marRight w:val="0"/>
              <w:marTop w:val="0"/>
              <w:marBottom w:val="0"/>
              <w:divBdr>
                <w:top w:val="none" w:sz="0" w:space="0" w:color="auto"/>
                <w:left w:val="none" w:sz="0" w:space="0" w:color="auto"/>
                <w:bottom w:val="none" w:sz="0" w:space="0" w:color="auto"/>
                <w:right w:val="none" w:sz="0" w:space="0" w:color="auto"/>
              </w:divBdr>
              <w:divsChild>
                <w:div w:id="11419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0324">
      <w:bodyDiv w:val="1"/>
      <w:marLeft w:val="0"/>
      <w:marRight w:val="0"/>
      <w:marTop w:val="0"/>
      <w:marBottom w:val="0"/>
      <w:divBdr>
        <w:top w:val="none" w:sz="0" w:space="0" w:color="auto"/>
        <w:left w:val="none" w:sz="0" w:space="0" w:color="auto"/>
        <w:bottom w:val="none" w:sz="0" w:space="0" w:color="auto"/>
        <w:right w:val="none" w:sz="0" w:space="0" w:color="auto"/>
      </w:divBdr>
    </w:div>
    <w:div w:id="124782864">
      <w:bodyDiv w:val="1"/>
      <w:marLeft w:val="0"/>
      <w:marRight w:val="0"/>
      <w:marTop w:val="0"/>
      <w:marBottom w:val="0"/>
      <w:divBdr>
        <w:top w:val="none" w:sz="0" w:space="0" w:color="auto"/>
        <w:left w:val="none" w:sz="0" w:space="0" w:color="auto"/>
        <w:bottom w:val="none" w:sz="0" w:space="0" w:color="auto"/>
        <w:right w:val="none" w:sz="0" w:space="0" w:color="auto"/>
      </w:divBdr>
    </w:div>
    <w:div w:id="130906985">
      <w:bodyDiv w:val="1"/>
      <w:marLeft w:val="0"/>
      <w:marRight w:val="0"/>
      <w:marTop w:val="0"/>
      <w:marBottom w:val="0"/>
      <w:divBdr>
        <w:top w:val="none" w:sz="0" w:space="0" w:color="auto"/>
        <w:left w:val="none" w:sz="0" w:space="0" w:color="auto"/>
        <w:bottom w:val="none" w:sz="0" w:space="0" w:color="auto"/>
        <w:right w:val="none" w:sz="0" w:space="0" w:color="auto"/>
      </w:divBdr>
    </w:div>
    <w:div w:id="131215065">
      <w:bodyDiv w:val="1"/>
      <w:marLeft w:val="0"/>
      <w:marRight w:val="0"/>
      <w:marTop w:val="0"/>
      <w:marBottom w:val="0"/>
      <w:divBdr>
        <w:top w:val="none" w:sz="0" w:space="0" w:color="auto"/>
        <w:left w:val="none" w:sz="0" w:space="0" w:color="auto"/>
        <w:bottom w:val="none" w:sz="0" w:space="0" w:color="auto"/>
        <w:right w:val="none" w:sz="0" w:space="0" w:color="auto"/>
      </w:divBdr>
    </w:div>
    <w:div w:id="140732881">
      <w:bodyDiv w:val="1"/>
      <w:marLeft w:val="0"/>
      <w:marRight w:val="0"/>
      <w:marTop w:val="0"/>
      <w:marBottom w:val="0"/>
      <w:divBdr>
        <w:top w:val="none" w:sz="0" w:space="0" w:color="auto"/>
        <w:left w:val="none" w:sz="0" w:space="0" w:color="auto"/>
        <w:bottom w:val="none" w:sz="0" w:space="0" w:color="auto"/>
        <w:right w:val="none" w:sz="0" w:space="0" w:color="auto"/>
      </w:divBdr>
    </w:div>
    <w:div w:id="153304416">
      <w:bodyDiv w:val="1"/>
      <w:marLeft w:val="0"/>
      <w:marRight w:val="0"/>
      <w:marTop w:val="0"/>
      <w:marBottom w:val="0"/>
      <w:divBdr>
        <w:top w:val="none" w:sz="0" w:space="0" w:color="auto"/>
        <w:left w:val="none" w:sz="0" w:space="0" w:color="auto"/>
        <w:bottom w:val="none" w:sz="0" w:space="0" w:color="auto"/>
        <w:right w:val="none" w:sz="0" w:space="0" w:color="auto"/>
      </w:divBdr>
    </w:div>
    <w:div w:id="160395109">
      <w:bodyDiv w:val="1"/>
      <w:marLeft w:val="0"/>
      <w:marRight w:val="0"/>
      <w:marTop w:val="0"/>
      <w:marBottom w:val="0"/>
      <w:divBdr>
        <w:top w:val="none" w:sz="0" w:space="0" w:color="auto"/>
        <w:left w:val="none" w:sz="0" w:space="0" w:color="auto"/>
        <w:bottom w:val="none" w:sz="0" w:space="0" w:color="auto"/>
        <w:right w:val="none" w:sz="0" w:space="0" w:color="auto"/>
      </w:divBdr>
      <w:divsChild>
        <w:div w:id="1027829985">
          <w:marLeft w:val="0"/>
          <w:marRight w:val="0"/>
          <w:marTop w:val="0"/>
          <w:marBottom w:val="150"/>
          <w:divBdr>
            <w:top w:val="none" w:sz="0" w:space="0" w:color="auto"/>
            <w:left w:val="none" w:sz="0" w:space="0" w:color="auto"/>
            <w:bottom w:val="none" w:sz="0" w:space="0" w:color="auto"/>
            <w:right w:val="none" w:sz="0" w:space="0" w:color="auto"/>
          </w:divBdr>
        </w:div>
      </w:divsChild>
    </w:div>
    <w:div w:id="160436439">
      <w:bodyDiv w:val="1"/>
      <w:marLeft w:val="0"/>
      <w:marRight w:val="0"/>
      <w:marTop w:val="0"/>
      <w:marBottom w:val="0"/>
      <w:divBdr>
        <w:top w:val="none" w:sz="0" w:space="0" w:color="auto"/>
        <w:left w:val="none" w:sz="0" w:space="0" w:color="auto"/>
        <w:bottom w:val="none" w:sz="0" w:space="0" w:color="auto"/>
        <w:right w:val="none" w:sz="0" w:space="0" w:color="auto"/>
      </w:divBdr>
    </w:div>
    <w:div w:id="163857302">
      <w:bodyDiv w:val="1"/>
      <w:marLeft w:val="0"/>
      <w:marRight w:val="0"/>
      <w:marTop w:val="0"/>
      <w:marBottom w:val="0"/>
      <w:divBdr>
        <w:top w:val="none" w:sz="0" w:space="0" w:color="auto"/>
        <w:left w:val="none" w:sz="0" w:space="0" w:color="auto"/>
        <w:bottom w:val="none" w:sz="0" w:space="0" w:color="auto"/>
        <w:right w:val="none" w:sz="0" w:space="0" w:color="auto"/>
      </w:divBdr>
    </w:div>
    <w:div w:id="164443294">
      <w:bodyDiv w:val="1"/>
      <w:marLeft w:val="0"/>
      <w:marRight w:val="0"/>
      <w:marTop w:val="0"/>
      <w:marBottom w:val="0"/>
      <w:divBdr>
        <w:top w:val="none" w:sz="0" w:space="0" w:color="auto"/>
        <w:left w:val="none" w:sz="0" w:space="0" w:color="auto"/>
        <w:bottom w:val="none" w:sz="0" w:space="0" w:color="auto"/>
        <w:right w:val="none" w:sz="0" w:space="0" w:color="auto"/>
      </w:divBdr>
      <w:divsChild>
        <w:div w:id="256408301">
          <w:marLeft w:val="0"/>
          <w:marRight w:val="0"/>
          <w:marTop w:val="0"/>
          <w:marBottom w:val="0"/>
          <w:divBdr>
            <w:top w:val="none" w:sz="0" w:space="0" w:color="auto"/>
            <w:left w:val="none" w:sz="0" w:space="0" w:color="auto"/>
            <w:bottom w:val="none" w:sz="0" w:space="0" w:color="auto"/>
            <w:right w:val="none" w:sz="0" w:space="0" w:color="auto"/>
          </w:divBdr>
          <w:divsChild>
            <w:div w:id="136726360">
              <w:marLeft w:val="0"/>
              <w:marRight w:val="0"/>
              <w:marTop w:val="0"/>
              <w:marBottom w:val="0"/>
              <w:divBdr>
                <w:top w:val="none" w:sz="0" w:space="0" w:color="auto"/>
                <w:left w:val="none" w:sz="0" w:space="0" w:color="auto"/>
                <w:bottom w:val="none" w:sz="0" w:space="0" w:color="auto"/>
                <w:right w:val="none" w:sz="0" w:space="0" w:color="auto"/>
              </w:divBdr>
              <w:divsChild>
                <w:div w:id="1978414681">
                  <w:marLeft w:val="0"/>
                  <w:marRight w:val="0"/>
                  <w:marTop w:val="0"/>
                  <w:marBottom w:val="0"/>
                  <w:divBdr>
                    <w:top w:val="none" w:sz="0" w:space="0" w:color="auto"/>
                    <w:left w:val="none" w:sz="0" w:space="0" w:color="auto"/>
                    <w:bottom w:val="none" w:sz="0" w:space="0" w:color="auto"/>
                    <w:right w:val="none" w:sz="0" w:space="0" w:color="auto"/>
                  </w:divBdr>
                  <w:divsChild>
                    <w:div w:id="169563785">
                      <w:marLeft w:val="0"/>
                      <w:marRight w:val="0"/>
                      <w:marTop w:val="0"/>
                      <w:marBottom w:val="0"/>
                      <w:divBdr>
                        <w:top w:val="none" w:sz="0" w:space="0" w:color="auto"/>
                        <w:left w:val="none" w:sz="0" w:space="0" w:color="auto"/>
                        <w:bottom w:val="none" w:sz="0" w:space="0" w:color="auto"/>
                        <w:right w:val="none" w:sz="0" w:space="0" w:color="auto"/>
                      </w:divBdr>
                      <w:divsChild>
                        <w:div w:id="279266409">
                          <w:marLeft w:val="0"/>
                          <w:marRight w:val="0"/>
                          <w:marTop w:val="0"/>
                          <w:marBottom w:val="0"/>
                          <w:divBdr>
                            <w:top w:val="none" w:sz="0" w:space="0" w:color="auto"/>
                            <w:left w:val="none" w:sz="0" w:space="0" w:color="auto"/>
                            <w:bottom w:val="none" w:sz="0" w:space="0" w:color="auto"/>
                            <w:right w:val="none" w:sz="0" w:space="0" w:color="auto"/>
                          </w:divBdr>
                          <w:divsChild>
                            <w:div w:id="57351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86302">
      <w:bodyDiv w:val="1"/>
      <w:marLeft w:val="0"/>
      <w:marRight w:val="0"/>
      <w:marTop w:val="0"/>
      <w:marBottom w:val="0"/>
      <w:divBdr>
        <w:top w:val="none" w:sz="0" w:space="0" w:color="auto"/>
        <w:left w:val="none" w:sz="0" w:space="0" w:color="auto"/>
        <w:bottom w:val="none" w:sz="0" w:space="0" w:color="auto"/>
        <w:right w:val="none" w:sz="0" w:space="0" w:color="auto"/>
      </w:divBdr>
    </w:div>
    <w:div w:id="170950547">
      <w:bodyDiv w:val="1"/>
      <w:marLeft w:val="0"/>
      <w:marRight w:val="0"/>
      <w:marTop w:val="0"/>
      <w:marBottom w:val="0"/>
      <w:divBdr>
        <w:top w:val="none" w:sz="0" w:space="0" w:color="auto"/>
        <w:left w:val="none" w:sz="0" w:space="0" w:color="auto"/>
        <w:bottom w:val="none" w:sz="0" w:space="0" w:color="auto"/>
        <w:right w:val="none" w:sz="0" w:space="0" w:color="auto"/>
      </w:divBdr>
    </w:div>
    <w:div w:id="176426659">
      <w:bodyDiv w:val="1"/>
      <w:marLeft w:val="0"/>
      <w:marRight w:val="0"/>
      <w:marTop w:val="0"/>
      <w:marBottom w:val="0"/>
      <w:divBdr>
        <w:top w:val="none" w:sz="0" w:space="0" w:color="auto"/>
        <w:left w:val="none" w:sz="0" w:space="0" w:color="auto"/>
        <w:bottom w:val="none" w:sz="0" w:space="0" w:color="auto"/>
        <w:right w:val="none" w:sz="0" w:space="0" w:color="auto"/>
      </w:divBdr>
    </w:div>
    <w:div w:id="183567206">
      <w:bodyDiv w:val="1"/>
      <w:marLeft w:val="0"/>
      <w:marRight w:val="0"/>
      <w:marTop w:val="0"/>
      <w:marBottom w:val="0"/>
      <w:divBdr>
        <w:top w:val="none" w:sz="0" w:space="0" w:color="auto"/>
        <w:left w:val="none" w:sz="0" w:space="0" w:color="auto"/>
        <w:bottom w:val="none" w:sz="0" w:space="0" w:color="auto"/>
        <w:right w:val="none" w:sz="0" w:space="0" w:color="auto"/>
      </w:divBdr>
    </w:div>
    <w:div w:id="186724016">
      <w:bodyDiv w:val="1"/>
      <w:marLeft w:val="0"/>
      <w:marRight w:val="0"/>
      <w:marTop w:val="0"/>
      <w:marBottom w:val="0"/>
      <w:divBdr>
        <w:top w:val="none" w:sz="0" w:space="0" w:color="auto"/>
        <w:left w:val="none" w:sz="0" w:space="0" w:color="auto"/>
        <w:bottom w:val="none" w:sz="0" w:space="0" w:color="auto"/>
        <w:right w:val="none" w:sz="0" w:space="0" w:color="auto"/>
      </w:divBdr>
      <w:divsChild>
        <w:div w:id="499929110">
          <w:marLeft w:val="0"/>
          <w:marRight w:val="0"/>
          <w:marTop w:val="0"/>
          <w:marBottom w:val="150"/>
          <w:divBdr>
            <w:top w:val="none" w:sz="0" w:space="0" w:color="auto"/>
            <w:left w:val="none" w:sz="0" w:space="0" w:color="auto"/>
            <w:bottom w:val="none" w:sz="0" w:space="0" w:color="auto"/>
            <w:right w:val="none" w:sz="0" w:space="0" w:color="auto"/>
          </w:divBdr>
        </w:div>
      </w:divsChild>
    </w:div>
    <w:div w:id="190386424">
      <w:bodyDiv w:val="1"/>
      <w:marLeft w:val="0"/>
      <w:marRight w:val="0"/>
      <w:marTop w:val="0"/>
      <w:marBottom w:val="0"/>
      <w:divBdr>
        <w:top w:val="none" w:sz="0" w:space="0" w:color="auto"/>
        <w:left w:val="none" w:sz="0" w:space="0" w:color="auto"/>
        <w:bottom w:val="none" w:sz="0" w:space="0" w:color="auto"/>
        <w:right w:val="none" w:sz="0" w:space="0" w:color="auto"/>
      </w:divBdr>
      <w:divsChild>
        <w:div w:id="205873596">
          <w:marLeft w:val="0"/>
          <w:marRight w:val="0"/>
          <w:marTop w:val="0"/>
          <w:marBottom w:val="0"/>
          <w:divBdr>
            <w:top w:val="none" w:sz="0" w:space="0" w:color="auto"/>
            <w:left w:val="none" w:sz="0" w:space="0" w:color="auto"/>
            <w:bottom w:val="none" w:sz="0" w:space="0" w:color="auto"/>
            <w:right w:val="none" w:sz="0" w:space="0" w:color="auto"/>
          </w:divBdr>
          <w:divsChild>
            <w:div w:id="1617985332">
              <w:marLeft w:val="0"/>
              <w:marRight w:val="0"/>
              <w:marTop w:val="0"/>
              <w:marBottom w:val="0"/>
              <w:divBdr>
                <w:top w:val="none" w:sz="0" w:space="0" w:color="auto"/>
                <w:left w:val="none" w:sz="0" w:space="0" w:color="auto"/>
                <w:bottom w:val="none" w:sz="0" w:space="0" w:color="auto"/>
                <w:right w:val="none" w:sz="0" w:space="0" w:color="auto"/>
              </w:divBdr>
              <w:divsChild>
                <w:div w:id="10226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50677">
      <w:bodyDiv w:val="1"/>
      <w:marLeft w:val="0"/>
      <w:marRight w:val="0"/>
      <w:marTop w:val="0"/>
      <w:marBottom w:val="0"/>
      <w:divBdr>
        <w:top w:val="none" w:sz="0" w:space="0" w:color="auto"/>
        <w:left w:val="none" w:sz="0" w:space="0" w:color="auto"/>
        <w:bottom w:val="none" w:sz="0" w:space="0" w:color="auto"/>
        <w:right w:val="none" w:sz="0" w:space="0" w:color="auto"/>
      </w:divBdr>
    </w:div>
    <w:div w:id="204024927">
      <w:bodyDiv w:val="1"/>
      <w:marLeft w:val="0"/>
      <w:marRight w:val="0"/>
      <w:marTop w:val="0"/>
      <w:marBottom w:val="0"/>
      <w:divBdr>
        <w:top w:val="none" w:sz="0" w:space="0" w:color="auto"/>
        <w:left w:val="none" w:sz="0" w:space="0" w:color="auto"/>
        <w:bottom w:val="none" w:sz="0" w:space="0" w:color="auto"/>
        <w:right w:val="none" w:sz="0" w:space="0" w:color="auto"/>
      </w:divBdr>
    </w:div>
    <w:div w:id="206380430">
      <w:bodyDiv w:val="1"/>
      <w:marLeft w:val="0"/>
      <w:marRight w:val="0"/>
      <w:marTop w:val="0"/>
      <w:marBottom w:val="0"/>
      <w:divBdr>
        <w:top w:val="none" w:sz="0" w:space="0" w:color="auto"/>
        <w:left w:val="none" w:sz="0" w:space="0" w:color="auto"/>
        <w:bottom w:val="none" w:sz="0" w:space="0" w:color="auto"/>
        <w:right w:val="none" w:sz="0" w:space="0" w:color="auto"/>
      </w:divBdr>
    </w:div>
    <w:div w:id="206795733">
      <w:bodyDiv w:val="1"/>
      <w:marLeft w:val="0"/>
      <w:marRight w:val="0"/>
      <w:marTop w:val="0"/>
      <w:marBottom w:val="0"/>
      <w:divBdr>
        <w:top w:val="none" w:sz="0" w:space="0" w:color="auto"/>
        <w:left w:val="none" w:sz="0" w:space="0" w:color="auto"/>
        <w:bottom w:val="none" w:sz="0" w:space="0" w:color="auto"/>
        <w:right w:val="none" w:sz="0" w:space="0" w:color="auto"/>
      </w:divBdr>
    </w:div>
    <w:div w:id="216357402">
      <w:bodyDiv w:val="1"/>
      <w:marLeft w:val="0"/>
      <w:marRight w:val="0"/>
      <w:marTop w:val="0"/>
      <w:marBottom w:val="0"/>
      <w:divBdr>
        <w:top w:val="none" w:sz="0" w:space="0" w:color="auto"/>
        <w:left w:val="none" w:sz="0" w:space="0" w:color="auto"/>
        <w:bottom w:val="none" w:sz="0" w:space="0" w:color="auto"/>
        <w:right w:val="none" w:sz="0" w:space="0" w:color="auto"/>
      </w:divBdr>
    </w:div>
    <w:div w:id="218984366">
      <w:bodyDiv w:val="1"/>
      <w:marLeft w:val="0"/>
      <w:marRight w:val="0"/>
      <w:marTop w:val="0"/>
      <w:marBottom w:val="0"/>
      <w:divBdr>
        <w:top w:val="none" w:sz="0" w:space="0" w:color="auto"/>
        <w:left w:val="none" w:sz="0" w:space="0" w:color="auto"/>
        <w:bottom w:val="none" w:sz="0" w:space="0" w:color="auto"/>
        <w:right w:val="none" w:sz="0" w:space="0" w:color="auto"/>
      </w:divBdr>
    </w:div>
    <w:div w:id="223683608">
      <w:bodyDiv w:val="1"/>
      <w:marLeft w:val="0"/>
      <w:marRight w:val="0"/>
      <w:marTop w:val="0"/>
      <w:marBottom w:val="0"/>
      <w:divBdr>
        <w:top w:val="none" w:sz="0" w:space="0" w:color="auto"/>
        <w:left w:val="none" w:sz="0" w:space="0" w:color="auto"/>
        <w:bottom w:val="none" w:sz="0" w:space="0" w:color="auto"/>
        <w:right w:val="none" w:sz="0" w:space="0" w:color="auto"/>
      </w:divBdr>
    </w:div>
    <w:div w:id="224296664">
      <w:bodyDiv w:val="1"/>
      <w:marLeft w:val="0"/>
      <w:marRight w:val="0"/>
      <w:marTop w:val="0"/>
      <w:marBottom w:val="0"/>
      <w:divBdr>
        <w:top w:val="none" w:sz="0" w:space="0" w:color="auto"/>
        <w:left w:val="none" w:sz="0" w:space="0" w:color="auto"/>
        <w:bottom w:val="none" w:sz="0" w:space="0" w:color="auto"/>
        <w:right w:val="none" w:sz="0" w:space="0" w:color="auto"/>
      </w:divBdr>
    </w:div>
    <w:div w:id="226692854">
      <w:bodyDiv w:val="1"/>
      <w:marLeft w:val="0"/>
      <w:marRight w:val="0"/>
      <w:marTop w:val="0"/>
      <w:marBottom w:val="0"/>
      <w:divBdr>
        <w:top w:val="none" w:sz="0" w:space="0" w:color="auto"/>
        <w:left w:val="none" w:sz="0" w:space="0" w:color="auto"/>
        <w:bottom w:val="none" w:sz="0" w:space="0" w:color="auto"/>
        <w:right w:val="none" w:sz="0" w:space="0" w:color="auto"/>
      </w:divBdr>
    </w:div>
    <w:div w:id="226846637">
      <w:bodyDiv w:val="1"/>
      <w:marLeft w:val="0"/>
      <w:marRight w:val="0"/>
      <w:marTop w:val="0"/>
      <w:marBottom w:val="0"/>
      <w:divBdr>
        <w:top w:val="none" w:sz="0" w:space="0" w:color="auto"/>
        <w:left w:val="none" w:sz="0" w:space="0" w:color="auto"/>
        <w:bottom w:val="none" w:sz="0" w:space="0" w:color="auto"/>
        <w:right w:val="none" w:sz="0" w:space="0" w:color="auto"/>
      </w:divBdr>
    </w:div>
    <w:div w:id="227232692">
      <w:bodyDiv w:val="1"/>
      <w:marLeft w:val="0"/>
      <w:marRight w:val="0"/>
      <w:marTop w:val="0"/>
      <w:marBottom w:val="0"/>
      <w:divBdr>
        <w:top w:val="none" w:sz="0" w:space="0" w:color="auto"/>
        <w:left w:val="none" w:sz="0" w:space="0" w:color="auto"/>
        <w:bottom w:val="none" w:sz="0" w:space="0" w:color="auto"/>
        <w:right w:val="none" w:sz="0" w:space="0" w:color="auto"/>
      </w:divBdr>
    </w:div>
    <w:div w:id="234316513">
      <w:bodyDiv w:val="1"/>
      <w:marLeft w:val="0"/>
      <w:marRight w:val="0"/>
      <w:marTop w:val="0"/>
      <w:marBottom w:val="0"/>
      <w:divBdr>
        <w:top w:val="none" w:sz="0" w:space="0" w:color="auto"/>
        <w:left w:val="none" w:sz="0" w:space="0" w:color="auto"/>
        <w:bottom w:val="none" w:sz="0" w:space="0" w:color="auto"/>
        <w:right w:val="none" w:sz="0" w:space="0" w:color="auto"/>
      </w:divBdr>
    </w:div>
    <w:div w:id="241378222">
      <w:bodyDiv w:val="1"/>
      <w:marLeft w:val="0"/>
      <w:marRight w:val="0"/>
      <w:marTop w:val="0"/>
      <w:marBottom w:val="0"/>
      <w:divBdr>
        <w:top w:val="none" w:sz="0" w:space="0" w:color="auto"/>
        <w:left w:val="none" w:sz="0" w:space="0" w:color="auto"/>
        <w:bottom w:val="none" w:sz="0" w:space="0" w:color="auto"/>
        <w:right w:val="none" w:sz="0" w:space="0" w:color="auto"/>
      </w:divBdr>
      <w:divsChild>
        <w:div w:id="1346983956">
          <w:marLeft w:val="0"/>
          <w:marRight w:val="0"/>
          <w:marTop w:val="0"/>
          <w:marBottom w:val="0"/>
          <w:divBdr>
            <w:top w:val="none" w:sz="0" w:space="0" w:color="auto"/>
            <w:left w:val="none" w:sz="0" w:space="0" w:color="auto"/>
            <w:bottom w:val="none" w:sz="0" w:space="0" w:color="auto"/>
            <w:right w:val="none" w:sz="0" w:space="0" w:color="auto"/>
          </w:divBdr>
          <w:divsChild>
            <w:div w:id="1920096324">
              <w:marLeft w:val="0"/>
              <w:marRight w:val="0"/>
              <w:marTop w:val="0"/>
              <w:marBottom w:val="0"/>
              <w:divBdr>
                <w:top w:val="none" w:sz="0" w:space="0" w:color="auto"/>
                <w:left w:val="none" w:sz="0" w:space="0" w:color="auto"/>
                <w:bottom w:val="none" w:sz="0" w:space="0" w:color="auto"/>
                <w:right w:val="none" w:sz="0" w:space="0" w:color="auto"/>
              </w:divBdr>
              <w:divsChild>
                <w:div w:id="1678996478">
                  <w:marLeft w:val="0"/>
                  <w:marRight w:val="0"/>
                  <w:marTop w:val="0"/>
                  <w:marBottom w:val="0"/>
                  <w:divBdr>
                    <w:top w:val="none" w:sz="0" w:space="0" w:color="auto"/>
                    <w:left w:val="none" w:sz="0" w:space="0" w:color="auto"/>
                    <w:bottom w:val="none" w:sz="0" w:space="0" w:color="auto"/>
                    <w:right w:val="none" w:sz="0" w:space="0" w:color="auto"/>
                  </w:divBdr>
                  <w:divsChild>
                    <w:div w:id="36202549">
                      <w:marLeft w:val="0"/>
                      <w:marRight w:val="0"/>
                      <w:marTop w:val="0"/>
                      <w:marBottom w:val="0"/>
                      <w:divBdr>
                        <w:top w:val="none" w:sz="0" w:space="0" w:color="auto"/>
                        <w:left w:val="none" w:sz="0" w:space="0" w:color="auto"/>
                        <w:bottom w:val="none" w:sz="0" w:space="0" w:color="auto"/>
                        <w:right w:val="none" w:sz="0" w:space="0" w:color="auto"/>
                      </w:divBdr>
                      <w:divsChild>
                        <w:div w:id="1770853177">
                          <w:marLeft w:val="0"/>
                          <w:marRight w:val="0"/>
                          <w:marTop w:val="0"/>
                          <w:marBottom w:val="0"/>
                          <w:divBdr>
                            <w:top w:val="none" w:sz="0" w:space="0" w:color="auto"/>
                            <w:left w:val="none" w:sz="0" w:space="0" w:color="auto"/>
                            <w:bottom w:val="none" w:sz="0" w:space="0" w:color="auto"/>
                            <w:right w:val="none" w:sz="0" w:space="0" w:color="auto"/>
                          </w:divBdr>
                          <w:divsChild>
                            <w:div w:id="302347555">
                              <w:marLeft w:val="0"/>
                              <w:marRight w:val="0"/>
                              <w:marTop w:val="0"/>
                              <w:marBottom w:val="0"/>
                              <w:divBdr>
                                <w:top w:val="none" w:sz="0" w:space="0" w:color="auto"/>
                                <w:left w:val="none" w:sz="0" w:space="0" w:color="auto"/>
                                <w:bottom w:val="none" w:sz="0" w:space="0" w:color="auto"/>
                                <w:right w:val="none" w:sz="0" w:space="0" w:color="auto"/>
                              </w:divBdr>
                              <w:divsChild>
                                <w:div w:id="193378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271123">
          <w:marLeft w:val="0"/>
          <w:marRight w:val="0"/>
          <w:marTop w:val="0"/>
          <w:marBottom w:val="0"/>
          <w:divBdr>
            <w:top w:val="none" w:sz="0" w:space="0" w:color="auto"/>
            <w:left w:val="none" w:sz="0" w:space="0" w:color="auto"/>
            <w:bottom w:val="none" w:sz="0" w:space="0" w:color="auto"/>
            <w:right w:val="none" w:sz="0" w:space="0" w:color="auto"/>
          </w:divBdr>
          <w:divsChild>
            <w:div w:id="686373578">
              <w:marLeft w:val="0"/>
              <w:marRight w:val="0"/>
              <w:marTop w:val="0"/>
              <w:marBottom w:val="0"/>
              <w:divBdr>
                <w:top w:val="none" w:sz="0" w:space="0" w:color="auto"/>
                <w:left w:val="none" w:sz="0" w:space="0" w:color="auto"/>
                <w:bottom w:val="none" w:sz="0" w:space="0" w:color="auto"/>
                <w:right w:val="none" w:sz="0" w:space="0" w:color="auto"/>
              </w:divBdr>
              <w:divsChild>
                <w:div w:id="333530121">
                  <w:marLeft w:val="0"/>
                  <w:marRight w:val="0"/>
                  <w:marTop w:val="0"/>
                  <w:marBottom w:val="0"/>
                  <w:divBdr>
                    <w:top w:val="none" w:sz="0" w:space="0" w:color="auto"/>
                    <w:left w:val="none" w:sz="0" w:space="0" w:color="auto"/>
                    <w:bottom w:val="none" w:sz="0" w:space="0" w:color="auto"/>
                    <w:right w:val="none" w:sz="0" w:space="0" w:color="auto"/>
                  </w:divBdr>
                  <w:divsChild>
                    <w:div w:id="1885558434">
                      <w:marLeft w:val="0"/>
                      <w:marRight w:val="0"/>
                      <w:marTop w:val="0"/>
                      <w:marBottom w:val="0"/>
                      <w:divBdr>
                        <w:top w:val="none" w:sz="0" w:space="0" w:color="auto"/>
                        <w:left w:val="none" w:sz="0" w:space="0" w:color="auto"/>
                        <w:bottom w:val="none" w:sz="0" w:space="0" w:color="auto"/>
                        <w:right w:val="none" w:sz="0" w:space="0" w:color="auto"/>
                      </w:divBdr>
                      <w:divsChild>
                        <w:div w:id="2020739352">
                          <w:marLeft w:val="0"/>
                          <w:marRight w:val="0"/>
                          <w:marTop w:val="0"/>
                          <w:marBottom w:val="0"/>
                          <w:divBdr>
                            <w:top w:val="none" w:sz="0" w:space="0" w:color="auto"/>
                            <w:left w:val="none" w:sz="0" w:space="0" w:color="auto"/>
                            <w:bottom w:val="none" w:sz="0" w:space="0" w:color="auto"/>
                            <w:right w:val="none" w:sz="0" w:space="0" w:color="auto"/>
                          </w:divBdr>
                          <w:divsChild>
                            <w:div w:id="1890414646">
                              <w:marLeft w:val="0"/>
                              <w:marRight w:val="0"/>
                              <w:marTop w:val="0"/>
                              <w:marBottom w:val="0"/>
                              <w:divBdr>
                                <w:top w:val="none" w:sz="0" w:space="0" w:color="auto"/>
                                <w:left w:val="none" w:sz="0" w:space="0" w:color="auto"/>
                                <w:bottom w:val="none" w:sz="0" w:space="0" w:color="auto"/>
                                <w:right w:val="none" w:sz="0" w:space="0" w:color="auto"/>
                              </w:divBdr>
                              <w:divsChild>
                                <w:div w:id="969942538">
                                  <w:marLeft w:val="0"/>
                                  <w:marRight w:val="0"/>
                                  <w:marTop w:val="0"/>
                                  <w:marBottom w:val="0"/>
                                  <w:divBdr>
                                    <w:top w:val="none" w:sz="0" w:space="0" w:color="auto"/>
                                    <w:left w:val="none" w:sz="0" w:space="0" w:color="auto"/>
                                    <w:bottom w:val="none" w:sz="0" w:space="0" w:color="auto"/>
                                    <w:right w:val="none" w:sz="0" w:space="0" w:color="auto"/>
                                  </w:divBdr>
                                  <w:divsChild>
                                    <w:div w:id="1423457089">
                                      <w:marLeft w:val="0"/>
                                      <w:marRight w:val="0"/>
                                      <w:marTop w:val="0"/>
                                      <w:marBottom w:val="0"/>
                                      <w:divBdr>
                                        <w:top w:val="none" w:sz="0" w:space="0" w:color="auto"/>
                                        <w:left w:val="none" w:sz="0" w:space="0" w:color="auto"/>
                                        <w:bottom w:val="none" w:sz="0" w:space="0" w:color="auto"/>
                                        <w:right w:val="none" w:sz="0" w:space="0" w:color="auto"/>
                                      </w:divBdr>
                                      <w:divsChild>
                                        <w:div w:id="973829130">
                                          <w:marLeft w:val="0"/>
                                          <w:marRight w:val="0"/>
                                          <w:marTop w:val="0"/>
                                          <w:marBottom w:val="0"/>
                                          <w:divBdr>
                                            <w:top w:val="none" w:sz="0" w:space="0" w:color="auto"/>
                                            <w:left w:val="none" w:sz="0" w:space="0" w:color="auto"/>
                                            <w:bottom w:val="none" w:sz="0" w:space="0" w:color="auto"/>
                                            <w:right w:val="none" w:sz="0" w:space="0" w:color="auto"/>
                                          </w:divBdr>
                                          <w:divsChild>
                                            <w:div w:id="167907307">
                                              <w:marLeft w:val="0"/>
                                              <w:marRight w:val="0"/>
                                              <w:marTop w:val="0"/>
                                              <w:marBottom w:val="0"/>
                                              <w:divBdr>
                                                <w:top w:val="none" w:sz="0" w:space="0" w:color="auto"/>
                                                <w:left w:val="none" w:sz="0" w:space="0" w:color="auto"/>
                                                <w:bottom w:val="none" w:sz="0" w:space="0" w:color="auto"/>
                                                <w:right w:val="none" w:sz="0" w:space="0" w:color="auto"/>
                                              </w:divBdr>
                                              <w:divsChild>
                                                <w:div w:id="211504577">
                                                  <w:marLeft w:val="0"/>
                                                  <w:marRight w:val="0"/>
                                                  <w:marTop w:val="0"/>
                                                  <w:marBottom w:val="0"/>
                                                  <w:divBdr>
                                                    <w:top w:val="none" w:sz="0" w:space="0" w:color="auto"/>
                                                    <w:left w:val="none" w:sz="0" w:space="0" w:color="auto"/>
                                                    <w:bottom w:val="none" w:sz="0" w:space="0" w:color="auto"/>
                                                    <w:right w:val="none" w:sz="0" w:space="0" w:color="auto"/>
                                                  </w:divBdr>
                                                  <w:divsChild>
                                                    <w:div w:id="638728593">
                                                      <w:marLeft w:val="0"/>
                                                      <w:marRight w:val="0"/>
                                                      <w:marTop w:val="0"/>
                                                      <w:marBottom w:val="0"/>
                                                      <w:divBdr>
                                                        <w:top w:val="none" w:sz="0" w:space="0" w:color="auto"/>
                                                        <w:left w:val="none" w:sz="0" w:space="0" w:color="auto"/>
                                                        <w:bottom w:val="none" w:sz="0" w:space="0" w:color="auto"/>
                                                        <w:right w:val="none" w:sz="0" w:space="0" w:color="auto"/>
                                                      </w:divBdr>
                                                      <w:divsChild>
                                                        <w:div w:id="1376541757">
                                                          <w:marLeft w:val="0"/>
                                                          <w:marRight w:val="0"/>
                                                          <w:marTop w:val="0"/>
                                                          <w:marBottom w:val="0"/>
                                                          <w:divBdr>
                                                            <w:top w:val="none" w:sz="0" w:space="0" w:color="auto"/>
                                                            <w:left w:val="none" w:sz="0" w:space="0" w:color="auto"/>
                                                            <w:bottom w:val="none" w:sz="0" w:space="0" w:color="auto"/>
                                                            <w:right w:val="none" w:sz="0" w:space="0" w:color="auto"/>
                                                          </w:divBdr>
                                                          <w:divsChild>
                                                            <w:div w:id="1141271378">
                                                              <w:marLeft w:val="0"/>
                                                              <w:marRight w:val="0"/>
                                                              <w:marTop w:val="0"/>
                                                              <w:marBottom w:val="0"/>
                                                              <w:divBdr>
                                                                <w:top w:val="none" w:sz="0" w:space="0" w:color="auto"/>
                                                                <w:left w:val="none" w:sz="0" w:space="0" w:color="auto"/>
                                                                <w:bottom w:val="none" w:sz="0" w:space="0" w:color="auto"/>
                                                                <w:right w:val="none" w:sz="0" w:space="0" w:color="auto"/>
                                                              </w:divBdr>
                                                              <w:divsChild>
                                                                <w:div w:id="158498476">
                                                                  <w:marLeft w:val="0"/>
                                                                  <w:marRight w:val="0"/>
                                                                  <w:marTop w:val="0"/>
                                                                  <w:marBottom w:val="0"/>
                                                                  <w:divBdr>
                                                                    <w:top w:val="none" w:sz="0" w:space="0" w:color="auto"/>
                                                                    <w:left w:val="none" w:sz="0" w:space="0" w:color="auto"/>
                                                                    <w:bottom w:val="none" w:sz="0" w:space="0" w:color="auto"/>
                                                                    <w:right w:val="none" w:sz="0" w:space="0" w:color="auto"/>
                                                                  </w:divBdr>
                                                                  <w:divsChild>
                                                                    <w:div w:id="1650593750">
                                                                      <w:marLeft w:val="0"/>
                                                                      <w:marRight w:val="0"/>
                                                                      <w:marTop w:val="0"/>
                                                                      <w:marBottom w:val="0"/>
                                                                      <w:divBdr>
                                                                        <w:top w:val="none" w:sz="0" w:space="0" w:color="auto"/>
                                                                        <w:left w:val="none" w:sz="0" w:space="0" w:color="auto"/>
                                                                        <w:bottom w:val="none" w:sz="0" w:space="0" w:color="auto"/>
                                                                        <w:right w:val="none" w:sz="0" w:space="0" w:color="auto"/>
                                                                      </w:divBdr>
                                                                      <w:divsChild>
                                                                        <w:div w:id="1790971861">
                                                                          <w:marLeft w:val="0"/>
                                                                          <w:marRight w:val="0"/>
                                                                          <w:marTop w:val="0"/>
                                                                          <w:marBottom w:val="0"/>
                                                                          <w:divBdr>
                                                                            <w:top w:val="none" w:sz="0" w:space="0" w:color="auto"/>
                                                                            <w:left w:val="none" w:sz="0" w:space="0" w:color="auto"/>
                                                                            <w:bottom w:val="none" w:sz="0" w:space="0" w:color="auto"/>
                                                                            <w:right w:val="none" w:sz="0" w:space="0" w:color="auto"/>
                                                                          </w:divBdr>
                                                                          <w:divsChild>
                                                                            <w:div w:id="1560021412">
                                                                              <w:marLeft w:val="0"/>
                                                                              <w:marRight w:val="0"/>
                                                                              <w:marTop w:val="0"/>
                                                                              <w:marBottom w:val="0"/>
                                                                              <w:divBdr>
                                                                                <w:top w:val="none" w:sz="0" w:space="0" w:color="auto"/>
                                                                                <w:left w:val="none" w:sz="0" w:space="0" w:color="auto"/>
                                                                                <w:bottom w:val="none" w:sz="0" w:space="0" w:color="auto"/>
                                                                                <w:right w:val="none" w:sz="0" w:space="0" w:color="auto"/>
                                                                              </w:divBdr>
                                                                              <w:divsChild>
                                                                                <w:div w:id="890968955">
                                                                                  <w:marLeft w:val="0"/>
                                                                                  <w:marRight w:val="0"/>
                                                                                  <w:marTop w:val="0"/>
                                                                                  <w:marBottom w:val="0"/>
                                                                                  <w:divBdr>
                                                                                    <w:top w:val="none" w:sz="0" w:space="0" w:color="auto"/>
                                                                                    <w:left w:val="none" w:sz="0" w:space="0" w:color="auto"/>
                                                                                    <w:bottom w:val="none" w:sz="0" w:space="0" w:color="auto"/>
                                                                                    <w:right w:val="none" w:sz="0" w:space="0" w:color="auto"/>
                                                                                  </w:divBdr>
                                                                                  <w:divsChild>
                                                                                    <w:div w:id="1010110256">
                                                                                      <w:marLeft w:val="0"/>
                                                                                      <w:marRight w:val="0"/>
                                                                                      <w:marTop w:val="0"/>
                                                                                      <w:marBottom w:val="0"/>
                                                                                      <w:divBdr>
                                                                                        <w:top w:val="none" w:sz="0" w:space="0" w:color="auto"/>
                                                                                        <w:left w:val="none" w:sz="0" w:space="0" w:color="auto"/>
                                                                                        <w:bottom w:val="none" w:sz="0" w:space="0" w:color="auto"/>
                                                                                        <w:right w:val="none" w:sz="0" w:space="0" w:color="auto"/>
                                                                                      </w:divBdr>
                                                                                      <w:divsChild>
                                                                                        <w:div w:id="1235429694">
                                                                                          <w:marLeft w:val="0"/>
                                                                                          <w:marRight w:val="0"/>
                                                                                          <w:marTop w:val="0"/>
                                                                                          <w:marBottom w:val="0"/>
                                                                                          <w:divBdr>
                                                                                            <w:top w:val="none" w:sz="0" w:space="0" w:color="auto"/>
                                                                                            <w:left w:val="none" w:sz="0" w:space="0" w:color="auto"/>
                                                                                            <w:bottom w:val="none" w:sz="0" w:space="0" w:color="auto"/>
                                                                                            <w:right w:val="none" w:sz="0" w:space="0" w:color="auto"/>
                                                                                          </w:divBdr>
                                                                                          <w:divsChild>
                                                                                            <w:div w:id="1681545147">
                                                                                              <w:marLeft w:val="0"/>
                                                                                              <w:marRight w:val="0"/>
                                                                                              <w:marTop w:val="0"/>
                                                                                              <w:marBottom w:val="0"/>
                                                                                              <w:divBdr>
                                                                                                <w:top w:val="none" w:sz="0" w:space="0" w:color="auto"/>
                                                                                                <w:left w:val="none" w:sz="0" w:space="0" w:color="auto"/>
                                                                                                <w:bottom w:val="none" w:sz="0" w:space="0" w:color="auto"/>
                                                                                                <w:right w:val="none" w:sz="0" w:space="0" w:color="auto"/>
                                                                                              </w:divBdr>
                                                                                              <w:divsChild>
                                                                                                <w:div w:id="118229832">
                                                                                                  <w:marLeft w:val="0"/>
                                                                                                  <w:marRight w:val="0"/>
                                                                                                  <w:marTop w:val="0"/>
                                                                                                  <w:marBottom w:val="0"/>
                                                                                                  <w:divBdr>
                                                                                                    <w:top w:val="none" w:sz="0" w:space="0" w:color="auto"/>
                                                                                                    <w:left w:val="none" w:sz="0" w:space="0" w:color="auto"/>
                                                                                                    <w:bottom w:val="none" w:sz="0" w:space="0" w:color="auto"/>
                                                                                                    <w:right w:val="none" w:sz="0" w:space="0" w:color="auto"/>
                                                                                                  </w:divBdr>
                                                                                                  <w:divsChild>
                                                                                                    <w:div w:id="1035034230">
                                                                                                      <w:marLeft w:val="0"/>
                                                                                                      <w:marRight w:val="0"/>
                                                                                                      <w:marTop w:val="0"/>
                                                                                                      <w:marBottom w:val="0"/>
                                                                                                      <w:divBdr>
                                                                                                        <w:top w:val="none" w:sz="0" w:space="0" w:color="auto"/>
                                                                                                        <w:left w:val="none" w:sz="0" w:space="0" w:color="auto"/>
                                                                                                        <w:bottom w:val="none" w:sz="0" w:space="0" w:color="auto"/>
                                                                                                        <w:right w:val="none" w:sz="0" w:space="0" w:color="auto"/>
                                                                                                      </w:divBdr>
                                                                                                      <w:divsChild>
                                                                                                        <w:div w:id="1138572958">
                                                                                                          <w:marLeft w:val="0"/>
                                                                                                          <w:marRight w:val="0"/>
                                                                                                          <w:marTop w:val="0"/>
                                                                                                          <w:marBottom w:val="0"/>
                                                                                                          <w:divBdr>
                                                                                                            <w:top w:val="none" w:sz="0" w:space="0" w:color="auto"/>
                                                                                                            <w:left w:val="none" w:sz="0" w:space="0" w:color="auto"/>
                                                                                                            <w:bottom w:val="none" w:sz="0" w:space="0" w:color="auto"/>
                                                                                                            <w:right w:val="none" w:sz="0" w:space="0" w:color="auto"/>
                                                                                                          </w:divBdr>
                                                                                                          <w:divsChild>
                                                                                                            <w:div w:id="1571501899">
                                                                                                              <w:marLeft w:val="0"/>
                                                                                                              <w:marRight w:val="0"/>
                                                                                                              <w:marTop w:val="0"/>
                                                                                                              <w:marBottom w:val="0"/>
                                                                                                              <w:divBdr>
                                                                                                                <w:top w:val="none" w:sz="0" w:space="0" w:color="auto"/>
                                                                                                                <w:left w:val="none" w:sz="0" w:space="0" w:color="auto"/>
                                                                                                                <w:bottom w:val="none" w:sz="0" w:space="0" w:color="auto"/>
                                                                                                                <w:right w:val="none" w:sz="0" w:space="0" w:color="auto"/>
                                                                                                              </w:divBdr>
                                                                                                              <w:divsChild>
                                                                                                                <w:div w:id="483426228">
                                                                                                                  <w:marLeft w:val="0"/>
                                                                                                                  <w:marRight w:val="0"/>
                                                                                                                  <w:marTop w:val="0"/>
                                                                                                                  <w:marBottom w:val="0"/>
                                                                                                                  <w:divBdr>
                                                                                                                    <w:top w:val="none" w:sz="0" w:space="0" w:color="auto"/>
                                                                                                                    <w:left w:val="none" w:sz="0" w:space="0" w:color="auto"/>
                                                                                                                    <w:bottom w:val="none" w:sz="0" w:space="0" w:color="auto"/>
                                                                                                                    <w:right w:val="none" w:sz="0" w:space="0" w:color="auto"/>
                                                                                                                  </w:divBdr>
                                                                                                                  <w:divsChild>
                                                                                                                    <w:div w:id="495152360">
                                                                                                                      <w:marLeft w:val="0"/>
                                                                                                                      <w:marRight w:val="0"/>
                                                                                                                      <w:marTop w:val="0"/>
                                                                                                                      <w:marBottom w:val="0"/>
                                                                                                                      <w:divBdr>
                                                                                                                        <w:top w:val="none" w:sz="0" w:space="0" w:color="auto"/>
                                                                                                                        <w:left w:val="none" w:sz="0" w:space="0" w:color="auto"/>
                                                                                                                        <w:bottom w:val="none" w:sz="0" w:space="0" w:color="auto"/>
                                                                                                                        <w:right w:val="none" w:sz="0" w:space="0" w:color="auto"/>
                                                                                                                      </w:divBdr>
                                                                                                                      <w:divsChild>
                                                                                                                        <w:div w:id="84589806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2253410">
      <w:bodyDiv w:val="1"/>
      <w:marLeft w:val="0"/>
      <w:marRight w:val="0"/>
      <w:marTop w:val="0"/>
      <w:marBottom w:val="0"/>
      <w:divBdr>
        <w:top w:val="none" w:sz="0" w:space="0" w:color="auto"/>
        <w:left w:val="none" w:sz="0" w:space="0" w:color="auto"/>
        <w:bottom w:val="none" w:sz="0" w:space="0" w:color="auto"/>
        <w:right w:val="none" w:sz="0" w:space="0" w:color="auto"/>
      </w:divBdr>
    </w:div>
    <w:div w:id="245113927">
      <w:bodyDiv w:val="1"/>
      <w:marLeft w:val="0"/>
      <w:marRight w:val="0"/>
      <w:marTop w:val="0"/>
      <w:marBottom w:val="0"/>
      <w:divBdr>
        <w:top w:val="none" w:sz="0" w:space="0" w:color="auto"/>
        <w:left w:val="none" w:sz="0" w:space="0" w:color="auto"/>
        <w:bottom w:val="none" w:sz="0" w:space="0" w:color="auto"/>
        <w:right w:val="none" w:sz="0" w:space="0" w:color="auto"/>
      </w:divBdr>
      <w:divsChild>
        <w:div w:id="1315259043">
          <w:marLeft w:val="0"/>
          <w:marRight w:val="0"/>
          <w:marTop w:val="0"/>
          <w:marBottom w:val="0"/>
          <w:divBdr>
            <w:top w:val="none" w:sz="0" w:space="0" w:color="auto"/>
            <w:left w:val="none" w:sz="0" w:space="0" w:color="auto"/>
            <w:bottom w:val="none" w:sz="0" w:space="0" w:color="auto"/>
            <w:right w:val="none" w:sz="0" w:space="0" w:color="auto"/>
          </w:divBdr>
          <w:divsChild>
            <w:div w:id="201869029">
              <w:marLeft w:val="0"/>
              <w:marRight w:val="0"/>
              <w:marTop w:val="0"/>
              <w:marBottom w:val="0"/>
              <w:divBdr>
                <w:top w:val="none" w:sz="0" w:space="0" w:color="auto"/>
                <w:left w:val="none" w:sz="0" w:space="0" w:color="auto"/>
                <w:bottom w:val="none" w:sz="0" w:space="0" w:color="auto"/>
                <w:right w:val="none" w:sz="0" w:space="0" w:color="auto"/>
              </w:divBdr>
              <w:divsChild>
                <w:div w:id="1446389446">
                  <w:marLeft w:val="0"/>
                  <w:marRight w:val="0"/>
                  <w:marTop w:val="0"/>
                  <w:marBottom w:val="0"/>
                  <w:divBdr>
                    <w:top w:val="none" w:sz="0" w:space="0" w:color="auto"/>
                    <w:left w:val="none" w:sz="0" w:space="0" w:color="auto"/>
                    <w:bottom w:val="none" w:sz="0" w:space="0" w:color="auto"/>
                    <w:right w:val="none" w:sz="0" w:space="0" w:color="auto"/>
                  </w:divBdr>
                  <w:divsChild>
                    <w:div w:id="1655259066">
                      <w:marLeft w:val="0"/>
                      <w:marRight w:val="0"/>
                      <w:marTop w:val="0"/>
                      <w:marBottom w:val="0"/>
                      <w:divBdr>
                        <w:top w:val="none" w:sz="0" w:space="0" w:color="auto"/>
                        <w:left w:val="none" w:sz="0" w:space="0" w:color="auto"/>
                        <w:bottom w:val="none" w:sz="0" w:space="0" w:color="auto"/>
                        <w:right w:val="none" w:sz="0" w:space="0" w:color="auto"/>
                      </w:divBdr>
                      <w:divsChild>
                        <w:div w:id="1049038384">
                          <w:marLeft w:val="0"/>
                          <w:marRight w:val="0"/>
                          <w:marTop w:val="0"/>
                          <w:marBottom w:val="0"/>
                          <w:divBdr>
                            <w:top w:val="none" w:sz="0" w:space="0" w:color="auto"/>
                            <w:left w:val="none" w:sz="0" w:space="0" w:color="auto"/>
                            <w:bottom w:val="none" w:sz="0" w:space="0" w:color="auto"/>
                            <w:right w:val="none" w:sz="0" w:space="0" w:color="auto"/>
                          </w:divBdr>
                          <w:divsChild>
                            <w:div w:id="42658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092896">
      <w:bodyDiv w:val="1"/>
      <w:marLeft w:val="0"/>
      <w:marRight w:val="0"/>
      <w:marTop w:val="0"/>
      <w:marBottom w:val="0"/>
      <w:divBdr>
        <w:top w:val="none" w:sz="0" w:space="0" w:color="auto"/>
        <w:left w:val="none" w:sz="0" w:space="0" w:color="auto"/>
        <w:bottom w:val="none" w:sz="0" w:space="0" w:color="auto"/>
        <w:right w:val="none" w:sz="0" w:space="0" w:color="auto"/>
      </w:divBdr>
      <w:divsChild>
        <w:div w:id="1322545637">
          <w:marLeft w:val="0"/>
          <w:marRight w:val="0"/>
          <w:marTop w:val="0"/>
          <w:marBottom w:val="150"/>
          <w:divBdr>
            <w:top w:val="none" w:sz="0" w:space="0" w:color="auto"/>
            <w:left w:val="none" w:sz="0" w:space="0" w:color="auto"/>
            <w:bottom w:val="none" w:sz="0" w:space="0" w:color="auto"/>
            <w:right w:val="none" w:sz="0" w:space="0" w:color="auto"/>
          </w:divBdr>
        </w:div>
      </w:divsChild>
    </w:div>
    <w:div w:id="256450080">
      <w:bodyDiv w:val="1"/>
      <w:marLeft w:val="0"/>
      <w:marRight w:val="0"/>
      <w:marTop w:val="0"/>
      <w:marBottom w:val="0"/>
      <w:divBdr>
        <w:top w:val="none" w:sz="0" w:space="0" w:color="auto"/>
        <w:left w:val="none" w:sz="0" w:space="0" w:color="auto"/>
        <w:bottom w:val="none" w:sz="0" w:space="0" w:color="auto"/>
        <w:right w:val="none" w:sz="0" w:space="0" w:color="auto"/>
      </w:divBdr>
    </w:div>
    <w:div w:id="256527349">
      <w:bodyDiv w:val="1"/>
      <w:marLeft w:val="0"/>
      <w:marRight w:val="0"/>
      <w:marTop w:val="0"/>
      <w:marBottom w:val="0"/>
      <w:divBdr>
        <w:top w:val="none" w:sz="0" w:space="0" w:color="auto"/>
        <w:left w:val="none" w:sz="0" w:space="0" w:color="auto"/>
        <w:bottom w:val="none" w:sz="0" w:space="0" w:color="auto"/>
        <w:right w:val="none" w:sz="0" w:space="0" w:color="auto"/>
      </w:divBdr>
    </w:div>
    <w:div w:id="259335325">
      <w:bodyDiv w:val="1"/>
      <w:marLeft w:val="0"/>
      <w:marRight w:val="0"/>
      <w:marTop w:val="0"/>
      <w:marBottom w:val="0"/>
      <w:divBdr>
        <w:top w:val="none" w:sz="0" w:space="0" w:color="auto"/>
        <w:left w:val="none" w:sz="0" w:space="0" w:color="auto"/>
        <w:bottom w:val="none" w:sz="0" w:space="0" w:color="auto"/>
        <w:right w:val="none" w:sz="0" w:space="0" w:color="auto"/>
      </w:divBdr>
      <w:divsChild>
        <w:div w:id="441920911">
          <w:marLeft w:val="0"/>
          <w:marRight w:val="0"/>
          <w:marTop w:val="0"/>
          <w:marBottom w:val="300"/>
          <w:divBdr>
            <w:top w:val="none" w:sz="0" w:space="0" w:color="auto"/>
            <w:left w:val="none" w:sz="0" w:space="0" w:color="auto"/>
            <w:bottom w:val="none" w:sz="0" w:space="0" w:color="auto"/>
            <w:right w:val="none" w:sz="0" w:space="0" w:color="auto"/>
          </w:divBdr>
        </w:div>
        <w:div w:id="66270956">
          <w:marLeft w:val="0"/>
          <w:marRight w:val="0"/>
          <w:marTop w:val="150"/>
          <w:marBottom w:val="300"/>
          <w:divBdr>
            <w:top w:val="none" w:sz="0" w:space="0" w:color="auto"/>
            <w:left w:val="none" w:sz="0" w:space="0" w:color="auto"/>
            <w:bottom w:val="none" w:sz="0" w:space="0" w:color="auto"/>
            <w:right w:val="none" w:sz="0" w:space="0" w:color="auto"/>
          </w:divBdr>
          <w:divsChild>
            <w:div w:id="1610352069">
              <w:marLeft w:val="0"/>
              <w:marRight w:val="0"/>
              <w:marTop w:val="0"/>
              <w:marBottom w:val="0"/>
              <w:divBdr>
                <w:top w:val="none" w:sz="0" w:space="0" w:color="auto"/>
                <w:left w:val="none" w:sz="0" w:space="0" w:color="auto"/>
                <w:bottom w:val="none" w:sz="0" w:space="0" w:color="auto"/>
                <w:right w:val="none" w:sz="0" w:space="0" w:color="auto"/>
              </w:divBdr>
            </w:div>
            <w:div w:id="1889415099">
              <w:marLeft w:val="0"/>
              <w:marRight w:val="0"/>
              <w:marTop w:val="0"/>
              <w:marBottom w:val="0"/>
              <w:divBdr>
                <w:top w:val="none" w:sz="0" w:space="0" w:color="auto"/>
                <w:left w:val="none" w:sz="0" w:space="0" w:color="auto"/>
                <w:bottom w:val="none" w:sz="0" w:space="0" w:color="auto"/>
                <w:right w:val="none" w:sz="0" w:space="0" w:color="auto"/>
              </w:divBdr>
            </w:div>
            <w:div w:id="9399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5448">
      <w:bodyDiv w:val="1"/>
      <w:marLeft w:val="0"/>
      <w:marRight w:val="0"/>
      <w:marTop w:val="0"/>
      <w:marBottom w:val="0"/>
      <w:divBdr>
        <w:top w:val="none" w:sz="0" w:space="0" w:color="auto"/>
        <w:left w:val="none" w:sz="0" w:space="0" w:color="auto"/>
        <w:bottom w:val="none" w:sz="0" w:space="0" w:color="auto"/>
        <w:right w:val="none" w:sz="0" w:space="0" w:color="auto"/>
      </w:divBdr>
    </w:div>
    <w:div w:id="261646883">
      <w:bodyDiv w:val="1"/>
      <w:marLeft w:val="0"/>
      <w:marRight w:val="0"/>
      <w:marTop w:val="0"/>
      <w:marBottom w:val="0"/>
      <w:divBdr>
        <w:top w:val="none" w:sz="0" w:space="0" w:color="auto"/>
        <w:left w:val="none" w:sz="0" w:space="0" w:color="auto"/>
        <w:bottom w:val="none" w:sz="0" w:space="0" w:color="auto"/>
        <w:right w:val="none" w:sz="0" w:space="0" w:color="auto"/>
      </w:divBdr>
    </w:div>
    <w:div w:id="262542756">
      <w:bodyDiv w:val="1"/>
      <w:marLeft w:val="0"/>
      <w:marRight w:val="0"/>
      <w:marTop w:val="0"/>
      <w:marBottom w:val="0"/>
      <w:divBdr>
        <w:top w:val="none" w:sz="0" w:space="0" w:color="auto"/>
        <w:left w:val="none" w:sz="0" w:space="0" w:color="auto"/>
        <w:bottom w:val="none" w:sz="0" w:space="0" w:color="auto"/>
        <w:right w:val="none" w:sz="0" w:space="0" w:color="auto"/>
      </w:divBdr>
    </w:div>
    <w:div w:id="269624633">
      <w:bodyDiv w:val="1"/>
      <w:marLeft w:val="0"/>
      <w:marRight w:val="0"/>
      <w:marTop w:val="0"/>
      <w:marBottom w:val="0"/>
      <w:divBdr>
        <w:top w:val="none" w:sz="0" w:space="0" w:color="auto"/>
        <w:left w:val="none" w:sz="0" w:space="0" w:color="auto"/>
        <w:bottom w:val="none" w:sz="0" w:space="0" w:color="auto"/>
        <w:right w:val="none" w:sz="0" w:space="0" w:color="auto"/>
      </w:divBdr>
    </w:div>
    <w:div w:id="270406364">
      <w:bodyDiv w:val="1"/>
      <w:marLeft w:val="0"/>
      <w:marRight w:val="0"/>
      <w:marTop w:val="0"/>
      <w:marBottom w:val="0"/>
      <w:divBdr>
        <w:top w:val="none" w:sz="0" w:space="0" w:color="auto"/>
        <w:left w:val="none" w:sz="0" w:space="0" w:color="auto"/>
        <w:bottom w:val="none" w:sz="0" w:space="0" w:color="auto"/>
        <w:right w:val="none" w:sz="0" w:space="0" w:color="auto"/>
      </w:divBdr>
    </w:div>
    <w:div w:id="273636645">
      <w:bodyDiv w:val="1"/>
      <w:marLeft w:val="0"/>
      <w:marRight w:val="0"/>
      <w:marTop w:val="0"/>
      <w:marBottom w:val="0"/>
      <w:divBdr>
        <w:top w:val="none" w:sz="0" w:space="0" w:color="auto"/>
        <w:left w:val="none" w:sz="0" w:space="0" w:color="auto"/>
        <w:bottom w:val="none" w:sz="0" w:space="0" w:color="auto"/>
        <w:right w:val="none" w:sz="0" w:space="0" w:color="auto"/>
      </w:divBdr>
    </w:div>
    <w:div w:id="273681556">
      <w:bodyDiv w:val="1"/>
      <w:marLeft w:val="0"/>
      <w:marRight w:val="0"/>
      <w:marTop w:val="0"/>
      <w:marBottom w:val="0"/>
      <w:divBdr>
        <w:top w:val="none" w:sz="0" w:space="0" w:color="auto"/>
        <w:left w:val="none" w:sz="0" w:space="0" w:color="auto"/>
        <w:bottom w:val="none" w:sz="0" w:space="0" w:color="auto"/>
        <w:right w:val="none" w:sz="0" w:space="0" w:color="auto"/>
      </w:divBdr>
    </w:div>
    <w:div w:id="276569839">
      <w:bodyDiv w:val="1"/>
      <w:marLeft w:val="0"/>
      <w:marRight w:val="0"/>
      <w:marTop w:val="0"/>
      <w:marBottom w:val="0"/>
      <w:divBdr>
        <w:top w:val="none" w:sz="0" w:space="0" w:color="auto"/>
        <w:left w:val="none" w:sz="0" w:space="0" w:color="auto"/>
        <w:bottom w:val="none" w:sz="0" w:space="0" w:color="auto"/>
        <w:right w:val="none" w:sz="0" w:space="0" w:color="auto"/>
      </w:divBdr>
      <w:divsChild>
        <w:div w:id="15008704">
          <w:marLeft w:val="0"/>
          <w:marRight w:val="0"/>
          <w:marTop w:val="0"/>
          <w:marBottom w:val="0"/>
          <w:divBdr>
            <w:top w:val="none" w:sz="0" w:space="0" w:color="auto"/>
            <w:left w:val="none" w:sz="0" w:space="0" w:color="auto"/>
            <w:bottom w:val="none" w:sz="0" w:space="0" w:color="auto"/>
            <w:right w:val="none" w:sz="0" w:space="0" w:color="auto"/>
          </w:divBdr>
        </w:div>
        <w:div w:id="71437395">
          <w:marLeft w:val="0"/>
          <w:marRight w:val="0"/>
          <w:marTop w:val="0"/>
          <w:marBottom w:val="0"/>
          <w:divBdr>
            <w:top w:val="none" w:sz="0" w:space="0" w:color="auto"/>
            <w:left w:val="none" w:sz="0" w:space="0" w:color="auto"/>
            <w:bottom w:val="none" w:sz="0" w:space="0" w:color="auto"/>
            <w:right w:val="none" w:sz="0" w:space="0" w:color="auto"/>
          </w:divBdr>
        </w:div>
        <w:div w:id="182018102">
          <w:marLeft w:val="0"/>
          <w:marRight w:val="0"/>
          <w:marTop w:val="0"/>
          <w:marBottom w:val="0"/>
          <w:divBdr>
            <w:top w:val="none" w:sz="0" w:space="0" w:color="auto"/>
            <w:left w:val="none" w:sz="0" w:space="0" w:color="auto"/>
            <w:bottom w:val="none" w:sz="0" w:space="0" w:color="auto"/>
            <w:right w:val="none" w:sz="0" w:space="0" w:color="auto"/>
          </w:divBdr>
        </w:div>
        <w:div w:id="279804117">
          <w:marLeft w:val="0"/>
          <w:marRight w:val="0"/>
          <w:marTop w:val="0"/>
          <w:marBottom w:val="0"/>
          <w:divBdr>
            <w:top w:val="none" w:sz="0" w:space="0" w:color="auto"/>
            <w:left w:val="none" w:sz="0" w:space="0" w:color="auto"/>
            <w:bottom w:val="none" w:sz="0" w:space="0" w:color="auto"/>
            <w:right w:val="none" w:sz="0" w:space="0" w:color="auto"/>
          </w:divBdr>
        </w:div>
        <w:div w:id="349575528">
          <w:marLeft w:val="0"/>
          <w:marRight w:val="0"/>
          <w:marTop w:val="0"/>
          <w:marBottom w:val="0"/>
          <w:divBdr>
            <w:top w:val="none" w:sz="0" w:space="0" w:color="auto"/>
            <w:left w:val="none" w:sz="0" w:space="0" w:color="auto"/>
            <w:bottom w:val="none" w:sz="0" w:space="0" w:color="auto"/>
            <w:right w:val="none" w:sz="0" w:space="0" w:color="auto"/>
          </w:divBdr>
        </w:div>
        <w:div w:id="370694763">
          <w:marLeft w:val="0"/>
          <w:marRight w:val="0"/>
          <w:marTop w:val="0"/>
          <w:marBottom w:val="0"/>
          <w:divBdr>
            <w:top w:val="none" w:sz="0" w:space="0" w:color="auto"/>
            <w:left w:val="none" w:sz="0" w:space="0" w:color="auto"/>
            <w:bottom w:val="none" w:sz="0" w:space="0" w:color="auto"/>
            <w:right w:val="none" w:sz="0" w:space="0" w:color="auto"/>
          </w:divBdr>
        </w:div>
        <w:div w:id="408424265">
          <w:marLeft w:val="0"/>
          <w:marRight w:val="0"/>
          <w:marTop w:val="0"/>
          <w:marBottom w:val="0"/>
          <w:divBdr>
            <w:top w:val="none" w:sz="0" w:space="0" w:color="auto"/>
            <w:left w:val="none" w:sz="0" w:space="0" w:color="auto"/>
            <w:bottom w:val="none" w:sz="0" w:space="0" w:color="auto"/>
            <w:right w:val="none" w:sz="0" w:space="0" w:color="auto"/>
          </w:divBdr>
        </w:div>
        <w:div w:id="481892097">
          <w:marLeft w:val="0"/>
          <w:marRight w:val="0"/>
          <w:marTop w:val="0"/>
          <w:marBottom w:val="0"/>
          <w:divBdr>
            <w:top w:val="none" w:sz="0" w:space="0" w:color="auto"/>
            <w:left w:val="none" w:sz="0" w:space="0" w:color="auto"/>
            <w:bottom w:val="none" w:sz="0" w:space="0" w:color="auto"/>
            <w:right w:val="none" w:sz="0" w:space="0" w:color="auto"/>
          </w:divBdr>
        </w:div>
        <w:div w:id="700478857">
          <w:marLeft w:val="0"/>
          <w:marRight w:val="0"/>
          <w:marTop w:val="0"/>
          <w:marBottom w:val="0"/>
          <w:divBdr>
            <w:top w:val="none" w:sz="0" w:space="0" w:color="auto"/>
            <w:left w:val="none" w:sz="0" w:space="0" w:color="auto"/>
            <w:bottom w:val="none" w:sz="0" w:space="0" w:color="auto"/>
            <w:right w:val="none" w:sz="0" w:space="0" w:color="auto"/>
          </w:divBdr>
        </w:div>
        <w:div w:id="708846308">
          <w:marLeft w:val="0"/>
          <w:marRight w:val="0"/>
          <w:marTop w:val="0"/>
          <w:marBottom w:val="0"/>
          <w:divBdr>
            <w:top w:val="none" w:sz="0" w:space="0" w:color="auto"/>
            <w:left w:val="none" w:sz="0" w:space="0" w:color="auto"/>
            <w:bottom w:val="none" w:sz="0" w:space="0" w:color="auto"/>
            <w:right w:val="none" w:sz="0" w:space="0" w:color="auto"/>
          </w:divBdr>
        </w:div>
        <w:div w:id="916475699">
          <w:marLeft w:val="0"/>
          <w:marRight w:val="0"/>
          <w:marTop w:val="0"/>
          <w:marBottom w:val="0"/>
          <w:divBdr>
            <w:top w:val="none" w:sz="0" w:space="0" w:color="auto"/>
            <w:left w:val="none" w:sz="0" w:space="0" w:color="auto"/>
            <w:bottom w:val="none" w:sz="0" w:space="0" w:color="auto"/>
            <w:right w:val="none" w:sz="0" w:space="0" w:color="auto"/>
          </w:divBdr>
        </w:div>
        <w:div w:id="921374855">
          <w:marLeft w:val="0"/>
          <w:marRight w:val="0"/>
          <w:marTop w:val="0"/>
          <w:marBottom w:val="0"/>
          <w:divBdr>
            <w:top w:val="none" w:sz="0" w:space="0" w:color="auto"/>
            <w:left w:val="none" w:sz="0" w:space="0" w:color="auto"/>
            <w:bottom w:val="none" w:sz="0" w:space="0" w:color="auto"/>
            <w:right w:val="none" w:sz="0" w:space="0" w:color="auto"/>
          </w:divBdr>
        </w:div>
        <w:div w:id="972565089">
          <w:marLeft w:val="0"/>
          <w:marRight w:val="0"/>
          <w:marTop w:val="0"/>
          <w:marBottom w:val="0"/>
          <w:divBdr>
            <w:top w:val="none" w:sz="0" w:space="0" w:color="auto"/>
            <w:left w:val="none" w:sz="0" w:space="0" w:color="auto"/>
            <w:bottom w:val="none" w:sz="0" w:space="0" w:color="auto"/>
            <w:right w:val="none" w:sz="0" w:space="0" w:color="auto"/>
          </w:divBdr>
        </w:div>
        <w:div w:id="976451178">
          <w:marLeft w:val="0"/>
          <w:marRight w:val="0"/>
          <w:marTop w:val="0"/>
          <w:marBottom w:val="0"/>
          <w:divBdr>
            <w:top w:val="none" w:sz="0" w:space="0" w:color="auto"/>
            <w:left w:val="none" w:sz="0" w:space="0" w:color="auto"/>
            <w:bottom w:val="none" w:sz="0" w:space="0" w:color="auto"/>
            <w:right w:val="none" w:sz="0" w:space="0" w:color="auto"/>
          </w:divBdr>
        </w:div>
        <w:div w:id="1157300891">
          <w:marLeft w:val="0"/>
          <w:marRight w:val="0"/>
          <w:marTop w:val="0"/>
          <w:marBottom w:val="0"/>
          <w:divBdr>
            <w:top w:val="none" w:sz="0" w:space="0" w:color="auto"/>
            <w:left w:val="none" w:sz="0" w:space="0" w:color="auto"/>
            <w:bottom w:val="none" w:sz="0" w:space="0" w:color="auto"/>
            <w:right w:val="none" w:sz="0" w:space="0" w:color="auto"/>
          </w:divBdr>
        </w:div>
        <w:div w:id="1160579783">
          <w:marLeft w:val="0"/>
          <w:marRight w:val="0"/>
          <w:marTop w:val="0"/>
          <w:marBottom w:val="0"/>
          <w:divBdr>
            <w:top w:val="none" w:sz="0" w:space="0" w:color="auto"/>
            <w:left w:val="none" w:sz="0" w:space="0" w:color="auto"/>
            <w:bottom w:val="none" w:sz="0" w:space="0" w:color="auto"/>
            <w:right w:val="none" w:sz="0" w:space="0" w:color="auto"/>
          </w:divBdr>
        </w:div>
        <w:div w:id="1321301697">
          <w:marLeft w:val="0"/>
          <w:marRight w:val="0"/>
          <w:marTop w:val="0"/>
          <w:marBottom w:val="0"/>
          <w:divBdr>
            <w:top w:val="none" w:sz="0" w:space="0" w:color="auto"/>
            <w:left w:val="none" w:sz="0" w:space="0" w:color="auto"/>
            <w:bottom w:val="none" w:sz="0" w:space="0" w:color="auto"/>
            <w:right w:val="none" w:sz="0" w:space="0" w:color="auto"/>
          </w:divBdr>
        </w:div>
        <w:div w:id="1382363070">
          <w:marLeft w:val="0"/>
          <w:marRight w:val="0"/>
          <w:marTop w:val="0"/>
          <w:marBottom w:val="0"/>
          <w:divBdr>
            <w:top w:val="none" w:sz="0" w:space="0" w:color="auto"/>
            <w:left w:val="none" w:sz="0" w:space="0" w:color="auto"/>
            <w:bottom w:val="none" w:sz="0" w:space="0" w:color="auto"/>
            <w:right w:val="none" w:sz="0" w:space="0" w:color="auto"/>
          </w:divBdr>
        </w:div>
        <w:div w:id="1534918951">
          <w:marLeft w:val="0"/>
          <w:marRight w:val="0"/>
          <w:marTop w:val="0"/>
          <w:marBottom w:val="0"/>
          <w:divBdr>
            <w:top w:val="none" w:sz="0" w:space="0" w:color="auto"/>
            <w:left w:val="none" w:sz="0" w:space="0" w:color="auto"/>
            <w:bottom w:val="none" w:sz="0" w:space="0" w:color="auto"/>
            <w:right w:val="none" w:sz="0" w:space="0" w:color="auto"/>
          </w:divBdr>
        </w:div>
        <w:div w:id="1853376900">
          <w:marLeft w:val="0"/>
          <w:marRight w:val="0"/>
          <w:marTop w:val="0"/>
          <w:marBottom w:val="0"/>
          <w:divBdr>
            <w:top w:val="none" w:sz="0" w:space="0" w:color="auto"/>
            <w:left w:val="none" w:sz="0" w:space="0" w:color="auto"/>
            <w:bottom w:val="none" w:sz="0" w:space="0" w:color="auto"/>
            <w:right w:val="none" w:sz="0" w:space="0" w:color="auto"/>
          </w:divBdr>
        </w:div>
        <w:div w:id="1882743572">
          <w:marLeft w:val="0"/>
          <w:marRight w:val="0"/>
          <w:marTop w:val="0"/>
          <w:marBottom w:val="0"/>
          <w:divBdr>
            <w:top w:val="none" w:sz="0" w:space="0" w:color="auto"/>
            <w:left w:val="none" w:sz="0" w:space="0" w:color="auto"/>
            <w:bottom w:val="none" w:sz="0" w:space="0" w:color="auto"/>
            <w:right w:val="none" w:sz="0" w:space="0" w:color="auto"/>
          </w:divBdr>
        </w:div>
        <w:div w:id="1908418240">
          <w:marLeft w:val="0"/>
          <w:marRight w:val="0"/>
          <w:marTop w:val="0"/>
          <w:marBottom w:val="0"/>
          <w:divBdr>
            <w:top w:val="none" w:sz="0" w:space="0" w:color="auto"/>
            <w:left w:val="none" w:sz="0" w:space="0" w:color="auto"/>
            <w:bottom w:val="none" w:sz="0" w:space="0" w:color="auto"/>
            <w:right w:val="none" w:sz="0" w:space="0" w:color="auto"/>
          </w:divBdr>
        </w:div>
        <w:div w:id="1948656219">
          <w:marLeft w:val="0"/>
          <w:marRight w:val="0"/>
          <w:marTop w:val="0"/>
          <w:marBottom w:val="0"/>
          <w:divBdr>
            <w:top w:val="none" w:sz="0" w:space="0" w:color="auto"/>
            <w:left w:val="none" w:sz="0" w:space="0" w:color="auto"/>
            <w:bottom w:val="none" w:sz="0" w:space="0" w:color="auto"/>
            <w:right w:val="none" w:sz="0" w:space="0" w:color="auto"/>
          </w:divBdr>
        </w:div>
        <w:div w:id="2019575914">
          <w:marLeft w:val="0"/>
          <w:marRight w:val="0"/>
          <w:marTop w:val="0"/>
          <w:marBottom w:val="0"/>
          <w:divBdr>
            <w:top w:val="none" w:sz="0" w:space="0" w:color="auto"/>
            <w:left w:val="none" w:sz="0" w:space="0" w:color="auto"/>
            <w:bottom w:val="none" w:sz="0" w:space="0" w:color="auto"/>
            <w:right w:val="none" w:sz="0" w:space="0" w:color="auto"/>
          </w:divBdr>
        </w:div>
        <w:div w:id="2077631145">
          <w:marLeft w:val="0"/>
          <w:marRight w:val="0"/>
          <w:marTop w:val="0"/>
          <w:marBottom w:val="0"/>
          <w:divBdr>
            <w:top w:val="none" w:sz="0" w:space="0" w:color="auto"/>
            <w:left w:val="none" w:sz="0" w:space="0" w:color="auto"/>
            <w:bottom w:val="none" w:sz="0" w:space="0" w:color="auto"/>
            <w:right w:val="none" w:sz="0" w:space="0" w:color="auto"/>
          </w:divBdr>
        </w:div>
      </w:divsChild>
    </w:div>
    <w:div w:id="282427332">
      <w:bodyDiv w:val="1"/>
      <w:marLeft w:val="0"/>
      <w:marRight w:val="0"/>
      <w:marTop w:val="0"/>
      <w:marBottom w:val="0"/>
      <w:divBdr>
        <w:top w:val="none" w:sz="0" w:space="0" w:color="auto"/>
        <w:left w:val="none" w:sz="0" w:space="0" w:color="auto"/>
        <w:bottom w:val="none" w:sz="0" w:space="0" w:color="auto"/>
        <w:right w:val="none" w:sz="0" w:space="0" w:color="auto"/>
      </w:divBdr>
    </w:div>
    <w:div w:id="282688868">
      <w:bodyDiv w:val="1"/>
      <w:marLeft w:val="0"/>
      <w:marRight w:val="0"/>
      <w:marTop w:val="0"/>
      <w:marBottom w:val="0"/>
      <w:divBdr>
        <w:top w:val="none" w:sz="0" w:space="0" w:color="auto"/>
        <w:left w:val="none" w:sz="0" w:space="0" w:color="auto"/>
        <w:bottom w:val="none" w:sz="0" w:space="0" w:color="auto"/>
        <w:right w:val="none" w:sz="0" w:space="0" w:color="auto"/>
      </w:divBdr>
    </w:div>
    <w:div w:id="286086802">
      <w:bodyDiv w:val="1"/>
      <w:marLeft w:val="0"/>
      <w:marRight w:val="0"/>
      <w:marTop w:val="0"/>
      <w:marBottom w:val="0"/>
      <w:divBdr>
        <w:top w:val="none" w:sz="0" w:space="0" w:color="auto"/>
        <w:left w:val="none" w:sz="0" w:space="0" w:color="auto"/>
        <w:bottom w:val="none" w:sz="0" w:space="0" w:color="auto"/>
        <w:right w:val="none" w:sz="0" w:space="0" w:color="auto"/>
      </w:divBdr>
    </w:div>
    <w:div w:id="311519298">
      <w:bodyDiv w:val="1"/>
      <w:marLeft w:val="0"/>
      <w:marRight w:val="0"/>
      <w:marTop w:val="0"/>
      <w:marBottom w:val="0"/>
      <w:divBdr>
        <w:top w:val="none" w:sz="0" w:space="0" w:color="auto"/>
        <w:left w:val="none" w:sz="0" w:space="0" w:color="auto"/>
        <w:bottom w:val="none" w:sz="0" w:space="0" w:color="auto"/>
        <w:right w:val="none" w:sz="0" w:space="0" w:color="auto"/>
      </w:divBdr>
      <w:divsChild>
        <w:div w:id="464660046">
          <w:marLeft w:val="0"/>
          <w:marRight w:val="0"/>
          <w:marTop w:val="0"/>
          <w:marBottom w:val="0"/>
          <w:divBdr>
            <w:top w:val="none" w:sz="0" w:space="0" w:color="auto"/>
            <w:left w:val="none" w:sz="0" w:space="0" w:color="auto"/>
            <w:bottom w:val="none" w:sz="0" w:space="0" w:color="auto"/>
            <w:right w:val="none" w:sz="0" w:space="0" w:color="auto"/>
          </w:divBdr>
        </w:div>
      </w:divsChild>
    </w:div>
    <w:div w:id="311763489">
      <w:bodyDiv w:val="1"/>
      <w:marLeft w:val="0"/>
      <w:marRight w:val="0"/>
      <w:marTop w:val="0"/>
      <w:marBottom w:val="0"/>
      <w:divBdr>
        <w:top w:val="none" w:sz="0" w:space="0" w:color="auto"/>
        <w:left w:val="none" w:sz="0" w:space="0" w:color="auto"/>
        <w:bottom w:val="none" w:sz="0" w:space="0" w:color="auto"/>
        <w:right w:val="none" w:sz="0" w:space="0" w:color="auto"/>
      </w:divBdr>
    </w:div>
    <w:div w:id="319039693">
      <w:bodyDiv w:val="1"/>
      <w:marLeft w:val="0"/>
      <w:marRight w:val="0"/>
      <w:marTop w:val="0"/>
      <w:marBottom w:val="0"/>
      <w:divBdr>
        <w:top w:val="none" w:sz="0" w:space="0" w:color="auto"/>
        <w:left w:val="none" w:sz="0" w:space="0" w:color="auto"/>
        <w:bottom w:val="none" w:sz="0" w:space="0" w:color="auto"/>
        <w:right w:val="none" w:sz="0" w:space="0" w:color="auto"/>
      </w:divBdr>
    </w:div>
    <w:div w:id="320162977">
      <w:bodyDiv w:val="1"/>
      <w:marLeft w:val="0"/>
      <w:marRight w:val="0"/>
      <w:marTop w:val="0"/>
      <w:marBottom w:val="0"/>
      <w:divBdr>
        <w:top w:val="none" w:sz="0" w:space="0" w:color="auto"/>
        <w:left w:val="none" w:sz="0" w:space="0" w:color="auto"/>
        <w:bottom w:val="none" w:sz="0" w:space="0" w:color="auto"/>
        <w:right w:val="none" w:sz="0" w:space="0" w:color="auto"/>
      </w:divBdr>
      <w:divsChild>
        <w:div w:id="620721417">
          <w:marLeft w:val="0"/>
          <w:marRight w:val="0"/>
          <w:marTop w:val="30"/>
          <w:marBottom w:val="0"/>
          <w:divBdr>
            <w:top w:val="none" w:sz="0" w:space="0" w:color="auto"/>
            <w:left w:val="none" w:sz="0" w:space="0" w:color="auto"/>
            <w:bottom w:val="none" w:sz="0" w:space="0" w:color="auto"/>
            <w:right w:val="none" w:sz="0" w:space="0" w:color="auto"/>
          </w:divBdr>
        </w:div>
      </w:divsChild>
    </w:div>
    <w:div w:id="320618801">
      <w:bodyDiv w:val="1"/>
      <w:marLeft w:val="0"/>
      <w:marRight w:val="0"/>
      <w:marTop w:val="0"/>
      <w:marBottom w:val="0"/>
      <w:divBdr>
        <w:top w:val="none" w:sz="0" w:space="0" w:color="auto"/>
        <w:left w:val="none" w:sz="0" w:space="0" w:color="auto"/>
        <w:bottom w:val="none" w:sz="0" w:space="0" w:color="auto"/>
        <w:right w:val="none" w:sz="0" w:space="0" w:color="auto"/>
      </w:divBdr>
    </w:div>
    <w:div w:id="329142158">
      <w:bodyDiv w:val="1"/>
      <w:marLeft w:val="0"/>
      <w:marRight w:val="0"/>
      <w:marTop w:val="0"/>
      <w:marBottom w:val="0"/>
      <w:divBdr>
        <w:top w:val="none" w:sz="0" w:space="0" w:color="auto"/>
        <w:left w:val="none" w:sz="0" w:space="0" w:color="auto"/>
        <w:bottom w:val="none" w:sz="0" w:space="0" w:color="auto"/>
        <w:right w:val="none" w:sz="0" w:space="0" w:color="auto"/>
      </w:divBdr>
    </w:div>
    <w:div w:id="343829495">
      <w:bodyDiv w:val="1"/>
      <w:marLeft w:val="0"/>
      <w:marRight w:val="0"/>
      <w:marTop w:val="0"/>
      <w:marBottom w:val="0"/>
      <w:divBdr>
        <w:top w:val="none" w:sz="0" w:space="0" w:color="auto"/>
        <w:left w:val="none" w:sz="0" w:space="0" w:color="auto"/>
        <w:bottom w:val="none" w:sz="0" w:space="0" w:color="auto"/>
        <w:right w:val="none" w:sz="0" w:space="0" w:color="auto"/>
      </w:divBdr>
    </w:div>
    <w:div w:id="346293723">
      <w:bodyDiv w:val="1"/>
      <w:marLeft w:val="0"/>
      <w:marRight w:val="0"/>
      <w:marTop w:val="0"/>
      <w:marBottom w:val="0"/>
      <w:divBdr>
        <w:top w:val="none" w:sz="0" w:space="0" w:color="auto"/>
        <w:left w:val="none" w:sz="0" w:space="0" w:color="auto"/>
        <w:bottom w:val="none" w:sz="0" w:space="0" w:color="auto"/>
        <w:right w:val="none" w:sz="0" w:space="0" w:color="auto"/>
      </w:divBdr>
    </w:div>
    <w:div w:id="346448030">
      <w:bodyDiv w:val="1"/>
      <w:marLeft w:val="0"/>
      <w:marRight w:val="0"/>
      <w:marTop w:val="0"/>
      <w:marBottom w:val="0"/>
      <w:divBdr>
        <w:top w:val="none" w:sz="0" w:space="0" w:color="auto"/>
        <w:left w:val="none" w:sz="0" w:space="0" w:color="auto"/>
        <w:bottom w:val="none" w:sz="0" w:space="0" w:color="auto"/>
        <w:right w:val="none" w:sz="0" w:space="0" w:color="auto"/>
      </w:divBdr>
    </w:div>
    <w:div w:id="353121527">
      <w:bodyDiv w:val="1"/>
      <w:marLeft w:val="0"/>
      <w:marRight w:val="0"/>
      <w:marTop w:val="0"/>
      <w:marBottom w:val="0"/>
      <w:divBdr>
        <w:top w:val="none" w:sz="0" w:space="0" w:color="auto"/>
        <w:left w:val="none" w:sz="0" w:space="0" w:color="auto"/>
        <w:bottom w:val="none" w:sz="0" w:space="0" w:color="auto"/>
        <w:right w:val="none" w:sz="0" w:space="0" w:color="auto"/>
      </w:divBdr>
    </w:div>
    <w:div w:id="356275888">
      <w:bodyDiv w:val="1"/>
      <w:marLeft w:val="0"/>
      <w:marRight w:val="0"/>
      <w:marTop w:val="0"/>
      <w:marBottom w:val="0"/>
      <w:divBdr>
        <w:top w:val="none" w:sz="0" w:space="0" w:color="auto"/>
        <w:left w:val="none" w:sz="0" w:space="0" w:color="auto"/>
        <w:bottom w:val="none" w:sz="0" w:space="0" w:color="auto"/>
        <w:right w:val="none" w:sz="0" w:space="0" w:color="auto"/>
      </w:divBdr>
    </w:div>
    <w:div w:id="366948032">
      <w:bodyDiv w:val="1"/>
      <w:marLeft w:val="0"/>
      <w:marRight w:val="0"/>
      <w:marTop w:val="0"/>
      <w:marBottom w:val="0"/>
      <w:divBdr>
        <w:top w:val="none" w:sz="0" w:space="0" w:color="auto"/>
        <w:left w:val="none" w:sz="0" w:space="0" w:color="auto"/>
        <w:bottom w:val="none" w:sz="0" w:space="0" w:color="auto"/>
        <w:right w:val="none" w:sz="0" w:space="0" w:color="auto"/>
      </w:divBdr>
    </w:div>
    <w:div w:id="370806895">
      <w:bodyDiv w:val="1"/>
      <w:marLeft w:val="0"/>
      <w:marRight w:val="0"/>
      <w:marTop w:val="0"/>
      <w:marBottom w:val="0"/>
      <w:divBdr>
        <w:top w:val="none" w:sz="0" w:space="0" w:color="auto"/>
        <w:left w:val="none" w:sz="0" w:space="0" w:color="auto"/>
        <w:bottom w:val="none" w:sz="0" w:space="0" w:color="auto"/>
        <w:right w:val="none" w:sz="0" w:space="0" w:color="auto"/>
      </w:divBdr>
    </w:div>
    <w:div w:id="383913611">
      <w:bodyDiv w:val="1"/>
      <w:marLeft w:val="0"/>
      <w:marRight w:val="0"/>
      <w:marTop w:val="0"/>
      <w:marBottom w:val="0"/>
      <w:divBdr>
        <w:top w:val="none" w:sz="0" w:space="0" w:color="auto"/>
        <w:left w:val="none" w:sz="0" w:space="0" w:color="auto"/>
        <w:bottom w:val="none" w:sz="0" w:space="0" w:color="auto"/>
        <w:right w:val="none" w:sz="0" w:space="0" w:color="auto"/>
      </w:divBdr>
    </w:div>
    <w:div w:id="394593974">
      <w:bodyDiv w:val="1"/>
      <w:marLeft w:val="0"/>
      <w:marRight w:val="0"/>
      <w:marTop w:val="0"/>
      <w:marBottom w:val="0"/>
      <w:divBdr>
        <w:top w:val="none" w:sz="0" w:space="0" w:color="auto"/>
        <w:left w:val="none" w:sz="0" w:space="0" w:color="auto"/>
        <w:bottom w:val="none" w:sz="0" w:space="0" w:color="auto"/>
        <w:right w:val="none" w:sz="0" w:space="0" w:color="auto"/>
      </w:divBdr>
    </w:div>
    <w:div w:id="403720912">
      <w:bodyDiv w:val="1"/>
      <w:marLeft w:val="0"/>
      <w:marRight w:val="0"/>
      <w:marTop w:val="0"/>
      <w:marBottom w:val="0"/>
      <w:divBdr>
        <w:top w:val="none" w:sz="0" w:space="0" w:color="auto"/>
        <w:left w:val="none" w:sz="0" w:space="0" w:color="auto"/>
        <w:bottom w:val="none" w:sz="0" w:space="0" w:color="auto"/>
        <w:right w:val="none" w:sz="0" w:space="0" w:color="auto"/>
      </w:divBdr>
      <w:divsChild>
        <w:div w:id="192043151">
          <w:marLeft w:val="0"/>
          <w:marRight w:val="0"/>
          <w:marTop w:val="0"/>
          <w:marBottom w:val="0"/>
          <w:divBdr>
            <w:top w:val="none" w:sz="0" w:space="0" w:color="auto"/>
            <w:left w:val="none" w:sz="0" w:space="0" w:color="auto"/>
            <w:bottom w:val="none" w:sz="0" w:space="0" w:color="auto"/>
            <w:right w:val="none" w:sz="0" w:space="0" w:color="auto"/>
          </w:divBdr>
        </w:div>
        <w:div w:id="783960156">
          <w:marLeft w:val="0"/>
          <w:marRight w:val="0"/>
          <w:marTop w:val="0"/>
          <w:marBottom w:val="0"/>
          <w:divBdr>
            <w:top w:val="none" w:sz="0" w:space="0" w:color="auto"/>
            <w:left w:val="none" w:sz="0" w:space="0" w:color="auto"/>
            <w:bottom w:val="none" w:sz="0" w:space="0" w:color="auto"/>
            <w:right w:val="none" w:sz="0" w:space="0" w:color="auto"/>
          </w:divBdr>
          <w:divsChild>
            <w:div w:id="1011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223645">
      <w:bodyDiv w:val="1"/>
      <w:marLeft w:val="0"/>
      <w:marRight w:val="0"/>
      <w:marTop w:val="0"/>
      <w:marBottom w:val="0"/>
      <w:divBdr>
        <w:top w:val="none" w:sz="0" w:space="0" w:color="auto"/>
        <w:left w:val="none" w:sz="0" w:space="0" w:color="auto"/>
        <w:bottom w:val="none" w:sz="0" w:space="0" w:color="auto"/>
        <w:right w:val="none" w:sz="0" w:space="0" w:color="auto"/>
      </w:divBdr>
    </w:div>
    <w:div w:id="408504519">
      <w:bodyDiv w:val="1"/>
      <w:marLeft w:val="0"/>
      <w:marRight w:val="0"/>
      <w:marTop w:val="0"/>
      <w:marBottom w:val="0"/>
      <w:divBdr>
        <w:top w:val="none" w:sz="0" w:space="0" w:color="auto"/>
        <w:left w:val="none" w:sz="0" w:space="0" w:color="auto"/>
        <w:bottom w:val="none" w:sz="0" w:space="0" w:color="auto"/>
        <w:right w:val="none" w:sz="0" w:space="0" w:color="auto"/>
      </w:divBdr>
    </w:div>
    <w:div w:id="413356114">
      <w:bodyDiv w:val="1"/>
      <w:marLeft w:val="0"/>
      <w:marRight w:val="0"/>
      <w:marTop w:val="0"/>
      <w:marBottom w:val="0"/>
      <w:divBdr>
        <w:top w:val="none" w:sz="0" w:space="0" w:color="auto"/>
        <w:left w:val="none" w:sz="0" w:space="0" w:color="auto"/>
        <w:bottom w:val="none" w:sz="0" w:space="0" w:color="auto"/>
        <w:right w:val="none" w:sz="0" w:space="0" w:color="auto"/>
      </w:divBdr>
    </w:div>
    <w:div w:id="413934084">
      <w:bodyDiv w:val="1"/>
      <w:marLeft w:val="0"/>
      <w:marRight w:val="0"/>
      <w:marTop w:val="0"/>
      <w:marBottom w:val="0"/>
      <w:divBdr>
        <w:top w:val="none" w:sz="0" w:space="0" w:color="auto"/>
        <w:left w:val="none" w:sz="0" w:space="0" w:color="auto"/>
        <w:bottom w:val="none" w:sz="0" w:space="0" w:color="auto"/>
        <w:right w:val="none" w:sz="0" w:space="0" w:color="auto"/>
      </w:divBdr>
    </w:div>
    <w:div w:id="414517991">
      <w:bodyDiv w:val="1"/>
      <w:marLeft w:val="0"/>
      <w:marRight w:val="0"/>
      <w:marTop w:val="0"/>
      <w:marBottom w:val="0"/>
      <w:divBdr>
        <w:top w:val="none" w:sz="0" w:space="0" w:color="auto"/>
        <w:left w:val="none" w:sz="0" w:space="0" w:color="auto"/>
        <w:bottom w:val="none" w:sz="0" w:space="0" w:color="auto"/>
        <w:right w:val="none" w:sz="0" w:space="0" w:color="auto"/>
      </w:divBdr>
    </w:div>
    <w:div w:id="414861671">
      <w:bodyDiv w:val="1"/>
      <w:marLeft w:val="0"/>
      <w:marRight w:val="0"/>
      <w:marTop w:val="0"/>
      <w:marBottom w:val="0"/>
      <w:divBdr>
        <w:top w:val="none" w:sz="0" w:space="0" w:color="auto"/>
        <w:left w:val="none" w:sz="0" w:space="0" w:color="auto"/>
        <w:bottom w:val="none" w:sz="0" w:space="0" w:color="auto"/>
        <w:right w:val="none" w:sz="0" w:space="0" w:color="auto"/>
      </w:divBdr>
    </w:div>
    <w:div w:id="416176210">
      <w:bodyDiv w:val="1"/>
      <w:marLeft w:val="0"/>
      <w:marRight w:val="0"/>
      <w:marTop w:val="0"/>
      <w:marBottom w:val="0"/>
      <w:divBdr>
        <w:top w:val="none" w:sz="0" w:space="0" w:color="auto"/>
        <w:left w:val="none" w:sz="0" w:space="0" w:color="auto"/>
        <w:bottom w:val="none" w:sz="0" w:space="0" w:color="auto"/>
        <w:right w:val="none" w:sz="0" w:space="0" w:color="auto"/>
      </w:divBdr>
    </w:div>
    <w:div w:id="417141468">
      <w:bodyDiv w:val="1"/>
      <w:marLeft w:val="0"/>
      <w:marRight w:val="0"/>
      <w:marTop w:val="0"/>
      <w:marBottom w:val="0"/>
      <w:divBdr>
        <w:top w:val="none" w:sz="0" w:space="0" w:color="auto"/>
        <w:left w:val="none" w:sz="0" w:space="0" w:color="auto"/>
        <w:bottom w:val="none" w:sz="0" w:space="0" w:color="auto"/>
        <w:right w:val="none" w:sz="0" w:space="0" w:color="auto"/>
      </w:divBdr>
    </w:div>
    <w:div w:id="418910426">
      <w:bodyDiv w:val="1"/>
      <w:marLeft w:val="0"/>
      <w:marRight w:val="0"/>
      <w:marTop w:val="0"/>
      <w:marBottom w:val="0"/>
      <w:divBdr>
        <w:top w:val="none" w:sz="0" w:space="0" w:color="auto"/>
        <w:left w:val="none" w:sz="0" w:space="0" w:color="auto"/>
        <w:bottom w:val="none" w:sz="0" w:space="0" w:color="auto"/>
        <w:right w:val="none" w:sz="0" w:space="0" w:color="auto"/>
      </w:divBdr>
    </w:div>
    <w:div w:id="435752376">
      <w:bodyDiv w:val="1"/>
      <w:marLeft w:val="0"/>
      <w:marRight w:val="0"/>
      <w:marTop w:val="0"/>
      <w:marBottom w:val="0"/>
      <w:divBdr>
        <w:top w:val="none" w:sz="0" w:space="0" w:color="auto"/>
        <w:left w:val="none" w:sz="0" w:space="0" w:color="auto"/>
        <w:bottom w:val="none" w:sz="0" w:space="0" w:color="auto"/>
        <w:right w:val="none" w:sz="0" w:space="0" w:color="auto"/>
      </w:divBdr>
    </w:div>
    <w:div w:id="435952309">
      <w:bodyDiv w:val="1"/>
      <w:marLeft w:val="0"/>
      <w:marRight w:val="0"/>
      <w:marTop w:val="0"/>
      <w:marBottom w:val="0"/>
      <w:divBdr>
        <w:top w:val="none" w:sz="0" w:space="0" w:color="auto"/>
        <w:left w:val="none" w:sz="0" w:space="0" w:color="auto"/>
        <w:bottom w:val="none" w:sz="0" w:space="0" w:color="auto"/>
        <w:right w:val="none" w:sz="0" w:space="0" w:color="auto"/>
      </w:divBdr>
    </w:div>
    <w:div w:id="436799131">
      <w:bodyDiv w:val="1"/>
      <w:marLeft w:val="0"/>
      <w:marRight w:val="0"/>
      <w:marTop w:val="0"/>
      <w:marBottom w:val="0"/>
      <w:divBdr>
        <w:top w:val="none" w:sz="0" w:space="0" w:color="auto"/>
        <w:left w:val="none" w:sz="0" w:space="0" w:color="auto"/>
        <w:bottom w:val="none" w:sz="0" w:space="0" w:color="auto"/>
        <w:right w:val="none" w:sz="0" w:space="0" w:color="auto"/>
      </w:divBdr>
      <w:divsChild>
        <w:div w:id="1141312258">
          <w:marLeft w:val="0"/>
          <w:marRight w:val="0"/>
          <w:marTop w:val="0"/>
          <w:marBottom w:val="0"/>
          <w:divBdr>
            <w:top w:val="none" w:sz="0" w:space="0" w:color="auto"/>
            <w:left w:val="none" w:sz="0" w:space="0" w:color="auto"/>
            <w:bottom w:val="none" w:sz="0" w:space="0" w:color="auto"/>
            <w:right w:val="none" w:sz="0" w:space="0" w:color="auto"/>
          </w:divBdr>
        </w:div>
        <w:div w:id="1915626346">
          <w:marLeft w:val="0"/>
          <w:marRight w:val="0"/>
          <w:marTop w:val="0"/>
          <w:marBottom w:val="0"/>
          <w:divBdr>
            <w:top w:val="none" w:sz="0" w:space="0" w:color="auto"/>
            <w:left w:val="none" w:sz="0" w:space="0" w:color="auto"/>
            <w:bottom w:val="none" w:sz="0" w:space="0" w:color="auto"/>
            <w:right w:val="none" w:sz="0" w:space="0" w:color="auto"/>
          </w:divBdr>
        </w:div>
      </w:divsChild>
    </w:div>
    <w:div w:id="440488616">
      <w:bodyDiv w:val="1"/>
      <w:marLeft w:val="0"/>
      <w:marRight w:val="0"/>
      <w:marTop w:val="0"/>
      <w:marBottom w:val="0"/>
      <w:divBdr>
        <w:top w:val="none" w:sz="0" w:space="0" w:color="auto"/>
        <w:left w:val="none" w:sz="0" w:space="0" w:color="auto"/>
        <w:bottom w:val="none" w:sz="0" w:space="0" w:color="auto"/>
        <w:right w:val="none" w:sz="0" w:space="0" w:color="auto"/>
      </w:divBdr>
    </w:div>
    <w:div w:id="448277660">
      <w:bodyDiv w:val="1"/>
      <w:marLeft w:val="0"/>
      <w:marRight w:val="0"/>
      <w:marTop w:val="0"/>
      <w:marBottom w:val="0"/>
      <w:divBdr>
        <w:top w:val="none" w:sz="0" w:space="0" w:color="auto"/>
        <w:left w:val="none" w:sz="0" w:space="0" w:color="auto"/>
        <w:bottom w:val="none" w:sz="0" w:space="0" w:color="auto"/>
        <w:right w:val="none" w:sz="0" w:space="0" w:color="auto"/>
      </w:divBdr>
    </w:div>
    <w:div w:id="453208264">
      <w:bodyDiv w:val="1"/>
      <w:marLeft w:val="0"/>
      <w:marRight w:val="0"/>
      <w:marTop w:val="0"/>
      <w:marBottom w:val="0"/>
      <w:divBdr>
        <w:top w:val="none" w:sz="0" w:space="0" w:color="auto"/>
        <w:left w:val="none" w:sz="0" w:space="0" w:color="auto"/>
        <w:bottom w:val="none" w:sz="0" w:space="0" w:color="auto"/>
        <w:right w:val="none" w:sz="0" w:space="0" w:color="auto"/>
      </w:divBdr>
    </w:div>
    <w:div w:id="456266239">
      <w:bodyDiv w:val="1"/>
      <w:marLeft w:val="0"/>
      <w:marRight w:val="0"/>
      <w:marTop w:val="0"/>
      <w:marBottom w:val="0"/>
      <w:divBdr>
        <w:top w:val="none" w:sz="0" w:space="0" w:color="auto"/>
        <w:left w:val="none" w:sz="0" w:space="0" w:color="auto"/>
        <w:bottom w:val="none" w:sz="0" w:space="0" w:color="auto"/>
        <w:right w:val="none" w:sz="0" w:space="0" w:color="auto"/>
      </w:divBdr>
    </w:div>
    <w:div w:id="457770957">
      <w:bodyDiv w:val="1"/>
      <w:marLeft w:val="0"/>
      <w:marRight w:val="0"/>
      <w:marTop w:val="0"/>
      <w:marBottom w:val="0"/>
      <w:divBdr>
        <w:top w:val="none" w:sz="0" w:space="0" w:color="auto"/>
        <w:left w:val="none" w:sz="0" w:space="0" w:color="auto"/>
        <w:bottom w:val="none" w:sz="0" w:space="0" w:color="auto"/>
        <w:right w:val="none" w:sz="0" w:space="0" w:color="auto"/>
      </w:divBdr>
      <w:divsChild>
        <w:div w:id="3749601">
          <w:marLeft w:val="0"/>
          <w:marRight w:val="0"/>
          <w:marTop w:val="0"/>
          <w:marBottom w:val="160"/>
          <w:divBdr>
            <w:top w:val="none" w:sz="0" w:space="0" w:color="auto"/>
            <w:left w:val="none" w:sz="0" w:space="0" w:color="auto"/>
            <w:bottom w:val="none" w:sz="0" w:space="0" w:color="auto"/>
            <w:right w:val="none" w:sz="0" w:space="0" w:color="auto"/>
          </w:divBdr>
        </w:div>
        <w:div w:id="294062533">
          <w:marLeft w:val="0"/>
          <w:marRight w:val="0"/>
          <w:marTop w:val="0"/>
          <w:marBottom w:val="160"/>
          <w:divBdr>
            <w:top w:val="none" w:sz="0" w:space="0" w:color="auto"/>
            <w:left w:val="none" w:sz="0" w:space="0" w:color="auto"/>
            <w:bottom w:val="none" w:sz="0" w:space="0" w:color="auto"/>
            <w:right w:val="none" w:sz="0" w:space="0" w:color="auto"/>
          </w:divBdr>
        </w:div>
        <w:div w:id="805397268">
          <w:marLeft w:val="0"/>
          <w:marRight w:val="0"/>
          <w:marTop w:val="0"/>
          <w:marBottom w:val="0"/>
          <w:divBdr>
            <w:top w:val="none" w:sz="0" w:space="0" w:color="auto"/>
            <w:left w:val="none" w:sz="0" w:space="0" w:color="auto"/>
            <w:bottom w:val="none" w:sz="0" w:space="0" w:color="auto"/>
            <w:right w:val="none" w:sz="0" w:space="0" w:color="auto"/>
          </w:divBdr>
        </w:div>
        <w:div w:id="1131288138">
          <w:marLeft w:val="0"/>
          <w:marRight w:val="0"/>
          <w:marTop w:val="0"/>
          <w:marBottom w:val="160"/>
          <w:divBdr>
            <w:top w:val="none" w:sz="0" w:space="0" w:color="auto"/>
            <w:left w:val="none" w:sz="0" w:space="0" w:color="auto"/>
            <w:bottom w:val="none" w:sz="0" w:space="0" w:color="auto"/>
            <w:right w:val="none" w:sz="0" w:space="0" w:color="auto"/>
          </w:divBdr>
        </w:div>
        <w:div w:id="1930114318">
          <w:marLeft w:val="0"/>
          <w:marRight w:val="0"/>
          <w:marTop w:val="0"/>
          <w:marBottom w:val="160"/>
          <w:divBdr>
            <w:top w:val="none" w:sz="0" w:space="0" w:color="auto"/>
            <w:left w:val="none" w:sz="0" w:space="0" w:color="auto"/>
            <w:bottom w:val="none" w:sz="0" w:space="0" w:color="auto"/>
            <w:right w:val="none" w:sz="0" w:space="0" w:color="auto"/>
          </w:divBdr>
        </w:div>
      </w:divsChild>
    </w:div>
    <w:div w:id="459811766">
      <w:bodyDiv w:val="1"/>
      <w:marLeft w:val="0"/>
      <w:marRight w:val="0"/>
      <w:marTop w:val="0"/>
      <w:marBottom w:val="0"/>
      <w:divBdr>
        <w:top w:val="none" w:sz="0" w:space="0" w:color="auto"/>
        <w:left w:val="none" w:sz="0" w:space="0" w:color="auto"/>
        <w:bottom w:val="none" w:sz="0" w:space="0" w:color="auto"/>
        <w:right w:val="none" w:sz="0" w:space="0" w:color="auto"/>
      </w:divBdr>
    </w:div>
    <w:div w:id="460726863">
      <w:bodyDiv w:val="1"/>
      <w:marLeft w:val="0"/>
      <w:marRight w:val="0"/>
      <w:marTop w:val="0"/>
      <w:marBottom w:val="0"/>
      <w:divBdr>
        <w:top w:val="none" w:sz="0" w:space="0" w:color="auto"/>
        <w:left w:val="none" w:sz="0" w:space="0" w:color="auto"/>
        <w:bottom w:val="none" w:sz="0" w:space="0" w:color="auto"/>
        <w:right w:val="none" w:sz="0" w:space="0" w:color="auto"/>
      </w:divBdr>
    </w:div>
    <w:div w:id="460850359">
      <w:bodyDiv w:val="1"/>
      <w:marLeft w:val="0"/>
      <w:marRight w:val="0"/>
      <w:marTop w:val="0"/>
      <w:marBottom w:val="0"/>
      <w:divBdr>
        <w:top w:val="none" w:sz="0" w:space="0" w:color="auto"/>
        <w:left w:val="none" w:sz="0" w:space="0" w:color="auto"/>
        <w:bottom w:val="none" w:sz="0" w:space="0" w:color="auto"/>
        <w:right w:val="none" w:sz="0" w:space="0" w:color="auto"/>
      </w:divBdr>
    </w:div>
    <w:div w:id="461776451">
      <w:bodyDiv w:val="1"/>
      <w:marLeft w:val="0"/>
      <w:marRight w:val="0"/>
      <w:marTop w:val="0"/>
      <w:marBottom w:val="0"/>
      <w:divBdr>
        <w:top w:val="none" w:sz="0" w:space="0" w:color="auto"/>
        <w:left w:val="none" w:sz="0" w:space="0" w:color="auto"/>
        <w:bottom w:val="none" w:sz="0" w:space="0" w:color="auto"/>
        <w:right w:val="none" w:sz="0" w:space="0" w:color="auto"/>
      </w:divBdr>
    </w:div>
    <w:div w:id="479544501">
      <w:bodyDiv w:val="1"/>
      <w:marLeft w:val="0"/>
      <w:marRight w:val="0"/>
      <w:marTop w:val="0"/>
      <w:marBottom w:val="0"/>
      <w:divBdr>
        <w:top w:val="none" w:sz="0" w:space="0" w:color="auto"/>
        <w:left w:val="none" w:sz="0" w:space="0" w:color="auto"/>
        <w:bottom w:val="none" w:sz="0" w:space="0" w:color="auto"/>
        <w:right w:val="none" w:sz="0" w:space="0" w:color="auto"/>
      </w:divBdr>
    </w:div>
    <w:div w:id="479998700">
      <w:bodyDiv w:val="1"/>
      <w:marLeft w:val="0"/>
      <w:marRight w:val="0"/>
      <w:marTop w:val="0"/>
      <w:marBottom w:val="0"/>
      <w:divBdr>
        <w:top w:val="none" w:sz="0" w:space="0" w:color="auto"/>
        <w:left w:val="none" w:sz="0" w:space="0" w:color="auto"/>
        <w:bottom w:val="none" w:sz="0" w:space="0" w:color="auto"/>
        <w:right w:val="none" w:sz="0" w:space="0" w:color="auto"/>
      </w:divBdr>
    </w:div>
    <w:div w:id="480275925">
      <w:bodyDiv w:val="1"/>
      <w:marLeft w:val="0"/>
      <w:marRight w:val="0"/>
      <w:marTop w:val="0"/>
      <w:marBottom w:val="0"/>
      <w:divBdr>
        <w:top w:val="none" w:sz="0" w:space="0" w:color="auto"/>
        <w:left w:val="none" w:sz="0" w:space="0" w:color="auto"/>
        <w:bottom w:val="none" w:sz="0" w:space="0" w:color="auto"/>
        <w:right w:val="none" w:sz="0" w:space="0" w:color="auto"/>
      </w:divBdr>
      <w:divsChild>
        <w:div w:id="1282035732">
          <w:marLeft w:val="0"/>
          <w:marRight w:val="0"/>
          <w:marTop w:val="0"/>
          <w:marBottom w:val="0"/>
          <w:divBdr>
            <w:top w:val="none" w:sz="0" w:space="0" w:color="auto"/>
            <w:left w:val="none" w:sz="0" w:space="0" w:color="auto"/>
            <w:bottom w:val="none" w:sz="0" w:space="0" w:color="auto"/>
            <w:right w:val="none" w:sz="0" w:space="0" w:color="auto"/>
          </w:divBdr>
        </w:div>
        <w:div w:id="1363900902">
          <w:marLeft w:val="0"/>
          <w:marRight w:val="0"/>
          <w:marTop w:val="0"/>
          <w:marBottom w:val="0"/>
          <w:divBdr>
            <w:top w:val="none" w:sz="0" w:space="0" w:color="auto"/>
            <w:left w:val="none" w:sz="0" w:space="0" w:color="auto"/>
            <w:bottom w:val="none" w:sz="0" w:space="0" w:color="auto"/>
            <w:right w:val="none" w:sz="0" w:space="0" w:color="auto"/>
          </w:divBdr>
          <w:divsChild>
            <w:div w:id="60098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10671">
      <w:bodyDiv w:val="1"/>
      <w:marLeft w:val="0"/>
      <w:marRight w:val="0"/>
      <w:marTop w:val="0"/>
      <w:marBottom w:val="0"/>
      <w:divBdr>
        <w:top w:val="none" w:sz="0" w:space="0" w:color="auto"/>
        <w:left w:val="none" w:sz="0" w:space="0" w:color="auto"/>
        <w:bottom w:val="none" w:sz="0" w:space="0" w:color="auto"/>
        <w:right w:val="none" w:sz="0" w:space="0" w:color="auto"/>
      </w:divBdr>
    </w:div>
    <w:div w:id="481626458">
      <w:bodyDiv w:val="1"/>
      <w:marLeft w:val="0"/>
      <w:marRight w:val="0"/>
      <w:marTop w:val="0"/>
      <w:marBottom w:val="0"/>
      <w:divBdr>
        <w:top w:val="none" w:sz="0" w:space="0" w:color="auto"/>
        <w:left w:val="none" w:sz="0" w:space="0" w:color="auto"/>
        <w:bottom w:val="none" w:sz="0" w:space="0" w:color="auto"/>
        <w:right w:val="none" w:sz="0" w:space="0" w:color="auto"/>
      </w:divBdr>
    </w:div>
    <w:div w:id="482505157">
      <w:bodyDiv w:val="1"/>
      <w:marLeft w:val="0"/>
      <w:marRight w:val="0"/>
      <w:marTop w:val="0"/>
      <w:marBottom w:val="0"/>
      <w:divBdr>
        <w:top w:val="none" w:sz="0" w:space="0" w:color="auto"/>
        <w:left w:val="none" w:sz="0" w:space="0" w:color="auto"/>
        <w:bottom w:val="none" w:sz="0" w:space="0" w:color="auto"/>
        <w:right w:val="none" w:sz="0" w:space="0" w:color="auto"/>
      </w:divBdr>
    </w:div>
    <w:div w:id="485512168">
      <w:bodyDiv w:val="1"/>
      <w:marLeft w:val="0"/>
      <w:marRight w:val="0"/>
      <w:marTop w:val="0"/>
      <w:marBottom w:val="0"/>
      <w:divBdr>
        <w:top w:val="none" w:sz="0" w:space="0" w:color="auto"/>
        <w:left w:val="none" w:sz="0" w:space="0" w:color="auto"/>
        <w:bottom w:val="none" w:sz="0" w:space="0" w:color="auto"/>
        <w:right w:val="none" w:sz="0" w:space="0" w:color="auto"/>
      </w:divBdr>
    </w:div>
    <w:div w:id="491607976">
      <w:bodyDiv w:val="1"/>
      <w:marLeft w:val="0"/>
      <w:marRight w:val="0"/>
      <w:marTop w:val="0"/>
      <w:marBottom w:val="0"/>
      <w:divBdr>
        <w:top w:val="none" w:sz="0" w:space="0" w:color="auto"/>
        <w:left w:val="none" w:sz="0" w:space="0" w:color="auto"/>
        <w:bottom w:val="none" w:sz="0" w:space="0" w:color="auto"/>
        <w:right w:val="none" w:sz="0" w:space="0" w:color="auto"/>
      </w:divBdr>
    </w:div>
    <w:div w:id="501748372">
      <w:bodyDiv w:val="1"/>
      <w:marLeft w:val="0"/>
      <w:marRight w:val="0"/>
      <w:marTop w:val="0"/>
      <w:marBottom w:val="0"/>
      <w:divBdr>
        <w:top w:val="none" w:sz="0" w:space="0" w:color="auto"/>
        <w:left w:val="none" w:sz="0" w:space="0" w:color="auto"/>
        <w:bottom w:val="none" w:sz="0" w:space="0" w:color="auto"/>
        <w:right w:val="none" w:sz="0" w:space="0" w:color="auto"/>
      </w:divBdr>
    </w:div>
    <w:div w:id="512689626">
      <w:bodyDiv w:val="1"/>
      <w:marLeft w:val="0"/>
      <w:marRight w:val="0"/>
      <w:marTop w:val="0"/>
      <w:marBottom w:val="0"/>
      <w:divBdr>
        <w:top w:val="none" w:sz="0" w:space="0" w:color="auto"/>
        <w:left w:val="none" w:sz="0" w:space="0" w:color="auto"/>
        <w:bottom w:val="none" w:sz="0" w:space="0" w:color="auto"/>
        <w:right w:val="none" w:sz="0" w:space="0" w:color="auto"/>
      </w:divBdr>
    </w:div>
    <w:div w:id="515735543">
      <w:bodyDiv w:val="1"/>
      <w:marLeft w:val="0"/>
      <w:marRight w:val="0"/>
      <w:marTop w:val="0"/>
      <w:marBottom w:val="0"/>
      <w:divBdr>
        <w:top w:val="none" w:sz="0" w:space="0" w:color="auto"/>
        <w:left w:val="none" w:sz="0" w:space="0" w:color="auto"/>
        <w:bottom w:val="none" w:sz="0" w:space="0" w:color="auto"/>
        <w:right w:val="none" w:sz="0" w:space="0" w:color="auto"/>
      </w:divBdr>
    </w:div>
    <w:div w:id="517699289">
      <w:bodyDiv w:val="1"/>
      <w:marLeft w:val="0"/>
      <w:marRight w:val="0"/>
      <w:marTop w:val="0"/>
      <w:marBottom w:val="0"/>
      <w:divBdr>
        <w:top w:val="none" w:sz="0" w:space="0" w:color="auto"/>
        <w:left w:val="none" w:sz="0" w:space="0" w:color="auto"/>
        <w:bottom w:val="none" w:sz="0" w:space="0" w:color="auto"/>
        <w:right w:val="none" w:sz="0" w:space="0" w:color="auto"/>
      </w:divBdr>
    </w:div>
    <w:div w:id="519510724">
      <w:bodyDiv w:val="1"/>
      <w:marLeft w:val="0"/>
      <w:marRight w:val="0"/>
      <w:marTop w:val="0"/>
      <w:marBottom w:val="0"/>
      <w:divBdr>
        <w:top w:val="none" w:sz="0" w:space="0" w:color="auto"/>
        <w:left w:val="none" w:sz="0" w:space="0" w:color="auto"/>
        <w:bottom w:val="none" w:sz="0" w:space="0" w:color="auto"/>
        <w:right w:val="none" w:sz="0" w:space="0" w:color="auto"/>
      </w:divBdr>
    </w:div>
    <w:div w:id="523052938">
      <w:bodyDiv w:val="1"/>
      <w:marLeft w:val="0"/>
      <w:marRight w:val="0"/>
      <w:marTop w:val="0"/>
      <w:marBottom w:val="0"/>
      <w:divBdr>
        <w:top w:val="none" w:sz="0" w:space="0" w:color="auto"/>
        <w:left w:val="none" w:sz="0" w:space="0" w:color="auto"/>
        <w:bottom w:val="none" w:sz="0" w:space="0" w:color="auto"/>
        <w:right w:val="none" w:sz="0" w:space="0" w:color="auto"/>
      </w:divBdr>
    </w:div>
    <w:div w:id="524100816">
      <w:bodyDiv w:val="1"/>
      <w:marLeft w:val="0"/>
      <w:marRight w:val="0"/>
      <w:marTop w:val="0"/>
      <w:marBottom w:val="0"/>
      <w:divBdr>
        <w:top w:val="none" w:sz="0" w:space="0" w:color="auto"/>
        <w:left w:val="none" w:sz="0" w:space="0" w:color="auto"/>
        <w:bottom w:val="none" w:sz="0" w:space="0" w:color="auto"/>
        <w:right w:val="none" w:sz="0" w:space="0" w:color="auto"/>
      </w:divBdr>
    </w:div>
    <w:div w:id="527378759">
      <w:bodyDiv w:val="1"/>
      <w:marLeft w:val="0"/>
      <w:marRight w:val="0"/>
      <w:marTop w:val="0"/>
      <w:marBottom w:val="0"/>
      <w:divBdr>
        <w:top w:val="none" w:sz="0" w:space="0" w:color="auto"/>
        <w:left w:val="none" w:sz="0" w:space="0" w:color="auto"/>
        <w:bottom w:val="none" w:sz="0" w:space="0" w:color="auto"/>
        <w:right w:val="none" w:sz="0" w:space="0" w:color="auto"/>
      </w:divBdr>
    </w:div>
    <w:div w:id="529147753">
      <w:bodyDiv w:val="1"/>
      <w:marLeft w:val="0"/>
      <w:marRight w:val="0"/>
      <w:marTop w:val="0"/>
      <w:marBottom w:val="0"/>
      <w:divBdr>
        <w:top w:val="none" w:sz="0" w:space="0" w:color="auto"/>
        <w:left w:val="none" w:sz="0" w:space="0" w:color="auto"/>
        <w:bottom w:val="none" w:sz="0" w:space="0" w:color="auto"/>
        <w:right w:val="none" w:sz="0" w:space="0" w:color="auto"/>
      </w:divBdr>
    </w:div>
    <w:div w:id="533268167">
      <w:bodyDiv w:val="1"/>
      <w:marLeft w:val="0"/>
      <w:marRight w:val="0"/>
      <w:marTop w:val="0"/>
      <w:marBottom w:val="0"/>
      <w:divBdr>
        <w:top w:val="none" w:sz="0" w:space="0" w:color="auto"/>
        <w:left w:val="none" w:sz="0" w:space="0" w:color="auto"/>
        <w:bottom w:val="none" w:sz="0" w:space="0" w:color="auto"/>
        <w:right w:val="none" w:sz="0" w:space="0" w:color="auto"/>
      </w:divBdr>
      <w:divsChild>
        <w:div w:id="1030451402">
          <w:marLeft w:val="0"/>
          <w:marRight w:val="0"/>
          <w:marTop w:val="0"/>
          <w:marBottom w:val="0"/>
          <w:divBdr>
            <w:top w:val="none" w:sz="0" w:space="0" w:color="auto"/>
            <w:left w:val="none" w:sz="0" w:space="0" w:color="auto"/>
            <w:bottom w:val="none" w:sz="0" w:space="0" w:color="auto"/>
            <w:right w:val="none" w:sz="0" w:space="0" w:color="auto"/>
          </w:divBdr>
          <w:divsChild>
            <w:div w:id="338165955">
              <w:marLeft w:val="0"/>
              <w:marRight w:val="0"/>
              <w:marTop w:val="0"/>
              <w:marBottom w:val="0"/>
              <w:divBdr>
                <w:top w:val="none" w:sz="0" w:space="0" w:color="auto"/>
                <w:left w:val="none" w:sz="0" w:space="0" w:color="auto"/>
                <w:bottom w:val="none" w:sz="0" w:space="0" w:color="auto"/>
                <w:right w:val="none" w:sz="0" w:space="0" w:color="auto"/>
              </w:divBdr>
              <w:divsChild>
                <w:div w:id="184747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280883">
      <w:bodyDiv w:val="1"/>
      <w:marLeft w:val="0"/>
      <w:marRight w:val="0"/>
      <w:marTop w:val="0"/>
      <w:marBottom w:val="0"/>
      <w:divBdr>
        <w:top w:val="none" w:sz="0" w:space="0" w:color="auto"/>
        <w:left w:val="none" w:sz="0" w:space="0" w:color="auto"/>
        <w:bottom w:val="none" w:sz="0" w:space="0" w:color="auto"/>
        <w:right w:val="none" w:sz="0" w:space="0" w:color="auto"/>
      </w:divBdr>
    </w:div>
    <w:div w:id="546255941">
      <w:bodyDiv w:val="1"/>
      <w:marLeft w:val="0"/>
      <w:marRight w:val="0"/>
      <w:marTop w:val="0"/>
      <w:marBottom w:val="0"/>
      <w:divBdr>
        <w:top w:val="none" w:sz="0" w:space="0" w:color="auto"/>
        <w:left w:val="none" w:sz="0" w:space="0" w:color="auto"/>
        <w:bottom w:val="none" w:sz="0" w:space="0" w:color="auto"/>
        <w:right w:val="none" w:sz="0" w:space="0" w:color="auto"/>
      </w:divBdr>
    </w:div>
    <w:div w:id="563217706">
      <w:bodyDiv w:val="1"/>
      <w:marLeft w:val="0"/>
      <w:marRight w:val="0"/>
      <w:marTop w:val="0"/>
      <w:marBottom w:val="0"/>
      <w:divBdr>
        <w:top w:val="none" w:sz="0" w:space="0" w:color="auto"/>
        <w:left w:val="none" w:sz="0" w:space="0" w:color="auto"/>
        <w:bottom w:val="none" w:sz="0" w:space="0" w:color="auto"/>
        <w:right w:val="none" w:sz="0" w:space="0" w:color="auto"/>
      </w:divBdr>
    </w:div>
    <w:div w:id="568223823">
      <w:bodyDiv w:val="1"/>
      <w:marLeft w:val="0"/>
      <w:marRight w:val="0"/>
      <w:marTop w:val="0"/>
      <w:marBottom w:val="0"/>
      <w:divBdr>
        <w:top w:val="none" w:sz="0" w:space="0" w:color="auto"/>
        <w:left w:val="none" w:sz="0" w:space="0" w:color="auto"/>
        <w:bottom w:val="none" w:sz="0" w:space="0" w:color="auto"/>
        <w:right w:val="none" w:sz="0" w:space="0" w:color="auto"/>
      </w:divBdr>
    </w:div>
    <w:div w:id="572007735">
      <w:bodyDiv w:val="1"/>
      <w:marLeft w:val="0"/>
      <w:marRight w:val="0"/>
      <w:marTop w:val="0"/>
      <w:marBottom w:val="0"/>
      <w:divBdr>
        <w:top w:val="none" w:sz="0" w:space="0" w:color="auto"/>
        <w:left w:val="none" w:sz="0" w:space="0" w:color="auto"/>
        <w:bottom w:val="none" w:sz="0" w:space="0" w:color="auto"/>
        <w:right w:val="none" w:sz="0" w:space="0" w:color="auto"/>
      </w:divBdr>
    </w:div>
    <w:div w:id="573781686">
      <w:bodyDiv w:val="1"/>
      <w:marLeft w:val="0"/>
      <w:marRight w:val="0"/>
      <w:marTop w:val="0"/>
      <w:marBottom w:val="0"/>
      <w:divBdr>
        <w:top w:val="none" w:sz="0" w:space="0" w:color="auto"/>
        <w:left w:val="none" w:sz="0" w:space="0" w:color="auto"/>
        <w:bottom w:val="none" w:sz="0" w:space="0" w:color="auto"/>
        <w:right w:val="none" w:sz="0" w:space="0" w:color="auto"/>
      </w:divBdr>
    </w:div>
    <w:div w:id="573973626">
      <w:bodyDiv w:val="1"/>
      <w:marLeft w:val="0"/>
      <w:marRight w:val="0"/>
      <w:marTop w:val="0"/>
      <w:marBottom w:val="0"/>
      <w:divBdr>
        <w:top w:val="none" w:sz="0" w:space="0" w:color="auto"/>
        <w:left w:val="none" w:sz="0" w:space="0" w:color="auto"/>
        <w:bottom w:val="none" w:sz="0" w:space="0" w:color="auto"/>
        <w:right w:val="none" w:sz="0" w:space="0" w:color="auto"/>
      </w:divBdr>
    </w:div>
    <w:div w:id="581304921">
      <w:bodyDiv w:val="1"/>
      <w:marLeft w:val="0"/>
      <w:marRight w:val="0"/>
      <w:marTop w:val="0"/>
      <w:marBottom w:val="0"/>
      <w:divBdr>
        <w:top w:val="none" w:sz="0" w:space="0" w:color="auto"/>
        <w:left w:val="none" w:sz="0" w:space="0" w:color="auto"/>
        <w:bottom w:val="none" w:sz="0" w:space="0" w:color="auto"/>
        <w:right w:val="none" w:sz="0" w:space="0" w:color="auto"/>
      </w:divBdr>
    </w:div>
    <w:div w:id="586353082">
      <w:bodyDiv w:val="1"/>
      <w:marLeft w:val="0"/>
      <w:marRight w:val="0"/>
      <w:marTop w:val="0"/>
      <w:marBottom w:val="0"/>
      <w:divBdr>
        <w:top w:val="none" w:sz="0" w:space="0" w:color="auto"/>
        <w:left w:val="none" w:sz="0" w:space="0" w:color="auto"/>
        <w:bottom w:val="none" w:sz="0" w:space="0" w:color="auto"/>
        <w:right w:val="none" w:sz="0" w:space="0" w:color="auto"/>
      </w:divBdr>
    </w:div>
    <w:div w:id="586891868">
      <w:bodyDiv w:val="1"/>
      <w:marLeft w:val="0"/>
      <w:marRight w:val="0"/>
      <w:marTop w:val="0"/>
      <w:marBottom w:val="0"/>
      <w:divBdr>
        <w:top w:val="none" w:sz="0" w:space="0" w:color="auto"/>
        <w:left w:val="none" w:sz="0" w:space="0" w:color="auto"/>
        <w:bottom w:val="none" w:sz="0" w:space="0" w:color="auto"/>
        <w:right w:val="none" w:sz="0" w:space="0" w:color="auto"/>
      </w:divBdr>
    </w:div>
    <w:div w:id="588007091">
      <w:bodyDiv w:val="1"/>
      <w:marLeft w:val="0"/>
      <w:marRight w:val="0"/>
      <w:marTop w:val="0"/>
      <w:marBottom w:val="0"/>
      <w:divBdr>
        <w:top w:val="none" w:sz="0" w:space="0" w:color="auto"/>
        <w:left w:val="none" w:sz="0" w:space="0" w:color="auto"/>
        <w:bottom w:val="none" w:sz="0" w:space="0" w:color="auto"/>
        <w:right w:val="none" w:sz="0" w:space="0" w:color="auto"/>
      </w:divBdr>
    </w:div>
    <w:div w:id="594286762">
      <w:bodyDiv w:val="1"/>
      <w:marLeft w:val="0"/>
      <w:marRight w:val="0"/>
      <w:marTop w:val="0"/>
      <w:marBottom w:val="0"/>
      <w:divBdr>
        <w:top w:val="none" w:sz="0" w:space="0" w:color="auto"/>
        <w:left w:val="none" w:sz="0" w:space="0" w:color="auto"/>
        <w:bottom w:val="none" w:sz="0" w:space="0" w:color="auto"/>
        <w:right w:val="none" w:sz="0" w:space="0" w:color="auto"/>
      </w:divBdr>
    </w:div>
    <w:div w:id="595286985">
      <w:bodyDiv w:val="1"/>
      <w:marLeft w:val="0"/>
      <w:marRight w:val="0"/>
      <w:marTop w:val="0"/>
      <w:marBottom w:val="0"/>
      <w:divBdr>
        <w:top w:val="none" w:sz="0" w:space="0" w:color="auto"/>
        <w:left w:val="none" w:sz="0" w:space="0" w:color="auto"/>
        <w:bottom w:val="none" w:sz="0" w:space="0" w:color="auto"/>
        <w:right w:val="none" w:sz="0" w:space="0" w:color="auto"/>
      </w:divBdr>
    </w:div>
    <w:div w:id="598375284">
      <w:bodyDiv w:val="1"/>
      <w:marLeft w:val="0"/>
      <w:marRight w:val="0"/>
      <w:marTop w:val="0"/>
      <w:marBottom w:val="0"/>
      <w:divBdr>
        <w:top w:val="none" w:sz="0" w:space="0" w:color="auto"/>
        <w:left w:val="none" w:sz="0" w:space="0" w:color="auto"/>
        <w:bottom w:val="none" w:sz="0" w:space="0" w:color="auto"/>
        <w:right w:val="none" w:sz="0" w:space="0" w:color="auto"/>
      </w:divBdr>
    </w:div>
    <w:div w:id="598686314">
      <w:bodyDiv w:val="1"/>
      <w:marLeft w:val="0"/>
      <w:marRight w:val="0"/>
      <w:marTop w:val="0"/>
      <w:marBottom w:val="0"/>
      <w:divBdr>
        <w:top w:val="none" w:sz="0" w:space="0" w:color="auto"/>
        <w:left w:val="none" w:sz="0" w:space="0" w:color="auto"/>
        <w:bottom w:val="none" w:sz="0" w:space="0" w:color="auto"/>
        <w:right w:val="none" w:sz="0" w:space="0" w:color="auto"/>
      </w:divBdr>
    </w:div>
    <w:div w:id="598872264">
      <w:bodyDiv w:val="1"/>
      <w:marLeft w:val="0"/>
      <w:marRight w:val="0"/>
      <w:marTop w:val="0"/>
      <w:marBottom w:val="0"/>
      <w:divBdr>
        <w:top w:val="none" w:sz="0" w:space="0" w:color="auto"/>
        <w:left w:val="none" w:sz="0" w:space="0" w:color="auto"/>
        <w:bottom w:val="none" w:sz="0" w:space="0" w:color="auto"/>
        <w:right w:val="none" w:sz="0" w:space="0" w:color="auto"/>
      </w:divBdr>
    </w:div>
    <w:div w:id="603996851">
      <w:bodyDiv w:val="1"/>
      <w:marLeft w:val="0"/>
      <w:marRight w:val="0"/>
      <w:marTop w:val="0"/>
      <w:marBottom w:val="0"/>
      <w:divBdr>
        <w:top w:val="none" w:sz="0" w:space="0" w:color="auto"/>
        <w:left w:val="none" w:sz="0" w:space="0" w:color="auto"/>
        <w:bottom w:val="none" w:sz="0" w:space="0" w:color="auto"/>
        <w:right w:val="none" w:sz="0" w:space="0" w:color="auto"/>
      </w:divBdr>
    </w:div>
    <w:div w:id="610893305">
      <w:bodyDiv w:val="1"/>
      <w:marLeft w:val="0"/>
      <w:marRight w:val="0"/>
      <w:marTop w:val="0"/>
      <w:marBottom w:val="0"/>
      <w:divBdr>
        <w:top w:val="none" w:sz="0" w:space="0" w:color="auto"/>
        <w:left w:val="none" w:sz="0" w:space="0" w:color="auto"/>
        <w:bottom w:val="none" w:sz="0" w:space="0" w:color="auto"/>
        <w:right w:val="none" w:sz="0" w:space="0" w:color="auto"/>
      </w:divBdr>
    </w:div>
    <w:div w:id="612202376">
      <w:bodyDiv w:val="1"/>
      <w:marLeft w:val="0"/>
      <w:marRight w:val="0"/>
      <w:marTop w:val="0"/>
      <w:marBottom w:val="0"/>
      <w:divBdr>
        <w:top w:val="none" w:sz="0" w:space="0" w:color="auto"/>
        <w:left w:val="none" w:sz="0" w:space="0" w:color="auto"/>
        <w:bottom w:val="none" w:sz="0" w:space="0" w:color="auto"/>
        <w:right w:val="none" w:sz="0" w:space="0" w:color="auto"/>
      </w:divBdr>
    </w:div>
    <w:div w:id="613054798">
      <w:bodyDiv w:val="1"/>
      <w:marLeft w:val="0"/>
      <w:marRight w:val="0"/>
      <w:marTop w:val="0"/>
      <w:marBottom w:val="0"/>
      <w:divBdr>
        <w:top w:val="none" w:sz="0" w:space="0" w:color="auto"/>
        <w:left w:val="none" w:sz="0" w:space="0" w:color="auto"/>
        <w:bottom w:val="none" w:sz="0" w:space="0" w:color="auto"/>
        <w:right w:val="none" w:sz="0" w:space="0" w:color="auto"/>
      </w:divBdr>
    </w:div>
    <w:div w:id="615529748">
      <w:bodyDiv w:val="1"/>
      <w:marLeft w:val="0"/>
      <w:marRight w:val="0"/>
      <w:marTop w:val="0"/>
      <w:marBottom w:val="0"/>
      <w:divBdr>
        <w:top w:val="none" w:sz="0" w:space="0" w:color="auto"/>
        <w:left w:val="none" w:sz="0" w:space="0" w:color="auto"/>
        <w:bottom w:val="none" w:sz="0" w:space="0" w:color="auto"/>
        <w:right w:val="none" w:sz="0" w:space="0" w:color="auto"/>
      </w:divBdr>
    </w:div>
    <w:div w:id="618148479">
      <w:bodyDiv w:val="1"/>
      <w:marLeft w:val="0"/>
      <w:marRight w:val="0"/>
      <w:marTop w:val="0"/>
      <w:marBottom w:val="0"/>
      <w:divBdr>
        <w:top w:val="none" w:sz="0" w:space="0" w:color="auto"/>
        <w:left w:val="none" w:sz="0" w:space="0" w:color="auto"/>
        <w:bottom w:val="none" w:sz="0" w:space="0" w:color="auto"/>
        <w:right w:val="none" w:sz="0" w:space="0" w:color="auto"/>
      </w:divBdr>
    </w:div>
    <w:div w:id="629018788">
      <w:bodyDiv w:val="1"/>
      <w:marLeft w:val="0"/>
      <w:marRight w:val="0"/>
      <w:marTop w:val="0"/>
      <w:marBottom w:val="0"/>
      <w:divBdr>
        <w:top w:val="none" w:sz="0" w:space="0" w:color="auto"/>
        <w:left w:val="none" w:sz="0" w:space="0" w:color="auto"/>
        <w:bottom w:val="none" w:sz="0" w:space="0" w:color="auto"/>
        <w:right w:val="none" w:sz="0" w:space="0" w:color="auto"/>
      </w:divBdr>
      <w:divsChild>
        <w:div w:id="1290089694">
          <w:marLeft w:val="0"/>
          <w:marRight w:val="0"/>
          <w:marTop w:val="0"/>
          <w:marBottom w:val="0"/>
          <w:divBdr>
            <w:top w:val="none" w:sz="0" w:space="0" w:color="auto"/>
            <w:left w:val="none" w:sz="0" w:space="0" w:color="auto"/>
            <w:bottom w:val="none" w:sz="0" w:space="0" w:color="auto"/>
            <w:right w:val="none" w:sz="0" w:space="0" w:color="auto"/>
          </w:divBdr>
          <w:divsChild>
            <w:div w:id="629285695">
              <w:marLeft w:val="0"/>
              <w:marRight w:val="0"/>
              <w:marTop w:val="0"/>
              <w:marBottom w:val="0"/>
              <w:divBdr>
                <w:top w:val="none" w:sz="0" w:space="0" w:color="auto"/>
                <w:left w:val="none" w:sz="0" w:space="0" w:color="auto"/>
                <w:bottom w:val="none" w:sz="0" w:space="0" w:color="auto"/>
                <w:right w:val="none" w:sz="0" w:space="0" w:color="auto"/>
              </w:divBdr>
              <w:divsChild>
                <w:div w:id="1170028939">
                  <w:marLeft w:val="0"/>
                  <w:marRight w:val="0"/>
                  <w:marTop w:val="0"/>
                  <w:marBottom w:val="0"/>
                  <w:divBdr>
                    <w:top w:val="none" w:sz="0" w:space="0" w:color="auto"/>
                    <w:left w:val="none" w:sz="0" w:space="0" w:color="auto"/>
                    <w:bottom w:val="none" w:sz="0" w:space="0" w:color="auto"/>
                    <w:right w:val="none" w:sz="0" w:space="0" w:color="auto"/>
                  </w:divBdr>
                  <w:divsChild>
                    <w:div w:id="55358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57304">
          <w:marLeft w:val="0"/>
          <w:marRight w:val="0"/>
          <w:marTop w:val="0"/>
          <w:marBottom w:val="0"/>
          <w:divBdr>
            <w:top w:val="none" w:sz="0" w:space="0" w:color="auto"/>
            <w:left w:val="none" w:sz="0" w:space="0" w:color="auto"/>
            <w:bottom w:val="none" w:sz="0" w:space="0" w:color="auto"/>
            <w:right w:val="none" w:sz="0" w:space="0" w:color="auto"/>
          </w:divBdr>
        </w:div>
      </w:divsChild>
    </w:div>
    <w:div w:id="629363734">
      <w:bodyDiv w:val="1"/>
      <w:marLeft w:val="0"/>
      <w:marRight w:val="0"/>
      <w:marTop w:val="0"/>
      <w:marBottom w:val="0"/>
      <w:divBdr>
        <w:top w:val="none" w:sz="0" w:space="0" w:color="auto"/>
        <w:left w:val="none" w:sz="0" w:space="0" w:color="auto"/>
        <w:bottom w:val="none" w:sz="0" w:space="0" w:color="auto"/>
        <w:right w:val="none" w:sz="0" w:space="0" w:color="auto"/>
      </w:divBdr>
    </w:div>
    <w:div w:id="630282051">
      <w:bodyDiv w:val="1"/>
      <w:marLeft w:val="0"/>
      <w:marRight w:val="0"/>
      <w:marTop w:val="0"/>
      <w:marBottom w:val="0"/>
      <w:divBdr>
        <w:top w:val="none" w:sz="0" w:space="0" w:color="auto"/>
        <w:left w:val="none" w:sz="0" w:space="0" w:color="auto"/>
        <w:bottom w:val="none" w:sz="0" w:space="0" w:color="auto"/>
        <w:right w:val="none" w:sz="0" w:space="0" w:color="auto"/>
      </w:divBdr>
    </w:div>
    <w:div w:id="643435121">
      <w:bodyDiv w:val="1"/>
      <w:marLeft w:val="0"/>
      <w:marRight w:val="0"/>
      <w:marTop w:val="0"/>
      <w:marBottom w:val="0"/>
      <w:divBdr>
        <w:top w:val="none" w:sz="0" w:space="0" w:color="auto"/>
        <w:left w:val="none" w:sz="0" w:space="0" w:color="auto"/>
        <w:bottom w:val="none" w:sz="0" w:space="0" w:color="auto"/>
        <w:right w:val="none" w:sz="0" w:space="0" w:color="auto"/>
      </w:divBdr>
    </w:div>
    <w:div w:id="647711665">
      <w:bodyDiv w:val="1"/>
      <w:marLeft w:val="0"/>
      <w:marRight w:val="0"/>
      <w:marTop w:val="0"/>
      <w:marBottom w:val="0"/>
      <w:divBdr>
        <w:top w:val="none" w:sz="0" w:space="0" w:color="auto"/>
        <w:left w:val="none" w:sz="0" w:space="0" w:color="auto"/>
        <w:bottom w:val="none" w:sz="0" w:space="0" w:color="auto"/>
        <w:right w:val="none" w:sz="0" w:space="0" w:color="auto"/>
      </w:divBdr>
    </w:div>
    <w:div w:id="647786333">
      <w:bodyDiv w:val="1"/>
      <w:marLeft w:val="0"/>
      <w:marRight w:val="0"/>
      <w:marTop w:val="0"/>
      <w:marBottom w:val="0"/>
      <w:divBdr>
        <w:top w:val="none" w:sz="0" w:space="0" w:color="auto"/>
        <w:left w:val="none" w:sz="0" w:space="0" w:color="auto"/>
        <w:bottom w:val="none" w:sz="0" w:space="0" w:color="auto"/>
        <w:right w:val="none" w:sz="0" w:space="0" w:color="auto"/>
      </w:divBdr>
    </w:div>
    <w:div w:id="648091296">
      <w:bodyDiv w:val="1"/>
      <w:marLeft w:val="0"/>
      <w:marRight w:val="0"/>
      <w:marTop w:val="0"/>
      <w:marBottom w:val="0"/>
      <w:divBdr>
        <w:top w:val="none" w:sz="0" w:space="0" w:color="auto"/>
        <w:left w:val="none" w:sz="0" w:space="0" w:color="auto"/>
        <w:bottom w:val="none" w:sz="0" w:space="0" w:color="auto"/>
        <w:right w:val="none" w:sz="0" w:space="0" w:color="auto"/>
      </w:divBdr>
    </w:div>
    <w:div w:id="649673768">
      <w:bodyDiv w:val="1"/>
      <w:marLeft w:val="0"/>
      <w:marRight w:val="0"/>
      <w:marTop w:val="0"/>
      <w:marBottom w:val="0"/>
      <w:divBdr>
        <w:top w:val="none" w:sz="0" w:space="0" w:color="auto"/>
        <w:left w:val="none" w:sz="0" w:space="0" w:color="auto"/>
        <w:bottom w:val="none" w:sz="0" w:space="0" w:color="auto"/>
        <w:right w:val="none" w:sz="0" w:space="0" w:color="auto"/>
      </w:divBdr>
    </w:div>
    <w:div w:id="660891493">
      <w:bodyDiv w:val="1"/>
      <w:marLeft w:val="0"/>
      <w:marRight w:val="0"/>
      <w:marTop w:val="0"/>
      <w:marBottom w:val="0"/>
      <w:divBdr>
        <w:top w:val="none" w:sz="0" w:space="0" w:color="auto"/>
        <w:left w:val="none" w:sz="0" w:space="0" w:color="auto"/>
        <w:bottom w:val="none" w:sz="0" w:space="0" w:color="auto"/>
        <w:right w:val="none" w:sz="0" w:space="0" w:color="auto"/>
      </w:divBdr>
    </w:div>
    <w:div w:id="665133632">
      <w:bodyDiv w:val="1"/>
      <w:marLeft w:val="0"/>
      <w:marRight w:val="0"/>
      <w:marTop w:val="0"/>
      <w:marBottom w:val="0"/>
      <w:divBdr>
        <w:top w:val="none" w:sz="0" w:space="0" w:color="auto"/>
        <w:left w:val="none" w:sz="0" w:space="0" w:color="auto"/>
        <w:bottom w:val="none" w:sz="0" w:space="0" w:color="auto"/>
        <w:right w:val="none" w:sz="0" w:space="0" w:color="auto"/>
      </w:divBdr>
    </w:div>
    <w:div w:id="670520830">
      <w:bodyDiv w:val="1"/>
      <w:marLeft w:val="0"/>
      <w:marRight w:val="0"/>
      <w:marTop w:val="0"/>
      <w:marBottom w:val="0"/>
      <w:divBdr>
        <w:top w:val="none" w:sz="0" w:space="0" w:color="auto"/>
        <w:left w:val="none" w:sz="0" w:space="0" w:color="auto"/>
        <w:bottom w:val="none" w:sz="0" w:space="0" w:color="auto"/>
        <w:right w:val="none" w:sz="0" w:space="0" w:color="auto"/>
      </w:divBdr>
    </w:div>
    <w:div w:id="676611683">
      <w:bodyDiv w:val="1"/>
      <w:marLeft w:val="0"/>
      <w:marRight w:val="0"/>
      <w:marTop w:val="0"/>
      <w:marBottom w:val="0"/>
      <w:divBdr>
        <w:top w:val="none" w:sz="0" w:space="0" w:color="auto"/>
        <w:left w:val="none" w:sz="0" w:space="0" w:color="auto"/>
        <w:bottom w:val="none" w:sz="0" w:space="0" w:color="auto"/>
        <w:right w:val="none" w:sz="0" w:space="0" w:color="auto"/>
      </w:divBdr>
      <w:divsChild>
        <w:div w:id="1046174851">
          <w:marLeft w:val="0"/>
          <w:marRight w:val="0"/>
          <w:marTop w:val="0"/>
          <w:marBottom w:val="0"/>
          <w:divBdr>
            <w:top w:val="none" w:sz="0" w:space="0" w:color="auto"/>
            <w:left w:val="none" w:sz="0" w:space="0" w:color="auto"/>
            <w:bottom w:val="none" w:sz="0" w:space="0" w:color="auto"/>
            <w:right w:val="none" w:sz="0" w:space="0" w:color="auto"/>
          </w:divBdr>
          <w:divsChild>
            <w:div w:id="1305044761">
              <w:marLeft w:val="0"/>
              <w:marRight w:val="0"/>
              <w:marTop w:val="0"/>
              <w:marBottom w:val="0"/>
              <w:divBdr>
                <w:top w:val="none" w:sz="0" w:space="0" w:color="auto"/>
                <w:left w:val="none" w:sz="0" w:space="0" w:color="auto"/>
                <w:bottom w:val="none" w:sz="0" w:space="0" w:color="auto"/>
                <w:right w:val="none" w:sz="0" w:space="0" w:color="auto"/>
              </w:divBdr>
            </w:div>
          </w:divsChild>
        </w:div>
        <w:div w:id="1388912848">
          <w:marLeft w:val="0"/>
          <w:marRight w:val="0"/>
          <w:marTop w:val="0"/>
          <w:marBottom w:val="0"/>
          <w:divBdr>
            <w:top w:val="none" w:sz="0" w:space="0" w:color="auto"/>
            <w:left w:val="none" w:sz="0" w:space="0" w:color="auto"/>
            <w:bottom w:val="none" w:sz="0" w:space="0" w:color="auto"/>
            <w:right w:val="none" w:sz="0" w:space="0" w:color="auto"/>
          </w:divBdr>
          <w:divsChild>
            <w:div w:id="110704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441706">
      <w:bodyDiv w:val="1"/>
      <w:marLeft w:val="0"/>
      <w:marRight w:val="0"/>
      <w:marTop w:val="0"/>
      <w:marBottom w:val="0"/>
      <w:divBdr>
        <w:top w:val="none" w:sz="0" w:space="0" w:color="auto"/>
        <w:left w:val="none" w:sz="0" w:space="0" w:color="auto"/>
        <w:bottom w:val="none" w:sz="0" w:space="0" w:color="auto"/>
        <w:right w:val="none" w:sz="0" w:space="0" w:color="auto"/>
      </w:divBdr>
    </w:div>
    <w:div w:id="686909873">
      <w:bodyDiv w:val="1"/>
      <w:marLeft w:val="0"/>
      <w:marRight w:val="0"/>
      <w:marTop w:val="0"/>
      <w:marBottom w:val="0"/>
      <w:divBdr>
        <w:top w:val="none" w:sz="0" w:space="0" w:color="auto"/>
        <w:left w:val="none" w:sz="0" w:space="0" w:color="auto"/>
        <w:bottom w:val="none" w:sz="0" w:space="0" w:color="auto"/>
        <w:right w:val="none" w:sz="0" w:space="0" w:color="auto"/>
      </w:divBdr>
    </w:div>
    <w:div w:id="688217841">
      <w:bodyDiv w:val="1"/>
      <w:marLeft w:val="0"/>
      <w:marRight w:val="0"/>
      <w:marTop w:val="0"/>
      <w:marBottom w:val="0"/>
      <w:divBdr>
        <w:top w:val="none" w:sz="0" w:space="0" w:color="auto"/>
        <w:left w:val="none" w:sz="0" w:space="0" w:color="auto"/>
        <w:bottom w:val="none" w:sz="0" w:space="0" w:color="auto"/>
        <w:right w:val="none" w:sz="0" w:space="0" w:color="auto"/>
      </w:divBdr>
    </w:div>
    <w:div w:id="694842560">
      <w:bodyDiv w:val="1"/>
      <w:marLeft w:val="0"/>
      <w:marRight w:val="0"/>
      <w:marTop w:val="0"/>
      <w:marBottom w:val="0"/>
      <w:divBdr>
        <w:top w:val="none" w:sz="0" w:space="0" w:color="auto"/>
        <w:left w:val="none" w:sz="0" w:space="0" w:color="auto"/>
        <w:bottom w:val="none" w:sz="0" w:space="0" w:color="auto"/>
        <w:right w:val="none" w:sz="0" w:space="0" w:color="auto"/>
      </w:divBdr>
    </w:div>
    <w:div w:id="698353638">
      <w:bodyDiv w:val="1"/>
      <w:marLeft w:val="0"/>
      <w:marRight w:val="0"/>
      <w:marTop w:val="0"/>
      <w:marBottom w:val="0"/>
      <w:divBdr>
        <w:top w:val="none" w:sz="0" w:space="0" w:color="auto"/>
        <w:left w:val="none" w:sz="0" w:space="0" w:color="auto"/>
        <w:bottom w:val="none" w:sz="0" w:space="0" w:color="auto"/>
        <w:right w:val="none" w:sz="0" w:space="0" w:color="auto"/>
      </w:divBdr>
    </w:div>
    <w:div w:id="698704665">
      <w:bodyDiv w:val="1"/>
      <w:marLeft w:val="0"/>
      <w:marRight w:val="0"/>
      <w:marTop w:val="0"/>
      <w:marBottom w:val="0"/>
      <w:divBdr>
        <w:top w:val="none" w:sz="0" w:space="0" w:color="auto"/>
        <w:left w:val="none" w:sz="0" w:space="0" w:color="auto"/>
        <w:bottom w:val="none" w:sz="0" w:space="0" w:color="auto"/>
        <w:right w:val="none" w:sz="0" w:space="0" w:color="auto"/>
      </w:divBdr>
      <w:divsChild>
        <w:div w:id="687177328">
          <w:marLeft w:val="0"/>
          <w:marRight w:val="0"/>
          <w:marTop w:val="0"/>
          <w:marBottom w:val="0"/>
          <w:divBdr>
            <w:top w:val="none" w:sz="0" w:space="0" w:color="auto"/>
            <w:left w:val="none" w:sz="0" w:space="0" w:color="auto"/>
            <w:bottom w:val="none" w:sz="0" w:space="0" w:color="auto"/>
            <w:right w:val="none" w:sz="0" w:space="0" w:color="auto"/>
          </w:divBdr>
          <w:divsChild>
            <w:div w:id="500513687">
              <w:marLeft w:val="0"/>
              <w:marRight w:val="0"/>
              <w:marTop w:val="0"/>
              <w:marBottom w:val="0"/>
              <w:divBdr>
                <w:top w:val="none" w:sz="0" w:space="0" w:color="auto"/>
                <w:left w:val="none" w:sz="0" w:space="0" w:color="auto"/>
                <w:bottom w:val="none" w:sz="0" w:space="0" w:color="auto"/>
                <w:right w:val="none" w:sz="0" w:space="0" w:color="auto"/>
              </w:divBdr>
              <w:divsChild>
                <w:div w:id="84274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951688">
      <w:bodyDiv w:val="1"/>
      <w:marLeft w:val="0"/>
      <w:marRight w:val="0"/>
      <w:marTop w:val="0"/>
      <w:marBottom w:val="0"/>
      <w:divBdr>
        <w:top w:val="none" w:sz="0" w:space="0" w:color="auto"/>
        <w:left w:val="none" w:sz="0" w:space="0" w:color="auto"/>
        <w:bottom w:val="none" w:sz="0" w:space="0" w:color="auto"/>
        <w:right w:val="none" w:sz="0" w:space="0" w:color="auto"/>
      </w:divBdr>
      <w:divsChild>
        <w:div w:id="49615334">
          <w:marLeft w:val="0"/>
          <w:marRight w:val="0"/>
          <w:marTop w:val="0"/>
          <w:marBottom w:val="150"/>
          <w:divBdr>
            <w:top w:val="none" w:sz="0" w:space="0" w:color="auto"/>
            <w:left w:val="none" w:sz="0" w:space="0" w:color="auto"/>
            <w:bottom w:val="none" w:sz="0" w:space="0" w:color="auto"/>
            <w:right w:val="none" w:sz="0" w:space="0" w:color="auto"/>
          </w:divBdr>
        </w:div>
      </w:divsChild>
    </w:div>
    <w:div w:id="708066569">
      <w:bodyDiv w:val="1"/>
      <w:marLeft w:val="0"/>
      <w:marRight w:val="0"/>
      <w:marTop w:val="0"/>
      <w:marBottom w:val="0"/>
      <w:divBdr>
        <w:top w:val="none" w:sz="0" w:space="0" w:color="auto"/>
        <w:left w:val="none" w:sz="0" w:space="0" w:color="auto"/>
        <w:bottom w:val="none" w:sz="0" w:space="0" w:color="auto"/>
        <w:right w:val="none" w:sz="0" w:space="0" w:color="auto"/>
      </w:divBdr>
      <w:divsChild>
        <w:div w:id="1025640626">
          <w:marLeft w:val="0"/>
          <w:marRight w:val="0"/>
          <w:marTop w:val="0"/>
          <w:marBottom w:val="0"/>
          <w:divBdr>
            <w:top w:val="none" w:sz="0" w:space="0" w:color="auto"/>
            <w:left w:val="none" w:sz="0" w:space="0" w:color="auto"/>
            <w:bottom w:val="none" w:sz="0" w:space="0" w:color="auto"/>
            <w:right w:val="none" w:sz="0" w:space="0" w:color="auto"/>
          </w:divBdr>
          <w:divsChild>
            <w:div w:id="468011622">
              <w:marLeft w:val="0"/>
              <w:marRight w:val="0"/>
              <w:marTop w:val="0"/>
              <w:marBottom w:val="0"/>
              <w:divBdr>
                <w:top w:val="none" w:sz="0" w:space="0" w:color="auto"/>
                <w:left w:val="none" w:sz="0" w:space="0" w:color="auto"/>
                <w:bottom w:val="none" w:sz="0" w:space="0" w:color="auto"/>
                <w:right w:val="none" w:sz="0" w:space="0" w:color="auto"/>
              </w:divBdr>
              <w:divsChild>
                <w:div w:id="426272345">
                  <w:marLeft w:val="0"/>
                  <w:marRight w:val="0"/>
                  <w:marTop w:val="0"/>
                  <w:marBottom w:val="0"/>
                  <w:divBdr>
                    <w:top w:val="none" w:sz="0" w:space="0" w:color="auto"/>
                    <w:left w:val="none" w:sz="0" w:space="0" w:color="auto"/>
                    <w:bottom w:val="none" w:sz="0" w:space="0" w:color="auto"/>
                    <w:right w:val="none" w:sz="0" w:space="0" w:color="auto"/>
                  </w:divBdr>
                  <w:divsChild>
                    <w:div w:id="65268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156139">
      <w:bodyDiv w:val="1"/>
      <w:marLeft w:val="0"/>
      <w:marRight w:val="0"/>
      <w:marTop w:val="0"/>
      <w:marBottom w:val="0"/>
      <w:divBdr>
        <w:top w:val="none" w:sz="0" w:space="0" w:color="auto"/>
        <w:left w:val="none" w:sz="0" w:space="0" w:color="auto"/>
        <w:bottom w:val="none" w:sz="0" w:space="0" w:color="auto"/>
        <w:right w:val="none" w:sz="0" w:space="0" w:color="auto"/>
      </w:divBdr>
    </w:div>
    <w:div w:id="714542030">
      <w:bodyDiv w:val="1"/>
      <w:marLeft w:val="0"/>
      <w:marRight w:val="0"/>
      <w:marTop w:val="0"/>
      <w:marBottom w:val="0"/>
      <w:divBdr>
        <w:top w:val="none" w:sz="0" w:space="0" w:color="auto"/>
        <w:left w:val="none" w:sz="0" w:space="0" w:color="auto"/>
        <w:bottom w:val="none" w:sz="0" w:space="0" w:color="auto"/>
        <w:right w:val="none" w:sz="0" w:space="0" w:color="auto"/>
      </w:divBdr>
    </w:div>
    <w:div w:id="716512222">
      <w:bodyDiv w:val="1"/>
      <w:marLeft w:val="0"/>
      <w:marRight w:val="0"/>
      <w:marTop w:val="0"/>
      <w:marBottom w:val="0"/>
      <w:divBdr>
        <w:top w:val="none" w:sz="0" w:space="0" w:color="auto"/>
        <w:left w:val="none" w:sz="0" w:space="0" w:color="auto"/>
        <w:bottom w:val="none" w:sz="0" w:space="0" w:color="auto"/>
        <w:right w:val="none" w:sz="0" w:space="0" w:color="auto"/>
      </w:divBdr>
    </w:div>
    <w:div w:id="717165383">
      <w:bodyDiv w:val="1"/>
      <w:marLeft w:val="0"/>
      <w:marRight w:val="0"/>
      <w:marTop w:val="0"/>
      <w:marBottom w:val="0"/>
      <w:divBdr>
        <w:top w:val="none" w:sz="0" w:space="0" w:color="auto"/>
        <w:left w:val="none" w:sz="0" w:space="0" w:color="auto"/>
        <w:bottom w:val="none" w:sz="0" w:space="0" w:color="auto"/>
        <w:right w:val="none" w:sz="0" w:space="0" w:color="auto"/>
      </w:divBdr>
    </w:div>
    <w:div w:id="717247742">
      <w:bodyDiv w:val="1"/>
      <w:marLeft w:val="0"/>
      <w:marRight w:val="0"/>
      <w:marTop w:val="0"/>
      <w:marBottom w:val="0"/>
      <w:divBdr>
        <w:top w:val="none" w:sz="0" w:space="0" w:color="auto"/>
        <w:left w:val="none" w:sz="0" w:space="0" w:color="auto"/>
        <w:bottom w:val="none" w:sz="0" w:space="0" w:color="auto"/>
        <w:right w:val="none" w:sz="0" w:space="0" w:color="auto"/>
      </w:divBdr>
    </w:div>
    <w:div w:id="721710934">
      <w:bodyDiv w:val="1"/>
      <w:marLeft w:val="0"/>
      <w:marRight w:val="0"/>
      <w:marTop w:val="0"/>
      <w:marBottom w:val="0"/>
      <w:divBdr>
        <w:top w:val="none" w:sz="0" w:space="0" w:color="auto"/>
        <w:left w:val="none" w:sz="0" w:space="0" w:color="auto"/>
        <w:bottom w:val="none" w:sz="0" w:space="0" w:color="auto"/>
        <w:right w:val="none" w:sz="0" w:space="0" w:color="auto"/>
      </w:divBdr>
    </w:div>
    <w:div w:id="723409860">
      <w:bodyDiv w:val="1"/>
      <w:marLeft w:val="0"/>
      <w:marRight w:val="0"/>
      <w:marTop w:val="0"/>
      <w:marBottom w:val="0"/>
      <w:divBdr>
        <w:top w:val="none" w:sz="0" w:space="0" w:color="auto"/>
        <w:left w:val="none" w:sz="0" w:space="0" w:color="auto"/>
        <w:bottom w:val="none" w:sz="0" w:space="0" w:color="auto"/>
        <w:right w:val="none" w:sz="0" w:space="0" w:color="auto"/>
      </w:divBdr>
      <w:divsChild>
        <w:div w:id="1674918403">
          <w:marLeft w:val="0"/>
          <w:marRight w:val="0"/>
          <w:marTop w:val="0"/>
          <w:marBottom w:val="0"/>
          <w:divBdr>
            <w:top w:val="none" w:sz="0" w:space="0" w:color="auto"/>
            <w:left w:val="none" w:sz="0" w:space="0" w:color="auto"/>
            <w:bottom w:val="none" w:sz="0" w:space="0" w:color="auto"/>
            <w:right w:val="none" w:sz="0" w:space="0" w:color="auto"/>
          </w:divBdr>
          <w:divsChild>
            <w:div w:id="1261336323">
              <w:marLeft w:val="0"/>
              <w:marRight w:val="0"/>
              <w:marTop w:val="0"/>
              <w:marBottom w:val="0"/>
              <w:divBdr>
                <w:top w:val="none" w:sz="0" w:space="0" w:color="auto"/>
                <w:left w:val="none" w:sz="0" w:space="0" w:color="auto"/>
                <w:bottom w:val="none" w:sz="0" w:space="0" w:color="auto"/>
                <w:right w:val="none" w:sz="0" w:space="0" w:color="auto"/>
              </w:divBdr>
              <w:divsChild>
                <w:div w:id="75080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030843">
      <w:bodyDiv w:val="1"/>
      <w:marLeft w:val="0"/>
      <w:marRight w:val="0"/>
      <w:marTop w:val="0"/>
      <w:marBottom w:val="0"/>
      <w:divBdr>
        <w:top w:val="none" w:sz="0" w:space="0" w:color="auto"/>
        <w:left w:val="none" w:sz="0" w:space="0" w:color="auto"/>
        <w:bottom w:val="none" w:sz="0" w:space="0" w:color="auto"/>
        <w:right w:val="none" w:sz="0" w:space="0" w:color="auto"/>
      </w:divBdr>
    </w:div>
    <w:div w:id="733939039">
      <w:bodyDiv w:val="1"/>
      <w:marLeft w:val="0"/>
      <w:marRight w:val="0"/>
      <w:marTop w:val="0"/>
      <w:marBottom w:val="0"/>
      <w:divBdr>
        <w:top w:val="none" w:sz="0" w:space="0" w:color="auto"/>
        <w:left w:val="none" w:sz="0" w:space="0" w:color="auto"/>
        <w:bottom w:val="none" w:sz="0" w:space="0" w:color="auto"/>
        <w:right w:val="none" w:sz="0" w:space="0" w:color="auto"/>
      </w:divBdr>
    </w:div>
    <w:div w:id="740638864">
      <w:bodyDiv w:val="1"/>
      <w:marLeft w:val="0"/>
      <w:marRight w:val="0"/>
      <w:marTop w:val="0"/>
      <w:marBottom w:val="0"/>
      <w:divBdr>
        <w:top w:val="none" w:sz="0" w:space="0" w:color="auto"/>
        <w:left w:val="none" w:sz="0" w:space="0" w:color="auto"/>
        <w:bottom w:val="none" w:sz="0" w:space="0" w:color="auto"/>
        <w:right w:val="none" w:sz="0" w:space="0" w:color="auto"/>
      </w:divBdr>
    </w:div>
    <w:div w:id="744956737">
      <w:bodyDiv w:val="1"/>
      <w:marLeft w:val="0"/>
      <w:marRight w:val="0"/>
      <w:marTop w:val="0"/>
      <w:marBottom w:val="0"/>
      <w:divBdr>
        <w:top w:val="none" w:sz="0" w:space="0" w:color="auto"/>
        <w:left w:val="none" w:sz="0" w:space="0" w:color="auto"/>
        <w:bottom w:val="none" w:sz="0" w:space="0" w:color="auto"/>
        <w:right w:val="none" w:sz="0" w:space="0" w:color="auto"/>
      </w:divBdr>
    </w:div>
    <w:div w:id="747768138">
      <w:bodyDiv w:val="1"/>
      <w:marLeft w:val="0"/>
      <w:marRight w:val="0"/>
      <w:marTop w:val="0"/>
      <w:marBottom w:val="0"/>
      <w:divBdr>
        <w:top w:val="none" w:sz="0" w:space="0" w:color="auto"/>
        <w:left w:val="none" w:sz="0" w:space="0" w:color="auto"/>
        <w:bottom w:val="none" w:sz="0" w:space="0" w:color="auto"/>
        <w:right w:val="none" w:sz="0" w:space="0" w:color="auto"/>
      </w:divBdr>
    </w:div>
    <w:div w:id="748845509">
      <w:bodyDiv w:val="1"/>
      <w:marLeft w:val="0"/>
      <w:marRight w:val="0"/>
      <w:marTop w:val="0"/>
      <w:marBottom w:val="0"/>
      <w:divBdr>
        <w:top w:val="none" w:sz="0" w:space="0" w:color="auto"/>
        <w:left w:val="none" w:sz="0" w:space="0" w:color="auto"/>
        <w:bottom w:val="none" w:sz="0" w:space="0" w:color="auto"/>
        <w:right w:val="none" w:sz="0" w:space="0" w:color="auto"/>
      </w:divBdr>
    </w:div>
    <w:div w:id="751700679">
      <w:bodyDiv w:val="1"/>
      <w:marLeft w:val="0"/>
      <w:marRight w:val="0"/>
      <w:marTop w:val="0"/>
      <w:marBottom w:val="0"/>
      <w:divBdr>
        <w:top w:val="none" w:sz="0" w:space="0" w:color="auto"/>
        <w:left w:val="none" w:sz="0" w:space="0" w:color="auto"/>
        <w:bottom w:val="none" w:sz="0" w:space="0" w:color="auto"/>
        <w:right w:val="none" w:sz="0" w:space="0" w:color="auto"/>
      </w:divBdr>
      <w:divsChild>
        <w:div w:id="1183743273">
          <w:marLeft w:val="0"/>
          <w:marRight w:val="0"/>
          <w:marTop w:val="0"/>
          <w:marBottom w:val="150"/>
          <w:divBdr>
            <w:top w:val="none" w:sz="0" w:space="0" w:color="auto"/>
            <w:left w:val="none" w:sz="0" w:space="0" w:color="auto"/>
            <w:bottom w:val="none" w:sz="0" w:space="0" w:color="auto"/>
            <w:right w:val="none" w:sz="0" w:space="0" w:color="auto"/>
          </w:divBdr>
        </w:div>
      </w:divsChild>
    </w:div>
    <w:div w:id="765418849">
      <w:bodyDiv w:val="1"/>
      <w:marLeft w:val="0"/>
      <w:marRight w:val="0"/>
      <w:marTop w:val="0"/>
      <w:marBottom w:val="0"/>
      <w:divBdr>
        <w:top w:val="none" w:sz="0" w:space="0" w:color="auto"/>
        <w:left w:val="none" w:sz="0" w:space="0" w:color="auto"/>
        <w:bottom w:val="none" w:sz="0" w:space="0" w:color="auto"/>
        <w:right w:val="none" w:sz="0" w:space="0" w:color="auto"/>
      </w:divBdr>
    </w:div>
    <w:div w:id="769394147">
      <w:bodyDiv w:val="1"/>
      <w:marLeft w:val="0"/>
      <w:marRight w:val="0"/>
      <w:marTop w:val="0"/>
      <w:marBottom w:val="0"/>
      <w:divBdr>
        <w:top w:val="none" w:sz="0" w:space="0" w:color="auto"/>
        <w:left w:val="none" w:sz="0" w:space="0" w:color="auto"/>
        <w:bottom w:val="none" w:sz="0" w:space="0" w:color="auto"/>
        <w:right w:val="none" w:sz="0" w:space="0" w:color="auto"/>
      </w:divBdr>
    </w:div>
    <w:div w:id="769937666">
      <w:bodyDiv w:val="1"/>
      <w:marLeft w:val="0"/>
      <w:marRight w:val="0"/>
      <w:marTop w:val="0"/>
      <w:marBottom w:val="0"/>
      <w:divBdr>
        <w:top w:val="none" w:sz="0" w:space="0" w:color="auto"/>
        <w:left w:val="none" w:sz="0" w:space="0" w:color="auto"/>
        <w:bottom w:val="none" w:sz="0" w:space="0" w:color="auto"/>
        <w:right w:val="none" w:sz="0" w:space="0" w:color="auto"/>
      </w:divBdr>
    </w:div>
    <w:div w:id="770129750">
      <w:bodyDiv w:val="1"/>
      <w:marLeft w:val="0"/>
      <w:marRight w:val="0"/>
      <w:marTop w:val="0"/>
      <w:marBottom w:val="0"/>
      <w:divBdr>
        <w:top w:val="none" w:sz="0" w:space="0" w:color="auto"/>
        <w:left w:val="none" w:sz="0" w:space="0" w:color="auto"/>
        <w:bottom w:val="none" w:sz="0" w:space="0" w:color="auto"/>
        <w:right w:val="none" w:sz="0" w:space="0" w:color="auto"/>
      </w:divBdr>
    </w:div>
    <w:div w:id="771053400">
      <w:bodyDiv w:val="1"/>
      <w:marLeft w:val="0"/>
      <w:marRight w:val="0"/>
      <w:marTop w:val="0"/>
      <w:marBottom w:val="0"/>
      <w:divBdr>
        <w:top w:val="none" w:sz="0" w:space="0" w:color="auto"/>
        <w:left w:val="none" w:sz="0" w:space="0" w:color="auto"/>
        <w:bottom w:val="none" w:sz="0" w:space="0" w:color="auto"/>
        <w:right w:val="none" w:sz="0" w:space="0" w:color="auto"/>
      </w:divBdr>
    </w:div>
    <w:div w:id="771899021">
      <w:bodyDiv w:val="1"/>
      <w:marLeft w:val="0"/>
      <w:marRight w:val="0"/>
      <w:marTop w:val="0"/>
      <w:marBottom w:val="0"/>
      <w:divBdr>
        <w:top w:val="none" w:sz="0" w:space="0" w:color="auto"/>
        <w:left w:val="none" w:sz="0" w:space="0" w:color="auto"/>
        <w:bottom w:val="none" w:sz="0" w:space="0" w:color="auto"/>
        <w:right w:val="none" w:sz="0" w:space="0" w:color="auto"/>
      </w:divBdr>
    </w:div>
    <w:div w:id="779835209">
      <w:bodyDiv w:val="1"/>
      <w:marLeft w:val="0"/>
      <w:marRight w:val="0"/>
      <w:marTop w:val="0"/>
      <w:marBottom w:val="0"/>
      <w:divBdr>
        <w:top w:val="none" w:sz="0" w:space="0" w:color="auto"/>
        <w:left w:val="none" w:sz="0" w:space="0" w:color="auto"/>
        <w:bottom w:val="none" w:sz="0" w:space="0" w:color="auto"/>
        <w:right w:val="none" w:sz="0" w:space="0" w:color="auto"/>
      </w:divBdr>
    </w:div>
    <w:div w:id="779840102">
      <w:bodyDiv w:val="1"/>
      <w:marLeft w:val="0"/>
      <w:marRight w:val="0"/>
      <w:marTop w:val="0"/>
      <w:marBottom w:val="0"/>
      <w:divBdr>
        <w:top w:val="none" w:sz="0" w:space="0" w:color="auto"/>
        <w:left w:val="none" w:sz="0" w:space="0" w:color="auto"/>
        <w:bottom w:val="none" w:sz="0" w:space="0" w:color="auto"/>
        <w:right w:val="none" w:sz="0" w:space="0" w:color="auto"/>
      </w:divBdr>
    </w:div>
    <w:div w:id="783813061">
      <w:bodyDiv w:val="1"/>
      <w:marLeft w:val="0"/>
      <w:marRight w:val="0"/>
      <w:marTop w:val="0"/>
      <w:marBottom w:val="0"/>
      <w:divBdr>
        <w:top w:val="none" w:sz="0" w:space="0" w:color="auto"/>
        <w:left w:val="none" w:sz="0" w:space="0" w:color="auto"/>
        <w:bottom w:val="none" w:sz="0" w:space="0" w:color="auto"/>
        <w:right w:val="none" w:sz="0" w:space="0" w:color="auto"/>
      </w:divBdr>
    </w:div>
    <w:div w:id="788547053">
      <w:bodyDiv w:val="1"/>
      <w:marLeft w:val="0"/>
      <w:marRight w:val="0"/>
      <w:marTop w:val="0"/>
      <w:marBottom w:val="0"/>
      <w:divBdr>
        <w:top w:val="none" w:sz="0" w:space="0" w:color="auto"/>
        <w:left w:val="none" w:sz="0" w:space="0" w:color="auto"/>
        <w:bottom w:val="none" w:sz="0" w:space="0" w:color="auto"/>
        <w:right w:val="none" w:sz="0" w:space="0" w:color="auto"/>
      </w:divBdr>
    </w:div>
    <w:div w:id="795610450">
      <w:bodyDiv w:val="1"/>
      <w:marLeft w:val="0"/>
      <w:marRight w:val="0"/>
      <w:marTop w:val="0"/>
      <w:marBottom w:val="0"/>
      <w:divBdr>
        <w:top w:val="none" w:sz="0" w:space="0" w:color="auto"/>
        <w:left w:val="none" w:sz="0" w:space="0" w:color="auto"/>
        <w:bottom w:val="none" w:sz="0" w:space="0" w:color="auto"/>
        <w:right w:val="none" w:sz="0" w:space="0" w:color="auto"/>
      </w:divBdr>
    </w:div>
    <w:div w:id="798063731">
      <w:bodyDiv w:val="1"/>
      <w:marLeft w:val="0"/>
      <w:marRight w:val="0"/>
      <w:marTop w:val="0"/>
      <w:marBottom w:val="0"/>
      <w:divBdr>
        <w:top w:val="none" w:sz="0" w:space="0" w:color="auto"/>
        <w:left w:val="none" w:sz="0" w:space="0" w:color="auto"/>
        <w:bottom w:val="none" w:sz="0" w:space="0" w:color="auto"/>
        <w:right w:val="none" w:sz="0" w:space="0" w:color="auto"/>
      </w:divBdr>
    </w:div>
    <w:div w:id="807629335">
      <w:bodyDiv w:val="1"/>
      <w:marLeft w:val="0"/>
      <w:marRight w:val="0"/>
      <w:marTop w:val="0"/>
      <w:marBottom w:val="0"/>
      <w:divBdr>
        <w:top w:val="none" w:sz="0" w:space="0" w:color="auto"/>
        <w:left w:val="none" w:sz="0" w:space="0" w:color="auto"/>
        <w:bottom w:val="none" w:sz="0" w:space="0" w:color="auto"/>
        <w:right w:val="none" w:sz="0" w:space="0" w:color="auto"/>
      </w:divBdr>
    </w:div>
    <w:div w:id="807866285">
      <w:bodyDiv w:val="1"/>
      <w:marLeft w:val="0"/>
      <w:marRight w:val="0"/>
      <w:marTop w:val="0"/>
      <w:marBottom w:val="0"/>
      <w:divBdr>
        <w:top w:val="none" w:sz="0" w:space="0" w:color="auto"/>
        <w:left w:val="none" w:sz="0" w:space="0" w:color="auto"/>
        <w:bottom w:val="none" w:sz="0" w:space="0" w:color="auto"/>
        <w:right w:val="none" w:sz="0" w:space="0" w:color="auto"/>
      </w:divBdr>
    </w:div>
    <w:div w:id="808547440">
      <w:bodyDiv w:val="1"/>
      <w:marLeft w:val="0"/>
      <w:marRight w:val="0"/>
      <w:marTop w:val="0"/>
      <w:marBottom w:val="0"/>
      <w:divBdr>
        <w:top w:val="none" w:sz="0" w:space="0" w:color="auto"/>
        <w:left w:val="none" w:sz="0" w:space="0" w:color="auto"/>
        <w:bottom w:val="none" w:sz="0" w:space="0" w:color="auto"/>
        <w:right w:val="none" w:sz="0" w:space="0" w:color="auto"/>
      </w:divBdr>
      <w:divsChild>
        <w:div w:id="1166633279">
          <w:marLeft w:val="0"/>
          <w:marRight w:val="0"/>
          <w:marTop w:val="0"/>
          <w:marBottom w:val="0"/>
          <w:divBdr>
            <w:top w:val="none" w:sz="0" w:space="0" w:color="auto"/>
            <w:left w:val="none" w:sz="0" w:space="0" w:color="auto"/>
            <w:bottom w:val="none" w:sz="0" w:space="0" w:color="auto"/>
            <w:right w:val="none" w:sz="0" w:space="0" w:color="auto"/>
          </w:divBdr>
          <w:divsChild>
            <w:div w:id="696350483">
              <w:marLeft w:val="0"/>
              <w:marRight w:val="0"/>
              <w:marTop w:val="0"/>
              <w:marBottom w:val="0"/>
              <w:divBdr>
                <w:top w:val="none" w:sz="0" w:space="0" w:color="auto"/>
                <w:left w:val="none" w:sz="0" w:space="0" w:color="auto"/>
                <w:bottom w:val="none" w:sz="0" w:space="0" w:color="auto"/>
                <w:right w:val="none" w:sz="0" w:space="0" w:color="auto"/>
              </w:divBdr>
              <w:divsChild>
                <w:div w:id="198314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093441">
      <w:bodyDiv w:val="1"/>
      <w:marLeft w:val="0"/>
      <w:marRight w:val="0"/>
      <w:marTop w:val="0"/>
      <w:marBottom w:val="0"/>
      <w:divBdr>
        <w:top w:val="none" w:sz="0" w:space="0" w:color="auto"/>
        <w:left w:val="none" w:sz="0" w:space="0" w:color="auto"/>
        <w:bottom w:val="none" w:sz="0" w:space="0" w:color="auto"/>
        <w:right w:val="none" w:sz="0" w:space="0" w:color="auto"/>
      </w:divBdr>
    </w:div>
    <w:div w:id="814685509">
      <w:bodyDiv w:val="1"/>
      <w:marLeft w:val="0"/>
      <w:marRight w:val="0"/>
      <w:marTop w:val="0"/>
      <w:marBottom w:val="0"/>
      <w:divBdr>
        <w:top w:val="none" w:sz="0" w:space="0" w:color="auto"/>
        <w:left w:val="none" w:sz="0" w:space="0" w:color="auto"/>
        <w:bottom w:val="none" w:sz="0" w:space="0" w:color="auto"/>
        <w:right w:val="none" w:sz="0" w:space="0" w:color="auto"/>
      </w:divBdr>
    </w:div>
    <w:div w:id="816996216">
      <w:bodyDiv w:val="1"/>
      <w:marLeft w:val="0"/>
      <w:marRight w:val="0"/>
      <w:marTop w:val="0"/>
      <w:marBottom w:val="0"/>
      <w:divBdr>
        <w:top w:val="none" w:sz="0" w:space="0" w:color="auto"/>
        <w:left w:val="none" w:sz="0" w:space="0" w:color="auto"/>
        <w:bottom w:val="none" w:sz="0" w:space="0" w:color="auto"/>
        <w:right w:val="none" w:sz="0" w:space="0" w:color="auto"/>
      </w:divBdr>
    </w:div>
    <w:div w:id="819077645">
      <w:bodyDiv w:val="1"/>
      <w:marLeft w:val="0"/>
      <w:marRight w:val="0"/>
      <w:marTop w:val="0"/>
      <w:marBottom w:val="0"/>
      <w:divBdr>
        <w:top w:val="none" w:sz="0" w:space="0" w:color="auto"/>
        <w:left w:val="none" w:sz="0" w:space="0" w:color="auto"/>
        <w:bottom w:val="none" w:sz="0" w:space="0" w:color="auto"/>
        <w:right w:val="none" w:sz="0" w:space="0" w:color="auto"/>
      </w:divBdr>
    </w:div>
    <w:div w:id="819691426">
      <w:bodyDiv w:val="1"/>
      <w:marLeft w:val="0"/>
      <w:marRight w:val="0"/>
      <w:marTop w:val="0"/>
      <w:marBottom w:val="0"/>
      <w:divBdr>
        <w:top w:val="none" w:sz="0" w:space="0" w:color="auto"/>
        <w:left w:val="none" w:sz="0" w:space="0" w:color="auto"/>
        <w:bottom w:val="none" w:sz="0" w:space="0" w:color="auto"/>
        <w:right w:val="none" w:sz="0" w:space="0" w:color="auto"/>
      </w:divBdr>
      <w:divsChild>
        <w:div w:id="134181310">
          <w:marLeft w:val="0"/>
          <w:marRight w:val="0"/>
          <w:marTop w:val="0"/>
          <w:marBottom w:val="150"/>
          <w:divBdr>
            <w:top w:val="none" w:sz="0" w:space="0" w:color="auto"/>
            <w:left w:val="none" w:sz="0" w:space="0" w:color="auto"/>
            <w:bottom w:val="none" w:sz="0" w:space="0" w:color="auto"/>
            <w:right w:val="none" w:sz="0" w:space="0" w:color="auto"/>
          </w:divBdr>
        </w:div>
      </w:divsChild>
    </w:div>
    <w:div w:id="819925228">
      <w:bodyDiv w:val="1"/>
      <w:marLeft w:val="0"/>
      <w:marRight w:val="0"/>
      <w:marTop w:val="0"/>
      <w:marBottom w:val="0"/>
      <w:divBdr>
        <w:top w:val="none" w:sz="0" w:space="0" w:color="auto"/>
        <w:left w:val="none" w:sz="0" w:space="0" w:color="auto"/>
        <w:bottom w:val="none" w:sz="0" w:space="0" w:color="auto"/>
        <w:right w:val="none" w:sz="0" w:space="0" w:color="auto"/>
      </w:divBdr>
    </w:div>
    <w:div w:id="829053358">
      <w:bodyDiv w:val="1"/>
      <w:marLeft w:val="0"/>
      <w:marRight w:val="0"/>
      <w:marTop w:val="0"/>
      <w:marBottom w:val="0"/>
      <w:divBdr>
        <w:top w:val="none" w:sz="0" w:space="0" w:color="auto"/>
        <w:left w:val="none" w:sz="0" w:space="0" w:color="auto"/>
        <w:bottom w:val="none" w:sz="0" w:space="0" w:color="auto"/>
        <w:right w:val="none" w:sz="0" w:space="0" w:color="auto"/>
      </w:divBdr>
    </w:div>
    <w:div w:id="835150654">
      <w:bodyDiv w:val="1"/>
      <w:marLeft w:val="0"/>
      <w:marRight w:val="0"/>
      <w:marTop w:val="0"/>
      <w:marBottom w:val="0"/>
      <w:divBdr>
        <w:top w:val="none" w:sz="0" w:space="0" w:color="auto"/>
        <w:left w:val="none" w:sz="0" w:space="0" w:color="auto"/>
        <w:bottom w:val="none" w:sz="0" w:space="0" w:color="auto"/>
        <w:right w:val="none" w:sz="0" w:space="0" w:color="auto"/>
      </w:divBdr>
    </w:div>
    <w:div w:id="840048902">
      <w:bodyDiv w:val="1"/>
      <w:marLeft w:val="0"/>
      <w:marRight w:val="0"/>
      <w:marTop w:val="0"/>
      <w:marBottom w:val="0"/>
      <w:divBdr>
        <w:top w:val="none" w:sz="0" w:space="0" w:color="auto"/>
        <w:left w:val="none" w:sz="0" w:space="0" w:color="auto"/>
        <w:bottom w:val="none" w:sz="0" w:space="0" w:color="auto"/>
        <w:right w:val="none" w:sz="0" w:space="0" w:color="auto"/>
      </w:divBdr>
    </w:div>
    <w:div w:id="845751053">
      <w:bodyDiv w:val="1"/>
      <w:marLeft w:val="0"/>
      <w:marRight w:val="0"/>
      <w:marTop w:val="0"/>
      <w:marBottom w:val="0"/>
      <w:divBdr>
        <w:top w:val="none" w:sz="0" w:space="0" w:color="auto"/>
        <w:left w:val="none" w:sz="0" w:space="0" w:color="auto"/>
        <w:bottom w:val="none" w:sz="0" w:space="0" w:color="auto"/>
        <w:right w:val="none" w:sz="0" w:space="0" w:color="auto"/>
      </w:divBdr>
    </w:div>
    <w:div w:id="848370383">
      <w:bodyDiv w:val="1"/>
      <w:marLeft w:val="0"/>
      <w:marRight w:val="0"/>
      <w:marTop w:val="0"/>
      <w:marBottom w:val="0"/>
      <w:divBdr>
        <w:top w:val="none" w:sz="0" w:space="0" w:color="auto"/>
        <w:left w:val="none" w:sz="0" w:space="0" w:color="auto"/>
        <w:bottom w:val="none" w:sz="0" w:space="0" w:color="auto"/>
        <w:right w:val="none" w:sz="0" w:space="0" w:color="auto"/>
      </w:divBdr>
      <w:divsChild>
        <w:div w:id="1301424436">
          <w:marLeft w:val="0"/>
          <w:marRight w:val="0"/>
          <w:marTop w:val="0"/>
          <w:marBottom w:val="0"/>
          <w:divBdr>
            <w:top w:val="none" w:sz="0" w:space="0" w:color="auto"/>
            <w:left w:val="none" w:sz="0" w:space="0" w:color="auto"/>
            <w:bottom w:val="none" w:sz="0" w:space="0" w:color="auto"/>
            <w:right w:val="none" w:sz="0" w:space="0" w:color="auto"/>
          </w:divBdr>
          <w:divsChild>
            <w:div w:id="560022765">
              <w:marLeft w:val="0"/>
              <w:marRight w:val="0"/>
              <w:marTop w:val="0"/>
              <w:marBottom w:val="0"/>
              <w:divBdr>
                <w:top w:val="none" w:sz="0" w:space="0" w:color="auto"/>
                <w:left w:val="none" w:sz="0" w:space="0" w:color="auto"/>
                <w:bottom w:val="none" w:sz="0" w:space="0" w:color="auto"/>
                <w:right w:val="none" w:sz="0" w:space="0" w:color="auto"/>
              </w:divBdr>
              <w:divsChild>
                <w:div w:id="122587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757439">
      <w:bodyDiv w:val="1"/>
      <w:marLeft w:val="0"/>
      <w:marRight w:val="0"/>
      <w:marTop w:val="0"/>
      <w:marBottom w:val="0"/>
      <w:divBdr>
        <w:top w:val="none" w:sz="0" w:space="0" w:color="auto"/>
        <w:left w:val="none" w:sz="0" w:space="0" w:color="auto"/>
        <w:bottom w:val="none" w:sz="0" w:space="0" w:color="auto"/>
        <w:right w:val="none" w:sz="0" w:space="0" w:color="auto"/>
      </w:divBdr>
    </w:div>
    <w:div w:id="853761881">
      <w:bodyDiv w:val="1"/>
      <w:marLeft w:val="0"/>
      <w:marRight w:val="0"/>
      <w:marTop w:val="0"/>
      <w:marBottom w:val="0"/>
      <w:divBdr>
        <w:top w:val="none" w:sz="0" w:space="0" w:color="auto"/>
        <w:left w:val="none" w:sz="0" w:space="0" w:color="auto"/>
        <w:bottom w:val="none" w:sz="0" w:space="0" w:color="auto"/>
        <w:right w:val="none" w:sz="0" w:space="0" w:color="auto"/>
      </w:divBdr>
    </w:div>
    <w:div w:id="860515665">
      <w:bodyDiv w:val="1"/>
      <w:marLeft w:val="0"/>
      <w:marRight w:val="0"/>
      <w:marTop w:val="0"/>
      <w:marBottom w:val="0"/>
      <w:divBdr>
        <w:top w:val="none" w:sz="0" w:space="0" w:color="auto"/>
        <w:left w:val="none" w:sz="0" w:space="0" w:color="auto"/>
        <w:bottom w:val="none" w:sz="0" w:space="0" w:color="auto"/>
        <w:right w:val="none" w:sz="0" w:space="0" w:color="auto"/>
      </w:divBdr>
    </w:div>
    <w:div w:id="867642274">
      <w:bodyDiv w:val="1"/>
      <w:marLeft w:val="0"/>
      <w:marRight w:val="0"/>
      <w:marTop w:val="0"/>
      <w:marBottom w:val="0"/>
      <w:divBdr>
        <w:top w:val="none" w:sz="0" w:space="0" w:color="auto"/>
        <w:left w:val="none" w:sz="0" w:space="0" w:color="auto"/>
        <w:bottom w:val="none" w:sz="0" w:space="0" w:color="auto"/>
        <w:right w:val="none" w:sz="0" w:space="0" w:color="auto"/>
      </w:divBdr>
    </w:div>
    <w:div w:id="874733808">
      <w:bodyDiv w:val="1"/>
      <w:marLeft w:val="0"/>
      <w:marRight w:val="0"/>
      <w:marTop w:val="0"/>
      <w:marBottom w:val="0"/>
      <w:divBdr>
        <w:top w:val="none" w:sz="0" w:space="0" w:color="auto"/>
        <w:left w:val="none" w:sz="0" w:space="0" w:color="auto"/>
        <w:bottom w:val="none" w:sz="0" w:space="0" w:color="auto"/>
        <w:right w:val="none" w:sz="0" w:space="0" w:color="auto"/>
      </w:divBdr>
    </w:div>
    <w:div w:id="878514633">
      <w:bodyDiv w:val="1"/>
      <w:marLeft w:val="0"/>
      <w:marRight w:val="0"/>
      <w:marTop w:val="0"/>
      <w:marBottom w:val="0"/>
      <w:divBdr>
        <w:top w:val="none" w:sz="0" w:space="0" w:color="auto"/>
        <w:left w:val="none" w:sz="0" w:space="0" w:color="auto"/>
        <w:bottom w:val="none" w:sz="0" w:space="0" w:color="auto"/>
        <w:right w:val="none" w:sz="0" w:space="0" w:color="auto"/>
      </w:divBdr>
    </w:div>
    <w:div w:id="892351891">
      <w:bodyDiv w:val="1"/>
      <w:marLeft w:val="0"/>
      <w:marRight w:val="0"/>
      <w:marTop w:val="0"/>
      <w:marBottom w:val="0"/>
      <w:divBdr>
        <w:top w:val="none" w:sz="0" w:space="0" w:color="auto"/>
        <w:left w:val="none" w:sz="0" w:space="0" w:color="auto"/>
        <w:bottom w:val="none" w:sz="0" w:space="0" w:color="auto"/>
        <w:right w:val="none" w:sz="0" w:space="0" w:color="auto"/>
      </w:divBdr>
      <w:divsChild>
        <w:div w:id="598368648">
          <w:marLeft w:val="0"/>
          <w:marRight w:val="0"/>
          <w:marTop w:val="0"/>
          <w:marBottom w:val="0"/>
          <w:divBdr>
            <w:top w:val="none" w:sz="0" w:space="0" w:color="auto"/>
            <w:left w:val="none" w:sz="0" w:space="0" w:color="auto"/>
            <w:bottom w:val="none" w:sz="0" w:space="0" w:color="auto"/>
            <w:right w:val="none" w:sz="0" w:space="0" w:color="auto"/>
          </w:divBdr>
          <w:divsChild>
            <w:div w:id="89357348">
              <w:marLeft w:val="0"/>
              <w:marRight w:val="0"/>
              <w:marTop w:val="0"/>
              <w:marBottom w:val="0"/>
              <w:divBdr>
                <w:top w:val="none" w:sz="0" w:space="0" w:color="auto"/>
                <w:left w:val="none" w:sz="0" w:space="0" w:color="auto"/>
                <w:bottom w:val="none" w:sz="0" w:space="0" w:color="auto"/>
                <w:right w:val="none" w:sz="0" w:space="0" w:color="auto"/>
              </w:divBdr>
              <w:divsChild>
                <w:div w:id="57351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169042">
      <w:bodyDiv w:val="1"/>
      <w:marLeft w:val="0"/>
      <w:marRight w:val="0"/>
      <w:marTop w:val="0"/>
      <w:marBottom w:val="0"/>
      <w:divBdr>
        <w:top w:val="none" w:sz="0" w:space="0" w:color="auto"/>
        <w:left w:val="none" w:sz="0" w:space="0" w:color="auto"/>
        <w:bottom w:val="none" w:sz="0" w:space="0" w:color="auto"/>
        <w:right w:val="none" w:sz="0" w:space="0" w:color="auto"/>
      </w:divBdr>
    </w:div>
    <w:div w:id="899052579">
      <w:bodyDiv w:val="1"/>
      <w:marLeft w:val="0"/>
      <w:marRight w:val="0"/>
      <w:marTop w:val="0"/>
      <w:marBottom w:val="0"/>
      <w:divBdr>
        <w:top w:val="none" w:sz="0" w:space="0" w:color="auto"/>
        <w:left w:val="none" w:sz="0" w:space="0" w:color="auto"/>
        <w:bottom w:val="none" w:sz="0" w:space="0" w:color="auto"/>
        <w:right w:val="none" w:sz="0" w:space="0" w:color="auto"/>
      </w:divBdr>
    </w:div>
    <w:div w:id="900023120">
      <w:bodyDiv w:val="1"/>
      <w:marLeft w:val="0"/>
      <w:marRight w:val="0"/>
      <w:marTop w:val="0"/>
      <w:marBottom w:val="0"/>
      <w:divBdr>
        <w:top w:val="none" w:sz="0" w:space="0" w:color="auto"/>
        <w:left w:val="none" w:sz="0" w:space="0" w:color="auto"/>
        <w:bottom w:val="none" w:sz="0" w:space="0" w:color="auto"/>
        <w:right w:val="none" w:sz="0" w:space="0" w:color="auto"/>
      </w:divBdr>
    </w:div>
    <w:div w:id="901990742">
      <w:bodyDiv w:val="1"/>
      <w:marLeft w:val="0"/>
      <w:marRight w:val="0"/>
      <w:marTop w:val="0"/>
      <w:marBottom w:val="0"/>
      <w:divBdr>
        <w:top w:val="none" w:sz="0" w:space="0" w:color="auto"/>
        <w:left w:val="none" w:sz="0" w:space="0" w:color="auto"/>
        <w:bottom w:val="none" w:sz="0" w:space="0" w:color="auto"/>
        <w:right w:val="none" w:sz="0" w:space="0" w:color="auto"/>
      </w:divBdr>
    </w:div>
    <w:div w:id="902712097">
      <w:bodyDiv w:val="1"/>
      <w:marLeft w:val="0"/>
      <w:marRight w:val="0"/>
      <w:marTop w:val="0"/>
      <w:marBottom w:val="0"/>
      <w:divBdr>
        <w:top w:val="none" w:sz="0" w:space="0" w:color="auto"/>
        <w:left w:val="none" w:sz="0" w:space="0" w:color="auto"/>
        <w:bottom w:val="none" w:sz="0" w:space="0" w:color="auto"/>
        <w:right w:val="none" w:sz="0" w:space="0" w:color="auto"/>
      </w:divBdr>
    </w:div>
    <w:div w:id="908418771">
      <w:bodyDiv w:val="1"/>
      <w:marLeft w:val="0"/>
      <w:marRight w:val="0"/>
      <w:marTop w:val="0"/>
      <w:marBottom w:val="0"/>
      <w:divBdr>
        <w:top w:val="none" w:sz="0" w:space="0" w:color="auto"/>
        <w:left w:val="none" w:sz="0" w:space="0" w:color="auto"/>
        <w:bottom w:val="none" w:sz="0" w:space="0" w:color="auto"/>
        <w:right w:val="none" w:sz="0" w:space="0" w:color="auto"/>
      </w:divBdr>
    </w:div>
    <w:div w:id="909726958">
      <w:bodyDiv w:val="1"/>
      <w:marLeft w:val="0"/>
      <w:marRight w:val="0"/>
      <w:marTop w:val="0"/>
      <w:marBottom w:val="0"/>
      <w:divBdr>
        <w:top w:val="none" w:sz="0" w:space="0" w:color="auto"/>
        <w:left w:val="none" w:sz="0" w:space="0" w:color="auto"/>
        <w:bottom w:val="none" w:sz="0" w:space="0" w:color="auto"/>
        <w:right w:val="none" w:sz="0" w:space="0" w:color="auto"/>
      </w:divBdr>
    </w:div>
    <w:div w:id="911886330">
      <w:bodyDiv w:val="1"/>
      <w:marLeft w:val="0"/>
      <w:marRight w:val="0"/>
      <w:marTop w:val="0"/>
      <w:marBottom w:val="0"/>
      <w:divBdr>
        <w:top w:val="none" w:sz="0" w:space="0" w:color="auto"/>
        <w:left w:val="none" w:sz="0" w:space="0" w:color="auto"/>
        <w:bottom w:val="none" w:sz="0" w:space="0" w:color="auto"/>
        <w:right w:val="none" w:sz="0" w:space="0" w:color="auto"/>
      </w:divBdr>
    </w:div>
    <w:div w:id="917129422">
      <w:bodyDiv w:val="1"/>
      <w:marLeft w:val="0"/>
      <w:marRight w:val="0"/>
      <w:marTop w:val="0"/>
      <w:marBottom w:val="0"/>
      <w:divBdr>
        <w:top w:val="none" w:sz="0" w:space="0" w:color="auto"/>
        <w:left w:val="none" w:sz="0" w:space="0" w:color="auto"/>
        <w:bottom w:val="none" w:sz="0" w:space="0" w:color="auto"/>
        <w:right w:val="none" w:sz="0" w:space="0" w:color="auto"/>
      </w:divBdr>
    </w:div>
    <w:div w:id="919217691">
      <w:bodyDiv w:val="1"/>
      <w:marLeft w:val="0"/>
      <w:marRight w:val="0"/>
      <w:marTop w:val="0"/>
      <w:marBottom w:val="0"/>
      <w:divBdr>
        <w:top w:val="none" w:sz="0" w:space="0" w:color="auto"/>
        <w:left w:val="none" w:sz="0" w:space="0" w:color="auto"/>
        <w:bottom w:val="none" w:sz="0" w:space="0" w:color="auto"/>
        <w:right w:val="none" w:sz="0" w:space="0" w:color="auto"/>
      </w:divBdr>
    </w:div>
    <w:div w:id="932249824">
      <w:bodyDiv w:val="1"/>
      <w:marLeft w:val="0"/>
      <w:marRight w:val="0"/>
      <w:marTop w:val="0"/>
      <w:marBottom w:val="0"/>
      <w:divBdr>
        <w:top w:val="none" w:sz="0" w:space="0" w:color="auto"/>
        <w:left w:val="none" w:sz="0" w:space="0" w:color="auto"/>
        <w:bottom w:val="none" w:sz="0" w:space="0" w:color="auto"/>
        <w:right w:val="none" w:sz="0" w:space="0" w:color="auto"/>
      </w:divBdr>
    </w:div>
    <w:div w:id="932710948">
      <w:bodyDiv w:val="1"/>
      <w:marLeft w:val="0"/>
      <w:marRight w:val="0"/>
      <w:marTop w:val="0"/>
      <w:marBottom w:val="0"/>
      <w:divBdr>
        <w:top w:val="none" w:sz="0" w:space="0" w:color="auto"/>
        <w:left w:val="none" w:sz="0" w:space="0" w:color="auto"/>
        <w:bottom w:val="none" w:sz="0" w:space="0" w:color="auto"/>
        <w:right w:val="none" w:sz="0" w:space="0" w:color="auto"/>
      </w:divBdr>
    </w:div>
    <w:div w:id="940145768">
      <w:bodyDiv w:val="1"/>
      <w:marLeft w:val="0"/>
      <w:marRight w:val="0"/>
      <w:marTop w:val="0"/>
      <w:marBottom w:val="0"/>
      <w:divBdr>
        <w:top w:val="none" w:sz="0" w:space="0" w:color="auto"/>
        <w:left w:val="none" w:sz="0" w:space="0" w:color="auto"/>
        <w:bottom w:val="none" w:sz="0" w:space="0" w:color="auto"/>
        <w:right w:val="none" w:sz="0" w:space="0" w:color="auto"/>
      </w:divBdr>
    </w:div>
    <w:div w:id="948240796">
      <w:bodyDiv w:val="1"/>
      <w:marLeft w:val="0"/>
      <w:marRight w:val="0"/>
      <w:marTop w:val="0"/>
      <w:marBottom w:val="0"/>
      <w:divBdr>
        <w:top w:val="none" w:sz="0" w:space="0" w:color="auto"/>
        <w:left w:val="none" w:sz="0" w:space="0" w:color="auto"/>
        <w:bottom w:val="none" w:sz="0" w:space="0" w:color="auto"/>
        <w:right w:val="none" w:sz="0" w:space="0" w:color="auto"/>
      </w:divBdr>
    </w:div>
    <w:div w:id="950672194">
      <w:bodyDiv w:val="1"/>
      <w:marLeft w:val="0"/>
      <w:marRight w:val="0"/>
      <w:marTop w:val="0"/>
      <w:marBottom w:val="0"/>
      <w:divBdr>
        <w:top w:val="none" w:sz="0" w:space="0" w:color="auto"/>
        <w:left w:val="none" w:sz="0" w:space="0" w:color="auto"/>
        <w:bottom w:val="none" w:sz="0" w:space="0" w:color="auto"/>
        <w:right w:val="none" w:sz="0" w:space="0" w:color="auto"/>
      </w:divBdr>
    </w:div>
    <w:div w:id="953370305">
      <w:bodyDiv w:val="1"/>
      <w:marLeft w:val="0"/>
      <w:marRight w:val="0"/>
      <w:marTop w:val="0"/>
      <w:marBottom w:val="0"/>
      <w:divBdr>
        <w:top w:val="none" w:sz="0" w:space="0" w:color="auto"/>
        <w:left w:val="none" w:sz="0" w:space="0" w:color="auto"/>
        <w:bottom w:val="none" w:sz="0" w:space="0" w:color="auto"/>
        <w:right w:val="none" w:sz="0" w:space="0" w:color="auto"/>
      </w:divBdr>
    </w:div>
    <w:div w:id="958026593">
      <w:bodyDiv w:val="1"/>
      <w:marLeft w:val="0"/>
      <w:marRight w:val="0"/>
      <w:marTop w:val="0"/>
      <w:marBottom w:val="0"/>
      <w:divBdr>
        <w:top w:val="none" w:sz="0" w:space="0" w:color="auto"/>
        <w:left w:val="none" w:sz="0" w:space="0" w:color="auto"/>
        <w:bottom w:val="none" w:sz="0" w:space="0" w:color="auto"/>
        <w:right w:val="none" w:sz="0" w:space="0" w:color="auto"/>
      </w:divBdr>
      <w:divsChild>
        <w:div w:id="108135524">
          <w:marLeft w:val="0"/>
          <w:marRight w:val="0"/>
          <w:marTop w:val="0"/>
          <w:marBottom w:val="300"/>
          <w:divBdr>
            <w:top w:val="none" w:sz="0" w:space="0" w:color="auto"/>
            <w:left w:val="none" w:sz="0" w:space="0" w:color="auto"/>
            <w:bottom w:val="none" w:sz="0" w:space="0" w:color="auto"/>
            <w:right w:val="none" w:sz="0" w:space="0" w:color="auto"/>
          </w:divBdr>
        </w:div>
        <w:div w:id="1944148506">
          <w:marLeft w:val="0"/>
          <w:marRight w:val="0"/>
          <w:marTop w:val="150"/>
          <w:marBottom w:val="300"/>
          <w:divBdr>
            <w:top w:val="none" w:sz="0" w:space="0" w:color="auto"/>
            <w:left w:val="none" w:sz="0" w:space="0" w:color="auto"/>
            <w:bottom w:val="none" w:sz="0" w:space="0" w:color="auto"/>
            <w:right w:val="none" w:sz="0" w:space="0" w:color="auto"/>
          </w:divBdr>
          <w:divsChild>
            <w:div w:id="1746604252">
              <w:marLeft w:val="0"/>
              <w:marRight w:val="0"/>
              <w:marTop w:val="0"/>
              <w:marBottom w:val="0"/>
              <w:divBdr>
                <w:top w:val="none" w:sz="0" w:space="0" w:color="auto"/>
                <w:left w:val="none" w:sz="0" w:space="0" w:color="auto"/>
                <w:bottom w:val="none" w:sz="0" w:space="0" w:color="auto"/>
                <w:right w:val="none" w:sz="0" w:space="0" w:color="auto"/>
              </w:divBdr>
            </w:div>
            <w:div w:id="1223442755">
              <w:marLeft w:val="0"/>
              <w:marRight w:val="0"/>
              <w:marTop w:val="0"/>
              <w:marBottom w:val="0"/>
              <w:divBdr>
                <w:top w:val="none" w:sz="0" w:space="0" w:color="auto"/>
                <w:left w:val="none" w:sz="0" w:space="0" w:color="auto"/>
                <w:bottom w:val="none" w:sz="0" w:space="0" w:color="auto"/>
                <w:right w:val="none" w:sz="0" w:space="0" w:color="auto"/>
              </w:divBdr>
            </w:div>
            <w:div w:id="115530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23386">
      <w:bodyDiv w:val="1"/>
      <w:marLeft w:val="0"/>
      <w:marRight w:val="0"/>
      <w:marTop w:val="0"/>
      <w:marBottom w:val="0"/>
      <w:divBdr>
        <w:top w:val="none" w:sz="0" w:space="0" w:color="auto"/>
        <w:left w:val="none" w:sz="0" w:space="0" w:color="auto"/>
        <w:bottom w:val="none" w:sz="0" w:space="0" w:color="auto"/>
        <w:right w:val="none" w:sz="0" w:space="0" w:color="auto"/>
      </w:divBdr>
    </w:div>
    <w:div w:id="969631536">
      <w:bodyDiv w:val="1"/>
      <w:marLeft w:val="0"/>
      <w:marRight w:val="0"/>
      <w:marTop w:val="0"/>
      <w:marBottom w:val="0"/>
      <w:divBdr>
        <w:top w:val="none" w:sz="0" w:space="0" w:color="auto"/>
        <w:left w:val="none" w:sz="0" w:space="0" w:color="auto"/>
        <w:bottom w:val="none" w:sz="0" w:space="0" w:color="auto"/>
        <w:right w:val="none" w:sz="0" w:space="0" w:color="auto"/>
      </w:divBdr>
    </w:div>
    <w:div w:id="974606894">
      <w:bodyDiv w:val="1"/>
      <w:marLeft w:val="0"/>
      <w:marRight w:val="0"/>
      <w:marTop w:val="0"/>
      <w:marBottom w:val="0"/>
      <w:divBdr>
        <w:top w:val="none" w:sz="0" w:space="0" w:color="auto"/>
        <w:left w:val="none" w:sz="0" w:space="0" w:color="auto"/>
        <w:bottom w:val="none" w:sz="0" w:space="0" w:color="auto"/>
        <w:right w:val="none" w:sz="0" w:space="0" w:color="auto"/>
      </w:divBdr>
    </w:div>
    <w:div w:id="993221632">
      <w:bodyDiv w:val="1"/>
      <w:marLeft w:val="0"/>
      <w:marRight w:val="0"/>
      <w:marTop w:val="0"/>
      <w:marBottom w:val="0"/>
      <w:divBdr>
        <w:top w:val="none" w:sz="0" w:space="0" w:color="auto"/>
        <w:left w:val="none" w:sz="0" w:space="0" w:color="auto"/>
        <w:bottom w:val="none" w:sz="0" w:space="0" w:color="auto"/>
        <w:right w:val="none" w:sz="0" w:space="0" w:color="auto"/>
      </w:divBdr>
    </w:div>
    <w:div w:id="993415142">
      <w:bodyDiv w:val="1"/>
      <w:marLeft w:val="0"/>
      <w:marRight w:val="0"/>
      <w:marTop w:val="0"/>
      <w:marBottom w:val="0"/>
      <w:divBdr>
        <w:top w:val="none" w:sz="0" w:space="0" w:color="auto"/>
        <w:left w:val="none" w:sz="0" w:space="0" w:color="auto"/>
        <w:bottom w:val="none" w:sz="0" w:space="0" w:color="auto"/>
        <w:right w:val="none" w:sz="0" w:space="0" w:color="auto"/>
      </w:divBdr>
    </w:div>
    <w:div w:id="997422768">
      <w:bodyDiv w:val="1"/>
      <w:marLeft w:val="0"/>
      <w:marRight w:val="0"/>
      <w:marTop w:val="0"/>
      <w:marBottom w:val="0"/>
      <w:divBdr>
        <w:top w:val="none" w:sz="0" w:space="0" w:color="auto"/>
        <w:left w:val="none" w:sz="0" w:space="0" w:color="auto"/>
        <w:bottom w:val="none" w:sz="0" w:space="0" w:color="auto"/>
        <w:right w:val="none" w:sz="0" w:space="0" w:color="auto"/>
      </w:divBdr>
    </w:div>
    <w:div w:id="1002900207">
      <w:bodyDiv w:val="1"/>
      <w:marLeft w:val="0"/>
      <w:marRight w:val="0"/>
      <w:marTop w:val="0"/>
      <w:marBottom w:val="0"/>
      <w:divBdr>
        <w:top w:val="none" w:sz="0" w:space="0" w:color="auto"/>
        <w:left w:val="none" w:sz="0" w:space="0" w:color="auto"/>
        <w:bottom w:val="none" w:sz="0" w:space="0" w:color="auto"/>
        <w:right w:val="none" w:sz="0" w:space="0" w:color="auto"/>
      </w:divBdr>
    </w:div>
    <w:div w:id="1010838940">
      <w:bodyDiv w:val="1"/>
      <w:marLeft w:val="0"/>
      <w:marRight w:val="0"/>
      <w:marTop w:val="0"/>
      <w:marBottom w:val="0"/>
      <w:divBdr>
        <w:top w:val="none" w:sz="0" w:space="0" w:color="auto"/>
        <w:left w:val="none" w:sz="0" w:space="0" w:color="auto"/>
        <w:bottom w:val="none" w:sz="0" w:space="0" w:color="auto"/>
        <w:right w:val="none" w:sz="0" w:space="0" w:color="auto"/>
      </w:divBdr>
      <w:divsChild>
        <w:div w:id="992030051">
          <w:marLeft w:val="0"/>
          <w:marRight w:val="0"/>
          <w:marTop w:val="0"/>
          <w:marBottom w:val="0"/>
          <w:divBdr>
            <w:top w:val="none" w:sz="0" w:space="0" w:color="auto"/>
            <w:left w:val="none" w:sz="0" w:space="0" w:color="auto"/>
            <w:bottom w:val="none" w:sz="0" w:space="0" w:color="auto"/>
            <w:right w:val="none" w:sz="0" w:space="0" w:color="auto"/>
          </w:divBdr>
          <w:divsChild>
            <w:div w:id="1362129426">
              <w:marLeft w:val="0"/>
              <w:marRight w:val="0"/>
              <w:marTop w:val="0"/>
              <w:marBottom w:val="0"/>
              <w:divBdr>
                <w:top w:val="none" w:sz="0" w:space="0" w:color="auto"/>
                <w:left w:val="none" w:sz="0" w:space="0" w:color="auto"/>
                <w:bottom w:val="none" w:sz="0" w:space="0" w:color="auto"/>
                <w:right w:val="none" w:sz="0" w:space="0" w:color="auto"/>
              </w:divBdr>
              <w:divsChild>
                <w:div w:id="403843601">
                  <w:marLeft w:val="0"/>
                  <w:marRight w:val="0"/>
                  <w:marTop w:val="0"/>
                  <w:marBottom w:val="0"/>
                  <w:divBdr>
                    <w:top w:val="none" w:sz="0" w:space="0" w:color="auto"/>
                    <w:left w:val="none" w:sz="0" w:space="0" w:color="auto"/>
                    <w:bottom w:val="none" w:sz="0" w:space="0" w:color="auto"/>
                    <w:right w:val="none" w:sz="0" w:space="0" w:color="auto"/>
                  </w:divBdr>
                  <w:divsChild>
                    <w:div w:id="210471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982309">
      <w:bodyDiv w:val="1"/>
      <w:marLeft w:val="0"/>
      <w:marRight w:val="0"/>
      <w:marTop w:val="0"/>
      <w:marBottom w:val="0"/>
      <w:divBdr>
        <w:top w:val="none" w:sz="0" w:space="0" w:color="auto"/>
        <w:left w:val="none" w:sz="0" w:space="0" w:color="auto"/>
        <w:bottom w:val="none" w:sz="0" w:space="0" w:color="auto"/>
        <w:right w:val="none" w:sz="0" w:space="0" w:color="auto"/>
      </w:divBdr>
    </w:div>
    <w:div w:id="1014376544">
      <w:bodyDiv w:val="1"/>
      <w:marLeft w:val="0"/>
      <w:marRight w:val="0"/>
      <w:marTop w:val="0"/>
      <w:marBottom w:val="0"/>
      <w:divBdr>
        <w:top w:val="none" w:sz="0" w:space="0" w:color="auto"/>
        <w:left w:val="none" w:sz="0" w:space="0" w:color="auto"/>
        <w:bottom w:val="none" w:sz="0" w:space="0" w:color="auto"/>
        <w:right w:val="none" w:sz="0" w:space="0" w:color="auto"/>
      </w:divBdr>
    </w:div>
    <w:div w:id="1015617913">
      <w:bodyDiv w:val="1"/>
      <w:marLeft w:val="0"/>
      <w:marRight w:val="0"/>
      <w:marTop w:val="0"/>
      <w:marBottom w:val="0"/>
      <w:divBdr>
        <w:top w:val="none" w:sz="0" w:space="0" w:color="auto"/>
        <w:left w:val="none" w:sz="0" w:space="0" w:color="auto"/>
        <w:bottom w:val="none" w:sz="0" w:space="0" w:color="auto"/>
        <w:right w:val="none" w:sz="0" w:space="0" w:color="auto"/>
      </w:divBdr>
    </w:div>
    <w:div w:id="1021395936">
      <w:bodyDiv w:val="1"/>
      <w:marLeft w:val="0"/>
      <w:marRight w:val="0"/>
      <w:marTop w:val="0"/>
      <w:marBottom w:val="0"/>
      <w:divBdr>
        <w:top w:val="none" w:sz="0" w:space="0" w:color="auto"/>
        <w:left w:val="none" w:sz="0" w:space="0" w:color="auto"/>
        <w:bottom w:val="none" w:sz="0" w:space="0" w:color="auto"/>
        <w:right w:val="none" w:sz="0" w:space="0" w:color="auto"/>
      </w:divBdr>
    </w:div>
    <w:div w:id="1022392197">
      <w:bodyDiv w:val="1"/>
      <w:marLeft w:val="0"/>
      <w:marRight w:val="0"/>
      <w:marTop w:val="0"/>
      <w:marBottom w:val="0"/>
      <w:divBdr>
        <w:top w:val="none" w:sz="0" w:space="0" w:color="auto"/>
        <w:left w:val="none" w:sz="0" w:space="0" w:color="auto"/>
        <w:bottom w:val="none" w:sz="0" w:space="0" w:color="auto"/>
        <w:right w:val="none" w:sz="0" w:space="0" w:color="auto"/>
      </w:divBdr>
      <w:divsChild>
        <w:div w:id="931745372">
          <w:marLeft w:val="0"/>
          <w:marRight w:val="0"/>
          <w:marTop w:val="0"/>
          <w:marBottom w:val="0"/>
          <w:divBdr>
            <w:top w:val="none" w:sz="0" w:space="0" w:color="auto"/>
            <w:left w:val="none" w:sz="0" w:space="0" w:color="auto"/>
            <w:bottom w:val="none" w:sz="0" w:space="0" w:color="auto"/>
            <w:right w:val="none" w:sz="0" w:space="0" w:color="auto"/>
          </w:divBdr>
        </w:div>
      </w:divsChild>
    </w:div>
    <w:div w:id="1031148663">
      <w:bodyDiv w:val="1"/>
      <w:marLeft w:val="0"/>
      <w:marRight w:val="0"/>
      <w:marTop w:val="0"/>
      <w:marBottom w:val="0"/>
      <w:divBdr>
        <w:top w:val="none" w:sz="0" w:space="0" w:color="auto"/>
        <w:left w:val="none" w:sz="0" w:space="0" w:color="auto"/>
        <w:bottom w:val="none" w:sz="0" w:space="0" w:color="auto"/>
        <w:right w:val="none" w:sz="0" w:space="0" w:color="auto"/>
      </w:divBdr>
    </w:div>
    <w:div w:id="1033727999">
      <w:bodyDiv w:val="1"/>
      <w:marLeft w:val="0"/>
      <w:marRight w:val="0"/>
      <w:marTop w:val="0"/>
      <w:marBottom w:val="0"/>
      <w:divBdr>
        <w:top w:val="none" w:sz="0" w:space="0" w:color="auto"/>
        <w:left w:val="none" w:sz="0" w:space="0" w:color="auto"/>
        <w:bottom w:val="none" w:sz="0" w:space="0" w:color="auto"/>
        <w:right w:val="none" w:sz="0" w:space="0" w:color="auto"/>
      </w:divBdr>
      <w:divsChild>
        <w:div w:id="561067433">
          <w:marLeft w:val="0"/>
          <w:marRight w:val="0"/>
          <w:marTop w:val="0"/>
          <w:marBottom w:val="0"/>
          <w:divBdr>
            <w:top w:val="none" w:sz="0" w:space="0" w:color="auto"/>
            <w:left w:val="none" w:sz="0" w:space="0" w:color="auto"/>
            <w:bottom w:val="none" w:sz="0" w:space="0" w:color="auto"/>
            <w:right w:val="none" w:sz="0" w:space="0" w:color="auto"/>
          </w:divBdr>
          <w:divsChild>
            <w:div w:id="755903098">
              <w:marLeft w:val="0"/>
              <w:marRight w:val="0"/>
              <w:marTop w:val="0"/>
              <w:marBottom w:val="0"/>
              <w:divBdr>
                <w:top w:val="none" w:sz="0" w:space="0" w:color="auto"/>
                <w:left w:val="none" w:sz="0" w:space="0" w:color="auto"/>
                <w:bottom w:val="none" w:sz="0" w:space="0" w:color="auto"/>
                <w:right w:val="none" w:sz="0" w:space="0" w:color="auto"/>
              </w:divBdr>
              <w:divsChild>
                <w:div w:id="117461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229195">
      <w:bodyDiv w:val="1"/>
      <w:marLeft w:val="0"/>
      <w:marRight w:val="0"/>
      <w:marTop w:val="0"/>
      <w:marBottom w:val="0"/>
      <w:divBdr>
        <w:top w:val="none" w:sz="0" w:space="0" w:color="auto"/>
        <w:left w:val="none" w:sz="0" w:space="0" w:color="auto"/>
        <w:bottom w:val="none" w:sz="0" w:space="0" w:color="auto"/>
        <w:right w:val="none" w:sz="0" w:space="0" w:color="auto"/>
      </w:divBdr>
    </w:div>
    <w:div w:id="1036153213">
      <w:bodyDiv w:val="1"/>
      <w:marLeft w:val="0"/>
      <w:marRight w:val="0"/>
      <w:marTop w:val="0"/>
      <w:marBottom w:val="0"/>
      <w:divBdr>
        <w:top w:val="none" w:sz="0" w:space="0" w:color="auto"/>
        <w:left w:val="none" w:sz="0" w:space="0" w:color="auto"/>
        <w:bottom w:val="none" w:sz="0" w:space="0" w:color="auto"/>
        <w:right w:val="none" w:sz="0" w:space="0" w:color="auto"/>
      </w:divBdr>
    </w:div>
    <w:div w:id="1042704912">
      <w:bodyDiv w:val="1"/>
      <w:marLeft w:val="0"/>
      <w:marRight w:val="0"/>
      <w:marTop w:val="0"/>
      <w:marBottom w:val="0"/>
      <w:divBdr>
        <w:top w:val="none" w:sz="0" w:space="0" w:color="auto"/>
        <w:left w:val="none" w:sz="0" w:space="0" w:color="auto"/>
        <w:bottom w:val="none" w:sz="0" w:space="0" w:color="auto"/>
        <w:right w:val="none" w:sz="0" w:space="0" w:color="auto"/>
      </w:divBdr>
    </w:div>
    <w:div w:id="1045065801">
      <w:bodyDiv w:val="1"/>
      <w:marLeft w:val="0"/>
      <w:marRight w:val="0"/>
      <w:marTop w:val="0"/>
      <w:marBottom w:val="0"/>
      <w:divBdr>
        <w:top w:val="none" w:sz="0" w:space="0" w:color="auto"/>
        <w:left w:val="none" w:sz="0" w:space="0" w:color="auto"/>
        <w:bottom w:val="none" w:sz="0" w:space="0" w:color="auto"/>
        <w:right w:val="none" w:sz="0" w:space="0" w:color="auto"/>
      </w:divBdr>
    </w:div>
    <w:div w:id="1046949579">
      <w:bodyDiv w:val="1"/>
      <w:marLeft w:val="0"/>
      <w:marRight w:val="0"/>
      <w:marTop w:val="0"/>
      <w:marBottom w:val="0"/>
      <w:divBdr>
        <w:top w:val="none" w:sz="0" w:space="0" w:color="auto"/>
        <w:left w:val="none" w:sz="0" w:space="0" w:color="auto"/>
        <w:bottom w:val="none" w:sz="0" w:space="0" w:color="auto"/>
        <w:right w:val="none" w:sz="0" w:space="0" w:color="auto"/>
      </w:divBdr>
    </w:div>
    <w:div w:id="1049495658">
      <w:bodyDiv w:val="1"/>
      <w:marLeft w:val="0"/>
      <w:marRight w:val="0"/>
      <w:marTop w:val="0"/>
      <w:marBottom w:val="0"/>
      <w:divBdr>
        <w:top w:val="none" w:sz="0" w:space="0" w:color="auto"/>
        <w:left w:val="none" w:sz="0" w:space="0" w:color="auto"/>
        <w:bottom w:val="none" w:sz="0" w:space="0" w:color="auto"/>
        <w:right w:val="none" w:sz="0" w:space="0" w:color="auto"/>
      </w:divBdr>
    </w:div>
    <w:div w:id="1051347468">
      <w:bodyDiv w:val="1"/>
      <w:marLeft w:val="0"/>
      <w:marRight w:val="0"/>
      <w:marTop w:val="0"/>
      <w:marBottom w:val="0"/>
      <w:divBdr>
        <w:top w:val="none" w:sz="0" w:space="0" w:color="auto"/>
        <w:left w:val="none" w:sz="0" w:space="0" w:color="auto"/>
        <w:bottom w:val="none" w:sz="0" w:space="0" w:color="auto"/>
        <w:right w:val="none" w:sz="0" w:space="0" w:color="auto"/>
      </w:divBdr>
    </w:div>
    <w:div w:id="1056204253">
      <w:bodyDiv w:val="1"/>
      <w:marLeft w:val="0"/>
      <w:marRight w:val="0"/>
      <w:marTop w:val="0"/>
      <w:marBottom w:val="0"/>
      <w:divBdr>
        <w:top w:val="none" w:sz="0" w:space="0" w:color="auto"/>
        <w:left w:val="none" w:sz="0" w:space="0" w:color="auto"/>
        <w:bottom w:val="none" w:sz="0" w:space="0" w:color="auto"/>
        <w:right w:val="none" w:sz="0" w:space="0" w:color="auto"/>
      </w:divBdr>
    </w:div>
    <w:div w:id="1057245006">
      <w:bodyDiv w:val="1"/>
      <w:marLeft w:val="0"/>
      <w:marRight w:val="0"/>
      <w:marTop w:val="0"/>
      <w:marBottom w:val="0"/>
      <w:divBdr>
        <w:top w:val="none" w:sz="0" w:space="0" w:color="auto"/>
        <w:left w:val="none" w:sz="0" w:space="0" w:color="auto"/>
        <w:bottom w:val="none" w:sz="0" w:space="0" w:color="auto"/>
        <w:right w:val="none" w:sz="0" w:space="0" w:color="auto"/>
      </w:divBdr>
    </w:div>
    <w:div w:id="1057584908">
      <w:bodyDiv w:val="1"/>
      <w:marLeft w:val="0"/>
      <w:marRight w:val="0"/>
      <w:marTop w:val="0"/>
      <w:marBottom w:val="0"/>
      <w:divBdr>
        <w:top w:val="none" w:sz="0" w:space="0" w:color="auto"/>
        <w:left w:val="none" w:sz="0" w:space="0" w:color="auto"/>
        <w:bottom w:val="none" w:sz="0" w:space="0" w:color="auto"/>
        <w:right w:val="none" w:sz="0" w:space="0" w:color="auto"/>
      </w:divBdr>
    </w:div>
    <w:div w:id="1059479157">
      <w:bodyDiv w:val="1"/>
      <w:marLeft w:val="0"/>
      <w:marRight w:val="0"/>
      <w:marTop w:val="0"/>
      <w:marBottom w:val="0"/>
      <w:divBdr>
        <w:top w:val="none" w:sz="0" w:space="0" w:color="auto"/>
        <w:left w:val="none" w:sz="0" w:space="0" w:color="auto"/>
        <w:bottom w:val="none" w:sz="0" w:space="0" w:color="auto"/>
        <w:right w:val="none" w:sz="0" w:space="0" w:color="auto"/>
      </w:divBdr>
    </w:div>
    <w:div w:id="1059599773">
      <w:bodyDiv w:val="1"/>
      <w:marLeft w:val="0"/>
      <w:marRight w:val="0"/>
      <w:marTop w:val="0"/>
      <w:marBottom w:val="0"/>
      <w:divBdr>
        <w:top w:val="none" w:sz="0" w:space="0" w:color="auto"/>
        <w:left w:val="none" w:sz="0" w:space="0" w:color="auto"/>
        <w:bottom w:val="none" w:sz="0" w:space="0" w:color="auto"/>
        <w:right w:val="none" w:sz="0" w:space="0" w:color="auto"/>
      </w:divBdr>
    </w:div>
    <w:div w:id="1063484630">
      <w:bodyDiv w:val="1"/>
      <w:marLeft w:val="0"/>
      <w:marRight w:val="0"/>
      <w:marTop w:val="0"/>
      <w:marBottom w:val="0"/>
      <w:divBdr>
        <w:top w:val="none" w:sz="0" w:space="0" w:color="auto"/>
        <w:left w:val="none" w:sz="0" w:space="0" w:color="auto"/>
        <w:bottom w:val="none" w:sz="0" w:space="0" w:color="auto"/>
        <w:right w:val="none" w:sz="0" w:space="0" w:color="auto"/>
      </w:divBdr>
    </w:div>
    <w:div w:id="1067067471">
      <w:bodyDiv w:val="1"/>
      <w:marLeft w:val="0"/>
      <w:marRight w:val="0"/>
      <w:marTop w:val="0"/>
      <w:marBottom w:val="0"/>
      <w:divBdr>
        <w:top w:val="none" w:sz="0" w:space="0" w:color="auto"/>
        <w:left w:val="none" w:sz="0" w:space="0" w:color="auto"/>
        <w:bottom w:val="none" w:sz="0" w:space="0" w:color="auto"/>
        <w:right w:val="none" w:sz="0" w:space="0" w:color="auto"/>
      </w:divBdr>
    </w:div>
    <w:div w:id="1067411628">
      <w:bodyDiv w:val="1"/>
      <w:marLeft w:val="0"/>
      <w:marRight w:val="0"/>
      <w:marTop w:val="0"/>
      <w:marBottom w:val="0"/>
      <w:divBdr>
        <w:top w:val="none" w:sz="0" w:space="0" w:color="auto"/>
        <w:left w:val="none" w:sz="0" w:space="0" w:color="auto"/>
        <w:bottom w:val="none" w:sz="0" w:space="0" w:color="auto"/>
        <w:right w:val="none" w:sz="0" w:space="0" w:color="auto"/>
      </w:divBdr>
    </w:div>
    <w:div w:id="1068570493">
      <w:bodyDiv w:val="1"/>
      <w:marLeft w:val="0"/>
      <w:marRight w:val="0"/>
      <w:marTop w:val="0"/>
      <w:marBottom w:val="0"/>
      <w:divBdr>
        <w:top w:val="none" w:sz="0" w:space="0" w:color="auto"/>
        <w:left w:val="none" w:sz="0" w:space="0" w:color="auto"/>
        <w:bottom w:val="none" w:sz="0" w:space="0" w:color="auto"/>
        <w:right w:val="none" w:sz="0" w:space="0" w:color="auto"/>
      </w:divBdr>
    </w:div>
    <w:div w:id="1072386423">
      <w:bodyDiv w:val="1"/>
      <w:marLeft w:val="0"/>
      <w:marRight w:val="0"/>
      <w:marTop w:val="0"/>
      <w:marBottom w:val="0"/>
      <w:divBdr>
        <w:top w:val="none" w:sz="0" w:space="0" w:color="auto"/>
        <w:left w:val="none" w:sz="0" w:space="0" w:color="auto"/>
        <w:bottom w:val="none" w:sz="0" w:space="0" w:color="auto"/>
        <w:right w:val="none" w:sz="0" w:space="0" w:color="auto"/>
      </w:divBdr>
    </w:div>
    <w:div w:id="1077633406">
      <w:bodyDiv w:val="1"/>
      <w:marLeft w:val="0"/>
      <w:marRight w:val="0"/>
      <w:marTop w:val="0"/>
      <w:marBottom w:val="0"/>
      <w:divBdr>
        <w:top w:val="none" w:sz="0" w:space="0" w:color="auto"/>
        <w:left w:val="none" w:sz="0" w:space="0" w:color="auto"/>
        <w:bottom w:val="none" w:sz="0" w:space="0" w:color="auto"/>
        <w:right w:val="none" w:sz="0" w:space="0" w:color="auto"/>
      </w:divBdr>
    </w:div>
    <w:div w:id="1082486472">
      <w:bodyDiv w:val="1"/>
      <w:marLeft w:val="0"/>
      <w:marRight w:val="0"/>
      <w:marTop w:val="0"/>
      <w:marBottom w:val="0"/>
      <w:divBdr>
        <w:top w:val="none" w:sz="0" w:space="0" w:color="auto"/>
        <w:left w:val="none" w:sz="0" w:space="0" w:color="auto"/>
        <w:bottom w:val="none" w:sz="0" w:space="0" w:color="auto"/>
        <w:right w:val="none" w:sz="0" w:space="0" w:color="auto"/>
      </w:divBdr>
    </w:div>
    <w:div w:id="1086225681">
      <w:bodyDiv w:val="1"/>
      <w:marLeft w:val="0"/>
      <w:marRight w:val="0"/>
      <w:marTop w:val="0"/>
      <w:marBottom w:val="0"/>
      <w:divBdr>
        <w:top w:val="none" w:sz="0" w:space="0" w:color="auto"/>
        <w:left w:val="none" w:sz="0" w:space="0" w:color="auto"/>
        <w:bottom w:val="none" w:sz="0" w:space="0" w:color="auto"/>
        <w:right w:val="none" w:sz="0" w:space="0" w:color="auto"/>
      </w:divBdr>
    </w:div>
    <w:div w:id="1086339958">
      <w:bodyDiv w:val="1"/>
      <w:marLeft w:val="0"/>
      <w:marRight w:val="0"/>
      <w:marTop w:val="0"/>
      <w:marBottom w:val="0"/>
      <w:divBdr>
        <w:top w:val="none" w:sz="0" w:space="0" w:color="auto"/>
        <w:left w:val="none" w:sz="0" w:space="0" w:color="auto"/>
        <w:bottom w:val="none" w:sz="0" w:space="0" w:color="auto"/>
        <w:right w:val="none" w:sz="0" w:space="0" w:color="auto"/>
      </w:divBdr>
    </w:div>
    <w:div w:id="1089697636">
      <w:bodyDiv w:val="1"/>
      <w:marLeft w:val="0"/>
      <w:marRight w:val="0"/>
      <w:marTop w:val="0"/>
      <w:marBottom w:val="0"/>
      <w:divBdr>
        <w:top w:val="none" w:sz="0" w:space="0" w:color="auto"/>
        <w:left w:val="none" w:sz="0" w:space="0" w:color="auto"/>
        <w:bottom w:val="none" w:sz="0" w:space="0" w:color="auto"/>
        <w:right w:val="none" w:sz="0" w:space="0" w:color="auto"/>
      </w:divBdr>
    </w:div>
    <w:div w:id="1091926870">
      <w:bodyDiv w:val="1"/>
      <w:marLeft w:val="0"/>
      <w:marRight w:val="0"/>
      <w:marTop w:val="0"/>
      <w:marBottom w:val="0"/>
      <w:divBdr>
        <w:top w:val="none" w:sz="0" w:space="0" w:color="auto"/>
        <w:left w:val="none" w:sz="0" w:space="0" w:color="auto"/>
        <w:bottom w:val="none" w:sz="0" w:space="0" w:color="auto"/>
        <w:right w:val="none" w:sz="0" w:space="0" w:color="auto"/>
      </w:divBdr>
    </w:div>
    <w:div w:id="1092048095">
      <w:bodyDiv w:val="1"/>
      <w:marLeft w:val="0"/>
      <w:marRight w:val="0"/>
      <w:marTop w:val="0"/>
      <w:marBottom w:val="0"/>
      <w:divBdr>
        <w:top w:val="none" w:sz="0" w:space="0" w:color="auto"/>
        <w:left w:val="none" w:sz="0" w:space="0" w:color="auto"/>
        <w:bottom w:val="none" w:sz="0" w:space="0" w:color="auto"/>
        <w:right w:val="none" w:sz="0" w:space="0" w:color="auto"/>
      </w:divBdr>
    </w:div>
    <w:div w:id="1092749880">
      <w:bodyDiv w:val="1"/>
      <w:marLeft w:val="0"/>
      <w:marRight w:val="0"/>
      <w:marTop w:val="0"/>
      <w:marBottom w:val="0"/>
      <w:divBdr>
        <w:top w:val="none" w:sz="0" w:space="0" w:color="auto"/>
        <w:left w:val="none" w:sz="0" w:space="0" w:color="auto"/>
        <w:bottom w:val="none" w:sz="0" w:space="0" w:color="auto"/>
        <w:right w:val="none" w:sz="0" w:space="0" w:color="auto"/>
      </w:divBdr>
    </w:div>
    <w:div w:id="1092894791">
      <w:bodyDiv w:val="1"/>
      <w:marLeft w:val="0"/>
      <w:marRight w:val="0"/>
      <w:marTop w:val="0"/>
      <w:marBottom w:val="0"/>
      <w:divBdr>
        <w:top w:val="none" w:sz="0" w:space="0" w:color="auto"/>
        <w:left w:val="none" w:sz="0" w:space="0" w:color="auto"/>
        <w:bottom w:val="none" w:sz="0" w:space="0" w:color="auto"/>
        <w:right w:val="none" w:sz="0" w:space="0" w:color="auto"/>
      </w:divBdr>
    </w:div>
    <w:div w:id="1102334321">
      <w:bodyDiv w:val="1"/>
      <w:marLeft w:val="0"/>
      <w:marRight w:val="0"/>
      <w:marTop w:val="0"/>
      <w:marBottom w:val="0"/>
      <w:divBdr>
        <w:top w:val="none" w:sz="0" w:space="0" w:color="auto"/>
        <w:left w:val="none" w:sz="0" w:space="0" w:color="auto"/>
        <w:bottom w:val="none" w:sz="0" w:space="0" w:color="auto"/>
        <w:right w:val="none" w:sz="0" w:space="0" w:color="auto"/>
      </w:divBdr>
      <w:divsChild>
        <w:div w:id="799693712">
          <w:marLeft w:val="0"/>
          <w:marRight w:val="0"/>
          <w:marTop w:val="0"/>
          <w:marBottom w:val="0"/>
          <w:divBdr>
            <w:top w:val="none" w:sz="0" w:space="0" w:color="auto"/>
            <w:left w:val="none" w:sz="0" w:space="0" w:color="auto"/>
            <w:bottom w:val="none" w:sz="0" w:space="0" w:color="auto"/>
            <w:right w:val="none" w:sz="0" w:space="0" w:color="auto"/>
          </w:divBdr>
        </w:div>
      </w:divsChild>
    </w:div>
    <w:div w:id="1104808639">
      <w:bodyDiv w:val="1"/>
      <w:marLeft w:val="0"/>
      <w:marRight w:val="0"/>
      <w:marTop w:val="0"/>
      <w:marBottom w:val="0"/>
      <w:divBdr>
        <w:top w:val="none" w:sz="0" w:space="0" w:color="auto"/>
        <w:left w:val="none" w:sz="0" w:space="0" w:color="auto"/>
        <w:bottom w:val="none" w:sz="0" w:space="0" w:color="auto"/>
        <w:right w:val="none" w:sz="0" w:space="0" w:color="auto"/>
      </w:divBdr>
    </w:div>
    <w:div w:id="1117215829">
      <w:bodyDiv w:val="1"/>
      <w:marLeft w:val="0"/>
      <w:marRight w:val="0"/>
      <w:marTop w:val="0"/>
      <w:marBottom w:val="0"/>
      <w:divBdr>
        <w:top w:val="none" w:sz="0" w:space="0" w:color="auto"/>
        <w:left w:val="none" w:sz="0" w:space="0" w:color="auto"/>
        <w:bottom w:val="none" w:sz="0" w:space="0" w:color="auto"/>
        <w:right w:val="none" w:sz="0" w:space="0" w:color="auto"/>
      </w:divBdr>
    </w:div>
    <w:div w:id="1120538868">
      <w:bodyDiv w:val="1"/>
      <w:marLeft w:val="0"/>
      <w:marRight w:val="0"/>
      <w:marTop w:val="0"/>
      <w:marBottom w:val="0"/>
      <w:divBdr>
        <w:top w:val="none" w:sz="0" w:space="0" w:color="auto"/>
        <w:left w:val="none" w:sz="0" w:space="0" w:color="auto"/>
        <w:bottom w:val="none" w:sz="0" w:space="0" w:color="auto"/>
        <w:right w:val="none" w:sz="0" w:space="0" w:color="auto"/>
      </w:divBdr>
    </w:div>
    <w:div w:id="1123579373">
      <w:bodyDiv w:val="1"/>
      <w:marLeft w:val="0"/>
      <w:marRight w:val="0"/>
      <w:marTop w:val="0"/>
      <w:marBottom w:val="0"/>
      <w:divBdr>
        <w:top w:val="none" w:sz="0" w:space="0" w:color="auto"/>
        <w:left w:val="none" w:sz="0" w:space="0" w:color="auto"/>
        <w:bottom w:val="none" w:sz="0" w:space="0" w:color="auto"/>
        <w:right w:val="none" w:sz="0" w:space="0" w:color="auto"/>
      </w:divBdr>
    </w:div>
    <w:div w:id="1126042809">
      <w:bodyDiv w:val="1"/>
      <w:marLeft w:val="0"/>
      <w:marRight w:val="0"/>
      <w:marTop w:val="0"/>
      <w:marBottom w:val="0"/>
      <w:divBdr>
        <w:top w:val="none" w:sz="0" w:space="0" w:color="auto"/>
        <w:left w:val="none" w:sz="0" w:space="0" w:color="auto"/>
        <w:bottom w:val="none" w:sz="0" w:space="0" w:color="auto"/>
        <w:right w:val="none" w:sz="0" w:space="0" w:color="auto"/>
      </w:divBdr>
    </w:div>
    <w:div w:id="1131095731">
      <w:bodyDiv w:val="1"/>
      <w:marLeft w:val="0"/>
      <w:marRight w:val="0"/>
      <w:marTop w:val="0"/>
      <w:marBottom w:val="0"/>
      <w:divBdr>
        <w:top w:val="none" w:sz="0" w:space="0" w:color="auto"/>
        <w:left w:val="none" w:sz="0" w:space="0" w:color="auto"/>
        <w:bottom w:val="none" w:sz="0" w:space="0" w:color="auto"/>
        <w:right w:val="none" w:sz="0" w:space="0" w:color="auto"/>
      </w:divBdr>
    </w:div>
    <w:div w:id="1131897674">
      <w:bodyDiv w:val="1"/>
      <w:marLeft w:val="0"/>
      <w:marRight w:val="0"/>
      <w:marTop w:val="0"/>
      <w:marBottom w:val="0"/>
      <w:divBdr>
        <w:top w:val="none" w:sz="0" w:space="0" w:color="auto"/>
        <w:left w:val="none" w:sz="0" w:space="0" w:color="auto"/>
        <w:bottom w:val="none" w:sz="0" w:space="0" w:color="auto"/>
        <w:right w:val="none" w:sz="0" w:space="0" w:color="auto"/>
      </w:divBdr>
    </w:div>
    <w:div w:id="1134717334">
      <w:bodyDiv w:val="1"/>
      <w:marLeft w:val="0"/>
      <w:marRight w:val="0"/>
      <w:marTop w:val="0"/>
      <w:marBottom w:val="0"/>
      <w:divBdr>
        <w:top w:val="none" w:sz="0" w:space="0" w:color="auto"/>
        <w:left w:val="none" w:sz="0" w:space="0" w:color="auto"/>
        <w:bottom w:val="none" w:sz="0" w:space="0" w:color="auto"/>
        <w:right w:val="none" w:sz="0" w:space="0" w:color="auto"/>
      </w:divBdr>
    </w:div>
    <w:div w:id="1136071376">
      <w:bodyDiv w:val="1"/>
      <w:marLeft w:val="0"/>
      <w:marRight w:val="0"/>
      <w:marTop w:val="0"/>
      <w:marBottom w:val="0"/>
      <w:divBdr>
        <w:top w:val="none" w:sz="0" w:space="0" w:color="auto"/>
        <w:left w:val="none" w:sz="0" w:space="0" w:color="auto"/>
        <w:bottom w:val="none" w:sz="0" w:space="0" w:color="auto"/>
        <w:right w:val="none" w:sz="0" w:space="0" w:color="auto"/>
      </w:divBdr>
    </w:div>
    <w:div w:id="1136876158">
      <w:bodyDiv w:val="1"/>
      <w:marLeft w:val="0"/>
      <w:marRight w:val="0"/>
      <w:marTop w:val="0"/>
      <w:marBottom w:val="0"/>
      <w:divBdr>
        <w:top w:val="none" w:sz="0" w:space="0" w:color="auto"/>
        <w:left w:val="none" w:sz="0" w:space="0" w:color="auto"/>
        <w:bottom w:val="none" w:sz="0" w:space="0" w:color="auto"/>
        <w:right w:val="none" w:sz="0" w:space="0" w:color="auto"/>
      </w:divBdr>
    </w:div>
    <w:div w:id="1138762453">
      <w:bodyDiv w:val="1"/>
      <w:marLeft w:val="0"/>
      <w:marRight w:val="0"/>
      <w:marTop w:val="0"/>
      <w:marBottom w:val="0"/>
      <w:divBdr>
        <w:top w:val="none" w:sz="0" w:space="0" w:color="auto"/>
        <w:left w:val="none" w:sz="0" w:space="0" w:color="auto"/>
        <w:bottom w:val="none" w:sz="0" w:space="0" w:color="auto"/>
        <w:right w:val="none" w:sz="0" w:space="0" w:color="auto"/>
      </w:divBdr>
    </w:div>
    <w:div w:id="1140226065">
      <w:bodyDiv w:val="1"/>
      <w:marLeft w:val="0"/>
      <w:marRight w:val="0"/>
      <w:marTop w:val="0"/>
      <w:marBottom w:val="0"/>
      <w:divBdr>
        <w:top w:val="none" w:sz="0" w:space="0" w:color="auto"/>
        <w:left w:val="none" w:sz="0" w:space="0" w:color="auto"/>
        <w:bottom w:val="none" w:sz="0" w:space="0" w:color="auto"/>
        <w:right w:val="none" w:sz="0" w:space="0" w:color="auto"/>
      </w:divBdr>
      <w:divsChild>
        <w:div w:id="523634373">
          <w:marLeft w:val="0"/>
          <w:marRight w:val="0"/>
          <w:marTop w:val="0"/>
          <w:marBottom w:val="0"/>
          <w:divBdr>
            <w:top w:val="none" w:sz="0" w:space="0" w:color="auto"/>
            <w:left w:val="none" w:sz="0" w:space="0" w:color="auto"/>
            <w:bottom w:val="none" w:sz="0" w:space="0" w:color="auto"/>
            <w:right w:val="none" w:sz="0" w:space="0" w:color="auto"/>
          </w:divBdr>
          <w:divsChild>
            <w:div w:id="842742288">
              <w:marLeft w:val="0"/>
              <w:marRight w:val="0"/>
              <w:marTop w:val="0"/>
              <w:marBottom w:val="0"/>
              <w:divBdr>
                <w:top w:val="none" w:sz="0" w:space="0" w:color="auto"/>
                <w:left w:val="none" w:sz="0" w:space="0" w:color="auto"/>
                <w:bottom w:val="none" w:sz="0" w:space="0" w:color="auto"/>
                <w:right w:val="none" w:sz="0" w:space="0" w:color="auto"/>
              </w:divBdr>
              <w:divsChild>
                <w:div w:id="24912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81542">
      <w:bodyDiv w:val="1"/>
      <w:marLeft w:val="0"/>
      <w:marRight w:val="0"/>
      <w:marTop w:val="0"/>
      <w:marBottom w:val="0"/>
      <w:divBdr>
        <w:top w:val="none" w:sz="0" w:space="0" w:color="auto"/>
        <w:left w:val="none" w:sz="0" w:space="0" w:color="auto"/>
        <w:bottom w:val="none" w:sz="0" w:space="0" w:color="auto"/>
        <w:right w:val="none" w:sz="0" w:space="0" w:color="auto"/>
      </w:divBdr>
    </w:div>
    <w:div w:id="1145781999">
      <w:bodyDiv w:val="1"/>
      <w:marLeft w:val="0"/>
      <w:marRight w:val="0"/>
      <w:marTop w:val="0"/>
      <w:marBottom w:val="0"/>
      <w:divBdr>
        <w:top w:val="none" w:sz="0" w:space="0" w:color="auto"/>
        <w:left w:val="none" w:sz="0" w:space="0" w:color="auto"/>
        <w:bottom w:val="none" w:sz="0" w:space="0" w:color="auto"/>
        <w:right w:val="none" w:sz="0" w:space="0" w:color="auto"/>
      </w:divBdr>
    </w:div>
    <w:div w:id="1146244085">
      <w:bodyDiv w:val="1"/>
      <w:marLeft w:val="0"/>
      <w:marRight w:val="0"/>
      <w:marTop w:val="0"/>
      <w:marBottom w:val="0"/>
      <w:divBdr>
        <w:top w:val="none" w:sz="0" w:space="0" w:color="auto"/>
        <w:left w:val="none" w:sz="0" w:space="0" w:color="auto"/>
        <w:bottom w:val="none" w:sz="0" w:space="0" w:color="auto"/>
        <w:right w:val="none" w:sz="0" w:space="0" w:color="auto"/>
      </w:divBdr>
    </w:div>
    <w:div w:id="1153717556">
      <w:bodyDiv w:val="1"/>
      <w:marLeft w:val="0"/>
      <w:marRight w:val="0"/>
      <w:marTop w:val="0"/>
      <w:marBottom w:val="0"/>
      <w:divBdr>
        <w:top w:val="none" w:sz="0" w:space="0" w:color="auto"/>
        <w:left w:val="none" w:sz="0" w:space="0" w:color="auto"/>
        <w:bottom w:val="none" w:sz="0" w:space="0" w:color="auto"/>
        <w:right w:val="none" w:sz="0" w:space="0" w:color="auto"/>
      </w:divBdr>
      <w:divsChild>
        <w:div w:id="2011373722">
          <w:marLeft w:val="0"/>
          <w:marRight w:val="0"/>
          <w:marTop w:val="0"/>
          <w:marBottom w:val="150"/>
          <w:divBdr>
            <w:top w:val="none" w:sz="0" w:space="0" w:color="auto"/>
            <w:left w:val="none" w:sz="0" w:space="0" w:color="auto"/>
            <w:bottom w:val="none" w:sz="0" w:space="0" w:color="auto"/>
            <w:right w:val="none" w:sz="0" w:space="0" w:color="auto"/>
          </w:divBdr>
        </w:div>
      </w:divsChild>
    </w:div>
    <w:div w:id="1153840131">
      <w:bodyDiv w:val="1"/>
      <w:marLeft w:val="0"/>
      <w:marRight w:val="0"/>
      <w:marTop w:val="0"/>
      <w:marBottom w:val="0"/>
      <w:divBdr>
        <w:top w:val="none" w:sz="0" w:space="0" w:color="auto"/>
        <w:left w:val="none" w:sz="0" w:space="0" w:color="auto"/>
        <w:bottom w:val="none" w:sz="0" w:space="0" w:color="auto"/>
        <w:right w:val="none" w:sz="0" w:space="0" w:color="auto"/>
      </w:divBdr>
      <w:divsChild>
        <w:div w:id="385180091">
          <w:marLeft w:val="0"/>
          <w:marRight w:val="0"/>
          <w:marTop w:val="0"/>
          <w:marBottom w:val="0"/>
          <w:divBdr>
            <w:top w:val="none" w:sz="0" w:space="0" w:color="auto"/>
            <w:left w:val="none" w:sz="0" w:space="0" w:color="auto"/>
            <w:bottom w:val="none" w:sz="0" w:space="0" w:color="auto"/>
            <w:right w:val="none" w:sz="0" w:space="0" w:color="auto"/>
          </w:divBdr>
        </w:div>
        <w:div w:id="1673407406">
          <w:marLeft w:val="0"/>
          <w:marRight w:val="0"/>
          <w:marTop w:val="0"/>
          <w:marBottom w:val="160"/>
          <w:divBdr>
            <w:top w:val="none" w:sz="0" w:space="0" w:color="auto"/>
            <w:left w:val="none" w:sz="0" w:space="0" w:color="auto"/>
            <w:bottom w:val="none" w:sz="0" w:space="0" w:color="auto"/>
            <w:right w:val="none" w:sz="0" w:space="0" w:color="auto"/>
          </w:divBdr>
        </w:div>
      </w:divsChild>
    </w:div>
    <w:div w:id="1162964009">
      <w:bodyDiv w:val="1"/>
      <w:marLeft w:val="0"/>
      <w:marRight w:val="0"/>
      <w:marTop w:val="0"/>
      <w:marBottom w:val="0"/>
      <w:divBdr>
        <w:top w:val="none" w:sz="0" w:space="0" w:color="auto"/>
        <w:left w:val="none" w:sz="0" w:space="0" w:color="auto"/>
        <w:bottom w:val="none" w:sz="0" w:space="0" w:color="auto"/>
        <w:right w:val="none" w:sz="0" w:space="0" w:color="auto"/>
      </w:divBdr>
    </w:div>
    <w:div w:id="1164514017">
      <w:bodyDiv w:val="1"/>
      <w:marLeft w:val="0"/>
      <w:marRight w:val="0"/>
      <w:marTop w:val="0"/>
      <w:marBottom w:val="0"/>
      <w:divBdr>
        <w:top w:val="none" w:sz="0" w:space="0" w:color="auto"/>
        <w:left w:val="none" w:sz="0" w:space="0" w:color="auto"/>
        <w:bottom w:val="none" w:sz="0" w:space="0" w:color="auto"/>
        <w:right w:val="none" w:sz="0" w:space="0" w:color="auto"/>
      </w:divBdr>
    </w:div>
    <w:div w:id="1168520255">
      <w:bodyDiv w:val="1"/>
      <w:marLeft w:val="0"/>
      <w:marRight w:val="0"/>
      <w:marTop w:val="0"/>
      <w:marBottom w:val="0"/>
      <w:divBdr>
        <w:top w:val="none" w:sz="0" w:space="0" w:color="auto"/>
        <w:left w:val="none" w:sz="0" w:space="0" w:color="auto"/>
        <w:bottom w:val="none" w:sz="0" w:space="0" w:color="auto"/>
        <w:right w:val="none" w:sz="0" w:space="0" w:color="auto"/>
      </w:divBdr>
    </w:div>
    <w:div w:id="1168866983">
      <w:bodyDiv w:val="1"/>
      <w:marLeft w:val="0"/>
      <w:marRight w:val="0"/>
      <w:marTop w:val="0"/>
      <w:marBottom w:val="0"/>
      <w:divBdr>
        <w:top w:val="none" w:sz="0" w:space="0" w:color="auto"/>
        <w:left w:val="none" w:sz="0" w:space="0" w:color="auto"/>
        <w:bottom w:val="none" w:sz="0" w:space="0" w:color="auto"/>
        <w:right w:val="none" w:sz="0" w:space="0" w:color="auto"/>
      </w:divBdr>
    </w:div>
    <w:div w:id="1170678869">
      <w:bodyDiv w:val="1"/>
      <w:marLeft w:val="0"/>
      <w:marRight w:val="0"/>
      <w:marTop w:val="0"/>
      <w:marBottom w:val="0"/>
      <w:divBdr>
        <w:top w:val="none" w:sz="0" w:space="0" w:color="auto"/>
        <w:left w:val="none" w:sz="0" w:space="0" w:color="auto"/>
        <w:bottom w:val="none" w:sz="0" w:space="0" w:color="auto"/>
        <w:right w:val="none" w:sz="0" w:space="0" w:color="auto"/>
      </w:divBdr>
    </w:div>
    <w:div w:id="1178693637">
      <w:bodyDiv w:val="1"/>
      <w:marLeft w:val="0"/>
      <w:marRight w:val="0"/>
      <w:marTop w:val="0"/>
      <w:marBottom w:val="0"/>
      <w:divBdr>
        <w:top w:val="none" w:sz="0" w:space="0" w:color="auto"/>
        <w:left w:val="none" w:sz="0" w:space="0" w:color="auto"/>
        <w:bottom w:val="none" w:sz="0" w:space="0" w:color="auto"/>
        <w:right w:val="none" w:sz="0" w:space="0" w:color="auto"/>
      </w:divBdr>
    </w:div>
    <w:div w:id="1182433059">
      <w:bodyDiv w:val="1"/>
      <w:marLeft w:val="0"/>
      <w:marRight w:val="0"/>
      <w:marTop w:val="0"/>
      <w:marBottom w:val="0"/>
      <w:divBdr>
        <w:top w:val="none" w:sz="0" w:space="0" w:color="auto"/>
        <w:left w:val="none" w:sz="0" w:space="0" w:color="auto"/>
        <w:bottom w:val="none" w:sz="0" w:space="0" w:color="auto"/>
        <w:right w:val="none" w:sz="0" w:space="0" w:color="auto"/>
      </w:divBdr>
    </w:div>
    <w:div w:id="1191333251">
      <w:bodyDiv w:val="1"/>
      <w:marLeft w:val="0"/>
      <w:marRight w:val="0"/>
      <w:marTop w:val="0"/>
      <w:marBottom w:val="0"/>
      <w:divBdr>
        <w:top w:val="none" w:sz="0" w:space="0" w:color="auto"/>
        <w:left w:val="none" w:sz="0" w:space="0" w:color="auto"/>
        <w:bottom w:val="none" w:sz="0" w:space="0" w:color="auto"/>
        <w:right w:val="none" w:sz="0" w:space="0" w:color="auto"/>
      </w:divBdr>
    </w:div>
    <w:div w:id="1196306880">
      <w:bodyDiv w:val="1"/>
      <w:marLeft w:val="0"/>
      <w:marRight w:val="0"/>
      <w:marTop w:val="0"/>
      <w:marBottom w:val="0"/>
      <w:divBdr>
        <w:top w:val="none" w:sz="0" w:space="0" w:color="auto"/>
        <w:left w:val="none" w:sz="0" w:space="0" w:color="auto"/>
        <w:bottom w:val="none" w:sz="0" w:space="0" w:color="auto"/>
        <w:right w:val="none" w:sz="0" w:space="0" w:color="auto"/>
      </w:divBdr>
      <w:divsChild>
        <w:div w:id="1098328057">
          <w:marLeft w:val="0"/>
          <w:marRight w:val="0"/>
          <w:marTop w:val="0"/>
          <w:marBottom w:val="0"/>
          <w:divBdr>
            <w:top w:val="none" w:sz="0" w:space="0" w:color="auto"/>
            <w:left w:val="none" w:sz="0" w:space="0" w:color="auto"/>
            <w:bottom w:val="none" w:sz="0" w:space="0" w:color="auto"/>
            <w:right w:val="none" w:sz="0" w:space="0" w:color="auto"/>
          </w:divBdr>
        </w:div>
        <w:div w:id="92094590">
          <w:marLeft w:val="0"/>
          <w:marRight w:val="0"/>
          <w:marTop w:val="0"/>
          <w:marBottom w:val="0"/>
          <w:divBdr>
            <w:top w:val="none" w:sz="0" w:space="0" w:color="auto"/>
            <w:left w:val="none" w:sz="0" w:space="0" w:color="auto"/>
            <w:bottom w:val="none" w:sz="0" w:space="0" w:color="auto"/>
            <w:right w:val="none" w:sz="0" w:space="0" w:color="auto"/>
          </w:divBdr>
        </w:div>
      </w:divsChild>
    </w:div>
    <w:div w:id="1204832499">
      <w:bodyDiv w:val="1"/>
      <w:marLeft w:val="0"/>
      <w:marRight w:val="0"/>
      <w:marTop w:val="0"/>
      <w:marBottom w:val="0"/>
      <w:divBdr>
        <w:top w:val="none" w:sz="0" w:space="0" w:color="auto"/>
        <w:left w:val="none" w:sz="0" w:space="0" w:color="auto"/>
        <w:bottom w:val="none" w:sz="0" w:space="0" w:color="auto"/>
        <w:right w:val="none" w:sz="0" w:space="0" w:color="auto"/>
      </w:divBdr>
    </w:div>
    <w:div w:id="1205286544">
      <w:bodyDiv w:val="1"/>
      <w:marLeft w:val="0"/>
      <w:marRight w:val="0"/>
      <w:marTop w:val="0"/>
      <w:marBottom w:val="0"/>
      <w:divBdr>
        <w:top w:val="none" w:sz="0" w:space="0" w:color="auto"/>
        <w:left w:val="none" w:sz="0" w:space="0" w:color="auto"/>
        <w:bottom w:val="none" w:sz="0" w:space="0" w:color="auto"/>
        <w:right w:val="none" w:sz="0" w:space="0" w:color="auto"/>
      </w:divBdr>
    </w:div>
    <w:div w:id="1207376277">
      <w:bodyDiv w:val="1"/>
      <w:marLeft w:val="0"/>
      <w:marRight w:val="0"/>
      <w:marTop w:val="0"/>
      <w:marBottom w:val="0"/>
      <w:divBdr>
        <w:top w:val="none" w:sz="0" w:space="0" w:color="auto"/>
        <w:left w:val="none" w:sz="0" w:space="0" w:color="auto"/>
        <w:bottom w:val="none" w:sz="0" w:space="0" w:color="auto"/>
        <w:right w:val="none" w:sz="0" w:space="0" w:color="auto"/>
      </w:divBdr>
    </w:div>
    <w:div w:id="1210263220">
      <w:bodyDiv w:val="1"/>
      <w:marLeft w:val="0"/>
      <w:marRight w:val="0"/>
      <w:marTop w:val="0"/>
      <w:marBottom w:val="0"/>
      <w:divBdr>
        <w:top w:val="none" w:sz="0" w:space="0" w:color="auto"/>
        <w:left w:val="none" w:sz="0" w:space="0" w:color="auto"/>
        <w:bottom w:val="none" w:sz="0" w:space="0" w:color="auto"/>
        <w:right w:val="none" w:sz="0" w:space="0" w:color="auto"/>
      </w:divBdr>
    </w:div>
    <w:div w:id="1211721386">
      <w:bodyDiv w:val="1"/>
      <w:marLeft w:val="0"/>
      <w:marRight w:val="0"/>
      <w:marTop w:val="0"/>
      <w:marBottom w:val="0"/>
      <w:divBdr>
        <w:top w:val="none" w:sz="0" w:space="0" w:color="auto"/>
        <w:left w:val="none" w:sz="0" w:space="0" w:color="auto"/>
        <w:bottom w:val="none" w:sz="0" w:space="0" w:color="auto"/>
        <w:right w:val="none" w:sz="0" w:space="0" w:color="auto"/>
      </w:divBdr>
      <w:divsChild>
        <w:div w:id="1310162574">
          <w:marLeft w:val="0"/>
          <w:marRight w:val="0"/>
          <w:marTop w:val="0"/>
          <w:marBottom w:val="0"/>
          <w:divBdr>
            <w:top w:val="none" w:sz="0" w:space="0" w:color="auto"/>
            <w:left w:val="none" w:sz="0" w:space="0" w:color="auto"/>
            <w:bottom w:val="none" w:sz="0" w:space="0" w:color="auto"/>
            <w:right w:val="none" w:sz="0" w:space="0" w:color="auto"/>
          </w:divBdr>
        </w:div>
      </w:divsChild>
    </w:div>
    <w:div w:id="1227843081">
      <w:bodyDiv w:val="1"/>
      <w:marLeft w:val="0"/>
      <w:marRight w:val="0"/>
      <w:marTop w:val="0"/>
      <w:marBottom w:val="0"/>
      <w:divBdr>
        <w:top w:val="none" w:sz="0" w:space="0" w:color="auto"/>
        <w:left w:val="none" w:sz="0" w:space="0" w:color="auto"/>
        <w:bottom w:val="none" w:sz="0" w:space="0" w:color="auto"/>
        <w:right w:val="none" w:sz="0" w:space="0" w:color="auto"/>
      </w:divBdr>
      <w:divsChild>
        <w:div w:id="526020237">
          <w:marLeft w:val="0"/>
          <w:marRight w:val="0"/>
          <w:marTop w:val="0"/>
          <w:marBottom w:val="0"/>
          <w:divBdr>
            <w:top w:val="none" w:sz="0" w:space="0" w:color="auto"/>
            <w:left w:val="none" w:sz="0" w:space="0" w:color="auto"/>
            <w:bottom w:val="none" w:sz="0" w:space="0" w:color="auto"/>
            <w:right w:val="none" w:sz="0" w:space="0" w:color="auto"/>
          </w:divBdr>
        </w:div>
      </w:divsChild>
    </w:div>
    <w:div w:id="1231312895">
      <w:bodyDiv w:val="1"/>
      <w:marLeft w:val="0"/>
      <w:marRight w:val="0"/>
      <w:marTop w:val="0"/>
      <w:marBottom w:val="0"/>
      <w:divBdr>
        <w:top w:val="none" w:sz="0" w:space="0" w:color="auto"/>
        <w:left w:val="none" w:sz="0" w:space="0" w:color="auto"/>
        <w:bottom w:val="none" w:sz="0" w:space="0" w:color="auto"/>
        <w:right w:val="none" w:sz="0" w:space="0" w:color="auto"/>
      </w:divBdr>
    </w:div>
    <w:div w:id="1231770458">
      <w:bodyDiv w:val="1"/>
      <w:marLeft w:val="0"/>
      <w:marRight w:val="0"/>
      <w:marTop w:val="0"/>
      <w:marBottom w:val="0"/>
      <w:divBdr>
        <w:top w:val="none" w:sz="0" w:space="0" w:color="auto"/>
        <w:left w:val="none" w:sz="0" w:space="0" w:color="auto"/>
        <w:bottom w:val="none" w:sz="0" w:space="0" w:color="auto"/>
        <w:right w:val="none" w:sz="0" w:space="0" w:color="auto"/>
      </w:divBdr>
      <w:divsChild>
        <w:div w:id="428741595">
          <w:marLeft w:val="0"/>
          <w:marRight w:val="0"/>
          <w:marTop w:val="0"/>
          <w:marBottom w:val="0"/>
          <w:divBdr>
            <w:top w:val="none" w:sz="0" w:space="0" w:color="auto"/>
            <w:left w:val="none" w:sz="0" w:space="0" w:color="auto"/>
            <w:bottom w:val="none" w:sz="0" w:space="0" w:color="auto"/>
            <w:right w:val="none" w:sz="0" w:space="0" w:color="auto"/>
          </w:divBdr>
          <w:divsChild>
            <w:div w:id="2121489171">
              <w:marLeft w:val="0"/>
              <w:marRight w:val="0"/>
              <w:marTop w:val="0"/>
              <w:marBottom w:val="0"/>
              <w:divBdr>
                <w:top w:val="none" w:sz="0" w:space="0" w:color="auto"/>
                <w:left w:val="none" w:sz="0" w:space="0" w:color="auto"/>
                <w:bottom w:val="none" w:sz="0" w:space="0" w:color="auto"/>
                <w:right w:val="none" w:sz="0" w:space="0" w:color="auto"/>
              </w:divBdr>
              <w:divsChild>
                <w:div w:id="18654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439609">
      <w:bodyDiv w:val="1"/>
      <w:marLeft w:val="0"/>
      <w:marRight w:val="0"/>
      <w:marTop w:val="0"/>
      <w:marBottom w:val="0"/>
      <w:divBdr>
        <w:top w:val="none" w:sz="0" w:space="0" w:color="auto"/>
        <w:left w:val="none" w:sz="0" w:space="0" w:color="auto"/>
        <w:bottom w:val="none" w:sz="0" w:space="0" w:color="auto"/>
        <w:right w:val="none" w:sz="0" w:space="0" w:color="auto"/>
      </w:divBdr>
      <w:divsChild>
        <w:div w:id="1953131002">
          <w:marLeft w:val="0"/>
          <w:marRight w:val="0"/>
          <w:marTop w:val="0"/>
          <w:marBottom w:val="0"/>
          <w:divBdr>
            <w:top w:val="none" w:sz="0" w:space="0" w:color="auto"/>
            <w:left w:val="none" w:sz="0" w:space="0" w:color="auto"/>
            <w:bottom w:val="none" w:sz="0" w:space="0" w:color="auto"/>
            <w:right w:val="none" w:sz="0" w:space="0" w:color="auto"/>
          </w:divBdr>
          <w:divsChild>
            <w:div w:id="1369061850">
              <w:marLeft w:val="0"/>
              <w:marRight w:val="0"/>
              <w:marTop w:val="0"/>
              <w:marBottom w:val="0"/>
              <w:divBdr>
                <w:top w:val="none" w:sz="0" w:space="0" w:color="auto"/>
                <w:left w:val="none" w:sz="0" w:space="0" w:color="auto"/>
                <w:bottom w:val="none" w:sz="0" w:space="0" w:color="auto"/>
                <w:right w:val="none" w:sz="0" w:space="0" w:color="auto"/>
              </w:divBdr>
              <w:divsChild>
                <w:div w:id="67313688">
                  <w:marLeft w:val="0"/>
                  <w:marRight w:val="0"/>
                  <w:marTop w:val="0"/>
                  <w:marBottom w:val="0"/>
                  <w:divBdr>
                    <w:top w:val="none" w:sz="0" w:space="0" w:color="auto"/>
                    <w:left w:val="none" w:sz="0" w:space="0" w:color="auto"/>
                    <w:bottom w:val="none" w:sz="0" w:space="0" w:color="auto"/>
                    <w:right w:val="none" w:sz="0" w:space="0" w:color="auto"/>
                  </w:divBdr>
                  <w:divsChild>
                    <w:div w:id="24870724">
                      <w:marLeft w:val="0"/>
                      <w:marRight w:val="0"/>
                      <w:marTop w:val="0"/>
                      <w:marBottom w:val="0"/>
                      <w:divBdr>
                        <w:top w:val="none" w:sz="0" w:space="0" w:color="auto"/>
                        <w:left w:val="none" w:sz="0" w:space="0" w:color="auto"/>
                        <w:bottom w:val="none" w:sz="0" w:space="0" w:color="auto"/>
                        <w:right w:val="none" w:sz="0" w:space="0" w:color="auto"/>
                      </w:divBdr>
                      <w:divsChild>
                        <w:div w:id="1154027071">
                          <w:marLeft w:val="0"/>
                          <w:marRight w:val="0"/>
                          <w:marTop w:val="0"/>
                          <w:marBottom w:val="0"/>
                          <w:divBdr>
                            <w:top w:val="none" w:sz="0" w:space="0" w:color="auto"/>
                            <w:left w:val="none" w:sz="0" w:space="0" w:color="auto"/>
                            <w:bottom w:val="none" w:sz="0" w:space="0" w:color="auto"/>
                            <w:right w:val="none" w:sz="0" w:space="0" w:color="auto"/>
                          </w:divBdr>
                          <w:divsChild>
                            <w:div w:id="481624813">
                              <w:marLeft w:val="0"/>
                              <w:marRight w:val="0"/>
                              <w:marTop w:val="0"/>
                              <w:marBottom w:val="0"/>
                              <w:divBdr>
                                <w:top w:val="none" w:sz="0" w:space="0" w:color="auto"/>
                                <w:left w:val="none" w:sz="0" w:space="0" w:color="auto"/>
                                <w:bottom w:val="none" w:sz="0" w:space="0" w:color="auto"/>
                                <w:right w:val="none" w:sz="0" w:space="0" w:color="auto"/>
                              </w:divBdr>
                              <w:divsChild>
                                <w:div w:id="52385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3446668">
      <w:bodyDiv w:val="1"/>
      <w:marLeft w:val="0"/>
      <w:marRight w:val="0"/>
      <w:marTop w:val="0"/>
      <w:marBottom w:val="0"/>
      <w:divBdr>
        <w:top w:val="none" w:sz="0" w:space="0" w:color="auto"/>
        <w:left w:val="none" w:sz="0" w:space="0" w:color="auto"/>
        <w:bottom w:val="none" w:sz="0" w:space="0" w:color="auto"/>
        <w:right w:val="none" w:sz="0" w:space="0" w:color="auto"/>
      </w:divBdr>
    </w:div>
    <w:div w:id="1243636033">
      <w:bodyDiv w:val="1"/>
      <w:marLeft w:val="0"/>
      <w:marRight w:val="0"/>
      <w:marTop w:val="0"/>
      <w:marBottom w:val="0"/>
      <w:divBdr>
        <w:top w:val="none" w:sz="0" w:space="0" w:color="auto"/>
        <w:left w:val="none" w:sz="0" w:space="0" w:color="auto"/>
        <w:bottom w:val="none" w:sz="0" w:space="0" w:color="auto"/>
        <w:right w:val="none" w:sz="0" w:space="0" w:color="auto"/>
      </w:divBdr>
    </w:div>
    <w:div w:id="1251348688">
      <w:bodyDiv w:val="1"/>
      <w:marLeft w:val="0"/>
      <w:marRight w:val="0"/>
      <w:marTop w:val="0"/>
      <w:marBottom w:val="0"/>
      <w:divBdr>
        <w:top w:val="none" w:sz="0" w:space="0" w:color="auto"/>
        <w:left w:val="none" w:sz="0" w:space="0" w:color="auto"/>
        <w:bottom w:val="none" w:sz="0" w:space="0" w:color="auto"/>
        <w:right w:val="none" w:sz="0" w:space="0" w:color="auto"/>
      </w:divBdr>
      <w:divsChild>
        <w:div w:id="1844130154">
          <w:marLeft w:val="0"/>
          <w:marRight w:val="0"/>
          <w:marTop w:val="0"/>
          <w:marBottom w:val="0"/>
          <w:divBdr>
            <w:top w:val="none" w:sz="0" w:space="0" w:color="auto"/>
            <w:left w:val="none" w:sz="0" w:space="0" w:color="auto"/>
            <w:bottom w:val="none" w:sz="0" w:space="0" w:color="auto"/>
            <w:right w:val="none" w:sz="0" w:space="0" w:color="auto"/>
          </w:divBdr>
          <w:divsChild>
            <w:div w:id="1978531923">
              <w:marLeft w:val="0"/>
              <w:marRight w:val="0"/>
              <w:marTop w:val="0"/>
              <w:marBottom w:val="0"/>
              <w:divBdr>
                <w:top w:val="none" w:sz="0" w:space="0" w:color="auto"/>
                <w:left w:val="none" w:sz="0" w:space="0" w:color="auto"/>
                <w:bottom w:val="none" w:sz="0" w:space="0" w:color="auto"/>
                <w:right w:val="none" w:sz="0" w:space="0" w:color="auto"/>
              </w:divBdr>
              <w:divsChild>
                <w:div w:id="198307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748713">
      <w:bodyDiv w:val="1"/>
      <w:marLeft w:val="0"/>
      <w:marRight w:val="0"/>
      <w:marTop w:val="0"/>
      <w:marBottom w:val="0"/>
      <w:divBdr>
        <w:top w:val="none" w:sz="0" w:space="0" w:color="auto"/>
        <w:left w:val="none" w:sz="0" w:space="0" w:color="auto"/>
        <w:bottom w:val="none" w:sz="0" w:space="0" w:color="auto"/>
        <w:right w:val="none" w:sz="0" w:space="0" w:color="auto"/>
      </w:divBdr>
    </w:div>
    <w:div w:id="1259752773">
      <w:bodyDiv w:val="1"/>
      <w:marLeft w:val="0"/>
      <w:marRight w:val="0"/>
      <w:marTop w:val="0"/>
      <w:marBottom w:val="0"/>
      <w:divBdr>
        <w:top w:val="none" w:sz="0" w:space="0" w:color="auto"/>
        <w:left w:val="none" w:sz="0" w:space="0" w:color="auto"/>
        <w:bottom w:val="none" w:sz="0" w:space="0" w:color="auto"/>
        <w:right w:val="none" w:sz="0" w:space="0" w:color="auto"/>
      </w:divBdr>
    </w:div>
    <w:div w:id="1265453667">
      <w:bodyDiv w:val="1"/>
      <w:marLeft w:val="0"/>
      <w:marRight w:val="0"/>
      <w:marTop w:val="0"/>
      <w:marBottom w:val="0"/>
      <w:divBdr>
        <w:top w:val="none" w:sz="0" w:space="0" w:color="auto"/>
        <w:left w:val="none" w:sz="0" w:space="0" w:color="auto"/>
        <w:bottom w:val="none" w:sz="0" w:space="0" w:color="auto"/>
        <w:right w:val="none" w:sz="0" w:space="0" w:color="auto"/>
      </w:divBdr>
      <w:divsChild>
        <w:div w:id="1769691975">
          <w:marLeft w:val="0"/>
          <w:marRight w:val="0"/>
          <w:marTop w:val="0"/>
          <w:marBottom w:val="150"/>
          <w:divBdr>
            <w:top w:val="none" w:sz="0" w:space="0" w:color="auto"/>
            <w:left w:val="none" w:sz="0" w:space="0" w:color="auto"/>
            <w:bottom w:val="none" w:sz="0" w:space="0" w:color="auto"/>
            <w:right w:val="none" w:sz="0" w:space="0" w:color="auto"/>
          </w:divBdr>
        </w:div>
      </w:divsChild>
    </w:div>
    <w:div w:id="1274560054">
      <w:bodyDiv w:val="1"/>
      <w:marLeft w:val="0"/>
      <w:marRight w:val="0"/>
      <w:marTop w:val="0"/>
      <w:marBottom w:val="0"/>
      <w:divBdr>
        <w:top w:val="none" w:sz="0" w:space="0" w:color="auto"/>
        <w:left w:val="none" w:sz="0" w:space="0" w:color="auto"/>
        <w:bottom w:val="none" w:sz="0" w:space="0" w:color="auto"/>
        <w:right w:val="none" w:sz="0" w:space="0" w:color="auto"/>
      </w:divBdr>
    </w:div>
    <w:div w:id="1275017854">
      <w:bodyDiv w:val="1"/>
      <w:marLeft w:val="0"/>
      <w:marRight w:val="0"/>
      <w:marTop w:val="0"/>
      <w:marBottom w:val="0"/>
      <w:divBdr>
        <w:top w:val="none" w:sz="0" w:space="0" w:color="auto"/>
        <w:left w:val="none" w:sz="0" w:space="0" w:color="auto"/>
        <w:bottom w:val="none" w:sz="0" w:space="0" w:color="auto"/>
        <w:right w:val="none" w:sz="0" w:space="0" w:color="auto"/>
      </w:divBdr>
    </w:div>
    <w:div w:id="1284995980">
      <w:bodyDiv w:val="1"/>
      <w:marLeft w:val="0"/>
      <w:marRight w:val="0"/>
      <w:marTop w:val="0"/>
      <w:marBottom w:val="0"/>
      <w:divBdr>
        <w:top w:val="none" w:sz="0" w:space="0" w:color="auto"/>
        <w:left w:val="none" w:sz="0" w:space="0" w:color="auto"/>
        <w:bottom w:val="none" w:sz="0" w:space="0" w:color="auto"/>
        <w:right w:val="none" w:sz="0" w:space="0" w:color="auto"/>
      </w:divBdr>
    </w:div>
    <w:div w:id="1287618471">
      <w:bodyDiv w:val="1"/>
      <w:marLeft w:val="0"/>
      <w:marRight w:val="0"/>
      <w:marTop w:val="0"/>
      <w:marBottom w:val="0"/>
      <w:divBdr>
        <w:top w:val="none" w:sz="0" w:space="0" w:color="auto"/>
        <w:left w:val="none" w:sz="0" w:space="0" w:color="auto"/>
        <w:bottom w:val="none" w:sz="0" w:space="0" w:color="auto"/>
        <w:right w:val="none" w:sz="0" w:space="0" w:color="auto"/>
      </w:divBdr>
    </w:div>
    <w:div w:id="1288583730">
      <w:bodyDiv w:val="1"/>
      <w:marLeft w:val="0"/>
      <w:marRight w:val="0"/>
      <w:marTop w:val="0"/>
      <w:marBottom w:val="0"/>
      <w:divBdr>
        <w:top w:val="none" w:sz="0" w:space="0" w:color="auto"/>
        <w:left w:val="none" w:sz="0" w:space="0" w:color="auto"/>
        <w:bottom w:val="none" w:sz="0" w:space="0" w:color="auto"/>
        <w:right w:val="none" w:sz="0" w:space="0" w:color="auto"/>
      </w:divBdr>
      <w:divsChild>
        <w:div w:id="1234123218">
          <w:marLeft w:val="0"/>
          <w:marRight w:val="0"/>
          <w:marTop w:val="0"/>
          <w:marBottom w:val="0"/>
          <w:divBdr>
            <w:top w:val="none" w:sz="0" w:space="0" w:color="auto"/>
            <w:left w:val="none" w:sz="0" w:space="0" w:color="auto"/>
            <w:bottom w:val="none" w:sz="0" w:space="0" w:color="auto"/>
            <w:right w:val="none" w:sz="0" w:space="0" w:color="auto"/>
          </w:divBdr>
          <w:divsChild>
            <w:div w:id="331419517">
              <w:marLeft w:val="0"/>
              <w:marRight w:val="0"/>
              <w:marTop w:val="0"/>
              <w:marBottom w:val="0"/>
              <w:divBdr>
                <w:top w:val="none" w:sz="0" w:space="0" w:color="auto"/>
                <w:left w:val="none" w:sz="0" w:space="0" w:color="auto"/>
                <w:bottom w:val="none" w:sz="0" w:space="0" w:color="auto"/>
                <w:right w:val="none" w:sz="0" w:space="0" w:color="auto"/>
              </w:divBdr>
              <w:divsChild>
                <w:div w:id="85774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160644">
      <w:bodyDiv w:val="1"/>
      <w:marLeft w:val="0"/>
      <w:marRight w:val="0"/>
      <w:marTop w:val="0"/>
      <w:marBottom w:val="0"/>
      <w:divBdr>
        <w:top w:val="none" w:sz="0" w:space="0" w:color="auto"/>
        <w:left w:val="none" w:sz="0" w:space="0" w:color="auto"/>
        <w:bottom w:val="none" w:sz="0" w:space="0" w:color="auto"/>
        <w:right w:val="none" w:sz="0" w:space="0" w:color="auto"/>
      </w:divBdr>
    </w:div>
    <w:div w:id="1296251864">
      <w:bodyDiv w:val="1"/>
      <w:marLeft w:val="0"/>
      <w:marRight w:val="0"/>
      <w:marTop w:val="0"/>
      <w:marBottom w:val="0"/>
      <w:divBdr>
        <w:top w:val="none" w:sz="0" w:space="0" w:color="auto"/>
        <w:left w:val="none" w:sz="0" w:space="0" w:color="auto"/>
        <w:bottom w:val="none" w:sz="0" w:space="0" w:color="auto"/>
        <w:right w:val="none" w:sz="0" w:space="0" w:color="auto"/>
      </w:divBdr>
    </w:div>
    <w:div w:id="1297176875">
      <w:bodyDiv w:val="1"/>
      <w:marLeft w:val="0"/>
      <w:marRight w:val="0"/>
      <w:marTop w:val="0"/>
      <w:marBottom w:val="0"/>
      <w:divBdr>
        <w:top w:val="none" w:sz="0" w:space="0" w:color="auto"/>
        <w:left w:val="none" w:sz="0" w:space="0" w:color="auto"/>
        <w:bottom w:val="none" w:sz="0" w:space="0" w:color="auto"/>
        <w:right w:val="none" w:sz="0" w:space="0" w:color="auto"/>
      </w:divBdr>
    </w:div>
    <w:div w:id="1306006413">
      <w:bodyDiv w:val="1"/>
      <w:marLeft w:val="0"/>
      <w:marRight w:val="0"/>
      <w:marTop w:val="0"/>
      <w:marBottom w:val="0"/>
      <w:divBdr>
        <w:top w:val="none" w:sz="0" w:space="0" w:color="auto"/>
        <w:left w:val="none" w:sz="0" w:space="0" w:color="auto"/>
        <w:bottom w:val="none" w:sz="0" w:space="0" w:color="auto"/>
        <w:right w:val="none" w:sz="0" w:space="0" w:color="auto"/>
      </w:divBdr>
    </w:div>
    <w:div w:id="1309899906">
      <w:bodyDiv w:val="1"/>
      <w:marLeft w:val="0"/>
      <w:marRight w:val="0"/>
      <w:marTop w:val="0"/>
      <w:marBottom w:val="0"/>
      <w:divBdr>
        <w:top w:val="none" w:sz="0" w:space="0" w:color="auto"/>
        <w:left w:val="none" w:sz="0" w:space="0" w:color="auto"/>
        <w:bottom w:val="none" w:sz="0" w:space="0" w:color="auto"/>
        <w:right w:val="none" w:sz="0" w:space="0" w:color="auto"/>
      </w:divBdr>
    </w:div>
    <w:div w:id="1313677298">
      <w:bodyDiv w:val="1"/>
      <w:marLeft w:val="0"/>
      <w:marRight w:val="0"/>
      <w:marTop w:val="0"/>
      <w:marBottom w:val="0"/>
      <w:divBdr>
        <w:top w:val="none" w:sz="0" w:space="0" w:color="auto"/>
        <w:left w:val="none" w:sz="0" w:space="0" w:color="auto"/>
        <w:bottom w:val="none" w:sz="0" w:space="0" w:color="auto"/>
        <w:right w:val="none" w:sz="0" w:space="0" w:color="auto"/>
      </w:divBdr>
    </w:div>
    <w:div w:id="1317494254">
      <w:bodyDiv w:val="1"/>
      <w:marLeft w:val="0"/>
      <w:marRight w:val="0"/>
      <w:marTop w:val="0"/>
      <w:marBottom w:val="0"/>
      <w:divBdr>
        <w:top w:val="none" w:sz="0" w:space="0" w:color="auto"/>
        <w:left w:val="none" w:sz="0" w:space="0" w:color="auto"/>
        <w:bottom w:val="none" w:sz="0" w:space="0" w:color="auto"/>
        <w:right w:val="none" w:sz="0" w:space="0" w:color="auto"/>
      </w:divBdr>
    </w:div>
    <w:div w:id="1318730257">
      <w:bodyDiv w:val="1"/>
      <w:marLeft w:val="0"/>
      <w:marRight w:val="0"/>
      <w:marTop w:val="0"/>
      <w:marBottom w:val="0"/>
      <w:divBdr>
        <w:top w:val="none" w:sz="0" w:space="0" w:color="auto"/>
        <w:left w:val="none" w:sz="0" w:space="0" w:color="auto"/>
        <w:bottom w:val="none" w:sz="0" w:space="0" w:color="auto"/>
        <w:right w:val="none" w:sz="0" w:space="0" w:color="auto"/>
      </w:divBdr>
    </w:div>
    <w:div w:id="1335108310">
      <w:bodyDiv w:val="1"/>
      <w:marLeft w:val="0"/>
      <w:marRight w:val="0"/>
      <w:marTop w:val="0"/>
      <w:marBottom w:val="0"/>
      <w:divBdr>
        <w:top w:val="none" w:sz="0" w:space="0" w:color="auto"/>
        <w:left w:val="none" w:sz="0" w:space="0" w:color="auto"/>
        <w:bottom w:val="none" w:sz="0" w:space="0" w:color="auto"/>
        <w:right w:val="none" w:sz="0" w:space="0" w:color="auto"/>
      </w:divBdr>
    </w:div>
    <w:div w:id="1336809921">
      <w:bodyDiv w:val="1"/>
      <w:marLeft w:val="0"/>
      <w:marRight w:val="0"/>
      <w:marTop w:val="0"/>
      <w:marBottom w:val="0"/>
      <w:divBdr>
        <w:top w:val="none" w:sz="0" w:space="0" w:color="auto"/>
        <w:left w:val="none" w:sz="0" w:space="0" w:color="auto"/>
        <w:bottom w:val="none" w:sz="0" w:space="0" w:color="auto"/>
        <w:right w:val="none" w:sz="0" w:space="0" w:color="auto"/>
      </w:divBdr>
    </w:div>
    <w:div w:id="1337925590">
      <w:bodyDiv w:val="1"/>
      <w:marLeft w:val="0"/>
      <w:marRight w:val="0"/>
      <w:marTop w:val="0"/>
      <w:marBottom w:val="0"/>
      <w:divBdr>
        <w:top w:val="none" w:sz="0" w:space="0" w:color="auto"/>
        <w:left w:val="none" w:sz="0" w:space="0" w:color="auto"/>
        <w:bottom w:val="none" w:sz="0" w:space="0" w:color="auto"/>
        <w:right w:val="none" w:sz="0" w:space="0" w:color="auto"/>
      </w:divBdr>
    </w:div>
    <w:div w:id="1342514571">
      <w:bodyDiv w:val="1"/>
      <w:marLeft w:val="0"/>
      <w:marRight w:val="0"/>
      <w:marTop w:val="0"/>
      <w:marBottom w:val="0"/>
      <w:divBdr>
        <w:top w:val="none" w:sz="0" w:space="0" w:color="auto"/>
        <w:left w:val="none" w:sz="0" w:space="0" w:color="auto"/>
        <w:bottom w:val="none" w:sz="0" w:space="0" w:color="auto"/>
        <w:right w:val="none" w:sz="0" w:space="0" w:color="auto"/>
      </w:divBdr>
      <w:divsChild>
        <w:div w:id="999960939">
          <w:marLeft w:val="0"/>
          <w:marRight w:val="0"/>
          <w:marTop w:val="0"/>
          <w:marBottom w:val="0"/>
          <w:divBdr>
            <w:top w:val="none" w:sz="0" w:space="0" w:color="auto"/>
            <w:left w:val="none" w:sz="0" w:space="0" w:color="auto"/>
            <w:bottom w:val="none" w:sz="0" w:space="0" w:color="auto"/>
            <w:right w:val="none" w:sz="0" w:space="0" w:color="auto"/>
          </w:divBdr>
        </w:div>
      </w:divsChild>
    </w:div>
    <w:div w:id="1343049769">
      <w:bodyDiv w:val="1"/>
      <w:marLeft w:val="0"/>
      <w:marRight w:val="0"/>
      <w:marTop w:val="0"/>
      <w:marBottom w:val="0"/>
      <w:divBdr>
        <w:top w:val="none" w:sz="0" w:space="0" w:color="auto"/>
        <w:left w:val="none" w:sz="0" w:space="0" w:color="auto"/>
        <w:bottom w:val="none" w:sz="0" w:space="0" w:color="auto"/>
        <w:right w:val="none" w:sz="0" w:space="0" w:color="auto"/>
      </w:divBdr>
    </w:div>
    <w:div w:id="1344864298">
      <w:bodyDiv w:val="1"/>
      <w:marLeft w:val="0"/>
      <w:marRight w:val="0"/>
      <w:marTop w:val="0"/>
      <w:marBottom w:val="0"/>
      <w:divBdr>
        <w:top w:val="none" w:sz="0" w:space="0" w:color="auto"/>
        <w:left w:val="none" w:sz="0" w:space="0" w:color="auto"/>
        <w:bottom w:val="none" w:sz="0" w:space="0" w:color="auto"/>
        <w:right w:val="none" w:sz="0" w:space="0" w:color="auto"/>
      </w:divBdr>
    </w:div>
    <w:div w:id="1345010374">
      <w:bodyDiv w:val="1"/>
      <w:marLeft w:val="0"/>
      <w:marRight w:val="0"/>
      <w:marTop w:val="0"/>
      <w:marBottom w:val="0"/>
      <w:divBdr>
        <w:top w:val="none" w:sz="0" w:space="0" w:color="auto"/>
        <w:left w:val="none" w:sz="0" w:space="0" w:color="auto"/>
        <w:bottom w:val="none" w:sz="0" w:space="0" w:color="auto"/>
        <w:right w:val="none" w:sz="0" w:space="0" w:color="auto"/>
      </w:divBdr>
    </w:div>
    <w:div w:id="1350328428">
      <w:bodyDiv w:val="1"/>
      <w:marLeft w:val="0"/>
      <w:marRight w:val="0"/>
      <w:marTop w:val="0"/>
      <w:marBottom w:val="0"/>
      <w:divBdr>
        <w:top w:val="none" w:sz="0" w:space="0" w:color="auto"/>
        <w:left w:val="none" w:sz="0" w:space="0" w:color="auto"/>
        <w:bottom w:val="none" w:sz="0" w:space="0" w:color="auto"/>
        <w:right w:val="none" w:sz="0" w:space="0" w:color="auto"/>
      </w:divBdr>
    </w:div>
    <w:div w:id="1350445455">
      <w:bodyDiv w:val="1"/>
      <w:marLeft w:val="0"/>
      <w:marRight w:val="0"/>
      <w:marTop w:val="0"/>
      <w:marBottom w:val="0"/>
      <w:divBdr>
        <w:top w:val="none" w:sz="0" w:space="0" w:color="auto"/>
        <w:left w:val="none" w:sz="0" w:space="0" w:color="auto"/>
        <w:bottom w:val="none" w:sz="0" w:space="0" w:color="auto"/>
        <w:right w:val="none" w:sz="0" w:space="0" w:color="auto"/>
      </w:divBdr>
      <w:divsChild>
        <w:div w:id="1112631339">
          <w:marLeft w:val="0"/>
          <w:marRight w:val="0"/>
          <w:marTop w:val="0"/>
          <w:marBottom w:val="0"/>
          <w:divBdr>
            <w:top w:val="none" w:sz="0" w:space="0" w:color="auto"/>
            <w:left w:val="none" w:sz="0" w:space="0" w:color="auto"/>
            <w:bottom w:val="none" w:sz="0" w:space="0" w:color="auto"/>
            <w:right w:val="none" w:sz="0" w:space="0" w:color="auto"/>
          </w:divBdr>
          <w:divsChild>
            <w:div w:id="242759679">
              <w:marLeft w:val="0"/>
              <w:marRight w:val="0"/>
              <w:marTop w:val="0"/>
              <w:marBottom w:val="0"/>
              <w:divBdr>
                <w:top w:val="none" w:sz="0" w:space="0" w:color="auto"/>
                <w:left w:val="none" w:sz="0" w:space="0" w:color="auto"/>
                <w:bottom w:val="none" w:sz="0" w:space="0" w:color="auto"/>
                <w:right w:val="none" w:sz="0" w:space="0" w:color="auto"/>
              </w:divBdr>
              <w:divsChild>
                <w:div w:id="304089823">
                  <w:marLeft w:val="0"/>
                  <w:marRight w:val="0"/>
                  <w:marTop w:val="0"/>
                  <w:marBottom w:val="0"/>
                  <w:divBdr>
                    <w:top w:val="none" w:sz="0" w:space="0" w:color="auto"/>
                    <w:left w:val="none" w:sz="0" w:space="0" w:color="auto"/>
                    <w:bottom w:val="none" w:sz="0" w:space="0" w:color="auto"/>
                    <w:right w:val="none" w:sz="0" w:space="0" w:color="auto"/>
                  </w:divBdr>
                  <w:divsChild>
                    <w:div w:id="1263075392">
                      <w:marLeft w:val="0"/>
                      <w:marRight w:val="0"/>
                      <w:marTop w:val="0"/>
                      <w:marBottom w:val="0"/>
                      <w:divBdr>
                        <w:top w:val="none" w:sz="0" w:space="0" w:color="auto"/>
                        <w:left w:val="none" w:sz="0" w:space="0" w:color="auto"/>
                        <w:bottom w:val="none" w:sz="0" w:space="0" w:color="auto"/>
                        <w:right w:val="none" w:sz="0" w:space="0" w:color="auto"/>
                      </w:divBdr>
                      <w:divsChild>
                        <w:div w:id="313024564">
                          <w:marLeft w:val="0"/>
                          <w:marRight w:val="0"/>
                          <w:marTop w:val="0"/>
                          <w:marBottom w:val="0"/>
                          <w:divBdr>
                            <w:top w:val="none" w:sz="0" w:space="0" w:color="auto"/>
                            <w:left w:val="none" w:sz="0" w:space="0" w:color="auto"/>
                            <w:bottom w:val="none" w:sz="0" w:space="0" w:color="auto"/>
                            <w:right w:val="none" w:sz="0" w:space="0" w:color="auto"/>
                          </w:divBdr>
                          <w:divsChild>
                            <w:div w:id="15753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887863">
      <w:bodyDiv w:val="1"/>
      <w:marLeft w:val="0"/>
      <w:marRight w:val="0"/>
      <w:marTop w:val="0"/>
      <w:marBottom w:val="0"/>
      <w:divBdr>
        <w:top w:val="none" w:sz="0" w:space="0" w:color="auto"/>
        <w:left w:val="none" w:sz="0" w:space="0" w:color="auto"/>
        <w:bottom w:val="none" w:sz="0" w:space="0" w:color="auto"/>
        <w:right w:val="none" w:sz="0" w:space="0" w:color="auto"/>
      </w:divBdr>
    </w:div>
    <w:div w:id="1359240077">
      <w:bodyDiv w:val="1"/>
      <w:marLeft w:val="0"/>
      <w:marRight w:val="0"/>
      <w:marTop w:val="0"/>
      <w:marBottom w:val="0"/>
      <w:divBdr>
        <w:top w:val="none" w:sz="0" w:space="0" w:color="auto"/>
        <w:left w:val="none" w:sz="0" w:space="0" w:color="auto"/>
        <w:bottom w:val="none" w:sz="0" w:space="0" w:color="auto"/>
        <w:right w:val="none" w:sz="0" w:space="0" w:color="auto"/>
      </w:divBdr>
    </w:div>
    <w:div w:id="1361856328">
      <w:bodyDiv w:val="1"/>
      <w:marLeft w:val="0"/>
      <w:marRight w:val="0"/>
      <w:marTop w:val="0"/>
      <w:marBottom w:val="0"/>
      <w:divBdr>
        <w:top w:val="none" w:sz="0" w:space="0" w:color="auto"/>
        <w:left w:val="none" w:sz="0" w:space="0" w:color="auto"/>
        <w:bottom w:val="none" w:sz="0" w:space="0" w:color="auto"/>
        <w:right w:val="none" w:sz="0" w:space="0" w:color="auto"/>
      </w:divBdr>
    </w:div>
    <w:div w:id="1363239696">
      <w:bodyDiv w:val="1"/>
      <w:marLeft w:val="0"/>
      <w:marRight w:val="0"/>
      <w:marTop w:val="0"/>
      <w:marBottom w:val="0"/>
      <w:divBdr>
        <w:top w:val="none" w:sz="0" w:space="0" w:color="auto"/>
        <w:left w:val="none" w:sz="0" w:space="0" w:color="auto"/>
        <w:bottom w:val="none" w:sz="0" w:space="0" w:color="auto"/>
        <w:right w:val="none" w:sz="0" w:space="0" w:color="auto"/>
      </w:divBdr>
    </w:div>
    <w:div w:id="1367757500">
      <w:bodyDiv w:val="1"/>
      <w:marLeft w:val="0"/>
      <w:marRight w:val="0"/>
      <w:marTop w:val="0"/>
      <w:marBottom w:val="0"/>
      <w:divBdr>
        <w:top w:val="none" w:sz="0" w:space="0" w:color="auto"/>
        <w:left w:val="none" w:sz="0" w:space="0" w:color="auto"/>
        <w:bottom w:val="none" w:sz="0" w:space="0" w:color="auto"/>
        <w:right w:val="none" w:sz="0" w:space="0" w:color="auto"/>
      </w:divBdr>
    </w:div>
    <w:div w:id="1368095760">
      <w:bodyDiv w:val="1"/>
      <w:marLeft w:val="0"/>
      <w:marRight w:val="0"/>
      <w:marTop w:val="0"/>
      <w:marBottom w:val="0"/>
      <w:divBdr>
        <w:top w:val="none" w:sz="0" w:space="0" w:color="auto"/>
        <w:left w:val="none" w:sz="0" w:space="0" w:color="auto"/>
        <w:bottom w:val="none" w:sz="0" w:space="0" w:color="auto"/>
        <w:right w:val="none" w:sz="0" w:space="0" w:color="auto"/>
      </w:divBdr>
    </w:div>
    <w:div w:id="1372000577">
      <w:bodyDiv w:val="1"/>
      <w:marLeft w:val="0"/>
      <w:marRight w:val="0"/>
      <w:marTop w:val="0"/>
      <w:marBottom w:val="0"/>
      <w:divBdr>
        <w:top w:val="none" w:sz="0" w:space="0" w:color="auto"/>
        <w:left w:val="none" w:sz="0" w:space="0" w:color="auto"/>
        <w:bottom w:val="none" w:sz="0" w:space="0" w:color="auto"/>
        <w:right w:val="none" w:sz="0" w:space="0" w:color="auto"/>
      </w:divBdr>
    </w:div>
    <w:div w:id="1376200818">
      <w:bodyDiv w:val="1"/>
      <w:marLeft w:val="0"/>
      <w:marRight w:val="0"/>
      <w:marTop w:val="0"/>
      <w:marBottom w:val="0"/>
      <w:divBdr>
        <w:top w:val="none" w:sz="0" w:space="0" w:color="auto"/>
        <w:left w:val="none" w:sz="0" w:space="0" w:color="auto"/>
        <w:bottom w:val="none" w:sz="0" w:space="0" w:color="auto"/>
        <w:right w:val="none" w:sz="0" w:space="0" w:color="auto"/>
      </w:divBdr>
      <w:divsChild>
        <w:div w:id="651132612">
          <w:marLeft w:val="0"/>
          <w:marRight w:val="0"/>
          <w:marTop w:val="0"/>
          <w:marBottom w:val="0"/>
          <w:divBdr>
            <w:top w:val="none" w:sz="0" w:space="0" w:color="auto"/>
            <w:left w:val="none" w:sz="0" w:space="0" w:color="auto"/>
            <w:bottom w:val="none" w:sz="0" w:space="0" w:color="auto"/>
            <w:right w:val="none" w:sz="0" w:space="0" w:color="auto"/>
          </w:divBdr>
          <w:divsChild>
            <w:div w:id="2068604606">
              <w:marLeft w:val="0"/>
              <w:marRight w:val="0"/>
              <w:marTop w:val="0"/>
              <w:marBottom w:val="0"/>
              <w:divBdr>
                <w:top w:val="none" w:sz="0" w:space="0" w:color="auto"/>
                <w:left w:val="none" w:sz="0" w:space="0" w:color="auto"/>
                <w:bottom w:val="none" w:sz="0" w:space="0" w:color="auto"/>
                <w:right w:val="none" w:sz="0" w:space="0" w:color="auto"/>
              </w:divBdr>
            </w:div>
          </w:divsChild>
        </w:div>
        <w:div w:id="1508210216">
          <w:marLeft w:val="0"/>
          <w:marRight w:val="0"/>
          <w:marTop w:val="0"/>
          <w:marBottom w:val="0"/>
          <w:divBdr>
            <w:top w:val="none" w:sz="0" w:space="0" w:color="auto"/>
            <w:left w:val="none" w:sz="0" w:space="0" w:color="auto"/>
            <w:bottom w:val="none" w:sz="0" w:space="0" w:color="auto"/>
            <w:right w:val="none" w:sz="0" w:space="0" w:color="auto"/>
          </w:divBdr>
          <w:divsChild>
            <w:div w:id="183267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016502">
      <w:bodyDiv w:val="1"/>
      <w:marLeft w:val="0"/>
      <w:marRight w:val="0"/>
      <w:marTop w:val="0"/>
      <w:marBottom w:val="0"/>
      <w:divBdr>
        <w:top w:val="none" w:sz="0" w:space="0" w:color="auto"/>
        <w:left w:val="none" w:sz="0" w:space="0" w:color="auto"/>
        <w:bottom w:val="none" w:sz="0" w:space="0" w:color="auto"/>
        <w:right w:val="none" w:sz="0" w:space="0" w:color="auto"/>
      </w:divBdr>
    </w:div>
    <w:div w:id="1380399778">
      <w:bodyDiv w:val="1"/>
      <w:marLeft w:val="0"/>
      <w:marRight w:val="0"/>
      <w:marTop w:val="0"/>
      <w:marBottom w:val="0"/>
      <w:divBdr>
        <w:top w:val="none" w:sz="0" w:space="0" w:color="auto"/>
        <w:left w:val="none" w:sz="0" w:space="0" w:color="auto"/>
        <w:bottom w:val="none" w:sz="0" w:space="0" w:color="auto"/>
        <w:right w:val="none" w:sz="0" w:space="0" w:color="auto"/>
      </w:divBdr>
    </w:div>
    <w:div w:id="1391537026">
      <w:bodyDiv w:val="1"/>
      <w:marLeft w:val="0"/>
      <w:marRight w:val="0"/>
      <w:marTop w:val="0"/>
      <w:marBottom w:val="0"/>
      <w:divBdr>
        <w:top w:val="none" w:sz="0" w:space="0" w:color="auto"/>
        <w:left w:val="none" w:sz="0" w:space="0" w:color="auto"/>
        <w:bottom w:val="none" w:sz="0" w:space="0" w:color="auto"/>
        <w:right w:val="none" w:sz="0" w:space="0" w:color="auto"/>
      </w:divBdr>
    </w:div>
    <w:div w:id="1393772773">
      <w:bodyDiv w:val="1"/>
      <w:marLeft w:val="0"/>
      <w:marRight w:val="0"/>
      <w:marTop w:val="0"/>
      <w:marBottom w:val="0"/>
      <w:divBdr>
        <w:top w:val="none" w:sz="0" w:space="0" w:color="auto"/>
        <w:left w:val="none" w:sz="0" w:space="0" w:color="auto"/>
        <w:bottom w:val="none" w:sz="0" w:space="0" w:color="auto"/>
        <w:right w:val="none" w:sz="0" w:space="0" w:color="auto"/>
      </w:divBdr>
    </w:div>
    <w:div w:id="1395852409">
      <w:bodyDiv w:val="1"/>
      <w:marLeft w:val="0"/>
      <w:marRight w:val="0"/>
      <w:marTop w:val="0"/>
      <w:marBottom w:val="0"/>
      <w:divBdr>
        <w:top w:val="none" w:sz="0" w:space="0" w:color="auto"/>
        <w:left w:val="none" w:sz="0" w:space="0" w:color="auto"/>
        <w:bottom w:val="none" w:sz="0" w:space="0" w:color="auto"/>
        <w:right w:val="none" w:sz="0" w:space="0" w:color="auto"/>
      </w:divBdr>
    </w:div>
    <w:div w:id="1399019005">
      <w:bodyDiv w:val="1"/>
      <w:marLeft w:val="0"/>
      <w:marRight w:val="0"/>
      <w:marTop w:val="0"/>
      <w:marBottom w:val="0"/>
      <w:divBdr>
        <w:top w:val="none" w:sz="0" w:space="0" w:color="auto"/>
        <w:left w:val="none" w:sz="0" w:space="0" w:color="auto"/>
        <w:bottom w:val="none" w:sz="0" w:space="0" w:color="auto"/>
        <w:right w:val="none" w:sz="0" w:space="0" w:color="auto"/>
      </w:divBdr>
    </w:div>
    <w:div w:id="1405032803">
      <w:bodyDiv w:val="1"/>
      <w:marLeft w:val="0"/>
      <w:marRight w:val="0"/>
      <w:marTop w:val="0"/>
      <w:marBottom w:val="0"/>
      <w:divBdr>
        <w:top w:val="none" w:sz="0" w:space="0" w:color="auto"/>
        <w:left w:val="none" w:sz="0" w:space="0" w:color="auto"/>
        <w:bottom w:val="none" w:sz="0" w:space="0" w:color="auto"/>
        <w:right w:val="none" w:sz="0" w:space="0" w:color="auto"/>
      </w:divBdr>
    </w:div>
    <w:div w:id="1406685738">
      <w:bodyDiv w:val="1"/>
      <w:marLeft w:val="0"/>
      <w:marRight w:val="0"/>
      <w:marTop w:val="0"/>
      <w:marBottom w:val="0"/>
      <w:divBdr>
        <w:top w:val="none" w:sz="0" w:space="0" w:color="auto"/>
        <w:left w:val="none" w:sz="0" w:space="0" w:color="auto"/>
        <w:bottom w:val="none" w:sz="0" w:space="0" w:color="auto"/>
        <w:right w:val="none" w:sz="0" w:space="0" w:color="auto"/>
      </w:divBdr>
    </w:div>
    <w:div w:id="1407605425">
      <w:bodyDiv w:val="1"/>
      <w:marLeft w:val="0"/>
      <w:marRight w:val="0"/>
      <w:marTop w:val="0"/>
      <w:marBottom w:val="0"/>
      <w:divBdr>
        <w:top w:val="none" w:sz="0" w:space="0" w:color="auto"/>
        <w:left w:val="none" w:sz="0" w:space="0" w:color="auto"/>
        <w:bottom w:val="none" w:sz="0" w:space="0" w:color="auto"/>
        <w:right w:val="none" w:sz="0" w:space="0" w:color="auto"/>
      </w:divBdr>
    </w:div>
    <w:div w:id="1407872391">
      <w:bodyDiv w:val="1"/>
      <w:marLeft w:val="0"/>
      <w:marRight w:val="0"/>
      <w:marTop w:val="0"/>
      <w:marBottom w:val="0"/>
      <w:divBdr>
        <w:top w:val="none" w:sz="0" w:space="0" w:color="auto"/>
        <w:left w:val="none" w:sz="0" w:space="0" w:color="auto"/>
        <w:bottom w:val="none" w:sz="0" w:space="0" w:color="auto"/>
        <w:right w:val="none" w:sz="0" w:space="0" w:color="auto"/>
      </w:divBdr>
    </w:div>
    <w:div w:id="1413549988">
      <w:bodyDiv w:val="1"/>
      <w:marLeft w:val="0"/>
      <w:marRight w:val="0"/>
      <w:marTop w:val="0"/>
      <w:marBottom w:val="0"/>
      <w:divBdr>
        <w:top w:val="none" w:sz="0" w:space="0" w:color="auto"/>
        <w:left w:val="none" w:sz="0" w:space="0" w:color="auto"/>
        <w:bottom w:val="none" w:sz="0" w:space="0" w:color="auto"/>
        <w:right w:val="none" w:sz="0" w:space="0" w:color="auto"/>
      </w:divBdr>
    </w:div>
    <w:div w:id="1414667531">
      <w:bodyDiv w:val="1"/>
      <w:marLeft w:val="0"/>
      <w:marRight w:val="0"/>
      <w:marTop w:val="0"/>
      <w:marBottom w:val="0"/>
      <w:divBdr>
        <w:top w:val="none" w:sz="0" w:space="0" w:color="auto"/>
        <w:left w:val="none" w:sz="0" w:space="0" w:color="auto"/>
        <w:bottom w:val="none" w:sz="0" w:space="0" w:color="auto"/>
        <w:right w:val="none" w:sz="0" w:space="0" w:color="auto"/>
      </w:divBdr>
    </w:div>
    <w:div w:id="1416394131">
      <w:bodyDiv w:val="1"/>
      <w:marLeft w:val="0"/>
      <w:marRight w:val="0"/>
      <w:marTop w:val="0"/>
      <w:marBottom w:val="0"/>
      <w:divBdr>
        <w:top w:val="none" w:sz="0" w:space="0" w:color="auto"/>
        <w:left w:val="none" w:sz="0" w:space="0" w:color="auto"/>
        <w:bottom w:val="none" w:sz="0" w:space="0" w:color="auto"/>
        <w:right w:val="none" w:sz="0" w:space="0" w:color="auto"/>
      </w:divBdr>
    </w:div>
    <w:div w:id="1420444620">
      <w:bodyDiv w:val="1"/>
      <w:marLeft w:val="0"/>
      <w:marRight w:val="0"/>
      <w:marTop w:val="0"/>
      <w:marBottom w:val="0"/>
      <w:divBdr>
        <w:top w:val="none" w:sz="0" w:space="0" w:color="auto"/>
        <w:left w:val="none" w:sz="0" w:space="0" w:color="auto"/>
        <w:bottom w:val="none" w:sz="0" w:space="0" w:color="auto"/>
        <w:right w:val="none" w:sz="0" w:space="0" w:color="auto"/>
      </w:divBdr>
    </w:div>
    <w:div w:id="1428379710">
      <w:bodyDiv w:val="1"/>
      <w:marLeft w:val="0"/>
      <w:marRight w:val="0"/>
      <w:marTop w:val="0"/>
      <w:marBottom w:val="0"/>
      <w:divBdr>
        <w:top w:val="none" w:sz="0" w:space="0" w:color="auto"/>
        <w:left w:val="none" w:sz="0" w:space="0" w:color="auto"/>
        <w:bottom w:val="none" w:sz="0" w:space="0" w:color="auto"/>
        <w:right w:val="none" w:sz="0" w:space="0" w:color="auto"/>
      </w:divBdr>
    </w:div>
    <w:div w:id="1432512281">
      <w:bodyDiv w:val="1"/>
      <w:marLeft w:val="0"/>
      <w:marRight w:val="0"/>
      <w:marTop w:val="0"/>
      <w:marBottom w:val="0"/>
      <w:divBdr>
        <w:top w:val="none" w:sz="0" w:space="0" w:color="auto"/>
        <w:left w:val="none" w:sz="0" w:space="0" w:color="auto"/>
        <w:bottom w:val="none" w:sz="0" w:space="0" w:color="auto"/>
        <w:right w:val="none" w:sz="0" w:space="0" w:color="auto"/>
      </w:divBdr>
    </w:div>
    <w:div w:id="1433433354">
      <w:bodyDiv w:val="1"/>
      <w:marLeft w:val="0"/>
      <w:marRight w:val="0"/>
      <w:marTop w:val="0"/>
      <w:marBottom w:val="0"/>
      <w:divBdr>
        <w:top w:val="none" w:sz="0" w:space="0" w:color="auto"/>
        <w:left w:val="none" w:sz="0" w:space="0" w:color="auto"/>
        <w:bottom w:val="none" w:sz="0" w:space="0" w:color="auto"/>
        <w:right w:val="none" w:sz="0" w:space="0" w:color="auto"/>
      </w:divBdr>
    </w:div>
    <w:div w:id="1440835483">
      <w:bodyDiv w:val="1"/>
      <w:marLeft w:val="0"/>
      <w:marRight w:val="0"/>
      <w:marTop w:val="0"/>
      <w:marBottom w:val="0"/>
      <w:divBdr>
        <w:top w:val="none" w:sz="0" w:space="0" w:color="auto"/>
        <w:left w:val="none" w:sz="0" w:space="0" w:color="auto"/>
        <w:bottom w:val="none" w:sz="0" w:space="0" w:color="auto"/>
        <w:right w:val="none" w:sz="0" w:space="0" w:color="auto"/>
      </w:divBdr>
    </w:div>
    <w:div w:id="1443301393">
      <w:bodyDiv w:val="1"/>
      <w:marLeft w:val="0"/>
      <w:marRight w:val="0"/>
      <w:marTop w:val="0"/>
      <w:marBottom w:val="0"/>
      <w:divBdr>
        <w:top w:val="none" w:sz="0" w:space="0" w:color="auto"/>
        <w:left w:val="none" w:sz="0" w:space="0" w:color="auto"/>
        <w:bottom w:val="none" w:sz="0" w:space="0" w:color="auto"/>
        <w:right w:val="none" w:sz="0" w:space="0" w:color="auto"/>
      </w:divBdr>
      <w:divsChild>
        <w:div w:id="220336285">
          <w:marLeft w:val="0"/>
          <w:marRight w:val="0"/>
          <w:marTop w:val="0"/>
          <w:marBottom w:val="0"/>
          <w:divBdr>
            <w:top w:val="none" w:sz="0" w:space="0" w:color="auto"/>
            <w:left w:val="none" w:sz="0" w:space="0" w:color="auto"/>
            <w:bottom w:val="none" w:sz="0" w:space="0" w:color="auto"/>
            <w:right w:val="none" w:sz="0" w:space="0" w:color="auto"/>
          </w:divBdr>
          <w:divsChild>
            <w:div w:id="1450977176">
              <w:marLeft w:val="0"/>
              <w:marRight w:val="0"/>
              <w:marTop w:val="0"/>
              <w:marBottom w:val="0"/>
              <w:divBdr>
                <w:top w:val="none" w:sz="0" w:space="0" w:color="auto"/>
                <w:left w:val="none" w:sz="0" w:space="0" w:color="auto"/>
                <w:bottom w:val="none" w:sz="0" w:space="0" w:color="auto"/>
                <w:right w:val="none" w:sz="0" w:space="0" w:color="auto"/>
              </w:divBdr>
              <w:divsChild>
                <w:div w:id="3858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373237">
      <w:bodyDiv w:val="1"/>
      <w:marLeft w:val="0"/>
      <w:marRight w:val="0"/>
      <w:marTop w:val="0"/>
      <w:marBottom w:val="0"/>
      <w:divBdr>
        <w:top w:val="none" w:sz="0" w:space="0" w:color="auto"/>
        <w:left w:val="none" w:sz="0" w:space="0" w:color="auto"/>
        <w:bottom w:val="none" w:sz="0" w:space="0" w:color="auto"/>
        <w:right w:val="none" w:sz="0" w:space="0" w:color="auto"/>
      </w:divBdr>
    </w:div>
    <w:div w:id="1465342960">
      <w:bodyDiv w:val="1"/>
      <w:marLeft w:val="0"/>
      <w:marRight w:val="0"/>
      <w:marTop w:val="0"/>
      <w:marBottom w:val="0"/>
      <w:divBdr>
        <w:top w:val="none" w:sz="0" w:space="0" w:color="auto"/>
        <w:left w:val="none" w:sz="0" w:space="0" w:color="auto"/>
        <w:bottom w:val="none" w:sz="0" w:space="0" w:color="auto"/>
        <w:right w:val="none" w:sz="0" w:space="0" w:color="auto"/>
      </w:divBdr>
    </w:div>
    <w:div w:id="1471560302">
      <w:bodyDiv w:val="1"/>
      <w:marLeft w:val="0"/>
      <w:marRight w:val="0"/>
      <w:marTop w:val="0"/>
      <w:marBottom w:val="0"/>
      <w:divBdr>
        <w:top w:val="none" w:sz="0" w:space="0" w:color="auto"/>
        <w:left w:val="none" w:sz="0" w:space="0" w:color="auto"/>
        <w:bottom w:val="none" w:sz="0" w:space="0" w:color="auto"/>
        <w:right w:val="none" w:sz="0" w:space="0" w:color="auto"/>
      </w:divBdr>
    </w:div>
    <w:div w:id="1473208226">
      <w:bodyDiv w:val="1"/>
      <w:marLeft w:val="0"/>
      <w:marRight w:val="0"/>
      <w:marTop w:val="0"/>
      <w:marBottom w:val="0"/>
      <w:divBdr>
        <w:top w:val="none" w:sz="0" w:space="0" w:color="auto"/>
        <w:left w:val="none" w:sz="0" w:space="0" w:color="auto"/>
        <w:bottom w:val="none" w:sz="0" w:space="0" w:color="auto"/>
        <w:right w:val="none" w:sz="0" w:space="0" w:color="auto"/>
      </w:divBdr>
      <w:divsChild>
        <w:div w:id="1238396434">
          <w:marLeft w:val="0"/>
          <w:marRight w:val="0"/>
          <w:marTop w:val="0"/>
          <w:marBottom w:val="0"/>
          <w:divBdr>
            <w:top w:val="none" w:sz="0" w:space="0" w:color="auto"/>
            <w:left w:val="none" w:sz="0" w:space="0" w:color="auto"/>
            <w:bottom w:val="none" w:sz="0" w:space="0" w:color="auto"/>
            <w:right w:val="none" w:sz="0" w:space="0" w:color="auto"/>
          </w:divBdr>
        </w:div>
      </w:divsChild>
    </w:div>
    <w:div w:id="1473870709">
      <w:bodyDiv w:val="1"/>
      <w:marLeft w:val="0"/>
      <w:marRight w:val="0"/>
      <w:marTop w:val="0"/>
      <w:marBottom w:val="0"/>
      <w:divBdr>
        <w:top w:val="none" w:sz="0" w:space="0" w:color="auto"/>
        <w:left w:val="none" w:sz="0" w:space="0" w:color="auto"/>
        <w:bottom w:val="none" w:sz="0" w:space="0" w:color="auto"/>
        <w:right w:val="none" w:sz="0" w:space="0" w:color="auto"/>
      </w:divBdr>
    </w:div>
    <w:div w:id="1477718576">
      <w:bodyDiv w:val="1"/>
      <w:marLeft w:val="0"/>
      <w:marRight w:val="0"/>
      <w:marTop w:val="0"/>
      <w:marBottom w:val="0"/>
      <w:divBdr>
        <w:top w:val="none" w:sz="0" w:space="0" w:color="auto"/>
        <w:left w:val="none" w:sz="0" w:space="0" w:color="auto"/>
        <w:bottom w:val="none" w:sz="0" w:space="0" w:color="auto"/>
        <w:right w:val="none" w:sz="0" w:space="0" w:color="auto"/>
      </w:divBdr>
    </w:div>
    <w:div w:id="1479301439">
      <w:bodyDiv w:val="1"/>
      <w:marLeft w:val="0"/>
      <w:marRight w:val="0"/>
      <w:marTop w:val="0"/>
      <w:marBottom w:val="0"/>
      <w:divBdr>
        <w:top w:val="none" w:sz="0" w:space="0" w:color="auto"/>
        <w:left w:val="none" w:sz="0" w:space="0" w:color="auto"/>
        <w:bottom w:val="none" w:sz="0" w:space="0" w:color="auto"/>
        <w:right w:val="none" w:sz="0" w:space="0" w:color="auto"/>
      </w:divBdr>
    </w:div>
    <w:div w:id="1485466575">
      <w:bodyDiv w:val="1"/>
      <w:marLeft w:val="0"/>
      <w:marRight w:val="0"/>
      <w:marTop w:val="0"/>
      <w:marBottom w:val="0"/>
      <w:divBdr>
        <w:top w:val="none" w:sz="0" w:space="0" w:color="auto"/>
        <w:left w:val="none" w:sz="0" w:space="0" w:color="auto"/>
        <w:bottom w:val="none" w:sz="0" w:space="0" w:color="auto"/>
        <w:right w:val="none" w:sz="0" w:space="0" w:color="auto"/>
      </w:divBdr>
    </w:div>
    <w:div w:id="1488940749">
      <w:bodyDiv w:val="1"/>
      <w:marLeft w:val="0"/>
      <w:marRight w:val="0"/>
      <w:marTop w:val="0"/>
      <w:marBottom w:val="0"/>
      <w:divBdr>
        <w:top w:val="none" w:sz="0" w:space="0" w:color="auto"/>
        <w:left w:val="none" w:sz="0" w:space="0" w:color="auto"/>
        <w:bottom w:val="none" w:sz="0" w:space="0" w:color="auto"/>
        <w:right w:val="none" w:sz="0" w:space="0" w:color="auto"/>
      </w:divBdr>
    </w:div>
    <w:div w:id="1497302207">
      <w:bodyDiv w:val="1"/>
      <w:marLeft w:val="0"/>
      <w:marRight w:val="0"/>
      <w:marTop w:val="0"/>
      <w:marBottom w:val="0"/>
      <w:divBdr>
        <w:top w:val="none" w:sz="0" w:space="0" w:color="auto"/>
        <w:left w:val="none" w:sz="0" w:space="0" w:color="auto"/>
        <w:bottom w:val="none" w:sz="0" w:space="0" w:color="auto"/>
        <w:right w:val="none" w:sz="0" w:space="0" w:color="auto"/>
      </w:divBdr>
    </w:div>
    <w:div w:id="1498572272">
      <w:bodyDiv w:val="1"/>
      <w:marLeft w:val="0"/>
      <w:marRight w:val="0"/>
      <w:marTop w:val="0"/>
      <w:marBottom w:val="0"/>
      <w:divBdr>
        <w:top w:val="none" w:sz="0" w:space="0" w:color="auto"/>
        <w:left w:val="none" w:sz="0" w:space="0" w:color="auto"/>
        <w:bottom w:val="none" w:sz="0" w:space="0" w:color="auto"/>
        <w:right w:val="none" w:sz="0" w:space="0" w:color="auto"/>
      </w:divBdr>
    </w:div>
    <w:div w:id="1501002909">
      <w:bodyDiv w:val="1"/>
      <w:marLeft w:val="0"/>
      <w:marRight w:val="0"/>
      <w:marTop w:val="0"/>
      <w:marBottom w:val="0"/>
      <w:divBdr>
        <w:top w:val="none" w:sz="0" w:space="0" w:color="auto"/>
        <w:left w:val="none" w:sz="0" w:space="0" w:color="auto"/>
        <w:bottom w:val="none" w:sz="0" w:space="0" w:color="auto"/>
        <w:right w:val="none" w:sz="0" w:space="0" w:color="auto"/>
      </w:divBdr>
    </w:div>
    <w:div w:id="1517764255">
      <w:bodyDiv w:val="1"/>
      <w:marLeft w:val="0"/>
      <w:marRight w:val="0"/>
      <w:marTop w:val="0"/>
      <w:marBottom w:val="0"/>
      <w:divBdr>
        <w:top w:val="none" w:sz="0" w:space="0" w:color="auto"/>
        <w:left w:val="none" w:sz="0" w:space="0" w:color="auto"/>
        <w:bottom w:val="none" w:sz="0" w:space="0" w:color="auto"/>
        <w:right w:val="none" w:sz="0" w:space="0" w:color="auto"/>
      </w:divBdr>
    </w:div>
    <w:div w:id="1517884182">
      <w:bodyDiv w:val="1"/>
      <w:marLeft w:val="0"/>
      <w:marRight w:val="0"/>
      <w:marTop w:val="0"/>
      <w:marBottom w:val="0"/>
      <w:divBdr>
        <w:top w:val="none" w:sz="0" w:space="0" w:color="auto"/>
        <w:left w:val="none" w:sz="0" w:space="0" w:color="auto"/>
        <w:bottom w:val="none" w:sz="0" w:space="0" w:color="auto"/>
        <w:right w:val="none" w:sz="0" w:space="0" w:color="auto"/>
      </w:divBdr>
    </w:div>
    <w:div w:id="1521356153">
      <w:bodyDiv w:val="1"/>
      <w:marLeft w:val="0"/>
      <w:marRight w:val="0"/>
      <w:marTop w:val="0"/>
      <w:marBottom w:val="0"/>
      <w:divBdr>
        <w:top w:val="none" w:sz="0" w:space="0" w:color="auto"/>
        <w:left w:val="none" w:sz="0" w:space="0" w:color="auto"/>
        <w:bottom w:val="none" w:sz="0" w:space="0" w:color="auto"/>
        <w:right w:val="none" w:sz="0" w:space="0" w:color="auto"/>
      </w:divBdr>
    </w:div>
    <w:div w:id="1521817454">
      <w:bodyDiv w:val="1"/>
      <w:marLeft w:val="0"/>
      <w:marRight w:val="0"/>
      <w:marTop w:val="0"/>
      <w:marBottom w:val="0"/>
      <w:divBdr>
        <w:top w:val="none" w:sz="0" w:space="0" w:color="auto"/>
        <w:left w:val="none" w:sz="0" w:space="0" w:color="auto"/>
        <w:bottom w:val="none" w:sz="0" w:space="0" w:color="auto"/>
        <w:right w:val="none" w:sz="0" w:space="0" w:color="auto"/>
      </w:divBdr>
    </w:div>
    <w:div w:id="1541630353">
      <w:bodyDiv w:val="1"/>
      <w:marLeft w:val="0"/>
      <w:marRight w:val="0"/>
      <w:marTop w:val="0"/>
      <w:marBottom w:val="0"/>
      <w:divBdr>
        <w:top w:val="none" w:sz="0" w:space="0" w:color="auto"/>
        <w:left w:val="none" w:sz="0" w:space="0" w:color="auto"/>
        <w:bottom w:val="none" w:sz="0" w:space="0" w:color="auto"/>
        <w:right w:val="none" w:sz="0" w:space="0" w:color="auto"/>
      </w:divBdr>
    </w:div>
    <w:div w:id="1544321519">
      <w:bodyDiv w:val="1"/>
      <w:marLeft w:val="0"/>
      <w:marRight w:val="0"/>
      <w:marTop w:val="0"/>
      <w:marBottom w:val="0"/>
      <w:divBdr>
        <w:top w:val="none" w:sz="0" w:space="0" w:color="auto"/>
        <w:left w:val="none" w:sz="0" w:space="0" w:color="auto"/>
        <w:bottom w:val="none" w:sz="0" w:space="0" w:color="auto"/>
        <w:right w:val="none" w:sz="0" w:space="0" w:color="auto"/>
      </w:divBdr>
    </w:div>
    <w:div w:id="1544639200">
      <w:bodyDiv w:val="1"/>
      <w:marLeft w:val="0"/>
      <w:marRight w:val="0"/>
      <w:marTop w:val="0"/>
      <w:marBottom w:val="0"/>
      <w:divBdr>
        <w:top w:val="none" w:sz="0" w:space="0" w:color="auto"/>
        <w:left w:val="none" w:sz="0" w:space="0" w:color="auto"/>
        <w:bottom w:val="none" w:sz="0" w:space="0" w:color="auto"/>
        <w:right w:val="none" w:sz="0" w:space="0" w:color="auto"/>
      </w:divBdr>
    </w:div>
    <w:div w:id="1546721025">
      <w:bodyDiv w:val="1"/>
      <w:marLeft w:val="0"/>
      <w:marRight w:val="0"/>
      <w:marTop w:val="0"/>
      <w:marBottom w:val="0"/>
      <w:divBdr>
        <w:top w:val="none" w:sz="0" w:space="0" w:color="auto"/>
        <w:left w:val="none" w:sz="0" w:space="0" w:color="auto"/>
        <w:bottom w:val="none" w:sz="0" w:space="0" w:color="auto"/>
        <w:right w:val="none" w:sz="0" w:space="0" w:color="auto"/>
      </w:divBdr>
    </w:div>
    <w:div w:id="1557282341">
      <w:bodyDiv w:val="1"/>
      <w:marLeft w:val="0"/>
      <w:marRight w:val="0"/>
      <w:marTop w:val="0"/>
      <w:marBottom w:val="0"/>
      <w:divBdr>
        <w:top w:val="none" w:sz="0" w:space="0" w:color="auto"/>
        <w:left w:val="none" w:sz="0" w:space="0" w:color="auto"/>
        <w:bottom w:val="none" w:sz="0" w:space="0" w:color="auto"/>
        <w:right w:val="none" w:sz="0" w:space="0" w:color="auto"/>
      </w:divBdr>
    </w:div>
    <w:div w:id="1562208815">
      <w:bodyDiv w:val="1"/>
      <w:marLeft w:val="0"/>
      <w:marRight w:val="0"/>
      <w:marTop w:val="0"/>
      <w:marBottom w:val="0"/>
      <w:divBdr>
        <w:top w:val="none" w:sz="0" w:space="0" w:color="auto"/>
        <w:left w:val="none" w:sz="0" w:space="0" w:color="auto"/>
        <w:bottom w:val="none" w:sz="0" w:space="0" w:color="auto"/>
        <w:right w:val="none" w:sz="0" w:space="0" w:color="auto"/>
      </w:divBdr>
    </w:div>
    <w:div w:id="1571426530">
      <w:bodyDiv w:val="1"/>
      <w:marLeft w:val="0"/>
      <w:marRight w:val="0"/>
      <w:marTop w:val="0"/>
      <w:marBottom w:val="0"/>
      <w:divBdr>
        <w:top w:val="none" w:sz="0" w:space="0" w:color="auto"/>
        <w:left w:val="none" w:sz="0" w:space="0" w:color="auto"/>
        <w:bottom w:val="none" w:sz="0" w:space="0" w:color="auto"/>
        <w:right w:val="none" w:sz="0" w:space="0" w:color="auto"/>
      </w:divBdr>
    </w:div>
    <w:div w:id="1573078804">
      <w:bodyDiv w:val="1"/>
      <w:marLeft w:val="0"/>
      <w:marRight w:val="0"/>
      <w:marTop w:val="0"/>
      <w:marBottom w:val="0"/>
      <w:divBdr>
        <w:top w:val="none" w:sz="0" w:space="0" w:color="auto"/>
        <w:left w:val="none" w:sz="0" w:space="0" w:color="auto"/>
        <w:bottom w:val="none" w:sz="0" w:space="0" w:color="auto"/>
        <w:right w:val="none" w:sz="0" w:space="0" w:color="auto"/>
      </w:divBdr>
    </w:div>
    <w:div w:id="1577011490">
      <w:bodyDiv w:val="1"/>
      <w:marLeft w:val="0"/>
      <w:marRight w:val="0"/>
      <w:marTop w:val="0"/>
      <w:marBottom w:val="0"/>
      <w:divBdr>
        <w:top w:val="none" w:sz="0" w:space="0" w:color="auto"/>
        <w:left w:val="none" w:sz="0" w:space="0" w:color="auto"/>
        <w:bottom w:val="none" w:sz="0" w:space="0" w:color="auto"/>
        <w:right w:val="none" w:sz="0" w:space="0" w:color="auto"/>
      </w:divBdr>
    </w:div>
    <w:div w:id="1583417503">
      <w:bodyDiv w:val="1"/>
      <w:marLeft w:val="0"/>
      <w:marRight w:val="0"/>
      <w:marTop w:val="0"/>
      <w:marBottom w:val="0"/>
      <w:divBdr>
        <w:top w:val="none" w:sz="0" w:space="0" w:color="auto"/>
        <w:left w:val="none" w:sz="0" w:space="0" w:color="auto"/>
        <w:bottom w:val="none" w:sz="0" w:space="0" w:color="auto"/>
        <w:right w:val="none" w:sz="0" w:space="0" w:color="auto"/>
      </w:divBdr>
    </w:div>
    <w:div w:id="1586576315">
      <w:bodyDiv w:val="1"/>
      <w:marLeft w:val="0"/>
      <w:marRight w:val="0"/>
      <w:marTop w:val="0"/>
      <w:marBottom w:val="0"/>
      <w:divBdr>
        <w:top w:val="none" w:sz="0" w:space="0" w:color="auto"/>
        <w:left w:val="none" w:sz="0" w:space="0" w:color="auto"/>
        <w:bottom w:val="none" w:sz="0" w:space="0" w:color="auto"/>
        <w:right w:val="none" w:sz="0" w:space="0" w:color="auto"/>
      </w:divBdr>
    </w:div>
    <w:div w:id="1586720817">
      <w:bodyDiv w:val="1"/>
      <w:marLeft w:val="0"/>
      <w:marRight w:val="0"/>
      <w:marTop w:val="0"/>
      <w:marBottom w:val="0"/>
      <w:divBdr>
        <w:top w:val="none" w:sz="0" w:space="0" w:color="auto"/>
        <w:left w:val="none" w:sz="0" w:space="0" w:color="auto"/>
        <w:bottom w:val="none" w:sz="0" w:space="0" w:color="auto"/>
        <w:right w:val="none" w:sz="0" w:space="0" w:color="auto"/>
      </w:divBdr>
    </w:div>
    <w:div w:id="1591695344">
      <w:bodyDiv w:val="1"/>
      <w:marLeft w:val="0"/>
      <w:marRight w:val="0"/>
      <w:marTop w:val="0"/>
      <w:marBottom w:val="0"/>
      <w:divBdr>
        <w:top w:val="none" w:sz="0" w:space="0" w:color="auto"/>
        <w:left w:val="none" w:sz="0" w:space="0" w:color="auto"/>
        <w:bottom w:val="none" w:sz="0" w:space="0" w:color="auto"/>
        <w:right w:val="none" w:sz="0" w:space="0" w:color="auto"/>
      </w:divBdr>
    </w:div>
    <w:div w:id="1593509190">
      <w:bodyDiv w:val="1"/>
      <w:marLeft w:val="0"/>
      <w:marRight w:val="0"/>
      <w:marTop w:val="0"/>
      <w:marBottom w:val="0"/>
      <w:divBdr>
        <w:top w:val="none" w:sz="0" w:space="0" w:color="auto"/>
        <w:left w:val="none" w:sz="0" w:space="0" w:color="auto"/>
        <w:bottom w:val="none" w:sz="0" w:space="0" w:color="auto"/>
        <w:right w:val="none" w:sz="0" w:space="0" w:color="auto"/>
      </w:divBdr>
    </w:div>
    <w:div w:id="1600017241">
      <w:bodyDiv w:val="1"/>
      <w:marLeft w:val="0"/>
      <w:marRight w:val="0"/>
      <w:marTop w:val="0"/>
      <w:marBottom w:val="0"/>
      <w:divBdr>
        <w:top w:val="none" w:sz="0" w:space="0" w:color="auto"/>
        <w:left w:val="none" w:sz="0" w:space="0" w:color="auto"/>
        <w:bottom w:val="none" w:sz="0" w:space="0" w:color="auto"/>
        <w:right w:val="none" w:sz="0" w:space="0" w:color="auto"/>
      </w:divBdr>
    </w:div>
    <w:div w:id="1601832160">
      <w:bodyDiv w:val="1"/>
      <w:marLeft w:val="0"/>
      <w:marRight w:val="0"/>
      <w:marTop w:val="0"/>
      <w:marBottom w:val="0"/>
      <w:divBdr>
        <w:top w:val="none" w:sz="0" w:space="0" w:color="auto"/>
        <w:left w:val="none" w:sz="0" w:space="0" w:color="auto"/>
        <w:bottom w:val="none" w:sz="0" w:space="0" w:color="auto"/>
        <w:right w:val="none" w:sz="0" w:space="0" w:color="auto"/>
      </w:divBdr>
      <w:divsChild>
        <w:div w:id="12845172">
          <w:marLeft w:val="0"/>
          <w:marRight w:val="0"/>
          <w:marTop w:val="0"/>
          <w:marBottom w:val="0"/>
          <w:divBdr>
            <w:top w:val="none" w:sz="0" w:space="0" w:color="auto"/>
            <w:left w:val="none" w:sz="0" w:space="0" w:color="auto"/>
            <w:bottom w:val="none" w:sz="0" w:space="0" w:color="auto"/>
            <w:right w:val="none" w:sz="0" w:space="0" w:color="auto"/>
          </w:divBdr>
          <w:divsChild>
            <w:div w:id="1691754531">
              <w:marLeft w:val="0"/>
              <w:marRight w:val="0"/>
              <w:marTop w:val="0"/>
              <w:marBottom w:val="0"/>
              <w:divBdr>
                <w:top w:val="none" w:sz="0" w:space="0" w:color="auto"/>
                <w:left w:val="none" w:sz="0" w:space="0" w:color="auto"/>
                <w:bottom w:val="none" w:sz="0" w:space="0" w:color="auto"/>
                <w:right w:val="none" w:sz="0" w:space="0" w:color="auto"/>
              </w:divBdr>
              <w:divsChild>
                <w:div w:id="1297953585">
                  <w:marLeft w:val="0"/>
                  <w:marRight w:val="0"/>
                  <w:marTop w:val="0"/>
                  <w:marBottom w:val="0"/>
                  <w:divBdr>
                    <w:top w:val="none" w:sz="0" w:space="0" w:color="auto"/>
                    <w:left w:val="none" w:sz="0" w:space="0" w:color="auto"/>
                    <w:bottom w:val="none" w:sz="0" w:space="0" w:color="auto"/>
                    <w:right w:val="none" w:sz="0" w:space="0" w:color="auto"/>
                  </w:divBdr>
                  <w:divsChild>
                    <w:div w:id="927347220">
                      <w:marLeft w:val="0"/>
                      <w:marRight w:val="0"/>
                      <w:marTop w:val="0"/>
                      <w:marBottom w:val="0"/>
                      <w:divBdr>
                        <w:top w:val="none" w:sz="0" w:space="0" w:color="auto"/>
                        <w:left w:val="none" w:sz="0" w:space="0" w:color="auto"/>
                        <w:bottom w:val="none" w:sz="0" w:space="0" w:color="auto"/>
                        <w:right w:val="none" w:sz="0" w:space="0" w:color="auto"/>
                      </w:divBdr>
                      <w:divsChild>
                        <w:div w:id="151680713">
                          <w:marLeft w:val="0"/>
                          <w:marRight w:val="0"/>
                          <w:marTop w:val="0"/>
                          <w:marBottom w:val="0"/>
                          <w:divBdr>
                            <w:top w:val="none" w:sz="0" w:space="0" w:color="auto"/>
                            <w:left w:val="none" w:sz="0" w:space="0" w:color="auto"/>
                            <w:bottom w:val="none" w:sz="0" w:space="0" w:color="auto"/>
                            <w:right w:val="none" w:sz="0" w:space="0" w:color="auto"/>
                          </w:divBdr>
                          <w:divsChild>
                            <w:div w:id="191824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535646">
      <w:bodyDiv w:val="1"/>
      <w:marLeft w:val="0"/>
      <w:marRight w:val="0"/>
      <w:marTop w:val="0"/>
      <w:marBottom w:val="0"/>
      <w:divBdr>
        <w:top w:val="none" w:sz="0" w:space="0" w:color="auto"/>
        <w:left w:val="none" w:sz="0" w:space="0" w:color="auto"/>
        <w:bottom w:val="none" w:sz="0" w:space="0" w:color="auto"/>
        <w:right w:val="none" w:sz="0" w:space="0" w:color="auto"/>
      </w:divBdr>
    </w:div>
    <w:div w:id="1608780082">
      <w:bodyDiv w:val="1"/>
      <w:marLeft w:val="0"/>
      <w:marRight w:val="0"/>
      <w:marTop w:val="0"/>
      <w:marBottom w:val="0"/>
      <w:divBdr>
        <w:top w:val="none" w:sz="0" w:space="0" w:color="auto"/>
        <w:left w:val="none" w:sz="0" w:space="0" w:color="auto"/>
        <w:bottom w:val="none" w:sz="0" w:space="0" w:color="auto"/>
        <w:right w:val="none" w:sz="0" w:space="0" w:color="auto"/>
      </w:divBdr>
    </w:div>
    <w:div w:id="1608997640">
      <w:bodyDiv w:val="1"/>
      <w:marLeft w:val="0"/>
      <w:marRight w:val="0"/>
      <w:marTop w:val="0"/>
      <w:marBottom w:val="0"/>
      <w:divBdr>
        <w:top w:val="none" w:sz="0" w:space="0" w:color="auto"/>
        <w:left w:val="none" w:sz="0" w:space="0" w:color="auto"/>
        <w:bottom w:val="none" w:sz="0" w:space="0" w:color="auto"/>
        <w:right w:val="none" w:sz="0" w:space="0" w:color="auto"/>
      </w:divBdr>
    </w:div>
    <w:div w:id="1615598831">
      <w:bodyDiv w:val="1"/>
      <w:marLeft w:val="0"/>
      <w:marRight w:val="0"/>
      <w:marTop w:val="0"/>
      <w:marBottom w:val="0"/>
      <w:divBdr>
        <w:top w:val="none" w:sz="0" w:space="0" w:color="auto"/>
        <w:left w:val="none" w:sz="0" w:space="0" w:color="auto"/>
        <w:bottom w:val="none" w:sz="0" w:space="0" w:color="auto"/>
        <w:right w:val="none" w:sz="0" w:space="0" w:color="auto"/>
      </w:divBdr>
    </w:div>
    <w:div w:id="1616714392">
      <w:bodyDiv w:val="1"/>
      <w:marLeft w:val="0"/>
      <w:marRight w:val="0"/>
      <w:marTop w:val="0"/>
      <w:marBottom w:val="0"/>
      <w:divBdr>
        <w:top w:val="none" w:sz="0" w:space="0" w:color="auto"/>
        <w:left w:val="none" w:sz="0" w:space="0" w:color="auto"/>
        <w:bottom w:val="none" w:sz="0" w:space="0" w:color="auto"/>
        <w:right w:val="none" w:sz="0" w:space="0" w:color="auto"/>
      </w:divBdr>
    </w:div>
    <w:div w:id="1617058527">
      <w:bodyDiv w:val="1"/>
      <w:marLeft w:val="0"/>
      <w:marRight w:val="0"/>
      <w:marTop w:val="0"/>
      <w:marBottom w:val="0"/>
      <w:divBdr>
        <w:top w:val="none" w:sz="0" w:space="0" w:color="auto"/>
        <w:left w:val="none" w:sz="0" w:space="0" w:color="auto"/>
        <w:bottom w:val="none" w:sz="0" w:space="0" w:color="auto"/>
        <w:right w:val="none" w:sz="0" w:space="0" w:color="auto"/>
      </w:divBdr>
    </w:div>
    <w:div w:id="1624193971">
      <w:bodyDiv w:val="1"/>
      <w:marLeft w:val="0"/>
      <w:marRight w:val="0"/>
      <w:marTop w:val="0"/>
      <w:marBottom w:val="0"/>
      <w:divBdr>
        <w:top w:val="none" w:sz="0" w:space="0" w:color="auto"/>
        <w:left w:val="none" w:sz="0" w:space="0" w:color="auto"/>
        <w:bottom w:val="none" w:sz="0" w:space="0" w:color="auto"/>
        <w:right w:val="none" w:sz="0" w:space="0" w:color="auto"/>
      </w:divBdr>
    </w:div>
    <w:div w:id="1624996890">
      <w:bodyDiv w:val="1"/>
      <w:marLeft w:val="0"/>
      <w:marRight w:val="0"/>
      <w:marTop w:val="0"/>
      <w:marBottom w:val="0"/>
      <w:divBdr>
        <w:top w:val="none" w:sz="0" w:space="0" w:color="auto"/>
        <w:left w:val="none" w:sz="0" w:space="0" w:color="auto"/>
        <w:bottom w:val="none" w:sz="0" w:space="0" w:color="auto"/>
        <w:right w:val="none" w:sz="0" w:space="0" w:color="auto"/>
      </w:divBdr>
    </w:div>
    <w:div w:id="1641156246">
      <w:bodyDiv w:val="1"/>
      <w:marLeft w:val="0"/>
      <w:marRight w:val="0"/>
      <w:marTop w:val="0"/>
      <w:marBottom w:val="0"/>
      <w:divBdr>
        <w:top w:val="none" w:sz="0" w:space="0" w:color="auto"/>
        <w:left w:val="none" w:sz="0" w:space="0" w:color="auto"/>
        <w:bottom w:val="none" w:sz="0" w:space="0" w:color="auto"/>
        <w:right w:val="none" w:sz="0" w:space="0" w:color="auto"/>
      </w:divBdr>
    </w:div>
    <w:div w:id="1643458445">
      <w:bodyDiv w:val="1"/>
      <w:marLeft w:val="0"/>
      <w:marRight w:val="0"/>
      <w:marTop w:val="0"/>
      <w:marBottom w:val="0"/>
      <w:divBdr>
        <w:top w:val="none" w:sz="0" w:space="0" w:color="auto"/>
        <w:left w:val="none" w:sz="0" w:space="0" w:color="auto"/>
        <w:bottom w:val="none" w:sz="0" w:space="0" w:color="auto"/>
        <w:right w:val="none" w:sz="0" w:space="0" w:color="auto"/>
      </w:divBdr>
    </w:div>
    <w:div w:id="1643584664">
      <w:bodyDiv w:val="1"/>
      <w:marLeft w:val="0"/>
      <w:marRight w:val="0"/>
      <w:marTop w:val="0"/>
      <w:marBottom w:val="0"/>
      <w:divBdr>
        <w:top w:val="none" w:sz="0" w:space="0" w:color="auto"/>
        <w:left w:val="none" w:sz="0" w:space="0" w:color="auto"/>
        <w:bottom w:val="none" w:sz="0" w:space="0" w:color="auto"/>
        <w:right w:val="none" w:sz="0" w:space="0" w:color="auto"/>
      </w:divBdr>
      <w:divsChild>
        <w:div w:id="674186004">
          <w:marLeft w:val="0"/>
          <w:marRight w:val="0"/>
          <w:marTop w:val="0"/>
          <w:marBottom w:val="150"/>
          <w:divBdr>
            <w:top w:val="none" w:sz="0" w:space="0" w:color="auto"/>
            <w:left w:val="none" w:sz="0" w:space="0" w:color="auto"/>
            <w:bottom w:val="none" w:sz="0" w:space="0" w:color="auto"/>
            <w:right w:val="none" w:sz="0" w:space="0" w:color="auto"/>
          </w:divBdr>
        </w:div>
      </w:divsChild>
    </w:div>
    <w:div w:id="1647323652">
      <w:bodyDiv w:val="1"/>
      <w:marLeft w:val="0"/>
      <w:marRight w:val="0"/>
      <w:marTop w:val="0"/>
      <w:marBottom w:val="0"/>
      <w:divBdr>
        <w:top w:val="none" w:sz="0" w:space="0" w:color="auto"/>
        <w:left w:val="none" w:sz="0" w:space="0" w:color="auto"/>
        <w:bottom w:val="none" w:sz="0" w:space="0" w:color="auto"/>
        <w:right w:val="none" w:sz="0" w:space="0" w:color="auto"/>
      </w:divBdr>
    </w:div>
    <w:div w:id="1657880985">
      <w:bodyDiv w:val="1"/>
      <w:marLeft w:val="0"/>
      <w:marRight w:val="0"/>
      <w:marTop w:val="0"/>
      <w:marBottom w:val="0"/>
      <w:divBdr>
        <w:top w:val="none" w:sz="0" w:space="0" w:color="auto"/>
        <w:left w:val="none" w:sz="0" w:space="0" w:color="auto"/>
        <w:bottom w:val="none" w:sz="0" w:space="0" w:color="auto"/>
        <w:right w:val="none" w:sz="0" w:space="0" w:color="auto"/>
      </w:divBdr>
    </w:div>
    <w:div w:id="1668747042">
      <w:bodyDiv w:val="1"/>
      <w:marLeft w:val="0"/>
      <w:marRight w:val="0"/>
      <w:marTop w:val="0"/>
      <w:marBottom w:val="0"/>
      <w:divBdr>
        <w:top w:val="none" w:sz="0" w:space="0" w:color="auto"/>
        <w:left w:val="none" w:sz="0" w:space="0" w:color="auto"/>
        <w:bottom w:val="none" w:sz="0" w:space="0" w:color="auto"/>
        <w:right w:val="none" w:sz="0" w:space="0" w:color="auto"/>
      </w:divBdr>
    </w:div>
    <w:div w:id="1674449046">
      <w:bodyDiv w:val="1"/>
      <w:marLeft w:val="0"/>
      <w:marRight w:val="0"/>
      <w:marTop w:val="0"/>
      <w:marBottom w:val="0"/>
      <w:divBdr>
        <w:top w:val="none" w:sz="0" w:space="0" w:color="auto"/>
        <w:left w:val="none" w:sz="0" w:space="0" w:color="auto"/>
        <w:bottom w:val="none" w:sz="0" w:space="0" w:color="auto"/>
        <w:right w:val="none" w:sz="0" w:space="0" w:color="auto"/>
      </w:divBdr>
    </w:div>
    <w:div w:id="1675764498">
      <w:bodyDiv w:val="1"/>
      <w:marLeft w:val="0"/>
      <w:marRight w:val="0"/>
      <w:marTop w:val="0"/>
      <w:marBottom w:val="0"/>
      <w:divBdr>
        <w:top w:val="none" w:sz="0" w:space="0" w:color="auto"/>
        <w:left w:val="none" w:sz="0" w:space="0" w:color="auto"/>
        <w:bottom w:val="none" w:sz="0" w:space="0" w:color="auto"/>
        <w:right w:val="none" w:sz="0" w:space="0" w:color="auto"/>
      </w:divBdr>
    </w:div>
    <w:div w:id="1681006226">
      <w:bodyDiv w:val="1"/>
      <w:marLeft w:val="0"/>
      <w:marRight w:val="0"/>
      <w:marTop w:val="0"/>
      <w:marBottom w:val="0"/>
      <w:divBdr>
        <w:top w:val="none" w:sz="0" w:space="0" w:color="auto"/>
        <w:left w:val="none" w:sz="0" w:space="0" w:color="auto"/>
        <w:bottom w:val="none" w:sz="0" w:space="0" w:color="auto"/>
        <w:right w:val="none" w:sz="0" w:space="0" w:color="auto"/>
      </w:divBdr>
    </w:div>
    <w:div w:id="1681393138">
      <w:bodyDiv w:val="1"/>
      <w:marLeft w:val="0"/>
      <w:marRight w:val="0"/>
      <w:marTop w:val="0"/>
      <w:marBottom w:val="0"/>
      <w:divBdr>
        <w:top w:val="none" w:sz="0" w:space="0" w:color="auto"/>
        <w:left w:val="none" w:sz="0" w:space="0" w:color="auto"/>
        <w:bottom w:val="none" w:sz="0" w:space="0" w:color="auto"/>
        <w:right w:val="none" w:sz="0" w:space="0" w:color="auto"/>
      </w:divBdr>
    </w:div>
    <w:div w:id="1692103794">
      <w:bodyDiv w:val="1"/>
      <w:marLeft w:val="0"/>
      <w:marRight w:val="0"/>
      <w:marTop w:val="0"/>
      <w:marBottom w:val="0"/>
      <w:divBdr>
        <w:top w:val="none" w:sz="0" w:space="0" w:color="auto"/>
        <w:left w:val="none" w:sz="0" w:space="0" w:color="auto"/>
        <w:bottom w:val="none" w:sz="0" w:space="0" w:color="auto"/>
        <w:right w:val="none" w:sz="0" w:space="0" w:color="auto"/>
      </w:divBdr>
    </w:div>
    <w:div w:id="1697585341">
      <w:bodyDiv w:val="1"/>
      <w:marLeft w:val="0"/>
      <w:marRight w:val="0"/>
      <w:marTop w:val="0"/>
      <w:marBottom w:val="0"/>
      <w:divBdr>
        <w:top w:val="none" w:sz="0" w:space="0" w:color="auto"/>
        <w:left w:val="none" w:sz="0" w:space="0" w:color="auto"/>
        <w:bottom w:val="none" w:sz="0" w:space="0" w:color="auto"/>
        <w:right w:val="none" w:sz="0" w:space="0" w:color="auto"/>
      </w:divBdr>
    </w:div>
    <w:div w:id="1700398032">
      <w:bodyDiv w:val="1"/>
      <w:marLeft w:val="0"/>
      <w:marRight w:val="0"/>
      <w:marTop w:val="0"/>
      <w:marBottom w:val="0"/>
      <w:divBdr>
        <w:top w:val="none" w:sz="0" w:space="0" w:color="auto"/>
        <w:left w:val="none" w:sz="0" w:space="0" w:color="auto"/>
        <w:bottom w:val="none" w:sz="0" w:space="0" w:color="auto"/>
        <w:right w:val="none" w:sz="0" w:space="0" w:color="auto"/>
      </w:divBdr>
    </w:div>
    <w:div w:id="1704284536">
      <w:bodyDiv w:val="1"/>
      <w:marLeft w:val="0"/>
      <w:marRight w:val="0"/>
      <w:marTop w:val="0"/>
      <w:marBottom w:val="0"/>
      <w:divBdr>
        <w:top w:val="none" w:sz="0" w:space="0" w:color="auto"/>
        <w:left w:val="none" w:sz="0" w:space="0" w:color="auto"/>
        <w:bottom w:val="none" w:sz="0" w:space="0" w:color="auto"/>
        <w:right w:val="none" w:sz="0" w:space="0" w:color="auto"/>
      </w:divBdr>
    </w:div>
    <w:div w:id="1726290782">
      <w:bodyDiv w:val="1"/>
      <w:marLeft w:val="0"/>
      <w:marRight w:val="0"/>
      <w:marTop w:val="0"/>
      <w:marBottom w:val="0"/>
      <w:divBdr>
        <w:top w:val="none" w:sz="0" w:space="0" w:color="auto"/>
        <w:left w:val="none" w:sz="0" w:space="0" w:color="auto"/>
        <w:bottom w:val="none" w:sz="0" w:space="0" w:color="auto"/>
        <w:right w:val="none" w:sz="0" w:space="0" w:color="auto"/>
      </w:divBdr>
    </w:div>
    <w:div w:id="1726493274">
      <w:bodyDiv w:val="1"/>
      <w:marLeft w:val="0"/>
      <w:marRight w:val="0"/>
      <w:marTop w:val="0"/>
      <w:marBottom w:val="0"/>
      <w:divBdr>
        <w:top w:val="none" w:sz="0" w:space="0" w:color="auto"/>
        <w:left w:val="none" w:sz="0" w:space="0" w:color="auto"/>
        <w:bottom w:val="none" w:sz="0" w:space="0" w:color="auto"/>
        <w:right w:val="none" w:sz="0" w:space="0" w:color="auto"/>
      </w:divBdr>
    </w:div>
    <w:div w:id="1730306132">
      <w:bodyDiv w:val="1"/>
      <w:marLeft w:val="0"/>
      <w:marRight w:val="0"/>
      <w:marTop w:val="0"/>
      <w:marBottom w:val="0"/>
      <w:divBdr>
        <w:top w:val="none" w:sz="0" w:space="0" w:color="auto"/>
        <w:left w:val="none" w:sz="0" w:space="0" w:color="auto"/>
        <w:bottom w:val="none" w:sz="0" w:space="0" w:color="auto"/>
        <w:right w:val="none" w:sz="0" w:space="0" w:color="auto"/>
      </w:divBdr>
    </w:div>
    <w:div w:id="1738624126">
      <w:bodyDiv w:val="1"/>
      <w:marLeft w:val="0"/>
      <w:marRight w:val="0"/>
      <w:marTop w:val="0"/>
      <w:marBottom w:val="0"/>
      <w:divBdr>
        <w:top w:val="none" w:sz="0" w:space="0" w:color="auto"/>
        <w:left w:val="none" w:sz="0" w:space="0" w:color="auto"/>
        <w:bottom w:val="none" w:sz="0" w:space="0" w:color="auto"/>
        <w:right w:val="none" w:sz="0" w:space="0" w:color="auto"/>
      </w:divBdr>
    </w:div>
    <w:div w:id="1741706445">
      <w:bodyDiv w:val="1"/>
      <w:marLeft w:val="0"/>
      <w:marRight w:val="0"/>
      <w:marTop w:val="0"/>
      <w:marBottom w:val="0"/>
      <w:divBdr>
        <w:top w:val="none" w:sz="0" w:space="0" w:color="auto"/>
        <w:left w:val="none" w:sz="0" w:space="0" w:color="auto"/>
        <w:bottom w:val="none" w:sz="0" w:space="0" w:color="auto"/>
        <w:right w:val="none" w:sz="0" w:space="0" w:color="auto"/>
      </w:divBdr>
    </w:div>
    <w:div w:id="1743871462">
      <w:bodyDiv w:val="1"/>
      <w:marLeft w:val="0"/>
      <w:marRight w:val="0"/>
      <w:marTop w:val="0"/>
      <w:marBottom w:val="0"/>
      <w:divBdr>
        <w:top w:val="none" w:sz="0" w:space="0" w:color="auto"/>
        <w:left w:val="none" w:sz="0" w:space="0" w:color="auto"/>
        <w:bottom w:val="none" w:sz="0" w:space="0" w:color="auto"/>
        <w:right w:val="none" w:sz="0" w:space="0" w:color="auto"/>
      </w:divBdr>
    </w:div>
    <w:div w:id="1747267453">
      <w:bodyDiv w:val="1"/>
      <w:marLeft w:val="0"/>
      <w:marRight w:val="0"/>
      <w:marTop w:val="0"/>
      <w:marBottom w:val="0"/>
      <w:divBdr>
        <w:top w:val="none" w:sz="0" w:space="0" w:color="auto"/>
        <w:left w:val="none" w:sz="0" w:space="0" w:color="auto"/>
        <w:bottom w:val="none" w:sz="0" w:space="0" w:color="auto"/>
        <w:right w:val="none" w:sz="0" w:space="0" w:color="auto"/>
      </w:divBdr>
    </w:div>
    <w:div w:id="1755590149">
      <w:bodyDiv w:val="1"/>
      <w:marLeft w:val="0"/>
      <w:marRight w:val="0"/>
      <w:marTop w:val="0"/>
      <w:marBottom w:val="0"/>
      <w:divBdr>
        <w:top w:val="none" w:sz="0" w:space="0" w:color="auto"/>
        <w:left w:val="none" w:sz="0" w:space="0" w:color="auto"/>
        <w:bottom w:val="none" w:sz="0" w:space="0" w:color="auto"/>
        <w:right w:val="none" w:sz="0" w:space="0" w:color="auto"/>
      </w:divBdr>
    </w:div>
    <w:div w:id="1760105049">
      <w:bodyDiv w:val="1"/>
      <w:marLeft w:val="0"/>
      <w:marRight w:val="0"/>
      <w:marTop w:val="0"/>
      <w:marBottom w:val="0"/>
      <w:divBdr>
        <w:top w:val="none" w:sz="0" w:space="0" w:color="auto"/>
        <w:left w:val="none" w:sz="0" w:space="0" w:color="auto"/>
        <w:bottom w:val="none" w:sz="0" w:space="0" w:color="auto"/>
        <w:right w:val="none" w:sz="0" w:space="0" w:color="auto"/>
      </w:divBdr>
    </w:div>
    <w:div w:id="1761176311">
      <w:bodyDiv w:val="1"/>
      <w:marLeft w:val="0"/>
      <w:marRight w:val="0"/>
      <w:marTop w:val="0"/>
      <w:marBottom w:val="0"/>
      <w:divBdr>
        <w:top w:val="none" w:sz="0" w:space="0" w:color="auto"/>
        <w:left w:val="none" w:sz="0" w:space="0" w:color="auto"/>
        <w:bottom w:val="none" w:sz="0" w:space="0" w:color="auto"/>
        <w:right w:val="none" w:sz="0" w:space="0" w:color="auto"/>
      </w:divBdr>
    </w:div>
    <w:div w:id="1764185690">
      <w:bodyDiv w:val="1"/>
      <w:marLeft w:val="0"/>
      <w:marRight w:val="0"/>
      <w:marTop w:val="0"/>
      <w:marBottom w:val="0"/>
      <w:divBdr>
        <w:top w:val="none" w:sz="0" w:space="0" w:color="auto"/>
        <w:left w:val="none" w:sz="0" w:space="0" w:color="auto"/>
        <w:bottom w:val="none" w:sz="0" w:space="0" w:color="auto"/>
        <w:right w:val="none" w:sz="0" w:space="0" w:color="auto"/>
      </w:divBdr>
    </w:div>
    <w:div w:id="1771927690">
      <w:bodyDiv w:val="1"/>
      <w:marLeft w:val="0"/>
      <w:marRight w:val="0"/>
      <w:marTop w:val="0"/>
      <w:marBottom w:val="0"/>
      <w:divBdr>
        <w:top w:val="none" w:sz="0" w:space="0" w:color="auto"/>
        <w:left w:val="none" w:sz="0" w:space="0" w:color="auto"/>
        <w:bottom w:val="none" w:sz="0" w:space="0" w:color="auto"/>
        <w:right w:val="none" w:sz="0" w:space="0" w:color="auto"/>
      </w:divBdr>
    </w:div>
    <w:div w:id="1787970547">
      <w:bodyDiv w:val="1"/>
      <w:marLeft w:val="0"/>
      <w:marRight w:val="0"/>
      <w:marTop w:val="0"/>
      <w:marBottom w:val="0"/>
      <w:divBdr>
        <w:top w:val="none" w:sz="0" w:space="0" w:color="auto"/>
        <w:left w:val="none" w:sz="0" w:space="0" w:color="auto"/>
        <w:bottom w:val="none" w:sz="0" w:space="0" w:color="auto"/>
        <w:right w:val="none" w:sz="0" w:space="0" w:color="auto"/>
      </w:divBdr>
    </w:div>
    <w:div w:id="1788115163">
      <w:bodyDiv w:val="1"/>
      <w:marLeft w:val="0"/>
      <w:marRight w:val="0"/>
      <w:marTop w:val="0"/>
      <w:marBottom w:val="0"/>
      <w:divBdr>
        <w:top w:val="none" w:sz="0" w:space="0" w:color="auto"/>
        <w:left w:val="none" w:sz="0" w:space="0" w:color="auto"/>
        <w:bottom w:val="none" w:sz="0" w:space="0" w:color="auto"/>
        <w:right w:val="none" w:sz="0" w:space="0" w:color="auto"/>
      </w:divBdr>
    </w:div>
    <w:div w:id="1789739138">
      <w:bodyDiv w:val="1"/>
      <w:marLeft w:val="0"/>
      <w:marRight w:val="0"/>
      <w:marTop w:val="0"/>
      <w:marBottom w:val="0"/>
      <w:divBdr>
        <w:top w:val="none" w:sz="0" w:space="0" w:color="auto"/>
        <w:left w:val="none" w:sz="0" w:space="0" w:color="auto"/>
        <w:bottom w:val="none" w:sz="0" w:space="0" w:color="auto"/>
        <w:right w:val="none" w:sz="0" w:space="0" w:color="auto"/>
      </w:divBdr>
    </w:div>
    <w:div w:id="1805462797">
      <w:bodyDiv w:val="1"/>
      <w:marLeft w:val="0"/>
      <w:marRight w:val="0"/>
      <w:marTop w:val="0"/>
      <w:marBottom w:val="0"/>
      <w:divBdr>
        <w:top w:val="none" w:sz="0" w:space="0" w:color="auto"/>
        <w:left w:val="none" w:sz="0" w:space="0" w:color="auto"/>
        <w:bottom w:val="none" w:sz="0" w:space="0" w:color="auto"/>
        <w:right w:val="none" w:sz="0" w:space="0" w:color="auto"/>
      </w:divBdr>
    </w:div>
    <w:div w:id="1810660058">
      <w:bodyDiv w:val="1"/>
      <w:marLeft w:val="0"/>
      <w:marRight w:val="0"/>
      <w:marTop w:val="0"/>
      <w:marBottom w:val="0"/>
      <w:divBdr>
        <w:top w:val="none" w:sz="0" w:space="0" w:color="auto"/>
        <w:left w:val="none" w:sz="0" w:space="0" w:color="auto"/>
        <w:bottom w:val="none" w:sz="0" w:space="0" w:color="auto"/>
        <w:right w:val="none" w:sz="0" w:space="0" w:color="auto"/>
      </w:divBdr>
    </w:div>
    <w:div w:id="1815760161">
      <w:bodyDiv w:val="1"/>
      <w:marLeft w:val="0"/>
      <w:marRight w:val="0"/>
      <w:marTop w:val="0"/>
      <w:marBottom w:val="0"/>
      <w:divBdr>
        <w:top w:val="none" w:sz="0" w:space="0" w:color="auto"/>
        <w:left w:val="none" w:sz="0" w:space="0" w:color="auto"/>
        <w:bottom w:val="none" w:sz="0" w:space="0" w:color="auto"/>
        <w:right w:val="none" w:sz="0" w:space="0" w:color="auto"/>
      </w:divBdr>
    </w:div>
    <w:div w:id="1819105988">
      <w:bodyDiv w:val="1"/>
      <w:marLeft w:val="0"/>
      <w:marRight w:val="0"/>
      <w:marTop w:val="0"/>
      <w:marBottom w:val="0"/>
      <w:divBdr>
        <w:top w:val="none" w:sz="0" w:space="0" w:color="auto"/>
        <w:left w:val="none" w:sz="0" w:space="0" w:color="auto"/>
        <w:bottom w:val="none" w:sz="0" w:space="0" w:color="auto"/>
        <w:right w:val="none" w:sz="0" w:space="0" w:color="auto"/>
      </w:divBdr>
    </w:div>
    <w:div w:id="1828396803">
      <w:bodyDiv w:val="1"/>
      <w:marLeft w:val="0"/>
      <w:marRight w:val="0"/>
      <w:marTop w:val="0"/>
      <w:marBottom w:val="0"/>
      <w:divBdr>
        <w:top w:val="none" w:sz="0" w:space="0" w:color="auto"/>
        <w:left w:val="none" w:sz="0" w:space="0" w:color="auto"/>
        <w:bottom w:val="none" w:sz="0" w:space="0" w:color="auto"/>
        <w:right w:val="none" w:sz="0" w:space="0" w:color="auto"/>
      </w:divBdr>
    </w:div>
    <w:div w:id="1842550286">
      <w:bodyDiv w:val="1"/>
      <w:marLeft w:val="0"/>
      <w:marRight w:val="0"/>
      <w:marTop w:val="0"/>
      <w:marBottom w:val="0"/>
      <w:divBdr>
        <w:top w:val="none" w:sz="0" w:space="0" w:color="auto"/>
        <w:left w:val="none" w:sz="0" w:space="0" w:color="auto"/>
        <w:bottom w:val="none" w:sz="0" w:space="0" w:color="auto"/>
        <w:right w:val="none" w:sz="0" w:space="0" w:color="auto"/>
      </w:divBdr>
      <w:divsChild>
        <w:div w:id="498815768">
          <w:marLeft w:val="0"/>
          <w:marRight w:val="0"/>
          <w:marTop w:val="0"/>
          <w:marBottom w:val="150"/>
          <w:divBdr>
            <w:top w:val="none" w:sz="0" w:space="0" w:color="auto"/>
            <w:left w:val="none" w:sz="0" w:space="0" w:color="auto"/>
            <w:bottom w:val="none" w:sz="0" w:space="0" w:color="auto"/>
            <w:right w:val="none" w:sz="0" w:space="0" w:color="auto"/>
          </w:divBdr>
        </w:div>
      </w:divsChild>
    </w:div>
    <w:div w:id="1843083640">
      <w:bodyDiv w:val="1"/>
      <w:marLeft w:val="0"/>
      <w:marRight w:val="0"/>
      <w:marTop w:val="0"/>
      <w:marBottom w:val="0"/>
      <w:divBdr>
        <w:top w:val="none" w:sz="0" w:space="0" w:color="auto"/>
        <w:left w:val="none" w:sz="0" w:space="0" w:color="auto"/>
        <w:bottom w:val="none" w:sz="0" w:space="0" w:color="auto"/>
        <w:right w:val="none" w:sz="0" w:space="0" w:color="auto"/>
      </w:divBdr>
    </w:div>
    <w:div w:id="1844935250">
      <w:bodyDiv w:val="1"/>
      <w:marLeft w:val="0"/>
      <w:marRight w:val="0"/>
      <w:marTop w:val="0"/>
      <w:marBottom w:val="0"/>
      <w:divBdr>
        <w:top w:val="none" w:sz="0" w:space="0" w:color="auto"/>
        <w:left w:val="none" w:sz="0" w:space="0" w:color="auto"/>
        <w:bottom w:val="none" w:sz="0" w:space="0" w:color="auto"/>
        <w:right w:val="none" w:sz="0" w:space="0" w:color="auto"/>
      </w:divBdr>
    </w:div>
    <w:div w:id="1846554103">
      <w:bodyDiv w:val="1"/>
      <w:marLeft w:val="0"/>
      <w:marRight w:val="0"/>
      <w:marTop w:val="0"/>
      <w:marBottom w:val="0"/>
      <w:divBdr>
        <w:top w:val="none" w:sz="0" w:space="0" w:color="auto"/>
        <w:left w:val="none" w:sz="0" w:space="0" w:color="auto"/>
        <w:bottom w:val="none" w:sz="0" w:space="0" w:color="auto"/>
        <w:right w:val="none" w:sz="0" w:space="0" w:color="auto"/>
      </w:divBdr>
      <w:divsChild>
        <w:div w:id="1170145500">
          <w:marLeft w:val="0"/>
          <w:marRight w:val="0"/>
          <w:marTop w:val="0"/>
          <w:marBottom w:val="0"/>
          <w:divBdr>
            <w:top w:val="none" w:sz="0" w:space="0" w:color="auto"/>
            <w:left w:val="none" w:sz="0" w:space="0" w:color="auto"/>
            <w:bottom w:val="none" w:sz="0" w:space="0" w:color="auto"/>
            <w:right w:val="none" w:sz="0" w:space="0" w:color="auto"/>
          </w:divBdr>
          <w:divsChild>
            <w:div w:id="145019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44348">
      <w:bodyDiv w:val="1"/>
      <w:marLeft w:val="0"/>
      <w:marRight w:val="0"/>
      <w:marTop w:val="0"/>
      <w:marBottom w:val="0"/>
      <w:divBdr>
        <w:top w:val="none" w:sz="0" w:space="0" w:color="auto"/>
        <w:left w:val="none" w:sz="0" w:space="0" w:color="auto"/>
        <w:bottom w:val="none" w:sz="0" w:space="0" w:color="auto"/>
        <w:right w:val="none" w:sz="0" w:space="0" w:color="auto"/>
      </w:divBdr>
    </w:div>
    <w:div w:id="1857770929">
      <w:bodyDiv w:val="1"/>
      <w:marLeft w:val="0"/>
      <w:marRight w:val="0"/>
      <w:marTop w:val="0"/>
      <w:marBottom w:val="0"/>
      <w:divBdr>
        <w:top w:val="none" w:sz="0" w:space="0" w:color="auto"/>
        <w:left w:val="none" w:sz="0" w:space="0" w:color="auto"/>
        <w:bottom w:val="none" w:sz="0" w:space="0" w:color="auto"/>
        <w:right w:val="none" w:sz="0" w:space="0" w:color="auto"/>
      </w:divBdr>
    </w:div>
    <w:div w:id="1859392956">
      <w:bodyDiv w:val="1"/>
      <w:marLeft w:val="0"/>
      <w:marRight w:val="0"/>
      <w:marTop w:val="0"/>
      <w:marBottom w:val="0"/>
      <w:divBdr>
        <w:top w:val="none" w:sz="0" w:space="0" w:color="auto"/>
        <w:left w:val="none" w:sz="0" w:space="0" w:color="auto"/>
        <w:bottom w:val="none" w:sz="0" w:space="0" w:color="auto"/>
        <w:right w:val="none" w:sz="0" w:space="0" w:color="auto"/>
      </w:divBdr>
    </w:div>
    <w:div w:id="1867283625">
      <w:bodyDiv w:val="1"/>
      <w:marLeft w:val="0"/>
      <w:marRight w:val="0"/>
      <w:marTop w:val="0"/>
      <w:marBottom w:val="0"/>
      <w:divBdr>
        <w:top w:val="none" w:sz="0" w:space="0" w:color="auto"/>
        <w:left w:val="none" w:sz="0" w:space="0" w:color="auto"/>
        <w:bottom w:val="none" w:sz="0" w:space="0" w:color="auto"/>
        <w:right w:val="none" w:sz="0" w:space="0" w:color="auto"/>
      </w:divBdr>
    </w:div>
    <w:div w:id="1868443918">
      <w:bodyDiv w:val="1"/>
      <w:marLeft w:val="0"/>
      <w:marRight w:val="0"/>
      <w:marTop w:val="0"/>
      <w:marBottom w:val="0"/>
      <w:divBdr>
        <w:top w:val="none" w:sz="0" w:space="0" w:color="auto"/>
        <w:left w:val="none" w:sz="0" w:space="0" w:color="auto"/>
        <w:bottom w:val="none" w:sz="0" w:space="0" w:color="auto"/>
        <w:right w:val="none" w:sz="0" w:space="0" w:color="auto"/>
      </w:divBdr>
    </w:div>
    <w:div w:id="1879465349">
      <w:bodyDiv w:val="1"/>
      <w:marLeft w:val="0"/>
      <w:marRight w:val="0"/>
      <w:marTop w:val="0"/>
      <w:marBottom w:val="0"/>
      <w:divBdr>
        <w:top w:val="none" w:sz="0" w:space="0" w:color="auto"/>
        <w:left w:val="none" w:sz="0" w:space="0" w:color="auto"/>
        <w:bottom w:val="none" w:sz="0" w:space="0" w:color="auto"/>
        <w:right w:val="none" w:sz="0" w:space="0" w:color="auto"/>
      </w:divBdr>
    </w:div>
    <w:div w:id="1879658706">
      <w:bodyDiv w:val="1"/>
      <w:marLeft w:val="0"/>
      <w:marRight w:val="0"/>
      <w:marTop w:val="0"/>
      <w:marBottom w:val="0"/>
      <w:divBdr>
        <w:top w:val="none" w:sz="0" w:space="0" w:color="auto"/>
        <w:left w:val="none" w:sz="0" w:space="0" w:color="auto"/>
        <w:bottom w:val="none" w:sz="0" w:space="0" w:color="auto"/>
        <w:right w:val="none" w:sz="0" w:space="0" w:color="auto"/>
      </w:divBdr>
    </w:div>
    <w:div w:id="1884439607">
      <w:bodyDiv w:val="1"/>
      <w:marLeft w:val="0"/>
      <w:marRight w:val="0"/>
      <w:marTop w:val="0"/>
      <w:marBottom w:val="0"/>
      <w:divBdr>
        <w:top w:val="none" w:sz="0" w:space="0" w:color="auto"/>
        <w:left w:val="none" w:sz="0" w:space="0" w:color="auto"/>
        <w:bottom w:val="none" w:sz="0" w:space="0" w:color="auto"/>
        <w:right w:val="none" w:sz="0" w:space="0" w:color="auto"/>
      </w:divBdr>
    </w:div>
    <w:div w:id="1884714452">
      <w:bodyDiv w:val="1"/>
      <w:marLeft w:val="0"/>
      <w:marRight w:val="0"/>
      <w:marTop w:val="0"/>
      <w:marBottom w:val="0"/>
      <w:divBdr>
        <w:top w:val="none" w:sz="0" w:space="0" w:color="auto"/>
        <w:left w:val="none" w:sz="0" w:space="0" w:color="auto"/>
        <w:bottom w:val="none" w:sz="0" w:space="0" w:color="auto"/>
        <w:right w:val="none" w:sz="0" w:space="0" w:color="auto"/>
      </w:divBdr>
    </w:div>
    <w:div w:id="1889956356">
      <w:bodyDiv w:val="1"/>
      <w:marLeft w:val="0"/>
      <w:marRight w:val="0"/>
      <w:marTop w:val="0"/>
      <w:marBottom w:val="0"/>
      <w:divBdr>
        <w:top w:val="none" w:sz="0" w:space="0" w:color="auto"/>
        <w:left w:val="none" w:sz="0" w:space="0" w:color="auto"/>
        <w:bottom w:val="none" w:sz="0" w:space="0" w:color="auto"/>
        <w:right w:val="none" w:sz="0" w:space="0" w:color="auto"/>
      </w:divBdr>
    </w:div>
    <w:div w:id="1906066040">
      <w:bodyDiv w:val="1"/>
      <w:marLeft w:val="0"/>
      <w:marRight w:val="0"/>
      <w:marTop w:val="0"/>
      <w:marBottom w:val="0"/>
      <w:divBdr>
        <w:top w:val="none" w:sz="0" w:space="0" w:color="auto"/>
        <w:left w:val="none" w:sz="0" w:space="0" w:color="auto"/>
        <w:bottom w:val="none" w:sz="0" w:space="0" w:color="auto"/>
        <w:right w:val="none" w:sz="0" w:space="0" w:color="auto"/>
      </w:divBdr>
      <w:divsChild>
        <w:div w:id="2129201899">
          <w:marLeft w:val="0"/>
          <w:marRight w:val="0"/>
          <w:marTop w:val="0"/>
          <w:marBottom w:val="0"/>
          <w:divBdr>
            <w:top w:val="none" w:sz="0" w:space="0" w:color="auto"/>
            <w:left w:val="none" w:sz="0" w:space="0" w:color="auto"/>
            <w:bottom w:val="none" w:sz="0" w:space="0" w:color="auto"/>
            <w:right w:val="none" w:sz="0" w:space="0" w:color="auto"/>
          </w:divBdr>
        </w:div>
      </w:divsChild>
    </w:div>
    <w:div w:id="1906913674">
      <w:bodyDiv w:val="1"/>
      <w:marLeft w:val="0"/>
      <w:marRight w:val="0"/>
      <w:marTop w:val="0"/>
      <w:marBottom w:val="0"/>
      <w:divBdr>
        <w:top w:val="none" w:sz="0" w:space="0" w:color="auto"/>
        <w:left w:val="none" w:sz="0" w:space="0" w:color="auto"/>
        <w:bottom w:val="none" w:sz="0" w:space="0" w:color="auto"/>
        <w:right w:val="none" w:sz="0" w:space="0" w:color="auto"/>
      </w:divBdr>
    </w:div>
    <w:div w:id="1909342864">
      <w:bodyDiv w:val="1"/>
      <w:marLeft w:val="0"/>
      <w:marRight w:val="0"/>
      <w:marTop w:val="0"/>
      <w:marBottom w:val="0"/>
      <w:divBdr>
        <w:top w:val="none" w:sz="0" w:space="0" w:color="auto"/>
        <w:left w:val="none" w:sz="0" w:space="0" w:color="auto"/>
        <w:bottom w:val="none" w:sz="0" w:space="0" w:color="auto"/>
        <w:right w:val="none" w:sz="0" w:space="0" w:color="auto"/>
      </w:divBdr>
    </w:div>
    <w:div w:id="1910187710">
      <w:bodyDiv w:val="1"/>
      <w:marLeft w:val="0"/>
      <w:marRight w:val="0"/>
      <w:marTop w:val="0"/>
      <w:marBottom w:val="0"/>
      <w:divBdr>
        <w:top w:val="none" w:sz="0" w:space="0" w:color="auto"/>
        <w:left w:val="none" w:sz="0" w:space="0" w:color="auto"/>
        <w:bottom w:val="none" w:sz="0" w:space="0" w:color="auto"/>
        <w:right w:val="none" w:sz="0" w:space="0" w:color="auto"/>
      </w:divBdr>
    </w:div>
    <w:div w:id="1917934611">
      <w:bodyDiv w:val="1"/>
      <w:marLeft w:val="0"/>
      <w:marRight w:val="0"/>
      <w:marTop w:val="0"/>
      <w:marBottom w:val="0"/>
      <w:divBdr>
        <w:top w:val="none" w:sz="0" w:space="0" w:color="auto"/>
        <w:left w:val="none" w:sz="0" w:space="0" w:color="auto"/>
        <w:bottom w:val="none" w:sz="0" w:space="0" w:color="auto"/>
        <w:right w:val="none" w:sz="0" w:space="0" w:color="auto"/>
      </w:divBdr>
      <w:divsChild>
        <w:div w:id="1373068214">
          <w:marLeft w:val="0"/>
          <w:marRight w:val="0"/>
          <w:marTop w:val="0"/>
          <w:marBottom w:val="0"/>
          <w:divBdr>
            <w:top w:val="none" w:sz="0" w:space="0" w:color="auto"/>
            <w:left w:val="none" w:sz="0" w:space="0" w:color="auto"/>
            <w:bottom w:val="none" w:sz="0" w:space="0" w:color="auto"/>
            <w:right w:val="none" w:sz="0" w:space="0" w:color="auto"/>
          </w:divBdr>
          <w:divsChild>
            <w:div w:id="1004092265">
              <w:marLeft w:val="0"/>
              <w:marRight w:val="0"/>
              <w:marTop w:val="0"/>
              <w:marBottom w:val="0"/>
              <w:divBdr>
                <w:top w:val="none" w:sz="0" w:space="0" w:color="auto"/>
                <w:left w:val="none" w:sz="0" w:space="0" w:color="auto"/>
                <w:bottom w:val="none" w:sz="0" w:space="0" w:color="auto"/>
                <w:right w:val="none" w:sz="0" w:space="0" w:color="auto"/>
              </w:divBdr>
              <w:divsChild>
                <w:div w:id="21616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165957">
      <w:bodyDiv w:val="1"/>
      <w:marLeft w:val="0"/>
      <w:marRight w:val="0"/>
      <w:marTop w:val="0"/>
      <w:marBottom w:val="0"/>
      <w:divBdr>
        <w:top w:val="none" w:sz="0" w:space="0" w:color="auto"/>
        <w:left w:val="none" w:sz="0" w:space="0" w:color="auto"/>
        <w:bottom w:val="none" w:sz="0" w:space="0" w:color="auto"/>
        <w:right w:val="none" w:sz="0" w:space="0" w:color="auto"/>
      </w:divBdr>
    </w:div>
    <w:div w:id="1921060907">
      <w:bodyDiv w:val="1"/>
      <w:marLeft w:val="0"/>
      <w:marRight w:val="0"/>
      <w:marTop w:val="0"/>
      <w:marBottom w:val="0"/>
      <w:divBdr>
        <w:top w:val="none" w:sz="0" w:space="0" w:color="auto"/>
        <w:left w:val="none" w:sz="0" w:space="0" w:color="auto"/>
        <w:bottom w:val="none" w:sz="0" w:space="0" w:color="auto"/>
        <w:right w:val="none" w:sz="0" w:space="0" w:color="auto"/>
      </w:divBdr>
    </w:div>
    <w:div w:id="1924560795">
      <w:bodyDiv w:val="1"/>
      <w:marLeft w:val="0"/>
      <w:marRight w:val="0"/>
      <w:marTop w:val="0"/>
      <w:marBottom w:val="0"/>
      <w:divBdr>
        <w:top w:val="none" w:sz="0" w:space="0" w:color="auto"/>
        <w:left w:val="none" w:sz="0" w:space="0" w:color="auto"/>
        <w:bottom w:val="none" w:sz="0" w:space="0" w:color="auto"/>
        <w:right w:val="none" w:sz="0" w:space="0" w:color="auto"/>
      </w:divBdr>
    </w:div>
    <w:div w:id="1937324514">
      <w:bodyDiv w:val="1"/>
      <w:marLeft w:val="0"/>
      <w:marRight w:val="0"/>
      <w:marTop w:val="0"/>
      <w:marBottom w:val="0"/>
      <w:divBdr>
        <w:top w:val="none" w:sz="0" w:space="0" w:color="auto"/>
        <w:left w:val="none" w:sz="0" w:space="0" w:color="auto"/>
        <w:bottom w:val="none" w:sz="0" w:space="0" w:color="auto"/>
        <w:right w:val="none" w:sz="0" w:space="0" w:color="auto"/>
      </w:divBdr>
    </w:div>
    <w:div w:id="1943292743">
      <w:bodyDiv w:val="1"/>
      <w:marLeft w:val="0"/>
      <w:marRight w:val="0"/>
      <w:marTop w:val="0"/>
      <w:marBottom w:val="0"/>
      <w:divBdr>
        <w:top w:val="none" w:sz="0" w:space="0" w:color="auto"/>
        <w:left w:val="none" w:sz="0" w:space="0" w:color="auto"/>
        <w:bottom w:val="none" w:sz="0" w:space="0" w:color="auto"/>
        <w:right w:val="none" w:sz="0" w:space="0" w:color="auto"/>
      </w:divBdr>
      <w:divsChild>
        <w:div w:id="1114441388">
          <w:marLeft w:val="0"/>
          <w:marRight w:val="0"/>
          <w:marTop w:val="30"/>
          <w:marBottom w:val="0"/>
          <w:divBdr>
            <w:top w:val="none" w:sz="0" w:space="0" w:color="auto"/>
            <w:left w:val="none" w:sz="0" w:space="0" w:color="auto"/>
            <w:bottom w:val="none" w:sz="0" w:space="0" w:color="auto"/>
            <w:right w:val="none" w:sz="0" w:space="0" w:color="auto"/>
          </w:divBdr>
        </w:div>
      </w:divsChild>
    </w:div>
    <w:div w:id="1943486443">
      <w:bodyDiv w:val="1"/>
      <w:marLeft w:val="0"/>
      <w:marRight w:val="0"/>
      <w:marTop w:val="0"/>
      <w:marBottom w:val="0"/>
      <w:divBdr>
        <w:top w:val="none" w:sz="0" w:space="0" w:color="auto"/>
        <w:left w:val="none" w:sz="0" w:space="0" w:color="auto"/>
        <w:bottom w:val="none" w:sz="0" w:space="0" w:color="auto"/>
        <w:right w:val="none" w:sz="0" w:space="0" w:color="auto"/>
      </w:divBdr>
    </w:div>
    <w:div w:id="1952785623">
      <w:bodyDiv w:val="1"/>
      <w:marLeft w:val="0"/>
      <w:marRight w:val="0"/>
      <w:marTop w:val="0"/>
      <w:marBottom w:val="0"/>
      <w:divBdr>
        <w:top w:val="none" w:sz="0" w:space="0" w:color="auto"/>
        <w:left w:val="none" w:sz="0" w:space="0" w:color="auto"/>
        <w:bottom w:val="none" w:sz="0" w:space="0" w:color="auto"/>
        <w:right w:val="none" w:sz="0" w:space="0" w:color="auto"/>
      </w:divBdr>
    </w:div>
    <w:div w:id="1953785015">
      <w:bodyDiv w:val="1"/>
      <w:marLeft w:val="0"/>
      <w:marRight w:val="0"/>
      <w:marTop w:val="0"/>
      <w:marBottom w:val="0"/>
      <w:divBdr>
        <w:top w:val="none" w:sz="0" w:space="0" w:color="auto"/>
        <w:left w:val="none" w:sz="0" w:space="0" w:color="auto"/>
        <w:bottom w:val="none" w:sz="0" w:space="0" w:color="auto"/>
        <w:right w:val="none" w:sz="0" w:space="0" w:color="auto"/>
      </w:divBdr>
    </w:div>
    <w:div w:id="1954171791">
      <w:bodyDiv w:val="1"/>
      <w:marLeft w:val="0"/>
      <w:marRight w:val="0"/>
      <w:marTop w:val="0"/>
      <w:marBottom w:val="0"/>
      <w:divBdr>
        <w:top w:val="none" w:sz="0" w:space="0" w:color="auto"/>
        <w:left w:val="none" w:sz="0" w:space="0" w:color="auto"/>
        <w:bottom w:val="none" w:sz="0" w:space="0" w:color="auto"/>
        <w:right w:val="none" w:sz="0" w:space="0" w:color="auto"/>
      </w:divBdr>
    </w:div>
    <w:div w:id="1955404634">
      <w:bodyDiv w:val="1"/>
      <w:marLeft w:val="0"/>
      <w:marRight w:val="0"/>
      <w:marTop w:val="0"/>
      <w:marBottom w:val="0"/>
      <w:divBdr>
        <w:top w:val="none" w:sz="0" w:space="0" w:color="auto"/>
        <w:left w:val="none" w:sz="0" w:space="0" w:color="auto"/>
        <w:bottom w:val="none" w:sz="0" w:space="0" w:color="auto"/>
        <w:right w:val="none" w:sz="0" w:space="0" w:color="auto"/>
      </w:divBdr>
    </w:div>
    <w:div w:id="1957179569">
      <w:bodyDiv w:val="1"/>
      <w:marLeft w:val="0"/>
      <w:marRight w:val="0"/>
      <w:marTop w:val="0"/>
      <w:marBottom w:val="0"/>
      <w:divBdr>
        <w:top w:val="none" w:sz="0" w:space="0" w:color="auto"/>
        <w:left w:val="none" w:sz="0" w:space="0" w:color="auto"/>
        <w:bottom w:val="none" w:sz="0" w:space="0" w:color="auto"/>
        <w:right w:val="none" w:sz="0" w:space="0" w:color="auto"/>
      </w:divBdr>
    </w:div>
    <w:div w:id="1959870101">
      <w:bodyDiv w:val="1"/>
      <w:marLeft w:val="0"/>
      <w:marRight w:val="0"/>
      <w:marTop w:val="0"/>
      <w:marBottom w:val="0"/>
      <w:divBdr>
        <w:top w:val="none" w:sz="0" w:space="0" w:color="auto"/>
        <w:left w:val="none" w:sz="0" w:space="0" w:color="auto"/>
        <w:bottom w:val="none" w:sz="0" w:space="0" w:color="auto"/>
        <w:right w:val="none" w:sz="0" w:space="0" w:color="auto"/>
      </w:divBdr>
      <w:divsChild>
        <w:div w:id="1664579852">
          <w:marLeft w:val="0"/>
          <w:marRight w:val="0"/>
          <w:marTop w:val="0"/>
          <w:marBottom w:val="0"/>
          <w:divBdr>
            <w:top w:val="none" w:sz="0" w:space="0" w:color="auto"/>
            <w:left w:val="none" w:sz="0" w:space="0" w:color="auto"/>
            <w:bottom w:val="none" w:sz="0" w:space="0" w:color="auto"/>
            <w:right w:val="none" w:sz="0" w:space="0" w:color="auto"/>
          </w:divBdr>
        </w:div>
      </w:divsChild>
    </w:div>
    <w:div w:id="1959945979">
      <w:bodyDiv w:val="1"/>
      <w:marLeft w:val="0"/>
      <w:marRight w:val="0"/>
      <w:marTop w:val="0"/>
      <w:marBottom w:val="0"/>
      <w:divBdr>
        <w:top w:val="none" w:sz="0" w:space="0" w:color="auto"/>
        <w:left w:val="none" w:sz="0" w:space="0" w:color="auto"/>
        <w:bottom w:val="none" w:sz="0" w:space="0" w:color="auto"/>
        <w:right w:val="none" w:sz="0" w:space="0" w:color="auto"/>
      </w:divBdr>
    </w:div>
    <w:div w:id="1965427121">
      <w:bodyDiv w:val="1"/>
      <w:marLeft w:val="0"/>
      <w:marRight w:val="0"/>
      <w:marTop w:val="0"/>
      <w:marBottom w:val="0"/>
      <w:divBdr>
        <w:top w:val="none" w:sz="0" w:space="0" w:color="auto"/>
        <w:left w:val="none" w:sz="0" w:space="0" w:color="auto"/>
        <w:bottom w:val="none" w:sz="0" w:space="0" w:color="auto"/>
        <w:right w:val="none" w:sz="0" w:space="0" w:color="auto"/>
      </w:divBdr>
    </w:div>
    <w:div w:id="1969781200">
      <w:bodyDiv w:val="1"/>
      <w:marLeft w:val="0"/>
      <w:marRight w:val="0"/>
      <w:marTop w:val="0"/>
      <w:marBottom w:val="0"/>
      <w:divBdr>
        <w:top w:val="none" w:sz="0" w:space="0" w:color="auto"/>
        <w:left w:val="none" w:sz="0" w:space="0" w:color="auto"/>
        <w:bottom w:val="none" w:sz="0" w:space="0" w:color="auto"/>
        <w:right w:val="none" w:sz="0" w:space="0" w:color="auto"/>
      </w:divBdr>
    </w:div>
    <w:div w:id="1982615114">
      <w:bodyDiv w:val="1"/>
      <w:marLeft w:val="0"/>
      <w:marRight w:val="0"/>
      <w:marTop w:val="0"/>
      <w:marBottom w:val="0"/>
      <w:divBdr>
        <w:top w:val="none" w:sz="0" w:space="0" w:color="auto"/>
        <w:left w:val="none" w:sz="0" w:space="0" w:color="auto"/>
        <w:bottom w:val="none" w:sz="0" w:space="0" w:color="auto"/>
        <w:right w:val="none" w:sz="0" w:space="0" w:color="auto"/>
      </w:divBdr>
    </w:div>
    <w:div w:id="1991668437">
      <w:bodyDiv w:val="1"/>
      <w:marLeft w:val="0"/>
      <w:marRight w:val="0"/>
      <w:marTop w:val="0"/>
      <w:marBottom w:val="0"/>
      <w:divBdr>
        <w:top w:val="none" w:sz="0" w:space="0" w:color="auto"/>
        <w:left w:val="none" w:sz="0" w:space="0" w:color="auto"/>
        <w:bottom w:val="none" w:sz="0" w:space="0" w:color="auto"/>
        <w:right w:val="none" w:sz="0" w:space="0" w:color="auto"/>
      </w:divBdr>
    </w:div>
    <w:div w:id="1996183231">
      <w:bodyDiv w:val="1"/>
      <w:marLeft w:val="0"/>
      <w:marRight w:val="0"/>
      <w:marTop w:val="0"/>
      <w:marBottom w:val="0"/>
      <w:divBdr>
        <w:top w:val="none" w:sz="0" w:space="0" w:color="auto"/>
        <w:left w:val="none" w:sz="0" w:space="0" w:color="auto"/>
        <w:bottom w:val="none" w:sz="0" w:space="0" w:color="auto"/>
        <w:right w:val="none" w:sz="0" w:space="0" w:color="auto"/>
      </w:divBdr>
    </w:div>
    <w:div w:id="2014800201">
      <w:bodyDiv w:val="1"/>
      <w:marLeft w:val="0"/>
      <w:marRight w:val="0"/>
      <w:marTop w:val="0"/>
      <w:marBottom w:val="0"/>
      <w:divBdr>
        <w:top w:val="none" w:sz="0" w:space="0" w:color="auto"/>
        <w:left w:val="none" w:sz="0" w:space="0" w:color="auto"/>
        <w:bottom w:val="none" w:sz="0" w:space="0" w:color="auto"/>
        <w:right w:val="none" w:sz="0" w:space="0" w:color="auto"/>
      </w:divBdr>
    </w:div>
    <w:div w:id="2015956644">
      <w:bodyDiv w:val="1"/>
      <w:marLeft w:val="0"/>
      <w:marRight w:val="0"/>
      <w:marTop w:val="0"/>
      <w:marBottom w:val="0"/>
      <w:divBdr>
        <w:top w:val="none" w:sz="0" w:space="0" w:color="auto"/>
        <w:left w:val="none" w:sz="0" w:space="0" w:color="auto"/>
        <w:bottom w:val="none" w:sz="0" w:space="0" w:color="auto"/>
        <w:right w:val="none" w:sz="0" w:space="0" w:color="auto"/>
      </w:divBdr>
    </w:div>
    <w:div w:id="2019305444">
      <w:bodyDiv w:val="1"/>
      <w:marLeft w:val="0"/>
      <w:marRight w:val="0"/>
      <w:marTop w:val="0"/>
      <w:marBottom w:val="0"/>
      <w:divBdr>
        <w:top w:val="none" w:sz="0" w:space="0" w:color="auto"/>
        <w:left w:val="none" w:sz="0" w:space="0" w:color="auto"/>
        <w:bottom w:val="none" w:sz="0" w:space="0" w:color="auto"/>
        <w:right w:val="none" w:sz="0" w:space="0" w:color="auto"/>
      </w:divBdr>
    </w:div>
    <w:div w:id="2022780629">
      <w:bodyDiv w:val="1"/>
      <w:marLeft w:val="0"/>
      <w:marRight w:val="0"/>
      <w:marTop w:val="0"/>
      <w:marBottom w:val="0"/>
      <w:divBdr>
        <w:top w:val="none" w:sz="0" w:space="0" w:color="auto"/>
        <w:left w:val="none" w:sz="0" w:space="0" w:color="auto"/>
        <w:bottom w:val="none" w:sz="0" w:space="0" w:color="auto"/>
        <w:right w:val="none" w:sz="0" w:space="0" w:color="auto"/>
      </w:divBdr>
    </w:div>
    <w:div w:id="2028091140">
      <w:bodyDiv w:val="1"/>
      <w:marLeft w:val="0"/>
      <w:marRight w:val="0"/>
      <w:marTop w:val="0"/>
      <w:marBottom w:val="0"/>
      <w:divBdr>
        <w:top w:val="none" w:sz="0" w:space="0" w:color="auto"/>
        <w:left w:val="none" w:sz="0" w:space="0" w:color="auto"/>
        <w:bottom w:val="none" w:sz="0" w:space="0" w:color="auto"/>
        <w:right w:val="none" w:sz="0" w:space="0" w:color="auto"/>
      </w:divBdr>
    </w:div>
    <w:div w:id="2029524415">
      <w:bodyDiv w:val="1"/>
      <w:marLeft w:val="0"/>
      <w:marRight w:val="0"/>
      <w:marTop w:val="0"/>
      <w:marBottom w:val="0"/>
      <w:divBdr>
        <w:top w:val="none" w:sz="0" w:space="0" w:color="auto"/>
        <w:left w:val="none" w:sz="0" w:space="0" w:color="auto"/>
        <w:bottom w:val="none" w:sz="0" w:space="0" w:color="auto"/>
        <w:right w:val="none" w:sz="0" w:space="0" w:color="auto"/>
      </w:divBdr>
    </w:div>
    <w:div w:id="2037580857">
      <w:bodyDiv w:val="1"/>
      <w:marLeft w:val="0"/>
      <w:marRight w:val="0"/>
      <w:marTop w:val="0"/>
      <w:marBottom w:val="0"/>
      <w:divBdr>
        <w:top w:val="none" w:sz="0" w:space="0" w:color="auto"/>
        <w:left w:val="none" w:sz="0" w:space="0" w:color="auto"/>
        <w:bottom w:val="none" w:sz="0" w:space="0" w:color="auto"/>
        <w:right w:val="none" w:sz="0" w:space="0" w:color="auto"/>
      </w:divBdr>
    </w:div>
    <w:div w:id="2037658125">
      <w:bodyDiv w:val="1"/>
      <w:marLeft w:val="0"/>
      <w:marRight w:val="0"/>
      <w:marTop w:val="0"/>
      <w:marBottom w:val="0"/>
      <w:divBdr>
        <w:top w:val="none" w:sz="0" w:space="0" w:color="auto"/>
        <w:left w:val="none" w:sz="0" w:space="0" w:color="auto"/>
        <w:bottom w:val="none" w:sz="0" w:space="0" w:color="auto"/>
        <w:right w:val="none" w:sz="0" w:space="0" w:color="auto"/>
      </w:divBdr>
    </w:div>
    <w:div w:id="2040399901">
      <w:bodyDiv w:val="1"/>
      <w:marLeft w:val="0"/>
      <w:marRight w:val="0"/>
      <w:marTop w:val="0"/>
      <w:marBottom w:val="0"/>
      <w:divBdr>
        <w:top w:val="none" w:sz="0" w:space="0" w:color="auto"/>
        <w:left w:val="none" w:sz="0" w:space="0" w:color="auto"/>
        <w:bottom w:val="none" w:sz="0" w:space="0" w:color="auto"/>
        <w:right w:val="none" w:sz="0" w:space="0" w:color="auto"/>
      </w:divBdr>
      <w:divsChild>
        <w:div w:id="1755590795">
          <w:marLeft w:val="0"/>
          <w:marRight w:val="0"/>
          <w:marTop w:val="0"/>
          <w:marBottom w:val="0"/>
          <w:divBdr>
            <w:top w:val="none" w:sz="0" w:space="0" w:color="auto"/>
            <w:left w:val="none" w:sz="0" w:space="0" w:color="auto"/>
            <w:bottom w:val="none" w:sz="0" w:space="0" w:color="auto"/>
            <w:right w:val="none" w:sz="0" w:space="0" w:color="auto"/>
          </w:divBdr>
        </w:div>
      </w:divsChild>
    </w:div>
    <w:div w:id="2055888736">
      <w:bodyDiv w:val="1"/>
      <w:marLeft w:val="0"/>
      <w:marRight w:val="0"/>
      <w:marTop w:val="0"/>
      <w:marBottom w:val="0"/>
      <w:divBdr>
        <w:top w:val="none" w:sz="0" w:space="0" w:color="auto"/>
        <w:left w:val="none" w:sz="0" w:space="0" w:color="auto"/>
        <w:bottom w:val="none" w:sz="0" w:space="0" w:color="auto"/>
        <w:right w:val="none" w:sz="0" w:space="0" w:color="auto"/>
      </w:divBdr>
      <w:divsChild>
        <w:div w:id="749814598">
          <w:marLeft w:val="0"/>
          <w:marRight w:val="0"/>
          <w:marTop w:val="0"/>
          <w:marBottom w:val="0"/>
          <w:divBdr>
            <w:top w:val="none" w:sz="0" w:space="0" w:color="auto"/>
            <w:left w:val="none" w:sz="0" w:space="0" w:color="auto"/>
            <w:bottom w:val="none" w:sz="0" w:space="0" w:color="auto"/>
            <w:right w:val="none" w:sz="0" w:space="0" w:color="auto"/>
          </w:divBdr>
          <w:divsChild>
            <w:div w:id="1602303228">
              <w:marLeft w:val="0"/>
              <w:marRight w:val="0"/>
              <w:marTop w:val="0"/>
              <w:marBottom w:val="0"/>
              <w:divBdr>
                <w:top w:val="none" w:sz="0" w:space="0" w:color="auto"/>
                <w:left w:val="none" w:sz="0" w:space="0" w:color="auto"/>
                <w:bottom w:val="none" w:sz="0" w:space="0" w:color="auto"/>
                <w:right w:val="none" w:sz="0" w:space="0" w:color="auto"/>
              </w:divBdr>
              <w:divsChild>
                <w:div w:id="3595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36970">
      <w:bodyDiv w:val="1"/>
      <w:marLeft w:val="0"/>
      <w:marRight w:val="0"/>
      <w:marTop w:val="0"/>
      <w:marBottom w:val="0"/>
      <w:divBdr>
        <w:top w:val="none" w:sz="0" w:space="0" w:color="auto"/>
        <w:left w:val="none" w:sz="0" w:space="0" w:color="auto"/>
        <w:bottom w:val="none" w:sz="0" w:space="0" w:color="auto"/>
        <w:right w:val="none" w:sz="0" w:space="0" w:color="auto"/>
      </w:divBdr>
    </w:div>
    <w:div w:id="2069105322">
      <w:bodyDiv w:val="1"/>
      <w:marLeft w:val="0"/>
      <w:marRight w:val="0"/>
      <w:marTop w:val="0"/>
      <w:marBottom w:val="0"/>
      <w:divBdr>
        <w:top w:val="none" w:sz="0" w:space="0" w:color="auto"/>
        <w:left w:val="none" w:sz="0" w:space="0" w:color="auto"/>
        <w:bottom w:val="none" w:sz="0" w:space="0" w:color="auto"/>
        <w:right w:val="none" w:sz="0" w:space="0" w:color="auto"/>
      </w:divBdr>
    </w:div>
    <w:div w:id="2071805036">
      <w:bodyDiv w:val="1"/>
      <w:marLeft w:val="0"/>
      <w:marRight w:val="0"/>
      <w:marTop w:val="0"/>
      <w:marBottom w:val="0"/>
      <w:divBdr>
        <w:top w:val="none" w:sz="0" w:space="0" w:color="auto"/>
        <w:left w:val="none" w:sz="0" w:space="0" w:color="auto"/>
        <w:bottom w:val="none" w:sz="0" w:space="0" w:color="auto"/>
        <w:right w:val="none" w:sz="0" w:space="0" w:color="auto"/>
      </w:divBdr>
    </w:div>
    <w:div w:id="2071928166">
      <w:bodyDiv w:val="1"/>
      <w:marLeft w:val="0"/>
      <w:marRight w:val="0"/>
      <w:marTop w:val="0"/>
      <w:marBottom w:val="0"/>
      <w:divBdr>
        <w:top w:val="none" w:sz="0" w:space="0" w:color="auto"/>
        <w:left w:val="none" w:sz="0" w:space="0" w:color="auto"/>
        <w:bottom w:val="none" w:sz="0" w:space="0" w:color="auto"/>
        <w:right w:val="none" w:sz="0" w:space="0" w:color="auto"/>
      </w:divBdr>
    </w:div>
    <w:div w:id="2074814516">
      <w:bodyDiv w:val="1"/>
      <w:marLeft w:val="0"/>
      <w:marRight w:val="0"/>
      <w:marTop w:val="0"/>
      <w:marBottom w:val="0"/>
      <w:divBdr>
        <w:top w:val="none" w:sz="0" w:space="0" w:color="auto"/>
        <w:left w:val="none" w:sz="0" w:space="0" w:color="auto"/>
        <w:bottom w:val="none" w:sz="0" w:space="0" w:color="auto"/>
        <w:right w:val="none" w:sz="0" w:space="0" w:color="auto"/>
      </w:divBdr>
    </w:div>
    <w:div w:id="2077390804">
      <w:bodyDiv w:val="1"/>
      <w:marLeft w:val="0"/>
      <w:marRight w:val="0"/>
      <w:marTop w:val="0"/>
      <w:marBottom w:val="0"/>
      <w:divBdr>
        <w:top w:val="none" w:sz="0" w:space="0" w:color="auto"/>
        <w:left w:val="none" w:sz="0" w:space="0" w:color="auto"/>
        <w:bottom w:val="none" w:sz="0" w:space="0" w:color="auto"/>
        <w:right w:val="none" w:sz="0" w:space="0" w:color="auto"/>
      </w:divBdr>
    </w:div>
    <w:div w:id="2083065101">
      <w:bodyDiv w:val="1"/>
      <w:marLeft w:val="0"/>
      <w:marRight w:val="0"/>
      <w:marTop w:val="0"/>
      <w:marBottom w:val="0"/>
      <w:divBdr>
        <w:top w:val="none" w:sz="0" w:space="0" w:color="auto"/>
        <w:left w:val="none" w:sz="0" w:space="0" w:color="auto"/>
        <w:bottom w:val="none" w:sz="0" w:space="0" w:color="auto"/>
        <w:right w:val="none" w:sz="0" w:space="0" w:color="auto"/>
      </w:divBdr>
    </w:div>
    <w:div w:id="2085761571">
      <w:bodyDiv w:val="1"/>
      <w:marLeft w:val="0"/>
      <w:marRight w:val="0"/>
      <w:marTop w:val="0"/>
      <w:marBottom w:val="0"/>
      <w:divBdr>
        <w:top w:val="none" w:sz="0" w:space="0" w:color="auto"/>
        <w:left w:val="none" w:sz="0" w:space="0" w:color="auto"/>
        <w:bottom w:val="none" w:sz="0" w:space="0" w:color="auto"/>
        <w:right w:val="none" w:sz="0" w:space="0" w:color="auto"/>
      </w:divBdr>
    </w:div>
    <w:div w:id="2094430568">
      <w:bodyDiv w:val="1"/>
      <w:marLeft w:val="0"/>
      <w:marRight w:val="0"/>
      <w:marTop w:val="0"/>
      <w:marBottom w:val="0"/>
      <w:divBdr>
        <w:top w:val="none" w:sz="0" w:space="0" w:color="auto"/>
        <w:left w:val="none" w:sz="0" w:space="0" w:color="auto"/>
        <w:bottom w:val="none" w:sz="0" w:space="0" w:color="auto"/>
        <w:right w:val="none" w:sz="0" w:space="0" w:color="auto"/>
      </w:divBdr>
    </w:div>
    <w:div w:id="2096978260">
      <w:bodyDiv w:val="1"/>
      <w:marLeft w:val="0"/>
      <w:marRight w:val="0"/>
      <w:marTop w:val="0"/>
      <w:marBottom w:val="0"/>
      <w:divBdr>
        <w:top w:val="none" w:sz="0" w:space="0" w:color="auto"/>
        <w:left w:val="none" w:sz="0" w:space="0" w:color="auto"/>
        <w:bottom w:val="none" w:sz="0" w:space="0" w:color="auto"/>
        <w:right w:val="none" w:sz="0" w:space="0" w:color="auto"/>
      </w:divBdr>
    </w:div>
    <w:div w:id="2101874774">
      <w:bodyDiv w:val="1"/>
      <w:marLeft w:val="0"/>
      <w:marRight w:val="0"/>
      <w:marTop w:val="0"/>
      <w:marBottom w:val="0"/>
      <w:divBdr>
        <w:top w:val="none" w:sz="0" w:space="0" w:color="auto"/>
        <w:left w:val="none" w:sz="0" w:space="0" w:color="auto"/>
        <w:bottom w:val="none" w:sz="0" w:space="0" w:color="auto"/>
        <w:right w:val="none" w:sz="0" w:space="0" w:color="auto"/>
      </w:divBdr>
    </w:div>
    <w:div w:id="2103840338">
      <w:bodyDiv w:val="1"/>
      <w:marLeft w:val="0"/>
      <w:marRight w:val="0"/>
      <w:marTop w:val="0"/>
      <w:marBottom w:val="0"/>
      <w:divBdr>
        <w:top w:val="none" w:sz="0" w:space="0" w:color="auto"/>
        <w:left w:val="none" w:sz="0" w:space="0" w:color="auto"/>
        <w:bottom w:val="none" w:sz="0" w:space="0" w:color="auto"/>
        <w:right w:val="none" w:sz="0" w:space="0" w:color="auto"/>
      </w:divBdr>
    </w:div>
    <w:div w:id="2105418722">
      <w:bodyDiv w:val="1"/>
      <w:marLeft w:val="0"/>
      <w:marRight w:val="0"/>
      <w:marTop w:val="0"/>
      <w:marBottom w:val="0"/>
      <w:divBdr>
        <w:top w:val="none" w:sz="0" w:space="0" w:color="auto"/>
        <w:left w:val="none" w:sz="0" w:space="0" w:color="auto"/>
        <w:bottom w:val="none" w:sz="0" w:space="0" w:color="auto"/>
        <w:right w:val="none" w:sz="0" w:space="0" w:color="auto"/>
      </w:divBdr>
    </w:div>
    <w:div w:id="2114086764">
      <w:bodyDiv w:val="1"/>
      <w:marLeft w:val="0"/>
      <w:marRight w:val="0"/>
      <w:marTop w:val="0"/>
      <w:marBottom w:val="0"/>
      <w:divBdr>
        <w:top w:val="none" w:sz="0" w:space="0" w:color="auto"/>
        <w:left w:val="none" w:sz="0" w:space="0" w:color="auto"/>
        <w:bottom w:val="none" w:sz="0" w:space="0" w:color="auto"/>
        <w:right w:val="none" w:sz="0" w:space="0" w:color="auto"/>
      </w:divBdr>
    </w:div>
    <w:div w:id="2119906325">
      <w:bodyDiv w:val="1"/>
      <w:marLeft w:val="0"/>
      <w:marRight w:val="0"/>
      <w:marTop w:val="0"/>
      <w:marBottom w:val="0"/>
      <w:divBdr>
        <w:top w:val="none" w:sz="0" w:space="0" w:color="auto"/>
        <w:left w:val="none" w:sz="0" w:space="0" w:color="auto"/>
        <w:bottom w:val="none" w:sz="0" w:space="0" w:color="auto"/>
        <w:right w:val="none" w:sz="0" w:space="0" w:color="auto"/>
      </w:divBdr>
    </w:div>
    <w:div w:id="2127575502">
      <w:bodyDiv w:val="1"/>
      <w:marLeft w:val="0"/>
      <w:marRight w:val="0"/>
      <w:marTop w:val="0"/>
      <w:marBottom w:val="0"/>
      <w:divBdr>
        <w:top w:val="none" w:sz="0" w:space="0" w:color="auto"/>
        <w:left w:val="none" w:sz="0" w:space="0" w:color="auto"/>
        <w:bottom w:val="none" w:sz="0" w:space="0" w:color="auto"/>
        <w:right w:val="none" w:sz="0" w:space="0" w:color="auto"/>
      </w:divBdr>
    </w:div>
    <w:div w:id="2127576543">
      <w:bodyDiv w:val="1"/>
      <w:marLeft w:val="0"/>
      <w:marRight w:val="0"/>
      <w:marTop w:val="0"/>
      <w:marBottom w:val="0"/>
      <w:divBdr>
        <w:top w:val="none" w:sz="0" w:space="0" w:color="auto"/>
        <w:left w:val="none" w:sz="0" w:space="0" w:color="auto"/>
        <w:bottom w:val="none" w:sz="0" w:space="0" w:color="auto"/>
        <w:right w:val="none" w:sz="0" w:space="0" w:color="auto"/>
      </w:divBdr>
      <w:divsChild>
        <w:div w:id="433521254">
          <w:marLeft w:val="0"/>
          <w:marRight w:val="0"/>
          <w:marTop w:val="0"/>
          <w:marBottom w:val="0"/>
          <w:divBdr>
            <w:top w:val="none" w:sz="0" w:space="0" w:color="auto"/>
            <w:left w:val="none" w:sz="0" w:space="0" w:color="auto"/>
            <w:bottom w:val="none" w:sz="0" w:space="0" w:color="auto"/>
            <w:right w:val="none" w:sz="0" w:space="0" w:color="auto"/>
          </w:divBdr>
          <w:divsChild>
            <w:div w:id="1194609483">
              <w:marLeft w:val="0"/>
              <w:marRight w:val="0"/>
              <w:marTop w:val="0"/>
              <w:marBottom w:val="0"/>
              <w:divBdr>
                <w:top w:val="none" w:sz="0" w:space="0" w:color="auto"/>
                <w:left w:val="none" w:sz="0" w:space="0" w:color="auto"/>
                <w:bottom w:val="none" w:sz="0" w:space="0" w:color="auto"/>
                <w:right w:val="none" w:sz="0" w:space="0" w:color="auto"/>
              </w:divBdr>
              <w:divsChild>
                <w:div w:id="177486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019291">
      <w:bodyDiv w:val="1"/>
      <w:marLeft w:val="0"/>
      <w:marRight w:val="0"/>
      <w:marTop w:val="0"/>
      <w:marBottom w:val="0"/>
      <w:divBdr>
        <w:top w:val="none" w:sz="0" w:space="0" w:color="auto"/>
        <w:left w:val="none" w:sz="0" w:space="0" w:color="auto"/>
        <w:bottom w:val="none" w:sz="0" w:space="0" w:color="auto"/>
        <w:right w:val="none" w:sz="0" w:space="0" w:color="auto"/>
      </w:divBdr>
    </w:div>
    <w:div w:id="2134594072">
      <w:bodyDiv w:val="1"/>
      <w:marLeft w:val="0"/>
      <w:marRight w:val="0"/>
      <w:marTop w:val="0"/>
      <w:marBottom w:val="0"/>
      <w:divBdr>
        <w:top w:val="none" w:sz="0" w:space="0" w:color="auto"/>
        <w:left w:val="none" w:sz="0" w:space="0" w:color="auto"/>
        <w:bottom w:val="none" w:sz="0" w:space="0" w:color="auto"/>
        <w:right w:val="none" w:sz="0" w:space="0" w:color="auto"/>
      </w:divBdr>
    </w:div>
    <w:div w:id="2134977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www.funcionpublica.gov.co/eva/gestornormativo/norma.php?i=33104"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33104"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ac.unwomen.org/sites/default/files/2023-03/S2201160_es.pdf" TargetMode="External"/><Relationship Id="rId13" Type="http://schemas.openxmlformats.org/officeDocument/2006/relationships/hyperlink" Target="https://normlex.ilo.org/dyn/nrmlx_es/f?p=NORMLEXPUB:12100:0::NO::P12100_INSTRUMENT_ID:312328" TargetMode="External"/><Relationship Id="rId3" Type="http://schemas.openxmlformats.org/officeDocument/2006/relationships/hyperlink" Target="https://www.corteconstitucional.gov.co/secretaria/archivo.php?id=110060" TargetMode="External"/><Relationship Id="rId7" Type="http://schemas.openxmlformats.org/officeDocument/2006/relationships/hyperlink" Target="https://www.ohchr.org/es/women/gender-stereotyping" TargetMode="External"/><Relationship Id="rId12" Type="http://schemas.openxmlformats.org/officeDocument/2006/relationships/hyperlink" Target="https://www.dane.gov.co/files/operaciones/ENUT/pres-ENUT-2024-2025.pdf" TargetMode="External"/><Relationship Id="rId2" Type="http://schemas.openxmlformats.org/officeDocument/2006/relationships/hyperlink" Target="https://www.corteconstitucional.gov.co/secretaria/archivo.php?id=110060" TargetMode="External"/><Relationship Id="rId1" Type="http://schemas.openxmlformats.org/officeDocument/2006/relationships/hyperlink" Target="https://www.corteconstitucional.gov.co/secretaria/archivo.php?id=110060" TargetMode="External"/><Relationship Id="rId6" Type="http://schemas.openxmlformats.org/officeDocument/2006/relationships/hyperlink" Target="https://docs.un.org/es/CCPR/C/SLV/CO/6" TargetMode="External"/><Relationship Id="rId11" Type="http://schemas.openxmlformats.org/officeDocument/2006/relationships/hyperlink" Target="https://oig.cepal.org/es/indicadores/proporcion-tiempo-dedicado-al-trabajo-domestico-cuidado-no-remunerado-desglosado-sexo" TargetMode="External"/><Relationship Id="rId5" Type="http://schemas.openxmlformats.org/officeDocument/2006/relationships/hyperlink" Target="https://bolivia.unfpa.org/sites/default/files/pub-pdf/Reporte_Alto_Comisionado_DD_HH_LGBT.pdf" TargetMode="External"/><Relationship Id="rId15" Type="http://schemas.openxmlformats.org/officeDocument/2006/relationships/hyperlink" Target="https://www.oas.org/dil/esp/Declaraci%C3%B3n%20sobre%20los%20Principios%20Sociales%20y%20Jur%C3%ADdicos%20relativos%20a%20la%20protecci%C3%B3n%20y%20el%20bienestar%20de%20los%20ni%C3%B1os%20Republica%20Dominicana.pdf" TargetMode="External"/><Relationship Id="rId10" Type="http://schemas.openxmlformats.org/officeDocument/2006/relationships/hyperlink" Target="https://www.cepal.org/sites/default/files/document/files/cuidados_covid_esp.pdf" TargetMode="External"/><Relationship Id="rId4" Type="http://schemas.openxmlformats.org/officeDocument/2006/relationships/hyperlink" Target="https://siicor.corteconstitucional.gov.co/controldeprocesos/archivo.php?id=119848" TargetMode="External"/><Relationship Id="rId9" Type="http://schemas.openxmlformats.org/officeDocument/2006/relationships/hyperlink" Target="https://www.ilo.org/es/publications/major-publications/el-trabajode-cuidados-y-los-trabajadores-del-cuidado-para-un-futuro-con" TargetMode="External"/><Relationship Id="rId14" Type="http://schemas.openxmlformats.org/officeDocument/2006/relationships/hyperlink" Target="https://www.ilo.org/es/publications/major-publications/el-trabajo-de-cuidados-y-los-trabajadores-del-cuidado-para-un-futuro-c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29487-0C97-4A34-A32B-B09DF177F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33049</Words>
  <Characters>181772</Characters>
  <Application>Microsoft Office Word</Application>
  <DocSecurity>0</DocSecurity>
  <Lines>1514</Lines>
  <Paragraphs>428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Galeano Granados</dc:creator>
  <cp:keywords/>
  <dc:description/>
  <cp:lastModifiedBy>wilmancc</cp:lastModifiedBy>
  <cp:revision>1</cp:revision>
  <cp:lastPrinted>2019-03-22T17:43:00Z</cp:lastPrinted>
  <dcterms:created xsi:type="dcterms:W3CDTF">2026-05-07T16:05:00Z</dcterms:created>
  <dcterms:modified xsi:type="dcterms:W3CDTF">2026-05-27T15:23:00Z</dcterms:modified>
</cp:coreProperties>
</file>