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0A47" w:rsidRPr="002D20D6" w:rsidRDefault="00501EAC">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2D20D6">
        <w:rPr>
          <w:rFonts w:ascii="Times New Roman" w:hAnsi="Times New Roman" w:cs="Times New Roman"/>
          <w:sz w:val="28"/>
          <w:szCs w:val="24"/>
        </w:rPr>
        <w:t xml:space="preserve"> </w:t>
      </w:r>
    </w:p>
    <w:p w:rsidR="00410A47" w:rsidRPr="002D20D6" w:rsidRDefault="00410A47">
      <w:pPr>
        <w:widowControl w:val="0"/>
        <w:autoSpaceDE w:val="0"/>
        <w:autoSpaceDN w:val="0"/>
        <w:adjustRightInd w:val="0"/>
        <w:spacing w:after="0" w:line="240" w:lineRule="auto"/>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center"/>
        <w:rPr>
          <w:rFonts w:ascii="Times New Roman" w:hAnsi="Times New Roman" w:cs="Times New Roman"/>
          <w:b/>
          <w:bCs/>
          <w:sz w:val="28"/>
          <w:szCs w:val="28"/>
        </w:rPr>
      </w:pPr>
      <w:r w:rsidRPr="002D20D6">
        <w:rPr>
          <w:rFonts w:ascii="Times New Roman" w:hAnsi="Times New Roman" w:cs="Times New Roman"/>
          <w:b/>
          <w:bCs/>
          <w:sz w:val="28"/>
          <w:szCs w:val="28"/>
        </w:rPr>
        <w:t xml:space="preserve">TEMAS-SUBTEMAS </w:t>
      </w:r>
    </w:p>
    <w:p w:rsidR="00410A47" w:rsidRPr="002D20D6" w:rsidRDefault="00410A47">
      <w:pPr>
        <w:widowControl w:val="0"/>
        <w:autoSpaceDE w:val="0"/>
        <w:autoSpaceDN w:val="0"/>
        <w:adjustRightInd w:val="0"/>
        <w:spacing w:after="0" w:line="240" w:lineRule="auto"/>
        <w:jc w:val="center"/>
        <w:rPr>
          <w:rFonts w:ascii="Times New Roman" w:hAnsi="Times New Roman" w:cs="Times New Roman"/>
          <w:b/>
          <w:bCs/>
          <w:sz w:val="28"/>
          <w:szCs w:val="28"/>
        </w:rPr>
      </w:pPr>
    </w:p>
    <w:p w:rsidR="00410A47" w:rsidRPr="002D20D6" w:rsidRDefault="00501EAC">
      <w:pPr>
        <w:widowControl w:val="0"/>
        <w:autoSpaceDE w:val="0"/>
        <w:autoSpaceDN w:val="0"/>
        <w:adjustRightInd w:val="0"/>
        <w:spacing w:after="0" w:line="240" w:lineRule="auto"/>
        <w:jc w:val="center"/>
        <w:rPr>
          <w:rFonts w:ascii="Times New Roman" w:hAnsi="Times New Roman" w:cs="Times New Roman"/>
          <w:sz w:val="28"/>
          <w:szCs w:val="28"/>
        </w:rPr>
      </w:pPr>
      <w:r w:rsidRPr="002D20D6">
        <w:rPr>
          <w:rFonts w:ascii="Times New Roman" w:hAnsi="Times New Roman" w:cs="Times New Roman"/>
          <w:b/>
          <w:bCs/>
          <w:sz w:val="28"/>
          <w:szCs w:val="28"/>
        </w:rPr>
        <w:t xml:space="preserve">Sentencia C-027/26 </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PRINCIPIO DE IRRENUNCIABILIDAD DE LOS BENEFICIOS MINIMOS LABORALES</w:t>
      </w:r>
      <w:r w:rsidRPr="002D20D6">
        <w:rPr>
          <w:rFonts w:ascii="Times New Roman" w:hAnsi="Times New Roman" w:cs="Times New Roman"/>
          <w:sz w:val="28"/>
          <w:szCs w:val="28"/>
        </w:rPr>
        <w:t>-Autoridades administrativas podrán autorizar acuerdos de transacción o conciliación extrajudicial sobre la renuncia de prestaciones sociales de carácter incierto y discutible</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i/>
          <w:iCs/>
          <w:sz w:val="28"/>
          <w:szCs w:val="28"/>
        </w:rPr>
        <w:t>(...) la Corte procederá a declarar exequible condicionadamente la expresión y para renunciar prestaciones sociales, contenida en el artículo 148 del Decreto 2158 de 1948 por medio del cual se expidió el Código Procesal del Trabajo, en el entendido de que la autorización del Inspector del Trabajo o del Alcalde Municipal, según sus competencias, solo podrá recaer sobre acuerdos de transacción o conciliación extrajudicial en los que el trabajador renuncie a prestaciones sociales de carácter incierto y discutible, sin que en ningún caso pueda comprender la renuncia a los beneficios mínimos establecidos en las normas laborales. Es solo a partir de esa lectura, que el fragmento demandado resulta ajustado a la Constitución.</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DEMANDA DE INCONSTITUCIONALIDAD</w:t>
      </w:r>
      <w:r w:rsidRPr="002D20D6">
        <w:rPr>
          <w:rFonts w:ascii="Times New Roman" w:hAnsi="Times New Roman" w:cs="Times New Roman"/>
          <w:sz w:val="28"/>
          <w:szCs w:val="28"/>
        </w:rPr>
        <w:t xml:space="preserve">-Requisitos de claridad, certeza, especificidad, pertinencia y suficiencia </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PRINCIPIO PRO ACTIONE EN DEMANDA DE INCONSTITUCIONALIDAD</w:t>
      </w:r>
      <w:r w:rsidRPr="002D20D6">
        <w:rPr>
          <w:rFonts w:ascii="Times New Roman" w:hAnsi="Times New Roman" w:cs="Times New Roman"/>
          <w:sz w:val="28"/>
          <w:szCs w:val="28"/>
        </w:rPr>
        <w:t xml:space="preserve">-Cumplimiento de requisitos argumentativos mínimos </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PRINCIPIO PRO ACTIONE</w:t>
      </w:r>
      <w:r w:rsidRPr="002D20D6">
        <w:rPr>
          <w:rFonts w:ascii="Times New Roman" w:hAnsi="Times New Roman" w:cs="Times New Roman"/>
          <w:sz w:val="28"/>
          <w:szCs w:val="28"/>
        </w:rPr>
        <w:t xml:space="preserve">-Aplicación </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CONTROL DE CONSTITUCIONALIDAD DE NORMAS PRECONSTITUCIONALES</w:t>
      </w:r>
      <w:r w:rsidRPr="002D20D6">
        <w:rPr>
          <w:rFonts w:ascii="Times New Roman" w:hAnsi="Times New Roman" w:cs="Times New Roman"/>
          <w:sz w:val="28"/>
          <w:szCs w:val="28"/>
        </w:rPr>
        <w:t>-Alcance</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i/>
          <w:iCs/>
          <w:sz w:val="28"/>
          <w:szCs w:val="28"/>
        </w:rPr>
        <w:t>(...) al analizar la competencia de la Corte Constitucional para pronunciarse sobre el contenido material de normas preconstitucionales, se ha entendido que su propósito es determinar si existe una incompatibilidad material o sustancial entre la disposición y las normas que integran la Constitución de 1991. Por ello, se avaló que los aspectos de forma se rijan por la Constitución de 1886, pero el contenido material de la norma demandada se debe comparar con los principios establecidos en la Constitución vigente, a fin de que no persista un precepto abiertamente inconstitucional.</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INCONSTITUCIONALIDAD SOBREVINIENTE</w:t>
      </w:r>
      <w:r w:rsidRPr="002D20D6">
        <w:rPr>
          <w:rFonts w:ascii="Times New Roman" w:hAnsi="Times New Roman" w:cs="Times New Roman"/>
          <w:sz w:val="28"/>
          <w:szCs w:val="28"/>
        </w:rPr>
        <w:t>-Configuración</w:t>
      </w:r>
      <w:r w:rsidRPr="002D20D6">
        <w:rPr>
          <w:rFonts w:ascii="Times New Roman" w:hAnsi="Times New Roman" w:cs="Times New Roman"/>
          <w:b/>
          <w:bCs/>
          <w:sz w:val="28"/>
          <w:szCs w:val="28"/>
        </w:rPr>
        <w:t>/INCONSTITUCIONALIDAD SOBREVINIENTE</w:t>
      </w:r>
      <w:r w:rsidRPr="002D20D6">
        <w:rPr>
          <w:rFonts w:ascii="Times New Roman" w:hAnsi="Times New Roman" w:cs="Times New Roman"/>
          <w:sz w:val="28"/>
          <w:szCs w:val="28"/>
        </w:rPr>
        <w:t>-Procede pronunciamiento de fondo del cargo</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i/>
          <w:iCs/>
          <w:sz w:val="28"/>
          <w:szCs w:val="28"/>
        </w:rPr>
        <w:t>(...) esta Corporación ha denominado la inconstitucionalidad sobreviniente, que ocurre cuando las normas del ordenamiento jurídico regido bajo la Constitución de 1886 puedan resultar incompatibles con la nueva Constitución. Sobre este fenómeno, la Corte Constitucional reconoció una divergencia en su jurisprudencia. Inicialmente, la Corte reconocía que ante la presencia de una norma expedida antes de la vigencia de un nuevo texto constitucional -lo que la hace evidentemente incompatible con este último- debe haber un pronunciamiento de fondo sobre la demanda, por razones de seguridad jurídica. Posteriormente, sostuvo que si el precepto legal demandado es contrario a la nueva Carta, debe entenderse como tácitamente derogado, impidiendo así una decisión de fondo sobre las demandas. En consecuencia, en la Sentencia C-110 de 2023, la Corte Constitucional unificó su jurisprudencia y concluyó que, en adelante, ante demandas contra normas afectadas por una inconstitucionalidad sobreviniente, lo que procede es pronunciarse sobre el fondo del asunto, declarando la correspondiente inexequibilidad si esto es procedente.</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PRINCIPIOS MINIMOS FUNDAMENTALES DE LA RELACION LABORAL</w:t>
      </w:r>
      <w:r w:rsidRPr="002D20D6">
        <w:rPr>
          <w:rFonts w:ascii="Times New Roman" w:hAnsi="Times New Roman" w:cs="Times New Roman"/>
          <w:sz w:val="28"/>
          <w:szCs w:val="28"/>
        </w:rPr>
        <w:t xml:space="preserve">-Garantía constitucional </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PRINCIPIO DE IRRENUNCIABILIDAD</w:t>
      </w:r>
      <w:r w:rsidRPr="002D20D6">
        <w:rPr>
          <w:rFonts w:ascii="Times New Roman" w:hAnsi="Times New Roman" w:cs="Times New Roman"/>
          <w:sz w:val="28"/>
          <w:szCs w:val="28"/>
        </w:rPr>
        <w:t xml:space="preserve">-Garantía mínima fundamental en materia laboral </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PRINCIPIO DE IRRENUNCIABILIDAD DE LOS BENEFICIOS MINIMOS LABORALES</w:t>
      </w:r>
      <w:r w:rsidRPr="002D20D6">
        <w:rPr>
          <w:rFonts w:ascii="Times New Roman" w:hAnsi="Times New Roman" w:cs="Times New Roman"/>
          <w:sz w:val="28"/>
          <w:szCs w:val="28"/>
        </w:rPr>
        <w:t>-Jurisprudencia constitucional</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i/>
          <w:iCs/>
          <w:sz w:val="28"/>
          <w:szCs w:val="28"/>
        </w:rPr>
        <w:t>(...) el principio de irrenunciabilidad de los beneficios mínimos laborales, según lo ha entendido la jurisprudencia de la Corte Constitucional y la Corte Suprema de Justicia, es un límite constitucional ejercido en el marco del control abstracto de constitucionalidad, por medio del cual se evalúa si las leyes, los acuerdos y los convenios del trabajo suponen o no una renuncia a los beneficios mínimos laborales. Al ser un parámetro de constitucionalidad dirigido a determinar qué es susceptible de renuncia y qué no, aquel no puede interpretarse únicamente como un estándar para enjuiciar los acuerdos a los que lleguen los empleadores y los empleados</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FACULTADES PARA TRANSIGIR Y CONCILIAR SOBRE DERECHOS INCIERTOS Y DISCUTIBLES</w:t>
      </w:r>
      <w:r w:rsidRPr="002D20D6">
        <w:rPr>
          <w:rFonts w:ascii="Times New Roman" w:hAnsi="Times New Roman" w:cs="Times New Roman"/>
          <w:sz w:val="28"/>
          <w:szCs w:val="28"/>
        </w:rPr>
        <w:t xml:space="preserve">-Alcance </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DERECHOS CIERTOS E INDISCUTIBLES</w:t>
      </w:r>
      <w:r w:rsidRPr="002D20D6">
        <w:rPr>
          <w:rFonts w:ascii="Times New Roman" w:hAnsi="Times New Roman" w:cs="Times New Roman"/>
          <w:sz w:val="28"/>
          <w:szCs w:val="28"/>
        </w:rPr>
        <w:t xml:space="preserve">-Concepto </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DERECHO INCIERTO Y DISCUTIBLE</w:t>
      </w:r>
      <w:r w:rsidRPr="002D20D6">
        <w:rPr>
          <w:rFonts w:ascii="Times New Roman" w:hAnsi="Times New Roman" w:cs="Times New Roman"/>
          <w:sz w:val="28"/>
          <w:szCs w:val="28"/>
        </w:rPr>
        <w:t>-Concepto</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i/>
          <w:iCs/>
          <w:sz w:val="28"/>
          <w:szCs w:val="28"/>
        </w:rPr>
        <w:t>(...) la Corte ha reconocido como derechos inciertos y discutibles los que se derivan de hechos que no son claros, la norma que lo consagra es ambigua o admite varias interpretaciones, o cuando el surgimiento del derecho está supeditado al cumplimiento de un plazo o condición y existe una circunstancia que impide su nacimiento o exigibilidad. Esto es, que el concepto de incierto y discutible se relaciona directamente con el concepto de simples expectativas o derechos en formación.</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TRANSACCION LABORAL</w:t>
      </w:r>
      <w:r w:rsidRPr="002D20D6">
        <w:rPr>
          <w:rFonts w:ascii="Times New Roman" w:hAnsi="Times New Roman" w:cs="Times New Roman"/>
          <w:sz w:val="28"/>
          <w:szCs w:val="28"/>
        </w:rPr>
        <w:t>-Concepto</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i/>
          <w:iCs/>
          <w:sz w:val="28"/>
          <w:szCs w:val="28"/>
        </w:rPr>
        <w:t>La transacción en materia laboral es un contrato consensual y bilateral regulado por los artículos 1625 y 2469 del Código Civil y el artículo 15 del Código Sustantivo del Trabajo, mediante el cual el empleador y trabajador extinguen extrajudicialmente un litigio pendiente o previenen uno eventual, mediante concesiones recíprocas.</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TRANSACCION LABORAL</w:t>
      </w:r>
      <w:r w:rsidRPr="002D20D6">
        <w:rPr>
          <w:rFonts w:ascii="Times New Roman" w:hAnsi="Times New Roman" w:cs="Times New Roman"/>
          <w:sz w:val="28"/>
          <w:szCs w:val="28"/>
        </w:rPr>
        <w:t xml:space="preserve">-No puede recaer sobre derechos ciertos e indiscutibles </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CONCILIACION EXTRAJUDICIAL EN MATERIA LABORAL</w:t>
      </w:r>
      <w:r w:rsidRPr="002D20D6">
        <w:rPr>
          <w:rFonts w:ascii="Times New Roman" w:hAnsi="Times New Roman" w:cs="Times New Roman"/>
          <w:sz w:val="28"/>
          <w:szCs w:val="28"/>
        </w:rPr>
        <w:t>-Voluntariedad</w:t>
      </w:r>
      <w:r w:rsidRPr="002D20D6">
        <w:rPr>
          <w:rFonts w:ascii="Times New Roman" w:hAnsi="Times New Roman" w:cs="Times New Roman"/>
          <w:b/>
          <w:bCs/>
          <w:sz w:val="28"/>
          <w:szCs w:val="28"/>
        </w:rPr>
        <w:t>/CONCILIACION EXTRAJUDICIAL EN MATERIA LABORAL</w:t>
      </w:r>
      <w:r w:rsidRPr="002D20D6">
        <w:rPr>
          <w:rFonts w:ascii="Times New Roman" w:hAnsi="Times New Roman" w:cs="Times New Roman"/>
          <w:sz w:val="28"/>
          <w:szCs w:val="28"/>
        </w:rPr>
        <w:t>-No obligatoriedad</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i/>
          <w:iCs/>
          <w:sz w:val="28"/>
          <w:szCs w:val="28"/>
        </w:rPr>
        <w:t xml:space="preserve"> (...) la conciliación tiene un carácter esencialmente voluntario, porque son las partes las que, en cada caso en concreto, seleccionan en forma espontánea al particular que habrá de hacer las veces de conciliador. Ello impide que, desde este punto de vista, se establezca una suerte de permanencia en el ejercicio de dicha función.</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CONCILIACION EXTRAJUDICIAL EN MATERIA LABORAL</w:t>
      </w:r>
      <w:r w:rsidRPr="002D20D6">
        <w:rPr>
          <w:rFonts w:ascii="Times New Roman" w:hAnsi="Times New Roman" w:cs="Times New Roman"/>
          <w:sz w:val="28"/>
          <w:szCs w:val="28"/>
        </w:rPr>
        <w:t>-Procede sobre derechos inciertos y discutibles</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i/>
          <w:iCs/>
          <w:sz w:val="28"/>
          <w:szCs w:val="28"/>
        </w:rPr>
        <w:t xml:space="preserve">(...) la conciliación extrajudicial en materia laboral es admisible, siempre y cuando verse sobre derechos inciertos y discutibles. En palabras de la jurisprudencia constitucional: “no es admisible la conciliación acerca de derechos ciertos e indiscutibles, comoquiera que ellos están comprendidos dentro del derecho imperativo y no dentro del derecho dispositivo. Así que, dado el caso que las partes en conflicto alcancen un acuerdo conciliatorio en el que se perciba la renuncia o disposición de un derecho que presente estas características, el negocio jurídico adolecerá de un vicio de nulidad por objeto ilícito.” </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501EAC">
      <w:pPr>
        <w:widowControl w:val="0"/>
        <w:autoSpaceDE w:val="0"/>
        <w:autoSpaceDN w:val="0"/>
        <w:adjustRightInd w:val="0"/>
        <w:spacing w:after="0" w:line="240" w:lineRule="auto"/>
        <w:jc w:val="both"/>
        <w:rPr>
          <w:rFonts w:ascii="Times New Roman" w:hAnsi="Times New Roman" w:cs="Times New Roman"/>
          <w:sz w:val="28"/>
          <w:szCs w:val="28"/>
        </w:rPr>
      </w:pPr>
      <w:r w:rsidRPr="002D20D6">
        <w:rPr>
          <w:rFonts w:ascii="Times New Roman" w:hAnsi="Times New Roman" w:cs="Times New Roman"/>
          <w:b/>
          <w:bCs/>
          <w:sz w:val="28"/>
          <w:szCs w:val="28"/>
        </w:rPr>
        <w:t>SENTENCIA CONDICIONADA</w:t>
      </w:r>
      <w:r w:rsidRPr="002D20D6">
        <w:rPr>
          <w:rFonts w:ascii="Times New Roman" w:hAnsi="Times New Roman" w:cs="Times New Roman"/>
          <w:sz w:val="28"/>
          <w:szCs w:val="28"/>
        </w:rPr>
        <w:t xml:space="preserve">-Aplicación </w:t>
      </w:r>
    </w:p>
    <w:p w:rsidR="00410A47" w:rsidRPr="002D20D6" w:rsidRDefault="00410A47">
      <w:pPr>
        <w:widowControl w:val="0"/>
        <w:autoSpaceDE w:val="0"/>
        <w:autoSpaceDN w:val="0"/>
        <w:adjustRightInd w:val="0"/>
        <w:spacing w:after="0" w:line="240" w:lineRule="auto"/>
        <w:jc w:val="both"/>
        <w:rPr>
          <w:rFonts w:ascii="Times New Roman" w:hAnsi="Times New Roman" w:cs="Times New Roman"/>
          <w:sz w:val="28"/>
          <w:szCs w:val="28"/>
        </w:rPr>
      </w:pPr>
    </w:p>
    <w:p w:rsidR="00410A47" w:rsidRPr="002D20D6" w:rsidRDefault="002D20D6">
      <w:pPr>
        <w:widowControl w:val="0"/>
        <w:autoSpaceDE w:val="0"/>
        <w:autoSpaceDN w:val="0"/>
        <w:adjustRightInd w:val="0"/>
        <w:spacing w:after="0" w:line="240" w:lineRule="auto"/>
        <w:jc w:val="both"/>
        <w:rPr>
          <w:rFonts w:ascii="Times New Roman" w:hAnsi="Times New Roman" w:cs="Times New Roman"/>
          <w:sz w:val="28"/>
        </w:rPr>
      </w:pPr>
      <w:r w:rsidRPr="002D20D6">
        <w:rPr>
          <w:rFonts w:ascii="Times New Roman" w:hAnsi="Times New Roman" w:cs="Times New Roman"/>
          <w:sz w:val="28"/>
          <w:szCs w:val="28"/>
        </w:rPr>
        <w:pict>
          <v:rect id="_x0000_i1025" style="width:0;height:1.5pt" o:hralign="center" o:hrstd="t" o:hr="t" fillcolor="#a0a0a0" stroked="f"/>
        </w:pict>
      </w:r>
    </w:p>
    <w:p w:rsidR="00410A44" w:rsidRPr="002D20D6" w:rsidRDefault="002D20D6" w:rsidP="002E02B9">
      <w:pPr>
        <w:ind w:right="49"/>
        <w:jc w:val="center"/>
        <w:rPr>
          <w:rFonts w:ascii="Times New Roman" w:hAnsi="Times New Roman" w:cs="Times New Roman"/>
          <w:b/>
          <w:bCs/>
          <w:color w:val="0D0D0D" w:themeColor="text1" w:themeTint="F2"/>
          <w:sz w:val="28"/>
          <w:szCs w:val="28"/>
          <w:lang w:val="pt-PT"/>
        </w:rPr>
      </w:pPr>
      <w:r w:rsidRPr="002D20D6">
        <w:rPr>
          <w:rFonts w:ascii="Times New Roman" w:hAnsi="Times New Roman" w:cs="Times New Roman"/>
          <w:b/>
          <w:bCs/>
          <w:color w:val="0D0D0D" w:themeColor="text1" w:themeTint="F2"/>
          <w:sz w:val="28"/>
          <w:szCs w:val="28"/>
          <w:lang w:val="pt-PT"/>
        </w:rPr>
        <w:t>REPÚBLICA DE COLOMBIA</w:t>
      </w:r>
    </w:p>
    <w:p w:rsidR="00410A44" w:rsidRPr="002D20D6" w:rsidRDefault="002D20D6" w:rsidP="002E02B9">
      <w:pPr>
        <w:ind w:right="49"/>
        <w:jc w:val="center"/>
        <w:rPr>
          <w:rFonts w:ascii="Times New Roman" w:hAnsi="Times New Roman" w:cs="Times New Roman"/>
          <w:b/>
          <w:bCs/>
          <w:color w:val="0D0D0D" w:themeColor="text1" w:themeTint="F2"/>
          <w:sz w:val="28"/>
          <w:szCs w:val="28"/>
          <w:lang w:val="pt-PT"/>
        </w:rPr>
      </w:pPr>
      <w:r w:rsidRPr="002D20D6">
        <w:rPr>
          <w:rFonts w:ascii="Times New Roman" w:hAnsi="Times New Roman" w:cs="Times New Roman"/>
          <w:b/>
          <w:bCs/>
          <w:noProof/>
          <w:color w:val="0D0D0D" w:themeColor="text1" w:themeTint="F2"/>
          <w:sz w:val="28"/>
          <w:szCs w:val="28"/>
          <w:lang w:val="pt-PT"/>
        </w:rPr>
        <w:drawing>
          <wp:inline distT="0" distB="0" distL="0" distR="0" wp14:anchorId="12A94E1D" wp14:editId="7AE417DF">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410A44" w:rsidRPr="002D20D6" w:rsidRDefault="002D20D6" w:rsidP="002E02B9">
      <w:pPr>
        <w:ind w:right="49"/>
        <w:jc w:val="center"/>
        <w:rPr>
          <w:rFonts w:ascii="Times New Roman" w:hAnsi="Times New Roman" w:cs="Times New Roman"/>
          <w:b/>
          <w:bCs/>
          <w:color w:val="0D0D0D" w:themeColor="text1" w:themeTint="F2"/>
          <w:sz w:val="28"/>
          <w:szCs w:val="28"/>
          <w:lang w:val="pt-PT"/>
        </w:rPr>
      </w:pPr>
      <w:r w:rsidRPr="002D20D6">
        <w:rPr>
          <w:rFonts w:ascii="Times New Roman" w:hAnsi="Times New Roman" w:cs="Times New Roman"/>
          <w:b/>
          <w:bCs/>
          <w:color w:val="0D0D0D" w:themeColor="text1" w:themeTint="F2"/>
          <w:sz w:val="28"/>
          <w:szCs w:val="28"/>
          <w:lang w:val="pt-PT"/>
        </w:rPr>
        <w:t>CORTE CONSTITUCIONAL</w:t>
      </w:r>
    </w:p>
    <w:p w:rsidR="00410A44" w:rsidRPr="002D20D6" w:rsidRDefault="002D20D6" w:rsidP="002E02B9">
      <w:pPr>
        <w:ind w:right="49"/>
        <w:jc w:val="center"/>
        <w:rPr>
          <w:rFonts w:ascii="Times New Roman" w:hAnsi="Times New Roman" w:cs="Times New Roman"/>
          <w:b/>
          <w:bCs/>
          <w:color w:val="0D0D0D" w:themeColor="text1" w:themeTint="F2"/>
          <w:sz w:val="28"/>
          <w:szCs w:val="28"/>
          <w:lang w:val="pt-PT"/>
        </w:rPr>
      </w:pPr>
      <w:r w:rsidRPr="002D20D6">
        <w:rPr>
          <w:rFonts w:ascii="Times New Roman" w:hAnsi="Times New Roman" w:cs="Times New Roman"/>
          <w:b/>
          <w:bCs/>
          <w:color w:val="0D0D0D" w:themeColor="text1" w:themeTint="F2"/>
          <w:sz w:val="28"/>
          <w:szCs w:val="28"/>
          <w:lang w:val="pt-PT"/>
        </w:rPr>
        <w:t>Sala Plena</w:t>
      </w:r>
    </w:p>
    <w:p w:rsidR="00410A44" w:rsidRPr="002D20D6" w:rsidRDefault="002D20D6" w:rsidP="00410A44">
      <w:pPr>
        <w:ind w:right="49"/>
        <w:jc w:val="center"/>
        <w:rPr>
          <w:rFonts w:ascii="Times New Roman" w:hAnsi="Times New Roman" w:cs="Times New Roman"/>
          <w:b/>
          <w:bCs/>
          <w:color w:val="0D0D0D" w:themeColor="text1" w:themeTint="F2"/>
          <w:sz w:val="28"/>
          <w:szCs w:val="28"/>
          <w:lang w:val="pt-PT"/>
        </w:rPr>
      </w:pPr>
    </w:p>
    <w:p w:rsidR="00410A44" w:rsidRPr="002D20D6" w:rsidRDefault="002D20D6" w:rsidP="00410A44">
      <w:pPr>
        <w:ind w:right="49" w:hanging="9"/>
        <w:jc w:val="center"/>
        <w:rPr>
          <w:rFonts w:ascii="Times New Roman" w:hAnsi="Times New Roman" w:cs="Times New Roman"/>
          <w:b/>
          <w:color w:val="0D0D0D" w:themeColor="text1" w:themeTint="F2"/>
          <w:sz w:val="28"/>
          <w:szCs w:val="28"/>
        </w:rPr>
      </w:pPr>
      <w:r w:rsidRPr="002D20D6">
        <w:rPr>
          <w:rFonts w:ascii="Times New Roman" w:hAnsi="Times New Roman" w:cs="Times New Roman"/>
          <w:b/>
          <w:color w:val="0D0D0D" w:themeColor="text1" w:themeTint="F2"/>
          <w:sz w:val="28"/>
          <w:szCs w:val="28"/>
        </w:rPr>
        <w:t>SENTENCIA C-027 DE 2026</w:t>
      </w:r>
    </w:p>
    <w:p w:rsidR="00410A44" w:rsidRPr="002D20D6" w:rsidRDefault="002D20D6" w:rsidP="00410A44">
      <w:pPr>
        <w:ind w:left="2835" w:right="49"/>
        <w:jc w:val="both"/>
        <w:rPr>
          <w:rFonts w:ascii="Times New Roman" w:hAnsi="Times New Roman" w:cs="Times New Roman"/>
          <w:b/>
          <w:color w:val="0D0D0D" w:themeColor="text1" w:themeTint="F2"/>
          <w:sz w:val="28"/>
          <w:szCs w:val="28"/>
        </w:rPr>
      </w:pPr>
    </w:p>
    <w:p w:rsidR="00AB5BBF" w:rsidRPr="002D20D6" w:rsidRDefault="002D20D6" w:rsidP="00410A44">
      <w:pPr>
        <w:ind w:left="2835" w:right="49"/>
        <w:jc w:val="both"/>
        <w:rPr>
          <w:rFonts w:ascii="Times New Roman" w:hAnsi="Times New Roman" w:cs="Times New Roman"/>
          <w:b/>
          <w:color w:val="0D0D0D" w:themeColor="text1" w:themeTint="F2"/>
          <w:sz w:val="28"/>
          <w:szCs w:val="28"/>
        </w:rPr>
      </w:pPr>
    </w:p>
    <w:p w:rsidR="00410A44" w:rsidRPr="002D20D6" w:rsidRDefault="002D20D6" w:rsidP="00C46A7B">
      <w:pPr>
        <w:pStyle w:val="Textoindependiente"/>
        <w:spacing w:after="0"/>
        <w:ind w:left="3685"/>
        <w:rPr>
          <w:rFonts w:ascii="Times New Roman" w:hAnsi="Times New Roman" w:cs="Times New Roman"/>
          <w:color w:val="0D0D0D" w:themeColor="text1" w:themeTint="F2"/>
          <w:sz w:val="28"/>
          <w:szCs w:val="28"/>
        </w:rPr>
      </w:pPr>
      <w:r w:rsidRPr="002D20D6">
        <w:rPr>
          <w:rFonts w:ascii="Times New Roman" w:hAnsi="Times New Roman" w:cs="Times New Roman"/>
          <w:b/>
          <w:color w:val="0D0D0D" w:themeColor="text1" w:themeTint="F2"/>
          <w:sz w:val="28"/>
          <w:szCs w:val="28"/>
        </w:rPr>
        <w:t xml:space="preserve">Expediente: </w:t>
      </w:r>
      <w:r w:rsidRPr="002D20D6">
        <w:rPr>
          <w:rFonts w:ascii="Times New Roman" w:hAnsi="Times New Roman" w:cs="Times New Roman"/>
          <w:bCs/>
          <w:color w:val="0D0D0D" w:themeColor="text1" w:themeTint="F2"/>
          <w:sz w:val="28"/>
          <w:szCs w:val="28"/>
        </w:rPr>
        <w:t>D-16.590</w:t>
      </w:r>
    </w:p>
    <w:p w:rsidR="00410A44" w:rsidRPr="002D20D6" w:rsidRDefault="002D20D6" w:rsidP="00C46A7B">
      <w:pPr>
        <w:ind w:left="3685"/>
        <w:rPr>
          <w:rFonts w:ascii="Times New Roman" w:hAnsi="Times New Roman" w:cs="Times New Roman"/>
          <w:color w:val="0D0D0D" w:themeColor="text1" w:themeTint="F2"/>
          <w:sz w:val="28"/>
          <w:szCs w:val="28"/>
          <w:lang w:eastAsia="es-ES"/>
        </w:rPr>
      </w:pPr>
    </w:p>
    <w:p w:rsidR="00410A44" w:rsidRPr="002D20D6" w:rsidRDefault="002D20D6" w:rsidP="00C46A7B">
      <w:pPr>
        <w:pStyle w:val="Textoindependiente"/>
        <w:spacing w:after="0"/>
        <w:ind w:left="3685"/>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lang w:val="es-CO"/>
        </w:rPr>
        <w:t xml:space="preserve">Demanda de inconstitucionalidad en </w:t>
      </w:r>
      <w:r w:rsidRPr="002D20D6">
        <w:rPr>
          <w:rFonts w:ascii="Times New Roman" w:eastAsia="Times New Roman" w:hAnsi="Times New Roman" w:cs="Times New Roman"/>
          <w:color w:val="0D0D0D" w:themeColor="text1" w:themeTint="F2"/>
          <w:sz w:val="28"/>
          <w:szCs w:val="28"/>
          <w:lang w:eastAsia="es-ES"/>
        </w:rPr>
        <w:t>contra del artículo 148 (parcial) del Decreto Ley 2158 de 1948 “</w:t>
      </w:r>
      <w:r w:rsidRPr="002D20D6">
        <w:rPr>
          <w:rFonts w:ascii="Times New Roman" w:eastAsia="Times New Roman" w:hAnsi="Times New Roman" w:cs="Times New Roman"/>
          <w:i/>
          <w:iCs/>
          <w:color w:val="0D0D0D" w:themeColor="text1" w:themeTint="F2"/>
          <w:sz w:val="28"/>
          <w:szCs w:val="28"/>
          <w:lang w:eastAsia="es-ES"/>
        </w:rPr>
        <w:t xml:space="preserve">Código Procesal del </w:t>
      </w:r>
      <w:r w:rsidRPr="002D20D6">
        <w:rPr>
          <w:rFonts w:ascii="Times New Roman" w:eastAsia="Times New Roman" w:hAnsi="Times New Roman" w:cs="Times New Roman"/>
          <w:i/>
          <w:iCs/>
          <w:color w:val="0D0D0D" w:themeColor="text1" w:themeTint="F2"/>
          <w:sz w:val="28"/>
          <w:szCs w:val="28"/>
          <w:lang w:eastAsia="es-ES"/>
        </w:rPr>
        <w:t>Trabajo</w:t>
      </w:r>
      <w:r w:rsidRPr="002D20D6">
        <w:rPr>
          <w:rFonts w:ascii="Times New Roman" w:eastAsia="Times New Roman" w:hAnsi="Times New Roman" w:cs="Times New Roman"/>
          <w:color w:val="0D0D0D" w:themeColor="text1" w:themeTint="F2"/>
          <w:sz w:val="28"/>
          <w:szCs w:val="28"/>
          <w:lang w:eastAsia="es-ES"/>
        </w:rPr>
        <w:t>”</w:t>
      </w:r>
    </w:p>
    <w:p w:rsidR="00410A44" w:rsidRPr="002D20D6" w:rsidRDefault="002D20D6" w:rsidP="00C46A7B">
      <w:pPr>
        <w:pStyle w:val="Ttulo1"/>
        <w:ind w:left="3685"/>
        <w:rPr>
          <w:rFonts w:ascii="Times New Roman" w:hAnsi="Times New Roman" w:cs="Times New Roman"/>
          <w:color w:val="0D0D0D" w:themeColor="text1" w:themeTint="F2"/>
        </w:rPr>
      </w:pPr>
    </w:p>
    <w:p w:rsidR="00410A44" w:rsidRPr="002D20D6" w:rsidRDefault="002D20D6" w:rsidP="009D0F80">
      <w:pPr>
        <w:pStyle w:val="Ttulo1"/>
        <w:ind w:left="3685"/>
        <w:rPr>
          <w:rFonts w:ascii="Times New Roman" w:hAnsi="Times New Roman" w:cs="Times New Roman"/>
          <w:b w:val="0"/>
          <w:bCs w:val="0"/>
          <w:color w:val="0D0D0D" w:themeColor="text1" w:themeTint="F2"/>
          <w:lang w:val="pt-PT"/>
        </w:rPr>
      </w:pPr>
      <w:r w:rsidRPr="002D20D6">
        <w:rPr>
          <w:rFonts w:ascii="Times New Roman" w:hAnsi="Times New Roman" w:cs="Times New Roman"/>
          <w:color w:val="0D0D0D" w:themeColor="text1" w:themeTint="F2"/>
          <w:lang w:val="pt-PT"/>
        </w:rPr>
        <w:t>Magistrado ponente</w:t>
      </w:r>
      <w:r w:rsidRPr="002D20D6">
        <w:rPr>
          <w:rFonts w:ascii="Times New Roman" w:hAnsi="Times New Roman" w:cs="Times New Roman"/>
          <w:b w:val="0"/>
          <w:color w:val="0D0D0D" w:themeColor="text1" w:themeTint="F2"/>
          <w:lang w:val="pt-PT"/>
        </w:rPr>
        <w:t xml:space="preserve">: </w:t>
      </w:r>
      <w:r w:rsidRPr="002D20D6">
        <w:rPr>
          <w:rFonts w:ascii="Times New Roman" w:hAnsi="Times New Roman" w:cs="Times New Roman"/>
          <w:b w:val="0"/>
          <w:bCs w:val="0"/>
          <w:color w:val="0D0D0D" w:themeColor="text1" w:themeTint="F2"/>
          <w:lang w:val="pt-PT"/>
        </w:rPr>
        <w:t>Jorge Enrique Ibáñez Najar</w:t>
      </w:r>
    </w:p>
    <w:p w:rsidR="009D0F80" w:rsidRPr="002D20D6" w:rsidRDefault="002D20D6" w:rsidP="009D0F80">
      <w:pPr>
        <w:rPr>
          <w:rFonts w:ascii="Times New Roman" w:hAnsi="Times New Roman" w:cs="Times New Roman"/>
          <w:sz w:val="28"/>
          <w:lang w:val="pt-PT"/>
        </w:rPr>
      </w:pPr>
    </w:p>
    <w:p w:rsidR="00B57C03" w:rsidRPr="002D20D6" w:rsidRDefault="002D20D6" w:rsidP="00726B12">
      <w:pPr>
        <w:shd w:val="clear" w:color="auto" w:fill="FFFFFF" w:themeFill="background1"/>
        <w:jc w:val="both"/>
        <w:rPr>
          <w:rFonts w:ascii="Times New Roman" w:hAnsi="Times New Roman" w:cs="Times New Roman"/>
          <w:color w:val="0D0D0D" w:themeColor="text1" w:themeTint="F2"/>
          <w:sz w:val="28"/>
          <w:szCs w:val="28"/>
        </w:rPr>
      </w:pPr>
    </w:p>
    <w:p w:rsidR="00410A44" w:rsidRPr="002D20D6" w:rsidRDefault="002D20D6" w:rsidP="00726B12">
      <w:pPr>
        <w:shd w:val="clear" w:color="auto" w:fill="FFFFFF" w:themeFill="background1"/>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Bogotá, D.C., diecinueve (19) de febrero de dos mil veintiséis (2026)</w:t>
      </w:r>
    </w:p>
    <w:p w:rsidR="00410A44" w:rsidRPr="002D20D6" w:rsidRDefault="002D20D6" w:rsidP="00726B12">
      <w:pPr>
        <w:jc w:val="both"/>
        <w:rPr>
          <w:rFonts w:ascii="Times New Roman" w:hAnsi="Times New Roman" w:cs="Times New Roman"/>
          <w:color w:val="0D0D0D" w:themeColor="text1" w:themeTint="F2"/>
          <w:sz w:val="28"/>
          <w:szCs w:val="28"/>
        </w:rPr>
      </w:pPr>
    </w:p>
    <w:p w:rsidR="00410A44" w:rsidRPr="002D20D6" w:rsidRDefault="002D20D6" w:rsidP="00C06330">
      <w:pPr>
        <w:pStyle w:val="Style7"/>
        <w:widowControl/>
        <w:spacing w:line="240" w:lineRule="auto"/>
        <w:rPr>
          <w:rFonts w:ascii="Times New Roman" w:hAnsi="Times New Roman" w:cs="Times New Roman"/>
          <w:color w:val="0D0D0D" w:themeColor="text1" w:themeTint="F2"/>
          <w:szCs w:val="28"/>
          <w:lang w:eastAsia="es-ES"/>
        </w:rPr>
      </w:pPr>
      <w:r w:rsidRPr="002D20D6">
        <w:rPr>
          <w:rFonts w:ascii="Times New Roman" w:hAnsi="Times New Roman" w:cs="Times New Roman"/>
          <w:color w:val="0D0D0D" w:themeColor="text1" w:themeTint="F2"/>
          <w:szCs w:val="28"/>
          <w:lang w:eastAsia="es-ES"/>
        </w:rPr>
        <w:t xml:space="preserve">La Sala Plena de la Corte Constitucional, </w:t>
      </w:r>
      <w:r w:rsidRPr="002D20D6">
        <w:rPr>
          <w:rFonts w:ascii="Times New Roman" w:hAnsi="Times New Roman" w:cs="Times New Roman"/>
          <w:color w:val="0D0D0D" w:themeColor="text1" w:themeTint="F2"/>
          <w:szCs w:val="28"/>
        </w:rPr>
        <w:t xml:space="preserve">dentro del proceso adelantado en los términos de los artículos 241.5 y 242 de la Constitución Política, así como el artículo 40.6 del Decreto 2067 de 1991, con motivo de la demanda de inconstitucionalidad presentada </w:t>
      </w:r>
      <w:r w:rsidRPr="002D20D6">
        <w:rPr>
          <w:rFonts w:ascii="Times New Roman" w:hAnsi="Times New Roman" w:cs="Times New Roman"/>
          <w:bCs/>
          <w:color w:val="0D0D0D" w:themeColor="text1" w:themeTint="F2"/>
          <w:szCs w:val="28"/>
        </w:rPr>
        <w:t xml:space="preserve">en contra del </w:t>
      </w:r>
      <w:r w:rsidRPr="002D20D6">
        <w:rPr>
          <w:rFonts w:ascii="Times New Roman" w:eastAsia="Times New Roman" w:hAnsi="Times New Roman" w:cs="Times New Roman"/>
          <w:color w:val="0D0D0D" w:themeColor="text1" w:themeTint="F2"/>
          <w:szCs w:val="28"/>
          <w:lang w:eastAsia="es-ES"/>
        </w:rPr>
        <w:t>artículo 148 (parcial) del</w:t>
      </w:r>
      <w:r w:rsidRPr="002D20D6">
        <w:rPr>
          <w:rFonts w:ascii="Times New Roman" w:eastAsia="Times New Roman" w:hAnsi="Times New Roman" w:cs="Times New Roman"/>
          <w:color w:val="0D0D0D" w:themeColor="text1" w:themeTint="F2"/>
          <w:szCs w:val="28"/>
          <w:lang w:eastAsia="es-ES"/>
        </w:rPr>
        <w:t xml:space="preserve"> Decreto Ley 2158 de 1948 “</w:t>
      </w:r>
      <w:r w:rsidRPr="002D20D6">
        <w:rPr>
          <w:rFonts w:ascii="Times New Roman" w:eastAsia="Times New Roman" w:hAnsi="Times New Roman" w:cs="Times New Roman"/>
          <w:i/>
          <w:iCs/>
          <w:color w:val="0D0D0D" w:themeColor="text1" w:themeTint="F2"/>
          <w:szCs w:val="28"/>
          <w:lang w:eastAsia="es-ES"/>
        </w:rPr>
        <w:t>Código Procesal del Trabajo</w:t>
      </w:r>
      <w:r w:rsidRPr="002D20D6">
        <w:rPr>
          <w:rFonts w:ascii="Times New Roman" w:eastAsia="Times New Roman" w:hAnsi="Times New Roman" w:cs="Times New Roman"/>
          <w:color w:val="0D0D0D" w:themeColor="text1" w:themeTint="F2"/>
          <w:szCs w:val="28"/>
          <w:lang w:eastAsia="es-ES"/>
        </w:rPr>
        <w:t xml:space="preserve">”, </w:t>
      </w:r>
      <w:r w:rsidRPr="002D20D6">
        <w:rPr>
          <w:rFonts w:ascii="Times New Roman" w:hAnsi="Times New Roman" w:cs="Times New Roman"/>
          <w:color w:val="0D0D0D" w:themeColor="text1" w:themeTint="F2"/>
          <w:szCs w:val="28"/>
          <w:lang w:eastAsia="es-ES"/>
        </w:rPr>
        <w:t>ha proferido la siguiente</w:t>
      </w:r>
    </w:p>
    <w:p w:rsidR="00410A44" w:rsidRPr="002D20D6" w:rsidRDefault="002D20D6" w:rsidP="00726B12">
      <w:pPr>
        <w:snapToGrid w:val="0"/>
        <w:jc w:val="center"/>
        <w:rPr>
          <w:rFonts w:ascii="Times New Roman" w:hAnsi="Times New Roman" w:cs="Times New Roman"/>
          <w:b/>
          <w:color w:val="0D0D0D" w:themeColor="text1" w:themeTint="F2"/>
          <w:sz w:val="28"/>
          <w:szCs w:val="36"/>
          <w:lang w:val="es-ES"/>
        </w:rPr>
      </w:pPr>
    </w:p>
    <w:p w:rsidR="005B22CD" w:rsidRPr="002D20D6" w:rsidRDefault="002D20D6" w:rsidP="00726B12">
      <w:pPr>
        <w:snapToGrid w:val="0"/>
        <w:jc w:val="center"/>
        <w:rPr>
          <w:rFonts w:ascii="Times New Roman" w:hAnsi="Times New Roman" w:cs="Times New Roman"/>
          <w:b/>
          <w:color w:val="0D0D0D" w:themeColor="text1" w:themeTint="F2"/>
          <w:sz w:val="28"/>
          <w:szCs w:val="36"/>
          <w:lang w:val="es-ES"/>
        </w:rPr>
      </w:pPr>
    </w:p>
    <w:p w:rsidR="00410A44" w:rsidRPr="002D20D6" w:rsidRDefault="002D20D6" w:rsidP="00726B12">
      <w:pPr>
        <w:snapToGrid w:val="0"/>
        <w:jc w:val="center"/>
        <w:rPr>
          <w:rFonts w:ascii="Times New Roman" w:hAnsi="Times New Roman" w:cs="Times New Roman"/>
          <w:b/>
          <w:color w:val="0D0D0D" w:themeColor="text1" w:themeTint="F2"/>
          <w:sz w:val="28"/>
          <w:szCs w:val="28"/>
        </w:rPr>
      </w:pPr>
      <w:r w:rsidRPr="002D20D6">
        <w:rPr>
          <w:rFonts w:ascii="Times New Roman" w:hAnsi="Times New Roman" w:cs="Times New Roman"/>
          <w:b/>
          <w:color w:val="0D0D0D" w:themeColor="text1" w:themeTint="F2"/>
          <w:sz w:val="28"/>
          <w:szCs w:val="28"/>
        </w:rPr>
        <w:t>SENTENCIA</w:t>
      </w:r>
    </w:p>
    <w:p w:rsidR="00410A44" w:rsidRPr="002D20D6" w:rsidRDefault="002D20D6" w:rsidP="00726B12">
      <w:pPr>
        <w:snapToGrid w:val="0"/>
        <w:jc w:val="center"/>
        <w:rPr>
          <w:rFonts w:ascii="Times New Roman" w:hAnsi="Times New Roman" w:cs="Times New Roman"/>
          <w:b/>
          <w:color w:val="0D0D0D" w:themeColor="text1" w:themeTint="F2"/>
          <w:sz w:val="28"/>
          <w:szCs w:val="36"/>
        </w:rPr>
      </w:pPr>
    </w:p>
    <w:p w:rsidR="00410A44" w:rsidRPr="002D20D6" w:rsidRDefault="002D20D6" w:rsidP="00410A44">
      <w:pPr>
        <w:tabs>
          <w:tab w:val="left" w:pos="426"/>
        </w:tabs>
        <w:ind w:right="49"/>
        <w:outlineLvl w:val="1"/>
        <w:rPr>
          <w:rFonts w:ascii="Times New Roman" w:hAnsi="Times New Roman" w:cs="Times New Roman"/>
          <w:b/>
          <w:bCs/>
          <w:color w:val="0D0D0D" w:themeColor="text1" w:themeTint="F2"/>
          <w:sz w:val="28"/>
          <w:szCs w:val="28"/>
        </w:rPr>
      </w:pPr>
      <w:r w:rsidRPr="002D20D6">
        <w:rPr>
          <w:rFonts w:ascii="Times New Roman" w:hAnsi="Times New Roman" w:cs="Times New Roman"/>
          <w:b/>
          <w:bCs/>
          <w:color w:val="0D0D0D" w:themeColor="text1" w:themeTint="F2"/>
          <w:sz w:val="28"/>
          <w:szCs w:val="28"/>
        </w:rPr>
        <w:t>Síntesis de la decisión</w:t>
      </w:r>
    </w:p>
    <w:p w:rsidR="00410A44" w:rsidRPr="002D20D6" w:rsidRDefault="002D20D6" w:rsidP="00E57763">
      <w:pPr>
        <w:pStyle w:val="NormalWeb"/>
        <w:ind w:right="-233"/>
        <w:jc w:val="both"/>
        <w:rPr>
          <w:rFonts w:ascii="Times New Roman" w:hAnsi="Times New Roman" w:cs="Times New Roman"/>
          <w:color w:val="0D0D0D" w:themeColor="text1" w:themeTint="F2"/>
          <w:sz w:val="28"/>
          <w:szCs w:val="28"/>
          <w:lang w:eastAsia="es-ES"/>
        </w:rPr>
      </w:pPr>
    </w:p>
    <w:p w:rsidR="00E57763" w:rsidRPr="002D20D6" w:rsidRDefault="002D20D6" w:rsidP="00D9650B">
      <w:pPr>
        <w:pStyle w:val="NormalWeb"/>
        <w:jc w:val="both"/>
        <w:rPr>
          <w:rFonts w:ascii="Times New Roman" w:eastAsia="Times New Roman" w:hAnsi="Times New Roman" w:cs="Times New Roman"/>
          <w:color w:val="0D0D0D" w:themeColor="text1" w:themeTint="F2"/>
          <w:sz w:val="28"/>
          <w:szCs w:val="28"/>
          <w:lang w:val="es-CO" w:eastAsia="es-MX"/>
        </w:rPr>
      </w:pPr>
      <w:r w:rsidRPr="002D20D6">
        <w:rPr>
          <w:rFonts w:ascii="Times New Roman" w:hAnsi="Times New Roman" w:cs="Times New Roman"/>
          <w:color w:val="0D0D0D" w:themeColor="text1" w:themeTint="F2"/>
          <w:sz w:val="28"/>
          <w:szCs w:val="28"/>
        </w:rPr>
        <w:t>La Corte Constitucional conoció una acción pública de inconstitucionalidad instaurada en contra de la expresión “</w:t>
      </w:r>
      <w:r w:rsidRPr="002D20D6">
        <w:rPr>
          <w:rFonts w:ascii="Times New Roman" w:hAnsi="Times New Roman" w:cs="Times New Roman"/>
          <w:i/>
          <w:iCs/>
          <w:color w:val="0D0D0D" w:themeColor="text1" w:themeTint="F2"/>
          <w:sz w:val="28"/>
          <w:szCs w:val="28"/>
        </w:rPr>
        <w:t xml:space="preserve">y para renunciar </w:t>
      </w:r>
      <w:r w:rsidRPr="002D20D6">
        <w:rPr>
          <w:rFonts w:ascii="Times New Roman" w:hAnsi="Times New Roman" w:cs="Times New Roman"/>
          <w:i/>
          <w:iCs/>
          <w:color w:val="0D0D0D" w:themeColor="text1" w:themeTint="F2"/>
          <w:sz w:val="28"/>
          <w:szCs w:val="28"/>
        </w:rPr>
        <w:t>prestaciones sociales</w:t>
      </w:r>
      <w:r w:rsidRPr="002D20D6">
        <w:rPr>
          <w:rFonts w:ascii="Times New Roman" w:hAnsi="Times New Roman" w:cs="Times New Roman"/>
          <w:color w:val="0D0D0D" w:themeColor="text1" w:themeTint="F2"/>
          <w:sz w:val="28"/>
          <w:szCs w:val="28"/>
        </w:rPr>
        <w:t xml:space="preserve">” contenida en el artículo 148 del Decreto Ley 2158 de 1948. </w:t>
      </w:r>
      <w:r w:rsidRPr="002D20D6">
        <w:rPr>
          <w:rFonts w:ascii="Times New Roman" w:eastAsia="Times New Roman" w:hAnsi="Times New Roman" w:cs="Times New Roman"/>
          <w:color w:val="0D0D0D" w:themeColor="text1" w:themeTint="F2"/>
          <w:sz w:val="28"/>
          <w:szCs w:val="28"/>
          <w:lang w:val="es-CO" w:eastAsia="es-MX"/>
        </w:rPr>
        <w:t>Los demandantes afirmaron que la expresión acusada vulnera el artículo 53 de la Constitución Política porque permite que un Inspector del Trabajo o un Alcalde Municipal autor</w:t>
      </w:r>
      <w:r w:rsidRPr="002D20D6">
        <w:rPr>
          <w:rFonts w:ascii="Times New Roman" w:eastAsia="Times New Roman" w:hAnsi="Times New Roman" w:cs="Times New Roman"/>
          <w:color w:val="0D0D0D" w:themeColor="text1" w:themeTint="F2"/>
          <w:sz w:val="28"/>
          <w:szCs w:val="28"/>
          <w:lang w:val="es-CO" w:eastAsia="es-MX"/>
        </w:rPr>
        <w:t xml:space="preserve">ice la renuncia a prestaciones sociales, desconociendo el principio de irrenunciabilidad de los beneficios mínimos laborales. </w:t>
      </w:r>
    </w:p>
    <w:p w:rsidR="00E57763" w:rsidRPr="002D20D6" w:rsidRDefault="002D20D6" w:rsidP="00D9650B">
      <w:pPr>
        <w:jc w:val="both"/>
        <w:rPr>
          <w:rFonts w:ascii="Times New Roman" w:hAnsi="Times New Roman" w:cs="Times New Roman"/>
          <w:color w:val="0D0D0D" w:themeColor="text1" w:themeTint="F2"/>
          <w:sz w:val="28"/>
          <w:szCs w:val="28"/>
        </w:rPr>
      </w:pPr>
    </w:p>
    <w:p w:rsidR="00877472" w:rsidRPr="002D20D6" w:rsidRDefault="002D20D6" w:rsidP="00D9650B">
      <w:pPr>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Verificada la competencia para pronunciarse sobre la expresión demandada contenida en el referido artículo 148, pero antes de fo</w:t>
      </w:r>
      <w:r w:rsidRPr="002D20D6">
        <w:rPr>
          <w:rFonts w:ascii="Times New Roman" w:hAnsi="Times New Roman" w:cs="Times New Roman"/>
          <w:color w:val="0D0D0D" w:themeColor="text1" w:themeTint="F2"/>
          <w:sz w:val="28"/>
          <w:szCs w:val="28"/>
        </w:rPr>
        <w:t>rmular el problema jurídico y estructurar la metodología de la decisión, la Corporación pasó a estudiar la cuestión previa de aptitud de la demanda, en respuesta a la solicitud de inhibición presentada por Asofondos. Al respecto, concluyó que la demanda cu</w:t>
      </w:r>
      <w:r w:rsidRPr="002D20D6">
        <w:rPr>
          <w:rFonts w:ascii="Times New Roman" w:hAnsi="Times New Roman" w:cs="Times New Roman"/>
          <w:color w:val="0D0D0D" w:themeColor="text1" w:themeTint="F2"/>
          <w:sz w:val="28"/>
          <w:szCs w:val="28"/>
        </w:rPr>
        <w:t xml:space="preserve">mple con los supuestos de aptitud de </w:t>
      </w:r>
      <w:r w:rsidRPr="002D20D6">
        <w:rPr>
          <w:rFonts w:ascii="Times New Roman" w:hAnsi="Times New Roman" w:cs="Times New Roman"/>
          <w:i/>
          <w:iCs/>
          <w:color w:val="0D0D0D" w:themeColor="text1" w:themeTint="F2"/>
          <w:sz w:val="28"/>
          <w:szCs w:val="28"/>
        </w:rPr>
        <w:t xml:space="preserve">claridad, certeza, especificidad, pertinencia </w:t>
      </w:r>
      <w:r w:rsidRPr="002D20D6">
        <w:rPr>
          <w:rFonts w:ascii="Times New Roman" w:hAnsi="Times New Roman" w:cs="Times New Roman"/>
          <w:color w:val="0D0D0D" w:themeColor="text1" w:themeTint="F2"/>
          <w:sz w:val="28"/>
          <w:szCs w:val="28"/>
        </w:rPr>
        <w:t xml:space="preserve">y </w:t>
      </w:r>
      <w:r w:rsidRPr="002D20D6">
        <w:rPr>
          <w:rFonts w:ascii="Times New Roman" w:hAnsi="Times New Roman" w:cs="Times New Roman"/>
          <w:i/>
          <w:iCs/>
          <w:color w:val="0D0D0D" w:themeColor="text1" w:themeTint="F2"/>
          <w:sz w:val="28"/>
          <w:szCs w:val="28"/>
        </w:rPr>
        <w:t xml:space="preserve">suficiencia, </w:t>
      </w:r>
      <w:r w:rsidRPr="002D20D6">
        <w:rPr>
          <w:rFonts w:ascii="Times New Roman" w:hAnsi="Times New Roman" w:cs="Times New Roman"/>
          <w:color w:val="0D0D0D" w:themeColor="text1" w:themeTint="F2"/>
          <w:sz w:val="28"/>
          <w:szCs w:val="28"/>
        </w:rPr>
        <w:t>previstos en el Decreto 2067 de 1991 y delimitados por la jurisprudencia constitucional.</w:t>
      </w:r>
    </w:p>
    <w:p w:rsidR="00B06F1B" w:rsidRPr="002D20D6" w:rsidRDefault="002D20D6" w:rsidP="00D9650B">
      <w:pPr>
        <w:jc w:val="both"/>
        <w:rPr>
          <w:rFonts w:ascii="Times New Roman" w:hAnsi="Times New Roman" w:cs="Times New Roman"/>
          <w:color w:val="0D0D0D" w:themeColor="text1" w:themeTint="F2"/>
          <w:sz w:val="28"/>
          <w:szCs w:val="28"/>
        </w:rPr>
      </w:pPr>
    </w:p>
    <w:p w:rsidR="00B06F1B" w:rsidRPr="002D20D6" w:rsidRDefault="002D20D6" w:rsidP="00D9650B">
      <w:pPr>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Seguidamente, la Corte formuló el siguiente problema jurídico; ¿la expresión </w:t>
      </w:r>
      <w:r w:rsidRPr="002D20D6">
        <w:rPr>
          <w:rFonts w:ascii="Times New Roman" w:hAnsi="Times New Roman" w:cs="Times New Roman"/>
          <w:i/>
          <w:color w:val="0D0D0D" w:themeColor="text1" w:themeTint="F2"/>
          <w:sz w:val="28"/>
          <w:szCs w:val="28"/>
        </w:rPr>
        <w:t xml:space="preserve">“y para renunciar prestaciones sociales” </w:t>
      </w:r>
      <w:r w:rsidRPr="002D20D6">
        <w:rPr>
          <w:rFonts w:ascii="Times New Roman" w:hAnsi="Times New Roman" w:cs="Times New Roman"/>
          <w:color w:val="0D0D0D" w:themeColor="text1" w:themeTint="F2"/>
          <w:sz w:val="28"/>
          <w:szCs w:val="28"/>
        </w:rPr>
        <w:t>contenida en el artículo 148 del Código Procesal del Trabajo vulnera el artículo 53 de la Constitución al habilitar a una autoridad admini</w:t>
      </w:r>
      <w:r w:rsidRPr="002D20D6">
        <w:rPr>
          <w:rFonts w:ascii="Times New Roman" w:hAnsi="Times New Roman" w:cs="Times New Roman"/>
          <w:color w:val="0D0D0D" w:themeColor="text1" w:themeTint="F2"/>
          <w:sz w:val="28"/>
          <w:szCs w:val="28"/>
        </w:rPr>
        <w:t xml:space="preserve">strativa para que autorice la renuncia a los derechos laborales o de la seguridad social de un trabajador? A fin de resolverlo, reiteró la jurisprudencia constitucional sobre: </w:t>
      </w:r>
      <w:r w:rsidRPr="002D20D6">
        <w:rPr>
          <w:rFonts w:ascii="Times New Roman" w:hAnsi="Times New Roman" w:cs="Times New Roman"/>
          <w:i/>
          <w:color w:val="0D0D0D" w:themeColor="text1" w:themeTint="F2"/>
          <w:sz w:val="28"/>
          <w:szCs w:val="28"/>
        </w:rPr>
        <w:t>(i)</w:t>
      </w:r>
      <w:r w:rsidRPr="002D20D6">
        <w:rPr>
          <w:rFonts w:ascii="Times New Roman" w:hAnsi="Times New Roman" w:cs="Times New Roman"/>
          <w:color w:val="0D0D0D" w:themeColor="text1" w:themeTint="F2"/>
          <w:sz w:val="28"/>
          <w:szCs w:val="28"/>
        </w:rPr>
        <w:t xml:space="preserve"> la compatibilidad de las normas preconstitucionales bajo la vigencia de la C</w:t>
      </w:r>
      <w:r w:rsidRPr="002D20D6">
        <w:rPr>
          <w:rFonts w:ascii="Times New Roman" w:hAnsi="Times New Roman" w:cs="Times New Roman"/>
          <w:color w:val="0D0D0D" w:themeColor="text1" w:themeTint="F2"/>
          <w:sz w:val="28"/>
          <w:szCs w:val="28"/>
        </w:rPr>
        <w:t xml:space="preserve">onstitución de 1991; </w:t>
      </w:r>
      <w:r w:rsidRPr="002D20D6">
        <w:rPr>
          <w:rFonts w:ascii="Times New Roman" w:hAnsi="Times New Roman" w:cs="Times New Roman"/>
          <w:i/>
          <w:color w:val="0D0D0D" w:themeColor="text1" w:themeTint="F2"/>
          <w:sz w:val="28"/>
          <w:szCs w:val="28"/>
        </w:rPr>
        <w:t>(ii)</w:t>
      </w:r>
      <w:r w:rsidRPr="002D20D6">
        <w:rPr>
          <w:rFonts w:ascii="Times New Roman" w:hAnsi="Times New Roman" w:cs="Times New Roman"/>
          <w:color w:val="0D0D0D" w:themeColor="text1" w:themeTint="F2"/>
          <w:sz w:val="28"/>
          <w:szCs w:val="28"/>
        </w:rPr>
        <w:t xml:space="preserve"> los principios mínimos fundamentales de carácter laboral; </w:t>
      </w:r>
      <w:r w:rsidRPr="002D20D6">
        <w:rPr>
          <w:rFonts w:ascii="Times New Roman" w:hAnsi="Times New Roman" w:cs="Times New Roman"/>
          <w:i/>
          <w:color w:val="0D0D0D" w:themeColor="text1" w:themeTint="F2"/>
          <w:sz w:val="28"/>
          <w:szCs w:val="28"/>
        </w:rPr>
        <w:t>(iii)</w:t>
      </w:r>
      <w:r w:rsidRPr="002D20D6">
        <w:rPr>
          <w:rFonts w:ascii="Times New Roman" w:hAnsi="Times New Roman" w:cs="Times New Roman"/>
          <w:color w:val="0D0D0D" w:themeColor="text1" w:themeTint="F2"/>
          <w:sz w:val="28"/>
          <w:szCs w:val="28"/>
        </w:rPr>
        <w:t xml:space="preserve"> la habilitación a autoridades administrativas para transar derechos o celebrar acuerdos de conciliación extrajudicial en materia laboral, y finalmente, </w:t>
      </w:r>
      <w:r w:rsidRPr="002D20D6">
        <w:rPr>
          <w:rFonts w:ascii="Times New Roman" w:hAnsi="Times New Roman" w:cs="Times New Roman"/>
          <w:i/>
          <w:color w:val="0D0D0D" w:themeColor="text1" w:themeTint="F2"/>
          <w:sz w:val="28"/>
          <w:szCs w:val="28"/>
        </w:rPr>
        <w:t>(iv)</w:t>
      </w:r>
      <w:r w:rsidRPr="002D20D6">
        <w:rPr>
          <w:rFonts w:ascii="Times New Roman" w:hAnsi="Times New Roman" w:cs="Times New Roman"/>
          <w:color w:val="0D0D0D" w:themeColor="text1" w:themeTint="F2"/>
          <w:sz w:val="28"/>
          <w:szCs w:val="28"/>
        </w:rPr>
        <w:t xml:space="preserve"> resolvió </w:t>
      </w:r>
      <w:r w:rsidRPr="002D20D6">
        <w:rPr>
          <w:rFonts w:ascii="Times New Roman" w:hAnsi="Times New Roman" w:cs="Times New Roman"/>
          <w:color w:val="0D0D0D" w:themeColor="text1" w:themeTint="F2"/>
          <w:sz w:val="28"/>
          <w:szCs w:val="28"/>
        </w:rPr>
        <w:t>el caso concreto.</w:t>
      </w:r>
    </w:p>
    <w:p w:rsidR="00424045" w:rsidRPr="002D20D6" w:rsidRDefault="002D20D6" w:rsidP="00D9650B">
      <w:pPr>
        <w:jc w:val="both"/>
        <w:rPr>
          <w:rFonts w:ascii="Times New Roman" w:hAnsi="Times New Roman" w:cs="Times New Roman"/>
          <w:color w:val="0D0D0D" w:themeColor="text1" w:themeTint="F2"/>
          <w:sz w:val="28"/>
          <w:szCs w:val="28"/>
        </w:rPr>
      </w:pPr>
    </w:p>
    <w:p w:rsidR="00CD56CD" w:rsidRPr="002D20D6" w:rsidRDefault="002D20D6" w:rsidP="00D9650B">
      <w:pPr>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La Corte Constitucional concluyó que la expresión </w:t>
      </w:r>
      <w:r w:rsidRPr="002D20D6">
        <w:rPr>
          <w:rFonts w:ascii="Times New Roman" w:hAnsi="Times New Roman" w:cs="Times New Roman"/>
          <w:i/>
          <w:color w:val="0D0D0D" w:themeColor="text1" w:themeTint="F2"/>
          <w:sz w:val="28"/>
          <w:szCs w:val="28"/>
        </w:rPr>
        <w:t xml:space="preserve">“y para renunciar prestaciones sociales” </w:t>
      </w:r>
      <w:r w:rsidRPr="002D20D6">
        <w:rPr>
          <w:rFonts w:ascii="Times New Roman" w:hAnsi="Times New Roman" w:cs="Times New Roman"/>
          <w:iCs/>
          <w:color w:val="0D0D0D" w:themeColor="text1" w:themeTint="F2"/>
          <w:sz w:val="28"/>
          <w:szCs w:val="28"/>
        </w:rPr>
        <w:t xml:space="preserve">está inmersa </w:t>
      </w:r>
      <w:r w:rsidRPr="002D20D6">
        <w:rPr>
          <w:rFonts w:ascii="Times New Roman" w:hAnsi="Times New Roman" w:cs="Times New Roman"/>
          <w:color w:val="0D0D0D" w:themeColor="text1" w:themeTint="F2"/>
          <w:sz w:val="28"/>
          <w:szCs w:val="28"/>
        </w:rPr>
        <w:t>en una norma preconstitucional cuya interpretación de avalar una renuncia general e indistinta a las prestaciones sociales viola el a</w:t>
      </w:r>
      <w:r w:rsidRPr="002D20D6">
        <w:rPr>
          <w:rFonts w:ascii="Times New Roman" w:hAnsi="Times New Roman" w:cs="Times New Roman"/>
          <w:color w:val="0D0D0D" w:themeColor="text1" w:themeTint="F2"/>
          <w:sz w:val="28"/>
          <w:szCs w:val="28"/>
        </w:rPr>
        <w:t xml:space="preserve">rtículo 53 de la Constitución. Esto, en tanto que la competencia dada a las autoridades administrativas -los Inspectores de Trabajo o Alcaldes Municipales- de modo amplio y general para autorizar la renuncia a prestaciones sociales (en los casos previstos </w:t>
      </w:r>
      <w:r w:rsidRPr="002D20D6">
        <w:rPr>
          <w:rFonts w:ascii="Times New Roman" w:hAnsi="Times New Roman" w:cs="Times New Roman"/>
          <w:color w:val="0D0D0D" w:themeColor="text1" w:themeTint="F2"/>
          <w:sz w:val="28"/>
          <w:szCs w:val="28"/>
        </w:rPr>
        <w:t xml:space="preserve">en la ley) es incompatible con el precepto de irrenunciabilidad de los beneficios mínimos laborales. Lo anterior, en tanto según la normativa laboral y la jurisprudencia, solamente es plausible renunciar a los derechos que no tienen el carácter de ciertos </w:t>
      </w:r>
      <w:r w:rsidRPr="002D20D6">
        <w:rPr>
          <w:rFonts w:ascii="Times New Roman" w:hAnsi="Times New Roman" w:cs="Times New Roman"/>
          <w:color w:val="0D0D0D" w:themeColor="text1" w:themeTint="F2"/>
          <w:sz w:val="28"/>
          <w:szCs w:val="28"/>
        </w:rPr>
        <w:t xml:space="preserve">e indiscutibles. A su turno, la renuncia de que trata el acápite acusado ha de materializarse por intermedio de un acuerdo de transacción o de conciliación extrajudicial, en el que la autoridad administrativa investida para tales efectos, verifique que el </w:t>
      </w:r>
      <w:r w:rsidRPr="002D20D6">
        <w:rPr>
          <w:rFonts w:ascii="Times New Roman" w:hAnsi="Times New Roman" w:cs="Times New Roman"/>
          <w:color w:val="0D0D0D" w:themeColor="text1" w:themeTint="F2"/>
          <w:sz w:val="28"/>
          <w:szCs w:val="28"/>
        </w:rPr>
        <w:t>objeto conciliable recaiga exclusivamente sobre derechos inciertos y discutibles.</w:t>
      </w:r>
    </w:p>
    <w:p w:rsidR="00633313" w:rsidRPr="002D20D6" w:rsidRDefault="002D20D6" w:rsidP="00D9650B">
      <w:pPr>
        <w:jc w:val="both"/>
        <w:rPr>
          <w:rFonts w:ascii="Times New Roman" w:hAnsi="Times New Roman" w:cs="Times New Roman"/>
          <w:color w:val="0D0D0D" w:themeColor="text1" w:themeTint="F2"/>
          <w:sz w:val="28"/>
          <w:szCs w:val="28"/>
        </w:rPr>
      </w:pPr>
    </w:p>
    <w:p w:rsidR="009D230D" w:rsidRPr="002D20D6" w:rsidRDefault="002D20D6" w:rsidP="009D230D">
      <w:pPr>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En suma, la Corte Constitucional declaró la exequibilidad condicionada de la expresión demandada, en el entendido de que la autorización del Inspector del Trabajo o del Alca</w:t>
      </w:r>
      <w:r w:rsidRPr="002D20D6">
        <w:rPr>
          <w:rFonts w:ascii="Times New Roman" w:hAnsi="Times New Roman" w:cs="Times New Roman"/>
          <w:color w:val="0D0D0D" w:themeColor="text1" w:themeTint="F2"/>
          <w:sz w:val="28"/>
          <w:szCs w:val="28"/>
        </w:rPr>
        <w:t>lde Municipal, según sus competencias, solo podrá recaer sobre acuerdos de transacción o conciliación extrajudicial en los que el trabajador renuncie a prestaciones sociales de carácter incierto y discutible, sin que en ningún caso pueda comprender la renu</w:t>
      </w:r>
      <w:r w:rsidRPr="002D20D6">
        <w:rPr>
          <w:rFonts w:ascii="Times New Roman" w:hAnsi="Times New Roman" w:cs="Times New Roman"/>
          <w:color w:val="0D0D0D" w:themeColor="text1" w:themeTint="F2"/>
          <w:sz w:val="28"/>
          <w:szCs w:val="28"/>
        </w:rPr>
        <w:t>ncia a los beneficios mínimos establecidos en las normas laborales. Es solo a partir de esa lectura, que el fragmento demandado resulta ajustado a la Constitución.</w:t>
      </w:r>
    </w:p>
    <w:p w:rsidR="00877472" w:rsidRPr="002D20D6" w:rsidRDefault="002D20D6" w:rsidP="00D9650B">
      <w:pPr>
        <w:jc w:val="both"/>
        <w:rPr>
          <w:rFonts w:ascii="Times New Roman" w:hAnsi="Times New Roman" w:cs="Times New Roman"/>
          <w:color w:val="0D0D0D" w:themeColor="text1" w:themeTint="F2"/>
          <w:sz w:val="28"/>
          <w:szCs w:val="28"/>
        </w:rPr>
      </w:pPr>
    </w:p>
    <w:p w:rsidR="00D66E6C" w:rsidRPr="002D20D6" w:rsidRDefault="002D20D6" w:rsidP="00410A44">
      <w:pPr>
        <w:pStyle w:val="NormalWeb"/>
        <w:ind w:right="-233"/>
        <w:jc w:val="both"/>
        <w:rPr>
          <w:rFonts w:ascii="Times New Roman" w:hAnsi="Times New Roman" w:cs="Times New Roman"/>
          <w:color w:val="0D0D0D" w:themeColor="text1" w:themeTint="F2"/>
          <w:sz w:val="28"/>
          <w:szCs w:val="28"/>
          <w:lang w:eastAsia="es-ES"/>
        </w:rPr>
      </w:pPr>
    </w:p>
    <w:p w:rsidR="00410A44" w:rsidRPr="002D20D6" w:rsidRDefault="002D20D6" w:rsidP="00410A44">
      <w:pPr>
        <w:pStyle w:val="Ttulo1"/>
        <w:numPr>
          <w:ilvl w:val="0"/>
          <w:numId w:val="2"/>
        </w:numPr>
        <w:ind w:left="0" w:right="-233" w:firstLine="0"/>
        <w:jc w:val="both"/>
        <w:rPr>
          <w:rFonts w:ascii="Times New Roman" w:hAnsi="Times New Roman" w:cs="Times New Roman"/>
          <w:color w:val="0D0D0D" w:themeColor="text1" w:themeTint="F2"/>
        </w:rPr>
      </w:pPr>
      <w:r w:rsidRPr="002D20D6">
        <w:rPr>
          <w:rFonts w:ascii="Times New Roman" w:hAnsi="Times New Roman" w:cs="Times New Roman"/>
          <w:color w:val="0D0D0D" w:themeColor="text1" w:themeTint="F2"/>
        </w:rPr>
        <w:t>ANTECEDENTES</w:t>
      </w:r>
    </w:p>
    <w:p w:rsidR="00410A44" w:rsidRPr="002D20D6" w:rsidRDefault="002D20D6" w:rsidP="00410A44">
      <w:pPr>
        <w:ind w:right="-233"/>
        <w:rPr>
          <w:rFonts w:ascii="Times New Roman" w:hAnsi="Times New Roman" w:cs="Times New Roman"/>
          <w:color w:val="0D0D0D" w:themeColor="text1" w:themeTint="F2"/>
          <w:sz w:val="28"/>
          <w:szCs w:val="28"/>
        </w:rPr>
      </w:pPr>
    </w:p>
    <w:p w:rsidR="00410A44" w:rsidRPr="002D20D6" w:rsidRDefault="002D20D6" w:rsidP="00FB3023">
      <w:pPr>
        <w:pStyle w:val="NormalWeb"/>
        <w:numPr>
          <w:ilvl w:val="0"/>
          <w:numId w:val="3"/>
        </w:numPr>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Los ciudadanos Carlos Ricardo Cardona Gaviria, Vidal Niebles Mejía, David Miguel Rangel Padilla, Carlos Daniel Alcalá Vizcaino, Camilo Alejandro Colina, Gelkin Manuel Colina Salcedo y Yaireth Carolay de la Hoz, </w:t>
      </w:r>
      <w:r w:rsidRPr="002D20D6">
        <w:rPr>
          <w:rFonts w:ascii="Times New Roman" w:hAnsi="Times New Roman" w:cs="Times New Roman"/>
          <w:color w:val="0D0D0D" w:themeColor="text1" w:themeTint="F2"/>
          <w:sz w:val="28"/>
          <w:szCs w:val="28"/>
          <w:lang w:eastAsia="es-CO"/>
        </w:rPr>
        <w:t>presentaron demanda de inconstitucionalidad e</w:t>
      </w:r>
      <w:r w:rsidRPr="002D20D6">
        <w:rPr>
          <w:rFonts w:ascii="Times New Roman" w:hAnsi="Times New Roman" w:cs="Times New Roman"/>
          <w:color w:val="0D0D0D" w:themeColor="text1" w:themeTint="F2"/>
          <w:sz w:val="28"/>
          <w:szCs w:val="28"/>
          <w:lang w:eastAsia="es-CO"/>
        </w:rPr>
        <w:t>n contra d</w:t>
      </w:r>
      <w:r w:rsidRPr="002D20D6">
        <w:rPr>
          <w:rFonts w:ascii="Times New Roman" w:hAnsi="Times New Roman" w:cs="Times New Roman"/>
          <w:color w:val="0D0D0D" w:themeColor="text1" w:themeTint="F2"/>
          <w:sz w:val="28"/>
          <w:szCs w:val="28"/>
        </w:rPr>
        <w:t xml:space="preserve">el artículo 148 (parcial) del Decreto Ley 2158 de 1948 por medio del cual se profirió el </w:t>
      </w:r>
      <w:r w:rsidRPr="002D20D6">
        <w:rPr>
          <w:rFonts w:ascii="Times New Roman" w:hAnsi="Times New Roman" w:cs="Times New Roman"/>
          <w:i/>
          <w:iCs/>
          <w:color w:val="0D0D0D" w:themeColor="text1" w:themeTint="F2"/>
          <w:sz w:val="28"/>
          <w:szCs w:val="28"/>
        </w:rPr>
        <w:t>“Código Procesal del Trabajo</w:t>
      </w:r>
      <w:r w:rsidRPr="002D20D6">
        <w:rPr>
          <w:rFonts w:ascii="Times New Roman" w:hAnsi="Times New Roman" w:cs="Times New Roman"/>
          <w:i/>
          <w:iCs/>
          <w:color w:val="0D0D0D" w:themeColor="text1" w:themeTint="F2"/>
          <w:sz w:val="28"/>
          <w:szCs w:val="28"/>
          <w:lang w:eastAsia="es-ES"/>
        </w:rPr>
        <w:t>.</w:t>
      </w:r>
      <w:r w:rsidRPr="002D20D6">
        <w:rPr>
          <w:rFonts w:ascii="Times New Roman" w:hAnsi="Times New Roman" w:cs="Times New Roman"/>
          <w:i/>
          <w:iCs/>
          <w:color w:val="0D0D0D" w:themeColor="text1" w:themeTint="F2"/>
          <w:sz w:val="28"/>
          <w:szCs w:val="28"/>
        </w:rPr>
        <w:t>”</w:t>
      </w:r>
      <w:r w:rsidRPr="002D20D6">
        <w:rPr>
          <w:rFonts w:ascii="Times New Roman" w:hAnsi="Times New Roman" w:cs="Times New Roman"/>
          <w:color w:val="0D0D0D" w:themeColor="text1" w:themeTint="F2"/>
          <w:sz w:val="28"/>
          <w:szCs w:val="28"/>
        </w:rPr>
        <w:t xml:space="preserve"> </w:t>
      </w:r>
      <w:r w:rsidRPr="002D20D6">
        <w:rPr>
          <w:rFonts w:ascii="Times New Roman" w:hAnsi="Times New Roman" w:cs="Times New Roman"/>
          <w:color w:val="0D0D0D" w:themeColor="text1" w:themeTint="F2"/>
          <w:sz w:val="28"/>
          <w:szCs w:val="28"/>
          <w:lang w:eastAsia="es-CO"/>
        </w:rPr>
        <w:t xml:space="preserve">En su criterio, la norma objeto de censura desconoce </w:t>
      </w:r>
      <w:r w:rsidRPr="002D20D6">
        <w:rPr>
          <w:rFonts w:ascii="Times New Roman" w:hAnsi="Times New Roman" w:cs="Times New Roman"/>
          <w:color w:val="0D0D0D" w:themeColor="text1" w:themeTint="F2"/>
          <w:sz w:val="28"/>
          <w:szCs w:val="28"/>
        </w:rPr>
        <w:t>los artículos 13, 25, 29, 53, y 229 de la Constitución Política y los pri</w:t>
      </w:r>
      <w:r w:rsidRPr="002D20D6">
        <w:rPr>
          <w:rFonts w:ascii="Times New Roman" w:hAnsi="Times New Roman" w:cs="Times New Roman"/>
          <w:color w:val="0D0D0D" w:themeColor="text1" w:themeTint="F2"/>
          <w:sz w:val="28"/>
          <w:szCs w:val="28"/>
        </w:rPr>
        <w:t>ncipios estructurales del derecho laboral, porque habilita al Inspector del Trabajo o Alcalde Municipal a autorizar la renuncia a las prestaciones sociales, lo cual afecta garantías fundamentales como la irrenunciabilidad a los beneficios mínimos estableci</w:t>
      </w:r>
      <w:r w:rsidRPr="002D20D6">
        <w:rPr>
          <w:rFonts w:ascii="Times New Roman" w:hAnsi="Times New Roman" w:cs="Times New Roman"/>
          <w:color w:val="0D0D0D" w:themeColor="text1" w:themeTint="F2"/>
          <w:sz w:val="28"/>
          <w:szCs w:val="28"/>
        </w:rPr>
        <w:t>dos en normas laborales, el acceso a la administración de justicia, el derecho a la igualdad, entre otros, sin que tal decisión sea objeto de control judicial.</w:t>
      </w:r>
      <w:r w:rsidRPr="002D20D6">
        <w:rPr>
          <w:rFonts w:ascii="Times New Roman" w:hAnsi="Times New Roman" w:cs="Times New Roman"/>
          <w:color w:val="0D0D0D" w:themeColor="text1" w:themeTint="F2"/>
          <w:sz w:val="28"/>
          <w:szCs w:val="28"/>
          <w:vertAlign w:val="superscript"/>
        </w:rPr>
        <w:footnoteReference w:id="1"/>
      </w:r>
    </w:p>
    <w:p w:rsidR="00E66565" w:rsidRPr="002D20D6" w:rsidRDefault="002D20D6" w:rsidP="00410A44">
      <w:pPr>
        <w:jc w:val="both"/>
        <w:rPr>
          <w:rFonts w:ascii="Times New Roman" w:hAnsi="Times New Roman" w:cs="Times New Roman"/>
          <w:color w:val="0D0D0D" w:themeColor="text1" w:themeTint="F2"/>
          <w:sz w:val="28"/>
          <w:szCs w:val="28"/>
        </w:rPr>
      </w:pPr>
    </w:p>
    <w:p w:rsidR="00DE59D7" w:rsidRPr="002D20D6" w:rsidRDefault="002D20D6" w:rsidP="00410A44">
      <w:pPr>
        <w:jc w:val="both"/>
        <w:rPr>
          <w:rFonts w:ascii="Times New Roman" w:hAnsi="Times New Roman" w:cs="Times New Roman"/>
          <w:color w:val="0D0D0D" w:themeColor="text1" w:themeTint="F2"/>
          <w:sz w:val="28"/>
          <w:szCs w:val="28"/>
        </w:rPr>
      </w:pPr>
    </w:p>
    <w:p w:rsidR="00410A44" w:rsidRPr="002D20D6" w:rsidRDefault="002D20D6" w:rsidP="000A4B17">
      <w:pPr>
        <w:ind w:right="49"/>
        <w:contextualSpacing/>
        <w:jc w:val="both"/>
        <w:rPr>
          <w:rFonts w:ascii="Times New Roman" w:hAnsi="Times New Roman" w:cs="Times New Roman"/>
          <w:color w:val="0D0D0D" w:themeColor="text1" w:themeTint="F2"/>
          <w:sz w:val="28"/>
          <w:szCs w:val="28"/>
        </w:rPr>
      </w:pPr>
      <w:r w:rsidRPr="002D20D6">
        <w:rPr>
          <w:rFonts w:ascii="Times New Roman" w:eastAsia="Calibri" w:hAnsi="Times New Roman" w:cs="Times New Roman"/>
          <w:b/>
          <w:bCs/>
          <w:color w:val="0D0D0D" w:themeColor="text1" w:themeTint="F2"/>
          <w:sz w:val="28"/>
          <w:szCs w:val="28"/>
          <w:shd w:val="clear" w:color="auto" w:fill="FFFFFF"/>
          <w:lang w:eastAsia="en-US"/>
          <w14:ligatures w14:val="standardContextual"/>
        </w:rPr>
        <w:t>Norma</w:t>
      </w:r>
      <w:r w:rsidRPr="002D20D6">
        <w:rPr>
          <w:rFonts w:ascii="Times New Roman" w:hAnsi="Times New Roman" w:cs="Times New Roman"/>
          <w:color w:val="0D0D0D" w:themeColor="text1" w:themeTint="F2"/>
          <w:sz w:val="28"/>
          <w:szCs w:val="28"/>
        </w:rPr>
        <w:t xml:space="preserve"> </w:t>
      </w:r>
      <w:r w:rsidRPr="002D20D6">
        <w:rPr>
          <w:rFonts w:ascii="Times New Roman" w:hAnsi="Times New Roman" w:cs="Times New Roman"/>
          <w:b/>
          <w:bCs/>
          <w:color w:val="0D0D0D" w:themeColor="text1" w:themeTint="F2"/>
          <w:sz w:val="28"/>
          <w:szCs w:val="28"/>
        </w:rPr>
        <w:t>demandada</w:t>
      </w:r>
    </w:p>
    <w:p w:rsidR="00410A44" w:rsidRPr="002D20D6" w:rsidRDefault="002D20D6" w:rsidP="00410A44">
      <w:pPr>
        <w:ind w:right="49"/>
        <w:jc w:val="both"/>
        <w:textAlignment w:val="baseline"/>
        <w:rPr>
          <w:rFonts w:ascii="Times New Roman" w:hAnsi="Times New Roman" w:cs="Times New Roman"/>
          <w:color w:val="000000" w:themeColor="text1"/>
          <w:sz w:val="28"/>
          <w:szCs w:val="28"/>
        </w:rPr>
      </w:pPr>
    </w:p>
    <w:p w:rsidR="00410A44" w:rsidRPr="002D20D6" w:rsidRDefault="002D20D6" w:rsidP="00B22C3F">
      <w:pPr>
        <w:pStyle w:val="NormalWeb"/>
        <w:numPr>
          <w:ilvl w:val="0"/>
          <w:numId w:val="3"/>
        </w:numPr>
        <w:ind w:left="0" w:right="49" w:firstLine="0"/>
        <w:jc w:val="both"/>
        <w:rPr>
          <w:rFonts w:ascii="Times New Roman" w:hAnsi="Times New Roman" w:cs="Times New Roman"/>
          <w:color w:val="000000" w:themeColor="text1"/>
          <w:sz w:val="28"/>
          <w:szCs w:val="28"/>
        </w:rPr>
      </w:pPr>
      <w:r w:rsidRPr="002D20D6">
        <w:rPr>
          <w:rFonts w:ascii="Times New Roman" w:hAnsi="Times New Roman" w:cs="Times New Roman"/>
          <w:color w:val="000000" w:themeColor="text1"/>
          <w:sz w:val="28"/>
          <w:szCs w:val="28"/>
        </w:rPr>
        <w:t xml:space="preserve">A continuación, se transcribe la norma demandada y se subrayan las </w:t>
      </w:r>
      <w:r w:rsidRPr="002D20D6">
        <w:rPr>
          <w:rFonts w:ascii="Times New Roman" w:hAnsi="Times New Roman" w:cs="Times New Roman"/>
          <w:color w:val="000000" w:themeColor="text1"/>
          <w:sz w:val="28"/>
          <w:szCs w:val="28"/>
        </w:rPr>
        <w:t>expresiones objeto de admisión:</w:t>
      </w:r>
    </w:p>
    <w:p w:rsidR="00410A44" w:rsidRPr="002D20D6" w:rsidRDefault="002D20D6" w:rsidP="00410A44">
      <w:pPr>
        <w:ind w:left="426" w:right="-233"/>
        <w:jc w:val="center"/>
        <w:rPr>
          <w:rFonts w:ascii="Times New Roman" w:hAnsi="Times New Roman" w:cs="Times New Roman"/>
          <w:i/>
          <w:iCs/>
          <w:color w:val="0D0D0D" w:themeColor="text1" w:themeTint="F2"/>
          <w:sz w:val="28"/>
          <w:szCs w:val="28"/>
        </w:rPr>
      </w:pPr>
    </w:p>
    <w:p w:rsidR="490A2CC2" w:rsidRPr="002D20D6" w:rsidRDefault="002D20D6" w:rsidP="490A2CC2">
      <w:pPr>
        <w:ind w:left="426" w:right="-233"/>
        <w:jc w:val="center"/>
        <w:rPr>
          <w:rFonts w:ascii="Times New Roman" w:hAnsi="Times New Roman" w:cs="Times New Roman"/>
          <w:i/>
          <w:iCs/>
          <w:color w:val="0D0D0D" w:themeColor="text1" w:themeTint="F2"/>
          <w:sz w:val="28"/>
          <w:szCs w:val="28"/>
        </w:rPr>
      </w:pPr>
    </w:p>
    <w:p w:rsidR="009A1A65" w:rsidRPr="002D20D6" w:rsidRDefault="002D20D6" w:rsidP="009A1A65">
      <w:pPr>
        <w:snapToGrid w:val="0"/>
        <w:ind w:left="284" w:right="333"/>
        <w:jc w:val="center"/>
        <w:rPr>
          <w:rFonts w:ascii="Times New Roman" w:hAnsi="Times New Roman" w:cs="Times New Roman"/>
          <w:color w:val="0D0D0D" w:themeColor="text1" w:themeTint="F2"/>
          <w:sz w:val="28"/>
          <w:szCs w:val="26"/>
        </w:rPr>
      </w:pPr>
      <w:r w:rsidRPr="002D20D6">
        <w:rPr>
          <w:rFonts w:ascii="Times New Roman" w:hAnsi="Times New Roman" w:cs="Times New Roman"/>
          <w:color w:val="0D0D0D" w:themeColor="text1" w:themeTint="F2"/>
          <w:sz w:val="28"/>
          <w:szCs w:val="26"/>
        </w:rPr>
        <w:t>“</w:t>
      </w:r>
      <w:r w:rsidRPr="002D20D6">
        <w:rPr>
          <w:rFonts w:ascii="Times New Roman" w:hAnsi="Times New Roman" w:cs="Times New Roman"/>
          <w:b/>
          <w:bCs/>
          <w:i/>
          <w:iCs/>
          <w:color w:val="0D0D0D" w:themeColor="text1" w:themeTint="F2"/>
          <w:sz w:val="28"/>
          <w:szCs w:val="26"/>
        </w:rPr>
        <w:t>DECRETO LEY 2158 DE 1948</w:t>
      </w:r>
    </w:p>
    <w:p w:rsidR="009A1A65" w:rsidRPr="002D20D6" w:rsidRDefault="002D20D6" w:rsidP="009A1A65">
      <w:pPr>
        <w:snapToGrid w:val="0"/>
        <w:ind w:left="284" w:right="333"/>
        <w:jc w:val="center"/>
        <w:rPr>
          <w:rFonts w:ascii="Times New Roman" w:hAnsi="Times New Roman" w:cs="Times New Roman"/>
          <w:i/>
          <w:iCs/>
          <w:color w:val="0D0D0D" w:themeColor="text1" w:themeTint="F2"/>
          <w:sz w:val="28"/>
          <w:szCs w:val="26"/>
        </w:rPr>
      </w:pPr>
      <w:r w:rsidRPr="002D20D6">
        <w:rPr>
          <w:rFonts w:ascii="Times New Roman" w:hAnsi="Times New Roman" w:cs="Times New Roman"/>
          <w:i/>
          <w:iCs/>
          <w:color w:val="0D0D0D" w:themeColor="text1" w:themeTint="F2"/>
          <w:sz w:val="28"/>
          <w:szCs w:val="26"/>
        </w:rPr>
        <w:t>(Junio 24</w:t>
      </w:r>
      <w:r w:rsidRPr="002D20D6">
        <w:rPr>
          <w:rFonts w:ascii="Times New Roman" w:hAnsi="Times New Roman" w:cs="Times New Roman"/>
          <w:color w:val="0D0D0D" w:themeColor="text1" w:themeTint="F2"/>
          <w:sz w:val="28"/>
          <w:szCs w:val="26"/>
          <w:vertAlign w:val="superscript"/>
        </w:rPr>
        <w:footnoteReference w:id="2"/>
      </w:r>
      <w:r w:rsidRPr="002D20D6">
        <w:rPr>
          <w:rFonts w:ascii="Times New Roman" w:hAnsi="Times New Roman" w:cs="Times New Roman"/>
          <w:i/>
          <w:iCs/>
          <w:color w:val="0D0D0D" w:themeColor="text1" w:themeTint="F2"/>
          <w:sz w:val="28"/>
          <w:szCs w:val="26"/>
        </w:rPr>
        <w:t>)</w:t>
      </w:r>
    </w:p>
    <w:p w:rsidR="009A1A65" w:rsidRPr="002D20D6" w:rsidRDefault="002D20D6" w:rsidP="009A1A65">
      <w:pPr>
        <w:snapToGrid w:val="0"/>
        <w:ind w:left="284" w:right="333"/>
        <w:jc w:val="center"/>
        <w:rPr>
          <w:rFonts w:ascii="Times New Roman" w:hAnsi="Times New Roman" w:cs="Times New Roman"/>
          <w:b/>
          <w:bCs/>
          <w:color w:val="0D0D0D" w:themeColor="text1" w:themeTint="F2"/>
          <w:sz w:val="28"/>
          <w:szCs w:val="26"/>
        </w:rPr>
      </w:pPr>
    </w:p>
    <w:p w:rsidR="009A1A65" w:rsidRPr="002D20D6" w:rsidRDefault="002D20D6" w:rsidP="009A1A65">
      <w:pPr>
        <w:snapToGrid w:val="0"/>
        <w:ind w:left="284" w:right="333"/>
        <w:jc w:val="center"/>
        <w:rPr>
          <w:rFonts w:ascii="Times New Roman" w:hAnsi="Times New Roman" w:cs="Times New Roman"/>
          <w:i/>
          <w:iCs/>
          <w:color w:val="0D0D0D" w:themeColor="text1" w:themeTint="F2"/>
          <w:sz w:val="28"/>
          <w:szCs w:val="26"/>
        </w:rPr>
      </w:pPr>
      <w:r w:rsidRPr="002D20D6">
        <w:rPr>
          <w:rFonts w:ascii="Times New Roman" w:hAnsi="Times New Roman" w:cs="Times New Roman"/>
          <w:i/>
          <w:iCs/>
          <w:color w:val="0D0D0D" w:themeColor="text1" w:themeTint="F2"/>
          <w:sz w:val="28"/>
          <w:szCs w:val="26"/>
        </w:rPr>
        <w:t>Sobre Procedimientos en los juicios del Trabajo</w:t>
      </w:r>
    </w:p>
    <w:p w:rsidR="009A1A65" w:rsidRPr="002D20D6" w:rsidRDefault="002D20D6" w:rsidP="009A1A65">
      <w:pPr>
        <w:snapToGrid w:val="0"/>
        <w:ind w:left="284" w:right="333"/>
        <w:jc w:val="center"/>
        <w:rPr>
          <w:rFonts w:ascii="Times New Roman" w:hAnsi="Times New Roman" w:cs="Times New Roman"/>
          <w:i/>
          <w:iCs/>
          <w:color w:val="0D0D0D" w:themeColor="text1" w:themeTint="F2"/>
          <w:sz w:val="28"/>
          <w:szCs w:val="26"/>
        </w:rPr>
      </w:pPr>
    </w:p>
    <w:p w:rsidR="009A1A65" w:rsidRPr="002D20D6" w:rsidRDefault="002D20D6" w:rsidP="009A1A65">
      <w:pPr>
        <w:snapToGrid w:val="0"/>
        <w:ind w:left="284" w:right="333"/>
        <w:jc w:val="center"/>
        <w:rPr>
          <w:rFonts w:ascii="Times New Roman" w:hAnsi="Times New Roman" w:cs="Times New Roman"/>
          <w:i/>
          <w:iCs/>
          <w:color w:val="0D0D0D" w:themeColor="text1" w:themeTint="F2"/>
          <w:sz w:val="28"/>
          <w:szCs w:val="26"/>
        </w:rPr>
      </w:pPr>
      <w:r w:rsidRPr="002D20D6">
        <w:rPr>
          <w:rFonts w:ascii="Times New Roman" w:hAnsi="Times New Roman" w:cs="Times New Roman"/>
          <w:i/>
          <w:iCs/>
          <w:color w:val="0D0D0D" w:themeColor="text1" w:themeTint="F2"/>
          <w:sz w:val="28"/>
          <w:szCs w:val="26"/>
        </w:rPr>
        <w:t>Código Procesal del Trabajo</w:t>
      </w:r>
    </w:p>
    <w:p w:rsidR="009A1A65" w:rsidRPr="002D20D6" w:rsidRDefault="002D20D6" w:rsidP="009A1A65">
      <w:pPr>
        <w:snapToGrid w:val="0"/>
        <w:ind w:left="284" w:right="333"/>
        <w:jc w:val="center"/>
        <w:rPr>
          <w:rFonts w:ascii="Times New Roman" w:hAnsi="Times New Roman" w:cs="Times New Roman"/>
          <w:i/>
          <w:iCs/>
          <w:color w:val="0D0D0D" w:themeColor="text1" w:themeTint="F2"/>
          <w:sz w:val="28"/>
          <w:szCs w:val="26"/>
        </w:rPr>
      </w:pPr>
    </w:p>
    <w:p w:rsidR="009A1A65" w:rsidRPr="002D20D6" w:rsidRDefault="002D20D6" w:rsidP="009A1A65">
      <w:pPr>
        <w:snapToGrid w:val="0"/>
        <w:ind w:left="284" w:right="333"/>
        <w:jc w:val="center"/>
        <w:rPr>
          <w:rFonts w:ascii="Times New Roman" w:hAnsi="Times New Roman" w:cs="Times New Roman"/>
          <w:i/>
          <w:iCs/>
          <w:color w:val="0D0D0D" w:themeColor="text1" w:themeTint="F2"/>
          <w:sz w:val="28"/>
          <w:szCs w:val="26"/>
        </w:rPr>
      </w:pPr>
      <w:r w:rsidRPr="002D20D6">
        <w:rPr>
          <w:rFonts w:ascii="Times New Roman" w:hAnsi="Times New Roman" w:cs="Times New Roman"/>
          <w:i/>
          <w:iCs/>
          <w:color w:val="0D0D0D" w:themeColor="text1" w:themeTint="F2"/>
          <w:sz w:val="28"/>
          <w:szCs w:val="26"/>
        </w:rPr>
        <w:t xml:space="preserve"> adoptado por el Decreto 4133 de 1948 como legislación permanente</w:t>
      </w:r>
    </w:p>
    <w:p w:rsidR="009A1A65" w:rsidRPr="002D20D6" w:rsidRDefault="002D20D6" w:rsidP="009A1A65">
      <w:pPr>
        <w:snapToGrid w:val="0"/>
        <w:ind w:left="284" w:right="333"/>
        <w:jc w:val="center"/>
        <w:rPr>
          <w:rFonts w:ascii="Times New Roman" w:hAnsi="Times New Roman" w:cs="Times New Roman"/>
          <w:color w:val="0D0D0D" w:themeColor="text1" w:themeTint="F2"/>
          <w:sz w:val="28"/>
          <w:szCs w:val="26"/>
        </w:rPr>
      </w:pPr>
    </w:p>
    <w:p w:rsidR="009A1A65" w:rsidRPr="002D20D6" w:rsidRDefault="002D20D6" w:rsidP="009A1A65">
      <w:pPr>
        <w:snapToGrid w:val="0"/>
        <w:ind w:left="284" w:right="333"/>
        <w:jc w:val="center"/>
        <w:rPr>
          <w:rFonts w:ascii="Times New Roman" w:hAnsi="Times New Roman" w:cs="Times New Roman"/>
          <w:i/>
          <w:iCs/>
          <w:color w:val="0D0D0D" w:themeColor="text1" w:themeTint="F2"/>
          <w:sz w:val="28"/>
          <w:szCs w:val="26"/>
        </w:rPr>
      </w:pPr>
      <w:r w:rsidRPr="002D20D6">
        <w:rPr>
          <w:rFonts w:ascii="Times New Roman" w:hAnsi="Times New Roman" w:cs="Times New Roman"/>
          <w:i/>
          <w:iCs/>
          <w:color w:val="0D0D0D" w:themeColor="text1" w:themeTint="F2"/>
          <w:sz w:val="28"/>
          <w:szCs w:val="26"/>
        </w:rPr>
        <w:t>EL PRESIDENTE DE LA REPÚBLICA DE COLOM</w:t>
      </w:r>
      <w:r w:rsidRPr="002D20D6">
        <w:rPr>
          <w:rFonts w:ascii="Times New Roman" w:hAnsi="Times New Roman" w:cs="Times New Roman"/>
          <w:i/>
          <w:iCs/>
          <w:color w:val="0D0D0D" w:themeColor="text1" w:themeTint="F2"/>
          <w:sz w:val="28"/>
          <w:szCs w:val="26"/>
        </w:rPr>
        <w:t>BIA,</w:t>
      </w:r>
    </w:p>
    <w:p w:rsidR="009A1A65" w:rsidRPr="002D20D6" w:rsidRDefault="002D20D6" w:rsidP="009A1A65">
      <w:pPr>
        <w:snapToGrid w:val="0"/>
        <w:ind w:left="284" w:right="333"/>
        <w:jc w:val="center"/>
        <w:rPr>
          <w:rFonts w:ascii="Times New Roman" w:hAnsi="Times New Roman" w:cs="Times New Roman"/>
          <w:color w:val="0D0D0D" w:themeColor="text1" w:themeTint="F2"/>
          <w:sz w:val="28"/>
          <w:szCs w:val="26"/>
        </w:rPr>
      </w:pPr>
    </w:p>
    <w:p w:rsidR="009A1A65" w:rsidRPr="002D20D6" w:rsidRDefault="002D20D6" w:rsidP="009A1A65">
      <w:pPr>
        <w:snapToGrid w:val="0"/>
        <w:ind w:left="284" w:right="333"/>
        <w:jc w:val="center"/>
        <w:rPr>
          <w:rFonts w:ascii="Times New Roman" w:hAnsi="Times New Roman" w:cs="Times New Roman"/>
          <w:color w:val="0D0D0D" w:themeColor="text1" w:themeTint="F2"/>
          <w:sz w:val="28"/>
          <w:szCs w:val="26"/>
        </w:rPr>
      </w:pPr>
      <w:r w:rsidRPr="002D20D6">
        <w:rPr>
          <w:rFonts w:ascii="Times New Roman" w:hAnsi="Times New Roman" w:cs="Times New Roman"/>
          <w:i/>
          <w:iCs/>
          <w:color w:val="0D0D0D" w:themeColor="text1" w:themeTint="F2"/>
          <w:sz w:val="28"/>
          <w:szCs w:val="26"/>
        </w:rPr>
        <w:t>en ejercicio de las facultades que le confiere el artículo 121 de la Constitución Nacional, y</w:t>
      </w:r>
    </w:p>
    <w:p w:rsidR="009A1A65" w:rsidRPr="002D20D6" w:rsidRDefault="002D20D6" w:rsidP="009A1A65">
      <w:pPr>
        <w:snapToGrid w:val="0"/>
        <w:ind w:left="284" w:right="333"/>
        <w:jc w:val="center"/>
        <w:rPr>
          <w:rFonts w:ascii="Times New Roman" w:hAnsi="Times New Roman" w:cs="Times New Roman"/>
          <w:b/>
          <w:bCs/>
          <w:color w:val="0D0D0D" w:themeColor="text1" w:themeTint="F2"/>
          <w:sz w:val="28"/>
          <w:szCs w:val="26"/>
        </w:rPr>
      </w:pPr>
    </w:p>
    <w:p w:rsidR="009A1A65" w:rsidRPr="002D20D6" w:rsidRDefault="002D20D6" w:rsidP="009A1A65">
      <w:pPr>
        <w:snapToGrid w:val="0"/>
        <w:ind w:left="284" w:right="333"/>
        <w:jc w:val="center"/>
        <w:rPr>
          <w:rFonts w:ascii="Times New Roman" w:hAnsi="Times New Roman" w:cs="Times New Roman"/>
          <w:b/>
          <w:bCs/>
          <w:color w:val="0D0D0D" w:themeColor="text1" w:themeTint="F2"/>
          <w:sz w:val="28"/>
          <w:szCs w:val="26"/>
        </w:rPr>
      </w:pPr>
      <w:r w:rsidRPr="002D20D6">
        <w:rPr>
          <w:rFonts w:ascii="Times New Roman" w:hAnsi="Times New Roman" w:cs="Times New Roman"/>
          <w:b/>
          <w:bCs/>
          <w:i/>
          <w:iCs/>
          <w:color w:val="0D0D0D" w:themeColor="text1" w:themeTint="F2"/>
          <w:sz w:val="28"/>
          <w:szCs w:val="26"/>
        </w:rPr>
        <w:t>CONSIDERANDO:</w:t>
      </w:r>
    </w:p>
    <w:p w:rsidR="009A1A65" w:rsidRPr="002D20D6" w:rsidRDefault="002D20D6" w:rsidP="009A1A65">
      <w:pPr>
        <w:snapToGrid w:val="0"/>
        <w:ind w:left="284" w:right="333"/>
        <w:jc w:val="center"/>
        <w:rPr>
          <w:rFonts w:ascii="Times New Roman" w:hAnsi="Times New Roman" w:cs="Times New Roman"/>
          <w:color w:val="0D0D0D" w:themeColor="text1" w:themeTint="F2"/>
          <w:sz w:val="28"/>
          <w:szCs w:val="26"/>
        </w:rPr>
      </w:pPr>
    </w:p>
    <w:p w:rsidR="009A1A65" w:rsidRPr="002D20D6" w:rsidRDefault="002D20D6" w:rsidP="009A1A65">
      <w:pPr>
        <w:numPr>
          <w:ilvl w:val="0"/>
          <w:numId w:val="4"/>
        </w:numPr>
        <w:snapToGrid w:val="0"/>
        <w:ind w:right="333"/>
        <w:jc w:val="both"/>
        <w:rPr>
          <w:rFonts w:ascii="Times New Roman" w:hAnsi="Times New Roman" w:cs="Times New Roman"/>
          <w:i/>
          <w:iCs/>
          <w:color w:val="0D0D0D" w:themeColor="text1" w:themeTint="F2"/>
          <w:sz w:val="28"/>
          <w:szCs w:val="26"/>
        </w:rPr>
      </w:pPr>
      <w:r w:rsidRPr="002D20D6">
        <w:rPr>
          <w:rFonts w:ascii="Times New Roman" w:hAnsi="Times New Roman" w:cs="Times New Roman"/>
          <w:i/>
          <w:iCs/>
          <w:color w:val="0D0D0D" w:themeColor="text1" w:themeTint="F2"/>
          <w:sz w:val="28"/>
          <w:szCs w:val="26"/>
        </w:rPr>
        <w:t>Que según Decretos número 1239 y 1259 del presente año, se declaró turbado el orden público y en estado de sitio todo el territorio de la Re</w:t>
      </w:r>
      <w:r w:rsidRPr="002D20D6">
        <w:rPr>
          <w:rFonts w:ascii="Times New Roman" w:hAnsi="Times New Roman" w:cs="Times New Roman"/>
          <w:i/>
          <w:iCs/>
          <w:color w:val="0D0D0D" w:themeColor="text1" w:themeTint="F2"/>
          <w:sz w:val="28"/>
          <w:szCs w:val="26"/>
        </w:rPr>
        <w:t>pública;</w:t>
      </w:r>
    </w:p>
    <w:p w:rsidR="009A1A65" w:rsidRPr="002D20D6" w:rsidRDefault="002D20D6" w:rsidP="009A1A65">
      <w:pPr>
        <w:snapToGrid w:val="0"/>
        <w:ind w:left="720" w:right="333"/>
        <w:jc w:val="both"/>
        <w:rPr>
          <w:rFonts w:ascii="Times New Roman" w:hAnsi="Times New Roman" w:cs="Times New Roman"/>
          <w:i/>
          <w:iCs/>
          <w:color w:val="0D0D0D" w:themeColor="text1" w:themeTint="F2"/>
          <w:sz w:val="28"/>
          <w:szCs w:val="26"/>
        </w:rPr>
      </w:pPr>
    </w:p>
    <w:p w:rsidR="009A1A65" w:rsidRPr="002D20D6" w:rsidRDefault="002D20D6" w:rsidP="009A1A65">
      <w:pPr>
        <w:numPr>
          <w:ilvl w:val="0"/>
          <w:numId w:val="4"/>
        </w:numPr>
        <w:snapToGrid w:val="0"/>
        <w:ind w:right="333"/>
        <w:jc w:val="both"/>
        <w:rPr>
          <w:rFonts w:ascii="Times New Roman" w:hAnsi="Times New Roman" w:cs="Times New Roman"/>
          <w:i/>
          <w:iCs/>
          <w:color w:val="0D0D0D" w:themeColor="text1" w:themeTint="F2"/>
          <w:sz w:val="28"/>
          <w:szCs w:val="26"/>
        </w:rPr>
      </w:pPr>
      <w:r w:rsidRPr="002D20D6">
        <w:rPr>
          <w:rFonts w:ascii="Times New Roman" w:hAnsi="Times New Roman" w:cs="Times New Roman"/>
          <w:i/>
          <w:iCs/>
          <w:color w:val="0D0D0D" w:themeColor="text1" w:themeTint="F2"/>
          <w:sz w:val="28"/>
          <w:szCs w:val="26"/>
        </w:rPr>
        <w:t>Que lo relativo al procedimiento que deba seguirse en los juicios de trabajo es de orden público, lo que hace pertinente la expedición de un estatuto completo sobre esta materia;</w:t>
      </w:r>
    </w:p>
    <w:p w:rsidR="009A1A65" w:rsidRPr="002D20D6" w:rsidRDefault="002D20D6" w:rsidP="009A1A65">
      <w:pPr>
        <w:pStyle w:val="Prrafodelista"/>
        <w:rPr>
          <w:rFonts w:ascii="Times New Roman" w:hAnsi="Times New Roman" w:cs="Times New Roman"/>
          <w:i/>
          <w:iCs/>
          <w:color w:val="0D0D0D" w:themeColor="text1" w:themeTint="F2"/>
          <w:sz w:val="28"/>
          <w:szCs w:val="26"/>
        </w:rPr>
      </w:pPr>
    </w:p>
    <w:p w:rsidR="009A1A65" w:rsidRPr="002D20D6" w:rsidRDefault="002D20D6" w:rsidP="009A1A65">
      <w:pPr>
        <w:numPr>
          <w:ilvl w:val="0"/>
          <w:numId w:val="4"/>
        </w:numPr>
        <w:snapToGrid w:val="0"/>
        <w:ind w:right="333"/>
        <w:jc w:val="both"/>
        <w:rPr>
          <w:rFonts w:ascii="Times New Roman" w:hAnsi="Times New Roman" w:cs="Times New Roman"/>
          <w:i/>
          <w:iCs/>
          <w:color w:val="0D0D0D" w:themeColor="text1" w:themeTint="F2"/>
          <w:sz w:val="28"/>
          <w:szCs w:val="26"/>
        </w:rPr>
      </w:pPr>
      <w:r w:rsidRPr="002D20D6">
        <w:rPr>
          <w:rFonts w:ascii="Times New Roman" w:hAnsi="Times New Roman" w:cs="Times New Roman"/>
          <w:i/>
          <w:iCs/>
          <w:color w:val="0D0D0D" w:themeColor="text1" w:themeTint="F2"/>
          <w:sz w:val="28"/>
          <w:szCs w:val="26"/>
        </w:rPr>
        <w:t>Que</w:t>
      </w:r>
      <w:r w:rsidRPr="002D20D6">
        <w:rPr>
          <w:rFonts w:ascii="Times New Roman" w:hAnsi="Times New Roman" w:cs="Times New Roman"/>
          <w:i/>
          <w:iCs/>
          <w:color w:val="0D0D0D" w:themeColor="text1" w:themeTint="F2"/>
          <w:sz w:val="28"/>
          <w:szCs w:val="26"/>
        </w:rPr>
        <w:t xml:space="preserve"> en diversas legislaturas, atendiendo a la expresión de una necesidad nacional, ha sido motivo de discusión, provocada por iniciativa oficial, la adopción de un Código Procesal del Trabajo.</w:t>
      </w:r>
    </w:p>
    <w:p w:rsidR="00410A44" w:rsidRPr="002D20D6" w:rsidRDefault="002D20D6" w:rsidP="009A1A65">
      <w:pPr>
        <w:snapToGrid w:val="0"/>
        <w:ind w:left="454" w:right="454"/>
        <w:jc w:val="center"/>
        <w:rPr>
          <w:rFonts w:ascii="Times New Roman" w:hAnsi="Times New Roman" w:cs="Times New Roman"/>
          <w:color w:val="0D0D0D" w:themeColor="text1" w:themeTint="F2"/>
          <w:sz w:val="28"/>
          <w:szCs w:val="26"/>
        </w:rPr>
      </w:pPr>
    </w:p>
    <w:p w:rsidR="00410A44" w:rsidRPr="002D20D6" w:rsidRDefault="002D20D6" w:rsidP="00B22C3F">
      <w:pPr>
        <w:snapToGrid w:val="0"/>
        <w:ind w:left="454" w:right="454"/>
        <w:jc w:val="center"/>
        <w:rPr>
          <w:rFonts w:ascii="Times New Roman" w:hAnsi="Times New Roman" w:cs="Times New Roman"/>
          <w:color w:val="0D0D0D" w:themeColor="text1" w:themeTint="F2"/>
          <w:sz w:val="28"/>
          <w:szCs w:val="26"/>
        </w:rPr>
      </w:pPr>
      <w:r w:rsidRPr="002D20D6">
        <w:rPr>
          <w:rFonts w:ascii="Times New Roman" w:hAnsi="Times New Roman" w:cs="Times New Roman"/>
          <w:color w:val="0D0D0D" w:themeColor="text1" w:themeTint="F2"/>
          <w:sz w:val="28"/>
          <w:szCs w:val="26"/>
        </w:rPr>
        <w:t>(…)</w:t>
      </w:r>
    </w:p>
    <w:p w:rsidR="00410A44" w:rsidRPr="002D20D6" w:rsidRDefault="002D20D6" w:rsidP="00B22C3F">
      <w:pPr>
        <w:snapToGrid w:val="0"/>
        <w:ind w:left="454" w:right="454"/>
        <w:jc w:val="both"/>
        <w:rPr>
          <w:rFonts w:ascii="Times New Roman" w:hAnsi="Times New Roman" w:cs="Times New Roman"/>
          <w:color w:val="0D0D0D" w:themeColor="text1" w:themeTint="F2"/>
          <w:sz w:val="28"/>
          <w:szCs w:val="26"/>
          <w:lang w:val="es-ES"/>
        </w:rPr>
      </w:pPr>
    </w:p>
    <w:p w:rsidR="00410A44" w:rsidRPr="002D20D6" w:rsidRDefault="002D20D6" w:rsidP="00B22C3F">
      <w:pPr>
        <w:snapToGrid w:val="0"/>
        <w:ind w:left="454" w:right="454"/>
        <w:jc w:val="both"/>
        <w:rPr>
          <w:rFonts w:ascii="Times New Roman" w:hAnsi="Times New Roman" w:cs="Times New Roman"/>
          <w:i/>
          <w:iCs/>
          <w:color w:val="0D0D0D" w:themeColor="text1" w:themeTint="F2"/>
          <w:sz w:val="28"/>
          <w:szCs w:val="26"/>
        </w:rPr>
      </w:pPr>
      <w:bookmarkStart w:id="1" w:name="148"/>
      <w:bookmarkStart w:id="2" w:name="OLE_LINK3"/>
      <w:r w:rsidRPr="002D20D6">
        <w:rPr>
          <w:rFonts w:ascii="Times New Roman" w:hAnsi="Times New Roman" w:cs="Times New Roman"/>
          <w:b/>
          <w:bCs/>
          <w:i/>
          <w:iCs/>
          <w:color w:val="0D0D0D" w:themeColor="text1" w:themeTint="F2"/>
          <w:sz w:val="28"/>
          <w:szCs w:val="26"/>
        </w:rPr>
        <w:t>ARTICULO 148</w:t>
      </w:r>
      <w:r w:rsidRPr="002D20D6">
        <w:rPr>
          <w:rFonts w:ascii="Times New Roman" w:hAnsi="Times New Roman" w:cs="Times New Roman"/>
          <w:i/>
          <w:iCs/>
          <w:color w:val="0D0D0D" w:themeColor="text1" w:themeTint="F2"/>
          <w:sz w:val="28"/>
          <w:szCs w:val="26"/>
        </w:rPr>
        <w:t>. PERMISO PARA LIQUIDACION PARCIAL DE CESANTIAS.</w:t>
      </w:r>
      <w:bookmarkEnd w:id="1"/>
      <w:r w:rsidRPr="002D20D6">
        <w:rPr>
          <w:rFonts w:ascii="Times New Roman" w:hAnsi="Times New Roman" w:cs="Times New Roman"/>
          <w:i/>
          <w:iCs/>
          <w:color w:val="0D0D0D" w:themeColor="text1" w:themeTint="F2"/>
          <w:sz w:val="28"/>
          <w:szCs w:val="26"/>
        </w:rPr>
        <w:t xml:space="preserve"> El permiso para liquidación parcial de cesantías </w:t>
      </w:r>
      <w:r w:rsidRPr="002D20D6">
        <w:rPr>
          <w:rFonts w:ascii="Times New Roman" w:hAnsi="Times New Roman" w:cs="Times New Roman"/>
          <w:b/>
          <w:bCs/>
          <w:i/>
          <w:iCs/>
          <w:color w:val="0D0D0D" w:themeColor="text1" w:themeTint="F2"/>
          <w:sz w:val="28"/>
          <w:szCs w:val="26"/>
          <w:u w:val="single"/>
        </w:rPr>
        <w:t>y para renunciar prestaciones sociales</w:t>
      </w:r>
      <w:r w:rsidRPr="002D20D6">
        <w:rPr>
          <w:rFonts w:ascii="Times New Roman" w:hAnsi="Times New Roman" w:cs="Times New Roman"/>
          <w:i/>
          <w:iCs/>
          <w:color w:val="0D0D0D" w:themeColor="text1" w:themeTint="F2"/>
          <w:sz w:val="28"/>
          <w:szCs w:val="26"/>
        </w:rPr>
        <w:t>, en los casos previstos en la ley, será concedido por el correspondiente Inspector del Trabajo o Alcalde Municipal, con conocimiento de causa.”</w:t>
      </w:r>
    </w:p>
    <w:bookmarkEnd w:id="2"/>
    <w:p w:rsidR="00410A44" w:rsidRPr="002D20D6" w:rsidRDefault="002D20D6" w:rsidP="00410A44">
      <w:pPr>
        <w:ind w:right="-233"/>
        <w:jc w:val="both"/>
        <w:rPr>
          <w:rFonts w:ascii="Times New Roman" w:hAnsi="Times New Roman" w:cs="Times New Roman"/>
          <w:color w:val="0D0D0D" w:themeColor="text1" w:themeTint="F2"/>
          <w:sz w:val="28"/>
          <w:szCs w:val="28"/>
        </w:rPr>
      </w:pPr>
    </w:p>
    <w:p w:rsidR="00DE59D7" w:rsidRPr="002D20D6" w:rsidRDefault="002D20D6" w:rsidP="00410A44">
      <w:pPr>
        <w:ind w:right="-233"/>
        <w:jc w:val="both"/>
        <w:rPr>
          <w:rFonts w:ascii="Times New Roman" w:hAnsi="Times New Roman" w:cs="Times New Roman"/>
          <w:color w:val="0D0D0D" w:themeColor="text1" w:themeTint="F2"/>
          <w:sz w:val="28"/>
          <w:szCs w:val="28"/>
        </w:rPr>
      </w:pPr>
    </w:p>
    <w:p w:rsidR="00410A44" w:rsidRPr="002D20D6" w:rsidRDefault="002D20D6" w:rsidP="00B22C3F">
      <w:pPr>
        <w:ind w:right="-233"/>
        <w:contextualSpacing/>
        <w:jc w:val="both"/>
        <w:rPr>
          <w:rFonts w:ascii="Times New Roman" w:hAnsi="Times New Roman" w:cs="Times New Roman"/>
          <w:b/>
          <w:bCs/>
          <w:color w:val="0D0D0D" w:themeColor="text1" w:themeTint="F2"/>
          <w:sz w:val="28"/>
          <w:szCs w:val="28"/>
        </w:rPr>
      </w:pPr>
      <w:r w:rsidRPr="002D20D6">
        <w:rPr>
          <w:rFonts w:ascii="Times New Roman" w:hAnsi="Times New Roman" w:cs="Times New Roman"/>
          <w:b/>
          <w:bCs/>
          <w:color w:val="0D0D0D" w:themeColor="text1" w:themeTint="F2"/>
          <w:sz w:val="28"/>
          <w:szCs w:val="28"/>
        </w:rPr>
        <w:t>Contenido de la deman</w:t>
      </w:r>
      <w:r w:rsidRPr="002D20D6">
        <w:rPr>
          <w:rFonts w:ascii="Times New Roman" w:hAnsi="Times New Roman" w:cs="Times New Roman"/>
          <w:b/>
          <w:bCs/>
          <w:color w:val="0D0D0D" w:themeColor="text1" w:themeTint="F2"/>
          <w:sz w:val="28"/>
          <w:szCs w:val="28"/>
        </w:rPr>
        <w:t>da</w:t>
      </w:r>
    </w:p>
    <w:p w:rsidR="00410A44" w:rsidRPr="002D20D6" w:rsidRDefault="002D20D6" w:rsidP="00410A44">
      <w:pPr>
        <w:pStyle w:val="NormalWeb"/>
        <w:ind w:right="-233"/>
        <w:jc w:val="both"/>
        <w:rPr>
          <w:rFonts w:ascii="Times New Roman" w:hAnsi="Times New Roman" w:cs="Times New Roman"/>
          <w:color w:val="0D0D0D" w:themeColor="text1" w:themeTint="F2"/>
          <w:sz w:val="28"/>
          <w:szCs w:val="28"/>
        </w:rPr>
      </w:pPr>
    </w:p>
    <w:p w:rsidR="00B662F2" w:rsidRPr="002D20D6" w:rsidRDefault="002D20D6" w:rsidP="00B662F2">
      <w:pPr>
        <w:pStyle w:val="NormalWeb"/>
        <w:numPr>
          <w:ilvl w:val="0"/>
          <w:numId w:val="3"/>
        </w:numPr>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En Auto del 24 de junio de 2024, se admitió la demanda radicada con el número D-16.590 en relación con la presunta violación del artículo 53 de la Constitución Política, y se inadmitió frente a los cargos por la violación de los artículos 13, 25, 29 y </w:t>
      </w:r>
      <w:r w:rsidRPr="002D20D6">
        <w:rPr>
          <w:rFonts w:ascii="Times New Roman" w:hAnsi="Times New Roman" w:cs="Times New Roman"/>
          <w:color w:val="0D0D0D" w:themeColor="text1" w:themeTint="F2"/>
          <w:sz w:val="28"/>
          <w:szCs w:val="28"/>
        </w:rPr>
        <w:t>229 de la Constitución.</w:t>
      </w:r>
      <w:r w:rsidRPr="002D20D6">
        <w:rPr>
          <w:rFonts w:ascii="Times New Roman" w:hAnsi="Times New Roman" w:cs="Times New Roman"/>
          <w:color w:val="0D0D0D" w:themeColor="text1" w:themeTint="F2"/>
          <w:sz w:val="28"/>
          <w:szCs w:val="28"/>
          <w:vertAlign w:val="superscript"/>
        </w:rPr>
        <w:footnoteReference w:id="3"/>
      </w:r>
      <w:r w:rsidRPr="002D20D6">
        <w:rPr>
          <w:rFonts w:ascii="Times New Roman" w:hAnsi="Times New Roman" w:cs="Times New Roman"/>
          <w:color w:val="0D0D0D" w:themeColor="text1" w:themeTint="F2"/>
          <w:sz w:val="28"/>
          <w:szCs w:val="28"/>
        </w:rPr>
        <w:t xml:space="preserve"> </w:t>
      </w:r>
      <w:r w:rsidRPr="002D20D6">
        <w:rPr>
          <w:rFonts w:ascii="Times New Roman" w:hAnsi="Times New Roman" w:cs="Times New Roman"/>
          <w:color w:val="0D0D0D" w:themeColor="text1" w:themeTint="F2"/>
          <w:sz w:val="28"/>
          <w:szCs w:val="28"/>
          <w:lang w:val="es-CO"/>
        </w:rPr>
        <w:t xml:space="preserve">Al respecto, se indicó frente </w:t>
      </w:r>
      <w:r w:rsidRPr="002D20D6">
        <w:rPr>
          <w:rFonts w:ascii="Times New Roman" w:hAnsi="Times New Roman" w:cs="Times New Roman"/>
          <w:color w:val="0D0D0D" w:themeColor="text1" w:themeTint="F2"/>
          <w:sz w:val="28"/>
          <w:szCs w:val="28"/>
        </w:rPr>
        <w:t>a la carga argumentativa exigida en virtud del numeral tercero del artículo 2 del Decreto Ley 2067 de 1991, que los cargos planteados en la demanda de inconstitucionalidad no cumplieron con los mínimos</w:t>
      </w:r>
      <w:r w:rsidRPr="002D20D6">
        <w:rPr>
          <w:rFonts w:ascii="Times New Roman" w:hAnsi="Times New Roman" w:cs="Times New Roman"/>
          <w:color w:val="0D0D0D" w:themeColor="text1" w:themeTint="F2"/>
          <w:sz w:val="28"/>
          <w:szCs w:val="28"/>
        </w:rPr>
        <w:t xml:space="preserve"> argumentativos fijados por esta Corporación sobre </w:t>
      </w:r>
      <w:r w:rsidRPr="002D20D6">
        <w:rPr>
          <w:rFonts w:ascii="Times New Roman" w:hAnsi="Times New Roman" w:cs="Times New Roman"/>
          <w:i/>
          <w:iCs/>
          <w:color w:val="0D0D0D" w:themeColor="text1" w:themeTint="F2"/>
          <w:sz w:val="28"/>
          <w:szCs w:val="28"/>
        </w:rPr>
        <w:t>claridad, certeza, especificidad, pertinencia</w:t>
      </w:r>
      <w:r w:rsidRPr="002D20D6">
        <w:rPr>
          <w:rFonts w:ascii="Times New Roman" w:hAnsi="Times New Roman" w:cs="Times New Roman"/>
          <w:color w:val="0D0D0D" w:themeColor="text1" w:themeTint="F2"/>
          <w:sz w:val="28"/>
          <w:szCs w:val="28"/>
        </w:rPr>
        <w:t xml:space="preserve"> y </w:t>
      </w:r>
      <w:r w:rsidRPr="002D20D6">
        <w:rPr>
          <w:rFonts w:ascii="Times New Roman" w:hAnsi="Times New Roman" w:cs="Times New Roman"/>
          <w:i/>
          <w:iCs/>
          <w:color w:val="0D0D0D" w:themeColor="text1" w:themeTint="F2"/>
          <w:sz w:val="28"/>
          <w:szCs w:val="28"/>
        </w:rPr>
        <w:t>suficiencia</w:t>
      </w:r>
      <w:r w:rsidRPr="002D20D6">
        <w:rPr>
          <w:rFonts w:ascii="Times New Roman" w:hAnsi="Times New Roman" w:cs="Times New Roman"/>
          <w:color w:val="0D0D0D" w:themeColor="text1" w:themeTint="F2"/>
          <w:sz w:val="28"/>
          <w:szCs w:val="28"/>
        </w:rPr>
        <w:t>.</w:t>
      </w:r>
      <w:r w:rsidRPr="002D20D6">
        <w:rPr>
          <w:rFonts w:ascii="Times New Roman" w:hAnsi="Times New Roman" w:cs="Times New Roman"/>
          <w:color w:val="0D0D0D" w:themeColor="text1" w:themeTint="F2"/>
          <w:sz w:val="28"/>
          <w:szCs w:val="28"/>
          <w:vertAlign w:val="superscript"/>
        </w:rPr>
        <w:footnoteReference w:id="4"/>
      </w:r>
      <w:r w:rsidRPr="002D20D6">
        <w:rPr>
          <w:rFonts w:ascii="Times New Roman" w:hAnsi="Times New Roman" w:cs="Times New Roman"/>
          <w:color w:val="0D0D0D" w:themeColor="text1" w:themeTint="F2"/>
          <w:sz w:val="28"/>
          <w:szCs w:val="28"/>
        </w:rPr>
        <w:t xml:space="preserve"> </w:t>
      </w:r>
    </w:p>
    <w:p w:rsidR="00B662F2" w:rsidRPr="002D20D6" w:rsidRDefault="002D20D6" w:rsidP="00B662F2">
      <w:pPr>
        <w:pStyle w:val="NormalWeb"/>
        <w:ind w:right="49"/>
        <w:jc w:val="both"/>
        <w:rPr>
          <w:rFonts w:ascii="Times New Roman" w:hAnsi="Times New Roman" w:cs="Times New Roman"/>
          <w:color w:val="0D0D0D" w:themeColor="text1" w:themeTint="F2"/>
          <w:sz w:val="28"/>
          <w:szCs w:val="28"/>
        </w:rPr>
      </w:pPr>
    </w:p>
    <w:p w:rsidR="00767A7A" w:rsidRPr="002D20D6" w:rsidRDefault="002D20D6" w:rsidP="00B662F2">
      <w:pPr>
        <w:pStyle w:val="NormalWeb"/>
        <w:numPr>
          <w:ilvl w:val="0"/>
          <w:numId w:val="3"/>
        </w:numPr>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En cambio, en lo que concierne al cargo admitido por la vulneración del artículo 53 de la Constitución, se concluyó que presentaba un hilo ar</w:t>
      </w:r>
      <w:r w:rsidRPr="002D20D6">
        <w:rPr>
          <w:rFonts w:ascii="Times New Roman" w:hAnsi="Times New Roman" w:cs="Times New Roman"/>
          <w:color w:val="0D0D0D" w:themeColor="text1" w:themeTint="F2"/>
          <w:sz w:val="28"/>
          <w:szCs w:val="28"/>
        </w:rPr>
        <w:t xml:space="preserve">gumentativo preciso, inteligible, coherente y certero que conllevó a suscitar siquiera una duda mínima de inconstitucionalidad del fragmento </w:t>
      </w:r>
      <w:r w:rsidRPr="002D20D6">
        <w:rPr>
          <w:rFonts w:ascii="Times New Roman" w:hAnsi="Times New Roman" w:cs="Times New Roman"/>
          <w:i/>
          <w:iCs/>
          <w:color w:val="0D0D0D" w:themeColor="text1" w:themeTint="F2"/>
          <w:sz w:val="28"/>
          <w:szCs w:val="28"/>
        </w:rPr>
        <w:t>“y para renunciar prestaciones sociales”.</w:t>
      </w:r>
      <w:r w:rsidRPr="002D20D6">
        <w:rPr>
          <w:rFonts w:ascii="Times New Roman" w:hAnsi="Times New Roman" w:cs="Times New Roman"/>
          <w:color w:val="0D0D0D" w:themeColor="text1" w:themeTint="F2"/>
          <w:sz w:val="28"/>
          <w:szCs w:val="28"/>
        </w:rPr>
        <w:t xml:space="preserve"> En esa etapa procesal, las acusaciones planteadas fueron catalogadas como</w:t>
      </w:r>
      <w:r w:rsidRPr="002D20D6">
        <w:rPr>
          <w:rFonts w:ascii="Times New Roman" w:hAnsi="Times New Roman" w:cs="Times New Roman"/>
          <w:color w:val="0D0D0D" w:themeColor="text1" w:themeTint="F2"/>
          <w:sz w:val="28"/>
          <w:szCs w:val="28"/>
        </w:rPr>
        <w:t xml:space="preserve"> concretas y precisas, en tanto explicaron por qué el fragmento acusado, al avalar la renuncia a las prestaciones sociales por medio de la aprobación de un Inspector del Trabajo, desconocía el principio de irrenunciabilidad de los beneficios laborales cons</w:t>
      </w:r>
      <w:r w:rsidRPr="002D20D6">
        <w:rPr>
          <w:rFonts w:ascii="Times New Roman" w:hAnsi="Times New Roman" w:cs="Times New Roman"/>
          <w:color w:val="0D0D0D" w:themeColor="text1" w:themeTint="F2"/>
          <w:sz w:val="28"/>
          <w:szCs w:val="28"/>
        </w:rPr>
        <w:t>agrados en el artículo 53 de la Constitución, precepto que es de naturaleza constitucional. En vista de la aparente duda sobre la inconstitucionalidad de la disposición acusada, se concluyó que la demanda cumplía con los parámetros exigidos, y por consigui</w:t>
      </w:r>
      <w:r w:rsidRPr="002D20D6">
        <w:rPr>
          <w:rFonts w:ascii="Times New Roman" w:hAnsi="Times New Roman" w:cs="Times New Roman"/>
          <w:color w:val="0D0D0D" w:themeColor="text1" w:themeTint="F2"/>
          <w:sz w:val="28"/>
          <w:szCs w:val="28"/>
        </w:rPr>
        <w:t>ente, era suficiente para que esta Corporación emitiera un pronunciamiento de fondo.</w:t>
      </w:r>
    </w:p>
    <w:p w:rsidR="00585003" w:rsidRPr="002D20D6" w:rsidRDefault="002D20D6" w:rsidP="00585003">
      <w:pPr>
        <w:pStyle w:val="Prrafodelista"/>
        <w:rPr>
          <w:rFonts w:ascii="Times New Roman" w:hAnsi="Times New Roman" w:cs="Times New Roman"/>
          <w:color w:val="0D0D0D" w:themeColor="text1" w:themeTint="F2"/>
          <w:sz w:val="28"/>
          <w:szCs w:val="28"/>
        </w:rPr>
      </w:pPr>
    </w:p>
    <w:p w:rsidR="00C07EB9" w:rsidRPr="002D20D6" w:rsidRDefault="002D20D6" w:rsidP="00C07EB9">
      <w:pPr>
        <w:pStyle w:val="NormalWeb"/>
        <w:numPr>
          <w:ilvl w:val="0"/>
          <w:numId w:val="3"/>
        </w:numPr>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En escrito remitido a la Secretaría General de esta Corporación, los demandantes manifestaron que desisten de los cargos presentados por violación de los artículos 13, 25</w:t>
      </w:r>
      <w:r w:rsidRPr="002D20D6">
        <w:rPr>
          <w:rFonts w:ascii="Times New Roman" w:hAnsi="Times New Roman" w:cs="Times New Roman"/>
          <w:color w:val="0D0D0D" w:themeColor="text1" w:themeTint="F2"/>
          <w:sz w:val="28"/>
          <w:szCs w:val="28"/>
        </w:rPr>
        <w:t>, 29 y 229 de la Constitución Política.</w:t>
      </w:r>
      <w:r w:rsidRPr="002D20D6">
        <w:rPr>
          <w:rFonts w:ascii="Times New Roman" w:hAnsi="Times New Roman" w:cs="Times New Roman"/>
          <w:color w:val="0D0D0D" w:themeColor="text1" w:themeTint="F2"/>
          <w:sz w:val="28"/>
          <w:szCs w:val="28"/>
          <w:vertAlign w:val="superscript"/>
        </w:rPr>
        <w:footnoteReference w:id="5"/>
      </w:r>
      <w:r w:rsidRPr="002D20D6">
        <w:rPr>
          <w:rFonts w:ascii="Times New Roman" w:hAnsi="Times New Roman" w:cs="Times New Roman"/>
          <w:color w:val="0D0D0D" w:themeColor="text1" w:themeTint="F2"/>
          <w:sz w:val="28"/>
          <w:szCs w:val="28"/>
        </w:rPr>
        <w:t xml:space="preserve"> En consecuencia, agradecieron el estudio únicamente del cargo por la vulneración del artículo 53 de la Constitución, tal como fue admitido en el Auto del 24 de junio de 2025.</w:t>
      </w:r>
      <w:r w:rsidRPr="002D20D6">
        <w:rPr>
          <w:rFonts w:ascii="Times New Roman" w:hAnsi="Times New Roman" w:cs="Times New Roman"/>
          <w:color w:val="0D0D0D" w:themeColor="text1" w:themeTint="F2"/>
          <w:sz w:val="28"/>
          <w:szCs w:val="28"/>
          <w:vertAlign w:val="superscript"/>
        </w:rPr>
        <w:footnoteReference w:id="6"/>
      </w:r>
    </w:p>
    <w:p w:rsidR="00F72B03" w:rsidRPr="002D20D6" w:rsidRDefault="002D20D6" w:rsidP="00F72B03">
      <w:pPr>
        <w:pStyle w:val="Prrafodelista"/>
        <w:rPr>
          <w:rFonts w:ascii="Times New Roman" w:hAnsi="Times New Roman" w:cs="Times New Roman"/>
          <w:color w:val="0D0D0D" w:themeColor="text1" w:themeTint="F2"/>
          <w:sz w:val="28"/>
          <w:szCs w:val="28"/>
          <w:lang w:val="es-CO"/>
        </w:rPr>
      </w:pPr>
    </w:p>
    <w:p w:rsidR="00410A44" w:rsidRPr="002D20D6" w:rsidRDefault="002D20D6" w:rsidP="001E50BE">
      <w:pPr>
        <w:pStyle w:val="NormalWeb"/>
        <w:numPr>
          <w:ilvl w:val="0"/>
          <w:numId w:val="3"/>
        </w:numPr>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lang w:val="es-CO"/>
        </w:rPr>
        <w:t xml:space="preserve">En Auto del 11 de julio de 2025, se rechazaron </w:t>
      </w:r>
      <w:r w:rsidRPr="002D20D6">
        <w:rPr>
          <w:rFonts w:ascii="Times New Roman" w:hAnsi="Times New Roman" w:cs="Times New Roman"/>
          <w:color w:val="0D0D0D" w:themeColor="text1" w:themeTint="F2"/>
          <w:sz w:val="28"/>
          <w:szCs w:val="28"/>
        </w:rPr>
        <w:t>los cargos por la supuesta vulneración de los artículos 13, 25, 29 y 229 de la Constitución. En el término concedido en el Auto del 24 de junio de 2025 para subsanar la demanda, los actores manifestaron su des</w:t>
      </w:r>
      <w:r w:rsidRPr="002D20D6">
        <w:rPr>
          <w:rFonts w:ascii="Times New Roman" w:hAnsi="Times New Roman" w:cs="Times New Roman"/>
          <w:color w:val="0D0D0D" w:themeColor="text1" w:themeTint="F2"/>
          <w:sz w:val="28"/>
          <w:szCs w:val="28"/>
        </w:rPr>
        <w:t>istimiento o renuncia a corregir los cargos inadmitidos</w:t>
      </w:r>
      <w:r w:rsidRPr="002D20D6">
        <w:rPr>
          <w:rFonts w:ascii="Times New Roman" w:hAnsi="Times New Roman" w:cs="Times New Roman"/>
          <w:i/>
          <w:color w:val="0D0D0D" w:themeColor="text1" w:themeTint="F2"/>
          <w:sz w:val="28"/>
          <w:szCs w:val="28"/>
        </w:rPr>
        <w:t xml:space="preserve">. </w:t>
      </w:r>
      <w:r w:rsidRPr="002D20D6">
        <w:rPr>
          <w:rFonts w:ascii="Times New Roman" w:hAnsi="Times New Roman" w:cs="Times New Roman"/>
          <w:color w:val="0D0D0D" w:themeColor="text1" w:themeTint="F2"/>
          <w:sz w:val="28"/>
          <w:szCs w:val="28"/>
        </w:rPr>
        <w:t>Teniendo en cuenta que conforme lo ha dicho esta Corporación,</w:t>
      </w:r>
      <w:r w:rsidRPr="002D20D6">
        <w:rPr>
          <w:rFonts w:ascii="Times New Roman" w:hAnsi="Times New Roman" w:cs="Times New Roman"/>
          <w:color w:val="0D0D0D" w:themeColor="text1" w:themeTint="F2"/>
          <w:sz w:val="28"/>
          <w:szCs w:val="28"/>
          <w:vertAlign w:val="superscript"/>
        </w:rPr>
        <w:footnoteReference w:id="7"/>
      </w:r>
      <w:r w:rsidRPr="002D20D6">
        <w:rPr>
          <w:rFonts w:ascii="Times New Roman" w:hAnsi="Times New Roman" w:cs="Times New Roman"/>
          <w:color w:val="0D0D0D" w:themeColor="text1" w:themeTint="F2"/>
          <w:sz w:val="28"/>
          <w:szCs w:val="28"/>
        </w:rPr>
        <w:t xml:space="preserve"> tales manifestaciones no producen efectos jurídicos en el marco de la acción pública de inconstitucionalidad, se concluyó que vencido el</w:t>
      </w:r>
      <w:r w:rsidRPr="002D20D6">
        <w:rPr>
          <w:rFonts w:ascii="Times New Roman" w:hAnsi="Times New Roman" w:cs="Times New Roman"/>
          <w:color w:val="0D0D0D" w:themeColor="text1" w:themeTint="F2"/>
          <w:sz w:val="28"/>
          <w:szCs w:val="28"/>
        </w:rPr>
        <w:t xml:space="preserve"> término conferido para la corrección de la demanda, los accionantes no cumplieron con la carga procesal correspondiente, lo que condujo al rechazo de los cargos previamente inadmitidos.</w:t>
      </w:r>
      <w:r w:rsidRPr="002D20D6">
        <w:rPr>
          <w:rFonts w:ascii="Times New Roman" w:hAnsi="Times New Roman" w:cs="Times New Roman"/>
          <w:color w:val="0D0D0D" w:themeColor="text1" w:themeTint="F2"/>
          <w:sz w:val="28"/>
          <w:szCs w:val="28"/>
          <w:vertAlign w:val="superscript"/>
        </w:rPr>
        <w:footnoteReference w:id="8"/>
      </w:r>
    </w:p>
    <w:p w:rsidR="00410A44" w:rsidRPr="002D20D6" w:rsidRDefault="002D20D6" w:rsidP="00410A44">
      <w:pPr>
        <w:rPr>
          <w:rFonts w:ascii="Times New Roman" w:hAnsi="Times New Roman" w:cs="Times New Roman"/>
          <w:color w:val="0D0D0D" w:themeColor="text1" w:themeTint="F2"/>
          <w:sz w:val="28"/>
          <w:szCs w:val="28"/>
          <w:lang w:val="es-ES"/>
        </w:rPr>
      </w:pPr>
    </w:p>
    <w:p w:rsidR="00410A44" w:rsidRPr="002D20D6" w:rsidRDefault="002D20D6" w:rsidP="00E71300">
      <w:pPr>
        <w:pStyle w:val="NormalWeb"/>
        <w:numPr>
          <w:ilvl w:val="0"/>
          <w:numId w:val="3"/>
        </w:numPr>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Seguidamente, se le dio el trámite constitucional correspondiente a</w:t>
      </w:r>
      <w:r w:rsidRPr="002D20D6">
        <w:rPr>
          <w:rFonts w:ascii="Times New Roman" w:hAnsi="Times New Roman" w:cs="Times New Roman"/>
          <w:color w:val="0D0D0D" w:themeColor="text1" w:themeTint="F2"/>
          <w:sz w:val="28"/>
          <w:szCs w:val="28"/>
        </w:rPr>
        <w:t>l cargo admitido por la vulneración del artículo 53 de la Constitución Política.</w:t>
      </w:r>
      <w:r w:rsidRPr="002D20D6">
        <w:rPr>
          <w:rFonts w:ascii="Times New Roman" w:hAnsi="Times New Roman" w:cs="Times New Roman"/>
          <w:color w:val="0D0D0D" w:themeColor="text1" w:themeTint="F2"/>
          <w:sz w:val="28"/>
          <w:szCs w:val="28"/>
          <w:vertAlign w:val="superscript"/>
        </w:rPr>
        <w:footnoteReference w:id="9"/>
      </w:r>
      <w:r w:rsidRPr="002D20D6">
        <w:rPr>
          <w:rFonts w:ascii="Times New Roman" w:hAnsi="Times New Roman" w:cs="Times New Roman"/>
          <w:color w:val="0D0D0D" w:themeColor="text1" w:themeTint="F2"/>
          <w:sz w:val="28"/>
          <w:szCs w:val="28"/>
        </w:rPr>
        <w:t xml:space="preserve"> En consecuencia, se ordenó comunicar el proceso a la Presidencia de la República, al Ministerio del Trabajo,</w:t>
      </w:r>
      <w:r w:rsidRPr="002D20D6">
        <w:rPr>
          <w:rFonts w:ascii="Times New Roman" w:hAnsi="Times New Roman" w:cs="Times New Roman"/>
          <w:i/>
          <w:iCs/>
          <w:color w:val="0D0D0D" w:themeColor="text1" w:themeTint="F2"/>
          <w:sz w:val="28"/>
          <w:szCs w:val="28"/>
        </w:rPr>
        <w:t xml:space="preserve"> </w:t>
      </w:r>
      <w:r w:rsidRPr="002D20D6">
        <w:rPr>
          <w:rFonts w:ascii="Times New Roman" w:hAnsi="Times New Roman" w:cs="Times New Roman"/>
          <w:color w:val="0D0D0D" w:themeColor="text1" w:themeTint="F2"/>
          <w:sz w:val="28"/>
          <w:szCs w:val="28"/>
        </w:rPr>
        <w:t>correr traslado al Procurador General de la Nación,</w:t>
      </w:r>
      <w:r w:rsidRPr="002D20D6">
        <w:rPr>
          <w:rFonts w:ascii="Times New Roman" w:hAnsi="Times New Roman" w:cs="Times New Roman"/>
          <w:i/>
          <w:iCs/>
          <w:color w:val="0D0D0D" w:themeColor="text1" w:themeTint="F2"/>
          <w:sz w:val="28"/>
          <w:szCs w:val="28"/>
        </w:rPr>
        <w:t xml:space="preserve"> </w:t>
      </w:r>
      <w:r w:rsidRPr="002D20D6">
        <w:rPr>
          <w:rFonts w:ascii="Times New Roman" w:hAnsi="Times New Roman" w:cs="Times New Roman"/>
          <w:color w:val="0D0D0D" w:themeColor="text1" w:themeTint="F2"/>
          <w:sz w:val="28"/>
          <w:szCs w:val="28"/>
        </w:rPr>
        <w:t>fijar en list</w:t>
      </w:r>
      <w:r w:rsidRPr="002D20D6">
        <w:rPr>
          <w:rFonts w:ascii="Times New Roman" w:hAnsi="Times New Roman" w:cs="Times New Roman"/>
          <w:color w:val="0D0D0D" w:themeColor="text1" w:themeTint="F2"/>
          <w:sz w:val="28"/>
          <w:szCs w:val="28"/>
        </w:rPr>
        <w:t>a el proceso e invitar a diferentes expertos y sectores de la administración pública, de la academia y de la sociedad civil para recibir sus conceptos e intervenciones.</w:t>
      </w:r>
      <w:r w:rsidRPr="002D20D6">
        <w:rPr>
          <w:rFonts w:ascii="Times New Roman" w:hAnsi="Times New Roman" w:cs="Times New Roman"/>
          <w:color w:val="0D0D0D" w:themeColor="text1" w:themeTint="F2"/>
          <w:sz w:val="28"/>
          <w:szCs w:val="28"/>
          <w:vertAlign w:val="superscript"/>
        </w:rPr>
        <w:footnoteReference w:id="10"/>
      </w:r>
    </w:p>
    <w:p w:rsidR="00410A44" w:rsidRPr="002D20D6" w:rsidRDefault="002D20D6" w:rsidP="00410A44">
      <w:pPr>
        <w:ind w:right="-233"/>
        <w:jc w:val="both"/>
        <w:rPr>
          <w:rFonts w:ascii="Times New Roman" w:hAnsi="Times New Roman" w:cs="Times New Roman"/>
          <w:color w:val="0D0D0D" w:themeColor="text1" w:themeTint="F2"/>
          <w:sz w:val="28"/>
          <w:szCs w:val="28"/>
        </w:rPr>
      </w:pPr>
    </w:p>
    <w:p w:rsidR="00410A44" w:rsidRPr="002D20D6" w:rsidRDefault="002D20D6" w:rsidP="00D75159">
      <w:pPr>
        <w:pStyle w:val="NormalWeb"/>
        <w:numPr>
          <w:ilvl w:val="0"/>
          <w:numId w:val="3"/>
        </w:numPr>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i/>
          <w:iCs/>
          <w:color w:val="0D0D0D" w:themeColor="text1" w:themeTint="F2"/>
          <w:sz w:val="28"/>
          <w:szCs w:val="28"/>
          <w:u w:val="single"/>
        </w:rPr>
        <w:t>Sobre el único cargo admitido por la presunta vulneración del artículo 53 de la Const</w:t>
      </w:r>
      <w:r w:rsidRPr="002D20D6">
        <w:rPr>
          <w:rFonts w:ascii="Times New Roman" w:hAnsi="Times New Roman" w:cs="Times New Roman"/>
          <w:i/>
          <w:iCs/>
          <w:color w:val="0D0D0D" w:themeColor="text1" w:themeTint="F2"/>
          <w:sz w:val="28"/>
          <w:szCs w:val="28"/>
          <w:u w:val="single"/>
        </w:rPr>
        <w:t>itución (irrenunciabilidad de los derechos mínimos</w:t>
      </w:r>
      <w:r w:rsidRPr="002D20D6">
        <w:rPr>
          <w:rFonts w:ascii="Times New Roman" w:hAnsi="Times New Roman" w:cs="Times New Roman"/>
          <w:i/>
          <w:iCs/>
          <w:color w:val="0D0D0D" w:themeColor="text1" w:themeTint="F2"/>
          <w:sz w:val="28"/>
          <w:szCs w:val="28"/>
        </w:rPr>
        <w:t>).</w:t>
      </w:r>
      <w:r w:rsidRPr="002D20D6">
        <w:rPr>
          <w:rFonts w:ascii="Times New Roman" w:hAnsi="Times New Roman" w:cs="Times New Roman"/>
          <w:color w:val="0D0D0D" w:themeColor="text1" w:themeTint="F2"/>
          <w:sz w:val="28"/>
          <w:szCs w:val="28"/>
        </w:rPr>
        <w:t xml:space="preserve"> Los demandantes señalaron que la expresión objeto de reproche “</w:t>
      </w:r>
      <w:r w:rsidRPr="002D20D6">
        <w:rPr>
          <w:rFonts w:ascii="Times New Roman" w:hAnsi="Times New Roman" w:cs="Times New Roman"/>
          <w:i/>
          <w:iCs/>
          <w:color w:val="0D0D0D" w:themeColor="text1" w:themeTint="F2"/>
          <w:sz w:val="28"/>
          <w:szCs w:val="28"/>
        </w:rPr>
        <w:t xml:space="preserve">(…) resulta contraria al artículo 53 de la Constitución Política (…) en tanto otorga a una autoridad administrativa —el Inspector del </w:t>
      </w:r>
      <w:r w:rsidRPr="002D20D6">
        <w:rPr>
          <w:rFonts w:ascii="Times New Roman" w:hAnsi="Times New Roman" w:cs="Times New Roman"/>
          <w:i/>
          <w:iCs/>
          <w:color w:val="0D0D0D" w:themeColor="text1" w:themeTint="F2"/>
          <w:sz w:val="28"/>
          <w:szCs w:val="28"/>
        </w:rPr>
        <w:t>Trabajo— la facultad de autorizar la renuncia de derechos laborales mínimos, lo cual vulnera el principio de irrenunciabilidad, eje estructural del Derecho del Trabajo colombiano.</w:t>
      </w:r>
      <w:r w:rsidRPr="002D20D6">
        <w:rPr>
          <w:rFonts w:ascii="Times New Roman" w:hAnsi="Times New Roman" w:cs="Times New Roman"/>
          <w:color w:val="0D0D0D" w:themeColor="text1" w:themeTint="F2"/>
          <w:sz w:val="28"/>
          <w:szCs w:val="28"/>
        </w:rPr>
        <w:t>”</w:t>
      </w:r>
      <w:r w:rsidRPr="002D20D6">
        <w:rPr>
          <w:rFonts w:ascii="Times New Roman" w:hAnsi="Times New Roman" w:cs="Times New Roman"/>
          <w:color w:val="0D0D0D" w:themeColor="text1" w:themeTint="F2"/>
          <w:sz w:val="28"/>
          <w:szCs w:val="28"/>
          <w:vertAlign w:val="superscript"/>
        </w:rPr>
        <w:footnoteReference w:id="11"/>
      </w:r>
      <w:r w:rsidRPr="002D20D6">
        <w:rPr>
          <w:rFonts w:ascii="Times New Roman" w:hAnsi="Times New Roman" w:cs="Times New Roman"/>
          <w:color w:val="0D0D0D" w:themeColor="text1" w:themeTint="F2"/>
          <w:sz w:val="28"/>
          <w:szCs w:val="28"/>
          <w:vertAlign w:val="superscript"/>
        </w:rPr>
        <w:t xml:space="preserve"> </w:t>
      </w:r>
      <w:r w:rsidRPr="002D20D6">
        <w:rPr>
          <w:rFonts w:ascii="Times New Roman" w:hAnsi="Times New Roman" w:cs="Times New Roman"/>
          <w:color w:val="0D0D0D" w:themeColor="text1" w:themeTint="F2"/>
          <w:sz w:val="28"/>
          <w:szCs w:val="28"/>
        </w:rPr>
        <w:t>Los actores estimaron que cualquier norma que permite a los inspectores de</w:t>
      </w:r>
      <w:r w:rsidRPr="002D20D6">
        <w:rPr>
          <w:rFonts w:ascii="Times New Roman" w:hAnsi="Times New Roman" w:cs="Times New Roman"/>
          <w:color w:val="0D0D0D" w:themeColor="text1" w:themeTint="F2"/>
          <w:sz w:val="28"/>
          <w:szCs w:val="28"/>
        </w:rPr>
        <w:t>l trabajo autorizar la renuncia de las prestaciones sociales es incompatible con el artículo 53 constitucional.</w:t>
      </w:r>
      <w:r w:rsidRPr="002D20D6">
        <w:rPr>
          <w:rFonts w:ascii="Times New Roman" w:hAnsi="Times New Roman" w:cs="Times New Roman"/>
          <w:color w:val="0D0D0D" w:themeColor="text1" w:themeTint="F2"/>
          <w:sz w:val="28"/>
          <w:szCs w:val="28"/>
          <w:vertAlign w:val="superscript"/>
        </w:rPr>
        <w:footnoteReference w:id="12"/>
      </w:r>
      <w:r w:rsidRPr="002D20D6">
        <w:rPr>
          <w:rFonts w:ascii="Times New Roman" w:hAnsi="Times New Roman" w:cs="Times New Roman"/>
          <w:color w:val="0D0D0D" w:themeColor="text1" w:themeTint="F2"/>
          <w:sz w:val="28"/>
          <w:szCs w:val="28"/>
        </w:rPr>
        <w:t xml:space="preserve"> </w:t>
      </w:r>
    </w:p>
    <w:p w:rsidR="008C1E7D" w:rsidRPr="002D20D6" w:rsidRDefault="002D20D6" w:rsidP="008C1E7D">
      <w:pPr>
        <w:pStyle w:val="NormalWeb"/>
        <w:jc w:val="both"/>
        <w:rPr>
          <w:rFonts w:ascii="Times New Roman" w:hAnsi="Times New Roman" w:cs="Times New Roman"/>
          <w:color w:val="0D0D0D" w:themeColor="text1" w:themeTint="F2"/>
          <w:sz w:val="28"/>
          <w:szCs w:val="28"/>
        </w:rPr>
      </w:pPr>
    </w:p>
    <w:p w:rsidR="007C1442" w:rsidRPr="002D20D6" w:rsidRDefault="002D20D6" w:rsidP="007C1442">
      <w:pPr>
        <w:pStyle w:val="NormalWeb"/>
        <w:numPr>
          <w:ilvl w:val="0"/>
          <w:numId w:val="3"/>
        </w:numPr>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Los ciudadanos consideraron que conforme a una interpretación sistemática de la norma, el aparte demandado también es contrario al artículo </w:t>
      </w:r>
      <w:r w:rsidRPr="002D20D6">
        <w:rPr>
          <w:rFonts w:ascii="Times New Roman" w:hAnsi="Times New Roman" w:cs="Times New Roman"/>
          <w:color w:val="0D0D0D" w:themeColor="text1" w:themeTint="F2"/>
          <w:sz w:val="28"/>
          <w:szCs w:val="28"/>
        </w:rPr>
        <w:t>486 del Código Sustantivo del Trabajo sobre las atribuciones y sanciones de los inspectores del trabajo, así como a la Ley 1610 de 2013, la cual regula el Sistema de Inspección, Vigilancia y Control del Trabajo.</w:t>
      </w:r>
      <w:r w:rsidRPr="002D20D6">
        <w:rPr>
          <w:rFonts w:ascii="Times New Roman" w:hAnsi="Times New Roman" w:cs="Times New Roman"/>
          <w:color w:val="0D0D0D" w:themeColor="text1" w:themeTint="F2"/>
          <w:sz w:val="28"/>
          <w:szCs w:val="28"/>
          <w:vertAlign w:val="superscript"/>
        </w:rPr>
        <w:footnoteReference w:id="13"/>
      </w:r>
      <w:r w:rsidRPr="002D20D6">
        <w:rPr>
          <w:rFonts w:ascii="Times New Roman" w:hAnsi="Times New Roman" w:cs="Times New Roman"/>
          <w:color w:val="0D0D0D" w:themeColor="text1" w:themeTint="F2"/>
          <w:sz w:val="28"/>
          <w:szCs w:val="28"/>
        </w:rPr>
        <w:t xml:space="preserve"> Indicaron que estas son normas que recalcan</w:t>
      </w:r>
      <w:r w:rsidRPr="002D20D6">
        <w:rPr>
          <w:rFonts w:ascii="Times New Roman" w:hAnsi="Times New Roman" w:cs="Times New Roman"/>
          <w:color w:val="0D0D0D" w:themeColor="text1" w:themeTint="F2"/>
          <w:sz w:val="28"/>
          <w:szCs w:val="28"/>
        </w:rPr>
        <w:t xml:space="preserve"> el carácter preventivo y la función de los inspectores del trabajo de proteger los derechos mínimos del trabajador. En consecuencia, la expresión demandada otorga una facultad exorbitante a los inspectores del trabajo y a los alcaldes municipales.</w:t>
      </w:r>
      <w:r w:rsidRPr="002D20D6">
        <w:rPr>
          <w:rFonts w:ascii="Times New Roman" w:hAnsi="Times New Roman" w:cs="Times New Roman"/>
          <w:color w:val="0D0D0D" w:themeColor="text1" w:themeTint="F2"/>
          <w:sz w:val="28"/>
          <w:szCs w:val="28"/>
          <w:vertAlign w:val="superscript"/>
        </w:rPr>
        <w:footnoteReference w:id="14"/>
      </w:r>
      <w:r w:rsidRPr="002D20D6">
        <w:rPr>
          <w:rFonts w:ascii="Times New Roman" w:hAnsi="Times New Roman" w:cs="Times New Roman"/>
          <w:color w:val="0D0D0D" w:themeColor="text1" w:themeTint="F2"/>
          <w:sz w:val="28"/>
          <w:szCs w:val="28"/>
        </w:rPr>
        <w:t xml:space="preserve"> </w:t>
      </w:r>
    </w:p>
    <w:p w:rsidR="00410A44" w:rsidRPr="002D20D6" w:rsidRDefault="002D20D6" w:rsidP="00410A44">
      <w:pPr>
        <w:pStyle w:val="NormalWeb"/>
        <w:rPr>
          <w:rFonts w:ascii="Times New Roman" w:hAnsi="Times New Roman" w:cs="Times New Roman"/>
          <w:color w:val="0D0D0D" w:themeColor="text1" w:themeTint="F2"/>
          <w:sz w:val="28"/>
          <w:szCs w:val="28"/>
        </w:rPr>
      </w:pPr>
    </w:p>
    <w:p w:rsidR="00410A44" w:rsidRPr="002D20D6" w:rsidRDefault="002D20D6" w:rsidP="00410A44">
      <w:pPr>
        <w:pStyle w:val="NormalWeb"/>
        <w:numPr>
          <w:ilvl w:val="0"/>
          <w:numId w:val="3"/>
        </w:numPr>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lang w:val="es-CO" w:eastAsia="es-ES_tradnl"/>
        </w:rPr>
        <w:t>En c</w:t>
      </w:r>
      <w:r w:rsidRPr="002D20D6">
        <w:rPr>
          <w:rFonts w:ascii="Times New Roman" w:hAnsi="Times New Roman" w:cs="Times New Roman"/>
          <w:color w:val="0D0D0D" w:themeColor="text1" w:themeTint="F2"/>
          <w:sz w:val="28"/>
          <w:szCs w:val="28"/>
          <w:lang w:val="es-CO" w:eastAsia="es-ES_tradnl"/>
        </w:rPr>
        <w:t>onsecuencia, solicitaron declarar la inexequibilidad de la expresión “</w:t>
      </w:r>
      <w:r w:rsidRPr="002D20D6">
        <w:rPr>
          <w:rFonts w:ascii="Times New Roman" w:hAnsi="Times New Roman" w:cs="Times New Roman"/>
          <w:i/>
          <w:iCs/>
          <w:color w:val="0D0D0D" w:themeColor="text1" w:themeTint="F2"/>
          <w:sz w:val="28"/>
          <w:szCs w:val="28"/>
        </w:rPr>
        <w:t>y para renunciar prestaciones sociales</w:t>
      </w:r>
      <w:r w:rsidRPr="002D20D6">
        <w:rPr>
          <w:rFonts w:ascii="Times New Roman" w:hAnsi="Times New Roman" w:cs="Times New Roman"/>
          <w:color w:val="0D0D0D" w:themeColor="text1" w:themeTint="F2"/>
          <w:sz w:val="28"/>
          <w:szCs w:val="28"/>
        </w:rPr>
        <w:t>”, contenida en el artículo 148 del Decreto Ley 2158 de 1948.</w:t>
      </w:r>
    </w:p>
    <w:p w:rsidR="00185632" w:rsidRPr="002D20D6" w:rsidRDefault="002D20D6" w:rsidP="003253BA">
      <w:pPr>
        <w:pStyle w:val="NormalWeb"/>
        <w:tabs>
          <w:tab w:val="left" w:pos="709"/>
        </w:tabs>
        <w:ind w:right="49"/>
        <w:jc w:val="both"/>
        <w:rPr>
          <w:rFonts w:ascii="Times New Roman" w:hAnsi="Times New Roman" w:cs="Times New Roman"/>
          <w:b/>
          <w:bCs/>
          <w:color w:val="0D0D0D" w:themeColor="text1" w:themeTint="F2"/>
          <w:sz w:val="28"/>
          <w:szCs w:val="28"/>
        </w:rPr>
      </w:pPr>
    </w:p>
    <w:p w:rsidR="00DE59D7" w:rsidRPr="002D20D6" w:rsidRDefault="002D20D6" w:rsidP="003253BA">
      <w:pPr>
        <w:pStyle w:val="NormalWeb"/>
        <w:tabs>
          <w:tab w:val="left" w:pos="709"/>
        </w:tabs>
        <w:ind w:right="49"/>
        <w:jc w:val="both"/>
        <w:rPr>
          <w:rFonts w:ascii="Times New Roman" w:hAnsi="Times New Roman" w:cs="Times New Roman"/>
          <w:b/>
          <w:bCs/>
          <w:color w:val="0D0D0D" w:themeColor="text1" w:themeTint="F2"/>
          <w:sz w:val="28"/>
          <w:szCs w:val="28"/>
        </w:rPr>
      </w:pPr>
    </w:p>
    <w:p w:rsidR="00410A44" w:rsidRPr="002D20D6" w:rsidRDefault="002D20D6" w:rsidP="003253BA">
      <w:pPr>
        <w:pStyle w:val="NormalWeb"/>
        <w:tabs>
          <w:tab w:val="left" w:pos="709"/>
        </w:tabs>
        <w:ind w:right="49"/>
        <w:jc w:val="both"/>
        <w:rPr>
          <w:rFonts w:ascii="Times New Roman" w:hAnsi="Times New Roman" w:cs="Times New Roman"/>
          <w:b/>
          <w:bCs/>
          <w:color w:val="0D0D0D" w:themeColor="text1" w:themeTint="F2"/>
          <w:sz w:val="28"/>
          <w:szCs w:val="28"/>
        </w:rPr>
      </w:pPr>
      <w:r w:rsidRPr="002D20D6">
        <w:rPr>
          <w:rFonts w:ascii="Times New Roman" w:hAnsi="Times New Roman" w:cs="Times New Roman"/>
          <w:b/>
          <w:bCs/>
          <w:color w:val="0D0D0D" w:themeColor="text1" w:themeTint="F2"/>
          <w:sz w:val="28"/>
          <w:szCs w:val="28"/>
        </w:rPr>
        <w:t xml:space="preserve">Intervenciones y conceptos </w:t>
      </w:r>
    </w:p>
    <w:p w:rsidR="00410A44" w:rsidRPr="002D20D6" w:rsidRDefault="002D20D6" w:rsidP="00410A44">
      <w:pPr>
        <w:tabs>
          <w:tab w:val="left" w:pos="567"/>
        </w:tabs>
        <w:ind w:right="49"/>
        <w:jc w:val="both"/>
        <w:rPr>
          <w:rFonts w:ascii="Times New Roman" w:hAnsi="Times New Roman" w:cs="Times New Roman"/>
          <w:i/>
          <w:iCs/>
          <w:color w:val="0D0D0D" w:themeColor="text1" w:themeTint="F2"/>
          <w:sz w:val="28"/>
          <w:szCs w:val="28"/>
        </w:rPr>
      </w:pPr>
    </w:p>
    <w:p w:rsidR="00F83AAD" w:rsidRPr="002D20D6" w:rsidRDefault="002D20D6">
      <w:pPr>
        <w:pStyle w:val="NormalWeb"/>
        <w:numPr>
          <w:ilvl w:val="0"/>
          <w:numId w:val="3"/>
        </w:numPr>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lang w:val="es-CO"/>
        </w:rPr>
        <w:t>Si bien dentro</w:t>
      </w:r>
      <w:r w:rsidRPr="002D20D6">
        <w:rPr>
          <w:rFonts w:ascii="Times New Roman" w:hAnsi="Times New Roman" w:cs="Times New Roman"/>
          <w:color w:val="0D0D0D" w:themeColor="text1" w:themeTint="F2"/>
          <w:sz w:val="28"/>
          <w:szCs w:val="28"/>
        </w:rPr>
        <w:t xml:space="preserve"> del término de fijación en lista no se recibieron intervenciones ciudadanas de manera oportuna (en atención al artículo 7 del Decreto Ley 2067 de 1991)</w:t>
      </w:r>
      <w:r w:rsidRPr="002D20D6">
        <w:rPr>
          <w:rFonts w:ascii="Times New Roman" w:hAnsi="Times New Roman" w:cs="Times New Roman"/>
          <w:color w:val="0D0D0D" w:themeColor="text1" w:themeTint="F2"/>
          <w:sz w:val="28"/>
          <w:szCs w:val="28"/>
          <w:vertAlign w:val="superscript"/>
        </w:rPr>
        <w:footnoteReference w:id="15"/>
      </w:r>
      <w:r w:rsidRPr="002D20D6">
        <w:rPr>
          <w:rFonts w:ascii="Times New Roman" w:hAnsi="Times New Roman" w:cs="Times New Roman"/>
          <w:color w:val="0D0D0D" w:themeColor="text1" w:themeTint="F2"/>
          <w:sz w:val="28"/>
          <w:szCs w:val="28"/>
        </w:rPr>
        <w:t xml:space="preserve"> se allegaron ocho (8) conceptos de entidades, organizaciones privadas y expertos invitados (conforme a</w:t>
      </w:r>
      <w:r w:rsidRPr="002D20D6">
        <w:rPr>
          <w:rFonts w:ascii="Times New Roman" w:hAnsi="Times New Roman" w:cs="Times New Roman"/>
          <w:color w:val="0D0D0D" w:themeColor="text1" w:themeTint="F2"/>
          <w:sz w:val="28"/>
          <w:szCs w:val="28"/>
        </w:rPr>
        <w:t xml:space="preserve">l artículo 13 del Decreto Ley 2067 de 1991), así: </w:t>
      </w:r>
    </w:p>
    <w:p w:rsidR="00410A44" w:rsidRPr="002D20D6" w:rsidRDefault="002D20D6" w:rsidP="00410A44">
      <w:pPr>
        <w:pStyle w:val="NormalWeb"/>
        <w:ind w:right="49"/>
        <w:jc w:val="both"/>
        <w:rPr>
          <w:rFonts w:ascii="Times New Roman" w:hAnsi="Times New Roman" w:cs="Times New Roman"/>
          <w:color w:val="0D0D0D" w:themeColor="text1" w:themeTint="F2"/>
          <w:sz w:val="28"/>
          <w:szCs w:val="28"/>
        </w:rPr>
      </w:pPr>
    </w:p>
    <w:tbl>
      <w:tblPr>
        <w:tblStyle w:val="Tablaconcuadrcula"/>
        <w:tblW w:w="0" w:type="auto"/>
        <w:tblLook w:val="04A0" w:firstRow="1" w:lastRow="0" w:firstColumn="1" w:lastColumn="0" w:noHBand="0" w:noVBand="1"/>
      </w:tblPr>
      <w:tblGrid>
        <w:gridCol w:w="9209"/>
      </w:tblGrid>
      <w:tr w:rsidR="00485A36" w:rsidRPr="002D20D6" w:rsidTr="001853C0">
        <w:tc>
          <w:tcPr>
            <w:tcW w:w="9209" w:type="dxa"/>
            <w:vAlign w:val="center"/>
          </w:tcPr>
          <w:p w:rsidR="001853C0" w:rsidRPr="002D20D6" w:rsidRDefault="002D20D6">
            <w:pPr>
              <w:ind w:right="49"/>
              <w:contextualSpacing/>
              <w:jc w:val="center"/>
              <w:rPr>
                <w:rFonts w:ascii="Times New Roman" w:eastAsia="Calibri" w:hAnsi="Times New Roman" w:cs="Times New Roman"/>
                <w:b/>
                <w:color w:val="0D0D0D" w:themeColor="text1" w:themeTint="F2"/>
                <w:sz w:val="28"/>
                <w:szCs w:val="28"/>
              </w:rPr>
            </w:pPr>
            <w:r w:rsidRPr="002D20D6">
              <w:rPr>
                <w:rFonts w:ascii="Times New Roman" w:eastAsia="Calibri" w:hAnsi="Times New Roman" w:cs="Times New Roman"/>
                <w:b/>
                <w:color w:val="0D0D0D" w:themeColor="text1" w:themeTint="F2"/>
                <w:sz w:val="28"/>
                <w:szCs w:val="28"/>
              </w:rPr>
              <w:t>Invitado</w:t>
            </w:r>
          </w:p>
        </w:tc>
      </w:tr>
      <w:tr w:rsidR="00485A36" w:rsidRPr="002D20D6" w:rsidTr="001853C0">
        <w:tc>
          <w:tcPr>
            <w:tcW w:w="9209" w:type="dxa"/>
            <w:vAlign w:val="center"/>
          </w:tcPr>
          <w:p w:rsidR="001853C0" w:rsidRPr="002D20D6" w:rsidRDefault="002D20D6">
            <w:pPr>
              <w:pStyle w:val="Prrafodelista"/>
              <w:ind w:left="0" w:right="49"/>
              <w:jc w:val="both"/>
              <w:rPr>
                <w:rFonts w:ascii="Times New Roman" w:hAnsi="Times New Roman" w:cs="Times New Roman"/>
                <w:color w:val="0D0D0D" w:themeColor="text1" w:themeTint="F2"/>
                <w:sz w:val="28"/>
                <w:szCs w:val="28"/>
                <w:lang w:eastAsia="es-CO"/>
              </w:rPr>
            </w:pPr>
            <w:r w:rsidRPr="002D20D6">
              <w:rPr>
                <w:rFonts w:ascii="Times New Roman" w:hAnsi="Times New Roman" w:cs="Times New Roman"/>
                <w:color w:val="0D0D0D" w:themeColor="text1" w:themeTint="F2"/>
                <w:sz w:val="28"/>
                <w:szCs w:val="28"/>
                <w:lang w:val="es-CO"/>
              </w:rPr>
              <w:t xml:space="preserve">Escrito conjunto del </w:t>
            </w:r>
            <w:r w:rsidRPr="002D20D6">
              <w:rPr>
                <w:rFonts w:ascii="Times New Roman" w:hAnsi="Times New Roman" w:cs="Times New Roman"/>
                <w:color w:val="0D0D0D" w:themeColor="text1" w:themeTint="F2"/>
                <w:sz w:val="28"/>
                <w:szCs w:val="28"/>
              </w:rPr>
              <w:t>Departamento Administrativo de la Presidencia de la República y el Ministerio del Trabajo</w:t>
            </w:r>
          </w:p>
        </w:tc>
      </w:tr>
      <w:tr w:rsidR="00485A36" w:rsidRPr="002D20D6" w:rsidTr="001853C0">
        <w:tc>
          <w:tcPr>
            <w:tcW w:w="9209" w:type="dxa"/>
            <w:vAlign w:val="center"/>
          </w:tcPr>
          <w:p w:rsidR="001853C0" w:rsidRPr="002D20D6" w:rsidRDefault="002D20D6">
            <w:pPr>
              <w:pStyle w:val="Prrafodelista"/>
              <w:ind w:left="0" w:right="49"/>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Defensoría del Pueblo</w:t>
            </w:r>
          </w:p>
        </w:tc>
      </w:tr>
      <w:tr w:rsidR="00485A36" w:rsidRPr="002D20D6" w:rsidTr="001853C0">
        <w:tc>
          <w:tcPr>
            <w:tcW w:w="9209" w:type="dxa"/>
            <w:vAlign w:val="center"/>
          </w:tcPr>
          <w:p w:rsidR="001853C0" w:rsidRPr="002D20D6" w:rsidRDefault="002D20D6">
            <w:pPr>
              <w:pStyle w:val="Prrafodelista"/>
              <w:ind w:left="0" w:right="49"/>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Academia Colombiana de Jurisprudencia </w:t>
            </w:r>
          </w:p>
        </w:tc>
      </w:tr>
      <w:tr w:rsidR="00485A36" w:rsidRPr="002D20D6" w:rsidTr="001853C0">
        <w:tc>
          <w:tcPr>
            <w:tcW w:w="9209" w:type="dxa"/>
            <w:vAlign w:val="center"/>
          </w:tcPr>
          <w:p w:rsidR="001853C0" w:rsidRPr="002D20D6" w:rsidRDefault="002D20D6">
            <w:pPr>
              <w:pStyle w:val="p1"/>
              <w:ind w:right="49"/>
              <w:jc w:val="both"/>
              <w:rPr>
                <w:rFonts w:ascii="Times New Roman" w:eastAsiaTheme="minorHAnsi" w:hAnsi="Times New Roman" w:cs="Times New Roman"/>
                <w:color w:val="0D0D0D" w:themeColor="text1" w:themeTint="F2"/>
                <w:sz w:val="28"/>
                <w:szCs w:val="28"/>
                <w:lang w:val="es-ES" w:eastAsia="en-US"/>
              </w:rPr>
            </w:pPr>
            <w:r w:rsidRPr="002D20D6">
              <w:rPr>
                <w:rFonts w:ascii="Times New Roman" w:eastAsiaTheme="minorHAnsi" w:hAnsi="Times New Roman" w:cs="Times New Roman"/>
                <w:color w:val="0D0D0D" w:themeColor="text1" w:themeTint="F2"/>
                <w:sz w:val="28"/>
                <w:szCs w:val="28"/>
                <w:lang w:val="es-ES" w:eastAsia="en-US"/>
              </w:rPr>
              <w:t xml:space="preserve">Asociación </w:t>
            </w:r>
            <w:r w:rsidRPr="002D20D6">
              <w:rPr>
                <w:rFonts w:ascii="Times New Roman" w:eastAsiaTheme="minorHAnsi" w:hAnsi="Times New Roman" w:cs="Times New Roman"/>
                <w:color w:val="0D0D0D" w:themeColor="text1" w:themeTint="F2"/>
                <w:sz w:val="28"/>
                <w:szCs w:val="28"/>
                <w:lang w:val="es-ES" w:eastAsia="en-US"/>
              </w:rPr>
              <w:t>Colombiana de Administradoras de Fondos de Pensiones y de Cesantía (Asofondos)</w:t>
            </w:r>
          </w:p>
        </w:tc>
      </w:tr>
      <w:tr w:rsidR="00485A36" w:rsidRPr="002D20D6" w:rsidTr="001853C0">
        <w:tc>
          <w:tcPr>
            <w:tcW w:w="9209" w:type="dxa"/>
            <w:vAlign w:val="center"/>
          </w:tcPr>
          <w:p w:rsidR="001853C0" w:rsidRPr="002D20D6" w:rsidRDefault="002D20D6">
            <w:pPr>
              <w:pStyle w:val="p1"/>
              <w:ind w:right="49"/>
              <w:rPr>
                <w:rFonts w:ascii="Times New Roman" w:eastAsiaTheme="minorHAnsi" w:hAnsi="Times New Roman" w:cs="Times New Roman"/>
                <w:color w:val="0D0D0D" w:themeColor="text1" w:themeTint="F2"/>
                <w:sz w:val="28"/>
                <w:szCs w:val="28"/>
                <w:lang w:val="es-ES" w:eastAsia="en-US"/>
              </w:rPr>
            </w:pPr>
            <w:r w:rsidRPr="002D20D6">
              <w:rPr>
                <w:rFonts w:ascii="Times New Roman" w:eastAsiaTheme="minorHAnsi" w:hAnsi="Times New Roman" w:cs="Times New Roman"/>
                <w:color w:val="0D0D0D" w:themeColor="text1" w:themeTint="F2"/>
                <w:sz w:val="28"/>
                <w:szCs w:val="28"/>
                <w:lang w:val="es-ES" w:eastAsia="en-US"/>
              </w:rPr>
              <w:t>Universidad de Caldas</w:t>
            </w:r>
          </w:p>
        </w:tc>
      </w:tr>
      <w:tr w:rsidR="00485A36" w:rsidRPr="002D20D6" w:rsidTr="001853C0">
        <w:tc>
          <w:tcPr>
            <w:tcW w:w="9209" w:type="dxa"/>
            <w:vAlign w:val="center"/>
          </w:tcPr>
          <w:p w:rsidR="001853C0" w:rsidRPr="002D20D6" w:rsidRDefault="002D20D6">
            <w:pPr>
              <w:pStyle w:val="p1"/>
              <w:ind w:right="49"/>
              <w:rPr>
                <w:rFonts w:ascii="Times New Roman" w:eastAsiaTheme="minorHAnsi" w:hAnsi="Times New Roman" w:cs="Times New Roman"/>
                <w:color w:val="0D0D0D" w:themeColor="text1" w:themeTint="F2"/>
                <w:sz w:val="28"/>
                <w:szCs w:val="28"/>
                <w:lang w:val="es-ES" w:eastAsia="en-US"/>
              </w:rPr>
            </w:pPr>
            <w:r w:rsidRPr="002D20D6">
              <w:rPr>
                <w:rFonts w:ascii="Times New Roman" w:eastAsiaTheme="minorHAnsi" w:hAnsi="Times New Roman" w:cs="Times New Roman"/>
                <w:color w:val="0D0D0D" w:themeColor="text1" w:themeTint="F2"/>
                <w:sz w:val="28"/>
                <w:szCs w:val="28"/>
                <w:lang w:val="es-ES" w:eastAsia="en-US"/>
              </w:rPr>
              <w:t>Universidad del Norte</w:t>
            </w:r>
          </w:p>
        </w:tc>
      </w:tr>
      <w:tr w:rsidR="00485A36" w:rsidRPr="002D20D6" w:rsidTr="001853C0">
        <w:tc>
          <w:tcPr>
            <w:tcW w:w="9209" w:type="dxa"/>
            <w:vAlign w:val="center"/>
          </w:tcPr>
          <w:p w:rsidR="001853C0" w:rsidRPr="002D20D6" w:rsidRDefault="002D20D6">
            <w:pPr>
              <w:pStyle w:val="p1"/>
              <w:ind w:right="49"/>
              <w:rPr>
                <w:rFonts w:ascii="Times New Roman" w:eastAsiaTheme="minorHAnsi" w:hAnsi="Times New Roman" w:cs="Times New Roman"/>
                <w:color w:val="0D0D0D" w:themeColor="text1" w:themeTint="F2"/>
                <w:sz w:val="28"/>
                <w:szCs w:val="28"/>
                <w:lang w:val="es-ES" w:eastAsia="en-US"/>
              </w:rPr>
            </w:pPr>
            <w:r w:rsidRPr="002D20D6">
              <w:rPr>
                <w:rFonts w:ascii="Times New Roman" w:eastAsiaTheme="minorHAnsi" w:hAnsi="Times New Roman" w:cs="Times New Roman"/>
                <w:color w:val="0D0D0D" w:themeColor="text1" w:themeTint="F2"/>
                <w:sz w:val="28"/>
                <w:szCs w:val="28"/>
                <w:lang w:val="es-ES" w:eastAsia="en-US"/>
              </w:rPr>
              <w:t xml:space="preserve">Universidad Pontificia Bolivariana </w:t>
            </w:r>
          </w:p>
        </w:tc>
      </w:tr>
      <w:tr w:rsidR="00485A36" w:rsidRPr="002D20D6" w:rsidTr="001853C0">
        <w:tc>
          <w:tcPr>
            <w:tcW w:w="9209" w:type="dxa"/>
            <w:vAlign w:val="center"/>
          </w:tcPr>
          <w:p w:rsidR="001853C0" w:rsidRPr="002D20D6" w:rsidRDefault="002D20D6">
            <w:pPr>
              <w:pStyle w:val="p1"/>
              <w:ind w:right="49"/>
              <w:rPr>
                <w:rFonts w:ascii="Times New Roman" w:eastAsiaTheme="minorHAnsi" w:hAnsi="Times New Roman" w:cs="Times New Roman"/>
                <w:color w:val="0D0D0D" w:themeColor="text1" w:themeTint="F2"/>
                <w:sz w:val="28"/>
                <w:szCs w:val="28"/>
                <w:lang w:val="es-ES" w:eastAsia="en-US"/>
              </w:rPr>
            </w:pPr>
            <w:r w:rsidRPr="002D20D6">
              <w:rPr>
                <w:rFonts w:ascii="Times New Roman" w:eastAsiaTheme="minorHAnsi" w:hAnsi="Times New Roman" w:cs="Times New Roman"/>
                <w:color w:val="0D0D0D" w:themeColor="text1" w:themeTint="F2"/>
                <w:sz w:val="28"/>
                <w:szCs w:val="28"/>
                <w:lang w:val="es-ES" w:eastAsia="en-US"/>
              </w:rPr>
              <w:t>Camilo Alberto Cuervo Díaz</w:t>
            </w:r>
          </w:p>
        </w:tc>
      </w:tr>
    </w:tbl>
    <w:p w:rsidR="00D553C6" w:rsidRPr="002D20D6" w:rsidRDefault="002D20D6" w:rsidP="00410A44">
      <w:pPr>
        <w:ind w:right="49"/>
        <w:jc w:val="both"/>
        <w:rPr>
          <w:rFonts w:ascii="Times New Roman" w:hAnsi="Times New Roman" w:cs="Times New Roman"/>
          <w:b/>
          <w:bCs/>
          <w:i/>
          <w:iCs/>
          <w:color w:val="0D0D0D" w:themeColor="text1" w:themeTint="F2"/>
          <w:sz w:val="28"/>
          <w:szCs w:val="28"/>
        </w:rPr>
      </w:pPr>
    </w:p>
    <w:p w:rsidR="00410A44" w:rsidRPr="002D20D6" w:rsidRDefault="002D20D6" w:rsidP="00410A44">
      <w:pPr>
        <w:ind w:right="49"/>
        <w:jc w:val="both"/>
        <w:rPr>
          <w:rFonts w:ascii="Times New Roman" w:hAnsi="Times New Roman" w:cs="Times New Roman"/>
          <w:b/>
          <w:bCs/>
          <w:color w:val="0D0D0D" w:themeColor="text1" w:themeTint="F2"/>
          <w:sz w:val="28"/>
          <w:szCs w:val="28"/>
        </w:rPr>
      </w:pPr>
      <w:r w:rsidRPr="002D20D6">
        <w:rPr>
          <w:rFonts w:ascii="Times New Roman" w:hAnsi="Times New Roman" w:cs="Times New Roman"/>
          <w:b/>
          <w:bCs/>
          <w:color w:val="0D0D0D" w:themeColor="text1" w:themeTint="F2"/>
          <w:sz w:val="28"/>
          <w:szCs w:val="28"/>
        </w:rPr>
        <w:t xml:space="preserve">Concepto de los invitados en virtud del artículo 13 del Decreto 2067 de 1991 </w:t>
      </w:r>
    </w:p>
    <w:p w:rsidR="00410A44" w:rsidRPr="002D20D6" w:rsidRDefault="002D20D6" w:rsidP="00410A44">
      <w:pPr>
        <w:ind w:right="49"/>
        <w:jc w:val="both"/>
        <w:rPr>
          <w:rFonts w:ascii="Times New Roman" w:hAnsi="Times New Roman" w:cs="Times New Roman"/>
          <w:color w:val="0D0D0D" w:themeColor="text1" w:themeTint="F2"/>
          <w:sz w:val="28"/>
          <w:szCs w:val="28"/>
        </w:rPr>
      </w:pPr>
    </w:p>
    <w:p w:rsidR="00410A44" w:rsidRPr="002D20D6" w:rsidRDefault="002D20D6" w:rsidP="00410A44">
      <w:pPr>
        <w:pStyle w:val="NormalWeb"/>
        <w:numPr>
          <w:ilvl w:val="0"/>
          <w:numId w:val="3"/>
        </w:numPr>
        <w:ind w:left="0" w:right="49" w:firstLine="0"/>
        <w:jc w:val="both"/>
        <w:rPr>
          <w:rFonts w:ascii="Times New Roman" w:hAnsi="Times New Roman" w:cs="Times New Roman"/>
          <w:i/>
          <w:iCs/>
          <w:color w:val="0D0D0D" w:themeColor="text1" w:themeTint="F2"/>
          <w:sz w:val="28"/>
          <w:szCs w:val="28"/>
          <w:u w:val="single"/>
          <w:lang w:eastAsia="es-CO"/>
        </w:rPr>
      </w:pPr>
      <w:r w:rsidRPr="002D20D6">
        <w:rPr>
          <w:rFonts w:ascii="Times New Roman" w:hAnsi="Times New Roman" w:cs="Times New Roman"/>
          <w:i/>
          <w:iCs/>
          <w:color w:val="0D0D0D" w:themeColor="text1" w:themeTint="F2"/>
          <w:sz w:val="28"/>
          <w:szCs w:val="28"/>
          <w:u w:val="single"/>
        </w:rPr>
        <w:t>Escrito conjunto del Departamento Administrativo de la Presidencia de la República y el Ministerio del Trabajo</w:t>
      </w:r>
      <w:r w:rsidRPr="002D20D6">
        <w:rPr>
          <w:rFonts w:ascii="Times New Roman" w:hAnsi="Times New Roman" w:cs="Times New Roman"/>
          <w:i/>
          <w:iCs/>
          <w:color w:val="0D0D0D" w:themeColor="text1" w:themeTint="F2"/>
          <w:sz w:val="28"/>
          <w:szCs w:val="28"/>
        </w:rPr>
        <w:t xml:space="preserve">. </w:t>
      </w:r>
      <w:r w:rsidRPr="002D20D6">
        <w:rPr>
          <w:rFonts w:ascii="Times New Roman" w:hAnsi="Times New Roman" w:cs="Times New Roman"/>
          <w:color w:val="0D0D0D" w:themeColor="text1" w:themeTint="F2"/>
          <w:sz w:val="28"/>
          <w:szCs w:val="28"/>
        </w:rPr>
        <w:t xml:space="preserve">Ambas entidades concluyeron que la norma acusada podría conservarse bajo una interpretación conforme a la Constitución, en el sentido de que la expresión </w:t>
      </w:r>
      <w:r w:rsidRPr="002D20D6">
        <w:rPr>
          <w:rFonts w:ascii="Times New Roman" w:hAnsi="Times New Roman" w:cs="Times New Roman"/>
          <w:i/>
          <w:iCs/>
          <w:color w:val="0D0D0D" w:themeColor="text1" w:themeTint="F2"/>
          <w:sz w:val="28"/>
          <w:szCs w:val="28"/>
        </w:rPr>
        <w:t>“renuncia”</w:t>
      </w:r>
      <w:r w:rsidRPr="002D20D6">
        <w:rPr>
          <w:rFonts w:ascii="Times New Roman" w:hAnsi="Times New Roman" w:cs="Times New Roman"/>
          <w:color w:val="0D0D0D" w:themeColor="text1" w:themeTint="F2"/>
          <w:sz w:val="28"/>
          <w:szCs w:val="28"/>
        </w:rPr>
        <w:t xml:space="preserve"> debe entenderse limitada a los eventos excepcionales de retiro parcial de cesantías previst</w:t>
      </w:r>
      <w:r w:rsidRPr="002D20D6">
        <w:rPr>
          <w:rFonts w:ascii="Times New Roman" w:hAnsi="Times New Roman" w:cs="Times New Roman"/>
          <w:color w:val="0D0D0D" w:themeColor="text1" w:themeTint="F2"/>
          <w:sz w:val="28"/>
          <w:szCs w:val="28"/>
        </w:rPr>
        <w:t xml:space="preserve">os en la ley (por ejemplo, vivienda o calamidad doméstica), que no constituyen verdaderas renuncias, sino usos finalistas de la prestación. Señalaron que, aunque la disposición será derogada por la Ley 2452 de 2025, aún se encuentra vigente hasta abril de </w:t>
      </w:r>
      <w:r w:rsidRPr="002D20D6">
        <w:rPr>
          <w:rFonts w:ascii="Times New Roman" w:hAnsi="Times New Roman" w:cs="Times New Roman"/>
          <w:color w:val="0D0D0D" w:themeColor="text1" w:themeTint="F2"/>
          <w:sz w:val="28"/>
          <w:szCs w:val="28"/>
        </w:rPr>
        <w:t>2026, por lo que procede su control.</w:t>
      </w:r>
      <w:r w:rsidRPr="002D20D6">
        <w:rPr>
          <w:rFonts w:ascii="Times New Roman" w:hAnsi="Times New Roman" w:cs="Times New Roman"/>
          <w:color w:val="0D0D0D" w:themeColor="text1" w:themeTint="F2"/>
          <w:sz w:val="28"/>
          <w:szCs w:val="28"/>
          <w:vertAlign w:val="superscript"/>
        </w:rPr>
        <w:footnoteReference w:id="16"/>
      </w:r>
    </w:p>
    <w:p w:rsidR="00410A44" w:rsidRPr="002D20D6" w:rsidRDefault="002D20D6" w:rsidP="00410A44">
      <w:pPr>
        <w:pStyle w:val="NormalWeb"/>
        <w:ind w:right="49"/>
        <w:jc w:val="both"/>
        <w:rPr>
          <w:rFonts w:ascii="Times New Roman" w:hAnsi="Times New Roman" w:cs="Times New Roman"/>
          <w:i/>
          <w:iCs/>
          <w:color w:val="0D0D0D" w:themeColor="text1" w:themeTint="F2"/>
          <w:sz w:val="28"/>
          <w:szCs w:val="28"/>
          <w:u w:val="single"/>
          <w:lang w:eastAsia="es-CO"/>
        </w:rPr>
      </w:pPr>
    </w:p>
    <w:p w:rsidR="00410A44" w:rsidRPr="002D20D6" w:rsidRDefault="002D20D6" w:rsidP="00902461">
      <w:pPr>
        <w:pStyle w:val="NormalWeb"/>
        <w:numPr>
          <w:ilvl w:val="0"/>
          <w:numId w:val="3"/>
        </w:numPr>
        <w:ind w:left="0" w:right="49" w:firstLine="0"/>
        <w:jc w:val="both"/>
        <w:rPr>
          <w:rFonts w:ascii="Times New Roman" w:hAnsi="Times New Roman" w:cs="Times New Roman"/>
          <w:i/>
          <w:iCs/>
          <w:color w:val="0D0D0D" w:themeColor="text1" w:themeTint="F2"/>
          <w:sz w:val="28"/>
          <w:szCs w:val="28"/>
          <w:u w:val="single"/>
          <w:lang w:eastAsia="es-CO"/>
        </w:rPr>
      </w:pPr>
      <w:r w:rsidRPr="002D20D6">
        <w:rPr>
          <w:rFonts w:ascii="Times New Roman" w:hAnsi="Times New Roman" w:cs="Times New Roman"/>
          <w:color w:val="0D0D0D" w:themeColor="text1" w:themeTint="F2"/>
          <w:sz w:val="28"/>
          <w:szCs w:val="28"/>
        </w:rPr>
        <w:t>Precisaron que el auxilio de cesantía es una prestación social de carácter irrenunciable, vinculada al derecho al trabajo, a la seguridad social y al mínimo vital. Resaltaron que según reiterada jurisprudencia de la C</w:t>
      </w:r>
      <w:r w:rsidRPr="002D20D6">
        <w:rPr>
          <w:rFonts w:ascii="Times New Roman" w:hAnsi="Times New Roman" w:cs="Times New Roman"/>
          <w:color w:val="0D0D0D" w:themeColor="text1" w:themeTint="F2"/>
          <w:sz w:val="28"/>
          <w:szCs w:val="28"/>
        </w:rPr>
        <w:t xml:space="preserve">orte -como son las sentencias C-310 de 2007, SU-098 de 2018 y C-027 de 2024- </w:t>
      </w:r>
      <w:r w:rsidRPr="002D20D6">
        <w:rPr>
          <w:rFonts w:ascii="Times New Roman" w:hAnsi="Times New Roman" w:cs="Times New Roman"/>
          <w:i/>
          <w:iCs/>
          <w:color w:val="0D0D0D" w:themeColor="text1" w:themeTint="F2"/>
          <w:sz w:val="28"/>
          <w:szCs w:val="28"/>
        </w:rPr>
        <w:t xml:space="preserve">“la cesantía constituye un derecho irrenunciable del trabajador (art. 53 de la C.P.), dado su carácter remuneratorio, por ser retribución a una labor subordinada en desarrollo de </w:t>
      </w:r>
      <w:r w:rsidRPr="002D20D6">
        <w:rPr>
          <w:rFonts w:ascii="Times New Roman" w:hAnsi="Times New Roman" w:cs="Times New Roman"/>
          <w:i/>
          <w:iCs/>
          <w:color w:val="0D0D0D" w:themeColor="text1" w:themeTint="F2"/>
          <w:sz w:val="28"/>
          <w:szCs w:val="28"/>
        </w:rPr>
        <w:t xml:space="preserve">un contrato de trabajo” </w:t>
      </w:r>
      <w:r w:rsidRPr="002D20D6">
        <w:rPr>
          <w:rFonts w:ascii="Times New Roman" w:hAnsi="Times New Roman" w:cs="Times New Roman"/>
          <w:color w:val="0D0D0D" w:themeColor="text1" w:themeTint="F2"/>
          <w:sz w:val="28"/>
          <w:szCs w:val="28"/>
        </w:rPr>
        <w:t xml:space="preserve">y que la irrenunciabilidad de derechos laborales mínimos es de orden público y protege al trabajador de eventuales abusos. En tal sentido, </w:t>
      </w:r>
      <w:r w:rsidRPr="002D20D6">
        <w:rPr>
          <w:rFonts w:ascii="Times New Roman" w:hAnsi="Times New Roman" w:cs="Times New Roman"/>
          <w:i/>
          <w:iCs/>
          <w:color w:val="0D0D0D" w:themeColor="text1" w:themeTint="F2"/>
          <w:sz w:val="28"/>
          <w:szCs w:val="28"/>
        </w:rPr>
        <w:t>“ningún acto, acuerdo o manifestación de voluntad sea de carácter individual o colectivo pued</w:t>
      </w:r>
      <w:r w:rsidRPr="002D20D6">
        <w:rPr>
          <w:rFonts w:ascii="Times New Roman" w:hAnsi="Times New Roman" w:cs="Times New Roman"/>
          <w:i/>
          <w:iCs/>
          <w:color w:val="0D0D0D" w:themeColor="text1" w:themeTint="F2"/>
          <w:sz w:val="28"/>
          <w:szCs w:val="28"/>
        </w:rPr>
        <w:t>e privar al trabajador de este derecho, ni siquiera con autorización administrativa.”</w:t>
      </w:r>
      <w:r w:rsidRPr="002D20D6">
        <w:rPr>
          <w:rFonts w:ascii="Times New Roman" w:hAnsi="Times New Roman" w:cs="Times New Roman"/>
          <w:color w:val="0D0D0D" w:themeColor="text1" w:themeTint="F2"/>
          <w:sz w:val="28"/>
          <w:szCs w:val="28"/>
          <w:vertAlign w:val="superscript"/>
        </w:rPr>
        <w:footnoteReference w:id="17"/>
      </w:r>
      <w:r w:rsidRPr="002D20D6">
        <w:rPr>
          <w:rFonts w:ascii="Times New Roman" w:hAnsi="Times New Roman" w:cs="Times New Roman"/>
          <w:color w:val="0D0D0D" w:themeColor="text1" w:themeTint="F2"/>
          <w:sz w:val="28"/>
          <w:szCs w:val="28"/>
        </w:rPr>
        <w:t xml:space="preserve"> Por lo anterior, la habilitación del artículo 148 para que inspectores de trabajo o alcaldes autoricen la renuncia a prestaciones sociales es incompatible con la Constit</w:t>
      </w:r>
      <w:r w:rsidRPr="002D20D6">
        <w:rPr>
          <w:rFonts w:ascii="Times New Roman" w:hAnsi="Times New Roman" w:cs="Times New Roman"/>
          <w:color w:val="0D0D0D" w:themeColor="text1" w:themeTint="F2"/>
          <w:sz w:val="28"/>
          <w:szCs w:val="28"/>
        </w:rPr>
        <w:t>ución, pues vacía de contenido la protección reforzada al trabajador y desconoce el principio de irrenunciabilidad.</w:t>
      </w:r>
      <w:r w:rsidRPr="002D20D6">
        <w:rPr>
          <w:rFonts w:ascii="Times New Roman" w:hAnsi="Times New Roman" w:cs="Times New Roman"/>
          <w:color w:val="0D0D0D" w:themeColor="text1" w:themeTint="F2"/>
          <w:sz w:val="28"/>
          <w:szCs w:val="28"/>
          <w:vertAlign w:val="superscript"/>
        </w:rPr>
        <w:footnoteReference w:id="18"/>
      </w:r>
    </w:p>
    <w:p w:rsidR="00410A44" w:rsidRPr="002D20D6" w:rsidRDefault="002D20D6" w:rsidP="00410A44">
      <w:pPr>
        <w:pStyle w:val="NormalWeb"/>
        <w:ind w:right="49"/>
        <w:rPr>
          <w:rFonts w:ascii="Times New Roman" w:hAnsi="Times New Roman" w:cs="Times New Roman"/>
          <w:i/>
          <w:iCs/>
          <w:color w:val="0D0D0D" w:themeColor="text1" w:themeTint="F2"/>
          <w:sz w:val="28"/>
          <w:szCs w:val="28"/>
          <w:u w:val="single"/>
          <w:lang w:eastAsia="es-CO"/>
        </w:rPr>
      </w:pPr>
    </w:p>
    <w:p w:rsidR="00410A44" w:rsidRPr="002D20D6" w:rsidRDefault="002D20D6" w:rsidP="003E3AD4">
      <w:pPr>
        <w:pStyle w:val="NormalWeb"/>
        <w:numPr>
          <w:ilvl w:val="0"/>
          <w:numId w:val="3"/>
        </w:numPr>
        <w:ind w:left="0" w:right="49" w:firstLine="0"/>
        <w:jc w:val="both"/>
        <w:rPr>
          <w:rFonts w:ascii="Times New Roman" w:hAnsi="Times New Roman" w:cs="Times New Roman"/>
          <w:i/>
          <w:iCs/>
          <w:color w:val="0D0D0D" w:themeColor="text1" w:themeTint="F2"/>
          <w:sz w:val="28"/>
          <w:szCs w:val="28"/>
          <w:u w:val="single"/>
          <w:lang w:eastAsia="es-CO"/>
        </w:rPr>
      </w:pPr>
      <w:r w:rsidRPr="002D20D6">
        <w:rPr>
          <w:rFonts w:ascii="Times New Roman" w:hAnsi="Times New Roman" w:cs="Times New Roman"/>
          <w:i/>
          <w:iCs/>
          <w:color w:val="0D0D0D" w:themeColor="text1" w:themeTint="F2"/>
          <w:sz w:val="28"/>
          <w:szCs w:val="28"/>
          <w:u w:val="single"/>
        </w:rPr>
        <w:t xml:space="preserve"> Defensoría del Pueblo</w:t>
      </w:r>
      <w:r w:rsidRPr="002D20D6">
        <w:rPr>
          <w:rFonts w:ascii="Times New Roman" w:hAnsi="Times New Roman" w:cs="Times New Roman"/>
          <w:i/>
          <w:iCs/>
          <w:color w:val="0D0D0D" w:themeColor="text1" w:themeTint="F2"/>
          <w:sz w:val="28"/>
          <w:szCs w:val="28"/>
        </w:rPr>
        <w:t>.</w:t>
      </w:r>
      <w:r w:rsidRPr="002D20D6">
        <w:rPr>
          <w:rFonts w:ascii="Times New Roman" w:hAnsi="Times New Roman" w:cs="Times New Roman"/>
          <w:color w:val="0D0D0D" w:themeColor="text1" w:themeTint="F2"/>
          <w:sz w:val="28"/>
          <w:szCs w:val="28"/>
        </w:rPr>
        <w:t xml:space="preserve"> Consideró que la disposición del artículo 148 del Decreto Ley 2158 de 1948, en el aparte </w:t>
      </w:r>
      <w:r w:rsidRPr="002D20D6">
        <w:rPr>
          <w:rFonts w:ascii="Times New Roman" w:hAnsi="Times New Roman" w:cs="Times New Roman"/>
          <w:i/>
          <w:iCs/>
          <w:color w:val="0D0D0D" w:themeColor="text1" w:themeTint="F2"/>
          <w:sz w:val="28"/>
          <w:szCs w:val="28"/>
        </w:rPr>
        <w:t>“y para renunciar prestac</w:t>
      </w:r>
      <w:r w:rsidRPr="002D20D6">
        <w:rPr>
          <w:rFonts w:ascii="Times New Roman" w:hAnsi="Times New Roman" w:cs="Times New Roman"/>
          <w:i/>
          <w:iCs/>
          <w:color w:val="0D0D0D" w:themeColor="text1" w:themeTint="F2"/>
          <w:sz w:val="28"/>
          <w:szCs w:val="28"/>
        </w:rPr>
        <w:t>iones sociales”,</w:t>
      </w:r>
      <w:r w:rsidRPr="002D20D6">
        <w:rPr>
          <w:rFonts w:ascii="Times New Roman" w:hAnsi="Times New Roman" w:cs="Times New Roman"/>
          <w:color w:val="0D0D0D" w:themeColor="text1" w:themeTint="F2"/>
          <w:sz w:val="28"/>
          <w:szCs w:val="28"/>
        </w:rPr>
        <w:t xml:space="preserve"> es abiertamente inconstitucional porque vulnera el artículo 53 de la Constitución, que consagra la </w:t>
      </w:r>
      <w:r w:rsidRPr="002D20D6">
        <w:rPr>
          <w:rFonts w:ascii="Times New Roman" w:hAnsi="Times New Roman" w:cs="Times New Roman"/>
          <w:i/>
          <w:iCs/>
          <w:color w:val="0D0D0D" w:themeColor="text1" w:themeTint="F2"/>
          <w:sz w:val="28"/>
          <w:szCs w:val="28"/>
        </w:rPr>
        <w:t>“irrenunciabilidad a beneficios mínimos establecidos en normas laborales.”</w:t>
      </w:r>
      <w:r w:rsidRPr="002D20D6">
        <w:rPr>
          <w:rFonts w:ascii="Times New Roman" w:hAnsi="Times New Roman" w:cs="Times New Roman"/>
          <w:color w:val="0D0D0D" w:themeColor="text1" w:themeTint="F2"/>
          <w:sz w:val="28"/>
          <w:szCs w:val="28"/>
        </w:rPr>
        <w:t xml:space="preserve"> Indicó que, en este contexto, </w:t>
      </w:r>
      <w:r w:rsidRPr="002D20D6">
        <w:rPr>
          <w:rFonts w:ascii="Times New Roman" w:hAnsi="Times New Roman" w:cs="Times New Roman"/>
          <w:i/>
          <w:iCs/>
          <w:color w:val="0D0D0D" w:themeColor="text1" w:themeTint="F2"/>
          <w:sz w:val="28"/>
          <w:szCs w:val="28"/>
        </w:rPr>
        <w:t>“ninguna autoridad administrativa p</w:t>
      </w:r>
      <w:r w:rsidRPr="002D20D6">
        <w:rPr>
          <w:rFonts w:ascii="Times New Roman" w:hAnsi="Times New Roman" w:cs="Times New Roman"/>
          <w:i/>
          <w:iCs/>
          <w:color w:val="0D0D0D" w:themeColor="text1" w:themeTint="F2"/>
          <w:sz w:val="28"/>
          <w:szCs w:val="28"/>
        </w:rPr>
        <w:t>uede disponer o avalar la extinción de derechos constitucionalmente protegidos, salvo que se trate de derechos inciertos y discutibles, y exista control judicial posterior.”</w:t>
      </w:r>
      <w:r w:rsidRPr="002D20D6">
        <w:rPr>
          <w:rFonts w:ascii="Times New Roman" w:hAnsi="Times New Roman" w:cs="Times New Roman"/>
          <w:color w:val="0D0D0D" w:themeColor="text1" w:themeTint="F2"/>
          <w:sz w:val="28"/>
          <w:szCs w:val="28"/>
          <w:vertAlign w:val="superscript"/>
        </w:rPr>
        <w:footnoteReference w:id="19"/>
      </w:r>
      <w:r w:rsidRPr="002D20D6">
        <w:rPr>
          <w:rFonts w:ascii="Times New Roman" w:hAnsi="Times New Roman" w:cs="Times New Roman"/>
          <w:i/>
          <w:iCs/>
          <w:color w:val="0D0D0D" w:themeColor="text1" w:themeTint="F2"/>
          <w:sz w:val="28"/>
          <w:szCs w:val="28"/>
        </w:rPr>
        <w:t xml:space="preserve"> </w:t>
      </w:r>
      <w:r w:rsidRPr="002D20D6">
        <w:rPr>
          <w:rFonts w:ascii="Times New Roman" w:hAnsi="Times New Roman" w:cs="Times New Roman"/>
          <w:color w:val="0D0D0D" w:themeColor="text1" w:themeTint="F2"/>
          <w:sz w:val="28"/>
          <w:szCs w:val="28"/>
        </w:rPr>
        <w:t xml:space="preserve">La Defensoría enfatizó en que las prestaciones sociales tales como prima de </w:t>
      </w:r>
      <w:r w:rsidRPr="002D20D6">
        <w:rPr>
          <w:rFonts w:ascii="Times New Roman" w:hAnsi="Times New Roman" w:cs="Times New Roman"/>
          <w:color w:val="0D0D0D" w:themeColor="text1" w:themeTint="F2"/>
          <w:sz w:val="28"/>
          <w:szCs w:val="28"/>
        </w:rPr>
        <w:t xml:space="preserve">servicios, cesantías, intereses, dotación, seguridad social, entre otras, constituyen beneficios mínimos no negociables ni renunciables, y que la jurisprudencia de la Corte Constitucional ha sido pacífica en esa dirección, a partir de las sentencias C-556 </w:t>
      </w:r>
      <w:r w:rsidRPr="002D20D6">
        <w:rPr>
          <w:rFonts w:ascii="Times New Roman" w:hAnsi="Times New Roman" w:cs="Times New Roman"/>
          <w:color w:val="0D0D0D" w:themeColor="text1" w:themeTint="F2"/>
          <w:sz w:val="28"/>
          <w:szCs w:val="28"/>
        </w:rPr>
        <w:t>de 1994, C-310 de 2007 y C-027 de 2024. Por lo tanto, la norma que faculta a inspectores de trabajo o alcaldes para autorizar la renuncia a las prestaciones sociales resulta contraria a la Constitución, pues los inspectores de trabajo y alcaldes carecen de</w:t>
      </w:r>
      <w:r w:rsidRPr="002D20D6">
        <w:rPr>
          <w:rFonts w:ascii="Times New Roman" w:hAnsi="Times New Roman" w:cs="Times New Roman"/>
          <w:color w:val="0D0D0D" w:themeColor="text1" w:themeTint="F2"/>
          <w:sz w:val="28"/>
          <w:szCs w:val="28"/>
        </w:rPr>
        <w:t xml:space="preserve"> competencia para autorizar renuncias de derechos mínimos laborales.</w:t>
      </w:r>
      <w:r w:rsidRPr="002D20D6">
        <w:rPr>
          <w:rFonts w:ascii="Times New Roman" w:hAnsi="Times New Roman" w:cs="Times New Roman"/>
          <w:color w:val="0D0D0D" w:themeColor="text1" w:themeTint="F2"/>
          <w:sz w:val="28"/>
          <w:szCs w:val="28"/>
          <w:vertAlign w:val="superscript"/>
        </w:rPr>
        <w:footnoteReference w:id="20"/>
      </w:r>
    </w:p>
    <w:p w:rsidR="00410A44" w:rsidRPr="002D20D6" w:rsidRDefault="002D20D6" w:rsidP="00410A44">
      <w:pPr>
        <w:pStyle w:val="NormalWeb"/>
        <w:ind w:right="49"/>
        <w:rPr>
          <w:rFonts w:ascii="Times New Roman" w:hAnsi="Times New Roman" w:cs="Times New Roman"/>
          <w:i/>
          <w:iCs/>
          <w:color w:val="0D0D0D" w:themeColor="text1" w:themeTint="F2"/>
          <w:sz w:val="28"/>
          <w:szCs w:val="28"/>
          <w:u w:val="single"/>
          <w:lang w:eastAsia="es-CO"/>
        </w:rPr>
      </w:pPr>
    </w:p>
    <w:p w:rsidR="00410A44" w:rsidRPr="002D20D6" w:rsidRDefault="002D20D6">
      <w:pPr>
        <w:pStyle w:val="NormalWeb"/>
        <w:numPr>
          <w:ilvl w:val="0"/>
          <w:numId w:val="3"/>
        </w:numPr>
        <w:ind w:left="0" w:right="49" w:firstLine="0"/>
        <w:jc w:val="both"/>
        <w:rPr>
          <w:rFonts w:ascii="Times New Roman" w:hAnsi="Times New Roman" w:cs="Times New Roman"/>
          <w:i/>
          <w:iCs/>
          <w:color w:val="0D0D0D" w:themeColor="text1" w:themeTint="F2"/>
          <w:sz w:val="28"/>
          <w:szCs w:val="28"/>
          <w:u w:val="single"/>
          <w:lang w:eastAsia="es-CO"/>
        </w:rPr>
      </w:pPr>
      <w:r w:rsidRPr="002D20D6">
        <w:rPr>
          <w:rFonts w:ascii="Times New Roman" w:hAnsi="Times New Roman" w:cs="Times New Roman"/>
          <w:i/>
          <w:iCs/>
          <w:color w:val="0D0D0D" w:themeColor="text1" w:themeTint="F2"/>
          <w:sz w:val="28"/>
          <w:szCs w:val="28"/>
          <w:u w:val="single"/>
        </w:rPr>
        <w:t>Academia Colombiana de Jurisprudencia</w:t>
      </w:r>
      <w:r w:rsidRPr="002D20D6">
        <w:rPr>
          <w:rFonts w:ascii="Times New Roman" w:hAnsi="Times New Roman" w:cs="Times New Roman"/>
          <w:color w:val="0D0D0D" w:themeColor="text1" w:themeTint="F2"/>
          <w:sz w:val="28"/>
          <w:szCs w:val="28"/>
        </w:rPr>
        <w:t xml:space="preserve">. La Academia conceptuó que la expresión </w:t>
      </w:r>
      <w:r w:rsidRPr="002D20D6">
        <w:rPr>
          <w:rFonts w:ascii="Times New Roman" w:hAnsi="Times New Roman" w:cs="Times New Roman"/>
          <w:i/>
          <w:iCs/>
          <w:color w:val="0D0D0D" w:themeColor="text1" w:themeTint="F2"/>
          <w:sz w:val="28"/>
          <w:szCs w:val="28"/>
        </w:rPr>
        <w:t>“y para renunciar prestaciones sociales”</w:t>
      </w:r>
      <w:r w:rsidRPr="002D20D6">
        <w:rPr>
          <w:rFonts w:ascii="Times New Roman" w:hAnsi="Times New Roman" w:cs="Times New Roman"/>
          <w:color w:val="0D0D0D" w:themeColor="text1" w:themeTint="F2"/>
          <w:sz w:val="28"/>
          <w:szCs w:val="28"/>
        </w:rPr>
        <w:t xml:space="preserve"> del artículo 148 del Decreto Ley 2158 de 1948 es inexequible. Seña</w:t>
      </w:r>
      <w:r w:rsidRPr="002D20D6">
        <w:rPr>
          <w:rFonts w:ascii="Times New Roman" w:hAnsi="Times New Roman" w:cs="Times New Roman"/>
          <w:color w:val="0D0D0D" w:themeColor="text1" w:themeTint="F2"/>
          <w:sz w:val="28"/>
          <w:szCs w:val="28"/>
        </w:rPr>
        <w:t>ló que esa expresión vulnera varios derechos fundamentales, entre ellos, el mandato constitucional de irrenunciabilidad de los beneficios mínimos laborales (artículo 53),</w:t>
      </w:r>
      <w:r w:rsidRPr="002D20D6">
        <w:rPr>
          <w:rFonts w:ascii="Times New Roman" w:hAnsi="Times New Roman" w:cs="Times New Roman"/>
          <w:color w:val="0D0D0D" w:themeColor="text1" w:themeTint="F2"/>
          <w:sz w:val="28"/>
          <w:szCs w:val="28"/>
          <w:vertAlign w:val="superscript"/>
        </w:rPr>
        <w:footnoteReference w:id="21"/>
      </w:r>
      <w:r w:rsidRPr="002D20D6">
        <w:rPr>
          <w:rFonts w:ascii="Times New Roman" w:hAnsi="Times New Roman" w:cs="Times New Roman"/>
          <w:color w:val="0D0D0D" w:themeColor="text1" w:themeTint="F2"/>
          <w:sz w:val="28"/>
          <w:szCs w:val="28"/>
        </w:rPr>
        <w:t xml:space="preserve"> en virtud del cual se prohíbe disponer de los derechos ciertos e indiscutibles, sea </w:t>
      </w:r>
      <w:r w:rsidRPr="002D20D6">
        <w:rPr>
          <w:rFonts w:ascii="Times New Roman" w:hAnsi="Times New Roman" w:cs="Times New Roman"/>
          <w:color w:val="0D0D0D" w:themeColor="text1" w:themeTint="F2"/>
          <w:sz w:val="28"/>
          <w:szCs w:val="28"/>
        </w:rPr>
        <w:t xml:space="preserve">por parte del trabajador o de </w:t>
      </w:r>
      <w:r w:rsidRPr="002D20D6">
        <w:rPr>
          <w:rFonts w:ascii="Times New Roman" w:hAnsi="Times New Roman" w:cs="Times New Roman"/>
          <w:color w:val="0D0D0D" w:themeColor="text1" w:themeTint="F2"/>
          <w:sz w:val="28"/>
          <w:szCs w:val="28"/>
          <w:lang w:val="es-CO"/>
        </w:rPr>
        <w:t>los inspectores o alcaldes</w:t>
      </w:r>
      <w:r w:rsidRPr="002D20D6">
        <w:rPr>
          <w:rFonts w:ascii="Times New Roman" w:hAnsi="Times New Roman" w:cs="Times New Roman"/>
          <w:color w:val="0D0D0D" w:themeColor="text1" w:themeTint="F2"/>
          <w:sz w:val="28"/>
          <w:szCs w:val="28"/>
        </w:rPr>
        <w:t>.</w:t>
      </w:r>
      <w:r w:rsidRPr="002D20D6">
        <w:rPr>
          <w:rFonts w:ascii="Times New Roman" w:hAnsi="Times New Roman" w:cs="Times New Roman"/>
          <w:color w:val="0D0D0D" w:themeColor="text1" w:themeTint="F2"/>
          <w:sz w:val="28"/>
          <w:szCs w:val="28"/>
          <w:vertAlign w:val="superscript"/>
        </w:rPr>
        <w:footnoteReference w:id="22"/>
      </w:r>
    </w:p>
    <w:p w:rsidR="00410A44" w:rsidRPr="002D20D6" w:rsidRDefault="002D20D6" w:rsidP="00410A44">
      <w:pPr>
        <w:pStyle w:val="NormalWeb"/>
        <w:ind w:right="49"/>
        <w:rPr>
          <w:rFonts w:ascii="Times New Roman" w:hAnsi="Times New Roman" w:cs="Times New Roman"/>
          <w:i/>
          <w:iCs/>
          <w:color w:val="0D0D0D" w:themeColor="text1" w:themeTint="F2"/>
          <w:sz w:val="28"/>
          <w:szCs w:val="28"/>
          <w:u w:val="single"/>
          <w:lang w:eastAsia="es-CO"/>
        </w:rPr>
      </w:pPr>
    </w:p>
    <w:p w:rsidR="00B03ED2" w:rsidRPr="002D20D6" w:rsidRDefault="002D20D6">
      <w:pPr>
        <w:pStyle w:val="NormalWeb"/>
        <w:numPr>
          <w:ilvl w:val="0"/>
          <w:numId w:val="3"/>
        </w:numPr>
        <w:ind w:left="0" w:right="49" w:firstLine="0"/>
        <w:jc w:val="both"/>
        <w:rPr>
          <w:rFonts w:ascii="Times New Roman" w:hAnsi="Times New Roman" w:cs="Times New Roman"/>
          <w:i/>
          <w:color w:val="0D0D0D" w:themeColor="text1" w:themeTint="F2"/>
          <w:sz w:val="28"/>
          <w:szCs w:val="28"/>
          <w:lang w:eastAsia="es-CO"/>
        </w:rPr>
      </w:pPr>
      <w:r w:rsidRPr="002D20D6">
        <w:rPr>
          <w:rFonts w:ascii="Times New Roman" w:hAnsi="Times New Roman" w:cs="Times New Roman"/>
          <w:i/>
          <w:iCs/>
          <w:color w:val="0D0D0D" w:themeColor="text1" w:themeTint="F2"/>
          <w:sz w:val="28"/>
          <w:szCs w:val="28"/>
          <w:u w:val="single"/>
        </w:rPr>
        <w:t>Asociación Colombiana de Administradoras de Fondos de Pensiones y de Cesantía – Asofondos</w:t>
      </w:r>
      <w:r w:rsidRPr="002D20D6">
        <w:rPr>
          <w:rFonts w:ascii="Times New Roman" w:hAnsi="Times New Roman" w:cs="Times New Roman"/>
          <w:i/>
          <w:iCs/>
          <w:color w:val="0D0D0D" w:themeColor="text1" w:themeTint="F2"/>
          <w:sz w:val="28"/>
          <w:szCs w:val="28"/>
        </w:rPr>
        <w:t>.</w:t>
      </w:r>
      <w:r w:rsidRPr="002D20D6">
        <w:rPr>
          <w:rFonts w:ascii="Times New Roman" w:hAnsi="Times New Roman" w:cs="Times New Roman"/>
          <w:color w:val="0D0D0D" w:themeColor="text1" w:themeTint="F2"/>
          <w:sz w:val="28"/>
          <w:szCs w:val="28"/>
        </w:rPr>
        <w:t xml:space="preserve"> Sostuvo que la norma demandada se encuentra derogada o cuando menos sustituida por la Ley 1610 de 2013, p</w:t>
      </w:r>
      <w:r w:rsidRPr="002D20D6">
        <w:rPr>
          <w:rFonts w:ascii="Times New Roman" w:hAnsi="Times New Roman" w:cs="Times New Roman"/>
          <w:color w:val="0D0D0D" w:themeColor="text1" w:themeTint="F2"/>
          <w:sz w:val="28"/>
          <w:szCs w:val="28"/>
        </w:rPr>
        <w:t>or lo que la Corte debería inhibirse por carencia de objeto o sustracción de materia.</w:t>
      </w:r>
      <w:r w:rsidRPr="002D20D6">
        <w:rPr>
          <w:rFonts w:ascii="Times New Roman" w:hAnsi="Times New Roman" w:cs="Times New Roman"/>
          <w:color w:val="0D0D0D" w:themeColor="text1" w:themeTint="F2"/>
          <w:sz w:val="28"/>
          <w:szCs w:val="28"/>
          <w:vertAlign w:val="superscript"/>
        </w:rPr>
        <w:footnoteReference w:id="23"/>
      </w:r>
      <w:r w:rsidRPr="002D20D6">
        <w:rPr>
          <w:rFonts w:ascii="Times New Roman" w:hAnsi="Times New Roman" w:cs="Times New Roman"/>
          <w:color w:val="0D0D0D" w:themeColor="text1" w:themeTint="F2"/>
          <w:sz w:val="28"/>
          <w:szCs w:val="28"/>
        </w:rPr>
        <w:t xml:space="preserve"> En subsidio, planteó la ineptitud sustancial de la demanda, pues a su juicio, los actores hacen una interpretación amplia e inexacta de la norma, por lo que no se trata </w:t>
      </w:r>
      <w:r w:rsidRPr="002D20D6">
        <w:rPr>
          <w:rFonts w:ascii="Times New Roman" w:hAnsi="Times New Roman" w:cs="Times New Roman"/>
          <w:color w:val="0D0D0D" w:themeColor="text1" w:themeTint="F2"/>
          <w:sz w:val="28"/>
          <w:szCs w:val="28"/>
        </w:rPr>
        <w:t xml:space="preserve">de un cargo </w:t>
      </w:r>
      <w:r w:rsidRPr="002D20D6">
        <w:rPr>
          <w:rFonts w:ascii="Times New Roman" w:hAnsi="Times New Roman" w:cs="Times New Roman"/>
          <w:i/>
          <w:iCs/>
          <w:color w:val="0D0D0D" w:themeColor="text1" w:themeTint="F2"/>
          <w:sz w:val="28"/>
          <w:szCs w:val="28"/>
        </w:rPr>
        <w:t>cierto</w:t>
      </w:r>
      <w:r w:rsidRPr="002D20D6">
        <w:rPr>
          <w:rFonts w:ascii="Times New Roman" w:hAnsi="Times New Roman" w:cs="Times New Roman"/>
          <w:color w:val="0D0D0D" w:themeColor="text1" w:themeTint="F2"/>
          <w:sz w:val="28"/>
          <w:szCs w:val="28"/>
        </w:rPr>
        <w:t xml:space="preserve"> ni </w:t>
      </w:r>
      <w:r w:rsidRPr="002D20D6">
        <w:rPr>
          <w:rFonts w:ascii="Times New Roman" w:hAnsi="Times New Roman" w:cs="Times New Roman"/>
          <w:i/>
          <w:iCs/>
          <w:color w:val="0D0D0D" w:themeColor="text1" w:themeTint="F2"/>
          <w:sz w:val="28"/>
          <w:szCs w:val="28"/>
        </w:rPr>
        <w:t>pertinente</w:t>
      </w:r>
      <w:r w:rsidRPr="002D20D6">
        <w:rPr>
          <w:rFonts w:ascii="Times New Roman" w:hAnsi="Times New Roman" w:cs="Times New Roman"/>
          <w:color w:val="0D0D0D" w:themeColor="text1" w:themeTint="F2"/>
          <w:sz w:val="28"/>
          <w:szCs w:val="28"/>
        </w:rPr>
        <w:t xml:space="preserve">. </w:t>
      </w:r>
      <w:r w:rsidRPr="002D20D6">
        <w:rPr>
          <w:rFonts w:ascii="Times New Roman" w:hAnsi="Times New Roman" w:cs="Times New Roman"/>
          <w:color w:val="0D0D0D" w:themeColor="text1" w:themeTint="F2"/>
          <w:sz w:val="28"/>
          <w:szCs w:val="28"/>
          <w:lang w:eastAsia="es-CO"/>
        </w:rPr>
        <w:t xml:space="preserve">De un lado, no es </w:t>
      </w:r>
      <w:r w:rsidRPr="002D20D6">
        <w:rPr>
          <w:rFonts w:ascii="Times New Roman" w:hAnsi="Times New Roman" w:cs="Times New Roman"/>
          <w:i/>
          <w:color w:val="0D0D0D" w:themeColor="text1" w:themeTint="F2"/>
          <w:sz w:val="28"/>
          <w:szCs w:val="28"/>
          <w:lang w:eastAsia="es-CO"/>
        </w:rPr>
        <w:t>cierto</w:t>
      </w:r>
      <w:r w:rsidRPr="002D20D6">
        <w:rPr>
          <w:rFonts w:ascii="Times New Roman" w:hAnsi="Times New Roman" w:cs="Times New Roman"/>
          <w:color w:val="0D0D0D" w:themeColor="text1" w:themeTint="F2"/>
          <w:sz w:val="28"/>
          <w:szCs w:val="28"/>
          <w:lang w:eastAsia="es-CO"/>
        </w:rPr>
        <w:t xml:space="preserve"> porque el artículo 148</w:t>
      </w:r>
      <w:r w:rsidRPr="002D20D6">
        <w:rPr>
          <w:rFonts w:ascii="Times New Roman" w:hAnsi="Times New Roman" w:cs="Times New Roman"/>
          <w:i/>
          <w:color w:val="0D0D0D" w:themeColor="text1" w:themeTint="F2"/>
          <w:sz w:val="28"/>
          <w:szCs w:val="28"/>
          <w:lang w:eastAsia="es-CO"/>
        </w:rPr>
        <w:t xml:space="preserve"> “sólo autoriza a que se pueda renunciar a prestaciones sociales asociadas al pago de cesantías cuya renuncia haya sido autorizada por la ley, como sería el caso de la sanción moratoria por el no pago de cesantías en las fechas que señala la ley”.</w:t>
      </w:r>
      <w:r w:rsidRPr="002D20D6">
        <w:rPr>
          <w:rFonts w:ascii="Times New Roman" w:hAnsi="Times New Roman" w:cs="Times New Roman"/>
          <w:i/>
          <w:color w:val="0D0D0D" w:themeColor="text1" w:themeTint="F2"/>
          <w:sz w:val="28"/>
          <w:szCs w:val="28"/>
          <w:vertAlign w:val="superscript"/>
        </w:rPr>
        <w:footnoteReference w:id="24"/>
      </w:r>
      <w:r w:rsidRPr="002D20D6">
        <w:rPr>
          <w:rFonts w:ascii="Times New Roman" w:hAnsi="Times New Roman" w:cs="Times New Roman"/>
          <w:i/>
          <w:color w:val="0D0D0D" w:themeColor="text1" w:themeTint="F2"/>
          <w:sz w:val="28"/>
          <w:szCs w:val="28"/>
          <w:lang w:eastAsia="es-CO"/>
        </w:rPr>
        <w:t xml:space="preserve"> </w:t>
      </w:r>
      <w:r w:rsidRPr="002D20D6">
        <w:rPr>
          <w:rFonts w:ascii="Times New Roman" w:hAnsi="Times New Roman" w:cs="Times New Roman"/>
          <w:color w:val="0D0D0D" w:themeColor="text1" w:themeTint="F2"/>
          <w:sz w:val="28"/>
          <w:szCs w:val="28"/>
          <w:lang w:eastAsia="es-CO"/>
        </w:rPr>
        <w:t>Además,</w:t>
      </w:r>
      <w:r w:rsidRPr="002D20D6">
        <w:rPr>
          <w:rFonts w:ascii="Times New Roman" w:hAnsi="Times New Roman" w:cs="Times New Roman"/>
          <w:color w:val="0D0D0D" w:themeColor="text1" w:themeTint="F2"/>
          <w:sz w:val="28"/>
          <w:szCs w:val="28"/>
          <w:lang w:eastAsia="es-CO"/>
        </w:rPr>
        <w:t xml:space="preserve"> dijo, el papel del Inspector del Trabajo no consiste en validar un </w:t>
      </w:r>
      <w:r w:rsidRPr="002D20D6">
        <w:rPr>
          <w:rFonts w:ascii="Times New Roman" w:hAnsi="Times New Roman" w:cs="Times New Roman"/>
          <w:i/>
          <w:color w:val="0D0D0D" w:themeColor="text1" w:themeTint="F2"/>
          <w:sz w:val="28"/>
          <w:szCs w:val="28"/>
          <w:lang w:eastAsia="es-CO"/>
        </w:rPr>
        <w:t xml:space="preserve">acto espurio, </w:t>
      </w:r>
      <w:r w:rsidRPr="002D20D6">
        <w:rPr>
          <w:rFonts w:ascii="Times New Roman" w:hAnsi="Times New Roman" w:cs="Times New Roman"/>
          <w:color w:val="0D0D0D" w:themeColor="text1" w:themeTint="F2"/>
          <w:sz w:val="28"/>
          <w:szCs w:val="28"/>
          <w:lang w:eastAsia="es-CO"/>
        </w:rPr>
        <w:t>sino garantizar los derechos laborales del trabajador.</w:t>
      </w:r>
      <w:r w:rsidRPr="002D20D6">
        <w:rPr>
          <w:rFonts w:ascii="Times New Roman" w:hAnsi="Times New Roman" w:cs="Times New Roman"/>
          <w:color w:val="0D0D0D" w:themeColor="text1" w:themeTint="F2"/>
          <w:sz w:val="28"/>
          <w:szCs w:val="28"/>
          <w:vertAlign w:val="superscript"/>
        </w:rPr>
        <w:footnoteReference w:id="25"/>
      </w:r>
      <w:r w:rsidRPr="002D20D6">
        <w:rPr>
          <w:rFonts w:ascii="Times New Roman" w:hAnsi="Times New Roman" w:cs="Times New Roman"/>
          <w:color w:val="0D0D0D" w:themeColor="text1" w:themeTint="F2"/>
          <w:sz w:val="28"/>
          <w:szCs w:val="28"/>
          <w:lang w:eastAsia="es-CO"/>
        </w:rPr>
        <w:t xml:space="preserve"> De otro, tampoco es </w:t>
      </w:r>
      <w:r w:rsidRPr="002D20D6">
        <w:rPr>
          <w:rFonts w:ascii="Times New Roman" w:hAnsi="Times New Roman" w:cs="Times New Roman"/>
          <w:i/>
          <w:color w:val="0D0D0D" w:themeColor="text1" w:themeTint="F2"/>
          <w:sz w:val="28"/>
          <w:szCs w:val="28"/>
          <w:lang w:eastAsia="es-CO"/>
        </w:rPr>
        <w:t xml:space="preserve">pertinente </w:t>
      </w:r>
      <w:r w:rsidRPr="002D20D6">
        <w:rPr>
          <w:rFonts w:ascii="Times New Roman" w:hAnsi="Times New Roman" w:cs="Times New Roman"/>
          <w:color w:val="0D0D0D" w:themeColor="text1" w:themeTint="F2"/>
          <w:sz w:val="28"/>
          <w:szCs w:val="28"/>
          <w:lang w:eastAsia="es-CO"/>
        </w:rPr>
        <w:t>porque se fundamenta en opiniones amplias y generales de la norma, que como se dijo, re</w:t>
      </w:r>
      <w:r w:rsidRPr="002D20D6">
        <w:rPr>
          <w:rFonts w:ascii="Times New Roman" w:hAnsi="Times New Roman" w:cs="Times New Roman"/>
          <w:color w:val="0D0D0D" w:themeColor="text1" w:themeTint="F2"/>
          <w:sz w:val="28"/>
          <w:szCs w:val="28"/>
          <w:lang w:eastAsia="es-CO"/>
        </w:rPr>
        <w:t>viste de un contenido particular, concreto y específico.</w:t>
      </w:r>
      <w:r w:rsidRPr="002D20D6">
        <w:rPr>
          <w:rFonts w:ascii="Times New Roman" w:hAnsi="Times New Roman" w:cs="Times New Roman"/>
          <w:color w:val="0D0D0D" w:themeColor="text1" w:themeTint="F2"/>
          <w:sz w:val="28"/>
          <w:szCs w:val="28"/>
          <w:vertAlign w:val="superscript"/>
        </w:rPr>
        <w:footnoteReference w:id="26"/>
      </w:r>
    </w:p>
    <w:p w:rsidR="0050225D" w:rsidRPr="002D20D6" w:rsidRDefault="002D20D6" w:rsidP="00DE0B33">
      <w:pPr>
        <w:rPr>
          <w:rFonts w:ascii="Times New Roman" w:hAnsi="Times New Roman" w:cs="Times New Roman"/>
          <w:color w:val="0D0D0D" w:themeColor="text1" w:themeTint="F2"/>
          <w:sz w:val="28"/>
          <w:szCs w:val="28"/>
        </w:rPr>
      </w:pPr>
    </w:p>
    <w:p w:rsidR="00D9650B" w:rsidRPr="002D20D6" w:rsidRDefault="002D20D6" w:rsidP="00A83A2C">
      <w:pPr>
        <w:pStyle w:val="NormalWeb"/>
        <w:numPr>
          <w:ilvl w:val="0"/>
          <w:numId w:val="3"/>
        </w:numPr>
        <w:ind w:left="0" w:right="49" w:firstLine="0"/>
        <w:jc w:val="both"/>
        <w:rPr>
          <w:rFonts w:ascii="Times New Roman" w:hAnsi="Times New Roman" w:cs="Times New Roman"/>
          <w:i/>
          <w:iCs/>
          <w:color w:val="0D0D0D" w:themeColor="text1" w:themeTint="F2"/>
          <w:sz w:val="28"/>
          <w:szCs w:val="28"/>
          <w:u w:val="single"/>
          <w:lang w:eastAsia="es-CO"/>
        </w:rPr>
      </w:pPr>
      <w:r w:rsidRPr="002D20D6">
        <w:rPr>
          <w:rFonts w:ascii="Times New Roman" w:hAnsi="Times New Roman" w:cs="Times New Roman"/>
          <w:color w:val="0D0D0D" w:themeColor="text1" w:themeTint="F2"/>
          <w:sz w:val="28"/>
          <w:szCs w:val="28"/>
        </w:rPr>
        <w:t>En caso de que la Corte efectúe un pronunciamiento de fondo, solicitó declarar la exequibilidad</w:t>
      </w:r>
      <w:r w:rsidRPr="002D20D6">
        <w:rPr>
          <w:rFonts w:ascii="Times New Roman" w:hAnsi="Times New Roman" w:cs="Times New Roman"/>
          <w:color w:val="0D0D0D" w:themeColor="text1" w:themeTint="F2"/>
          <w:sz w:val="28"/>
          <w:szCs w:val="28"/>
        </w:rPr>
        <w:t xml:space="preserve"> condicionada de la norma, bajo el entendido de que la autorización del inspector solo procede respecto de prestaciones renunciables en los términos previstos por la ley, pero nunca frente a derechos mínimos, ciertos e irrenunciables como lo son las cesant</w:t>
      </w:r>
      <w:r w:rsidRPr="002D20D6">
        <w:rPr>
          <w:rFonts w:ascii="Times New Roman" w:hAnsi="Times New Roman" w:cs="Times New Roman"/>
          <w:color w:val="0D0D0D" w:themeColor="text1" w:themeTint="F2"/>
          <w:sz w:val="28"/>
          <w:szCs w:val="28"/>
        </w:rPr>
        <w:t>ías.</w:t>
      </w:r>
      <w:r w:rsidRPr="002D20D6">
        <w:rPr>
          <w:rFonts w:ascii="Times New Roman" w:hAnsi="Times New Roman" w:cs="Times New Roman"/>
          <w:color w:val="0D0D0D" w:themeColor="text1" w:themeTint="F2"/>
          <w:sz w:val="28"/>
          <w:szCs w:val="28"/>
          <w:vertAlign w:val="superscript"/>
        </w:rPr>
        <w:footnoteReference w:id="27"/>
      </w:r>
    </w:p>
    <w:p w:rsidR="00D9650B" w:rsidRPr="002D20D6" w:rsidRDefault="002D20D6" w:rsidP="00D9650B">
      <w:pPr>
        <w:pStyle w:val="Prrafodelista"/>
        <w:rPr>
          <w:rFonts w:ascii="Times New Roman" w:hAnsi="Times New Roman" w:cs="Times New Roman"/>
          <w:i/>
          <w:iCs/>
          <w:color w:val="0D0D0D" w:themeColor="text1" w:themeTint="F2"/>
          <w:sz w:val="28"/>
          <w:szCs w:val="28"/>
          <w:u w:val="single"/>
        </w:rPr>
      </w:pPr>
    </w:p>
    <w:p w:rsidR="00410A44" w:rsidRPr="002D20D6" w:rsidRDefault="002D20D6" w:rsidP="00D9650B">
      <w:pPr>
        <w:pStyle w:val="NormalWeb"/>
        <w:numPr>
          <w:ilvl w:val="0"/>
          <w:numId w:val="3"/>
        </w:numPr>
        <w:ind w:left="0" w:right="49" w:firstLine="0"/>
        <w:jc w:val="both"/>
        <w:rPr>
          <w:rFonts w:ascii="Times New Roman" w:hAnsi="Times New Roman" w:cs="Times New Roman"/>
          <w:i/>
          <w:iCs/>
          <w:color w:val="0D0D0D" w:themeColor="text1" w:themeTint="F2"/>
          <w:sz w:val="28"/>
          <w:szCs w:val="28"/>
          <w:u w:val="single"/>
          <w:lang w:eastAsia="es-CO"/>
        </w:rPr>
      </w:pPr>
      <w:r w:rsidRPr="002D20D6">
        <w:rPr>
          <w:rFonts w:ascii="Times New Roman" w:hAnsi="Times New Roman" w:cs="Times New Roman"/>
          <w:i/>
          <w:iCs/>
          <w:color w:val="0D0D0D" w:themeColor="text1" w:themeTint="F2"/>
          <w:sz w:val="28"/>
          <w:szCs w:val="28"/>
          <w:u w:val="single"/>
        </w:rPr>
        <w:t>Universidad de Caldas</w:t>
      </w:r>
      <w:r w:rsidRPr="002D20D6">
        <w:rPr>
          <w:rFonts w:ascii="Times New Roman" w:hAnsi="Times New Roman" w:cs="Times New Roman"/>
          <w:i/>
          <w:iCs/>
          <w:color w:val="0D0D0D" w:themeColor="text1" w:themeTint="F2"/>
          <w:sz w:val="28"/>
          <w:szCs w:val="28"/>
        </w:rPr>
        <w:t xml:space="preserve">. </w:t>
      </w:r>
      <w:r w:rsidRPr="002D20D6">
        <w:rPr>
          <w:rFonts w:ascii="Times New Roman" w:hAnsi="Times New Roman" w:cs="Times New Roman"/>
          <w:color w:val="0D0D0D" w:themeColor="text1" w:themeTint="F2"/>
          <w:sz w:val="28"/>
          <w:szCs w:val="28"/>
        </w:rPr>
        <w:t xml:space="preserve">Indicó que la expresión </w:t>
      </w:r>
      <w:r w:rsidRPr="002D20D6">
        <w:rPr>
          <w:rFonts w:ascii="Times New Roman" w:hAnsi="Times New Roman" w:cs="Times New Roman"/>
          <w:i/>
          <w:iCs/>
          <w:color w:val="0D0D0D" w:themeColor="text1" w:themeTint="F2"/>
          <w:sz w:val="28"/>
          <w:szCs w:val="28"/>
        </w:rPr>
        <w:t>“y para renunciar prestaciones sociales”</w:t>
      </w:r>
      <w:r w:rsidRPr="002D20D6">
        <w:rPr>
          <w:rFonts w:ascii="Times New Roman" w:hAnsi="Times New Roman" w:cs="Times New Roman"/>
          <w:color w:val="0D0D0D" w:themeColor="text1" w:themeTint="F2"/>
          <w:sz w:val="28"/>
          <w:szCs w:val="28"/>
        </w:rPr>
        <w:t xml:space="preserve"> del artículo 148 del Decreto 2158 de 1948 es incompatible con la Constitución de 1991 y debe ser declarada inexequible. Señaló que el artículo 53 Constitucional consagra la </w:t>
      </w:r>
      <w:r w:rsidRPr="002D20D6">
        <w:rPr>
          <w:rFonts w:ascii="Times New Roman" w:hAnsi="Times New Roman" w:cs="Times New Roman"/>
          <w:i/>
          <w:iCs/>
          <w:color w:val="0D0D0D" w:themeColor="text1" w:themeTint="F2"/>
          <w:sz w:val="28"/>
          <w:szCs w:val="28"/>
        </w:rPr>
        <w:t>“irrenunciabilidad a los beneficios mínimos establecidos en normas laborales”</w:t>
      </w:r>
      <w:r w:rsidRPr="002D20D6">
        <w:rPr>
          <w:rFonts w:ascii="Times New Roman" w:hAnsi="Times New Roman" w:cs="Times New Roman"/>
          <w:color w:val="0D0D0D" w:themeColor="text1" w:themeTint="F2"/>
          <w:sz w:val="28"/>
          <w:szCs w:val="28"/>
        </w:rPr>
        <w:t xml:space="preserve">, lo </w:t>
      </w:r>
      <w:r w:rsidRPr="002D20D6">
        <w:rPr>
          <w:rFonts w:ascii="Times New Roman" w:hAnsi="Times New Roman" w:cs="Times New Roman"/>
          <w:color w:val="0D0D0D" w:themeColor="text1" w:themeTint="F2"/>
          <w:sz w:val="28"/>
          <w:szCs w:val="28"/>
        </w:rPr>
        <w:t>cual convierte a las prestaciones sociales en derechos ciertos e indiscutibles, de orden público, las cuales no pueden ser objeto de renuncia ni siquiera con autorización administrativa. Recordó que el artículo 340 del Código Sustantivo del Trabajo dispone</w:t>
      </w:r>
      <w:r w:rsidRPr="002D20D6">
        <w:rPr>
          <w:rFonts w:ascii="Times New Roman" w:hAnsi="Times New Roman" w:cs="Times New Roman"/>
          <w:color w:val="0D0D0D" w:themeColor="text1" w:themeTint="F2"/>
          <w:sz w:val="28"/>
          <w:szCs w:val="28"/>
        </w:rPr>
        <w:t xml:space="preserve"> que </w:t>
      </w:r>
      <w:r w:rsidRPr="002D20D6">
        <w:rPr>
          <w:rFonts w:ascii="Times New Roman" w:hAnsi="Times New Roman" w:cs="Times New Roman"/>
          <w:i/>
          <w:iCs/>
          <w:color w:val="0D0D0D" w:themeColor="text1" w:themeTint="F2"/>
          <w:sz w:val="28"/>
          <w:szCs w:val="28"/>
        </w:rPr>
        <w:t>“las prestaciones sociales establecidas en este código, ya sean eventuales o causadas, son irrenunciables”,</w:t>
      </w:r>
      <w:r w:rsidRPr="002D20D6">
        <w:rPr>
          <w:rFonts w:ascii="Times New Roman" w:hAnsi="Times New Roman" w:cs="Times New Roman"/>
          <w:color w:val="0D0D0D" w:themeColor="text1" w:themeTint="F2"/>
          <w:sz w:val="28"/>
          <w:szCs w:val="28"/>
        </w:rPr>
        <w:t xml:space="preserve"> reforzando el aludido mandato constitucional.</w:t>
      </w:r>
      <w:r w:rsidRPr="002D20D6">
        <w:rPr>
          <w:rFonts w:ascii="Times New Roman" w:hAnsi="Times New Roman" w:cs="Times New Roman"/>
          <w:color w:val="0D0D0D" w:themeColor="text1" w:themeTint="F2"/>
          <w:sz w:val="28"/>
          <w:szCs w:val="28"/>
          <w:vertAlign w:val="superscript"/>
        </w:rPr>
        <w:footnoteReference w:id="28"/>
      </w:r>
    </w:p>
    <w:p w:rsidR="00410A44" w:rsidRPr="002D20D6" w:rsidRDefault="002D20D6" w:rsidP="00410A44">
      <w:pPr>
        <w:pStyle w:val="NormalWeb"/>
        <w:ind w:right="49"/>
        <w:rPr>
          <w:rFonts w:ascii="Times New Roman" w:hAnsi="Times New Roman" w:cs="Times New Roman"/>
          <w:color w:val="0D0D0D" w:themeColor="text1" w:themeTint="F2"/>
          <w:sz w:val="28"/>
          <w:szCs w:val="28"/>
        </w:rPr>
      </w:pPr>
    </w:p>
    <w:p w:rsidR="00410A44" w:rsidRPr="002D20D6" w:rsidRDefault="002D20D6" w:rsidP="008F5C7A">
      <w:pPr>
        <w:pStyle w:val="NormalWeb"/>
        <w:numPr>
          <w:ilvl w:val="0"/>
          <w:numId w:val="3"/>
        </w:numPr>
        <w:ind w:left="0" w:right="51" w:firstLine="0"/>
        <w:jc w:val="both"/>
        <w:rPr>
          <w:rFonts w:ascii="Times New Roman" w:hAnsi="Times New Roman" w:cs="Times New Roman"/>
          <w:color w:val="0D0D0D" w:themeColor="text1" w:themeTint="F2"/>
          <w:sz w:val="28"/>
          <w:szCs w:val="28"/>
          <w:lang w:val="es-CO"/>
        </w:rPr>
      </w:pPr>
      <w:r w:rsidRPr="002D20D6">
        <w:rPr>
          <w:rFonts w:ascii="Times New Roman" w:hAnsi="Times New Roman" w:cs="Times New Roman"/>
          <w:color w:val="0D0D0D" w:themeColor="text1" w:themeTint="F2"/>
          <w:sz w:val="28"/>
          <w:szCs w:val="28"/>
        </w:rPr>
        <w:t>A juicio de la Universidad, otorgar al Ministerio de Trabajo facultades para permitir tales ren</w:t>
      </w:r>
      <w:r w:rsidRPr="002D20D6">
        <w:rPr>
          <w:rFonts w:ascii="Times New Roman" w:hAnsi="Times New Roman" w:cs="Times New Roman"/>
          <w:color w:val="0D0D0D" w:themeColor="text1" w:themeTint="F2"/>
          <w:sz w:val="28"/>
          <w:szCs w:val="28"/>
        </w:rPr>
        <w:t>uncias contradice su función protectora y desnaturaliza la misión estatal de garantizar la dignidad humana y el mínimo vital. Subrayó que permitir esa renuncia representaría un retroceso frente al principio de progresividad de los derechos laborales y queb</w:t>
      </w:r>
      <w:r w:rsidRPr="002D20D6">
        <w:rPr>
          <w:rFonts w:ascii="Times New Roman" w:hAnsi="Times New Roman" w:cs="Times New Roman"/>
          <w:color w:val="0D0D0D" w:themeColor="text1" w:themeTint="F2"/>
          <w:sz w:val="28"/>
          <w:szCs w:val="28"/>
        </w:rPr>
        <w:t>rantaría la protección reforzada de los trabajadores, por lo cual, la norma sería incompatible con la Constitución.</w:t>
      </w:r>
      <w:r w:rsidRPr="002D20D6">
        <w:rPr>
          <w:rFonts w:ascii="Times New Roman" w:hAnsi="Times New Roman" w:cs="Times New Roman"/>
          <w:color w:val="0D0D0D" w:themeColor="text1" w:themeTint="F2"/>
          <w:sz w:val="28"/>
          <w:szCs w:val="28"/>
          <w:vertAlign w:val="superscript"/>
        </w:rPr>
        <w:footnoteReference w:id="29"/>
      </w:r>
      <w:r w:rsidRPr="002D20D6">
        <w:rPr>
          <w:rFonts w:ascii="Times New Roman" w:hAnsi="Times New Roman" w:cs="Times New Roman"/>
          <w:color w:val="0D0D0D" w:themeColor="text1" w:themeTint="F2"/>
          <w:sz w:val="28"/>
          <w:szCs w:val="28"/>
        </w:rPr>
        <w:t xml:space="preserve"> Subsidiariamente, adujo que la norma podría armonizarse mediante un condicionamiento en el sentido de que en los retiros parciales de cesan</w:t>
      </w:r>
      <w:r w:rsidRPr="002D20D6">
        <w:rPr>
          <w:rFonts w:ascii="Times New Roman" w:hAnsi="Times New Roman" w:cs="Times New Roman"/>
          <w:color w:val="0D0D0D" w:themeColor="text1" w:themeTint="F2"/>
          <w:sz w:val="28"/>
          <w:szCs w:val="28"/>
        </w:rPr>
        <w:t>tías se garantice la protección del mínimo vital.</w:t>
      </w:r>
      <w:r w:rsidRPr="002D20D6">
        <w:rPr>
          <w:rFonts w:ascii="Times New Roman" w:hAnsi="Times New Roman" w:cs="Times New Roman"/>
          <w:color w:val="0D0D0D" w:themeColor="text1" w:themeTint="F2"/>
          <w:sz w:val="28"/>
          <w:szCs w:val="28"/>
          <w:vertAlign w:val="superscript"/>
        </w:rPr>
        <w:footnoteReference w:id="30"/>
      </w:r>
    </w:p>
    <w:p w:rsidR="002C147C" w:rsidRPr="002D20D6" w:rsidRDefault="002D20D6" w:rsidP="002C147C">
      <w:pPr>
        <w:pStyle w:val="NormalWeb"/>
        <w:ind w:right="51"/>
        <w:jc w:val="both"/>
        <w:rPr>
          <w:rFonts w:ascii="Times New Roman" w:hAnsi="Times New Roman" w:cs="Times New Roman"/>
          <w:color w:val="0D0D0D" w:themeColor="text1" w:themeTint="F2"/>
          <w:sz w:val="28"/>
          <w:szCs w:val="28"/>
          <w:lang w:val="es-CO"/>
        </w:rPr>
      </w:pPr>
    </w:p>
    <w:p w:rsidR="00410A44" w:rsidRPr="002D20D6" w:rsidRDefault="002D20D6" w:rsidP="00551F51">
      <w:pPr>
        <w:pStyle w:val="NormalWeb"/>
        <w:numPr>
          <w:ilvl w:val="0"/>
          <w:numId w:val="3"/>
        </w:numPr>
        <w:ind w:left="0" w:right="51" w:firstLine="0"/>
        <w:jc w:val="both"/>
        <w:rPr>
          <w:rFonts w:ascii="Times New Roman" w:hAnsi="Times New Roman" w:cs="Times New Roman"/>
          <w:color w:val="0D0D0D" w:themeColor="text1" w:themeTint="F2"/>
          <w:sz w:val="28"/>
          <w:szCs w:val="28"/>
          <w:lang w:val="es-CO"/>
        </w:rPr>
      </w:pPr>
      <w:r w:rsidRPr="002D20D6">
        <w:rPr>
          <w:rFonts w:ascii="Times New Roman" w:hAnsi="Times New Roman" w:cs="Times New Roman"/>
          <w:i/>
          <w:iCs/>
          <w:color w:val="0D0D0D" w:themeColor="text1" w:themeTint="F2"/>
          <w:sz w:val="28"/>
          <w:szCs w:val="28"/>
          <w:u w:val="single"/>
        </w:rPr>
        <w:t>Universidad del Norte</w:t>
      </w:r>
      <w:r w:rsidRPr="002D20D6">
        <w:rPr>
          <w:rFonts w:ascii="Times New Roman" w:hAnsi="Times New Roman" w:cs="Times New Roman"/>
          <w:i/>
          <w:iCs/>
          <w:color w:val="0D0D0D" w:themeColor="text1" w:themeTint="F2"/>
          <w:sz w:val="28"/>
          <w:szCs w:val="28"/>
        </w:rPr>
        <w:t xml:space="preserve">. </w:t>
      </w:r>
      <w:r w:rsidRPr="002D20D6">
        <w:rPr>
          <w:rFonts w:ascii="Times New Roman" w:hAnsi="Times New Roman" w:cs="Times New Roman"/>
          <w:color w:val="0D0D0D" w:themeColor="text1" w:themeTint="F2"/>
          <w:sz w:val="28"/>
          <w:szCs w:val="28"/>
        </w:rPr>
        <w:t xml:space="preserve">Se decantó por la inconstitucionalidad de la expresión </w:t>
      </w:r>
      <w:r w:rsidRPr="002D20D6">
        <w:rPr>
          <w:rFonts w:ascii="Times New Roman" w:hAnsi="Times New Roman" w:cs="Times New Roman"/>
          <w:i/>
          <w:iCs/>
          <w:color w:val="0D0D0D" w:themeColor="text1" w:themeTint="F2"/>
          <w:sz w:val="28"/>
          <w:szCs w:val="28"/>
        </w:rPr>
        <w:t>“para renunciar prestaciones sociales”</w:t>
      </w:r>
      <w:r w:rsidRPr="002D20D6">
        <w:rPr>
          <w:rFonts w:ascii="Times New Roman" w:hAnsi="Times New Roman" w:cs="Times New Roman"/>
          <w:color w:val="0D0D0D" w:themeColor="text1" w:themeTint="F2"/>
          <w:sz w:val="28"/>
          <w:szCs w:val="28"/>
        </w:rPr>
        <w:t xml:space="preserve"> del artículo 148 del Decreto 2158 de 1948. Para tal efecto, argumentó que el artículo 5</w:t>
      </w:r>
      <w:r w:rsidRPr="002D20D6">
        <w:rPr>
          <w:rFonts w:ascii="Times New Roman" w:hAnsi="Times New Roman" w:cs="Times New Roman"/>
          <w:color w:val="0D0D0D" w:themeColor="text1" w:themeTint="F2"/>
          <w:sz w:val="28"/>
          <w:szCs w:val="28"/>
        </w:rPr>
        <w:t xml:space="preserve">3 de la Constitución consagra la </w:t>
      </w:r>
      <w:r w:rsidRPr="002D20D6">
        <w:rPr>
          <w:rFonts w:ascii="Times New Roman" w:hAnsi="Times New Roman" w:cs="Times New Roman"/>
          <w:i/>
          <w:iCs/>
          <w:color w:val="0D0D0D" w:themeColor="text1" w:themeTint="F2"/>
          <w:sz w:val="28"/>
          <w:szCs w:val="28"/>
        </w:rPr>
        <w:t>“irrenunciabilidad a los beneficios mínimos establecidos en las normas laborales”</w:t>
      </w:r>
      <w:r w:rsidRPr="002D20D6">
        <w:rPr>
          <w:rFonts w:ascii="Times New Roman" w:hAnsi="Times New Roman" w:cs="Times New Roman"/>
          <w:color w:val="0D0D0D" w:themeColor="text1" w:themeTint="F2"/>
          <w:sz w:val="28"/>
          <w:szCs w:val="28"/>
        </w:rPr>
        <w:t>, la cual constituye un mandato de orden público y no una simple declaración programática. Señaló que las prestaciones sociales son derechos m</w:t>
      </w:r>
      <w:r w:rsidRPr="002D20D6">
        <w:rPr>
          <w:rFonts w:ascii="Times New Roman" w:hAnsi="Times New Roman" w:cs="Times New Roman"/>
          <w:color w:val="0D0D0D" w:themeColor="text1" w:themeTint="F2"/>
          <w:sz w:val="28"/>
          <w:szCs w:val="28"/>
        </w:rPr>
        <w:t>ínimos, obligatorios y de carácter irrenunciable, cuyo desconocimiento vulnera la dignidad humana y el trabajo decente.</w:t>
      </w:r>
      <w:r w:rsidRPr="002D20D6">
        <w:rPr>
          <w:rFonts w:ascii="Times New Roman" w:hAnsi="Times New Roman" w:cs="Times New Roman"/>
          <w:color w:val="0D0D0D" w:themeColor="text1" w:themeTint="F2"/>
          <w:sz w:val="28"/>
          <w:szCs w:val="28"/>
          <w:vertAlign w:val="superscript"/>
        </w:rPr>
        <w:footnoteReference w:id="31"/>
      </w:r>
      <w:r w:rsidRPr="002D20D6">
        <w:rPr>
          <w:rFonts w:ascii="Times New Roman" w:hAnsi="Times New Roman" w:cs="Times New Roman"/>
          <w:color w:val="0D0D0D" w:themeColor="text1" w:themeTint="F2"/>
          <w:sz w:val="28"/>
          <w:szCs w:val="28"/>
          <w:lang w:val="es-CO"/>
        </w:rPr>
        <w:t xml:space="preserve"> </w:t>
      </w:r>
      <w:r w:rsidRPr="002D20D6">
        <w:rPr>
          <w:rFonts w:ascii="Times New Roman" w:hAnsi="Times New Roman" w:cs="Times New Roman"/>
          <w:color w:val="0D0D0D" w:themeColor="text1" w:themeTint="F2"/>
          <w:sz w:val="28"/>
          <w:szCs w:val="28"/>
        </w:rPr>
        <w:t>La Universidad concluyó que facultar a inspectores de trabajo o alcaldes para autorizar renuncias de prestaciones sociales desnaturaliz</w:t>
      </w:r>
      <w:r w:rsidRPr="002D20D6">
        <w:rPr>
          <w:rFonts w:ascii="Times New Roman" w:hAnsi="Times New Roman" w:cs="Times New Roman"/>
          <w:color w:val="0D0D0D" w:themeColor="text1" w:themeTint="F2"/>
          <w:sz w:val="28"/>
          <w:szCs w:val="28"/>
        </w:rPr>
        <w:t>a la función protectora del Estado y genera precarización laboral. Por ello, solicitaron a la Corte declarar la inexequibilidad del aparte acusado.</w:t>
      </w:r>
      <w:r w:rsidRPr="002D20D6">
        <w:rPr>
          <w:rFonts w:ascii="Times New Roman" w:hAnsi="Times New Roman" w:cs="Times New Roman"/>
          <w:color w:val="0D0D0D" w:themeColor="text1" w:themeTint="F2"/>
          <w:sz w:val="28"/>
          <w:szCs w:val="28"/>
          <w:vertAlign w:val="superscript"/>
        </w:rPr>
        <w:footnoteReference w:id="32"/>
      </w:r>
    </w:p>
    <w:p w:rsidR="002C147C" w:rsidRPr="002D20D6" w:rsidRDefault="002D20D6" w:rsidP="002C147C">
      <w:pPr>
        <w:pStyle w:val="NormalWeb"/>
        <w:ind w:right="49"/>
        <w:jc w:val="both"/>
        <w:rPr>
          <w:rFonts w:ascii="Times New Roman" w:hAnsi="Times New Roman" w:cs="Times New Roman"/>
          <w:color w:val="0D0D0D" w:themeColor="text1" w:themeTint="F2"/>
          <w:sz w:val="28"/>
          <w:szCs w:val="28"/>
          <w:lang w:val="es-CO"/>
        </w:rPr>
      </w:pPr>
    </w:p>
    <w:p w:rsidR="00410A44" w:rsidRPr="002D20D6" w:rsidRDefault="002D20D6" w:rsidP="00551F51">
      <w:pPr>
        <w:pStyle w:val="NormalWeb"/>
        <w:numPr>
          <w:ilvl w:val="0"/>
          <w:numId w:val="3"/>
        </w:numPr>
        <w:ind w:left="0" w:right="51" w:firstLine="0"/>
        <w:jc w:val="both"/>
        <w:rPr>
          <w:rFonts w:ascii="Times New Roman" w:hAnsi="Times New Roman" w:cs="Times New Roman"/>
          <w:i/>
          <w:iCs/>
          <w:color w:val="0D0D0D" w:themeColor="text1" w:themeTint="F2"/>
          <w:sz w:val="28"/>
          <w:szCs w:val="28"/>
          <w:lang w:val="es-CO"/>
        </w:rPr>
      </w:pPr>
      <w:r w:rsidRPr="002D20D6">
        <w:rPr>
          <w:rFonts w:ascii="Times New Roman" w:hAnsi="Times New Roman" w:cs="Times New Roman"/>
          <w:i/>
          <w:iCs/>
          <w:color w:val="0D0D0D" w:themeColor="text1" w:themeTint="F2"/>
          <w:sz w:val="28"/>
          <w:szCs w:val="28"/>
          <w:u w:val="single"/>
        </w:rPr>
        <w:t>Universidad Pontificia Bolivariana</w:t>
      </w:r>
      <w:r w:rsidRPr="002D20D6">
        <w:rPr>
          <w:rFonts w:ascii="Times New Roman" w:hAnsi="Times New Roman" w:cs="Times New Roman"/>
          <w:i/>
          <w:iCs/>
          <w:color w:val="0D0D0D" w:themeColor="text1" w:themeTint="F2"/>
          <w:sz w:val="28"/>
          <w:szCs w:val="28"/>
        </w:rPr>
        <w:t>.</w:t>
      </w:r>
      <w:r w:rsidRPr="002D20D6">
        <w:rPr>
          <w:rFonts w:ascii="Times New Roman" w:hAnsi="Times New Roman" w:cs="Times New Roman"/>
          <w:color w:val="0D0D0D" w:themeColor="text1" w:themeTint="F2"/>
          <w:sz w:val="28"/>
          <w:szCs w:val="28"/>
        </w:rPr>
        <w:t xml:space="preserve"> Conceptuó que la expresión </w:t>
      </w:r>
      <w:r w:rsidRPr="002D20D6">
        <w:rPr>
          <w:rFonts w:ascii="Times New Roman" w:hAnsi="Times New Roman" w:cs="Times New Roman"/>
          <w:i/>
          <w:iCs/>
          <w:color w:val="0D0D0D" w:themeColor="text1" w:themeTint="F2"/>
          <w:sz w:val="28"/>
          <w:szCs w:val="28"/>
        </w:rPr>
        <w:t>“y para renunciar prestaciones sociales”</w:t>
      </w:r>
      <w:r w:rsidRPr="002D20D6">
        <w:rPr>
          <w:rFonts w:ascii="Times New Roman" w:hAnsi="Times New Roman" w:cs="Times New Roman"/>
          <w:color w:val="0D0D0D" w:themeColor="text1" w:themeTint="F2"/>
          <w:sz w:val="28"/>
          <w:szCs w:val="28"/>
        </w:rPr>
        <w:t xml:space="preserve"> de</w:t>
      </w:r>
      <w:r w:rsidRPr="002D20D6">
        <w:rPr>
          <w:rFonts w:ascii="Times New Roman" w:hAnsi="Times New Roman" w:cs="Times New Roman"/>
          <w:color w:val="0D0D0D" w:themeColor="text1" w:themeTint="F2"/>
          <w:sz w:val="28"/>
          <w:szCs w:val="28"/>
        </w:rPr>
        <w:t xml:space="preserve">l artículo 148 del Decreto 2158 de 1948 es inexequible, en tanto resulta incompatible con el principio de irrenunciabilidad contenido en el artículo 53 de la Constitución. Señaló que resulta </w:t>
      </w:r>
      <w:r w:rsidRPr="002D20D6">
        <w:rPr>
          <w:rFonts w:ascii="Times New Roman" w:hAnsi="Times New Roman" w:cs="Times New Roman"/>
          <w:i/>
          <w:iCs/>
          <w:color w:val="0D0D0D" w:themeColor="text1" w:themeTint="F2"/>
          <w:sz w:val="28"/>
          <w:szCs w:val="28"/>
        </w:rPr>
        <w:t>“constitucionalmente inadmisible que la norma acusada habilite, p</w:t>
      </w:r>
      <w:r w:rsidRPr="002D20D6">
        <w:rPr>
          <w:rFonts w:ascii="Times New Roman" w:hAnsi="Times New Roman" w:cs="Times New Roman"/>
          <w:i/>
          <w:iCs/>
          <w:color w:val="0D0D0D" w:themeColor="text1" w:themeTint="F2"/>
          <w:sz w:val="28"/>
          <w:szCs w:val="28"/>
        </w:rPr>
        <w:t>revia autorización del inspector de trabajo, a que el trabajador renuncie a los derechos ciertos e indiscutibles relacionados con sus prestaciones sociales.”</w:t>
      </w:r>
      <w:r w:rsidRPr="002D20D6">
        <w:rPr>
          <w:rFonts w:ascii="Times New Roman" w:hAnsi="Times New Roman" w:cs="Times New Roman"/>
          <w:i/>
          <w:iCs/>
          <w:color w:val="0D0D0D" w:themeColor="text1" w:themeTint="F2"/>
          <w:sz w:val="28"/>
          <w:szCs w:val="28"/>
          <w:vertAlign w:val="superscript"/>
        </w:rPr>
        <w:footnoteReference w:id="33"/>
      </w:r>
      <w:r w:rsidRPr="002D20D6">
        <w:rPr>
          <w:rFonts w:ascii="Times New Roman" w:hAnsi="Times New Roman" w:cs="Times New Roman"/>
          <w:i/>
          <w:iCs/>
          <w:color w:val="0D0D0D" w:themeColor="text1" w:themeTint="F2"/>
          <w:sz w:val="28"/>
          <w:szCs w:val="28"/>
          <w:lang w:val="es-CO"/>
        </w:rPr>
        <w:t xml:space="preserve"> </w:t>
      </w:r>
      <w:r w:rsidRPr="002D20D6">
        <w:rPr>
          <w:rFonts w:ascii="Times New Roman" w:hAnsi="Times New Roman" w:cs="Times New Roman"/>
          <w:color w:val="0D0D0D" w:themeColor="text1" w:themeTint="F2"/>
          <w:sz w:val="28"/>
          <w:szCs w:val="28"/>
        </w:rPr>
        <w:t xml:space="preserve">Explicó que estos derechos, como lo son las cesantías, los intereses, la prima de servicios y la dotación, se causan automáticamente con el paso del tiempo y constituyen beneficios ciertos e indiscutibles, por lo que no pueden ser objeto de disposición ni </w:t>
      </w:r>
      <w:r w:rsidRPr="002D20D6">
        <w:rPr>
          <w:rFonts w:ascii="Times New Roman" w:hAnsi="Times New Roman" w:cs="Times New Roman"/>
          <w:color w:val="0D0D0D" w:themeColor="text1" w:themeTint="F2"/>
          <w:sz w:val="28"/>
          <w:szCs w:val="28"/>
        </w:rPr>
        <w:t xml:space="preserve">siquiera con autorización administrativa. Citaron la Sentencia SU-111 de 2025, donde la Corte afirmó que la autonomía de la voluntad en materia laboral es </w:t>
      </w:r>
      <w:r w:rsidRPr="002D20D6">
        <w:rPr>
          <w:rFonts w:ascii="Times New Roman" w:hAnsi="Times New Roman" w:cs="Times New Roman"/>
          <w:i/>
          <w:iCs/>
          <w:color w:val="0D0D0D" w:themeColor="text1" w:themeTint="F2"/>
          <w:sz w:val="28"/>
          <w:szCs w:val="28"/>
        </w:rPr>
        <w:t>“una ficción”</w:t>
      </w:r>
      <w:r w:rsidRPr="002D20D6">
        <w:rPr>
          <w:rFonts w:ascii="Times New Roman" w:hAnsi="Times New Roman" w:cs="Times New Roman"/>
          <w:color w:val="0D0D0D" w:themeColor="text1" w:themeTint="F2"/>
          <w:sz w:val="28"/>
          <w:szCs w:val="28"/>
        </w:rPr>
        <w:t xml:space="preserve"> y que los derechos irrenunciables deben protegerse de manera inmediata y efectiva.</w:t>
      </w:r>
      <w:r w:rsidRPr="002D20D6">
        <w:rPr>
          <w:rFonts w:ascii="Times New Roman" w:hAnsi="Times New Roman" w:cs="Times New Roman"/>
          <w:color w:val="0D0D0D" w:themeColor="text1" w:themeTint="F2"/>
          <w:sz w:val="28"/>
          <w:szCs w:val="28"/>
          <w:vertAlign w:val="superscript"/>
        </w:rPr>
        <w:footnoteReference w:id="34"/>
      </w:r>
    </w:p>
    <w:p w:rsidR="00410A44" w:rsidRPr="002D20D6" w:rsidRDefault="002D20D6" w:rsidP="002C147C">
      <w:pPr>
        <w:pStyle w:val="NormalWeb"/>
        <w:ind w:right="51"/>
        <w:jc w:val="both"/>
        <w:rPr>
          <w:rFonts w:ascii="Times New Roman" w:hAnsi="Times New Roman" w:cs="Times New Roman"/>
          <w:color w:val="0D0D0D" w:themeColor="text1" w:themeTint="F2"/>
          <w:sz w:val="28"/>
          <w:szCs w:val="28"/>
          <w:lang w:val="es-CO"/>
        </w:rPr>
      </w:pPr>
    </w:p>
    <w:p w:rsidR="00410A44" w:rsidRPr="002D20D6" w:rsidRDefault="002D20D6" w:rsidP="002C147C">
      <w:pPr>
        <w:pStyle w:val="NormalWeb"/>
        <w:numPr>
          <w:ilvl w:val="0"/>
          <w:numId w:val="3"/>
        </w:numPr>
        <w:ind w:left="0" w:right="51" w:firstLine="0"/>
        <w:jc w:val="both"/>
        <w:rPr>
          <w:rFonts w:ascii="Times New Roman" w:hAnsi="Times New Roman" w:cs="Times New Roman"/>
          <w:color w:val="0D0D0D" w:themeColor="text1" w:themeTint="F2"/>
          <w:sz w:val="28"/>
          <w:szCs w:val="28"/>
          <w:lang w:val="es-CO"/>
        </w:rPr>
      </w:pPr>
      <w:r w:rsidRPr="002D20D6">
        <w:rPr>
          <w:rFonts w:ascii="Times New Roman" w:hAnsi="Times New Roman" w:cs="Times New Roman"/>
          <w:i/>
          <w:iCs/>
          <w:color w:val="0D0D0D" w:themeColor="text1" w:themeTint="F2"/>
          <w:sz w:val="28"/>
          <w:szCs w:val="28"/>
          <w:u w:val="single"/>
        </w:rPr>
        <w:t>Ca</w:t>
      </w:r>
      <w:r w:rsidRPr="002D20D6">
        <w:rPr>
          <w:rFonts w:ascii="Times New Roman" w:hAnsi="Times New Roman" w:cs="Times New Roman"/>
          <w:i/>
          <w:iCs/>
          <w:color w:val="0D0D0D" w:themeColor="text1" w:themeTint="F2"/>
          <w:sz w:val="28"/>
          <w:szCs w:val="28"/>
          <w:u w:val="single"/>
        </w:rPr>
        <w:t>milo Alberto Cuervo Díaz</w:t>
      </w:r>
      <w:r w:rsidRPr="002D20D6">
        <w:rPr>
          <w:rFonts w:ascii="Times New Roman" w:hAnsi="Times New Roman" w:cs="Times New Roman"/>
          <w:color w:val="0D0D0D" w:themeColor="text1" w:themeTint="F2"/>
          <w:sz w:val="28"/>
          <w:szCs w:val="28"/>
        </w:rPr>
        <w:t xml:space="preserve">. Señaló que la expresión </w:t>
      </w:r>
      <w:r w:rsidRPr="002D20D6">
        <w:rPr>
          <w:rFonts w:ascii="Times New Roman" w:hAnsi="Times New Roman" w:cs="Times New Roman"/>
          <w:i/>
          <w:iCs/>
          <w:color w:val="0D0D0D" w:themeColor="text1" w:themeTint="F2"/>
          <w:sz w:val="28"/>
          <w:szCs w:val="28"/>
        </w:rPr>
        <w:t>“y para renunciar prestaciones sociales”</w:t>
      </w:r>
      <w:r w:rsidRPr="002D20D6">
        <w:rPr>
          <w:rFonts w:ascii="Times New Roman" w:hAnsi="Times New Roman" w:cs="Times New Roman"/>
          <w:color w:val="0D0D0D" w:themeColor="text1" w:themeTint="F2"/>
          <w:sz w:val="28"/>
          <w:szCs w:val="28"/>
        </w:rPr>
        <w:t xml:space="preserve"> del artículo 148 del Decreto 2158 de 1948 ha perdido toda eficacia práctica por un fenómeno de decaimiento tácito, derivado de reformas como la Ley 1429 de 2010, los</w:t>
      </w:r>
      <w:r w:rsidRPr="002D20D6">
        <w:rPr>
          <w:rFonts w:ascii="Times New Roman" w:hAnsi="Times New Roman" w:cs="Times New Roman"/>
          <w:color w:val="0D0D0D" w:themeColor="text1" w:themeTint="F2"/>
          <w:sz w:val="28"/>
          <w:szCs w:val="28"/>
        </w:rPr>
        <w:t xml:space="preserve"> decretos que modificaron el Decreto 1072 de 2015 y, más recientemente, la Ley 2452 de 2025, que eliminó definitivamente la figura de autorización administrativa para renunciar a prestaciones sociales. Explicó que desde hace varios años los inspectores de </w:t>
      </w:r>
      <w:r w:rsidRPr="002D20D6">
        <w:rPr>
          <w:rFonts w:ascii="Times New Roman" w:hAnsi="Times New Roman" w:cs="Times New Roman"/>
          <w:color w:val="0D0D0D" w:themeColor="text1" w:themeTint="F2"/>
          <w:sz w:val="28"/>
          <w:szCs w:val="28"/>
        </w:rPr>
        <w:t>trabajo y el Ministerio carecen de competencia para autorizar tales renuncias, por lo que la norma es hoy inoperante.</w:t>
      </w:r>
      <w:r w:rsidRPr="002D20D6">
        <w:rPr>
          <w:rFonts w:ascii="Times New Roman" w:hAnsi="Times New Roman" w:cs="Times New Roman"/>
          <w:color w:val="0D0D0D" w:themeColor="text1" w:themeTint="F2"/>
          <w:sz w:val="28"/>
          <w:szCs w:val="28"/>
          <w:vertAlign w:val="superscript"/>
        </w:rPr>
        <w:footnoteReference w:id="35"/>
      </w:r>
    </w:p>
    <w:p w:rsidR="00410A44" w:rsidRPr="002D20D6" w:rsidRDefault="002D20D6" w:rsidP="002C147C">
      <w:pPr>
        <w:pStyle w:val="NormalWeb"/>
        <w:ind w:right="51"/>
        <w:rPr>
          <w:rFonts w:ascii="Times New Roman" w:hAnsi="Times New Roman" w:cs="Times New Roman"/>
          <w:color w:val="0D0D0D" w:themeColor="text1" w:themeTint="F2"/>
          <w:sz w:val="28"/>
          <w:szCs w:val="28"/>
        </w:rPr>
      </w:pPr>
    </w:p>
    <w:p w:rsidR="003D422F" w:rsidRPr="002D20D6" w:rsidRDefault="002D20D6" w:rsidP="003D422F">
      <w:pPr>
        <w:pStyle w:val="NormalWeb"/>
        <w:numPr>
          <w:ilvl w:val="0"/>
          <w:numId w:val="3"/>
        </w:numPr>
        <w:ind w:left="0" w:right="51" w:firstLine="0"/>
        <w:jc w:val="both"/>
        <w:rPr>
          <w:rFonts w:ascii="Times New Roman" w:hAnsi="Times New Roman" w:cs="Times New Roman"/>
          <w:color w:val="0D0D0D" w:themeColor="text1" w:themeTint="F2"/>
          <w:sz w:val="28"/>
          <w:szCs w:val="28"/>
          <w:lang w:val="es-CO"/>
        </w:rPr>
      </w:pPr>
      <w:r w:rsidRPr="002D20D6">
        <w:rPr>
          <w:rFonts w:ascii="Times New Roman" w:hAnsi="Times New Roman" w:cs="Times New Roman"/>
          <w:color w:val="0D0D0D" w:themeColor="text1" w:themeTint="F2"/>
          <w:sz w:val="28"/>
          <w:szCs w:val="28"/>
        </w:rPr>
        <w:t>Sin embargo, afirmó que</w:t>
      </w:r>
      <w:r w:rsidRPr="002D20D6">
        <w:rPr>
          <w:rFonts w:ascii="Times New Roman" w:hAnsi="Times New Roman" w:cs="Times New Roman"/>
          <w:color w:val="0D0D0D" w:themeColor="text1" w:themeTint="F2"/>
          <w:sz w:val="28"/>
          <w:szCs w:val="28"/>
        </w:rPr>
        <w:t xml:space="preserve"> aunque el análisis es principalmente teórico, la permanencia formal de la disposición exige un pronunciamiento de fondo de la Corte para depurar el ordenamiento y reafirmar los principios constitucionales. Sostuvo que la autorización administrativa para l</w:t>
      </w:r>
      <w:r w:rsidRPr="002D20D6">
        <w:rPr>
          <w:rFonts w:ascii="Times New Roman" w:hAnsi="Times New Roman" w:cs="Times New Roman"/>
          <w:color w:val="0D0D0D" w:themeColor="text1" w:themeTint="F2"/>
          <w:sz w:val="28"/>
          <w:szCs w:val="28"/>
        </w:rPr>
        <w:t>a renuncia de prestaciones vulnera los artículos 53 (irrenunciabilidad de derechos laborales mínimos), 25 (dignidad humana y trabajo decente), 13 (igualdad material) y 229 (acceso a la administración de justicia). Concluyó que, pese a su obsolescencia, res</w:t>
      </w:r>
      <w:r w:rsidRPr="002D20D6">
        <w:rPr>
          <w:rFonts w:ascii="Times New Roman" w:hAnsi="Times New Roman" w:cs="Times New Roman"/>
          <w:color w:val="0D0D0D" w:themeColor="text1" w:themeTint="F2"/>
          <w:sz w:val="28"/>
          <w:szCs w:val="28"/>
        </w:rPr>
        <w:t>ulta indispensable declarar la inexequibilidad de la norma demandada para fortalecer la protección de los derechos laborales y la coherencia del sistema jurídico colombiano.</w:t>
      </w:r>
      <w:r w:rsidRPr="002D20D6">
        <w:rPr>
          <w:rFonts w:ascii="Times New Roman" w:hAnsi="Times New Roman" w:cs="Times New Roman"/>
          <w:color w:val="0D0D0D" w:themeColor="text1" w:themeTint="F2"/>
          <w:sz w:val="28"/>
          <w:szCs w:val="28"/>
          <w:vertAlign w:val="superscript"/>
        </w:rPr>
        <w:footnoteReference w:id="36"/>
      </w:r>
    </w:p>
    <w:p w:rsidR="00410A44" w:rsidRPr="002D20D6" w:rsidRDefault="002D20D6" w:rsidP="002C147C">
      <w:pPr>
        <w:pStyle w:val="NormalWeb"/>
        <w:ind w:right="51"/>
        <w:jc w:val="both"/>
        <w:rPr>
          <w:rFonts w:ascii="Times New Roman" w:hAnsi="Times New Roman" w:cs="Times New Roman"/>
          <w:color w:val="0D0D0D" w:themeColor="text1" w:themeTint="F2"/>
          <w:sz w:val="28"/>
          <w:szCs w:val="28"/>
          <w:lang w:val="es-CO"/>
        </w:rPr>
      </w:pPr>
    </w:p>
    <w:p w:rsidR="00410A44" w:rsidRPr="002D20D6" w:rsidRDefault="002D20D6" w:rsidP="00F83AAD">
      <w:pPr>
        <w:ind w:right="51"/>
        <w:contextualSpacing/>
        <w:jc w:val="both"/>
        <w:outlineLvl w:val="1"/>
        <w:rPr>
          <w:rFonts w:ascii="Times New Roman" w:hAnsi="Times New Roman" w:cs="Times New Roman"/>
          <w:b/>
          <w:bCs/>
          <w:color w:val="0D0D0D" w:themeColor="text1" w:themeTint="F2"/>
          <w:sz w:val="28"/>
          <w:szCs w:val="28"/>
        </w:rPr>
      </w:pPr>
      <w:r w:rsidRPr="002D20D6">
        <w:rPr>
          <w:rFonts w:ascii="Times New Roman" w:hAnsi="Times New Roman" w:cs="Times New Roman"/>
          <w:b/>
          <w:bCs/>
          <w:color w:val="0D0D0D" w:themeColor="text1" w:themeTint="F2"/>
          <w:sz w:val="28"/>
          <w:szCs w:val="28"/>
        </w:rPr>
        <w:t>Concepto del Procurador General de la Nación</w:t>
      </w:r>
    </w:p>
    <w:p w:rsidR="00410A44" w:rsidRPr="002D20D6" w:rsidRDefault="002D20D6" w:rsidP="00410A44">
      <w:pPr>
        <w:ind w:left="720" w:right="49"/>
        <w:contextualSpacing/>
        <w:jc w:val="both"/>
        <w:outlineLvl w:val="1"/>
        <w:rPr>
          <w:rFonts w:ascii="Times New Roman" w:hAnsi="Times New Roman" w:cs="Times New Roman"/>
          <w:b/>
          <w:bCs/>
          <w:color w:val="0D0D0D" w:themeColor="text1" w:themeTint="F2"/>
          <w:sz w:val="28"/>
          <w:szCs w:val="28"/>
        </w:rPr>
      </w:pPr>
    </w:p>
    <w:p w:rsidR="003D422F" w:rsidRPr="002D20D6" w:rsidRDefault="002D20D6" w:rsidP="003D422F">
      <w:pPr>
        <w:pStyle w:val="NormalWeb"/>
        <w:numPr>
          <w:ilvl w:val="0"/>
          <w:numId w:val="3"/>
        </w:numPr>
        <w:ind w:left="0" w:right="49" w:firstLine="0"/>
        <w:jc w:val="both"/>
        <w:rPr>
          <w:rFonts w:ascii="Times New Roman" w:hAnsi="Times New Roman" w:cs="Times New Roman"/>
          <w:color w:val="0D0D0D" w:themeColor="text1" w:themeTint="F2"/>
          <w:sz w:val="28"/>
          <w:szCs w:val="28"/>
          <w:lang w:eastAsia="es-CO"/>
        </w:rPr>
      </w:pPr>
      <w:r w:rsidRPr="002D20D6">
        <w:rPr>
          <w:rFonts w:ascii="Times New Roman" w:hAnsi="Times New Roman" w:cs="Times New Roman"/>
          <w:color w:val="0D0D0D" w:themeColor="text1" w:themeTint="F2"/>
          <w:sz w:val="28"/>
          <w:szCs w:val="28"/>
        </w:rPr>
        <w:t xml:space="preserve">En cumplimiento de los artículos 242.2 y 278.5 de la Constitución, el </w:t>
      </w:r>
      <w:r w:rsidRPr="002D20D6">
        <w:rPr>
          <w:rFonts w:ascii="Times New Roman" w:hAnsi="Times New Roman" w:cs="Times New Roman"/>
          <w:color w:val="0D0D0D" w:themeColor="text1" w:themeTint="F2"/>
          <w:sz w:val="28"/>
          <w:szCs w:val="28"/>
          <w:lang w:eastAsia="es-CO"/>
        </w:rPr>
        <w:t>Procurador General de la Nación rindió el Concepto No. 7501.</w:t>
      </w:r>
      <w:r w:rsidRPr="002D20D6">
        <w:rPr>
          <w:rFonts w:ascii="Times New Roman" w:hAnsi="Times New Roman" w:cs="Times New Roman"/>
          <w:color w:val="0D0D0D" w:themeColor="text1" w:themeTint="F2"/>
          <w:sz w:val="28"/>
          <w:szCs w:val="28"/>
          <w:vertAlign w:val="superscript"/>
        </w:rPr>
        <w:footnoteReference w:id="37"/>
      </w:r>
      <w:r w:rsidRPr="002D20D6">
        <w:rPr>
          <w:rFonts w:ascii="Times New Roman" w:hAnsi="Times New Roman" w:cs="Times New Roman"/>
          <w:color w:val="0D0D0D" w:themeColor="text1" w:themeTint="F2"/>
          <w:sz w:val="28"/>
          <w:szCs w:val="28"/>
        </w:rPr>
        <w:t xml:space="preserve"> En él, </w:t>
      </w:r>
      <w:r w:rsidRPr="002D20D6">
        <w:rPr>
          <w:rFonts w:ascii="Times New Roman" w:hAnsi="Times New Roman" w:cs="Times New Roman"/>
          <w:color w:val="0D0D0D" w:themeColor="text1" w:themeTint="F2"/>
          <w:sz w:val="28"/>
          <w:szCs w:val="28"/>
          <w:lang w:eastAsia="es-CO"/>
        </w:rPr>
        <w:t xml:space="preserve">solicitó declarar la inexequibilidad </w:t>
      </w:r>
      <w:r w:rsidRPr="002D20D6">
        <w:rPr>
          <w:rFonts w:ascii="Times New Roman" w:hAnsi="Times New Roman" w:cs="Times New Roman"/>
          <w:color w:val="0D0D0D" w:themeColor="text1" w:themeTint="F2"/>
          <w:sz w:val="28"/>
          <w:szCs w:val="28"/>
        </w:rPr>
        <w:t xml:space="preserve">de la expresión </w:t>
      </w:r>
      <w:r w:rsidRPr="002D20D6">
        <w:rPr>
          <w:rFonts w:ascii="Times New Roman" w:hAnsi="Times New Roman" w:cs="Times New Roman"/>
          <w:i/>
          <w:iCs/>
          <w:color w:val="0D0D0D" w:themeColor="text1" w:themeTint="F2"/>
          <w:sz w:val="28"/>
          <w:szCs w:val="28"/>
        </w:rPr>
        <w:t>“y para renunciar prestaciones sociales”</w:t>
      </w:r>
      <w:r w:rsidRPr="002D20D6">
        <w:rPr>
          <w:rFonts w:ascii="Times New Roman" w:hAnsi="Times New Roman" w:cs="Times New Roman"/>
          <w:color w:val="0D0D0D" w:themeColor="text1" w:themeTint="F2"/>
          <w:sz w:val="28"/>
          <w:szCs w:val="28"/>
        </w:rPr>
        <w:t xml:space="preserve"> contenida en el artícul</w:t>
      </w:r>
      <w:r w:rsidRPr="002D20D6">
        <w:rPr>
          <w:rFonts w:ascii="Times New Roman" w:hAnsi="Times New Roman" w:cs="Times New Roman"/>
          <w:color w:val="0D0D0D" w:themeColor="text1" w:themeTint="F2"/>
          <w:sz w:val="28"/>
          <w:szCs w:val="28"/>
        </w:rPr>
        <w:t>o 148 del Decreto Ley 2158 de 1948, por ser contraria al principio de irrenunciabilidad de los derechos laborales establecido en la Constitución.</w:t>
      </w:r>
      <w:r w:rsidRPr="002D20D6">
        <w:rPr>
          <w:rFonts w:ascii="Times New Roman" w:hAnsi="Times New Roman" w:cs="Times New Roman"/>
          <w:color w:val="0D0D0D" w:themeColor="text1" w:themeTint="F2"/>
          <w:sz w:val="28"/>
          <w:szCs w:val="28"/>
          <w:vertAlign w:val="superscript"/>
        </w:rPr>
        <w:footnoteReference w:id="38"/>
      </w:r>
      <w:r w:rsidRPr="002D20D6">
        <w:rPr>
          <w:rFonts w:ascii="Times New Roman" w:hAnsi="Times New Roman" w:cs="Times New Roman"/>
          <w:color w:val="0D0D0D" w:themeColor="text1" w:themeTint="F2"/>
          <w:sz w:val="28"/>
          <w:szCs w:val="28"/>
        </w:rPr>
        <w:t xml:space="preserve"> </w:t>
      </w:r>
      <w:r w:rsidRPr="002D20D6">
        <w:rPr>
          <w:rFonts w:ascii="Times New Roman" w:hAnsi="Times New Roman" w:cs="Times New Roman"/>
          <w:color w:val="0D0D0D" w:themeColor="text1" w:themeTint="F2"/>
          <w:sz w:val="28"/>
          <w:szCs w:val="28"/>
          <w:shd w:val="clear" w:color="auto" w:fill="FFFFFF"/>
        </w:rPr>
        <w:t xml:space="preserve">Mencionó </w:t>
      </w:r>
      <w:r w:rsidRPr="002D20D6">
        <w:rPr>
          <w:rFonts w:ascii="Times New Roman" w:hAnsi="Times New Roman" w:cs="Times New Roman"/>
          <w:color w:val="0D0D0D" w:themeColor="text1" w:themeTint="F2"/>
          <w:sz w:val="28"/>
          <w:szCs w:val="28"/>
        </w:rPr>
        <w:t>que las prestaciones sociales (cesantías, intereses, prima de servicios, dotación, entre otras) cons</w:t>
      </w:r>
      <w:r w:rsidRPr="002D20D6">
        <w:rPr>
          <w:rFonts w:ascii="Times New Roman" w:hAnsi="Times New Roman" w:cs="Times New Roman"/>
          <w:color w:val="0D0D0D" w:themeColor="text1" w:themeTint="F2"/>
          <w:sz w:val="28"/>
          <w:szCs w:val="28"/>
        </w:rPr>
        <w:t>tituyen derechos ciertos e indiscutibles que se causan automáticamente con la prestación del servicio y por tanto, son indisponibles. Permitir su renuncia, aun bajo la supervisión de un inspector de trabajo o de un alcalde, vacía de contenido la garantía c</w:t>
      </w:r>
      <w:r w:rsidRPr="002D20D6">
        <w:rPr>
          <w:rFonts w:ascii="Times New Roman" w:hAnsi="Times New Roman" w:cs="Times New Roman"/>
          <w:color w:val="0D0D0D" w:themeColor="text1" w:themeTint="F2"/>
          <w:sz w:val="28"/>
          <w:szCs w:val="28"/>
        </w:rPr>
        <w:t>onstitucional y desnaturaliza la función esencial del derecho laboral.</w:t>
      </w:r>
      <w:r w:rsidRPr="002D20D6">
        <w:rPr>
          <w:rFonts w:ascii="Times New Roman" w:hAnsi="Times New Roman" w:cs="Times New Roman"/>
          <w:color w:val="0D0D0D" w:themeColor="text1" w:themeTint="F2"/>
          <w:sz w:val="28"/>
          <w:szCs w:val="28"/>
          <w:vertAlign w:val="superscript"/>
        </w:rPr>
        <w:footnoteReference w:id="39"/>
      </w:r>
    </w:p>
    <w:p w:rsidR="00410A44" w:rsidRPr="002D20D6" w:rsidRDefault="002D20D6" w:rsidP="00410A44">
      <w:pPr>
        <w:pStyle w:val="NormalWeb"/>
        <w:ind w:right="49"/>
        <w:jc w:val="both"/>
        <w:rPr>
          <w:rFonts w:ascii="Times New Roman" w:hAnsi="Times New Roman" w:cs="Times New Roman"/>
          <w:color w:val="0D0D0D" w:themeColor="text1" w:themeTint="F2"/>
          <w:sz w:val="28"/>
          <w:szCs w:val="28"/>
          <w:lang w:eastAsia="es-CO"/>
        </w:rPr>
      </w:pPr>
    </w:p>
    <w:p w:rsidR="00410A44" w:rsidRPr="002D20D6" w:rsidRDefault="002D20D6" w:rsidP="00410A44">
      <w:pPr>
        <w:pStyle w:val="NormalWeb"/>
        <w:numPr>
          <w:ilvl w:val="0"/>
          <w:numId w:val="3"/>
        </w:numPr>
        <w:ind w:left="0" w:right="49" w:firstLine="0"/>
        <w:jc w:val="both"/>
        <w:rPr>
          <w:rFonts w:ascii="Times New Roman" w:hAnsi="Times New Roman" w:cs="Times New Roman"/>
          <w:color w:val="0D0D0D" w:themeColor="text1" w:themeTint="F2"/>
          <w:sz w:val="28"/>
          <w:szCs w:val="28"/>
          <w:lang w:eastAsia="es-CO"/>
        </w:rPr>
      </w:pPr>
      <w:r w:rsidRPr="002D20D6">
        <w:rPr>
          <w:rFonts w:ascii="Times New Roman" w:hAnsi="Times New Roman" w:cs="Times New Roman"/>
          <w:color w:val="0D0D0D" w:themeColor="text1" w:themeTint="F2"/>
          <w:sz w:val="28"/>
          <w:szCs w:val="28"/>
        </w:rPr>
        <w:t>El Procurador también advirtió que la autorización administrativa para renunciar a estos derechos sustituye indebidamente la competencia del juez laboral y vulnera el derecho de acces</w:t>
      </w:r>
      <w:r w:rsidRPr="002D20D6">
        <w:rPr>
          <w:rFonts w:ascii="Times New Roman" w:hAnsi="Times New Roman" w:cs="Times New Roman"/>
          <w:color w:val="0D0D0D" w:themeColor="text1" w:themeTint="F2"/>
          <w:sz w:val="28"/>
          <w:szCs w:val="28"/>
        </w:rPr>
        <w:t>o a la administración de justicia (artículo 229 de la Constitución), pues traslada a las autoridades administrativas una función reservada a la jurisdicción. Además, contraría la jurisprudencia constitucional que ha sido constante en sostener que solo es p</w:t>
      </w:r>
      <w:r w:rsidRPr="002D20D6">
        <w:rPr>
          <w:rFonts w:ascii="Times New Roman" w:hAnsi="Times New Roman" w:cs="Times New Roman"/>
          <w:color w:val="0D0D0D" w:themeColor="text1" w:themeTint="F2"/>
          <w:sz w:val="28"/>
          <w:szCs w:val="28"/>
        </w:rPr>
        <w:t>osible conciliar o transigir respecto de derechos inciertos y discutibles, más no sobre aquellos causados y ciertos.</w:t>
      </w:r>
    </w:p>
    <w:p w:rsidR="00410A44" w:rsidRPr="002D20D6" w:rsidRDefault="002D20D6" w:rsidP="00410A44">
      <w:pPr>
        <w:pStyle w:val="NormalWeb"/>
        <w:ind w:right="49"/>
        <w:rPr>
          <w:rFonts w:ascii="Times New Roman" w:hAnsi="Times New Roman" w:cs="Times New Roman"/>
          <w:color w:val="0D0D0D" w:themeColor="text1" w:themeTint="F2"/>
          <w:sz w:val="28"/>
          <w:szCs w:val="28"/>
        </w:rPr>
      </w:pPr>
    </w:p>
    <w:p w:rsidR="00410A44" w:rsidRPr="002D20D6" w:rsidRDefault="002D20D6" w:rsidP="00021201">
      <w:pPr>
        <w:pStyle w:val="NormalWeb"/>
        <w:numPr>
          <w:ilvl w:val="0"/>
          <w:numId w:val="3"/>
        </w:numPr>
        <w:ind w:left="0" w:right="49" w:firstLine="0"/>
        <w:jc w:val="both"/>
        <w:rPr>
          <w:rFonts w:ascii="Times New Roman" w:hAnsi="Times New Roman" w:cs="Times New Roman"/>
          <w:color w:val="0D0D0D" w:themeColor="text1" w:themeTint="F2"/>
          <w:sz w:val="28"/>
          <w:szCs w:val="28"/>
          <w:lang w:eastAsia="es-CO"/>
        </w:rPr>
      </w:pPr>
      <w:r w:rsidRPr="002D20D6">
        <w:rPr>
          <w:rFonts w:ascii="Times New Roman" w:hAnsi="Times New Roman" w:cs="Times New Roman"/>
          <w:color w:val="0D0D0D" w:themeColor="text1" w:themeTint="F2"/>
          <w:sz w:val="28"/>
          <w:szCs w:val="28"/>
        </w:rPr>
        <w:t>Finalmente, resaltó que aunque el artículo 148 será derogado por la Ley 2452 de 2025, su vigencia actual impone un pronunciamiento de fond</w:t>
      </w:r>
      <w:r w:rsidRPr="002D20D6">
        <w:rPr>
          <w:rFonts w:ascii="Times New Roman" w:hAnsi="Times New Roman" w:cs="Times New Roman"/>
          <w:color w:val="0D0D0D" w:themeColor="text1" w:themeTint="F2"/>
          <w:sz w:val="28"/>
          <w:szCs w:val="28"/>
        </w:rPr>
        <w:t>o para evitar ambigüedades, depurar el ordenamiento jurídico y reafirmar el compromiso del Estado con la protección efectiva, progresiva e inderogable de los derechos laborales fundamentales.</w:t>
      </w:r>
      <w:r w:rsidRPr="002D20D6">
        <w:rPr>
          <w:rFonts w:ascii="Times New Roman" w:hAnsi="Times New Roman" w:cs="Times New Roman"/>
          <w:color w:val="0D0D0D" w:themeColor="text1" w:themeTint="F2"/>
          <w:sz w:val="28"/>
          <w:szCs w:val="28"/>
          <w:shd w:val="clear" w:color="auto" w:fill="FFFFFF"/>
          <w:vertAlign w:val="superscript"/>
        </w:rPr>
        <w:footnoteReference w:id="40"/>
      </w:r>
    </w:p>
    <w:p w:rsidR="00410A44" w:rsidRPr="002D20D6" w:rsidRDefault="002D20D6" w:rsidP="00410A44">
      <w:pPr>
        <w:ind w:right="49"/>
        <w:rPr>
          <w:rFonts w:ascii="Times New Roman" w:hAnsi="Times New Roman" w:cs="Times New Roman"/>
          <w:color w:val="0D0D0D" w:themeColor="text1" w:themeTint="F2"/>
          <w:sz w:val="28"/>
          <w:szCs w:val="28"/>
        </w:rPr>
      </w:pPr>
    </w:p>
    <w:p w:rsidR="00A509BB" w:rsidRPr="002D20D6" w:rsidRDefault="002D20D6" w:rsidP="00410A44">
      <w:pPr>
        <w:ind w:right="49"/>
        <w:rPr>
          <w:rFonts w:ascii="Times New Roman" w:hAnsi="Times New Roman" w:cs="Times New Roman"/>
          <w:color w:val="0D0D0D" w:themeColor="text1" w:themeTint="F2"/>
          <w:sz w:val="28"/>
          <w:szCs w:val="28"/>
        </w:rPr>
      </w:pPr>
    </w:p>
    <w:p w:rsidR="00410A44" w:rsidRPr="002D20D6" w:rsidRDefault="002D20D6" w:rsidP="00410A44">
      <w:pPr>
        <w:ind w:right="49"/>
        <w:outlineLvl w:val="0"/>
        <w:rPr>
          <w:rFonts w:ascii="Times New Roman" w:hAnsi="Times New Roman" w:cs="Times New Roman"/>
          <w:b/>
          <w:bCs/>
          <w:color w:val="0D0D0D" w:themeColor="text1" w:themeTint="F2"/>
          <w:sz w:val="28"/>
          <w:szCs w:val="28"/>
        </w:rPr>
      </w:pPr>
      <w:r w:rsidRPr="002D20D6">
        <w:rPr>
          <w:rFonts w:ascii="Times New Roman" w:hAnsi="Times New Roman" w:cs="Times New Roman"/>
          <w:b/>
          <w:bCs/>
          <w:color w:val="0D0D0D" w:themeColor="text1" w:themeTint="F2"/>
          <w:sz w:val="28"/>
          <w:szCs w:val="28"/>
        </w:rPr>
        <w:t xml:space="preserve">II. </w:t>
      </w:r>
      <w:r w:rsidRPr="002D20D6">
        <w:rPr>
          <w:rFonts w:ascii="Times New Roman" w:hAnsi="Times New Roman" w:cs="Times New Roman"/>
          <w:b/>
          <w:bCs/>
          <w:color w:val="0D0D0D" w:themeColor="text1" w:themeTint="F2"/>
          <w:sz w:val="28"/>
          <w:szCs w:val="28"/>
        </w:rPr>
        <w:tab/>
        <w:t>CONSIDERACIONES</w:t>
      </w:r>
    </w:p>
    <w:p w:rsidR="00410A44" w:rsidRPr="002D20D6" w:rsidRDefault="002D20D6" w:rsidP="00410A44">
      <w:pPr>
        <w:ind w:right="49"/>
        <w:outlineLvl w:val="0"/>
        <w:rPr>
          <w:rFonts w:ascii="Times New Roman" w:hAnsi="Times New Roman" w:cs="Times New Roman"/>
          <w:b/>
          <w:bCs/>
          <w:color w:val="0D0D0D" w:themeColor="text1" w:themeTint="F2"/>
          <w:sz w:val="28"/>
          <w:szCs w:val="28"/>
        </w:rPr>
      </w:pPr>
    </w:p>
    <w:p w:rsidR="001A33D1" w:rsidRPr="002D20D6" w:rsidRDefault="002D20D6" w:rsidP="00C06330">
      <w:pPr>
        <w:ind w:right="49"/>
        <w:contextualSpacing/>
        <w:jc w:val="both"/>
        <w:rPr>
          <w:rFonts w:ascii="Times New Roman" w:eastAsia="Calibri" w:hAnsi="Times New Roman" w:cs="Times New Roman"/>
          <w:b/>
          <w:bCs/>
          <w:color w:val="0D0D0D" w:themeColor="text1" w:themeTint="F2"/>
          <w:sz w:val="28"/>
          <w:szCs w:val="28"/>
          <w:shd w:val="clear" w:color="auto" w:fill="FFFFFF"/>
          <w:lang w:eastAsia="en-US"/>
          <w14:ligatures w14:val="standardContextual"/>
        </w:rPr>
      </w:pPr>
    </w:p>
    <w:p w:rsidR="00410A44" w:rsidRPr="002D20D6" w:rsidRDefault="002D20D6" w:rsidP="00D6749F">
      <w:pPr>
        <w:ind w:left="708" w:right="49"/>
        <w:contextualSpacing/>
        <w:jc w:val="both"/>
        <w:rPr>
          <w:rFonts w:ascii="Times New Roman" w:hAnsi="Times New Roman" w:cs="Times New Roman"/>
          <w:b/>
          <w:bCs/>
          <w:color w:val="0D0D0D" w:themeColor="text1" w:themeTint="F2"/>
          <w:sz w:val="28"/>
          <w:szCs w:val="28"/>
        </w:rPr>
      </w:pPr>
      <w:r w:rsidRPr="002D20D6">
        <w:rPr>
          <w:rFonts w:ascii="Times New Roman" w:eastAsia="Calibri" w:hAnsi="Times New Roman" w:cs="Times New Roman"/>
          <w:b/>
          <w:bCs/>
          <w:color w:val="0D0D0D" w:themeColor="text1" w:themeTint="F2"/>
          <w:sz w:val="28"/>
          <w:szCs w:val="28"/>
          <w:shd w:val="clear" w:color="auto" w:fill="FFFFFF"/>
          <w:lang w:eastAsia="en-US"/>
          <w14:ligatures w14:val="standardContextual"/>
        </w:rPr>
        <w:t>A. Competencia</w:t>
      </w:r>
    </w:p>
    <w:p w:rsidR="009403EA" w:rsidRPr="002D20D6" w:rsidRDefault="002D20D6" w:rsidP="00414BDF">
      <w:pPr>
        <w:pStyle w:val="NormalWeb"/>
        <w:tabs>
          <w:tab w:val="left" w:pos="142"/>
        </w:tabs>
        <w:ind w:right="49"/>
        <w:jc w:val="both"/>
        <w:rPr>
          <w:rFonts w:ascii="Times New Roman" w:hAnsi="Times New Roman" w:cs="Times New Roman"/>
          <w:b/>
          <w:bCs/>
          <w:i/>
          <w:iCs/>
          <w:color w:val="0D0D0D" w:themeColor="text1" w:themeTint="F2"/>
          <w:sz w:val="28"/>
          <w:szCs w:val="28"/>
        </w:rPr>
      </w:pPr>
    </w:p>
    <w:p w:rsidR="00DE59D7" w:rsidRPr="002D20D6" w:rsidRDefault="002D20D6" w:rsidP="00DE59D7">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shd w:val="clear" w:color="auto" w:fill="FFFFFF"/>
        </w:rPr>
        <w:t xml:space="preserve">De conformidad con lo dispuesto en los artículos 241.5 y 242 de la Constitución, la Corte Constitucional es competente para conocer y decidir sobre la acción pública de inconstitucionalidad en contra </w:t>
      </w:r>
      <w:r w:rsidRPr="002D20D6">
        <w:rPr>
          <w:rFonts w:ascii="Times New Roman" w:eastAsia="Times New Roman" w:hAnsi="Times New Roman" w:cs="Times New Roman"/>
          <w:color w:val="0D0D0D" w:themeColor="text1" w:themeTint="F2"/>
          <w:sz w:val="28"/>
          <w:szCs w:val="28"/>
          <w:lang w:eastAsia="es-ES"/>
        </w:rPr>
        <w:t xml:space="preserve">del artículo 148 (parcial) del Decreto Ley 2158 de 1948 </w:t>
      </w:r>
      <w:r w:rsidRPr="002D20D6">
        <w:rPr>
          <w:rFonts w:ascii="Times New Roman" w:eastAsia="Times New Roman" w:hAnsi="Times New Roman" w:cs="Times New Roman"/>
          <w:color w:val="0D0D0D" w:themeColor="text1" w:themeTint="F2"/>
          <w:sz w:val="28"/>
          <w:szCs w:val="28"/>
          <w:lang w:eastAsia="es-ES"/>
        </w:rPr>
        <w:t>“</w:t>
      </w:r>
      <w:r w:rsidRPr="002D20D6">
        <w:rPr>
          <w:rFonts w:ascii="Times New Roman" w:eastAsia="Times New Roman" w:hAnsi="Times New Roman" w:cs="Times New Roman"/>
          <w:i/>
          <w:color w:val="0D0D0D" w:themeColor="text1" w:themeTint="F2"/>
          <w:sz w:val="28"/>
          <w:szCs w:val="28"/>
          <w:lang w:eastAsia="es-ES"/>
        </w:rPr>
        <w:t>Código Procesal del Trabajo</w:t>
      </w:r>
      <w:r w:rsidRPr="002D20D6">
        <w:rPr>
          <w:rFonts w:ascii="Times New Roman" w:eastAsia="Times New Roman" w:hAnsi="Times New Roman" w:cs="Times New Roman"/>
          <w:color w:val="0D0D0D" w:themeColor="text1" w:themeTint="F2"/>
          <w:sz w:val="28"/>
          <w:szCs w:val="28"/>
          <w:lang w:eastAsia="es-ES"/>
        </w:rPr>
        <w:t>”.</w:t>
      </w:r>
      <w:r w:rsidRPr="002D20D6">
        <w:rPr>
          <w:rFonts w:ascii="Times New Roman" w:eastAsia="Times New Roman" w:hAnsi="Times New Roman" w:cs="Times New Roman"/>
          <w:color w:val="0D0D0D" w:themeColor="text1" w:themeTint="F2"/>
          <w:sz w:val="28"/>
          <w:szCs w:val="28"/>
          <w:vertAlign w:val="superscript"/>
        </w:rPr>
        <w:footnoteReference w:id="41"/>
      </w:r>
    </w:p>
    <w:p w:rsidR="00DE59D7" w:rsidRPr="002D20D6" w:rsidRDefault="002D20D6" w:rsidP="00DE59D7">
      <w:pPr>
        <w:shd w:val="clear" w:color="auto" w:fill="FFFFFF" w:themeFill="background1"/>
        <w:jc w:val="both"/>
        <w:rPr>
          <w:rFonts w:ascii="Times New Roman" w:hAnsi="Times New Roman" w:cs="Times New Roman"/>
          <w:color w:val="0D0D0D" w:themeColor="text1" w:themeTint="F2"/>
          <w:sz w:val="28"/>
          <w:szCs w:val="28"/>
          <w:lang w:val="es-ES"/>
        </w:rPr>
      </w:pPr>
    </w:p>
    <w:p w:rsidR="00DE59D7" w:rsidRPr="002D20D6" w:rsidRDefault="002D20D6" w:rsidP="00DE59D7">
      <w:pPr>
        <w:shd w:val="clear" w:color="auto" w:fill="FFFFFF" w:themeFill="background1"/>
        <w:jc w:val="both"/>
        <w:rPr>
          <w:rFonts w:ascii="Times New Roman" w:hAnsi="Times New Roman" w:cs="Times New Roman"/>
          <w:color w:val="0D0D0D" w:themeColor="text1" w:themeTint="F2"/>
          <w:sz w:val="28"/>
          <w:szCs w:val="28"/>
          <w:lang w:val="es-ES"/>
        </w:rPr>
      </w:pPr>
    </w:p>
    <w:p w:rsidR="00DE59D7" w:rsidRPr="002D20D6" w:rsidRDefault="002D20D6" w:rsidP="00EC23D3">
      <w:pPr>
        <w:shd w:val="clear" w:color="auto" w:fill="FFFFFF" w:themeFill="background1"/>
        <w:ind w:firstLine="708"/>
        <w:contextualSpacing/>
        <w:jc w:val="both"/>
        <w:rPr>
          <w:rFonts w:ascii="Times New Roman" w:hAnsi="Times New Roman" w:cs="Times New Roman"/>
          <w:b/>
          <w:color w:val="0D0D0D" w:themeColor="text1" w:themeTint="F2"/>
          <w:sz w:val="28"/>
          <w:szCs w:val="28"/>
          <w:lang w:val="es-ES"/>
        </w:rPr>
      </w:pPr>
      <w:r w:rsidRPr="002D20D6">
        <w:rPr>
          <w:rFonts w:ascii="Times New Roman" w:hAnsi="Times New Roman" w:cs="Times New Roman"/>
          <w:b/>
          <w:color w:val="0D0D0D" w:themeColor="text1" w:themeTint="F2"/>
          <w:sz w:val="28"/>
          <w:szCs w:val="28"/>
          <w:lang w:val="es-ES"/>
        </w:rPr>
        <w:t>B. Cuestión previa</w:t>
      </w:r>
    </w:p>
    <w:p w:rsidR="00A5095E" w:rsidRPr="002D20D6" w:rsidRDefault="002D20D6" w:rsidP="00DE59D7">
      <w:pPr>
        <w:pStyle w:val="Prrafodelista"/>
        <w:shd w:val="clear" w:color="auto" w:fill="FFFFFF" w:themeFill="background1"/>
        <w:ind w:left="0"/>
        <w:jc w:val="both"/>
        <w:rPr>
          <w:rFonts w:ascii="Times New Roman" w:hAnsi="Times New Roman" w:cs="Times New Roman"/>
          <w:b/>
          <w:i/>
          <w:color w:val="0D0D0D" w:themeColor="text1" w:themeTint="F2"/>
          <w:sz w:val="28"/>
          <w:szCs w:val="28"/>
        </w:rPr>
      </w:pPr>
    </w:p>
    <w:p w:rsidR="00DE59D7" w:rsidRPr="002D20D6" w:rsidRDefault="002D20D6" w:rsidP="00DE59D7">
      <w:pPr>
        <w:pStyle w:val="Prrafodelista"/>
        <w:shd w:val="clear" w:color="auto" w:fill="FFFFFF" w:themeFill="background1"/>
        <w:ind w:left="0"/>
        <w:jc w:val="both"/>
        <w:rPr>
          <w:rFonts w:ascii="Times New Roman" w:hAnsi="Times New Roman" w:cs="Times New Roman"/>
          <w:b/>
          <w:iCs/>
          <w:color w:val="0D0D0D" w:themeColor="text1" w:themeTint="F2"/>
          <w:sz w:val="28"/>
          <w:szCs w:val="28"/>
        </w:rPr>
      </w:pPr>
      <w:r w:rsidRPr="002D20D6">
        <w:rPr>
          <w:rFonts w:ascii="Times New Roman" w:hAnsi="Times New Roman" w:cs="Times New Roman"/>
          <w:b/>
          <w:iCs/>
          <w:color w:val="0D0D0D" w:themeColor="text1" w:themeTint="F2"/>
          <w:sz w:val="28"/>
          <w:szCs w:val="28"/>
        </w:rPr>
        <w:t>Aptitud de la demanda</w:t>
      </w:r>
    </w:p>
    <w:p w:rsidR="00DE59D7" w:rsidRPr="002D20D6" w:rsidRDefault="002D20D6" w:rsidP="00DE59D7">
      <w:pPr>
        <w:shd w:val="clear" w:color="auto" w:fill="FFFFFF" w:themeFill="background1"/>
        <w:jc w:val="both"/>
        <w:rPr>
          <w:rFonts w:ascii="Times New Roman" w:hAnsi="Times New Roman" w:cs="Times New Roman"/>
          <w:b/>
          <w:i/>
          <w:color w:val="0D0D0D" w:themeColor="text1" w:themeTint="F2"/>
          <w:sz w:val="28"/>
          <w:szCs w:val="28"/>
          <w:lang w:val="es-ES"/>
        </w:rPr>
      </w:pPr>
    </w:p>
    <w:p w:rsidR="009928DE" w:rsidRPr="002D20D6" w:rsidRDefault="002D20D6" w:rsidP="000A56DE">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La Asociación Colombiana de Administradoras de Fondos de Pensiones y de Cesantía (Asofondos) le solicitó a esta Corporación declararse inhibida para pronunciarse de fondo sobre la controversia. En su criterio, el cargo admitido carece de </w:t>
      </w:r>
      <w:r w:rsidRPr="002D20D6">
        <w:rPr>
          <w:rFonts w:ascii="Times New Roman" w:hAnsi="Times New Roman" w:cs="Times New Roman"/>
          <w:i/>
          <w:color w:val="0D0D0D" w:themeColor="text1" w:themeTint="F2"/>
          <w:sz w:val="28"/>
          <w:szCs w:val="28"/>
        </w:rPr>
        <w:t xml:space="preserve">certeza </w:t>
      </w:r>
      <w:r w:rsidRPr="002D20D6">
        <w:rPr>
          <w:rFonts w:ascii="Times New Roman" w:hAnsi="Times New Roman" w:cs="Times New Roman"/>
          <w:color w:val="0D0D0D" w:themeColor="text1" w:themeTint="F2"/>
          <w:sz w:val="28"/>
          <w:szCs w:val="28"/>
        </w:rPr>
        <w:t xml:space="preserve">y de </w:t>
      </w:r>
      <w:r w:rsidRPr="002D20D6">
        <w:rPr>
          <w:rFonts w:ascii="Times New Roman" w:hAnsi="Times New Roman" w:cs="Times New Roman"/>
          <w:i/>
          <w:color w:val="0D0D0D" w:themeColor="text1" w:themeTint="F2"/>
          <w:sz w:val="28"/>
          <w:szCs w:val="28"/>
        </w:rPr>
        <w:t>perti</w:t>
      </w:r>
      <w:r w:rsidRPr="002D20D6">
        <w:rPr>
          <w:rFonts w:ascii="Times New Roman" w:hAnsi="Times New Roman" w:cs="Times New Roman"/>
          <w:i/>
          <w:color w:val="0D0D0D" w:themeColor="text1" w:themeTint="F2"/>
          <w:sz w:val="28"/>
          <w:szCs w:val="28"/>
        </w:rPr>
        <w:t xml:space="preserve">nencia. </w:t>
      </w:r>
      <w:r w:rsidRPr="002D20D6">
        <w:rPr>
          <w:rFonts w:ascii="Times New Roman" w:hAnsi="Times New Roman" w:cs="Times New Roman"/>
          <w:color w:val="0D0D0D" w:themeColor="text1" w:themeTint="F2"/>
          <w:sz w:val="28"/>
          <w:szCs w:val="28"/>
          <w:lang w:eastAsia="es-CO"/>
        </w:rPr>
        <w:t xml:space="preserve">De un lado, no es </w:t>
      </w:r>
      <w:r w:rsidRPr="002D20D6">
        <w:rPr>
          <w:rFonts w:ascii="Times New Roman" w:hAnsi="Times New Roman" w:cs="Times New Roman"/>
          <w:i/>
          <w:color w:val="0D0D0D" w:themeColor="text1" w:themeTint="F2"/>
          <w:sz w:val="28"/>
          <w:szCs w:val="28"/>
          <w:lang w:eastAsia="es-CO"/>
        </w:rPr>
        <w:t>cierto</w:t>
      </w:r>
      <w:r w:rsidRPr="002D20D6">
        <w:rPr>
          <w:rFonts w:ascii="Times New Roman" w:hAnsi="Times New Roman" w:cs="Times New Roman"/>
          <w:color w:val="0D0D0D" w:themeColor="text1" w:themeTint="F2"/>
          <w:sz w:val="28"/>
          <w:szCs w:val="28"/>
          <w:lang w:eastAsia="es-CO"/>
        </w:rPr>
        <w:t xml:space="preserve"> porque el artículo 148</w:t>
      </w:r>
      <w:r w:rsidRPr="002D20D6">
        <w:rPr>
          <w:rFonts w:ascii="Times New Roman" w:hAnsi="Times New Roman" w:cs="Times New Roman"/>
          <w:i/>
          <w:color w:val="0D0D0D" w:themeColor="text1" w:themeTint="F2"/>
          <w:sz w:val="28"/>
          <w:szCs w:val="28"/>
          <w:lang w:eastAsia="es-CO"/>
        </w:rPr>
        <w:t xml:space="preserve"> “sólo autoriza a que se pueda renunciar a prestaciones sociales asociadas al pago de cesantías cuya renuncia haya sido autorizada por la ley, como sería el caso de la sanción moratoria por el no pago de cesantías en las fechas que señala la ley”.</w:t>
      </w:r>
      <w:r w:rsidRPr="002D20D6">
        <w:rPr>
          <w:rFonts w:ascii="Times New Roman" w:hAnsi="Times New Roman" w:cs="Times New Roman"/>
          <w:color w:val="0D0D0D" w:themeColor="text1" w:themeTint="F2"/>
          <w:sz w:val="28"/>
          <w:szCs w:val="28"/>
          <w:vertAlign w:val="superscript"/>
        </w:rPr>
        <w:footnoteReference w:id="42"/>
      </w:r>
      <w:r w:rsidRPr="002D20D6">
        <w:rPr>
          <w:rFonts w:ascii="Times New Roman" w:hAnsi="Times New Roman" w:cs="Times New Roman"/>
          <w:i/>
          <w:color w:val="0D0D0D" w:themeColor="text1" w:themeTint="F2"/>
          <w:sz w:val="28"/>
          <w:szCs w:val="28"/>
          <w:lang w:eastAsia="es-CO"/>
        </w:rPr>
        <w:t xml:space="preserve"> </w:t>
      </w:r>
      <w:r w:rsidRPr="002D20D6">
        <w:rPr>
          <w:rFonts w:ascii="Times New Roman" w:hAnsi="Times New Roman" w:cs="Times New Roman"/>
          <w:color w:val="0D0D0D" w:themeColor="text1" w:themeTint="F2"/>
          <w:sz w:val="28"/>
          <w:szCs w:val="28"/>
          <w:lang w:eastAsia="es-CO"/>
        </w:rPr>
        <w:t>Además,</w:t>
      </w:r>
      <w:r w:rsidRPr="002D20D6">
        <w:rPr>
          <w:rFonts w:ascii="Times New Roman" w:hAnsi="Times New Roman" w:cs="Times New Roman"/>
          <w:color w:val="0D0D0D" w:themeColor="text1" w:themeTint="F2"/>
          <w:sz w:val="28"/>
          <w:szCs w:val="28"/>
          <w:lang w:eastAsia="es-CO"/>
        </w:rPr>
        <w:t xml:space="preserve"> dijo, el papel del Inspector del Trabajo no consiste en validar un </w:t>
      </w:r>
      <w:r w:rsidRPr="002D20D6">
        <w:rPr>
          <w:rFonts w:ascii="Times New Roman" w:hAnsi="Times New Roman" w:cs="Times New Roman"/>
          <w:i/>
          <w:color w:val="0D0D0D" w:themeColor="text1" w:themeTint="F2"/>
          <w:sz w:val="28"/>
          <w:szCs w:val="28"/>
          <w:lang w:eastAsia="es-CO"/>
        </w:rPr>
        <w:t xml:space="preserve">acto espurio, </w:t>
      </w:r>
      <w:r w:rsidRPr="002D20D6">
        <w:rPr>
          <w:rFonts w:ascii="Times New Roman" w:hAnsi="Times New Roman" w:cs="Times New Roman"/>
          <w:color w:val="0D0D0D" w:themeColor="text1" w:themeTint="F2"/>
          <w:sz w:val="28"/>
          <w:szCs w:val="28"/>
          <w:lang w:eastAsia="es-CO"/>
        </w:rPr>
        <w:t>sino garantizar los derechos laborales del trabajador.</w:t>
      </w:r>
      <w:r w:rsidRPr="002D20D6">
        <w:rPr>
          <w:rFonts w:ascii="Times New Roman" w:hAnsi="Times New Roman" w:cs="Times New Roman"/>
          <w:color w:val="0D0D0D" w:themeColor="text1" w:themeTint="F2"/>
          <w:sz w:val="28"/>
          <w:szCs w:val="28"/>
          <w:vertAlign w:val="superscript"/>
        </w:rPr>
        <w:footnoteReference w:id="43"/>
      </w:r>
      <w:r w:rsidRPr="002D20D6">
        <w:rPr>
          <w:rFonts w:ascii="Times New Roman" w:hAnsi="Times New Roman" w:cs="Times New Roman"/>
          <w:color w:val="0D0D0D" w:themeColor="text1" w:themeTint="F2"/>
          <w:sz w:val="28"/>
          <w:szCs w:val="28"/>
          <w:lang w:eastAsia="es-CO"/>
        </w:rPr>
        <w:t xml:space="preserve"> De otro, tampoco es </w:t>
      </w:r>
      <w:r w:rsidRPr="002D20D6">
        <w:rPr>
          <w:rFonts w:ascii="Times New Roman" w:hAnsi="Times New Roman" w:cs="Times New Roman"/>
          <w:i/>
          <w:color w:val="0D0D0D" w:themeColor="text1" w:themeTint="F2"/>
          <w:sz w:val="28"/>
          <w:szCs w:val="28"/>
          <w:lang w:eastAsia="es-CO"/>
        </w:rPr>
        <w:t xml:space="preserve">pertinente </w:t>
      </w:r>
      <w:r w:rsidRPr="002D20D6">
        <w:rPr>
          <w:rFonts w:ascii="Times New Roman" w:hAnsi="Times New Roman" w:cs="Times New Roman"/>
          <w:color w:val="0D0D0D" w:themeColor="text1" w:themeTint="F2"/>
          <w:sz w:val="28"/>
          <w:szCs w:val="28"/>
          <w:lang w:eastAsia="es-CO"/>
        </w:rPr>
        <w:t>porque se fundamenta en opiniones amplias y generales de la norma, que como se dijo, re</w:t>
      </w:r>
      <w:r w:rsidRPr="002D20D6">
        <w:rPr>
          <w:rFonts w:ascii="Times New Roman" w:hAnsi="Times New Roman" w:cs="Times New Roman"/>
          <w:color w:val="0D0D0D" w:themeColor="text1" w:themeTint="F2"/>
          <w:sz w:val="28"/>
          <w:szCs w:val="28"/>
          <w:lang w:eastAsia="es-CO"/>
        </w:rPr>
        <w:t>viste de un contenido particular, concreto y específico.</w:t>
      </w:r>
      <w:r w:rsidRPr="002D20D6">
        <w:rPr>
          <w:rFonts w:ascii="Times New Roman" w:hAnsi="Times New Roman" w:cs="Times New Roman"/>
          <w:color w:val="0D0D0D" w:themeColor="text1" w:themeTint="F2"/>
          <w:sz w:val="28"/>
          <w:szCs w:val="28"/>
          <w:vertAlign w:val="superscript"/>
        </w:rPr>
        <w:footnoteReference w:id="44"/>
      </w:r>
    </w:p>
    <w:p w:rsidR="009928DE" w:rsidRPr="002D20D6" w:rsidRDefault="002D20D6" w:rsidP="009928DE">
      <w:pPr>
        <w:shd w:val="clear" w:color="auto" w:fill="FFFFFF" w:themeFill="background1"/>
        <w:jc w:val="both"/>
        <w:rPr>
          <w:rFonts w:ascii="Times New Roman" w:hAnsi="Times New Roman" w:cs="Times New Roman"/>
          <w:color w:val="0D0D0D" w:themeColor="text1" w:themeTint="F2"/>
          <w:sz w:val="28"/>
          <w:szCs w:val="28"/>
        </w:rPr>
      </w:pPr>
    </w:p>
    <w:p w:rsidR="00DE59D7" w:rsidRPr="002D20D6" w:rsidRDefault="002D20D6" w:rsidP="000A56DE">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A partir de estos planteamientos, </w:t>
      </w:r>
      <w:r w:rsidRPr="002D20D6">
        <w:rPr>
          <w:rFonts w:ascii="Times New Roman" w:eastAsia="Times New Roman" w:hAnsi="Times New Roman" w:cs="Times New Roman"/>
          <w:color w:val="0D0D0D" w:themeColor="text1" w:themeTint="F2"/>
          <w:sz w:val="28"/>
          <w:szCs w:val="28"/>
        </w:rPr>
        <w:t>le</w:t>
      </w:r>
      <w:r w:rsidRPr="002D20D6">
        <w:rPr>
          <w:rFonts w:ascii="Times New Roman" w:hAnsi="Times New Roman" w:cs="Times New Roman"/>
          <w:color w:val="0D0D0D" w:themeColor="text1" w:themeTint="F2"/>
          <w:sz w:val="28"/>
          <w:szCs w:val="28"/>
        </w:rPr>
        <w:t xml:space="preserve"> </w:t>
      </w:r>
      <w:r w:rsidRPr="002D20D6">
        <w:rPr>
          <w:rFonts w:ascii="Times New Roman" w:hAnsi="Times New Roman" w:cs="Times New Roman"/>
          <w:color w:val="0D0D0D" w:themeColor="text1" w:themeTint="F2"/>
          <w:sz w:val="28"/>
          <w:szCs w:val="28"/>
          <w:shd w:val="clear" w:color="auto" w:fill="FFFFFF"/>
        </w:rPr>
        <w:t>corresponde</w:t>
      </w:r>
      <w:r w:rsidRPr="002D20D6">
        <w:rPr>
          <w:rFonts w:ascii="Times New Roman" w:hAnsi="Times New Roman" w:cs="Times New Roman"/>
          <w:color w:val="0D0D0D" w:themeColor="text1" w:themeTint="F2"/>
          <w:sz w:val="28"/>
          <w:szCs w:val="28"/>
        </w:rPr>
        <w:t xml:space="preserve"> a esta Corte decidir si la demanda supera los supuestos de aptitud previstos en el Decreto 2067 de 1991 y delimitados por la jurisprudencia constitu</w:t>
      </w:r>
      <w:r w:rsidRPr="002D20D6">
        <w:rPr>
          <w:rFonts w:ascii="Times New Roman" w:hAnsi="Times New Roman" w:cs="Times New Roman"/>
          <w:color w:val="0D0D0D" w:themeColor="text1" w:themeTint="F2"/>
          <w:sz w:val="28"/>
          <w:szCs w:val="28"/>
        </w:rPr>
        <w:t>cional. Ello, con miras a determinar si le corresponde o no realizar un pronunciamiento de fondo sobre el asunto.</w:t>
      </w:r>
    </w:p>
    <w:p w:rsidR="00DE59D7" w:rsidRPr="002D20D6" w:rsidRDefault="002D20D6" w:rsidP="00DE59D7">
      <w:pPr>
        <w:pStyle w:val="Prrafodelista"/>
        <w:shd w:val="clear" w:color="auto" w:fill="FFFFFF" w:themeFill="background1"/>
        <w:ind w:left="0"/>
        <w:jc w:val="both"/>
        <w:rPr>
          <w:rFonts w:ascii="Times New Roman" w:hAnsi="Times New Roman" w:cs="Times New Roman"/>
          <w:i/>
          <w:color w:val="0D0D0D" w:themeColor="text1" w:themeTint="F2"/>
          <w:sz w:val="28"/>
          <w:szCs w:val="28"/>
        </w:rPr>
      </w:pPr>
    </w:p>
    <w:p w:rsidR="00DE59D7" w:rsidRPr="002D20D6" w:rsidRDefault="002D20D6" w:rsidP="00DE59D7">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rPr>
        <w:t>En reiterada jurisprudencia</w:t>
      </w:r>
      <w:r w:rsidRPr="002D20D6">
        <w:rPr>
          <w:rFonts w:ascii="Times New Roman" w:hAnsi="Times New Roman" w:cs="Times New Roman"/>
          <w:color w:val="0D0D0D" w:themeColor="text1" w:themeTint="F2"/>
          <w:sz w:val="28"/>
          <w:szCs w:val="28"/>
          <w:lang w:eastAsia="es-CO"/>
        </w:rPr>
        <w:t>,</w:t>
      </w:r>
      <w:r w:rsidRPr="002D20D6">
        <w:rPr>
          <w:rStyle w:val="Refdenotaalpie"/>
          <w:rFonts w:cs="Times New Roman"/>
          <w:color w:val="0D0D0D" w:themeColor="text1" w:themeTint="F2"/>
          <w:sz w:val="28"/>
          <w:szCs w:val="28"/>
        </w:rPr>
        <w:footnoteReference w:id="45"/>
      </w:r>
      <w:r w:rsidRPr="002D20D6">
        <w:rPr>
          <w:rFonts w:ascii="Times New Roman" w:hAnsi="Times New Roman" w:cs="Times New Roman"/>
          <w:color w:val="0D0D0D" w:themeColor="text1" w:themeTint="F2"/>
          <w:sz w:val="28"/>
          <w:szCs w:val="28"/>
          <w:lang w:eastAsia="es-CO"/>
        </w:rPr>
        <w:t xml:space="preserve"> la Corte ha señalado que el análisis de aptitud de la demanda realizado en el auto admisorio no impide que la S</w:t>
      </w:r>
      <w:r w:rsidRPr="002D20D6">
        <w:rPr>
          <w:rFonts w:ascii="Times New Roman" w:hAnsi="Times New Roman" w:cs="Times New Roman"/>
          <w:color w:val="0D0D0D" w:themeColor="text1" w:themeTint="F2"/>
          <w:sz w:val="28"/>
          <w:szCs w:val="28"/>
          <w:lang w:eastAsia="es-CO"/>
        </w:rPr>
        <w:t>ala Plena de la Corte se pronuncie nuevamente sobre él, pues sobre ella reside la función constitucional de decidir sobre las demandas presentadas en ejercicio de la acción pública de inconstitucionalidad.</w:t>
      </w:r>
      <w:r w:rsidRPr="002D20D6">
        <w:rPr>
          <w:rFonts w:ascii="Times New Roman" w:hAnsi="Times New Roman" w:cs="Times New Roman"/>
          <w:color w:val="0D0D0D" w:themeColor="text1" w:themeTint="F2"/>
          <w:sz w:val="28"/>
          <w:szCs w:val="28"/>
          <w:vertAlign w:val="superscript"/>
        </w:rPr>
        <w:footnoteReference w:id="46"/>
      </w:r>
      <w:r w:rsidRPr="002D20D6">
        <w:rPr>
          <w:rFonts w:ascii="Times New Roman" w:hAnsi="Times New Roman" w:cs="Times New Roman"/>
          <w:i/>
          <w:color w:val="0D0D0D" w:themeColor="text1" w:themeTint="F2"/>
          <w:sz w:val="28"/>
          <w:szCs w:val="28"/>
          <w:lang w:eastAsia="es-CO"/>
        </w:rPr>
        <w:t xml:space="preserve"> </w:t>
      </w:r>
      <w:r w:rsidRPr="002D20D6">
        <w:rPr>
          <w:rFonts w:ascii="Times New Roman" w:hAnsi="Times New Roman" w:cs="Times New Roman"/>
          <w:color w:val="0D0D0D" w:themeColor="text1" w:themeTint="F2"/>
          <w:sz w:val="28"/>
          <w:szCs w:val="28"/>
          <w:lang w:eastAsia="es-CO"/>
        </w:rPr>
        <w:t xml:space="preserve">Máxime, cuando algún interviniente en el proceso </w:t>
      </w:r>
      <w:r w:rsidRPr="002D20D6">
        <w:rPr>
          <w:rFonts w:ascii="Times New Roman" w:hAnsi="Times New Roman" w:cs="Times New Roman"/>
          <w:color w:val="0D0D0D" w:themeColor="text1" w:themeTint="F2"/>
          <w:sz w:val="28"/>
          <w:szCs w:val="28"/>
          <w:lang w:eastAsia="es-CO"/>
        </w:rPr>
        <w:t>así lo sugiere, pues ello le permite a la Sala contar con mayores elementos de juicio para realizar un estudio completo y detallado sobre su competencia para pronunciarse de fondo sobre la controversia.</w:t>
      </w:r>
      <w:r w:rsidRPr="002D20D6">
        <w:rPr>
          <w:rFonts w:ascii="Times New Roman" w:hAnsi="Times New Roman" w:cs="Times New Roman"/>
          <w:color w:val="0D0D0D" w:themeColor="text1" w:themeTint="F2"/>
          <w:sz w:val="28"/>
          <w:szCs w:val="28"/>
          <w:vertAlign w:val="superscript"/>
        </w:rPr>
        <w:footnoteReference w:id="47"/>
      </w:r>
    </w:p>
    <w:p w:rsidR="00DE59D7" w:rsidRPr="002D20D6" w:rsidRDefault="002D20D6" w:rsidP="00DE59D7">
      <w:pPr>
        <w:pStyle w:val="Prrafodelista"/>
        <w:shd w:val="clear" w:color="auto" w:fill="FFFFFF" w:themeFill="background1"/>
        <w:rPr>
          <w:rFonts w:ascii="Times New Roman" w:hAnsi="Times New Roman" w:cs="Times New Roman"/>
          <w:color w:val="0D0D0D" w:themeColor="text1" w:themeTint="F2"/>
          <w:sz w:val="28"/>
          <w:szCs w:val="28"/>
        </w:rPr>
      </w:pPr>
    </w:p>
    <w:p w:rsidR="00DE59D7" w:rsidRPr="002D20D6" w:rsidRDefault="002D20D6" w:rsidP="00EC23D3">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rPr>
        <w:t>Con fundamento en los artículos 2 y 3 del Decreto 2</w:t>
      </w:r>
      <w:r w:rsidRPr="002D20D6">
        <w:rPr>
          <w:rFonts w:ascii="Times New Roman" w:hAnsi="Times New Roman" w:cs="Times New Roman"/>
          <w:color w:val="0D0D0D" w:themeColor="text1" w:themeTint="F2"/>
          <w:sz w:val="28"/>
          <w:szCs w:val="28"/>
        </w:rPr>
        <w:t xml:space="preserve">067 de 1991, la Corte Constitucional ha sostenido que la demanda no puede acudir a acusaciones </w:t>
      </w:r>
      <w:r w:rsidRPr="002D20D6">
        <w:rPr>
          <w:rFonts w:ascii="Times New Roman" w:hAnsi="Times New Roman" w:cs="Times New Roman"/>
          <w:i/>
          <w:color w:val="0D0D0D" w:themeColor="text1" w:themeTint="F2"/>
          <w:sz w:val="28"/>
          <w:szCs w:val="28"/>
        </w:rPr>
        <w:t>vagas, abstractas, imprecisas</w:t>
      </w:r>
      <w:r w:rsidRPr="002D20D6">
        <w:rPr>
          <w:rFonts w:ascii="Times New Roman" w:hAnsi="Times New Roman" w:cs="Times New Roman"/>
          <w:color w:val="0D0D0D" w:themeColor="text1" w:themeTint="F2"/>
          <w:sz w:val="28"/>
          <w:szCs w:val="28"/>
        </w:rPr>
        <w:t xml:space="preserve"> o </w:t>
      </w:r>
      <w:r w:rsidRPr="002D20D6">
        <w:rPr>
          <w:rFonts w:ascii="Times New Roman" w:hAnsi="Times New Roman" w:cs="Times New Roman"/>
          <w:i/>
          <w:color w:val="0D0D0D" w:themeColor="text1" w:themeTint="F2"/>
          <w:sz w:val="28"/>
          <w:szCs w:val="28"/>
        </w:rPr>
        <w:t>globales</w:t>
      </w:r>
      <w:r w:rsidRPr="002D20D6">
        <w:rPr>
          <w:rFonts w:ascii="Times New Roman" w:hAnsi="Times New Roman" w:cs="Times New Roman"/>
          <w:color w:val="0D0D0D" w:themeColor="text1" w:themeTint="F2"/>
          <w:sz w:val="28"/>
          <w:szCs w:val="28"/>
        </w:rPr>
        <w:t>, sino que debe desarrollar razones o motivos que sean “</w:t>
      </w:r>
      <w:r w:rsidRPr="002D20D6">
        <w:rPr>
          <w:rFonts w:ascii="Times New Roman" w:hAnsi="Times New Roman" w:cs="Times New Roman"/>
          <w:i/>
          <w:color w:val="0D0D0D" w:themeColor="text1" w:themeTint="F2"/>
          <w:sz w:val="28"/>
          <w:szCs w:val="28"/>
        </w:rPr>
        <w:t>claros, ciertos, específicos, pertinentes y suficientes.</w:t>
      </w:r>
      <w:r w:rsidRPr="002D20D6">
        <w:rPr>
          <w:rFonts w:ascii="Times New Roman" w:hAnsi="Times New Roman" w:cs="Times New Roman"/>
          <w:color w:val="0D0D0D" w:themeColor="text1" w:themeTint="F2"/>
          <w:sz w:val="28"/>
          <w:szCs w:val="28"/>
        </w:rPr>
        <w:t>”</w:t>
      </w:r>
      <w:r w:rsidRPr="002D20D6">
        <w:rPr>
          <w:rFonts w:ascii="Times New Roman" w:hAnsi="Times New Roman" w:cs="Times New Roman"/>
          <w:color w:val="0D0D0D" w:themeColor="text1" w:themeTint="F2"/>
          <w:sz w:val="28"/>
          <w:szCs w:val="28"/>
          <w:vertAlign w:val="superscript"/>
        </w:rPr>
        <w:footnoteReference w:id="48"/>
      </w:r>
      <w:r w:rsidRPr="002D20D6">
        <w:rPr>
          <w:rFonts w:ascii="Times New Roman" w:hAnsi="Times New Roman" w:cs="Times New Roman"/>
          <w:color w:val="0D0D0D" w:themeColor="text1" w:themeTint="F2"/>
          <w:sz w:val="28"/>
          <w:szCs w:val="28"/>
        </w:rPr>
        <w:t xml:space="preserve"> De ahí que se hayan previsto los presupuestos de </w:t>
      </w:r>
      <w:r w:rsidRPr="002D20D6">
        <w:rPr>
          <w:rFonts w:ascii="Times New Roman" w:hAnsi="Times New Roman" w:cs="Times New Roman"/>
          <w:i/>
          <w:color w:val="0D0D0D" w:themeColor="text1" w:themeTint="F2"/>
          <w:sz w:val="28"/>
          <w:szCs w:val="28"/>
        </w:rPr>
        <w:t>claridad, certeza, especificidad, pertinencia y suficiencia</w:t>
      </w:r>
      <w:r w:rsidRPr="002D20D6">
        <w:rPr>
          <w:rFonts w:ascii="Times New Roman" w:hAnsi="Times New Roman" w:cs="Times New Roman"/>
          <w:color w:val="0D0D0D" w:themeColor="text1" w:themeTint="F2"/>
          <w:sz w:val="28"/>
          <w:szCs w:val="28"/>
        </w:rPr>
        <w:t>, cuyo alcance ha sido previsto por la Corte, así:</w:t>
      </w:r>
    </w:p>
    <w:p w:rsidR="00394F97" w:rsidRPr="002D20D6" w:rsidRDefault="002D20D6" w:rsidP="00DE59D7">
      <w:pPr>
        <w:pStyle w:val="Prrafodelista"/>
        <w:shd w:val="clear" w:color="auto" w:fill="FFFFFF" w:themeFill="background1"/>
        <w:rPr>
          <w:rFonts w:ascii="Times New Roman" w:hAnsi="Times New Roman" w:cs="Times New Roman"/>
          <w:color w:val="0D0D0D" w:themeColor="text1" w:themeTint="F2"/>
          <w:sz w:val="28"/>
          <w:szCs w:val="28"/>
        </w:rPr>
      </w:pPr>
    </w:p>
    <w:tbl>
      <w:tblPr>
        <w:tblStyle w:val="Tablaconcuadrcula"/>
        <w:tblW w:w="9351" w:type="dxa"/>
        <w:tblLook w:val="04A0" w:firstRow="1" w:lastRow="0" w:firstColumn="1" w:lastColumn="0" w:noHBand="0" w:noVBand="1"/>
      </w:tblPr>
      <w:tblGrid>
        <w:gridCol w:w="1821"/>
        <w:gridCol w:w="7530"/>
      </w:tblGrid>
      <w:tr w:rsidR="00485A36" w:rsidRPr="002D20D6" w:rsidTr="00394F97">
        <w:tc>
          <w:tcPr>
            <w:tcW w:w="1821" w:type="dxa"/>
            <w:vAlign w:val="center"/>
          </w:tcPr>
          <w:p w:rsidR="00DE59D7" w:rsidRPr="002D20D6" w:rsidRDefault="002D20D6">
            <w:pPr>
              <w:shd w:val="clear" w:color="auto" w:fill="FFFFFF" w:themeFill="background1"/>
              <w:autoSpaceDE w:val="0"/>
              <w:autoSpaceDN w:val="0"/>
              <w:ind w:right="49"/>
              <w:jc w:val="center"/>
              <w:rPr>
                <w:rFonts w:ascii="Times New Roman" w:hAnsi="Times New Roman" w:cs="Times New Roman"/>
                <w:b/>
                <w:color w:val="0D0D0D" w:themeColor="text1" w:themeTint="F2"/>
                <w:sz w:val="28"/>
                <w:szCs w:val="24"/>
                <w:lang w:val="es-ES" w:eastAsia="es-CO"/>
              </w:rPr>
            </w:pPr>
            <w:r w:rsidRPr="002D20D6">
              <w:rPr>
                <w:rFonts w:ascii="Times New Roman" w:hAnsi="Times New Roman" w:cs="Times New Roman"/>
                <w:b/>
                <w:color w:val="0D0D0D" w:themeColor="text1" w:themeTint="F2"/>
                <w:sz w:val="28"/>
                <w:szCs w:val="24"/>
                <w:lang w:val="es-ES" w:eastAsia="es-CO"/>
              </w:rPr>
              <w:t>Presupuesto</w:t>
            </w:r>
          </w:p>
        </w:tc>
        <w:tc>
          <w:tcPr>
            <w:tcW w:w="7530" w:type="dxa"/>
            <w:vAlign w:val="center"/>
          </w:tcPr>
          <w:p w:rsidR="00DE59D7" w:rsidRPr="002D20D6" w:rsidRDefault="002D20D6">
            <w:pPr>
              <w:shd w:val="clear" w:color="auto" w:fill="FFFFFF" w:themeFill="background1"/>
              <w:autoSpaceDE w:val="0"/>
              <w:autoSpaceDN w:val="0"/>
              <w:ind w:right="49"/>
              <w:jc w:val="center"/>
              <w:rPr>
                <w:rFonts w:ascii="Times New Roman" w:hAnsi="Times New Roman" w:cs="Times New Roman"/>
                <w:b/>
                <w:color w:val="0D0D0D" w:themeColor="text1" w:themeTint="F2"/>
                <w:sz w:val="28"/>
                <w:szCs w:val="24"/>
                <w:lang w:val="es-ES" w:eastAsia="es-CO"/>
              </w:rPr>
            </w:pPr>
            <w:r w:rsidRPr="002D20D6">
              <w:rPr>
                <w:rFonts w:ascii="Times New Roman" w:hAnsi="Times New Roman" w:cs="Times New Roman"/>
                <w:b/>
                <w:color w:val="0D0D0D" w:themeColor="text1" w:themeTint="F2"/>
                <w:sz w:val="28"/>
                <w:szCs w:val="24"/>
                <w:lang w:val="es-ES" w:eastAsia="es-CO"/>
              </w:rPr>
              <w:t>Explicación</w:t>
            </w:r>
          </w:p>
        </w:tc>
      </w:tr>
      <w:tr w:rsidR="00485A36" w:rsidRPr="002D20D6" w:rsidTr="00EC23D3">
        <w:trPr>
          <w:trHeight w:val="880"/>
        </w:trPr>
        <w:tc>
          <w:tcPr>
            <w:tcW w:w="1821" w:type="dxa"/>
            <w:vAlign w:val="center"/>
          </w:tcPr>
          <w:p w:rsidR="00DE59D7" w:rsidRPr="002D20D6" w:rsidRDefault="002D20D6">
            <w:pPr>
              <w:shd w:val="clear" w:color="auto" w:fill="FFFFFF" w:themeFill="background1"/>
              <w:autoSpaceDE w:val="0"/>
              <w:autoSpaceDN w:val="0"/>
              <w:ind w:right="49"/>
              <w:jc w:val="center"/>
              <w:rPr>
                <w:rFonts w:ascii="Times New Roman" w:hAnsi="Times New Roman" w:cs="Times New Roman"/>
                <w:b/>
                <w:i/>
                <w:color w:val="0D0D0D" w:themeColor="text1" w:themeTint="F2"/>
                <w:sz w:val="28"/>
                <w:szCs w:val="24"/>
                <w:lang w:val="es-ES" w:eastAsia="es-CO"/>
              </w:rPr>
            </w:pPr>
            <w:r w:rsidRPr="002D20D6">
              <w:rPr>
                <w:rFonts w:ascii="Times New Roman" w:hAnsi="Times New Roman" w:cs="Times New Roman"/>
                <w:b/>
                <w:i/>
                <w:color w:val="0D0D0D" w:themeColor="text1" w:themeTint="F2"/>
                <w:sz w:val="28"/>
                <w:szCs w:val="24"/>
                <w:lang w:val="es-ES" w:eastAsia="es-CO"/>
              </w:rPr>
              <w:t>Claridad</w:t>
            </w:r>
          </w:p>
        </w:tc>
        <w:tc>
          <w:tcPr>
            <w:tcW w:w="7530" w:type="dxa"/>
            <w:vAlign w:val="center"/>
          </w:tcPr>
          <w:p w:rsidR="00DE59D7" w:rsidRPr="002D20D6" w:rsidRDefault="002D20D6" w:rsidP="00F72B03">
            <w:pPr>
              <w:shd w:val="clear" w:color="auto" w:fill="FFFFFF" w:themeFill="background1"/>
              <w:autoSpaceDE w:val="0"/>
              <w:autoSpaceDN w:val="0"/>
              <w:jc w:val="both"/>
              <w:rPr>
                <w:rFonts w:ascii="Times New Roman" w:hAnsi="Times New Roman" w:cs="Times New Roman"/>
                <w:color w:val="0D0D0D" w:themeColor="text1" w:themeTint="F2"/>
                <w:sz w:val="28"/>
                <w:szCs w:val="24"/>
                <w:lang w:val="es-ES" w:eastAsia="es-CO"/>
              </w:rPr>
            </w:pPr>
            <w:r w:rsidRPr="002D20D6">
              <w:rPr>
                <w:rFonts w:ascii="Times New Roman" w:hAnsi="Times New Roman" w:cs="Times New Roman"/>
                <w:color w:val="0D0D0D" w:themeColor="text1" w:themeTint="F2"/>
                <w:sz w:val="28"/>
                <w:szCs w:val="24"/>
                <w:lang w:val="es-ES" w:eastAsia="es-CO"/>
              </w:rPr>
              <w:t xml:space="preserve">Le impone al demandante el deber de seguir un hilo conductor </w:t>
            </w:r>
            <w:r w:rsidRPr="002D20D6">
              <w:rPr>
                <w:rFonts w:ascii="Times New Roman" w:hAnsi="Times New Roman" w:cs="Times New Roman"/>
                <w:color w:val="0D0D0D" w:themeColor="text1" w:themeTint="F2"/>
                <w:sz w:val="28"/>
                <w:szCs w:val="24"/>
                <w:lang w:val="es-ES" w:eastAsia="es-CO"/>
              </w:rPr>
              <w:t>argumentativo que le permita al lector comprender fácilmente el contenido de la demanda y las justificaciones inmersas en ella.</w:t>
            </w:r>
            <w:r w:rsidRPr="002D20D6">
              <w:rPr>
                <w:rFonts w:ascii="Times New Roman" w:hAnsi="Times New Roman" w:cs="Times New Roman"/>
                <w:color w:val="0D0D0D" w:themeColor="text1" w:themeTint="F2"/>
                <w:sz w:val="28"/>
                <w:szCs w:val="24"/>
                <w:vertAlign w:val="superscript"/>
                <w:lang w:val="es-ES" w:eastAsia="es-ES"/>
              </w:rPr>
              <w:footnoteReference w:id="49"/>
            </w:r>
          </w:p>
        </w:tc>
      </w:tr>
      <w:tr w:rsidR="00485A36" w:rsidRPr="002D20D6" w:rsidTr="00EC23D3">
        <w:trPr>
          <w:trHeight w:val="588"/>
        </w:trPr>
        <w:tc>
          <w:tcPr>
            <w:tcW w:w="1821" w:type="dxa"/>
            <w:vAlign w:val="center"/>
          </w:tcPr>
          <w:p w:rsidR="00DE59D7" w:rsidRPr="002D20D6" w:rsidRDefault="002D20D6">
            <w:pPr>
              <w:shd w:val="clear" w:color="auto" w:fill="FFFFFF" w:themeFill="background1"/>
              <w:autoSpaceDE w:val="0"/>
              <w:autoSpaceDN w:val="0"/>
              <w:ind w:right="49"/>
              <w:jc w:val="center"/>
              <w:rPr>
                <w:rFonts w:ascii="Times New Roman" w:hAnsi="Times New Roman" w:cs="Times New Roman"/>
                <w:b/>
                <w:i/>
                <w:color w:val="0D0D0D" w:themeColor="text1" w:themeTint="F2"/>
                <w:sz w:val="28"/>
                <w:szCs w:val="24"/>
                <w:lang w:val="es-ES" w:eastAsia="es-CO"/>
              </w:rPr>
            </w:pPr>
            <w:r w:rsidRPr="002D20D6">
              <w:rPr>
                <w:rFonts w:ascii="Times New Roman" w:hAnsi="Times New Roman" w:cs="Times New Roman"/>
                <w:b/>
                <w:i/>
                <w:color w:val="0D0D0D" w:themeColor="text1" w:themeTint="F2"/>
                <w:sz w:val="28"/>
                <w:szCs w:val="24"/>
                <w:lang w:val="es-ES" w:eastAsia="es-CO"/>
              </w:rPr>
              <w:t>Certeza</w:t>
            </w:r>
          </w:p>
        </w:tc>
        <w:tc>
          <w:tcPr>
            <w:tcW w:w="7530" w:type="dxa"/>
            <w:vAlign w:val="center"/>
          </w:tcPr>
          <w:p w:rsidR="00DE59D7" w:rsidRPr="002D20D6" w:rsidRDefault="002D20D6" w:rsidP="00F72B03">
            <w:pPr>
              <w:shd w:val="clear" w:color="auto" w:fill="FFFFFF" w:themeFill="background1"/>
              <w:autoSpaceDE w:val="0"/>
              <w:autoSpaceDN w:val="0"/>
              <w:jc w:val="both"/>
              <w:rPr>
                <w:rFonts w:ascii="Times New Roman" w:hAnsi="Times New Roman" w:cs="Times New Roman"/>
                <w:color w:val="0D0D0D" w:themeColor="text1" w:themeTint="F2"/>
                <w:sz w:val="28"/>
                <w:szCs w:val="24"/>
                <w:lang w:val="es-ES" w:eastAsia="es-CO"/>
              </w:rPr>
            </w:pPr>
            <w:r w:rsidRPr="002D20D6">
              <w:rPr>
                <w:rFonts w:ascii="Times New Roman" w:hAnsi="Times New Roman" w:cs="Times New Roman"/>
                <w:color w:val="0D0D0D" w:themeColor="text1" w:themeTint="F2"/>
                <w:sz w:val="28"/>
                <w:szCs w:val="24"/>
                <w:lang w:val="es-ES" w:eastAsia="es-CO"/>
              </w:rPr>
              <w:t xml:space="preserve">Se refiere a la necesidad de que la demanda recaiga sobre </w:t>
            </w:r>
            <w:r w:rsidRPr="002D20D6">
              <w:rPr>
                <w:rFonts w:ascii="Times New Roman" w:hAnsi="Times New Roman" w:cs="Times New Roman"/>
                <w:i/>
                <w:color w:val="0D0D0D" w:themeColor="text1" w:themeTint="F2"/>
                <w:sz w:val="28"/>
                <w:szCs w:val="24"/>
                <w:lang w:val="es-ES" w:eastAsia="es-CO"/>
              </w:rPr>
              <w:t>“una proposición jurídica real y existente”</w:t>
            </w:r>
            <w:r w:rsidRPr="002D20D6">
              <w:rPr>
                <w:rFonts w:ascii="Times New Roman" w:hAnsi="Times New Roman" w:cs="Times New Roman"/>
                <w:color w:val="0D0D0D" w:themeColor="text1" w:themeTint="F2"/>
                <w:sz w:val="28"/>
                <w:szCs w:val="24"/>
                <w:lang w:val="es-ES" w:eastAsia="es-CO"/>
              </w:rPr>
              <w:t xml:space="preserve"> y no simplemente sobre una deducida por el actor, implícita o que se refiere a otras normas vigentes que no son objeto de la demanda. Igualmente, deberán presentarse interpretaciones que se fundamentan en un contenido verificable del mandato demandado.</w:t>
            </w:r>
            <w:r w:rsidRPr="002D20D6">
              <w:rPr>
                <w:rFonts w:ascii="Times New Roman" w:hAnsi="Times New Roman" w:cs="Times New Roman"/>
                <w:color w:val="0D0D0D" w:themeColor="text1" w:themeTint="F2"/>
                <w:sz w:val="28"/>
                <w:szCs w:val="24"/>
                <w:vertAlign w:val="superscript"/>
                <w:lang w:val="es-ES" w:eastAsia="es-ES"/>
              </w:rPr>
              <w:footnoteReference w:id="50"/>
            </w:r>
          </w:p>
        </w:tc>
      </w:tr>
      <w:tr w:rsidR="00485A36" w:rsidRPr="002D20D6" w:rsidTr="00394F97">
        <w:tc>
          <w:tcPr>
            <w:tcW w:w="1821" w:type="dxa"/>
            <w:vAlign w:val="center"/>
          </w:tcPr>
          <w:p w:rsidR="00DE59D7" w:rsidRPr="002D20D6" w:rsidRDefault="002D20D6">
            <w:pPr>
              <w:shd w:val="clear" w:color="auto" w:fill="FFFFFF" w:themeFill="background1"/>
              <w:autoSpaceDE w:val="0"/>
              <w:autoSpaceDN w:val="0"/>
              <w:ind w:right="49"/>
              <w:jc w:val="center"/>
              <w:rPr>
                <w:rFonts w:ascii="Times New Roman" w:hAnsi="Times New Roman" w:cs="Times New Roman"/>
                <w:b/>
                <w:i/>
                <w:color w:val="0D0D0D" w:themeColor="text1" w:themeTint="F2"/>
                <w:sz w:val="28"/>
                <w:szCs w:val="24"/>
                <w:lang w:val="es-ES" w:eastAsia="es-CO"/>
              </w:rPr>
            </w:pPr>
            <w:r w:rsidRPr="002D20D6">
              <w:rPr>
                <w:rFonts w:ascii="Times New Roman" w:hAnsi="Times New Roman" w:cs="Times New Roman"/>
                <w:b/>
                <w:i/>
                <w:color w:val="0D0D0D" w:themeColor="text1" w:themeTint="F2"/>
                <w:sz w:val="28"/>
                <w:szCs w:val="24"/>
                <w:lang w:val="es-ES" w:eastAsia="es-CO"/>
              </w:rPr>
              <w:t>Especificidad</w:t>
            </w:r>
          </w:p>
        </w:tc>
        <w:tc>
          <w:tcPr>
            <w:tcW w:w="7530" w:type="dxa"/>
            <w:vAlign w:val="center"/>
          </w:tcPr>
          <w:p w:rsidR="00394F97" w:rsidRPr="002D20D6" w:rsidRDefault="002D20D6" w:rsidP="00F72B03">
            <w:pPr>
              <w:shd w:val="clear" w:color="auto" w:fill="FFFFFF" w:themeFill="background1"/>
              <w:autoSpaceDE w:val="0"/>
              <w:autoSpaceDN w:val="0"/>
              <w:jc w:val="both"/>
              <w:rPr>
                <w:rFonts w:ascii="Times New Roman" w:hAnsi="Times New Roman" w:cs="Times New Roman"/>
                <w:i/>
                <w:color w:val="0D0D0D" w:themeColor="text1" w:themeTint="F2"/>
                <w:sz w:val="28"/>
                <w:szCs w:val="24"/>
                <w:vertAlign w:val="superscript"/>
                <w:lang w:val="es-ES" w:eastAsia="es-ES"/>
              </w:rPr>
            </w:pPr>
            <w:r w:rsidRPr="002D20D6">
              <w:rPr>
                <w:rFonts w:ascii="Times New Roman" w:hAnsi="Times New Roman" w:cs="Times New Roman"/>
                <w:color w:val="0D0D0D" w:themeColor="text1" w:themeTint="F2"/>
                <w:sz w:val="28"/>
                <w:szCs w:val="24"/>
                <w:lang w:val="es-ES" w:eastAsia="es-CO"/>
              </w:rPr>
              <w:t xml:space="preserve">Debe demostrar de forma diáfana que la disposición demandada desconoce la Constitución, </w:t>
            </w:r>
            <w:r w:rsidRPr="002D20D6">
              <w:rPr>
                <w:rFonts w:ascii="Times New Roman" w:hAnsi="Times New Roman" w:cs="Times New Roman"/>
                <w:i/>
                <w:color w:val="0D0D0D" w:themeColor="text1" w:themeTint="F2"/>
                <w:sz w:val="28"/>
                <w:szCs w:val="24"/>
                <w:lang w:val="es-ES" w:eastAsia="es-CO"/>
              </w:rPr>
              <w:t xml:space="preserve">“a través de la formulación de por lo menos un cargo constitucional concreto contra la demanda." </w:t>
            </w:r>
            <w:r w:rsidRPr="002D20D6">
              <w:rPr>
                <w:rFonts w:ascii="Times New Roman" w:hAnsi="Times New Roman" w:cs="Times New Roman"/>
                <w:color w:val="0D0D0D" w:themeColor="text1" w:themeTint="F2"/>
                <w:sz w:val="28"/>
                <w:szCs w:val="24"/>
                <w:lang w:val="es-ES" w:eastAsia="es-CO"/>
              </w:rPr>
              <w:t>Lo anterior conlleva la necesidad de presentar una oposic</w:t>
            </w:r>
            <w:r w:rsidRPr="002D20D6">
              <w:rPr>
                <w:rFonts w:ascii="Times New Roman" w:hAnsi="Times New Roman" w:cs="Times New Roman"/>
                <w:color w:val="0D0D0D" w:themeColor="text1" w:themeTint="F2"/>
                <w:sz w:val="28"/>
                <w:szCs w:val="24"/>
                <w:lang w:val="es-ES" w:eastAsia="es-CO"/>
              </w:rPr>
              <w:t xml:space="preserve">ión objetiva y verificable entre lo que dispone la demanda y el texto constitucional, por lo que resulta inadmisible la presentación de argumentos </w:t>
            </w:r>
            <w:r w:rsidRPr="002D20D6">
              <w:rPr>
                <w:rFonts w:ascii="Times New Roman" w:hAnsi="Times New Roman" w:cs="Times New Roman"/>
                <w:i/>
                <w:color w:val="0D0D0D" w:themeColor="text1" w:themeTint="F2"/>
                <w:sz w:val="28"/>
                <w:szCs w:val="24"/>
                <w:lang w:val="es-ES" w:eastAsia="es-CO"/>
              </w:rPr>
              <w:t>vagos, indeterminados, indirectos, abstractos y globales.</w:t>
            </w:r>
            <w:r w:rsidRPr="002D20D6">
              <w:rPr>
                <w:rFonts w:ascii="Times New Roman" w:hAnsi="Times New Roman" w:cs="Times New Roman"/>
                <w:i/>
                <w:color w:val="0D0D0D" w:themeColor="text1" w:themeTint="F2"/>
                <w:sz w:val="28"/>
                <w:szCs w:val="24"/>
                <w:vertAlign w:val="superscript"/>
                <w:lang w:val="es-ES" w:eastAsia="es-ES"/>
              </w:rPr>
              <w:t xml:space="preserve"> </w:t>
            </w:r>
            <w:r w:rsidRPr="002D20D6">
              <w:rPr>
                <w:rFonts w:ascii="Times New Roman" w:hAnsi="Times New Roman" w:cs="Times New Roman"/>
                <w:color w:val="0D0D0D" w:themeColor="text1" w:themeTint="F2"/>
                <w:sz w:val="28"/>
                <w:szCs w:val="24"/>
                <w:vertAlign w:val="superscript"/>
                <w:lang w:val="es-ES" w:eastAsia="es-ES"/>
              </w:rPr>
              <w:footnoteReference w:id="51"/>
            </w:r>
          </w:p>
        </w:tc>
      </w:tr>
      <w:tr w:rsidR="00485A36" w:rsidRPr="002D20D6" w:rsidTr="00394F97">
        <w:trPr>
          <w:trHeight w:val="878"/>
        </w:trPr>
        <w:tc>
          <w:tcPr>
            <w:tcW w:w="1821" w:type="dxa"/>
            <w:vAlign w:val="center"/>
          </w:tcPr>
          <w:p w:rsidR="00DE59D7" w:rsidRPr="002D20D6" w:rsidRDefault="002D20D6">
            <w:pPr>
              <w:shd w:val="clear" w:color="auto" w:fill="FFFFFF" w:themeFill="background1"/>
              <w:autoSpaceDE w:val="0"/>
              <w:autoSpaceDN w:val="0"/>
              <w:ind w:right="49"/>
              <w:jc w:val="center"/>
              <w:rPr>
                <w:rFonts w:ascii="Times New Roman" w:hAnsi="Times New Roman" w:cs="Times New Roman"/>
                <w:b/>
                <w:i/>
                <w:color w:val="0D0D0D" w:themeColor="text1" w:themeTint="F2"/>
                <w:sz w:val="28"/>
                <w:szCs w:val="24"/>
                <w:lang w:val="es-ES" w:eastAsia="es-CO"/>
              </w:rPr>
            </w:pPr>
            <w:r w:rsidRPr="002D20D6">
              <w:rPr>
                <w:rFonts w:ascii="Times New Roman" w:hAnsi="Times New Roman" w:cs="Times New Roman"/>
                <w:b/>
                <w:i/>
                <w:color w:val="0D0D0D" w:themeColor="text1" w:themeTint="F2"/>
                <w:sz w:val="28"/>
                <w:szCs w:val="24"/>
                <w:lang w:val="es-ES" w:eastAsia="es-CO"/>
              </w:rPr>
              <w:t>Pertinencia</w:t>
            </w:r>
          </w:p>
        </w:tc>
        <w:tc>
          <w:tcPr>
            <w:tcW w:w="7530" w:type="dxa"/>
            <w:vAlign w:val="center"/>
          </w:tcPr>
          <w:p w:rsidR="00DE59D7" w:rsidRPr="002D20D6" w:rsidRDefault="002D20D6" w:rsidP="00F72B03">
            <w:pPr>
              <w:shd w:val="clear" w:color="auto" w:fill="FFFFFF" w:themeFill="background1"/>
              <w:autoSpaceDE w:val="0"/>
              <w:autoSpaceDN w:val="0"/>
              <w:jc w:val="both"/>
              <w:rPr>
                <w:rFonts w:ascii="Times New Roman" w:hAnsi="Times New Roman" w:cs="Times New Roman"/>
                <w:color w:val="0D0D0D" w:themeColor="text1" w:themeTint="F2"/>
                <w:sz w:val="28"/>
                <w:szCs w:val="24"/>
                <w:lang w:val="es-ES" w:eastAsia="es-CO"/>
              </w:rPr>
            </w:pPr>
            <w:r w:rsidRPr="002D20D6">
              <w:rPr>
                <w:rFonts w:ascii="Times New Roman" w:hAnsi="Times New Roman" w:cs="Times New Roman"/>
                <w:color w:val="0D0D0D" w:themeColor="text1" w:themeTint="F2"/>
                <w:sz w:val="28"/>
                <w:szCs w:val="24"/>
                <w:lang w:val="es-ES" w:eastAsia="es-CO"/>
              </w:rPr>
              <w:t xml:space="preserve">Hace referencia a la importancia de </w:t>
            </w:r>
            <w:r w:rsidRPr="002D20D6">
              <w:rPr>
                <w:rFonts w:ascii="Times New Roman" w:hAnsi="Times New Roman" w:cs="Times New Roman"/>
                <w:color w:val="0D0D0D" w:themeColor="text1" w:themeTint="F2"/>
                <w:sz w:val="28"/>
                <w:szCs w:val="24"/>
                <w:lang w:val="es-ES" w:eastAsia="es-CO"/>
              </w:rPr>
              <w:t>que el reproche puesto a consideración de la Corte sea de naturaleza constitucional, y no responda a razones de orden legal, personal, doctrinal o de simple conveniencia.</w:t>
            </w:r>
            <w:r w:rsidRPr="002D20D6">
              <w:rPr>
                <w:rFonts w:ascii="Times New Roman" w:hAnsi="Times New Roman" w:cs="Times New Roman"/>
                <w:color w:val="0D0D0D" w:themeColor="text1" w:themeTint="F2"/>
                <w:sz w:val="28"/>
                <w:szCs w:val="24"/>
                <w:vertAlign w:val="superscript"/>
              </w:rPr>
              <w:footnoteReference w:id="52"/>
            </w:r>
          </w:p>
        </w:tc>
      </w:tr>
      <w:tr w:rsidR="00A44B51" w:rsidRPr="002D20D6" w:rsidTr="00EC23D3">
        <w:trPr>
          <w:trHeight w:val="1398"/>
        </w:trPr>
        <w:tc>
          <w:tcPr>
            <w:tcW w:w="1821" w:type="dxa"/>
            <w:vAlign w:val="center"/>
          </w:tcPr>
          <w:p w:rsidR="00DE59D7" w:rsidRPr="002D20D6" w:rsidRDefault="002D20D6">
            <w:pPr>
              <w:shd w:val="clear" w:color="auto" w:fill="FFFFFF" w:themeFill="background1"/>
              <w:autoSpaceDE w:val="0"/>
              <w:autoSpaceDN w:val="0"/>
              <w:ind w:right="49"/>
              <w:jc w:val="center"/>
              <w:rPr>
                <w:rFonts w:ascii="Times New Roman" w:hAnsi="Times New Roman" w:cs="Times New Roman"/>
                <w:b/>
                <w:i/>
                <w:color w:val="0D0D0D" w:themeColor="text1" w:themeTint="F2"/>
                <w:sz w:val="28"/>
                <w:szCs w:val="24"/>
                <w:lang w:val="es-ES" w:eastAsia="es-CO"/>
              </w:rPr>
            </w:pPr>
            <w:r w:rsidRPr="002D20D6">
              <w:rPr>
                <w:rFonts w:ascii="Times New Roman" w:hAnsi="Times New Roman" w:cs="Times New Roman"/>
                <w:b/>
                <w:i/>
                <w:color w:val="0D0D0D" w:themeColor="text1" w:themeTint="F2"/>
                <w:sz w:val="28"/>
                <w:szCs w:val="24"/>
                <w:lang w:val="es-ES" w:eastAsia="es-CO"/>
              </w:rPr>
              <w:t>Suficiencia</w:t>
            </w:r>
          </w:p>
        </w:tc>
        <w:tc>
          <w:tcPr>
            <w:tcW w:w="7530" w:type="dxa"/>
            <w:vAlign w:val="center"/>
          </w:tcPr>
          <w:p w:rsidR="00DE59D7" w:rsidRPr="002D20D6" w:rsidRDefault="002D20D6" w:rsidP="00F72B03">
            <w:pPr>
              <w:shd w:val="clear" w:color="auto" w:fill="FFFFFF" w:themeFill="background1"/>
              <w:autoSpaceDE w:val="0"/>
              <w:autoSpaceDN w:val="0"/>
              <w:jc w:val="both"/>
              <w:rPr>
                <w:rFonts w:ascii="Times New Roman" w:hAnsi="Times New Roman" w:cs="Times New Roman"/>
                <w:color w:val="0D0D0D" w:themeColor="text1" w:themeTint="F2"/>
                <w:sz w:val="28"/>
                <w:szCs w:val="24"/>
                <w:lang w:val="es-ES" w:eastAsia="es-CO"/>
              </w:rPr>
            </w:pPr>
            <w:r w:rsidRPr="002D20D6">
              <w:rPr>
                <w:rFonts w:ascii="Times New Roman" w:hAnsi="Times New Roman" w:cs="Times New Roman"/>
                <w:color w:val="0D0D0D" w:themeColor="text1" w:themeTint="F2"/>
                <w:sz w:val="28"/>
                <w:szCs w:val="24"/>
                <w:lang w:val="es-ES" w:eastAsia="es-CO"/>
              </w:rPr>
              <w:t xml:space="preserve">Se predica de la exposición de todos los elementos de juicio, tanto </w:t>
            </w:r>
            <w:r w:rsidRPr="002D20D6">
              <w:rPr>
                <w:rFonts w:ascii="Times New Roman" w:hAnsi="Times New Roman" w:cs="Times New Roman"/>
                <w:color w:val="0D0D0D" w:themeColor="text1" w:themeTint="F2"/>
                <w:sz w:val="28"/>
                <w:szCs w:val="24"/>
                <w:lang w:val="es-ES" w:eastAsia="es-CO"/>
              </w:rPr>
              <w:t>argumentativos como probatorios, necesarios para iniciar el juicio de constitucionalidad requerido. Asimismo, apela al alcance persuasivo de la demanda, esto es, de incoar argumentos que generen una duda mínima sobre la constitucionalidad de la disposición</w:t>
            </w:r>
            <w:r w:rsidRPr="002D20D6">
              <w:rPr>
                <w:rFonts w:ascii="Times New Roman" w:hAnsi="Times New Roman" w:cs="Times New Roman"/>
                <w:color w:val="0D0D0D" w:themeColor="text1" w:themeTint="F2"/>
                <w:sz w:val="28"/>
                <w:szCs w:val="24"/>
                <w:lang w:val="es-ES" w:eastAsia="es-CO"/>
              </w:rPr>
              <w:t xml:space="preserve"> demandada.</w:t>
            </w:r>
            <w:r w:rsidRPr="002D20D6">
              <w:rPr>
                <w:rFonts w:ascii="Times New Roman" w:hAnsi="Times New Roman" w:cs="Times New Roman"/>
                <w:color w:val="0D0D0D" w:themeColor="text1" w:themeTint="F2"/>
                <w:sz w:val="28"/>
                <w:szCs w:val="24"/>
                <w:vertAlign w:val="superscript"/>
              </w:rPr>
              <w:footnoteReference w:id="53"/>
            </w:r>
          </w:p>
        </w:tc>
      </w:tr>
    </w:tbl>
    <w:p w:rsidR="00DE59D7" w:rsidRPr="002D20D6" w:rsidRDefault="002D20D6" w:rsidP="00DE59D7">
      <w:pPr>
        <w:shd w:val="clear" w:color="auto" w:fill="FFFFFF" w:themeFill="background1"/>
        <w:jc w:val="both"/>
        <w:rPr>
          <w:rFonts w:ascii="Times New Roman" w:hAnsi="Times New Roman" w:cs="Times New Roman"/>
          <w:color w:val="0D0D0D" w:themeColor="text1" w:themeTint="F2"/>
          <w:sz w:val="28"/>
          <w:szCs w:val="28"/>
          <w:lang w:val="es-ES"/>
        </w:rPr>
      </w:pPr>
    </w:p>
    <w:p w:rsidR="00DE59D7" w:rsidRPr="002D20D6" w:rsidRDefault="002D20D6" w:rsidP="00DE59D7">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Ahora bien, esta Corporación también ha sostenido que estas exigencias argumentativas no pueden interpretarse de forma extremadamente rigurosa, al punto de disuadir al ciudadano </w:t>
      </w:r>
      <w:r w:rsidRPr="002D20D6">
        <w:rPr>
          <w:rFonts w:ascii="Times New Roman" w:hAnsi="Times New Roman" w:cs="Times New Roman"/>
          <w:color w:val="0D0D0D" w:themeColor="text1" w:themeTint="F2"/>
          <w:sz w:val="28"/>
          <w:szCs w:val="28"/>
          <w:lang w:eastAsia="es-CO"/>
        </w:rPr>
        <w:t>de</w:t>
      </w:r>
      <w:r w:rsidRPr="002D20D6">
        <w:rPr>
          <w:rFonts w:ascii="Times New Roman" w:hAnsi="Times New Roman" w:cs="Times New Roman"/>
          <w:color w:val="0D0D0D" w:themeColor="text1" w:themeTint="F2"/>
          <w:sz w:val="28"/>
          <w:szCs w:val="28"/>
        </w:rPr>
        <w:t xml:space="preserve"> ejercer su derecho político.</w:t>
      </w:r>
      <w:r w:rsidRPr="002D20D6">
        <w:rPr>
          <w:rStyle w:val="Refdenotaalpie"/>
          <w:rFonts w:cs="Times New Roman"/>
          <w:color w:val="0D0D0D" w:themeColor="text1" w:themeTint="F2"/>
          <w:sz w:val="28"/>
          <w:szCs w:val="28"/>
        </w:rPr>
        <w:footnoteReference w:id="54"/>
      </w:r>
      <w:r w:rsidRPr="002D20D6">
        <w:rPr>
          <w:rFonts w:ascii="Times New Roman" w:hAnsi="Times New Roman" w:cs="Times New Roman"/>
          <w:color w:val="0D0D0D" w:themeColor="text1" w:themeTint="F2"/>
          <w:sz w:val="28"/>
          <w:szCs w:val="28"/>
        </w:rPr>
        <w:t xml:space="preserve"> De ahí que para declarar una s</w:t>
      </w:r>
      <w:r w:rsidRPr="002D20D6">
        <w:rPr>
          <w:rFonts w:ascii="Times New Roman" w:hAnsi="Times New Roman" w:cs="Times New Roman"/>
          <w:color w:val="0D0D0D" w:themeColor="text1" w:themeTint="F2"/>
          <w:sz w:val="28"/>
          <w:szCs w:val="28"/>
        </w:rPr>
        <w:t>entencia inhibitoria por ineptitud sustantiva de la demanda, se requiere que ésta sea manifiesta.</w:t>
      </w:r>
      <w:r w:rsidRPr="002D20D6">
        <w:rPr>
          <w:rFonts w:ascii="Times New Roman" w:hAnsi="Times New Roman" w:cs="Times New Roman"/>
          <w:color w:val="0D0D0D" w:themeColor="text1" w:themeTint="F2"/>
          <w:sz w:val="28"/>
          <w:vertAlign w:val="superscript"/>
        </w:rPr>
        <w:footnoteReference w:id="55"/>
      </w:r>
    </w:p>
    <w:p w:rsidR="00DE59D7" w:rsidRPr="002D20D6" w:rsidRDefault="002D20D6" w:rsidP="00DE59D7">
      <w:pPr>
        <w:pStyle w:val="Prrafodelista"/>
        <w:shd w:val="clear" w:color="auto" w:fill="FFFFFF" w:themeFill="background1"/>
        <w:ind w:left="0"/>
        <w:jc w:val="both"/>
        <w:rPr>
          <w:rFonts w:ascii="Times New Roman" w:hAnsi="Times New Roman" w:cs="Times New Roman"/>
          <w:color w:val="0D0D0D" w:themeColor="text1" w:themeTint="F2"/>
          <w:sz w:val="28"/>
          <w:szCs w:val="28"/>
        </w:rPr>
      </w:pPr>
    </w:p>
    <w:p w:rsidR="00DE59D7" w:rsidRPr="002D20D6" w:rsidRDefault="002D20D6" w:rsidP="00DE59D7">
      <w:pPr>
        <w:pStyle w:val="Prrafodelista"/>
        <w:shd w:val="clear" w:color="auto" w:fill="FFFFFF" w:themeFill="background1"/>
        <w:ind w:left="0"/>
        <w:jc w:val="both"/>
        <w:rPr>
          <w:rFonts w:ascii="Times New Roman" w:hAnsi="Times New Roman" w:cs="Times New Roman"/>
          <w:color w:val="0D0D0D" w:themeColor="text1" w:themeTint="F2"/>
          <w:sz w:val="28"/>
          <w:szCs w:val="28"/>
        </w:rPr>
      </w:pPr>
    </w:p>
    <w:p w:rsidR="00DE59D7" w:rsidRPr="002D20D6" w:rsidRDefault="002D20D6" w:rsidP="00DE59D7">
      <w:pPr>
        <w:pStyle w:val="Prrafodelista"/>
        <w:shd w:val="clear" w:color="auto" w:fill="FFFFFF" w:themeFill="background1"/>
        <w:ind w:left="0"/>
        <w:jc w:val="both"/>
        <w:rPr>
          <w:rFonts w:ascii="Times New Roman" w:hAnsi="Times New Roman" w:cs="Times New Roman"/>
          <w:b/>
          <w:iCs/>
          <w:color w:val="0D0D0D" w:themeColor="text1" w:themeTint="F2"/>
          <w:sz w:val="28"/>
          <w:szCs w:val="28"/>
        </w:rPr>
      </w:pPr>
      <w:r w:rsidRPr="002D20D6">
        <w:rPr>
          <w:rFonts w:ascii="Times New Roman" w:hAnsi="Times New Roman" w:cs="Times New Roman"/>
          <w:b/>
          <w:iCs/>
          <w:color w:val="0D0D0D" w:themeColor="text1" w:themeTint="F2"/>
          <w:sz w:val="28"/>
          <w:szCs w:val="28"/>
        </w:rPr>
        <w:t>Análisis de aptitud de la demanda</w:t>
      </w:r>
    </w:p>
    <w:p w:rsidR="00DE59D7" w:rsidRPr="002D20D6" w:rsidRDefault="002D20D6" w:rsidP="00504DC7">
      <w:pPr>
        <w:pStyle w:val="Prrafodelista"/>
        <w:ind w:left="0"/>
        <w:jc w:val="both"/>
        <w:rPr>
          <w:rFonts w:ascii="Times New Roman" w:hAnsi="Times New Roman" w:cs="Times New Roman"/>
          <w:b/>
          <w:color w:val="0D0D0D" w:themeColor="text1" w:themeTint="F2"/>
          <w:sz w:val="28"/>
          <w:szCs w:val="28"/>
        </w:rPr>
      </w:pPr>
    </w:p>
    <w:p w:rsidR="00BC1B62" w:rsidRPr="002D20D6" w:rsidRDefault="002D20D6" w:rsidP="00BC1B62">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rPr>
        <w:t>La Corte Constitucional concluye que la demanda es apta respecto del único cargo admitido por la vulneración del</w:t>
      </w:r>
      <w:r w:rsidRPr="002D20D6">
        <w:rPr>
          <w:rFonts w:ascii="Times New Roman" w:hAnsi="Times New Roman" w:cs="Times New Roman"/>
          <w:color w:val="0D0D0D" w:themeColor="text1" w:themeTint="F2"/>
          <w:sz w:val="28"/>
          <w:szCs w:val="28"/>
          <w:lang w:eastAsia="es-ES_tradnl"/>
        </w:rPr>
        <w:t xml:space="preserve"> principio constitucional de irrenunciabilidad de los beneficios mínimos laborales contenido en el artículo 53 de la Constitución, en tanto cumple con los presupuestos de </w:t>
      </w:r>
      <w:r w:rsidRPr="002D20D6">
        <w:rPr>
          <w:rFonts w:ascii="Times New Roman" w:hAnsi="Times New Roman" w:cs="Times New Roman"/>
          <w:i/>
          <w:color w:val="0D0D0D" w:themeColor="text1" w:themeTint="F2"/>
          <w:sz w:val="28"/>
          <w:szCs w:val="28"/>
          <w:lang w:eastAsia="es-ES_tradnl"/>
        </w:rPr>
        <w:t>claridad, certeza, especificidad, pertinencia</w:t>
      </w:r>
      <w:r w:rsidRPr="002D20D6">
        <w:rPr>
          <w:rFonts w:ascii="Times New Roman" w:hAnsi="Times New Roman" w:cs="Times New Roman"/>
          <w:color w:val="0D0D0D" w:themeColor="text1" w:themeTint="F2"/>
          <w:sz w:val="28"/>
          <w:szCs w:val="28"/>
          <w:lang w:eastAsia="es-ES_tradnl"/>
        </w:rPr>
        <w:t xml:space="preserve"> y </w:t>
      </w:r>
      <w:r w:rsidRPr="002D20D6">
        <w:rPr>
          <w:rFonts w:ascii="Times New Roman" w:hAnsi="Times New Roman" w:cs="Times New Roman"/>
          <w:i/>
          <w:color w:val="0D0D0D" w:themeColor="text1" w:themeTint="F2"/>
          <w:sz w:val="28"/>
          <w:szCs w:val="28"/>
          <w:lang w:eastAsia="es-ES_tradnl"/>
        </w:rPr>
        <w:t xml:space="preserve">suficiencia. </w:t>
      </w:r>
    </w:p>
    <w:p w:rsidR="00BC1B62" w:rsidRPr="002D20D6" w:rsidRDefault="002D20D6" w:rsidP="00BC1B62">
      <w:pPr>
        <w:shd w:val="clear" w:color="auto" w:fill="FFFFFF" w:themeFill="background1"/>
        <w:jc w:val="both"/>
        <w:rPr>
          <w:rFonts w:ascii="Times New Roman" w:hAnsi="Times New Roman" w:cs="Times New Roman"/>
          <w:i/>
          <w:color w:val="0D0D0D" w:themeColor="text1" w:themeTint="F2"/>
          <w:sz w:val="28"/>
          <w:szCs w:val="28"/>
        </w:rPr>
      </w:pPr>
    </w:p>
    <w:p w:rsidR="00BC1B62" w:rsidRPr="002D20D6" w:rsidRDefault="002D20D6" w:rsidP="00BC1B62">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rPr>
        <w:t xml:space="preserve">La Sala Plena llega a </w:t>
      </w:r>
      <w:r w:rsidRPr="002D20D6">
        <w:rPr>
          <w:rFonts w:ascii="Times New Roman" w:hAnsi="Times New Roman" w:cs="Times New Roman"/>
          <w:color w:val="0D0D0D" w:themeColor="text1" w:themeTint="F2"/>
          <w:sz w:val="28"/>
          <w:szCs w:val="28"/>
        </w:rPr>
        <w:t xml:space="preserve">esta conclusión en aplicación del principio </w:t>
      </w:r>
      <w:r w:rsidRPr="002D20D6">
        <w:rPr>
          <w:rFonts w:ascii="Times New Roman" w:hAnsi="Times New Roman" w:cs="Times New Roman"/>
          <w:i/>
          <w:color w:val="0D0D0D" w:themeColor="text1" w:themeTint="F2"/>
          <w:sz w:val="28"/>
          <w:szCs w:val="28"/>
        </w:rPr>
        <w:t xml:space="preserve">pro actione. </w:t>
      </w:r>
      <w:r w:rsidRPr="002D20D6">
        <w:rPr>
          <w:rFonts w:ascii="Times New Roman" w:hAnsi="Times New Roman" w:cs="Times New Roman"/>
          <w:color w:val="0D0D0D" w:themeColor="text1" w:themeTint="F2"/>
          <w:sz w:val="28"/>
          <w:szCs w:val="28"/>
        </w:rPr>
        <w:t>En oportunidades anteriores, con el fin de hacer prevalecer el derecho sustancial sobre el formal, así como garantizar el derecho a la administración de justicia y a la participación democrática de l</w:t>
      </w:r>
      <w:r w:rsidRPr="002D20D6">
        <w:rPr>
          <w:rFonts w:ascii="Times New Roman" w:hAnsi="Times New Roman" w:cs="Times New Roman"/>
          <w:color w:val="0D0D0D" w:themeColor="text1" w:themeTint="F2"/>
          <w:sz w:val="28"/>
          <w:szCs w:val="28"/>
        </w:rPr>
        <w:t>os ciudadanos, la Corte Constitucional ha subsanado diversos tipos de defectos hallados en las demandas de constitucionalidad, los cuales en principio, hubieren llevado a un fallo inhibitorio, o que detectados en la etapa de admisibilidad, conllevarían a u</w:t>
      </w:r>
      <w:r w:rsidRPr="002D20D6">
        <w:rPr>
          <w:rFonts w:ascii="Times New Roman" w:hAnsi="Times New Roman" w:cs="Times New Roman"/>
          <w:color w:val="0D0D0D" w:themeColor="text1" w:themeTint="F2"/>
          <w:sz w:val="28"/>
          <w:szCs w:val="28"/>
        </w:rPr>
        <w:t>n auto de inadmisión o de rechazo.</w:t>
      </w:r>
      <w:r w:rsidRPr="002D20D6">
        <w:rPr>
          <w:rStyle w:val="Refdenotaalpie"/>
          <w:rFonts w:cs="Times New Roman"/>
          <w:color w:val="0D0D0D" w:themeColor="text1" w:themeTint="F2"/>
          <w:sz w:val="28"/>
          <w:szCs w:val="28"/>
        </w:rPr>
        <w:footnoteReference w:id="56"/>
      </w:r>
      <w:r w:rsidRPr="002D20D6">
        <w:rPr>
          <w:rFonts w:ascii="Times New Roman" w:hAnsi="Times New Roman" w:cs="Times New Roman"/>
          <w:color w:val="0D0D0D" w:themeColor="text1" w:themeTint="F2"/>
          <w:sz w:val="28"/>
          <w:szCs w:val="28"/>
        </w:rPr>
        <w:t xml:space="preserve"> </w:t>
      </w:r>
    </w:p>
    <w:p w:rsidR="00BC1B62" w:rsidRPr="002D20D6" w:rsidRDefault="002D20D6" w:rsidP="00BC1B62">
      <w:pPr>
        <w:pStyle w:val="Prrafodelista"/>
        <w:rPr>
          <w:rFonts w:ascii="Times New Roman" w:hAnsi="Times New Roman" w:cs="Times New Roman"/>
          <w:color w:val="0D0D0D" w:themeColor="text1" w:themeTint="F2"/>
          <w:sz w:val="28"/>
          <w:szCs w:val="28"/>
        </w:rPr>
      </w:pPr>
    </w:p>
    <w:p w:rsidR="00DE59D7" w:rsidRPr="002D20D6" w:rsidRDefault="002D20D6" w:rsidP="00BC1B62">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rPr>
        <w:t>Entre estas deficiencias, se destacan las siguientes: “</w:t>
      </w:r>
      <w:r w:rsidRPr="002D20D6">
        <w:rPr>
          <w:rFonts w:ascii="Times New Roman" w:hAnsi="Times New Roman" w:cs="Times New Roman"/>
          <w:i/>
          <w:color w:val="0D0D0D" w:themeColor="text1" w:themeTint="F2"/>
          <w:sz w:val="28"/>
          <w:szCs w:val="28"/>
        </w:rPr>
        <w:t>(i)</w:t>
      </w:r>
      <w:r w:rsidRPr="002D20D6">
        <w:rPr>
          <w:rFonts w:ascii="Times New Roman" w:hAnsi="Times New Roman" w:cs="Times New Roman"/>
          <w:color w:val="0D0D0D" w:themeColor="text1" w:themeTint="F2"/>
          <w:sz w:val="28"/>
          <w:szCs w:val="28"/>
        </w:rPr>
        <w:t xml:space="preserve"> interpretar cargos confusos;</w:t>
      </w:r>
      <w:r w:rsidRPr="002D20D6">
        <w:rPr>
          <w:rStyle w:val="Refdenotaalpie"/>
          <w:rFonts w:cs="Times New Roman"/>
          <w:color w:val="0D0D0D" w:themeColor="text1" w:themeTint="F2"/>
          <w:sz w:val="28"/>
          <w:szCs w:val="28"/>
        </w:rPr>
        <w:footnoteReference w:id="57"/>
      </w:r>
      <w:r w:rsidRPr="002D20D6">
        <w:rPr>
          <w:rFonts w:ascii="Times New Roman" w:hAnsi="Times New Roman" w:cs="Times New Roman"/>
          <w:color w:val="0D0D0D" w:themeColor="text1" w:themeTint="F2"/>
          <w:sz w:val="28"/>
          <w:szCs w:val="28"/>
        </w:rPr>
        <w:t xml:space="preserve"> </w:t>
      </w:r>
      <w:r w:rsidRPr="002D20D6">
        <w:rPr>
          <w:rFonts w:ascii="Times New Roman" w:hAnsi="Times New Roman" w:cs="Times New Roman"/>
          <w:i/>
          <w:color w:val="0D0D0D" w:themeColor="text1" w:themeTint="F2"/>
          <w:sz w:val="28"/>
          <w:szCs w:val="28"/>
        </w:rPr>
        <w:t>(ii)</w:t>
      </w:r>
      <w:r w:rsidRPr="002D20D6">
        <w:rPr>
          <w:rFonts w:ascii="Times New Roman" w:hAnsi="Times New Roman" w:cs="Times New Roman"/>
          <w:color w:val="0D0D0D" w:themeColor="text1" w:themeTint="F2"/>
          <w:sz w:val="28"/>
          <w:szCs w:val="28"/>
        </w:rPr>
        <w:t xml:space="preserve"> aceptar cargos no suficientemente fundamentados;</w:t>
      </w:r>
      <w:r w:rsidRPr="002D20D6">
        <w:rPr>
          <w:rStyle w:val="Refdenotaalpie"/>
          <w:rFonts w:cs="Times New Roman"/>
          <w:color w:val="0D0D0D" w:themeColor="text1" w:themeTint="F2"/>
          <w:sz w:val="28"/>
          <w:szCs w:val="28"/>
        </w:rPr>
        <w:footnoteReference w:id="58"/>
      </w:r>
      <w:r w:rsidRPr="002D20D6">
        <w:rPr>
          <w:rFonts w:ascii="Times New Roman" w:hAnsi="Times New Roman" w:cs="Times New Roman"/>
          <w:color w:val="0D0D0D" w:themeColor="text1" w:themeTint="F2"/>
          <w:sz w:val="28"/>
          <w:szCs w:val="28"/>
        </w:rPr>
        <w:t xml:space="preserve"> </w:t>
      </w:r>
      <w:r w:rsidRPr="002D20D6">
        <w:rPr>
          <w:rFonts w:ascii="Times New Roman" w:hAnsi="Times New Roman" w:cs="Times New Roman"/>
          <w:i/>
          <w:color w:val="0D0D0D" w:themeColor="text1" w:themeTint="F2"/>
          <w:sz w:val="28"/>
          <w:szCs w:val="28"/>
        </w:rPr>
        <w:t>(iii)</w:t>
      </w:r>
      <w:r w:rsidRPr="002D20D6">
        <w:rPr>
          <w:rFonts w:ascii="Times New Roman" w:hAnsi="Times New Roman" w:cs="Times New Roman"/>
          <w:color w:val="0D0D0D" w:themeColor="text1" w:themeTint="F2"/>
          <w:sz w:val="28"/>
          <w:szCs w:val="28"/>
        </w:rPr>
        <w:t xml:space="preserve"> identificar la norma realmente cuestionada;</w:t>
      </w:r>
      <w:r w:rsidRPr="002D20D6">
        <w:rPr>
          <w:rStyle w:val="Refdenotaalpie"/>
          <w:rFonts w:cs="Times New Roman"/>
          <w:color w:val="0D0D0D" w:themeColor="text1" w:themeTint="F2"/>
          <w:sz w:val="28"/>
          <w:szCs w:val="28"/>
        </w:rPr>
        <w:footnoteReference w:id="59"/>
      </w:r>
      <w:r w:rsidRPr="002D20D6">
        <w:rPr>
          <w:rFonts w:ascii="Times New Roman" w:hAnsi="Times New Roman" w:cs="Times New Roman"/>
          <w:color w:val="0D0D0D" w:themeColor="text1" w:themeTint="F2"/>
          <w:sz w:val="28"/>
          <w:szCs w:val="28"/>
        </w:rPr>
        <w:t xml:space="preserve"> </w:t>
      </w:r>
      <w:r w:rsidRPr="002D20D6">
        <w:rPr>
          <w:rFonts w:ascii="Times New Roman" w:hAnsi="Times New Roman" w:cs="Times New Roman"/>
          <w:i/>
          <w:color w:val="0D0D0D" w:themeColor="text1" w:themeTint="F2"/>
          <w:sz w:val="28"/>
          <w:szCs w:val="28"/>
        </w:rPr>
        <w:t>(iv)</w:t>
      </w:r>
      <w:r w:rsidRPr="002D20D6">
        <w:rPr>
          <w:rFonts w:ascii="Times New Roman" w:hAnsi="Times New Roman" w:cs="Times New Roman"/>
          <w:color w:val="0D0D0D" w:themeColor="text1" w:themeTint="F2"/>
          <w:sz w:val="28"/>
          <w:szCs w:val="28"/>
        </w:rPr>
        <w:t xml:space="preserve"> identificar la norma constitucional supuestamente vulnerada;</w:t>
      </w:r>
      <w:r w:rsidRPr="002D20D6">
        <w:rPr>
          <w:rStyle w:val="Refdenotaalpie"/>
          <w:rFonts w:cs="Times New Roman"/>
          <w:color w:val="0D0D0D" w:themeColor="text1" w:themeTint="F2"/>
          <w:sz w:val="28"/>
          <w:szCs w:val="28"/>
        </w:rPr>
        <w:footnoteReference w:id="60"/>
      </w:r>
      <w:r w:rsidRPr="002D20D6">
        <w:rPr>
          <w:rFonts w:ascii="Times New Roman" w:hAnsi="Times New Roman" w:cs="Times New Roman"/>
          <w:color w:val="0D0D0D" w:themeColor="text1" w:themeTint="F2"/>
          <w:sz w:val="28"/>
          <w:szCs w:val="28"/>
        </w:rPr>
        <w:t xml:space="preserve"> </w:t>
      </w:r>
      <w:r w:rsidRPr="002D20D6">
        <w:rPr>
          <w:rFonts w:ascii="Times New Roman" w:hAnsi="Times New Roman" w:cs="Times New Roman"/>
          <w:i/>
          <w:color w:val="0D0D0D" w:themeColor="text1" w:themeTint="F2"/>
          <w:sz w:val="28"/>
          <w:szCs w:val="28"/>
        </w:rPr>
        <w:t>(v)</w:t>
      </w:r>
      <w:r w:rsidRPr="002D20D6">
        <w:rPr>
          <w:rFonts w:ascii="Times New Roman" w:hAnsi="Times New Roman" w:cs="Times New Roman"/>
          <w:color w:val="0D0D0D" w:themeColor="text1" w:themeTint="F2"/>
          <w:sz w:val="28"/>
          <w:szCs w:val="28"/>
        </w:rPr>
        <w:t xml:space="preserve"> integrar una proposición jurídica completa cuando el cargo del actor ya cobija la norma por él no formalmente acusada;</w:t>
      </w:r>
      <w:r w:rsidRPr="002D20D6">
        <w:rPr>
          <w:rStyle w:val="Refdenotaalpie"/>
          <w:rFonts w:cs="Times New Roman"/>
          <w:color w:val="0D0D0D" w:themeColor="text1" w:themeTint="F2"/>
          <w:sz w:val="28"/>
          <w:szCs w:val="28"/>
        </w:rPr>
        <w:footnoteReference w:id="61"/>
      </w:r>
      <w:r w:rsidRPr="002D20D6">
        <w:rPr>
          <w:rFonts w:ascii="Times New Roman" w:hAnsi="Times New Roman" w:cs="Times New Roman"/>
          <w:color w:val="0D0D0D" w:themeColor="text1" w:themeTint="F2"/>
          <w:sz w:val="28"/>
          <w:szCs w:val="28"/>
        </w:rPr>
        <w:t xml:space="preserve"> y </w:t>
      </w:r>
      <w:r w:rsidRPr="002D20D6">
        <w:rPr>
          <w:rFonts w:ascii="Times New Roman" w:hAnsi="Times New Roman" w:cs="Times New Roman"/>
          <w:i/>
          <w:color w:val="0D0D0D" w:themeColor="text1" w:themeTint="F2"/>
          <w:sz w:val="28"/>
          <w:szCs w:val="28"/>
        </w:rPr>
        <w:t>(vi)</w:t>
      </w:r>
      <w:r w:rsidRPr="002D20D6">
        <w:rPr>
          <w:rFonts w:ascii="Times New Roman" w:hAnsi="Times New Roman" w:cs="Times New Roman"/>
          <w:color w:val="0D0D0D" w:themeColor="text1" w:themeTint="F2"/>
          <w:sz w:val="28"/>
          <w:szCs w:val="28"/>
        </w:rPr>
        <w:t xml:space="preserve"> subsanar requisitos formales menores.</w:t>
      </w:r>
      <w:r w:rsidRPr="002D20D6">
        <w:rPr>
          <w:rStyle w:val="Refdenotaalpie"/>
          <w:rFonts w:cs="Times New Roman"/>
          <w:color w:val="0D0D0D" w:themeColor="text1" w:themeTint="F2"/>
          <w:sz w:val="28"/>
          <w:szCs w:val="28"/>
        </w:rPr>
        <w:footnoteReference w:id="62"/>
      </w:r>
      <w:r w:rsidRPr="002D20D6">
        <w:rPr>
          <w:rFonts w:ascii="Times New Roman" w:hAnsi="Times New Roman" w:cs="Times New Roman"/>
          <w:color w:val="0D0D0D" w:themeColor="text1" w:themeTint="F2"/>
          <w:sz w:val="28"/>
          <w:szCs w:val="28"/>
        </w:rPr>
        <w:t xml:space="preserve"> De cualquier manera, la</w:t>
      </w:r>
      <w:r w:rsidRPr="002D20D6">
        <w:rPr>
          <w:rFonts w:ascii="Times New Roman" w:hAnsi="Times New Roman" w:cs="Times New Roman"/>
          <w:color w:val="0D0D0D" w:themeColor="text1" w:themeTint="F2"/>
          <w:sz w:val="28"/>
          <w:szCs w:val="28"/>
        </w:rPr>
        <w:t xml:space="preserve"> Corporación también ha advertido que en caso de que las fallas de la demanda sean de gran magnitud, no procede aplicar el principio </w:t>
      </w:r>
      <w:r w:rsidRPr="002D20D6">
        <w:rPr>
          <w:rFonts w:ascii="Times New Roman" w:hAnsi="Times New Roman" w:cs="Times New Roman"/>
          <w:i/>
          <w:color w:val="0D0D0D" w:themeColor="text1" w:themeTint="F2"/>
          <w:sz w:val="28"/>
          <w:szCs w:val="28"/>
        </w:rPr>
        <w:t>pro actione “porque, al aplicarlo, la Corte terminaría por sustituir a los ciudadanos en la formulación de los cargos.”</w:t>
      </w:r>
      <w:r w:rsidRPr="002D20D6">
        <w:rPr>
          <w:rStyle w:val="Refdenotaalpie"/>
          <w:rFonts w:cs="Times New Roman"/>
          <w:i/>
          <w:color w:val="0D0D0D" w:themeColor="text1" w:themeTint="F2"/>
          <w:sz w:val="28"/>
          <w:szCs w:val="28"/>
        </w:rPr>
        <w:footnoteReference w:id="63"/>
      </w:r>
    </w:p>
    <w:p w:rsidR="00BC1B62" w:rsidRPr="002D20D6" w:rsidRDefault="002D20D6" w:rsidP="00BC1B62">
      <w:pPr>
        <w:pStyle w:val="Prrafodelista"/>
        <w:rPr>
          <w:rFonts w:ascii="Times New Roman" w:hAnsi="Times New Roman" w:cs="Times New Roman"/>
          <w:i/>
          <w:color w:val="0D0D0D" w:themeColor="text1" w:themeTint="F2"/>
          <w:sz w:val="28"/>
          <w:szCs w:val="28"/>
        </w:rPr>
      </w:pPr>
    </w:p>
    <w:p w:rsidR="00BC1B62" w:rsidRPr="002D20D6" w:rsidRDefault="002D20D6" w:rsidP="00DF0B0F">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rPr>
        <w:t>S</w:t>
      </w:r>
      <w:r w:rsidRPr="002D20D6">
        <w:rPr>
          <w:rFonts w:ascii="Times New Roman" w:hAnsi="Times New Roman" w:cs="Times New Roman"/>
          <w:color w:val="0D0D0D" w:themeColor="text1" w:themeTint="F2"/>
          <w:sz w:val="28"/>
          <w:szCs w:val="28"/>
        </w:rPr>
        <w:t xml:space="preserve">obre los alcances concretos de este principio, esta Corporación ha delineado sus </w:t>
      </w:r>
      <w:r w:rsidRPr="002D20D6">
        <w:rPr>
          <w:rFonts w:ascii="Times New Roman" w:hAnsi="Times New Roman" w:cs="Times New Roman"/>
          <w:color w:val="0D0D0D" w:themeColor="text1" w:themeTint="F2"/>
          <w:sz w:val="28"/>
          <w:szCs w:val="28"/>
        </w:rPr>
        <w:t xml:space="preserve">lineamientos en </w:t>
      </w:r>
      <w:r w:rsidRPr="002D20D6">
        <w:rPr>
          <w:rFonts w:ascii="Times New Roman" w:hAnsi="Times New Roman" w:cs="Times New Roman"/>
          <w:color w:val="0D0D0D" w:themeColor="text1" w:themeTint="F2"/>
          <w:sz w:val="28"/>
          <w:szCs w:val="28"/>
        </w:rPr>
        <w:t xml:space="preserve">la Sentencia C-292 de 2019. </w:t>
      </w:r>
      <w:r w:rsidRPr="002D20D6">
        <w:rPr>
          <w:rFonts w:ascii="Times New Roman" w:hAnsi="Times New Roman" w:cs="Times New Roman"/>
          <w:color w:val="0D0D0D" w:themeColor="text1" w:themeTint="F2"/>
          <w:sz w:val="28"/>
          <w:szCs w:val="28"/>
        </w:rPr>
        <w:t xml:space="preserve">En esta oportunidad, se indicó que </w:t>
      </w:r>
      <w:r w:rsidRPr="002D20D6">
        <w:rPr>
          <w:rFonts w:ascii="Times New Roman" w:hAnsi="Times New Roman" w:cs="Times New Roman"/>
          <w:iCs/>
          <w:color w:val="0D0D0D" w:themeColor="text1" w:themeTint="F2"/>
          <w:sz w:val="28"/>
          <w:szCs w:val="28"/>
        </w:rPr>
        <w:t>trae consigo las siguientes dos exigencias:</w:t>
      </w:r>
    </w:p>
    <w:p w:rsidR="00BC1B62" w:rsidRPr="002D20D6" w:rsidRDefault="002D20D6" w:rsidP="00BC1B62">
      <w:pPr>
        <w:pStyle w:val="Prrafodelista"/>
        <w:rPr>
          <w:rFonts w:ascii="Times New Roman" w:hAnsi="Times New Roman" w:cs="Times New Roman"/>
          <w:i/>
          <w:color w:val="0D0D0D" w:themeColor="text1" w:themeTint="F2"/>
          <w:sz w:val="28"/>
          <w:szCs w:val="28"/>
        </w:rPr>
      </w:pPr>
    </w:p>
    <w:p w:rsidR="00BC1B62" w:rsidRPr="002D20D6" w:rsidRDefault="002D20D6" w:rsidP="00BC1B62">
      <w:pPr>
        <w:shd w:val="clear" w:color="auto" w:fill="FFFFFF" w:themeFill="background1"/>
        <w:ind w:left="284" w:right="284"/>
        <w:jc w:val="both"/>
        <w:rPr>
          <w:rFonts w:ascii="Times New Roman" w:hAnsi="Times New Roman" w:cs="Times New Roman"/>
          <w:i/>
          <w:iCs/>
          <w:color w:val="0D0D0D" w:themeColor="text1" w:themeTint="F2"/>
          <w:sz w:val="28"/>
        </w:rPr>
      </w:pPr>
      <w:bookmarkStart w:id="3" w:name="OLE_LINK5"/>
      <w:r w:rsidRPr="002D20D6">
        <w:rPr>
          <w:rFonts w:ascii="Times New Roman" w:hAnsi="Times New Roman" w:cs="Times New Roman"/>
          <w:i/>
          <w:iCs/>
          <w:color w:val="2D2D2D"/>
          <w:sz w:val="28"/>
          <w:shd w:val="clear" w:color="auto" w:fill="FFFFFF"/>
        </w:rPr>
        <w:t>“La primera (i) prohíbe una aproximación a la deman</w:t>
      </w:r>
      <w:r w:rsidRPr="002D20D6">
        <w:rPr>
          <w:rFonts w:ascii="Times New Roman" w:hAnsi="Times New Roman" w:cs="Times New Roman"/>
          <w:i/>
          <w:iCs/>
          <w:color w:val="2D2D2D"/>
          <w:sz w:val="28"/>
          <w:shd w:val="clear" w:color="auto" w:fill="FFFFFF"/>
        </w:rPr>
        <w:t>da que tenga por objeto o como efecto un incremento en los requerimientos técnicos de la acusación, al punto de privilegiarlos sobre el debate sustantivo que puede derivarse razonablemente de la misma. La segunda (ii) ordena que en aquellos casos en los qu</w:t>
      </w:r>
      <w:r w:rsidRPr="002D20D6">
        <w:rPr>
          <w:rFonts w:ascii="Times New Roman" w:hAnsi="Times New Roman" w:cs="Times New Roman"/>
          <w:i/>
          <w:iCs/>
          <w:color w:val="2D2D2D"/>
          <w:sz w:val="28"/>
          <w:shd w:val="clear" w:color="auto" w:fill="FFFFFF"/>
        </w:rPr>
        <w:t>e exista una duda sobre el cumplimiento de las condiciones mínimas de argumentación, la Corte se esfuerce, en la medida de sus posibilidades, por adoptar una decisión de fondo.</w:t>
      </w:r>
      <w:r w:rsidRPr="002D20D6">
        <w:rPr>
          <w:rStyle w:val="Refdenotaalpie"/>
          <w:rFonts w:cs="Times New Roman"/>
          <w:i/>
          <w:iCs/>
          <w:color w:val="2D2D2D"/>
          <w:sz w:val="28"/>
          <w:shd w:val="clear" w:color="auto" w:fill="FFFFFF"/>
        </w:rPr>
        <w:footnoteReference w:id="64"/>
      </w:r>
    </w:p>
    <w:bookmarkEnd w:id="3"/>
    <w:p w:rsidR="00DE59D7" w:rsidRPr="002D20D6" w:rsidRDefault="002D20D6" w:rsidP="00DE59D7">
      <w:pPr>
        <w:pStyle w:val="Prrafodelista"/>
        <w:rPr>
          <w:rFonts w:ascii="Times New Roman" w:hAnsi="Times New Roman" w:cs="Times New Roman"/>
          <w:color w:val="0D0D0D" w:themeColor="text1" w:themeTint="F2"/>
          <w:sz w:val="28"/>
          <w:szCs w:val="28"/>
          <w:lang w:eastAsia="es-ES_tradnl"/>
        </w:rPr>
      </w:pPr>
    </w:p>
    <w:p w:rsidR="00504DC7" w:rsidRPr="002D20D6" w:rsidRDefault="002D20D6" w:rsidP="00BC1B62">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rPr>
        <w:t>Aplicados los anteriores lineamientos jurisprudenciales al presente caso, la Corte Constitucional concluye que la demanda es apta respecto del único cargo admitido por la vulneración del principio constitucional de irrenunciabilidad de los beneficios mínim</w:t>
      </w:r>
      <w:r w:rsidRPr="002D20D6">
        <w:rPr>
          <w:rFonts w:ascii="Times New Roman" w:hAnsi="Times New Roman" w:cs="Times New Roman"/>
          <w:color w:val="0D0D0D" w:themeColor="text1" w:themeTint="F2"/>
          <w:sz w:val="28"/>
          <w:szCs w:val="28"/>
        </w:rPr>
        <w:t xml:space="preserve">os laborales contenido en el artículo 53 de la Constitución, en tanto cumple con los presupuestos de </w:t>
      </w:r>
      <w:r w:rsidRPr="002D20D6">
        <w:rPr>
          <w:rFonts w:ascii="Times New Roman" w:hAnsi="Times New Roman" w:cs="Times New Roman"/>
          <w:i/>
          <w:color w:val="0D0D0D" w:themeColor="text1" w:themeTint="F2"/>
          <w:sz w:val="28"/>
          <w:szCs w:val="28"/>
        </w:rPr>
        <w:t>claridad, certeza, especificidad, pertinencia</w:t>
      </w:r>
      <w:r w:rsidRPr="002D20D6">
        <w:rPr>
          <w:rFonts w:ascii="Times New Roman" w:hAnsi="Times New Roman" w:cs="Times New Roman"/>
          <w:color w:val="0D0D0D" w:themeColor="text1" w:themeTint="F2"/>
          <w:sz w:val="28"/>
          <w:szCs w:val="28"/>
        </w:rPr>
        <w:t xml:space="preserve"> y </w:t>
      </w:r>
      <w:r w:rsidRPr="002D20D6">
        <w:rPr>
          <w:rFonts w:ascii="Times New Roman" w:hAnsi="Times New Roman" w:cs="Times New Roman"/>
          <w:i/>
          <w:color w:val="0D0D0D" w:themeColor="text1" w:themeTint="F2"/>
          <w:sz w:val="28"/>
          <w:szCs w:val="28"/>
        </w:rPr>
        <w:t xml:space="preserve">suficiencia, como se demostrará a continuación. </w:t>
      </w:r>
    </w:p>
    <w:p w:rsidR="00504DC7" w:rsidRPr="002D20D6" w:rsidRDefault="002D20D6" w:rsidP="00BC1B62">
      <w:pPr>
        <w:pStyle w:val="Prrafodelista"/>
        <w:rPr>
          <w:rFonts w:ascii="Times New Roman" w:hAnsi="Times New Roman" w:cs="Times New Roman"/>
          <w:color w:val="0D0D0D" w:themeColor="text1" w:themeTint="F2"/>
          <w:sz w:val="28"/>
          <w:szCs w:val="28"/>
        </w:rPr>
      </w:pPr>
    </w:p>
    <w:p w:rsidR="00D77E9F" w:rsidRPr="002D20D6" w:rsidRDefault="002D20D6" w:rsidP="00405764">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El cargo de inconstitucionalidad es </w:t>
      </w:r>
      <w:r w:rsidRPr="002D20D6">
        <w:rPr>
          <w:rFonts w:ascii="Times New Roman" w:hAnsi="Times New Roman" w:cs="Times New Roman"/>
          <w:b/>
          <w:i/>
          <w:color w:val="0D0D0D" w:themeColor="text1" w:themeTint="F2"/>
          <w:sz w:val="28"/>
          <w:szCs w:val="28"/>
        </w:rPr>
        <w:t>claro</w:t>
      </w:r>
      <w:r w:rsidRPr="002D20D6">
        <w:rPr>
          <w:rFonts w:ascii="Times New Roman" w:hAnsi="Times New Roman" w:cs="Times New Roman"/>
          <w:color w:val="0D0D0D" w:themeColor="text1" w:themeTint="F2"/>
          <w:sz w:val="28"/>
          <w:szCs w:val="28"/>
          <w:lang w:eastAsia="es-ES_tradnl"/>
        </w:rPr>
        <w:t xml:space="preserve">, pues </w:t>
      </w:r>
      <w:r w:rsidRPr="002D20D6">
        <w:rPr>
          <w:rFonts w:ascii="Times New Roman" w:hAnsi="Times New Roman" w:cs="Times New Roman"/>
          <w:color w:val="0D0D0D" w:themeColor="text1" w:themeTint="F2"/>
          <w:sz w:val="28"/>
          <w:szCs w:val="28"/>
        </w:rPr>
        <w:t xml:space="preserve">desde el </w:t>
      </w:r>
      <w:r w:rsidRPr="002D20D6">
        <w:rPr>
          <w:rFonts w:ascii="Times New Roman" w:hAnsi="Times New Roman" w:cs="Times New Roman"/>
          <w:color w:val="0D0D0D" w:themeColor="text1" w:themeTint="F2"/>
          <w:sz w:val="28"/>
          <w:szCs w:val="28"/>
        </w:rPr>
        <w:t xml:space="preserve">espíritu del principio </w:t>
      </w:r>
      <w:r w:rsidRPr="002D20D6">
        <w:rPr>
          <w:rFonts w:ascii="Times New Roman" w:hAnsi="Times New Roman" w:cs="Times New Roman"/>
          <w:i/>
          <w:color w:val="0D0D0D" w:themeColor="text1" w:themeTint="F2"/>
          <w:sz w:val="28"/>
          <w:szCs w:val="28"/>
        </w:rPr>
        <w:t xml:space="preserve">pro actione, </w:t>
      </w:r>
      <w:r w:rsidRPr="002D20D6">
        <w:rPr>
          <w:rFonts w:ascii="Times New Roman" w:hAnsi="Times New Roman" w:cs="Times New Roman"/>
          <w:color w:val="0D0D0D" w:themeColor="text1" w:themeTint="F2"/>
          <w:sz w:val="28"/>
          <w:szCs w:val="28"/>
        </w:rPr>
        <w:t xml:space="preserve">la Sala observa que los demandantes presentaron sus argumentos mediante </w:t>
      </w:r>
      <w:r w:rsidRPr="002D20D6">
        <w:rPr>
          <w:rFonts w:ascii="Times New Roman" w:hAnsi="Times New Roman" w:cs="Times New Roman"/>
          <w:color w:val="0D0D0D" w:themeColor="text1" w:themeTint="F2"/>
          <w:sz w:val="28"/>
          <w:szCs w:val="28"/>
          <w:lang w:eastAsia="es-ES_tradnl"/>
        </w:rPr>
        <w:t>un hilo argumentativo preciso y coherente que le permite a esta Corporación entender que el cuestionamiento radica en que la expresión acusada que d</w:t>
      </w:r>
      <w:r w:rsidRPr="002D20D6">
        <w:rPr>
          <w:rFonts w:ascii="Times New Roman" w:hAnsi="Times New Roman" w:cs="Times New Roman"/>
          <w:color w:val="0D0D0D" w:themeColor="text1" w:themeTint="F2"/>
          <w:sz w:val="28"/>
          <w:szCs w:val="28"/>
          <w:lang w:eastAsia="es-ES_tradnl"/>
        </w:rPr>
        <w:t xml:space="preserve">ice </w:t>
      </w:r>
      <w:r w:rsidRPr="002D20D6">
        <w:rPr>
          <w:rFonts w:ascii="Times New Roman" w:hAnsi="Times New Roman" w:cs="Times New Roman"/>
          <w:i/>
          <w:color w:val="0D0D0D" w:themeColor="text1" w:themeTint="F2"/>
          <w:sz w:val="28"/>
          <w:szCs w:val="28"/>
          <w:lang w:eastAsia="es-ES_tradnl"/>
        </w:rPr>
        <w:t>“y para renunciar prestaciones sociales”</w:t>
      </w:r>
      <w:r w:rsidRPr="002D20D6">
        <w:rPr>
          <w:rFonts w:ascii="Times New Roman" w:hAnsi="Times New Roman" w:cs="Times New Roman"/>
          <w:color w:val="0D0D0D" w:themeColor="text1" w:themeTint="F2"/>
          <w:sz w:val="28"/>
          <w:szCs w:val="28"/>
          <w:lang w:eastAsia="es-ES_tradnl"/>
        </w:rPr>
        <w:t xml:space="preserve"> vulnera el principio de </w:t>
      </w:r>
      <w:r w:rsidRPr="002D20D6">
        <w:rPr>
          <w:rFonts w:ascii="Times New Roman" w:hAnsi="Times New Roman" w:cs="Times New Roman"/>
          <w:i/>
          <w:color w:val="0D0D0D" w:themeColor="text1" w:themeTint="F2"/>
          <w:sz w:val="28"/>
          <w:szCs w:val="28"/>
          <w:lang w:eastAsia="es-ES_tradnl"/>
        </w:rPr>
        <w:t>irrenunciabilidad</w:t>
      </w:r>
      <w:r w:rsidRPr="002D20D6">
        <w:rPr>
          <w:rFonts w:ascii="Times New Roman" w:hAnsi="Times New Roman" w:cs="Times New Roman"/>
          <w:color w:val="0D0D0D" w:themeColor="text1" w:themeTint="F2"/>
          <w:sz w:val="28"/>
          <w:szCs w:val="28"/>
          <w:lang w:eastAsia="es-ES_tradnl"/>
        </w:rPr>
        <w:t xml:space="preserve"> de los derechos mínimos laborales.</w:t>
      </w:r>
      <w:r w:rsidRPr="002D20D6">
        <w:rPr>
          <w:rFonts w:ascii="Times New Roman" w:hAnsi="Times New Roman" w:cs="Times New Roman"/>
          <w:color w:val="0D0D0D" w:themeColor="text1" w:themeTint="F2"/>
          <w:sz w:val="28"/>
          <w:szCs w:val="28"/>
        </w:rPr>
        <w:t xml:space="preserve"> Es preciso señalar que para satisfacer el presupuesto de claridad en la etapa de admisibilidad</w:t>
      </w:r>
      <w:r w:rsidRPr="002D20D6">
        <w:rPr>
          <w:rFonts w:ascii="Times New Roman" w:hAnsi="Times New Roman" w:cs="Times New Roman"/>
          <w:i/>
          <w:color w:val="0D0D0D" w:themeColor="text1" w:themeTint="F2"/>
          <w:sz w:val="28"/>
          <w:szCs w:val="28"/>
        </w:rPr>
        <w:t xml:space="preserve">, </w:t>
      </w:r>
      <w:r w:rsidRPr="002D20D6">
        <w:rPr>
          <w:rFonts w:ascii="Times New Roman" w:hAnsi="Times New Roman" w:cs="Times New Roman"/>
          <w:color w:val="0D0D0D" w:themeColor="text1" w:themeTint="F2"/>
          <w:sz w:val="28"/>
          <w:szCs w:val="28"/>
        </w:rPr>
        <w:t>no le es dable a esta Corporación exig</w:t>
      </w:r>
      <w:r w:rsidRPr="002D20D6">
        <w:rPr>
          <w:rFonts w:ascii="Times New Roman" w:hAnsi="Times New Roman" w:cs="Times New Roman"/>
          <w:color w:val="0D0D0D" w:themeColor="text1" w:themeTint="F2"/>
          <w:sz w:val="28"/>
          <w:szCs w:val="28"/>
        </w:rPr>
        <w:t>irles a los ciudadanos que clasifiquen cuáles son esas prestaciones sociales y/o si aquellas son renunciables o no. De una parte, porque la norma objeto de estudio no entra en ese nivel de detalle, y de otra, porque como se explicó, la esencia del reproche</w:t>
      </w:r>
      <w:r w:rsidRPr="002D20D6">
        <w:rPr>
          <w:rFonts w:ascii="Times New Roman" w:hAnsi="Times New Roman" w:cs="Times New Roman"/>
          <w:color w:val="0D0D0D" w:themeColor="text1" w:themeTint="F2"/>
          <w:sz w:val="28"/>
          <w:szCs w:val="28"/>
        </w:rPr>
        <w:t xml:space="preserve"> recae exclusivamente sobre una habilitación normativa general consistente en renunciar a las prestaciones sociales, la cual en criterio de los demandantes, es inconstitucional. </w:t>
      </w:r>
    </w:p>
    <w:p w:rsidR="00D503D7" w:rsidRPr="002D20D6" w:rsidRDefault="002D20D6" w:rsidP="006E4993">
      <w:pPr>
        <w:rPr>
          <w:rFonts w:ascii="Times New Roman" w:hAnsi="Times New Roman" w:cs="Times New Roman"/>
          <w:color w:val="0D0D0D" w:themeColor="text1" w:themeTint="F2"/>
          <w:sz w:val="28"/>
          <w:szCs w:val="28"/>
        </w:rPr>
      </w:pPr>
    </w:p>
    <w:p w:rsidR="00DE59D7" w:rsidRPr="002D20D6" w:rsidRDefault="002D20D6" w:rsidP="00012A06">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lang w:eastAsia="es-ES_tradnl"/>
        </w:rPr>
        <w:t xml:space="preserve">La demanda también cumple con el requisito de </w:t>
      </w:r>
      <w:r w:rsidRPr="002D20D6">
        <w:rPr>
          <w:rFonts w:ascii="Times New Roman" w:hAnsi="Times New Roman" w:cs="Times New Roman"/>
          <w:b/>
          <w:i/>
          <w:color w:val="0D0D0D" w:themeColor="text1" w:themeTint="F2"/>
          <w:sz w:val="28"/>
          <w:szCs w:val="28"/>
          <w:lang w:eastAsia="es-ES_tradnl"/>
        </w:rPr>
        <w:t>certeza</w:t>
      </w:r>
      <w:r w:rsidRPr="002D20D6">
        <w:rPr>
          <w:rFonts w:ascii="Times New Roman" w:hAnsi="Times New Roman" w:cs="Times New Roman"/>
          <w:color w:val="0D0D0D" w:themeColor="text1" w:themeTint="F2"/>
          <w:sz w:val="28"/>
          <w:szCs w:val="28"/>
          <w:lang w:eastAsia="es-ES_tradnl"/>
        </w:rPr>
        <w:t xml:space="preserve">. Al respecto, esta Corporación observa que </w:t>
      </w:r>
      <w:r w:rsidRPr="002D20D6">
        <w:rPr>
          <w:rFonts w:ascii="Times New Roman" w:hAnsi="Times New Roman" w:cs="Times New Roman"/>
          <w:iCs/>
          <w:color w:val="0D0D0D" w:themeColor="text1" w:themeTint="F2"/>
          <w:sz w:val="28"/>
          <w:szCs w:val="28"/>
        </w:rPr>
        <w:t>el argumento de que renunciar</w:t>
      </w:r>
      <w:r w:rsidRPr="002D20D6">
        <w:rPr>
          <w:rFonts w:ascii="Times New Roman" w:hAnsi="Times New Roman" w:cs="Times New Roman"/>
          <w:color w:val="0D0D0D" w:themeColor="text1" w:themeTint="F2"/>
          <w:sz w:val="28"/>
          <w:szCs w:val="28"/>
          <w:lang w:eastAsia="es-ES_tradnl"/>
        </w:rPr>
        <w:t xml:space="preserve"> a las prestaciones sociales es contrario al principio de irrenunciabilidad de los beneficios mínimos laborales deviene de la lectura textual y literal del apartado de la norma que di</w:t>
      </w:r>
      <w:r w:rsidRPr="002D20D6">
        <w:rPr>
          <w:rFonts w:ascii="Times New Roman" w:hAnsi="Times New Roman" w:cs="Times New Roman"/>
          <w:color w:val="0D0D0D" w:themeColor="text1" w:themeTint="F2"/>
          <w:sz w:val="28"/>
          <w:szCs w:val="28"/>
          <w:lang w:eastAsia="es-ES_tradnl"/>
        </w:rPr>
        <w:t xml:space="preserve">ce </w:t>
      </w:r>
      <w:r w:rsidRPr="002D20D6">
        <w:rPr>
          <w:rFonts w:ascii="Times New Roman" w:hAnsi="Times New Roman" w:cs="Times New Roman"/>
          <w:i/>
          <w:color w:val="0D0D0D" w:themeColor="text1" w:themeTint="F2"/>
          <w:sz w:val="28"/>
          <w:szCs w:val="28"/>
          <w:lang w:eastAsia="es-ES_tradnl"/>
        </w:rPr>
        <w:t>“renuncia a prestaciones sociales”</w:t>
      </w:r>
      <w:r w:rsidRPr="002D20D6">
        <w:rPr>
          <w:rFonts w:ascii="Times New Roman" w:hAnsi="Times New Roman" w:cs="Times New Roman"/>
          <w:color w:val="0D0D0D" w:themeColor="text1" w:themeTint="F2"/>
          <w:sz w:val="28"/>
          <w:szCs w:val="28"/>
          <w:lang w:eastAsia="es-ES_tradnl"/>
        </w:rPr>
        <w:t xml:space="preserve">. </w:t>
      </w:r>
    </w:p>
    <w:p w:rsidR="001F508A" w:rsidRPr="002D20D6" w:rsidRDefault="002D20D6" w:rsidP="001F508A">
      <w:pPr>
        <w:pStyle w:val="Prrafodelista"/>
        <w:rPr>
          <w:rFonts w:ascii="Times New Roman" w:hAnsi="Times New Roman" w:cs="Times New Roman"/>
          <w:i/>
          <w:color w:val="0D0D0D" w:themeColor="text1" w:themeTint="F2"/>
          <w:sz w:val="28"/>
          <w:szCs w:val="28"/>
        </w:rPr>
      </w:pPr>
    </w:p>
    <w:p w:rsidR="001F508A" w:rsidRPr="002D20D6" w:rsidRDefault="002D20D6" w:rsidP="00012A06">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iCs/>
          <w:color w:val="0D0D0D" w:themeColor="text1" w:themeTint="F2"/>
          <w:sz w:val="28"/>
          <w:szCs w:val="28"/>
        </w:rPr>
        <w:t>Asofondos argumentó que el cargo no es cierto porque la lectura que debe hacerse del artículo 148 es que solamente se autoriza la renuncia al pago de cesantías cuya renuncia haya sido autorizada por la ley, como ser</w:t>
      </w:r>
      <w:r w:rsidRPr="002D20D6">
        <w:rPr>
          <w:rFonts w:ascii="Times New Roman" w:hAnsi="Times New Roman" w:cs="Times New Roman"/>
          <w:iCs/>
          <w:color w:val="0D0D0D" w:themeColor="text1" w:themeTint="F2"/>
          <w:sz w:val="28"/>
          <w:szCs w:val="28"/>
        </w:rPr>
        <w:t>ía el caso de la sanción monetaria por el no pago de las cesantías en las fechas que establece la norma. La Sala Plena no comparte la postura de Asofondos, principalmente porque esa interpretación que sobrepone a la de los demandantes tampoco es certera. N</w:t>
      </w:r>
      <w:r w:rsidRPr="002D20D6">
        <w:rPr>
          <w:rFonts w:ascii="Times New Roman" w:hAnsi="Times New Roman" w:cs="Times New Roman"/>
          <w:iCs/>
          <w:color w:val="0D0D0D" w:themeColor="text1" w:themeTint="F2"/>
          <w:sz w:val="28"/>
          <w:szCs w:val="28"/>
        </w:rPr>
        <w:t xml:space="preserve">o es cierto que de la norma sea posible concluir que la única renuncia que se permite es la que se deriva de la sanción moratoria por el no pago de las cesantías. Como se explicó en el análisis del presupuesto anterior, la expresión demandada se refiere a </w:t>
      </w:r>
      <w:r w:rsidRPr="002D20D6">
        <w:rPr>
          <w:rFonts w:ascii="Times New Roman" w:hAnsi="Times New Roman" w:cs="Times New Roman"/>
          <w:iCs/>
          <w:color w:val="0D0D0D" w:themeColor="text1" w:themeTint="F2"/>
          <w:sz w:val="28"/>
          <w:szCs w:val="28"/>
        </w:rPr>
        <w:t xml:space="preserve">la renuncia a las </w:t>
      </w:r>
      <w:r w:rsidRPr="002D20D6">
        <w:rPr>
          <w:rFonts w:ascii="Times New Roman" w:hAnsi="Times New Roman" w:cs="Times New Roman"/>
          <w:i/>
          <w:color w:val="0D0D0D" w:themeColor="text1" w:themeTint="F2"/>
          <w:sz w:val="28"/>
          <w:szCs w:val="28"/>
        </w:rPr>
        <w:t xml:space="preserve">prestaciones sociales </w:t>
      </w:r>
      <w:r w:rsidRPr="002D20D6">
        <w:rPr>
          <w:rFonts w:ascii="Times New Roman" w:hAnsi="Times New Roman" w:cs="Times New Roman"/>
          <w:iCs/>
          <w:color w:val="0D0D0D" w:themeColor="text1" w:themeTint="F2"/>
          <w:sz w:val="28"/>
          <w:szCs w:val="28"/>
        </w:rPr>
        <w:t>como terminología general.</w:t>
      </w:r>
    </w:p>
    <w:p w:rsidR="008563FD" w:rsidRPr="002D20D6" w:rsidRDefault="002D20D6" w:rsidP="008563FD">
      <w:pPr>
        <w:pStyle w:val="Prrafodelista"/>
        <w:rPr>
          <w:rFonts w:ascii="Times New Roman" w:hAnsi="Times New Roman" w:cs="Times New Roman"/>
          <w:i/>
          <w:color w:val="0D0D0D" w:themeColor="text1" w:themeTint="F2"/>
          <w:sz w:val="28"/>
          <w:szCs w:val="28"/>
        </w:rPr>
      </w:pPr>
    </w:p>
    <w:p w:rsidR="00100675" w:rsidRPr="002D20D6" w:rsidRDefault="002D20D6" w:rsidP="00100675">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A ello se le suma que el reproche no recae sobre una norma derogada, implícita ni supuesta, sino sobre una vigente, identificada con precisión, cuya lectura literal habilita la renuncia a </w:t>
      </w:r>
      <w:r w:rsidRPr="002D20D6">
        <w:rPr>
          <w:rFonts w:ascii="Times New Roman" w:hAnsi="Times New Roman" w:cs="Times New Roman"/>
          <w:color w:val="0D0D0D" w:themeColor="text1" w:themeTint="F2"/>
          <w:sz w:val="28"/>
          <w:szCs w:val="28"/>
        </w:rPr>
        <w:t xml:space="preserve">prestaciones sociales. Esta Corporación ha precisado que el presupuesto de certeza </w:t>
      </w:r>
      <w:r w:rsidRPr="002D20D6">
        <w:rPr>
          <w:rFonts w:ascii="Times New Roman" w:hAnsi="Times New Roman" w:cs="Times New Roman"/>
          <w:i/>
          <w:iCs/>
          <w:color w:val="0D0D0D" w:themeColor="text1" w:themeTint="F2"/>
          <w:sz w:val="28"/>
          <w:szCs w:val="28"/>
        </w:rPr>
        <w:t>“no exige que la interpretación del demandante sea la única posible ni la más plausible, sino que sea una lectura razonable y verificable del texto demandado”</w:t>
      </w:r>
      <w:r w:rsidRPr="002D20D6">
        <w:rPr>
          <w:rFonts w:ascii="Times New Roman" w:hAnsi="Times New Roman" w:cs="Times New Roman"/>
          <w:color w:val="0D0D0D" w:themeColor="text1" w:themeTint="F2"/>
          <w:sz w:val="28"/>
          <w:szCs w:val="28"/>
        </w:rPr>
        <w:t>.</w:t>
      </w:r>
      <w:r w:rsidRPr="002D20D6">
        <w:rPr>
          <w:rStyle w:val="Refdenotaalpie"/>
          <w:rFonts w:cs="Times New Roman"/>
          <w:color w:val="0D0D0D" w:themeColor="text1" w:themeTint="F2"/>
          <w:sz w:val="28"/>
          <w:szCs w:val="28"/>
        </w:rPr>
        <w:footnoteReference w:id="65"/>
      </w:r>
      <w:r w:rsidRPr="002D20D6">
        <w:rPr>
          <w:rFonts w:ascii="Times New Roman" w:hAnsi="Times New Roman" w:cs="Times New Roman"/>
          <w:color w:val="0D0D0D" w:themeColor="text1" w:themeTint="F2"/>
          <w:sz w:val="28"/>
          <w:szCs w:val="28"/>
        </w:rPr>
        <w:t xml:space="preserve"> En ese senti</w:t>
      </w:r>
      <w:r w:rsidRPr="002D20D6">
        <w:rPr>
          <w:rFonts w:ascii="Times New Roman" w:hAnsi="Times New Roman" w:cs="Times New Roman"/>
          <w:color w:val="0D0D0D" w:themeColor="text1" w:themeTint="F2"/>
          <w:sz w:val="28"/>
          <w:szCs w:val="28"/>
        </w:rPr>
        <w:t>do, el hecho de que Asofondos proponga una lectura alternativa y más restringida de la norma no desvirtúa la certeza del cargo, por el contrario demuestra, precisamente, que la expresión acusada admite varias interpretaciones, una de las cuales, la que lee</w:t>
      </w:r>
      <w:r w:rsidRPr="002D20D6">
        <w:rPr>
          <w:rFonts w:ascii="Times New Roman" w:hAnsi="Times New Roman" w:cs="Times New Roman"/>
          <w:color w:val="0D0D0D" w:themeColor="text1" w:themeTint="F2"/>
          <w:sz w:val="28"/>
          <w:szCs w:val="28"/>
        </w:rPr>
        <w:t>n los demandantes, es jurídicamente plausible y recae sobre un contenido normativo real y verificable.</w:t>
      </w:r>
    </w:p>
    <w:p w:rsidR="00100675" w:rsidRPr="002D20D6" w:rsidRDefault="002D20D6" w:rsidP="00100675">
      <w:pPr>
        <w:pStyle w:val="Prrafodelista"/>
        <w:rPr>
          <w:rFonts w:ascii="Times New Roman" w:hAnsi="Times New Roman" w:cs="Times New Roman"/>
          <w:iCs/>
          <w:color w:val="0D0D0D" w:themeColor="text1" w:themeTint="F2"/>
          <w:sz w:val="28"/>
          <w:szCs w:val="28"/>
        </w:rPr>
      </w:pPr>
    </w:p>
    <w:p w:rsidR="00BE01E7" w:rsidRPr="002D20D6" w:rsidRDefault="002D20D6" w:rsidP="00D504B6">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iCs/>
          <w:color w:val="0D0D0D" w:themeColor="text1" w:themeTint="F2"/>
          <w:sz w:val="28"/>
          <w:szCs w:val="28"/>
        </w:rPr>
        <w:t xml:space="preserve">Por último, los demandantes también argumentaron que </w:t>
      </w:r>
      <w:r w:rsidRPr="002D20D6">
        <w:rPr>
          <w:rFonts w:ascii="Times New Roman" w:hAnsi="Times New Roman" w:cs="Times New Roman"/>
          <w:color w:val="0D0D0D" w:themeColor="text1" w:themeTint="F2"/>
          <w:sz w:val="28"/>
          <w:szCs w:val="28"/>
        </w:rPr>
        <w:t>la intervención del Inspector del Trabajo y del Alcalde</w:t>
      </w:r>
      <w:r w:rsidRPr="002D20D6">
        <w:rPr>
          <w:rFonts w:ascii="Times New Roman" w:hAnsi="Times New Roman" w:cs="Times New Roman"/>
          <w:color w:val="0D0D0D" w:themeColor="text1" w:themeTint="F2"/>
          <w:sz w:val="28"/>
          <w:szCs w:val="28"/>
        </w:rPr>
        <w:t xml:space="preserve"> Municipal en la renuncia a las prestaciones sociales descarta cualquier intervención judicial posterior en esa misma materia. Si bien aquella interpretación no corresponde a una lectura real de la disposición acusada, ese argumento no subsiste por sí solo</w:t>
      </w:r>
      <w:r w:rsidRPr="002D20D6">
        <w:rPr>
          <w:rFonts w:ascii="Times New Roman" w:hAnsi="Times New Roman" w:cs="Times New Roman"/>
          <w:color w:val="0D0D0D" w:themeColor="text1" w:themeTint="F2"/>
          <w:sz w:val="28"/>
          <w:szCs w:val="28"/>
        </w:rPr>
        <w:t xml:space="preserve"> ni debe estudiarse aisladamente del cargo admitido. Lo que pretendieron los ciudadanos demandantes con ese argumento es hacer énfasis en que es en virtud del mandato constitucional de la irrenunciabilidad de los beneficios mínimos laborales que es posible</w:t>
      </w:r>
      <w:r w:rsidRPr="002D20D6">
        <w:rPr>
          <w:rFonts w:ascii="Times New Roman" w:hAnsi="Times New Roman" w:cs="Times New Roman"/>
          <w:color w:val="0D0D0D" w:themeColor="text1" w:themeTint="F2"/>
          <w:sz w:val="28"/>
          <w:szCs w:val="28"/>
        </w:rPr>
        <w:t xml:space="preserve"> determinar con certeza cuáles derechos son renunciables, dependiendo de cuáles tengan la connotación de inciertos y discutibles. En consecuencia, cualquier potestad que se le atribuya a una autoridad administrativa </w:t>
      </w:r>
      <w:r w:rsidRPr="002D20D6">
        <w:rPr>
          <w:rFonts w:ascii="Times New Roman" w:hAnsi="Times New Roman" w:cs="Times New Roman"/>
          <w:iCs/>
          <w:color w:val="0D0D0D" w:themeColor="text1" w:themeTint="F2"/>
          <w:sz w:val="28"/>
          <w:szCs w:val="28"/>
        </w:rPr>
        <w:t>-sea el Inspector del Trabajo o el Alcal</w:t>
      </w:r>
      <w:r w:rsidRPr="002D20D6">
        <w:rPr>
          <w:rFonts w:ascii="Times New Roman" w:hAnsi="Times New Roman" w:cs="Times New Roman"/>
          <w:iCs/>
          <w:color w:val="0D0D0D" w:themeColor="text1" w:themeTint="F2"/>
          <w:sz w:val="28"/>
          <w:szCs w:val="28"/>
        </w:rPr>
        <w:t xml:space="preserve">de Municipal- para disponer de ellos, atenta directamente contra la garantía constitucional de irrenunciabilidad de los derechos laborales, pues es solo con el criterio de aquella que es posible establecer tal diferenciación. </w:t>
      </w:r>
    </w:p>
    <w:p w:rsidR="006E4993" w:rsidRPr="002D20D6" w:rsidRDefault="002D20D6" w:rsidP="00100675">
      <w:pPr>
        <w:rPr>
          <w:rFonts w:ascii="Times New Roman" w:hAnsi="Times New Roman" w:cs="Times New Roman"/>
          <w:color w:val="0D0D0D" w:themeColor="text1" w:themeTint="F2"/>
          <w:sz w:val="28"/>
          <w:szCs w:val="28"/>
        </w:rPr>
      </w:pPr>
    </w:p>
    <w:p w:rsidR="00A80737" w:rsidRPr="002D20D6" w:rsidRDefault="002D20D6">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En relación con la </w:t>
      </w:r>
      <w:r w:rsidRPr="002D20D6">
        <w:rPr>
          <w:rFonts w:ascii="Times New Roman" w:hAnsi="Times New Roman" w:cs="Times New Roman"/>
          <w:b/>
          <w:bCs/>
          <w:i/>
          <w:color w:val="0D0D0D" w:themeColor="text1" w:themeTint="F2"/>
          <w:sz w:val="28"/>
          <w:szCs w:val="28"/>
        </w:rPr>
        <w:t>especific</w:t>
      </w:r>
      <w:r w:rsidRPr="002D20D6">
        <w:rPr>
          <w:rFonts w:ascii="Times New Roman" w:hAnsi="Times New Roman" w:cs="Times New Roman"/>
          <w:b/>
          <w:bCs/>
          <w:i/>
          <w:color w:val="0D0D0D" w:themeColor="text1" w:themeTint="F2"/>
          <w:sz w:val="28"/>
          <w:szCs w:val="28"/>
        </w:rPr>
        <w:t>idad</w:t>
      </w:r>
      <w:r w:rsidRPr="002D20D6">
        <w:rPr>
          <w:rFonts w:ascii="Times New Roman" w:hAnsi="Times New Roman" w:cs="Times New Roman"/>
          <w:color w:val="0D0D0D" w:themeColor="text1" w:themeTint="F2"/>
          <w:sz w:val="28"/>
          <w:szCs w:val="28"/>
        </w:rPr>
        <w:t>, el cargo no se limita a señalar una incompatibilidad abstracta entre la norma y la Constitución, sino que identifica de manera concreta la oposición entre la habilitación normativa general contenida en la expresión demandada y el mandato de irrenunci</w:t>
      </w:r>
      <w:r w:rsidRPr="002D20D6">
        <w:rPr>
          <w:rFonts w:ascii="Times New Roman" w:hAnsi="Times New Roman" w:cs="Times New Roman"/>
          <w:color w:val="0D0D0D" w:themeColor="text1" w:themeTint="F2"/>
          <w:sz w:val="28"/>
          <w:szCs w:val="28"/>
        </w:rPr>
        <w:t>abilidad del artículo 53 constitucional. Esta Corporación ha dicho que la especificidad exige que el demandante señale en qué consiste la inexequibilidad que predica de la norma, mostrando de modo concreto cómo el mandato demandado viola o desconoce la Con</w:t>
      </w:r>
      <w:r w:rsidRPr="002D20D6">
        <w:rPr>
          <w:rFonts w:ascii="Times New Roman" w:hAnsi="Times New Roman" w:cs="Times New Roman"/>
          <w:color w:val="0D0D0D" w:themeColor="text1" w:themeTint="F2"/>
          <w:sz w:val="28"/>
          <w:szCs w:val="28"/>
        </w:rPr>
        <w:t>stitución. Ese estándar se satisface en el presente asunto, pues los demandantes explicaron con precisión que la norma otorga a una autoridad administrativa la facultad de autorizar la renuncia a prestaciones sociales, que son beneficios mínimos laborales,</w:t>
      </w:r>
      <w:r w:rsidRPr="002D20D6">
        <w:rPr>
          <w:rFonts w:ascii="Times New Roman" w:hAnsi="Times New Roman" w:cs="Times New Roman"/>
          <w:color w:val="0D0D0D" w:themeColor="text1" w:themeTint="F2"/>
          <w:sz w:val="28"/>
          <w:szCs w:val="28"/>
        </w:rPr>
        <w:t xml:space="preserve"> lo cual contradice directamente el principio del artículo 53 de la Constitución.</w:t>
      </w:r>
    </w:p>
    <w:p w:rsidR="00D503D7" w:rsidRPr="002D20D6" w:rsidRDefault="002D20D6" w:rsidP="00D503D7">
      <w:pPr>
        <w:pStyle w:val="Prrafodelista"/>
        <w:rPr>
          <w:rFonts w:ascii="Times New Roman" w:hAnsi="Times New Roman" w:cs="Times New Roman"/>
          <w:color w:val="0D0D0D" w:themeColor="text1" w:themeTint="F2"/>
          <w:sz w:val="28"/>
          <w:szCs w:val="28"/>
        </w:rPr>
      </w:pPr>
    </w:p>
    <w:p w:rsidR="00A80737" w:rsidRPr="002D20D6" w:rsidRDefault="002D20D6">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En cuanto a la </w:t>
      </w:r>
      <w:r w:rsidRPr="002D20D6">
        <w:rPr>
          <w:rFonts w:ascii="Times New Roman" w:hAnsi="Times New Roman" w:cs="Times New Roman"/>
          <w:b/>
          <w:bCs/>
          <w:i/>
          <w:color w:val="0D0D0D" w:themeColor="text1" w:themeTint="F2"/>
          <w:sz w:val="28"/>
          <w:szCs w:val="28"/>
        </w:rPr>
        <w:t>pertinencia</w:t>
      </w:r>
      <w:r w:rsidRPr="002D20D6">
        <w:rPr>
          <w:rFonts w:ascii="Times New Roman" w:hAnsi="Times New Roman" w:cs="Times New Roman"/>
          <w:color w:val="0D0D0D" w:themeColor="text1" w:themeTint="F2"/>
          <w:sz w:val="28"/>
          <w:szCs w:val="28"/>
        </w:rPr>
        <w:t>, el reproche es de naturaleza estrictamente constitucional. Los demandantes no cuestionan la conveniencia de la norma ni proponen una interpretaci</w:t>
      </w:r>
      <w:r w:rsidRPr="002D20D6">
        <w:rPr>
          <w:rFonts w:ascii="Times New Roman" w:hAnsi="Times New Roman" w:cs="Times New Roman"/>
          <w:color w:val="0D0D0D" w:themeColor="text1" w:themeTint="F2"/>
          <w:sz w:val="28"/>
          <w:szCs w:val="28"/>
        </w:rPr>
        <w:t xml:space="preserve">ón de </w:t>
      </w:r>
      <w:r w:rsidRPr="002D20D6">
        <w:rPr>
          <w:rFonts w:ascii="Times New Roman" w:hAnsi="Times New Roman" w:cs="Times New Roman"/>
          <w:i/>
          <w:iCs/>
          <w:color w:val="0D0D0D" w:themeColor="text1" w:themeTint="F2"/>
          <w:sz w:val="28"/>
          <w:szCs w:val="28"/>
        </w:rPr>
        <w:t>lege ferenda</w:t>
      </w:r>
      <w:r w:rsidRPr="002D20D6">
        <w:rPr>
          <w:rFonts w:ascii="Times New Roman" w:hAnsi="Times New Roman" w:cs="Times New Roman"/>
          <w:color w:val="0D0D0D" w:themeColor="text1" w:themeTint="F2"/>
          <w:sz w:val="28"/>
          <w:szCs w:val="28"/>
        </w:rPr>
        <w:t xml:space="preserve">, sino que confrontan directamente la habilitación que ella contiene con un principio mínimo fundamental consagrado en el artículo 53 de la Constitución. La jurisprudencia constitucional ha precisado que el juicio de pertinencia apunta a </w:t>
      </w:r>
      <w:r w:rsidRPr="002D20D6">
        <w:rPr>
          <w:rFonts w:ascii="Times New Roman" w:hAnsi="Times New Roman" w:cs="Times New Roman"/>
          <w:color w:val="0D0D0D" w:themeColor="text1" w:themeTint="F2"/>
          <w:sz w:val="28"/>
          <w:szCs w:val="28"/>
        </w:rPr>
        <w:t>descartar que el reproche sea meramente legal, doctrinal o de conveniencia. En este caso, el parámetro invocado es de rango constitucional y el contraste que se plantea es directo e inmediato.</w:t>
      </w:r>
    </w:p>
    <w:p w:rsidR="00D91AF0" w:rsidRPr="002D20D6" w:rsidRDefault="002D20D6" w:rsidP="00D91AF0">
      <w:pPr>
        <w:pStyle w:val="Prrafodelista"/>
        <w:rPr>
          <w:rFonts w:ascii="Times New Roman" w:hAnsi="Times New Roman" w:cs="Times New Roman"/>
          <w:color w:val="0D0D0D" w:themeColor="text1" w:themeTint="F2"/>
          <w:sz w:val="28"/>
          <w:szCs w:val="28"/>
        </w:rPr>
      </w:pPr>
    </w:p>
    <w:p w:rsidR="00DE59D7" w:rsidRPr="002D20D6" w:rsidRDefault="002D20D6" w:rsidP="002C3C30">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lang w:eastAsia="es-ES_tradnl"/>
        </w:rPr>
        <w:t xml:space="preserve">En suma, en cuanto a la </w:t>
      </w:r>
      <w:r w:rsidRPr="002D20D6">
        <w:rPr>
          <w:rFonts w:ascii="Times New Roman" w:hAnsi="Times New Roman" w:cs="Times New Roman"/>
          <w:i/>
          <w:color w:val="0D0D0D" w:themeColor="text1" w:themeTint="F2"/>
          <w:sz w:val="28"/>
          <w:szCs w:val="28"/>
          <w:lang w:eastAsia="es-ES_tradnl"/>
        </w:rPr>
        <w:t>especificidad</w:t>
      </w:r>
      <w:r w:rsidRPr="002D20D6">
        <w:rPr>
          <w:rFonts w:ascii="Times New Roman" w:hAnsi="Times New Roman" w:cs="Times New Roman"/>
          <w:color w:val="0D0D0D" w:themeColor="text1" w:themeTint="F2"/>
          <w:sz w:val="28"/>
          <w:szCs w:val="28"/>
          <w:lang w:eastAsia="es-ES_tradnl"/>
        </w:rPr>
        <w:t xml:space="preserve"> y la </w:t>
      </w:r>
      <w:r w:rsidRPr="002D20D6">
        <w:rPr>
          <w:rFonts w:ascii="Times New Roman" w:hAnsi="Times New Roman" w:cs="Times New Roman"/>
          <w:i/>
          <w:color w:val="0D0D0D" w:themeColor="text1" w:themeTint="F2"/>
          <w:sz w:val="28"/>
          <w:szCs w:val="28"/>
          <w:lang w:eastAsia="es-ES_tradnl"/>
        </w:rPr>
        <w:t>pertinencia</w:t>
      </w:r>
      <w:r w:rsidRPr="002D20D6">
        <w:rPr>
          <w:rFonts w:ascii="Times New Roman" w:hAnsi="Times New Roman" w:cs="Times New Roman"/>
          <w:color w:val="0D0D0D" w:themeColor="text1" w:themeTint="F2"/>
          <w:sz w:val="28"/>
          <w:szCs w:val="28"/>
          <w:lang w:eastAsia="es-ES_tradnl"/>
        </w:rPr>
        <w:t xml:space="preserve">, la acusación fue concreta y puntual. Los demandantes explicaron que el fragmento acusado que habilita una </w:t>
      </w:r>
      <w:r w:rsidRPr="002D20D6">
        <w:rPr>
          <w:rFonts w:ascii="Times New Roman" w:hAnsi="Times New Roman" w:cs="Times New Roman"/>
          <w:i/>
          <w:color w:val="0D0D0D" w:themeColor="text1" w:themeTint="F2"/>
          <w:sz w:val="28"/>
          <w:szCs w:val="28"/>
          <w:lang w:eastAsia="es-ES_tradnl"/>
        </w:rPr>
        <w:t xml:space="preserve">renuncia </w:t>
      </w:r>
      <w:r w:rsidRPr="002D20D6">
        <w:rPr>
          <w:rFonts w:ascii="Times New Roman" w:hAnsi="Times New Roman" w:cs="Times New Roman"/>
          <w:color w:val="0D0D0D" w:themeColor="text1" w:themeTint="F2"/>
          <w:sz w:val="28"/>
          <w:szCs w:val="28"/>
          <w:lang w:eastAsia="es-ES_tradnl"/>
        </w:rPr>
        <w:t xml:space="preserve">a las prestaciones sociales desconoce el principio de </w:t>
      </w:r>
      <w:r w:rsidRPr="002D20D6">
        <w:rPr>
          <w:rFonts w:ascii="Times New Roman" w:hAnsi="Times New Roman" w:cs="Times New Roman"/>
          <w:i/>
          <w:color w:val="0D0D0D" w:themeColor="text1" w:themeTint="F2"/>
          <w:sz w:val="28"/>
          <w:szCs w:val="28"/>
          <w:lang w:eastAsia="es-ES_tradnl"/>
        </w:rPr>
        <w:t xml:space="preserve">irrenunciabilidad </w:t>
      </w:r>
      <w:r w:rsidRPr="002D20D6">
        <w:rPr>
          <w:rFonts w:ascii="Times New Roman" w:hAnsi="Times New Roman" w:cs="Times New Roman"/>
          <w:color w:val="0D0D0D" w:themeColor="text1" w:themeTint="F2"/>
          <w:sz w:val="28"/>
          <w:szCs w:val="28"/>
          <w:lang w:eastAsia="es-ES_tradnl"/>
        </w:rPr>
        <w:t>de los derechos mínimos laborales protegido por la Constitución. En</w:t>
      </w:r>
      <w:r w:rsidRPr="002D20D6">
        <w:rPr>
          <w:rFonts w:ascii="Times New Roman" w:hAnsi="Times New Roman" w:cs="Times New Roman"/>
          <w:color w:val="0D0D0D" w:themeColor="text1" w:themeTint="F2"/>
          <w:sz w:val="28"/>
          <w:szCs w:val="28"/>
          <w:lang w:eastAsia="es-ES_tradnl"/>
        </w:rPr>
        <w:t xml:space="preserve"> este sentido, los demandantes fundamentaron el cargo en el desconocimiento de un principio fundamental de naturaleza constitucional, lo que acompañaron con la debida jurisprudencia constitucional. A ello se le suma, como se explicó a profundidad anteriorm</w:t>
      </w:r>
      <w:r w:rsidRPr="002D20D6">
        <w:rPr>
          <w:rFonts w:ascii="Times New Roman" w:hAnsi="Times New Roman" w:cs="Times New Roman"/>
          <w:color w:val="0D0D0D" w:themeColor="text1" w:themeTint="F2"/>
          <w:sz w:val="28"/>
          <w:szCs w:val="28"/>
          <w:lang w:eastAsia="es-ES_tradnl"/>
        </w:rPr>
        <w:t xml:space="preserve">ente, que en tanto el texto del fragmento acusado no distingue qué mínimos laborales están comprendidos en el término </w:t>
      </w:r>
      <w:r w:rsidRPr="002D20D6">
        <w:rPr>
          <w:rFonts w:ascii="Times New Roman" w:hAnsi="Times New Roman" w:cs="Times New Roman"/>
          <w:i/>
          <w:iCs/>
          <w:color w:val="0D0D0D" w:themeColor="text1" w:themeTint="F2"/>
          <w:sz w:val="28"/>
          <w:szCs w:val="28"/>
          <w:lang w:eastAsia="es-ES_tradnl"/>
        </w:rPr>
        <w:t>prestaciones sociales</w:t>
      </w:r>
      <w:r w:rsidRPr="002D20D6">
        <w:rPr>
          <w:rFonts w:ascii="Times New Roman" w:hAnsi="Times New Roman" w:cs="Times New Roman"/>
          <w:color w:val="0D0D0D" w:themeColor="text1" w:themeTint="F2"/>
          <w:sz w:val="28"/>
          <w:szCs w:val="28"/>
          <w:lang w:eastAsia="es-ES_tradnl"/>
        </w:rPr>
        <w:t>, mal haría esta Corporación en exigirle al ciudadano como parte de la estructuración del cargo que proceda a identif</w:t>
      </w:r>
      <w:r w:rsidRPr="002D20D6">
        <w:rPr>
          <w:rFonts w:ascii="Times New Roman" w:hAnsi="Times New Roman" w:cs="Times New Roman"/>
          <w:color w:val="0D0D0D" w:themeColor="text1" w:themeTint="F2"/>
          <w:sz w:val="28"/>
          <w:szCs w:val="28"/>
          <w:lang w:eastAsia="es-ES_tradnl"/>
        </w:rPr>
        <w:t>icarlas, sin incurrir en una carga argumentativa desproporcionada.</w:t>
      </w:r>
    </w:p>
    <w:p w:rsidR="00DE59D7" w:rsidRPr="002D20D6" w:rsidRDefault="002D20D6" w:rsidP="00DE59D7">
      <w:pPr>
        <w:shd w:val="clear" w:color="auto" w:fill="FFFFFF" w:themeFill="background1"/>
        <w:jc w:val="both"/>
        <w:rPr>
          <w:rFonts w:ascii="Times New Roman" w:hAnsi="Times New Roman" w:cs="Times New Roman"/>
          <w:i/>
          <w:color w:val="0D0D0D" w:themeColor="text1" w:themeTint="F2"/>
          <w:sz w:val="28"/>
          <w:szCs w:val="28"/>
        </w:rPr>
      </w:pPr>
    </w:p>
    <w:p w:rsidR="00A80737" w:rsidRPr="002D20D6" w:rsidRDefault="002D20D6">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Adicionalmente, la </w:t>
      </w:r>
      <w:r w:rsidRPr="002D20D6">
        <w:rPr>
          <w:rFonts w:ascii="Times New Roman" w:hAnsi="Times New Roman" w:cs="Times New Roman"/>
          <w:b/>
          <w:bCs/>
          <w:i/>
          <w:color w:val="0D0D0D" w:themeColor="text1" w:themeTint="F2"/>
          <w:sz w:val="28"/>
          <w:szCs w:val="28"/>
        </w:rPr>
        <w:t>suficiencia</w:t>
      </w:r>
      <w:r w:rsidRPr="002D20D6">
        <w:rPr>
          <w:rFonts w:ascii="Times New Roman" w:hAnsi="Times New Roman" w:cs="Times New Roman"/>
          <w:color w:val="0D0D0D" w:themeColor="text1" w:themeTint="F2"/>
          <w:sz w:val="28"/>
          <w:szCs w:val="28"/>
        </w:rPr>
        <w:t xml:space="preserve"> del cargo se aprecia en que los demandantes no se limitaron a enunciar la posible incompatibilidad de la norma con la Constitución, sino que aportaron los el</w:t>
      </w:r>
      <w:r w:rsidRPr="002D20D6">
        <w:rPr>
          <w:rFonts w:ascii="Times New Roman" w:hAnsi="Times New Roman" w:cs="Times New Roman"/>
          <w:color w:val="0D0D0D" w:themeColor="text1" w:themeTint="F2"/>
          <w:sz w:val="28"/>
          <w:szCs w:val="28"/>
        </w:rPr>
        <w:t>ementos argumentativos necesarios para despertar en esta Corporación una duda razonable sobre su constitucionalidad. Esta Corte ha señalado que la suficiencia se relaciona con la exposición de todos los elementos de juicio necesarios para iniciar el juicio</w:t>
      </w:r>
      <w:r w:rsidRPr="002D20D6">
        <w:rPr>
          <w:rFonts w:ascii="Times New Roman" w:hAnsi="Times New Roman" w:cs="Times New Roman"/>
          <w:color w:val="0D0D0D" w:themeColor="text1" w:themeTint="F2"/>
          <w:sz w:val="28"/>
          <w:szCs w:val="28"/>
        </w:rPr>
        <w:t xml:space="preserve"> de constitucionalidad, así como con el alcance persuasivo de la demanda. En el presente asunto, los ciudadanos acudieron a la jurisprudencia constitucional, al texto literal de la norma demandada y al parámetro constitucional del artículo 53 para sustenta</w:t>
      </w:r>
      <w:r w:rsidRPr="002D20D6">
        <w:rPr>
          <w:rFonts w:ascii="Times New Roman" w:hAnsi="Times New Roman" w:cs="Times New Roman"/>
          <w:color w:val="0D0D0D" w:themeColor="text1" w:themeTint="F2"/>
          <w:sz w:val="28"/>
          <w:szCs w:val="28"/>
        </w:rPr>
        <w:t>r su cuestionamiento, lo que resulta suficiente para que esta Corporación emita un pronunciamiento de fondo.</w:t>
      </w:r>
    </w:p>
    <w:p w:rsidR="00D91AF0" w:rsidRPr="002D20D6" w:rsidRDefault="002D20D6" w:rsidP="00D91AF0">
      <w:pPr>
        <w:pStyle w:val="Prrafodelista"/>
        <w:rPr>
          <w:rFonts w:ascii="Times New Roman" w:hAnsi="Times New Roman" w:cs="Times New Roman"/>
          <w:color w:val="0D0D0D" w:themeColor="text1" w:themeTint="F2"/>
          <w:sz w:val="28"/>
          <w:szCs w:val="28"/>
        </w:rPr>
      </w:pPr>
    </w:p>
    <w:p w:rsidR="00B8554A" w:rsidRPr="002D20D6" w:rsidRDefault="002D20D6" w:rsidP="00DF3B50">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lang w:eastAsia="es-ES_tradnl"/>
        </w:rPr>
        <w:t xml:space="preserve">Por las razones expuestas anteriormente, se satisface el requisito de </w:t>
      </w:r>
      <w:r w:rsidRPr="002D20D6">
        <w:rPr>
          <w:rFonts w:ascii="Times New Roman" w:hAnsi="Times New Roman" w:cs="Times New Roman"/>
          <w:bCs/>
          <w:i/>
          <w:color w:val="0D0D0D" w:themeColor="text1" w:themeTint="F2"/>
          <w:sz w:val="28"/>
          <w:szCs w:val="28"/>
          <w:lang w:eastAsia="es-ES_tradnl"/>
        </w:rPr>
        <w:t>suficiencia</w:t>
      </w:r>
      <w:r w:rsidRPr="002D20D6">
        <w:rPr>
          <w:rFonts w:ascii="Times New Roman" w:hAnsi="Times New Roman" w:cs="Times New Roman"/>
          <w:bCs/>
          <w:color w:val="0D0D0D" w:themeColor="text1" w:themeTint="F2"/>
          <w:sz w:val="28"/>
          <w:szCs w:val="28"/>
          <w:lang w:eastAsia="es-ES_tradnl"/>
        </w:rPr>
        <w:t>,</w:t>
      </w:r>
      <w:r w:rsidRPr="002D20D6">
        <w:rPr>
          <w:rFonts w:ascii="Times New Roman" w:hAnsi="Times New Roman" w:cs="Times New Roman"/>
          <w:color w:val="0D0D0D" w:themeColor="text1" w:themeTint="F2"/>
          <w:sz w:val="28"/>
          <w:szCs w:val="28"/>
          <w:lang w:eastAsia="es-ES_tradnl"/>
        </w:rPr>
        <w:t xml:space="preserve"> toda vez que bajo el espíritu del principio </w:t>
      </w:r>
      <w:r w:rsidRPr="002D20D6">
        <w:rPr>
          <w:rFonts w:ascii="Times New Roman" w:hAnsi="Times New Roman" w:cs="Times New Roman"/>
          <w:i/>
          <w:iCs/>
          <w:color w:val="0D0D0D" w:themeColor="text1" w:themeTint="F2"/>
          <w:sz w:val="28"/>
          <w:szCs w:val="28"/>
          <w:lang w:eastAsia="es-ES_tradnl"/>
        </w:rPr>
        <w:t xml:space="preserve">pro actione, </w:t>
      </w:r>
      <w:r w:rsidRPr="002D20D6">
        <w:rPr>
          <w:rFonts w:ascii="Times New Roman" w:hAnsi="Times New Roman" w:cs="Times New Roman"/>
          <w:color w:val="0D0D0D" w:themeColor="text1" w:themeTint="F2"/>
          <w:sz w:val="28"/>
          <w:szCs w:val="28"/>
          <w:lang w:eastAsia="es-ES_tradnl"/>
        </w:rPr>
        <w:t xml:space="preserve">los </w:t>
      </w:r>
      <w:r w:rsidRPr="002D20D6">
        <w:rPr>
          <w:rFonts w:ascii="Times New Roman" w:hAnsi="Times New Roman" w:cs="Times New Roman"/>
          <w:color w:val="0D0D0D" w:themeColor="text1" w:themeTint="F2"/>
          <w:sz w:val="28"/>
          <w:szCs w:val="28"/>
          <w:lang w:eastAsia="es-ES_tradnl"/>
        </w:rPr>
        <w:t>argumentos esgrimidos permiten suscitar una duda razonable respecto de la constitucionalidad del acápite de la disposición acusada.</w:t>
      </w:r>
    </w:p>
    <w:p w:rsidR="00DE59D7" w:rsidRPr="002D20D6" w:rsidRDefault="002D20D6" w:rsidP="00DE59D7">
      <w:pPr>
        <w:shd w:val="clear" w:color="auto" w:fill="FFFFFF" w:themeFill="background1"/>
        <w:jc w:val="both"/>
        <w:rPr>
          <w:rFonts w:ascii="Times New Roman" w:hAnsi="Times New Roman" w:cs="Times New Roman"/>
          <w:i/>
          <w:color w:val="0D0D0D" w:themeColor="text1" w:themeTint="F2"/>
          <w:sz w:val="28"/>
          <w:szCs w:val="28"/>
        </w:rPr>
      </w:pPr>
    </w:p>
    <w:p w:rsidR="00DE59D7" w:rsidRPr="002D20D6" w:rsidRDefault="002D20D6" w:rsidP="00DE59D7">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rPr>
        <w:t xml:space="preserve">En conclusión, la Corte reitera que la demanda es apta, en tanto cumplió con los presupuestos constitucionales para su </w:t>
      </w:r>
      <w:r w:rsidRPr="002D20D6">
        <w:rPr>
          <w:rFonts w:ascii="Times New Roman" w:hAnsi="Times New Roman" w:cs="Times New Roman"/>
          <w:color w:val="0D0D0D" w:themeColor="text1" w:themeTint="F2"/>
          <w:sz w:val="28"/>
          <w:szCs w:val="28"/>
        </w:rPr>
        <w:t>admisibilidad. Por consiguiente, procederá con la formulación del problema jurídico, y con él, el pronunciamiento de fondo correspondiente.</w:t>
      </w:r>
    </w:p>
    <w:p w:rsidR="001E52AE" w:rsidRPr="002D20D6" w:rsidRDefault="002D20D6" w:rsidP="001E52AE">
      <w:pPr>
        <w:pStyle w:val="Prrafodelista"/>
        <w:rPr>
          <w:rFonts w:ascii="Times New Roman" w:hAnsi="Times New Roman" w:cs="Times New Roman"/>
          <w:i/>
          <w:color w:val="0D0D0D" w:themeColor="text1" w:themeTint="F2"/>
          <w:sz w:val="28"/>
          <w:szCs w:val="28"/>
        </w:rPr>
      </w:pPr>
    </w:p>
    <w:p w:rsidR="001E52AE" w:rsidRPr="002D20D6" w:rsidRDefault="002D20D6" w:rsidP="001E52AE">
      <w:pPr>
        <w:pStyle w:val="Prrafodelista"/>
        <w:shd w:val="clear" w:color="auto" w:fill="FFFFFF" w:themeFill="background1"/>
        <w:ind w:left="0"/>
        <w:jc w:val="both"/>
        <w:rPr>
          <w:rFonts w:ascii="Times New Roman" w:hAnsi="Times New Roman" w:cs="Times New Roman"/>
          <w:i/>
          <w:color w:val="0D0D0D" w:themeColor="text1" w:themeTint="F2"/>
          <w:sz w:val="28"/>
          <w:szCs w:val="28"/>
        </w:rPr>
      </w:pPr>
    </w:p>
    <w:p w:rsidR="00DE59D7" w:rsidRPr="002D20D6" w:rsidRDefault="002D20D6" w:rsidP="00D6749F">
      <w:pPr>
        <w:shd w:val="clear" w:color="auto" w:fill="FFFFFF" w:themeFill="background1"/>
        <w:ind w:firstLine="708"/>
        <w:jc w:val="both"/>
        <w:rPr>
          <w:rFonts w:ascii="Times New Roman" w:hAnsi="Times New Roman" w:cs="Times New Roman"/>
          <w:b/>
          <w:color w:val="0D0D0D" w:themeColor="text1" w:themeTint="F2"/>
          <w:sz w:val="28"/>
          <w:szCs w:val="28"/>
        </w:rPr>
      </w:pPr>
      <w:r w:rsidRPr="002D20D6">
        <w:rPr>
          <w:rFonts w:ascii="Times New Roman" w:hAnsi="Times New Roman" w:cs="Times New Roman"/>
          <w:b/>
          <w:color w:val="0D0D0D" w:themeColor="text1" w:themeTint="F2"/>
          <w:sz w:val="28"/>
          <w:szCs w:val="28"/>
        </w:rPr>
        <w:t>C. Problema jurídico y esquema de resolución</w:t>
      </w:r>
    </w:p>
    <w:p w:rsidR="00DE59D7" w:rsidRPr="002D20D6" w:rsidRDefault="002D20D6" w:rsidP="00DE59D7">
      <w:pPr>
        <w:shd w:val="clear" w:color="auto" w:fill="FFFFFF" w:themeFill="background1"/>
        <w:jc w:val="both"/>
        <w:rPr>
          <w:rFonts w:ascii="Times New Roman" w:hAnsi="Times New Roman" w:cs="Times New Roman"/>
          <w:color w:val="0D0D0D" w:themeColor="text1" w:themeTint="F2"/>
          <w:sz w:val="28"/>
          <w:szCs w:val="28"/>
          <w:lang w:val="es-ES"/>
        </w:rPr>
      </w:pPr>
    </w:p>
    <w:p w:rsidR="00DE59D7" w:rsidRPr="002D20D6" w:rsidRDefault="002D20D6" w:rsidP="00DE59D7">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rPr>
      </w:pPr>
      <w:bookmarkStart w:id="4" w:name="OLE_LINK1"/>
      <w:bookmarkStart w:id="5" w:name="OLE_LINK2"/>
      <w:r w:rsidRPr="002D20D6">
        <w:rPr>
          <w:rFonts w:ascii="Times New Roman" w:hAnsi="Times New Roman" w:cs="Times New Roman"/>
          <w:color w:val="0D0D0D" w:themeColor="text1" w:themeTint="F2"/>
          <w:sz w:val="28"/>
          <w:szCs w:val="28"/>
        </w:rPr>
        <w:t>En atención a los antecedentes expuestos, le corresponde a esta Cort</w:t>
      </w:r>
      <w:r w:rsidRPr="002D20D6">
        <w:rPr>
          <w:rFonts w:ascii="Times New Roman" w:hAnsi="Times New Roman" w:cs="Times New Roman"/>
          <w:color w:val="0D0D0D" w:themeColor="text1" w:themeTint="F2"/>
          <w:sz w:val="28"/>
          <w:szCs w:val="28"/>
        </w:rPr>
        <w:t xml:space="preserve">e Constitucional resolver el siguiente problema jurídico: ¿la expresión </w:t>
      </w:r>
      <w:r w:rsidRPr="002D20D6">
        <w:rPr>
          <w:rFonts w:ascii="Times New Roman" w:hAnsi="Times New Roman" w:cs="Times New Roman"/>
          <w:i/>
          <w:color w:val="0D0D0D" w:themeColor="text1" w:themeTint="F2"/>
          <w:sz w:val="28"/>
          <w:szCs w:val="28"/>
        </w:rPr>
        <w:t xml:space="preserve">“y para renunciar prestaciones sociales” </w:t>
      </w:r>
      <w:r w:rsidRPr="002D20D6">
        <w:rPr>
          <w:rFonts w:ascii="Times New Roman" w:hAnsi="Times New Roman" w:cs="Times New Roman"/>
          <w:color w:val="0D0D0D" w:themeColor="text1" w:themeTint="F2"/>
          <w:sz w:val="28"/>
          <w:szCs w:val="28"/>
        </w:rPr>
        <w:t>contenida en el artículo 148 del Código Procesal del Trabajo vulnera el principio de irrenunciabilidad de los beneficios mínimos laborales prot</w:t>
      </w:r>
      <w:r w:rsidRPr="002D20D6">
        <w:rPr>
          <w:rFonts w:ascii="Times New Roman" w:hAnsi="Times New Roman" w:cs="Times New Roman"/>
          <w:color w:val="0D0D0D" w:themeColor="text1" w:themeTint="F2"/>
          <w:sz w:val="28"/>
          <w:szCs w:val="28"/>
        </w:rPr>
        <w:t>egido en virtud del artículo 53 de la Constitución al habilitar a una autoridad administrativa para que autorice la renuncia a los derechos laborales o de la seguridad social de un trabajador?</w:t>
      </w:r>
    </w:p>
    <w:p w:rsidR="00DE59D7" w:rsidRPr="002D20D6" w:rsidRDefault="002D20D6" w:rsidP="00DE59D7">
      <w:pPr>
        <w:shd w:val="clear" w:color="auto" w:fill="FFFFFF" w:themeFill="background1"/>
        <w:jc w:val="both"/>
        <w:rPr>
          <w:rFonts w:ascii="Times New Roman" w:hAnsi="Times New Roman" w:cs="Times New Roman"/>
          <w:color w:val="0D0D0D" w:themeColor="text1" w:themeTint="F2"/>
          <w:sz w:val="28"/>
          <w:lang w:val="es-ES"/>
        </w:rPr>
      </w:pPr>
    </w:p>
    <w:p w:rsidR="00D74492" w:rsidRPr="002D20D6" w:rsidRDefault="002D20D6" w:rsidP="00E23BCA">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Con el propósito de absolver el problema jurídico formulado, la Corte se referirá a la jurisprudencia sobre: </w:t>
      </w:r>
      <w:r w:rsidRPr="002D20D6">
        <w:rPr>
          <w:rFonts w:ascii="Times New Roman" w:hAnsi="Times New Roman" w:cs="Times New Roman"/>
          <w:i/>
          <w:color w:val="0D0D0D" w:themeColor="text1" w:themeTint="F2"/>
          <w:sz w:val="28"/>
          <w:szCs w:val="28"/>
        </w:rPr>
        <w:t>(i)</w:t>
      </w:r>
      <w:bookmarkEnd w:id="4"/>
      <w:bookmarkEnd w:id="5"/>
      <w:r w:rsidRPr="002D20D6">
        <w:rPr>
          <w:rFonts w:ascii="Times New Roman" w:hAnsi="Times New Roman" w:cs="Times New Roman"/>
          <w:color w:val="0D0D0D" w:themeColor="text1" w:themeTint="F2"/>
          <w:sz w:val="28"/>
          <w:szCs w:val="28"/>
        </w:rPr>
        <w:t xml:space="preserve"> la compatibilidad de las normas preconstitucionales bajo la vigencia de la Constitución de 1991; </w:t>
      </w:r>
      <w:r w:rsidRPr="002D20D6">
        <w:rPr>
          <w:rFonts w:ascii="Times New Roman" w:hAnsi="Times New Roman" w:cs="Times New Roman"/>
          <w:i/>
          <w:color w:val="0D0D0D" w:themeColor="text1" w:themeTint="F2"/>
          <w:sz w:val="28"/>
          <w:szCs w:val="28"/>
        </w:rPr>
        <w:t>(ii)</w:t>
      </w:r>
      <w:r w:rsidRPr="002D20D6">
        <w:rPr>
          <w:rFonts w:ascii="Times New Roman" w:hAnsi="Times New Roman" w:cs="Times New Roman"/>
          <w:color w:val="0D0D0D" w:themeColor="text1" w:themeTint="F2"/>
          <w:sz w:val="28"/>
          <w:szCs w:val="28"/>
        </w:rPr>
        <w:t xml:space="preserve"> los principios mínimos fundamentales de c</w:t>
      </w:r>
      <w:r w:rsidRPr="002D20D6">
        <w:rPr>
          <w:rFonts w:ascii="Times New Roman" w:hAnsi="Times New Roman" w:cs="Times New Roman"/>
          <w:color w:val="0D0D0D" w:themeColor="text1" w:themeTint="F2"/>
          <w:sz w:val="28"/>
          <w:szCs w:val="28"/>
        </w:rPr>
        <w:t xml:space="preserve">arácter laboral; </w:t>
      </w:r>
      <w:r w:rsidRPr="002D20D6">
        <w:rPr>
          <w:rFonts w:ascii="Times New Roman" w:hAnsi="Times New Roman" w:cs="Times New Roman"/>
          <w:i/>
          <w:color w:val="0D0D0D" w:themeColor="text1" w:themeTint="F2"/>
          <w:sz w:val="28"/>
          <w:szCs w:val="28"/>
        </w:rPr>
        <w:t>(iii)</w:t>
      </w:r>
      <w:r w:rsidRPr="002D20D6">
        <w:rPr>
          <w:rFonts w:ascii="Times New Roman" w:hAnsi="Times New Roman" w:cs="Times New Roman"/>
          <w:color w:val="0D0D0D" w:themeColor="text1" w:themeTint="F2"/>
          <w:sz w:val="28"/>
          <w:szCs w:val="28"/>
        </w:rPr>
        <w:t xml:space="preserve"> la habilitación a autoridades administrativas para transar derechos o celebrar acuerdos de conciliación extrajudicial en materia laboral, y finalmente, </w:t>
      </w:r>
      <w:r w:rsidRPr="002D20D6">
        <w:rPr>
          <w:rFonts w:ascii="Times New Roman" w:hAnsi="Times New Roman" w:cs="Times New Roman"/>
          <w:i/>
          <w:color w:val="0D0D0D" w:themeColor="text1" w:themeTint="F2"/>
          <w:sz w:val="28"/>
          <w:szCs w:val="28"/>
        </w:rPr>
        <w:t>(iv)</w:t>
      </w:r>
      <w:r w:rsidRPr="002D20D6">
        <w:rPr>
          <w:rFonts w:ascii="Times New Roman" w:hAnsi="Times New Roman" w:cs="Times New Roman"/>
          <w:color w:val="0D0D0D" w:themeColor="text1" w:themeTint="F2"/>
          <w:sz w:val="28"/>
          <w:szCs w:val="28"/>
        </w:rPr>
        <w:t xml:space="preserve"> resolverá el caso concreto.</w:t>
      </w:r>
    </w:p>
    <w:p w:rsidR="00E23BCA" w:rsidRPr="002D20D6" w:rsidRDefault="002D20D6" w:rsidP="00E23BCA">
      <w:pPr>
        <w:pStyle w:val="Prrafodelista"/>
        <w:rPr>
          <w:rFonts w:ascii="Times New Roman" w:hAnsi="Times New Roman" w:cs="Times New Roman"/>
          <w:color w:val="0D0D0D" w:themeColor="text1" w:themeTint="F2"/>
          <w:sz w:val="28"/>
          <w:szCs w:val="28"/>
        </w:rPr>
      </w:pPr>
    </w:p>
    <w:p w:rsidR="00E23BCA" w:rsidRPr="002D20D6" w:rsidRDefault="002D20D6" w:rsidP="005A1E95">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Antes de proceder con la parte considerativa, l</w:t>
      </w:r>
      <w:r w:rsidRPr="002D20D6">
        <w:rPr>
          <w:rFonts w:ascii="Times New Roman" w:hAnsi="Times New Roman" w:cs="Times New Roman"/>
          <w:color w:val="0D0D0D" w:themeColor="text1" w:themeTint="F2"/>
          <w:sz w:val="28"/>
          <w:szCs w:val="28"/>
        </w:rPr>
        <w:t xml:space="preserve">a Corte Constitucional </w:t>
      </w:r>
      <w:r w:rsidRPr="002D20D6">
        <w:rPr>
          <w:rFonts w:ascii="Times New Roman" w:hAnsi="Times New Roman" w:cs="Times New Roman"/>
          <w:color w:val="0D0D0D" w:themeColor="text1" w:themeTint="F2"/>
          <w:sz w:val="28"/>
          <w:szCs w:val="28"/>
          <w:lang w:eastAsia="es-ES_tradnl"/>
        </w:rPr>
        <w:t>pone de presente una confusión que surge de la disposición acusada en sí misma. El artículo 148 del Código Procesal del Trabajo</w:t>
      </w:r>
      <w:r w:rsidRPr="002D20D6">
        <w:rPr>
          <w:rFonts w:ascii="Times New Roman" w:hAnsi="Times New Roman" w:cs="Times New Roman"/>
          <w:iCs/>
          <w:color w:val="0D0D0D" w:themeColor="text1" w:themeTint="F2"/>
          <w:sz w:val="28"/>
          <w:szCs w:val="28"/>
          <w:lang w:eastAsia="es-ES_tradnl"/>
        </w:rPr>
        <w:t xml:space="preserve"> </w:t>
      </w:r>
      <w:r w:rsidRPr="002D20D6">
        <w:rPr>
          <w:rFonts w:ascii="Times New Roman" w:hAnsi="Times New Roman" w:cs="Times New Roman"/>
          <w:color w:val="0D0D0D" w:themeColor="text1" w:themeTint="F2"/>
          <w:sz w:val="28"/>
          <w:szCs w:val="28"/>
        </w:rPr>
        <w:t xml:space="preserve">se ubica dentro del Capítulo XVIII denominado </w:t>
      </w:r>
      <w:r w:rsidRPr="002D20D6">
        <w:rPr>
          <w:rFonts w:ascii="Times New Roman" w:hAnsi="Times New Roman" w:cs="Times New Roman"/>
          <w:i/>
          <w:color w:val="0D0D0D" w:themeColor="text1" w:themeTint="F2"/>
          <w:sz w:val="28"/>
          <w:szCs w:val="28"/>
        </w:rPr>
        <w:t xml:space="preserve">“Disposiciones Varias” </w:t>
      </w:r>
      <w:r w:rsidRPr="002D20D6">
        <w:rPr>
          <w:rFonts w:ascii="Times New Roman" w:hAnsi="Times New Roman" w:cs="Times New Roman"/>
          <w:iCs/>
          <w:color w:val="0D0D0D" w:themeColor="text1" w:themeTint="F2"/>
          <w:sz w:val="28"/>
          <w:szCs w:val="28"/>
        </w:rPr>
        <w:t>y</w:t>
      </w:r>
      <w:r w:rsidRPr="002D20D6">
        <w:rPr>
          <w:rFonts w:ascii="Times New Roman" w:hAnsi="Times New Roman" w:cs="Times New Roman"/>
          <w:i/>
          <w:color w:val="0D0D0D" w:themeColor="text1" w:themeTint="F2"/>
          <w:sz w:val="28"/>
          <w:szCs w:val="28"/>
        </w:rPr>
        <w:t xml:space="preserve"> </w:t>
      </w:r>
      <w:r w:rsidRPr="002D20D6">
        <w:rPr>
          <w:rFonts w:ascii="Times New Roman" w:hAnsi="Times New Roman" w:cs="Times New Roman"/>
          <w:color w:val="0D0D0D" w:themeColor="text1" w:themeTint="F2"/>
          <w:sz w:val="28"/>
          <w:szCs w:val="28"/>
          <w:lang w:eastAsia="es-ES_tradnl"/>
        </w:rPr>
        <w:t>dice expresamente en su título y c</w:t>
      </w:r>
      <w:r w:rsidRPr="002D20D6">
        <w:rPr>
          <w:rFonts w:ascii="Times New Roman" w:hAnsi="Times New Roman" w:cs="Times New Roman"/>
          <w:color w:val="0D0D0D" w:themeColor="text1" w:themeTint="F2"/>
          <w:sz w:val="28"/>
          <w:szCs w:val="28"/>
          <w:lang w:eastAsia="es-ES_tradnl"/>
        </w:rPr>
        <w:t xml:space="preserve">ontenido: </w:t>
      </w:r>
    </w:p>
    <w:p w:rsidR="00E23BCA" w:rsidRPr="002D20D6" w:rsidRDefault="002D20D6" w:rsidP="00E23BCA">
      <w:pPr>
        <w:pStyle w:val="Prrafodelista"/>
        <w:rPr>
          <w:rFonts w:ascii="Times New Roman" w:hAnsi="Times New Roman" w:cs="Times New Roman"/>
          <w:i/>
          <w:color w:val="0D0D0D" w:themeColor="text1" w:themeTint="F2"/>
          <w:sz w:val="28"/>
          <w:szCs w:val="28"/>
        </w:rPr>
      </w:pPr>
    </w:p>
    <w:p w:rsidR="00E23BCA" w:rsidRPr="002D20D6" w:rsidRDefault="002D20D6" w:rsidP="00E23BCA">
      <w:pPr>
        <w:snapToGrid w:val="0"/>
        <w:ind w:left="454" w:right="454"/>
        <w:jc w:val="both"/>
        <w:rPr>
          <w:rFonts w:ascii="Times New Roman" w:hAnsi="Times New Roman" w:cs="Times New Roman"/>
          <w:iCs/>
          <w:color w:val="0D0D0D" w:themeColor="text1" w:themeTint="F2"/>
          <w:sz w:val="28"/>
          <w:szCs w:val="26"/>
        </w:rPr>
      </w:pPr>
      <w:r w:rsidRPr="002D20D6">
        <w:rPr>
          <w:rFonts w:ascii="Times New Roman" w:hAnsi="Times New Roman" w:cs="Times New Roman"/>
          <w:b/>
          <w:i/>
          <w:color w:val="0D0D0D" w:themeColor="text1" w:themeTint="F2"/>
          <w:sz w:val="28"/>
          <w:szCs w:val="26"/>
        </w:rPr>
        <w:t>“ARTICULO 148</w:t>
      </w:r>
      <w:r w:rsidRPr="002D20D6">
        <w:rPr>
          <w:rFonts w:ascii="Times New Roman" w:hAnsi="Times New Roman" w:cs="Times New Roman"/>
          <w:i/>
          <w:color w:val="0D0D0D" w:themeColor="text1" w:themeTint="F2"/>
          <w:sz w:val="28"/>
          <w:szCs w:val="26"/>
        </w:rPr>
        <w:t xml:space="preserve">. </w:t>
      </w:r>
      <w:r w:rsidRPr="002D20D6">
        <w:rPr>
          <w:rFonts w:ascii="Times New Roman" w:hAnsi="Times New Roman" w:cs="Times New Roman"/>
          <w:b/>
          <w:bCs/>
          <w:i/>
          <w:color w:val="0D0D0D" w:themeColor="text1" w:themeTint="F2"/>
          <w:sz w:val="28"/>
          <w:szCs w:val="26"/>
          <w:u w:val="single"/>
        </w:rPr>
        <w:t>PERMISO PARA LIQUIDACION PARCIAL DE CESANTIAS</w:t>
      </w:r>
      <w:r w:rsidRPr="002D20D6">
        <w:rPr>
          <w:rFonts w:ascii="Times New Roman" w:hAnsi="Times New Roman" w:cs="Times New Roman"/>
          <w:i/>
          <w:color w:val="0D0D0D" w:themeColor="text1" w:themeTint="F2"/>
          <w:sz w:val="28"/>
          <w:szCs w:val="26"/>
        </w:rPr>
        <w:t xml:space="preserve">. El permiso para liquidación parcial de cesantías </w:t>
      </w:r>
      <w:r w:rsidRPr="002D20D6">
        <w:rPr>
          <w:rFonts w:ascii="Times New Roman" w:hAnsi="Times New Roman" w:cs="Times New Roman"/>
          <w:b/>
          <w:i/>
          <w:color w:val="0D0D0D" w:themeColor="text1" w:themeTint="F2"/>
          <w:sz w:val="28"/>
          <w:szCs w:val="26"/>
          <w:u w:val="single"/>
        </w:rPr>
        <w:t>y para renunciar prestaciones sociales</w:t>
      </w:r>
      <w:r w:rsidRPr="002D20D6">
        <w:rPr>
          <w:rFonts w:ascii="Times New Roman" w:hAnsi="Times New Roman" w:cs="Times New Roman"/>
          <w:i/>
          <w:color w:val="0D0D0D" w:themeColor="text1" w:themeTint="F2"/>
          <w:sz w:val="28"/>
          <w:szCs w:val="26"/>
        </w:rPr>
        <w:t xml:space="preserve">, en los casos previstos en la ley, será concedido por el correspondiente Inspector del Trabajo o Alcalde Municipal, con conocimiento de causa.” </w:t>
      </w:r>
      <w:r w:rsidRPr="002D20D6">
        <w:rPr>
          <w:rFonts w:ascii="Times New Roman" w:hAnsi="Times New Roman" w:cs="Times New Roman"/>
          <w:iCs/>
          <w:color w:val="0D0D0D" w:themeColor="text1" w:themeTint="F2"/>
          <w:sz w:val="28"/>
          <w:szCs w:val="26"/>
        </w:rPr>
        <w:t>(Subrayado fuera del texto original).</w:t>
      </w:r>
    </w:p>
    <w:p w:rsidR="00E23BCA" w:rsidRPr="002D20D6" w:rsidRDefault="002D20D6" w:rsidP="00E23BCA">
      <w:pPr>
        <w:pStyle w:val="Prrafodelista"/>
        <w:rPr>
          <w:rFonts w:ascii="Times New Roman" w:hAnsi="Times New Roman" w:cs="Times New Roman"/>
          <w:i/>
          <w:color w:val="0D0D0D" w:themeColor="text1" w:themeTint="F2"/>
          <w:sz w:val="28"/>
          <w:szCs w:val="28"/>
        </w:rPr>
      </w:pPr>
    </w:p>
    <w:p w:rsidR="00E23BCA" w:rsidRPr="002D20D6" w:rsidRDefault="002D20D6" w:rsidP="00E23BCA">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rPr>
        <w:t xml:space="preserve">Del texto </w:t>
      </w:r>
      <w:r w:rsidRPr="002D20D6">
        <w:rPr>
          <w:rFonts w:ascii="Times New Roman" w:hAnsi="Times New Roman" w:cs="Times New Roman"/>
          <w:i/>
          <w:color w:val="0D0D0D" w:themeColor="text1" w:themeTint="F2"/>
          <w:sz w:val="28"/>
          <w:szCs w:val="28"/>
        </w:rPr>
        <w:t xml:space="preserve">en cita </w:t>
      </w:r>
      <w:r w:rsidRPr="002D20D6">
        <w:rPr>
          <w:rFonts w:ascii="Times New Roman" w:hAnsi="Times New Roman" w:cs="Times New Roman"/>
          <w:color w:val="0D0D0D" w:themeColor="text1" w:themeTint="F2"/>
          <w:sz w:val="28"/>
          <w:szCs w:val="28"/>
        </w:rPr>
        <w:t xml:space="preserve">se desprende que si bien </w:t>
      </w:r>
      <w:r w:rsidRPr="002D20D6">
        <w:rPr>
          <w:rFonts w:ascii="Times New Roman" w:hAnsi="Times New Roman" w:cs="Times New Roman"/>
          <w:color w:val="0D0D0D" w:themeColor="text1" w:themeTint="F2"/>
          <w:sz w:val="28"/>
          <w:szCs w:val="28"/>
          <w:lang w:eastAsia="es-ES_tradnl"/>
        </w:rPr>
        <w:t>el título de la disposición s</w:t>
      </w:r>
      <w:r w:rsidRPr="002D20D6">
        <w:rPr>
          <w:rFonts w:ascii="Times New Roman" w:hAnsi="Times New Roman" w:cs="Times New Roman"/>
          <w:color w:val="0D0D0D" w:themeColor="text1" w:themeTint="F2"/>
          <w:sz w:val="28"/>
          <w:szCs w:val="28"/>
          <w:lang w:eastAsia="es-ES_tradnl"/>
        </w:rPr>
        <w:t xml:space="preserve">e refiere a la liquidación parcial de </w:t>
      </w:r>
      <w:r w:rsidRPr="002D20D6">
        <w:rPr>
          <w:rFonts w:ascii="Times New Roman" w:hAnsi="Times New Roman" w:cs="Times New Roman"/>
          <w:i/>
          <w:color w:val="0D0D0D" w:themeColor="text1" w:themeTint="F2"/>
          <w:sz w:val="28"/>
          <w:szCs w:val="28"/>
          <w:lang w:eastAsia="es-ES_tradnl"/>
        </w:rPr>
        <w:t>cesantías</w:t>
      </w:r>
      <w:r w:rsidRPr="002D20D6">
        <w:rPr>
          <w:rFonts w:ascii="Times New Roman" w:hAnsi="Times New Roman" w:cs="Times New Roman"/>
          <w:color w:val="0D0D0D" w:themeColor="text1" w:themeTint="F2"/>
          <w:sz w:val="28"/>
          <w:szCs w:val="28"/>
          <w:lang w:eastAsia="es-ES_tradnl"/>
        </w:rPr>
        <w:t xml:space="preserve">, el cuerpo del texto integra otros elementos; inicialmente, se habla del permiso para liquidar parcialmente las </w:t>
      </w:r>
      <w:r w:rsidRPr="002D20D6">
        <w:rPr>
          <w:rFonts w:ascii="Times New Roman" w:hAnsi="Times New Roman" w:cs="Times New Roman"/>
          <w:i/>
          <w:color w:val="0D0D0D" w:themeColor="text1" w:themeTint="F2"/>
          <w:sz w:val="28"/>
          <w:szCs w:val="28"/>
          <w:lang w:eastAsia="es-ES_tradnl"/>
        </w:rPr>
        <w:t xml:space="preserve">cesantías, </w:t>
      </w:r>
      <w:r w:rsidRPr="002D20D6">
        <w:rPr>
          <w:rFonts w:ascii="Times New Roman" w:hAnsi="Times New Roman" w:cs="Times New Roman"/>
          <w:iCs/>
          <w:color w:val="0D0D0D" w:themeColor="text1" w:themeTint="F2"/>
          <w:sz w:val="28"/>
          <w:szCs w:val="28"/>
          <w:lang w:eastAsia="es-ES_tradnl"/>
        </w:rPr>
        <w:t xml:space="preserve">pero más adelante se hace referencia a la renuncia </w:t>
      </w:r>
      <w:r w:rsidRPr="002D20D6">
        <w:rPr>
          <w:rFonts w:ascii="Times New Roman" w:hAnsi="Times New Roman" w:cs="Times New Roman"/>
          <w:color w:val="0D0D0D" w:themeColor="text1" w:themeTint="F2"/>
          <w:sz w:val="28"/>
          <w:szCs w:val="28"/>
          <w:lang w:eastAsia="es-ES_tradnl"/>
        </w:rPr>
        <w:t xml:space="preserve">a las </w:t>
      </w:r>
      <w:r w:rsidRPr="002D20D6">
        <w:rPr>
          <w:rFonts w:ascii="Times New Roman" w:hAnsi="Times New Roman" w:cs="Times New Roman"/>
          <w:i/>
          <w:color w:val="0D0D0D" w:themeColor="text1" w:themeTint="F2"/>
          <w:sz w:val="28"/>
          <w:szCs w:val="28"/>
          <w:lang w:eastAsia="es-ES_tradnl"/>
        </w:rPr>
        <w:t>prestaciones sociales</w:t>
      </w:r>
      <w:r w:rsidRPr="002D20D6">
        <w:rPr>
          <w:rFonts w:ascii="Times New Roman" w:hAnsi="Times New Roman" w:cs="Times New Roman"/>
          <w:color w:val="0D0D0D" w:themeColor="text1" w:themeTint="F2"/>
          <w:sz w:val="28"/>
          <w:szCs w:val="28"/>
          <w:lang w:eastAsia="es-ES_tradnl"/>
        </w:rPr>
        <w:t>. Sobre</w:t>
      </w:r>
      <w:r w:rsidRPr="002D20D6">
        <w:rPr>
          <w:rFonts w:ascii="Times New Roman" w:hAnsi="Times New Roman" w:cs="Times New Roman"/>
          <w:color w:val="0D0D0D" w:themeColor="text1" w:themeTint="F2"/>
          <w:sz w:val="28"/>
          <w:szCs w:val="28"/>
          <w:lang w:eastAsia="es-ES_tradnl"/>
        </w:rPr>
        <w:t xml:space="preserve"> esta cuestión, algunos de los intervinientes como el Departamento Administrativo de la Presidencia de la República, el Ministerio del Trabajo, la Defensoría del Pueblo y la Universidad Pontificia Bolivariana, así como el Procurador General de la Nación, a</w:t>
      </w:r>
      <w:r w:rsidRPr="002D20D6">
        <w:rPr>
          <w:rFonts w:ascii="Times New Roman" w:hAnsi="Times New Roman" w:cs="Times New Roman"/>
          <w:color w:val="0D0D0D" w:themeColor="text1" w:themeTint="F2"/>
          <w:sz w:val="28"/>
          <w:szCs w:val="28"/>
          <w:lang w:eastAsia="es-ES_tradnl"/>
        </w:rPr>
        <w:t>firmaron que las cesantías son prestaciones sociales, por lo que se encuentran cobijadas por su carácter irrenunciable</w:t>
      </w:r>
      <w:r w:rsidRPr="002D20D6">
        <w:rPr>
          <w:rFonts w:ascii="Times New Roman" w:hAnsi="Times New Roman" w:cs="Times New Roman"/>
          <w:i/>
          <w:color w:val="0D0D0D" w:themeColor="text1" w:themeTint="F2"/>
          <w:sz w:val="28"/>
          <w:szCs w:val="28"/>
          <w:lang w:eastAsia="es-ES_tradnl"/>
        </w:rPr>
        <w:t xml:space="preserve">. </w:t>
      </w:r>
      <w:r w:rsidRPr="002D20D6">
        <w:rPr>
          <w:rFonts w:ascii="Times New Roman" w:hAnsi="Times New Roman" w:cs="Times New Roman"/>
          <w:color w:val="0D0D0D" w:themeColor="text1" w:themeTint="F2"/>
          <w:sz w:val="28"/>
          <w:szCs w:val="28"/>
          <w:lang w:eastAsia="es-ES_tradnl"/>
        </w:rPr>
        <w:t>En cambio, otros participantes como Asofondos sostuvieron que la norma solamente autoriza la renuncia al pago de cesantías siempre que h</w:t>
      </w:r>
      <w:r w:rsidRPr="002D20D6">
        <w:rPr>
          <w:rFonts w:ascii="Times New Roman" w:hAnsi="Times New Roman" w:cs="Times New Roman"/>
          <w:color w:val="0D0D0D" w:themeColor="text1" w:themeTint="F2"/>
          <w:sz w:val="28"/>
          <w:szCs w:val="28"/>
          <w:lang w:eastAsia="es-ES_tradnl"/>
        </w:rPr>
        <w:t xml:space="preserve">aya sido autorizada por la ley. </w:t>
      </w:r>
    </w:p>
    <w:p w:rsidR="00E23BCA" w:rsidRPr="002D20D6" w:rsidRDefault="002D20D6" w:rsidP="00E23BCA">
      <w:pPr>
        <w:shd w:val="clear" w:color="auto" w:fill="FFFFFF" w:themeFill="background1"/>
        <w:jc w:val="both"/>
        <w:rPr>
          <w:rFonts w:ascii="Times New Roman" w:hAnsi="Times New Roman" w:cs="Times New Roman"/>
          <w:i/>
          <w:color w:val="0D0D0D" w:themeColor="text1" w:themeTint="F2"/>
          <w:sz w:val="28"/>
          <w:szCs w:val="28"/>
        </w:rPr>
      </w:pPr>
    </w:p>
    <w:p w:rsidR="00E23BCA" w:rsidRPr="002D20D6" w:rsidRDefault="002D20D6" w:rsidP="00E23BCA">
      <w:pPr>
        <w:pStyle w:val="Prrafodelista"/>
        <w:numPr>
          <w:ilvl w:val="0"/>
          <w:numId w:val="3"/>
        </w:numPr>
        <w:shd w:val="clear" w:color="auto" w:fill="FFFFFF" w:themeFill="background1"/>
        <w:ind w:left="0"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iCs/>
          <w:color w:val="0D0D0D" w:themeColor="text1" w:themeTint="F2"/>
          <w:sz w:val="28"/>
          <w:szCs w:val="28"/>
        </w:rPr>
        <w:t>A pesar de la terminología utilizada en la norma, l</w:t>
      </w:r>
      <w:r w:rsidRPr="002D20D6">
        <w:rPr>
          <w:rFonts w:ascii="Times New Roman" w:hAnsi="Times New Roman" w:cs="Times New Roman"/>
          <w:color w:val="0D0D0D" w:themeColor="text1" w:themeTint="F2"/>
          <w:sz w:val="28"/>
          <w:szCs w:val="28"/>
        </w:rPr>
        <w:t>a Corte Constitucional se limitará a analizar la expresión</w:t>
      </w:r>
      <w:r w:rsidRPr="002D20D6">
        <w:rPr>
          <w:rFonts w:ascii="Times New Roman" w:hAnsi="Times New Roman" w:cs="Times New Roman"/>
          <w:color w:val="0D0D0D" w:themeColor="text1" w:themeTint="F2"/>
          <w:sz w:val="28"/>
          <w:szCs w:val="28"/>
          <w:lang w:eastAsia="es-ES_tradnl"/>
        </w:rPr>
        <w:t xml:space="preserve"> </w:t>
      </w:r>
      <w:r w:rsidRPr="002D20D6">
        <w:rPr>
          <w:rFonts w:ascii="Times New Roman" w:hAnsi="Times New Roman" w:cs="Times New Roman"/>
          <w:i/>
          <w:color w:val="0D0D0D" w:themeColor="text1" w:themeTint="F2"/>
          <w:sz w:val="28"/>
          <w:szCs w:val="28"/>
          <w:lang w:eastAsia="es-ES_tradnl"/>
        </w:rPr>
        <w:t xml:space="preserve">“y para renunciar </w:t>
      </w:r>
      <w:r w:rsidRPr="002D20D6">
        <w:rPr>
          <w:rFonts w:ascii="Times New Roman" w:hAnsi="Times New Roman" w:cs="Times New Roman"/>
          <w:color w:val="0D0D0D" w:themeColor="text1" w:themeTint="F2"/>
          <w:sz w:val="28"/>
          <w:szCs w:val="28"/>
          <w:lang w:eastAsia="es-ES_tradnl"/>
        </w:rPr>
        <w:t xml:space="preserve">[a] </w:t>
      </w:r>
      <w:r w:rsidRPr="002D20D6">
        <w:rPr>
          <w:rFonts w:ascii="Times New Roman" w:hAnsi="Times New Roman" w:cs="Times New Roman"/>
          <w:i/>
          <w:color w:val="0D0D0D" w:themeColor="text1" w:themeTint="F2"/>
          <w:sz w:val="28"/>
          <w:szCs w:val="28"/>
          <w:lang w:eastAsia="es-ES_tradnl"/>
        </w:rPr>
        <w:t xml:space="preserve">prestaciones sociales”. </w:t>
      </w:r>
      <w:r w:rsidRPr="002D20D6">
        <w:rPr>
          <w:rFonts w:ascii="Times New Roman" w:hAnsi="Times New Roman" w:cs="Times New Roman"/>
          <w:iCs/>
          <w:color w:val="0D0D0D" w:themeColor="text1" w:themeTint="F2"/>
          <w:sz w:val="28"/>
          <w:szCs w:val="28"/>
          <w:lang w:eastAsia="es-ES_tradnl"/>
        </w:rPr>
        <w:t xml:space="preserve">Si bien el título de la disposición en cuestión se refiere a la liquidación parcial de las cesantías, es sobre la expresión </w:t>
      </w:r>
      <w:r w:rsidRPr="002D20D6">
        <w:rPr>
          <w:rFonts w:ascii="Times New Roman" w:hAnsi="Times New Roman" w:cs="Times New Roman"/>
          <w:i/>
          <w:color w:val="0D0D0D" w:themeColor="text1" w:themeTint="F2"/>
          <w:sz w:val="28"/>
          <w:szCs w:val="28"/>
          <w:lang w:eastAsia="es-ES_tradnl"/>
        </w:rPr>
        <w:t xml:space="preserve">renuncia a prestaciones sociales </w:t>
      </w:r>
      <w:r w:rsidRPr="002D20D6">
        <w:rPr>
          <w:rFonts w:ascii="Times New Roman" w:hAnsi="Times New Roman" w:cs="Times New Roman"/>
          <w:iCs/>
          <w:color w:val="0D0D0D" w:themeColor="text1" w:themeTint="F2"/>
          <w:sz w:val="28"/>
          <w:szCs w:val="28"/>
          <w:lang w:eastAsia="es-ES_tradnl"/>
        </w:rPr>
        <w:t>que</w:t>
      </w:r>
      <w:r w:rsidRPr="002D20D6">
        <w:rPr>
          <w:rFonts w:ascii="Times New Roman" w:hAnsi="Times New Roman" w:cs="Times New Roman"/>
          <w:i/>
          <w:color w:val="0D0D0D" w:themeColor="text1" w:themeTint="F2"/>
          <w:sz w:val="28"/>
          <w:szCs w:val="28"/>
        </w:rPr>
        <w:t xml:space="preserve"> </w:t>
      </w:r>
      <w:r w:rsidRPr="002D20D6">
        <w:rPr>
          <w:rFonts w:ascii="Times New Roman" w:hAnsi="Times New Roman" w:cs="Times New Roman"/>
          <w:color w:val="0D0D0D" w:themeColor="text1" w:themeTint="F2"/>
          <w:sz w:val="28"/>
          <w:szCs w:val="28"/>
          <w:lang w:eastAsia="es-ES_tradnl"/>
        </w:rPr>
        <w:t>la Corporación tiene competencia para pronunciarse de fondo. Esto, porque fue con base en ese f</w:t>
      </w:r>
      <w:r w:rsidRPr="002D20D6">
        <w:rPr>
          <w:rFonts w:ascii="Times New Roman" w:hAnsi="Times New Roman" w:cs="Times New Roman"/>
          <w:color w:val="0D0D0D" w:themeColor="text1" w:themeTint="F2"/>
          <w:sz w:val="28"/>
          <w:szCs w:val="28"/>
          <w:lang w:eastAsia="es-ES_tradnl"/>
        </w:rPr>
        <w:t xml:space="preserve">ragmento que los actores fundamentaron su cargo de inconstitucionalidad, en tanto consideran que aquel atenta contra el principio de irrenunciabilidad de los beneficios mínimos laborales. </w:t>
      </w:r>
    </w:p>
    <w:p w:rsidR="00E23BCA" w:rsidRPr="002D20D6" w:rsidRDefault="002D20D6" w:rsidP="00E23BCA">
      <w:pPr>
        <w:pStyle w:val="Prrafodelista"/>
        <w:shd w:val="clear" w:color="auto" w:fill="FFFFFF" w:themeFill="background1"/>
        <w:ind w:left="0"/>
        <w:jc w:val="both"/>
        <w:rPr>
          <w:rFonts w:ascii="Times New Roman" w:hAnsi="Times New Roman" w:cs="Times New Roman"/>
          <w:i/>
          <w:color w:val="0D0D0D" w:themeColor="text1" w:themeTint="F2"/>
          <w:sz w:val="28"/>
          <w:szCs w:val="28"/>
        </w:rPr>
      </w:pPr>
    </w:p>
    <w:p w:rsidR="00E23BCA" w:rsidRPr="002D20D6" w:rsidRDefault="002D20D6" w:rsidP="00E23BCA">
      <w:pPr>
        <w:pStyle w:val="Prrafodelista"/>
        <w:numPr>
          <w:ilvl w:val="0"/>
          <w:numId w:val="3"/>
        </w:numPr>
        <w:shd w:val="clear" w:color="auto" w:fill="FFFFFF" w:themeFill="background1"/>
        <w:ind w:left="0"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En suma</w:t>
      </w:r>
      <w:r w:rsidRPr="002D20D6">
        <w:rPr>
          <w:rFonts w:ascii="Times New Roman" w:hAnsi="Times New Roman" w:cs="Times New Roman"/>
          <w:i/>
          <w:color w:val="0D0D0D" w:themeColor="text1" w:themeTint="F2"/>
          <w:sz w:val="28"/>
          <w:szCs w:val="28"/>
        </w:rPr>
        <w:t xml:space="preserve">, </w:t>
      </w:r>
      <w:r w:rsidRPr="002D20D6">
        <w:rPr>
          <w:rFonts w:ascii="Times New Roman" w:hAnsi="Times New Roman" w:cs="Times New Roman"/>
          <w:color w:val="0D0D0D" w:themeColor="text1" w:themeTint="F2"/>
          <w:sz w:val="28"/>
          <w:szCs w:val="28"/>
        </w:rPr>
        <w:t xml:space="preserve">la Sala Plena interpreta la confusión lingüística recién </w:t>
      </w:r>
      <w:r w:rsidRPr="002D20D6">
        <w:rPr>
          <w:rFonts w:ascii="Times New Roman" w:hAnsi="Times New Roman" w:cs="Times New Roman"/>
          <w:color w:val="0D0D0D" w:themeColor="text1" w:themeTint="F2"/>
          <w:sz w:val="28"/>
          <w:szCs w:val="28"/>
        </w:rPr>
        <w:t xml:space="preserve">explicada en </w:t>
      </w:r>
      <w:r w:rsidRPr="002D20D6">
        <w:rPr>
          <w:rFonts w:ascii="Times New Roman" w:hAnsi="Times New Roman" w:cs="Times New Roman"/>
          <w:i/>
          <w:iCs/>
          <w:color w:val="0D0D0D" w:themeColor="text1" w:themeTint="F2"/>
          <w:sz w:val="28"/>
          <w:szCs w:val="28"/>
        </w:rPr>
        <w:t>pro</w:t>
      </w:r>
      <w:r w:rsidRPr="002D20D6">
        <w:rPr>
          <w:rFonts w:ascii="Times New Roman" w:hAnsi="Times New Roman" w:cs="Times New Roman"/>
          <w:color w:val="0D0D0D" w:themeColor="text1" w:themeTint="F2"/>
          <w:sz w:val="28"/>
          <w:szCs w:val="28"/>
        </w:rPr>
        <w:t xml:space="preserve"> de la intención de los demandantes, que no es otra que cuestionar que la norma avala la </w:t>
      </w:r>
      <w:r w:rsidRPr="002D20D6">
        <w:rPr>
          <w:rFonts w:ascii="Times New Roman" w:hAnsi="Times New Roman" w:cs="Times New Roman"/>
          <w:iCs/>
          <w:color w:val="0D0D0D" w:themeColor="text1" w:themeTint="F2"/>
          <w:sz w:val="28"/>
          <w:szCs w:val="28"/>
        </w:rPr>
        <w:t>renuncia a las prestaciones sociales</w:t>
      </w:r>
      <w:r w:rsidRPr="002D20D6">
        <w:rPr>
          <w:rFonts w:ascii="Times New Roman" w:hAnsi="Times New Roman" w:cs="Times New Roman"/>
          <w:color w:val="0D0D0D" w:themeColor="text1" w:themeTint="F2"/>
          <w:sz w:val="28"/>
          <w:szCs w:val="28"/>
        </w:rPr>
        <w:t>, cuando estas últimas son irrenunciables, en atención al principio de que trata el artículo 53 constitucional. Con</w:t>
      </w:r>
      <w:r w:rsidRPr="002D20D6">
        <w:rPr>
          <w:rFonts w:ascii="Times New Roman" w:hAnsi="Times New Roman" w:cs="Times New Roman"/>
          <w:color w:val="0D0D0D" w:themeColor="text1" w:themeTint="F2"/>
          <w:sz w:val="28"/>
          <w:szCs w:val="28"/>
        </w:rPr>
        <w:t xml:space="preserve">statada la demanda, se pudo observar que los ciudadanos se refieren, en términos generales, a los beneficios mínimos establecidos en las normas laborales. Inclusive, dijeron los actores, que </w:t>
      </w:r>
      <w:r w:rsidRPr="002D20D6">
        <w:rPr>
          <w:rFonts w:ascii="Times New Roman" w:hAnsi="Times New Roman" w:cs="Times New Roman"/>
          <w:i/>
          <w:iCs/>
          <w:color w:val="0D0D0D" w:themeColor="text1" w:themeTint="F2"/>
          <w:sz w:val="28"/>
          <w:szCs w:val="28"/>
        </w:rPr>
        <w:t>“el principio de irrenunciabilidad de los derechos laborales cons</w:t>
      </w:r>
      <w:r w:rsidRPr="002D20D6">
        <w:rPr>
          <w:rFonts w:ascii="Times New Roman" w:hAnsi="Times New Roman" w:cs="Times New Roman"/>
          <w:i/>
          <w:iCs/>
          <w:color w:val="0D0D0D" w:themeColor="text1" w:themeTint="F2"/>
          <w:sz w:val="28"/>
          <w:szCs w:val="28"/>
        </w:rPr>
        <w:t xml:space="preserve">agrado en el artículo 53 de la Carta Magna, es un principio fundamental de los beneficios mínimos establecidos en las normas laborales </w:t>
      </w:r>
      <w:r w:rsidRPr="002D20D6">
        <w:rPr>
          <w:rFonts w:ascii="Times New Roman" w:hAnsi="Times New Roman" w:cs="Times New Roman"/>
          <w:i/>
          <w:iCs/>
          <w:color w:val="0D0D0D" w:themeColor="text1" w:themeTint="F2"/>
          <w:sz w:val="28"/>
          <w:szCs w:val="28"/>
          <w:u w:val="single"/>
        </w:rPr>
        <w:t>que no solo comporta el salario sino también las prestaciones sociales</w:t>
      </w:r>
      <w:r w:rsidRPr="002D20D6">
        <w:rPr>
          <w:rFonts w:ascii="Times New Roman" w:hAnsi="Times New Roman" w:cs="Times New Roman"/>
          <w:i/>
          <w:iCs/>
          <w:color w:val="0D0D0D" w:themeColor="text1" w:themeTint="F2"/>
          <w:sz w:val="28"/>
          <w:szCs w:val="28"/>
        </w:rPr>
        <w:t>”.</w:t>
      </w:r>
      <w:r w:rsidRPr="002D20D6">
        <w:rPr>
          <w:rStyle w:val="Refdenotaalpie"/>
          <w:rFonts w:cs="Times New Roman"/>
          <w:i/>
          <w:iCs/>
          <w:color w:val="0D0D0D" w:themeColor="text1" w:themeTint="F2"/>
          <w:sz w:val="28"/>
          <w:szCs w:val="28"/>
        </w:rPr>
        <w:footnoteReference w:id="66"/>
      </w:r>
      <w:r w:rsidRPr="002D20D6">
        <w:rPr>
          <w:rFonts w:ascii="Times New Roman" w:hAnsi="Times New Roman" w:cs="Times New Roman"/>
          <w:i/>
          <w:iCs/>
          <w:color w:val="0D0D0D" w:themeColor="text1" w:themeTint="F2"/>
          <w:sz w:val="28"/>
          <w:szCs w:val="28"/>
        </w:rPr>
        <w:t xml:space="preserve"> </w:t>
      </w:r>
      <w:r w:rsidRPr="002D20D6">
        <w:rPr>
          <w:rFonts w:ascii="Times New Roman" w:hAnsi="Times New Roman" w:cs="Times New Roman"/>
          <w:color w:val="0D0D0D" w:themeColor="text1" w:themeTint="F2"/>
          <w:sz w:val="28"/>
          <w:szCs w:val="28"/>
        </w:rPr>
        <w:t xml:space="preserve">Tanto así, que solamente hicieron referencia a </w:t>
      </w:r>
      <w:r w:rsidRPr="002D20D6">
        <w:rPr>
          <w:rFonts w:ascii="Times New Roman" w:hAnsi="Times New Roman" w:cs="Times New Roman"/>
          <w:color w:val="0D0D0D" w:themeColor="text1" w:themeTint="F2"/>
          <w:sz w:val="28"/>
          <w:szCs w:val="28"/>
        </w:rPr>
        <w:t xml:space="preserve">las </w:t>
      </w:r>
      <w:r w:rsidRPr="002D20D6">
        <w:rPr>
          <w:rFonts w:ascii="Times New Roman" w:hAnsi="Times New Roman" w:cs="Times New Roman"/>
          <w:i/>
          <w:iCs/>
          <w:color w:val="0D0D0D" w:themeColor="text1" w:themeTint="F2"/>
          <w:sz w:val="28"/>
          <w:szCs w:val="28"/>
        </w:rPr>
        <w:t xml:space="preserve">cesantías </w:t>
      </w:r>
      <w:r w:rsidRPr="002D20D6">
        <w:rPr>
          <w:rFonts w:ascii="Times New Roman" w:hAnsi="Times New Roman" w:cs="Times New Roman"/>
          <w:color w:val="0D0D0D" w:themeColor="text1" w:themeTint="F2"/>
          <w:sz w:val="28"/>
          <w:szCs w:val="28"/>
        </w:rPr>
        <w:t>cuando citaron textualmente el artículo 148 demandado, sin darle un alcance ni explicación adicional. En suma, percatándose que la demanda se ciñe a la terminología de la expresión demandada y que para este cargo en particular, los actores no</w:t>
      </w:r>
      <w:r w:rsidRPr="002D20D6">
        <w:rPr>
          <w:rFonts w:ascii="Times New Roman" w:hAnsi="Times New Roman" w:cs="Times New Roman"/>
          <w:color w:val="0D0D0D" w:themeColor="text1" w:themeTint="F2"/>
          <w:sz w:val="28"/>
          <w:szCs w:val="28"/>
        </w:rPr>
        <w:t xml:space="preserve"> se limitaron a las cesantías, esta Corporación procederá a partir de ese mismo entendimiento.</w:t>
      </w:r>
    </w:p>
    <w:p w:rsidR="00E23BCA" w:rsidRPr="002D20D6" w:rsidRDefault="002D20D6" w:rsidP="000E4005">
      <w:pPr>
        <w:rPr>
          <w:rFonts w:ascii="Times New Roman" w:hAnsi="Times New Roman" w:cs="Times New Roman"/>
          <w:i/>
          <w:iCs/>
          <w:color w:val="0D0D0D" w:themeColor="text1" w:themeTint="F2"/>
          <w:sz w:val="28"/>
          <w:szCs w:val="28"/>
        </w:rPr>
      </w:pPr>
    </w:p>
    <w:p w:rsidR="000E4005" w:rsidRPr="002D20D6" w:rsidRDefault="002D20D6" w:rsidP="000E4005">
      <w:pPr>
        <w:rPr>
          <w:rFonts w:ascii="Times New Roman" w:hAnsi="Times New Roman" w:cs="Times New Roman"/>
          <w:i/>
          <w:iCs/>
          <w:color w:val="0D0D0D" w:themeColor="text1" w:themeTint="F2"/>
          <w:sz w:val="28"/>
          <w:szCs w:val="28"/>
        </w:rPr>
      </w:pPr>
    </w:p>
    <w:p w:rsidR="00DE59D7" w:rsidRPr="002D20D6" w:rsidRDefault="002D20D6" w:rsidP="00DE59D7">
      <w:pPr>
        <w:pStyle w:val="NormalWeb"/>
        <w:numPr>
          <w:ilvl w:val="0"/>
          <w:numId w:val="5"/>
        </w:numPr>
        <w:tabs>
          <w:tab w:val="left" w:pos="142"/>
        </w:tabs>
        <w:ind w:right="49"/>
        <w:jc w:val="both"/>
        <w:rPr>
          <w:rFonts w:ascii="Times New Roman" w:hAnsi="Times New Roman" w:cs="Times New Roman"/>
          <w:b/>
          <w:i/>
          <w:color w:val="0D0D0D" w:themeColor="text1" w:themeTint="F2"/>
          <w:sz w:val="28"/>
          <w:szCs w:val="28"/>
        </w:rPr>
      </w:pPr>
      <w:r w:rsidRPr="002D20D6">
        <w:rPr>
          <w:rFonts w:ascii="Times New Roman" w:hAnsi="Times New Roman" w:cs="Times New Roman"/>
          <w:b/>
          <w:i/>
          <w:color w:val="0D0D0D" w:themeColor="text1" w:themeTint="F2"/>
          <w:sz w:val="28"/>
          <w:szCs w:val="28"/>
        </w:rPr>
        <w:t>La compatibilidad de las normas preconstitucionales bajo la vigencia de la Constitución de 1991. Reiteración de jurisprudencia</w:t>
      </w:r>
    </w:p>
    <w:p w:rsidR="00D90C38" w:rsidRPr="002D20D6" w:rsidRDefault="002D20D6" w:rsidP="00D90C38">
      <w:pPr>
        <w:pStyle w:val="NormalWeb"/>
        <w:tabs>
          <w:tab w:val="left" w:pos="142"/>
        </w:tabs>
        <w:ind w:right="49"/>
        <w:jc w:val="both"/>
        <w:rPr>
          <w:rFonts w:ascii="Times New Roman" w:hAnsi="Times New Roman" w:cs="Times New Roman"/>
          <w:i/>
          <w:color w:val="0D0D0D" w:themeColor="text1" w:themeTint="F2"/>
          <w:sz w:val="28"/>
          <w:szCs w:val="28"/>
        </w:rPr>
      </w:pPr>
    </w:p>
    <w:p w:rsidR="00231E3D" w:rsidRPr="002D20D6" w:rsidRDefault="002D20D6" w:rsidP="002A4D5E">
      <w:pPr>
        <w:pStyle w:val="NormalWeb"/>
        <w:numPr>
          <w:ilvl w:val="0"/>
          <w:numId w:val="3"/>
        </w:numPr>
        <w:tabs>
          <w:tab w:val="left" w:pos="142"/>
        </w:tabs>
        <w:ind w:left="0" w:right="49"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rPr>
        <w:t>La vigencia de la Constitución Política de 1991 no supuso, inmediatamente, la derogatoria de todas las disposiciones legales o reglamentarias que se encontraran vigentes para ese momento. En cambio, como lo ha explicado reiteradamente la jurisprudencia con</w:t>
      </w:r>
      <w:r w:rsidRPr="002D20D6">
        <w:rPr>
          <w:rFonts w:ascii="Times New Roman" w:hAnsi="Times New Roman" w:cs="Times New Roman"/>
          <w:color w:val="0D0D0D" w:themeColor="text1" w:themeTint="F2"/>
          <w:sz w:val="28"/>
          <w:szCs w:val="28"/>
        </w:rPr>
        <w:t xml:space="preserve">stitucional, significó que en procura del principio de seguridad jurídica y de una </w:t>
      </w:r>
      <w:r w:rsidRPr="002D20D6">
        <w:rPr>
          <w:rFonts w:ascii="Times New Roman" w:hAnsi="Times New Roman" w:cs="Times New Roman"/>
          <w:i/>
          <w:color w:val="0D0D0D" w:themeColor="text1" w:themeTint="F2"/>
          <w:sz w:val="28"/>
          <w:szCs w:val="28"/>
        </w:rPr>
        <w:t xml:space="preserve">“presunción de subsistencia de la legislación prexistente”, </w:t>
      </w:r>
      <w:r w:rsidRPr="002D20D6">
        <w:rPr>
          <w:rFonts w:ascii="Times New Roman" w:hAnsi="Times New Roman" w:cs="Times New Roman"/>
          <w:color w:val="0D0D0D" w:themeColor="text1" w:themeTint="F2"/>
          <w:sz w:val="28"/>
          <w:szCs w:val="28"/>
        </w:rPr>
        <w:t>la legislación prexistente a la Constitución de 1991 mantendría su vigencia a pesar del cambio en el marco jurídi</w:t>
      </w:r>
      <w:r w:rsidRPr="002D20D6">
        <w:rPr>
          <w:rFonts w:ascii="Times New Roman" w:hAnsi="Times New Roman" w:cs="Times New Roman"/>
          <w:color w:val="0D0D0D" w:themeColor="text1" w:themeTint="F2"/>
          <w:sz w:val="28"/>
          <w:szCs w:val="28"/>
        </w:rPr>
        <w:t>co constitucional.</w:t>
      </w:r>
      <w:r w:rsidRPr="002D20D6">
        <w:rPr>
          <w:rStyle w:val="Refdenotaalpie"/>
          <w:rFonts w:cs="Times New Roman"/>
          <w:color w:val="0D0D0D" w:themeColor="text1" w:themeTint="F2"/>
          <w:sz w:val="28"/>
          <w:szCs w:val="28"/>
        </w:rPr>
        <w:footnoteReference w:id="67"/>
      </w:r>
      <w:r w:rsidRPr="002D20D6">
        <w:rPr>
          <w:rFonts w:ascii="Times New Roman" w:hAnsi="Times New Roman" w:cs="Times New Roman"/>
          <w:color w:val="0D0D0D" w:themeColor="text1" w:themeTint="F2"/>
          <w:sz w:val="28"/>
          <w:szCs w:val="28"/>
        </w:rPr>
        <w:t xml:space="preserve"> En palabras de la Corte Constitucional </w:t>
      </w:r>
      <w:r w:rsidRPr="002D20D6">
        <w:rPr>
          <w:rFonts w:ascii="Times New Roman" w:hAnsi="Times New Roman" w:cs="Times New Roman"/>
          <w:i/>
          <w:color w:val="0D0D0D" w:themeColor="text1" w:themeTint="F2"/>
          <w:sz w:val="28"/>
          <w:szCs w:val="28"/>
          <w:shd w:val="clear" w:color="auto" w:fill="FFFFFF"/>
        </w:rPr>
        <w:t>“lo que hizo la Constitución de 1991 fue producir un efecto retrospectivo sobre la legislación preexistente, lo que implicó “proyectarle en forma automática todos sus mandatos superiores, de modo q</w:t>
      </w:r>
      <w:r w:rsidRPr="002D20D6">
        <w:rPr>
          <w:rFonts w:ascii="Times New Roman" w:hAnsi="Times New Roman" w:cs="Times New Roman"/>
          <w:i/>
          <w:color w:val="0D0D0D" w:themeColor="text1" w:themeTint="F2"/>
          <w:sz w:val="28"/>
          <w:szCs w:val="28"/>
          <w:shd w:val="clear" w:color="auto" w:fill="FFFFFF"/>
        </w:rPr>
        <w:t>ue aquella sólo está condenada a desaparecer cuando sus normas no armonicen con las nuevas reglas constitucionales o cuando hayan sido modificadas o sustituidas por estas últimas.”</w:t>
      </w:r>
      <w:r w:rsidRPr="002D20D6">
        <w:rPr>
          <w:rStyle w:val="Refdenotaalpie"/>
          <w:rFonts w:cs="Times New Roman"/>
          <w:i/>
          <w:color w:val="0D0D0D" w:themeColor="text1" w:themeTint="F2"/>
          <w:sz w:val="28"/>
          <w:szCs w:val="28"/>
          <w:shd w:val="clear" w:color="auto" w:fill="FFFFFF"/>
        </w:rPr>
        <w:footnoteReference w:id="68"/>
      </w:r>
    </w:p>
    <w:p w:rsidR="00BA4BB1" w:rsidRPr="002D20D6" w:rsidRDefault="002D20D6" w:rsidP="00BA4BB1">
      <w:pPr>
        <w:pStyle w:val="NormalWeb"/>
        <w:tabs>
          <w:tab w:val="left" w:pos="142"/>
        </w:tabs>
        <w:ind w:right="49"/>
        <w:jc w:val="both"/>
        <w:rPr>
          <w:rFonts w:ascii="Times New Roman" w:hAnsi="Times New Roman" w:cs="Times New Roman"/>
          <w:i/>
          <w:color w:val="0D0D0D" w:themeColor="text1" w:themeTint="F2"/>
          <w:sz w:val="28"/>
          <w:szCs w:val="28"/>
        </w:rPr>
      </w:pPr>
    </w:p>
    <w:p w:rsidR="00694466" w:rsidRPr="002D20D6" w:rsidRDefault="002D20D6" w:rsidP="009031F7">
      <w:pPr>
        <w:pStyle w:val="NormalWeb"/>
        <w:numPr>
          <w:ilvl w:val="0"/>
          <w:numId w:val="3"/>
        </w:numPr>
        <w:tabs>
          <w:tab w:val="left" w:pos="142"/>
        </w:tabs>
        <w:ind w:left="0" w:right="49"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iCs/>
          <w:color w:val="0D0D0D" w:themeColor="text1" w:themeTint="F2"/>
          <w:sz w:val="28"/>
          <w:szCs w:val="28"/>
        </w:rPr>
        <w:t xml:space="preserve">El fenómeno anterior deriva en lo que esta Corporación ha denominado la </w:t>
      </w:r>
      <w:r w:rsidRPr="002D20D6">
        <w:rPr>
          <w:rFonts w:ascii="Times New Roman" w:hAnsi="Times New Roman" w:cs="Times New Roman"/>
          <w:i/>
          <w:color w:val="0D0D0D" w:themeColor="text1" w:themeTint="F2"/>
          <w:sz w:val="28"/>
          <w:szCs w:val="28"/>
        </w:rPr>
        <w:t>inconstitucionalidad sobreviniente</w:t>
      </w:r>
      <w:r w:rsidRPr="002D20D6">
        <w:rPr>
          <w:rFonts w:ascii="Times New Roman" w:hAnsi="Times New Roman" w:cs="Times New Roman"/>
          <w:iCs/>
          <w:color w:val="0D0D0D" w:themeColor="text1" w:themeTint="F2"/>
          <w:sz w:val="28"/>
          <w:szCs w:val="28"/>
        </w:rPr>
        <w:t>, que ocurre cuando las normas del ordenamiento jurídico regido bajo la Constitución de 1886 puedan resultar incompatibles con la nueva Constitución.</w:t>
      </w:r>
      <w:r w:rsidRPr="002D20D6">
        <w:rPr>
          <w:rStyle w:val="Refdenotaalpie"/>
          <w:rFonts w:cs="Times New Roman"/>
          <w:iCs/>
          <w:color w:val="0D0D0D" w:themeColor="text1" w:themeTint="F2"/>
          <w:sz w:val="28"/>
          <w:szCs w:val="28"/>
        </w:rPr>
        <w:footnoteReference w:id="69"/>
      </w:r>
      <w:r w:rsidRPr="002D20D6">
        <w:rPr>
          <w:rFonts w:ascii="Times New Roman" w:hAnsi="Times New Roman" w:cs="Times New Roman"/>
          <w:iCs/>
          <w:color w:val="0D0D0D" w:themeColor="text1" w:themeTint="F2"/>
          <w:sz w:val="28"/>
          <w:szCs w:val="28"/>
        </w:rPr>
        <w:t xml:space="preserve"> Sobre este fenómeno, la Corte Constitucional reconoció una divergencia </w:t>
      </w:r>
      <w:r w:rsidRPr="002D20D6">
        <w:rPr>
          <w:rFonts w:ascii="Times New Roman" w:hAnsi="Times New Roman" w:cs="Times New Roman"/>
          <w:iCs/>
          <w:color w:val="0D0D0D" w:themeColor="text1" w:themeTint="F2"/>
          <w:sz w:val="28"/>
          <w:szCs w:val="28"/>
        </w:rPr>
        <w:t xml:space="preserve">en su jurisprudencia. Inicialmente, la Corte reconocía que ante la presencia de una </w:t>
      </w:r>
      <w:r w:rsidRPr="002D20D6">
        <w:rPr>
          <w:rFonts w:ascii="Times New Roman" w:hAnsi="Times New Roman" w:cs="Times New Roman"/>
          <w:iCs/>
          <w:color w:val="0D0D0D" w:themeColor="text1" w:themeTint="F2"/>
          <w:sz w:val="28"/>
          <w:szCs w:val="28"/>
          <w:lang w:val="es-CO"/>
        </w:rPr>
        <w:t>norma expedida antes de la vigencia de un nuevo texto constitucional -lo que la hace evidentemente incompatible con este último- debe haber un pronunciamiento de fondo sobr</w:t>
      </w:r>
      <w:r w:rsidRPr="002D20D6">
        <w:rPr>
          <w:rFonts w:ascii="Times New Roman" w:hAnsi="Times New Roman" w:cs="Times New Roman"/>
          <w:iCs/>
          <w:color w:val="0D0D0D" w:themeColor="text1" w:themeTint="F2"/>
          <w:sz w:val="28"/>
          <w:szCs w:val="28"/>
          <w:lang w:val="es-CO"/>
        </w:rPr>
        <w:t>e la demanda, por razones de seguridad jurídica. Posteriormente, sostuvo que si el precepto legal demandado es contrario a la nueva Carta, debe entenderse como tácitamente derogado, impidiendo así una decisión de fondo sobre las demandas.</w:t>
      </w:r>
      <w:r w:rsidRPr="002D20D6">
        <w:rPr>
          <w:rStyle w:val="Refdenotaalpie"/>
          <w:rFonts w:cs="Times New Roman"/>
          <w:iCs/>
          <w:color w:val="0D0D0D" w:themeColor="text1" w:themeTint="F2"/>
          <w:sz w:val="28"/>
          <w:szCs w:val="28"/>
          <w:lang w:val="es-CO"/>
        </w:rPr>
        <w:footnoteReference w:id="70"/>
      </w:r>
      <w:r w:rsidRPr="002D20D6">
        <w:rPr>
          <w:rFonts w:ascii="Times New Roman" w:hAnsi="Times New Roman" w:cs="Times New Roman"/>
          <w:i/>
          <w:color w:val="0D0D0D" w:themeColor="text1" w:themeTint="F2"/>
          <w:sz w:val="28"/>
          <w:szCs w:val="28"/>
        </w:rPr>
        <w:t xml:space="preserve"> </w:t>
      </w:r>
      <w:r w:rsidRPr="002D20D6">
        <w:rPr>
          <w:rFonts w:ascii="Times New Roman" w:hAnsi="Times New Roman" w:cs="Times New Roman"/>
          <w:iCs/>
          <w:color w:val="0D0D0D" w:themeColor="text1" w:themeTint="F2"/>
          <w:sz w:val="28"/>
          <w:szCs w:val="28"/>
          <w:lang w:val="es-CO"/>
        </w:rPr>
        <w:t>En consecuencia,</w:t>
      </w:r>
      <w:r w:rsidRPr="002D20D6">
        <w:rPr>
          <w:rFonts w:ascii="Times New Roman" w:hAnsi="Times New Roman" w:cs="Times New Roman"/>
          <w:iCs/>
          <w:color w:val="0D0D0D" w:themeColor="text1" w:themeTint="F2"/>
          <w:sz w:val="28"/>
          <w:szCs w:val="28"/>
          <w:lang w:val="es-CO"/>
        </w:rPr>
        <w:t xml:space="preserve"> en la Sentencia C-110 de 2023, la Corte Constitucional unificó su jurisprudencia y concluyó que, en adelante, ante demandas contra normas afectadas por una inconstitucionalidad sobreviniente, lo que procede es pronunciarse sobre el fondo del asunto, decla</w:t>
      </w:r>
      <w:r w:rsidRPr="002D20D6">
        <w:rPr>
          <w:rFonts w:ascii="Times New Roman" w:hAnsi="Times New Roman" w:cs="Times New Roman"/>
          <w:iCs/>
          <w:color w:val="0D0D0D" w:themeColor="text1" w:themeTint="F2"/>
          <w:sz w:val="28"/>
          <w:szCs w:val="28"/>
          <w:lang w:val="es-CO"/>
        </w:rPr>
        <w:t>rando la correspondiente inexequibilidad si esto es procedente.</w:t>
      </w:r>
      <w:r w:rsidRPr="002D20D6">
        <w:rPr>
          <w:rFonts w:ascii="Times New Roman" w:hAnsi="Times New Roman" w:cs="Times New Roman"/>
          <w:i/>
          <w:color w:val="0D0D0D" w:themeColor="text1" w:themeTint="F2"/>
          <w:sz w:val="28"/>
          <w:szCs w:val="28"/>
          <w:lang w:val="es-CO"/>
        </w:rPr>
        <w:t xml:space="preserve"> </w:t>
      </w:r>
    </w:p>
    <w:p w:rsidR="00694466" w:rsidRPr="002D20D6" w:rsidRDefault="002D20D6" w:rsidP="00BA4BB1">
      <w:pPr>
        <w:pStyle w:val="NormalWeb"/>
        <w:tabs>
          <w:tab w:val="left" w:pos="142"/>
        </w:tabs>
        <w:ind w:right="49"/>
        <w:jc w:val="both"/>
        <w:rPr>
          <w:rFonts w:ascii="Times New Roman" w:hAnsi="Times New Roman" w:cs="Times New Roman"/>
          <w:i/>
          <w:color w:val="0D0D0D" w:themeColor="text1" w:themeTint="F2"/>
          <w:sz w:val="28"/>
          <w:szCs w:val="28"/>
        </w:rPr>
      </w:pPr>
    </w:p>
    <w:p w:rsidR="00F91398" w:rsidRPr="002D20D6" w:rsidRDefault="002D20D6" w:rsidP="009031F7">
      <w:pPr>
        <w:pStyle w:val="NormalWeb"/>
        <w:numPr>
          <w:ilvl w:val="0"/>
          <w:numId w:val="3"/>
        </w:numPr>
        <w:tabs>
          <w:tab w:val="left" w:pos="142"/>
        </w:tabs>
        <w:ind w:left="0" w:right="49"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rPr>
        <w:t>Ahora bien, a efectos de realizar el correspondiente tránsito constitucional, así como para evitar traumatismos que podrían conducir al caos del ordenamiento jurídico o a una incertidumbre e</w:t>
      </w:r>
      <w:r w:rsidRPr="002D20D6">
        <w:rPr>
          <w:rFonts w:ascii="Times New Roman" w:hAnsi="Times New Roman" w:cs="Times New Roman"/>
          <w:color w:val="0D0D0D" w:themeColor="text1" w:themeTint="F2"/>
          <w:sz w:val="28"/>
          <w:szCs w:val="28"/>
        </w:rPr>
        <w:t>n cuando a la vigencia de las normas jurídicas, la Corte Constitucional tiene plena competencia para decidir sobre las demandas de inconstitucionalidad que promuevan los ciudadanos contra cualquier norma jurídica, conforme lo dictamina el artículo 241 de l</w:t>
      </w:r>
      <w:r w:rsidRPr="002D20D6">
        <w:rPr>
          <w:rFonts w:ascii="Times New Roman" w:hAnsi="Times New Roman" w:cs="Times New Roman"/>
          <w:color w:val="0D0D0D" w:themeColor="text1" w:themeTint="F2"/>
          <w:sz w:val="28"/>
          <w:szCs w:val="28"/>
        </w:rPr>
        <w:t>a Constitución. Inclusive, si precedieron a la entrada en vigencia del nuevo texto constitucional. Esto, siempre que se encuentren vigentes o, en caso de estar derogadas, continúen produciendo efectos jurídicos.</w:t>
      </w:r>
      <w:r w:rsidRPr="002D20D6">
        <w:rPr>
          <w:rStyle w:val="Refdenotaalpie"/>
          <w:rFonts w:cs="Times New Roman"/>
          <w:color w:val="0D0D0D" w:themeColor="text1" w:themeTint="F2"/>
          <w:sz w:val="28"/>
          <w:szCs w:val="28"/>
        </w:rPr>
        <w:footnoteReference w:id="71"/>
      </w:r>
      <w:r w:rsidRPr="002D20D6">
        <w:rPr>
          <w:rFonts w:ascii="Times New Roman" w:hAnsi="Times New Roman" w:cs="Times New Roman"/>
          <w:i/>
          <w:color w:val="0D0D0D" w:themeColor="text1" w:themeTint="F2"/>
          <w:sz w:val="28"/>
          <w:szCs w:val="28"/>
        </w:rPr>
        <w:t xml:space="preserve"> </w:t>
      </w:r>
      <w:r w:rsidRPr="002D20D6">
        <w:rPr>
          <w:rFonts w:ascii="Times New Roman" w:hAnsi="Times New Roman" w:cs="Times New Roman"/>
          <w:iCs/>
          <w:color w:val="0D0D0D" w:themeColor="text1" w:themeTint="F2"/>
          <w:sz w:val="28"/>
          <w:szCs w:val="28"/>
        </w:rPr>
        <w:t xml:space="preserve">En otras palabras, esta Corporación tiene la facultad de analizar las normas promulgadas durante la vigencia de la Constitución de 1886, porque </w:t>
      </w:r>
      <w:r w:rsidRPr="002D20D6">
        <w:rPr>
          <w:rFonts w:ascii="Times New Roman" w:hAnsi="Times New Roman" w:cs="Times New Roman"/>
          <w:iCs/>
          <w:color w:val="0D0D0D" w:themeColor="text1" w:themeTint="F2"/>
          <w:sz w:val="28"/>
          <w:szCs w:val="28"/>
          <w:lang w:val="es-CO"/>
        </w:rPr>
        <w:t xml:space="preserve">la legislación preexistente mantuvo su exigibilidad siempre que coincidiera con el marco constitucional actual, </w:t>
      </w:r>
      <w:r w:rsidRPr="002D20D6">
        <w:rPr>
          <w:rFonts w:ascii="Times New Roman" w:hAnsi="Times New Roman" w:cs="Times New Roman"/>
          <w:iCs/>
          <w:color w:val="0D0D0D" w:themeColor="text1" w:themeTint="F2"/>
          <w:sz w:val="28"/>
          <w:szCs w:val="28"/>
          <w:lang w:val="es-CO"/>
        </w:rPr>
        <w:t>el cual actúa como un parámetro de control para evaluar la constitucionalidad de esas normas.</w:t>
      </w:r>
      <w:r w:rsidRPr="002D20D6">
        <w:rPr>
          <w:rStyle w:val="Refdenotaalpie"/>
          <w:rFonts w:cs="Times New Roman"/>
          <w:iCs/>
          <w:color w:val="0D0D0D" w:themeColor="text1" w:themeTint="F2"/>
          <w:sz w:val="28"/>
          <w:szCs w:val="28"/>
          <w:lang w:val="es-CO"/>
        </w:rPr>
        <w:footnoteReference w:id="72"/>
      </w:r>
      <w:r w:rsidRPr="002D20D6">
        <w:rPr>
          <w:rFonts w:ascii="Times New Roman" w:hAnsi="Times New Roman" w:cs="Times New Roman"/>
          <w:iCs/>
          <w:color w:val="0D0D0D" w:themeColor="text1" w:themeTint="F2"/>
          <w:sz w:val="28"/>
          <w:szCs w:val="28"/>
          <w:lang w:val="es-CO"/>
        </w:rPr>
        <w:t xml:space="preserve"> </w:t>
      </w:r>
    </w:p>
    <w:p w:rsidR="00F91398" w:rsidRPr="002D20D6" w:rsidRDefault="002D20D6" w:rsidP="00F91398">
      <w:pPr>
        <w:pStyle w:val="Prrafodelista"/>
        <w:rPr>
          <w:rFonts w:ascii="Times New Roman" w:hAnsi="Times New Roman" w:cs="Times New Roman"/>
          <w:iCs/>
          <w:color w:val="0D0D0D" w:themeColor="text1" w:themeTint="F2"/>
          <w:sz w:val="28"/>
          <w:szCs w:val="28"/>
        </w:rPr>
      </w:pPr>
    </w:p>
    <w:p w:rsidR="00F91398" w:rsidRPr="002D20D6" w:rsidRDefault="002D20D6" w:rsidP="00F91398">
      <w:pPr>
        <w:pStyle w:val="NormalWeb"/>
        <w:numPr>
          <w:ilvl w:val="0"/>
          <w:numId w:val="3"/>
        </w:numPr>
        <w:tabs>
          <w:tab w:val="left" w:pos="142"/>
        </w:tabs>
        <w:ind w:left="0" w:right="49" w:firstLine="0"/>
        <w:jc w:val="both"/>
        <w:rPr>
          <w:rFonts w:ascii="Times New Roman" w:hAnsi="Times New Roman" w:cs="Times New Roman"/>
          <w:iCs/>
          <w:color w:val="0D0D0D" w:themeColor="text1" w:themeTint="F2"/>
          <w:sz w:val="28"/>
          <w:szCs w:val="28"/>
        </w:rPr>
      </w:pPr>
      <w:r w:rsidRPr="002D20D6">
        <w:rPr>
          <w:rFonts w:ascii="Times New Roman" w:hAnsi="Times New Roman" w:cs="Times New Roman"/>
          <w:iCs/>
          <w:color w:val="0D0D0D" w:themeColor="text1" w:themeTint="F2"/>
          <w:sz w:val="28"/>
          <w:szCs w:val="28"/>
        </w:rPr>
        <w:t xml:space="preserve">En ese sentido, al analizar la </w:t>
      </w:r>
      <w:r w:rsidRPr="002D20D6">
        <w:rPr>
          <w:rFonts w:ascii="Times New Roman" w:hAnsi="Times New Roman" w:cs="Times New Roman"/>
          <w:iCs/>
          <w:color w:val="0D0D0D" w:themeColor="text1" w:themeTint="F2"/>
          <w:sz w:val="28"/>
          <w:szCs w:val="28"/>
          <w:lang w:val="es-CO"/>
        </w:rPr>
        <w:t>competencia de la Corte Constitucional para pronunciarse sobre el contenido material de normas preconstitucionales, se ha entend</w:t>
      </w:r>
      <w:r w:rsidRPr="002D20D6">
        <w:rPr>
          <w:rFonts w:ascii="Times New Roman" w:hAnsi="Times New Roman" w:cs="Times New Roman"/>
          <w:iCs/>
          <w:color w:val="0D0D0D" w:themeColor="text1" w:themeTint="F2"/>
          <w:sz w:val="28"/>
          <w:szCs w:val="28"/>
          <w:lang w:val="es-CO"/>
        </w:rPr>
        <w:t>ido que su propósito es determinar si existe una incompatibilidad material o sustancial entre la disposición y las normas que integran la Constitución de 1991.</w:t>
      </w:r>
      <w:r w:rsidRPr="002D20D6">
        <w:rPr>
          <w:rStyle w:val="Refdenotaalpie"/>
          <w:rFonts w:cs="Times New Roman"/>
          <w:iCs/>
          <w:color w:val="0D0D0D" w:themeColor="text1" w:themeTint="F2"/>
          <w:sz w:val="28"/>
          <w:szCs w:val="28"/>
          <w:lang w:val="es-CO"/>
        </w:rPr>
        <w:footnoteReference w:id="73"/>
      </w:r>
      <w:r w:rsidRPr="002D20D6">
        <w:rPr>
          <w:rFonts w:ascii="Times New Roman" w:hAnsi="Times New Roman" w:cs="Times New Roman"/>
          <w:iCs/>
          <w:color w:val="0D0D0D" w:themeColor="text1" w:themeTint="F2"/>
          <w:sz w:val="28"/>
          <w:szCs w:val="28"/>
          <w:lang w:val="es-CO"/>
        </w:rPr>
        <w:t xml:space="preserve"> Por ello, se avaló que los aspectos de forma se rijan por la Constitución de 1886, pero el cont</w:t>
      </w:r>
      <w:r w:rsidRPr="002D20D6">
        <w:rPr>
          <w:rFonts w:ascii="Times New Roman" w:hAnsi="Times New Roman" w:cs="Times New Roman"/>
          <w:iCs/>
          <w:color w:val="0D0D0D" w:themeColor="text1" w:themeTint="F2"/>
          <w:sz w:val="28"/>
          <w:szCs w:val="28"/>
          <w:lang w:val="es-CO"/>
        </w:rPr>
        <w:t>enido material de la norma demandada se debe comparar con los principios establecidos en la Constitución vigente, a fin de que no persista un precepto abiertamente inconstitucional.</w:t>
      </w:r>
      <w:r w:rsidRPr="002D20D6">
        <w:rPr>
          <w:rStyle w:val="Refdenotaalpie"/>
          <w:rFonts w:cs="Times New Roman"/>
          <w:iCs/>
          <w:color w:val="0D0D0D" w:themeColor="text1" w:themeTint="F2"/>
          <w:sz w:val="28"/>
          <w:szCs w:val="28"/>
          <w:lang w:val="es-CO"/>
        </w:rPr>
        <w:footnoteReference w:id="74"/>
      </w:r>
    </w:p>
    <w:p w:rsidR="00F91398" w:rsidRPr="002D20D6" w:rsidRDefault="002D20D6" w:rsidP="0057404F">
      <w:pPr>
        <w:pStyle w:val="NormalWeb"/>
        <w:tabs>
          <w:tab w:val="left" w:pos="142"/>
        </w:tabs>
        <w:ind w:right="49"/>
        <w:jc w:val="both"/>
        <w:rPr>
          <w:rFonts w:ascii="Times New Roman" w:hAnsi="Times New Roman" w:cs="Times New Roman"/>
          <w:i/>
          <w:color w:val="0D0D0D" w:themeColor="text1" w:themeTint="F2"/>
          <w:sz w:val="28"/>
          <w:szCs w:val="28"/>
        </w:rPr>
      </w:pPr>
    </w:p>
    <w:p w:rsidR="00731C27" w:rsidRPr="002D20D6" w:rsidRDefault="002D20D6" w:rsidP="004764E3">
      <w:pPr>
        <w:pStyle w:val="NormalWeb"/>
        <w:numPr>
          <w:ilvl w:val="0"/>
          <w:numId w:val="3"/>
        </w:numPr>
        <w:tabs>
          <w:tab w:val="left" w:pos="142"/>
        </w:tabs>
        <w:ind w:left="0" w:right="49"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iCs/>
          <w:color w:val="0D0D0D" w:themeColor="text1" w:themeTint="F2"/>
          <w:sz w:val="28"/>
          <w:szCs w:val="28"/>
        </w:rPr>
        <w:t>En reiteradas oportunidades anteriores, esta Corporación ha decidido sob</w:t>
      </w:r>
      <w:r w:rsidRPr="002D20D6">
        <w:rPr>
          <w:rFonts w:ascii="Times New Roman" w:hAnsi="Times New Roman" w:cs="Times New Roman"/>
          <w:iCs/>
          <w:color w:val="0D0D0D" w:themeColor="text1" w:themeTint="F2"/>
          <w:sz w:val="28"/>
          <w:szCs w:val="28"/>
        </w:rPr>
        <w:t>re la constitucionalidad de normas que preceden a la entrada en vigencia de la Constitución de 1991. En la Sentencia C-315 de 2023, la Corte Constitucional se pronunció sobre el artículo 102 del Código de Comercio de 1971. En ese caso en particular, la Cor</w:t>
      </w:r>
      <w:r w:rsidRPr="002D20D6">
        <w:rPr>
          <w:rFonts w:ascii="Times New Roman" w:hAnsi="Times New Roman" w:cs="Times New Roman"/>
          <w:iCs/>
          <w:color w:val="0D0D0D" w:themeColor="text1" w:themeTint="F2"/>
          <w:sz w:val="28"/>
          <w:szCs w:val="28"/>
        </w:rPr>
        <w:t>te concluyó que en tanto no había evidencia que la norma en cuestión hubiese sido derogada o que no se encontrare surtiendo efectos jurídicos, no había duda de que la Corte Constitucional tiene competencia para pronunciarse sobre la demanda de inconstituci</w:t>
      </w:r>
      <w:r w:rsidRPr="002D20D6">
        <w:rPr>
          <w:rFonts w:ascii="Times New Roman" w:hAnsi="Times New Roman" w:cs="Times New Roman"/>
          <w:iCs/>
          <w:color w:val="0D0D0D" w:themeColor="text1" w:themeTint="F2"/>
          <w:sz w:val="28"/>
          <w:szCs w:val="28"/>
        </w:rPr>
        <w:t>onalidad de la referencia. En la Sentencia C-513 de 2024, el Pleno también fundamentó su competencia para decidir sobre una acción pública de inconstitucionalidad contra el artículo 185 del Estatuto Notarial expedido en 1970. Similar a la decisión anterior</w:t>
      </w:r>
      <w:r w:rsidRPr="002D20D6">
        <w:rPr>
          <w:rFonts w:ascii="Times New Roman" w:hAnsi="Times New Roman" w:cs="Times New Roman"/>
          <w:iCs/>
          <w:color w:val="0D0D0D" w:themeColor="text1" w:themeTint="F2"/>
          <w:sz w:val="28"/>
          <w:szCs w:val="28"/>
        </w:rPr>
        <w:t>, en ese caso la Sala Plena concluyó que es competente para pronunciarse sobre las expresiones demandadas, en tanto y en cuanto no hay elementos que permitan concluir que la norma preconstitucional haya sido derogada o no se encuentre produciendo efecto ju</w:t>
      </w:r>
      <w:r w:rsidRPr="002D20D6">
        <w:rPr>
          <w:rFonts w:ascii="Times New Roman" w:hAnsi="Times New Roman" w:cs="Times New Roman"/>
          <w:iCs/>
          <w:color w:val="0D0D0D" w:themeColor="text1" w:themeTint="F2"/>
          <w:sz w:val="28"/>
          <w:szCs w:val="28"/>
        </w:rPr>
        <w:t>rídico alguno.</w:t>
      </w:r>
    </w:p>
    <w:p w:rsidR="00D21FD7" w:rsidRPr="002D20D6" w:rsidRDefault="002D20D6" w:rsidP="00D21FD7">
      <w:pPr>
        <w:pStyle w:val="NormalWeb"/>
        <w:tabs>
          <w:tab w:val="left" w:pos="142"/>
        </w:tabs>
        <w:ind w:right="49"/>
        <w:jc w:val="both"/>
        <w:rPr>
          <w:rFonts w:ascii="Times New Roman" w:hAnsi="Times New Roman" w:cs="Times New Roman"/>
          <w:i/>
          <w:color w:val="0D0D0D" w:themeColor="text1" w:themeTint="F2"/>
          <w:sz w:val="28"/>
          <w:szCs w:val="28"/>
        </w:rPr>
      </w:pPr>
    </w:p>
    <w:p w:rsidR="00DE59D7" w:rsidRPr="002D20D6" w:rsidRDefault="002D20D6" w:rsidP="00BF6991">
      <w:pPr>
        <w:pStyle w:val="NormalWeb"/>
        <w:numPr>
          <w:ilvl w:val="0"/>
          <w:numId w:val="3"/>
        </w:numPr>
        <w:tabs>
          <w:tab w:val="left" w:pos="142"/>
        </w:tabs>
        <w:ind w:left="0" w:right="49" w:firstLine="0"/>
        <w:jc w:val="both"/>
        <w:rPr>
          <w:rFonts w:ascii="Times New Roman" w:hAnsi="Times New Roman" w:cs="Times New Roman"/>
          <w:i/>
          <w:color w:val="0D0D0D" w:themeColor="text1" w:themeTint="F2"/>
          <w:sz w:val="28"/>
          <w:szCs w:val="28"/>
        </w:rPr>
      </w:pPr>
      <w:r w:rsidRPr="002D20D6">
        <w:rPr>
          <w:rFonts w:ascii="Times New Roman" w:hAnsi="Times New Roman" w:cs="Times New Roman"/>
          <w:color w:val="0D0D0D" w:themeColor="text1" w:themeTint="F2"/>
          <w:sz w:val="28"/>
          <w:szCs w:val="28"/>
          <w:shd w:val="clear" w:color="auto" w:fill="FFFFFF"/>
        </w:rPr>
        <w:t>El Decreto Ley 2158 de 1948 es una norma preconstitucional que fue expedida hace 77 años en desarrollo de las facultades excepcionales que se le confirieron al Gobierno Nacional en virtud del artículo 121 de la Constitución de 1886, en el marco de un estad</w:t>
      </w:r>
      <w:r w:rsidRPr="002D20D6">
        <w:rPr>
          <w:rFonts w:ascii="Times New Roman" w:hAnsi="Times New Roman" w:cs="Times New Roman"/>
          <w:color w:val="0D0D0D" w:themeColor="text1" w:themeTint="F2"/>
          <w:sz w:val="28"/>
          <w:szCs w:val="28"/>
          <w:shd w:val="clear" w:color="auto" w:fill="FFFFFF"/>
        </w:rPr>
        <w:t xml:space="preserve">o de sitio. </w:t>
      </w:r>
      <w:r w:rsidRPr="002D20D6">
        <w:rPr>
          <w:rFonts w:ascii="Times New Roman" w:hAnsi="Times New Roman" w:cs="Times New Roman"/>
          <w:color w:val="0D0D0D" w:themeColor="text1" w:themeTint="F2"/>
          <w:sz w:val="28"/>
          <w:szCs w:val="28"/>
        </w:rPr>
        <w:t>En virtud de dichas atribuciones extraordinarias, el entonces Gobierno Nacional actuó con potestad legislativa para dictar medidas de orden temporal y urgente, entre ellas, la expedición del Código Procesal del Trabajo y de la Seguridad Social.</w:t>
      </w:r>
      <w:r w:rsidRPr="002D20D6">
        <w:rPr>
          <w:rFonts w:ascii="Times New Roman" w:hAnsi="Times New Roman" w:cs="Times New Roman"/>
          <w:color w:val="0D0D0D" w:themeColor="text1" w:themeTint="F2"/>
          <w:sz w:val="28"/>
          <w:szCs w:val="28"/>
        </w:rPr>
        <w:t xml:space="preserve"> Posteriormente, una vez levantado el estado de sitio, por medio de la Ley 141 de 1961, el Congreso adoptó como legislación permanente el Decreto Ley 2158 de 1948, conservando su fuerza de ley dentro del ordenamiento jurídico colombiano.</w:t>
      </w:r>
      <w:r w:rsidRPr="002D20D6">
        <w:rPr>
          <w:rFonts w:ascii="Times New Roman" w:hAnsi="Times New Roman" w:cs="Times New Roman"/>
          <w:color w:val="0D0D0D" w:themeColor="text1" w:themeTint="F2"/>
          <w:sz w:val="28"/>
          <w:szCs w:val="28"/>
          <w:vertAlign w:val="superscript"/>
        </w:rPr>
        <w:footnoteReference w:id="75"/>
      </w:r>
    </w:p>
    <w:p w:rsidR="007A35D2" w:rsidRPr="002D20D6" w:rsidRDefault="002D20D6" w:rsidP="00FE495C">
      <w:pPr>
        <w:rPr>
          <w:rFonts w:ascii="Times New Roman" w:hAnsi="Times New Roman" w:cs="Times New Roman"/>
          <w:i/>
          <w:color w:val="0D0D0D" w:themeColor="text1" w:themeTint="F2"/>
          <w:sz w:val="28"/>
          <w:szCs w:val="28"/>
        </w:rPr>
      </w:pPr>
    </w:p>
    <w:p w:rsidR="00E23BCA" w:rsidRPr="002D20D6" w:rsidRDefault="002D20D6" w:rsidP="00441AC5">
      <w:pPr>
        <w:pStyle w:val="NormalWeb"/>
        <w:numPr>
          <w:ilvl w:val="0"/>
          <w:numId w:val="3"/>
        </w:numPr>
        <w:tabs>
          <w:tab w:val="left" w:pos="142"/>
        </w:tabs>
        <w:ind w:left="0" w:right="49" w:firstLine="0"/>
        <w:jc w:val="both"/>
        <w:rPr>
          <w:rFonts w:ascii="Times New Roman" w:hAnsi="Times New Roman" w:cs="Times New Roman"/>
          <w:b/>
          <w:bCs/>
          <w:i/>
          <w:iCs/>
          <w:color w:val="0D0D0D" w:themeColor="text1" w:themeTint="F2"/>
          <w:sz w:val="28"/>
          <w:szCs w:val="28"/>
        </w:rPr>
      </w:pPr>
      <w:r w:rsidRPr="002D20D6">
        <w:rPr>
          <w:rFonts w:ascii="Times New Roman" w:hAnsi="Times New Roman" w:cs="Times New Roman"/>
          <w:color w:val="0D0D0D" w:themeColor="text1" w:themeTint="F2"/>
          <w:sz w:val="28"/>
          <w:szCs w:val="28"/>
        </w:rPr>
        <w:t>Así las cosas, l</w:t>
      </w:r>
      <w:r w:rsidRPr="002D20D6">
        <w:rPr>
          <w:rFonts w:ascii="Times New Roman" w:hAnsi="Times New Roman" w:cs="Times New Roman"/>
          <w:color w:val="0D0D0D" w:themeColor="text1" w:themeTint="F2"/>
          <w:sz w:val="28"/>
          <w:szCs w:val="28"/>
        </w:rPr>
        <w:t>a Corte Constitucional es competente para pronunciarse de fondo sobre la acción de inconstitucionalidad del asunto, en tanto no cuenta con ningún elemento para concluir que el fragmento demandado del artículo 148 del Código Procesal del Trabajo haya sido d</w:t>
      </w:r>
      <w:r w:rsidRPr="002D20D6">
        <w:rPr>
          <w:rFonts w:ascii="Times New Roman" w:hAnsi="Times New Roman" w:cs="Times New Roman"/>
          <w:color w:val="0D0D0D" w:themeColor="text1" w:themeTint="F2"/>
          <w:sz w:val="28"/>
          <w:szCs w:val="28"/>
        </w:rPr>
        <w:t xml:space="preserve">erogado o no se encuentre produciendo efectos jurídicos. </w:t>
      </w:r>
    </w:p>
    <w:p w:rsidR="00E23BCA" w:rsidRPr="002D20D6" w:rsidRDefault="002D20D6" w:rsidP="00E23BCA">
      <w:pPr>
        <w:pStyle w:val="Prrafodelista"/>
        <w:rPr>
          <w:rFonts w:ascii="Times New Roman" w:hAnsi="Times New Roman" w:cs="Times New Roman"/>
          <w:color w:val="0D0D0D" w:themeColor="text1" w:themeTint="F2"/>
          <w:sz w:val="28"/>
          <w:szCs w:val="28"/>
        </w:rPr>
      </w:pPr>
    </w:p>
    <w:p w:rsidR="00280C10" w:rsidRPr="002D20D6" w:rsidRDefault="002D20D6" w:rsidP="007301EC">
      <w:pPr>
        <w:pStyle w:val="NormalWeb"/>
        <w:numPr>
          <w:ilvl w:val="0"/>
          <w:numId w:val="3"/>
        </w:numPr>
        <w:tabs>
          <w:tab w:val="left" w:pos="142"/>
        </w:tabs>
        <w:ind w:left="0" w:right="49" w:firstLine="0"/>
        <w:jc w:val="both"/>
        <w:rPr>
          <w:rFonts w:ascii="Times New Roman" w:hAnsi="Times New Roman" w:cs="Times New Roman"/>
          <w:b/>
          <w:bCs/>
          <w:i/>
          <w:iCs/>
          <w:color w:val="0D0D0D" w:themeColor="text1" w:themeTint="F2"/>
          <w:sz w:val="28"/>
          <w:szCs w:val="28"/>
        </w:rPr>
      </w:pPr>
      <w:r w:rsidRPr="002D20D6">
        <w:rPr>
          <w:rFonts w:ascii="Times New Roman" w:hAnsi="Times New Roman" w:cs="Times New Roman"/>
          <w:color w:val="0D0D0D" w:themeColor="text1" w:themeTint="F2"/>
          <w:sz w:val="28"/>
          <w:szCs w:val="28"/>
        </w:rPr>
        <w:t>Si bien el invitado Camilo Alberto Cuervo Diaz sugirió que la expresión demandada ha decaído tácitamente por modificaciones normativas posteriores que han eliminado la competencia administrativa pa</w:t>
      </w:r>
      <w:r w:rsidRPr="002D20D6">
        <w:rPr>
          <w:rFonts w:ascii="Times New Roman" w:hAnsi="Times New Roman" w:cs="Times New Roman"/>
          <w:color w:val="0D0D0D" w:themeColor="text1" w:themeTint="F2"/>
          <w:sz w:val="28"/>
          <w:szCs w:val="28"/>
        </w:rPr>
        <w:t>ra renunciar a prestaciones sociales, prosiguió confirmando que aquel es un análisis eminentemente teórico. Además, conforme a lo dispuesto en los artículos 330 y 331 de la Ley 2452 de 2025, el Decreto Ley 2158 de 1948 será derogado en su integridad a part</w:t>
      </w:r>
      <w:r w:rsidRPr="002D20D6">
        <w:rPr>
          <w:rFonts w:ascii="Times New Roman" w:hAnsi="Times New Roman" w:cs="Times New Roman"/>
          <w:color w:val="0D0D0D" w:themeColor="text1" w:themeTint="F2"/>
          <w:sz w:val="28"/>
          <w:szCs w:val="28"/>
        </w:rPr>
        <w:t xml:space="preserve">ir del 2 de abril de 2026, por lo que a la fecha, continua vigente y produciendo efectos jurídicos. Ahora, </w:t>
      </w:r>
      <w:r w:rsidRPr="002D20D6">
        <w:rPr>
          <w:rFonts w:ascii="Times New Roman" w:hAnsi="Times New Roman" w:cs="Times New Roman"/>
          <w:sz w:val="28"/>
          <w:szCs w:val="28"/>
          <w:lang w:eastAsia="es-ES_tradnl"/>
        </w:rPr>
        <w:t>el interviniente también dijo que en virtud de la Ley 1429 de 2010</w:t>
      </w:r>
      <w:r w:rsidRPr="002D20D6">
        <w:rPr>
          <w:rStyle w:val="Refdenotaalpie"/>
          <w:rFonts w:cs="Times New Roman"/>
          <w:sz w:val="28"/>
          <w:szCs w:val="28"/>
          <w:lang w:eastAsia="es-ES_tradnl"/>
        </w:rPr>
        <w:footnoteReference w:id="76"/>
      </w:r>
      <w:r w:rsidRPr="002D20D6">
        <w:rPr>
          <w:rFonts w:ascii="Times New Roman" w:hAnsi="Times New Roman" w:cs="Times New Roman"/>
          <w:sz w:val="28"/>
          <w:szCs w:val="28"/>
          <w:lang w:eastAsia="es-ES_tradnl"/>
        </w:rPr>
        <w:t xml:space="preserve"> y otras disposiciones, se eliminó la figura de autorización administrativa para renunciar a prestaciones sociales. Al respecto, esta Corporación observa que la normativa en cuestión se refiere puntualmente al régimen de cesantías</w:t>
      </w:r>
      <w:r w:rsidRPr="002D20D6">
        <w:rPr>
          <w:rStyle w:val="Refdenotaalpie"/>
          <w:rFonts w:cs="Times New Roman"/>
          <w:sz w:val="28"/>
          <w:szCs w:val="28"/>
          <w:lang w:eastAsia="es-ES_tradnl"/>
        </w:rPr>
        <w:footnoteReference w:id="77"/>
      </w:r>
      <w:r w:rsidRPr="002D20D6">
        <w:rPr>
          <w:rFonts w:ascii="Times New Roman" w:hAnsi="Times New Roman" w:cs="Times New Roman"/>
          <w:sz w:val="28"/>
          <w:szCs w:val="28"/>
          <w:lang w:eastAsia="es-ES_tradnl"/>
        </w:rPr>
        <w:t xml:space="preserve"> y no aborda la renunci</w:t>
      </w:r>
      <w:r w:rsidRPr="002D20D6">
        <w:rPr>
          <w:rFonts w:ascii="Times New Roman" w:hAnsi="Times New Roman" w:cs="Times New Roman"/>
          <w:sz w:val="28"/>
          <w:szCs w:val="28"/>
          <w:lang w:eastAsia="es-ES_tradnl"/>
        </w:rPr>
        <w:t>a a prestaciones sociales en su generalidad, por lo que no hay certeza de que sobre otras prestaciones sociales distintas a las cesantías, no se requiera autorización administrativa, y en consecuencia, la norma no esté vigente ni surtiendo efectos jurídico</w:t>
      </w:r>
      <w:r w:rsidRPr="002D20D6">
        <w:rPr>
          <w:rFonts w:ascii="Times New Roman" w:hAnsi="Times New Roman" w:cs="Times New Roman"/>
          <w:sz w:val="28"/>
          <w:szCs w:val="28"/>
          <w:lang w:eastAsia="es-ES_tradnl"/>
        </w:rPr>
        <w:t>s.</w:t>
      </w:r>
    </w:p>
    <w:p w:rsidR="00AB12FF" w:rsidRPr="002D20D6" w:rsidRDefault="002D20D6" w:rsidP="00DE59D7">
      <w:pPr>
        <w:pStyle w:val="NormalWeb"/>
        <w:tabs>
          <w:tab w:val="left" w:pos="142"/>
        </w:tabs>
        <w:ind w:right="49"/>
        <w:jc w:val="both"/>
        <w:rPr>
          <w:rFonts w:ascii="Times New Roman" w:hAnsi="Times New Roman" w:cs="Times New Roman"/>
          <w:b/>
          <w:bCs/>
          <w:i/>
          <w:iCs/>
          <w:color w:val="0D0D0D" w:themeColor="text1" w:themeTint="F2"/>
          <w:sz w:val="28"/>
          <w:szCs w:val="28"/>
        </w:rPr>
      </w:pPr>
    </w:p>
    <w:p w:rsidR="00F92CF0" w:rsidRPr="002D20D6" w:rsidRDefault="002D20D6" w:rsidP="00DE59D7">
      <w:pPr>
        <w:pStyle w:val="NormalWeb"/>
        <w:tabs>
          <w:tab w:val="left" w:pos="142"/>
        </w:tabs>
        <w:ind w:right="49"/>
        <w:jc w:val="both"/>
        <w:rPr>
          <w:rFonts w:ascii="Times New Roman" w:hAnsi="Times New Roman" w:cs="Times New Roman"/>
          <w:b/>
          <w:bCs/>
          <w:i/>
          <w:iCs/>
          <w:color w:val="0D0D0D" w:themeColor="text1" w:themeTint="F2"/>
          <w:sz w:val="28"/>
          <w:szCs w:val="28"/>
        </w:rPr>
      </w:pPr>
    </w:p>
    <w:p w:rsidR="0020067E" w:rsidRPr="002D20D6" w:rsidRDefault="002D20D6" w:rsidP="00DE59D7">
      <w:pPr>
        <w:pStyle w:val="NormalWeb"/>
        <w:numPr>
          <w:ilvl w:val="0"/>
          <w:numId w:val="5"/>
        </w:numPr>
        <w:tabs>
          <w:tab w:val="left" w:pos="142"/>
        </w:tabs>
        <w:ind w:right="49"/>
        <w:jc w:val="both"/>
        <w:rPr>
          <w:rFonts w:ascii="Times New Roman" w:hAnsi="Times New Roman" w:cs="Times New Roman"/>
          <w:b/>
          <w:i/>
          <w:color w:val="0D0D0D" w:themeColor="text1" w:themeTint="F2"/>
          <w:sz w:val="28"/>
          <w:szCs w:val="28"/>
        </w:rPr>
      </w:pPr>
      <w:r w:rsidRPr="002D20D6">
        <w:rPr>
          <w:rFonts w:ascii="Times New Roman" w:hAnsi="Times New Roman" w:cs="Times New Roman"/>
          <w:b/>
          <w:i/>
          <w:color w:val="0D0D0D" w:themeColor="text1" w:themeTint="F2"/>
          <w:sz w:val="28"/>
          <w:szCs w:val="28"/>
        </w:rPr>
        <w:t>Los principios mínimos fundamentales de carácter laboral. Reiteración de jurisprudencia</w:t>
      </w:r>
    </w:p>
    <w:p w:rsidR="0031220C" w:rsidRPr="002D20D6" w:rsidRDefault="002D20D6" w:rsidP="0031220C">
      <w:pPr>
        <w:pStyle w:val="NormalWeb"/>
        <w:tabs>
          <w:tab w:val="left" w:pos="142"/>
        </w:tabs>
        <w:ind w:right="49"/>
        <w:jc w:val="both"/>
        <w:rPr>
          <w:rFonts w:ascii="Times New Roman" w:hAnsi="Times New Roman" w:cs="Times New Roman"/>
          <w:b/>
          <w:i/>
          <w:color w:val="0D0D0D" w:themeColor="text1" w:themeTint="F2"/>
          <w:sz w:val="28"/>
          <w:szCs w:val="28"/>
        </w:rPr>
      </w:pPr>
    </w:p>
    <w:p w:rsidR="00F91398" w:rsidRPr="002D20D6" w:rsidRDefault="002D20D6" w:rsidP="00F91398">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lang w:val="es-ES_tradnl"/>
        </w:rPr>
        <w:t xml:space="preserve">La Constitución de 1991 se refirió al trabajo desde el preámbulo y el artículo 1, atribuyéndole una triple dimensión; </w:t>
      </w:r>
      <w:r w:rsidRPr="002D20D6">
        <w:rPr>
          <w:rFonts w:ascii="Times New Roman" w:hAnsi="Times New Roman" w:cs="Times New Roman"/>
          <w:i/>
          <w:iCs/>
          <w:color w:val="0D0D0D" w:themeColor="text1" w:themeTint="F2"/>
          <w:sz w:val="28"/>
          <w:szCs w:val="28"/>
          <w:lang w:val="es-ES_tradnl"/>
        </w:rPr>
        <w:t>“</w:t>
      </w:r>
      <w:r w:rsidRPr="002D20D6">
        <w:rPr>
          <w:rFonts w:ascii="Times New Roman" w:hAnsi="Times New Roman" w:cs="Times New Roman"/>
          <w:i/>
          <w:iCs/>
          <w:color w:val="0D0D0D" w:themeColor="text1" w:themeTint="F2"/>
          <w:sz w:val="28"/>
          <w:szCs w:val="28"/>
          <w:lang w:val="es-CO"/>
        </w:rPr>
        <w:t xml:space="preserve">(i) valor fundante del Estado social de </w:t>
      </w:r>
      <w:r w:rsidRPr="002D20D6">
        <w:rPr>
          <w:rFonts w:ascii="Times New Roman" w:hAnsi="Times New Roman" w:cs="Times New Roman"/>
          <w:i/>
          <w:iCs/>
          <w:color w:val="0D0D0D" w:themeColor="text1" w:themeTint="F2"/>
          <w:sz w:val="28"/>
          <w:szCs w:val="28"/>
          <w:lang w:val="es-CO"/>
        </w:rPr>
        <w:t>derecho; (ii) principio rector del ordenamiento jurídico; y (iii) derecho-deber social</w:t>
      </w:r>
      <w:r w:rsidRPr="002D20D6">
        <w:rPr>
          <w:rFonts w:ascii="Times New Roman" w:hAnsi="Times New Roman" w:cs="Times New Roman"/>
          <w:i/>
          <w:iCs/>
          <w:color w:val="0D0D0D" w:themeColor="text1" w:themeTint="F2"/>
          <w:sz w:val="28"/>
          <w:szCs w:val="28"/>
          <w:lang w:val="es-ES_tradnl"/>
        </w:rPr>
        <w:t xml:space="preserve"> con</w:t>
      </w:r>
      <w:r w:rsidRPr="002D20D6">
        <w:rPr>
          <w:rFonts w:ascii="Times New Roman" w:hAnsi="Times New Roman" w:cs="Times New Roman"/>
          <w:i/>
          <w:iCs/>
          <w:color w:val="0D0D0D" w:themeColor="text1" w:themeTint="F2"/>
          <w:sz w:val="28"/>
          <w:szCs w:val="28"/>
          <w:lang w:val="es-CO"/>
        </w:rPr>
        <w:t xml:space="preserve"> carácter fundamental.”</w:t>
      </w:r>
      <w:r w:rsidRPr="002D20D6">
        <w:rPr>
          <w:rStyle w:val="Refdenotaalpie"/>
          <w:rFonts w:cs="Times New Roman"/>
          <w:color w:val="0D0D0D" w:themeColor="text1" w:themeTint="F2"/>
          <w:sz w:val="28"/>
          <w:szCs w:val="28"/>
          <w:lang w:val="es-CO"/>
        </w:rPr>
        <w:footnoteReference w:id="78"/>
      </w:r>
      <w:r w:rsidRPr="002D20D6">
        <w:rPr>
          <w:rFonts w:ascii="Times New Roman" w:hAnsi="Times New Roman" w:cs="Times New Roman"/>
          <w:color w:val="0D0D0D" w:themeColor="text1" w:themeTint="F2"/>
          <w:sz w:val="28"/>
          <w:szCs w:val="28"/>
          <w:lang w:val="es-CO"/>
        </w:rPr>
        <w:t xml:space="preserve"> De acuerdo con la jurisprudencia constitucional, el trabajo tiene la</w:t>
      </w:r>
      <w:r w:rsidRPr="002D20D6">
        <w:rPr>
          <w:rFonts w:ascii="Times New Roman" w:hAnsi="Times New Roman" w:cs="Times New Roman"/>
          <w:color w:val="0D0D0D" w:themeColor="text1" w:themeTint="F2"/>
          <w:sz w:val="28"/>
          <w:szCs w:val="28"/>
          <w:lang w:val="es-ES_tradnl"/>
        </w:rPr>
        <w:t xml:space="preserve"> calidad de valor y </w:t>
      </w:r>
      <w:r w:rsidRPr="002D20D6">
        <w:rPr>
          <w:rFonts w:ascii="Times New Roman" w:hAnsi="Times New Roman" w:cs="Times New Roman"/>
          <w:color w:val="0D0D0D" w:themeColor="text1" w:themeTint="F2"/>
          <w:sz w:val="28"/>
          <w:szCs w:val="28"/>
          <w:lang w:val="es-CO"/>
        </w:rPr>
        <w:t>principio fundante del Estado Social de Derecho.</w:t>
      </w:r>
      <w:r w:rsidRPr="002D20D6">
        <w:rPr>
          <w:rStyle w:val="Refdenotaalpie"/>
          <w:rFonts w:cs="Times New Roman"/>
          <w:color w:val="0D0D0D" w:themeColor="text1" w:themeTint="F2"/>
          <w:sz w:val="28"/>
          <w:szCs w:val="28"/>
          <w:lang w:val="es-CO"/>
        </w:rPr>
        <w:footnoteReference w:id="79"/>
      </w:r>
    </w:p>
    <w:p w:rsidR="00F91398" w:rsidRPr="002D20D6" w:rsidRDefault="002D20D6" w:rsidP="00F91398">
      <w:pPr>
        <w:pStyle w:val="NormalWeb"/>
        <w:tabs>
          <w:tab w:val="left" w:pos="142"/>
        </w:tabs>
        <w:ind w:right="49"/>
        <w:jc w:val="both"/>
        <w:rPr>
          <w:rFonts w:ascii="Times New Roman" w:hAnsi="Times New Roman" w:cs="Times New Roman"/>
          <w:b/>
          <w:bCs/>
          <w:i/>
          <w:iCs/>
          <w:color w:val="0D0D0D" w:themeColor="text1" w:themeTint="F2"/>
          <w:sz w:val="28"/>
          <w:szCs w:val="28"/>
        </w:rPr>
      </w:pPr>
    </w:p>
    <w:p w:rsidR="0031220C" w:rsidRPr="002D20D6" w:rsidRDefault="002D20D6" w:rsidP="6DAE5230">
      <w:pPr>
        <w:pStyle w:val="NormalWeb"/>
        <w:numPr>
          <w:ilvl w:val="0"/>
          <w:numId w:val="3"/>
        </w:numPr>
        <w:tabs>
          <w:tab w:val="left" w:pos="142"/>
        </w:tabs>
        <w:ind w:left="0" w:right="49" w:firstLine="0"/>
        <w:jc w:val="both"/>
        <w:rPr>
          <w:rFonts w:ascii="Times New Roman" w:hAnsi="Times New Roman" w:cs="Times New Roman"/>
          <w:b/>
          <w:bCs/>
          <w:i/>
          <w:iCs/>
          <w:color w:val="0D0D0D" w:themeColor="text1" w:themeTint="F2"/>
          <w:sz w:val="28"/>
          <w:szCs w:val="28"/>
        </w:rPr>
      </w:pPr>
      <w:r w:rsidRPr="002D20D6">
        <w:rPr>
          <w:rFonts w:ascii="Times New Roman" w:hAnsi="Times New Roman" w:cs="Times New Roman"/>
          <w:color w:val="0D0D0D" w:themeColor="text1" w:themeTint="F2"/>
          <w:sz w:val="28"/>
          <w:szCs w:val="28"/>
        </w:rPr>
        <w:t xml:space="preserve">El artículo 53 de la Constitución ha definido los principios mínimos fundamentales respecto de los cuales esta Corporación ha entendido </w:t>
      </w:r>
      <w:r w:rsidRPr="002D20D6">
        <w:rPr>
          <w:rFonts w:ascii="Times New Roman" w:eastAsia="Times New Roman" w:hAnsi="Times New Roman" w:cs="Times New Roman"/>
          <w:color w:val="0D0D0D" w:themeColor="text1" w:themeTint="F2"/>
          <w:sz w:val="28"/>
          <w:szCs w:val="28"/>
          <w:lang w:val="es"/>
        </w:rPr>
        <w:t>que constituyen la base de la garantía del derecho al trabajo.</w:t>
      </w:r>
      <w:r w:rsidRPr="002D20D6">
        <w:rPr>
          <w:rStyle w:val="Refdenotaalpie"/>
          <w:rFonts w:eastAsia="Times New Roman" w:cs="Times New Roman"/>
          <w:color w:val="0D0D0D" w:themeColor="text1" w:themeTint="F2"/>
          <w:sz w:val="28"/>
          <w:szCs w:val="28"/>
          <w:lang w:val="es"/>
        </w:rPr>
        <w:footnoteReference w:id="80"/>
      </w:r>
      <w:r w:rsidRPr="002D20D6">
        <w:rPr>
          <w:rFonts w:ascii="Times New Roman" w:eastAsia="Times New Roman" w:hAnsi="Times New Roman" w:cs="Times New Roman"/>
          <w:color w:val="0D0D0D" w:themeColor="text1" w:themeTint="F2"/>
          <w:sz w:val="28"/>
          <w:szCs w:val="28"/>
          <w:lang w:val="es"/>
        </w:rPr>
        <w:t xml:space="preserve"> </w:t>
      </w:r>
      <w:r w:rsidRPr="002D20D6">
        <w:rPr>
          <w:rFonts w:ascii="Times New Roman" w:hAnsi="Times New Roman" w:cs="Times New Roman"/>
          <w:color w:val="0D0D0D" w:themeColor="text1" w:themeTint="F2"/>
          <w:sz w:val="28"/>
          <w:szCs w:val="28"/>
        </w:rPr>
        <w:t>Entre ellos, está el principio de irrenunciabilidad de l</w:t>
      </w:r>
      <w:r w:rsidRPr="002D20D6">
        <w:rPr>
          <w:rFonts w:ascii="Times New Roman" w:hAnsi="Times New Roman" w:cs="Times New Roman"/>
          <w:color w:val="0D0D0D" w:themeColor="text1" w:themeTint="F2"/>
          <w:sz w:val="28"/>
          <w:szCs w:val="28"/>
        </w:rPr>
        <w:t>os beneficios mínimos establecidos en las normas laborales y las facultades de transigir y conciliar sobre derechos inciertos y discutibles.</w:t>
      </w:r>
      <w:r w:rsidRPr="002D20D6">
        <w:rPr>
          <w:rStyle w:val="Refdenotaalpie"/>
          <w:rFonts w:cs="Times New Roman"/>
          <w:color w:val="0D0D0D" w:themeColor="text1" w:themeTint="F2"/>
          <w:sz w:val="28"/>
          <w:szCs w:val="28"/>
        </w:rPr>
        <w:footnoteReference w:id="81"/>
      </w:r>
      <w:r w:rsidRPr="002D20D6">
        <w:rPr>
          <w:rFonts w:ascii="Times New Roman" w:hAnsi="Times New Roman" w:cs="Times New Roman"/>
          <w:b/>
          <w:bCs/>
          <w:i/>
          <w:iCs/>
          <w:color w:val="0D0D0D" w:themeColor="text1" w:themeTint="F2"/>
          <w:sz w:val="28"/>
          <w:szCs w:val="28"/>
        </w:rPr>
        <w:t xml:space="preserve"> </w:t>
      </w:r>
      <w:r w:rsidRPr="002D20D6">
        <w:rPr>
          <w:rFonts w:ascii="Times New Roman" w:eastAsia="Times New Roman" w:hAnsi="Times New Roman" w:cs="Times New Roman"/>
          <w:color w:val="0D0D0D" w:themeColor="text1" w:themeTint="F2"/>
          <w:sz w:val="28"/>
          <w:szCs w:val="28"/>
          <w:lang w:val="es"/>
        </w:rPr>
        <w:t>En relación con dichos principios, la Corte</w:t>
      </w:r>
      <w:r w:rsidRPr="002D20D6">
        <w:rPr>
          <w:rFonts w:ascii="Times New Roman" w:hAnsi="Times New Roman" w:cs="Times New Roman"/>
          <w:color w:val="0D0D0D" w:themeColor="text1" w:themeTint="F2"/>
          <w:sz w:val="28"/>
          <w:szCs w:val="28"/>
        </w:rPr>
        <w:t xml:space="preserve"> señaló que “</w:t>
      </w:r>
      <w:r w:rsidRPr="002D20D6">
        <w:rPr>
          <w:rFonts w:ascii="Times New Roman" w:eastAsia="Times New Roman" w:hAnsi="Times New Roman" w:cs="Times New Roman"/>
          <w:i/>
          <w:color w:val="0D0D0D" w:themeColor="text1" w:themeTint="F2"/>
          <w:sz w:val="28"/>
          <w:szCs w:val="28"/>
        </w:rPr>
        <w:t>el constituyente consagró una serie de ‘principios mínimos</w:t>
      </w:r>
      <w:r w:rsidRPr="002D20D6">
        <w:rPr>
          <w:rFonts w:ascii="Times New Roman" w:eastAsia="Times New Roman" w:hAnsi="Times New Roman" w:cs="Times New Roman"/>
          <w:i/>
          <w:color w:val="0D0D0D" w:themeColor="text1" w:themeTint="F2"/>
          <w:sz w:val="28"/>
          <w:szCs w:val="28"/>
        </w:rPr>
        <w:t xml:space="preserve"> fundamentales’ que configuran el ‘suelo axiológico’ de los valores materiales expresados en la Constitución alrededor de la actividad productiva del </w:t>
      </w:r>
      <w:r w:rsidRPr="002D20D6">
        <w:rPr>
          <w:rFonts w:ascii="Times New Roman" w:eastAsia="Times New Roman" w:hAnsi="Times New Roman" w:cs="Times New Roman"/>
          <w:iCs/>
          <w:color w:val="0D0D0D" w:themeColor="text1" w:themeTint="F2"/>
          <w:sz w:val="28"/>
          <w:szCs w:val="28"/>
        </w:rPr>
        <w:t>[ser humano]</w:t>
      </w:r>
      <w:r w:rsidRPr="002D20D6">
        <w:rPr>
          <w:rFonts w:ascii="Times New Roman" w:eastAsia="Times New Roman" w:hAnsi="Times New Roman" w:cs="Times New Roman"/>
          <w:i/>
          <w:color w:val="0D0D0D" w:themeColor="text1" w:themeTint="F2"/>
          <w:sz w:val="28"/>
          <w:szCs w:val="28"/>
        </w:rPr>
        <w:t xml:space="preserve">, a los cuales tiene que sujetarse el Congreso en su actividad legislativa al igual que el </w:t>
      </w:r>
      <w:r w:rsidRPr="002D20D6">
        <w:rPr>
          <w:rFonts w:ascii="Times New Roman" w:eastAsia="Times New Roman" w:hAnsi="Times New Roman" w:cs="Times New Roman"/>
          <w:i/>
          <w:color w:val="0D0D0D" w:themeColor="text1" w:themeTint="F2"/>
          <w:sz w:val="28"/>
          <w:szCs w:val="28"/>
        </w:rPr>
        <w:t>aplicador o intérprete de las disposiciones de ese orden y la sociedad en general.”</w:t>
      </w:r>
      <w:r w:rsidRPr="002D20D6">
        <w:rPr>
          <w:rStyle w:val="Refdenotaalpie"/>
          <w:rFonts w:eastAsia="Times New Roman" w:cs="Times New Roman"/>
          <w:i/>
          <w:color w:val="0D0D0D" w:themeColor="text1" w:themeTint="F2"/>
          <w:sz w:val="28"/>
          <w:szCs w:val="28"/>
        </w:rPr>
        <w:footnoteReference w:id="82"/>
      </w:r>
    </w:p>
    <w:p w:rsidR="0031220C" w:rsidRPr="002D20D6" w:rsidRDefault="002D20D6" w:rsidP="0031220C">
      <w:pPr>
        <w:pStyle w:val="NormalWeb"/>
        <w:tabs>
          <w:tab w:val="left" w:pos="142"/>
        </w:tabs>
        <w:ind w:right="49"/>
        <w:jc w:val="both"/>
        <w:rPr>
          <w:rFonts w:ascii="Times New Roman" w:hAnsi="Times New Roman" w:cs="Times New Roman"/>
          <w:b/>
          <w:bCs/>
          <w:i/>
          <w:iCs/>
          <w:color w:val="0D0D0D" w:themeColor="text1" w:themeTint="F2"/>
          <w:sz w:val="28"/>
          <w:szCs w:val="28"/>
        </w:rPr>
      </w:pPr>
    </w:p>
    <w:p w:rsidR="00487417" w:rsidRPr="002D20D6" w:rsidRDefault="002D20D6" w:rsidP="001224D4">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Los dos principios mínimos fundamentales de carácter laboral que se desarrollan en las subsecciones siguientes, esto es, la irrenunciabilidad de los beneficios mínimos es</w:t>
      </w:r>
      <w:r w:rsidRPr="002D20D6">
        <w:rPr>
          <w:rFonts w:ascii="Times New Roman" w:hAnsi="Times New Roman" w:cs="Times New Roman"/>
          <w:color w:val="0D0D0D" w:themeColor="text1" w:themeTint="F2"/>
          <w:sz w:val="28"/>
          <w:szCs w:val="28"/>
        </w:rPr>
        <w:t>tablecidos en las normas laborales y la facultad para transigir y conciliar sobre derechos inciertos y discutibles, guardan una estrecha conexidad material. El primero delimita el ámbito de protección reforzada del trabajador al proscribir la disposición d</w:t>
      </w:r>
      <w:r w:rsidRPr="002D20D6">
        <w:rPr>
          <w:rFonts w:ascii="Times New Roman" w:hAnsi="Times New Roman" w:cs="Times New Roman"/>
          <w:color w:val="0D0D0D" w:themeColor="text1" w:themeTint="F2"/>
          <w:sz w:val="28"/>
          <w:szCs w:val="28"/>
        </w:rPr>
        <w:t>e los beneficios mínimos laborales; el segundo, por su parte, habilita un espacio de autonomía negocial circunscrito a aquellos derechos que no reúnen la naturaleza de ciertos e indiscutibles. Uno y otro operan, pues, como dimensiones complementarias del m</w:t>
      </w:r>
      <w:r w:rsidRPr="002D20D6">
        <w:rPr>
          <w:rFonts w:ascii="Times New Roman" w:hAnsi="Times New Roman" w:cs="Times New Roman"/>
          <w:color w:val="0D0D0D" w:themeColor="text1" w:themeTint="F2"/>
          <w:sz w:val="28"/>
          <w:szCs w:val="28"/>
        </w:rPr>
        <w:t>andato del artículo 53 de la Constitución, en tanto el primero define lo indisponible y el segundo el margen dentro del cual cabe la disposición. Por esta razón, y a fin de evitar repeticiones innecesarias en la línea argumentativa, la Sala Plena estima pe</w:t>
      </w:r>
      <w:r w:rsidRPr="002D20D6">
        <w:rPr>
          <w:rFonts w:ascii="Times New Roman" w:hAnsi="Times New Roman" w:cs="Times New Roman"/>
          <w:color w:val="0D0D0D" w:themeColor="text1" w:themeTint="F2"/>
          <w:sz w:val="28"/>
          <w:szCs w:val="28"/>
        </w:rPr>
        <w:t>rtinente desarrollarlos de manera consecutiva en este capítulo.</w:t>
      </w:r>
    </w:p>
    <w:p w:rsidR="00487417" w:rsidRPr="002D20D6" w:rsidRDefault="002D20D6" w:rsidP="0031220C">
      <w:pPr>
        <w:pStyle w:val="NormalWeb"/>
        <w:tabs>
          <w:tab w:val="left" w:pos="142"/>
        </w:tabs>
        <w:ind w:right="49"/>
        <w:jc w:val="both"/>
        <w:rPr>
          <w:rFonts w:ascii="Times New Roman" w:hAnsi="Times New Roman" w:cs="Times New Roman"/>
          <w:color w:val="0D0D0D" w:themeColor="text1" w:themeTint="F2"/>
          <w:sz w:val="28"/>
          <w:szCs w:val="28"/>
        </w:rPr>
      </w:pPr>
    </w:p>
    <w:p w:rsidR="00DE59D7" w:rsidRPr="002D20D6" w:rsidRDefault="002D20D6" w:rsidP="0031220C">
      <w:pPr>
        <w:pStyle w:val="NormalWeb"/>
        <w:numPr>
          <w:ilvl w:val="0"/>
          <w:numId w:val="6"/>
        </w:numPr>
        <w:tabs>
          <w:tab w:val="left" w:pos="142"/>
        </w:tabs>
        <w:ind w:right="49"/>
        <w:jc w:val="both"/>
        <w:rPr>
          <w:rFonts w:ascii="Times New Roman" w:hAnsi="Times New Roman" w:cs="Times New Roman"/>
          <w:b/>
          <w:i/>
          <w:iCs/>
          <w:color w:val="0D0D0D" w:themeColor="text1" w:themeTint="F2"/>
          <w:sz w:val="28"/>
          <w:szCs w:val="28"/>
        </w:rPr>
      </w:pPr>
      <w:r w:rsidRPr="002D20D6">
        <w:rPr>
          <w:rFonts w:ascii="Times New Roman" w:hAnsi="Times New Roman" w:cs="Times New Roman"/>
          <w:b/>
          <w:i/>
          <w:color w:val="0D0D0D" w:themeColor="text1" w:themeTint="F2"/>
          <w:sz w:val="28"/>
          <w:szCs w:val="28"/>
        </w:rPr>
        <w:t>El principio de irrenunciabilidad de los beneficios mínimos laborales. Reiteración de jurisprudencia</w:t>
      </w:r>
    </w:p>
    <w:p w:rsidR="0068283A" w:rsidRPr="002D20D6" w:rsidRDefault="002D20D6" w:rsidP="00F92CF0">
      <w:pPr>
        <w:pStyle w:val="NormalWeb"/>
        <w:tabs>
          <w:tab w:val="left" w:pos="142"/>
        </w:tabs>
        <w:ind w:right="49"/>
        <w:jc w:val="both"/>
        <w:rPr>
          <w:rFonts w:ascii="Times New Roman" w:hAnsi="Times New Roman" w:cs="Times New Roman"/>
          <w:b/>
          <w:i/>
          <w:color w:val="0D0D0D" w:themeColor="text1" w:themeTint="F2"/>
          <w:sz w:val="28"/>
          <w:szCs w:val="28"/>
        </w:rPr>
      </w:pPr>
    </w:p>
    <w:p w:rsidR="005171D5" w:rsidRPr="002D20D6" w:rsidRDefault="002D20D6" w:rsidP="005171D5">
      <w:pPr>
        <w:pStyle w:val="NormalWeb"/>
        <w:numPr>
          <w:ilvl w:val="0"/>
          <w:numId w:val="3"/>
        </w:numPr>
        <w:tabs>
          <w:tab w:val="left" w:pos="142"/>
        </w:tabs>
        <w:ind w:left="0" w:right="49" w:firstLine="0"/>
        <w:jc w:val="both"/>
        <w:rPr>
          <w:rFonts w:ascii="Times New Roman" w:hAnsi="Times New Roman" w:cs="Times New Roman"/>
          <w:iCs/>
          <w:color w:val="0D0D0D" w:themeColor="text1" w:themeTint="F2"/>
          <w:sz w:val="28"/>
          <w:szCs w:val="28"/>
        </w:rPr>
      </w:pPr>
      <w:r w:rsidRPr="002D20D6">
        <w:rPr>
          <w:rFonts w:ascii="Times New Roman" w:hAnsi="Times New Roman" w:cs="Times New Roman"/>
          <w:color w:val="0D0D0D" w:themeColor="text1" w:themeTint="F2"/>
          <w:sz w:val="28"/>
          <w:szCs w:val="28"/>
        </w:rPr>
        <w:t xml:space="preserve">Tal y como se señaló </w:t>
      </w:r>
      <w:r w:rsidRPr="002D20D6">
        <w:rPr>
          <w:rFonts w:ascii="Times New Roman" w:hAnsi="Times New Roman" w:cs="Times New Roman"/>
          <w:iCs/>
          <w:color w:val="0D0D0D" w:themeColor="text1" w:themeTint="F2"/>
          <w:sz w:val="28"/>
          <w:szCs w:val="28"/>
        </w:rPr>
        <w:t>anteriormente</w:t>
      </w:r>
      <w:r w:rsidRPr="002D20D6">
        <w:rPr>
          <w:rFonts w:ascii="Times New Roman" w:hAnsi="Times New Roman" w:cs="Times New Roman"/>
          <w:color w:val="0D0D0D" w:themeColor="text1" w:themeTint="F2"/>
          <w:sz w:val="28"/>
          <w:szCs w:val="28"/>
        </w:rPr>
        <w:t>, uno de los principios mínimos fundamentales estableci</w:t>
      </w:r>
      <w:r w:rsidRPr="002D20D6">
        <w:rPr>
          <w:rFonts w:ascii="Times New Roman" w:hAnsi="Times New Roman" w:cs="Times New Roman"/>
          <w:color w:val="0D0D0D" w:themeColor="text1" w:themeTint="F2"/>
          <w:sz w:val="28"/>
          <w:szCs w:val="28"/>
        </w:rPr>
        <w:t xml:space="preserve">dos en el artículo 53 de la Constitución es la irrenunciabilidad de los beneficios mínimos establecidos en las normas laborales. Al respecto, es de anotar que la Constitución </w:t>
      </w:r>
      <w:r w:rsidRPr="002D20D6">
        <w:rPr>
          <w:rFonts w:ascii="Times New Roman" w:hAnsi="Times New Roman" w:cs="Times New Roman"/>
          <w:iCs/>
          <w:color w:val="0D0D0D" w:themeColor="text1" w:themeTint="F2"/>
          <w:sz w:val="28"/>
          <w:szCs w:val="28"/>
        </w:rPr>
        <w:t xml:space="preserve">usa una expresión deliberadamente abierta, esto es, </w:t>
      </w:r>
      <w:r w:rsidRPr="002D20D6">
        <w:rPr>
          <w:rFonts w:ascii="Times New Roman" w:hAnsi="Times New Roman" w:cs="Times New Roman"/>
          <w:i/>
          <w:color w:val="0D0D0D" w:themeColor="text1" w:themeTint="F2"/>
          <w:sz w:val="28"/>
          <w:szCs w:val="28"/>
        </w:rPr>
        <w:t>beneficios mínimos</w:t>
      </w:r>
      <w:r w:rsidRPr="002D20D6">
        <w:rPr>
          <w:rFonts w:ascii="Times New Roman" w:hAnsi="Times New Roman" w:cs="Times New Roman"/>
          <w:iCs/>
          <w:color w:val="0D0D0D" w:themeColor="text1" w:themeTint="F2"/>
          <w:sz w:val="28"/>
          <w:szCs w:val="28"/>
        </w:rPr>
        <w:t xml:space="preserve">. Esa </w:t>
      </w:r>
      <w:r w:rsidRPr="002D20D6">
        <w:rPr>
          <w:rFonts w:ascii="Times New Roman" w:hAnsi="Times New Roman" w:cs="Times New Roman"/>
          <w:iCs/>
          <w:color w:val="0D0D0D" w:themeColor="text1" w:themeTint="F2"/>
          <w:sz w:val="28"/>
          <w:szCs w:val="28"/>
        </w:rPr>
        <w:t>apertura no es un descuido del Constituyente, sino una decisión técnica para evitar que la protección sea petrificada en un catálogo cerrado.</w:t>
      </w:r>
    </w:p>
    <w:p w:rsidR="005171D5" w:rsidRPr="002D20D6" w:rsidRDefault="002D20D6" w:rsidP="005171D5">
      <w:pPr>
        <w:pStyle w:val="NormalWeb"/>
        <w:tabs>
          <w:tab w:val="left" w:pos="142"/>
        </w:tabs>
        <w:ind w:right="49"/>
        <w:jc w:val="both"/>
        <w:rPr>
          <w:rFonts w:ascii="Times New Roman" w:hAnsi="Times New Roman" w:cs="Times New Roman"/>
          <w:color w:val="0D0D0D" w:themeColor="text1" w:themeTint="F2"/>
          <w:sz w:val="28"/>
          <w:szCs w:val="28"/>
        </w:rPr>
      </w:pPr>
    </w:p>
    <w:p w:rsidR="005171D5" w:rsidRPr="002D20D6" w:rsidRDefault="002D20D6" w:rsidP="005171D5">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La jurisprudencia constitucional ha construido ese catálogo desde tres fuentes simultáneas. </w:t>
      </w:r>
      <w:r w:rsidRPr="002D20D6">
        <w:rPr>
          <w:rFonts w:ascii="Times New Roman" w:hAnsi="Times New Roman" w:cs="Times New Roman"/>
          <w:i/>
          <w:iCs/>
          <w:color w:val="0D0D0D" w:themeColor="text1" w:themeTint="F2"/>
          <w:sz w:val="28"/>
          <w:szCs w:val="28"/>
        </w:rPr>
        <w:t>(i)</w:t>
      </w:r>
      <w:r w:rsidRPr="002D20D6">
        <w:rPr>
          <w:rFonts w:ascii="Times New Roman" w:hAnsi="Times New Roman" w:cs="Times New Roman"/>
          <w:color w:val="0D0D0D" w:themeColor="text1" w:themeTint="F2"/>
          <w:sz w:val="28"/>
          <w:szCs w:val="28"/>
        </w:rPr>
        <w:t xml:space="preserve"> El propio texto del artículo 53 de la Constitución Política, que enumera algunos principios, entre ellos, la remuneración mínima vital y móvil, la estabilidad en el empleo y la primacía de la realidad, todos los cuales tienen una dimensión de irrenunciabi</w:t>
      </w:r>
      <w:r w:rsidRPr="002D20D6">
        <w:rPr>
          <w:rFonts w:ascii="Times New Roman" w:hAnsi="Times New Roman" w:cs="Times New Roman"/>
          <w:color w:val="0D0D0D" w:themeColor="text1" w:themeTint="F2"/>
          <w:sz w:val="28"/>
          <w:szCs w:val="28"/>
        </w:rPr>
        <w:t xml:space="preserve">lidad. </w:t>
      </w:r>
      <w:r w:rsidRPr="002D20D6">
        <w:rPr>
          <w:rFonts w:ascii="Times New Roman" w:hAnsi="Times New Roman" w:cs="Times New Roman"/>
          <w:i/>
          <w:iCs/>
          <w:color w:val="0D0D0D" w:themeColor="text1" w:themeTint="F2"/>
          <w:sz w:val="28"/>
          <w:szCs w:val="28"/>
        </w:rPr>
        <w:t>(ii)</w:t>
      </w:r>
      <w:r w:rsidRPr="002D20D6">
        <w:rPr>
          <w:rFonts w:ascii="Times New Roman" w:hAnsi="Times New Roman" w:cs="Times New Roman"/>
          <w:color w:val="0D0D0D" w:themeColor="text1" w:themeTint="F2"/>
          <w:sz w:val="28"/>
          <w:szCs w:val="28"/>
        </w:rPr>
        <w:t xml:space="preserve"> El bloque de constitucionalidad nutrido de los Convenios de la Organización Internacional del Trabajo (OIT) ratificados por Colombia, tales como el Convenio 95 sobre protección del salario y el Convenio 131 sobre salario mínimo, que amplían el </w:t>
      </w:r>
      <w:r w:rsidRPr="002D20D6">
        <w:rPr>
          <w:rFonts w:ascii="Times New Roman" w:hAnsi="Times New Roman" w:cs="Times New Roman"/>
          <w:color w:val="0D0D0D" w:themeColor="text1" w:themeTint="F2"/>
          <w:sz w:val="28"/>
          <w:szCs w:val="28"/>
        </w:rPr>
        <w:t xml:space="preserve">piso de lo irrenunciable más allá de lo que dice el texto constitucional. Y </w:t>
      </w:r>
      <w:r w:rsidRPr="002D20D6">
        <w:rPr>
          <w:rFonts w:ascii="Times New Roman" w:hAnsi="Times New Roman" w:cs="Times New Roman"/>
          <w:i/>
          <w:iCs/>
          <w:color w:val="0D0D0D" w:themeColor="text1" w:themeTint="F2"/>
          <w:sz w:val="28"/>
          <w:szCs w:val="28"/>
        </w:rPr>
        <w:t>(iii)</w:t>
      </w:r>
      <w:r w:rsidRPr="002D20D6">
        <w:rPr>
          <w:rFonts w:ascii="Times New Roman" w:hAnsi="Times New Roman" w:cs="Times New Roman"/>
          <w:color w:val="0D0D0D" w:themeColor="text1" w:themeTint="F2"/>
          <w:sz w:val="28"/>
          <w:szCs w:val="28"/>
        </w:rPr>
        <w:t>, la propia legislación laboral ordinaria. Así, el artículo 14 del Código Sustantivo del Trabajo declara irrenunciables los derechos y prerrogativas consagrados en ese estatut</w:t>
      </w:r>
      <w:r w:rsidRPr="002D20D6">
        <w:rPr>
          <w:rFonts w:ascii="Times New Roman" w:hAnsi="Times New Roman" w:cs="Times New Roman"/>
          <w:color w:val="0D0D0D" w:themeColor="text1" w:themeTint="F2"/>
          <w:sz w:val="28"/>
          <w:szCs w:val="28"/>
        </w:rPr>
        <w:t>o, salvo los casos expresamente exceptuados por la ley y el artículo 340 hace lo propio respecto de las prestaciones sociales allí reguladas.</w:t>
      </w:r>
    </w:p>
    <w:p w:rsidR="005171D5" w:rsidRPr="002D20D6" w:rsidRDefault="002D20D6" w:rsidP="005171D5">
      <w:pPr>
        <w:pStyle w:val="NormalWeb"/>
        <w:tabs>
          <w:tab w:val="left" w:pos="142"/>
        </w:tabs>
        <w:ind w:right="49"/>
        <w:jc w:val="both"/>
        <w:rPr>
          <w:rFonts w:ascii="Times New Roman" w:hAnsi="Times New Roman" w:cs="Times New Roman"/>
          <w:color w:val="0D0D0D" w:themeColor="text1" w:themeTint="F2"/>
          <w:sz w:val="28"/>
          <w:szCs w:val="28"/>
        </w:rPr>
      </w:pPr>
    </w:p>
    <w:p w:rsidR="005171D5" w:rsidRPr="002D20D6" w:rsidRDefault="002D20D6" w:rsidP="005171D5">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Lo relevante de este diseño constitucional es que el concepto de </w:t>
      </w:r>
      <w:r w:rsidRPr="002D20D6">
        <w:rPr>
          <w:rFonts w:ascii="Times New Roman" w:hAnsi="Times New Roman" w:cs="Times New Roman"/>
          <w:i/>
          <w:iCs/>
          <w:color w:val="0D0D0D" w:themeColor="text1" w:themeTint="F2"/>
          <w:sz w:val="28"/>
          <w:szCs w:val="28"/>
        </w:rPr>
        <w:t xml:space="preserve">“beneficios mínimos” </w:t>
      </w:r>
      <w:r w:rsidRPr="002D20D6">
        <w:rPr>
          <w:rFonts w:ascii="Times New Roman" w:hAnsi="Times New Roman" w:cs="Times New Roman"/>
          <w:color w:val="0D0D0D" w:themeColor="text1" w:themeTint="F2"/>
          <w:sz w:val="28"/>
          <w:szCs w:val="28"/>
        </w:rPr>
        <w:t xml:space="preserve">no es estático sino que se </w:t>
      </w:r>
      <w:r w:rsidRPr="002D20D6">
        <w:rPr>
          <w:rFonts w:ascii="Times New Roman" w:hAnsi="Times New Roman" w:cs="Times New Roman"/>
          <w:color w:val="0D0D0D" w:themeColor="text1" w:themeTint="F2"/>
          <w:sz w:val="28"/>
          <w:szCs w:val="28"/>
        </w:rPr>
        <w:t>incorpora como un piso mínimo del que deriva una estricta protección constitucional. La Corte Constitucional ha reconocido que el Legislador puede elevar el piso de protección y calificar nuevos beneficios como mínimos irrenunciables, ello por virtud del p</w:t>
      </w:r>
      <w:r w:rsidRPr="002D20D6">
        <w:rPr>
          <w:rFonts w:ascii="Times New Roman" w:hAnsi="Times New Roman" w:cs="Times New Roman"/>
          <w:color w:val="0D0D0D" w:themeColor="text1" w:themeTint="F2"/>
          <w:sz w:val="28"/>
          <w:szCs w:val="28"/>
        </w:rPr>
        <w:t>rincipio de progresividad. Lo que no puede hacer, y esto en el marco del artículo 53 constitucional, es reducirlo.</w:t>
      </w:r>
    </w:p>
    <w:p w:rsidR="005171D5" w:rsidRPr="002D20D6" w:rsidRDefault="002D20D6" w:rsidP="005171D5">
      <w:pPr>
        <w:pStyle w:val="NormalWeb"/>
        <w:tabs>
          <w:tab w:val="left" w:pos="142"/>
        </w:tabs>
        <w:ind w:right="49"/>
        <w:jc w:val="both"/>
        <w:rPr>
          <w:rFonts w:ascii="Times New Roman" w:hAnsi="Times New Roman" w:cs="Times New Roman"/>
          <w:b/>
          <w:bCs/>
          <w:i/>
          <w:iCs/>
          <w:color w:val="0D0D0D" w:themeColor="text1" w:themeTint="F2"/>
          <w:sz w:val="28"/>
          <w:szCs w:val="28"/>
        </w:rPr>
      </w:pPr>
    </w:p>
    <w:p w:rsidR="00CE76A5" w:rsidRPr="002D20D6" w:rsidRDefault="002D20D6" w:rsidP="00984779">
      <w:pPr>
        <w:pStyle w:val="NormalWeb"/>
        <w:numPr>
          <w:ilvl w:val="0"/>
          <w:numId w:val="3"/>
        </w:numPr>
        <w:tabs>
          <w:tab w:val="left" w:pos="142"/>
        </w:tabs>
        <w:ind w:left="0" w:right="49" w:firstLine="0"/>
        <w:jc w:val="both"/>
        <w:rPr>
          <w:rFonts w:ascii="Times New Roman" w:hAnsi="Times New Roman" w:cs="Times New Roman"/>
          <w:b/>
          <w:bCs/>
          <w:i/>
          <w:iCs/>
          <w:color w:val="0D0D0D" w:themeColor="text1" w:themeTint="F2"/>
          <w:sz w:val="28"/>
          <w:szCs w:val="28"/>
        </w:rPr>
      </w:pPr>
      <w:r w:rsidRPr="002D20D6">
        <w:rPr>
          <w:rFonts w:ascii="Times New Roman" w:hAnsi="Times New Roman" w:cs="Times New Roman"/>
          <w:color w:val="0D0D0D" w:themeColor="text1" w:themeTint="F2"/>
          <w:sz w:val="28"/>
          <w:szCs w:val="28"/>
        </w:rPr>
        <w:t>La Corte Constitucional ha explicado el criterio en virtud del cual ciertos beneficios, esto es, los mínimos establecidos en leyes laborales</w:t>
      </w:r>
      <w:r w:rsidRPr="002D20D6">
        <w:rPr>
          <w:rFonts w:ascii="Times New Roman" w:hAnsi="Times New Roman" w:cs="Times New Roman"/>
          <w:color w:val="0D0D0D" w:themeColor="text1" w:themeTint="F2"/>
          <w:sz w:val="28"/>
          <w:szCs w:val="28"/>
        </w:rPr>
        <w:t>, son irrenunciables. Sobre el particular, ha dicho que los beneficios mínimos irrenunciables guardan una conexidad íntima con la dignidad humana, la igualdad y no discriminación y el libre desarrollo de la personalidad, pues bien, no le es dable al Estado</w:t>
      </w:r>
      <w:r w:rsidRPr="002D20D6">
        <w:rPr>
          <w:rFonts w:ascii="Times New Roman" w:hAnsi="Times New Roman" w:cs="Times New Roman"/>
          <w:color w:val="0D0D0D" w:themeColor="text1" w:themeTint="F2"/>
          <w:sz w:val="28"/>
          <w:szCs w:val="28"/>
        </w:rPr>
        <w:t xml:space="preserve"> Social de Derecho tolerar renuncias que vean menguadas las condiciones equitativas, justas y satisfactorias en las que debe laborar un trabajador, sin las cuales se desconocería la dignidad humana.</w:t>
      </w:r>
      <w:r w:rsidRPr="002D20D6">
        <w:rPr>
          <w:rStyle w:val="Refdenotaalpie"/>
          <w:rFonts w:cs="Times New Roman"/>
          <w:color w:val="0D0D0D" w:themeColor="text1" w:themeTint="F2"/>
          <w:sz w:val="28"/>
          <w:szCs w:val="28"/>
        </w:rPr>
        <w:footnoteReference w:id="83"/>
      </w:r>
      <w:r w:rsidRPr="002D20D6">
        <w:rPr>
          <w:rFonts w:ascii="Times New Roman" w:hAnsi="Times New Roman" w:cs="Times New Roman"/>
          <w:color w:val="0D0D0D" w:themeColor="text1" w:themeTint="F2"/>
          <w:sz w:val="28"/>
          <w:szCs w:val="28"/>
        </w:rPr>
        <w:t xml:space="preserve"> En ese sentido señaló que: </w:t>
      </w:r>
    </w:p>
    <w:p w:rsidR="00CE76A5" w:rsidRPr="002D20D6" w:rsidRDefault="002D20D6" w:rsidP="3327FD00">
      <w:pPr>
        <w:pStyle w:val="NormalWeb"/>
        <w:tabs>
          <w:tab w:val="left" w:pos="142"/>
        </w:tabs>
        <w:ind w:right="49"/>
        <w:jc w:val="both"/>
        <w:rPr>
          <w:rFonts w:ascii="Times New Roman" w:eastAsia="Aptos" w:hAnsi="Times New Roman" w:cs="Times New Roman"/>
          <w:color w:val="0D0D0D" w:themeColor="text1" w:themeTint="F2"/>
          <w:sz w:val="28"/>
          <w:szCs w:val="28"/>
        </w:rPr>
      </w:pPr>
    </w:p>
    <w:p w:rsidR="00CE76A5" w:rsidRPr="002D20D6" w:rsidRDefault="002D20D6" w:rsidP="00096076">
      <w:pPr>
        <w:pStyle w:val="NormalWeb"/>
        <w:tabs>
          <w:tab w:val="left" w:pos="142"/>
        </w:tabs>
        <w:ind w:left="284" w:right="284"/>
        <w:jc w:val="both"/>
        <w:rPr>
          <w:rFonts w:ascii="Times New Roman" w:eastAsia="Times New Roman" w:hAnsi="Times New Roman" w:cs="Times New Roman"/>
          <w:i/>
          <w:color w:val="0D0D0D" w:themeColor="text1" w:themeTint="F2"/>
          <w:sz w:val="28"/>
          <w:szCs w:val="26"/>
        </w:rPr>
      </w:pPr>
      <w:r w:rsidRPr="002D20D6">
        <w:rPr>
          <w:rFonts w:ascii="Times New Roman" w:eastAsia="Times New Roman" w:hAnsi="Times New Roman" w:cs="Times New Roman"/>
          <w:i/>
          <w:color w:val="0D0D0D" w:themeColor="text1" w:themeTint="F2"/>
          <w:sz w:val="28"/>
          <w:szCs w:val="26"/>
        </w:rPr>
        <w:t>“El Estado Social de Derech</w:t>
      </w:r>
      <w:r w:rsidRPr="002D20D6">
        <w:rPr>
          <w:rFonts w:ascii="Times New Roman" w:eastAsia="Times New Roman" w:hAnsi="Times New Roman" w:cs="Times New Roman"/>
          <w:i/>
          <w:color w:val="0D0D0D" w:themeColor="text1" w:themeTint="F2"/>
          <w:sz w:val="28"/>
          <w:szCs w:val="26"/>
        </w:rPr>
        <w:t>o, que tiene como fin servir a la comunidad, no puede tolerar que el derecho al trabajo -que es de interés general-, se vea menguado por renuncias que el trabajador en estado de necesidad pueda verse forzado a hacer. Como, por ejemplo, aceptar un despido s</w:t>
      </w:r>
      <w:r w:rsidRPr="002D20D6">
        <w:rPr>
          <w:rFonts w:ascii="Times New Roman" w:eastAsia="Times New Roman" w:hAnsi="Times New Roman" w:cs="Times New Roman"/>
          <w:i/>
          <w:color w:val="0D0D0D" w:themeColor="text1" w:themeTint="F2"/>
          <w:sz w:val="28"/>
          <w:szCs w:val="26"/>
        </w:rPr>
        <w:t>in justa causa, ante la perspectiva de recibir con prontitud el dinero proveniente de una indemnización. De una u otra forma, implicaría renunciar a uno de los fines personales del hombre, que es, como se ha dicho, el de buscar su propia realización a trav</w:t>
      </w:r>
      <w:r w:rsidRPr="002D20D6">
        <w:rPr>
          <w:rFonts w:ascii="Times New Roman" w:eastAsia="Times New Roman" w:hAnsi="Times New Roman" w:cs="Times New Roman"/>
          <w:i/>
          <w:color w:val="0D0D0D" w:themeColor="text1" w:themeTint="F2"/>
          <w:sz w:val="28"/>
          <w:szCs w:val="26"/>
        </w:rPr>
        <w:t>és de un trabajo honrado y lícito, y cuando un fin es inalcanzable, de una u otra forma, todos los medios van perdiendo su razón de ser.”</w:t>
      </w:r>
      <w:r w:rsidRPr="002D20D6">
        <w:rPr>
          <w:rStyle w:val="Refdenotaalpie"/>
          <w:rFonts w:eastAsia="Times New Roman" w:cs="Times New Roman"/>
          <w:i/>
          <w:iCs/>
          <w:color w:val="0D0D0D" w:themeColor="text1" w:themeTint="F2"/>
          <w:sz w:val="28"/>
          <w:szCs w:val="26"/>
        </w:rPr>
        <w:footnoteReference w:id="84"/>
      </w:r>
    </w:p>
    <w:p w:rsidR="3327FD00" w:rsidRPr="002D20D6" w:rsidRDefault="002D20D6" w:rsidP="3327FD00">
      <w:pPr>
        <w:pStyle w:val="NormalWeb"/>
        <w:tabs>
          <w:tab w:val="left" w:pos="142"/>
        </w:tabs>
        <w:ind w:right="49"/>
        <w:jc w:val="both"/>
        <w:rPr>
          <w:rFonts w:ascii="Times New Roman" w:eastAsia="Aptos" w:hAnsi="Times New Roman" w:cs="Times New Roman"/>
          <w:color w:val="0D0D0D" w:themeColor="text1" w:themeTint="F2"/>
          <w:sz w:val="28"/>
          <w:szCs w:val="28"/>
        </w:rPr>
      </w:pPr>
    </w:p>
    <w:p w:rsidR="00CE76A5" w:rsidRPr="002D20D6" w:rsidRDefault="002D20D6" w:rsidP="723B4C6D">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A su turno, al referirse a la irrenunciabilidad del derecho a la seguridad social establecido en el artículo 48 de la Constitución, también hizo énfasis en que ese carácter irrenunciable presupone salvaguardar la dignidad humana y la integridad física y mo</w:t>
      </w:r>
      <w:r w:rsidRPr="002D20D6">
        <w:rPr>
          <w:rFonts w:ascii="Times New Roman" w:hAnsi="Times New Roman" w:cs="Times New Roman"/>
          <w:color w:val="0D0D0D" w:themeColor="text1" w:themeTint="F2"/>
          <w:sz w:val="28"/>
          <w:szCs w:val="28"/>
        </w:rPr>
        <w:t>ral de las personas. Ello, con el propósito de prevenir la ocurrencia de determinadas calamidades que por causa de la vejez, el desempleo, las cargas familiares o una enfermedad, atentan contra determinados sectores de la colectividad.</w:t>
      </w:r>
      <w:r w:rsidRPr="002D20D6">
        <w:rPr>
          <w:rStyle w:val="Refdenotaalpie"/>
          <w:rFonts w:cs="Times New Roman"/>
          <w:color w:val="0D0D0D" w:themeColor="text1" w:themeTint="F2"/>
          <w:sz w:val="28"/>
          <w:szCs w:val="28"/>
        </w:rPr>
        <w:footnoteReference w:id="85"/>
      </w:r>
    </w:p>
    <w:p w:rsidR="00B057AC" w:rsidRPr="002D20D6" w:rsidRDefault="002D20D6" w:rsidP="00B057AC">
      <w:pPr>
        <w:pStyle w:val="NormalWeb"/>
        <w:tabs>
          <w:tab w:val="left" w:pos="142"/>
        </w:tabs>
        <w:ind w:right="49"/>
        <w:jc w:val="both"/>
        <w:rPr>
          <w:rFonts w:ascii="Times New Roman" w:hAnsi="Times New Roman" w:cs="Times New Roman"/>
          <w:color w:val="0D0D0D" w:themeColor="text1" w:themeTint="F2"/>
          <w:sz w:val="28"/>
          <w:szCs w:val="28"/>
        </w:rPr>
      </w:pPr>
    </w:p>
    <w:p w:rsidR="00B057AC" w:rsidRPr="002D20D6" w:rsidRDefault="002D20D6" w:rsidP="00B057AC">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En similar sentido lo ha entendido la Sala de Casación Laboral de la Corte Suprema de Justicia. En su criterio, el principio de irrenunciabilidad </w:t>
      </w:r>
      <w:r w:rsidRPr="002D20D6">
        <w:rPr>
          <w:rFonts w:ascii="Times New Roman" w:hAnsi="Times New Roman" w:cs="Times New Roman"/>
          <w:i/>
          <w:color w:val="0D0D0D" w:themeColor="text1" w:themeTint="F2"/>
          <w:sz w:val="28"/>
          <w:szCs w:val="28"/>
        </w:rPr>
        <w:t xml:space="preserve">“es un axioma que parte de la premisa de que el trabajador no puede por su voluntad, desprenderse y abandonar </w:t>
      </w:r>
      <w:r w:rsidRPr="002D20D6">
        <w:rPr>
          <w:rFonts w:ascii="Times New Roman" w:hAnsi="Times New Roman" w:cs="Times New Roman"/>
          <w:i/>
          <w:color w:val="0D0D0D" w:themeColor="text1" w:themeTint="F2"/>
          <w:sz w:val="28"/>
          <w:szCs w:val="28"/>
        </w:rPr>
        <w:t>en su perjuicio un beneficio consagrado en normas laborales, en razón al carácter imperativo del que se encuentran revistadas, «salvo los casos expresamente exceptuados en la ley»”.</w:t>
      </w:r>
      <w:r w:rsidRPr="002D20D6">
        <w:rPr>
          <w:rStyle w:val="Refdenotaalpie"/>
          <w:rFonts w:cs="Times New Roman"/>
          <w:color w:val="0D0D0D" w:themeColor="text1" w:themeTint="F2"/>
          <w:sz w:val="28"/>
          <w:szCs w:val="28"/>
        </w:rPr>
        <w:footnoteReference w:id="86"/>
      </w:r>
      <w:r w:rsidRPr="002D20D6">
        <w:rPr>
          <w:rFonts w:ascii="Times New Roman" w:hAnsi="Times New Roman" w:cs="Times New Roman"/>
          <w:i/>
          <w:color w:val="0D0D0D" w:themeColor="text1" w:themeTint="F2"/>
          <w:sz w:val="28"/>
          <w:szCs w:val="28"/>
        </w:rPr>
        <w:t xml:space="preserve"> </w:t>
      </w:r>
      <w:r w:rsidRPr="002D20D6">
        <w:rPr>
          <w:rFonts w:ascii="Times New Roman" w:hAnsi="Times New Roman" w:cs="Times New Roman"/>
          <w:color w:val="0D0D0D" w:themeColor="text1" w:themeTint="F2"/>
          <w:sz w:val="28"/>
          <w:szCs w:val="28"/>
        </w:rPr>
        <w:t>A su vez, ha dicho que la naturaleza del mencionado principio descansa en</w:t>
      </w:r>
      <w:r w:rsidRPr="002D20D6">
        <w:rPr>
          <w:rFonts w:ascii="Times New Roman" w:hAnsi="Times New Roman" w:cs="Times New Roman"/>
          <w:color w:val="0D0D0D" w:themeColor="text1" w:themeTint="F2"/>
          <w:sz w:val="28"/>
          <w:szCs w:val="28"/>
        </w:rPr>
        <w:t xml:space="preserve"> la necesidad de superar la dicotomía entre la libertad, la subordinación y la salvaguarda de los derechos del trabajador. Pues bien, en criterio de la Sala, de nada serviría que la normativa laboral fije unos derechos y garantías mínimos en cabeza del tra</w:t>
      </w:r>
      <w:r w:rsidRPr="002D20D6">
        <w:rPr>
          <w:rFonts w:ascii="Times New Roman" w:hAnsi="Times New Roman" w:cs="Times New Roman"/>
          <w:color w:val="0D0D0D" w:themeColor="text1" w:themeTint="F2"/>
          <w:sz w:val="28"/>
          <w:szCs w:val="28"/>
        </w:rPr>
        <w:t>bajador, si él pudiera desprenderse de ellos.</w:t>
      </w:r>
      <w:r w:rsidRPr="002D20D6">
        <w:rPr>
          <w:rStyle w:val="Refdenotaalpie"/>
          <w:rFonts w:cs="Times New Roman"/>
          <w:color w:val="0D0D0D" w:themeColor="text1" w:themeTint="F2"/>
          <w:sz w:val="28"/>
          <w:szCs w:val="28"/>
        </w:rPr>
        <w:footnoteReference w:id="87"/>
      </w:r>
      <w:r w:rsidRPr="002D20D6">
        <w:rPr>
          <w:rFonts w:ascii="Times New Roman" w:hAnsi="Times New Roman" w:cs="Times New Roman"/>
          <w:color w:val="0D0D0D" w:themeColor="text1" w:themeTint="F2"/>
          <w:sz w:val="28"/>
          <w:szCs w:val="28"/>
        </w:rPr>
        <w:t xml:space="preserve"> Por último, ha puntualizado en que el principio en mención es un parámetro que parte de la premisa de que el trabajador no puede, por su voluntad o por acuerdo con el empleador, desprenderse de un beneficio im</w:t>
      </w:r>
      <w:r w:rsidRPr="002D20D6">
        <w:rPr>
          <w:rFonts w:ascii="Times New Roman" w:hAnsi="Times New Roman" w:cs="Times New Roman"/>
          <w:color w:val="0D0D0D" w:themeColor="text1" w:themeTint="F2"/>
          <w:sz w:val="28"/>
          <w:szCs w:val="28"/>
        </w:rPr>
        <w:t>perativo consagrado en normas laborales, salvo los casos expresamente exceptuados por la ley.</w:t>
      </w:r>
      <w:r w:rsidRPr="002D20D6">
        <w:rPr>
          <w:rStyle w:val="Refdenotaalpie"/>
          <w:rFonts w:cs="Times New Roman"/>
          <w:color w:val="0D0D0D" w:themeColor="text1" w:themeTint="F2"/>
          <w:sz w:val="28"/>
          <w:szCs w:val="28"/>
        </w:rPr>
        <w:footnoteReference w:id="88"/>
      </w:r>
    </w:p>
    <w:p w:rsidR="79FA6DFB" w:rsidRPr="002D20D6" w:rsidRDefault="002D20D6" w:rsidP="79FA6DFB">
      <w:pPr>
        <w:pStyle w:val="NormalWeb"/>
        <w:tabs>
          <w:tab w:val="left" w:pos="142"/>
        </w:tabs>
        <w:ind w:right="49"/>
        <w:jc w:val="both"/>
        <w:rPr>
          <w:rFonts w:ascii="Times New Roman" w:hAnsi="Times New Roman" w:cs="Times New Roman"/>
          <w:color w:val="0D0D0D" w:themeColor="text1" w:themeTint="F2"/>
          <w:sz w:val="28"/>
          <w:szCs w:val="28"/>
        </w:rPr>
      </w:pPr>
    </w:p>
    <w:p w:rsidR="00487417" w:rsidRPr="002D20D6" w:rsidRDefault="002D20D6" w:rsidP="001A7275">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El principio de irrenunciabilidad se cimienta en la calidad del trabajador, en tanto es debido a las condiciones de asimetría de la relación laboral, que </w:t>
      </w:r>
      <w:r w:rsidRPr="002D20D6">
        <w:rPr>
          <w:rFonts w:ascii="Times New Roman" w:hAnsi="Times New Roman" w:cs="Times New Roman"/>
          <w:color w:val="0D0D0D" w:themeColor="text1" w:themeTint="F2"/>
          <w:sz w:val="28"/>
          <w:szCs w:val="28"/>
          <w:lang w:val="es-CO"/>
        </w:rPr>
        <w:t>se bus</w:t>
      </w:r>
      <w:r w:rsidRPr="002D20D6">
        <w:rPr>
          <w:rFonts w:ascii="Times New Roman" w:hAnsi="Times New Roman" w:cs="Times New Roman"/>
          <w:color w:val="0D0D0D" w:themeColor="text1" w:themeTint="F2"/>
          <w:sz w:val="28"/>
          <w:szCs w:val="28"/>
          <w:lang w:val="es-CO"/>
        </w:rPr>
        <w:t>ca asegurar condiciones dignas y justas en el trabajo</w:t>
      </w:r>
      <w:r w:rsidRPr="002D20D6">
        <w:rPr>
          <w:rFonts w:ascii="Times New Roman" w:hAnsi="Times New Roman" w:cs="Times New Roman"/>
          <w:color w:val="0D0D0D" w:themeColor="text1" w:themeTint="F2"/>
          <w:sz w:val="28"/>
          <w:szCs w:val="28"/>
        </w:rPr>
        <w:t xml:space="preserve">, así como </w:t>
      </w:r>
      <w:r w:rsidRPr="002D20D6">
        <w:rPr>
          <w:rFonts w:ascii="Times New Roman" w:hAnsi="Times New Roman" w:cs="Times New Roman"/>
          <w:color w:val="0D0D0D" w:themeColor="text1" w:themeTint="F2"/>
          <w:sz w:val="28"/>
          <w:szCs w:val="28"/>
          <w:lang w:val="es-CO"/>
        </w:rPr>
        <w:t xml:space="preserve">que la autonomía de la voluntad no puede ser invocada de manera absoluta en contextos laborales. Esto </w:t>
      </w:r>
      <w:r w:rsidRPr="002D20D6">
        <w:rPr>
          <w:rFonts w:ascii="Times New Roman" w:hAnsi="Times New Roman" w:cs="Times New Roman"/>
          <w:color w:val="0D0D0D" w:themeColor="text1" w:themeTint="F2"/>
          <w:sz w:val="28"/>
          <w:szCs w:val="28"/>
        </w:rPr>
        <w:t xml:space="preserve">implica que, incluso cuando la persona trabajadora expresa su consentimiento para renunciar a los beneficios laborales, esta decisión carece de validez si afecta </w:t>
      </w:r>
      <w:r w:rsidRPr="002D20D6">
        <w:rPr>
          <w:rFonts w:ascii="Times New Roman" w:hAnsi="Times New Roman" w:cs="Times New Roman"/>
          <w:color w:val="0D0D0D" w:themeColor="text1" w:themeTint="F2"/>
          <w:sz w:val="28"/>
          <w:szCs w:val="28"/>
          <w:lang w:val="es-CO"/>
        </w:rPr>
        <w:t>derechos ciertos, indiscutibles y mínimos.</w:t>
      </w:r>
      <w:r w:rsidRPr="002D20D6">
        <w:rPr>
          <w:rStyle w:val="Refdenotaalpie"/>
          <w:rFonts w:cs="Times New Roman"/>
          <w:color w:val="0D0D0D" w:themeColor="text1" w:themeTint="F2"/>
          <w:sz w:val="28"/>
          <w:szCs w:val="28"/>
          <w:lang w:val="es-CO"/>
        </w:rPr>
        <w:footnoteReference w:id="89"/>
      </w:r>
    </w:p>
    <w:p w:rsidR="00487417" w:rsidRPr="002D20D6" w:rsidRDefault="002D20D6" w:rsidP="00487417">
      <w:pPr>
        <w:pStyle w:val="Prrafodelista"/>
        <w:rPr>
          <w:rFonts w:ascii="Times New Roman" w:hAnsi="Times New Roman" w:cs="Times New Roman"/>
          <w:color w:val="0D0D0D" w:themeColor="text1" w:themeTint="F2"/>
          <w:sz w:val="28"/>
          <w:szCs w:val="28"/>
        </w:rPr>
      </w:pPr>
    </w:p>
    <w:p w:rsidR="00E03C38" w:rsidRPr="002D20D6" w:rsidRDefault="002D20D6" w:rsidP="00E03C38">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Ahora bien, al analizar el alcance del principio </w:t>
      </w:r>
      <w:r w:rsidRPr="002D20D6">
        <w:rPr>
          <w:rFonts w:ascii="Times New Roman" w:hAnsi="Times New Roman" w:cs="Times New Roman"/>
          <w:color w:val="0D0D0D" w:themeColor="text1" w:themeTint="F2"/>
          <w:sz w:val="28"/>
          <w:szCs w:val="28"/>
        </w:rPr>
        <w:t>de irrenunciabilidad a los beneficios mínimos laborales, la Corte Constitucional ha reconocido que pese a él, los trabajadores sí pueden disponer de ciertos derechos, tales como ingresos a título de salario, de prestaciones sociales o de otras prestaciones</w:t>
      </w:r>
      <w:r w:rsidRPr="002D20D6">
        <w:rPr>
          <w:rFonts w:ascii="Times New Roman" w:hAnsi="Times New Roman" w:cs="Times New Roman"/>
          <w:color w:val="0D0D0D" w:themeColor="text1" w:themeTint="F2"/>
          <w:sz w:val="28"/>
          <w:szCs w:val="28"/>
        </w:rPr>
        <w:t xml:space="preserve"> percibidas en virtud de los servicios que presta en subordinación.</w:t>
      </w:r>
      <w:r w:rsidRPr="002D20D6">
        <w:rPr>
          <w:rStyle w:val="Refdenotaalpie"/>
          <w:rFonts w:cs="Times New Roman"/>
          <w:color w:val="0D0D0D" w:themeColor="text1" w:themeTint="F2"/>
          <w:sz w:val="28"/>
          <w:szCs w:val="28"/>
        </w:rPr>
        <w:footnoteReference w:id="90"/>
      </w:r>
      <w:r w:rsidRPr="002D20D6">
        <w:rPr>
          <w:rFonts w:ascii="Times New Roman" w:hAnsi="Times New Roman" w:cs="Times New Roman"/>
          <w:color w:val="0D0D0D" w:themeColor="text1" w:themeTint="F2"/>
          <w:sz w:val="28"/>
          <w:szCs w:val="28"/>
        </w:rPr>
        <w:t xml:space="preserve"> </w:t>
      </w:r>
      <w:r w:rsidRPr="002D20D6">
        <w:rPr>
          <w:rFonts w:ascii="Times New Roman" w:eastAsia="Times New Roman" w:hAnsi="Times New Roman" w:cs="Times New Roman"/>
          <w:color w:val="0D0D0D" w:themeColor="text1" w:themeTint="F2"/>
          <w:sz w:val="28"/>
          <w:szCs w:val="28"/>
        </w:rPr>
        <w:t>A modo de ejemplo, el artículo 342 del Código Sustantivo del Trabajo anuncia que son prestaciones renunciables:</w:t>
      </w:r>
    </w:p>
    <w:p w:rsidR="00E03C38" w:rsidRPr="002D20D6" w:rsidRDefault="002D20D6" w:rsidP="00E03C38">
      <w:pPr>
        <w:pStyle w:val="NormalWeb"/>
        <w:tabs>
          <w:tab w:val="left" w:pos="142"/>
        </w:tabs>
        <w:ind w:right="49"/>
        <w:jc w:val="both"/>
        <w:rPr>
          <w:rFonts w:ascii="Times New Roman" w:eastAsia="Times New Roman" w:hAnsi="Times New Roman" w:cs="Times New Roman"/>
          <w:color w:val="0D0D0D" w:themeColor="text1" w:themeTint="F2"/>
          <w:sz w:val="28"/>
          <w:szCs w:val="28"/>
        </w:rPr>
      </w:pPr>
    </w:p>
    <w:p w:rsidR="00E03C38" w:rsidRPr="002D20D6" w:rsidRDefault="002D20D6" w:rsidP="00E03C38">
      <w:pPr>
        <w:pStyle w:val="NormalWeb"/>
        <w:tabs>
          <w:tab w:val="left" w:pos="142"/>
        </w:tabs>
        <w:ind w:left="340" w:right="340"/>
        <w:jc w:val="both"/>
        <w:rPr>
          <w:rFonts w:ascii="Times New Roman" w:eastAsia="Times New Roman" w:hAnsi="Times New Roman" w:cs="Times New Roman"/>
          <w:i/>
          <w:iCs/>
          <w:color w:val="0D0D0D" w:themeColor="text1" w:themeTint="F2"/>
          <w:sz w:val="28"/>
          <w:szCs w:val="26"/>
        </w:rPr>
      </w:pPr>
      <w:r w:rsidRPr="002D20D6">
        <w:rPr>
          <w:rFonts w:ascii="Times New Roman" w:eastAsia="Times New Roman" w:hAnsi="Times New Roman" w:cs="Times New Roman"/>
          <w:i/>
          <w:iCs/>
          <w:color w:val="0D0D0D" w:themeColor="text1" w:themeTint="F2"/>
          <w:sz w:val="28"/>
          <w:szCs w:val="26"/>
        </w:rPr>
        <w:t>“1. Los trabajadores comprendidos en el ordinal a) del inciso 2. del artíc</w:t>
      </w:r>
      <w:r w:rsidRPr="002D20D6">
        <w:rPr>
          <w:rFonts w:ascii="Times New Roman" w:eastAsia="Times New Roman" w:hAnsi="Times New Roman" w:cs="Times New Roman"/>
          <w:i/>
          <w:iCs/>
          <w:color w:val="0D0D0D" w:themeColor="text1" w:themeTint="F2"/>
          <w:sz w:val="28"/>
          <w:szCs w:val="26"/>
        </w:rPr>
        <w:t>ulo anterior, pueden renunciar a los auxilios por enfermedad no profesional establecidos en los artículos 227 y 277, a los cuales tendrían derecho al producirse su incapacidad para el trabajo como consecuencia de la perturbación o deficiencia que originó l</w:t>
      </w:r>
      <w:r w:rsidRPr="002D20D6">
        <w:rPr>
          <w:rFonts w:ascii="Times New Roman" w:eastAsia="Times New Roman" w:hAnsi="Times New Roman" w:cs="Times New Roman"/>
          <w:i/>
          <w:iCs/>
          <w:color w:val="0D0D0D" w:themeColor="text1" w:themeTint="F2"/>
          <w:sz w:val="28"/>
          <w:szCs w:val="26"/>
        </w:rPr>
        <w:t>a renuncia. </w:t>
      </w:r>
    </w:p>
    <w:p w:rsidR="00E03C38" w:rsidRPr="002D20D6" w:rsidRDefault="002D20D6" w:rsidP="00E03C38">
      <w:pPr>
        <w:pStyle w:val="NormalWeb"/>
        <w:tabs>
          <w:tab w:val="left" w:pos="142"/>
        </w:tabs>
        <w:ind w:left="340" w:right="340"/>
        <w:jc w:val="both"/>
        <w:rPr>
          <w:rFonts w:ascii="Times New Roman" w:eastAsia="Times New Roman" w:hAnsi="Times New Roman" w:cs="Times New Roman"/>
          <w:i/>
          <w:iCs/>
          <w:color w:val="0D0D0D" w:themeColor="text1" w:themeTint="F2"/>
          <w:sz w:val="28"/>
          <w:szCs w:val="26"/>
        </w:rPr>
      </w:pPr>
      <w:r w:rsidRPr="002D20D6">
        <w:rPr>
          <w:rFonts w:ascii="Times New Roman" w:eastAsia="Times New Roman" w:hAnsi="Times New Roman" w:cs="Times New Roman"/>
          <w:i/>
          <w:iCs/>
          <w:color w:val="0D0D0D" w:themeColor="text1" w:themeTint="F2"/>
          <w:sz w:val="28"/>
          <w:szCs w:val="26"/>
        </w:rPr>
        <w:t>  </w:t>
      </w:r>
    </w:p>
    <w:p w:rsidR="00E03C38" w:rsidRPr="002D20D6" w:rsidRDefault="002D20D6" w:rsidP="00E03C38">
      <w:pPr>
        <w:pStyle w:val="NormalWeb"/>
        <w:tabs>
          <w:tab w:val="left" w:pos="142"/>
        </w:tabs>
        <w:ind w:left="340" w:right="340"/>
        <w:jc w:val="both"/>
        <w:rPr>
          <w:rFonts w:ascii="Times New Roman" w:eastAsia="Times New Roman" w:hAnsi="Times New Roman" w:cs="Times New Roman"/>
          <w:i/>
          <w:iCs/>
          <w:color w:val="0D0D0D" w:themeColor="text1" w:themeTint="F2"/>
          <w:sz w:val="28"/>
          <w:szCs w:val="26"/>
        </w:rPr>
      </w:pPr>
      <w:r w:rsidRPr="002D20D6">
        <w:rPr>
          <w:rFonts w:ascii="Times New Roman" w:eastAsia="Times New Roman" w:hAnsi="Times New Roman" w:cs="Times New Roman"/>
          <w:i/>
          <w:iCs/>
          <w:color w:val="0D0D0D" w:themeColor="text1" w:themeTint="F2"/>
          <w:sz w:val="28"/>
          <w:szCs w:val="26"/>
        </w:rPr>
        <w:t>2. Los trabajadores comprendidos en el ordinal b) del inciso 2. del mismo artículo anterior, pueden renunciar a los auxilios por enfermedad no profesional y por accidente de trabajo que se produzcan como consecuencia directa de la perturbac</w:t>
      </w:r>
      <w:r w:rsidRPr="002D20D6">
        <w:rPr>
          <w:rFonts w:ascii="Times New Roman" w:eastAsia="Times New Roman" w:hAnsi="Times New Roman" w:cs="Times New Roman"/>
          <w:i/>
          <w:iCs/>
          <w:color w:val="0D0D0D" w:themeColor="text1" w:themeTint="F2"/>
          <w:sz w:val="28"/>
          <w:szCs w:val="26"/>
        </w:rPr>
        <w:t>ión o deficiencia que originó la renuncia, y al seguro de vida colectivo obligatorio, en caso de muerte ocurrida por la misma causa. </w:t>
      </w:r>
    </w:p>
    <w:p w:rsidR="00E03C38" w:rsidRPr="002D20D6" w:rsidRDefault="002D20D6" w:rsidP="00E03C38">
      <w:pPr>
        <w:pStyle w:val="NormalWeb"/>
        <w:tabs>
          <w:tab w:val="left" w:pos="142"/>
        </w:tabs>
        <w:ind w:left="340" w:right="340"/>
        <w:jc w:val="both"/>
        <w:rPr>
          <w:rFonts w:ascii="Times New Roman" w:eastAsia="Times New Roman" w:hAnsi="Times New Roman" w:cs="Times New Roman"/>
          <w:i/>
          <w:iCs/>
          <w:color w:val="0D0D0D" w:themeColor="text1" w:themeTint="F2"/>
          <w:sz w:val="28"/>
          <w:szCs w:val="26"/>
        </w:rPr>
      </w:pPr>
      <w:r w:rsidRPr="002D20D6">
        <w:rPr>
          <w:rFonts w:ascii="Times New Roman" w:eastAsia="Times New Roman" w:hAnsi="Times New Roman" w:cs="Times New Roman"/>
          <w:i/>
          <w:iCs/>
          <w:color w:val="0D0D0D" w:themeColor="text1" w:themeTint="F2"/>
          <w:sz w:val="28"/>
          <w:szCs w:val="26"/>
        </w:rPr>
        <w:t>  </w:t>
      </w:r>
    </w:p>
    <w:p w:rsidR="00E03C38" w:rsidRPr="002D20D6" w:rsidRDefault="002D20D6" w:rsidP="00E03C38">
      <w:pPr>
        <w:pStyle w:val="NormalWeb"/>
        <w:tabs>
          <w:tab w:val="left" w:pos="142"/>
        </w:tabs>
        <w:ind w:left="340" w:right="340"/>
        <w:jc w:val="both"/>
        <w:rPr>
          <w:rFonts w:ascii="Times New Roman" w:eastAsia="Times New Roman" w:hAnsi="Times New Roman" w:cs="Times New Roman"/>
          <w:i/>
          <w:iCs/>
          <w:color w:val="0D0D0D" w:themeColor="text1" w:themeTint="F2"/>
          <w:sz w:val="28"/>
          <w:szCs w:val="26"/>
        </w:rPr>
      </w:pPr>
      <w:r w:rsidRPr="002D20D6">
        <w:rPr>
          <w:rFonts w:ascii="Times New Roman" w:eastAsia="Times New Roman" w:hAnsi="Times New Roman" w:cs="Times New Roman"/>
          <w:i/>
          <w:iCs/>
          <w:color w:val="0D0D0D" w:themeColor="text1" w:themeTint="F2"/>
          <w:sz w:val="28"/>
          <w:szCs w:val="26"/>
        </w:rPr>
        <w:t xml:space="preserve">3. Todos los trabajadores de que trata el artículo anterior pueden renunciar al auxilio de invalidez establecido en el </w:t>
      </w:r>
      <w:r w:rsidRPr="002D20D6">
        <w:rPr>
          <w:rFonts w:ascii="Times New Roman" w:eastAsia="Times New Roman" w:hAnsi="Times New Roman" w:cs="Times New Roman"/>
          <w:i/>
          <w:iCs/>
          <w:color w:val="0D0D0D" w:themeColor="text1" w:themeTint="F2"/>
          <w:sz w:val="28"/>
          <w:szCs w:val="26"/>
        </w:rPr>
        <w:t>artículo 278.” </w:t>
      </w:r>
    </w:p>
    <w:p w:rsidR="00876C6C" w:rsidRPr="002D20D6" w:rsidRDefault="002D20D6" w:rsidP="00876C6C">
      <w:pPr>
        <w:pStyle w:val="Prrafodelista"/>
        <w:rPr>
          <w:rFonts w:ascii="Times New Roman" w:hAnsi="Times New Roman" w:cs="Times New Roman"/>
          <w:color w:val="0D0D0D" w:themeColor="text1" w:themeTint="F2"/>
          <w:sz w:val="28"/>
          <w:szCs w:val="28"/>
        </w:rPr>
      </w:pPr>
    </w:p>
    <w:p w:rsidR="006B2BD3" w:rsidRPr="002D20D6" w:rsidRDefault="002D20D6" w:rsidP="008A0061">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En hilo con lo anterior, la Corte Constitucional, en la Sentencia C-492 de 2015, concluyó que una reforma tributaria que gravaba ingresos laborales de personas naturales con calidad de empleados no vulneraba el principio de irrenunciabilidad de los benefic</w:t>
      </w:r>
      <w:r w:rsidRPr="002D20D6">
        <w:rPr>
          <w:rFonts w:ascii="Times New Roman" w:hAnsi="Times New Roman" w:cs="Times New Roman"/>
          <w:color w:val="0D0D0D" w:themeColor="text1" w:themeTint="F2"/>
          <w:sz w:val="28"/>
          <w:szCs w:val="28"/>
        </w:rPr>
        <w:t>ios mínimos laborales dispuesto en el artículo 53 de la Constitución. Entre otras razones, porque no hay una prohibición expresa en el texto constitucional que así lo disponga, mientras que la Constitución si establece el deber general y universal de contr</w:t>
      </w:r>
      <w:r w:rsidRPr="002D20D6">
        <w:rPr>
          <w:rFonts w:ascii="Times New Roman" w:hAnsi="Times New Roman" w:cs="Times New Roman"/>
          <w:color w:val="0D0D0D" w:themeColor="text1" w:themeTint="F2"/>
          <w:sz w:val="28"/>
          <w:szCs w:val="28"/>
        </w:rPr>
        <w:t xml:space="preserve">ibuir al financiamiento de los gastos e inversiones del Estado. </w:t>
      </w:r>
    </w:p>
    <w:p w:rsidR="006B2BD3" w:rsidRPr="002D20D6" w:rsidRDefault="002D20D6" w:rsidP="006B2BD3">
      <w:pPr>
        <w:pStyle w:val="Prrafodelista"/>
        <w:rPr>
          <w:rFonts w:ascii="Times New Roman" w:hAnsi="Times New Roman" w:cs="Times New Roman"/>
          <w:color w:val="0D0D0D" w:themeColor="text1" w:themeTint="F2"/>
          <w:sz w:val="28"/>
          <w:szCs w:val="28"/>
        </w:rPr>
      </w:pPr>
    </w:p>
    <w:p w:rsidR="00876C6C" w:rsidRPr="002D20D6" w:rsidRDefault="002D20D6" w:rsidP="008A0061">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Adicionalmente, la jurisprudencia constitucional ha dotado de contenido y alcance el principio de irrenunciabilidad de los beneficios mínimos laborales. En las sentencias C-070 de 2010 y C-424 de 2015, la Corte Constitucional utilizó tres criterios para an</w:t>
      </w:r>
      <w:r w:rsidRPr="002D20D6">
        <w:rPr>
          <w:rFonts w:ascii="Times New Roman" w:hAnsi="Times New Roman" w:cs="Times New Roman"/>
          <w:color w:val="0D0D0D" w:themeColor="text1" w:themeTint="F2"/>
          <w:sz w:val="28"/>
          <w:szCs w:val="28"/>
        </w:rPr>
        <w:t xml:space="preserve">alizar si determinada institución procesal garantiza el carácter irrenunciable de los derechos de los trabajadores, siendo estos: </w:t>
      </w:r>
      <w:r w:rsidRPr="002D20D6">
        <w:rPr>
          <w:rFonts w:ascii="Times New Roman" w:hAnsi="Times New Roman" w:cs="Times New Roman"/>
          <w:i/>
          <w:iCs/>
          <w:color w:val="0D0D0D" w:themeColor="text1" w:themeTint="F2"/>
          <w:sz w:val="28"/>
          <w:szCs w:val="28"/>
        </w:rPr>
        <w:t>(i)</w:t>
      </w:r>
      <w:r w:rsidRPr="002D20D6">
        <w:rPr>
          <w:rFonts w:ascii="Times New Roman" w:hAnsi="Times New Roman" w:cs="Times New Roman"/>
          <w:color w:val="0D0D0D" w:themeColor="text1" w:themeTint="F2"/>
          <w:sz w:val="28"/>
          <w:szCs w:val="28"/>
        </w:rPr>
        <w:t xml:space="preserve"> el carácter de mínimo irrenunciable, en el sentido reivindicatorio de los logros alcanzados a favor del empleado; </w:t>
      </w:r>
      <w:r w:rsidRPr="002D20D6">
        <w:rPr>
          <w:rFonts w:ascii="Times New Roman" w:hAnsi="Times New Roman" w:cs="Times New Roman"/>
          <w:i/>
          <w:iCs/>
          <w:color w:val="0D0D0D" w:themeColor="text1" w:themeTint="F2"/>
          <w:sz w:val="28"/>
          <w:szCs w:val="28"/>
        </w:rPr>
        <w:t>(ii)</w:t>
      </w:r>
      <w:r w:rsidRPr="002D20D6">
        <w:rPr>
          <w:rFonts w:ascii="Times New Roman" w:hAnsi="Times New Roman" w:cs="Times New Roman"/>
          <w:color w:val="0D0D0D" w:themeColor="text1" w:themeTint="F2"/>
          <w:sz w:val="28"/>
          <w:szCs w:val="28"/>
        </w:rPr>
        <w:t xml:space="preserve"> el </w:t>
      </w:r>
      <w:r w:rsidRPr="002D20D6">
        <w:rPr>
          <w:rFonts w:ascii="Times New Roman" w:hAnsi="Times New Roman" w:cs="Times New Roman"/>
          <w:color w:val="0D0D0D" w:themeColor="text1" w:themeTint="F2"/>
          <w:sz w:val="28"/>
          <w:szCs w:val="28"/>
        </w:rPr>
        <w:t xml:space="preserve">carácter tuitivo de la legislación laboral que busca la protección de la parte más débil de la relación y, </w:t>
      </w:r>
      <w:r w:rsidRPr="002D20D6">
        <w:rPr>
          <w:rFonts w:ascii="Times New Roman" w:hAnsi="Times New Roman" w:cs="Times New Roman"/>
          <w:i/>
          <w:iCs/>
          <w:color w:val="0D0D0D" w:themeColor="text1" w:themeTint="F2"/>
          <w:sz w:val="28"/>
          <w:szCs w:val="28"/>
        </w:rPr>
        <w:t>(iii)</w:t>
      </w:r>
      <w:r w:rsidRPr="002D20D6">
        <w:rPr>
          <w:rFonts w:ascii="Times New Roman" w:hAnsi="Times New Roman" w:cs="Times New Roman"/>
          <w:color w:val="0D0D0D" w:themeColor="text1" w:themeTint="F2"/>
          <w:sz w:val="28"/>
          <w:szCs w:val="28"/>
        </w:rPr>
        <w:t xml:space="preserve"> la facultad de reconocer beneficios mínimos no es exclusiva del grado de consulta, sino también se aplica a la doble instancia.</w:t>
      </w:r>
    </w:p>
    <w:p w:rsidR="236466FC" w:rsidRPr="002D20D6" w:rsidRDefault="002D20D6" w:rsidP="236466FC">
      <w:pPr>
        <w:pStyle w:val="NormalWeb"/>
        <w:tabs>
          <w:tab w:val="left" w:pos="142"/>
        </w:tabs>
        <w:ind w:right="49"/>
        <w:jc w:val="both"/>
        <w:rPr>
          <w:rFonts w:ascii="Times New Roman" w:hAnsi="Times New Roman" w:cs="Times New Roman"/>
          <w:color w:val="0D0D0D" w:themeColor="text1" w:themeTint="F2"/>
          <w:sz w:val="28"/>
          <w:szCs w:val="28"/>
        </w:rPr>
      </w:pPr>
    </w:p>
    <w:p w:rsidR="35F5D0A0" w:rsidRPr="002D20D6" w:rsidRDefault="002D20D6" w:rsidP="236466FC">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En suma, el pr</w:t>
      </w:r>
      <w:r w:rsidRPr="002D20D6">
        <w:rPr>
          <w:rFonts w:ascii="Times New Roman" w:hAnsi="Times New Roman" w:cs="Times New Roman"/>
          <w:color w:val="0D0D0D" w:themeColor="text1" w:themeTint="F2"/>
          <w:sz w:val="28"/>
          <w:szCs w:val="28"/>
        </w:rPr>
        <w:t>incipio de irrenunciabilidad de los beneficios mínimos laborales, según lo ha entendido la jurisprudencia de la Corte Constitucional y la Corte Suprema de Justicia, es un límite constitucional ejercido en el marco del control abstracto de constitucionalida</w:t>
      </w:r>
      <w:r w:rsidRPr="002D20D6">
        <w:rPr>
          <w:rFonts w:ascii="Times New Roman" w:hAnsi="Times New Roman" w:cs="Times New Roman"/>
          <w:color w:val="0D0D0D" w:themeColor="text1" w:themeTint="F2"/>
          <w:sz w:val="28"/>
          <w:szCs w:val="28"/>
        </w:rPr>
        <w:t>d, por medio del cual se evalúa si las leyes, los acuerdos y los convenios del trabajo suponen o no una renuncia a los beneficios mínimos laborales. Al ser un parámetro de constitucionalidad dirigido a determinar qué es susceptible de renuncia y qué no, aq</w:t>
      </w:r>
      <w:r w:rsidRPr="002D20D6">
        <w:rPr>
          <w:rFonts w:ascii="Times New Roman" w:hAnsi="Times New Roman" w:cs="Times New Roman"/>
          <w:color w:val="0D0D0D" w:themeColor="text1" w:themeTint="F2"/>
          <w:sz w:val="28"/>
          <w:szCs w:val="28"/>
        </w:rPr>
        <w:t>uel no puede interpretarse únicamente como un estándar para enjuiciar los acuerdos a los que lleguen los empleadores y los empleados.</w:t>
      </w:r>
      <w:r w:rsidRPr="002D20D6">
        <w:rPr>
          <w:rStyle w:val="Refdenotaalpie"/>
          <w:rFonts w:cs="Times New Roman"/>
          <w:color w:val="0D0D0D" w:themeColor="text1" w:themeTint="F2"/>
          <w:sz w:val="28"/>
          <w:szCs w:val="28"/>
        </w:rPr>
        <w:footnoteReference w:id="91"/>
      </w:r>
    </w:p>
    <w:p w:rsidR="0094120C" w:rsidRPr="002D20D6" w:rsidRDefault="002D20D6" w:rsidP="00DE59D7">
      <w:pPr>
        <w:pStyle w:val="NormalWeb"/>
        <w:tabs>
          <w:tab w:val="left" w:pos="142"/>
        </w:tabs>
        <w:ind w:right="49"/>
        <w:jc w:val="both"/>
        <w:rPr>
          <w:rFonts w:ascii="Times New Roman" w:hAnsi="Times New Roman" w:cs="Times New Roman"/>
          <w:b/>
          <w:i/>
          <w:color w:val="0D0D0D" w:themeColor="text1" w:themeTint="F2"/>
          <w:sz w:val="28"/>
          <w:szCs w:val="28"/>
        </w:rPr>
      </w:pPr>
    </w:p>
    <w:p w:rsidR="00FB0741" w:rsidRPr="002D20D6" w:rsidRDefault="002D20D6" w:rsidP="007763A3">
      <w:pPr>
        <w:pStyle w:val="NormalWeb"/>
        <w:numPr>
          <w:ilvl w:val="0"/>
          <w:numId w:val="6"/>
        </w:numPr>
        <w:tabs>
          <w:tab w:val="left" w:pos="142"/>
        </w:tabs>
        <w:ind w:right="49"/>
        <w:jc w:val="both"/>
        <w:rPr>
          <w:rFonts w:ascii="Times New Roman" w:hAnsi="Times New Roman" w:cs="Times New Roman"/>
          <w:b/>
          <w:bCs/>
          <w:i/>
          <w:color w:val="0D0D0D" w:themeColor="text1" w:themeTint="F2"/>
          <w:sz w:val="28"/>
          <w:szCs w:val="28"/>
        </w:rPr>
      </w:pPr>
      <w:r w:rsidRPr="002D20D6">
        <w:rPr>
          <w:rFonts w:ascii="Times New Roman" w:hAnsi="Times New Roman" w:cs="Times New Roman"/>
          <w:b/>
          <w:bCs/>
          <w:i/>
          <w:color w:val="0D0D0D" w:themeColor="text1" w:themeTint="F2"/>
          <w:sz w:val="28"/>
          <w:szCs w:val="28"/>
        </w:rPr>
        <w:t>Facultad para transigir y conciliar sobre derechos inciertos y discutibles</w:t>
      </w:r>
    </w:p>
    <w:p w:rsidR="00DE59D7" w:rsidRPr="002D20D6" w:rsidRDefault="002D20D6" w:rsidP="00DE59D7">
      <w:pPr>
        <w:pStyle w:val="NormalWeb"/>
        <w:tabs>
          <w:tab w:val="left" w:pos="142"/>
        </w:tabs>
        <w:ind w:right="49"/>
        <w:jc w:val="both"/>
        <w:rPr>
          <w:rFonts w:ascii="Times New Roman" w:hAnsi="Times New Roman" w:cs="Times New Roman"/>
          <w:b/>
          <w:bCs/>
          <w:i/>
          <w:iCs/>
          <w:color w:val="0D0D0D" w:themeColor="text1" w:themeTint="F2"/>
          <w:sz w:val="28"/>
          <w:szCs w:val="28"/>
        </w:rPr>
      </w:pPr>
    </w:p>
    <w:p w:rsidR="00DE59D7" w:rsidRPr="002D20D6" w:rsidRDefault="002D20D6" w:rsidP="004944A0">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eastAsia="Times New Roman" w:hAnsi="Times New Roman" w:cs="Times New Roman"/>
          <w:color w:val="0D0D0D" w:themeColor="text1" w:themeTint="F2"/>
          <w:sz w:val="28"/>
          <w:szCs w:val="28"/>
        </w:rPr>
        <w:t>Como se expuso, el artículo 53 de la Constit</w:t>
      </w:r>
      <w:r w:rsidRPr="002D20D6">
        <w:rPr>
          <w:rFonts w:ascii="Times New Roman" w:eastAsia="Times New Roman" w:hAnsi="Times New Roman" w:cs="Times New Roman"/>
          <w:color w:val="0D0D0D" w:themeColor="text1" w:themeTint="F2"/>
          <w:sz w:val="28"/>
          <w:szCs w:val="28"/>
        </w:rPr>
        <w:t xml:space="preserve">ución incluye otros </w:t>
      </w:r>
      <w:r w:rsidRPr="002D20D6">
        <w:rPr>
          <w:rFonts w:ascii="Times New Roman" w:hAnsi="Times New Roman" w:cs="Times New Roman"/>
          <w:color w:val="0D0D0D" w:themeColor="text1" w:themeTint="F2"/>
          <w:sz w:val="28"/>
          <w:szCs w:val="28"/>
        </w:rPr>
        <w:t>principios mínimos fundamentales</w:t>
      </w:r>
      <w:r w:rsidRPr="002D20D6">
        <w:rPr>
          <w:rFonts w:ascii="Times New Roman" w:eastAsia="Times New Roman" w:hAnsi="Times New Roman" w:cs="Times New Roman"/>
          <w:color w:val="0D0D0D" w:themeColor="text1" w:themeTint="F2"/>
          <w:sz w:val="28"/>
          <w:szCs w:val="28"/>
        </w:rPr>
        <w:t xml:space="preserve">, entre ellos, las </w:t>
      </w:r>
      <w:r w:rsidRPr="002D20D6">
        <w:rPr>
          <w:rFonts w:ascii="Times New Roman" w:eastAsia="Times New Roman" w:hAnsi="Times New Roman" w:cs="Times New Roman"/>
          <w:i/>
          <w:iCs/>
          <w:color w:val="0D0D0D" w:themeColor="text1" w:themeTint="F2"/>
          <w:sz w:val="28"/>
          <w:szCs w:val="28"/>
        </w:rPr>
        <w:t>“f</w:t>
      </w:r>
      <w:r w:rsidRPr="002D20D6">
        <w:rPr>
          <w:rFonts w:ascii="Times New Roman" w:eastAsia="Times New Roman" w:hAnsi="Times New Roman" w:cs="Times New Roman"/>
          <w:i/>
          <w:iCs/>
          <w:color w:val="0D0D0D" w:themeColor="text1" w:themeTint="F2"/>
          <w:sz w:val="28"/>
          <w:szCs w:val="28"/>
          <w:lang w:val="es-CO"/>
        </w:rPr>
        <w:t>acultades para transigir y conciliar sobre derechos inciertos y discutibles”</w:t>
      </w:r>
      <w:r w:rsidRPr="002D20D6">
        <w:rPr>
          <w:rFonts w:ascii="Times New Roman" w:eastAsia="Times New Roman" w:hAnsi="Times New Roman" w:cs="Times New Roman"/>
          <w:color w:val="0D0D0D" w:themeColor="text1" w:themeTint="F2"/>
          <w:sz w:val="28"/>
          <w:szCs w:val="28"/>
        </w:rPr>
        <w:t>. Este parámetro constitucional está relacionado estrechamente con el de la irrenunciabilidad, en la medida</w:t>
      </w:r>
      <w:r w:rsidRPr="002D20D6">
        <w:rPr>
          <w:rFonts w:ascii="Times New Roman" w:eastAsia="Times New Roman" w:hAnsi="Times New Roman" w:cs="Times New Roman"/>
          <w:color w:val="0D0D0D" w:themeColor="text1" w:themeTint="F2"/>
          <w:sz w:val="28"/>
          <w:szCs w:val="28"/>
        </w:rPr>
        <w:t xml:space="preserve"> en que éste decanta que existen derechos por fuera de su protección y es en ese ámbito en el que entran en juego las facultades para transigir y conciliar derechos inciertos y discutibles.</w:t>
      </w:r>
      <w:r w:rsidRPr="002D20D6">
        <w:rPr>
          <w:rStyle w:val="Refdenotaalpie"/>
          <w:rFonts w:eastAsia="Times New Roman" w:cs="Times New Roman"/>
          <w:color w:val="0D0D0D" w:themeColor="text1" w:themeTint="F2"/>
          <w:sz w:val="28"/>
          <w:szCs w:val="28"/>
        </w:rPr>
        <w:footnoteReference w:id="92"/>
      </w:r>
    </w:p>
    <w:p w:rsidR="77E9FD1E" w:rsidRPr="002D20D6" w:rsidRDefault="002D20D6" w:rsidP="2DD2F2C4">
      <w:pPr>
        <w:pStyle w:val="NormalWeb"/>
        <w:tabs>
          <w:tab w:val="left" w:pos="142"/>
        </w:tabs>
        <w:ind w:right="49"/>
        <w:jc w:val="both"/>
        <w:rPr>
          <w:rFonts w:ascii="Times New Roman" w:eastAsia="Times New Roman" w:hAnsi="Times New Roman" w:cs="Times New Roman"/>
          <w:color w:val="0D0D0D" w:themeColor="text1" w:themeTint="F2"/>
          <w:sz w:val="28"/>
          <w:szCs w:val="28"/>
        </w:rPr>
      </w:pPr>
    </w:p>
    <w:p w:rsidR="001F075D" w:rsidRPr="002D20D6" w:rsidRDefault="002D20D6" w:rsidP="000119A7">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eastAsia="Times New Roman" w:hAnsi="Times New Roman" w:cs="Times New Roman"/>
          <w:color w:val="0D0D0D" w:themeColor="text1" w:themeTint="F2"/>
          <w:sz w:val="28"/>
          <w:szCs w:val="28"/>
        </w:rPr>
        <w:t xml:space="preserve">Ahora, el concepto de lo incierto y discutible se enmarca en su </w:t>
      </w:r>
      <w:r w:rsidRPr="002D20D6">
        <w:rPr>
          <w:rFonts w:ascii="Times New Roman" w:eastAsia="Times New Roman" w:hAnsi="Times New Roman" w:cs="Times New Roman"/>
          <w:color w:val="0D0D0D" w:themeColor="text1" w:themeTint="F2"/>
          <w:sz w:val="28"/>
          <w:szCs w:val="28"/>
        </w:rPr>
        <w:t xml:space="preserve">opuesto, es decir, lo cierto e indiscutible. De ahí que, de antaño la Sala de Casación Laboral de la Corte Suprema de Justicia ha reseñado que un derecho laboral lo es cuando no existe duda sobre la existencia de los hechos que le dan origen y hay certeza </w:t>
      </w:r>
      <w:r w:rsidRPr="002D20D6">
        <w:rPr>
          <w:rFonts w:ascii="Times New Roman" w:eastAsia="Times New Roman" w:hAnsi="Times New Roman" w:cs="Times New Roman"/>
          <w:color w:val="0D0D0D" w:themeColor="text1" w:themeTint="F2"/>
          <w:sz w:val="28"/>
          <w:szCs w:val="28"/>
        </w:rPr>
        <w:t>absoluta de que ningún elemento impide su configuración o exigibilidad. Este carácter surge del cumplimiento de los supuestos de hecho o condiciones establecidas en la norma jurídica que lo consagra.</w:t>
      </w:r>
      <w:r w:rsidRPr="002D20D6">
        <w:rPr>
          <w:rFonts w:ascii="Times New Roman" w:hAnsi="Times New Roman" w:cs="Times New Roman"/>
          <w:color w:val="0D0D0D" w:themeColor="text1" w:themeTint="F2"/>
          <w:sz w:val="28"/>
          <w:szCs w:val="28"/>
          <w:vertAlign w:val="superscript"/>
        </w:rPr>
        <w:footnoteReference w:id="93"/>
      </w:r>
      <w:r w:rsidRPr="002D20D6">
        <w:rPr>
          <w:rFonts w:ascii="Times New Roman" w:eastAsia="Times New Roman" w:hAnsi="Times New Roman" w:cs="Times New Roman"/>
          <w:color w:val="0D0D0D" w:themeColor="text1" w:themeTint="F2"/>
          <w:sz w:val="28"/>
          <w:szCs w:val="28"/>
        </w:rPr>
        <w:t xml:space="preserve"> En ese sentido, la Corte Suprema de Justicia en su Sala</w:t>
      </w:r>
      <w:r w:rsidRPr="002D20D6">
        <w:rPr>
          <w:rFonts w:ascii="Times New Roman" w:eastAsia="Times New Roman" w:hAnsi="Times New Roman" w:cs="Times New Roman"/>
          <w:color w:val="0D0D0D" w:themeColor="text1" w:themeTint="F2"/>
          <w:sz w:val="28"/>
          <w:szCs w:val="28"/>
        </w:rPr>
        <w:t xml:space="preserve"> de Casación Laboral precisó que: </w:t>
      </w:r>
    </w:p>
    <w:p w:rsidR="001F075D" w:rsidRPr="002D20D6" w:rsidRDefault="002D20D6" w:rsidP="001F075D">
      <w:pPr>
        <w:pStyle w:val="Prrafodelista"/>
        <w:rPr>
          <w:rFonts w:ascii="Times New Roman" w:eastAsia="Times New Roman" w:hAnsi="Times New Roman" w:cs="Times New Roman"/>
          <w:color w:val="0D0D0D" w:themeColor="text1" w:themeTint="F2"/>
          <w:sz w:val="28"/>
          <w:szCs w:val="24"/>
        </w:rPr>
      </w:pPr>
    </w:p>
    <w:p w:rsidR="001F075D" w:rsidRPr="002D20D6" w:rsidRDefault="002D20D6" w:rsidP="001F075D">
      <w:pPr>
        <w:pStyle w:val="NormalWeb"/>
        <w:tabs>
          <w:tab w:val="left" w:pos="142"/>
          <w:tab w:val="left" w:pos="8931"/>
        </w:tabs>
        <w:ind w:left="284" w:right="284"/>
        <w:jc w:val="both"/>
        <w:rPr>
          <w:rFonts w:ascii="Times New Roman" w:eastAsia="Times New Roman" w:hAnsi="Times New Roman" w:cs="Times New Roman"/>
          <w:i/>
          <w:color w:val="0D0D0D" w:themeColor="text1" w:themeTint="F2"/>
          <w:sz w:val="28"/>
          <w:szCs w:val="26"/>
        </w:rPr>
      </w:pPr>
      <w:r w:rsidRPr="002D20D6">
        <w:rPr>
          <w:rFonts w:ascii="Times New Roman" w:eastAsia="Times New Roman" w:hAnsi="Times New Roman" w:cs="Times New Roman"/>
          <w:color w:val="0D0D0D" w:themeColor="text1" w:themeTint="F2"/>
          <w:sz w:val="28"/>
          <w:szCs w:val="26"/>
        </w:rPr>
        <w:t>“</w:t>
      </w:r>
      <w:r w:rsidRPr="002D20D6">
        <w:rPr>
          <w:rFonts w:ascii="Times New Roman" w:eastAsia="Times New Roman" w:hAnsi="Times New Roman" w:cs="Times New Roman"/>
          <w:i/>
          <w:color w:val="0D0D0D" w:themeColor="text1" w:themeTint="F2"/>
          <w:sz w:val="28"/>
          <w:szCs w:val="26"/>
        </w:rPr>
        <w:t xml:space="preserve">el carácter de cierto e indiscutible de un derecho laboral, que impide que sea materia de una transacción o de una conciliación, surge del cumplimiento de los supuestos de hecho o de las condiciones establecidas en la </w:t>
      </w:r>
      <w:r w:rsidRPr="002D20D6">
        <w:rPr>
          <w:rFonts w:ascii="Times New Roman" w:eastAsia="Times New Roman" w:hAnsi="Times New Roman" w:cs="Times New Roman"/>
          <w:i/>
          <w:color w:val="0D0D0D" w:themeColor="text1" w:themeTint="F2"/>
          <w:sz w:val="28"/>
          <w:szCs w:val="26"/>
        </w:rPr>
        <w:t xml:space="preserve">norma jurídica que lo consagra. Por lo tanto, un derecho será cierto, real, innegable, cuando no haya duda sobre la existencia de los hechos que le dan origen y exista certeza de que no hay ningún elemento que impida su configuración o su exigibilidad. Lo </w:t>
      </w:r>
      <w:r w:rsidRPr="002D20D6">
        <w:rPr>
          <w:rFonts w:ascii="Times New Roman" w:eastAsia="Times New Roman" w:hAnsi="Times New Roman" w:cs="Times New Roman"/>
          <w:i/>
          <w:color w:val="0D0D0D" w:themeColor="text1" w:themeTint="F2"/>
          <w:sz w:val="28"/>
          <w:szCs w:val="26"/>
        </w:rPr>
        <w:t>que hace, entonces, que un derecho sea indiscutible es la certeza sobre la realización de las condiciones para su causación y no el hecho de que entre empleador y trabajador existan discusiones, diferencias o posiciones enfrentadas en torno a su nacimiento</w:t>
      </w:r>
      <w:r w:rsidRPr="002D20D6">
        <w:rPr>
          <w:rFonts w:ascii="Times New Roman" w:eastAsia="Times New Roman" w:hAnsi="Times New Roman" w:cs="Times New Roman"/>
          <w:i/>
          <w:color w:val="0D0D0D" w:themeColor="text1" w:themeTint="F2"/>
          <w:sz w:val="28"/>
          <w:szCs w:val="26"/>
        </w:rPr>
        <w:t>, pues, de no ser así, bastaría que el empleador, o a quien se le atribuya esa calidad, niegue o debata la existencia de un derecho para que éste se entienda discutible”</w:t>
      </w:r>
      <w:r w:rsidRPr="002D20D6">
        <w:rPr>
          <w:rStyle w:val="Refdenotaalpie"/>
          <w:rFonts w:eastAsia="Times New Roman" w:cs="Times New Roman"/>
          <w:i/>
          <w:color w:val="0D0D0D" w:themeColor="text1" w:themeTint="F2"/>
          <w:sz w:val="28"/>
          <w:szCs w:val="26"/>
        </w:rPr>
        <w:footnoteReference w:id="94"/>
      </w:r>
      <w:r w:rsidRPr="002D20D6">
        <w:rPr>
          <w:rFonts w:ascii="Times New Roman" w:eastAsia="Times New Roman" w:hAnsi="Times New Roman" w:cs="Times New Roman"/>
          <w:i/>
          <w:color w:val="0D0D0D" w:themeColor="text1" w:themeTint="F2"/>
          <w:sz w:val="28"/>
          <w:szCs w:val="26"/>
        </w:rPr>
        <w:t>.</w:t>
      </w:r>
    </w:p>
    <w:p w:rsidR="001F075D" w:rsidRPr="002D20D6" w:rsidRDefault="002D20D6" w:rsidP="001F075D">
      <w:pPr>
        <w:pStyle w:val="NormalWeb"/>
        <w:tabs>
          <w:tab w:val="left" w:pos="142"/>
        </w:tabs>
        <w:ind w:right="49"/>
        <w:jc w:val="both"/>
        <w:rPr>
          <w:rFonts w:ascii="Times New Roman" w:eastAsia="Times New Roman" w:hAnsi="Times New Roman" w:cs="Times New Roman"/>
          <w:i/>
          <w:color w:val="0D0D0D" w:themeColor="text1" w:themeTint="F2"/>
          <w:sz w:val="28"/>
          <w:szCs w:val="28"/>
        </w:rPr>
      </w:pPr>
    </w:p>
    <w:p w:rsidR="6DAE10B3" w:rsidRPr="002D20D6" w:rsidRDefault="002D20D6" w:rsidP="0094120C">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eastAsia="Times New Roman" w:hAnsi="Times New Roman" w:cs="Times New Roman"/>
          <w:color w:val="0D0D0D" w:themeColor="text1" w:themeTint="F2"/>
          <w:sz w:val="28"/>
          <w:szCs w:val="28"/>
        </w:rPr>
        <w:t>A su vez, en relación con la certeza del derecho, la Corte Constitucional reiteró q</w:t>
      </w:r>
      <w:r w:rsidRPr="002D20D6">
        <w:rPr>
          <w:rFonts w:ascii="Times New Roman" w:eastAsia="Times New Roman" w:hAnsi="Times New Roman" w:cs="Times New Roman"/>
          <w:color w:val="0D0D0D" w:themeColor="text1" w:themeTint="F2"/>
          <w:sz w:val="28"/>
          <w:szCs w:val="28"/>
        </w:rPr>
        <w:t xml:space="preserve">ue son aquellos que han ingresado al patrimonio de una persona, y como consecuencia de ello, existe certeza sobre el cumplimiento de los presupuestos de hecho requeridos para que se cause el derecho. En la Sentencia SU-111 de 2025, la Corte dispuso que el </w:t>
      </w:r>
      <w:r w:rsidRPr="002D20D6">
        <w:rPr>
          <w:rFonts w:ascii="Times New Roman" w:eastAsia="Times New Roman" w:hAnsi="Times New Roman" w:cs="Times New Roman"/>
          <w:color w:val="0D0D0D" w:themeColor="text1" w:themeTint="F2"/>
          <w:sz w:val="28"/>
          <w:szCs w:val="28"/>
        </w:rPr>
        <w:t>concepto de derecho cierto se encuentra directamente relacionado con el de derecho adquirido.</w:t>
      </w:r>
      <w:r w:rsidRPr="002D20D6">
        <w:rPr>
          <w:rStyle w:val="Refdenotaalpie"/>
          <w:rFonts w:eastAsia="Times New Roman" w:cs="Times New Roman"/>
          <w:color w:val="0D0D0D" w:themeColor="text1" w:themeTint="F2"/>
          <w:sz w:val="28"/>
          <w:szCs w:val="28"/>
        </w:rPr>
        <w:footnoteReference w:id="95"/>
      </w:r>
      <w:r w:rsidRPr="002D20D6">
        <w:rPr>
          <w:rFonts w:ascii="Times New Roman" w:eastAsia="Times New Roman" w:hAnsi="Times New Roman" w:cs="Times New Roman"/>
          <w:color w:val="0D0D0D" w:themeColor="text1" w:themeTint="F2"/>
          <w:sz w:val="28"/>
          <w:szCs w:val="28"/>
        </w:rPr>
        <w:t xml:space="preserve"> Por lo tanto, excluye las simples expectativas o los derechos en formación.</w:t>
      </w:r>
      <w:r w:rsidRPr="002D20D6">
        <w:rPr>
          <w:rStyle w:val="Refdenotaalpie"/>
          <w:rFonts w:eastAsia="Times New Roman" w:cs="Times New Roman"/>
          <w:color w:val="0D0D0D" w:themeColor="text1" w:themeTint="F2"/>
          <w:sz w:val="28"/>
          <w:szCs w:val="28"/>
        </w:rPr>
        <w:footnoteReference w:id="96"/>
      </w:r>
      <w:r w:rsidRPr="002D20D6">
        <w:rPr>
          <w:rFonts w:ascii="Times New Roman" w:eastAsia="Times New Roman" w:hAnsi="Times New Roman" w:cs="Times New Roman"/>
          <w:color w:val="0D0D0D" w:themeColor="text1" w:themeTint="F2"/>
          <w:sz w:val="28"/>
          <w:szCs w:val="28"/>
        </w:rPr>
        <w:t xml:space="preserve"> Así, respecto de este tipo de derechos, dijo que </w:t>
      </w:r>
      <w:r w:rsidRPr="002D20D6">
        <w:rPr>
          <w:rFonts w:ascii="Times New Roman" w:eastAsia="Times New Roman" w:hAnsi="Times New Roman" w:cs="Times New Roman"/>
          <w:i/>
          <w:iCs/>
          <w:color w:val="0D0D0D" w:themeColor="text1" w:themeTint="F2"/>
          <w:sz w:val="28"/>
          <w:szCs w:val="28"/>
        </w:rPr>
        <w:t>“la</w:t>
      </w:r>
      <w:r w:rsidRPr="002D20D6">
        <w:rPr>
          <w:rFonts w:ascii="Times New Roman" w:eastAsia="Times New Roman" w:hAnsi="Times New Roman" w:cs="Times New Roman"/>
          <w:i/>
          <w:color w:val="0D0D0D" w:themeColor="text1" w:themeTint="F2"/>
          <w:sz w:val="28"/>
          <w:szCs w:val="28"/>
        </w:rPr>
        <w:t xml:space="preserve"> libertad dispositiva está cerce</w:t>
      </w:r>
      <w:r w:rsidRPr="002D20D6">
        <w:rPr>
          <w:rFonts w:ascii="Times New Roman" w:eastAsia="Times New Roman" w:hAnsi="Times New Roman" w:cs="Times New Roman"/>
          <w:i/>
          <w:color w:val="0D0D0D" w:themeColor="text1" w:themeTint="F2"/>
          <w:sz w:val="28"/>
          <w:szCs w:val="28"/>
        </w:rPr>
        <w:t>nada por mandato directo de la Constitución y de la ley</w:t>
      </w:r>
      <w:r w:rsidRPr="002D20D6">
        <w:rPr>
          <w:rFonts w:ascii="Times New Roman" w:eastAsia="Times New Roman" w:hAnsi="Times New Roman" w:cs="Times New Roman"/>
          <w:color w:val="0D0D0D" w:themeColor="text1" w:themeTint="F2"/>
          <w:sz w:val="28"/>
          <w:szCs w:val="28"/>
        </w:rPr>
        <w:t>”.</w:t>
      </w:r>
      <w:r w:rsidRPr="002D20D6">
        <w:rPr>
          <w:rStyle w:val="Refdenotaalpie"/>
          <w:rFonts w:eastAsia="Times New Roman" w:cs="Times New Roman"/>
          <w:color w:val="0D0D0D" w:themeColor="text1" w:themeTint="F2"/>
          <w:sz w:val="28"/>
          <w:szCs w:val="28"/>
        </w:rPr>
        <w:footnoteReference w:id="97"/>
      </w:r>
    </w:p>
    <w:p w:rsidR="0FD53611" w:rsidRPr="002D20D6" w:rsidRDefault="002D20D6" w:rsidP="0FD53611">
      <w:pPr>
        <w:pStyle w:val="NormalWeb"/>
        <w:tabs>
          <w:tab w:val="left" w:pos="142"/>
        </w:tabs>
        <w:ind w:right="49"/>
        <w:jc w:val="both"/>
        <w:rPr>
          <w:rFonts w:ascii="Times New Roman" w:eastAsia="Times New Roman" w:hAnsi="Times New Roman" w:cs="Times New Roman"/>
          <w:color w:val="0D0D0D" w:themeColor="text1" w:themeTint="F2"/>
          <w:sz w:val="28"/>
          <w:szCs w:val="28"/>
        </w:rPr>
      </w:pPr>
    </w:p>
    <w:p w:rsidR="6DAE10B3" w:rsidRPr="002D20D6" w:rsidRDefault="002D20D6" w:rsidP="644CA7EF">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eastAsia="Times New Roman" w:hAnsi="Times New Roman" w:cs="Times New Roman"/>
          <w:color w:val="0D0D0D" w:themeColor="text1" w:themeTint="F2"/>
          <w:sz w:val="28"/>
          <w:szCs w:val="28"/>
        </w:rPr>
        <w:t xml:space="preserve">A </w:t>
      </w:r>
      <w:r w:rsidRPr="002D20D6">
        <w:rPr>
          <w:rFonts w:ascii="Times New Roman" w:eastAsia="Times New Roman" w:hAnsi="Times New Roman" w:cs="Times New Roman"/>
          <w:i/>
          <w:iCs/>
          <w:color w:val="0D0D0D" w:themeColor="text1" w:themeTint="F2"/>
          <w:sz w:val="28"/>
          <w:szCs w:val="28"/>
        </w:rPr>
        <w:t>contrario sensu</w:t>
      </w:r>
      <w:r w:rsidRPr="002D20D6">
        <w:rPr>
          <w:rFonts w:ascii="Times New Roman" w:eastAsia="Times New Roman" w:hAnsi="Times New Roman" w:cs="Times New Roman"/>
          <w:color w:val="0D0D0D" w:themeColor="text1" w:themeTint="F2"/>
          <w:sz w:val="28"/>
          <w:szCs w:val="28"/>
        </w:rPr>
        <w:t xml:space="preserve">, la Corte ha reconocido como derechos inciertos y discutibles los que se derivan de hechos que no son claros, la norma que lo consagra es ambigua o admite varias </w:t>
      </w:r>
      <w:r w:rsidRPr="002D20D6">
        <w:rPr>
          <w:rFonts w:ascii="Times New Roman" w:eastAsia="Times New Roman" w:hAnsi="Times New Roman" w:cs="Times New Roman"/>
          <w:color w:val="0D0D0D" w:themeColor="text1" w:themeTint="F2"/>
          <w:sz w:val="28"/>
          <w:szCs w:val="28"/>
        </w:rPr>
        <w:t>interpretaciones, o cuando el surgimiento del derecho está supeditado al cumplimiento de un plazo o condición y existe una circunstancia que impide su nacimiento o exigibilidad. Esto es, que el concepto de incierto y discutible se relaciona directamente co</w:t>
      </w:r>
      <w:r w:rsidRPr="002D20D6">
        <w:rPr>
          <w:rFonts w:ascii="Times New Roman" w:eastAsia="Times New Roman" w:hAnsi="Times New Roman" w:cs="Times New Roman"/>
          <w:color w:val="0D0D0D" w:themeColor="text1" w:themeTint="F2"/>
          <w:sz w:val="28"/>
          <w:szCs w:val="28"/>
        </w:rPr>
        <w:t>n el concepto de simples expectativas o derechos en formación.</w:t>
      </w:r>
      <w:r w:rsidRPr="002D20D6">
        <w:rPr>
          <w:rStyle w:val="Refdenotaalpie"/>
          <w:rFonts w:eastAsia="Times New Roman" w:cs="Times New Roman"/>
          <w:color w:val="0D0D0D" w:themeColor="text1" w:themeTint="F2"/>
          <w:sz w:val="28"/>
          <w:szCs w:val="28"/>
        </w:rPr>
        <w:footnoteReference w:id="98"/>
      </w:r>
      <w:r w:rsidRPr="002D20D6">
        <w:rPr>
          <w:rFonts w:ascii="Times New Roman" w:eastAsia="Times New Roman" w:hAnsi="Times New Roman" w:cs="Times New Roman"/>
          <w:color w:val="0D0D0D" w:themeColor="text1" w:themeTint="F2"/>
          <w:sz w:val="28"/>
          <w:szCs w:val="28"/>
        </w:rPr>
        <w:t xml:space="preserve"> </w:t>
      </w:r>
    </w:p>
    <w:p w:rsidR="00E245E5" w:rsidRPr="002D20D6" w:rsidRDefault="002D20D6" w:rsidP="00E245E5">
      <w:pPr>
        <w:pStyle w:val="Prrafodelista"/>
        <w:rPr>
          <w:rFonts w:ascii="Times New Roman" w:eastAsia="Times New Roman" w:hAnsi="Times New Roman" w:cs="Times New Roman"/>
          <w:color w:val="0D0D0D" w:themeColor="text1" w:themeTint="F2"/>
          <w:sz w:val="28"/>
          <w:szCs w:val="28"/>
        </w:rPr>
      </w:pPr>
    </w:p>
    <w:p w:rsidR="000119A7" w:rsidRPr="002D20D6" w:rsidRDefault="002D20D6" w:rsidP="00E245E5">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lang w:val="es-CO"/>
        </w:rPr>
      </w:pPr>
      <w:r w:rsidRPr="002D20D6">
        <w:rPr>
          <w:rFonts w:ascii="Times New Roman" w:eastAsia="Times New Roman" w:hAnsi="Times New Roman" w:cs="Times New Roman"/>
          <w:color w:val="0D0D0D" w:themeColor="text1" w:themeTint="F2"/>
          <w:sz w:val="28"/>
          <w:szCs w:val="28"/>
        </w:rPr>
        <w:t xml:space="preserve">En particular, para realizar una diferencia entre qué constituye un derecho cierto e indiscutible de uno que no lo es, esta Corporación consideró que </w:t>
      </w:r>
    </w:p>
    <w:p w:rsidR="000119A7" w:rsidRPr="002D20D6" w:rsidRDefault="002D20D6" w:rsidP="000119A7">
      <w:pPr>
        <w:pStyle w:val="Prrafodelista"/>
        <w:rPr>
          <w:rFonts w:ascii="Times New Roman" w:hAnsi="Times New Roman" w:cs="Times New Roman"/>
          <w:i/>
          <w:iCs/>
          <w:color w:val="0D0D0D" w:themeColor="text1" w:themeTint="F2"/>
          <w:sz w:val="28"/>
          <w:szCs w:val="28"/>
        </w:rPr>
      </w:pPr>
    </w:p>
    <w:p w:rsidR="00E245E5" w:rsidRPr="002D20D6" w:rsidRDefault="002D20D6" w:rsidP="000119A7">
      <w:pPr>
        <w:pStyle w:val="NormalWeb"/>
        <w:tabs>
          <w:tab w:val="left" w:pos="142"/>
        </w:tabs>
        <w:ind w:left="284" w:right="284"/>
        <w:jc w:val="both"/>
        <w:rPr>
          <w:rFonts w:ascii="Times New Roman" w:hAnsi="Times New Roman" w:cs="Times New Roman"/>
          <w:color w:val="0D0D0D" w:themeColor="text1" w:themeTint="F2"/>
          <w:sz w:val="28"/>
          <w:szCs w:val="26"/>
          <w:lang w:val="es-CO"/>
        </w:rPr>
      </w:pPr>
      <w:r w:rsidRPr="002D20D6">
        <w:rPr>
          <w:rFonts w:ascii="Times New Roman" w:hAnsi="Times New Roman" w:cs="Times New Roman"/>
          <w:i/>
          <w:iCs/>
          <w:color w:val="0D0D0D" w:themeColor="text1" w:themeTint="F2"/>
          <w:sz w:val="28"/>
          <w:szCs w:val="26"/>
        </w:rPr>
        <w:t>“</w:t>
      </w:r>
      <w:r w:rsidRPr="002D20D6">
        <w:rPr>
          <w:rFonts w:ascii="Times New Roman" w:hAnsi="Times New Roman" w:cs="Times New Roman"/>
          <w:i/>
          <w:iCs/>
          <w:color w:val="0D0D0D" w:themeColor="text1" w:themeTint="F2"/>
          <w:sz w:val="28"/>
          <w:szCs w:val="26"/>
          <w:lang w:val="es-CO"/>
        </w:rPr>
        <w:t xml:space="preserve">un derecho es cierto e indiscutible </w:t>
      </w:r>
      <w:r w:rsidRPr="002D20D6">
        <w:rPr>
          <w:rFonts w:ascii="Times New Roman" w:hAnsi="Times New Roman" w:cs="Times New Roman"/>
          <w:i/>
          <w:iCs/>
          <w:color w:val="0D0D0D" w:themeColor="text1" w:themeTint="F2"/>
          <w:sz w:val="28"/>
          <w:szCs w:val="26"/>
          <w:lang w:val="es-CO"/>
        </w:rPr>
        <w:t xml:space="preserve">cuando está incorporado al patrimonio de un sujeto y haya certeza sobre su dimensión, es decir, cuando hayan operado los supuestos de hecho de la norma que lo consagra, así no se haya configurado aún la consecuencia jurídica de la misma. Por el contrario, </w:t>
      </w:r>
      <w:r w:rsidRPr="002D20D6">
        <w:rPr>
          <w:rFonts w:ascii="Times New Roman" w:hAnsi="Times New Roman" w:cs="Times New Roman"/>
          <w:i/>
          <w:iCs/>
          <w:color w:val="0D0D0D" w:themeColor="text1" w:themeTint="F2"/>
          <w:sz w:val="28"/>
          <w:szCs w:val="26"/>
          <w:lang w:val="es-CO"/>
        </w:rPr>
        <w:t>un derecho es incierto y discutible cuando (i) los hechos no son claros; (ii) la norma que lo prevé es ambigua o admite varias interpretaciones, o (iii) su origen está supeditado al cumplimiento de un plazo o condición y existe una circunstancia que impide</w:t>
      </w:r>
      <w:r w:rsidRPr="002D20D6">
        <w:rPr>
          <w:rFonts w:ascii="Times New Roman" w:hAnsi="Times New Roman" w:cs="Times New Roman"/>
          <w:i/>
          <w:iCs/>
          <w:color w:val="0D0D0D" w:themeColor="text1" w:themeTint="F2"/>
          <w:sz w:val="28"/>
          <w:szCs w:val="26"/>
          <w:lang w:val="es-CO"/>
        </w:rPr>
        <w:t xml:space="preserve"> su nacimiento o exigibilidad.”</w:t>
      </w:r>
      <w:r w:rsidRPr="002D20D6">
        <w:rPr>
          <w:rStyle w:val="Refdenotaalpie"/>
          <w:rFonts w:cs="Times New Roman"/>
          <w:color w:val="0D0D0D" w:themeColor="text1" w:themeTint="F2"/>
          <w:sz w:val="28"/>
          <w:szCs w:val="26"/>
          <w:lang w:val="es-CO"/>
        </w:rPr>
        <w:footnoteReference w:id="99"/>
      </w:r>
    </w:p>
    <w:p w:rsidR="00DE59D7" w:rsidRPr="002D20D6" w:rsidRDefault="002D20D6" w:rsidP="00DE59D7">
      <w:pPr>
        <w:pStyle w:val="NormalWeb"/>
        <w:tabs>
          <w:tab w:val="left" w:pos="142"/>
        </w:tabs>
        <w:ind w:right="49"/>
        <w:jc w:val="both"/>
        <w:rPr>
          <w:rFonts w:ascii="Times New Roman" w:hAnsi="Times New Roman" w:cs="Times New Roman"/>
          <w:color w:val="0D0D0D" w:themeColor="text1" w:themeTint="F2"/>
          <w:sz w:val="28"/>
          <w:szCs w:val="28"/>
        </w:rPr>
      </w:pPr>
    </w:p>
    <w:p w:rsidR="00452C9D" w:rsidRPr="002D20D6" w:rsidRDefault="002D20D6" w:rsidP="00DE59D7">
      <w:pPr>
        <w:pStyle w:val="NormalWeb"/>
        <w:tabs>
          <w:tab w:val="left" w:pos="142"/>
        </w:tabs>
        <w:ind w:right="49"/>
        <w:jc w:val="both"/>
        <w:rPr>
          <w:rFonts w:ascii="Times New Roman" w:hAnsi="Times New Roman" w:cs="Times New Roman"/>
          <w:b/>
          <w:bCs/>
          <w:i/>
          <w:iCs/>
          <w:color w:val="0D0D0D" w:themeColor="text1" w:themeTint="F2"/>
          <w:sz w:val="28"/>
          <w:szCs w:val="28"/>
        </w:rPr>
      </w:pPr>
    </w:p>
    <w:p w:rsidR="0050583E" w:rsidRPr="002D20D6" w:rsidRDefault="002D20D6" w:rsidP="00361761">
      <w:pPr>
        <w:pStyle w:val="NormalWeb"/>
        <w:numPr>
          <w:ilvl w:val="0"/>
          <w:numId w:val="5"/>
        </w:numPr>
        <w:tabs>
          <w:tab w:val="left" w:pos="142"/>
        </w:tabs>
        <w:ind w:right="49"/>
        <w:jc w:val="both"/>
        <w:rPr>
          <w:rFonts w:ascii="Times New Roman" w:hAnsi="Times New Roman" w:cs="Times New Roman"/>
          <w:b/>
          <w:i/>
          <w:color w:val="0D0D0D" w:themeColor="text1" w:themeTint="F2"/>
          <w:sz w:val="28"/>
          <w:szCs w:val="28"/>
        </w:rPr>
      </w:pPr>
      <w:r w:rsidRPr="002D20D6">
        <w:rPr>
          <w:rFonts w:ascii="Times New Roman" w:hAnsi="Times New Roman" w:cs="Times New Roman"/>
          <w:b/>
          <w:i/>
          <w:color w:val="0D0D0D" w:themeColor="text1" w:themeTint="F2"/>
          <w:sz w:val="28"/>
          <w:szCs w:val="28"/>
        </w:rPr>
        <w:t>La habilitación a autoridades administrativas para transar derechos o celebrar acuerdos de conciliación extrajudicial en materia laboral</w:t>
      </w:r>
    </w:p>
    <w:p w:rsidR="00DE59D7" w:rsidRPr="002D20D6" w:rsidRDefault="002D20D6" w:rsidP="00DE59D7">
      <w:pPr>
        <w:pStyle w:val="NormalWeb"/>
        <w:tabs>
          <w:tab w:val="left" w:pos="142"/>
        </w:tabs>
        <w:ind w:right="49"/>
        <w:jc w:val="both"/>
        <w:rPr>
          <w:rFonts w:ascii="Times New Roman" w:hAnsi="Times New Roman" w:cs="Times New Roman"/>
          <w:b/>
          <w:i/>
          <w:color w:val="0D0D0D" w:themeColor="text1" w:themeTint="F2"/>
          <w:sz w:val="28"/>
          <w:szCs w:val="28"/>
        </w:rPr>
      </w:pPr>
    </w:p>
    <w:p w:rsidR="00233E31" w:rsidRPr="002D20D6" w:rsidRDefault="002D20D6" w:rsidP="7ABCED92">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eastAsia="Times New Roman" w:hAnsi="Times New Roman" w:cs="Times New Roman"/>
          <w:color w:val="0D0D0D" w:themeColor="text1" w:themeTint="F2"/>
          <w:sz w:val="28"/>
          <w:szCs w:val="28"/>
          <w:lang w:val="es-CO"/>
        </w:rPr>
        <w:t>Establecido lo anterior, corresponde precisar la naturaleza y el alcance de los dos</w:t>
      </w:r>
      <w:r w:rsidRPr="002D20D6">
        <w:rPr>
          <w:rFonts w:ascii="Times New Roman" w:eastAsia="Times New Roman" w:hAnsi="Times New Roman" w:cs="Times New Roman"/>
          <w:color w:val="0D0D0D" w:themeColor="text1" w:themeTint="F2"/>
          <w:sz w:val="28"/>
          <w:szCs w:val="28"/>
          <w:lang w:val="es-CO"/>
        </w:rPr>
        <w:t xml:space="preserve"> mecanismos a través de los cuales se materializa la disposición de derechos laborales inciertos y discutibles; la transacción y la conciliación extrajudicial. Aunque ambas instituciones comparten el propósito de resolver controversias por fuera de la sede</w:t>
      </w:r>
      <w:r w:rsidRPr="002D20D6">
        <w:rPr>
          <w:rFonts w:ascii="Times New Roman" w:eastAsia="Times New Roman" w:hAnsi="Times New Roman" w:cs="Times New Roman"/>
          <w:color w:val="0D0D0D" w:themeColor="text1" w:themeTint="F2"/>
          <w:sz w:val="28"/>
          <w:szCs w:val="28"/>
          <w:lang w:val="es-CO"/>
        </w:rPr>
        <w:t xml:space="preserve"> judicial y operan sobre el mismo universo de derechos disponibles, presentan características propias que las diferencian en cuanto a su estructura, sus efectos y el papel que en cada una desempeñan las partes y los terceros.</w:t>
      </w:r>
    </w:p>
    <w:p w:rsidR="00233E31" w:rsidRPr="002D20D6" w:rsidRDefault="002D20D6" w:rsidP="00233E31">
      <w:pPr>
        <w:pStyle w:val="NormalWeb"/>
        <w:tabs>
          <w:tab w:val="left" w:pos="142"/>
        </w:tabs>
        <w:ind w:right="49"/>
        <w:jc w:val="both"/>
        <w:rPr>
          <w:rFonts w:ascii="Times New Roman" w:eastAsia="Times New Roman" w:hAnsi="Times New Roman" w:cs="Times New Roman"/>
          <w:color w:val="0D0D0D" w:themeColor="text1" w:themeTint="F2"/>
          <w:sz w:val="28"/>
          <w:szCs w:val="28"/>
        </w:rPr>
      </w:pPr>
    </w:p>
    <w:p w:rsidR="000119A7" w:rsidRPr="002D20D6" w:rsidRDefault="002D20D6" w:rsidP="000119A7">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eastAsia="Times New Roman" w:hAnsi="Times New Roman" w:cs="Times New Roman"/>
          <w:color w:val="0D0D0D" w:themeColor="text1" w:themeTint="F2"/>
          <w:sz w:val="28"/>
          <w:szCs w:val="28"/>
          <w:lang w:val="es-CO"/>
        </w:rPr>
        <w:t xml:space="preserve">La </w:t>
      </w:r>
      <w:r w:rsidRPr="002D20D6">
        <w:rPr>
          <w:rFonts w:ascii="Times New Roman" w:eastAsia="Times New Roman" w:hAnsi="Times New Roman" w:cs="Times New Roman"/>
          <w:i/>
          <w:iCs/>
          <w:color w:val="0D0D0D" w:themeColor="text1" w:themeTint="F2"/>
          <w:sz w:val="28"/>
          <w:szCs w:val="28"/>
          <w:u w:val="single"/>
          <w:lang w:val="es-CO"/>
        </w:rPr>
        <w:t>transacción</w:t>
      </w:r>
      <w:r w:rsidRPr="002D20D6">
        <w:rPr>
          <w:rFonts w:ascii="Times New Roman" w:eastAsia="Times New Roman" w:hAnsi="Times New Roman" w:cs="Times New Roman"/>
          <w:color w:val="0D0D0D" w:themeColor="text1" w:themeTint="F2"/>
          <w:sz w:val="28"/>
          <w:szCs w:val="28"/>
          <w:lang w:val="es-CO"/>
        </w:rPr>
        <w:t xml:space="preserve"> en materia lab</w:t>
      </w:r>
      <w:r w:rsidRPr="002D20D6">
        <w:rPr>
          <w:rFonts w:ascii="Times New Roman" w:eastAsia="Times New Roman" w:hAnsi="Times New Roman" w:cs="Times New Roman"/>
          <w:color w:val="0D0D0D" w:themeColor="text1" w:themeTint="F2"/>
          <w:sz w:val="28"/>
          <w:szCs w:val="28"/>
          <w:lang w:val="es-CO"/>
        </w:rPr>
        <w:t xml:space="preserve">oral es un contrato consensual y bilateral regulado por los artículos 1625 y 2469 del Código Civil y el artículo 15 del Código Sustantivo del Trabajo, mediante el cual el empleador y trabajador extinguen extrajudicialmente un litigio pendiente o previenen </w:t>
      </w:r>
      <w:r w:rsidRPr="002D20D6">
        <w:rPr>
          <w:rFonts w:ascii="Times New Roman" w:eastAsia="Times New Roman" w:hAnsi="Times New Roman" w:cs="Times New Roman"/>
          <w:color w:val="0D0D0D" w:themeColor="text1" w:themeTint="F2"/>
          <w:sz w:val="28"/>
          <w:szCs w:val="28"/>
          <w:lang w:val="es-CO"/>
        </w:rPr>
        <w:t>uno eventual, mediante concesiones recíprocas.</w:t>
      </w:r>
      <w:r w:rsidRPr="002D20D6">
        <w:rPr>
          <w:rStyle w:val="Refdenotaalpie"/>
          <w:rFonts w:eastAsia="Times New Roman" w:cs="Times New Roman"/>
          <w:color w:val="0D0D0D" w:themeColor="text1" w:themeTint="F2"/>
          <w:sz w:val="28"/>
          <w:szCs w:val="28"/>
          <w:lang w:val="es-CO"/>
        </w:rPr>
        <w:footnoteReference w:id="100"/>
      </w:r>
      <w:r w:rsidRPr="002D20D6">
        <w:rPr>
          <w:rFonts w:ascii="Times New Roman" w:eastAsia="Times New Roman" w:hAnsi="Times New Roman" w:cs="Times New Roman"/>
          <w:color w:val="0D0D0D" w:themeColor="text1" w:themeTint="F2"/>
          <w:sz w:val="28"/>
          <w:szCs w:val="28"/>
        </w:rPr>
        <w:t xml:space="preserve"> </w:t>
      </w:r>
    </w:p>
    <w:p w:rsidR="000119A7" w:rsidRPr="002D20D6" w:rsidRDefault="002D20D6" w:rsidP="000119A7">
      <w:pPr>
        <w:pStyle w:val="Prrafodelista"/>
        <w:rPr>
          <w:rFonts w:ascii="Times New Roman" w:eastAsia="Times New Roman" w:hAnsi="Times New Roman" w:cs="Times New Roman"/>
          <w:color w:val="0D0D0D" w:themeColor="text1" w:themeTint="F2"/>
          <w:sz w:val="28"/>
          <w:szCs w:val="28"/>
          <w:lang w:val="es-CO"/>
        </w:rPr>
      </w:pPr>
    </w:p>
    <w:p w:rsidR="00F41C59" w:rsidRPr="002D20D6" w:rsidRDefault="002D20D6" w:rsidP="000119A7">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eastAsia="Times New Roman" w:hAnsi="Times New Roman" w:cs="Times New Roman"/>
          <w:color w:val="0D0D0D" w:themeColor="text1" w:themeTint="F2"/>
          <w:sz w:val="28"/>
          <w:szCs w:val="28"/>
          <w:lang w:val="es-CO"/>
        </w:rPr>
        <w:t xml:space="preserve">En cambio, por mandato del artículo 116 de la Constitución, la </w:t>
      </w:r>
      <w:r w:rsidRPr="002D20D6">
        <w:rPr>
          <w:rFonts w:ascii="Times New Roman" w:eastAsia="Times New Roman" w:hAnsi="Times New Roman" w:cs="Times New Roman"/>
          <w:i/>
          <w:iCs/>
          <w:color w:val="0D0D0D" w:themeColor="text1" w:themeTint="F2"/>
          <w:sz w:val="28"/>
          <w:szCs w:val="28"/>
          <w:u w:val="single"/>
          <w:lang w:val="es-CO"/>
        </w:rPr>
        <w:t>conciliación</w:t>
      </w:r>
      <w:r w:rsidRPr="002D20D6">
        <w:rPr>
          <w:rFonts w:ascii="Times New Roman" w:eastAsia="Times New Roman" w:hAnsi="Times New Roman" w:cs="Times New Roman"/>
          <w:color w:val="0D0D0D" w:themeColor="text1" w:themeTint="F2"/>
          <w:sz w:val="28"/>
          <w:szCs w:val="28"/>
          <w:lang w:val="es-CO"/>
        </w:rPr>
        <w:t xml:space="preserve"> tiene un carácter esencialmente voluntario, porque son las partes las que, en cada caso en concreto, seleccionan en forma espontánea al particular que habrá de hacer las veces de conciliador. Ello impide que, desde este punto de vista, se establezca una s</w:t>
      </w:r>
      <w:r w:rsidRPr="002D20D6">
        <w:rPr>
          <w:rFonts w:ascii="Times New Roman" w:eastAsia="Times New Roman" w:hAnsi="Times New Roman" w:cs="Times New Roman"/>
          <w:color w:val="0D0D0D" w:themeColor="text1" w:themeTint="F2"/>
          <w:sz w:val="28"/>
          <w:szCs w:val="28"/>
          <w:lang w:val="es-CO"/>
        </w:rPr>
        <w:t xml:space="preserve">uerte de permanencia en el ejercicio de dicha función. En relación con este mecanismo alternativo para la resolución de conflictos, en la Sentencia C-893 de 2001, la Corte consideró que: </w:t>
      </w:r>
    </w:p>
    <w:p w:rsidR="00BB0C9E" w:rsidRPr="002D20D6" w:rsidRDefault="002D20D6" w:rsidP="00BB0C9E">
      <w:pPr>
        <w:pStyle w:val="NormalWeb"/>
        <w:tabs>
          <w:tab w:val="left" w:pos="142"/>
        </w:tabs>
        <w:ind w:right="49"/>
        <w:jc w:val="both"/>
        <w:rPr>
          <w:rFonts w:ascii="Times New Roman" w:eastAsia="Times New Roman" w:hAnsi="Times New Roman" w:cs="Times New Roman"/>
          <w:color w:val="0D0D0D" w:themeColor="text1" w:themeTint="F2"/>
          <w:sz w:val="28"/>
          <w:szCs w:val="28"/>
          <w:lang w:val="es-CO"/>
        </w:rPr>
      </w:pPr>
    </w:p>
    <w:p w:rsidR="00BB0C9E" w:rsidRPr="002D20D6" w:rsidRDefault="002D20D6" w:rsidP="00BB0C9E">
      <w:pPr>
        <w:pStyle w:val="NormalWeb"/>
        <w:tabs>
          <w:tab w:val="left" w:pos="142"/>
          <w:tab w:val="left" w:pos="8931"/>
        </w:tabs>
        <w:ind w:left="284" w:right="284"/>
        <w:jc w:val="both"/>
        <w:rPr>
          <w:rFonts w:ascii="Times New Roman" w:eastAsia="Times New Roman" w:hAnsi="Times New Roman" w:cs="Times New Roman"/>
          <w:i/>
          <w:color w:val="0D0D0D" w:themeColor="text1" w:themeTint="F2"/>
          <w:sz w:val="28"/>
          <w:szCs w:val="26"/>
        </w:rPr>
      </w:pPr>
      <w:r w:rsidRPr="002D20D6">
        <w:rPr>
          <w:rFonts w:ascii="Times New Roman" w:eastAsia="Times New Roman" w:hAnsi="Times New Roman" w:cs="Times New Roman"/>
          <w:i/>
          <w:color w:val="0D0D0D" w:themeColor="text1" w:themeTint="F2"/>
          <w:sz w:val="28"/>
          <w:szCs w:val="26"/>
        </w:rPr>
        <w:t>“</w:t>
      </w:r>
      <w:r w:rsidRPr="002D20D6">
        <w:rPr>
          <w:rFonts w:ascii="Times New Roman" w:eastAsia="Times New Roman" w:hAnsi="Times New Roman" w:cs="Times New Roman"/>
          <w:iCs/>
          <w:color w:val="0D0D0D" w:themeColor="text1" w:themeTint="F2"/>
          <w:sz w:val="28"/>
          <w:szCs w:val="26"/>
        </w:rPr>
        <w:t>[b]</w:t>
      </w:r>
      <w:r w:rsidRPr="002D20D6">
        <w:rPr>
          <w:rFonts w:ascii="Times New Roman" w:eastAsia="Times New Roman" w:hAnsi="Times New Roman" w:cs="Times New Roman"/>
          <w:i/>
          <w:color w:val="0D0D0D" w:themeColor="text1" w:themeTint="F2"/>
          <w:sz w:val="28"/>
          <w:szCs w:val="26"/>
        </w:rPr>
        <w:t>usca</w:t>
      </w:r>
      <w:r w:rsidRPr="002D20D6">
        <w:rPr>
          <w:rFonts w:ascii="Times New Roman" w:eastAsia="Times New Roman" w:hAnsi="Times New Roman" w:cs="Times New Roman"/>
          <w:i/>
          <w:color w:val="0D0D0D" w:themeColor="text1" w:themeTint="F2"/>
          <w:sz w:val="28"/>
          <w:szCs w:val="26"/>
        </w:rPr>
        <w:t xml:space="preserve"> involucrar a la comunidad en la resolución de sus propios conflictos, mediante la utilización de instrumentos flexibles, ágiles, efectivos y económicos que conduzcan al saneamiento de las controversias sociales y contribuyan a la realización de valores qu</w:t>
      </w:r>
      <w:r w:rsidRPr="002D20D6">
        <w:rPr>
          <w:rFonts w:ascii="Times New Roman" w:eastAsia="Times New Roman" w:hAnsi="Times New Roman" w:cs="Times New Roman"/>
          <w:i/>
          <w:color w:val="0D0D0D" w:themeColor="text1" w:themeTint="F2"/>
          <w:sz w:val="28"/>
          <w:szCs w:val="26"/>
        </w:rPr>
        <w:t>e inspiran un Estado social de derecho, como son la paz, la tranquilidad, el orden justo y la armonía de las relaciones sociales; además de que persigue la descongestión de los despachos judiciales, reservando la actividad judicial para los casos en que se</w:t>
      </w:r>
      <w:r w:rsidRPr="002D20D6">
        <w:rPr>
          <w:rFonts w:ascii="Times New Roman" w:eastAsia="Times New Roman" w:hAnsi="Times New Roman" w:cs="Times New Roman"/>
          <w:i/>
          <w:color w:val="0D0D0D" w:themeColor="text1" w:themeTint="F2"/>
          <w:sz w:val="28"/>
          <w:szCs w:val="26"/>
        </w:rPr>
        <w:t>a necesaria una verdadera intervención del Estado. La conciliación es un procedimiento por el cual un número determinado de individuos, trabados entre sí por causa de una controversia jurídica, se reúnen para componerla con la intervención de un tercero ne</w:t>
      </w:r>
      <w:r w:rsidRPr="002D20D6">
        <w:rPr>
          <w:rFonts w:ascii="Times New Roman" w:eastAsia="Times New Roman" w:hAnsi="Times New Roman" w:cs="Times New Roman"/>
          <w:i/>
          <w:color w:val="0D0D0D" w:themeColor="text1" w:themeTint="F2"/>
          <w:sz w:val="28"/>
          <w:szCs w:val="26"/>
        </w:rPr>
        <w:t>utral -conciliador- quién, además de proponer fórmulas de acuerdo, da fe de la decisión de arreglo y el imparte su aprobación. El convenio al que se llega como resultado del acuerdo es obligatorio y definitivo para las partes que concilian”.</w:t>
      </w:r>
      <w:r w:rsidRPr="002D20D6">
        <w:rPr>
          <w:rStyle w:val="Refdenotaalpie"/>
          <w:rFonts w:eastAsia="Times New Roman" w:cs="Times New Roman"/>
          <w:i/>
          <w:color w:val="0D0D0D" w:themeColor="text1" w:themeTint="F2"/>
          <w:sz w:val="28"/>
          <w:szCs w:val="26"/>
        </w:rPr>
        <w:footnoteReference w:id="101"/>
      </w:r>
    </w:p>
    <w:p w:rsidR="00F41C59" w:rsidRPr="002D20D6" w:rsidRDefault="002D20D6" w:rsidP="00F41C59">
      <w:pPr>
        <w:pStyle w:val="NormalWeb"/>
        <w:tabs>
          <w:tab w:val="left" w:pos="142"/>
        </w:tabs>
        <w:ind w:right="49"/>
        <w:jc w:val="both"/>
        <w:rPr>
          <w:rFonts w:ascii="Times New Roman" w:eastAsia="Times New Roman" w:hAnsi="Times New Roman" w:cs="Times New Roman"/>
          <w:color w:val="0D0D0D" w:themeColor="text1" w:themeTint="F2"/>
          <w:sz w:val="28"/>
          <w:szCs w:val="28"/>
        </w:rPr>
      </w:pPr>
    </w:p>
    <w:p w:rsidR="001A33D1" w:rsidRPr="002D20D6" w:rsidRDefault="002D20D6" w:rsidP="7ABCED92">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eastAsia="Times New Roman" w:hAnsi="Times New Roman" w:cs="Times New Roman"/>
          <w:color w:val="0D0D0D" w:themeColor="text1" w:themeTint="F2"/>
          <w:sz w:val="28"/>
          <w:szCs w:val="28"/>
        </w:rPr>
        <w:t>Como se vení</w:t>
      </w:r>
      <w:r w:rsidRPr="002D20D6">
        <w:rPr>
          <w:rFonts w:ascii="Times New Roman" w:eastAsia="Times New Roman" w:hAnsi="Times New Roman" w:cs="Times New Roman"/>
          <w:color w:val="0D0D0D" w:themeColor="text1" w:themeTint="F2"/>
          <w:sz w:val="28"/>
          <w:szCs w:val="28"/>
        </w:rPr>
        <w:t>a advirtiendo, desde la propia Constitución, la conciliación extrajudicial en materia laboral es admisible,</w:t>
      </w:r>
      <w:r w:rsidRPr="002D20D6">
        <w:rPr>
          <w:rStyle w:val="Refdenotaalpie"/>
          <w:rFonts w:eastAsia="Times New Roman" w:cs="Times New Roman"/>
          <w:color w:val="0D0D0D" w:themeColor="text1" w:themeTint="F2"/>
          <w:sz w:val="28"/>
          <w:szCs w:val="28"/>
        </w:rPr>
        <w:footnoteReference w:id="102"/>
      </w:r>
      <w:r w:rsidRPr="002D20D6">
        <w:rPr>
          <w:rFonts w:ascii="Times New Roman" w:eastAsia="Times New Roman" w:hAnsi="Times New Roman" w:cs="Times New Roman"/>
          <w:color w:val="0D0D0D" w:themeColor="text1" w:themeTint="F2"/>
          <w:sz w:val="28"/>
          <w:szCs w:val="28"/>
        </w:rPr>
        <w:t xml:space="preserve"> siempre y cuando verse sobre derechos inciertos y discutibles. En palabras de la jurisprudencia constitucional: </w:t>
      </w:r>
    </w:p>
    <w:p w:rsidR="001A33D1" w:rsidRPr="002D20D6" w:rsidRDefault="002D20D6" w:rsidP="001A33D1">
      <w:pPr>
        <w:pStyle w:val="NormalWeb"/>
        <w:tabs>
          <w:tab w:val="left" w:pos="142"/>
        </w:tabs>
        <w:ind w:right="49"/>
        <w:jc w:val="both"/>
        <w:rPr>
          <w:rFonts w:ascii="Times New Roman" w:eastAsia="Times New Roman" w:hAnsi="Times New Roman" w:cs="Times New Roman"/>
          <w:color w:val="0D0D0D" w:themeColor="text1" w:themeTint="F2"/>
          <w:sz w:val="28"/>
          <w:szCs w:val="28"/>
        </w:rPr>
      </w:pPr>
    </w:p>
    <w:p w:rsidR="001A33D1" w:rsidRPr="002D20D6" w:rsidRDefault="002D20D6" w:rsidP="001A33D1">
      <w:pPr>
        <w:pStyle w:val="NormalWeb"/>
        <w:tabs>
          <w:tab w:val="left" w:pos="142"/>
        </w:tabs>
        <w:ind w:left="340" w:right="340"/>
        <w:jc w:val="both"/>
        <w:rPr>
          <w:rFonts w:ascii="Times New Roman" w:eastAsia="Times New Roman" w:hAnsi="Times New Roman" w:cs="Times New Roman"/>
          <w:i/>
          <w:color w:val="0D0D0D" w:themeColor="text1" w:themeTint="F2"/>
          <w:sz w:val="28"/>
          <w:szCs w:val="26"/>
        </w:rPr>
      </w:pPr>
      <w:r w:rsidRPr="002D20D6">
        <w:rPr>
          <w:rFonts w:ascii="Times New Roman" w:eastAsia="Times New Roman" w:hAnsi="Times New Roman" w:cs="Times New Roman"/>
          <w:i/>
          <w:color w:val="0D0D0D" w:themeColor="text1" w:themeTint="F2"/>
          <w:sz w:val="28"/>
          <w:szCs w:val="26"/>
        </w:rPr>
        <w:t xml:space="preserve">“no es admisible la conciliación </w:t>
      </w:r>
      <w:r w:rsidRPr="002D20D6">
        <w:rPr>
          <w:rFonts w:ascii="Times New Roman" w:eastAsia="Times New Roman" w:hAnsi="Times New Roman" w:cs="Times New Roman"/>
          <w:i/>
          <w:color w:val="0D0D0D" w:themeColor="text1" w:themeTint="F2"/>
          <w:sz w:val="28"/>
          <w:szCs w:val="26"/>
        </w:rPr>
        <w:t xml:space="preserve">acerca de derechos ciertos e indiscutibles, comoquiera que ellos están comprendidos dentro del derecho imperativo y no dentro del derecho dispositivo. Así que, dado el caso que las partes en conflicto alcancen un acuerdo conciliatorio en el que se perciba </w:t>
      </w:r>
      <w:r w:rsidRPr="002D20D6">
        <w:rPr>
          <w:rFonts w:ascii="Times New Roman" w:eastAsia="Times New Roman" w:hAnsi="Times New Roman" w:cs="Times New Roman"/>
          <w:i/>
          <w:color w:val="0D0D0D" w:themeColor="text1" w:themeTint="F2"/>
          <w:sz w:val="28"/>
          <w:szCs w:val="26"/>
        </w:rPr>
        <w:t>la renuncia o disposición de un derecho que presente estas características, el negocio jurídico adolecerá de un vicio de nulidad por objeto ilícito.”</w:t>
      </w:r>
      <w:r w:rsidRPr="002D20D6">
        <w:rPr>
          <w:rStyle w:val="Refdenotaalpie"/>
          <w:rFonts w:eastAsia="Times New Roman" w:cs="Times New Roman"/>
          <w:i/>
          <w:color w:val="0D0D0D" w:themeColor="text1" w:themeTint="F2"/>
          <w:sz w:val="28"/>
          <w:szCs w:val="26"/>
        </w:rPr>
        <w:footnoteReference w:id="103"/>
      </w:r>
      <w:r w:rsidRPr="002D20D6">
        <w:rPr>
          <w:rFonts w:ascii="Times New Roman" w:eastAsia="Times New Roman" w:hAnsi="Times New Roman" w:cs="Times New Roman"/>
          <w:i/>
          <w:color w:val="0D0D0D" w:themeColor="text1" w:themeTint="F2"/>
          <w:sz w:val="28"/>
          <w:szCs w:val="26"/>
        </w:rPr>
        <w:t xml:space="preserve"> </w:t>
      </w:r>
    </w:p>
    <w:p w:rsidR="001A33D1" w:rsidRPr="002D20D6" w:rsidRDefault="002D20D6" w:rsidP="001A33D1">
      <w:pPr>
        <w:pStyle w:val="NormalWeb"/>
        <w:tabs>
          <w:tab w:val="left" w:pos="142"/>
        </w:tabs>
        <w:ind w:right="49"/>
        <w:jc w:val="both"/>
        <w:rPr>
          <w:rFonts w:ascii="Times New Roman" w:eastAsia="Times New Roman" w:hAnsi="Times New Roman" w:cs="Times New Roman"/>
          <w:i/>
          <w:color w:val="0D0D0D" w:themeColor="text1" w:themeTint="F2"/>
          <w:sz w:val="28"/>
          <w:szCs w:val="28"/>
        </w:rPr>
      </w:pPr>
    </w:p>
    <w:p w:rsidR="00E245E5" w:rsidRPr="002D20D6" w:rsidRDefault="002D20D6" w:rsidP="00722140">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eastAsia="Times New Roman" w:hAnsi="Times New Roman" w:cs="Times New Roman"/>
          <w:color w:val="0D0D0D" w:themeColor="text1" w:themeTint="F2"/>
          <w:sz w:val="28"/>
          <w:szCs w:val="28"/>
        </w:rPr>
        <w:t>La Corte Constitucional ha enfatizado en que la conciliación extrajudicial en materia laboral debe, ade</w:t>
      </w:r>
      <w:r w:rsidRPr="002D20D6">
        <w:rPr>
          <w:rFonts w:ascii="Times New Roman" w:eastAsia="Times New Roman" w:hAnsi="Times New Roman" w:cs="Times New Roman"/>
          <w:color w:val="0D0D0D" w:themeColor="text1" w:themeTint="F2"/>
          <w:sz w:val="28"/>
          <w:szCs w:val="28"/>
        </w:rPr>
        <w:t>más de cumplir con los requisitos generales de validez y eficacia dispuestos en el artículo 1502 del Código Civil, acotar un objeto conciliatorio por fuera de la órbita de los derechos ciertos e indiscutibles. Esto, en cumplimiento del artículo 7 de la Ley</w:t>
      </w:r>
      <w:r w:rsidRPr="002D20D6">
        <w:rPr>
          <w:rFonts w:ascii="Times New Roman" w:eastAsia="Times New Roman" w:hAnsi="Times New Roman" w:cs="Times New Roman"/>
          <w:color w:val="0D0D0D" w:themeColor="text1" w:themeTint="F2"/>
          <w:sz w:val="28"/>
          <w:szCs w:val="28"/>
        </w:rPr>
        <w:t xml:space="preserve"> 2200 de 2022 (Estatuto de Conciliación), que entre los asuntos conciliables, precisó que en materia laboral y de la seguridad social, solo podrá conciliarse si con el acuerdo no se afectan derechos ciertos e indiscutibles.</w:t>
      </w:r>
      <w:r w:rsidRPr="002D20D6">
        <w:rPr>
          <w:rStyle w:val="Refdenotaalpie"/>
          <w:rFonts w:eastAsia="Times New Roman" w:cs="Times New Roman"/>
          <w:color w:val="0D0D0D" w:themeColor="text1" w:themeTint="F2"/>
          <w:sz w:val="28"/>
          <w:szCs w:val="28"/>
        </w:rPr>
        <w:footnoteReference w:id="104"/>
      </w:r>
      <w:r w:rsidRPr="002D20D6">
        <w:rPr>
          <w:rFonts w:ascii="Times New Roman" w:eastAsia="Times New Roman" w:hAnsi="Times New Roman" w:cs="Times New Roman"/>
          <w:color w:val="0D0D0D" w:themeColor="text1" w:themeTint="F2"/>
          <w:sz w:val="28"/>
          <w:szCs w:val="28"/>
        </w:rPr>
        <w:t xml:space="preserve"> De suerte que la jurisprudencia</w:t>
      </w:r>
      <w:r w:rsidRPr="002D20D6">
        <w:rPr>
          <w:rFonts w:ascii="Times New Roman" w:eastAsia="Times New Roman" w:hAnsi="Times New Roman" w:cs="Times New Roman"/>
          <w:color w:val="0D0D0D" w:themeColor="text1" w:themeTint="F2"/>
          <w:sz w:val="28"/>
          <w:szCs w:val="28"/>
        </w:rPr>
        <w:t xml:space="preserve"> constitucional haya sido clara en que </w:t>
      </w:r>
      <w:r w:rsidRPr="002D20D6">
        <w:rPr>
          <w:rFonts w:ascii="Times New Roman" w:eastAsia="Times New Roman" w:hAnsi="Times New Roman" w:cs="Times New Roman"/>
          <w:i/>
          <w:iCs/>
          <w:color w:val="0D0D0D" w:themeColor="text1" w:themeTint="F2"/>
          <w:sz w:val="28"/>
          <w:szCs w:val="28"/>
        </w:rPr>
        <w:t>“</w:t>
      </w:r>
      <w:r w:rsidRPr="002D20D6">
        <w:rPr>
          <w:rFonts w:ascii="Times New Roman" w:eastAsia="Times New Roman" w:hAnsi="Times New Roman" w:cs="Times New Roman"/>
          <w:i/>
          <w:iCs/>
          <w:color w:val="0D0D0D" w:themeColor="text1" w:themeTint="F2"/>
          <w:sz w:val="28"/>
          <w:szCs w:val="28"/>
          <w:lang w:val="es-CO"/>
        </w:rPr>
        <w:t>la irrenunciabilidad de los derechos laborales ciertos e indiscutibles, consagrada en el artículo 53 de la Constitución, impone límites claros a los acuerdos conciliatorios en materia laboral. Si bien las partes tien</w:t>
      </w:r>
      <w:r w:rsidRPr="002D20D6">
        <w:rPr>
          <w:rFonts w:ascii="Times New Roman" w:eastAsia="Times New Roman" w:hAnsi="Times New Roman" w:cs="Times New Roman"/>
          <w:i/>
          <w:iCs/>
          <w:color w:val="0D0D0D" w:themeColor="text1" w:themeTint="F2"/>
          <w:sz w:val="28"/>
          <w:szCs w:val="28"/>
          <w:lang w:val="es-CO"/>
        </w:rPr>
        <w:t>en la libertad de conciliar ciertos aspectos de la relación laboral, esta facultad no puede extenderse a la disposición de derechos fundamentales que tienen un carácter imperativo</w:t>
      </w:r>
      <w:r w:rsidRPr="002D20D6">
        <w:rPr>
          <w:rFonts w:ascii="Times New Roman" w:eastAsia="Times New Roman" w:hAnsi="Times New Roman" w:cs="Times New Roman"/>
          <w:i/>
          <w:iCs/>
          <w:color w:val="0D0D0D" w:themeColor="text1" w:themeTint="F2"/>
          <w:sz w:val="28"/>
          <w:szCs w:val="28"/>
        </w:rPr>
        <w:t>.”</w:t>
      </w:r>
      <w:r w:rsidRPr="002D20D6">
        <w:rPr>
          <w:rStyle w:val="Refdenotaalpie"/>
          <w:rFonts w:eastAsia="Times New Roman" w:cs="Times New Roman"/>
          <w:i/>
          <w:iCs/>
          <w:color w:val="0D0D0D" w:themeColor="text1" w:themeTint="F2"/>
          <w:sz w:val="28"/>
          <w:szCs w:val="28"/>
        </w:rPr>
        <w:footnoteReference w:id="105"/>
      </w:r>
    </w:p>
    <w:p w:rsidR="00E245E5" w:rsidRPr="002D20D6" w:rsidRDefault="002D20D6" w:rsidP="00E245E5">
      <w:pPr>
        <w:pStyle w:val="Prrafodelista"/>
        <w:rPr>
          <w:rFonts w:ascii="Times New Roman" w:eastAsia="Times New Roman" w:hAnsi="Times New Roman" w:cs="Times New Roman"/>
          <w:color w:val="0D0D0D" w:themeColor="text1" w:themeTint="F2"/>
          <w:sz w:val="28"/>
          <w:szCs w:val="28"/>
        </w:rPr>
      </w:pPr>
    </w:p>
    <w:p w:rsidR="004F606B" w:rsidRPr="002D20D6" w:rsidRDefault="002D20D6" w:rsidP="004F606B">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eastAsia="Times New Roman" w:hAnsi="Times New Roman" w:cs="Times New Roman"/>
          <w:color w:val="0D0D0D" w:themeColor="text1" w:themeTint="F2"/>
          <w:sz w:val="28"/>
          <w:szCs w:val="28"/>
        </w:rPr>
        <w:t>De forma similar lo ha explicado la Sala de Casación Laboral de la Corte Suprema de Justicia. Sobre el particular, ha profundizado en que indistintamente de la autonomía de la voluntad de las partes, los contratantes de una relación laboral subordinada deb</w:t>
      </w:r>
      <w:r w:rsidRPr="002D20D6">
        <w:rPr>
          <w:rFonts w:ascii="Times New Roman" w:eastAsia="Times New Roman" w:hAnsi="Times New Roman" w:cs="Times New Roman"/>
          <w:color w:val="0D0D0D" w:themeColor="text1" w:themeTint="F2"/>
          <w:sz w:val="28"/>
          <w:szCs w:val="28"/>
        </w:rPr>
        <w:t xml:space="preserve">en respetar los mínimos laborales irrenunciables consagrados en favor del trabajador, por lo que </w:t>
      </w:r>
      <w:r w:rsidRPr="002D20D6">
        <w:rPr>
          <w:rFonts w:ascii="Times New Roman" w:eastAsia="Times New Roman" w:hAnsi="Times New Roman" w:cs="Times New Roman"/>
          <w:i/>
          <w:color w:val="0D0D0D" w:themeColor="text1" w:themeTint="F2"/>
          <w:sz w:val="28"/>
          <w:szCs w:val="28"/>
        </w:rPr>
        <w:t>“no produce efecto alguno cualquier estipulación que afecte o desconozca ese mínimo, y ii) se considera válida la transacción en los asuntos del trabajo, salvo</w:t>
      </w:r>
      <w:r w:rsidRPr="002D20D6">
        <w:rPr>
          <w:rFonts w:ascii="Times New Roman" w:eastAsia="Times New Roman" w:hAnsi="Times New Roman" w:cs="Times New Roman"/>
          <w:i/>
          <w:color w:val="0D0D0D" w:themeColor="text1" w:themeTint="F2"/>
          <w:sz w:val="28"/>
          <w:szCs w:val="28"/>
        </w:rPr>
        <w:t xml:space="preserve"> cuando verse sobre derechos ciertos e indiscutibles.”</w:t>
      </w:r>
      <w:r w:rsidRPr="002D20D6">
        <w:rPr>
          <w:rStyle w:val="Refdenotaalpie"/>
          <w:rFonts w:eastAsia="Times New Roman" w:cs="Times New Roman"/>
          <w:i/>
          <w:color w:val="0D0D0D" w:themeColor="text1" w:themeTint="F2"/>
          <w:sz w:val="28"/>
          <w:szCs w:val="28"/>
        </w:rPr>
        <w:footnoteReference w:id="106"/>
      </w:r>
    </w:p>
    <w:p w:rsidR="002C0262" w:rsidRPr="002D20D6" w:rsidRDefault="002D20D6" w:rsidP="002C0262">
      <w:pPr>
        <w:pStyle w:val="Prrafodelista"/>
        <w:rPr>
          <w:rFonts w:ascii="Times New Roman" w:eastAsia="Times New Roman" w:hAnsi="Times New Roman" w:cs="Times New Roman"/>
          <w:color w:val="0D0D0D" w:themeColor="text1" w:themeTint="F2"/>
          <w:sz w:val="28"/>
          <w:szCs w:val="28"/>
        </w:rPr>
      </w:pPr>
    </w:p>
    <w:p w:rsidR="00F633AD" w:rsidRPr="002D20D6" w:rsidRDefault="002D20D6" w:rsidP="003B74D1">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eastAsia="Times New Roman" w:hAnsi="Times New Roman" w:cs="Times New Roman"/>
          <w:color w:val="0D0D0D" w:themeColor="text1" w:themeTint="F2"/>
          <w:sz w:val="28"/>
          <w:szCs w:val="28"/>
        </w:rPr>
        <w:t xml:space="preserve">Conforme al artículo 148 </w:t>
      </w:r>
      <w:r w:rsidRPr="002D20D6">
        <w:rPr>
          <w:rFonts w:ascii="Times New Roman" w:eastAsia="Times New Roman" w:hAnsi="Times New Roman" w:cs="Times New Roman"/>
          <w:color w:val="0D0D0D" w:themeColor="text1" w:themeTint="F2"/>
          <w:sz w:val="28"/>
          <w:szCs w:val="28"/>
          <w:lang w:eastAsia="es-ES"/>
        </w:rPr>
        <w:t xml:space="preserve">del Decreto Ley 2158 de 1948, </w:t>
      </w:r>
      <w:r w:rsidRPr="002D20D6">
        <w:rPr>
          <w:rFonts w:ascii="Times New Roman" w:eastAsia="Times New Roman" w:hAnsi="Times New Roman" w:cs="Times New Roman"/>
          <w:color w:val="0D0D0D" w:themeColor="text1" w:themeTint="F2"/>
          <w:sz w:val="28"/>
          <w:szCs w:val="28"/>
        </w:rPr>
        <w:t xml:space="preserve">el Inspector del Trabajo y Seguridad Social o el Alcalde Municipal son las autoridades competentes para verificar que el ejercicio de transar </w:t>
      </w:r>
      <w:r w:rsidRPr="002D20D6">
        <w:rPr>
          <w:rFonts w:ascii="Times New Roman" w:eastAsia="Times New Roman" w:hAnsi="Times New Roman" w:cs="Times New Roman"/>
          <w:color w:val="0D0D0D" w:themeColor="text1" w:themeTint="F2"/>
          <w:sz w:val="28"/>
          <w:szCs w:val="28"/>
        </w:rPr>
        <w:t>derechos o celebrar acuerdos de conciliación extrajudicial en materia laboral no recaiga sobre derechos ciertos y discutibles, sino más bien, sobre derechos inciertos y discutibles.</w:t>
      </w:r>
      <w:r w:rsidRPr="002D20D6">
        <w:rPr>
          <w:rStyle w:val="Refdenotaalpie"/>
          <w:rFonts w:eastAsia="Times New Roman" w:cs="Times New Roman"/>
          <w:color w:val="0D0D0D" w:themeColor="text1" w:themeTint="F2"/>
          <w:sz w:val="28"/>
          <w:szCs w:val="28"/>
        </w:rPr>
        <w:footnoteReference w:id="107"/>
      </w:r>
      <w:r w:rsidRPr="002D20D6">
        <w:rPr>
          <w:rFonts w:ascii="Times New Roman" w:eastAsia="Times New Roman" w:hAnsi="Times New Roman" w:cs="Times New Roman"/>
          <w:color w:val="0D0D0D" w:themeColor="text1" w:themeTint="F2"/>
          <w:sz w:val="28"/>
          <w:szCs w:val="28"/>
        </w:rPr>
        <w:t xml:space="preserve"> En ese entendido, la Corte ha sido expresa en considerar que si bien </w:t>
      </w:r>
      <w:r w:rsidRPr="002D20D6">
        <w:rPr>
          <w:rFonts w:ascii="Times New Roman" w:eastAsia="Times New Roman" w:hAnsi="Times New Roman" w:cs="Times New Roman"/>
          <w:i/>
          <w:iCs/>
          <w:color w:val="0D0D0D" w:themeColor="text1" w:themeTint="F2"/>
          <w:sz w:val="28"/>
          <w:szCs w:val="28"/>
          <w:lang w:val="es-CO"/>
        </w:rPr>
        <w:t xml:space="preserve">“la </w:t>
      </w:r>
      <w:r w:rsidRPr="002D20D6">
        <w:rPr>
          <w:rFonts w:ascii="Times New Roman" w:eastAsia="Times New Roman" w:hAnsi="Times New Roman" w:cs="Times New Roman"/>
          <w:i/>
          <w:iCs/>
          <w:color w:val="0D0D0D" w:themeColor="text1" w:themeTint="F2"/>
          <w:sz w:val="28"/>
          <w:szCs w:val="28"/>
          <w:lang w:val="es-CO"/>
        </w:rPr>
        <w:t>transacción es un mecanismo alternativo de solución de conflictos, no puede convertirse en un instrumento que promueva la transgresión de las garantías mínimas de los trabajadores.”</w:t>
      </w:r>
      <w:r w:rsidRPr="002D20D6">
        <w:rPr>
          <w:rStyle w:val="Refdenotaalpie"/>
          <w:rFonts w:eastAsia="Times New Roman" w:cs="Times New Roman"/>
          <w:color w:val="0D0D0D" w:themeColor="text1" w:themeTint="F2"/>
          <w:sz w:val="28"/>
          <w:szCs w:val="28"/>
          <w:lang w:val="es-CO"/>
        </w:rPr>
        <w:footnoteReference w:id="108"/>
      </w:r>
      <w:r w:rsidRPr="002D20D6">
        <w:rPr>
          <w:rFonts w:ascii="Times New Roman" w:eastAsia="Times New Roman" w:hAnsi="Times New Roman" w:cs="Times New Roman"/>
          <w:i/>
          <w:iCs/>
          <w:color w:val="0D0D0D" w:themeColor="text1" w:themeTint="F2"/>
          <w:sz w:val="28"/>
          <w:szCs w:val="28"/>
          <w:lang w:val="es-CO"/>
        </w:rPr>
        <w:t xml:space="preserve"> </w:t>
      </w:r>
    </w:p>
    <w:p w:rsidR="00F633AD" w:rsidRPr="002D20D6" w:rsidRDefault="002D20D6" w:rsidP="00F633AD">
      <w:pPr>
        <w:pStyle w:val="Prrafodelista"/>
        <w:rPr>
          <w:rFonts w:ascii="Times New Roman" w:eastAsia="Times New Roman" w:hAnsi="Times New Roman" w:cs="Times New Roman"/>
          <w:color w:val="0D0D0D" w:themeColor="text1" w:themeTint="F2"/>
          <w:sz w:val="28"/>
          <w:szCs w:val="28"/>
          <w:lang w:val="es-CO"/>
        </w:rPr>
      </w:pPr>
    </w:p>
    <w:p w:rsidR="00573AD1" w:rsidRPr="002D20D6" w:rsidRDefault="002D20D6" w:rsidP="009D230D">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lang w:val="es-CO"/>
        </w:rPr>
      </w:pPr>
      <w:r w:rsidRPr="002D20D6">
        <w:rPr>
          <w:rFonts w:ascii="Times New Roman" w:eastAsia="Times New Roman" w:hAnsi="Times New Roman" w:cs="Times New Roman"/>
          <w:color w:val="0D0D0D" w:themeColor="text1" w:themeTint="F2"/>
          <w:sz w:val="28"/>
          <w:szCs w:val="28"/>
        </w:rPr>
        <w:t>Es</w:t>
      </w:r>
      <w:r w:rsidRPr="002D20D6">
        <w:rPr>
          <w:rFonts w:ascii="Times New Roman" w:eastAsia="Times New Roman" w:hAnsi="Times New Roman" w:cs="Times New Roman"/>
          <w:color w:val="0D0D0D" w:themeColor="text1" w:themeTint="F2"/>
          <w:sz w:val="28"/>
          <w:szCs w:val="28"/>
          <w:lang w:val="es-CO"/>
        </w:rPr>
        <w:t xml:space="preserve"> por ello, que la jurisprudencia constitucional ha sido enfática en sostener que los acuerdos de conciliación y/o transacción frente a derechos inciertos y discutibles deben contar con la debida autorización administrativa.</w:t>
      </w:r>
      <w:r w:rsidRPr="002D20D6">
        <w:rPr>
          <w:rStyle w:val="Refdenotaalpie"/>
          <w:rFonts w:eastAsia="Times New Roman" w:cs="Times New Roman"/>
          <w:color w:val="0D0D0D" w:themeColor="text1" w:themeTint="F2"/>
          <w:sz w:val="28"/>
          <w:szCs w:val="28"/>
          <w:lang w:val="es-CO"/>
        </w:rPr>
        <w:footnoteReference w:id="109"/>
      </w:r>
      <w:r w:rsidRPr="002D20D6">
        <w:rPr>
          <w:rFonts w:ascii="Times New Roman" w:eastAsia="Times New Roman" w:hAnsi="Times New Roman" w:cs="Times New Roman"/>
          <w:color w:val="0D0D0D" w:themeColor="text1" w:themeTint="F2"/>
          <w:sz w:val="28"/>
          <w:szCs w:val="28"/>
          <w:lang w:val="es-CO"/>
        </w:rPr>
        <w:t xml:space="preserve"> Protección que encuentra susten</w:t>
      </w:r>
      <w:r w:rsidRPr="002D20D6">
        <w:rPr>
          <w:rFonts w:ascii="Times New Roman" w:eastAsia="Times New Roman" w:hAnsi="Times New Roman" w:cs="Times New Roman"/>
          <w:color w:val="0D0D0D" w:themeColor="text1" w:themeTint="F2"/>
          <w:sz w:val="28"/>
          <w:szCs w:val="28"/>
          <w:lang w:val="es-CO"/>
        </w:rPr>
        <w:t>to en la importancia del trabajo y de proteger al trabajador como parte subordinada de la relación laboral.</w:t>
      </w:r>
    </w:p>
    <w:p w:rsidR="00573AD1" w:rsidRPr="002D20D6" w:rsidRDefault="002D20D6" w:rsidP="00573AD1">
      <w:pPr>
        <w:pStyle w:val="Prrafodelista"/>
        <w:rPr>
          <w:rFonts w:ascii="Times New Roman" w:eastAsia="Times New Roman" w:hAnsi="Times New Roman" w:cs="Times New Roman"/>
          <w:color w:val="0D0D0D" w:themeColor="text1" w:themeTint="F2"/>
          <w:sz w:val="28"/>
          <w:szCs w:val="28"/>
        </w:rPr>
      </w:pPr>
    </w:p>
    <w:p w:rsidR="46A2889D" w:rsidRPr="002D20D6" w:rsidRDefault="002D20D6" w:rsidP="007F286F">
      <w:pPr>
        <w:pStyle w:val="NormalWeb"/>
        <w:numPr>
          <w:ilvl w:val="0"/>
          <w:numId w:val="3"/>
        </w:numPr>
        <w:tabs>
          <w:tab w:val="left" w:pos="142"/>
        </w:tabs>
        <w:ind w:left="0" w:right="49" w:firstLine="0"/>
        <w:jc w:val="both"/>
        <w:rPr>
          <w:rFonts w:ascii="Times New Roman" w:eastAsia="Times New Roman" w:hAnsi="Times New Roman" w:cs="Times New Roman"/>
          <w:color w:val="0D0D0D" w:themeColor="text1" w:themeTint="F2"/>
          <w:sz w:val="28"/>
          <w:szCs w:val="28"/>
        </w:rPr>
      </w:pPr>
      <w:r w:rsidRPr="002D20D6">
        <w:rPr>
          <w:rFonts w:ascii="Times New Roman" w:eastAsia="Times New Roman" w:hAnsi="Times New Roman" w:cs="Times New Roman"/>
          <w:color w:val="0D0D0D" w:themeColor="text1" w:themeTint="F2"/>
          <w:sz w:val="28"/>
          <w:szCs w:val="28"/>
        </w:rPr>
        <w:t>Así, las autoridades administrativas en cita tienen la responsabilidad de verificar que los acuerdos de voluntades entre los empleadores y trabajad</w:t>
      </w:r>
      <w:r w:rsidRPr="002D20D6">
        <w:rPr>
          <w:rFonts w:ascii="Times New Roman" w:eastAsia="Times New Roman" w:hAnsi="Times New Roman" w:cs="Times New Roman"/>
          <w:color w:val="0D0D0D" w:themeColor="text1" w:themeTint="F2"/>
          <w:sz w:val="28"/>
          <w:szCs w:val="28"/>
        </w:rPr>
        <w:t>ores protocolizados mediante conciliaciones respeten los derechos mínimos establecidos en las normas laborales y no impliquen la renuncia a derechos laborales ciertos e indiscutibles. Sobre todo, porque como lo ha reconocido esta Corporación, “</w:t>
      </w:r>
      <w:r w:rsidRPr="002D20D6">
        <w:rPr>
          <w:rFonts w:ascii="Times New Roman" w:eastAsia="Times New Roman" w:hAnsi="Times New Roman" w:cs="Times New Roman"/>
          <w:i/>
          <w:iCs/>
          <w:color w:val="0D0D0D" w:themeColor="text1" w:themeTint="F2"/>
          <w:sz w:val="28"/>
          <w:szCs w:val="28"/>
        </w:rPr>
        <w:t>los trabajad</w:t>
      </w:r>
      <w:r w:rsidRPr="002D20D6">
        <w:rPr>
          <w:rFonts w:ascii="Times New Roman" w:eastAsia="Times New Roman" w:hAnsi="Times New Roman" w:cs="Times New Roman"/>
          <w:i/>
          <w:iCs/>
          <w:color w:val="0D0D0D" w:themeColor="text1" w:themeTint="F2"/>
          <w:sz w:val="28"/>
          <w:szCs w:val="28"/>
        </w:rPr>
        <w:t>ores pueden verse forzados a realizar renuncias como respuesta a un estado de necesidad</w:t>
      </w:r>
      <w:r w:rsidRPr="002D20D6">
        <w:rPr>
          <w:rFonts w:ascii="Times New Roman" w:eastAsia="Times New Roman" w:hAnsi="Times New Roman" w:cs="Times New Roman"/>
          <w:color w:val="0D0D0D" w:themeColor="text1" w:themeTint="F2"/>
          <w:sz w:val="28"/>
          <w:szCs w:val="28"/>
        </w:rPr>
        <w:t>”</w:t>
      </w:r>
      <w:r w:rsidRPr="002D20D6">
        <w:rPr>
          <w:rStyle w:val="Refdenotaalpie"/>
          <w:rFonts w:eastAsia="Times New Roman" w:cs="Times New Roman"/>
          <w:color w:val="0D0D0D" w:themeColor="text1" w:themeTint="F2"/>
          <w:sz w:val="28"/>
          <w:szCs w:val="28"/>
        </w:rPr>
        <w:footnoteReference w:id="110"/>
      </w:r>
      <w:r w:rsidRPr="002D20D6">
        <w:rPr>
          <w:rFonts w:ascii="Times New Roman" w:eastAsia="Times New Roman" w:hAnsi="Times New Roman" w:cs="Times New Roman"/>
          <w:color w:val="0D0D0D" w:themeColor="text1" w:themeTint="F2"/>
          <w:sz w:val="28"/>
          <w:szCs w:val="28"/>
        </w:rPr>
        <w:t xml:space="preserve"> generados por la desigualdad en que se desenvuelven las relaciones de trabajo entre empleador y trabajador, lo que conlleva a cuestionar “</w:t>
      </w:r>
      <w:r w:rsidRPr="002D20D6">
        <w:rPr>
          <w:rFonts w:ascii="Times New Roman" w:eastAsia="Times New Roman" w:hAnsi="Times New Roman" w:cs="Times New Roman"/>
          <w:i/>
          <w:iCs/>
          <w:color w:val="0D0D0D" w:themeColor="text1" w:themeTint="F2"/>
          <w:sz w:val="28"/>
          <w:szCs w:val="28"/>
        </w:rPr>
        <w:t xml:space="preserve">la vetusta idea de que las </w:t>
      </w:r>
      <w:r w:rsidRPr="002D20D6">
        <w:rPr>
          <w:rFonts w:ascii="Times New Roman" w:eastAsia="Times New Roman" w:hAnsi="Times New Roman" w:cs="Times New Roman"/>
          <w:i/>
          <w:iCs/>
          <w:color w:val="0D0D0D" w:themeColor="text1" w:themeTint="F2"/>
          <w:sz w:val="28"/>
          <w:szCs w:val="28"/>
        </w:rPr>
        <w:t>relaciones entre privados siempre se desarrollan en un plano de horizontalidad e igualdad y conduciendo a la necesidad de reconocer a los trabajadores una tutela reforzada.</w:t>
      </w:r>
      <w:r w:rsidRPr="002D20D6">
        <w:rPr>
          <w:rFonts w:ascii="Times New Roman" w:eastAsia="Times New Roman" w:hAnsi="Times New Roman" w:cs="Times New Roman"/>
          <w:color w:val="0D0D0D" w:themeColor="text1" w:themeTint="F2"/>
          <w:sz w:val="28"/>
          <w:szCs w:val="28"/>
        </w:rPr>
        <w:t>”</w:t>
      </w:r>
      <w:r w:rsidRPr="002D20D6">
        <w:rPr>
          <w:rStyle w:val="Refdenotaalpie"/>
          <w:rFonts w:eastAsia="Times New Roman" w:cs="Times New Roman"/>
          <w:color w:val="0D0D0D" w:themeColor="text1" w:themeTint="F2"/>
          <w:sz w:val="28"/>
          <w:szCs w:val="28"/>
        </w:rPr>
        <w:footnoteReference w:id="111"/>
      </w:r>
    </w:p>
    <w:p w:rsidR="00452C9D" w:rsidRPr="002D20D6" w:rsidRDefault="002D20D6" w:rsidP="00DE59D7">
      <w:pPr>
        <w:pStyle w:val="NormalWeb"/>
        <w:tabs>
          <w:tab w:val="left" w:pos="142"/>
        </w:tabs>
        <w:ind w:right="49"/>
        <w:jc w:val="both"/>
        <w:rPr>
          <w:rFonts w:ascii="Times New Roman" w:eastAsia="Times New Roman" w:hAnsi="Times New Roman" w:cs="Times New Roman"/>
          <w:b/>
          <w:i/>
          <w:color w:val="0D0D0D" w:themeColor="text1" w:themeTint="F2"/>
          <w:sz w:val="28"/>
          <w:szCs w:val="28"/>
        </w:rPr>
      </w:pPr>
    </w:p>
    <w:p w:rsidR="0077142E" w:rsidRPr="002D20D6" w:rsidRDefault="002D20D6" w:rsidP="00DE59D7">
      <w:pPr>
        <w:pStyle w:val="NormalWeb"/>
        <w:tabs>
          <w:tab w:val="left" w:pos="142"/>
        </w:tabs>
        <w:ind w:right="49"/>
        <w:jc w:val="both"/>
        <w:rPr>
          <w:rFonts w:ascii="Times New Roman" w:eastAsia="Times New Roman" w:hAnsi="Times New Roman" w:cs="Times New Roman"/>
          <w:b/>
          <w:i/>
          <w:color w:val="0D0D0D" w:themeColor="text1" w:themeTint="F2"/>
          <w:sz w:val="28"/>
          <w:szCs w:val="28"/>
        </w:rPr>
      </w:pPr>
    </w:p>
    <w:p w:rsidR="00954F93" w:rsidRPr="002D20D6" w:rsidRDefault="002D20D6" w:rsidP="00477D98">
      <w:pPr>
        <w:pStyle w:val="NormalWeb"/>
        <w:numPr>
          <w:ilvl w:val="0"/>
          <w:numId w:val="5"/>
        </w:numPr>
        <w:tabs>
          <w:tab w:val="left" w:pos="142"/>
        </w:tabs>
        <w:ind w:right="49"/>
        <w:jc w:val="both"/>
        <w:rPr>
          <w:rFonts w:ascii="Times New Roman" w:hAnsi="Times New Roman" w:cs="Times New Roman"/>
          <w:b/>
          <w:i/>
          <w:color w:val="0D0D0D" w:themeColor="text1" w:themeTint="F2"/>
          <w:sz w:val="28"/>
          <w:szCs w:val="28"/>
        </w:rPr>
      </w:pPr>
      <w:r w:rsidRPr="002D20D6">
        <w:rPr>
          <w:rFonts w:ascii="Times New Roman" w:hAnsi="Times New Roman" w:cs="Times New Roman"/>
          <w:b/>
          <w:i/>
          <w:color w:val="0D0D0D" w:themeColor="text1" w:themeTint="F2"/>
          <w:sz w:val="28"/>
          <w:szCs w:val="28"/>
        </w:rPr>
        <w:t xml:space="preserve">La expresión “y para renunciar prestaciones sociales” contenida en el artículo </w:t>
      </w:r>
      <w:r w:rsidRPr="002D20D6">
        <w:rPr>
          <w:rFonts w:ascii="Times New Roman" w:hAnsi="Times New Roman" w:cs="Times New Roman"/>
          <w:b/>
          <w:i/>
          <w:color w:val="0D0D0D" w:themeColor="text1" w:themeTint="F2"/>
          <w:sz w:val="28"/>
          <w:szCs w:val="28"/>
        </w:rPr>
        <w:t>148 del Código Procesal del Trabajo trae consigo una interpretación que permite la renuncia general a las prestaciones sociales, la cual resulta contraria al artículo 53 de la Constitución</w:t>
      </w:r>
    </w:p>
    <w:p w:rsidR="00452C9D" w:rsidRPr="002D20D6" w:rsidRDefault="002D20D6" w:rsidP="00452C9D">
      <w:pPr>
        <w:pStyle w:val="NormalWeb"/>
        <w:tabs>
          <w:tab w:val="left" w:pos="142"/>
        </w:tabs>
        <w:ind w:right="49"/>
        <w:jc w:val="both"/>
        <w:rPr>
          <w:rFonts w:ascii="Times New Roman" w:hAnsi="Times New Roman" w:cs="Times New Roman"/>
          <w:b/>
          <w:bCs/>
          <w:i/>
          <w:iCs/>
          <w:color w:val="0D0D0D" w:themeColor="text1" w:themeTint="F2"/>
          <w:sz w:val="28"/>
          <w:szCs w:val="28"/>
        </w:rPr>
      </w:pPr>
    </w:p>
    <w:p w:rsidR="009175B4" w:rsidRPr="002D20D6" w:rsidRDefault="002D20D6" w:rsidP="000F1282">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rPr>
      </w:pPr>
      <w:r w:rsidRPr="002D20D6">
        <w:rPr>
          <w:rFonts w:ascii="Times New Roman" w:hAnsi="Times New Roman" w:cs="Times New Roman"/>
          <w:color w:val="0D0D0D" w:themeColor="text1" w:themeTint="F2"/>
          <w:sz w:val="28"/>
          <w:szCs w:val="28"/>
        </w:rPr>
        <w:t xml:space="preserve">La Sala Plena de la Corte Constitucional concluye que la expresión </w:t>
      </w:r>
      <w:r w:rsidRPr="002D20D6">
        <w:rPr>
          <w:rFonts w:ascii="Times New Roman" w:hAnsi="Times New Roman" w:cs="Times New Roman"/>
          <w:i/>
          <w:color w:val="0D0D0D" w:themeColor="text1" w:themeTint="F2"/>
          <w:sz w:val="28"/>
          <w:szCs w:val="28"/>
        </w:rPr>
        <w:t>“y para renunciar prestaciones sociales”</w:t>
      </w:r>
      <w:r w:rsidRPr="002D20D6">
        <w:rPr>
          <w:rFonts w:ascii="Times New Roman" w:hAnsi="Times New Roman" w:cs="Times New Roman"/>
          <w:color w:val="0D0D0D" w:themeColor="text1" w:themeTint="F2"/>
          <w:sz w:val="28"/>
          <w:szCs w:val="28"/>
        </w:rPr>
        <w:t xml:space="preserve"> contenida en el artículo 148 del Código Procesal del Trabajo trae consigo una interpretación que avala una renuncia general e indistinta a las prest</w:t>
      </w:r>
      <w:r w:rsidRPr="002D20D6">
        <w:rPr>
          <w:rFonts w:ascii="Times New Roman" w:hAnsi="Times New Roman" w:cs="Times New Roman"/>
          <w:color w:val="0D0D0D" w:themeColor="text1" w:themeTint="F2"/>
          <w:sz w:val="28"/>
          <w:szCs w:val="28"/>
        </w:rPr>
        <w:t>aciones sociales, la cual desconoce los principios mínimos fundamentales de irrenunciabilidad de los beneficios mínimos laborales y las facultades de transigir y conciliar sobre derechos inciertos y discutibles dispuestos en el artículo 53 de la Constituci</w:t>
      </w:r>
      <w:r w:rsidRPr="002D20D6">
        <w:rPr>
          <w:rFonts w:ascii="Times New Roman" w:hAnsi="Times New Roman" w:cs="Times New Roman"/>
          <w:color w:val="0D0D0D" w:themeColor="text1" w:themeTint="F2"/>
          <w:sz w:val="28"/>
          <w:szCs w:val="28"/>
        </w:rPr>
        <w:t>ón. Si bien el cargo de inconstitucionalidad admitido se limitó a establecer como parámetro el principio de irrenunciabilidad de los beneficios mínimos laborales, como procederá a explicarse, para efectos de decidir sobre la constitucionalidad del fragment</w:t>
      </w:r>
      <w:r w:rsidRPr="002D20D6">
        <w:rPr>
          <w:rFonts w:ascii="Times New Roman" w:hAnsi="Times New Roman" w:cs="Times New Roman"/>
          <w:color w:val="0D0D0D" w:themeColor="text1" w:themeTint="F2"/>
          <w:sz w:val="28"/>
          <w:szCs w:val="28"/>
        </w:rPr>
        <w:t>o acusado, aquel debe interpretarse armónicamente con el principio consistente en la facultad que tienen los trabajadores de transigir y conciliar sobre derechos inciertos y discutibles.</w:t>
      </w:r>
    </w:p>
    <w:p w:rsidR="009175B4" w:rsidRPr="002D20D6" w:rsidRDefault="002D20D6" w:rsidP="009175B4">
      <w:pPr>
        <w:pStyle w:val="NormalWeb"/>
        <w:tabs>
          <w:tab w:val="left" w:pos="142"/>
        </w:tabs>
        <w:ind w:right="49"/>
        <w:jc w:val="both"/>
        <w:rPr>
          <w:rFonts w:ascii="Times New Roman" w:hAnsi="Times New Roman" w:cs="Times New Roman"/>
          <w:color w:val="0D0D0D" w:themeColor="text1" w:themeTint="F2"/>
          <w:sz w:val="28"/>
          <w:szCs w:val="28"/>
        </w:rPr>
      </w:pPr>
    </w:p>
    <w:p w:rsidR="001928FD" w:rsidRPr="002D20D6" w:rsidRDefault="002D20D6" w:rsidP="00477D98">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rPr>
      </w:pPr>
      <w:r w:rsidRPr="002D20D6">
        <w:rPr>
          <w:rFonts w:ascii="Times New Roman" w:hAnsi="Times New Roman" w:cs="Times New Roman"/>
          <w:color w:val="0D0D0D" w:themeColor="text1" w:themeTint="F2"/>
          <w:sz w:val="28"/>
          <w:szCs w:val="28"/>
        </w:rPr>
        <w:t xml:space="preserve">Esta Corporación encuentra que la expresión demandada está inmersa en una norma preconstitucional que admite una interpretación general y abierta de renunciar a cualquier prestación social, misma que resulta inconstitucional porque no permite diferenciar </w:t>
      </w:r>
      <w:r w:rsidRPr="002D20D6">
        <w:rPr>
          <w:rFonts w:ascii="Times New Roman" w:hAnsi="Times New Roman" w:cs="Times New Roman"/>
          <w:i/>
          <w:iCs/>
          <w:color w:val="0D0D0D" w:themeColor="text1" w:themeTint="F2"/>
          <w:sz w:val="28"/>
          <w:szCs w:val="28"/>
        </w:rPr>
        <w:t>p</w:t>
      </w:r>
      <w:r w:rsidRPr="002D20D6">
        <w:rPr>
          <w:rFonts w:ascii="Times New Roman" w:hAnsi="Times New Roman" w:cs="Times New Roman"/>
          <w:i/>
          <w:iCs/>
          <w:color w:val="0D0D0D" w:themeColor="text1" w:themeTint="F2"/>
          <w:sz w:val="28"/>
          <w:szCs w:val="28"/>
        </w:rPr>
        <w:t xml:space="preserve">er se </w:t>
      </w:r>
      <w:r w:rsidRPr="002D20D6">
        <w:rPr>
          <w:rFonts w:ascii="Times New Roman" w:hAnsi="Times New Roman" w:cs="Times New Roman"/>
          <w:color w:val="0D0D0D" w:themeColor="text1" w:themeTint="F2"/>
          <w:sz w:val="28"/>
          <w:szCs w:val="28"/>
        </w:rPr>
        <w:t xml:space="preserve">y conforme al parámetro de </w:t>
      </w:r>
      <w:r w:rsidRPr="002D20D6">
        <w:rPr>
          <w:rFonts w:ascii="Times New Roman" w:hAnsi="Times New Roman" w:cs="Times New Roman"/>
          <w:i/>
          <w:iCs/>
          <w:color w:val="0D0D0D" w:themeColor="text1" w:themeTint="F2"/>
          <w:sz w:val="28"/>
          <w:szCs w:val="28"/>
        </w:rPr>
        <w:t xml:space="preserve">irrenunciabilidad </w:t>
      </w:r>
      <w:r w:rsidRPr="002D20D6">
        <w:rPr>
          <w:rFonts w:ascii="Times New Roman" w:hAnsi="Times New Roman" w:cs="Times New Roman"/>
          <w:color w:val="0D0D0D" w:themeColor="text1" w:themeTint="F2"/>
          <w:sz w:val="28"/>
          <w:szCs w:val="28"/>
        </w:rPr>
        <w:t>de los beneficios mínimos laborales</w:t>
      </w:r>
      <w:r w:rsidRPr="002D20D6">
        <w:rPr>
          <w:rFonts w:ascii="Times New Roman" w:hAnsi="Times New Roman" w:cs="Times New Roman"/>
          <w:i/>
          <w:iCs/>
          <w:color w:val="0D0D0D" w:themeColor="text1" w:themeTint="F2"/>
          <w:sz w:val="28"/>
          <w:szCs w:val="28"/>
        </w:rPr>
        <w:t xml:space="preserve">, </w:t>
      </w:r>
      <w:r w:rsidRPr="002D20D6">
        <w:rPr>
          <w:rFonts w:ascii="Times New Roman" w:hAnsi="Times New Roman" w:cs="Times New Roman"/>
          <w:color w:val="0D0D0D" w:themeColor="text1" w:themeTint="F2"/>
          <w:sz w:val="28"/>
          <w:szCs w:val="28"/>
        </w:rPr>
        <w:t>cuáles prestaciones sociales pueden ser objeto de renuncia y cuáles no. Lo anterior, en tanto y en cuanto la competencia dada a las autoridades administrativas, esto es</w:t>
      </w:r>
      <w:r w:rsidRPr="002D20D6">
        <w:rPr>
          <w:rFonts w:ascii="Times New Roman" w:hAnsi="Times New Roman" w:cs="Times New Roman"/>
          <w:color w:val="0D0D0D" w:themeColor="text1" w:themeTint="F2"/>
          <w:sz w:val="28"/>
          <w:szCs w:val="28"/>
        </w:rPr>
        <w:t xml:space="preserve"> los Inspectores de Trabajo o Alcaldes Municipales, de modo amplio y general para autorizar la renuncia genérica a prestaciones sociales (en los casos previstos en la ley), no es compatible con la exigencia de que solo sea posible la renuncia respecto de l</w:t>
      </w:r>
      <w:r w:rsidRPr="002D20D6">
        <w:rPr>
          <w:rFonts w:ascii="Times New Roman" w:hAnsi="Times New Roman" w:cs="Times New Roman"/>
          <w:color w:val="0D0D0D" w:themeColor="text1" w:themeTint="F2"/>
          <w:sz w:val="28"/>
          <w:szCs w:val="28"/>
        </w:rPr>
        <w:t>os derechos inciertos y discutibles. Pues bien, para la renuncia a las prestaciones sociales, así se trate de aquellos casos previstos en la ley, se hace necesario que la autoridad administrativa del trabajo competente determine si el trabajador puede tran</w:t>
      </w:r>
      <w:r w:rsidRPr="002D20D6">
        <w:rPr>
          <w:rFonts w:ascii="Times New Roman" w:hAnsi="Times New Roman" w:cs="Times New Roman"/>
          <w:color w:val="0D0D0D" w:themeColor="text1" w:themeTint="F2"/>
          <w:sz w:val="28"/>
          <w:szCs w:val="28"/>
        </w:rPr>
        <w:t>sar o conciliar estos derechos, o si por corresponder a derechos ciertos e indiscutibles, por su naturaleza, aquellos quedan excluidos.</w:t>
      </w:r>
    </w:p>
    <w:p w:rsidR="00C46504" w:rsidRPr="002D20D6" w:rsidRDefault="002D20D6" w:rsidP="00C46504">
      <w:pPr>
        <w:pStyle w:val="NormalWeb"/>
        <w:tabs>
          <w:tab w:val="left" w:pos="142"/>
        </w:tabs>
        <w:ind w:right="49"/>
        <w:jc w:val="both"/>
        <w:rPr>
          <w:rFonts w:ascii="Times New Roman" w:hAnsi="Times New Roman" w:cs="Times New Roman"/>
          <w:color w:val="0D0D0D" w:themeColor="text1" w:themeTint="F2"/>
          <w:sz w:val="28"/>
        </w:rPr>
      </w:pPr>
    </w:p>
    <w:p w:rsidR="002F2ED6" w:rsidRPr="002D20D6" w:rsidRDefault="002D20D6" w:rsidP="00303B6A">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Recuérdese que de acuerdo con el principio de </w:t>
      </w:r>
      <w:r w:rsidRPr="002D20D6">
        <w:rPr>
          <w:rFonts w:ascii="Times New Roman" w:hAnsi="Times New Roman" w:cs="Times New Roman"/>
          <w:i/>
          <w:iCs/>
          <w:color w:val="0D0D0D" w:themeColor="text1" w:themeTint="F2"/>
          <w:sz w:val="28"/>
          <w:szCs w:val="28"/>
        </w:rPr>
        <w:t xml:space="preserve">irrenunciabilidad </w:t>
      </w:r>
      <w:r w:rsidRPr="002D20D6">
        <w:rPr>
          <w:rFonts w:ascii="Times New Roman" w:hAnsi="Times New Roman" w:cs="Times New Roman"/>
          <w:color w:val="0D0D0D" w:themeColor="text1" w:themeTint="F2"/>
          <w:sz w:val="28"/>
          <w:szCs w:val="28"/>
        </w:rPr>
        <w:t>de los beneficios mínimos laborales previsto en el artí</w:t>
      </w:r>
      <w:r w:rsidRPr="002D20D6">
        <w:rPr>
          <w:rFonts w:ascii="Times New Roman" w:hAnsi="Times New Roman" w:cs="Times New Roman"/>
          <w:color w:val="0D0D0D" w:themeColor="text1" w:themeTint="F2"/>
          <w:sz w:val="28"/>
          <w:szCs w:val="28"/>
        </w:rPr>
        <w:t>culo 53 constitucional, el trabajador no puede, por su voluntad, renunciar, desprenderse o abandonar, en perjuicio suyo, un beneficio previsto en las normas laborales, en razón del carácter imperativo del cual se encuentran revestidas. Siendo así, las pres</w:t>
      </w:r>
      <w:r w:rsidRPr="002D20D6">
        <w:rPr>
          <w:rFonts w:ascii="Times New Roman" w:hAnsi="Times New Roman" w:cs="Times New Roman"/>
          <w:color w:val="0D0D0D" w:themeColor="text1" w:themeTint="F2"/>
          <w:sz w:val="28"/>
          <w:szCs w:val="28"/>
        </w:rPr>
        <w:t>taciones sociales reconocidas en las normas laborales solo pueden ser renunciables, y en consecuencia conciliables o transables, cuando puedan ser calificadas como derechos inciertos o discutibles al tenor de la Constitución y el estatuto laboral. En conse</w:t>
      </w:r>
      <w:r w:rsidRPr="002D20D6">
        <w:rPr>
          <w:rFonts w:ascii="Times New Roman" w:hAnsi="Times New Roman" w:cs="Times New Roman"/>
          <w:color w:val="0D0D0D" w:themeColor="text1" w:themeTint="F2"/>
          <w:sz w:val="28"/>
          <w:szCs w:val="28"/>
        </w:rPr>
        <w:t>cuencia, el trabajador conserva la facultad de renunciar a las prestaciones sociales, siempre que constituyan meras expectativas o derechos en formación que superen los beneficios mínimos. Específicamente, que se deriven de hechos que no son claros, de nor</w:t>
      </w:r>
      <w:r w:rsidRPr="002D20D6">
        <w:rPr>
          <w:rFonts w:ascii="Times New Roman" w:hAnsi="Times New Roman" w:cs="Times New Roman"/>
          <w:color w:val="0D0D0D" w:themeColor="text1" w:themeTint="F2"/>
          <w:sz w:val="28"/>
          <w:szCs w:val="28"/>
        </w:rPr>
        <w:t>mas ambiguas o que admiten varias interpretaciones, o cuando el nacimiento del derecho está supeditado al cumplimiento de un plazo o condición y existe alguna circunstancia que impide su nacimiento o exigibilidad.</w:t>
      </w:r>
    </w:p>
    <w:p w:rsidR="00DE2076" w:rsidRPr="002D20D6" w:rsidRDefault="002D20D6" w:rsidP="00DE2076">
      <w:pPr>
        <w:pStyle w:val="Prrafodelista"/>
        <w:rPr>
          <w:rFonts w:ascii="Times New Roman" w:hAnsi="Times New Roman" w:cs="Times New Roman"/>
          <w:color w:val="0D0D0D" w:themeColor="text1" w:themeTint="F2"/>
          <w:sz w:val="28"/>
          <w:szCs w:val="28"/>
        </w:rPr>
      </w:pPr>
    </w:p>
    <w:p w:rsidR="001B38F3" w:rsidRPr="002D20D6" w:rsidRDefault="002D20D6" w:rsidP="00477D98">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Así las cosas, la interpretación según la</w:t>
      </w:r>
      <w:r w:rsidRPr="002D20D6">
        <w:rPr>
          <w:rFonts w:ascii="Times New Roman" w:hAnsi="Times New Roman" w:cs="Times New Roman"/>
          <w:color w:val="0D0D0D" w:themeColor="text1" w:themeTint="F2"/>
          <w:sz w:val="28"/>
          <w:szCs w:val="28"/>
        </w:rPr>
        <w:t xml:space="preserve"> cual se puede renunciar a cualquier prestación social, derivada de la expresión “</w:t>
      </w:r>
      <w:r w:rsidRPr="002D20D6">
        <w:rPr>
          <w:rFonts w:ascii="Times New Roman" w:hAnsi="Times New Roman" w:cs="Times New Roman"/>
          <w:i/>
          <w:color w:val="0D0D0D" w:themeColor="text1" w:themeTint="F2"/>
          <w:sz w:val="28"/>
          <w:szCs w:val="28"/>
        </w:rPr>
        <w:t xml:space="preserve">renunciar </w:t>
      </w:r>
      <w:r w:rsidRPr="002D20D6">
        <w:rPr>
          <w:rFonts w:ascii="Times New Roman" w:hAnsi="Times New Roman" w:cs="Times New Roman"/>
          <w:iCs/>
          <w:color w:val="0D0D0D" w:themeColor="text1" w:themeTint="F2"/>
          <w:sz w:val="28"/>
          <w:szCs w:val="28"/>
        </w:rPr>
        <w:t>[a]</w:t>
      </w:r>
      <w:r w:rsidRPr="002D20D6">
        <w:rPr>
          <w:rFonts w:ascii="Times New Roman" w:hAnsi="Times New Roman" w:cs="Times New Roman"/>
          <w:i/>
          <w:color w:val="0D0D0D" w:themeColor="text1" w:themeTint="F2"/>
          <w:sz w:val="28"/>
          <w:szCs w:val="28"/>
        </w:rPr>
        <w:t xml:space="preserve"> prestaciones sociales”,</w:t>
      </w:r>
      <w:r w:rsidRPr="002D20D6">
        <w:rPr>
          <w:rFonts w:ascii="Times New Roman" w:hAnsi="Times New Roman" w:cs="Times New Roman"/>
          <w:color w:val="0D0D0D" w:themeColor="text1" w:themeTint="F2"/>
          <w:sz w:val="28"/>
          <w:szCs w:val="28"/>
        </w:rPr>
        <w:t xml:space="preserve"> es inconstitucional, en tanto y en cuanto desconoce los parámetros bajo los cuales debe interpretarse el artículo 53 de la Constitución.</w:t>
      </w:r>
      <w:r w:rsidRPr="002D20D6">
        <w:rPr>
          <w:rFonts w:ascii="Times New Roman" w:hAnsi="Times New Roman" w:cs="Times New Roman"/>
          <w:color w:val="0D0D0D" w:themeColor="text1" w:themeTint="F2"/>
          <w:sz w:val="28"/>
          <w:szCs w:val="28"/>
        </w:rPr>
        <w:t xml:space="preserve"> Dicho de otra manera, la referencia a la renuncia solo puede entenderse constitucional, si media una autorización de una autoridad administrativa del trabajo que permita verificar que el objeto conciliable o transable se predica sobre un derecho que es in</w:t>
      </w:r>
      <w:r w:rsidRPr="002D20D6">
        <w:rPr>
          <w:rFonts w:ascii="Times New Roman" w:hAnsi="Times New Roman" w:cs="Times New Roman"/>
          <w:color w:val="0D0D0D" w:themeColor="text1" w:themeTint="F2"/>
          <w:sz w:val="28"/>
          <w:szCs w:val="28"/>
        </w:rPr>
        <w:t xml:space="preserve">cierto y discutible, pues es solo respecto de esa clase de derechos que recae esa facultad. </w:t>
      </w:r>
    </w:p>
    <w:p w:rsidR="006F405C" w:rsidRPr="002D20D6" w:rsidRDefault="002D20D6" w:rsidP="006F405C">
      <w:pPr>
        <w:pStyle w:val="Prrafodelista"/>
        <w:rPr>
          <w:rFonts w:ascii="Times New Roman" w:hAnsi="Times New Roman" w:cs="Times New Roman"/>
          <w:color w:val="0D0D0D" w:themeColor="text1" w:themeTint="F2"/>
          <w:sz w:val="28"/>
          <w:szCs w:val="28"/>
        </w:rPr>
      </w:pPr>
    </w:p>
    <w:p w:rsidR="00EB7053" w:rsidRPr="002D20D6" w:rsidRDefault="002D20D6" w:rsidP="001F5E9B">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lang w:val="es-CO"/>
        </w:rPr>
        <w:t>Dicho esto, a fin de procurar el principio de conservación del derecho, y con él, preservar la expresión demandada dentro del artículo 148 del Código Procesal del Trabajo, la Sala Plena procede a condicionar su entendimiento. Este principio, derivado del a</w:t>
      </w:r>
      <w:r w:rsidRPr="002D20D6">
        <w:rPr>
          <w:rFonts w:ascii="Times New Roman" w:hAnsi="Times New Roman" w:cs="Times New Roman"/>
          <w:color w:val="0D0D0D" w:themeColor="text1" w:themeTint="F2"/>
          <w:sz w:val="28"/>
          <w:szCs w:val="28"/>
          <w:lang w:val="es-CO"/>
        </w:rPr>
        <w:t xml:space="preserve">rtículo 241 de la Constitución y de la función institucional de esta Corporación, responde a la máxima de que el juez constitucional debe preferir la interpretación que preserve la norma sobre aquella que la expulse del ordenamiento, siempre que exista al </w:t>
      </w:r>
      <w:r w:rsidRPr="002D20D6">
        <w:rPr>
          <w:rFonts w:ascii="Times New Roman" w:hAnsi="Times New Roman" w:cs="Times New Roman"/>
          <w:color w:val="0D0D0D" w:themeColor="text1" w:themeTint="F2"/>
          <w:sz w:val="28"/>
          <w:szCs w:val="28"/>
          <w:lang w:val="es-CO"/>
        </w:rPr>
        <w:t xml:space="preserve">menos una lectura que resulte compatible con la Carta. </w:t>
      </w:r>
    </w:p>
    <w:p w:rsidR="00EB7053" w:rsidRPr="002D20D6" w:rsidRDefault="002D20D6" w:rsidP="00EB7053">
      <w:pPr>
        <w:pStyle w:val="Prrafodelista"/>
        <w:rPr>
          <w:rFonts w:ascii="Times New Roman" w:hAnsi="Times New Roman" w:cs="Times New Roman"/>
          <w:color w:val="0D0D0D" w:themeColor="text1" w:themeTint="F2"/>
          <w:sz w:val="28"/>
          <w:szCs w:val="28"/>
          <w:lang w:val="es-CO"/>
        </w:rPr>
      </w:pPr>
    </w:p>
    <w:p w:rsidR="006F405C" w:rsidRPr="002D20D6" w:rsidRDefault="002D20D6" w:rsidP="001F5E9B">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lang w:val="es-CO"/>
        </w:rPr>
        <w:t xml:space="preserve">En ese sentido, esta Corte ha explicado que </w:t>
      </w:r>
      <w:r w:rsidRPr="002D20D6">
        <w:rPr>
          <w:rFonts w:ascii="Times New Roman" w:hAnsi="Times New Roman" w:cs="Times New Roman"/>
          <w:i/>
          <w:iCs/>
          <w:color w:val="0D0D0D" w:themeColor="text1" w:themeTint="F2"/>
          <w:sz w:val="28"/>
          <w:szCs w:val="28"/>
          <w:lang w:val="es-CO"/>
        </w:rPr>
        <w:t>“la conservación del derecho legislado no es solo un principio de economía normativa, sino una expresión del respeto por la voluntad democrática del Legisl</w:t>
      </w:r>
      <w:r w:rsidRPr="002D20D6">
        <w:rPr>
          <w:rFonts w:ascii="Times New Roman" w:hAnsi="Times New Roman" w:cs="Times New Roman"/>
          <w:i/>
          <w:iCs/>
          <w:color w:val="0D0D0D" w:themeColor="text1" w:themeTint="F2"/>
          <w:sz w:val="28"/>
          <w:szCs w:val="28"/>
          <w:lang w:val="es-CO"/>
        </w:rPr>
        <w:t>ador, que solo cede cuando no existe interpretación alguna que permita salvar la norma cuestionada.”</w:t>
      </w:r>
      <w:r w:rsidRPr="002D20D6">
        <w:rPr>
          <w:rStyle w:val="Refdenotaalpie"/>
          <w:rFonts w:cs="Times New Roman"/>
          <w:i/>
          <w:iCs/>
          <w:color w:val="0D0D0D" w:themeColor="text1" w:themeTint="F2"/>
          <w:sz w:val="28"/>
          <w:szCs w:val="28"/>
          <w:lang w:val="es-CO"/>
        </w:rPr>
        <w:footnoteReference w:id="112"/>
      </w:r>
      <w:r w:rsidRPr="002D20D6">
        <w:rPr>
          <w:rFonts w:ascii="Times New Roman" w:hAnsi="Times New Roman" w:cs="Times New Roman"/>
          <w:color w:val="0D0D0D" w:themeColor="text1" w:themeTint="F2"/>
          <w:sz w:val="28"/>
          <w:szCs w:val="28"/>
          <w:lang w:val="es-CO"/>
        </w:rPr>
        <w:t xml:space="preserve"> Lo anterior adquiere especial relevancia en normas preconstitucionales como la que se examina, frente a las cuales el ordenamiento jurídico reclama clarid</w:t>
      </w:r>
      <w:r w:rsidRPr="002D20D6">
        <w:rPr>
          <w:rFonts w:ascii="Times New Roman" w:hAnsi="Times New Roman" w:cs="Times New Roman"/>
          <w:color w:val="0D0D0D" w:themeColor="text1" w:themeTint="F2"/>
          <w:sz w:val="28"/>
          <w:szCs w:val="28"/>
          <w:lang w:val="es-CO"/>
        </w:rPr>
        <w:t>ad sobre su compatibilidad con la Constitución de 1991, sin que ello suponga necesariamente su eliminación.</w:t>
      </w:r>
    </w:p>
    <w:p w:rsidR="001B38F3" w:rsidRPr="002D20D6" w:rsidRDefault="002D20D6" w:rsidP="001B38F3">
      <w:pPr>
        <w:pStyle w:val="Prrafodelista"/>
        <w:rPr>
          <w:rFonts w:ascii="Times New Roman" w:hAnsi="Times New Roman" w:cs="Times New Roman"/>
          <w:color w:val="0D0D0D" w:themeColor="text1" w:themeTint="F2"/>
          <w:sz w:val="28"/>
          <w:szCs w:val="28"/>
        </w:rPr>
      </w:pPr>
    </w:p>
    <w:p w:rsidR="003A65D3" w:rsidRPr="002D20D6" w:rsidRDefault="002D20D6" w:rsidP="003A65D3">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lang w:val="es-CO"/>
        </w:rPr>
      </w:pPr>
      <w:r w:rsidRPr="002D20D6">
        <w:rPr>
          <w:rFonts w:ascii="Times New Roman" w:hAnsi="Times New Roman" w:cs="Times New Roman"/>
          <w:color w:val="0D0D0D" w:themeColor="text1" w:themeTint="F2"/>
          <w:sz w:val="28"/>
          <w:szCs w:val="28"/>
          <w:lang w:val="es-CO"/>
        </w:rPr>
        <w:t>En consonancia con los artículos 243 de la Constitución y 21 del Decreto 2067 de 1991, desde sus primeros pronunciamientos,</w:t>
      </w:r>
      <w:r w:rsidRPr="002D20D6">
        <w:rPr>
          <w:rStyle w:val="Refdenotaalpie"/>
          <w:rFonts w:cs="Times New Roman"/>
          <w:color w:val="0D0D0D" w:themeColor="text1" w:themeTint="F2"/>
          <w:sz w:val="28"/>
          <w:szCs w:val="28"/>
        </w:rPr>
        <w:footnoteReference w:id="113"/>
      </w:r>
      <w:r w:rsidRPr="002D20D6">
        <w:rPr>
          <w:rFonts w:ascii="Times New Roman" w:hAnsi="Times New Roman" w:cs="Times New Roman"/>
          <w:color w:val="0D0D0D" w:themeColor="text1" w:themeTint="F2"/>
          <w:sz w:val="28"/>
          <w:szCs w:val="28"/>
          <w:lang w:val="es-CO"/>
        </w:rPr>
        <w:t xml:space="preserve"> la Corte Constitucional ha sostenido que es la competente para definir el alcance y los efectos de sus sentencias. En el marco de estas facultades, ha optado por las sentencias </w:t>
      </w:r>
      <w:r w:rsidRPr="002D20D6">
        <w:rPr>
          <w:rFonts w:ascii="Times New Roman" w:hAnsi="Times New Roman" w:cs="Times New Roman"/>
          <w:i/>
          <w:iCs/>
          <w:color w:val="0D0D0D" w:themeColor="text1" w:themeTint="F2"/>
          <w:sz w:val="28"/>
          <w:szCs w:val="28"/>
          <w:lang w:val="es-CO"/>
        </w:rPr>
        <w:t>interpretativas</w:t>
      </w:r>
      <w:r w:rsidRPr="002D20D6">
        <w:rPr>
          <w:rFonts w:ascii="Times New Roman" w:hAnsi="Times New Roman" w:cs="Times New Roman"/>
          <w:color w:val="0D0D0D" w:themeColor="text1" w:themeTint="F2"/>
          <w:sz w:val="28"/>
          <w:szCs w:val="28"/>
          <w:lang w:val="es-CO"/>
        </w:rPr>
        <w:t xml:space="preserve"> o </w:t>
      </w:r>
      <w:r w:rsidRPr="002D20D6">
        <w:rPr>
          <w:rFonts w:ascii="Times New Roman" w:hAnsi="Times New Roman" w:cs="Times New Roman"/>
          <w:i/>
          <w:iCs/>
          <w:color w:val="0D0D0D" w:themeColor="text1" w:themeTint="F2"/>
          <w:sz w:val="28"/>
          <w:szCs w:val="28"/>
          <w:lang w:val="es-CO"/>
        </w:rPr>
        <w:t>condicionales</w:t>
      </w:r>
      <w:r w:rsidRPr="002D20D6">
        <w:rPr>
          <w:rFonts w:ascii="Times New Roman" w:hAnsi="Times New Roman" w:cs="Times New Roman"/>
          <w:color w:val="0D0D0D" w:themeColor="text1" w:themeTint="F2"/>
          <w:sz w:val="28"/>
          <w:szCs w:val="28"/>
          <w:lang w:val="es-CO"/>
        </w:rPr>
        <w:t xml:space="preserve"> como una alternativa para modular sus decision</w:t>
      </w:r>
      <w:r w:rsidRPr="002D20D6">
        <w:rPr>
          <w:rFonts w:ascii="Times New Roman" w:hAnsi="Times New Roman" w:cs="Times New Roman"/>
          <w:color w:val="0D0D0D" w:themeColor="text1" w:themeTint="F2"/>
          <w:sz w:val="28"/>
          <w:szCs w:val="28"/>
          <w:lang w:val="es-CO"/>
        </w:rPr>
        <w:t>es y para preservar el principio de conservación del derecho.</w:t>
      </w:r>
      <w:r w:rsidRPr="002D20D6">
        <w:rPr>
          <w:rStyle w:val="Refdenotaalpie"/>
          <w:rFonts w:cs="Times New Roman"/>
          <w:color w:val="0D0D0D" w:themeColor="text1" w:themeTint="F2"/>
          <w:sz w:val="28"/>
          <w:szCs w:val="28"/>
        </w:rPr>
        <w:footnoteReference w:id="114"/>
      </w:r>
      <w:r w:rsidRPr="002D20D6">
        <w:rPr>
          <w:rFonts w:ascii="Times New Roman" w:hAnsi="Times New Roman" w:cs="Times New Roman"/>
          <w:color w:val="0D0D0D" w:themeColor="text1" w:themeTint="F2"/>
          <w:sz w:val="28"/>
          <w:szCs w:val="28"/>
          <w:lang w:val="es-CO"/>
        </w:rPr>
        <w:t xml:space="preserve"> Así las cosas, procede la declaratoria de una exequibilidad condicionada cuando concluye que aquella: </w:t>
      </w:r>
      <w:r w:rsidRPr="002D20D6">
        <w:rPr>
          <w:rFonts w:ascii="Times New Roman" w:hAnsi="Times New Roman" w:cs="Times New Roman"/>
          <w:i/>
          <w:iCs/>
          <w:color w:val="0D0D0D" w:themeColor="text1" w:themeTint="F2"/>
          <w:sz w:val="28"/>
          <w:szCs w:val="28"/>
          <w:lang w:val="es-CO"/>
        </w:rPr>
        <w:t>“(i) debe entenderse en un sentido determinado para que resulte conforme con la Constitució</w:t>
      </w:r>
      <w:r w:rsidRPr="002D20D6">
        <w:rPr>
          <w:rFonts w:ascii="Times New Roman" w:hAnsi="Times New Roman" w:cs="Times New Roman"/>
          <w:i/>
          <w:iCs/>
          <w:color w:val="0D0D0D" w:themeColor="text1" w:themeTint="F2"/>
          <w:sz w:val="28"/>
          <w:szCs w:val="28"/>
          <w:lang w:val="es-CO"/>
        </w:rPr>
        <w:t>n, de modo que todas las demás lecturas resultan inexequibles; o (ii) puede interpretarse de una manera que es contraria a la Carta, por lo que debe excluirse esta posible lectura.”</w:t>
      </w:r>
      <w:r w:rsidRPr="002D20D6">
        <w:rPr>
          <w:rStyle w:val="Refdenotaalpie"/>
          <w:rFonts w:cs="Times New Roman"/>
          <w:i/>
          <w:color w:val="0D0D0D" w:themeColor="text1" w:themeTint="F2"/>
          <w:sz w:val="28"/>
          <w:szCs w:val="28"/>
        </w:rPr>
        <w:footnoteReference w:id="115"/>
      </w:r>
    </w:p>
    <w:p w:rsidR="00E61258" w:rsidRPr="002D20D6" w:rsidRDefault="002D20D6" w:rsidP="00E61258">
      <w:pPr>
        <w:pStyle w:val="Prrafodelista"/>
        <w:rPr>
          <w:rFonts w:ascii="Times New Roman" w:hAnsi="Times New Roman" w:cs="Times New Roman"/>
          <w:color w:val="0D0D0D" w:themeColor="text1" w:themeTint="F2"/>
          <w:sz w:val="28"/>
          <w:szCs w:val="28"/>
          <w:lang w:val="es-CO"/>
        </w:rPr>
      </w:pPr>
    </w:p>
    <w:p w:rsidR="00E61258" w:rsidRPr="002D20D6" w:rsidRDefault="002D20D6" w:rsidP="00E61258">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lang w:val="es-CO"/>
        </w:rPr>
      </w:pPr>
      <w:r w:rsidRPr="002D20D6">
        <w:rPr>
          <w:rFonts w:ascii="Times New Roman" w:hAnsi="Times New Roman" w:cs="Times New Roman"/>
          <w:color w:val="0D0D0D" w:themeColor="text1" w:themeTint="F2"/>
          <w:sz w:val="28"/>
          <w:szCs w:val="28"/>
          <w:lang w:val="es-CO"/>
        </w:rPr>
        <w:t xml:space="preserve">En el presente asunto concurren los presupuestos que habilitan acudir a este tipo de remedio. De una parte, la expresión </w:t>
      </w:r>
      <w:r w:rsidRPr="002D20D6">
        <w:rPr>
          <w:rFonts w:ascii="Times New Roman" w:hAnsi="Times New Roman" w:cs="Times New Roman"/>
          <w:i/>
          <w:iCs/>
          <w:color w:val="0D0D0D" w:themeColor="text1" w:themeTint="F2"/>
          <w:sz w:val="28"/>
          <w:szCs w:val="28"/>
          <w:lang w:val="es-CO"/>
        </w:rPr>
        <w:t>“y para renunciar prestaciones sociales”</w:t>
      </w:r>
      <w:r w:rsidRPr="002D20D6">
        <w:rPr>
          <w:rFonts w:ascii="Times New Roman" w:hAnsi="Times New Roman" w:cs="Times New Roman"/>
          <w:color w:val="0D0D0D" w:themeColor="text1" w:themeTint="F2"/>
          <w:sz w:val="28"/>
          <w:szCs w:val="28"/>
          <w:lang w:val="es-CO"/>
        </w:rPr>
        <w:t xml:space="preserve"> admite más de una lectura; una amplia y general, que habilitaría la renuncia a cualquier prest</w:t>
      </w:r>
      <w:r w:rsidRPr="002D20D6">
        <w:rPr>
          <w:rFonts w:ascii="Times New Roman" w:hAnsi="Times New Roman" w:cs="Times New Roman"/>
          <w:color w:val="0D0D0D" w:themeColor="text1" w:themeTint="F2"/>
          <w:sz w:val="28"/>
          <w:szCs w:val="28"/>
          <w:lang w:val="es-CO"/>
        </w:rPr>
        <w:t xml:space="preserve">ación social con la sola autorización administrativa, y una restringida, que limitaría esa autorización a los derechos inciertos y discutibles. La primera es abiertamente incompatible con el artículo 53 de la Constitución, como se demostró en los párrafos </w:t>
      </w:r>
      <w:r w:rsidRPr="002D20D6">
        <w:rPr>
          <w:rFonts w:ascii="Times New Roman" w:hAnsi="Times New Roman" w:cs="Times New Roman"/>
          <w:color w:val="0D0D0D" w:themeColor="text1" w:themeTint="F2"/>
          <w:sz w:val="28"/>
          <w:szCs w:val="28"/>
          <w:lang w:val="es-CO"/>
        </w:rPr>
        <w:t xml:space="preserve">precedentes, mientras que la segunda, en cambio, se ajusta plenamente al ordenamiento constitucional. </w:t>
      </w:r>
    </w:p>
    <w:p w:rsidR="00E61258" w:rsidRPr="002D20D6" w:rsidRDefault="002D20D6" w:rsidP="00E61258">
      <w:pPr>
        <w:pStyle w:val="Prrafodelista"/>
        <w:rPr>
          <w:rFonts w:ascii="Times New Roman" w:hAnsi="Times New Roman" w:cs="Times New Roman"/>
          <w:color w:val="0D0D0D" w:themeColor="text1" w:themeTint="F2"/>
          <w:sz w:val="28"/>
          <w:szCs w:val="28"/>
          <w:lang w:val="es-CO"/>
        </w:rPr>
      </w:pPr>
    </w:p>
    <w:p w:rsidR="003A65D3" w:rsidRPr="002D20D6" w:rsidRDefault="002D20D6" w:rsidP="00E61258">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lang w:val="es-CO"/>
        </w:rPr>
      </w:pPr>
      <w:r w:rsidRPr="002D20D6">
        <w:rPr>
          <w:rFonts w:ascii="Times New Roman" w:hAnsi="Times New Roman" w:cs="Times New Roman"/>
          <w:color w:val="0D0D0D" w:themeColor="text1" w:themeTint="F2"/>
          <w:sz w:val="28"/>
          <w:szCs w:val="28"/>
          <w:lang w:val="es-CO"/>
        </w:rPr>
        <w:t xml:space="preserve">De otra parte, la inexequibilidad simple no constituye el remedio judicial más adecuado, en tanto y en cuanto la expresión demandada tiene un contenido </w:t>
      </w:r>
      <w:r w:rsidRPr="002D20D6">
        <w:rPr>
          <w:rFonts w:ascii="Times New Roman" w:hAnsi="Times New Roman" w:cs="Times New Roman"/>
          <w:color w:val="0D0D0D" w:themeColor="text1" w:themeTint="F2"/>
          <w:sz w:val="28"/>
          <w:szCs w:val="28"/>
          <w:lang w:val="es-CO"/>
        </w:rPr>
        <w:t>parcialmente legítimo. Esto es, en lo que se refiere a la autorización de renuncias sobre derechos inciertos y discutibles, por lo que expulsarla del ordenamiento equivaldría a suprimir también esa dimensión constitucional de la norma acusada, con el riesg</w:t>
      </w:r>
      <w:r w:rsidRPr="002D20D6">
        <w:rPr>
          <w:rFonts w:ascii="Times New Roman" w:hAnsi="Times New Roman" w:cs="Times New Roman"/>
          <w:color w:val="0D0D0D" w:themeColor="text1" w:themeTint="F2"/>
          <w:sz w:val="28"/>
          <w:szCs w:val="28"/>
          <w:lang w:val="es-CO"/>
        </w:rPr>
        <w:t>o de generar un vacío normativo en materia de transacciones y conciliaciones laborales extrajudiciales. Por lo tanto, el condicionamiento es el instrumento idóneo para conciliar la protección de los derechos fundamentales de los trabajadores con el princip</w:t>
      </w:r>
      <w:r w:rsidRPr="002D20D6">
        <w:rPr>
          <w:rFonts w:ascii="Times New Roman" w:hAnsi="Times New Roman" w:cs="Times New Roman"/>
          <w:color w:val="0D0D0D" w:themeColor="text1" w:themeTint="F2"/>
          <w:sz w:val="28"/>
          <w:szCs w:val="28"/>
          <w:lang w:val="es-CO"/>
        </w:rPr>
        <w:t>io de conservación del derecho.</w:t>
      </w:r>
    </w:p>
    <w:p w:rsidR="00E61258" w:rsidRPr="002D20D6" w:rsidRDefault="002D20D6" w:rsidP="00FE797F">
      <w:pPr>
        <w:pStyle w:val="Prrafodelista"/>
        <w:rPr>
          <w:rFonts w:ascii="Times New Roman" w:hAnsi="Times New Roman" w:cs="Times New Roman"/>
          <w:color w:val="0D0D0D" w:themeColor="text1" w:themeTint="F2"/>
          <w:sz w:val="28"/>
          <w:szCs w:val="28"/>
        </w:rPr>
      </w:pPr>
    </w:p>
    <w:p w:rsidR="00FE797F" w:rsidRPr="002D20D6" w:rsidRDefault="002D20D6" w:rsidP="005B0569">
      <w:pPr>
        <w:pStyle w:val="NormalWeb"/>
        <w:numPr>
          <w:ilvl w:val="0"/>
          <w:numId w:val="3"/>
        </w:numPr>
        <w:tabs>
          <w:tab w:val="left" w:pos="142"/>
        </w:tabs>
        <w:ind w:left="0" w:right="49" w:firstLine="0"/>
        <w:jc w:val="both"/>
        <w:rPr>
          <w:rFonts w:ascii="Times New Roman" w:hAnsi="Times New Roman" w:cs="Times New Roman"/>
          <w:color w:val="0D0D0D" w:themeColor="text1" w:themeTint="F2"/>
          <w:sz w:val="28"/>
          <w:szCs w:val="28"/>
        </w:rPr>
      </w:pPr>
      <w:r w:rsidRPr="002D20D6">
        <w:rPr>
          <w:rFonts w:ascii="Times New Roman" w:hAnsi="Times New Roman" w:cs="Times New Roman"/>
          <w:color w:val="0D0D0D" w:themeColor="text1" w:themeTint="F2"/>
          <w:sz w:val="28"/>
          <w:szCs w:val="28"/>
        </w:rPr>
        <w:t xml:space="preserve">Como remedio constitucional, en esta oportunidad la Corte procederá a declarar exequible condicionadamente la expresión </w:t>
      </w:r>
      <w:r w:rsidRPr="002D20D6">
        <w:rPr>
          <w:rFonts w:ascii="Times New Roman" w:hAnsi="Times New Roman" w:cs="Times New Roman"/>
          <w:i/>
          <w:iCs/>
          <w:color w:val="0D0D0D" w:themeColor="text1" w:themeTint="F2"/>
          <w:sz w:val="28"/>
          <w:szCs w:val="28"/>
        </w:rPr>
        <w:t>“</w:t>
      </w:r>
      <w:r w:rsidRPr="002D20D6">
        <w:rPr>
          <w:rFonts w:ascii="Times New Roman" w:hAnsi="Times New Roman" w:cs="Times New Roman"/>
          <w:i/>
          <w:color w:val="0D0D0D" w:themeColor="text1" w:themeTint="F2"/>
          <w:sz w:val="28"/>
          <w:szCs w:val="28"/>
        </w:rPr>
        <w:t>y para renunciar prestaciones sociales,”</w:t>
      </w:r>
      <w:r w:rsidRPr="002D20D6">
        <w:rPr>
          <w:rFonts w:ascii="Times New Roman" w:hAnsi="Times New Roman" w:cs="Times New Roman"/>
          <w:color w:val="0D0D0D" w:themeColor="text1" w:themeTint="F2"/>
          <w:sz w:val="28"/>
          <w:szCs w:val="28"/>
        </w:rPr>
        <w:t xml:space="preserve"> contenida en el artículo 148 del Decreto 2158 de 1948 por med</w:t>
      </w:r>
      <w:r w:rsidRPr="002D20D6">
        <w:rPr>
          <w:rFonts w:ascii="Times New Roman" w:hAnsi="Times New Roman" w:cs="Times New Roman"/>
          <w:color w:val="0D0D0D" w:themeColor="text1" w:themeTint="F2"/>
          <w:sz w:val="28"/>
          <w:szCs w:val="28"/>
        </w:rPr>
        <w:t>io del cual se expidió el Código Procesal del Trabajo, en el entendido de que la autorización del Inspector del Trabajo o del Alcalde Municipal, según sus competencias, solo podrá recaer sobre acuerdos de transacción o conciliación extrajudicial en los que</w:t>
      </w:r>
      <w:r w:rsidRPr="002D20D6">
        <w:rPr>
          <w:rFonts w:ascii="Times New Roman" w:hAnsi="Times New Roman" w:cs="Times New Roman"/>
          <w:color w:val="0D0D0D" w:themeColor="text1" w:themeTint="F2"/>
          <w:sz w:val="28"/>
          <w:szCs w:val="28"/>
        </w:rPr>
        <w:t xml:space="preserve"> el trabajador renuncie a prestaciones sociales de carácter incierto y discutible, sin que en ningún caso pueda comprender la renuncia a los beneficios mínimos establecidos en las normas laborales. Es solo a partir de esa lectura, que el fragmento demandad</w:t>
      </w:r>
      <w:r w:rsidRPr="002D20D6">
        <w:rPr>
          <w:rFonts w:ascii="Times New Roman" w:hAnsi="Times New Roman" w:cs="Times New Roman"/>
          <w:color w:val="0D0D0D" w:themeColor="text1" w:themeTint="F2"/>
          <w:sz w:val="28"/>
          <w:szCs w:val="28"/>
        </w:rPr>
        <w:t>o resulta ajustado a la Constitución.</w:t>
      </w:r>
    </w:p>
    <w:p w:rsidR="00DE59D7" w:rsidRPr="002D20D6" w:rsidRDefault="002D20D6">
      <w:pPr>
        <w:rPr>
          <w:rFonts w:ascii="Times New Roman" w:hAnsi="Times New Roman" w:cs="Times New Roman"/>
          <w:color w:val="0D0D0D" w:themeColor="text1" w:themeTint="F2"/>
          <w:sz w:val="28"/>
          <w:szCs w:val="28"/>
        </w:rPr>
      </w:pPr>
    </w:p>
    <w:p w:rsidR="00614F88" w:rsidRPr="002D20D6" w:rsidRDefault="002D20D6">
      <w:pPr>
        <w:rPr>
          <w:rFonts w:ascii="Times New Roman" w:hAnsi="Times New Roman" w:cs="Times New Roman"/>
          <w:color w:val="0D0D0D" w:themeColor="text1" w:themeTint="F2"/>
          <w:sz w:val="28"/>
          <w:szCs w:val="28"/>
        </w:rPr>
      </w:pPr>
    </w:p>
    <w:p w:rsidR="00F8472D" w:rsidRPr="002D20D6" w:rsidRDefault="002D20D6" w:rsidP="00F8472D">
      <w:pPr>
        <w:shd w:val="clear" w:color="auto" w:fill="FFFFFF" w:themeFill="background1"/>
        <w:outlineLvl w:val="0"/>
        <w:rPr>
          <w:rFonts w:ascii="Times New Roman" w:hAnsi="Times New Roman" w:cs="Times New Roman"/>
          <w:b/>
          <w:color w:val="0D0D0D" w:themeColor="text1" w:themeTint="F2"/>
          <w:sz w:val="28"/>
          <w:szCs w:val="28"/>
          <w:lang w:val="es-ES"/>
        </w:rPr>
      </w:pPr>
      <w:r w:rsidRPr="002D20D6">
        <w:rPr>
          <w:rFonts w:ascii="Times New Roman" w:hAnsi="Times New Roman" w:cs="Times New Roman"/>
          <w:b/>
          <w:color w:val="0D0D0D" w:themeColor="text1" w:themeTint="F2"/>
          <w:sz w:val="28"/>
          <w:szCs w:val="28"/>
          <w:lang w:val="es-ES"/>
        </w:rPr>
        <w:t>III.</w:t>
      </w:r>
      <w:r w:rsidRPr="002D20D6">
        <w:rPr>
          <w:rFonts w:ascii="Times New Roman" w:hAnsi="Times New Roman" w:cs="Times New Roman"/>
          <w:b/>
          <w:color w:val="0D0D0D" w:themeColor="text1" w:themeTint="F2"/>
          <w:sz w:val="28"/>
          <w:szCs w:val="28"/>
          <w:lang w:val="es-ES"/>
        </w:rPr>
        <w:tab/>
        <w:t xml:space="preserve"> DECISIÓN</w:t>
      </w:r>
    </w:p>
    <w:p w:rsidR="00F8472D" w:rsidRPr="002D20D6" w:rsidRDefault="002D20D6" w:rsidP="00F8472D">
      <w:pPr>
        <w:shd w:val="clear" w:color="auto" w:fill="FFFFFF" w:themeFill="background1"/>
        <w:tabs>
          <w:tab w:val="left" w:pos="426"/>
        </w:tabs>
        <w:outlineLvl w:val="1"/>
        <w:rPr>
          <w:rFonts w:ascii="Times New Roman" w:hAnsi="Times New Roman" w:cs="Times New Roman"/>
          <w:b/>
          <w:bCs/>
          <w:color w:val="0D0D0D" w:themeColor="text1" w:themeTint="F2"/>
          <w:sz w:val="28"/>
          <w:szCs w:val="28"/>
          <w:lang w:val="es-ES"/>
        </w:rPr>
      </w:pPr>
    </w:p>
    <w:p w:rsidR="00F8472D" w:rsidRPr="002D20D6" w:rsidRDefault="002D20D6" w:rsidP="00F8472D">
      <w:pPr>
        <w:pStyle w:val="Prrafodelista"/>
        <w:shd w:val="clear" w:color="auto" w:fill="FFFFFF" w:themeFill="background1"/>
        <w:autoSpaceDE w:val="0"/>
        <w:autoSpaceDN w:val="0"/>
        <w:ind w:left="0"/>
        <w:jc w:val="both"/>
        <w:rPr>
          <w:rFonts w:ascii="Times New Roman" w:hAnsi="Times New Roman" w:cs="Times New Roman"/>
          <w:bCs/>
          <w:color w:val="0D0D0D" w:themeColor="text1" w:themeTint="F2"/>
          <w:sz w:val="28"/>
          <w:szCs w:val="28"/>
        </w:rPr>
      </w:pPr>
      <w:r w:rsidRPr="002D20D6">
        <w:rPr>
          <w:rFonts w:ascii="Times New Roman" w:hAnsi="Times New Roman" w:cs="Times New Roman"/>
          <w:bCs/>
          <w:color w:val="0D0D0D" w:themeColor="text1" w:themeTint="F2"/>
          <w:sz w:val="28"/>
          <w:szCs w:val="28"/>
        </w:rPr>
        <w:t>En mérito de lo expuesto, la Corte Constitucional, administrando justicia en nombre del pueblo y por mandato de la Constitución,</w:t>
      </w:r>
    </w:p>
    <w:p w:rsidR="00F8472D" w:rsidRPr="002D20D6" w:rsidRDefault="002D20D6" w:rsidP="00F8472D">
      <w:pPr>
        <w:pStyle w:val="Prrafodelista"/>
        <w:shd w:val="clear" w:color="auto" w:fill="FFFFFF" w:themeFill="background1"/>
        <w:autoSpaceDE w:val="0"/>
        <w:autoSpaceDN w:val="0"/>
        <w:ind w:left="0"/>
        <w:jc w:val="both"/>
        <w:rPr>
          <w:rFonts w:ascii="Times New Roman" w:hAnsi="Times New Roman" w:cs="Times New Roman"/>
          <w:bCs/>
          <w:color w:val="0D0D0D" w:themeColor="text1" w:themeTint="F2"/>
          <w:sz w:val="28"/>
          <w:szCs w:val="32"/>
        </w:rPr>
      </w:pPr>
    </w:p>
    <w:p w:rsidR="00F8472D" w:rsidRPr="002D20D6" w:rsidRDefault="002D20D6" w:rsidP="00F8472D">
      <w:pPr>
        <w:pStyle w:val="Prrafodelista"/>
        <w:shd w:val="clear" w:color="auto" w:fill="FFFFFF" w:themeFill="background1"/>
        <w:autoSpaceDE w:val="0"/>
        <w:autoSpaceDN w:val="0"/>
        <w:ind w:left="0"/>
        <w:jc w:val="center"/>
        <w:rPr>
          <w:rFonts w:ascii="Times New Roman" w:hAnsi="Times New Roman" w:cs="Times New Roman"/>
          <w:b/>
          <w:color w:val="0D0D0D" w:themeColor="text1" w:themeTint="F2"/>
          <w:sz w:val="28"/>
          <w:szCs w:val="28"/>
        </w:rPr>
      </w:pPr>
      <w:r w:rsidRPr="002D20D6">
        <w:rPr>
          <w:rFonts w:ascii="Times New Roman" w:hAnsi="Times New Roman" w:cs="Times New Roman"/>
          <w:b/>
          <w:color w:val="0D0D0D" w:themeColor="text1" w:themeTint="F2"/>
          <w:sz w:val="28"/>
          <w:szCs w:val="28"/>
        </w:rPr>
        <w:t>RESUELVE</w:t>
      </w:r>
    </w:p>
    <w:p w:rsidR="00F8472D" w:rsidRPr="002D20D6" w:rsidRDefault="002D20D6" w:rsidP="00F8472D">
      <w:pPr>
        <w:pStyle w:val="Prrafodelista"/>
        <w:shd w:val="clear" w:color="auto" w:fill="FFFFFF" w:themeFill="background1"/>
        <w:autoSpaceDE w:val="0"/>
        <w:autoSpaceDN w:val="0"/>
        <w:ind w:left="0"/>
        <w:jc w:val="center"/>
        <w:rPr>
          <w:rFonts w:ascii="Times New Roman" w:hAnsi="Times New Roman" w:cs="Times New Roman"/>
          <w:bCs/>
          <w:color w:val="0D0D0D" w:themeColor="text1" w:themeTint="F2"/>
          <w:sz w:val="28"/>
          <w:szCs w:val="32"/>
        </w:rPr>
      </w:pPr>
    </w:p>
    <w:p w:rsidR="00F8472D" w:rsidRPr="002D20D6" w:rsidRDefault="002D20D6" w:rsidP="003A3464">
      <w:pPr>
        <w:shd w:val="clear" w:color="auto" w:fill="FFFFFF" w:themeFill="background1"/>
        <w:spacing w:line="247" w:lineRule="auto"/>
        <w:jc w:val="both"/>
        <w:rPr>
          <w:rFonts w:ascii="Times New Roman" w:hAnsi="Times New Roman" w:cs="Times New Roman"/>
          <w:bCs/>
          <w:i/>
          <w:iCs/>
          <w:color w:val="0D0D0D" w:themeColor="text1" w:themeTint="F2"/>
          <w:sz w:val="28"/>
          <w:szCs w:val="28"/>
          <w:lang w:val="es-ES"/>
        </w:rPr>
      </w:pPr>
      <w:r w:rsidRPr="002D20D6">
        <w:rPr>
          <w:rFonts w:ascii="Times New Roman" w:hAnsi="Times New Roman" w:cs="Times New Roman"/>
          <w:b/>
          <w:color w:val="0D0D0D" w:themeColor="text1" w:themeTint="F2"/>
          <w:sz w:val="28"/>
          <w:szCs w:val="28"/>
          <w:lang w:val="es-ES"/>
        </w:rPr>
        <w:t xml:space="preserve">ÚNICO. </w:t>
      </w:r>
      <w:r w:rsidRPr="002D20D6">
        <w:rPr>
          <w:rFonts w:ascii="Times New Roman" w:hAnsi="Times New Roman" w:cs="Times New Roman"/>
          <w:color w:val="0D0D0D" w:themeColor="text1" w:themeTint="F2"/>
          <w:sz w:val="28"/>
          <w:szCs w:val="28"/>
        </w:rPr>
        <w:t xml:space="preserve">Declarar </w:t>
      </w:r>
      <w:r w:rsidRPr="002D20D6">
        <w:rPr>
          <w:rFonts w:ascii="Times New Roman" w:hAnsi="Times New Roman" w:cs="Times New Roman"/>
          <w:b/>
          <w:color w:val="0D0D0D" w:themeColor="text1" w:themeTint="F2"/>
          <w:sz w:val="28"/>
          <w:szCs w:val="28"/>
        </w:rPr>
        <w:t>EXEQUIBLE</w:t>
      </w:r>
      <w:r w:rsidRPr="002D20D6">
        <w:rPr>
          <w:rFonts w:ascii="Times New Roman" w:hAnsi="Times New Roman" w:cs="Times New Roman"/>
          <w:color w:val="0D0D0D" w:themeColor="text1" w:themeTint="F2"/>
          <w:sz w:val="28"/>
          <w:szCs w:val="28"/>
        </w:rPr>
        <w:t xml:space="preserve"> la expresión </w:t>
      </w:r>
      <w:r w:rsidRPr="002D20D6">
        <w:rPr>
          <w:rFonts w:ascii="Times New Roman" w:hAnsi="Times New Roman" w:cs="Times New Roman"/>
          <w:i/>
          <w:iCs/>
          <w:color w:val="0D0D0D" w:themeColor="text1" w:themeTint="F2"/>
          <w:sz w:val="28"/>
          <w:szCs w:val="28"/>
        </w:rPr>
        <w:t>“</w:t>
      </w:r>
      <w:r w:rsidRPr="002D20D6">
        <w:rPr>
          <w:rFonts w:ascii="Times New Roman" w:hAnsi="Times New Roman" w:cs="Times New Roman"/>
          <w:i/>
          <w:color w:val="0D0D0D" w:themeColor="text1" w:themeTint="F2"/>
          <w:sz w:val="28"/>
          <w:szCs w:val="28"/>
        </w:rPr>
        <w:t xml:space="preserve">y para renunciar </w:t>
      </w:r>
      <w:r w:rsidRPr="002D20D6">
        <w:rPr>
          <w:rFonts w:ascii="Times New Roman" w:hAnsi="Times New Roman" w:cs="Times New Roman"/>
          <w:i/>
          <w:color w:val="0D0D0D" w:themeColor="text1" w:themeTint="F2"/>
          <w:sz w:val="28"/>
          <w:szCs w:val="28"/>
        </w:rPr>
        <w:t>prestaciones sociales,”</w:t>
      </w:r>
      <w:r w:rsidRPr="002D20D6">
        <w:rPr>
          <w:rFonts w:ascii="Times New Roman" w:hAnsi="Times New Roman" w:cs="Times New Roman"/>
          <w:color w:val="0D0D0D" w:themeColor="text1" w:themeTint="F2"/>
          <w:sz w:val="28"/>
          <w:szCs w:val="28"/>
        </w:rPr>
        <w:t xml:space="preserve"> contenida en el artículo 148 del Decreto 2158 de 1948, en el entendido de que la autorización del inspector de trabajo o del alcalde, según sus competencias, solo podrá recaer sobre acuerdos de transacción o conciliación extrajudici</w:t>
      </w:r>
      <w:r w:rsidRPr="002D20D6">
        <w:rPr>
          <w:rFonts w:ascii="Times New Roman" w:hAnsi="Times New Roman" w:cs="Times New Roman"/>
          <w:color w:val="0D0D0D" w:themeColor="text1" w:themeTint="F2"/>
          <w:sz w:val="28"/>
          <w:szCs w:val="28"/>
        </w:rPr>
        <w:t>al en los que el trabajador renuncie a prestaciones sociales de carácter incierto y discutible, sin que en ningún caso pueda comprender la renuncia a los beneficios mínimos establecidos en las normas laborales.</w:t>
      </w:r>
    </w:p>
    <w:p w:rsidR="00F8472D" w:rsidRPr="002D20D6" w:rsidRDefault="002D20D6" w:rsidP="00F8472D">
      <w:pPr>
        <w:shd w:val="clear" w:color="auto" w:fill="FFFFFF" w:themeFill="background1"/>
        <w:spacing w:line="247" w:lineRule="auto"/>
        <w:jc w:val="both"/>
        <w:rPr>
          <w:rFonts w:ascii="Times New Roman" w:hAnsi="Times New Roman" w:cs="Times New Roman"/>
          <w:b/>
          <w:color w:val="0D0D0D" w:themeColor="text1" w:themeTint="F2"/>
          <w:sz w:val="28"/>
          <w:szCs w:val="28"/>
          <w:lang w:val="es-ES"/>
        </w:rPr>
      </w:pPr>
    </w:p>
    <w:p w:rsidR="00EE3720" w:rsidRPr="002D20D6" w:rsidRDefault="002D20D6" w:rsidP="001A0842">
      <w:pPr>
        <w:shd w:val="clear" w:color="auto" w:fill="FFFFFF" w:themeFill="background1"/>
        <w:jc w:val="both"/>
        <w:rPr>
          <w:rFonts w:ascii="Times New Roman" w:hAnsi="Times New Roman" w:cs="Times New Roman"/>
          <w:color w:val="0D0D0D" w:themeColor="text1" w:themeTint="F2"/>
          <w:sz w:val="28"/>
          <w:szCs w:val="28"/>
          <w:lang w:val="es-ES"/>
        </w:rPr>
      </w:pPr>
    </w:p>
    <w:p w:rsidR="002E02B9" w:rsidRPr="002D20D6" w:rsidRDefault="002D20D6" w:rsidP="001A0842">
      <w:pPr>
        <w:shd w:val="clear" w:color="auto" w:fill="FFFFFF" w:themeFill="background1"/>
        <w:jc w:val="both"/>
        <w:rPr>
          <w:rFonts w:ascii="Times New Roman" w:hAnsi="Times New Roman" w:cs="Times New Roman"/>
          <w:color w:val="0D0D0D" w:themeColor="text1" w:themeTint="F2"/>
          <w:sz w:val="28"/>
          <w:szCs w:val="28"/>
          <w:lang w:val="es-ES"/>
        </w:rPr>
      </w:pP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PAOLA ANDREA MENESES MOSQUERA</w:t>
      </w: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Presidenta</w:t>
      </w: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NATALIA ÁNGEL CABO</w:t>
      </w: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Magistrada</w:t>
      </w: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CARLOS CAMARGO ASSIS</w:t>
      </w: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Magistrado</w:t>
      </w: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HECTOR ALFONSO CARVAJAL LONDOÑO</w:t>
      </w: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Magistrado</w:t>
      </w: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Ausente con permiso</w:t>
      </w: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JUAN CARLOS CORTÉS GONZÁLEZ</w:t>
      </w: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Magistrado</w:t>
      </w: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LINA MARCELA ESCOBAR MARTÍNEZ</w:t>
      </w: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Magistrada</w:t>
      </w: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VLADIMIR FERNÁNDEZ ANDRADE</w:t>
      </w: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Magistrado</w:t>
      </w: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 xml:space="preserve">JORGE ENRIQUE IBÁÑEZ NAJAR </w:t>
      </w: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Magistrado</w:t>
      </w: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MIGUEL POLO ROSERO</w:t>
      </w: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Magistrado</w:t>
      </w: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2E02B9"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p>
    <w:p w:rsidR="00AF784E" w:rsidRPr="002D20D6" w:rsidRDefault="002D20D6" w:rsidP="00AF784E">
      <w:pPr>
        <w:shd w:val="clear" w:color="auto" w:fill="FFFFFF" w:themeFill="background1"/>
        <w:jc w:val="center"/>
        <w:rPr>
          <w:rFonts w:ascii="Times New Roman" w:hAnsi="Times New Roman" w:cs="Times New Roman"/>
          <w:color w:val="0D0D0D" w:themeColor="text1" w:themeTint="F2"/>
          <w:sz w:val="28"/>
          <w:szCs w:val="28"/>
          <w:lang w:val="es-ES"/>
        </w:rPr>
      </w:pPr>
      <w:r w:rsidRPr="002D20D6">
        <w:rPr>
          <w:rFonts w:ascii="Times New Roman" w:hAnsi="Times New Roman" w:cs="Times New Roman"/>
          <w:color w:val="0D0D0D" w:themeColor="text1" w:themeTint="F2"/>
          <w:sz w:val="28"/>
          <w:szCs w:val="28"/>
          <w:lang w:val="es-ES"/>
        </w:rPr>
        <w:t>ANDREA LILIANA ROMERO LOPEZ</w:t>
      </w:r>
    </w:p>
    <w:p w:rsidR="00AF784E" w:rsidRPr="002D20D6" w:rsidRDefault="002D20D6" w:rsidP="001A0842">
      <w:pPr>
        <w:shd w:val="clear" w:color="auto" w:fill="FFFFFF" w:themeFill="background1"/>
        <w:jc w:val="both"/>
        <w:rPr>
          <w:rFonts w:ascii="Times New Roman" w:hAnsi="Times New Roman" w:cs="Times New Roman"/>
          <w:color w:val="0D0D0D" w:themeColor="text1" w:themeTint="F2"/>
          <w:sz w:val="28"/>
          <w:szCs w:val="28"/>
          <w:lang w:val="es-ES"/>
        </w:rPr>
      </w:pPr>
    </w:p>
    <w:sectPr w:rsidR="00AF784E" w:rsidRPr="002D20D6">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2D20D6">
      <w:pPr>
        <w:spacing w:after="0" w:line="240" w:lineRule="auto"/>
      </w:pPr>
      <w:r>
        <w:separator/>
      </w:r>
    </w:p>
  </w:endnote>
  <w:endnote w:type="continuationSeparator" w:id="0">
    <w:p w:rsidR="00000000" w:rsidRDefault="002D2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2D20D6">
      <w:pPr>
        <w:spacing w:after="0" w:line="240" w:lineRule="auto"/>
      </w:pPr>
      <w:r>
        <w:separator/>
      </w:r>
    </w:p>
  </w:footnote>
  <w:footnote w:type="continuationSeparator" w:id="0">
    <w:p w:rsidR="00000000" w:rsidRDefault="002D20D6">
      <w:pPr>
        <w:spacing w:after="0" w:line="240" w:lineRule="auto"/>
      </w:pPr>
      <w:r>
        <w:continuationSeparator/>
      </w:r>
    </w:p>
  </w:footnote>
  <w:footnote w:id="1">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vertAlign w:val="superscript"/>
        </w:rPr>
        <w:t xml:space="preserve"> </w:t>
      </w:r>
      <w:r w:rsidRPr="007A4409">
        <w:rPr>
          <w:color w:val="0D0D0D" w:themeColor="text1" w:themeTint="F2"/>
          <w:sz w:val="20"/>
          <w:szCs w:val="20"/>
        </w:rPr>
        <w:t>Expediente digital D-16.590</w:t>
      </w:r>
      <w:r w:rsidRPr="007A4409">
        <w:rPr>
          <w:i/>
          <w:iCs/>
          <w:color w:val="0D0D0D" w:themeColor="text1" w:themeTint="F2"/>
          <w:sz w:val="20"/>
          <w:szCs w:val="20"/>
        </w:rPr>
        <w:t xml:space="preserve"> </w:t>
      </w:r>
      <w:r w:rsidRPr="007A4409">
        <w:rPr>
          <w:color w:val="0D0D0D" w:themeColor="text1" w:themeTint="F2"/>
          <w:sz w:val="20"/>
          <w:szCs w:val="20"/>
        </w:rPr>
        <w:t xml:space="preserve">contenido en </w:t>
      </w:r>
      <w:r w:rsidRPr="007A4409">
        <w:rPr>
          <w:i/>
          <w:iCs/>
          <w:color w:val="0D0D0D" w:themeColor="text1" w:themeTint="F2"/>
          <w:sz w:val="20"/>
          <w:szCs w:val="20"/>
        </w:rPr>
        <w:t>Siicor</w:t>
      </w:r>
      <w:r w:rsidRPr="007A4409">
        <w:rPr>
          <w:color w:val="0D0D0D" w:themeColor="text1" w:themeTint="F2"/>
          <w:sz w:val="20"/>
          <w:szCs w:val="20"/>
        </w:rPr>
        <w:t xml:space="preserve">, documento denominado </w:t>
      </w:r>
      <w:r w:rsidRPr="007A4409">
        <w:rPr>
          <w:i/>
          <w:iCs/>
          <w:color w:val="0D0D0D" w:themeColor="text1" w:themeTint="F2"/>
          <w:sz w:val="20"/>
          <w:szCs w:val="20"/>
        </w:rPr>
        <w:t>“</w:t>
      </w:r>
      <w:hyperlink r:id="rId1" w:tgtFrame="blank" w:history="1">
        <w:r w:rsidRPr="007A4409">
          <w:rPr>
            <w:rStyle w:val="Hipervnculo"/>
            <w:i/>
            <w:iCs/>
            <w:color w:val="0D0D0D" w:themeColor="text1" w:themeTint="F2"/>
            <w:sz w:val="20"/>
            <w:szCs w:val="20"/>
            <w:u w:val="none"/>
            <w:shd w:val="clear" w:color="auto" w:fill="FFFFFF"/>
          </w:rPr>
          <w:t>D0016590. Demanda ciudadana</w:t>
        </w:r>
      </w:hyperlink>
      <w:r w:rsidRPr="007A4409">
        <w:rPr>
          <w:i/>
          <w:iCs/>
          <w:color w:val="0D0D0D" w:themeColor="text1" w:themeTint="F2"/>
          <w:sz w:val="20"/>
          <w:szCs w:val="20"/>
        </w:rPr>
        <w:t xml:space="preserve"> </w:t>
      </w:r>
      <w:r w:rsidRPr="007A4409">
        <w:rPr>
          <w:i/>
          <w:iCs/>
          <w:color w:val="0D0D0D" w:themeColor="text1" w:themeTint="F2"/>
          <w:sz w:val="20"/>
          <w:szCs w:val="20"/>
          <w:shd w:val="clear" w:color="auto" w:fill="FFFFFF"/>
        </w:rPr>
        <w:t>2025-05-14</w:t>
      </w:r>
      <w:r w:rsidRPr="007A4409">
        <w:rPr>
          <w:i/>
          <w:iCs/>
          <w:color w:val="0D0D0D" w:themeColor="text1" w:themeTint="F2"/>
          <w:sz w:val="20"/>
          <w:szCs w:val="20"/>
        </w:rPr>
        <w:t xml:space="preserve">.pdf”, </w:t>
      </w:r>
      <w:r w:rsidRPr="007A4409">
        <w:rPr>
          <w:color w:val="0D0D0D" w:themeColor="text1" w:themeTint="F2"/>
          <w:sz w:val="20"/>
          <w:szCs w:val="20"/>
        </w:rPr>
        <w:t>pp. 2 y 40.</w:t>
      </w:r>
    </w:p>
  </w:footnote>
  <w:footnote w:id="2">
    <w:p w:rsidR="009A1A65" w:rsidRPr="007A4409" w:rsidRDefault="002D20D6" w:rsidP="008B1603">
      <w:pPr>
        <w:jc w:val="both"/>
        <w:rPr>
          <w:color w:val="0D0D0D" w:themeColor="text1" w:themeTint="F2"/>
          <w:sz w:val="20"/>
          <w:szCs w:val="20"/>
        </w:rPr>
      </w:pPr>
      <w:r w:rsidRPr="007A4409">
        <w:rPr>
          <w:color w:val="0D0D0D" w:themeColor="text1" w:themeTint="F2"/>
          <w:sz w:val="20"/>
          <w:szCs w:val="20"/>
        </w:rPr>
        <w:footnoteRef/>
      </w:r>
      <w:r w:rsidRPr="007A4409">
        <w:rPr>
          <w:color w:val="0D0D0D" w:themeColor="text1" w:themeTint="F2"/>
          <w:sz w:val="20"/>
          <w:szCs w:val="20"/>
        </w:rPr>
        <w:t xml:space="preserve"> Diario oficial No. 26773 del 21 de julio de 1948.</w:t>
      </w:r>
    </w:p>
  </w:footnote>
  <w:footnote w:id="3">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vertAlign w:val="superscript"/>
        </w:rPr>
        <w:t xml:space="preserve"> </w:t>
      </w:r>
      <w:r w:rsidRPr="007A4409">
        <w:rPr>
          <w:color w:val="0D0D0D" w:themeColor="text1" w:themeTint="F2"/>
          <w:sz w:val="20"/>
          <w:szCs w:val="20"/>
        </w:rPr>
        <w:t>Expediente digital D-16.590</w:t>
      </w:r>
      <w:r w:rsidRPr="007A4409">
        <w:rPr>
          <w:i/>
          <w:iCs/>
          <w:color w:val="0D0D0D" w:themeColor="text1" w:themeTint="F2"/>
          <w:sz w:val="20"/>
          <w:szCs w:val="20"/>
        </w:rPr>
        <w:t xml:space="preserve"> </w:t>
      </w:r>
      <w:r w:rsidRPr="007A4409">
        <w:rPr>
          <w:color w:val="0D0D0D" w:themeColor="text1" w:themeTint="F2"/>
          <w:sz w:val="20"/>
          <w:szCs w:val="20"/>
        </w:rPr>
        <w:t xml:space="preserve">contenido </w:t>
      </w:r>
      <w:r w:rsidRPr="007A4409">
        <w:rPr>
          <w:color w:val="0D0D0D" w:themeColor="text1" w:themeTint="F2"/>
          <w:sz w:val="20"/>
          <w:szCs w:val="20"/>
        </w:rPr>
        <w:t xml:space="preserve">en </w:t>
      </w:r>
      <w:r w:rsidRPr="007A4409">
        <w:rPr>
          <w:i/>
          <w:iCs/>
          <w:color w:val="0D0D0D" w:themeColor="text1" w:themeTint="F2"/>
          <w:sz w:val="20"/>
          <w:szCs w:val="20"/>
        </w:rPr>
        <w:t>Siicor</w:t>
      </w:r>
      <w:r w:rsidRPr="007A4409">
        <w:rPr>
          <w:color w:val="0D0D0D" w:themeColor="text1" w:themeTint="F2"/>
          <w:sz w:val="20"/>
          <w:szCs w:val="20"/>
        </w:rPr>
        <w:t xml:space="preserve">, documento denominado </w:t>
      </w:r>
      <w:r w:rsidRPr="007A4409">
        <w:rPr>
          <w:i/>
          <w:iCs/>
          <w:color w:val="0D0D0D" w:themeColor="text1" w:themeTint="F2"/>
          <w:sz w:val="20"/>
          <w:szCs w:val="20"/>
        </w:rPr>
        <w:t>“</w:t>
      </w:r>
      <w:hyperlink r:id="rId2" w:tgtFrame="_blank" w:history="1">
        <w:r w:rsidRPr="007A4409">
          <w:rPr>
            <w:i/>
            <w:iCs/>
            <w:color w:val="0D0D0D" w:themeColor="text1" w:themeTint="F2"/>
            <w:sz w:val="20"/>
            <w:szCs w:val="20"/>
          </w:rPr>
          <w:t>Auto que inadmite y admite la demanda</w:t>
        </w:r>
      </w:hyperlink>
      <w:r w:rsidRPr="007A4409">
        <w:rPr>
          <w:i/>
          <w:iCs/>
          <w:color w:val="0D0D0D" w:themeColor="text1" w:themeTint="F2"/>
          <w:sz w:val="20"/>
          <w:szCs w:val="20"/>
        </w:rPr>
        <w:t xml:space="preserve"> </w:t>
      </w:r>
      <w:r w:rsidRPr="007A4409">
        <w:rPr>
          <w:i/>
          <w:iCs/>
          <w:color w:val="0D0D0D" w:themeColor="text1" w:themeTint="F2"/>
          <w:sz w:val="20"/>
          <w:szCs w:val="20"/>
          <w:shd w:val="clear" w:color="auto" w:fill="FFFFFF"/>
        </w:rPr>
        <w:t>2025-06-24</w:t>
      </w:r>
      <w:r w:rsidRPr="007A4409">
        <w:rPr>
          <w:i/>
          <w:iCs/>
          <w:color w:val="0D0D0D" w:themeColor="text1" w:themeTint="F2"/>
          <w:sz w:val="20"/>
          <w:szCs w:val="20"/>
        </w:rPr>
        <w:t xml:space="preserve">, pdf”, </w:t>
      </w:r>
      <w:r w:rsidRPr="007A4409">
        <w:rPr>
          <w:color w:val="0D0D0D" w:themeColor="text1" w:themeTint="F2"/>
          <w:sz w:val="20"/>
          <w:szCs w:val="20"/>
        </w:rPr>
        <w:t>p. 12.</w:t>
      </w:r>
    </w:p>
  </w:footnote>
  <w:footnote w:id="4">
    <w:p w:rsidR="002B62AB"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rPr>
        <w:t xml:space="preserve"> </w:t>
      </w:r>
      <w:r w:rsidRPr="007A4409">
        <w:rPr>
          <w:i/>
          <w:iCs/>
          <w:color w:val="0D0D0D" w:themeColor="text1" w:themeTint="F2"/>
          <w:sz w:val="20"/>
          <w:szCs w:val="20"/>
        </w:rPr>
        <w:t>Cfr</w:t>
      </w:r>
      <w:r w:rsidRPr="007A4409">
        <w:rPr>
          <w:color w:val="0D0D0D" w:themeColor="text1" w:themeTint="F2"/>
          <w:sz w:val="20"/>
          <w:szCs w:val="20"/>
        </w:rPr>
        <w:t xml:space="preserve">. Corte Constitucional, sentencias C-1052 de 2001 y </w:t>
      </w:r>
      <w:r w:rsidRPr="007A4409">
        <w:rPr>
          <w:color w:val="0D0D0D" w:themeColor="text1" w:themeTint="F2"/>
          <w:sz w:val="20"/>
          <w:szCs w:val="20"/>
        </w:rPr>
        <w:t>C-856 de 2005.</w:t>
      </w:r>
    </w:p>
  </w:footnote>
  <w:footnote w:id="5">
    <w:p w:rsidR="00540074" w:rsidRPr="007A4409" w:rsidRDefault="002D20D6" w:rsidP="008B1603">
      <w:pPr>
        <w:pStyle w:val="Textonotapie"/>
        <w:rPr>
          <w:color w:val="0D0D0D" w:themeColor="text1" w:themeTint="F2"/>
          <w:lang w:val="es-ES_tradnl"/>
        </w:rPr>
      </w:pPr>
      <w:r w:rsidRPr="007A4409">
        <w:rPr>
          <w:color w:val="0D0D0D" w:themeColor="text1" w:themeTint="F2"/>
          <w:vertAlign w:val="superscript"/>
        </w:rPr>
        <w:footnoteRef/>
      </w:r>
      <w:r w:rsidRPr="007A4409">
        <w:rPr>
          <w:color w:val="0D0D0D" w:themeColor="text1" w:themeTint="F2"/>
        </w:rPr>
        <w:t xml:space="preserve"> Expediente digital D-16.590 contenido en </w:t>
      </w:r>
      <w:r w:rsidRPr="007A4409">
        <w:rPr>
          <w:i/>
          <w:color w:val="0D0D0D" w:themeColor="text1" w:themeTint="F2"/>
        </w:rPr>
        <w:t>Siicor</w:t>
      </w:r>
      <w:r w:rsidRPr="007A4409">
        <w:rPr>
          <w:color w:val="0D0D0D" w:themeColor="text1" w:themeTint="F2"/>
        </w:rPr>
        <w:t>, documento denominado</w:t>
      </w:r>
      <w:r w:rsidRPr="007A4409">
        <w:rPr>
          <w:color w:val="0D0D0D" w:themeColor="text1" w:themeTint="F2"/>
        </w:rPr>
        <w:t xml:space="preserve"> </w:t>
      </w:r>
      <w:r w:rsidRPr="007A4409">
        <w:rPr>
          <w:i/>
          <w:color w:val="0D0D0D" w:themeColor="text1" w:themeTint="F2"/>
        </w:rPr>
        <w:t>“D0016590-Peticiones y Otros-(2025-07-02 06-48-01).pdf”.</w:t>
      </w:r>
    </w:p>
  </w:footnote>
  <w:footnote w:id="6">
    <w:p w:rsidR="00900F92" w:rsidRPr="007A4409" w:rsidRDefault="002D20D6" w:rsidP="008B1603">
      <w:pPr>
        <w:pStyle w:val="Textonotapie"/>
        <w:rPr>
          <w:i/>
          <w:iCs/>
          <w:color w:val="0D0D0D" w:themeColor="text1" w:themeTint="F2"/>
          <w:lang w:val="es-ES_tradnl"/>
        </w:rPr>
      </w:pPr>
      <w:r w:rsidRPr="007A4409">
        <w:rPr>
          <w:color w:val="0D0D0D" w:themeColor="text1" w:themeTint="F2"/>
          <w:vertAlign w:val="superscript"/>
        </w:rPr>
        <w:footnoteRef/>
      </w:r>
      <w:r w:rsidRPr="007A4409">
        <w:rPr>
          <w:color w:val="0D0D0D" w:themeColor="text1" w:themeTint="F2"/>
        </w:rPr>
        <w:t xml:space="preserve"> </w:t>
      </w:r>
      <w:r w:rsidRPr="007A4409">
        <w:rPr>
          <w:i/>
          <w:color w:val="0D0D0D" w:themeColor="text1" w:themeTint="F2"/>
          <w:lang w:val="es-ES_tradnl"/>
        </w:rPr>
        <w:t>Ídem.</w:t>
      </w:r>
    </w:p>
  </w:footnote>
  <w:footnote w:id="7">
    <w:p w:rsidR="00644AE8" w:rsidRPr="007A4409" w:rsidRDefault="002D20D6" w:rsidP="008B1603">
      <w:pPr>
        <w:pStyle w:val="Textonotapie"/>
        <w:rPr>
          <w:color w:val="0D0D0D" w:themeColor="text1" w:themeTint="F2"/>
          <w:lang w:val="es-ES_tradnl"/>
        </w:rPr>
      </w:pPr>
      <w:r w:rsidRPr="007A4409">
        <w:rPr>
          <w:color w:val="0D0D0D" w:themeColor="text1" w:themeTint="F2"/>
          <w:vertAlign w:val="superscript"/>
        </w:rPr>
        <w:footnoteRef/>
      </w:r>
      <w:r w:rsidRPr="007A4409">
        <w:rPr>
          <w:color w:val="0D0D0D" w:themeColor="text1" w:themeTint="F2"/>
        </w:rPr>
        <w:t xml:space="preserve"> </w:t>
      </w:r>
      <w:r w:rsidRPr="007A4409">
        <w:rPr>
          <w:i/>
          <w:color w:val="0D0D0D" w:themeColor="text1" w:themeTint="F2"/>
          <w:lang w:val="es-ES_tradnl"/>
        </w:rPr>
        <w:t xml:space="preserve">Cfr. </w:t>
      </w:r>
      <w:r w:rsidRPr="007A4409">
        <w:rPr>
          <w:color w:val="0D0D0D" w:themeColor="text1" w:themeTint="F2"/>
          <w:lang w:val="es-ES_tradnl"/>
        </w:rPr>
        <w:t xml:space="preserve">Corte Constitucional, autos </w:t>
      </w:r>
      <w:r w:rsidRPr="007A4409">
        <w:rPr>
          <w:color w:val="0D0D0D" w:themeColor="text1" w:themeTint="F2"/>
          <w:lang w:val="es-ES_tradnl"/>
        </w:rPr>
        <w:t>010 de 2005 y 196 de 2021.</w:t>
      </w:r>
    </w:p>
  </w:footnote>
  <w:footnote w:id="8">
    <w:p w:rsidR="00410A44" w:rsidRPr="007A4409" w:rsidRDefault="002D20D6" w:rsidP="008B1603">
      <w:pPr>
        <w:jc w:val="both"/>
        <w:rPr>
          <w:i/>
          <w:iCs/>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vertAlign w:val="superscript"/>
        </w:rPr>
        <w:t xml:space="preserve"> </w:t>
      </w:r>
      <w:r w:rsidRPr="007A4409">
        <w:rPr>
          <w:color w:val="0D0D0D" w:themeColor="text1" w:themeTint="F2"/>
          <w:sz w:val="20"/>
          <w:szCs w:val="20"/>
        </w:rPr>
        <w:t>Expediente digital D-16.590</w:t>
      </w:r>
      <w:r w:rsidRPr="007A4409">
        <w:rPr>
          <w:color w:val="0D0D0D" w:themeColor="text1" w:themeTint="F2"/>
          <w:sz w:val="20"/>
          <w:szCs w:val="20"/>
        </w:rPr>
        <w:t xml:space="preserve"> contenido en </w:t>
      </w:r>
      <w:r w:rsidRPr="007A4409">
        <w:rPr>
          <w:i/>
          <w:iCs/>
          <w:color w:val="0D0D0D" w:themeColor="text1" w:themeTint="F2"/>
          <w:sz w:val="20"/>
          <w:szCs w:val="20"/>
        </w:rPr>
        <w:t>Siicor</w:t>
      </w:r>
      <w:r w:rsidRPr="007A4409">
        <w:rPr>
          <w:color w:val="0D0D0D" w:themeColor="text1" w:themeTint="F2"/>
          <w:sz w:val="20"/>
          <w:szCs w:val="20"/>
        </w:rPr>
        <w:t xml:space="preserve">, documento denominado </w:t>
      </w:r>
      <w:r w:rsidRPr="007A4409">
        <w:rPr>
          <w:i/>
          <w:iCs/>
          <w:color w:val="0D0D0D" w:themeColor="text1" w:themeTint="F2"/>
          <w:sz w:val="20"/>
          <w:szCs w:val="20"/>
        </w:rPr>
        <w:t>“</w:t>
      </w:r>
      <w:hyperlink r:id="rId3" w:tgtFrame="_blank" w:history="1">
        <w:r w:rsidRPr="007A4409">
          <w:rPr>
            <w:i/>
            <w:iCs/>
            <w:color w:val="0D0D0D" w:themeColor="text1" w:themeTint="F2"/>
            <w:sz w:val="20"/>
            <w:szCs w:val="20"/>
          </w:rPr>
          <w:t>D0016590. Informe a despacho</w:t>
        </w:r>
      </w:hyperlink>
      <w:r w:rsidRPr="007A4409">
        <w:rPr>
          <w:i/>
          <w:iCs/>
          <w:color w:val="0D0D0D" w:themeColor="text1" w:themeTint="F2"/>
          <w:sz w:val="20"/>
          <w:szCs w:val="20"/>
        </w:rPr>
        <w:t xml:space="preserve"> 2025-07-03.pdf”.</w:t>
      </w:r>
    </w:p>
  </w:footnote>
  <w:footnote w:id="9">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vertAlign w:val="superscript"/>
        </w:rPr>
        <w:t xml:space="preserve"> </w:t>
      </w:r>
      <w:r w:rsidRPr="007A4409">
        <w:rPr>
          <w:color w:val="0D0D0D" w:themeColor="text1" w:themeTint="F2"/>
          <w:sz w:val="20"/>
          <w:szCs w:val="20"/>
        </w:rPr>
        <w:t xml:space="preserve">Expediente digital D-16.590 contenido en </w:t>
      </w:r>
      <w:r w:rsidRPr="007A4409">
        <w:rPr>
          <w:i/>
          <w:iCs/>
          <w:color w:val="0D0D0D" w:themeColor="text1" w:themeTint="F2"/>
          <w:sz w:val="20"/>
          <w:szCs w:val="20"/>
        </w:rPr>
        <w:t>Siicor,</w:t>
      </w:r>
      <w:r w:rsidRPr="007A4409">
        <w:rPr>
          <w:color w:val="0D0D0D" w:themeColor="text1" w:themeTint="F2"/>
          <w:sz w:val="20"/>
          <w:szCs w:val="20"/>
        </w:rPr>
        <w:t xml:space="preserve"> documento denom</w:t>
      </w:r>
      <w:r w:rsidRPr="007A4409">
        <w:rPr>
          <w:color w:val="0D0D0D" w:themeColor="text1" w:themeTint="F2"/>
          <w:sz w:val="20"/>
          <w:szCs w:val="20"/>
        </w:rPr>
        <w:t xml:space="preserve">inado </w:t>
      </w:r>
      <w:r w:rsidRPr="007A4409">
        <w:rPr>
          <w:i/>
          <w:iCs/>
          <w:color w:val="0D0D0D" w:themeColor="text1" w:themeTint="F2"/>
          <w:sz w:val="20"/>
          <w:szCs w:val="20"/>
        </w:rPr>
        <w:t>“</w:t>
      </w:r>
      <w:hyperlink r:id="rId4" w:tgtFrame="blank" w:history="1">
        <w:r w:rsidRPr="007A4409">
          <w:rPr>
            <w:i/>
            <w:iCs/>
            <w:color w:val="0D0D0D" w:themeColor="text1" w:themeTint="F2"/>
            <w:sz w:val="20"/>
            <w:szCs w:val="20"/>
          </w:rPr>
          <w:t>Auto que Rechaza la demanda y ordena continuar con el trámite procesal dispuesto en Auto del 24 de junio de 2025</w:t>
        </w:r>
      </w:hyperlink>
      <w:r w:rsidRPr="007A4409">
        <w:rPr>
          <w:i/>
          <w:iCs/>
          <w:color w:val="0D0D0D" w:themeColor="text1" w:themeTint="F2"/>
          <w:sz w:val="20"/>
          <w:szCs w:val="20"/>
        </w:rPr>
        <w:t xml:space="preserve"> 2025-07-11, pdf”, </w:t>
      </w:r>
      <w:r w:rsidRPr="007A4409">
        <w:rPr>
          <w:color w:val="0D0D0D" w:themeColor="text1" w:themeTint="F2"/>
          <w:sz w:val="20"/>
          <w:szCs w:val="20"/>
        </w:rPr>
        <w:t>p. 4.</w:t>
      </w:r>
    </w:p>
  </w:footnote>
  <w:footnote w:id="10">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rPr>
        <w:t xml:space="preserve"> </w:t>
      </w:r>
      <w:r w:rsidRPr="007A4409">
        <w:rPr>
          <w:i/>
          <w:iCs/>
          <w:color w:val="0D0D0D" w:themeColor="text1" w:themeTint="F2"/>
          <w:sz w:val="20"/>
          <w:szCs w:val="20"/>
        </w:rPr>
        <w:t>Ídem.</w:t>
      </w:r>
      <w:r w:rsidRPr="007A4409">
        <w:rPr>
          <w:color w:val="0D0D0D" w:themeColor="text1" w:themeTint="F2"/>
          <w:sz w:val="20"/>
          <w:szCs w:val="20"/>
        </w:rPr>
        <w:t xml:space="preserve"> </w:t>
      </w:r>
      <w:r w:rsidRPr="007A4409">
        <w:rPr>
          <w:color w:val="0D0D0D" w:themeColor="text1" w:themeTint="F2"/>
          <w:sz w:val="20"/>
          <w:szCs w:val="20"/>
        </w:rPr>
        <w:t>En concreto, se invitó a participar al Ministerio de Justicia y del Derecho, al Departamento Nacional de Planeación, a la Defensoría del Pueblo, al Fondo Nacional de Ahorro, a la Asociación Colombiana de Administradoras de Fondos de Pensiones y Cesan</w:t>
      </w:r>
      <w:r w:rsidRPr="007A4409">
        <w:rPr>
          <w:color w:val="0D0D0D" w:themeColor="text1" w:themeTint="F2"/>
          <w:sz w:val="20"/>
          <w:szCs w:val="20"/>
        </w:rPr>
        <w:t>tías (A</w:t>
      </w:r>
      <w:r w:rsidRPr="007A4409">
        <w:rPr>
          <w:color w:val="0D0D0D" w:themeColor="text1" w:themeTint="F2"/>
          <w:sz w:val="20"/>
          <w:szCs w:val="20"/>
        </w:rPr>
        <w:t>sofondos</w:t>
      </w:r>
      <w:r w:rsidRPr="007A4409">
        <w:rPr>
          <w:color w:val="0D0D0D" w:themeColor="text1" w:themeTint="F2"/>
          <w:sz w:val="20"/>
          <w:szCs w:val="20"/>
        </w:rPr>
        <w:t>), a la Confederación de Trabajadores de Colombia (CTC), a la Central Unitaria de Trabajadores (CUT), a la Unidad de Gestión Pensional y Parafiscales (UGPP), a la Superintendencia Financiera de Colombia, a la Academia Colombiana de Jurisprud</w:t>
      </w:r>
      <w:r w:rsidRPr="007A4409">
        <w:rPr>
          <w:color w:val="0D0D0D" w:themeColor="text1" w:themeTint="F2"/>
          <w:sz w:val="20"/>
          <w:szCs w:val="20"/>
        </w:rPr>
        <w:t>encia, al Colegio de Abogados del Trabajo y a las facultades de derecho de las Universidades de Caldas, Externado de Colombia, del Rosario, de la Sabana, Pedagógica y Tecnológica de Colombia (sede Tunja), Nacional de Colombia, de Antioquia, del Valle, de C</w:t>
      </w:r>
      <w:r w:rsidRPr="007A4409">
        <w:rPr>
          <w:color w:val="0D0D0D" w:themeColor="text1" w:themeTint="F2"/>
          <w:sz w:val="20"/>
          <w:szCs w:val="20"/>
        </w:rPr>
        <w:t xml:space="preserve">artagena, de Nariño, de Santander (campus Cúcuta), del Boyacá, ICESI, de los Andes, Javeriana de Bogotá, Javeriana de Cali, Santo Tomás, EAFIT, Libre, del Norte y Pontificia Bolivariana de Medellín. Además, se invitó a participar en el proceso, en calidad </w:t>
      </w:r>
      <w:r w:rsidRPr="007A4409">
        <w:rPr>
          <w:color w:val="0D0D0D" w:themeColor="text1" w:themeTint="F2"/>
          <w:sz w:val="20"/>
          <w:szCs w:val="20"/>
        </w:rPr>
        <w:t xml:space="preserve">de expertos, a los doctores José Roberto Herrera Vergara, Juan Pablo López Moreno y Camilo Alberto Cuervo Díaz. </w:t>
      </w:r>
    </w:p>
  </w:footnote>
  <w:footnote w:id="11">
    <w:p w:rsidR="00410A44" w:rsidRPr="007A4409" w:rsidRDefault="002D20D6" w:rsidP="008B1603">
      <w:pPr>
        <w:jc w:val="both"/>
        <w:rPr>
          <w:color w:val="0D0D0D" w:themeColor="text1" w:themeTint="F2"/>
          <w:sz w:val="20"/>
          <w:szCs w:val="20"/>
          <w:lang w:val="pt-PT"/>
        </w:rPr>
      </w:pPr>
      <w:r w:rsidRPr="007A4409">
        <w:rPr>
          <w:color w:val="0D0D0D" w:themeColor="text1" w:themeTint="F2"/>
          <w:sz w:val="20"/>
          <w:szCs w:val="20"/>
          <w:vertAlign w:val="superscript"/>
        </w:rPr>
        <w:footnoteRef/>
      </w:r>
      <w:r w:rsidRPr="007A4409">
        <w:rPr>
          <w:color w:val="0D0D0D" w:themeColor="text1" w:themeTint="F2"/>
          <w:sz w:val="20"/>
          <w:szCs w:val="20"/>
          <w:lang w:val="pt-PT"/>
        </w:rPr>
        <w:t xml:space="preserve"> </w:t>
      </w:r>
      <w:r w:rsidRPr="007A4409">
        <w:rPr>
          <w:color w:val="0D0D0D" w:themeColor="text1" w:themeTint="F2"/>
          <w:sz w:val="20"/>
          <w:szCs w:val="20"/>
        </w:rPr>
        <w:t xml:space="preserve">Expediente digital D-16.590 contenido en </w:t>
      </w:r>
      <w:r w:rsidRPr="007A4409">
        <w:rPr>
          <w:i/>
          <w:color w:val="0D0D0D" w:themeColor="text1" w:themeTint="F2"/>
          <w:sz w:val="20"/>
          <w:szCs w:val="20"/>
        </w:rPr>
        <w:t>Siicor,</w:t>
      </w:r>
      <w:r w:rsidRPr="007A4409">
        <w:rPr>
          <w:color w:val="0D0D0D" w:themeColor="text1" w:themeTint="F2"/>
          <w:sz w:val="20"/>
          <w:szCs w:val="20"/>
        </w:rPr>
        <w:t xml:space="preserve"> documento denominado, “</w:t>
      </w:r>
      <w:r w:rsidRPr="007A4409">
        <w:rPr>
          <w:i/>
          <w:color w:val="0D0D0D" w:themeColor="text1" w:themeTint="F2"/>
          <w:sz w:val="20"/>
          <w:szCs w:val="20"/>
          <w:lang w:val="pt-PT"/>
        </w:rPr>
        <w:t>D0016590-Peticiones y Otros-(2025-07-02 06-48-01).pdf</w:t>
      </w:r>
      <w:r w:rsidRPr="007A4409">
        <w:rPr>
          <w:color w:val="0D0D0D" w:themeColor="text1" w:themeTint="F2"/>
          <w:sz w:val="20"/>
          <w:szCs w:val="20"/>
          <w:lang w:val="pt-PT"/>
        </w:rPr>
        <w:t xml:space="preserve">”, </w:t>
      </w:r>
      <w:r w:rsidRPr="007A4409">
        <w:rPr>
          <w:color w:val="0D0D0D" w:themeColor="text1" w:themeTint="F2"/>
          <w:sz w:val="20"/>
          <w:szCs w:val="20"/>
          <w:lang w:val="pt-PT"/>
        </w:rPr>
        <w:t>p. 34.</w:t>
      </w:r>
    </w:p>
  </w:footnote>
  <w:footnote w:id="12">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lang w:val="pt-PT"/>
        </w:rPr>
        <w:t xml:space="preserve"> </w:t>
      </w:r>
      <w:r w:rsidRPr="007A4409">
        <w:rPr>
          <w:i/>
          <w:iCs/>
          <w:color w:val="0D0D0D" w:themeColor="text1" w:themeTint="F2"/>
          <w:sz w:val="20"/>
          <w:szCs w:val="20"/>
          <w:lang w:val="pt-PT"/>
        </w:rPr>
        <w:t>Ibidem,</w:t>
      </w:r>
      <w:r w:rsidRPr="007A4409">
        <w:rPr>
          <w:color w:val="0D0D0D" w:themeColor="text1" w:themeTint="F2"/>
          <w:sz w:val="20"/>
          <w:szCs w:val="20"/>
          <w:lang w:val="pt-PT"/>
        </w:rPr>
        <w:t xml:space="preserve"> p</w:t>
      </w:r>
      <w:r w:rsidRPr="007A4409">
        <w:rPr>
          <w:color w:val="0D0D0D" w:themeColor="text1" w:themeTint="F2"/>
          <w:sz w:val="20"/>
          <w:szCs w:val="20"/>
          <w:lang w:val="pt-PT"/>
        </w:rPr>
        <w:t>p 9 y</w:t>
      </w:r>
      <w:r w:rsidRPr="007A4409">
        <w:rPr>
          <w:color w:val="0D0D0D" w:themeColor="text1" w:themeTint="F2"/>
          <w:sz w:val="20"/>
          <w:szCs w:val="20"/>
          <w:lang w:val="pt-PT"/>
        </w:rPr>
        <w:t xml:space="preserve"> 35. </w:t>
      </w:r>
      <w:r w:rsidRPr="007A4409">
        <w:rPr>
          <w:color w:val="0D0D0D" w:themeColor="text1" w:themeTint="F2"/>
          <w:sz w:val="20"/>
          <w:szCs w:val="20"/>
        </w:rPr>
        <w:t xml:space="preserve">Lo anterior, de conformidad con la Sentencia C-038 de 2004, en la que esta </w:t>
      </w:r>
      <w:r w:rsidRPr="007A4409">
        <w:rPr>
          <w:i/>
          <w:iCs/>
          <w:color w:val="0D0D0D" w:themeColor="text1" w:themeTint="F2"/>
          <w:sz w:val="20"/>
          <w:szCs w:val="20"/>
        </w:rPr>
        <w:t>Corporación “reafirma este principio, estableciendo que cualquier disposición que permita la renuncia a derechos laborales esenciales resulta inconstitucional.”</w:t>
      </w:r>
      <w:r w:rsidRPr="007A4409">
        <w:rPr>
          <w:color w:val="0D0D0D" w:themeColor="text1" w:themeTint="F2"/>
          <w:sz w:val="20"/>
          <w:szCs w:val="20"/>
        </w:rPr>
        <w:t xml:space="preserve">  En igual forma, los actores citaron las </w:t>
      </w:r>
      <w:r w:rsidRPr="007A4409">
        <w:rPr>
          <w:color w:val="0D0D0D" w:themeColor="text1" w:themeTint="F2"/>
          <w:sz w:val="20"/>
          <w:szCs w:val="20"/>
        </w:rPr>
        <w:t>s</w:t>
      </w:r>
      <w:r w:rsidRPr="007A4409">
        <w:rPr>
          <w:color w:val="0D0D0D" w:themeColor="text1" w:themeTint="F2"/>
          <w:sz w:val="20"/>
          <w:szCs w:val="20"/>
        </w:rPr>
        <w:t xml:space="preserve">entencias T-149 de 1995 y T-592 de 2009, las cuales desarrollaron el principio de irrenunciabilidad de los beneficios laborales. Por ende, sostuvieron que </w:t>
      </w:r>
      <w:r w:rsidRPr="007A4409">
        <w:rPr>
          <w:i/>
          <w:iCs/>
          <w:color w:val="0D0D0D" w:themeColor="text1" w:themeTint="F2"/>
          <w:sz w:val="20"/>
          <w:szCs w:val="20"/>
        </w:rPr>
        <w:t>“la interpretación teleológica del Artículo 53 superior, c</w:t>
      </w:r>
      <w:r w:rsidRPr="007A4409">
        <w:rPr>
          <w:i/>
          <w:iCs/>
          <w:color w:val="0D0D0D" w:themeColor="text1" w:themeTint="F2"/>
          <w:sz w:val="20"/>
          <w:szCs w:val="20"/>
        </w:rPr>
        <w:t>ontrasta con la norma acusada, y este análisis nos revela que la constitución exige el debido cumplimiento y protección a los derechos mínimos laborales categorizados como aquellos en el que una persona en calidad de empleado no puede privarse de esos dere</w:t>
      </w:r>
      <w:r w:rsidRPr="007A4409">
        <w:rPr>
          <w:i/>
          <w:iCs/>
          <w:color w:val="0D0D0D" w:themeColor="text1" w:themeTint="F2"/>
          <w:sz w:val="20"/>
          <w:szCs w:val="20"/>
        </w:rPr>
        <w:t xml:space="preserve">chos adquiridos, por lo que el hecho de ser irrenunciables no es una simple presunción legal sino un (sic) verdadera fortaleza jurídica inquebrantable, sin embargo, cuando un precepto legal le otorga facultades al Inspector de Trabajo, </w:t>
      </w:r>
      <w:r w:rsidRPr="007A4409">
        <w:rPr>
          <w:b/>
          <w:bCs/>
          <w:i/>
          <w:iCs/>
          <w:color w:val="0D0D0D" w:themeColor="text1" w:themeTint="F2"/>
          <w:sz w:val="20"/>
          <w:szCs w:val="20"/>
        </w:rPr>
        <w:t>para conceder la ren</w:t>
      </w:r>
      <w:r w:rsidRPr="007A4409">
        <w:rPr>
          <w:b/>
          <w:bCs/>
          <w:i/>
          <w:iCs/>
          <w:color w:val="0D0D0D" w:themeColor="text1" w:themeTint="F2"/>
          <w:sz w:val="20"/>
          <w:szCs w:val="20"/>
        </w:rPr>
        <w:t>uncia de las prestaciones sociales de una persona en calidad de empleado</w:t>
      </w:r>
      <w:r w:rsidRPr="007A4409">
        <w:rPr>
          <w:i/>
          <w:iCs/>
          <w:color w:val="0D0D0D" w:themeColor="text1" w:themeTint="F2"/>
          <w:sz w:val="20"/>
          <w:szCs w:val="20"/>
        </w:rPr>
        <w:t>, se estaría violentando aquellos principios indispensables en el marco de las relaciones sociales del trabajo.</w:t>
      </w:r>
      <w:r w:rsidRPr="007A4409">
        <w:rPr>
          <w:color w:val="0D0D0D" w:themeColor="text1" w:themeTint="F2"/>
          <w:sz w:val="20"/>
          <w:szCs w:val="20"/>
        </w:rPr>
        <w:t>”</w:t>
      </w:r>
    </w:p>
  </w:footnote>
  <w:footnote w:id="13">
    <w:p w:rsidR="00410A44" w:rsidRPr="007A4409" w:rsidRDefault="002D20D6" w:rsidP="008B1603">
      <w:pPr>
        <w:jc w:val="both"/>
        <w:rPr>
          <w:color w:val="0D0D0D" w:themeColor="text1" w:themeTint="F2"/>
          <w:sz w:val="20"/>
          <w:szCs w:val="20"/>
          <w:lang w:val="pt-PT"/>
        </w:rPr>
      </w:pPr>
      <w:r w:rsidRPr="007A4409">
        <w:rPr>
          <w:color w:val="0D0D0D" w:themeColor="text1" w:themeTint="F2"/>
          <w:sz w:val="20"/>
          <w:szCs w:val="20"/>
          <w:vertAlign w:val="superscript"/>
        </w:rPr>
        <w:footnoteRef/>
      </w:r>
      <w:r w:rsidRPr="007A4409">
        <w:rPr>
          <w:color w:val="0D0D0D" w:themeColor="text1" w:themeTint="F2"/>
          <w:sz w:val="20"/>
          <w:szCs w:val="20"/>
          <w:vertAlign w:val="superscript"/>
          <w:lang w:val="pt-PT"/>
        </w:rPr>
        <w:t xml:space="preserve"> </w:t>
      </w:r>
      <w:r w:rsidRPr="007A4409">
        <w:rPr>
          <w:i/>
          <w:iCs/>
          <w:color w:val="0D0D0D" w:themeColor="text1" w:themeTint="F2"/>
          <w:sz w:val="20"/>
          <w:szCs w:val="20"/>
          <w:lang w:val="pt-PT"/>
        </w:rPr>
        <w:t>Ibidem</w:t>
      </w:r>
      <w:r w:rsidRPr="007A4409">
        <w:rPr>
          <w:color w:val="0D0D0D" w:themeColor="text1" w:themeTint="F2"/>
          <w:sz w:val="20"/>
          <w:szCs w:val="20"/>
          <w:lang w:val="pt-PT"/>
        </w:rPr>
        <w:t xml:space="preserve">, p. 9. </w:t>
      </w:r>
    </w:p>
  </w:footnote>
  <w:footnote w:id="14">
    <w:p w:rsidR="00410A44" w:rsidRPr="007A4409" w:rsidRDefault="002D20D6" w:rsidP="008B1603">
      <w:pPr>
        <w:jc w:val="both"/>
        <w:rPr>
          <w:color w:val="0D0D0D" w:themeColor="text1" w:themeTint="F2"/>
          <w:sz w:val="20"/>
          <w:szCs w:val="20"/>
          <w:lang w:val="pt-PT"/>
        </w:rPr>
      </w:pPr>
      <w:r w:rsidRPr="007A4409">
        <w:rPr>
          <w:color w:val="0D0D0D" w:themeColor="text1" w:themeTint="F2"/>
          <w:sz w:val="20"/>
          <w:szCs w:val="20"/>
          <w:vertAlign w:val="superscript"/>
        </w:rPr>
        <w:footnoteRef/>
      </w:r>
      <w:r w:rsidRPr="007A4409">
        <w:rPr>
          <w:color w:val="0D0D0D" w:themeColor="text1" w:themeTint="F2"/>
          <w:sz w:val="20"/>
          <w:szCs w:val="20"/>
          <w:vertAlign w:val="superscript"/>
          <w:lang w:val="pt-PT"/>
        </w:rPr>
        <w:t xml:space="preserve"> </w:t>
      </w:r>
      <w:r w:rsidRPr="007A4409">
        <w:rPr>
          <w:i/>
          <w:iCs/>
          <w:color w:val="0D0D0D" w:themeColor="text1" w:themeTint="F2"/>
          <w:sz w:val="20"/>
          <w:szCs w:val="20"/>
          <w:lang w:val="pt-PT"/>
        </w:rPr>
        <w:t>Ibidem</w:t>
      </w:r>
      <w:r w:rsidRPr="007A4409">
        <w:rPr>
          <w:color w:val="0D0D0D" w:themeColor="text1" w:themeTint="F2"/>
          <w:sz w:val="20"/>
          <w:szCs w:val="20"/>
          <w:lang w:val="pt-PT"/>
        </w:rPr>
        <w:t xml:space="preserve">, p. 11. </w:t>
      </w:r>
    </w:p>
  </w:footnote>
  <w:footnote w:id="15">
    <w:p w:rsidR="00F95427"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rPr>
        <w:t xml:space="preserve"> De forma extemporánea se presentaron escritos de la Universidad Santo Tomás (6 de agosto de 2025), Juan Pablo López Moreno (6 de agosto de 2025), Superintendencia Financiera (6 de agosto de 2025) y la Unidad Administrativa Especial de Gestión Pensional y </w:t>
      </w:r>
      <w:r w:rsidRPr="007A4409">
        <w:rPr>
          <w:color w:val="0D0D0D" w:themeColor="text1" w:themeTint="F2"/>
          <w:sz w:val="20"/>
          <w:szCs w:val="20"/>
        </w:rPr>
        <w:t>Contribuciones Parafiscales de la Protección Social - UGPP (6 de agosto de 2025), por lo que de acuerdo con la Sentencia C-323 de 2006 no tienen la calidad de intervinientes.</w:t>
      </w:r>
    </w:p>
  </w:footnote>
  <w:footnote w:id="16">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vertAlign w:val="superscript"/>
        </w:rPr>
        <w:t xml:space="preserve"> </w:t>
      </w:r>
      <w:r w:rsidRPr="007A4409">
        <w:rPr>
          <w:color w:val="0D0D0D" w:themeColor="text1" w:themeTint="F2"/>
          <w:sz w:val="20"/>
          <w:szCs w:val="20"/>
        </w:rPr>
        <w:t>Expediente digital D-16.590</w:t>
      </w:r>
      <w:r w:rsidRPr="007A4409">
        <w:rPr>
          <w:i/>
          <w:iCs/>
          <w:color w:val="0D0D0D" w:themeColor="text1" w:themeTint="F2"/>
          <w:sz w:val="20"/>
          <w:szCs w:val="20"/>
        </w:rPr>
        <w:t xml:space="preserve"> </w:t>
      </w:r>
      <w:r w:rsidRPr="007A4409">
        <w:rPr>
          <w:color w:val="0D0D0D" w:themeColor="text1" w:themeTint="F2"/>
          <w:sz w:val="20"/>
          <w:szCs w:val="20"/>
        </w:rPr>
        <w:t xml:space="preserve">contenido en </w:t>
      </w:r>
      <w:r w:rsidRPr="007A4409">
        <w:rPr>
          <w:i/>
          <w:iCs/>
          <w:color w:val="0D0D0D" w:themeColor="text1" w:themeTint="F2"/>
          <w:sz w:val="20"/>
          <w:szCs w:val="20"/>
        </w:rPr>
        <w:t xml:space="preserve">Siicor, </w:t>
      </w:r>
      <w:r w:rsidRPr="007A4409">
        <w:rPr>
          <w:color w:val="0D0D0D" w:themeColor="text1" w:themeTint="F2"/>
          <w:sz w:val="20"/>
          <w:szCs w:val="20"/>
        </w:rPr>
        <w:t xml:space="preserve">documento del 05 de agosto de </w:t>
      </w:r>
      <w:r w:rsidRPr="007A4409">
        <w:rPr>
          <w:color w:val="0D0D0D" w:themeColor="text1" w:themeTint="F2"/>
          <w:sz w:val="20"/>
          <w:szCs w:val="20"/>
        </w:rPr>
        <w:t xml:space="preserve">2025 sobre </w:t>
      </w:r>
      <w:r w:rsidRPr="007A4409">
        <w:rPr>
          <w:color w:val="0D0D0D" w:themeColor="text1" w:themeTint="F2"/>
          <w:sz w:val="20"/>
          <w:szCs w:val="20"/>
          <w:shd w:val="clear" w:color="auto" w:fill="FFFFFF"/>
        </w:rPr>
        <w:t>la intervención conjunta de la Presidencia de la República y el Ministerio de Trabajo, pp. 3 y 15.</w:t>
      </w:r>
    </w:p>
  </w:footnote>
  <w:footnote w:id="17">
    <w:p w:rsidR="00410A44" w:rsidRPr="007A4409" w:rsidRDefault="002D20D6" w:rsidP="008B1603">
      <w:pPr>
        <w:pStyle w:val="Textonotapie"/>
        <w:ind w:right="0"/>
        <w:rPr>
          <w:color w:val="0D0D0D" w:themeColor="text1" w:themeTint="F2"/>
        </w:rPr>
      </w:pPr>
      <w:r w:rsidRPr="007A4409">
        <w:rPr>
          <w:color w:val="0D0D0D" w:themeColor="text1" w:themeTint="F2"/>
          <w:vertAlign w:val="superscript"/>
        </w:rPr>
        <w:footnoteRef/>
      </w:r>
      <w:r w:rsidRPr="007A4409">
        <w:rPr>
          <w:color w:val="0D0D0D" w:themeColor="text1" w:themeTint="F2"/>
          <w:vertAlign w:val="superscript"/>
        </w:rPr>
        <w:t xml:space="preserve"> </w:t>
      </w:r>
      <w:r w:rsidRPr="007A4409">
        <w:rPr>
          <w:i/>
          <w:iCs/>
          <w:color w:val="0D0D0D" w:themeColor="text1" w:themeTint="F2"/>
          <w:lang w:val="es-ES_tradnl"/>
        </w:rPr>
        <w:t>Ibidem,</w:t>
      </w:r>
      <w:r w:rsidRPr="007A4409">
        <w:rPr>
          <w:color w:val="0D0D0D" w:themeColor="text1" w:themeTint="F2"/>
          <w:lang w:val="es-ES_tradnl"/>
        </w:rPr>
        <w:t xml:space="preserve"> p. 7.</w:t>
      </w:r>
    </w:p>
  </w:footnote>
  <w:footnote w:id="18">
    <w:p w:rsidR="00410A44" w:rsidRPr="007A4409" w:rsidRDefault="002D20D6" w:rsidP="008B1603">
      <w:pPr>
        <w:pStyle w:val="Textonotapie"/>
        <w:ind w:right="0"/>
        <w:rPr>
          <w:color w:val="0D0D0D" w:themeColor="text1" w:themeTint="F2"/>
        </w:rPr>
      </w:pPr>
      <w:r w:rsidRPr="007A4409">
        <w:rPr>
          <w:color w:val="0D0D0D" w:themeColor="text1" w:themeTint="F2"/>
          <w:vertAlign w:val="superscript"/>
        </w:rPr>
        <w:footnoteRef/>
      </w:r>
      <w:r w:rsidRPr="007A4409">
        <w:rPr>
          <w:color w:val="0D0D0D" w:themeColor="text1" w:themeTint="F2"/>
          <w:vertAlign w:val="superscript"/>
        </w:rPr>
        <w:t xml:space="preserve"> </w:t>
      </w:r>
      <w:r w:rsidRPr="007A4409">
        <w:rPr>
          <w:i/>
          <w:iCs/>
          <w:color w:val="0D0D0D" w:themeColor="text1" w:themeTint="F2"/>
          <w:lang w:val="es-ES_tradnl"/>
        </w:rPr>
        <w:t>Ibidem,</w:t>
      </w:r>
      <w:r w:rsidRPr="007A4409">
        <w:rPr>
          <w:color w:val="0D0D0D" w:themeColor="text1" w:themeTint="F2"/>
          <w:lang w:val="es-ES_tradnl"/>
        </w:rPr>
        <w:t xml:space="preserve"> p. 13.</w:t>
      </w:r>
    </w:p>
  </w:footnote>
  <w:footnote w:id="19">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vertAlign w:val="superscript"/>
        </w:rPr>
        <w:t xml:space="preserve"> </w:t>
      </w:r>
      <w:r w:rsidRPr="007A4409">
        <w:rPr>
          <w:color w:val="0D0D0D" w:themeColor="text1" w:themeTint="F2"/>
          <w:sz w:val="20"/>
          <w:szCs w:val="20"/>
        </w:rPr>
        <w:t>Expediente digital D-16.590</w:t>
      </w:r>
      <w:r w:rsidRPr="007A4409">
        <w:rPr>
          <w:i/>
          <w:iCs/>
          <w:color w:val="0D0D0D" w:themeColor="text1" w:themeTint="F2"/>
          <w:sz w:val="20"/>
          <w:szCs w:val="20"/>
        </w:rPr>
        <w:t xml:space="preserve"> </w:t>
      </w:r>
      <w:r w:rsidRPr="007A4409">
        <w:rPr>
          <w:color w:val="0D0D0D" w:themeColor="text1" w:themeTint="F2"/>
          <w:sz w:val="20"/>
          <w:szCs w:val="20"/>
        </w:rPr>
        <w:t xml:space="preserve">contenido en </w:t>
      </w:r>
      <w:r w:rsidRPr="007A4409">
        <w:rPr>
          <w:i/>
          <w:iCs/>
          <w:color w:val="0D0D0D" w:themeColor="text1" w:themeTint="F2"/>
          <w:sz w:val="20"/>
          <w:szCs w:val="20"/>
        </w:rPr>
        <w:t xml:space="preserve">Siicor,  </w:t>
      </w:r>
      <w:r w:rsidRPr="007A4409">
        <w:rPr>
          <w:color w:val="0D0D0D" w:themeColor="text1" w:themeTint="F2"/>
          <w:sz w:val="20"/>
          <w:szCs w:val="20"/>
        </w:rPr>
        <w:t xml:space="preserve">documento del 5 de agosto de 2025 sobre </w:t>
      </w:r>
      <w:r w:rsidRPr="007A4409">
        <w:rPr>
          <w:color w:val="0D0D0D" w:themeColor="text1" w:themeTint="F2"/>
          <w:sz w:val="20"/>
          <w:szCs w:val="20"/>
          <w:shd w:val="clear" w:color="auto" w:fill="FFFFFF"/>
        </w:rPr>
        <w:t>la intervención de la</w:t>
      </w:r>
      <w:r w:rsidRPr="007A4409">
        <w:rPr>
          <w:color w:val="0D0D0D" w:themeColor="text1" w:themeTint="F2"/>
          <w:sz w:val="20"/>
          <w:szCs w:val="20"/>
          <w:shd w:val="clear" w:color="auto" w:fill="FFFFFF"/>
        </w:rPr>
        <w:t xml:space="preserve"> Defensoría del Pueblo, p.8.</w:t>
      </w:r>
    </w:p>
  </w:footnote>
  <w:footnote w:id="20">
    <w:p w:rsidR="00410A44" w:rsidRPr="007A4409" w:rsidRDefault="002D20D6" w:rsidP="008B1603">
      <w:pPr>
        <w:pStyle w:val="Textonotapie"/>
        <w:ind w:right="0"/>
        <w:rPr>
          <w:color w:val="0D0D0D" w:themeColor="text1" w:themeTint="F2"/>
        </w:rPr>
      </w:pPr>
      <w:r w:rsidRPr="007A4409">
        <w:rPr>
          <w:color w:val="0D0D0D" w:themeColor="text1" w:themeTint="F2"/>
          <w:vertAlign w:val="superscript"/>
        </w:rPr>
        <w:footnoteRef/>
      </w:r>
      <w:r w:rsidRPr="007A4409">
        <w:rPr>
          <w:color w:val="0D0D0D" w:themeColor="text1" w:themeTint="F2"/>
          <w:vertAlign w:val="superscript"/>
        </w:rPr>
        <w:t xml:space="preserve"> </w:t>
      </w:r>
      <w:r w:rsidRPr="007A4409">
        <w:rPr>
          <w:i/>
          <w:iCs/>
          <w:color w:val="0D0D0D" w:themeColor="text1" w:themeTint="F2"/>
          <w:lang w:val="es-ES_tradnl"/>
        </w:rPr>
        <w:t>Ibidem,</w:t>
      </w:r>
      <w:r w:rsidRPr="007A4409">
        <w:rPr>
          <w:color w:val="0D0D0D" w:themeColor="text1" w:themeTint="F2"/>
          <w:lang w:val="es-ES_tradnl"/>
        </w:rPr>
        <w:t xml:space="preserve"> pp. 12 y 13.</w:t>
      </w:r>
    </w:p>
  </w:footnote>
  <w:footnote w:id="21">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vertAlign w:val="superscript"/>
        </w:rPr>
        <w:t xml:space="preserve"> </w:t>
      </w:r>
      <w:r w:rsidRPr="007A4409">
        <w:rPr>
          <w:color w:val="0D0D0D" w:themeColor="text1" w:themeTint="F2"/>
          <w:sz w:val="20"/>
          <w:szCs w:val="20"/>
        </w:rPr>
        <w:t>Expediente digital D-16.590</w:t>
      </w:r>
      <w:r w:rsidRPr="007A4409">
        <w:rPr>
          <w:i/>
          <w:iCs/>
          <w:color w:val="0D0D0D" w:themeColor="text1" w:themeTint="F2"/>
          <w:sz w:val="20"/>
          <w:szCs w:val="20"/>
        </w:rPr>
        <w:t xml:space="preserve"> </w:t>
      </w:r>
      <w:r w:rsidRPr="007A4409">
        <w:rPr>
          <w:color w:val="0D0D0D" w:themeColor="text1" w:themeTint="F2"/>
          <w:sz w:val="20"/>
          <w:szCs w:val="20"/>
        </w:rPr>
        <w:t xml:space="preserve">contenido en </w:t>
      </w:r>
      <w:r w:rsidRPr="007A4409">
        <w:rPr>
          <w:i/>
          <w:iCs/>
          <w:color w:val="0D0D0D" w:themeColor="text1" w:themeTint="F2"/>
          <w:sz w:val="20"/>
          <w:szCs w:val="20"/>
        </w:rPr>
        <w:t xml:space="preserve">Siicor, </w:t>
      </w:r>
      <w:r w:rsidRPr="007A4409">
        <w:rPr>
          <w:color w:val="0D0D0D" w:themeColor="text1" w:themeTint="F2"/>
          <w:sz w:val="20"/>
          <w:szCs w:val="20"/>
        </w:rPr>
        <w:t xml:space="preserve">documento del 5 de agosto de 2025 sobre </w:t>
      </w:r>
      <w:r w:rsidRPr="007A4409">
        <w:rPr>
          <w:color w:val="0D0D0D" w:themeColor="text1" w:themeTint="F2"/>
          <w:sz w:val="20"/>
          <w:szCs w:val="20"/>
          <w:shd w:val="clear" w:color="auto" w:fill="FFFFFF"/>
        </w:rPr>
        <w:t>la intervención de la Academia Colombiana de Jurisprudencia, p. 5.</w:t>
      </w:r>
    </w:p>
  </w:footnote>
  <w:footnote w:id="22">
    <w:p w:rsidR="00410A44" w:rsidRPr="007A4409" w:rsidRDefault="002D20D6" w:rsidP="008B1603">
      <w:pPr>
        <w:pStyle w:val="Textonotapie"/>
        <w:ind w:right="0"/>
        <w:rPr>
          <w:color w:val="0D0D0D" w:themeColor="text1" w:themeTint="F2"/>
        </w:rPr>
      </w:pPr>
      <w:r w:rsidRPr="007A4409">
        <w:rPr>
          <w:color w:val="0D0D0D" w:themeColor="text1" w:themeTint="F2"/>
          <w:vertAlign w:val="superscript"/>
        </w:rPr>
        <w:footnoteRef/>
      </w:r>
      <w:r w:rsidRPr="007A4409">
        <w:rPr>
          <w:color w:val="0D0D0D" w:themeColor="text1" w:themeTint="F2"/>
          <w:vertAlign w:val="superscript"/>
        </w:rPr>
        <w:t xml:space="preserve"> </w:t>
      </w:r>
      <w:r w:rsidRPr="007A4409">
        <w:rPr>
          <w:i/>
          <w:iCs/>
          <w:color w:val="0D0D0D" w:themeColor="text1" w:themeTint="F2"/>
          <w:lang w:val="es-ES_tradnl"/>
        </w:rPr>
        <w:t>Ibidem,</w:t>
      </w:r>
      <w:r w:rsidRPr="007A4409">
        <w:rPr>
          <w:color w:val="0D0D0D" w:themeColor="text1" w:themeTint="F2"/>
          <w:lang w:val="es-ES_tradnl"/>
        </w:rPr>
        <w:t xml:space="preserve"> pp. 7 y 8.</w:t>
      </w:r>
    </w:p>
  </w:footnote>
  <w:footnote w:id="23">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vertAlign w:val="superscript"/>
        </w:rPr>
        <w:t xml:space="preserve"> </w:t>
      </w:r>
      <w:r w:rsidRPr="007A4409">
        <w:rPr>
          <w:color w:val="0D0D0D" w:themeColor="text1" w:themeTint="F2"/>
          <w:sz w:val="20"/>
          <w:szCs w:val="20"/>
        </w:rPr>
        <w:t>Expediente digital D-16</w:t>
      </w:r>
      <w:r w:rsidRPr="007A4409">
        <w:rPr>
          <w:color w:val="0D0D0D" w:themeColor="text1" w:themeTint="F2"/>
          <w:sz w:val="20"/>
          <w:szCs w:val="20"/>
        </w:rPr>
        <w:t>.590</w:t>
      </w:r>
      <w:r w:rsidRPr="007A4409">
        <w:rPr>
          <w:i/>
          <w:iCs/>
          <w:color w:val="0D0D0D" w:themeColor="text1" w:themeTint="F2"/>
          <w:sz w:val="20"/>
          <w:szCs w:val="20"/>
        </w:rPr>
        <w:t xml:space="preserve"> </w:t>
      </w:r>
      <w:r w:rsidRPr="007A4409">
        <w:rPr>
          <w:color w:val="0D0D0D" w:themeColor="text1" w:themeTint="F2"/>
          <w:sz w:val="20"/>
          <w:szCs w:val="20"/>
        </w:rPr>
        <w:t xml:space="preserve">contenido en </w:t>
      </w:r>
      <w:r w:rsidRPr="007A4409">
        <w:rPr>
          <w:i/>
          <w:iCs/>
          <w:color w:val="0D0D0D" w:themeColor="text1" w:themeTint="F2"/>
          <w:sz w:val="20"/>
          <w:szCs w:val="20"/>
        </w:rPr>
        <w:t xml:space="preserve">Siicor, </w:t>
      </w:r>
      <w:r w:rsidRPr="007A4409">
        <w:rPr>
          <w:color w:val="0D0D0D" w:themeColor="text1" w:themeTint="F2"/>
          <w:sz w:val="20"/>
          <w:szCs w:val="20"/>
        </w:rPr>
        <w:t xml:space="preserve">documento del 5 de agosto de 2025 sobre </w:t>
      </w:r>
      <w:r w:rsidRPr="007A4409">
        <w:rPr>
          <w:color w:val="0D0D0D" w:themeColor="text1" w:themeTint="F2"/>
          <w:sz w:val="20"/>
          <w:szCs w:val="20"/>
          <w:shd w:val="clear" w:color="auto" w:fill="FFFFFF"/>
        </w:rPr>
        <w:t xml:space="preserve">la intervención de </w:t>
      </w:r>
      <w:r w:rsidRPr="007A4409">
        <w:rPr>
          <w:color w:val="0D0D0D" w:themeColor="text1" w:themeTint="F2"/>
          <w:sz w:val="20"/>
          <w:szCs w:val="20"/>
          <w:shd w:val="clear" w:color="auto" w:fill="FFFFFF"/>
        </w:rPr>
        <w:t>la Asociación</w:t>
      </w:r>
      <w:r w:rsidRPr="007A4409">
        <w:rPr>
          <w:color w:val="0D0D0D" w:themeColor="text1" w:themeTint="F2"/>
          <w:sz w:val="20"/>
          <w:szCs w:val="20"/>
          <w:shd w:val="clear" w:color="auto" w:fill="FFFFFF"/>
        </w:rPr>
        <w:t xml:space="preserve"> Colombiana de Administradoras de Fondos de Pensiones y Cesantías, Asofondos, p.6.</w:t>
      </w:r>
    </w:p>
  </w:footnote>
  <w:footnote w:id="24">
    <w:p w:rsidR="00A87F21" w:rsidRPr="007A4409" w:rsidRDefault="002D20D6" w:rsidP="008B1603">
      <w:pPr>
        <w:jc w:val="both"/>
        <w:rPr>
          <w:color w:val="0D0D0D" w:themeColor="text1" w:themeTint="F2"/>
          <w:sz w:val="20"/>
          <w:szCs w:val="20"/>
          <w:lang w:val="es-ES_tradnl"/>
        </w:rPr>
      </w:pPr>
      <w:r w:rsidRPr="007A4409">
        <w:rPr>
          <w:color w:val="0D0D0D" w:themeColor="text1" w:themeTint="F2"/>
          <w:sz w:val="20"/>
          <w:szCs w:val="20"/>
        </w:rPr>
        <w:footnoteRef/>
      </w:r>
      <w:r w:rsidRPr="007A4409">
        <w:rPr>
          <w:color w:val="0D0D0D" w:themeColor="text1" w:themeTint="F2"/>
          <w:sz w:val="20"/>
          <w:szCs w:val="20"/>
        </w:rPr>
        <w:t xml:space="preserve"> </w:t>
      </w:r>
      <w:r w:rsidRPr="007A4409">
        <w:rPr>
          <w:color w:val="0D0D0D" w:themeColor="text1" w:themeTint="F2"/>
          <w:sz w:val="20"/>
          <w:szCs w:val="20"/>
          <w:lang w:val="es-ES_tradnl"/>
        </w:rPr>
        <w:t xml:space="preserve">Sobre el particular, hizo especial énfasis en que </w:t>
      </w:r>
      <w:r w:rsidRPr="007A4409">
        <w:rPr>
          <w:i/>
          <w:color w:val="0D0D0D" w:themeColor="text1" w:themeTint="F2"/>
          <w:sz w:val="20"/>
          <w:szCs w:val="20"/>
          <w:lang w:val="es-ES_tradnl"/>
        </w:rPr>
        <w:t xml:space="preserve">“la norma se refiere a </w:t>
      </w:r>
      <w:r w:rsidRPr="007A4409">
        <w:rPr>
          <w:i/>
          <w:color w:val="0D0D0D" w:themeColor="text1" w:themeTint="F2"/>
          <w:sz w:val="20"/>
          <w:szCs w:val="20"/>
          <w:lang w:val="es-ES_tradnl"/>
        </w:rPr>
        <w:t>cesantías parciales y las prestaciones sociales conexas a ese derecho, tales como la sanción moratoria y sujeta la autorización del inspector de trabajo a los casos permitidos en la Ley, no a todas las prestaciones sociales existentes.”</w:t>
      </w:r>
    </w:p>
  </w:footnote>
  <w:footnote w:id="25">
    <w:p w:rsidR="00E35DBB" w:rsidRPr="007A4409" w:rsidRDefault="002D20D6" w:rsidP="008B1603">
      <w:pPr>
        <w:pStyle w:val="Textonotapie"/>
        <w:ind w:right="191"/>
        <w:rPr>
          <w:color w:val="0D0D0D" w:themeColor="text1" w:themeTint="F2"/>
          <w:lang w:val="es-ES_tradnl"/>
        </w:rPr>
      </w:pPr>
      <w:r w:rsidRPr="007A4409">
        <w:rPr>
          <w:color w:val="0D0D0D" w:themeColor="text1" w:themeTint="F2"/>
        </w:rPr>
        <w:footnoteRef/>
      </w:r>
      <w:r w:rsidRPr="007A4409">
        <w:rPr>
          <w:color w:val="0D0D0D" w:themeColor="text1" w:themeTint="F2"/>
        </w:rPr>
        <w:t xml:space="preserve"> </w:t>
      </w:r>
      <w:r w:rsidRPr="007A4409">
        <w:rPr>
          <w:i/>
          <w:iCs/>
          <w:color w:val="0D0D0D" w:themeColor="text1" w:themeTint="F2"/>
          <w:lang w:val="es-ES_tradnl"/>
        </w:rPr>
        <w:t xml:space="preserve">Ibidem, </w:t>
      </w:r>
      <w:r w:rsidRPr="007A4409">
        <w:rPr>
          <w:color w:val="0D0D0D" w:themeColor="text1" w:themeTint="F2"/>
          <w:lang w:val="es-ES_tradnl"/>
        </w:rPr>
        <w:t>p. 11.</w:t>
      </w:r>
    </w:p>
  </w:footnote>
  <w:footnote w:id="26">
    <w:p w:rsidR="00DE0B33" w:rsidRPr="007A4409" w:rsidRDefault="002D20D6" w:rsidP="008B1603">
      <w:pPr>
        <w:pStyle w:val="Textonotapie"/>
        <w:rPr>
          <w:color w:val="0D0D0D" w:themeColor="text1" w:themeTint="F2"/>
          <w:lang w:val="es-ES_tradnl"/>
        </w:rPr>
      </w:pPr>
      <w:r w:rsidRPr="007A4409">
        <w:rPr>
          <w:color w:val="0D0D0D" w:themeColor="text1" w:themeTint="F2"/>
        </w:rPr>
        <w:footnoteRef/>
      </w:r>
      <w:r w:rsidRPr="007A4409">
        <w:rPr>
          <w:color w:val="0D0D0D" w:themeColor="text1" w:themeTint="F2"/>
        </w:rPr>
        <w:t xml:space="preserve"> </w:t>
      </w:r>
      <w:r w:rsidRPr="007A4409">
        <w:rPr>
          <w:i/>
          <w:color w:val="0D0D0D" w:themeColor="text1" w:themeTint="F2"/>
        </w:rPr>
        <w:t>Ídem.</w:t>
      </w:r>
    </w:p>
  </w:footnote>
  <w:footnote w:id="27">
    <w:p w:rsidR="00410A44" w:rsidRPr="007A4409" w:rsidRDefault="002D20D6" w:rsidP="008B1603">
      <w:pPr>
        <w:pStyle w:val="Textonotapie"/>
        <w:ind w:right="0"/>
        <w:rPr>
          <w:color w:val="0D0D0D" w:themeColor="text1" w:themeTint="F2"/>
          <w:lang w:val="pt-PT"/>
        </w:rPr>
      </w:pPr>
      <w:r w:rsidRPr="007A4409">
        <w:rPr>
          <w:color w:val="0D0D0D" w:themeColor="text1" w:themeTint="F2"/>
          <w:vertAlign w:val="superscript"/>
        </w:rPr>
        <w:footnoteRef/>
      </w:r>
      <w:r w:rsidRPr="007A4409">
        <w:rPr>
          <w:color w:val="0D0D0D" w:themeColor="text1" w:themeTint="F2"/>
          <w:vertAlign w:val="superscript"/>
          <w:lang w:val="pt-PT"/>
        </w:rPr>
        <w:t xml:space="preserve"> </w:t>
      </w:r>
      <w:r w:rsidRPr="007A4409">
        <w:rPr>
          <w:i/>
          <w:iCs/>
          <w:color w:val="0D0D0D" w:themeColor="text1" w:themeTint="F2"/>
          <w:lang w:val="pt-PT"/>
        </w:rPr>
        <w:t>Ibidem,</w:t>
      </w:r>
      <w:r w:rsidRPr="007A4409">
        <w:rPr>
          <w:color w:val="0D0D0D" w:themeColor="text1" w:themeTint="F2"/>
          <w:lang w:val="pt-PT"/>
        </w:rPr>
        <w:t xml:space="preserve"> pp. 12 y 13.</w:t>
      </w:r>
    </w:p>
  </w:footnote>
  <w:footnote w:id="28">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rPr>
        <w:t xml:space="preserve"> Expediente digital D-16.590</w:t>
      </w:r>
      <w:r w:rsidRPr="007A4409">
        <w:rPr>
          <w:i/>
          <w:iCs/>
          <w:color w:val="0D0D0D" w:themeColor="text1" w:themeTint="F2"/>
          <w:sz w:val="20"/>
          <w:szCs w:val="20"/>
        </w:rPr>
        <w:t xml:space="preserve"> </w:t>
      </w:r>
      <w:r w:rsidRPr="007A4409">
        <w:rPr>
          <w:color w:val="0D0D0D" w:themeColor="text1" w:themeTint="F2"/>
          <w:sz w:val="20"/>
          <w:szCs w:val="20"/>
        </w:rPr>
        <w:t xml:space="preserve">contenido en </w:t>
      </w:r>
      <w:r w:rsidRPr="007A4409">
        <w:rPr>
          <w:i/>
          <w:iCs/>
          <w:color w:val="0D0D0D" w:themeColor="text1" w:themeTint="F2"/>
          <w:sz w:val="20"/>
          <w:szCs w:val="20"/>
        </w:rPr>
        <w:t xml:space="preserve">Siicor, </w:t>
      </w:r>
      <w:r w:rsidRPr="007A4409">
        <w:rPr>
          <w:color w:val="0D0D0D" w:themeColor="text1" w:themeTint="F2"/>
          <w:sz w:val="20"/>
          <w:szCs w:val="20"/>
        </w:rPr>
        <w:t xml:space="preserve">documento del 5 de agosto de 2025 sobre </w:t>
      </w:r>
      <w:r w:rsidRPr="007A4409">
        <w:rPr>
          <w:color w:val="0D0D0D" w:themeColor="text1" w:themeTint="F2"/>
          <w:sz w:val="20"/>
          <w:szCs w:val="20"/>
          <w:shd w:val="clear" w:color="auto" w:fill="FFFFFF"/>
        </w:rPr>
        <w:t xml:space="preserve">la intervención de la Clínica Socio Jurídica de la Universidad de Caldas, a través de la doctora Laurent Cuervo Escobar y otros, </w:t>
      </w:r>
      <w:r w:rsidRPr="007A4409">
        <w:rPr>
          <w:color w:val="0D0D0D" w:themeColor="text1" w:themeTint="F2"/>
          <w:sz w:val="20"/>
          <w:szCs w:val="20"/>
        </w:rPr>
        <w:t xml:space="preserve">p. 5. </w:t>
      </w:r>
    </w:p>
  </w:footnote>
  <w:footnote w:id="29">
    <w:p w:rsidR="00410A44" w:rsidRPr="007A4409" w:rsidRDefault="002D20D6" w:rsidP="008B1603">
      <w:pPr>
        <w:pStyle w:val="Textonotapie"/>
        <w:ind w:right="0"/>
        <w:rPr>
          <w:color w:val="0D0D0D" w:themeColor="text1" w:themeTint="F2"/>
        </w:rPr>
      </w:pPr>
      <w:r w:rsidRPr="007A4409">
        <w:rPr>
          <w:color w:val="0D0D0D" w:themeColor="text1" w:themeTint="F2"/>
          <w:vertAlign w:val="superscript"/>
        </w:rPr>
        <w:footnoteRef/>
      </w:r>
      <w:r w:rsidRPr="007A4409">
        <w:rPr>
          <w:i/>
          <w:iCs/>
          <w:color w:val="0D0D0D" w:themeColor="text1" w:themeTint="F2"/>
          <w:vertAlign w:val="superscript"/>
          <w:lang w:val="es-ES_tradnl"/>
        </w:rPr>
        <w:t xml:space="preserve"> </w:t>
      </w:r>
      <w:r w:rsidRPr="007A4409">
        <w:rPr>
          <w:i/>
          <w:iCs/>
          <w:color w:val="0D0D0D" w:themeColor="text1" w:themeTint="F2"/>
          <w:lang w:val="es-ES_tradnl"/>
        </w:rPr>
        <w:t>Ibidem,</w:t>
      </w:r>
      <w:r w:rsidRPr="007A4409">
        <w:rPr>
          <w:color w:val="0D0D0D" w:themeColor="text1" w:themeTint="F2"/>
          <w:lang w:val="es-ES_tradnl"/>
        </w:rPr>
        <w:t xml:space="preserve"> p. 5.</w:t>
      </w:r>
    </w:p>
  </w:footnote>
  <w:footnote w:id="30">
    <w:p w:rsidR="00410A44" w:rsidRPr="007A4409" w:rsidRDefault="002D20D6" w:rsidP="008B1603">
      <w:pPr>
        <w:pStyle w:val="Textonotapie"/>
        <w:ind w:right="0"/>
        <w:rPr>
          <w:color w:val="0D0D0D" w:themeColor="text1" w:themeTint="F2"/>
        </w:rPr>
      </w:pPr>
      <w:r w:rsidRPr="007A4409">
        <w:rPr>
          <w:color w:val="0D0D0D" w:themeColor="text1" w:themeTint="F2"/>
          <w:vertAlign w:val="superscript"/>
        </w:rPr>
        <w:footnoteRef/>
      </w:r>
      <w:r w:rsidRPr="007A4409">
        <w:rPr>
          <w:color w:val="0D0D0D" w:themeColor="text1" w:themeTint="F2"/>
          <w:vertAlign w:val="superscript"/>
        </w:rPr>
        <w:t xml:space="preserve"> </w:t>
      </w:r>
      <w:r w:rsidRPr="007A4409">
        <w:rPr>
          <w:i/>
          <w:iCs/>
          <w:color w:val="0D0D0D" w:themeColor="text1" w:themeTint="F2"/>
        </w:rPr>
        <w:t xml:space="preserve">Ibidem, </w:t>
      </w:r>
      <w:r w:rsidRPr="007A4409">
        <w:rPr>
          <w:color w:val="0D0D0D" w:themeColor="text1" w:themeTint="F2"/>
        </w:rPr>
        <w:t>p. 9.</w:t>
      </w:r>
    </w:p>
  </w:footnote>
  <w:footnote w:id="31">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rPr>
        <w:t xml:space="preserve"> Expediente digital D-16.590</w:t>
      </w:r>
      <w:r w:rsidRPr="007A4409">
        <w:rPr>
          <w:i/>
          <w:iCs/>
          <w:color w:val="0D0D0D" w:themeColor="text1" w:themeTint="F2"/>
          <w:sz w:val="20"/>
          <w:szCs w:val="20"/>
        </w:rPr>
        <w:t xml:space="preserve"> </w:t>
      </w:r>
      <w:r w:rsidRPr="007A4409">
        <w:rPr>
          <w:color w:val="0D0D0D" w:themeColor="text1" w:themeTint="F2"/>
          <w:sz w:val="20"/>
          <w:szCs w:val="20"/>
        </w:rPr>
        <w:t xml:space="preserve">contenido en </w:t>
      </w:r>
      <w:r w:rsidRPr="007A4409">
        <w:rPr>
          <w:i/>
          <w:iCs/>
          <w:color w:val="0D0D0D" w:themeColor="text1" w:themeTint="F2"/>
          <w:sz w:val="20"/>
          <w:szCs w:val="20"/>
        </w:rPr>
        <w:t xml:space="preserve">Siicor, </w:t>
      </w:r>
      <w:r w:rsidRPr="007A4409">
        <w:rPr>
          <w:color w:val="0D0D0D" w:themeColor="text1" w:themeTint="F2"/>
          <w:sz w:val="20"/>
          <w:szCs w:val="20"/>
        </w:rPr>
        <w:t xml:space="preserve">documento del 5 de agosto de 2025 sobre </w:t>
      </w:r>
      <w:r w:rsidRPr="007A4409">
        <w:rPr>
          <w:color w:val="0D0D0D" w:themeColor="text1" w:themeTint="F2"/>
          <w:sz w:val="20"/>
          <w:szCs w:val="20"/>
          <w:shd w:val="clear" w:color="auto" w:fill="FFFFFF"/>
        </w:rPr>
        <w:t>la intervención de la Universidad del Norte, p</w:t>
      </w:r>
      <w:r w:rsidRPr="007A4409">
        <w:rPr>
          <w:color w:val="0D0D0D" w:themeColor="text1" w:themeTint="F2"/>
          <w:sz w:val="20"/>
          <w:szCs w:val="20"/>
          <w:shd w:val="clear" w:color="auto" w:fill="FFFFFF"/>
        </w:rPr>
        <w:t>p</w:t>
      </w:r>
      <w:r w:rsidRPr="007A4409">
        <w:rPr>
          <w:color w:val="0D0D0D" w:themeColor="text1" w:themeTint="F2"/>
          <w:sz w:val="20"/>
          <w:szCs w:val="20"/>
          <w:shd w:val="clear" w:color="auto" w:fill="FFFFFF"/>
        </w:rPr>
        <w:t>. 4</w:t>
      </w:r>
      <w:r w:rsidRPr="007A4409">
        <w:rPr>
          <w:color w:val="0D0D0D" w:themeColor="text1" w:themeTint="F2"/>
          <w:sz w:val="20"/>
          <w:szCs w:val="20"/>
          <w:shd w:val="clear" w:color="auto" w:fill="FFFFFF"/>
        </w:rPr>
        <w:t>, 9 y 12</w:t>
      </w:r>
      <w:r w:rsidRPr="007A4409">
        <w:rPr>
          <w:color w:val="0D0D0D" w:themeColor="text1" w:themeTint="F2"/>
          <w:sz w:val="20"/>
          <w:szCs w:val="20"/>
          <w:shd w:val="clear" w:color="auto" w:fill="FFFFFF"/>
        </w:rPr>
        <w:t>.</w:t>
      </w:r>
      <w:r w:rsidRPr="007A4409">
        <w:rPr>
          <w:color w:val="0D0D0D" w:themeColor="text1" w:themeTint="F2"/>
          <w:sz w:val="20"/>
          <w:szCs w:val="20"/>
          <w:shd w:val="clear" w:color="auto" w:fill="FFFFFF"/>
        </w:rPr>
        <w:t xml:space="preserve"> 20. El escrito analizó la jurisprudencia de la Corte Constitucional y la Corte Suprema de Justicia que ha sido consistente en afirmar que los derechos prestacionales son indisponibles y que la autorización administrativa para su renuncia constituye una </w:t>
      </w:r>
      <w:r w:rsidRPr="007A4409">
        <w:rPr>
          <w:i/>
          <w:iCs/>
          <w:color w:val="0D0D0D" w:themeColor="text1" w:themeTint="F2"/>
          <w:sz w:val="20"/>
          <w:szCs w:val="20"/>
          <w:shd w:val="clear" w:color="auto" w:fill="FFFFFF"/>
        </w:rPr>
        <w:t>“d</w:t>
      </w:r>
      <w:r w:rsidRPr="007A4409">
        <w:rPr>
          <w:i/>
          <w:iCs/>
          <w:color w:val="0D0D0D" w:themeColor="text1" w:themeTint="F2"/>
          <w:sz w:val="20"/>
          <w:szCs w:val="20"/>
          <w:shd w:val="clear" w:color="auto" w:fill="FFFFFF"/>
        </w:rPr>
        <w:t>esjudicialización inconstitucional del control sobre derechos fundamentales.”</w:t>
      </w:r>
      <w:r w:rsidRPr="007A4409">
        <w:rPr>
          <w:color w:val="0D0D0D" w:themeColor="text1" w:themeTint="F2"/>
          <w:sz w:val="20"/>
          <w:szCs w:val="20"/>
          <w:shd w:val="clear" w:color="auto" w:fill="FFFFFF"/>
        </w:rPr>
        <w:t xml:space="preserve"> Asimismo, citó normas internacionales como la Declaración Universal de Derechos Humanos, el Pacto Internacional de Derechos Económicos Sociales y Culturales (PIDESC) y el Protocolo de San Salvador, que refuerzan el carácter inderogable de estos derechos.</w:t>
      </w:r>
    </w:p>
  </w:footnote>
  <w:footnote w:id="32">
    <w:p w:rsidR="00410A44" w:rsidRPr="007A4409" w:rsidRDefault="002D20D6" w:rsidP="008B1603">
      <w:pPr>
        <w:pStyle w:val="Textonotapie"/>
        <w:ind w:right="0"/>
        <w:rPr>
          <w:color w:val="0D0D0D" w:themeColor="text1" w:themeTint="F2"/>
          <w:lang w:val="es-ES_tradnl"/>
        </w:rPr>
      </w:pPr>
      <w:r w:rsidRPr="007A4409">
        <w:rPr>
          <w:color w:val="0D0D0D" w:themeColor="text1" w:themeTint="F2"/>
          <w:vertAlign w:val="superscript"/>
        </w:rPr>
        <w:footnoteRef/>
      </w:r>
      <w:r w:rsidRPr="007A4409">
        <w:rPr>
          <w:color w:val="0D0D0D" w:themeColor="text1" w:themeTint="F2"/>
          <w:vertAlign w:val="superscript"/>
        </w:rPr>
        <w:t xml:space="preserve"> </w:t>
      </w:r>
      <w:r w:rsidRPr="007A4409">
        <w:rPr>
          <w:i/>
          <w:iCs/>
          <w:color w:val="0D0D0D" w:themeColor="text1" w:themeTint="F2"/>
          <w:lang w:val="es-ES_tradnl"/>
        </w:rPr>
        <w:t>Ibidem,</w:t>
      </w:r>
      <w:r w:rsidRPr="007A4409">
        <w:rPr>
          <w:color w:val="0D0D0D" w:themeColor="text1" w:themeTint="F2"/>
          <w:lang w:val="es-ES_tradnl"/>
        </w:rPr>
        <w:t xml:space="preserve"> pp. 14 y 15.</w:t>
      </w:r>
    </w:p>
  </w:footnote>
  <w:footnote w:id="33">
    <w:p w:rsidR="00410A44" w:rsidRPr="007A4409" w:rsidRDefault="002D20D6" w:rsidP="008B1603">
      <w:pPr>
        <w:pStyle w:val="Textonotapie"/>
        <w:ind w:right="0"/>
        <w:rPr>
          <w:color w:val="0D0D0D" w:themeColor="text1" w:themeTint="F2"/>
          <w:lang w:val="es-ES_tradnl"/>
        </w:rPr>
      </w:pPr>
      <w:r w:rsidRPr="007A4409">
        <w:rPr>
          <w:color w:val="0D0D0D" w:themeColor="text1" w:themeTint="F2"/>
          <w:vertAlign w:val="superscript"/>
        </w:rPr>
        <w:footnoteRef/>
      </w:r>
      <w:r w:rsidRPr="007A4409">
        <w:rPr>
          <w:color w:val="0D0D0D" w:themeColor="text1" w:themeTint="F2"/>
          <w:vertAlign w:val="superscript"/>
        </w:rPr>
        <w:t xml:space="preserve"> </w:t>
      </w:r>
      <w:r w:rsidRPr="007A4409">
        <w:rPr>
          <w:color w:val="0D0D0D" w:themeColor="text1" w:themeTint="F2"/>
        </w:rPr>
        <w:t>Expediente digital D-16.590</w:t>
      </w:r>
      <w:r w:rsidRPr="007A4409">
        <w:rPr>
          <w:i/>
          <w:iCs/>
          <w:color w:val="0D0D0D" w:themeColor="text1" w:themeTint="F2"/>
        </w:rPr>
        <w:t xml:space="preserve"> </w:t>
      </w:r>
      <w:r w:rsidRPr="007A4409">
        <w:rPr>
          <w:color w:val="0D0D0D" w:themeColor="text1" w:themeTint="F2"/>
        </w:rPr>
        <w:t xml:space="preserve">contenido en </w:t>
      </w:r>
      <w:r w:rsidRPr="007A4409">
        <w:rPr>
          <w:i/>
          <w:iCs/>
          <w:color w:val="0D0D0D" w:themeColor="text1" w:themeTint="F2"/>
        </w:rPr>
        <w:t xml:space="preserve">Siicor, </w:t>
      </w:r>
      <w:r w:rsidRPr="007A4409">
        <w:rPr>
          <w:color w:val="0D0D0D" w:themeColor="text1" w:themeTint="F2"/>
        </w:rPr>
        <w:t xml:space="preserve">documento del 5 de agosto de 2025 sobre </w:t>
      </w:r>
      <w:r w:rsidRPr="007A4409">
        <w:rPr>
          <w:color w:val="0D0D0D" w:themeColor="text1" w:themeTint="F2"/>
          <w:shd w:val="clear" w:color="auto" w:fill="FFFFFF"/>
        </w:rPr>
        <w:t>la intervención de la Clínica Jurídica de la Escuela de Derecho y Ciencias Políticas de la Universidad Pontificia Bolivariana, p. 7.</w:t>
      </w:r>
    </w:p>
  </w:footnote>
  <w:footnote w:id="34">
    <w:p w:rsidR="00410A44" w:rsidRPr="007A4409" w:rsidRDefault="002D20D6" w:rsidP="008B1603">
      <w:pPr>
        <w:pStyle w:val="Textonotapie"/>
        <w:ind w:right="0"/>
        <w:rPr>
          <w:color w:val="0D0D0D" w:themeColor="text1" w:themeTint="F2"/>
        </w:rPr>
      </w:pPr>
      <w:r w:rsidRPr="007A4409">
        <w:rPr>
          <w:color w:val="0D0D0D" w:themeColor="text1" w:themeTint="F2"/>
          <w:vertAlign w:val="superscript"/>
        </w:rPr>
        <w:footnoteRef/>
      </w:r>
      <w:r w:rsidRPr="007A4409">
        <w:rPr>
          <w:color w:val="0D0D0D" w:themeColor="text1" w:themeTint="F2"/>
          <w:vertAlign w:val="superscript"/>
        </w:rPr>
        <w:t xml:space="preserve"> </w:t>
      </w:r>
      <w:r w:rsidRPr="007A4409">
        <w:rPr>
          <w:i/>
          <w:iCs/>
          <w:color w:val="0D0D0D" w:themeColor="text1" w:themeTint="F2"/>
          <w:lang w:val="es-ES_tradnl"/>
        </w:rPr>
        <w:t>Ibidem,</w:t>
      </w:r>
      <w:r w:rsidRPr="007A4409">
        <w:rPr>
          <w:color w:val="0D0D0D" w:themeColor="text1" w:themeTint="F2"/>
          <w:lang w:val="es-ES_tradnl"/>
        </w:rPr>
        <w:t xml:space="preserve"> p. 5.</w:t>
      </w:r>
    </w:p>
  </w:footnote>
  <w:footnote w:id="35">
    <w:p w:rsidR="00410A44" w:rsidRPr="007A4409" w:rsidRDefault="002D20D6" w:rsidP="008B1603">
      <w:pPr>
        <w:jc w:val="both"/>
        <w:rPr>
          <w:color w:val="0D0D0D" w:themeColor="text1" w:themeTint="F2"/>
          <w:sz w:val="20"/>
          <w:szCs w:val="20"/>
          <w:shd w:val="clear" w:color="auto" w:fill="FFFFFF"/>
        </w:rPr>
      </w:pPr>
      <w:r w:rsidRPr="007A4409">
        <w:rPr>
          <w:color w:val="0D0D0D" w:themeColor="text1" w:themeTint="F2"/>
          <w:sz w:val="20"/>
          <w:szCs w:val="20"/>
          <w:vertAlign w:val="superscript"/>
        </w:rPr>
        <w:footnoteRef/>
      </w:r>
      <w:r w:rsidRPr="007A4409">
        <w:rPr>
          <w:color w:val="0D0D0D" w:themeColor="text1" w:themeTint="F2"/>
          <w:sz w:val="20"/>
          <w:szCs w:val="20"/>
          <w:vertAlign w:val="superscript"/>
        </w:rPr>
        <w:t xml:space="preserve"> </w:t>
      </w:r>
      <w:r w:rsidRPr="007A4409">
        <w:rPr>
          <w:color w:val="0D0D0D" w:themeColor="text1" w:themeTint="F2"/>
          <w:sz w:val="20"/>
          <w:szCs w:val="20"/>
        </w:rPr>
        <w:t>Expediente digital D-16.590</w:t>
      </w:r>
      <w:r w:rsidRPr="007A4409">
        <w:rPr>
          <w:i/>
          <w:iCs/>
          <w:color w:val="0D0D0D" w:themeColor="text1" w:themeTint="F2"/>
          <w:sz w:val="20"/>
          <w:szCs w:val="20"/>
        </w:rPr>
        <w:t xml:space="preserve"> </w:t>
      </w:r>
      <w:r w:rsidRPr="007A4409">
        <w:rPr>
          <w:color w:val="0D0D0D" w:themeColor="text1" w:themeTint="F2"/>
          <w:sz w:val="20"/>
          <w:szCs w:val="20"/>
        </w:rPr>
        <w:t xml:space="preserve">contenido en </w:t>
      </w:r>
      <w:r w:rsidRPr="007A4409">
        <w:rPr>
          <w:i/>
          <w:iCs/>
          <w:color w:val="0D0D0D" w:themeColor="text1" w:themeTint="F2"/>
          <w:sz w:val="20"/>
          <w:szCs w:val="20"/>
        </w:rPr>
        <w:t xml:space="preserve">Siicor, </w:t>
      </w:r>
      <w:r w:rsidRPr="007A4409">
        <w:rPr>
          <w:color w:val="0D0D0D" w:themeColor="text1" w:themeTint="F2"/>
          <w:sz w:val="20"/>
          <w:szCs w:val="20"/>
        </w:rPr>
        <w:t xml:space="preserve">documento del 5 de agosto de 2025 sobre </w:t>
      </w:r>
      <w:r w:rsidRPr="007A4409">
        <w:rPr>
          <w:color w:val="0D0D0D" w:themeColor="text1" w:themeTint="F2"/>
          <w:sz w:val="20"/>
          <w:szCs w:val="20"/>
          <w:shd w:val="clear" w:color="auto" w:fill="FFFFFF"/>
        </w:rPr>
        <w:t>la intervención de</w:t>
      </w:r>
      <w:r w:rsidRPr="007A4409">
        <w:rPr>
          <w:color w:val="0D0D0D" w:themeColor="text1" w:themeTint="F2"/>
          <w:sz w:val="20"/>
          <w:szCs w:val="20"/>
          <w:shd w:val="clear" w:color="auto" w:fill="FFFFFF"/>
        </w:rPr>
        <w:t xml:space="preserve"> </w:t>
      </w:r>
      <w:r w:rsidRPr="007A4409">
        <w:rPr>
          <w:color w:val="0D0D0D" w:themeColor="text1" w:themeTint="F2"/>
          <w:sz w:val="20"/>
          <w:szCs w:val="20"/>
          <w:shd w:val="clear" w:color="auto" w:fill="FFFFFF"/>
        </w:rPr>
        <w:t>Camilo Alberto Cuervo Díaz, pp. 5 y 6.</w:t>
      </w:r>
    </w:p>
  </w:footnote>
  <w:footnote w:id="36">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rPr>
        <w:t xml:space="preserve"> </w:t>
      </w:r>
      <w:r w:rsidRPr="007A4409">
        <w:rPr>
          <w:color w:val="0D0D0D" w:themeColor="text1" w:themeTint="F2"/>
          <w:sz w:val="20"/>
          <w:szCs w:val="20"/>
          <w:shd w:val="clear" w:color="auto" w:fill="FFFFFF"/>
        </w:rPr>
        <w:t> </w:t>
      </w:r>
      <w:r w:rsidRPr="007A4409">
        <w:rPr>
          <w:i/>
          <w:iCs/>
          <w:color w:val="0D0D0D" w:themeColor="text1" w:themeTint="F2"/>
          <w:sz w:val="20"/>
          <w:szCs w:val="20"/>
          <w:lang w:val="es-ES_tradnl"/>
        </w:rPr>
        <w:t>Ibidem,</w:t>
      </w:r>
      <w:r w:rsidRPr="007A4409">
        <w:rPr>
          <w:color w:val="0D0D0D" w:themeColor="text1" w:themeTint="F2"/>
          <w:sz w:val="20"/>
          <w:szCs w:val="20"/>
          <w:lang w:val="es-ES_tradnl"/>
        </w:rPr>
        <w:t xml:space="preserve"> pp. 15 y 16.</w:t>
      </w:r>
    </w:p>
  </w:footnote>
  <w:footnote w:id="37">
    <w:p w:rsidR="00410A44" w:rsidRPr="007A4409" w:rsidRDefault="002D20D6" w:rsidP="008B1603">
      <w:pPr>
        <w:jc w:val="both"/>
        <w:rPr>
          <w:color w:val="0D0D0D" w:themeColor="text1" w:themeTint="F2"/>
          <w:sz w:val="20"/>
          <w:szCs w:val="20"/>
        </w:rPr>
      </w:pPr>
      <w:r w:rsidRPr="007A4409">
        <w:rPr>
          <w:color w:val="0D0D0D" w:themeColor="text1" w:themeTint="F2"/>
          <w:sz w:val="20"/>
          <w:szCs w:val="20"/>
          <w:vertAlign w:val="superscript"/>
        </w:rPr>
        <w:footnoteRef/>
      </w:r>
      <w:r w:rsidRPr="007A4409">
        <w:rPr>
          <w:color w:val="0D0D0D" w:themeColor="text1" w:themeTint="F2"/>
          <w:sz w:val="20"/>
          <w:szCs w:val="20"/>
          <w:vertAlign w:val="superscript"/>
        </w:rPr>
        <w:t xml:space="preserve"> </w:t>
      </w:r>
      <w:r w:rsidRPr="007A4409">
        <w:rPr>
          <w:color w:val="0D0D0D" w:themeColor="text1" w:themeTint="F2"/>
          <w:sz w:val="20"/>
          <w:szCs w:val="20"/>
        </w:rPr>
        <w:t>Expediente digital D-16.590</w:t>
      </w:r>
      <w:r w:rsidRPr="007A4409">
        <w:rPr>
          <w:i/>
          <w:iCs/>
          <w:color w:val="0D0D0D" w:themeColor="text1" w:themeTint="F2"/>
          <w:sz w:val="20"/>
          <w:szCs w:val="20"/>
        </w:rPr>
        <w:t xml:space="preserve"> </w:t>
      </w:r>
      <w:r w:rsidRPr="007A4409">
        <w:rPr>
          <w:color w:val="0D0D0D" w:themeColor="text1" w:themeTint="F2"/>
          <w:sz w:val="20"/>
          <w:szCs w:val="20"/>
        </w:rPr>
        <w:t xml:space="preserve">contenido en </w:t>
      </w:r>
      <w:r w:rsidRPr="007A4409">
        <w:rPr>
          <w:i/>
          <w:iCs/>
          <w:color w:val="0D0D0D" w:themeColor="text1" w:themeTint="F2"/>
          <w:sz w:val="20"/>
          <w:szCs w:val="20"/>
        </w:rPr>
        <w:t xml:space="preserve">Siicor, </w:t>
      </w:r>
      <w:r w:rsidRPr="007A4409">
        <w:rPr>
          <w:color w:val="0D0D0D" w:themeColor="text1" w:themeTint="F2"/>
          <w:sz w:val="20"/>
          <w:szCs w:val="20"/>
        </w:rPr>
        <w:t xml:space="preserve">documento del 4 de septiembre de 2025 sobre </w:t>
      </w:r>
      <w:r w:rsidRPr="007A4409">
        <w:rPr>
          <w:color w:val="0D0D0D" w:themeColor="text1" w:themeTint="F2"/>
          <w:sz w:val="20"/>
          <w:szCs w:val="20"/>
          <w:shd w:val="clear" w:color="auto" w:fill="FFFFFF"/>
        </w:rPr>
        <w:t>el concepto del Procurador General de la Nación, p. 1.</w:t>
      </w:r>
    </w:p>
  </w:footnote>
  <w:footnote w:id="38">
    <w:p w:rsidR="00410A44" w:rsidRPr="007A4409" w:rsidRDefault="002D20D6" w:rsidP="008B1603">
      <w:pPr>
        <w:pStyle w:val="Textonotapie"/>
        <w:ind w:right="0"/>
        <w:rPr>
          <w:color w:val="0D0D0D" w:themeColor="text1" w:themeTint="F2"/>
          <w:lang w:val="pt-PT"/>
        </w:rPr>
      </w:pPr>
      <w:r w:rsidRPr="007A4409">
        <w:rPr>
          <w:color w:val="0D0D0D" w:themeColor="text1" w:themeTint="F2"/>
          <w:vertAlign w:val="superscript"/>
        </w:rPr>
        <w:footnoteRef/>
      </w:r>
      <w:r w:rsidRPr="007A4409">
        <w:rPr>
          <w:color w:val="0D0D0D" w:themeColor="text1" w:themeTint="F2"/>
          <w:vertAlign w:val="superscript"/>
          <w:lang w:val="pt-PT"/>
        </w:rPr>
        <w:t xml:space="preserve"> </w:t>
      </w:r>
      <w:r w:rsidRPr="007A4409">
        <w:rPr>
          <w:i/>
          <w:iCs/>
          <w:color w:val="0D0D0D" w:themeColor="text1" w:themeTint="F2"/>
          <w:lang w:val="pt-PT"/>
        </w:rPr>
        <w:t xml:space="preserve">Ibidem, </w:t>
      </w:r>
      <w:r w:rsidRPr="007A4409">
        <w:rPr>
          <w:color w:val="0D0D0D" w:themeColor="text1" w:themeTint="F2"/>
          <w:lang w:val="pt-PT"/>
        </w:rPr>
        <w:t>p. 14.</w:t>
      </w:r>
    </w:p>
  </w:footnote>
  <w:footnote w:id="39">
    <w:p w:rsidR="00410A44" w:rsidRPr="007A4409" w:rsidRDefault="002D20D6" w:rsidP="008B1603">
      <w:pPr>
        <w:pStyle w:val="Textonotapie"/>
        <w:ind w:right="0"/>
        <w:rPr>
          <w:color w:val="0D0D0D" w:themeColor="text1" w:themeTint="F2"/>
          <w:lang w:val="pt-PT"/>
        </w:rPr>
      </w:pPr>
      <w:r w:rsidRPr="007A4409">
        <w:rPr>
          <w:color w:val="0D0D0D" w:themeColor="text1" w:themeTint="F2"/>
          <w:vertAlign w:val="superscript"/>
        </w:rPr>
        <w:footnoteRef/>
      </w:r>
      <w:r w:rsidRPr="007A4409">
        <w:rPr>
          <w:color w:val="0D0D0D" w:themeColor="text1" w:themeTint="F2"/>
          <w:vertAlign w:val="superscript"/>
          <w:lang w:val="pt-PT"/>
        </w:rPr>
        <w:t xml:space="preserve"> </w:t>
      </w:r>
      <w:r w:rsidRPr="007A4409">
        <w:rPr>
          <w:i/>
          <w:iCs/>
          <w:color w:val="0D0D0D" w:themeColor="text1" w:themeTint="F2"/>
          <w:lang w:val="pt-PT"/>
        </w:rPr>
        <w:t xml:space="preserve">Ibidem, </w:t>
      </w:r>
      <w:r w:rsidRPr="007A4409">
        <w:rPr>
          <w:color w:val="0D0D0D" w:themeColor="text1" w:themeTint="F2"/>
          <w:lang w:val="pt-PT"/>
        </w:rPr>
        <w:t>p. 7.</w:t>
      </w:r>
    </w:p>
  </w:footnote>
  <w:footnote w:id="40">
    <w:p w:rsidR="00410A44" w:rsidRPr="007A4409" w:rsidRDefault="002D20D6" w:rsidP="008B1603">
      <w:pPr>
        <w:pStyle w:val="Textonotapie"/>
        <w:ind w:right="0"/>
        <w:rPr>
          <w:color w:val="0D0D0D" w:themeColor="text1" w:themeTint="F2"/>
          <w:lang w:val="pt-PT"/>
        </w:rPr>
      </w:pPr>
      <w:r w:rsidRPr="007A4409">
        <w:rPr>
          <w:color w:val="0D0D0D" w:themeColor="text1" w:themeTint="F2"/>
          <w:vertAlign w:val="superscript"/>
        </w:rPr>
        <w:footnoteRef/>
      </w:r>
      <w:r w:rsidRPr="007A4409">
        <w:rPr>
          <w:color w:val="0D0D0D" w:themeColor="text1" w:themeTint="F2"/>
          <w:vertAlign w:val="superscript"/>
          <w:lang w:val="pt-PT"/>
        </w:rPr>
        <w:t xml:space="preserve"> </w:t>
      </w:r>
      <w:r w:rsidRPr="007A4409">
        <w:rPr>
          <w:i/>
          <w:iCs/>
          <w:color w:val="0D0D0D" w:themeColor="text1" w:themeTint="F2"/>
          <w:lang w:val="pt-PT"/>
        </w:rPr>
        <w:t xml:space="preserve">Ibidem, </w:t>
      </w:r>
      <w:r w:rsidRPr="007A4409">
        <w:rPr>
          <w:color w:val="0D0D0D" w:themeColor="text1" w:themeTint="F2"/>
          <w:lang w:val="pt-PT"/>
        </w:rPr>
        <w:t>pp. 7 y 13.</w:t>
      </w:r>
    </w:p>
  </w:footnote>
  <w:footnote w:id="41">
    <w:p w:rsidR="00B76A79" w:rsidRPr="007A4409" w:rsidRDefault="002D20D6" w:rsidP="008B1603">
      <w:pPr>
        <w:pStyle w:val="Textonotapie"/>
        <w:ind w:right="49"/>
        <w:rPr>
          <w:color w:val="0D0D0D" w:themeColor="text1" w:themeTint="F2"/>
          <w:lang w:val="es-ES_tradnl"/>
        </w:rPr>
      </w:pPr>
      <w:r w:rsidRPr="007A4409">
        <w:rPr>
          <w:color w:val="0D0D0D" w:themeColor="text1" w:themeTint="F2"/>
          <w:vertAlign w:val="superscript"/>
        </w:rPr>
        <w:footnoteRef/>
      </w:r>
      <w:r w:rsidRPr="007A4409">
        <w:rPr>
          <w:color w:val="0D0D0D" w:themeColor="text1" w:themeTint="F2"/>
        </w:rPr>
        <w:t xml:space="preserve"> </w:t>
      </w:r>
      <w:r w:rsidRPr="007A4409">
        <w:rPr>
          <w:color w:val="0D0D0D" w:themeColor="text1" w:themeTint="F2"/>
        </w:rPr>
        <w:t xml:space="preserve">El artículo 148 del Decreto Ley 2158 de 1948 </w:t>
      </w:r>
      <w:r w:rsidRPr="007A4409">
        <w:rPr>
          <w:color w:val="0D0D0D" w:themeColor="text1" w:themeTint="F2"/>
        </w:rPr>
        <w:t>se encuentra vigente</w:t>
      </w:r>
      <w:r w:rsidRPr="007A4409">
        <w:rPr>
          <w:color w:val="0D0D0D" w:themeColor="text1" w:themeTint="F2"/>
        </w:rPr>
        <w:t>. En atención a los artículos 330 y</w:t>
      </w:r>
      <w:r w:rsidRPr="007A4409">
        <w:rPr>
          <w:color w:val="0D0D0D" w:themeColor="text1" w:themeTint="F2"/>
        </w:rPr>
        <w:t xml:space="preserve"> 33</w:t>
      </w:r>
      <w:r w:rsidRPr="007A4409">
        <w:rPr>
          <w:color w:val="0D0D0D" w:themeColor="text1" w:themeTint="F2"/>
        </w:rPr>
        <w:t>1</w:t>
      </w:r>
      <w:r w:rsidRPr="007A4409">
        <w:rPr>
          <w:color w:val="0D0D0D" w:themeColor="text1" w:themeTint="F2"/>
        </w:rPr>
        <w:t xml:space="preserve"> de la Ley 2452 de 2025</w:t>
      </w:r>
      <w:r w:rsidRPr="007A4409">
        <w:rPr>
          <w:color w:val="0D0D0D" w:themeColor="text1" w:themeTint="F2"/>
        </w:rPr>
        <w:t xml:space="preserve">, </w:t>
      </w:r>
      <w:r w:rsidRPr="007A4409">
        <w:rPr>
          <w:color w:val="0D0D0D" w:themeColor="text1" w:themeTint="F2"/>
        </w:rPr>
        <w:t xml:space="preserve">el </w:t>
      </w:r>
      <w:r w:rsidRPr="007A4409">
        <w:rPr>
          <w:color w:val="0D0D0D" w:themeColor="text1" w:themeTint="F2"/>
        </w:rPr>
        <w:t>Código Procesal del Trabajo y de la Seguridad Social entra</w:t>
      </w:r>
      <w:r w:rsidRPr="007A4409">
        <w:rPr>
          <w:color w:val="0D0D0D" w:themeColor="text1" w:themeTint="F2"/>
        </w:rPr>
        <w:t>rá</w:t>
      </w:r>
      <w:r w:rsidRPr="007A4409">
        <w:rPr>
          <w:color w:val="0D0D0D" w:themeColor="text1" w:themeTint="F2"/>
        </w:rPr>
        <w:t xml:space="preserve"> en vigencia el 2 de abril de 2026, fecha en que se derogarán todas las disposiciones que le sean contrarias, especialmente el Decreto Ley 2158 de 1948 sobre los pr</w:t>
      </w:r>
      <w:r w:rsidRPr="007A4409">
        <w:rPr>
          <w:color w:val="0D0D0D" w:themeColor="text1" w:themeTint="F2"/>
        </w:rPr>
        <w:t>ocedimientos en los juicios del trabajo.</w:t>
      </w:r>
    </w:p>
  </w:footnote>
  <w:footnote w:id="42">
    <w:p w:rsidR="00641980" w:rsidRPr="007A4409" w:rsidRDefault="002D20D6" w:rsidP="008B1603">
      <w:pPr>
        <w:jc w:val="both"/>
        <w:rPr>
          <w:color w:val="0D0D0D" w:themeColor="text1" w:themeTint="F2"/>
          <w:sz w:val="20"/>
          <w:szCs w:val="20"/>
          <w:lang w:val="es-ES_tradnl"/>
        </w:rPr>
      </w:pPr>
      <w:r w:rsidRPr="007A4409">
        <w:rPr>
          <w:color w:val="0D0D0D" w:themeColor="text1" w:themeTint="F2"/>
          <w:sz w:val="20"/>
          <w:szCs w:val="20"/>
          <w:vertAlign w:val="superscript"/>
        </w:rPr>
        <w:footnoteRef/>
      </w:r>
      <w:r w:rsidRPr="007A4409">
        <w:rPr>
          <w:color w:val="0D0D0D" w:themeColor="text1" w:themeTint="F2"/>
          <w:sz w:val="20"/>
          <w:szCs w:val="20"/>
        </w:rPr>
        <w:t xml:space="preserve"> </w:t>
      </w:r>
      <w:r w:rsidRPr="007A4409">
        <w:rPr>
          <w:color w:val="0D0D0D" w:themeColor="text1" w:themeTint="F2"/>
          <w:sz w:val="20"/>
          <w:szCs w:val="20"/>
          <w:lang w:val="es-ES_tradnl"/>
        </w:rPr>
        <w:t xml:space="preserve">Sobre el particular, hizo especial énfasis en que </w:t>
      </w:r>
      <w:r w:rsidRPr="007A4409">
        <w:rPr>
          <w:i/>
          <w:color w:val="0D0D0D" w:themeColor="text1" w:themeTint="F2"/>
          <w:sz w:val="20"/>
          <w:szCs w:val="20"/>
          <w:lang w:val="es-ES_tradnl"/>
        </w:rPr>
        <w:t xml:space="preserve">“la norma se refiere a cesantías parciales y las prestaciones sociales conexas a ese derecho, tales como la sanción moratoria y sujeta la autorización del </w:t>
      </w:r>
      <w:r w:rsidRPr="007A4409">
        <w:rPr>
          <w:i/>
          <w:color w:val="0D0D0D" w:themeColor="text1" w:themeTint="F2"/>
          <w:sz w:val="20"/>
          <w:szCs w:val="20"/>
          <w:lang w:val="es-ES_tradnl"/>
        </w:rPr>
        <w:t>inspector de trabajo a los casos permitidos en la Ley, no a todas las prestaciones sociales existentes.”</w:t>
      </w:r>
    </w:p>
  </w:footnote>
  <w:footnote w:id="43">
    <w:p w:rsidR="00641980" w:rsidRPr="007A4409" w:rsidRDefault="002D20D6" w:rsidP="008B1603">
      <w:pPr>
        <w:pStyle w:val="Textonotapie"/>
        <w:ind w:right="191"/>
        <w:rPr>
          <w:color w:val="0D0D0D" w:themeColor="text1" w:themeTint="F2"/>
          <w:lang w:val="es-ES_tradnl"/>
        </w:rPr>
      </w:pPr>
      <w:r w:rsidRPr="007A4409">
        <w:rPr>
          <w:color w:val="0D0D0D" w:themeColor="text1" w:themeTint="F2"/>
          <w:vertAlign w:val="superscript"/>
        </w:rPr>
        <w:footnoteRef/>
      </w:r>
      <w:r w:rsidRPr="007A4409">
        <w:rPr>
          <w:color w:val="0D0D0D" w:themeColor="text1" w:themeTint="F2"/>
        </w:rPr>
        <w:t xml:space="preserve"> </w:t>
      </w:r>
      <w:r w:rsidRPr="007A4409">
        <w:rPr>
          <w:i/>
          <w:iCs/>
          <w:color w:val="0D0D0D" w:themeColor="text1" w:themeTint="F2"/>
          <w:lang w:val="es-ES_tradnl"/>
        </w:rPr>
        <w:t xml:space="preserve">Ibidem, </w:t>
      </w:r>
      <w:r w:rsidRPr="007A4409">
        <w:rPr>
          <w:color w:val="0D0D0D" w:themeColor="text1" w:themeTint="F2"/>
          <w:lang w:val="es-ES_tradnl"/>
        </w:rPr>
        <w:t>p. 11.</w:t>
      </w:r>
    </w:p>
  </w:footnote>
  <w:footnote w:id="44">
    <w:p w:rsidR="00641980" w:rsidRPr="007A4409" w:rsidRDefault="002D20D6" w:rsidP="008B1603">
      <w:pPr>
        <w:pStyle w:val="Textonotapie"/>
        <w:rPr>
          <w:color w:val="0D0D0D" w:themeColor="text1" w:themeTint="F2"/>
          <w:lang w:val="es-ES_tradnl"/>
        </w:rPr>
      </w:pPr>
      <w:r w:rsidRPr="007A4409">
        <w:rPr>
          <w:color w:val="0D0D0D" w:themeColor="text1" w:themeTint="F2"/>
          <w:vertAlign w:val="superscript"/>
        </w:rPr>
        <w:footnoteRef/>
      </w:r>
      <w:r w:rsidRPr="007A4409">
        <w:rPr>
          <w:color w:val="0D0D0D" w:themeColor="text1" w:themeTint="F2"/>
        </w:rPr>
        <w:t xml:space="preserve"> </w:t>
      </w:r>
      <w:r w:rsidRPr="007A4409">
        <w:rPr>
          <w:i/>
          <w:color w:val="0D0D0D" w:themeColor="text1" w:themeTint="F2"/>
        </w:rPr>
        <w:t>Ídem.</w:t>
      </w:r>
    </w:p>
  </w:footnote>
  <w:footnote w:id="45">
    <w:p w:rsidR="00DE59D7" w:rsidRPr="007A4409" w:rsidRDefault="002D20D6" w:rsidP="008B1603">
      <w:pPr>
        <w:pStyle w:val="Textonotapie"/>
        <w:ind w:right="0"/>
        <w:rPr>
          <w:color w:val="0D0D0D" w:themeColor="text1" w:themeTint="F2"/>
        </w:rPr>
      </w:pPr>
      <w:r w:rsidRPr="007A4409">
        <w:rPr>
          <w:color w:val="0D0D0D" w:themeColor="text1" w:themeTint="F2"/>
          <w:vertAlign w:val="superscript"/>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 xml:space="preserve">Corte Constitucional, sentencias C-1115 de 2004, C-1300 de 2005, C-074 de 2006, C-929 de 2007, C-623 de 2008, C-035 de </w:t>
      </w:r>
      <w:r w:rsidRPr="007A4409">
        <w:rPr>
          <w:color w:val="0D0D0D" w:themeColor="text1" w:themeTint="F2"/>
        </w:rPr>
        <w:t>2020, C-493 de 2020, C-138 de 2023, C-120 de 2024 y C-513 de 2024.</w:t>
      </w:r>
    </w:p>
  </w:footnote>
  <w:footnote w:id="46">
    <w:p w:rsidR="00766729" w:rsidRPr="007A4409" w:rsidRDefault="002D20D6" w:rsidP="008B1603">
      <w:pPr>
        <w:pStyle w:val="Textonotapie"/>
        <w:ind w:right="0"/>
        <w:rPr>
          <w:color w:val="0D0D0D" w:themeColor="text1" w:themeTint="F2"/>
        </w:rPr>
      </w:pPr>
      <w:r w:rsidRPr="007A4409">
        <w:rPr>
          <w:color w:val="0D0D0D" w:themeColor="text1" w:themeTint="F2"/>
          <w:vertAlign w:val="superscript"/>
        </w:rPr>
        <w:footnoteRef/>
      </w:r>
      <w:r w:rsidRPr="007A4409">
        <w:rPr>
          <w:color w:val="0D0D0D" w:themeColor="text1" w:themeTint="F2"/>
          <w:vertAlign w:val="superscript"/>
        </w:rPr>
        <w:t xml:space="preserve"> </w:t>
      </w:r>
      <w:r w:rsidRPr="007A4409">
        <w:rPr>
          <w:i/>
          <w:color w:val="0D0D0D" w:themeColor="text1" w:themeTint="F2"/>
        </w:rPr>
        <w:t xml:space="preserve">Cfr. </w:t>
      </w:r>
      <w:r w:rsidRPr="007A4409">
        <w:rPr>
          <w:color w:val="0D0D0D" w:themeColor="text1" w:themeTint="F2"/>
        </w:rPr>
        <w:t>Corte Constitucional, Sentencia C-623 de 2008.</w:t>
      </w:r>
      <w:r w:rsidRPr="007A4409">
        <w:rPr>
          <w:color w:val="0D0D0D" w:themeColor="text1" w:themeTint="F2"/>
        </w:rPr>
        <w:t xml:space="preserve"> </w:t>
      </w:r>
    </w:p>
  </w:footnote>
  <w:footnote w:id="47">
    <w:p w:rsidR="00DE59D7" w:rsidRPr="007A4409" w:rsidRDefault="002D20D6" w:rsidP="008B1603">
      <w:pPr>
        <w:pStyle w:val="Textonotapie"/>
        <w:ind w:right="0"/>
        <w:rPr>
          <w:color w:val="0D0D0D" w:themeColor="text1" w:themeTint="F2"/>
        </w:rPr>
      </w:pPr>
      <w:r w:rsidRPr="007A4409">
        <w:rPr>
          <w:color w:val="0D0D0D" w:themeColor="text1" w:themeTint="F2"/>
          <w:vertAlign w:val="superscript"/>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 xml:space="preserve">Corte Constitucional, sentencias C-623 de 2008, C-212 de 2022, C-138 de 2023 y C-337 de 2024. En palabras de esta Corporación: </w:t>
      </w:r>
      <w:r w:rsidRPr="007A4409">
        <w:rPr>
          <w:i/>
          <w:iCs/>
          <w:color w:val="0D0D0D" w:themeColor="text1" w:themeTint="F2"/>
        </w:rPr>
        <w:t>“(…) Aun cuando en principio, es en el auto admisorio donde se define si la demanda cumple o no con los requisitos mínimos de procedibilidad, ese primer análisis responde a una valoración apenas sumaria de la acción, llevada a cabo únicamente por cuenta de</w:t>
      </w:r>
      <w:r w:rsidRPr="007A4409">
        <w:rPr>
          <w:i/>
          <w:iCs/>
          <w:color w:val="0D0D0D" w:themeColor="text1" w:themeTint="F2"/>
        </w:rPr>
        <w:t>l Magistrado Ponente, razón por la cual, la misma no compromete ni define la competencia del Pleno de la corte, que es en quien reside la función constitucional de decidir de fondo sobre las demandas de inconstitucionalidad que presenten los ciudadanos con</w:t>
      </w:r>
      <w:r w:rsidRPr="007A4409">
        <w:rPr>
          <w:i/>
          <w:iCs/>
          <w:color w:val="0D0D0D" w:themeColor="text1" w:themeTint="F2"/>
        </w:rPr>
        <w:t>tra las leyes y los decretos con fuerza de ley (C.P. art. 241-4-5).”</w:t>
      </w:r>
    </w:p>
  </w:footnote>
  <w:footnote w:id="48">
    <w:p w:rsidR="00DE59D7" w:rsidRPr="007A4409" w:rsidRDefault="002D20D6" w:rsidP="008B1603">
      <w:pPr>
        <w:pStyle w:val="Textonotapie"/>
        <w:ind w:right="0"/>
        <w:rPr>
          <w:color w:val="0D0D0D" w:themeColor="text1" w:themeTint="F2"/>
        </w:rPr>
      </w:pPr>
      <w:r w:rsidRPr="007A4409">
        <w:rPr>
          <w:color w:val="0D0D0D" w:themeColor="text1" w:themeTint="F2"/>
          <w:vertAlign w:val="superscript"/>
        </w:rPr>
        <w:footnoteRef/>
      </w:r>
      <w:r w:rsidRPr="007A4409">
        <w:rPr>
          <w:color w:val="0D0D0D" w:themeColor="text1" w:themeTint="F2"/>
        </w:rPr>
        <w:t xml:space="preserve"> </w:t>
      </w:r>
      <w:r w:rsidRPr="007A4409">
        <w:rPr>
          <w:i/>
          <w:color w:val="0D0D0D" w:themeColor="text1" w:themeTint="F2"/>
        </w:rPr>
        <w:t>Cfr.</w:t>
      </w:r>
      <w:r w:rsidRPr="007A4409">
        <w:rPr>
          <w:color w:val="0D0D0D" w:themeColor="text1" w:themeTint="F2"/>
        </w:rPr>
        <w:t xml:space="preserve"> Corte Constitucional, Sentencias C-1052 de 2001, C-623 de 2008, C-303 de 2021, C-138 de 2023, C-470 de 2023, C-513 de 2024, entre otras.</w:t>
      </w:r>
    </w:p>
  </w:footnote>
  <w:footnote w:id="49">
    <w:p w:rsidR="00DE59D7" w:rsidRPr="007A4409" w:rsidRDefault="002D20D6" w:rsidP="008B1603">
      <w:pPr>
        <w:pStyle w:val="Ca1"/>
        <w:jc w:val="both"/>
        <w:rPr>
          <w:color w:val="0D0D0D" w:themeColor="text1" w:themeTint="F2"/>
          <w:sz w:val="20"/>
          <w:szCs w:val="20"/>
        </w:rPr>
      </w:pPr>
      <w:r w:rsidRPr="007A4409">
        <w:rPr>
          <w:rStyle w:val="Footno1"/>
          <w:rFonts w:ascii="Times New Roman" w:hAnsi="Times New Roman"/>
          <w:color w:val="0D0D0D" w:themeColor="text1" w:themeTint="F2"/>
          <w:sz w:val="20"/>
          <w:szCs w:val="20"/>
        </w:rPr>
        <w:footnoteRef/>
      </w:r>
      <w:r w:rsidRPr="007A4409">
        <w:rPr>
          <w:color w:val="0D0D0D" w:themeColor="text1" w:themeTint="F2"/>
          <w:sz w:val="20"/>
          <w:szCs w:val="20"/>
        </w:rPr>
        <w:t xml:space="preserve"> </w:t>
      </w:r>
      <w:r w:rsidRPr="007A4409">
        <w:rPr>
          <w:i/>
          <w:iCs/>
          <w:color w:val="0D0D0D" w:themeColor="text1" w:themeTint="F2"/>
          <w:sz w:val="20"/>
          <w:szCs w:val="20"/>
        </w:rPr>
        <w:t xml:space="preserve">Cfr., </w:t>
      </w:r>
      <w:r w:rsidRPr="007A4409">
        <w:rPr>
          <w:color w:val="0D0D0D" w:themeColor="text1" w:themeTint="F2"/>
          <w:sz w:val="20"/>
          <w:szCs w:val="20"/>
        </w:rPr>
        <w:t>Corte Constitucional, Sentencia C-6</w:t>
      </w:r>
      <w:r w:rsidRPr="007A4409">
        <w:rPr>
          <w:color w:val="0D0D0D" w:themeColor="text1" w:themeTint="F2"/>
          <w:sz w:val="20"/>
          <w:szCs w:val="20"/>
        </w:rPr>
        <w:t>23 de 2008.</w:t>
      </w:r>
    </w:p>
  </w:footnote>
  <w:footnote w:id="50">
    <w:p w:rsidR="00DE59D7" w:rsidRPr="007A4409" w:rsidRDefault="002D20D6" w:rsidP="008B1603">
      <w:pPr>
        <w:pStyle w:val="Ca1"/>
        <w:jc w:val="both"/>
        <w:rPr>
          <w:color w:val="0D0D0D" w:themeColor="text1" w:themeTint="F2"/>
          <w:sz w:val="20"/>
          <w:szCs w:val="20"/>
        </w:rPr>
      </w:pPr>
      <w:r w:rsidRPr="007A4409">
        <w:rPr>
          <w:rStyle w:val="Footno1"/>
          <w:rFonts w:ascii="Times New Roman" w:hAnsi="Times New Roman"/>
          <w:color w:val="0D0D0D" w:themeColor="text1" w:themeTint="F2"/>
          <w:sz w:val="20"/>
          <w:szCs w:val="20"/>
        </w:rPr>
        <w:footnoteRef/>
      </w:r>
      <w:r w:rsidRPr="007A4409">
        <w:rPr>
          <w:color w:val="0D0D0D" w:themeColor="text1" w:themeTint="F2"/>
          <w:sz w:val="20"/>
          <w:szCs w:val="20"/>
        </w:rPr>
        <w:t xml:space="preserve"> </w:t>
      </w:r>
      <w:r w:rsidRPr="007A4409">
        <w:rPr>
          <w:i/>
          <w:iCs/>
          <w:color w:val="0D0D0D" w:themeColor="text1" w:themeTint="F2"/>
          <w:sz w:val="20"/>
          <w:szCs w:val="20"/>
        </w:rPr>
        <w:t xml:space="preserve">Cfr., </w:t>
      </w:r>
      <w:r w:rsidRPr="007A4409">
        <w:rPr>
          <w:color w:val="0D0D0D" w:themeColor="text1" w:themeTint="F2"/>
          <w:sz w:val="20"/>
          <w:szCs w:val="20"/>
        </w:rPr>
        <w:t>Corte Constitucional, Sentencias C-509 de 1996, C-1048 de 2000, C-011 de 2001 y C-623 de 2008.</w:t>
      </w:r>
    </w:p>
  </w:footnote>
  <w:footnote w:id="51">
    <w:p w:rsidR="00DE59D7" w:rsidRPr="007A4409" w:rsidRDefault="002D20D6" w:rsidP="008B1603">
      <w:pPr>
        <w:pStyle w:val="Ca1"/>
        <w:jc w:val="both"/>
        <w:rPr>
          <w:color w:val="0D0D0D" w:themeColor="text1" w:themeTint="F2"/>
          <w:sz w:val="20"/>
          <w:szCs w:val="20"/>
        </w:rPr>
      </w:pPr>
      <w:r w:rsidRPr="007A4409">
        <w:rPr>
          <w:rStyle w:val="Footno1"/>
          <w:rFonts w:ascii="Times New Roman" w:hAnsi="Times New Roman"/>
          <w:color w:val="0D0D0D" w:themeColor="text1" w:themeTint="F2"/>
          <w:sz w:val="20"/>
          <w:szCs w:val="20"/>
        </w:rPr>
        <w:footnoteRef/>
      </w:r>
      <w:r w:rsidRPr="007A4409">
        <w:rPr>
          <w:color w:val="0D0D0D" w:themeColor="text1" w:themeTint="F2"/>
          <w:sz w:val="20"/>
          <w:szCs w:val="20"/>
        </w:rPr>
        <w:t xml:space="preserve"> </w:t>
      </w:r>
      <w:r w:rsidRPr="007A4409">
        <w:rPr>
          <w:i/>
          <w:iCs/>
          <w:color w:val="0D0D0D" w:themeColor="text1" w:themeTint="F2"/>
          <w:sz w:val="20"/>
          <w:szCs w:val="20"/>
        </w:rPr>
        <w:t xml:space="preserve">Cfr., </w:t>
      </w:r>
      <w:r w:rsidRPr="007A4409">
        <w:rPr>
          <w:color w:val="0D0D0D" w:themeColor="text1" w:themeTint="F2"/>
          <w:sz w:val="20"/>
          <w:szCs w:val="20"/>
        </w:rPr>
        <w:t>Corte Constitucional, Sentencia C-623 de 2008.</w:t>
      </w:r>
    </w:p>
  </w:footnote>
  <w:footnote w:id="52">
    <w:p w:rsidR="00F72B03" w:rsidRPr="007A4409" w:rsidRDefault="002D20D6" w:rsidP="008B1603">
      <w:pPr>
        <w:pStyle w:val="Textonotapie"/>
        <w:rPr>
          <w:color w:val="0D0D0D" w:themeColor="text1" w:themeTint="F2"/>
          <w:lang w:val="es-ES_tradnl"/>
        </w:rPr>
      </w:pPr>
      <w:r w:rsidRPr="007A4409">
        <w:rPr>
          <w:color w:val="0D0D0D" w:themeColor="text1" w:themeTint="F2"/>
          <w:vertAlign w:val="superscript"/>
        </w:rPr>
        <w:footnoteRef/>
      </w:r>
      <w:r w:rsidRPr="007A4409">
        <w:rPr>
          <w:color w:val="0D0D0D" w:themeColor="text1" w:themeTint="F2"/>
        </w:rPr>
        <w:t xml:space="preserve"> </w:t>
      </w:r>
      <w:r w:rsidRPr="007A4409">
        <w:rPr>
          <w:i/>
          <w:iCs/>
          <w:color w:val="0D0D0D" w:themeColor="text1" w:themeTint="F2"/>
          <w:lang w:val="es-ES_tradnl"/>
        </w:rPr>
        <w:t xml:space="preserve">Cfr. </w:t>
      </w:r>
      <w:r w:rsidRPr="007A4409">
        <w:rPr>
          <w:color w:val="0D0D0D" w:themeColor="text1" w:themeTint="F2"/>
          <w:lang w:val="es-ES_tradnl"/>
        </w:rPr>
        <w:t>Corte Constitucional, Sentencia C-513 de 2024.</w:t>
      </w:r>
    </w:p>
  </w:footnote>
  <w:footnote w:id="53">
    <w:p w:rsidR="00F72B03" w:rsidRPr="007A4409" w:rsidRDefault="002D20D6" w:rsidP="008B1603">
      <w:pPr>
        <w:pStyle w:val="Textonotapie"/>
        <w:rPr>
          <w:i/>
          <w:iCs/>
          <w:color w:val="0D0D0D" w:themeColor="text1" w:themeTint="F2"/>
          <w:lang w:val="es-ES_tradnl"/>
        </w:rPr>
      </w:pPr>
      <w:r w:rsidRPr="007A4409">
        <w:rPr>
          <w:color w:val="0D0D0D" w:themeColor="text1" w:themeTint="F2"/>
          <w:vertAlign w:val="superscript"/>
        </w:rPr>
        <w:footnoteRef/>
      </w:r>
      <w:r w:rsidRPr="007A4409">
        <w:rPr>
          <w:color w:val="0D0D0D" w:themeColor="text1" w:themeTint="F2"/>
        </w:rPr>
        <w:t xml:space="preserve"> </w:t>
      </w:r>
      <w:r w:rsidRPr="007A4409">
        <w:rPr>
          <w:i/>
          <w:iCs/>
          <w:color w:val="0D0D0D" w:themeColor="text1" w:themeTint="F2"/>
          <w:lang w:val="es-ES_tradnl"/>
        </w:rPr>
        <w:t>Ídem.</w:t>
      </w:r>
    </w:p>
  </w:footnote>
  <w:footnote w:id="54">
    <w:p w:rsidR="00E055F4" w:rsidRPr="007A4409" w:rsidRDefault="002D20D6" w:rsidP="008B1603">
      <w:pPr>
        <w:pStyle w:val="Textonotapie"/>
        <w:ind w:right="0"/>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Vale la pena precisar </w:t>
      </w:r>
      <w:r w:rsidRPr="007A4409">
        <w:rPr>
          <w:color w:val="0D0D0D" w:themeColor="text1" w:themeTint="F2"/>
        </w:rPr>
        <w:t>que si bien la presentación de la acción pública de inconstitucionalidad se hace en ejercicio de un derecho político, en el Auto 241 de 2015, la Corte afirmó que las personas privadas de la libertad, aunque tengan suspendidos sus derechos políticos, pueden</w:t>
      </w:r>
      <w:r w:rsidRPr="007A4409">
        <w:rPr>
          <w:color w:val="0D0D0D" w:themeColor="text1" w:themeTint="F2"/>
        </w:rPr>
        <w:t xml:space="preserve"> instaurar acciones públicas de inconstitucionalidad. Esto es así, en tanto y en cuanto la acción pública de inconstitucionalidad, aunque esté enunciada en el catálogo de derechos políticos (artículo 40 de la Constitución), está intrínsecamente relacionada</w:t>
      </w:r>
      <w:r w:rsidRPr="007A4409">
        <w:rPr>
          <w:color w:val="0D0D0D" w:themeColor="text1" w:themeTint="F2"/>
        </w:rPr>
        <w:t xml:space="preserve"> con el derecho de acceso a la administración de justicia, el cual no puede ser restringido por el derecho penal de orden legal.</w:t>
      </w:r>
    </w:p>
  </w:footnote>
  <w:footnote w:id="55">
    <w:p w:rsidR="00DE59D7" w:rsidRPr="007A4409" w:rsidRDefault="002D20D6" w:rsidP="008B1603">
      <w:pPr>
        <w:pStyle w:val="Textonotapie"/>
        <w:ind w:right="0"/>
        <w:rPr>
          <w:color w:val="0D0D0D" w:themeColor="text1" w:themeTint="F2"/>
          <w:lang w:val="es-ES_tradnl"/>
        </w:rPr>
      </w:pPr>
      <w:r w:rsidRPr="007A4409">
        <w:rPr>
          <w:color w:val="0D0D0D" w:themeColor="text1" w:themeTint="F2"/>
          <w:vertAlign w:val="superscript"/>
        </w:rPr>
        <w:footnoteRef/>
      </w:r>
      <w:r w:rsidRPr="007A4409">
        <w:rPr>
          <w:color w:val="0D0D0D" w:themeColor="text1" w:themeTint="F2"/>
        </w:rPr>
        <w:t xml:space="preserve"> </w:t>
      </w:r>
      <w:r w:rsidRPr="007A4409">
        <w:rPr>
          <w:i/>
          <w:iCs/>
          <w:color w:val="0D0D0D" w:themeColor="text1" w:themeTint="F2"/>
          <w:lang w:val="es-ES_tradnl"/>
        </w:rPr>
        <w:t xml:space="preserve">Cfr. </w:t>
      </w:r>
      <w:r w:rsidRPr="007A4409">
        <w:rPr>
          <w:color w:val="0D0D0D" w:themeColor="text1" w:themeTint="F2"/>
          <w:lang w:val="es-ES_tradnl"/>
        </w:rPr>
        <w:t xml:space="preserve">Corte Constitucional, Sentencia C-295 de 2021. En esa decisión, la Corte Constitucional dijo: </w:t>
      </w:r>
      <w:r w:rsidRPr="007A4409">
        <w:rPr>
          <w:i/>
          <w:iCs/>
          <w:color w:val="0D0D0D" w:themeColor="text1" w:themeTint="F2"/>
          <w:lang w:val="es-ES_tradnl"/>
        </w:rPr>
        <w:t xml:space="preserve">“Así, lo contenido en los </w:t>
      </w:r>
      <w:r w:rsidRPr="007A4409">
        <w:rPr>
          <w:i/>
          <w:iCs/>
          <w:color w:val="0D0D0D" w:themeColor="text1" w:themeTint="F2"/>
          <w:lang w:val="es-ES_tradnl"/>
        </w:rPr>
        <w:t>dos fundamentos jurídicos anteriores, debe analizarse tomando en consideración los siguientes elementos: 1) que, como se mencionó con anterioridad, a los ciudadanos no se les exige cualificación académica alguna como requisito para demandar. 2) Que un anál</w:t>
      </w:r>
      <w:r w:rsidRPr="007A4409">
        <w:rPr>
          <w:i/>
          <w:iCs/>
          <w:color w:val="0D0D0D" w:themeColor="text1" w:themeTint="F2"/>
          <w:lang w:val="es-ES_tradnl"/>
        </w:rPr>
        <w:t xml:space="preserve">isis estricto de estos requerimientos puede afectar la democracia participativa. 3) Que las sentencias inhibitorias deben ser excepcionales, pues es necesario proteger el derecho de acceso a la justicia. Y 4) que la propia Sentencia C-1052 de 2001 resaltó </w:t>
      </w:r>
      <w:r w:rsidRPr="007A4409">
        <w:rPr>
          <w:i/>
          <w:iCs/>
          <w:color w:val="0D0D0D" w:themeColor="text1" w:themeTint="F2"/>
          <w:lang w:val="es-ES_tradnl"/>
        </w:rPr>
        <w:t>la importancia del principio pro actione, según el cual, siempre que exista duda sobre el cumplimiento de los requisitos adjetivos de una demanda, aquella debe resolverse en favor del actor. Prefiriéndose, en tal caso, un fallo de fondo.”</w:t>
      </w:r>
    </w:p>
  </w:footnote>
  <w:footnote w:id="56">
    <w:p w:rsidR="00BC1B62" w:rsidRPr="007A4409" w:rsidRDefault="002D20D6" w:rsidP="00BC1B62">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 xml:space="preserve">Corte </w:t>
      </w:r>
      <w:r w:rsidRPr="007A4409">
        <w:rPr>
          <w:color w:val="0D0D0D" w:themeColor="text1" w:themeTint="F2"/>
        </w:rPr>
        <w:t>Constitucional, Sentencia C-332 de 2003.</w:t>
      </w:r>
    </w:p>
  </w:footnote>
  <w:footnote w:id="57">
    <w:p w:rsidR="00BC1B62" w:rsidRPr="007A4409" w:rsidRDefault="002D20D6" w:rsidP="00BC1B62">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Corte Constitucional, sentencias C-1065 de 2000, C-621 de 2001, C-992 de 2001 y C-155 de 2002.</w:t>
      </w:r>
    </w:p>
  </w:footnote>
  <w:footnote w:id="58">
    <w:p w:rsidR="00BC1B62" w:rsidRPr="007A4409" w:rsidRDefault="002D20D6" w:rsidP="00BC1B62">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Corte Constitucional, sentencias C-016 de 1993 y C-157 de 2002.</w:t>
      </w:r>
    </w:p>
  </w:footnote>
  <w:footnote w:id="59">
    <w:p w:rsidR="00BC1B62" w:rsidRPr="007A4409" w:rsidRDefault="002D20D6" w:rsidP="00BC1B62">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Corte Constitucional, sentencias C-</w:t>
      </w:r>
      <w:r w:rsidRPr="007A4409">
        <w:rPr>
          <w:color w:val="0D0D0D" w:themeColor="text1" w:themeTint="F2"/>
        </w:rPr>
        <w:t>063 de 1994, C-335 de 1994 y C-622 de 1997.</w:t>
      </w:r>
    </w:p>
  </w:footnote>
  <w:footnote w:id="60">
    <w:p w:rsidR="00BC1B62" w:rsidRPr="007A4409" w:rsidRDefault="002D20D6" w:rsidP="00BC1B62">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 xml:space="preserve">Corte Constitucional sentencias C-211 de 1992, C- 540 de 2001 y C-226 de 2002., </w:t>
      </w:r>
    </w:p>
  </w:footnote>
  <w:footnote w:id="61">
    <w:p w:rsidR="00BC1B62" w:rsidRPr="007A4409" w:rsidRDefault="002D20D6" w:rsidP="00BC1B62">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Corte Constitucional, sentencias C-320 de 1997 y C-1106 de 2000.</w:t>
      </w:r>
    </w:p>
  </w:footnote>
  <w:footnote w:id="62">
    <w:p w:rsidR="00BC1B62" w:rsidRPr="007A4409" w:rsidRDefault="002D20D6" w:rsidP="00BC1B62">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 xml:space="preserve">Corte Constitucional, sentencias C-491 de </w:t>
      </w:r>
      <w:r w:rsidRPr="007A4409">
        <w:rPr>
          <w:color w:val="0D0D0D" w:themeColor="text1" w:themeTint="F2"/>
        </w:rPr>
        <w:t>1997, C-232 de 1997 y C-366 de 2000.</w:t>
      </w:r>
    </w:p>
  </w:footnote>
  <w:footnote w:id="63">
    <w:p w:rsidR="00F12DD1" w:rsidRPr="007A4409" w:rsidRDefault="002D20D6" w:rsidP="00BC1B62">
      <w:pPr>
        <w:pStyle w:val="Textonotapie"/>
        <w:rPr>
          <w:color w:val="0D0D0D" w:themeColor="text1" w:themeTint="F2"/>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Corte Constitucional, sentencias C-788 de 2002 y C-332 de 2003.</w:t>
      </w:r>
      <w:r w:rsidRPr="007A4409">
        <w:rPr>
          <w:color w:val="0D0D0D" w:themeColor="text1" w:themeTint="F2"/>
        </w:rPr>
        <w:t xml:space="preserve"> Sobre </w:t>
      </w:r>
      <w:r w:rsidRPr="007A4409">
        <w:rPr>
          <w:color w:val="0D0D0D" w:themeColor="text1" w:themeTint="F2"/>
        </w:rPr>
        <w:t>la aplicación de este</w:t>
      </w:r>
      <w:r w:rsidRPr="007A4409">
        <w:rPr>
          <w:color w:val="0D0D0D" w:themeColor="text1" w:themeTint="F2"/>
        </w:rPr>
        <w:t xml:space="preserve"> principio, la Corte Constitucional ha sostenido </w:t>
      </w:r>
      <w:r w:rsidRPr="007A4409">
        <w:rPr>
          <w:color w:val="0D0D0D" w:themeColor="text1" w:themeTint="F2"/>
        </w:rPr>
        <w:t xml:space="preserve">que debe existir </w:t>
      </w:r>
      <w:r w:rsidRPr="007A4409">
        <w:rPr>
          <w:i/>
          <w:iCs/>
          <w:color w:val="0D0D0D" w:themeColor="text1" w:themeTint="F2"/>
        </w:rPr>
        <w:t xml:space="preserve">“un </w:t>
      </w:r>
      <w:r w:rsidRPr="007A4409">
        <w:rPr>
          <w:i/>
          <w:iCs/>
          <w:color w:val="0D0D0D" w:themeColor="text1" w:themeTint="F2"/>
          <w:lang w:val="es-ES_tradnl"/>
        </w:rPr>
        <w:t>núcleo argumentativo básico y preciso, aunque exist</w:t>
      </w:r>
      <w:r w:rsidRPr="007A4409">
        <w:rPr>
          <w:i/>
          <w:iCs/>
          <w:color w:val="0D0D0D" w:themeColor="text1" w:themeTint="F2"/>
          <w:lang w:val="es-ES_tradnl"/>
        </w:rPr>
        <w:t>an algunas reservas o inquietudes.”</w:t>
      </w:r>
      <w:r w:rsidRPr="007A4409">
        <w:rPr>
          <w:color w:val="0D0D0D" w:themeColor="text1" w:themeTint="F2"/>
          <w:lang w:val="es-ES_tradnl"/>
        </w:rPr>
        <w:t xml:space="preserve"> En palabras de esta Corporación</w:t>
      </w:r>
      <w:r w:rsidRPr="007A4409">
        <w:rPr>
          <w:i/>
          <w:iCs/>
          <w:color w:val="0D0D0D" w:themeColor="text1" w:themeTint="F2"/>
          <w:lang w:val="es-ES_tradnl"/>
        </w:rPr>
        <w:t xml:space="preserve">, “no </w:t>
      </w:r>
      <w:r w:rsidRPr="007A4409">
        <w:rPr>
          <w:color w:val="0D0D0D" w:themeColor="text1" w:themeTint="F2"/>
          <w:lang w:val="es-ES_tradnl"/>
        </w:rPr>
        <w:t>[se]</w:t>
      </w:r>
      <w:r w:rsidRPr="007A4409">
        <w:rPr>
          <w:i/>
          <w:iCs/>
          <w:color w:val="0D0D0D" w:themeColor="text1" w:themeTint="F2"/>
          <w:lang w:val="es-ES_tradnl"/>
        </w:rPr>
        <w:t xml:space="preserve"> puede llegar al extremo de suplantar al actor en la formulación de los cargos, ni de determinar por sí misma (…) el concepto de la violación de las normas que ante ella se acusan</w:t>
      </w:r>
      <w:r w:rsidRPr="007A4409">
        <w:rPr>
          <w:i/>
          <w:iCs/>
          <w:color w:val="0D0D0D" w:themeColor="text1" w:themeTint="F2"/>
          <w:lang w:val="es-ES_tradnl"/>
        </w:rPr>
        <w:t xml:space="preserve"> como infringidas, pues ésta es una carga mínima que se le impone al ciudadano para hacer uso de su derecho político a ejercer la acción de inconstitucionalidad”. </w:t>
      </w:r>
      <w:r w:rsidRPr="007A4409">
        <w:rPr>
          <w:color w:val="0D0D0D" w:themeColor="text1" w:themeTint="F2"/>
          <w:lang w:val="es-ES_tradnl"/>
        </w:rPr>
        <w:t>Ver las sentencias C-520 de 2006 y C-292 de 2019.</w:t>
      </w:r>
    </w:p>
  </w:footnote>
  <w:footnote w:id="64">
    <w:p w:rsidR="004D27D3" w:rsidRPr="007A4409" w:rsidRDefault="002D20D6">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iCs/>
          <w:color w:val="0D0D0D" w:themeColor="text1" w:themeTint="F2"/>
          <w:lang w:val="es-ES_tradnl"/>
        </w:rPr>
        <w:t xml:space="preserve">Cfr. </w:t>
      </w:r>
      <w:r w:rsidRPr="007A4409">
        <w:rPr>
          <w:color w:val="0D0D0D" w:themeColor="text1" w:themeTint="F2"/>
          <w:lang w:val="es-ES_tradnl"/>
        </w:rPr>
        <w:t>Corte Constitucional, Sentencia C-</w:t>
      </w:r>
      <w:r w:rsidRPr="007A4409">
        <w:rPr>
          <w:color w:val="0D0D0D" w:themeColor="text1" w:themeTint="F2"/>
          <w:lang w:val="es-ES_tradnl"/>
        </w:rPr>
        <w:t>292</w:t>
      </w:r>
      <w:r w:rsidRPr="007A4409">
        <w:rPr>
          <w:color w:val="0D0D0D" w:themeColor="text1" w:themeTint="F2"/>
          <w:lang w:val="es-ES_tradnl"/>
        </w:rPr>
        <w:t xml:space="preserve"> de 2019.</w:t>
      </w:r>
    </w:p>
  </w:footnote>
  <w:footnote w:id="65">
    <w:p w:rsidR="00100675" w:rsidRPr="007A4409" w:rsidRDefault="002D20D6" w:rsidP="00100675">
      <w:pPr>
        <w:pStyle w:val="Textonotapie"/>
        <w:rPr>
          <w:color w:val="0D0D0D" w:themeColor="text1" w:themeTint="F2"/>
        </w:rPr>
      </w:pPr>
      <w:r w:rsidRPr="007A4409">
        <w:rPr>
          <w:rStyle w:val="Refdenotaalpie"/>
          <w:color w:val="0D0D0D" w:themeColor="text1" w:themeTint="F2"/>
        </w:rPr>
        <w:footnoteRef/>
      </w:r>
      <w:r w:rsidRPr="007A4409">
        <w:rPr>
          <w:color w:val="0D0D0D" w:themeColor="text1" w:themeTint="F2"/>
        </w:rPr>
        <w:t xml:space="preserve"> </w:t>
      </w:r>
      <w:r w:rsidRPr="007A4409">
        <w:rPr>
          <w:i/>
          <w:iCs/>
          <w:color w:val="0D0D0D" w:themeColor="text1" w:themeTint="F2"/>
        </w:rPr>
        <w:t>Cfr</w:t>
      </w:r>
      <w:r w:rsidRPr="007A4409">
        <w:rPr>
          <w:color w:val="0D0D0D" w:themeColor="text1" w:themeTint="F2"/>
        </w:rPr>
        <w:t>. Corte Constitucional, Sentencia C-1052 de 2001.</w:t>
      </w:r>
    </w:p>
  </w:footnote>
  <w:footnote w:id="66">
    <w:p w:rsidR="00E23BCA" w:rsidRPr="007A4409" w:rsidRDefault="002D20D6" w:rsidP="00E23BCA">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Expediente digital D-16.590 contenido en </w:t>
      </w:r>
      <w:r w:rsidRPr="007A4409">
        <w:rPr>
          <w:i/>
          <w:color w:val="0D0D0D" w:themeColor="text1" w:themeTint="F2"/>
        </w:rPr>
        <w:t>Siicor,</w:t>
      </w:r>
      <w:r w:rsidRPr="007A4409">
        <w:rPr>
          <w:color w:val="0D0D0D" w:themeColor="text1" w:themeTint="F2"/>
        </w:rPr>
        <w:t xml:space="preserve"> documento denominado, “</w:t>
      </w:r>
      <w:r w:rsidRPr="007A4409">
        <w:rPr>
          <w:i/>
          <w:color w:val="0D0D0D" w:themeColor="text1" w:themeTint="F2"/>
          <w:lang w:val="pt-PT"/>
        </w:rPr>
        <w:t>D0016590-Peticiones y Otros-(2025-07-02 06-48-01).pdf</w:t>
      </w:r>
      <w:r w:rsidRPr="007A4409">
        <w:rPr>
          <w:color w:val="0D0D0D" w:themeColor="text1" w:themeTint="F2"/>
          <w:lang w:val="pt-PT"/>
        </w:rPr>
        <w:t>”, p. 13.</w:t>
      </w:r>
    </w:p>
  </w:footnote>
  <w:footnote w:id="67">
    <w:p w:rsidR="00E51DB8" w:rsidRPr="007A4409" w:rsidRDefault="002D20D6" w:rsidP="008B1603">
      <w:pPr>
        <w:pStyle w:val="Textonotapie"/>
        <w:ind w:right="49"/>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lang w:val="es-ES_tradnl"/>
        </w:rPr>
        <w:t xml:space="preserve">Cfr. </w:t>
      </w:r>
      <w:r w:rsidRPr="007A4409">
        <w:rPr>
          <w:color w:val="0D0D0D" w:themeColor="text1" w:themeTint="F2"/>
          <w:lang w:val="es-ES_tradnl"/>
        </w:rPr>
        <w:t xml:space="preserve">Corte Constitucional, </w:t>
      </w:r>
      <w:r w:rsidRPr="007A4409">
        <w:rPr>
          <w:color w:val="0D0D0D" w:themeColor="text1" w:themeTint="F2"/>
          <w:lang w:val="es-ES_tradnl"/>
        </w:rPr>
        <w:t xml:space="preserve">Sentencias C-486 de </w:t>
      </w:r>
      <w:r w:rsidRPr="007A4409">
        <w:rPr>
          <w:color w:val="0D0D0D" w:themeColor="text1" w:themeTint="F2"/>
          <w:lang w:val="es-ES_tradnl"/>
        </w:rPr>
        <w:t>1993, C-571 de 2004, C-247 de 2017, C-029 de 2020 y C</w:t>
      </w:r>
      <w:r w:rsidRPr="007A4409">
        <w:rPr>
          <w:color w:val="0D0D0D" w:themeColor="text1" w:themeTint="F2"/>
          <w:lang w:val="es-ES_tradnl"/>
        </w:rPr>
        <w:t>-315 de 2023.</w:t>
      </w:r>
      <w:r w:rsidRPr="007A4409">
        <w:rPr>
          <w:color w:val="0D0D0D" w:themeColor="text1" w:themeTint="F2"/>
          <w:lang w:val="es-ES_tradnl"/>
        </w:rPr>
        <w:t xml:space="preserve"> Esto, con fundamento en el artículo 380 de la Constitución, por medio del cual se derogó expresamente la Constitución de 1886</w:t>
      </w:r>
      <w:r w:rsidRPr="007A4409">
        <w:rPr>
          <w:color w:val="0D0D0D" w:themeColor="text1" w:themeTint="F2"/>
          <w:lang w:val="es-ES_tradnl"/>
        </w:rPr>
        <w:t xml:space="preserve"> -incluidas todas sus reformas constitucionales- más no eliminó </w:t>
      </w:r>
      <w:r w:rsidRPr="007A4409">
        <w:rPr>
          <w:color w:val="0D0D0D" w:themeColor="text1" w:themeTint="F2"/>
          <w:lang w:val="es-ES_tradnl"/>
        </w:rPr>
        <w:t>el ordenamiento jurídico legal anterior.</w:t>
      </w:r>
    </w:p>
  </w:footnote>
  <w:footnote w:id="68">
    <w:p w:rsidR="0082178E" w:rsidRPr="007A4409" w:rsidRDefault="002D20D6" w:rsidP="008B1603">
      <w:pPr>
        <w:pStyle w:val="Textonotapie"/>
        <w:ind w:right="0"/>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iCs/>
          <w:color w:val="0D0D0D" w:themeColor="text1" w:themeTint="F2"/>
          <w:lang w:val="es-ES_tradnl"/>
        </w:rPr>
        <w:t xml:space="preserve">Cfr. </w:t>
      </w:r>
      <w:r w:rsidRPr="007A4409">
        <w:rPr>
          <w:color w:val="0D0D0D" w:themeColor="text1" w:themeTint="F2"/>
          <w:lang w:val="es-ES_tradnl"/>
        </w:rPr>
        <w:t>Corte Constitucional, sentencias C-571 de 2004</w:t>
      </w:r>
      <w:r w:rsidRPr="007A4409">
        <w:rPr>
          <w:color w:val="0D0D0D" w:themeColor="text1" w:themeTint="F2"/>
          <w:lang w:val="es-ES_tradnl"/>
        </w:rPr>
        <w:t>, C-247 de 2017, C-052 de 2018, C-537 de 2019, C-029 de 2020, C-315 de 2023 y C-513 de 2024.</w:t>
      </w:r>
    </w:p>
  </w:footnote>
  <w:footnote w:id="69">
    <w:p w:rsidR="00694466" w:rsidRPr="007A4409" w:rsidRDefault="002D20D6" w:rsidP="00694466">
      <w:pPr>
        <w:pStyle w:val="Textonotapie"/>
        <w:rPr>
          <w:color w:val="0D0D0D" w:themeColor="text1" w:themeTint="F2"/>
          <w:lang w:val="pt-PT"/>
        </w:rPr>
      </w:pPr>
      <w:r w:rsidRPr="007A4409">
        <w:rPr>
          <w:rStyle w:val="Refdenotaalpie"/>
          <w:color w:val="0D0D0D" w:themeColor="text1" w:themeTint="F2"/>
        </w:rPr>
        <w:footnoteRef/>
      </w:r>
      <w:r w:rsidRPr="007A4409">
        <w:rPr>
          <w:color w:val="0D0D0D" w:themeColor="text1" w:themeTint="F2"/>
          <w:lang w:val="pt-PT"/>
        </w:rPr>
        <w:t xml:space="preserve"> </w:t>
      </w:r>
      <w:r w:rsidRPr="007A4409">
        <w:rPr>
          <w:i/>
          <w:iCs/>
          <w:color w:val="0D0D0D" w:themeColor="text1" w:themeTint="F2"/>
          <w:lang w:val="pt-PT"/>
        </w:rPr>
        <w:t xml:space="preserve">Cfr. </w:t>
      </w:r>
      <w:r w:rsidRPr="007A4409">
        <w:rPr>
          <w:color w:val="0D0D0D" w:themeColor="text1" w:themeTint="F2"/>
          <w:lang w:val="pt-PT"/>
        </w:rPr>
        <w:t xml:space="preserve">Corte Constitucional, Sentencia C-110 de 2023. </w:t>
      </w:r>
    </w:p>
  </w:footnote>
  <w:footnote w:id="70">
    <w:p w:rsidR="00694466" w:rsidRPr="007A4409" w:rsidRDefault="002D20D6" w:rsidP="00694466">
      <w:pPr>
        <w:pStyle w:val="Textonotapie"/>
        <w:rPr>
          <w:color w:val="0D0D0D" w:themeColor="text1" w:themeTint="F2"/>
        </w:rPr>
      </w:pPr>
      <w:r w:rsidRPr="007A4409">
        <w:rPr>
          <w:rStyle w:val="Refdenotaalpie"/>
          <w:color w:val="0D0D0D" w:themeColor="text1" w:themeTint="F2"/>
        </w:rPr>
        <w:footnoteRef/>
      </w:r>
      <w:r w:rsidRPr="007A4409">
        <w:rPr>
          <w:color w:val="0D0D0D" w:themeColor="text1" w:themeTint="F2"/>
        </w:rPr>
        <w:t xml:space="preserve"> </w:t>
      </w:r>
      <w:r w:rsidRPr="007A4409">
        <w:rPr>
          <w:i/>
          <w:iCs/>
          <w:color w:val="0D0D0D" w:themeColor="text1" w:themeTint="F2"/>
          <w:lang w:val="pt-PT"/>
        </w:rPr>
        <w:t>Ibidem</w:t>
      </w:r>
      <w:r w:rsidRPr="007A4409">
        <w:rPr>
          <w:color w:val="0D0D0D" w:themeColor="text1" w:themeTint="F2"/>
          <w:lang w:val="pt-PT"/>
        </w:rPr>
        <w:t>.</w:t>
      </w:r>
    </w:p>
  </w:footnote>
  <w:footnote w:id="71">
    <w:p w:rsidR="0057404F" w:rsidRPr="007A4409" w:rsidRDefault="002D20D6" w:rsidP="008B1603">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iCs/>
          <w:color w:val="0D0D0D" w:themeColor="text1" w:themeTint="F2"/>
          <w:lang w:val="es-ES_tradnl"/>
        </w:rPr>
        <w:t xml:space="preserve">Cfr. </w:t>
      </w:r>
      <w:r w:rsidRPr="007A4409">
        <w:rPr>
          <w:color w:val="0D0D0D" w:themeColor="text1" w:themeTint="F2"/>
          <w:lang w:val="es-ES_tradnl"/>
        </w:rPr>
        <w:t>Corte Constitucional, Sentencia C-315 de 2023.</w:t>
      </w:r>
    </w:p>
  </w:footnote>
  <w:footnote w:id="72">
    <w:p w:rsidR="00F91398" w:rsidRPr="007A4409" w:rsidRDefault="002D20D6" w:rsidP="00F91398">
      <w:pPr>
        <w:pStyle w:val="Textonotapie"/>
        <w:rPr>
          <w:color w:val="0D0D0D" w:themeColor="text1" w:themeTint="F2"/>
          <w:lang w:val="pt-PT"/>
        </w:rPr>
      </w:pPr>
      <w:r w:rsidRPr="007A4409">
        <w:rPr>
          <w:rStyle w:val="Refdenotaalpie"/>
          <w:color w:val="0D0D0D" w:themeColor="text1" w:themeTint="F2"/>
        </w:rPr>
        <w:footnoteRef/>
      </w:r>
      <w:r w:rsidRPr="007A4409">
        <w:rPr>
          <w:color w:val="0D0D0D" w:themeColor="text1" w:themeTint="F2"/>
          <w:lang w:val="pt-PT"/>
        </w:rPr>
        <w:t xml:space="preserve"> </w:t>
      </w:r>
      <w:r w:rsidRPr="007A4409">
        <w:rPr>
          <w:i/>
          <w:iCs/>
          <w:color w:val="0D0D0D" w:themeColor="text1" w:themeTint="F2"/>
          <w:lang w:val="pt-PT"/>
        </w:rPr>
        <w:t xml:space="preserve">Cfr. </w:t>
      </w:r>
      <w:r w:rsidRPr="007A4409">
        <w:rPr>
          <w:color w:val="0D0D0D" w:themeColor="text1" w:themeTint="F2"/>
          <w:lang w:val="pt-PT"/>
        </w:rPr>
        <w:t>Corte Constitucional, Sentencia C-103 de 2025.</w:t>
      </w:r>
    </w:p>
  </w:footnote>
  <w:footnote w:id="73">
    <w:p w:rsidR="00F91398" w:rsidRPr="007A4409" w:rsidRDefault="002D20D6" w:rsidP="00F91398">
      <w:pPr>
        <w:pStyle w:val="Textonotapie"/>
        <w:rPr>
          <w:color w:val="0D0D0D" w:themeColor="text1" w:themeTint="F2"/>
          <w:lang w:val="pt-PT"/>
        </w:rPr>
      </w:pPr>
      <w:r w:rsidRPr="007A4409">
        <w:rPr>
          <w:rStyle w:val="Refdenotaalpie"/>
          <w:color w:val="0D0D0D" w:themeColor="text1" w:themeTint="F2"/>
        </w:rPr>
        <w:footnoteRef/>
      </w:r>
      <w:r w:rsidRPr="007A4409">
        <w:rPr>
          <w:color w:val="0D0D0D" w:themeColor="text1" w:themeTint="F2"/>
          <w:lang w:val="pt-PT"/>
        </w:rPr>
        <w:t xml:space="preserve"> </w:t>
      </w:r>
      <w:r w:rsidRPr="007A4409">
        <w:rPr>
          <w:i/>
          <w:iCs/>
          <w:color w:val="0D0D0D" w:themeColor="text1" w:themeTint="F2"/>
          <w:lang w:val="pt-PT"/>
        </w:rPr>
        <w:t xml:space="preserve">Cfr. </w:t>
      </w:r>
      <w:r w:rsidRPr="007A4409">
        <w:rPr>
          <w:color w:val="0D0D0D" w:themeColor="text1" w:themeTint="F2"/>
          <w:lang w:val="pt-PT"/>
        </w:rPr>
        <w:t xml:space="preserve">Corte Constitucional, Sentencia C-052 de 2025. </w:t>
      </w:r>
    </w:p>
  </w:footnote>
  <w:footnote w:id="74">
    <w:p w:rsidR="00F91398" w:rsidRPr="007A4409" w:rsidRDefault="002D20D6" w:rsidP="00F91398">
      <w:pPr>
        <w:pStyle w:val="Textonotapie"/>
        <w:rPr>
          <w:color w:val="0D0D0D" w:themeColor="text1" w:themeTint="F2"/>
          <w:lang w:val="pt-PT"/>
        </w:rPr>
      </w:pPr>
      <w:r w:rsidRPr="007A4409">
        <w:rPr>
          <w:rStyle w:val="Refdenotaalpie"/>
          <w:color w:val="0D0D0D" w:themeColor="text1" w:themeTint="F2"/>
        </w:rPr>
        <w:footnoteRef/>
      </w:r>
      <w:r w:rsidRPr="007A4409">
        <w:rPr>
          <w:color w:val="0D0D0D" w:themeColor="text1" w:themeTint="F2"/>
          <w:lang w:val="pt-PT"/>
        </w:rPr>
        <w:t xml:space="preserve"> </w:t>
      </w:r>
      <w:r w:rsidRPr="007A4409">
        <w:rPr>
          <w:i/>
          <w:iCs/>
          <w:color w:val="0D0D0D" w:themeColor="text1" w:themeTint="F2"/>
          <w:lang w:val="pt-PT"/>
        </w:rPr>
        <w:t>Ibidem</w:t>
      </w:r>
      <w:r w:rsidRPr="007A4409">
        <w:rPr>
          <w:color w:val="0D0D0D" w:themeColor="text1" w:themeTint="F2"/>
          <w:lang w:val="pt-PT"/>
        </w:rPr>
        <w:t>.</w:t>
      </w:r>
    </w:p>
  </w:footnote>
  <w:footnote w:id="75">
    <w:p w:rsidR="00D90C38" w:rsidRPr="007A4409" w:rsidRDefault="002D20D6" w:rsidP="008B1603">
      <w:pPr>
        <w:pStyle w:val="Textonotapie"/>
        <w:ind w:right="0"/>
        <w:rPr>
          <w:i/>
          <w:iCs/>
          <w:color w:val="0D0D0D" w:themeColor="text1" w:themeTint="F2"/>
          <w:lang w:val="pt-PT"/>
        </w:rPr>
      </w:pPr>
      <w:r w:rsidRPr="007A4409">
        <w:rPr>
          <w:color w:val="0D0D0D" w:themeColor="text1" w:themeTint="F2"/>
          <w:vertAlign w:val="superscript"/>
        </w:rPr>
        <w:footnoteRef/>
      </w:r>
      <w:r w:rsidRPr="007A4409">
        <w:rPr>
          <w:color w:val="0D0D0D" w:themeColor="text1" w:themeTint="F2"/>
          <w:lang w:val="pt-PT"/>
        </w:rPr>
        <w:t xml:space="preserve"> </w:t>
      </w:r>
      <w:r w:rsidRPr="007A4409">
        <w:rPr>
          <w:i/>
          <w:color w:val="0D0D0D" w:themeColor="text1" w:themeTint="F2"/>
          <w:lang w:val="pt-PT"/>
        </w:rPr>
        <w:t xml:space="preserve">Cfr. </w:t>
      </w:r>
      <w:r w:rsidRPr="007A4409">
        <w:rPr>
          <w:color w:val="0D0D0D" w:themeColor="text1" w:themeTint="F2"/>
          <w:lang w:val="pt-PT"/>
        </w:rPr>
        <w:t>Corte Constitucional,</w:t>
      </w:r>
      <w:r w:rsidRPr="007A4409">
        <w:rPr>
          <w:color w:val="0D0D0D" w:themeColor="text1" w:themeTint="F2"/>
          <w:lang w:val="pt-PT"/>
        </w:rPr>
        <w:t xml:space="preserve"> sentencias</w:t>
      </w:r>
      <w:r w:rsidRPr="007A4409">
        <w:rPr>
          <w:color w:val="0D0D0D" w:themeColor="text1" w:themeTint="F2"/>
          <w:lang w:val="pt-PT"/>
        </w:rPr>
        <w:t xml:space="preserve"> </w:t>
      </w:r>
      <w:r w:rsidRPr="007A4409">
        <w:rPr>
          <w:color w:val="0D0D0D" w:themeColor="text1" w:themeTint="F2"/>
          <w:lang w:val="pt-PT"/>
        </w:rPr>
        <w:t xml:space="preserve">C-014 de 1993, C-571 de 2004, C-094 de 2015, C-247 de 2017, C-537 de 2019, C-029 de 2020 y </w:t>
      </w:r>
      <w:r w:rsidRPr="007A4409">
        <w:rPr>
          <w:color w:val="0D0D0D" w:themeColor="text1" w:themeTint="F2"/>
          <w:lang w:val="pt-PT"/>
        </w:rPr>
        <w:t>C-429 de 1993.</w:t>
      </w:r>
    </w:p>
  </w:footnote>
  <w:footnote w:id="76">
    <w:p w:rsidR="007301EC" w:rsidRPr="007A4409" w:rsidRDefault="002D20D6">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iCs/>
          <w:color w:val="0D0D0D" w:themeColor="text1" w:themeTint="F2"/>
        </w:rPr>
        <w:t>“Por la cual se expide la Ley de Formalización y Generación de Empleo.”</w:t>
      </w:r>
    </w:p>
  </w:footnote>
  <w:footnote w:id="77">
    <w:p w:rsidR="003C4D84" w:rsidRPr="007A4409" w:rsidRDefault="002D20D6" w:rsidP="00CE77E8">
      <w:pPr>
        <w:pStyle w:val="Textonotapie"/>
        <w:ind w:right="0"/>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El artículo 21 de la Ley 1429 de 2010 atribuyó expresamente al empleador o al Fondo la competencia para aprobar y pagar los retiros parciales de cesantías e impuso además un término perentorio de cinco días hábiles para efectuar el pago una vez cumplidos </w:t>
      </w:r>
      <w:r w:rsidRPr="007A4409">
        <w:rPr>
          <w:color w:val="0D0D0D" w:themeColor="text1" w:themeTint="F2"/>
        </w:rPr>
        <w:t>los requisitos legales.</w:t>
      </w:r>
    </w:p>
  </w:footnote>
  <w:footnote w:id="78">
    <w:p w:rsidR="00F91398" w:rsidRPr="007A4409" w:rsidRDefault="002D20D6" w:rsidP="00F91398">
      <w:pPr>
        <w:pStyle w:val="Textonotapie"/>
        <w:rPr>
          <w:color w:val="0D0D0D" w:themeColor="text1" w:themeTint="F2"/>
          <w:lang w:val="pt-PT"/>
        </w:rPr>
      </w:pPr>
      <w:r w:rsidRPr="007A4409">
        <w:rPr>
          <w:rStyle w:val="Refdenotaalpie"/>
          <w:color w:val="0D0D0D" w:themeColor="text1" w:themeTint="F2"/>
        </w:rPr>
        <w:footnoteRef/>
      </w:r>
      <w:r w:rsidRPr="007A4409">
        <w:rPr>
          <w:color w:val="0D0D0D" w:themeColor="text1" w:themeTint="F2"/>
          <w:lang w:val="pt-PT"/>
        </w:rPr>
        <w:t xml:space="preserve"> </w:t>
      </w:r>
      <w:r w:rsidRPr="007A4409">
        <w:rPr>
          <w:i/>
          <w:iCs/>
          <w:color w:val="0D0D0D" w:themeColor="text1" w:themeTint="F2"/>
          <w:lang w:val="pt-PT"/>
        </w:rPr>
        <w:t xml:space="preserve">Cfr. </w:t>
      </w:r>
      <w:r w:rsidRPr="007A4409">
        <w:rPr>
          <w:color w:val="0D0D0D" w:themeColor="text1" w:themeTint="F2"/>
          <w:lang w:val="pt-PT"/>
        </w:rPr>
        <w:t>Corte Constitucional, Sentencia C-078 de 2023.</w:t>
      </w:r>
    </w:p>
  </w:footnote>
  <w:footnote w:id="79">
    <w:p w:rsidR="00F91398" w:rsidRPr="007A4409" w:rsidRDefault="002D20D6" w:rsidP="00F91398">
      <w:pPr>
        <w:pStyle w:val="Textonotapie"/>
        <w:rPr>
          <w:color w:val="0D0D0D" w:themeColor="text1" w:themeTint="F2"/>
        </w:rPr>
      </w:pPr>
      <w:r w:rsidRPr="007A4409">
        <w:rPr>
          <w:rStyle w:val="Refdenotaalpie"/>
          <w:color w:val="0D0D0D" w:themeColor="text1" w:themeTint="F2"/>
        </w:rPr>
        <w:footnoteRef/>
      </w:r>
      <w:r w:rsidRPr="007A4409">
        <w:rPr>
          <w:i/>
          <w:iCs/>
          <w:color w:val="0D0D0D" w:themeColor="text1" w:themeTint="F2"/>
          <w:lang w:val="pt-PT"/>
        </w:rPr>
        <w:t xml:space="preserve"> Cfr. </w:t>
      </w:r>
      <w:r w:rsidRPr="007A4409">
        <w:rPr>
          <w:color w:val="0D0D0D" w:themeColor="text1" w:themeTint="F2"/>
          <w:lang w:val="pt-PT"/>
        </w:rPr>
        <w:t>Corte Constitucional, Sentencia C-212 de 2022.</w:t>
      </w:r>
    </w:p>
  </w:footnote>
  <w:footnote w:id="80">
    <w:p w:rsidR="754DF1D3" w:rsidRPr="007A4409" w:rsidRDefault="002D20D6" w:rsidP="008B1603">
      <w:pPr>
        <w:jc w:val="both"/>
        <w:rPr>
          <w:color w:val="0D0D0D" w:themeColor="text1" w:themeTint="F2"/>
          <w:sz w:val="20"/>
          <w:szCs w:val="20"/>
        </w:rPr>
      </w:pPr>
      <w:r w:rsidRPr="007A4409">
        <w:rPr>
          <w:rStyle w:val="Refdenotaalpie"/>
          <w:color w:val="0D0D0D" w:themeColor="text1" w:themeTint="F2"/>
          <w:sz w:val="20"/>
          <w:szCs w:val="20"/>
        </w:rPr>
        <w:footnoteRef/>
      </w:r>
      <w:r w:rsidRPr="007A4409">
        <w:rPr>
          <w:color w:val="0D0D0D" w:themeColor="text1" w:themeTint="F2"/>
          <w:sz w:val="20"/>
          <w:szCs w:val="20"/>
        </w:rPr>
        <w:t xml:space="preserve"> </w:t>
      </w:r>
      <w:r w:rsidRPr="007A4409">
        <w:rPr>
          <w:color w:val="0D0D0D" w:themeColor="text1" w:themeTint="F2"/>
          <w:sz w:val="20"/>
          <w:szCs w:val="20"/>
        </w:rPr>
        <w:t xml:space="preserve"> </w:t>
      </w:r>
      <w:r w:rsidRPr="007A4409">
        <w:rPr>
          <w:i/>
          <w:iCs/>
          <w:color w:val="0D0D0D" w:themeColor="text1" w:themeTint="F2"/>
          <w:sz w:val="20"/>
          <w:szCs w:val="20"/>
        </w:rPr>
        <w:t xml:space="preserve">Cfr. </w:t>
      </w:r>
      <w:r w:rsidRPr="007A4409">
        <w:rPr>
          <w:color w:val="0D0D0D" w:themeColor="text1" w:themeTint="F2"/>
          <w:sz w:val="20"/>
          <w:szCs w:val="20"/>
        </w:rPr>
        <w:t>Corte Constitucional</w:t>
      </w:r>
      <w:r w:rsidRPr="007A4409">
        <w:rPr>
          <w:color w:val="0D0D0D" w:themeColor="text1" w:themeTint="F2"/>
          <w:sz w:val="20"/>
          <w:szCs w:val="20"/>
        </w:rPr>
        <w:t xml:space="preserve">, Sentencia C-171 de 2020. </w:t>
      </w:r>
    </w:p>
  </w:footnote>
  <w:footnote w:id="81">
    <w:p w:rsidR="00E34DEC" w:rsidRPr="007A4409" w:rsidRDefault="002D20D6" w:rsidP="00CE77E8">
      <w:pPr>
        <w:pStyle w:val="Textonotapie"/>
        <w:ind w:right="0"/>
        <w:rPr>
          <w:color w:val="0D0D0D" w:themeColor="text1" w:themeTint="F2"/>
        </w:rPr>
      </w:pPr>
      <w:r w:rsidRPr="007A4409">
        <w:rPr>
          <w:rStyle w:val="Refdenotaalpie"/>
          <w:color w:val="0D0D0D" w:themeColor="text1" w:themeTint="F2"/>
        </w:rPr>
        <w:footnoteRef/>
      </w:r>
      <w:r w:rsidRPr="007A4409">
        <w:rPr>
          <w:color w:val="0D0D0D" w:themeColor="text1" w:themeTint="F2"/>
        </w:rPr>
        <w:t xml:space="preserve"> </w:t>
      </w:r>
      <w:r w:rsidRPr="007A4409">
        <w:rPr>
          <w:i/>
          <w:iCs/>
          <w:color w:val="0D0D0D" w:themeColor="text1" w:themeTint="F2"/>
        </w:rPr>
        <w:t>Cfr</w:t>
      </w:r>
      <w:r w:rsidRPr="007A4409">
        <w:rPr>
          <w:color w:val="0D0D0D" w:themeColor="text1" w:themeTint="F2"/>
        </w:rPr>
        <w:t xml:space="preserve">. Corte Constitucional, Sentencia C-408 de 2021. Es de </w:t>
      </w:r>
      <w:r w:rsidRPr="007A4409">
        <w:rPr>
          <w:color w:val="0D0D0D" w:themeColor="text1" w:themeTint="F2"/>
        </w:rPr>
        <w:t>mencionar que el artículo 53 contempla también como principios mínimos fundamentales: (i) la igualdad de oportunidades para los trabajadores; (ii) la remuneración mínima vital y móvil, proporcional a la cantidad y calidad de trabajo; (iii) la estabilidad e</w:t>
      </w:r>
      <w:r w:rsidRPr="007A4409">
        <w:rPr>
          <w:color w:val="0D0D0D" w:themeColor="text1" w:themeTint="F2"/>
        </w:rPr>
        <w:t>n el empleo; (iv) la situación más favorable al trabajador en caso de duda en la aplicación e interpretación de las fuentes formales de derecho; (v) la primacía de la realidad sobre formalidades establecidas por los sujetos de las relaciones laborales; (vi</w:t>
      </w:r>
      <w:r w:rsidRPr="007A4409">
        <w:rPr>
          <w:color w:val="0D0D0D" w:themeColor="text1" w:themeTint="F2"/>
        </w:rPr>
        <w:t xml:space="preserve">) la garantía a la seguridad social, la capacitación, el adiestramiento y el descanso necesario; y (vii) la protección especial a la mujer, a la maternidad y al trabajador menor de edad. </w:t>
      </w:r>
    </w:p>
  </w:footnote>
  <w:footnote w:id="82">
    <w:p w:rsidR="43FFA5FA" w:rsidRPr="007A4409" w:rsidRDefault="002D20D6" w:rsidP="008B1603">
      <w:pPr>
        <w:jc w:val="both"/>
        <w:rPr>
          <w:color w:val="0D0D0D" w:themeColor="text1" w:themeTint="F2"/>
          <w:sz w:val="20"/>
          <w:szCs w:val="20"/>
        </w:rPr>
      </w:pPr>
      <w:r w:rsidRPr="007A4409">
        <w:rPr>
          <w:rStyle w:val="Refdenotaalpie"/>
          <w:color w:val="0D0D0D" w:themeColor="text1" w:themeTint="F2"/>
          <w:sz w:val="20"/>
          <w:szCs w:val="20"/>
        </w:rPr>
        <w:footnoteRef/>
      </w:r>
      <w:r w:rsidRPr="007A4409">
        <w:rPr>
          <w:color w:val="0D0D0D" w:themeColor="text1" w:themeTint="F2"/>
          <w:sz w:val="20"/>
          <w:szCs w:val="20"/>
        </w:rPr>
        <w:t xml:space="preserve"> </w:t>
      </w:r>
      <w:r w:rsidRPr="007A4409">
        <w:rPr>
          <w:color w:val="0D0D0D" w:themeColor="text1" w:themeTint="F2"/>
          <w:sz w:val="20"/>
          <w:szCs w:val="20"/>
        </w:rPr>
        <w:t xml:space="preserve"> </w:t>
      </w:r>
      <w:r w:rsidRPr="007A4409">
        <w:rPr>
          <w:i/>
          <w:iCs/>
          <w:color w:val="0D0D0D" w:themeColor="text1" w:themeTint="F2"/>
          <w:sz w:val="20"/>
          <w:szCs w:val="20"/>
        </w:rPr>
        <w:t xml:space="preserve">Cfr. </w:t>
      </w:r>
      <w:r w:rsidRPr="007A4409">
        <w:rPr>
          <w:color w:val="0D0D0D" w:themeColor="text1" w:themeTint="F2"/>
          <w:sz w:val="20"/>
          <w:szCs w:val="20"/>
        </w:rPr>
        <w:t xml:space="preserve">Corte Constitucional, Sentencia C-055 de 1999, reiterada en las Sentencias C-969 de 2012.  </w:t>
      </w:r>
    </w:p>
  </w:footnote>
  <w:footnote w:id="83">
    <w:p w:rsidR="723B4C6D" w:rsidRPr="007A4409" w:rsidRDefault="002D20D6" w:rsidP="008B1603">
      <w:pPr>
        <w:pStyle w:val="Textonotapie"/>
        <w:rPr>
          <w:color w:val="0D0D0D" w:themeColor="text1" w:themeTint="F2"/>
        </w:rPr>
      </w:pPr>
      <w:r w:rsidRPr="007A4409">
        <w:rPr>
          <w:rStyle w:val="Refdenotaalpie"/>
          <w:color w:val="0D0D0D" w:themeColor="text1" w:themeTint="F2"/>
        </w:rPr>
        <w:footnoteRef/>
      </w:r>
      <w:r w:rsidRPr="007A4409">
        <w:rPr>
          <w:color w:val="0D0D0D" w:themeColor="text1" w:themeTint="F2"/>
        </w:rPr>
        <w:t xml:space="preserve"> </w:t>
      </w:r>
      <w:r w:rsidRPr="007A4409">
        <w:rPr>
          <w:i/>
          <w:iCs/>
          <w:color w:val="0D0D0D" w:themeColor="text1" w:themeTint="F2"/>
        </w:rPr>
        <w:t xml:space="preserve">Cfr. </w:t>
      </w:r>
      <w:r w:rsidRPr="007A4409">
        <w:rPr>
          <w:color w:val="0D0D0D" w:themeColor="text1" w:themeTint="F2"/>
        </w:rPr>
        <w:t xml:space="preserve">Corte Constitucional, </w:t>
      </w:r>
      <w:r w:rsidRPr="007A4409">
        <w:rPr>
          <w:color w:val="0D0D0D" w:themeColor="text1" w:themeTint="F2"/>
        </w:rPr>
        <w:t>sentencias</w:t>
      </w:r>
      <w:r w:rsidRPr="007A4409">
        <w:rPr>
          <w:color w:val="0D0D0D" w:themeColor="text1" w:themeTint="F2"/>
        </w:rPr>
        <w:t xml:space="preserve"> C-023 de 1994 y SU-111 de 2025.</w:t>
      </w:r>
    </w:p>
  </w:footnote>
  <w:footnote w:id="84">
    <w:p w:rsidR="79FA6DFB" w:rsidRPr="007A4409" w:rsidRDefault="002D20D6" w:rsidP="008B1603">
      <w:pPr>
        <w:jc w:val="both"/>
        <w:rPr>
          <w:color w:val="0D0D0D" w:themeColor="text1" w:themeTint="F2"/>
          <w:sz w:val="20"/>
          <w:szCs w:val="20"/>
        </w:rPr>
      </w:pPr>
      <w:r w:rsidRPr="007A4409">
        <w:rPr>
          <w:rStyle w:val="Refdenotaalpie"/>
          <w:color w:val="0D0D0D" w:themeColor="text1" w:themeTint="F2"/>
          <w:sz w:val="20"/>
          <w:szCs w:val="20"/>
        </w:rPr>
        <w:footnoteRef/>
      </w:r>
      <w:r w:rsidRPr="007A4409">
        <w:rPr>
          <w:color w:val="0D0D0D" w:themeColor="text1" w:themeTint="F2"/>
          <w:sz w:val="20"/>
          <w:szCs w:val="20"/>
        </w:rPr>
        <w:t xml:space="preserve"> </w:t>
      </w:r>
      <w:r w:rsidRPr="007A4409">
        <w:rPr>
          <w:i/>
          <w:iCs/>
          <w:color w:val="0D0D0D" w:themeColor="text1" w:themeTint="F2"/>
          <w:sz w:val="20"/>
          <w:szCs w:val="20"/>
        </w:rPr>
        <w:t xml:space="preserve">Cfr. </w:t>
      </w:r>
      <w:r w:rsidRPr="007A4409">
        <w:rPr>
          <w:color w:val="0D0D0D" w:themeColor="text1" w:themeTint="F2"/>
          <w:sz w:val="20"/>
          <w:szCs w:val="20"/>
        </w:rPr>
        <w:t>Corte Constitucional, Sentencia C-023 de 1994.</w:t>
      </w:r>
    </w:p>
  </w:footnote>
  <w:footnote w:id="85">
    <w:p w:rsidR="61929134" w:rsidRPr="007A4409" w:rsidRDefault="002D20D6" w:rsidP="008B1603">
      <w:pPr>
        <w:pStyle w:val="Textonotapie"/>
        <w:rPr>
          <w:i/>
          <w:iCs/>
          <w:color w:val="0D0D0D" w:themeColor="text1" w:themeTint="F2"/>
        </w:rPr>
      </w:pPr>
      <w:r w:rsidRPr="007A4409">
        <w:rPr>
          <w:rStyle w:val="Refdenotaalpie"/>
          <w:color w:val="0D0D0D" w:themeColor="text1" w:themeTint="F2"/>
        </w:rPr>
        <w:footnoteRef/>
      </w:r>
      <w:r w:rsidRPr="007A4409">
        <w:rPr>
          <w:color w:val="0D0D0D" w:themeColor="text1" w:themeTint="F2"/>
        </w:rPr>
        <w:t xml:space="preserve"> </w:t>
      </w:r>
      <w:r w:rsidRPr="007A4409">
        <w:rPr>
          <w:i/>
          <w:iCs/>
          <w:color w:val="0D0D0D" w:themeColor="text1" w:themeTint="F2"/>
        </w:rPr>
        <w:t xml:space="preserve">Cfr. </w:t>
      </w:r>
      <w:r w:rsidRPr="007A4409">
        <w:rPr>
          <w:color w:val="0D0D0D" w:themeColor="text1" w:themeTint="F2"/>
        </w:rPr>
        <w:t>Corte Constitucional, Sentencia</w:t>
      </w:r>
      <w:r w:rsidRPr="007A4409">
        <w:rPr>
          <w:color w:val="0D0D0D" w:themeColor="text1" w:themeTint="F2"/>
        </w:rPr>
        <w:t xml:space="preserve"> T-722 de 2013.</w:t>
      </w:r>
    </w:p>
  </w:footnote>
  <w:footnote w:id="86">
    <w:p w:rsidR="00B057AC" w:rsidRPr="007A4409" w:rsidRDefault="002D20D6" w:rsidP="008B1603">
      <w:pPr>
        <w:pStyle w:val="Textonotapie"/>
        <w:ind w:right="0"/>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Sala de Casación Laboral de la Corte Suprema de Justicia, Sentencia SL16925-2014 del 24 de septiembre de 2014.</w:t>
      </w:r>
    </w:p>
  </w:footnote>
  <w:footnote w:id="87">
    <w:p w:rsidR="00B057AC" w:rsidRPr="007A4409" w:rsidRDefault="002D20D6" w:rsidP="008B1603">
      <w:pPr>
        <w:pStyle w:val="Textonotapie"/>
        <w:ind w:right="0"/>
        <w:rPr>
          <w:color w:val="0D0D0D" w:themeColor="text1" w:themeTint="F2"/>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Sala de Casación Laboral de la Corte Suprema de Justicia, Sentencia SL16925-2014 del 24 de septiembre de 2014. En l</w:t>
      </w:r>
      <w:r w:rsidRPr="007A4409">
        <w:rPr>
          <w:color w:val="0D0D0D" w:themeColor="text1" w:themeTint="F2"/>
        </w:rPr>
        <w:t xml:space="preserve">a sentencia, la Sala puntualizó en la importancia de que </w:t>
      </w:r>
      <w:r w:rsidRPr="007A4409">
        <w:rPr>
          <w:i/>
          <w:color w:val="0D0D0D" w:themeColor="text1" w:themeTint="F2"/>
        </w:rPr>
        <w:t>“el fundamento filosófico del principio de la irrenunciabilidad de los beneficios mínimos no solo descanse en la constante preocupación de la sociedad por superar esa dicotomía entre libertad-subordi</w:t>
      </w:r>
      <w:r w:rsidRPr="007A4409">
        <w:rPr>
          <w:i/>
          <w:color w:val="0D0D0D" w:themeColor="text1" w:themeTint="F2"/>
        </w:rPr>
        <w:t>nación, según la cual no es posible ser totalmente libre al servicio de otro, sino también en establecer un mecanismo de salvaguarda de la persona del trabajador, procurándole unas prestaciones mínimas para su subsistencia digna -y la de su familia- y plen</w:t>
      </w:r>
      <w:r w:rsidRPr="007A4409">
        <w:rPr>
          <w:i/>
          <w:color w:val="0D0D0D" w:themeColor="text1" w:themeTint="F2"/>
        </w:rPr>
        <w:t>o desarrollo como ser humano, evitando que aún por su voluntad se prive de los derechos concedidos en su favor.”</w:t>
      </w:r>
    </w:p>
  </w:footnote>
  <w:footnote w:id="88">
    <w:p w:rsidR="006728C2" w:rsidRPr="007A4409" w:rsidRDefault="002D20D6" w:rsidP="008B1603">
      <w:pPr>
        <w:pStyle w:val="Textonotapie"/>
        <w:ind w:right="0"/>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Sala de Casación Laboral de la Corte Suprema de Justicia, Sentencia SL16925-2014 del 24 de septiembre de 2014.</w:t>
      </w:r>
    </w:p>
  </w:footnote>
  <w:footnote w:id="89">
    <w:p w:rsidR="00487417" w:rsidRPr="007A4409" w:rsidRDefault="002D20D6" w:rsidP="00487417">
      <w:pPr>
        <w:pStyle w:val="Textonotapie"/>
        <w:rPr>
          <w:color w:val="0D0D0D" w:themeColor="text1" w:themeTint="F2"/>
          <w:lang w:val="pt-PT"/>
        </w:rPr>
      </w:pPr>
      <w:r w:rsidRPr="007A4409">
        <w:rPr>
          <w:rStyle w:val="Refdenotaalpie"/>
          <w:color w:val="0D0D0D" w:themeColor="text1" w:themeTint="F2"/>
        </w:rPr>
        <w:footnoteRef/>
      </w:r>
      <w:r w:rsidRPr="007A4409">
        <w:rPr>
          <w:color w:val="0D0D0D" w:themeColor="text1" w:themeTint="F2"/>
          <w:lang w:val="pt-PT"/>
        </w:rPr>
        <w:t xml:space="preserve"> </w:t>
      </w:r>
      <w:r w:rsidRPr="007A4409">
        <w:rPr>
          <w:i/>
          <w:iCs/>
          <w:color w:val="0D0D0D" w:themeColor="text1" w:themeTint="F2"/>
          <w:lang w:val="pt-PT"/>
        </w:rPr>
        <w:t xml:space="preserve">Cfr. </w:t>
      </w:r>
      <w:r w:rsidRPr="007A4409">
        <w:rPr>
          <w:color w:val="0D0D0D" w:themeColor="text1" w:themeTint="F2"/>
          <w:lang w:val="pt-PT"/>
        </w:rPr>
        <w:t xml:space="preserve">Corte Constitucional, Sentencia T-155 de 2025. </w:t>
      </w:r>
    </w:p>
  </w:footnote>
  <w:footnote w:id="90">
    <w:p w:rsidR="00CF0C23" w:rsidRPr="007A4409" w:rsidRDefault="002D20D6" w:rsidP="008B1603">
      <w:pPr>
        <w:pStyle w:val="Textonotapie"/>
        <w:ind w:right="0"/>
        <w:rPr>
          <w:color w:val="0D0D0D" w:themeColor="text1" w:themeTint="F2"/>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lang w:val="es-ES_tradnl"/>
        </w:rPr>
        <w:t xml:space="preserve">Cfr. </w:t>
      </w:r>
      <w:r w:rsidRPr="007A4409">
        <w:rPr>
          <w:color w:val="0D0D0D" w:themeColor="text1" w:themeTint="F2"/>
          <w:lang w:val="es-ES_tradnl"/>
        </w:rPr>
        <w:t>Corte Constitucional, Sentencia C-492 de 2015.</w:t>
      </w:r>
      <w:r w:rsidRPr="007A4409">
        <w:rPr>
          <w:color w:val="0D0D0D" w:themeColor="text1" w:themeTint="F2"/>
        </w:rPr>
        <w:t xml:space="preserve"> L</w:t>
      </w:r>
      <w:r w:rsidRPr="007A4409">
        <w:rPr>
          <w:color w:val="0D0D0D" w:themeColor="text1" w:themeTint="F2"/>
        </w:rPr>
        <w:t>a jurisprudencia constitucional ha dotado de contenido y alcance el principio de irrenunciabilidad de los beneficios mínimos laborales. En las sentencias</w:t>
      </w:r>
      <w:r w:rsidRPr="007A4409">
        <w:rPr>
          <w:color w:val="0D0D0D" w:themeColor="text1" w:themeTint="F2"/>
        </w:rPr>
        <w:t xml:space="preserve"> C-070 de 2010 y C-424 de 2015, la Corte Constitucional utilizó tres criterios para analizar si determinada institución procesal garantiza el carácter irrenunciable de los derechos de los trabajadores, siendo estos: </w:t>
      </w:r>
      <w:r w:rsidRPr="007A4409">
        <w:rPr>
          <w:i/>
          <w:iCs/>
          <w:color w:val="0D0D0D" w:themeColor="text1" w:themeTint="F2"/>
        </w:rPr>
        <w:t>(i)</w:t>
      </w:r>
      <w:r w:rsidRPr="007A4409">
        <w:rPr>
          <w:color w:val="0D0D0D" w:themeColor="text1" w:themeTint="F2"/>
        </w:rPr>
        <w:t xml:space="preserve"> el carácter de mínimo irrenunciable,</w:t>
      </w:r>
      <w:r w:rsidRPr="007A4409">
        <w:rPr>
          <w:color w:val="0D0D0D" w:themeColor="text1" w:themeTint="F2"/>
        </w:rPr>
        <w:t xml:space="preserve"> en el sentido reivindicatorio de los logros alcanzados a favor del empleado; </w:t>
      </w:r>
      <w:r w:rsidRPr="007A4409">
        <w:rPr>
          <w:i/>
          <w:iCs/>
          <w:color w:val="0D0D0D" w:themeColor="text1" w:themeTint="F2"/>
        </w:rPr>
        <w:t>(ii)</w:t>
      </w:r>
      <w:r w:rsidRPr="007A4409">
        <w:rPr>
          <w:color w:val="0D0D0D" w:themeColor="text1" w:themeTint="F2"/>
        </w:rPr>
        <w:t xml:space="preserve"> el carácter tuitivo de la legislación laboral que busca la protección de la parte más débil de la relación y, </w:t>
      </w:r>
      <w:r w:rsidRPr="007A4409">
        <w:rPr>
          <w:i/>
          <w:iCs/>
          <w:color w:val="0D0D0D" w:themeColor="text1" w:themeTint="F2"/>
        </w:rPr>
        <w:t>(iii)</w:t>
      </w:r>
      <w:r w:rsidRPr="007A4409">
        <w:rPr>
          <w:color w:val="0D0D0D" w:themeColor="text1" w:themeTint="F2"/>
        </w:rPr>
        <w:t xml:space="preserve"> la facultad de reconocer beneficios mínimos no es exclusi</w:t>
      </w:r>
      <w:r w:rsidRPr="007A4409">
        <w:rPr>
          <w:color w:val="0D0D0D" w:themeColor="text1" w:themeTint="F2"/>
        </w:rPr>
        <w:t>va del grado de consulta, sino también se aplica a la doble instancia.</w:t>
      </w:r>
    </w:p>
  </w:footnote>
  <w:footnote w:id="91">
    <w:p w:rsidR="35F5D0A0" w:rsidRPr="007A4409" w:rsidRDefault="002D20D6" w:rsidP="008B1603">
      <w:pPr>
        <w:pStyle w:val="Textonotapie"/>
        <w:rPr>
          <w:color w:val="0D0D0D" w:themeColor="text1" w:themeTint="F2"/>
        </w:rPr>
      </w:pPr>
      <w:r w:rsidRPr="007A4409">
        <w:rPr>
          <w:rStyle w:val="Refdenotaalpie"/>
          <w:color w:val="0D0D0D" w:themeColor="text1" w:themeTint="F2"/>
        </w:rPr>
        <w:footnoteRef/>
      </w:r>
      <w:r w:rsidRPr="007A4409">
        <w:rPr>
          <w:color w:val="0D0D0D" w:themeColor="text1" w:themeTint="F2"/>
        </w:rPr>
        <w:t xml:space="preserve"> </w:t>
      </w:r>
      <w:r w:rsidRPr="007A4409">
        <w:rPr>
          <w:i/>
          <w:iCs/>
          <w:color w:val="0D0D0D" w:themeColor="text1" w:themeTint="F2"/>
        </w:rPr>
        <w:t xml:space="preserve">Cfr. </w:t>
      </w:r>
      <w:r w:rsidRPr="007A4409">
        <w:rPr>
          <w:color w:val="0D0D0D" w:themeColor="text1" w:themeTint="F2"/>
        </w:rPr>
        <w:t>Corte Constitucional, Sentencia C-492 de 2015.</w:t>
      </w:r>
    </w:p>
  </w:footnote>
  <w:footnote w:id="92">
    <w:p w:rsidR="005C3765" w:rsidRPr="007A4409" w:rsidRDefault="002D20D6">
      <w:pPr>
        <w:pStyle w:val="Textonotapie"/>
        <w:rPr>
          <w:color w:val="0D0D0D" w:themeColor="text1" w:themeTint="F2"/>
        </w:rPr>
      </w:pPr>
      <w:r w:rsidRPr="007A4409">
        <w:rPr>
          <w:rStyle w:val="Refdenotaalpie"/>
          <w:color w:val="0D0D0D" w:themeColor="text1" w:themeTint="F2"/>
        </w:rPr>
        <w:footnoteRef/>
      </w:r>
      <w:r w:rsidRPr="007A4409">
        <w:rPr>
          <w:color w:val="0D0D0D" w:themeColor="text1" w:themeTint="F2"/>
        </w:rPr>
        <w:t xml:space="preserve"> A nivel legal, el estatuto sustantivo del trabajo también prevé en su artículo 15 que “Es válida la transacción en los asuntos del trabajo, salvo cuando se trate de derechos ciertos e indiscutibles.”</w:t>
      </w:r>
    </w:p>
  </w:footnote>
  <w:footnote w:id="93">
    <w:p w:rsidR="008B1603" w:rsidRPr="007A4409" w:rsidRDefault="002D20D6" w:rsidP="008B1603">
      <w:pPr>
        <w:jc w:val="both"/>
        <w:rPr>
          <w:color w:val="0D0D0D" w:themeColor="text1" w:themeTint="F2"/>
          <w:sz w:val="20"/>
          <w:szCs w:val="20"/>
          <w:lang w:val="es-ES"/>
        </w:rPr>
      </w:pPr>
      <w:r w:rsidRPr="007A4409">
        <w:rPr>
          <w:rStyle w:val="Refdenotaalpie"/>
          <w:color w:val="0D0D0D" w:themeColor="text1" w:themeTint="F2"/>
          <w:sz w:val="20"/>
          <w:szCs w:val="20"/>
        </w:rPr>
        <w:footnoteRef/>
      </w:r>
      <w:r w:rsidRPr="007A4409">
        <w:rPr>
          <w:color w:val="0D0D0D" w:themeColor="text1" w:themeTint="F2"/>
          <w:sz w:val="20"/>
          <w:szCs w:val="20"/>
        </w:rPr>
        <w:t xml:space="preserve"> </w:t>
      </w:r>
      <w:r w:rsidRPr="007A4409">
        <w:rPr>
          <w:i/>
          <w:iCs/>
          <w:color w:val="0D0D0D" w:themeColor="text1" w:themeTint="F2"/>
          <w:sz w:val="20"/>
          <w:szCs w:val="20"/>
        </w:rPr>
        <w:t>Cfr</w:t>
      </w:r>
      <w:r w:rsidRPr="007A4409">
        <w:rPr>
          <w:color w:val="0D0D0D" w:themeColor="text1" w:themeTint="F2"/>
          <w:sz w:val="20"/>
          <w:szCs w:val="20"/>
        </w:rPr>
        <w:t>. Corte Suprema de Justicia, Sala de Casación Labo</w:t>
      </w:r>
      <w:r w:rsidRPr="007A4409">
        <w:rPr>
          <w:color w:val="0D0D0D" w:themeColor="text1" w:themeTint="F2"/>
          <w:sz w:val="20"/>
          <w:szCs w:val="20"/>
        </w:rPr>
        <w:t xml:space="preserve">ral. </w:t>
      </w:r>
      <w:r w:rsidRPr="007A4409">
        <w:rPr>
          <w:color w:val="0D0D0D" w:themeColor="text1" w:themeTint="F2"/>
          <w:sz w:val="20"/>
          <w:szCs w:val="20"/>
          <w:lang w:val="es-ES"/>
        </w:rPr>
        <w:t xml:space="preserve">Sentencia 32051 del 17 de </w:t>
      </w:r>
      <w:r w:rsidRPr="007A4409">
        <w:rPr>
          <w:color w:val="0D0D0D" w:themeColor="text1" w:themeTint="F2"/>
          <w:sz w:val="20"/>
          <w:szCs w:val="20"/>
        </w:rPr>
        <w:t>febrero</w:t>
      </w:r>
      <w:r w:rsidRPr="007A4409">
        <w:rPr>
          <w:color w:val="0D0D0D" w:themeColor="text1" w:themeTint="F2"/>
          <w:sz w:val="20"/>
          <w:szCs w:val="20"/>
          <w:lang w:val="es-ES"/>
        </w:rPr>
        <w:t xml:space="preserve"> de 2009</w:t>
      </w:r>
      <w:r w:rsidRPr="007A4409">
        <w:rPr>
          <w:color w:val="0D0D0D" w:themeColor="text1" w:themeTint="F2"/>
          <w:sz w:val="20"/>
          <w:szCs w:val="20"/>
        </w:rPr>
        <w:t xml:space="preserve"> y SL3071 de 2020.</w:t>
      </w:r>
    </w:p>
  </w:footnote>
  <w:footnote w:id="94">
    <w:p w:rsidR="001F075D" w:rsidRPr="007A4409" w:rsidRDefault="002D20D6" w:rsidP="001F075D">
      <w:pPr>
        <w:jc w:val="both"/>
        <w:rPr>
          <w:color w:val="0D0D0D" w:themeColor="text1" w:themeTint="F2"/>
          <w:sz w:val="20"/>
          <w:szCs w:val="20"/>
        </w:rPr>
      </w:pPr>
      <w:r w:rsidRPr="007A4409">
        <w:rPr>
          <w:rStyle w:val="Refdenotaalpie"/>
          <w:color w:val="0D0D0D" w:themeColor="text1" w:themeTint="F2"/>
          <w:sz w:val="20"/>
          <w:szCs w:val="20"/>
        </w:rPr>
        <w:footnoteRef/>
      </w:r>
      <w:r w:rsidRPr="007A4409">
        <w:rPr>
          <w:color w:val="0D0D0D" w:themeColor="text1" w:themeTint="F2"/>
          <w:sz w:val="20"/>
          <w:szCs w:val="20"/>
        </w:rPr>
        <w:t xml:space="preserve"> </w:t>
      </w:r>
      <w:r w:rsidRPr="007A4409">
        <w:rPr>
          <w:i/>
          <w:iCs/>
          <w:color w:val="0D0D0D" w:themeColor="text1" w:themeTint="F2"/>
          <w:sz w:val="20"/>
          <w:szCs w:val="20"/>
        </w:rPr>
        <w:t xml:space="preserve">Cfr. </w:t>
      </w:r>
      <w:bookmarkStart w:id="6" w:name="OLE_LINK4"/>
      <w:r w:rsidRPr="007A4409">
        <w:rPr>
          <w:color w:val="0D0D0D" w:themeColor="text1" w:themeTint="F2"/>
          <w:sz w:val="20"/>
          <w:szCs w:val="20"/>
        </w:rPr>
        <w:t xml:space="preserve">Corte Suprema de Justicia, </w:t>
      </w:r>
      <w:r w:rsidRPr="007A4409">
        <w:rPr>
          <w:color w:val="0D0D0D" w:themeColor="text1" w:themeTint="F2"/>
          <w:sz w:val="20"/>
          <w:szCs w:val="20"/>
        </w:rPr>
        <w:t xml:space="preserve">Sala de Casación Laboral, </w:t>
      </w:r>
      <w:r w:rsidRPr="007A4409">
        <w:rPr>
          <w:color w:val="0D0D0D" w:themeColor="text1" w:themeTint="F2"/>
          <w:sz w:val="20"/>
          <w:szCs w:val="20"/>
        </w:rPr>
        <w:t xml:space="preserve">Sentencia del 14 de diciembre de 2007, Rad. 29332, reiterada en las sentencias del 17 de febrero de  2009, Rad. 32051, 8 de junio </w:t>
      </w:r>
      <w:r w:rsidRPr="007A4409">
        <w:rPr>
          <w:color w:val="0D0D0D" w:themeColor="text1" w:themeTint="F2"/>
          <w:sz w:val="20"/>
          <w:szCs w:val="20"/>
        </w:rPr>
        <w:t>de 2011, Rad.  35157 y SL1185-2015, entre otras.</w:t>
      </w:r>
      <w:bookmarkEnd w:id="6"/>
    </w:p>
  </w:footnote>
  <w:footnote w:id="95">
    <w:p w:rsidR="6148CF60" w:rsidRPr="007A4409" w:rsidRDefault="002D20D6" w:rsidP="008B1603">
      <w:pPr>
        <w:jc w:val="both"/>
        <w:rPr>
          <w:color w:val="0D0D0D" w:themeColor="text1" w:themeTint="F2"/>
          <w:sz w:val="20"/>
          <w:szCs w:val="20"/>
        </w:rPr>
      </w:pPr>
      <w:r w:rsidRPr="007A4409">
        <w:rPr>
          <w:rStyle w:val="Refdenotaalpie"/>
          <w:color w:val="0D0D0D" w:themeColor="text1" w:themeTint="F2"/>
          <w:sz w:val="20"/>
          <w:szCs w:val="20"/>
        </w:rPr>
        <w:footnoteRef/>
      </w:r>
      <w:r w:rsidRPr="007A4409">
        <w:rPr>
          <w:color w:val="0D0D0D" w:themeColor="text1" w:themeTint="F2"/>
          <w:sz w:val="20"/>
          <w:szCs w:val="20"/>
        </w:rPr>
        <w:t xml:space="preserve"> En este sentido también fueron conceptualizados los derechos ciertos e indiscutibles en las Corte Constitucional, sentencias T-320 de 2012, T-087 de 2018, T-438 de 2020 y T-356 de 2022</w:t>
      </w:r>
      <w:r w:rsidRPr="007A4409">
        <w:rPr>
          <w:color w:val="0D0D0D" w:themeColor="text1" w:themeTint="F2"/>
          <w:sz w:val="20"/>
          <w:szCs w:val="20"/>
        </w:rPr>
        <w:t xml:space="preserve">, </w:t>
      </w:r>
      <w:r w:rsidRPr="007A4409">
        <w:rPr>
          <w:color w:val="0D0D0D" w:themeColor="text1" w:themeTint="F2"/>
          <w:sz w:val="20"/>
          <w:szCs w:val="20"/>
        </w:rPr>
        <w:t xml:space="preserve">entre </w:t>
      </w:r>
      <w:r w:rsidRPr="007A4409">
        <w:rPr>
          <w:color w:val="0D0D0D" w:themeColor="text1" w:themeTint="F2"/>
          <w:sz w:val="20"/>
          <w:szCs w:val="20"/>
        </w:rPr>
        <w:t>otras.</w:t>
      </w:r>
    </w:p>
  </w:footnote>
  <w:footnote w:id="96">
    <w:p w:rsidR="00E245E5" w:rsidRPr="007A4409" w:rsidRDefault="002D20D6" w:rsidP="00E245E5">
      <w:pPr>
        <w:pStyle w:val="Textonotapie"/>
        <w:rPr>
          <w:color w:val="0D0D0D" w:themeColor="text1" w:themeTint="F2"/>
          <w:lang w:val="pt-PT"/>
        </w:rPr>
      </w:pPr>
      <w:r w:rsidRPr="007A4409">
        <w:rPr>
          <w:rStyle w:val="Refdenotaalpie"/>
          <w:color w:val="0D0D0D" w:themeColor="text1" w:themeTint="F2"/>
        </w:rPr>
        <w:footnoteRef/>
      </w:r>
      <w:r w:rsidRPr="007A4409">
        <w:rPr>
          <w:color w:val="0D0D0D" w:themeColor="text1" w:themeTint="F2"/>
          <w:lang w:val="pt-PT"/>
        </w:rPr>
        <w:t xml:space="preserve"> </w:t>
      </w:r>
      <w:r w:rsidRPr="007A4409">
        <w:rPr>
          <w:i/>
          <w:color w:val="0D0D0D" w:themeColor="text1" w:themeTint="F2"/>
          <w:lang w:val="pt-PT"/>
        </w:rPr>
        <w:t>Cfr.</w:t>
      </w:r>
      <w:r w:rsidRPr="007A4409">
        <w:rPr>
          <w:i/>
          <w:color w:val="0D0D0D" w:themeColor="text1" w:themeTint="F2"/>
          <w:lang w:val="pt-PT"/>
        </w:rPr>
        <w:t xml:space="preserve"> </w:t>
      </w:r>
      <w:r w:rsidRPr="007A4409">
        <w:rPr>
          <w:color w:val="0D0D0D" w:themeColor="text1" w:themeTint="F2"/>
          <w:lang w:val="pt-PT"/>
        </w:rPr>
        <w:t>Corte Constitucional, Sentencia T-057 de 2023.</w:t>
      </w:r>
    </w:p>
  </w:footnote>
  <w:footnote w:id="97">
    <w:p w:rsidR="1FEA46C8" w:rsidRPr="007A4409" w:rsidRDefault="002D20D6" w:rsidP="008B1603">
      <w:pPr>
        <w:jc w:val="both"/>
        <w:rPr>
          <w:color w:val="0D0D0D" w:themeColor="text1" w:themeTint="F2"/>
          <w:sz w:val="20"/>
          <w:szCs w:val="20"/>
        </w:rPr>
      </w:pPr>
      <w:r w:rsidRPr="007A4409">
        <w:rPr>
          <w:rStyle w:val="Refdenotaalpie"/>
          <w:color w:val="0D0D0D" w:themeColor="text1" w:themeTint="F2"/>
          <w:sz w:val="20"/>
          <w:szCs w:val="20"/>
        </w:rPr>
        <w:footnoteRef/>
      </w:r>
      <w:r w:rsidRPr="007A4409">
        <w:rPr>
          <w:color w:val="0D0D0D" w:themeColor="text1" w:themeTint="F2"/>
          <w:sz w:val="20"/>
          <w:szCs w:val="20"/>
        </w:rPr>
        <w:t xml:space="preserve"> </w:t>
      </w:r>
      <w:r w:rsidRPr="007A4409">
        <w:rPr>
          <w:i/>
          <w:color w:val="0D0D0D" w:themeColor="text1" w:themeTint="F2"/>
          <w:sz w:val="20"/>
          <w:szCs w:val="20"/>
        </w:rPr>
        <w:t xml:space="preserve">Cfr. </w:t>
      </w:r>
      <w:r w:rsidRPr="007A4409">
        <w:rPr>
          <w:color w:val="0D0D0D" w:themeColor="text1" w:themeTint="F2"/>
          <w:sz w:val="20"/>
          <w:szCs w:val="20"/>
        </w:rPr>
        <w:t>Corte Constitucional</w:t>
      </w:r>
      <w:r w:rsidRPr="007A4409">
        <w:rPr>
          <w:color w:val="0D0D0D" w:themeColor="text1" w:themeTint="F2"/>
          <w:sz w:val="20"/>
          <w:szCs w:val="20"/>
        </w:rPr>
        <w:t xml:space="preserve">, </w:t>
      </w:r>
      <w:r w:rsidRPr="007A4409">
        <w:rPr>
          <w:color w:val="0D0D0D" w:themeColor="text1" w:themeTint="F2"/>
          <w:sz w:val="20"/>
          <w:szCs w:val="20"/>
        </w:rPr>
        <w:t xml:space="preserve">Sentencia </w:t>
      </w:r>
      <w:r w:rsidRPr="007A4409">
        <w:rPr>
          <w:color w:val="0D0D0D" w:themeColor="text1" w:themeTint="F2"/>
          <w:sz w:val="20"/>
          <w:szCs w:val="20"/>
        </w:rPr>
        <w:t>T</w:t>
      </w:r>
      <w:r w:rsidRPr="007A4409">
        <w:rPr>
          <w:color w:val="0D0D0D" w:themeColor="text1" w:themeTint="F2"/>
          <w:sz w:val="20"/>
          <w:szCs w:val="20"/>
        </w:rPr>
        <w:t>-</w:t>
      </w:r>
      <w:r w:rsidRPr="007A4409">
        <w:rPr>
          <w:color w:val="0D0D0D" w:themeColor="text1" w:themeTint="F2"/>
          <w:sz w:val="20"/>
          <w:szCs w:val="20"/>
        </w:rPr>
        <w:t>320 de 2012</w:t>
      </w:r>
      <w:r w:rsidRPr="007A4409">
        <w:rPr>
          <w:color w:val="0D0D0D" w:themeColor="text1" w:themeTint="F2"/>
          <w:sz w:val="20"/>
          <w:szCs w:val="20"/>
        </w:rPr>
        <w:t xml:space="preserve">. </w:t>
      </w:r>
    </w:p>
  </w:footnote>
  <w:footnote w:id="98">
    <w:p w:rsidR="670DCDEB" w:rsidRPr="007A4409" w:rsidRDefault="002D20D6" w:rsidP="008B1603">
      <w:pPr>
        <w:jc w:val="both"/>
        <w:rPr>
          <w:color w:val="0D0D0D" w:themeColor="text1" w:themeTint="F2"/>
          <w:sz w:val="20"/>
          <w:szCs w:val="20"/>
        </w:rPr>
      </w:pPr>
      <w:r w:rsidRPr="007A4409">
        <w:rPr>
          <w:rStyle w:val="Refdenotaalpie"/>
          <w:color w:val="0D0D0D" w:themeColor="text1" w:themeTint="F2"/>
          <w:sz w:val="20"/>
          <w:szCs w:val="20"/>
        </w:rPr>
        <w:footnoteRef/>
      </w:r>
      <w:r w:rsidRPr="007A4409">
        <w:rPr>
          <w:color w:val="0D0D0D" w:themeColor="text1" w:themeTint="F2"/>
          <w:sz w:val="20"/>
          <w:szCs w:val="20"/>
        </w:rPr>
        <w:t xml:space="preserve"> Corte Constitucional, sentencias T-320 de 2012, T-087 de 2018, T-438 de 2020, T-356 de 2022 y SU-111 de 2025, entre otras.</w:t>
      </w:r>
    </w:p>
  </w:footnote>
  <w:footnote w:id="99">
    <w:p w:rsidR="00E245E5" w:rsidRPr="007A4409" w:rsidRDefault="002D20D6" w:rsidP="00E245E5">
      <w:pPr>
        <w:pStyle w:val="Textonotapie"/>
        <w:rPr>
          <w:color w:val="0D0D0D" w:themeColor="text1" w:themeTint="F2"/>
          <w:lang w:val="es-CO"/>
        </w:rPr>
      </w:pPr>
      <w:r w:rsidRPr="007A4409">
        <w:rPr>
          <w:rStyle w:val="Refdenotaalpie"/>
          <w:color w:val="0D0D0D" w:themeColor="text1" w:themeTint="F2"/>
        </w:rPr>
        <w:footnoteRef/>
      </w:r>
      <w:r w:rsidRPr="007A4409">
        <w:rPr>
          <w:color w:val="0D0D0D" w:themeColor="text1" w:themeTint="F2"/>
          <w:lang w:val="pt-PT"/>
        </w:rPr>
        <w:t xml:space="preserve"> </w:t>
      </w:r>
      <w:r w:rsidRPr="007A4409">
        <w:rPr>
          <w:i/>
          <w:color w:val="0D0D0D" w:themeColor="text1" w:themeTint="F2"/>
          <w:lang w:val="pt-PT"/>
        </w:rPr>
        <w:t xml:space="preserve">Cfr. </w:t>
      </w:r>
      <w:r w:rsidRPr="007A4409">
        <w:rPr>
          <w:color w:val="0D0D0D" w:themeColor="text1" w:themeTint="F2"/>
          <w:lang w:val="pt-PT"/>
        </w:rPr>
        <w:t xml:space="preserve">Corte Constitucional, Sentencia T-040 de 2018. </w:t>
      </w:r>
      <w:r w:rsidRPr="007A4409">
        <w:rPr>
          <w:color w:val="0D0D0D" w:themeColor="text1" w:themeTint="F2"/>
          <w:lang w:val="es-CO"/>
        </w:rPr>
        <w:t>Este concepto se reiteró en la Sentencia T-057 de 2023.</w:t>
      </w:r>
    </w:p>
  </w:footnote>
  <w:footnote w:id="100">
    <w:p w:rsidR="008F1C15" w:rsidRPr="007A4409" w:rsidRDefault="002D20D6">
      <w:pPr>
        <w:pStyle w:val="Textonotapie"/>
        <w:rPr>
          <w:color w:val="0D0D0D" w:themeColor="text1" w:themeTint="F2"/>
        </w:rPr>
      </w:pPr>
      <w:r w:rsidRPr="007A4409">
        <w:rPr>
          <w:rStyle w:val="Refdenotaalpie"/>
          <w:color w:val="0D0D0D" w:themeColor="text1" w:themeTint="F2"/>
        </w:rPr>
        <w:footnoteRef/>
      </w:r>
      <w:r w:rsidRPr="007A4409">
        <w:rPr>
          <w:color w:val="0D0D0D" w:themeColor="text1" w:themeTint="F2"/>
        </w:rPr>
        <w:t xml:space="preserve"> </w:t>
      </w:r>
      <w:r w:rsidRPr="007A4409">
        <w:rPr>
          <w:i/>
          <w:iCs/>
          <w:color w:val="0D0D0D" w:themeColor="text1" w:themeTint="F2"/>
        </w:rPr>
        <w:t xml:space="preserve">Cfr. </w:t>
      </w:r>
      <w:r w:rsidRPr="007A4409">
        <w:rPr>
          <w:color w:val="0D0D0D" w:themeColor="text1" w:themeTint="F2"/>
        </w:rPr>
        <w:t>Corte Constitucional, Sentencia</w:t>
      </w:r>
      <w:r w:rsidRPr="007A4409">
        <w:rPr>
          <w:color w:val="0D0D0D" w:themeColor="text1" w:themeTint="F2"/>
        </w:rPr>
        <w:t>s</w:t>
      </w:r>
      <w:r w:rsidRPr="007A4409">
        <w:rPr>
          <w:color w:val="0D0D0D" w:themeColor="text1" w:themeTint="F2"/>
        </w:rPr>
        <w:t xml:space="preserve"> SU-256 de 1996</w:t>
      </w:r>
      <w:r w:rsidRPr="007A4409">
        <w:rPr>
          <w:color w:val="0D0D0D" w:themeColor="text1" w:themeTint="F2"/>
        </w:rPr>
        <w:t xml:space="preserve"> y T-057 de 2023.</w:t>
      </w:r>
    </w:p>
  </w:footnote>
  <w:footnote w:id="101">
    <w:p w:rsidR="001E4080" w:rsidRPr="007A4409" w:rsidRDefault="002D20D6" w:rsidP="001E4080">
      <w:pPr>
        <w:pStyle w:val="Textonotapie"/>
        <w:ind w:right="0"/>
        <w:rPr>
          <w:color w:val="0D0D0D" w:themeColor="text1" w:themeTint="F2"/>
        </w:rPr>
      </w:pPr>
      <w:r w:rsidRPr="007A4409">
        <w:rPr>
          <w:rStyle w:val="Refdenotaalpie"/>
          <w:color w:val="0D0D0D" w:themeColor="text1" w:themeTint="F2"/>
        </w:rPr>
        <w:footnoteRef/>
      </w:r>
      <w:r w:rsidRPr="007A4409">
        <w:rPr>
          <w:rStyle w:val="Refdenotaalpie"/>
          <w:color w:val="0D0D0D" w:themeColor="text1" w:themeTint="F2"/>
        </w:rPr>
        <w:t xml:space="preserve"> </w:t>
      </w:r>
      <w:r w:rsidRPr="007A4409">
        <w:rPr>
          <w:color w:val="0D0D0D" w:themeColor="text1" w:themeTint="F2"/>
        </w:rPr>
        <w:t>Reiterada en la Sentencia C-222 de 2013.</w:t>
      </w:r>
    </w:p>
  </w:footnote>
  <w:footnote w:id="102">
    <w:p w:rsidR="00AC570D" w:rsidRPr="007A4409" w:rsidRDefault="002D20D6" w:rsidP="00AC570D">
      <w:pPr>
        <w:pStyle w:val="Textonotapie"/>
        <w:ind w:right="0"/>
        <w:rPr>
          <w:color w:val="0D0D0D" w:themeColor="text1" w:themeTint="F2"/>
        </w:rPr>
      </w:pPr>
      <w:r w:rsidRPr="007A4409">
        <w:rPr>
          <w:rStyle w:val="Refdenotaalpie"/>
          <w:color w:val="0D0D0D" w:themeColor="text1" w:themeTint="F2"/>
        </w:rPr>
        <w:footnoteRef/>
      </w:r>
      <w:r w:rsidRPr="007A4409">
        <w:rPr>
          <w:color w:val="0D0D0D" w:themeColor="text1" w:themeTint="F2"/>
        </w:rPr>
        <w:t xml:space="preserve"> </w:t>
      </w:r>
      <w:r w:rsidRPr="007A4409">
        <w:rPr>
          <w:i/>
          <w:iCs/>
          <w:color w:val="0D0D0D" w:themeColor="text1" w:themeTint="F2"/>
        </w:rPr>
        <w:t xml:space="preserve">Cfr. </w:t>
      </w:r>
      <w:r w:rsidRPr="007A4409">
        <w:rPr>
          <w:color w:val="0D0D0D" w:themeColor="text1" w:themeTint="F2"/>
        </w:rPr>
        <w:t>Corte Constitucional, Sentencia</w:t>
      </w:r>
      <w:r w:rsidRPr="007A4409">
        <w:rPr>
          <w:color w:val="0D0D0D" w:themeColor="text1" w:themeTint="F2"/>
        </w:rPr>
        <w:t xml:space="preserve"> T-464 de 2013. “</w:t>
      </w:r>
      <w:r w:rsidRPr="007A4409">
        <w:rPr>
          <w:i/>
          <w:iCs/>
          <w:color w:val="0D0D0D" w:themeColor="text1" w:themeTint="F2"/>
          <w:lang w:val="es-CO"/>
        </w:rPr>
        <w:t>La Corte ha desarrollado amplia jurisprudencia estructurando las características esenciales de la conciliación, a saber: i) Es un instrumento de autocomposición de un conflicto, en el que las partes involucradas, con la intervención del co</w:t>
      </w:r>
      <w:r w:rsidRPr="007A4409">
        <w:rPr>
          <w:i/>
          <w:iCs/>
          <w:color w:val="0D0D0D" w:themeColor="text1" w:themeTint="F2"/>
          <w:lang w:val="es-CO"/>
        </w:rPr>
        <w:t xml:space="preserve">nciliador y la voluntad de ellas, llegan a un acuerdo que implica el reconocimiento o la aceptación por una de ellas de los posibles derechos reclamados por la otra, o hay renuncia recíproca de las pretensiones o los intereses alegados. ii) Constituye una </w:t>
      </w:r>
      <w:r w:rsidRPr="007A4409">
        <w:rPr>
          <w:i/>
          <w:iCs/>
          <w:color w:val="0D0D0D" w:themeColor="text1" w:themeTint="F2"/>
          <w:lang w:val="es-CO"/>
        </w:rPr>
        <w:t>actividad preventiva, en la medida en que busca la solución del conflicto antes de acudir a la vía procesal o durante el trámite del proceso, en cuyo caso no se llega al resultado final normal de aquél, que es la sentencia, constituyendo así una causal ano</w:t>
      </w:r>
      <w:r w:rsidRPr="007A4409">
        <w:rPr>
          <w:i/>
          <w:iCs/>
          <w:color w:val="0D0D0D" w:themeColor="text1" w:themeTint="F2"/>
          <w:lang w:val="es-CO"/>
        </w:rPr>
        <w:t>rmal de terminación del proceso. iii) La conciliación no tiene, en estricto sentido, el carácter de actividad judicial ni da lugar a un proceso jurisdiccional, porque el conciliador (autoridad o particular) no interviene para imponer a las partes la soluci</w:t>
      </w:r>
      <w:r w:rsidRPr="007A4409">
        <w:rPr>
          <w:i/>
          <w:iCs/>
          <w:color w:val="0D0D0D" w:themeColor="text1" w:themeTint="F2"/>
          <w:lang w:val="es-CO"/>
        </w:rPr>
        <w:t xml:space="preserve">ón del conflicto en virtud de una decisión autónoma e innovadora, limitándose a presentar fórmulas para que las partes se avengan a solucionar el conflicto, y a presenciar y a registrar el acuerdo a que han llegado; el conciliador, por consiguiente, no es </w:t>
      </w:r>
      <w:r w:rsidRPr="007A4409">
        <w:rPr>
          <w:i/>
          <w:iCs/>
          <w:color w:val="0D0D0D" w:themeColor="text1" w:themeTint="F2"/>
          <w:lang w:val="es-CO"/>
        </w:rPr>
        <w:t>parte interesada en el conflicto y debe asumir y mantener una posición neutral. iv) Es un mecanismo útil para la solución de los conflictos, porque: 1) ofrece a las partes involucradas en un conflicto la posibilidad de llegar a un acuerdo, sin necesidad de</w:t>
      </w:r>
      <w:r w:rsidRPr="007A4409">
        <w:rPr>
          <w:i/>
          <w:iCs/>
          <w:color w:val="0D0D0D" w:themeColor="text1" w:themeTint="F2"/>
          <w:lang w:val="es-CO"/>
        </w:rPr>
        <w:t xml:space="preserve"> acudir al proceso judicial, que implica demora, costos para las partes y congestión para el aparato judicial; 2) constituye un mecanismo alternativo de administración de justicia, que se inspira en el criterio pacifista que debe regir la solución de los c</w:t>
      </w:r>
      <w:r w:rsidRPr="007A4409">
        <w:rPr>
          <w:i/>
          <w:iCs/>
          <w:color w:val="0D0D0D" w:themeColor="text1" w:themeTint="F2"/>
          <w:lang w:val="es-CO"/>
        </w:rPr>
        <w:t xml:space="preserve">onflictos en una sociedad; 3) es un instrumento que busca lograr la descongestión de los despachos judiciales, procurando mayor eficiencia de la administración de justicia. v) La </w:t>
      </w:r>
      <w:r w:rsidRPr="007A4409">
        <w:rPr>
          <w:i/>
          <w:color w:val="0D0D0D" w:themeColor="text1" w:themeTint="F2"/>
          <w:lang w:val="es-ES_tradnl"/>
        </w:rPr>
        <w:t>conciliación</w:t>
      </w:r>
      <w:r w:rsidRPr="007A4409">
        <w:rPr>
          <w:i/>
          <w:iCs/>
          <w:color w:val="0D0D0D" w:themeColor="text1" w:themeTint="F2"/>
          <w:lang w:val="es-CO"/>
        </w:rPr>
        <w:t xml:space="preserve"> tiene un ámbito que se extiende a todos aquellos conflictos susceptibles, en principio, de ser negociados, o en relación con personas cuya capacidad de transacción no esté limitada por el ordenamiento jurídico. Así, bien pueden señalarse casos en los cual</w:t>
      </w:r>
      <w:r w:rsidRPr="007A4409">
        <w:rPr>
          <w:i/>
          <w:iCs/>
          <w:color w:val="0D0D0D" w:themeColor="text1" w:themeTint="F2"/>
          <w:lang w:val="es-CO"/>
        </w:rPr>
        <w:t>es válidamente cabe restringir la facultad de conciliar y, naturalmente, no debe confundirse la institución de la conciliación con el contrato de transacción, de estirpe privada, que se gobierna por reglas especiales. vi) La conciliación es el resultado de</w:t>
      </w:r>
      <w:r w:rsidRPr="007A4409">
        <w:rPr>
          <w:i/>
          <w:iCs/>
          <w:color w:val="0D0D0D" w:themeColor="text1" w:themeTint="F2"/>
          <w:lang w:val="es-CO"/>
        </w:rPr>
        <w:t xml:space="preserve"> una actuación que se encuentra reglada por el legislador en varios aspectos, tales como las autoridades o sujetos competentes para intervenir en la actividad de conciliación y las facultades de las cuales disponen; las clases o tipos de conciliación admis</w:t>
      </w:r>
      <w:r w:rsidRPr="007A4409">
        <w:rPr>
          <w:i/>
          <w:iCs/>
          <w:color w:val="0D0D0D" w:themeColor="text1" w:themeTint="F2"/>
          <w:lang w:val="es-CO"/>
        </w:rPr>
        <w:t>ibles y los asuntos susceptibles de ser conciliados; las condiciones bajo las cuales se pueden presentar peticiones de conciliación; los trámites que se deben realizar; la renuencia a intentarla y las consecuencias que se derivan de ello; la audiencia de c</w:t>
      </w:r>
      <w:r w:rsidRPr="007A4409">
        <w:rPr>
          <w:i/>
          <w:iCs/>
          <w:color w:val="0D0D0D" w:themeColor="text1" w:themeTint="F2"/>
          <w:lang w:val="es-CO"/>
        </w:rPr>
        <w:t>onciliación, la formalización del acuerdo total o parcial entre las partes o la ausencia de éste; y la documentación de lo actuado.”</w:t>
      </w:r>
    </w:p>
  </w:footnote>
  <w:footnote w:id="103">
    <w:p w:rsidR="0067067E" w:rsidRPr="007A4409" w:rsidRDefault="002D20D6" w:rsidP="008B1603">
      <w:pPr>
        <w:pStyle w:val="Textonotapie"/>
        <w:ind w:right="0"/>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lang w:val="es-ES_tradnl"/>
        </w:rPr>
        <w:t xml:space="preserve">Cfr. </w:t>
      </w:r>
      <w:r w:rsidRPr="007A4409">
        <w:rPr>
          <w:color w:val="0D0D0D" w:themeColor="text1" w:themeTint="F2"/>
          <w:lang w:val="es-ES_tradnl"/>
        </w:rPr>
        <w:t xml:space="preserve">Corte Constitucional, Sentencia </w:t>
      </w:r>
      <w:r w:rsidRPr="007A4409">
        <w:rPr>
          <w:color w:val="0D0D0D" w:themeColor="text1" w:themeTint="F2"/>
          <w:lang w:val="es-ES_tradnl"/>
        </w:rPr>
        <w:t>T-320 de 2012.</w:t>
      </w:r>
      <w:r w:rsidRPr="007A4409">
        <w:rPr>
          <w:color w:val="0D0D0D" w:themeColor="text1" w:themeTint="F2"/>
          <w:lang w:val="es-ES_tradnl"/>
        </w:rPr>
        <w:t xml:space="preserve"> En sentido similar lo ha interpretado la Sala de Casación Laboral de </w:t>
      </w:r>
      <w:r w:rsidRPr="007A4409">
        <w:rPr>
          <w:color w:val="0D0D0D" w:themeColor="text1" w:themeTint="F2"/>
          <w:lang w:val="es-ES_tradnl"/>
        </w:rPr>
        <w:t xml:space="preserve">la Corte Suprema de Justicia. </w:t>
      </w:r>
      <w:r w:rsidRPr="007A4409">
        <w:rPr>
          <w:color w:val="0D0D0D" w:themeColor="text1" w:themeTint="F2"/>
          <w:lang w:val="es-ES_tradnl"/>
        </w:rPr>
        <w:t xml:space="preserve">En sentencia del 23 de agosto de 1983, la Sala de Casación Laboral explicó que </w:t>
      </w:r>
      <w:r w:rsidRPr="007A4409">
        <w:rPr>
          <w:i/>
          <w:color w:val="0D0D0D" w:themeColor="text1" w:themeTint="F2"/>
          <w:lang w:val="es-ES_tradnl"/>
        </w:rPr>
        <w:t>“[e]n el efecto laboral, lo mismo que en otros campos de la vida jurídica, el consentimiento expresado por persona capaz y libre de vicios, como el</w:t>
      </w:r>
      <w:r w:rsidRPr="007A4409">
        <w:rPr>
          <w:i/>
          <w:color w:val="0D0D0D" w:themeColor="text1" w:themeTint="F2"/>
          <w:lang w:val="es-ES_tradnl"/>
        </w:rPr>
        <w:t xml:space="preserve"> error, la fuerza o el dolo, tiene validez plena y efectos reconocidos por la ley, a menos que dentro del ámbito laboral haya renuncia de derechos concretos, claros e indiscutibles por parte del trabajador</w:t>
      </w:r>
      <w:r w:rsidRPr="007A4409">
        <w:rPr>
          <w:color w:val="0D0D0D" w:themeColor="text1" w:themeTint="F2"/>
          <w:lang w:val="es-ES_tradnl"/>
        </w:rPr>
        <w:t>”.</w:t>
      </w:r>
    </w:p>
  </w:footnote>
  <w:footnote w:id="104">
    <w:p w:rsidR="0050288A" w:rsidRPr="007A4409" w:rsidRDefault="002D20D6" w:rsidP="008B1603">
      <w:pPr>
        <w:pStyle w:val="Textonotapie"/>
        <w:ind w:right="0"/>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color w:val="0D0D0D" w:themeColor="text1" w:themeTint="F2"/>
          <w:lang w:val="es-ES_tradnl"/>
        </w:rPr>
        <w:t xml:space="preserve">De forma complementaria, el artículo 89 de la Ley 2200 de 2022 señaló que en materia de lo contencioso administrativo, </w:t>
      </w:r>
      <w:r w:rsidRPr="007A4409">
        <w:rPr>
          <w:color w:val="0D0D0D" w:themeColor="text1" w:themeTint="F2"/>
          <w:lang w:val="es-ES_tradnl"/>
        </w:rPr>
        <w:t>también solo podrán conciliarse los asuntos cuyo acuerdo no afecte derechos ciertos e indiscutibles.</w:t>
      </w:r>
      <w:r w:rsidRPr="007A4409">
        <w:rPr>
          <w:color w:val="0D0D0D" w:themeColor="text1" w:themeTint="F2"/>
          <w:lang w:val="es-ES_tradnl"/>
        </w:rPr>
        <w:t xml:space="preserve"> Ver también el numeral 2 del artículo 91 </w:t>
      </w:r>
      <w:r w:rsidRPr="007A4409">
        <w:rPr>
          <w:color w:val="0D0D0D" w:themeColor="text1" w:themeTint="F2"/>
          <w:lang w:val="es-ES_tradnl"/>
        </w:rPr>
        <w:t xml:space="preserve">y el parágrafo 1 del artículo 95 </w:t>
      </w:r>
      <w:r w:rsidRPr="007A4409">
        <w:rPr>
          <w:color w:val="0D0D0D" w:themeColor="text1" w:themeTint="F2"/>
          <w:lang w:val="es-ES_tradnl"/>
        </w:rPr>
        <w:t>de la misma ley</w:t>
      </w:r>
    </w:p>
  </w:footnote>
  <w:footnote w:id="105">
    <w:p w:rsidR="00E245E5" w:rsidRPr="007A4409" w:rsidRDefault="002D20D6" w:rsidP="00E245E5">
      <w:pPr>
        <w:pStyle w:val="Textonotapie"/>
        <w:rPr>
          <w:color w:val="0D0D0D" w:themeColor="text1" w:themeTint="F2"/>
          <w:lang w:val="pt-PT"/>
        </w:rPr>
      </w:pPr>
      <w:r w:rsidRPr="007A4409">
        <w:rPr>
          <w:rStyle w:val="Refdenotaalpie"/>
          <w:color w:val="0D0D0D" w:themeColor="text1" w:themeTint="F2"/>
        </w:rPr>
        <w:footnoteRef/>
      </w:r>
      <w:r w:rsidRPr="007A4409">
        <w:rPr>
          <w:color w:val="0D0D0D" w:themeColor="text1" w:themeTint="F2"/>
          <w:lang w:val="pt-PT"/>
        </w:rPr>
        <w:t xml:space="preserve"> </w:t>
      </w:r>
      <w:r w:rsidRPr="007A4409">
        <w:rPr>
          <w:i/>
          <w:color w:val="0D0D0D" w:themeColor="text1" w:themeTint="F2"/>
          <w:lang w:val="pt-PT"/>
        </w:rPr>
        <w:t xml:space="preserve">Cfr. </w:t>
      </w:r>
      <w:r w:rsidRPr="007A4409">
        <w:rPr>
          <w:color w:val="0D0D0D" w:themeColor="text1" w:themeTint="F2"/>
          <w:lang w:val="pt-PT"/>
        </w:rPr>
        <w:t>Corte Constitucional, Sentencia T-201 de 2025.</w:t>
      </w:r>
    </w:p>
  </w:footnote>
  <w:footnote w:id="106">
    <w:p w:rsidR="004F606B" w:rsidRPr="007A4409" w:rsidRDefault="002D20D6" w:rsidP="008B1603">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lang w:val="es-ES_tradnl"/>
        </w:rPr>
        <w:t xml:space="preserve">Cfr. </w:t>
      </w:r>
      <w:r w:rsidRPr="007A4409">
        <w:rPr>
          <w:color w:val="0D0D0D" w:themeColor="text1" w:themeTint="F2"/>
          <w:lang w:val="es-ES_tradnl"/>
        </w:rPr>
        <w:t>Sala de Casación Laboral de la Corte Suprema de Justicia, Sentencia SL10507-2014 del 6 de agosto de 2014</w:t>
      </w:r>
      <w:r w:rsidRPr="007A4409">
        <w:rPr>
          <w:color w:val="0D0D0D" w:themeColor="text1" w:themeTint="F2"/>
          <w:lang w:val="es-ES_tradnl"/>
        </w:rPr>
        <w:t>.</w:t>
      </w:r>
    </w:p>
  </w:footnote>
  <w:footnote w:id="107">
    <w:p w:rsidR="00FF496C" w:rsidRPr="007A4409" w:rsidRDefault="002D20D6" w:rsidP="008B1603">
      <w:pPr>
        <w:pStyle w:val="Textonotapie"/>
        <w:ind w:right="0"/>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color w:val="0D0D0D" w:themeColor="text1" w:themeTint="F2"/>
          <w:lang w:val="es-ES_tradnl"/>
        </w:rPr>
        <w:t xml:space="preserve">Ver el artículo 148 del Código Procesal del Trabajo, norma demandada en esta oportunidad. </w:t>
      </w:r>
      <w:r w:rsidRPr="007A4409">
        <w:rPr>
          <w:color w:val="0D0D0D" w:themeColor="text1" w:themeTint="F2"/>
          <w:lang w:val="es-ES_tradnl"/>
        </w:rPr>
        <w:t>Frente a los Inspectores del Trabajo</w:t>
      </w:r>
      <w:r w:rsidRPr="007A4409">
        <w:rPr>
          <w:color w:val="0D0D0D" w:themeColor="text1" w:themeTint="F2"/>
          <w:lang w:val="es-ES_tradnl"/>
        </w:rPr>
        <w:t xml:space="preserve">, </w:t>
      </w:r>
      <w:r w:rsidRPr="007A4409">
        <w:rPr>
          <w:color w:val="0D0D0D" w:themeColor="text1" w:themeTint="F2"/>
          <w:lang w:val="es-ES_tradnl"/>
        </w:rPr>
        <w:t xml:space="preserve">los numerales 3 y 5 del artículo 3 de la Ley 1610 de 2013 (regulación de los inspectores del trabajo y los acuerdos de formalización laboral) establecen: </w:t>
      </w:r>
      <w:r w:rsidRPr="007A4409">
        <w:rPr>
          <w:i/>
          <w:color w:val="0D0D0D" w:themeColor="text1" w:themeTint="F2"/>
          <w:lang w:val="es-ES_tradnl"/>
        </w:rPr>
        <w:t>(i)</w:t>
      </w:r>
      <w:r w:rsidRPr="007A4409">
        <w:rPr>
          <w:color w:val="0D0D0D" w:themeColor="text1" w:themeTint="F2"/>
          <w:lang w:val="es-ES_tradnl"/>
        </w:rPr>
        <w:t xml:space="preserve"> la función conciliadora de los Inspectores del Trabajo y Seguridad Social como la facultad de inte</w:t>
      </w:r>
      <w:r w:rsidRPr="007A4409">
        <w:rPr>
          <w:color w:val="0D0D0D" w:themeColor="text1" w:themeTint="F2"/>
          <w:lang w:val="es-ES_tradnl"/>
        </w:rPr>
        <w:t xml:space="preserve">rvenir en la solución de los conflictos laborales sometidos a su consideración y </w:t>
      </w:r>
      <w:r w:rsidRPr="007A4409">
        <w:rPr>
          <w:i/>
          <w:color w:val="0D0D0D" w:themeColor="text1" w:themeTint="F2"/>
          <w:lang w:val="es-ES_tradnl"/>
        </w:rPr>
        <w:t>(ii)</w:t>
      </w:r>
      <w:r w:rsidRPr="007A4409">
        <w:rPr>
          <w:color w:val="0D0D0D" w:themeColor="text1" w:themeTint="F2"/>
          <w:lang w:val="es-ES_tradnl"/>
        </w:rPr>
        <w:t xml:space="preserve"> la función de acompañamiento y servir de garante frente al cumplimiento de las normas laborales y de los subsistemas de riesgos laborales y de pensiones.</w:t>
      </w:r>
      <w:r w:rsidRPr="007A4409">
        <w:rPr>
          <w:color w:val="0D0D0D" w:themeColor="text1" w:themeTint="F2"/>
          <w:lang w:val="es-ES_tradnl"/>
        </w:rPr>
        <w:t xml:space="preserve"> Por último, el a</w:t>
      </w:r>
      <w:r w:rsidRPr="007A4409">
        <w:rPr>
          <w:color w:val="0D0D0D" w:themeColor="text1" w:themeTint="F2"/>
          <w:lang w:val="es-ES_tradnl"/>
        </w:rPr>
        <w:t>rtículo 13 de la Ley 2</w:t>
      </w:r>
      <w:r w:rsidRPr="007A4409">
        <w:rPr>
          <w:color w:val="0D0D0D" w:themeColor="text1" w:themeTint="F2"/>
          <w:lang w:val="es-ES_tradnl"/>
        </w:rPr>
        <w:t>2</w:t>
      </w:r>
      <w:r w:rsidRPr="007A4409">
        <w:rPr>
          <w:color w:val="0D0D0D" w:themeColor="text1" w:themeTint="F2"/>
          <w:lang w:val="es-ES_tradnl"/>
        </w:rPr>
        <w:t>2</w:t>
      </w:r>
      <w:r w:rsidRPr="007A4409">
        <w:rPr>
          <w:color w:val="0D0D0D" w:themeColor="text1" w:themeTint="F2"/>
          <w:lang w:val="es-ES_tradnl"/>
        </w:rPr>
        <w:t>0</w:t>
      </w:r>
      <w:r w:rsidRPr="007A4409">
        <w:rPr>
          <w:color w:val="0D0D0D" w:themeColor="text1" w:themeTint="F2"/>
          <w:lang w:val="es-ES_tradnl"/>
        </w:rPr>
        <w:t xml:space="preserve"> de 2022</w:t>
      </w:r>
      <w:r w:rsidRPr="007A4409">
        <w:rPr>
          <w:color w:val="0D0D0D" w:themeColor="text1" w:themeTint="F2"/>
          <w:lang w:val="es-ES_tradnl"/>
        </w:rPr>
        <w:t xml:space="preserve"> (Estatuto de Conciliación) dice: </w:t>
      </w:r>
      <w:r w:rsidRPr="007A4409">
        <w:rPr>
          <w:i/>
          <w:color w:val="0D0D0D" w:themeColor="text1" w:themeTint="F2"/>
          <w:lang w:val="es-ES_tradnl"/>
        </w:rPr>
        <w:t>“</w:t>
      </w:r>
      <w:r w:rsidRPr="007A4409">
        <w:rPr>
          <w:color w:val="0D0D0D" w:themeColor="text1" w:themeTint="F2"/>
          <w:lang w:val="es-ES_tradnl"/>
        </w:rPr>
        <w:t>[o]</w:t>
      </w:r>
      <w:r w:rsidRPr="007A4409">
        <w:rPr>
          <w:i/>
          <w:color w:val="0D0D0D" w:themeColor="text1" w:themeTint="F2"/>
          <w:lang w:val="es-ES_tradnl"/>
        </w:rPr>
        <w:t>peradores autorizados para conciliar extrajudicialmente en materia laboral. La conciliación extrajudicial en derecho en materia laboral podrá ser adelantada ante los jueces laborales co</w:t>
      </w:r>
      <w:r w:rsidRPr="007A4409">
        <w:rPr>
          <w:i/>
          <w:color w:val="0D0D0D" w:themeColor="text1" w:themeTint="F2"/>
          <w:lang w:val="es-ES_tradnl"/>
        </w:rPr>
        <w:t>mpetentes conforme las reglas de competencia territorial estatuidas en el Código Procesal del Trabajo y Seguridad Social o ante los inspectores de trabajo, los delegados regionales y seccionales de la Defensoría del Pueblo, y los agentes del Ministerio Púb</w:t>
      </w:r>
      <w:r w:rsidRPr="007A4409">
        <w:rPr>
          <w:i/>
          <w:color w:val="0D0D0D" w:themeColor="text1" w:themeTint="F2"/>
          <w:lang w:val="es-ES_tradnl"/>
        </w:rPr>
        <w:t>lico en materia laboral. A falta de todos los anteriores en el respectivo municipio, esta conciliación podrá ser adelantada por los personeros y por los jueces civiles o promiscuos municipales, siempre y cuando el asunto a conciliar sea de su competencia.</w:t>
      </w:r>
      <w:r w:rsidRPr="007A4409">
        <w:rPr>
          <w:i/>
          <w:color w:val="0D0D0D" w:themeColor="text1" w:themeTint="F2"/>
          <w:lang w:val="es-ES_tradnl"/>
        </w:rPr>
        <w:t>”</w:t>
      </w:r>
    </w:p>
  </w:footnote>
  <w:footnote w:id="108">
    <w:p w:rsidR="00573AD1" w:rsidRPr="007A4409" w:rsidRDefault="002D20D6" w:rsidP="00573AD1">
      <w:pPr>
        <w:pStyle w:val="Textonotapie"/>
        <w:rPr>
          <w:color w:val="0D0D0D" w:themeColor="text1" w:themeTint="F2"/>
          <w:lang w:val="pt-PT"/>
        </w:rPr>
      </w:pPr>
      <w:r w:rsidRPr="007A4409">
        <w:rPr>
          <w:rStyle w:val="Refdenotaalpie"/>
          <w:color w:val="0D0D0D" w:themeColor="text1" w:themeTint="F2"/>
        </w:rPr>
        <w:footnoteRef/>
      </w:r>
      <w:r w:rsidRPr="007A4409">
        <w:rPr>
          <w:color w:val="0D0D0D" w:themeColor="text1" w:themeTint="F2"/>
          <w:lang w:val="pt-PT"/>
        </w:rPr>
        <w:t xml:space="preserve"> </w:t>
      </w:r>
      <w:r w:rsidRPr="007A4409">
        <w:rPr>
          <w:i/>
          <w:color w:val="0D0D0D" w:themeColor="text1" w:themeTint="F2"/>
          <w:lang w:val="pt-PT"/>
        </w:rPr>
        <w:t xml:space="preserve">Cfr. </w:t>
      </w:r>
      <w:r w:rsidRPr="007A4409">
        <w:rPr>
          <w:color w:val="0D0D0D" w:themeColor="text1" w:themeTint="F2"/>
          <w:lang w:val="pt-PT"/>
        </w:rPr>
        <w:t>Corte Constitucional, Sentencia T-057 de 2023.</w:t>
      </w:r>
    </w:p>
  </w:footnote>
  <w:footnote w:id="109">
    <w:p w:rsidR="00D2707E" w:rsidRPr="007A4409" w:rsidRDefault="002D20D6">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color w:val="0D0D0D" w:themeColor="text1" w:themeTint="F2"/>
          <w:lang w:val="es-ES_tradnl"/>
        </w:rPr>
        <w:t xml:space="preserve">Concretamente, en la Sentencia SU-111 de 2025, la Corte Constitucional </w:t>
      </w:r>
    </w:p>
  </w:footnote>
  <w:footnote w:id="110">
    <w:p w:rsidR="7ABCED92" w:rsidRPr="007A4409" w:rsidRDefault="002D20D6" w:rsidP="008B1603">
      <w:pPr>
        <w:jc w:val="both"/>
        <w:rPr>
          <w:color w:val="0D0D0D" w:themeColor="text1" w:themeTint="F2"/>
          <w:sz w:val="20"/>
          <w:szCs w:val="20"/>
        </w:rPr>
      </w:pPr>
      <w:r w:rsidRPr="007A4409">
        <w:rPr>
          <w:rStyle w:val="Refdenotaalpie"/>
          <w:color w:val="0D0D0D" w:themeColor="text1" w:themeTint="F2"/>
          <w:sz w:val="20"/>
          <w:szCs w:val="20"/>
        </w:rPr>
        <w:footnoteRef/>
      </w:r>
      <w:r w:rsidRPr="007A4409">
        <w:rPr>
          <w:color w:val="0D0D0D" w:themeColor="text1" w:themeTint="F2"/>
          <w:sz w:val="20"/>
          <w:szCs w:val="20"/>
        </w:rPr>
        <w:t xml:space="preserve"> </w:t>
      </w:r>
      <w:r w:rsidRPr="007A4409">
        <w:rPr>
          <w:i/>
          <w:color w:val="0D0D0D" w:themeColor="text1" w:themeTint="F2"/>
          <w:sz w:val="20"/>
          <w:szCs w:val="20"/>
        </w:rPr>
        <w:t xml:space="preserve">Cfr. </w:t>
      </w:r>
      <w:r w:rsidRPr="007A4409">
        <w:rPr>
          <w:color w:val="0D0D0D" w:themeColor="text1" w:themeTint="F2"/>
          <w:sz w:val="20"/>
          <w:szCs w:val="20"/>
        </w:rPr>
        <w:t>Corte Constitucional, Sentencia T-662 de 2012, reiterada en la Sentencia SU-111 de 2025.</w:t>
      </w:r>
    </w:p>
  </w:footnote>
  <w:footnote w:id="111">
    <w:p w:rsidR="7ABCED92" w:rsidRPr="007A4409" w:rsidRDefault="002D20D6" w:rsidP="008B1603">
      <w:pPr>
        <w:jc w:val="both"/>
        <w:rPr>
          <w:color w:val="0D0D0D" w:themeColor="text1" w:themeTint="F2"/>
          <w:sz w:val="20"/>
          <w:szCs w:val="20"/>
        </w:rPr>
      </w:pPr>
      <w:r w:rsidRPr="007A4409">
        <w:rPr>
          <w:rStyle w:val="Refdenotaalpie"/>
          <w:color w:val="0D0D0D" w:themeColor="text1" w:themeTint="F2"/>
          <w:sz w:val="20"/>
          <w:szCs w:val="20"/>
        </w:rPr>
        <w:footnoteRef/>
      </w:r>
      <w:r w:rsidRPr="007A4409">
        <w:rPr>
          <w:color w:val="0D0D0D" w:themeColor="text1" w:themeTint="F2"/>
          <w:sz w:val="20"/>
          <w:szCs w:val="20"/>
        </w:rPr>
        <w:t xml:space="preserve"> </w:t>
      </w:r>
      <w:r w:rsidRPr="007A4409">
        <w:rPr>
          <w:i/>
          <w:color w:val="0D0D0D" w:themeColor="text1" w:themeTint="F2"/>
          <w:sz w:val="20"/>
          <w:szCs w:val="20"/>
        </w:rPr>
        <w:t>Ibidem.</w:t>
      </w:r>
    </w:p>
  </w:footnote>
  <w:footnote w:id="112">
    <w:p w:rsidR="006F405C" w:rsidRPr="007A4409" w:rsidRDefault="002D20D6">
      <w:pPr>
        <w:pStyle w:val="Textonotapie"/>
        <w:rPr>
          <w:color w:val="0D0D0D" w:themeColor="text1" w:themeTint="F2"/>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 xml:space="preserve">Corte </w:t>
      </w:r>
      <w:r w:rsidRPr="007A4409">
        <w:rPr>
          <w:color w:val="0D0D0D" w:themeColor="text1" w:themeTint="F2"/>
        </w:rPr>
        <w:t>Constitucional, Sentencia C-032 de 2021.</w:t>
      </w:r>
    </w:p>
  </w:footnote>
  <w:footnote w:id="113">
    <w:p w:rsidR="003A65D3" w:rsidRPr="007A4409" w:rsidRDefault="002D20D6" w:rsidP="003A65D3">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lang w:val="es-ES_tradnl"/>
        </w:rPr>
        <w:t xml:space="preserve">Cfr. </w:t>
      </w:r>
      <w:r w:rsidRPr="007A4409">
        <w:rPr>
          <w:color w:val="0D0D0D" w:themeColor="text1" w:themeTint="F2"/>
          <w:lang w:val="es-ES_tradnl"/>
        </w:rPr>
        <w:t>Corte Constitucional, sentencias C-113 de 1993 y C-037 de 1996.</w:t>
      </w:r>
    </w:p>
  </w:footnote>
  <w:footnote w:id="114">
    <w:p w:rsidR="003A65D3" w:rsidRPr="007A4409" w:rsidRDefault="002D20D6" w:rsidP="003A65D3">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lang w:val="es-ES_tradnl"/>
        </w:rPr>
        <w:t xml:space="preserve">Cfr. </w:t>
      </w:r>
      <w:r w:rsidRPr="007A4409">
        <w:rPr>
          <w:color w:val="0D0D0D" w:themeColor="text1" w:themeTint="F2"/>
          <w:lang w:val="es-ES_tradnl"/>
        </w:rPr>
        <w:t>Corte Constitucional, sentencias C-034 de 1993, C-690 de 1996, C-038 de 2006 y C-029 de 2021.</w:t>
      </w:r>
    </w:p>
  </w:footnote>
  <w:footnote w:id="115">
    <w:p w:rsidR="003A65D3" w:rsidRPr="007A4409" w:rsidRDefault="002D20D6" w:rsidP="003A65D3">
      <w:pPr>
        <w:pStyle w:val="Textonotapie"/>
        <w:rPr>
          <w:color w:val="0D0D0D" w:themeColor="text1" w:themeTint="F2"/>
          <w:lang w:val="es-ES_tradnl"/>
        </w:rPr>
      </w:pPr>
      <w:r w:rsidRPr="007A4409">
        <w:rPr>
          <w:rStyle w:val="Refdenotaalpie"/>
          <w:color w:val="0D0D0D" w:themeColor="text1" w:themeTint="F2"/>
        </w:rPr>
        <w:footnoteRef/>
      </w:r>
      <w:r w:rsidRPr="007A4409">
        <w:rPr>
          <w:color w:val="0D0D0D" w:themeColor="text1" w:themeTint="F2"/>
        </w:rPr>
        <w:t xml:space="preserve"> </w:t>
      </w:r>
      <w:r w:rsidRPr="007A4409">
        <w:rPr>
          <w:i/>
          <w:color w:val="0D0D0D" w:themeColor="text1" w:themeTint="F2"/>
        </w:rPr>
        <w:t xml:space="preserve">Cfr. </w:t>
      </w:r>
      <w:r w:rsidRPr="007A4409">
        <w:rPr>
          <w:color w:val="0D0D0D" w:themeColor="text1" w:themeTint="F2"/>
        </w:rPr>
        <w:t xml:space="preserve">Corte Constitucional, Sentencia </w:t>
      </w:r>
      <w:r w:rsidRPr="007A4409">
        <w:rPr>
          <w:color w:val="0D0D0D" w:themeColor="text1" w:themeTint="F2"/>
        </w:rPr>
        <w:t>C-029 de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54CBB"/>
    <w:multiLevelType w:val="multilevel"/>
    <w:tmpl w:val="040A001F"/>
    <w:styleLink w:val="111111"/>
    <w:lvl w:ilvl="0">
      <w:start w:val="1"/>
      <w:numFmt w:val="decimal"/>
      <w:lvlText w:val="%1."/>
      <w:lvlJc w:val="left"/>
      <w:pPr>
        <w:ind w:left="360" w:hanging="360"/>
      </w:pPr>
      <w:rPr>
        <w:rFonts w:ascii="Times New Roman" w:hAnsi="Times New Roman"/>
        <w:sz w:val="2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9A637D0"/>
    <w:multiLevelType w:val="hybridMultilevel"/>
    <w:tmpl w:val="E20C7110"/>
    <w:lvl w:ilvl="0" w:tplc="04EAE2C2">
      <w:start w:val="1"/>
      <w:numFmt w:val="lowerRoman"/>
      <w:lvlText w:val="(%1)"/>
      <w:lvlJc w:val="right"/>
      <w:pPr>
        <w:ind w:left="720" w:hanging="360"/>
      </w:pPr>
      <w:rPr>
        <w:rFonts w:hint="default"/>
        <w:b/>
        <w:bCs/>
        <w:i/>
        <w:i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2BC43CC5"/>
    <w:multiLevelType w:val="multilevel"/>
    <w:tmpl w:val="16EEE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D74C5F"/>
    <w:multiLevelType w:val="hybridMultilevel"/>
    <w:tmpl w:val="4830C178"/>
    <w:lvl w:ilvl="0" w:tplc="0409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575810DD"/>
    <w:multiLevelType w:val="hybridMultilevel"/>
    <w:tmpl w:val="39DE5C1A"/>
    <w:lvl w:ilvl="0" w:tplc="3F4223F8">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5D804C96"/>
    <w:multiLevelType w:val="hybridMultilevel"/>
    <w:tmpl w:val="F288F97C"/>
    <w:lvl w:ilvl="0" w:tplc="69D21EC2">
      <w:start w:val="1"/>
      <w:numFmt w:val="decimal"/>
      <w:lvlText w:val="%1."/>
      <w:lvlJc w:val="left"/>
      <w:pPr>
        <w:ind w:left="6740" w:hanging="360"/>
      </w:pPr>
      <w:rPr>
        <w:rFonts w:hint="default"/>
        <w:b/>
        <w:bCs/>
        <w:i w:val="0"/>
        <w:iCs w:val="0"/>
        <w:color w:val="000000" w:themeColor="text1"/>
        <w:sz w:val="28"/>
        <w:szCs w:val="28"/>
        <w:vertAlign w:val="baseline"/>
      </w:rPr>
    </w:lvl>
    <w:lvl w:ilvl="1" w:tplc="D570ADFE">
      <w:start w:val="1"/>
      <w:numFmt w:val="lowerLetter"/>
      <w:lvlText w:val="%2."/>
      <w:lvlJc w:val="left"/>
      <w:pPr>
        <w:ind w:left="1440" w:hanging="360"/>
      </w:pPr>
      <w:rPr>
        <w:rFonts w:ascii="Times New Roman" w:eastAsia="Times New Roman" w:hAnsi="Times New Roman" w:cs="Times New Roman"/>
        <w:b w:val="0"/>
        <w:bCs w:val="0"/>
      </w:rPr>
    </w:lvl>
    <w:lvl w:ilvl="2" w:tplc="FBDE1E18">
      <w:start w:val="1"/>
      <w:numFmt w:val="lowerRoman"/>
      <w:lvlText w:val="%3."/>
      <w:lvlJc w:val="right"/>
      <w:pPr>
        <w:ind w:left="2160" w:hanging="180"/>
      </w:pPr>
      <w:rPr>
        <w:b w:val="0"/>
        <w:bCs w:val="0"/>
      </w:rPr>
    </w:lvl>
    <w:lvl w:ilvl="3" w:tplc="3EAA83AE">
      <w:start w:val="1"/>
      <w:numFmt w:val="upperLetter"/>
      <w:lvlText w:val="%4."/>
      <w:lvlJc w:val="left"/>
      <w:pPr>
        <w:ind w:left="2880" w:hanging="360"/>
      </w:pPr>
      <w:rPr>
        <w:rFonts w:hint="default"/>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501EAC"/>
    <w:rsid w:val="002D20D6"/>
    <w:rsid w:val="00410A47"/>
    <w:rsid w:val="00501E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C0D9FB26-5962-48BD-B468-4C207F2C5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410A44"/>
    <w:pPr>
      <w:outlineLvl w:val="0"/>
    </w:pPr>
    <w:rPr>
      <w:rFonts w:eastAsiaTheme="minorHAnsi"/>
      <w:b/>
      <w:bCs/>
      <w:sz w:val="28"/>
      <w:szCs w:val="28"/>
      <w:lang w:val="es-ES"/>
    </w:rPr>
  </w:style>
  <w:style w:type="paragraph" w:styleId="Ttulo2">
    <w:name w:val="heading 2"/>
    <w:basedOn w:val="Normal"/>
    <w:next w:val="Normal"/>
    <w:link w:val="Ttulo2Car"/>
    <w:uiPriority w:val="9"/>
    <w:semiHidden/>
    <w:unhideWhenUsed/>
    <w:qFormat/>
    <w:rsid w:val="00AF54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410A44"/>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10A44"/>
    <w:rPr>
      <w:rFonts w:ascii="Times New Roman" w:hAnsi="Times New Roman" w:cs="Times New Roman"/>
      <w:b/>
      <w:bCs/>
      <w:sz w:val="28"/>
      <w:szCs w:val="28"/>
      <w:lang w:val="es-ES" w:eastAsia="es-CO"/>
    </w:rPr>
  </w:style>
  <w:style w:type="character" w:customStyle="1" w:styleId="Ttulo6Car">
    <w:name w:val="Título 6 Car"/>
    <w:basedOn w:val="Fuentedeprrafopredeter"/>
    <w:link w:val="Ttulo6"/>
    <w:uiPriority w:val="9"/>
    <w:semiHidden/>
    <w:rsid w:val="00410A44"/>
    <w:rPr>
      <w:rFonts w:asciiTheme="majorHAnsi" w:eastAsiaTheme="majorEastAsia" w:hAnsiTheme="majorHAnsi" w:cstheme="majorBidi"/>
      <w:color w:val="1F3763" w:themeColor="accent1" w:themeShade="7F"/>
      <w:lang w:eastAsia="es-MX"/>
    </w:rPr>
  </w:style>
  <w:style w:type="paragraph" w:styleId="Textonotapie">
    <w:name w:val="footnote text"/>
    <w:aliases w:val="Ref. de nota al pie1,Texto de nota al pie,referencia nota al pie,Footnotes refss,Ref. de nota al pie 2,Fago Fußnotenzeichen,Appel note de bas de page,Footnote number,BVI fnr,f,texto de nota al pie Car1,Pie de Página,FC,FA Fu,Nota a pie,Ca"/>
    <w:basedOn w:val="Normal"/>
    <w:link w:val="TextonotapieCar"/>
    <w:uiPriority w:val="99"/>
    <w:unhideWhenUsed/>
    <w:qFormat/>
    <w:rsid w:val="00760550"/>
    <w:pPr>
      <w:ind w:right="-284"/>
      <w:jc w:val="both"/>
    </w:pPr>
    <w:rPr>
      <w:rFonts w:eastAsiaTheme="minorHAnsi"/>
      <w:sz w:val="20"/>
      <w:szCs w:val="20"/>
      <w:lang w:val="es-ES" w:eastAsia="en-US"/>
    </w:rPr>
  </w:style>
  <w:style w:type="character" w:customStyle="1" w:styleId="TextonotapieCar">
    <w:name w:val="Texto nota pie Car"/>
    <w:aliases w:val="Ref. de nota al pie1 Car,Texto de nota al pie Car,referencia nota al pie Car,Footnotes refss Car,Ref. de nota al pie 2 Car,Fago Fußnotenzeichen Car,Appel note de bas de page Car,Footnote number Car,BVI fnr Car,f Car,Pie de Página Car"/>
    <w:basedOn w:val="Fuentedeprrafopredeter"/>
    <w:link w:val="Textonotapie"/>
    <w:uiPriority w:val="99"/>
    <w:qFormat/>
    <w:rsid w:val="00760550"/>
    <w:rPr>
      <w:rFonts w:ascii="Times New Roman" w:hAnsi="Times New Roman" w:cs="Times New Roman"/>
      <w:sz w:val="20"/>
      <w:szCs w:val="20"/>
      <w:lang w:val="es-ES"/>
    </w:rPr>
  </w:style>
  <w:style w:type="character" w:styleId="Nmerodepgina">
    <w:name w:val="page number"/>
    <w:basedOn w:val="Fuentedeprrafopredeter"/>
    <w:uiPriority w:val="99"/>
    <w:semiHidden/>
    <w:unhideWhenUsed/>
    <w:rsid w:val="00D2237F"/>
  </w:style>
  <w:style w:type="character" w:styleId="Refdenotaalpie">
    <w:name w:val="footnote reference"/>
    <w:basedOn w:val="Fuentedeprrafopredeter"/>
    <w:uiPriority w:val="99"/>
    <w:unhideWhenUsed/>
    <w:qFormat/>
    <w:rsid w:val="009928DE"/>
    <w:rPr>
      <w:rFonts w:ascii="Times New Roman" w:hAnsi="Times New Roman"/>
      <w:vertAlign w:val="superscript"/>
    </w:rPr>
  </w:style>
  <w:style w:type="paragraph" w:styleId="NormalWeb">
    <w:name w:val="Normal (Web)"/>
    <w:basedOn w:val="Normal"/>
    <w:uiPriority w:val="99"/>
    <w:unhideWhenUsed/>
    <w:rsid w:val="00410A44"/>
    <w:rPr>
      <w:rFonts w:eastAsiaTheme="minorHAnsi"/>
      <w:sz w:val="20"/>
      <w:szCs w:val="20"/>
      <w:lang w:val="es-ES" w:eastAsia="en-US"/>
    </w:rPr>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F"/>
    <w:basedOn w:val="Normal"/>
    <w:link w:val="PrrafodelistaCar"/>
    <w:uiPriority w:val="34"/>
    <w:qFormat/>
    <w:rsid w:val="009928DE"/>
    <w:pPr>
      <w:ind w:left="720"/>
      <w:contextualSpacing/>
    </w:pPr>
    <w:rPr>
      <w:rFonts w:eastAsiaTheme="minorHAnsi"/>
      <w:sz w:val="20"/>
      <w:szCs w:val="20"/>
      <w:lang w:val="es-ES" w:eastAsia="en-US"/>
    </w:r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qFormat/>
    <w:locked/>
    <w:rsid w:val="009928DE"/>
    <w:rPr>
      <w:rFonts w:ascii="Times New Roman" w:hAnsi="Times New Roman" w:cs="Times New Roman"/>
      <w:sz w:val="20"/>
      <w:szCs w:val="20"/>
      <w:lang w:val="es-ES"/>
    </w:rPr>
  </w:style>
  <w:style w:type="table" w:styleId="Tablaconcuadrcula">
    <w:name w:val="Table Grid"/>
    <w:basedOn w:val="Tablanormal"/>
    <w:uiPriority w:val="39"/>
    <w:rsid w:val="00410A44"/>
    <w:rPr>
      <w:rFonts w:ascii="Calibri" w:eastAsia="Times New Roman" w:hAnsi="Calibri" w:cs="Calibri"/>
      <w:bCs/>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10A44"/>
    <w:pPr>
      <w:tabs>
        <w:tab w:val="center" w:pos="4419"/>
        <w:tab w:val="right" w:pos="8838"/>
      </w:tabs>
    </w:pPr>
    <w:rPr>
      <w:rFonts w:eastAsiaTheme="minorHAnsi"/>
      <w:sz w:val="20"/>
      <w:szCs w:val="20"/>
      <w:lang w:val="es-ES" w:eastAsia="en-US"/>
    </w:rPr>
  </w:style>
  <w:style w:type="character" w:customStyle="1" w:styleId="EncabezadoCar">
    <w:name w:val="Encabezado Car"/>
    <w:basedOn w:val="Fuentedeprrafopredeter"/>
    <w:link w:val="Encabezado"/>
    <w:uiPriority w:val="99"/>
    <w:rsid w:val="00410A44"/>
    <w:rPr>
      <w:rFonts w:ascii="Times New Roman" w:hAnsi="Times New Roman" w:cs="Times New Roman"/>
      <w:sz w:val="20"/>
      <w:szCs w:val="20"/>
      <w:lang w:val="es-ES"/>
    </w:rPr>
  </w:style>
  <w:style w:type="paragraph" w:customStyle="1" w:styleId="paragraph">
    <w:name w:val="paragraph"/>
    <w:basedOn w:val="Normal"/>
    <w:rsid w:val="00410A44"/>
    <w:pPr>
      <w:spacing w:before="100" w:beforeAutospacing="1" w:after="100" w:afterAutospacing="1"/>
    </w:pPr>
    <w:rPr>
      <w:rFonts w:eastAsiaTheme="minorHAnsi"/>
      <w:sz w:val="20"/>
      <w:szCs w:val="20"/>
      <w:lang w:val="es-ES"/>
    </w:rPr>
  </w:style>
  <w:style w:type="paragraph" w:styleId="Textoindependiente">
    <w:name w:val="Body Text"/>
    <w:basedOn w:val="Normal"/>
    <w:link w:val="TextoindependienteCar"/>
    <w:uiPriority w:val="99"/>
    <w:unhideWhenUsed/>
    <w:rsid w:val="00410A44"/>
    <w:pPr>
      <w:spacing w:after="120"/>
    </w:pPr>
    <w:rPr>
      <w:rFonts w:eastAsiaTheme="minorHAnsi"/>
      <w:sz w:val="20"/>
      <w:szCs w:val="20"/>
      <w:lang w:val="es-ES" w:eastAsia="en-US"/>
    </w:rPr>
  </w:style>
  <w:style w:type="character" w:customStyle="1" w:styleId="TextoindependienteCar">
    <w:name w:val="Texto independiente Car"/>
    <w:basedOn w:val="Fuentedeprrafopredeter"/>
    <w:link w:val="Textoindependiente"/>
    <w:uiPriority w:val="99"/>
    <w:rsid w:val="00410A44"/>
    <w:rPr>
      <w:rFonts w:ascii="Times New Roman" w:hAnsi="Times New Roman" w:cs="Times New Roman"/>
      <w:sz w:val="20"/>
      <w:szCs w:val="20"/>
      <w:lang w:val="es-ES"/>
    </w:rPr>
  </w:style>
  <w:style w:type="paragraph" w:customStyle="1" w:styleId="Style7">
    <w:name w:val="Style7"/>
    <w:basedOn w:val="Normal"/>
    <w:uiPriority w:val="99"/>
    <w:rsid w:val="00410A44"/>
    <w:pPr>
      <w:widowControl w:val="0"/>
      <w:autoSpaceDE w:val="0"/>
      <w:autoSpaceDN w:val="0"/>
      <w:adjustRightInd w:val="0"/>
      <w:spacing w:line="324" w:lineRule="exact"/>
      <w:jc w:val="both"/>
    </w:pPr>
    <w:rPr>
      <w:sz w:val="28"/>
      <w:lang w:val="es-ES"/>
    </w:rPr>
  </w:style>
  <w:style w:type="paragraph" w:customStyle="1" w:styleId="p1">
    <w:name w:val="p1"/>
    <w:basedOn w:val="Normal"/>
    <w:rsid w:val="00410A44"/>
    <w:rPr>
      <w:rFonts w:ascii="Arial" w:hAnsi="Arial" w:cs="Arial"/>
      <w:color w:val="000000"/>
      <w:sz w:val="18"/>
      <w:szCs w:val="18"/>
    </w:rPr>
  </w:style>
  <w:style w:type="character" w:styleId="Hipervnculo">
    <w:name w:val="Hyperlink"/>
    <w:basedOn w:val="Fuentedeprrafopredeter"/>
    <w:uiPriority w:val="99"/>
    <w:semiHidden/>
    <w:unhideWhenUsed/>
    <w:rsid w:val="00410A44"/>
    <w:rPr>
      <w:color w:val="0000FF"/>
      <w:u w:val="single"/>
    </w:rPr>
  </w:style>
  <w:style w:type="character" w:styleId="Refdecomentario">
    <w:name w:val="annotation reference"/>
    <w:basedOn w:val="Fuentedeprrafopredeter"/>
    <w:uiPriority w:val="99"/>
    <w:semiHidden/>
    <w:unhideWhenUsed/>
    <w:rsid w:val="000B3F2F"/>
    <w:rPr>
      <w:sz w:val="16"/>
      <w:szCs w:val="16"/>
    </w:rPr>
  </w:style>
  <w:style w:type="character" w:customStyle="1" w:styleId="CommentReference1">
    <w:name w:val="Comment Reference1"/>
    <w:basedOn w:val="Fuentedeprrafopredeter"/>
    <w:uiPriority w:val="99"/>
    <w:semiHidden/>
    <w:unhideWhenUsed/>
    <w:rsid w:val="00E0772B"/>
    <w:rPr>
      <w:sz w:val="16"/>
      <w:szCs w:val="16"/>
    </w:rPr>
  </w:style>
  <w:style w:type="character" w:styleId="Textoennegrita">
    <w:name w:val="Strong"/>
    <w:basedOn w:val="Fuentedeprrafopredeter"/>
    <w:uiPriority w:val="22"/>
    <w:qFormat/>
    <w:rsid w:val="00410A44"/>
    <w:rPr>
      <w:b/>
      <w:bCs/>
    </w:rPr>
  </w:style>
  <w:style w:type="character" w:styleId="nfasis">
    <w:name w:val="Emphasis"/>
    <w:basedOn w:val="Fuentedeprrafopredeter"/>
    <w:uiPriority w:val="20"/>
    <w:qFormat/>
    <w:rsid w:val="00410A44"/>
    <w:rPr>
      <w:i/>
      <w:iCs/>
    </w:rPr>
  </w:style>
  <w:style w:type="paragraph" w:customStyle="1" w:styleId="pa25">
    <w:name w:val="pa25"/>
    <w:basedOn w:val="Normal"/>
    <w:rsid w:val="00410A44"/>
    <w:pPr>
      <w:spacing w:before="100" w:beforeAutospacing="1" w:after="100" w:afterAutospacing="1"/>
    </w:pPr>
  </w:style>
  <w:style w:type="paragraph" w:customStyle="1" w:styleId="centrado">
    <w:name w:val="centrado"/>
    <w:basedOn w:val="Normal"/>
    <w:rsid w:val="00410A44"/>
    <w:pPr>
      <w:spacing w:before="100" w:beforeAutospacing="1" w:after="100" w:afterAutospacing="1"/>
    </w:pPr>
  </w:style>
  <w:style w:type="character" w:customStyle="1" w:styleId="Textoindependiente2Car">
    <w:name w:val="Texto independiente 2 Car"/>
    <w:basedOn w:val="Fuentedeprrafopredeter"/>
    <w:link w:val="Textoindependiente2"/>
    <w:uiPriority w:val="99"/>
    <w:semiHidden/>
    <w:rsid w:val="00410A44"/>
    <w:rPr>
      <w:rFonts w:ascii="Times New Roman" w:eastAsia="Times New Roman" w:hAnsi="Times New Roman" w:cs="Times New Roman"/>
      <w:lang w:eastAsia="es-MX"/>
    </w:rPr>
  </w:style>
  <w:style w:type="paragraph" w:styleId="Textoindependiente2">
    <w:name w:val="Body Text 2"/>
    <w:basedOn w:val="Normal"/>
    <w:link w:val="Textoindependiente2Car"/>
    <w:uiPriority w:val="99"/>
    <w:semiHidden/>
    <w:unhideWhenUsed/>
    <w:rsid w:val="00410A44"/>
    <w:pPr>
      <w:spacing w:after="120" w:line="480" w:lineRule="auto"/>
    </w:pPr>
  </w:style>
  <w:style w:type="paragraph" w:styleId="Textocomentario">
    <w:name w:val="annotation text"/>
    <w:basedOn w:val="Normal"/>
    <w:link w:val="TextocomentarioCar"/>
    <w:uiPriority w:val="99"/>
    <w:semiHidden/>
    <w:unhideWhenUsed/>
    <w:rsid w:val="000B3F2F"/>
    <w:rPr>
      <w:sz w:val="20"/>
      <w:szCs w:val="20"/>
    </w:rPr>
  </w:style>
  <w:style w:type="character" w:customStyle="1" w:styleId="TextocomentarioCar">
    <w:name w:val="Texto comentario Car"/>
    <w:basedOn w:val="Fuentedeprrafopredeter"/>
    <w:link w:val="Textocomentario"/>
    <w:uiPriority w:val="99"/>
    <w:semiHidden/>
    <w:rsid w:val="000B3F2F"/>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0B3F2F"/>
    <w:rPr>
      <w:b/>
      <w:bCs/>
    </w:rPr>
  </w:style>
  <w:style w:type="paragraph" w:styleId="Revisin">
    <w:name w:val="Revision"/>
    <w:hidden/>
    <w:uiPriority w:val="99"/>
    <w:semiHidden/>
    <w:rsid w:val="00E14EA8"/>
    <w:rPr>
      <w:rFonts w:ascii="Times New Roman" w:eastAsia="Times New Roman" w:hAnsi="Times New Roman" w:cs="Times New Roman"/>
      <w:lang w:eastAsia="es-MX"/>
    </w:rPr>
  </w:style>
  <w:style w:type="numbering" w:styleId="111111">
    <w:name w:val="Outline List 2"/>
    <w:basedOn w:val="Sinlista"/>
    <w:uiPriority w:val="99"/>
    <w:semiHidden/>
    <w:unhideWhenUsed/>
    <w:rsid w:val="00AA74A0"/>
    <w:pPr>
      <w:numPr>
        <w:numId w:val="1"/>
      </w:numPr>
    </w:pPr>
  </w:style>
  <w:style w:type="character" w:styleId="Hipervnculovisitado">
    <w:name w:val="FollowedHyperlink"/>
    <w:basedOn w:val="Fuentedeprrafopredeter"/>
    <w:uiPriority w:val="99"/>
    <w:semiHidden/>
    <w:unhideWhenUsed/>
    <w:rsid w:val="002F2C18"/>
    <w:rPr>
      <w:color w:val="954F72" w:themeColor="followedHyperlink"/>
      <w:u w:val="single"/>
    </w:rPr>
  </w:style>
  <w:style w:type="character" w:customStyle="1" w:styleId="Ttulo2Car">
    <w:name w:val="Título 2 Car"/>
    <w:basedOn w:val="Fuentedeprrafopredeter"/>
    <w:link w:val="Ttulo2"/>
    <w:uiPriority w:val="9"/>
    <w:rsid w:val="00AF545E"/>
    <w:rPr>
      <w:rFonts w:asciiTheme="majorHAnsi" w:eastAsiaTheme="majorEastAsia" w:hAnsiTheme="majorHAnsi" w:cstheme="majorBidi"/>
      <w:color w:val="2F5496" w:themeColor="accent1" w:themeShade="BF"/>
      <w:sz w:val="26"/>
      <w:szCs w:val="26"/>
      <w:lang w:eastAsia="es-MX"/>
    </w:rPr>
  </w:style>
  <w:style w:type="paragraph" w:styleId="Piedepgina">
    <w:name w:val="footer"/>
    <w:basedOn w:val="Normal"/>
    <w:link w:val="PiedepginaCar"/>
    <w:uiPriority w:val="99"/>
    <w:unhideWhenUsed/>
    <w:rsid w:val="00CE58B9"/>
    <w:pPr>
      <w:tabs>
        <w:tab w:val="center" w:pos="4252"/>
        <w:tab w:val="right" w:pos="8504"/>
      </w:tabs>
    </w:pPr>
  </w:style>
  <w:style w:type="character" w:customStyle="1" w:styleId="PiedepginaCar">
    <w:name w:val="Pie de página Car"/>
    <w:basedOn w:val="Fuentedeprrafopredeter"/>
    <w:link w:val="Piedepgina"/>
    <w:uiPriority w:val="99"/>
    <w:rsid w:val="00CE58B9"/>
    <w:rPr>
      <w:rFonts w:ascii="Times New Roman" w:eastAsia="Times New Roman" w:hAnsi="Times New Roman" w:cs="Times New Roman"/>
      <w:lang w:eastAsia="es-MX"/>
    </w:rPr>
  </w:style>
  <w:style w:type="paragraph" w:customStyle="1" w:styleId="Ca1">
    <w:name w:val="Ca1"/>
    <w:basedOn w:val="Normal"/>
    <w:next w:val="Textonotapie"/>
    <w:link w:val="FootnoteTextChar"/>
    <w:uiPriority w:val="99"/>
    <w:unhideWhenUsed/>
    <w:qFormat/>
    <w:rsid w:val="00DE59D7"/>
    <w:rPr>
      <w:rFonts w:eastAsiaTheme="minorHAnsi"/>
      <w:lang w:eastAsia="en-US"/>
    </w:rPr>
  </w:style>
  <w:style w:type="character" w:customStyle="1" w:styleId="FootnoteTextChar">
    <w:name w:val="Footnote Text Char"/>
    <w:aliases w:val="Ref. de nota al pie1 Char,Texto de nota al pie Char,referencia nota al pie Char,Footnotes refss Char,Ref. de nota al pie 2 Char,Fago Fußnotenzeichen Char,Appel note de bas de page Char1,Footnote number Char,BVI fnr Char,f Char,FC Char"/>
    <w:basedOn w:val="Fuentedeprrafopredeter"/>
    <w:link w:val="Ca1"/>
    <w:uiPriority w:val="99"/>
    <w:qFormat/>
    <w:rsid w:val="00DE59D7"/>
    <w:rPr>
      <w:rFonts w:ascii="Times New Roman" w:hAnsi="Times New Roman" w:cs="Times New Roman"/>
    </w:rPr>
  </w:style>
  <w:style w:type="character" w:customStyle="1" w:styleId="Footno1">
    <w:name w:val="Footno1"/>
    <w:basedOn w:val="Fuentedeprrafopredeter"/>
    <w:uiPriority w:val="99"/>
    <w:unhideWhenUsed/>
    <w:qFormat/>
    <w:rsid w:val="00DE59D7"/>
    <w:rPr>
      <w:rFonts w:ascii="Calibri" w:hAnsi="Calibri"/>
      <w:vertAlign w:val="superscript"/>
      <w:lang w:eastAsia="es-ES"/>
    </w:rPr>
  </w:style>
  <w:style w:type="character" w:customStyle="1" w:styleId="eop">
    <w:name w:val="eop"/>
    <w:basedOn w:val="Fuentedeprrafopredeter"/>
    <w:rsid w:val="00DE59D7"/>
  </w:style>
  <w:style w:type="character" w:customStyle="1" w:styleId="normaltextrun">
    <w:name w:val="normaltextrun"/>
    <w:basedOn w:val="Fuentedeprrafopredeter"/>
    <w:rsid w:val="00DE59D7"/>
  </w:style>
  <w:style w:type="character" w:customStyle="1" w:styleId="AsuntodelcomentarioCar">
    <w:name w:val="Asunto del comentario Car"/>
    <w:basedOn w:val="TextocomentarioCar"/>
    <w:link w:val="Asuntodelcomentario"/>
    <w:uiPriority w:val="99"/>
    <w:semiHidden/>
    <w:rsid w:val="000B3F2F"/>
    <w:rPr>
      <w:rFonts w:ascii="Times New Roman" w:eastAsia="Times New Roman" w:hAnsi="Times New Roman" w:cs="Times New Roman"/>
      <w:b/>
      <w:bCs/>
      <w:sz w:val="20"/>
      <w:szCs w:val="20"/>
      <w:lang w:eastAsia="es-MX"/>
    </w:rPr>
  </w:style>
  <w:style w:type="paragraph" w:customStyle="1" w:styleId="font-claude-response-body">
    <w:name w:val="font-claude-response-body"/>
    <w:basedOn w:val="Normal"/>
    <w:rsid w:val="003A65D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corteconstitucional.gov.co/secretaria/archivo.php?id=114268" TargetMode="External"/><Relationship Id="rId2" Type="http://schemas.openxmlformats.org/officeDocument/2006/relationships/hyperlink" Target="https://www.corteconstitucional.gov.co/secretaria/archivo.php?id=113513" TargetMode="External"/><Relationship Id="rId1" Type="http://schemas.openxmlformats.org/officeDocument/2006/relationships/hyperlink" Target="https://siicor.corteconstitucional.gov.co/controldeprocesos/archivo.php?id=108464" TargetMode="External"/><Relationship Id="rId4" Type="http://schemas.openxmlformats.org/officeDocument/2006/relationships/hyperlink" Target="https://siicor.corteconstitucional.gov.co/controldeprocesos/archivo.php?id=11664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13515</Words>
  <Characters>74336</Characters>
  <Application>Microsoft Office Word</Application>
  <DocSecurity>0</DocSecurity>
  <Lines>619</Lines>
  <Paragraphs>175</Paragraphs>
  <ScaleCrop>false</ScaleCrop>
  <Company/>
  <LinksUpToDate>false</LinksUpToDate>
  <CharactersWithSpaces>87676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2026-06-18T14:34:00Z</dcterms:created>
  <dcterms:modified xsi:type="dcterms:W3CDTF">2026-06-18T14:34:00Z</dcterms:modified>
</cp:coreProperties>
</file>