
<file path=[Content_Types].xml><?xml version="1.0" encoding="utf-8"?>
<Types xmlns="http://schemas.openxmlformats.org/package/2006/content-types">
  <Default Extension="bin"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D78DD" w:rsidRPr="00DE7CC4" w:rsidRDefault="00C6505C">
      <w:pPr>
        <w:widowControl w:val="0"/>
        <w:autoSpaceDE w:val="0"/>
        <w:autoSpaceDN w:val="0"/>
        <w:adjustRightInd w:val="0"/>
        <w:spacing w:after="0" w:line="240" w:lineRule="auto"/>
        <w:rPr>
          <w:rFonts w:ascii="Times New Roman" w:hAnsi="Times New Roman" w:cs="Times New Roman"/>
          <w:sz w:val="28"/>
          <w:szCs w:val="28"/>
        </w:rPr>
      </w:pPr>
      <w:bookmarkStart w:id="0" w:name="_GoBack"/>
      <w:bookmarkEnd w:id="0"/>
      <w:r w:rsidRPr="00DE7CC4">
        <w:rPr>
          <w:rFonts w:ascii="Times New Roman" w:hAnsi="Times New Roman" w:cs="Times New Roman"/>
          <w:sz w:val="28"/>
          <w:szCs w:val="24"/>
        </w:rPr>
        <w:t xml:space="preserve"> </w:t>
      </w:r>
    </w:p>
    <w:p w:rsidR="00AD78DD" w:rsidRPr="00DE7CC4" w:rsidRDefault="00AD78DD">
      <w:pPr>
        <w:widowControl w:val="0"/>
        <w:autoSpaceDE w:val="0"/>
        <w:autoSpaceDN w:val="0"/>
        <w:adjustRightInd w:val="0"/>
        <w:spacing w:after="0" w:line="240" w:lineRule="auto"/>
        <w:rPr>
          <w:rFonts w:ascii="Times New Roman" w:hAnsi="Times New Roman" w:cs="Times New Roman"/>
          <w:sz w:val="28"/>
          <w:szCs w:val="28"/>
        </w:rPr>
      </w:pPr>
    </w:p>
    <w:p w:rsidR="00AD78DD" w:rsidRPr="00DE7CC4" w:rsidRDefault="00C6505C">
      <w:pPr>
        <w:widowControl w:val="0"/>
        <w:autoSpaceDE w:val="0"/>
        <w:autoSpaceDN w:val="0"/>
        <w:adjustRightInd w:val="0"/>
        <w:spacing w:after="0" w:line="240" w:lineRule="auto"/>
        <w:jc w:val="center"/>
        <w:rPr>
          <w:rFonts w:ascii="Times New Roman" w:hAnsi="Times New Roman" w:cs="Times New Roman"/>
          <w:b/>
          <w:bCs/>
          <w:sz w:val="28"/>
          <w:szCs w:val="28"/>
        </w:rPr>
      </w:pPr>
      <w:r w:rsidRPr="00DE7CC4">
        <w:rPr>
          <w:rFonts w:ascii="Times New Roman" w:hAnsi="Times New Roman" w:cs="Times New Roman"/>
          <w:b/>
          <w:bCs/>
          <w:sz w:val="28"/>
          <w:szCs w:val="28"/>
        </w:rPr>
        <w:t xml:space="preserve">TEMAS-SUBTEMAS </w:t>
      </w:r>
    </w:p>
    <w:p w:rsidR="00AD78DD" w:rsidRPr="00DE7CC4" w:rsidRDefault="00AD78DD">
      <w:pPr>
        <w:widowControl w:val="0"/>
        <w:autoSpaceDE w:val="0"/>
        <w:autoSpaceDN w:val="0"/>
        <w:adjustRightInd w:val="0"/>
        <w:spacing w:after="0" w:line="240" w:lineRule="auto"/>
        <w:jc w:val="center"/>
        <w:rPr>
          <w:rFonts w:ascii="Times New Roman" w:hAnsi="Times New Roman" w:cs="Times New Roman"/>
          <w:b/>
          <w:bCs/>
          <w:sz w:val="28"/>
          <w:szCs w:val="28"/>
        </w:rPr>
      </w:pPr>
    </w:p>
    <w:p w:rsidR="00AD78DD" w:rsidRPr="00DE7CC4" w:rsidRDefault="00C6505C">
      <w:pPr>
        <w:widowControl w:val="0"/>
        <w:autoSpaceDE w:val="0"/>
        <w:autoSpaceDN w:val="0"/>
        <w:adjustRightInd w:val="0"/>
        <w:spacing w:after="0" w:line="240" w:lineRule="auto"/>
        <w:jc w:val="center"/>
        <w:rPr>
          <w:rFonts w:ascii="Times New Roman" w:hAnsi="Times New Roman" w:cs="Times New Roman"/>
          <w:sz w:val="28"/>
          <w:szCs w:val="28"/>
        </w:rPr>
      </w:pPr>
      <w:r w:rsidRPr="00DE7CC4">
        <w:rPr>
          <w:rFonts w:ascii="Times New Roman" w:hAnsi="Times New Roman" w:cs="Times New Roman"/>
          <w:b/>
          <w:bCs/>
          <w:sz w:val="28"/>
          <w:szCs w:val="28"/>
        </w:rPr>
        <w:t xml:space="preserve">Sentencia C-031/24 </w:t>
      </w:r>
    </w:p>
    <w:p w:rsidR="00AD78DD" w:rsidRPr="00DE7CC4" w:rsidRDefault="00AD78DD">
      <w:pPr>
        <w:widowControl w:val="0"/>
        <w:autoSpaceDE w:val="0"/>
        <w:autoSpaceDN w:val="0"/>
        <w:adjustRightInd w:val="0"/>
        <w:spacing w:after="0" w:line="240" w:lineRule="auto"/>
        <w:jc w:val="both"/>
        <w:rPr>
          <w:rFonts w:ascii="Times New Roman" w:hAnsi="Times New Roman" w:cs="Times New Roman"/>
          <w:sz w:val="28"/>
          <w:szCs w:val="28"/>
        </w:rPr>
      </w:pPr>
    </w:p>
    <w:p w:rsidR="00AD78DD" w:rsidRPr="00DE7CC4" w:rsidRDefault="00C6505C">
      <w:pPr>
        <w:widowControl w:val="0"/>
        <w:autoSpaceDE w:val="0"/>
        <w:autoSpaceDN w:val="0"/>
        <w:adjustRightInd w:val="0"/>
        <w:spacing w:after="0" w:line="240" w:lineRule="auto"/>
        <w:jc w:val="both"/>
        <w:rPr>
          <w:rFonts w:ascii="Times New Roman" w:hAnsi="Times New Roman" w:cs="Times New Roman"/>
          <w:sz w:val="28"/>
          <w:szCs w:val="28"/>
        </w:rPr>
      </w:pPr>
      <w:r w:rsidRPr="00DE7CC4">
        <w:rPr>
          <w:rFonts w:ascii="Times New Roman" w:hAnsi="Times New Roman" w:cs="Times New Roman"/>
          <w:b/>
          <w:bCs/>
          <w:sz w:val="28"/>
          <w:szCs w:val="28"/>
        </w:rPr>
        <w:t>DERECHO A LA PROPIEDAD</w:t>
      </w:r>
      <w:r w:rsidRPr="00DE7CC4">
        <w:rPr>
          <w:rFonts w:ascii="Times New Roman" w:hAnsi="Times New Roman" w:cs="Times New Roman"/>
          <w:sz w:val="28"/>
          <w:szCs w:val="28"/>
        </w:rPr>
        <w:t>-No se desconoce deber de protección en norma que excluye la intervención de la autoridad de tránsito en accidente con daños exclusivamente materiales</w:t>
      </w:r>
    </w:p>
    <w:p w:rsidR="00AD78DD" w:rsidRPr="00DE7CC4" w:rsidRDefault="00AD78DD">
      <w:pPr>
        <w:widowControl w:val="0"/>
        <w:autoSpaceDE w:val="0"/>
        <w:autoSpaceDN w:val="0"/>
        <w:adjustRightInd w:val="0"/>
        <w:spacing w:after="0" w:line="240" w:lineRule="auto"/>
        <w:jc w:val="both"/>
        <w:rPr>
          <w:rFonts w:ascii="Times New Roman" w:hAnsi="Times New Roman" w:cs="Times New Roman"/>
          <w:sz w:val="28"/>
          <w:szCs w:val="28"/>
        </w:rPr>
      </w:pPr>
    </w:p>
    <w:p w:rsidR="00AD78DD" w:rsidRPr="00DE7CC4" w:rsidRDefault="00C6505C">
      <w:pPr>
        <w:widowControl w:val="0"/>
        <w:autoSpaceDE w:val="0"/>
        <w:autoSpaceDN w:val="0"/>
        <w:adjustRightInd w:val="0"/>
        <w:spacing w:after="0" w:line="240" w:lineRule="auto"/>
        <w:jc w:val="both"/>
        <w:rPr>
          <w:rFonts w:ascii="Times New Roman" w:hAnsi="Times New Roman" w:cs="Times New Roman"/>
          <w:sz w:val="28"/>
          <w:szCs w:val="28"/>
        </w:rPr>
      </w:pPr>
      <w:r w:rsidRPr="00DE7CC4">
        <w:rPr>
          <w:rFonts w:ascii="Times New Roman" w:hAnsi="Times New Roman" w:cs="Times New Roman"/>
          <w:i/>
          <w:iCs/>
          <w:sz w:val="28"/>
          <w:szCs w:val="28"/>
        </w:rPr>
        <w:t xml:space="preserve">Con fundamento en la metodología del juicio de proporcionalidad, en este asunto aplicado en una intensidad leve, la Corte Constitucional concluyó que la medida no desconoce el deber del Estado de proteger la propiedad porque se dirige a cumplir dos propósitos constitucionalmente legítimos, esto es, a establecer una configuración instrumental adecuada para la reclamación del daño material causado en accidentes de tránsito y, además, a enfrentar los problemas de movilidad que se derivan de la obstaculización del tránsito que tiene lugar producto de un accidente automovilístico que no tiene las implicaciones más gravosas para la seguridad vial, porque no están comprometidas la integridad y vida de las personas. </w:t>
      </w:r>
    </w:p>
    <w:p w:rsidR="00AD78DD" w:rsidRPr="00DE7CC4" w:rsidRDefault="00AD78DD">
      <w:pPr>
        <w:widowControl w:val="0"/>
        <w:autoSpaceDE w:val="0"/>
        <w:autoSpaceDN w:val="0"/>
        <w:adjustRightInd w:val="0"/>
        <w:spacing w:after="0" w:line="240" w:lineRule="auto"/>
        <w:jc w:val="both"/>
        <w:rPr>
          <w:rFonts w:ascii="Times New Roman" w:hAnsi="Times New Roman" w:cs="Times New Roman"/>
          <w:sz w:val="28"/>
          <w:szCs w:val="28"/>
        </w:rPr>
      </w:pPr>
    </w:p>
    <w:p w:rsidR="00AD78DD" w:rsidRPr="00DE7CC4" w:rsidRDefault="00C6505C">
      <w:pPr>
        <w:widowControl w:val="0"/>
        <w:autoSpaceDE w:val="0"/>
        <w:autoSpaceDN w:val="0"/>
        <w:adjustRightInd w:val="0"/>
        <w:spacing w:after="0" w:line="240" w:lineRule="auto"/>
        <w:jc w:val="both"/>
        <w:rPr>
          <w:rFonts w:ascii="Times New Roman" w:hAnsi="Times New Roman" w:cs="Times New Roman"/>
          <w:sz w:val="28"/>
          <w:szCs w:val="28"/>
        </w:rPr>
      </w:pPr>
      <w:r w:rsidRPr="00DE7CC4">
        <w:rPr>
          <w:rFonts w:ascii="Times New Roman" w:hAnsi="Times New Roman" w:cs="Times New Roman"/>
          <w:b/>
          <w:bCs/>
          <w:sz w:val="28"/>
          <w:szCs w:val="28"/>
        </w:rPr>
        <w:t>ACCIDENTE DE TRÁNSITO CON DAÑOS EXCLUSIVAMENTE MATERIALES</w:t>
      </w:r>
      <w:r w:rsidRPr="00DE7CC4">
        <w:rPr>
          <w:rFonts w:ascii="Times New Roman" w:hAnsi="Times New Roman" w:cs="Times New Roman"/>
          <w:sz w:val="28"/>
          <w:szCs w:val="28"/>
        </w:rPr>
        <w:t>-Casos en los que la autoridad de tránsito debe prestar asistencia</w:t>
      </w:r>
    </w:p>
    <w:p w:rsidR="00AD78DD" w:rsidRPr="00DE7CC4" w:rsidRDefault="00AD78DD">
      <w:pPr>
        <w:widowControl w:val="0"/>
        <w:autoSpaceDE w:val="0"/>
        <w:autoSpaceDN w:val="0"/>
        <w:adjustRightInd w:val="0"/>
        <w:spacing w:after="0" w:line="240" w:lineRule="auto"/>
        <w:jc w:val="both"/>
        <w:rPr>
          <w:rFonts w:ascii="Times New Roman" w:hAnsi="Times New Roman" w:cs="Times New Roman"/>
          <w:sz w:val="28"/>
          <w:szCs w:val="28"/>
        </w:rPr>
      </w:pPr>
    </w:p>
    <w:p w:rsidR="00AD78DD" w:rsidRPr="00DE7CC4" w:rsidRDefault="00C6505C">
      <w:pPr>
        <w:widowControl w:val="0"/>
        <w:autoSpaceDE w:val="0"/>
        <w:autoSpaceDN w:val="0"/>
        <w:adjustRightInd w:val="0"/>
        <w:spacing w:after="0" w:line="240" w:lineRule="auto"/>
        <w:jc w:val="both"/>
        <w:rPr>
          <w:rFonts w:ascii="Times New Roman" w:hAnsi="Times New Roman" w:cs="Times New Roman"/>
          <w:sz w:val="28"/>
          <w:szCs w:val="28"/>
        </w:rPr>
      </w:pPr>
      <w:r w:rsidRPr="00DE7CC4">
        <w:rPr>
          <w:rFonts w:ascii="Times New Roman" w:hAnsi="Times New Roman" w:cs="Times New Roman"/>
          <w:i/>
          <w:iCs/>
          <w:sz w:val="28"/>
          <w:szCs w:val="28"/>
        </w:rPr>
        <w:t xml:space="preserve">(...) las autoridades de tránsito involucradas y, en particular, los agentes de tránsito en las vías, den una lectura armónica con la Constitución -y, por lo tanto, razonable- al artículo 16 de la Ley 2251 de 2022, evitando incurrir en conductas que conduzcan a afectar a personas en situación de vulnerabilidad, y, por otro lado, que la Corte llame la atención sobre la premisa de que, en principio, todas las personas que hayan recibido habilitación para conducir, también lo están para asumir los deberes y cargas que a dicha actividad están aparejados, por lo cual, solo excepcionalmente y por motivos constitucionalmente ineludibles como los indicados en esta providencia, tienen el derecho a que las autoridades de tránsito acudan -ante su llamado- a asistirlas en la actividad probatoria regulada en la disposición demandada, bien sea a través de las herramientas técnicas y tecnológicas a que la misma hace referencia o, en caso de que ello no sea posible -como sucedería en el último supuesto referido por la Sala-, a través del levantamiento del informe policial de accidente de tránsito. </w:t>
      </w:r>
    </w:p>
    <w:p w:rsidR="00AD78DD" w:rsidRPr="00DE7CC4" w:rsidRDefault="00AD78DD">
      <w:pPr>
        <w:widowControl w:val="0"/>
        <w:autoSpaceDE w:val="0"/>
        <w:autoSpaceDN w:val="0"/>
        <w:adjustRightInd w:val="0"/>
        <w:spacing w:after="0" w:line="240" w:lineRule="auto"/>
        <w:jc w:val="both"/>
        <w:rPr>
          <w:rFonts w:ascii="Times New Roman" w:hAnsi="Times New Roman" w:cs="Times New Roman"/>
          <w:sz w:val="28"/>
          <w:szCs w:val="28"/>
        </w:rPr>
      </w:pPr>
    </w:p>
    <w:p w:rsidR="00AD78DD" w:rsidRPr="00DE7CC4" w:rsidRDefault="00C6505C">
      <w:pPr>
        <w:widowControl w:val="0"/>
        <w:autoSpaceDE w:val="0"/>
        <w:autoSpaceDN w:val="0"/>
        <w:adjustRightInd w:val="0"/>
        <w:spacing w:after="0" w:line="240" w:lineRule="auto"/>
        <w:jc w:val="both"/>
        <w:rPr>
          <w:rFonts w:ascii="Times New Roman" w:hAnsi="Times New Roman" w:cs="Times New Roman"/>
          <w:sz w:val="28"/>
          <w:szCs w:val="28"/>
        </w:rPr>
      </w:pPr>
      <w:r w:rsidRPr="00DE7CC4">
        <w:rPr>
          <w:rFonts w:ascii="Times New Roman" w:hAnsi="Times New Roman" w:cs="Times New Roman"/>
          <w:b/>
          <w:bCs/>
          <w:sz w:val="28"/>
          <w:szCs w:val="28"/>
        </w:rPr>
        <w:t>ACCIDENTE DE TRANSITO</w:t>
      </w:r>
      <w:r w:rsidRPr="00DE7CC4">
        <w:rPr>
          <w:rFonts w:ascii="Times New Roman" w:hAnsi="Times New Roman" w:cs="Times New Roman"/>
          <w:sz w:val="28"/>
          <w:szCs w:val="28"/>
        </w:rPr>
        <w:t>-Carga de la prueba</w:t>
      </w:r>
    </w:p>
    <w:p w:rsidR="00AD78DD" w:rsidRPr="00DE7CC4" w:rsidRDefault="00AD78DD">
      <w:pPr>
        <w:widowControl w:val="0"/>
        <w:autoSpaceDE w:val="0"/>
        <w:autoSpaceDN w:val="0"/>
        <w:adjustRightInd w:val="0"/>
        <w:spacing w:after="0" w:line="240" w:lineRule="auto"/>
        <w:jc w:val="both"/>
        <w:rPr>
          <w:rFonts w:ascii="Times New Roman" w:hAnsi="Times New Roman" w:cs="Times New Roman"/>
          <w:sz w:val="28"/>
          <w:szCs w:val="28"/>
        </w:rPr>
      </w:pPr>
    </w:p>
    <w:p w:rsidR="00AD78DD" w:rsidRPr="00DE7CC4" w:rsidRDefault="00C6505C">
      <w:pPr>
        <w:widowControl w:val="0"/>
        <w:autoSpaceDE w:val="0"/>
        <w:autoSpaceDN w:val="0"/>
        <w:adjustRightInd w:val="0"/>
        <w:spacing w:after="0" w:line="240" w:lineRule="auto"/>
        <w:jc w:val="both"/>
        <w:rPr>
          <w:rFonts w:ascii="Times New Roman" w:hAnsi="Times New Roman" w:cs="Times New Roman"/>
          <w:sz w:val="28"/>
          <w:szCs w:val="28"/>
        </w:rPr>
      </w:pPr>
      <w:r w:rsidRPr="00DE7CC4">
        <w:rPr>
          <w:rFonts w:ascii="Times New Roman" w:hAnsi="Times New Roman" w:cs="Times New Roman"/>
          <w:i/>
          <w:iCs/>
          <w:sz w:val="28"/>
          <w:szCs w:val="28"/>
        </w:rPr>
        <w:t xml:space="preserve">(...) la disposición cuestionada prevé que los interesados recaudarán todas las pruebas relativas a la colisión, esto es, aquellas cuyo recaudo es preciso en ese momento por el hecho de que los elementos están dispuestos en la escena del accidente que acaba de ocurrir; mediante la utilización de herramientas técnicas y tecnológicas, que permitan la atención del mismo en forma oportuna, segura y que garantice la autenticidad, integridad, conservación y posterior consulta y uso probatorio de la información. De este modo, según el artículo acusado el material probatorio recaudado con estas condiciones reemplazará el informe de accidente de tránsito que expide la autoridad competente, por lo que su fuerza demostrativa será igual a la de aquél y deberán entrar a su evaluación conforme a las reglas de la sana crítica. Desde esta perspectiva, entonces, la disposición demandada transfiere una carga que antes era asumida por la autoridad de tránsito a los involucrados. </w:t>
      </w:r>
    </w:p>
    <w:p w:rsidR="00AD78DD" w:rsidRPr="00DE7CC4" w:rsidRDefault="00AD78DD">
      <w:pPr>
        <w:widowControl w:val="0"/>
        <w:autoSpaceDE w:val="0"/>
        <w:autoSpaceDN w:val="0"/>
        <w:adjustRightInd w:val="0"/>
        <w:spacing w:after="0" w:line="240" w:lineRule="auto"/>
        <w:jc w:val="both"/>
        <w:rPr>
          <w:rFonts w:ascii="Times New Roman" w:hAnsi="Times New Roman" w:cs="Times New Roman"/>
          <w:sz w:val="28"/>
          <w:szCs w:val="28"/>
        </w:rPr>
      </w:pPr>
    </w:p>
    <w:p w:rsidR="00AD78DD" w:rsidRPr="00DE7CC4" w:rsidRDefault="00C6505C">
      <w:pPr>
        <w:widowControl w:val="0"/>
        <w:autoSpaceDE w:val="0"/>
        <w:autoSpaceDN w:val="0"/>
        <w:adjustRightInd w:val="0"/>
        <w:spacing w:after="0" w:line="240" w:lineRule="auto"/>
        <w:jc w:val="both"/>
        <w:rPr>
          <w:rFonts w:ascii="Times New Roman" w:hAnsi="Times New Roman" w:cs="Times New Roman"/>
          <w:sz w:val="28"/>
          <w:szCs w:val="28"/>
        </w:rPr>
      </w:pPr>
      <w:r w:rsidRPr="00DE7CC4">
        <w:rPr>
          <w:rFonts w:ascii="Times New Roman" w:hAnsi="Times New Roman" w:cs="Times New Roman"/>
          <w:b/>
          <w:bCs/>
          <w:sz w:val="28"/>
          <w:szCs w:val="28"/>
        </w:rPr>
        <w:t>DEMANDA DE INCONSTITUCIONALIDAD</w:t>
      </w:r>
      <w:r w:rsidRPr="00DE7CC4">
        <w:rPr>
          <w:rFonts w:ascii="Times New Roman" w:hAnsi="Times New Roman" w:cs="Times New Roman"/>
          <w:sz w:val="28"/>
          <w:szCs w:val="28"/>
        </w:rPr>
        <w:t xml:space="preserve">-Requisitos </w:t>
      </w:r>
    </w:p>
    <w:p w:rsidR="00AD78DD" w:rsidRPr="00DE7CC4" w:rsidRDefault="00AD78DD">
      <w:pPr>
        <w:widowControl w:val="0"/>
        <w:autoSpaceDE w:val="0"/>
        <w:autoSpaceDN w:val="0"/>
        <w:adjustRightInd w:val="0"/>
        <w:spacing w:after="0" w:line="240" w:lineRule="auto"/>
        <w:jc w:val="both"/>
        <w:rPr>
          <w:rFonts w:ascii="Times New Roman" w:hAnsi="Times New Roman" w:cs="Times New Roman"/>
          <w:sz w:val="28"/>
          <w:szCs w:val="28"/>
        </w:rPr>
      </w:pPr>
    </w:p>
    <w:p w:rsidR="00AD78DD" w:rsidRPr="00DE7CC4" w:rsidRDefault="00C6505C">
      <w:pPr>
        <w:widowControl w:val="0"/>
        <w:autoSpaceDE w:val="0"/>
        <w:autoSpaceDN w:val="0"/>
        <w:adjustRightInd w:val="0"/>
        <w:spacing w:after="0" w:line="240" w:lineRule="auto"/>
        <w:jc w:val="both"/>
        <w:rPr>
          <w:rFonts w:ascii="Times New Roman" w:hAnsi="Times New Roman" w:cs="Times New Roman"/>
          <w:sz w:val="28"/>
          <w:szCs w:val="28"/>
        </w:rPr>
      </w:pPr>
      <w:r w:rsidRPr="00DE7CC4">
        <w:rPr>
          <w:rFonts w:ascii="Times New Roman" w:hAnsi="Times New Roman" w:cs="Times New Roman"/>
          <w:b/>
          <w:bCs/>
          <w:sz w:val="28"/>
          <w:szCs w:val="28"/>
        </w:rPr>
        <w:t>CONCEPTO DE VIOLACION EN DEMANDA DE INCONSTITUCIONALIDAD</w:t>
      </w:r>
      <w:r w:rsidRPr="00DE7CC4">
        <w:rPr>
          <w:rFonts w:ascii="Times New Roman" w:hAnsi="Times New Roman" w:cs="Times New Roman"/>
          <w:sz w:val="28"/>
          <w:szCs w:val="28"/>
        </w:rPr>
        <w:t xml:space="preserve">-Razones claras, ciertas, específicas, pertinentes y suficientes </w:t>
      </w:r>
    </w:p>
    <w:p w:rsidR="00AD78DD" w:rsidRPr="00DE7CC4" w:rsidRDefault="00AD78DD">
      <w:pPr>
        <w:widowControl w:val="0"/>
        <w:autoSpaceDE w:val="0"/>
        <w:autoSpaceDN w:val="0"/>
        <w:adjustRightInd w:val="0"/>
        <w:spacing w:after="0" w:line="240" w:lineRule="auto"/>
        <w:jc w:val="both"/>
        <w:rPr>
          <w:rFonts w:ascii="Times New Roman" w:hAnsi="Times New Roman" w:cs="Times New Roman"/>
          <w:sz w:val="28"/>
          <w:szCs w:val="28"/>
        </w:rPr>
      </w:pPr>
    </w:p>
    <w:p w:rsidR="00AD78DD" w:rsidRPr="00DE7CC4" w:rsidRDefault="00C6505C">
      <w:pPr>
        <w:widowControl w:val="0"/>
        <w:autoSpaceDE w:val="0"/>
        <w:autoSpaceDN w:val="0"/>
        <w:adjustRightInd w:val="0"/>
        <w:spacing w:after="0" w:line="240" w:lineRule="auto"/>
        <w:jc w:val="both"/>
        <w:rPr>
          <w:rFonts w:ascii="Times New Roman" w:hAnsi="Times New Roman" w:cs="Times New Roman"/>
          <w:sz w:val="28"/>
          <w:szCs w:val="28"/>
        </w:rPr>
      </w:pPr>
      <w:r w:rsidRPr="00DE7CC4">
        <w:rPr>
          <w:rFonts w:ascii="Times New Roman" w:hAnsi="Times New Roman" w:cs="Times New Roman"/>
          <w:b/>
          <w:bCs/>
          <w:sz w:val="28"/>
          <w:szCs w:val="28"/>
        </w:rPr>
        <w:t>SOLICITUD DE SUSPENSION PROVISIONAL DE NORMAS EN DEMANDA DE INCONSTITUCIONALIDAD</w:t>
      </w:r>
      <w:r w:rsidRPr="00DE7CC4">
        <w:rPr>
          <w:rFonts w:ascii="Times New Roman" w:hAnsi="Times New Roman" w:cs="Times New Roman"/>
          <w:sz w:val="28"/>
          <w:szCs w:val="28"/>
        </w:rPr>
        <w:t xml:space="preserve">-Improcedencia </w:t>
      </w:r>
    </w:p>
    <w:p w:rsidR="00AD78DD" w:rsidRPr="00DE7CC4" w:rsidRDefault="00AD78DD">
      <w:pPr>
        <w:widowControl w:val="0"/>
        <w:autoSpaceDE w:val="0"/>
        <w:autoSpaceDN w:val="0"/>
        <w:adjustRightInd w:val="0"/>
        <w:spacing w:after="0" w:line="240" w:lineRule="auto"/>
        <w:jc w:val="both"/>
        <w:rPr>
          <w:rFonts w:ascii="Times New Roman" w:hAnsi="Times New Roman" w:cs="Times New Roman"/>
          <w:sz w:val="28"/>
          <w:szCs w:val="28"/>
        </w:rPr>
      </w:pPr>
    </w:p>
    <w:p w:rsidR="00AD78DD" w:rsidRPr="00DE7CC4" w:rsidRDefault="00C6505C">
      <w:pPr>
        <w:widowControl w:val="0"/>
        <w:autoSpaceDE w:val="0"/>
        <w:autoSpaceDN w:val="0"/>
        <w:adjustRightInd w:val="0"/>
        <w:spacing w:after="0" w:line="240" w:lineRule="auto"/>
        <w:jc w:val="both"/>
        <w:rPr>
          <w:rFonts w:ascii="Times New Roman" w:hAnsi="Times New Roman" w:cs="Times New Roman"/>
          <w:sz w:val="28"/>
          <w:szCs w:val="28"/>
        </w:rPr>
      </w:pPr>
      <w:r w:rsidRPr="00DE7CC4">
        <w:rPr>
          <w:rFonts w:ascii="Times New Roman" w:hAnsi="Times New Roman" w:cs="Times New Roman"/>
          <w:b/>
          <w:bCs/>
          <w:sz w:val="28"/>
          <w:szCs w:val="28"/>
        </w:rPr>
        <w:t>DERECHO A LA PROPIEDAD PRIVADA</w:t>
      </w:r>
      <w:r w:rsidRPr="00DE7CC4">
        <w:rPr>
          <w:rFonts w:ascii="Times New Roman" w:hAnsi="Times New Roman" w:cs="Times New Roman"/>
          <w:sz w:val="28"/>
          <w:szCs w:val="28"/>
        </w:rPr>
        <w:t xml:space="preserve">-Función social </w:t>
      </w:r>
    </w:p>
    <w:p w:rsidR="00AD78DD" w:rsidRPr="00DE7CC4" w:rsidRDefault="00AD78DD">
      <w:pPr>
        <w:widowControl w:val="0"/>
        <w:autoSpaceDE w:val="0"/>
        <w:autoSpaceDN w:val="0"/>
        <w:adjustRightInd w:val="0"/>
        <w:spacing w:after="0" w:line="240" w:lineRule="auto"/>
        <w:jc w:val="both"/>
        <w:rPr>
          <w:rFonts w:ascii="Times New Roman" w:hAnsi="Times New Roman" w:cs="Times New Roman"/>
          <w:sz w:val="28"/>
          <w:szCs w:val="28"/>
        </w:rPr>
      </w:pPr>
    </w:p>
    <w:p w:rsidR="00AD78DD" w:rsidRPr="00DE7CC4" w:rsidRDefault="00C6505C">
      <w:pPr>
        <w:widowControl w:val="0"/>
        <w:autoSpaceDE w:val="0"/>
        <w:autoSpaceDN w:val="0"/>
        <w:adjustRightInd w:val="0"/>
        <w:spacing w:after="0" w:line="240" w:lineRule="auto"/>
        <w:jc w:val="both"/>
        <w:rPr>
          <w:rFonts w:ascii="Times New Roman" w:hAnsi="Times New Roman" w:cs="Times New Roman"/>
          <w:sz w:val="28"/>
          <w:szCs w:val="28"/>
        </w:rPr>
      </w:pPr>
      <w:r w:rsidRPr="00DE7CC4">
        <w:rPr>
          <w:rFonts w:ascii="Times New Roman" w:hAnsi="Times New Roman" w:cs="Times New Roman"/>
          <w:b/>
          <w:bCs/>
          <w:sz w:val="28"/>
          <w:szCs w:val="28"/>
        </w:rPr>
        <w:t>PROPIEDAD PRIVADA</w:t>
      </w:r>
      <w:r w:rsidRPr="00DE7CC4">
        <w:rPr>
          <w:rFonts w:ascii="Times New Roman" w:hAnsi="Times New Roman" w:cs="Times New Roman"/>
          <w:sz w:val="28"/>
          <w:szCs w:val="28"/>
        </w:rPr>
        <w:t xml:space="preserve">-Protección constitucional </w:t>
      </w:r>
    </w:p>
    <w:p w:rsidR="00AD78DD" w:rsidRPr="00DE7CC4" w:rsidRDefault="00AD78DD">
      <w:pPr>
        <w:widowControl w:val="0"/>
        <w:autoSpaceDE w:val="0"/>
        <w:autoSpaceDN w:val="0"/>
        <w:adjustRightInd w:val="0"/>
        <w:spacing w:after="0" w:line="240" w:lineRule="auto"/>
        <w:jc w:val="both"/>
        <w:rPr>
          <w:rFonts w:ascii="Times New Roman" w:hAnsi="Times New Roman" w:cs="Times New Roman"/>
          <w:sz w:val="28"/>
          <w:szCs w:val="28"/>
        </w:rPr>
      </w:pPr>
    </w:p>
    <w:p w:rsidR="00AD78DD" w:rsidRPr="00DE7CC4" w:rsidRDefault="00C6505C">
      <w:pPr>
        <w:widowControl w:val="0"/>
        <w:autoSpaceDE w:val="0"/>
        <w:autoSpaceDN w:val="0"/>
        <w:adjustRightInd w:val="0"/>
        <w:spacing w:after="0" w:line="240" w:lineRule="auto"/>
        <w:jc w:val="both"/>
        <w:rPr>
          <w:rFonts w:ascii="Times New Roman" w:hAnsi="Times New Roman" w:cs="Times New Roman"/>
          <w:sz w:val="28"/>
          <w:szCs w:val="28"/>
        </w:rPr>
      </w:pPr>
      <w:r w:rsidRPr="00DE7CC4">
        <w:rPr>
          <w:rFonts w:ascii="Times New Roman" w:hAnsi="Times New Roman" w:cs="Times New Roman"/>
          <w:b/>
          <w:bCs/>
          <w:sz w:val="28"/>
          <w:szCs w:val="28"/>
        </w:rPr>
        <w:t>DERECHO A LA PROPIEDAD PRIVADA</w:t>
      </w:r>
      <w:r w:rsidRPr="00DE7CC4">
        <w:rPr>
          <w:rFonts w:ascii="Times New Roman" w:hAnsi="Times New Roman" w:cs="Times New Roman"/>
          <w:sz w:val="28"/>
          <w:szCs w:val="28"/>
        </w:rPr>
        <w:t xml:space="preserve">-Principios que delimitan el contenido </w:t>
      </w:r>
    </w:p>
    <w:p w:rsidR="00AD78DD" w:rsidRPr="00DE7CC4" w:rsidRDefault="00AD78DD">
      <w:pPr>
        <w:widowControl w:val="0"/>
        <w:autoSpaceDE w:val="0"/>
        <w:autoSpaceDN w:val="0"/>
        <w:adjustRightInd w:val="0"/>
        <w:spacing w:after="0" w:line="240" w:lineRule="auto"/>
        <w:jc w:val="both"/>
        <w:rPr>
          <w:rFonts w:ascii="Times New Roman" w:hAnsi="Times New Roman" w:cs="Times New Roman"/>
          <w:sz w:val="28"/>
          <w:szCs w:val="28"/>
        </w:rPr>
      </w:pPr>
    </w:p>
    <w:p w:rsidR="00AD78DD" w:rsidRPr="00DE7CC4" w:rsidRDefault="00C6505C">
      <w:pPr>
        <w:widowControl w:val="0"/>
        <w:autoSpaceDE w:val="0"/>
        <w:autoSpaceDN w:val="0"/>
        <w:adjustRightInd w:val="0"/>
        <w:spacing w:after="0" w:line="240" w:lineRule="auto"/>
        <w:jc w:val="both"/>
        <w:rPr>
          <w:rFonts w:ascii="Times New Roman" w:hAnsi="Times New Roman" w:cs="Times New Roman"/>
          <w:sz w:val="28"/>
          <w:szCs w:val="28"/>
        </w:rPr>
      </w:pPr>
      <w:r w:rsidRPr="00DE7CC4">
        <w:rPr>
          <w:rFonts w:ascii="Times New Roman" w:hAnsi="Times New Roman" w:cs="Times New Roman"/>
          <w:b/>
          <w:bCs/>
          <w:sz w:val="28"/>
          <w:szCs w:val="28"/>
        </w:rPr>
        <w:t>DERECHO A LA PROPIEDAD PRIVADA</w:t>
      </w:r>
      <w:r w:rsidRPr="00DE7CC4">
        <w:rPr>
          <w:rFonts w:ascii="Times New Roman" w:hAnsi="Times New Roman" w:cs="Times New Roman"/>
          <w:sz w:val="28"/>
          <w:szCs w:val="28"/>
        </w:rPr>
        <w:t xml:space="preserve">-Alcance </w:t>
      </w:r>
    </w:p>
    <w:p w:rsidR="00AD78DD" w:rsidRPr="00DE7CC4" w:rsidRDefault="00AD78DD">
      <w:pPr>
        <w:widowControl w:val="0"/>
        <w:autoSpaceDE w:val="0"/>
        <w:autoSpaceDN w:val="0"/>
        <w:adjustRightInd w:val="0"/>
        <w:spacing w:after="0" w:line="240" w:lineRule="auto"/>
        <w:jc w:val="both"/>
        <w:rPr>
          <w:rFonts w:ascii="Times New Roman" w:hAnsi="Times New Roman" w:cs="Times New Roman"/>
          <w:sz w:val="28"/>
          <w:szCs w:val="28"/>
        </w:rPr>
      </w:pPr>
    </w:p>
    <w:p w:rsidR="00AD78DD" w:rsidRPr="00DE7CC4" w:rsidRDefault="00C6505C">
      <w:pPr>
        <w:widowControl w:val="0"/>
        <w:autoSpaceDE w:val="0"/>
        <w:autoSpaceDN w:val="0"/>
        <w:adjustRightInd w:val="0"/>
        <w:spacing w:after="0" w:line="240" w:lineRule="auto"/>
        <w:jc w:val="both"/>
        <w:rPr>
          <w:rFonts w:ascii="Times New Roman" w:hAnsi="Times New Roman" w:cs="Times New Roman"/>
          <w:sz w:val="28"/>
          <w:szCs w:val="28"/>
        </w:rPr>
      </w:pPr>
      <w:r w:rsidRPr="00DE7CC4">
        <w:rPr>
          <w:rFonts w:ascii="Times New Roman" w:hAnsi="Times New Roman" w:cs="Times New Roman"/>
          <w:b/>
          <w:bCs/>
          <w:sz w:val="28"/>
          <w:szCs w:val="28"/>
        </w:rPr>
        <w:t>DERECHO DE PROPIEDAD</w:t>
      </w:r>
      <w:r w:rsidRPr="00DE7CC4">
        <w:rPr>
          <w:rFonts w:ascii="Times New Roman" w:hAnsi="Times New Roman" w:cs="Times New Roman"/>
          <w:sz w:val="28"/>
          <w:szCs w:val="28"/>
        </w:rPr>
        <w:t>-Dimensiones</w:t>
      </w:r>
    </w:p>
    <w:p w:rsidR="00AD78DD" w:rsidRPr="00DE7CC4" w:rsidRDefault="00AD78DD">
      <w:pPr>
        <w:widowControl w:val="0"/>
        <w:autoSpaceDE w:val="0"/>
        <w:autoSpaceDN w:val="0"/>
        <w:adjustRightInd w:val="0"/>
        <w:spacing w:after="0" w:line="240" w:lineRule="auto"/>
        <w:jc w:val="both"/>
        <w:rPr>
          <w:rFonts w:ascii="Times New Roman" w:hAnsi="Times New Roman" w:cs="Times New Roman"/>
          <w:sz w:val="28"/>
          <w:szCs w:val="28"/>
        </w:rPr>
      </w:pPr>
    </w:p>
    <w:p w:rsidR="00AD78DD" w:rsidRPr="00DE7CC4" w:rsidRDefault="00C6505C">
      <w:pPr>
        <w:widowControl w:val="0"/>
        <w:autoSpaceDE w:val="0"/>
        <w:autoSpaceDN w:val="0"/>
        <w:adjustRightInd w:val="0"/>
        <w:spacing w:after="0" w:line="240" w:lineRule="auto"/>
        <w:jc w:val="both"/>
        <w:rPr>
          <w:rFonts w:ascii="Times New Roman" w:hAnsi="Times New Roman" w:cs="Times New Roman"/>
          <w:sz w:val="28"/>
          <w:szCs w:val="28"/>
        </w:rPr>
      </w:pPr>
      <w:r w:rsidRPr="00DE7CC4">
        <w:rPr>
          <w:rFonts w:ascii="Times New Roman" w:hAnsi="Times New Roman" w:cs="Times New Roman"/>
          <w:i/>
          <w:iCs/>
          <w:sz w:val="28"/>
          <w:szCs w:val="28"/>
        </w:rPr>
        <w:t xml:space="preserve">(...) el derecho de propiedad (i) garantiza un nivel mínimo de protección que haga posible ejercer las facultades de uso, goce y disposición del bien para permitir a su titular extraer su utilidad económica en términos de valor de uso o de valor de cambio; (ii) en su dimensión negativa prohíbe adoptar normas legales que anulen tales facultades o que las limiten desproporcionadamente; y (iii) en su dimensión positiva ordena al legislador expedir normas que (a) concreten el ejercicio de esas facultades y definan sus límites, (b) proscriban y sancionen su lesión por parte de terceros y (c) prevean competencias y procedimientos para su garantía.   </w:t>
      </w:r>
    </w:p>
    <w:p w:rsidR="00AD78DD" w:rsidRPr="00DE7CC4" w:rsidRDefault="00AD78DD">
      <w:pPr>
        <w:widowControl w:val="0"/>
        <w:autoSpaceDE w:val="0"/>
        <w:autoSpaceDN w:val="0"/>
        <w:adjustRightInd w:val="0"/>
        <w:spacing w:after="0" w:line="240" w:lineRule="auto"/>
        <w:jc w:val="both"/>
        <w:rPr>
          <w:rFonts w:ascii="Times New Roman" w:hAnsi="Times New Roman" w:cs="Times New Roman"/>
          <w:sz w:val="28"/>
          <w:szCs w:val="28"/>
        </w:rPr>
      </w:pPr>
    </w:p>
    <w:p w:rsidR="00AD78DD" w:rsidRPr="00DE7CC4" w:rsidRDefault="00C6505C">
      <w:pPr>
        <w:widowControl w:val="0"/>
        <w:autoSpaceDE w:val="0"/>
        <w:autoSpaceDN w:val="0"/>
        <w:adjustRightInd w:val="0"/>
        <w:spacing w:after="0" w:line="240" w:lineRule="auto"/>
        <w:jc w:val="both"/>
        <w:rPr>
          <w:rFonts w:ascii="Times New Roman" w:hAnsi="Times New Roman" w:cs="Times New Roman"/>
          <w:sz w:val="28"/>
          <w:szCs w:val="28"/>
        </w:rPr>
      </w:pPr>
      <w:r w:rsidRPr="00DE7CC4">
        <w:rPr>
          <w:rFonts w:ascii="Times New Roman" w:hAnsi="Times New Roman" w:cs="Times New Roman"/>
          <w:b/>
          <w:bCs/>
          <w:sz w:val="28"/>
          <w:szCs w:val="28"/>
        </w:rPr>
        <w:t>DERECHO A LA PROPIEDAD</w:t>
      </w:r>
      <w:r w:rsidRPr="00DE7CC4">
        <w:rPr>
          <w:rFonts w:ascii="Times New Roman" w:hAnsi="Times New Roman" w:cs="Times New Roman"/>
          <w:sz w:val="28"/>
          <w:szCs w:val="28"/>
        </w:rPr>
        <w:t xml:space="preserve">-Límites </w:t>
      </w:r>
    </w:p>
    <w:p w:rsidR="00AD78DD" w:rsidRPr="00DE7CC4" w:rsidRDefault="00AD78DD">
      <w:pPr>
        <w:widowControl w:val="0"/>
        <w:autoSpaceDE w:val="0"/>
        <w:autoSpaceDN w:val="0"/>
        <w:adjustRightInd w:val="0"/>
        <w:spacing w:after="0" w:line="240" w:lineRule="auto"/>
        <w:jc w:val="both"/>
        <w:rPr>
          <w:rFonts w:ascii="Times New Roman" w:hAnsi="Times New Roman" w:cs="Times New Roman"/>
          <w:sz w:val="28"/>
          <w:szCs w:val="28"/>
        </w:rPr>
      </w:pPr>
    </w:p>
    <w:p w:rsidR="00AD78DD" w:rsidRPr="00DE7CC4" w:rsidRDefault="00C6505C">
      <w:pPr>
        <w:widowControl w:val="0"/>
        <w:autoSpaceDE w:val="0"/>
        <w:autoSpaceDN w:val="0"/>
        <w:adjustRightInd w:val="0"/>
        <w:spacing w:after="0" w:line="240" w:lineRule="auto"/>
        <w:jc w:val="both"/>
        <w:rPr>
          <w:rFonts w:ascii="Times New Roman" w:hAnsi="Times New Roman" w:cs="Times New Roman"/>
          <w:sz w:val="28"/>
          <w:szCs w:val="28"/>
        </w:rPr>
      </w:pPr>
      <w:r w:rsidRPr="00DE7CC4">
        <w:rPr>
          <w:rFonts w:ascii="Times New Roman" w:hAnsi="Times New Roman" w:cs="Times New Roman"/>
          <w:b/>
          <w:bCs/>
          <w:sz w:val="28"/>
          <w:szCs w:val="28"/>
        </w:rPr>
        <w:t>DERECHOS A LA PROPIEDAD Y AL ACCESO A LA ADMINISTRACIÓN DE JUSTICIA</w:t>
      </w:r>
      <w:r w:rsidRPr="00DE7CC4">
        <w:rPr>
          <w:rFonts w:ascii="Times New Roman" w:hAnsi="Times New Roman" w:cs="Times New Roman"/>
          <w:sz w:val="28"/>
          <w:szCs w:val="28"/>
        </w:rPr>
        <w:t>-Relación</w:t>
      </w:r>
    </w:p>
    <w:p w:rsidR="00AD78DD" w:rsidRPr="00DE7CC4" w:rsidRDefault="00AD78DD">
      <w:pPr>
        <w:widowControl w:val="0"/>
        <w:autoSpaceDE w:val="0"/>
        <w:autoSpaceDN w:val="0"/>
        <w:adjustRightInd w:val="0"/>
        <w:spacing w:after="0" w:line="240" w:lineRule="auto"/>
        <w:jc w:val="both"/>
        <w:rPr>
          <w:rFonts w:ascii="Times New Roman" w:hAnsi="Times New Roman" w:cs="Times New Roman"/>
          <w:sz w:val="28"/>
          <w:szCs w:val="28"/>
        </w:rPr>
      </w:pPr>
    </w:p>
    <w:p w:rsidR="00AD78DD" w:rsidRPr="00DE7CC4" w:rsidRDefault="00C6505C">
      <w:pPr>
        <w:widowControl w:val="0"/>
        <w:autoSpaceDE w:val="0"/>
        <w:autoSpaceDN w:val="0"/>
        <w:adjustRightInd w:val="0"/>
        <w:spacing w:after="0" w:line="240" w:lineRule="auto"/>
        <w:jc w:val="both"/>
        <w:rPr>
          <w:rFonts w:ascii="Times New Roman" w:hAnsi="Times New Roman" w:cs="Times New Roman"/>
          <w:sz w:val="28"/>
          <w:szCs w:val="28"/>
        </w:rPr>
      </w:pPr>
      <w:r w:rsidRPr="00DE7CC4">
        <w:rPr>
          <w:rFonts w:ascii="Times New Roman" w:hAnsi="Times New Roman" w:cs="Times New Roman"/>
          <w:i/>
          <w:iCs/>
          <w:sz w:val="28"/>
          <w:szCs w:val="28"/>
        </w:rPr>
        <w:t>La existencia de competencias y procedimientos que permitan asegurar la protección de las facultades de usar, gozar y disponer de los bienes corresponde a una dimensión imprescindible del derecho de propiedad. Como lo ha dicho la Corte ese derecho incluye la facultad de “ejercer las acciones que derivan de la posición jurídica reconocida por la constitución y las leyes”. Ello se vincula además con la postura de esta Corte al sostener que el derecho de acceso a la justicia guarda estrecha relación con el derecho a un recurso judicial efectivo como garantía necesaria para asegurar la protección plena de los derechos. De este modo algunas facetas del derecho al debido proceso o del derecho de acceso a la administración de justicia pueden quedar también comprendidas por el ámbito de protección del derecho a la propiedad, cuando pueda probarse un vínculo necesario y, por ello, no contingente. En ese sentido la Corte ha destacado al referirse a la obligación de respetar este último derecho la relevancia, por ejemplo, (i) del procedimiento expropiatorio y de la posibilidad de cuestionarlo judicialmente o (ii) de la procedencia de la acción de reparación directa en contra de la ocupación de bienes privados por parte del Estado.</w:t>
      </w:r>
    </w:p>
    <w:p w:rsidR="00AD78DD" w:rsidRPr="00DE7CC4" w:rsidRDefault="00AD78DD">
      <w:pPr>
        <w:widowControl w:val="0"/>
        <w:autoSpaceDE w:val="0"/>
        <w:autoSpaceDN w:val="0"/>
        <w:adjustRightInd w:val="0"/>
        <w:spacing w:after="0" w:line="240" w:lineRule="auto"/>
        <w:jc w:val="both"/>
        <w:rPr>
          <w:rFonts w:ascii="Times New Roman" w:hAnsi="Times New Roman" w:cs="Times New Roman"/>
          <w:sz w:val="28"/>
          <w:szCs w:val="28"/>
        </w:rPr>
      </w:pPr>
    </w:p>
    <w:p w:rsidR="00AD78DD" w:rsidRPr="00DE7CC4" w:rsidRDefault="00C6505C">
      <w:pPr>
        <w:widowControl w:val="0"/>
        <w:autoSpaceDE w:val="0"/>
        <w:autoSpaceDN w:val="0"/>
        <w:adjustRightInd w:val="0"/>
        <w:spacing w:after="0" w:line="240" w:lineRule="auto"/>
        <w:jc w:val="both"/>
        <w:rPr>
          <w:rFonts w:ascii="Times New Roman" w:hAnsi="Times New Roman" w:cs="Times New Roman"/>
          <w:sz w:val="28"/>
          <w:szCs w:val="28"/>
        </w:rPr>
      </w:pPr>
      <w:r w:rsidRPr="00DE7CC4">
        <w:rPr>
          <w:rFonts w:ascii="Times New Roman" w:hAnsi="Times New Roman" w:cs="Times New Roman"/>
          <w:b/>
          <w:bCs/>
          <w:sz w:val="28"/>
          <w:szCs w:val="28"/>
        </w:rPr>
        <w:t>DERECHO DE PROPIEDAD PRIVADA</w:t>
      </w:r>
      <w:r w:rsidRPr="00DE7CC4">
        <w:rPr>
          <w:rFonts w:ascii="Times New Roman" w:hAnsi="Times New Roman" w:cs="Times New Roman"/>
          <w:sz w:val="28"/>
          <w:szCs w:val="28"/>
        </w:rPr>
        <w:t>-Facultad legislativa de reglamentación de ejercicio</w:t>
      </w:r>
    </w:p>
    <w:p w:rsidR="00AD78DD" w:rsidRPr="00DE7CC4" w:rsidRDefault="00AD78DD">
      <w:pPr>
        <w:widowControl w:val="0"/>
        <w:autoSpaceDE w:val="0"/>
        <w:autoSpaceDN w:val="0"/>
        <w:adjustRightInd w:val="0"/>
        <w:spacing w:after="0" w:line="240" w:lineRule="auto"/>
        <w:jc w:val="both"/>
        <w:rPr>
          <w:rFonts w:ascii="Times New Roman" w:hAnsi="Times New Roman" w:cs="Times New Roman"/>
          <w:sz w:val="28"/>
          <w:szCs w:val="28"/>
        </w:rPr>
      </w:pPr>
    </w:p>
    <w:p w:rsidR="00AD78DD" w:rsidRPr="00DE7CC4" w:rsidRDefault="00C6505C">
      <w:pPr>
        <w:widowControl w:val="0"/>
        <w:autoSpaceDE w:val="0"/>
        <w:autoSpaceDN w:val="0"/>
        <w:adjustRightInd w:val="0"/>
        <w:spacing w:after="0" w:line="240" w:lineRule="auto"/>
        <w:jc w:val="both"/>
        <w:rPr>
          <w:rFonts w:ascii="Times New Roman" w:hAnsi="Times New Roman" w:cs="Times New Roman"/>
          <w:sz w:val="28"/>
          <w:szCs w:val="28"/>
        </w:rPr>
      </w:pPr>
      <w:r w:rsidRPr="00DE7CC4">
        <w:rPr>
          <w:rFonts w:ascii="Times New Roman" w:hAnsi="Times New Roman" w:cs="Times New Roman"/>
          <w:i/>
          <w:iCs/>
          <w:sz w:val="28"/>
          <w:szCs w:val="28"/>
        </w:rPr>
        <w:t>(...) en virtud de la dimensión positiva del derecho de propiedad, al Legislador le corresponde expedir normas que protejan a los particulares frente a los daños causados por terceros previendo mecanismos adecuados para reclamar, cuando a ello haya lugar, la reparación de los daños que les sean imputables. Así las cosas (i) la ausencia de un cuerpo legislativo con ese propósito o (ii) la vigencia de regulaciones que impongan al propietario cargas desproporcionadas para la defensa de su derecho, configurando un amparo insuficiente, vulnerarían el deber estatal de proteger los bienes de los residentes en Colombia (art. 2) y el derecho a la propiedad (art. 58).</w:t>
      </w:r>
    </w:p>
    <w:p w:rsidR="00AD78DD" w:rsidRPr="00DE7CC4" w:rsidRDefault="00AD78DD">
      <w:pPr>
        <w:widowControl w:val="0"/>
        <w:autoSpaceDE w:val="0"/>
        <w:autoSpaceDN w:val="0"/>
        <w:adjustRightInd w:val="0"/>
        <w:spacing w:after="0" w:line="240" w:lineRule="auto"/>
        <w:jc w:val="both"/>
        <w:rPr>
          <w:rFonts w:ascii="Times New Roman" w:hAnsi="Times New Roman" w:cs="Times New Roman"/>
          <w:sz w:val="28"/>
          <w:szCs w:val="28"/>
        </w:rPr>
      </w:pPr>
    </w:p>
    <w:p w:rsidR="00AD78DD" w:rsidRPr="00DE7CC4" w:rsidRDefault="00C6505C">
      <w:pPr>
        <w:widowControl w:val="0"/>
        <w:autoSpaceDE w:val="0"/>
        <w:autoSpaceDN w:val="0"/>
        <w:adjustRightInd w:val="0"/>
        <w:spacing w:after="0" w:line="240" w:lineRule="auto"/>
        <w:jc w:val="both"/>
        <w:rPr>
          <w:rFonts w:ascii="Times New Roman" w:hAnsi="Times New Roman" w:cs="Times New Roman"/>
          <w:sz w:val="28"/>
          <w:szCs w:val="28"/>
        </w:rPr>
      </w:pPr>
      <w:r w:rsidRPr="00DE7CC4">
        <w:rPr>
          <w:rFonts w:ascii="Times New Roman" w:hAnsi="Times New Roman" w:cs="Times New Roman"/>
          <w:b/>
          <w:bCs/>
          <w:sz w:val="28"/>
          <w:szCs w:val="28"/>
        </w:rPr>
        <w:t>TRANSITO TERRESTRE</w:t>
      </w:r>
      <w:r w:rsidRPr="00DE7CC4">
        <w:rPr>
          <w:rFonts w:ascii="Times New Roman" w:hAnsi="Times New Roman" w:cs="Times New Roman"/>
          <w:sz w:val="28"/>
          <w:szCs w:val="28"/>
        </w:rPr>
        <w:t xml:space="preserve">-Competencia del legislador para regularlo </w:t>
      </w:r>
    </w:p>
    <w:p w:rsidR="00AD78DD" w:rsidRPr="00DE7CC4" w:rsidRDefault="00AD78DD">
      <w:pPr>
        <w:widowControl w:val="0"/>
        <w:autoSpaceDE w:val="0"/>
        <w:autoSpaceDN w:val="0"/>
        <w:adjustRightInd w:val="0"/>
        <w:spacing w:after="0" w:line="240" w:lineRule="auto"/>
        <w:jc w:val="both"/>
        <w:rPr>
          <w:rFonts w:ascii="Times New Roman" w:hAnsi="Times New Roman" w:cs="Times New Roman"/>
          <w:sz w:val="28"/>
          <w:szCs w:val="28"/>
        </w:rPr>
      </w:pPr>
    </w:p>
    <w:p w:rsidR="00AD78DD" w:rsidRPr="00DE7CC4" w:rsidRDefault="00C6505C">
      <w:pPr>
        <w:widowControl w:val="0"/>
        <w:autoSpaceDE w:val="0"/>
        <w:autoSpaceDN w:val="0"/>
        <w:adjustRightInd w:val="0"/>
        <w:spacing w:after="0" w:line="240" w:lineRule="auto"/>
        <w:jc w:val="both"/>
        <w:rPr>
          <w:rFonts w:ascii="Times New Roman" w:hAnsi="Times New Roman" w:cs="Times New Roman"/>
          <w:sz w:val="28"/>
          <w:szCs w:val="28"/>
        </w:rPr>
      </w:pPr>
      <w:r w:rsidRPr="00DE7CC4">
        <w:rPr>
          <w:rFonts w:ascii="Times New Roman" w:hAnsi="Times New Roman" w:cs="Times New Roman"/>
          <w:b/>
          <w:bCs/>
          <w:sz w:val="28"/>
          <w:szCs w:val="28"/>
        </w:rPr>
        <w:t>INFORME POLICIAL DE ACCIDENTE DE TRANSITO</w:t>
      </w:r>
      <w:r w:rsidRPr="00DE7CC4">
        <w:rPr>
          <w:rFonts w:ascii="Times New Roman" w:hAnsi="Times New Roman" w:cs="Times New Roman"/>
          <w:sz w:val="28"/>
          <w:szCs w:val="28"/>
        </w:rPr>
        <w:t xml:space="preserve">-No es un informe pericial sino un informe descriptivo </w:t>
      </w:r>
    </w:p>
    <w:p w:rsidR="00AD78DD" w:rsidRPr="00DE7CC4" w:rsidRDefault="00AD78DD">
      <w:pPr>
        <w:widowControl w:val="0"/>
        <w:autoSpaceDE w:val="0"/>
        <w:autoSpaceDN w:val="0"/>
        <w:adjustRightInd w:val="0"/>
        <w:spacing w:after="0" w:line="240" w:lineRule="auto"/>
        <w:jc w:val="both"/>
        <w:rPr>
          <w:rFonts w:ascii="Times New Roman" w:hAnsi="Times New Roman" w:cs="Times New Roman"/>
          <w:sz w:val="28"/>
          <w:szCs w:val="28"/>
        </w:rPr>
      </w:pPr>
    </w:p>
    <w:p w:rsidR="00AD78DD" w:rsidRPr="00DE7CC4" w:rsidRDefault="00C6505C">
      <w:pPr>
        <w:widowControl w:val="0"/>
        <w:autoSpaceDE w:val="0"/>
        <w:autoSpaceDN w:val="0"/>
        <w:adjustRightInd w:val="0"/>
        <w:spacing w:after="0" w:line="240" w:lineRule="auto"/>
        <w:jc w:val="both"/>
        <w:rPr>
          <w:rFonts w:ascii="Times New Roman" w:hAnsi="Times New Roman" w:cs="Times New Roman"/>
          <w:sz w:val="28"/>
          <w:szCs w:val="28"/>
        </w:rPr>
      </w:pPr>
      <w:r w:rsidRPr="00DE7CC4">
        <w:rPr>
          <w:rFonts w:ascii="Times New Roman" w:hAnsi="Times New Roman" w:cs="Times New Roman"/>
          <w:b/>
          <w:bCs/>
          <w:sz w:val="28"/>
          <w:szCs w:val="28"/>
        </w:rPr>
        <w:t>JUICIO DE PROPORCIONALIDAD</w:t>
      </w:r>
      <w:r w:rsidRPr="00DE7CC4">
        <w:rPr>
          <w:rFonts w:ascii="Times New Roman" w:hAnsi="Times New Roman" w:cs="Times New Roman"/>
          <w:sz w:val="28"/>
          <w:szCs w:val="28"/>
        </w:rPr>
        <w:t xml:space="preserve">-Intensidad leve </w:t>
      </w:r>
    </w:p>
    <w:p w:rsidR="00AD78DD" w:rsidRPr="00DE7CC4" w:rsidRDefault="00AD78DD">
      <w:pPr>
        <w:widowControl w:val="0"/>
        <w:autoSpaceDE w:val="0"/>
        <w:autoSpaceDN w:val="0"/>
        <w:adjustRightInd w:val="0"/>
        <w:spacing w:after="0" w:line="240" w:lineRule="auto"/>
        <w:jc w:val="both"/>
        <w:rPr>
          <w:rFonts w:ascii="Times New Roman" w:hAnsi="Times New Roman" w:cs="Times New Roman"/>
          <w:sz w:val="28"/>
          <w:szCs w:val="28"/>
        </w:rPr>
      </w:pPr>
    </w:p>
    <w:p w:rsidR="00AD78DD" w:rsidRPr="00DE7CC4" w:rsidRDefault="00DE7CC4">
      <w:pPr>
        <w:widowControl w:val="0"/>
        <w:autoSpaceDE w:val="0"/>
        <w:autoSpaceDN w:val="0"/>
        <w:adjustRightInd w:val="0"/>
        <w:spacing w:after="0" w:line="240" w:lineRule="auto"/>
        <w:jc w:val="both"/>
        <w:rPr>
          <w:rFonts w:ascii="Times New Roman" w:hAnsi="Times New Roman" w:cs="Times New Roman"/>
          <w:sz w:val="28"/>
        </w:rPr>
      </w:pPr>
      <w:r w:rsidRPr="00DE7CC4">
        <w:rPr>
          <w:rFonts w:ascii="Times New Roman" w:hAnsi="Times New Roman" w:cs="Times New Roman"/>
          <w:sz w:val="28"/>
          <w:szCs w:val="28"/>
        </w:rPr>
        <w:pict>
          <v:rect id="_x0000_i1025" style="width:0;height:1.5pt" o:hralign="center" o:hrstd="t" o:hr="t" fillcolor="#a0a0a0" stroked="f"/>
        </w:pict>
      </w:r>
    </w:p>
    <w:p w:rsidR="00F32ED8" w:rsidRPr="00DE7CC4" w:rsidRDefault="00DE7CC4" w:rsidP="00882DB0">
      <w:pPr>
        <w:pStyle w:val="Encabezado"/>
        <w:jc w:val="center"/>
        <w:rPr>
          <w:rFonts w:ascii="Times New Roman" w:hAnsi="Times New Roman" w:cs="Times New Roman"/>
          <w:b/>
          <w:bCs/>
          <w:color w:val="000000" w:themeColor="text1"/>
          <w:sz w:val="28"/>
          <w:lang w:val="es-ES"/>
        </w:rPr>
      </w:pPr>
      <w:r w:rsidRPr="00DE7CC4">
        <w:rPr>
          <w:rFonts w:ascii="Times New Roman" w:hAnsi="Times New Roman" w:cs="Times New Roman"/>
          <w:b/>
          <w:bCs/>
          <w:color w:val="000000" w:themeColor="text1"/>
          <w:sz w:val="28"/>
          <w:lang w:val="es-ES"/>
        </w:rPr>
        <w:t>REPÚBLICA DE COLOMBIA</w:t>
      </w:r>
    </w:p>
    <w:p w:rsidR="00F32ED8" w:rsidRPr="00DE7CC4" w:rsidRDefault="00DE7CC4" w:rsidP="00882DB0">
      <w:pPr>
        <w:pStyle w:val="Encabezado"/>
        <w:jc w:val="center"/>
        <w:rPr>
          <w:rFonts w:ascii="Times New Roman" w:hAnsi="Times New Roman" w:cs="Times New Roman"/>
          <w:b/>
          <w:bCs/>
          <w:color w:val="000000" w:themeColor="text1"/>
          <w:sz w:val="28"/>
          <w:lang w:val="es-ES"/>
        </w:rPr>
      </w:pPr>
      <w:r w:rsidRPr="00DE7CC4">
        <w:rPr>
          <w:rFonts w:ascii="Times New Roman" w:hAnsi="Times New Roman" w:cs="Times New Roman"/>
          <w:b/>
          <w:bCs/>
          <w:noProof/>
          <w:color w:val="000000" w:themeColor="text1"/>
          <w:sz w:val="28"/>
        </w:rPr>
        <w:drawing>
          <wp:inline distT="0" distB="0" distL="0" distR="0" wp14:anchorId="7E36574E" wp14:editId="44B42C2F">
            <wp:extent cx="792480" cy="792480"/>
            <wp:effectExtent l="0" t="0" r="7620" b="762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92480" cy="792480"/>
                    </a:xfrm>
                    <a:prstGeom prst="rect">
                      <a:avLst/>
                    </a:prstGeom>
                    <a:noFill/>
                  </pic:spPr>
                </pic:pic>
              </a:graphicData>
            </a:graphic>
          </wp:inline>
        </w:drawing>
      </w:r>
    </w:p>
    <w:p w:rsidR="00F32ED8" w:rsidRPr="00DE7CC4" w:rsidRDefault="00DE7CC4" w:rsidP="00882DB0">
      <w:pPr>
        <w:pStyle w:val="Encabezado"/>
        <w:jc w:val="center"/>
        <w:rPr>
          <w:rFonts w:ascii="Times New Roman" w:hAnsi="Times New Roman" w:cs="Times New Roman"/>
          <w:b/>
          <w:bCs/>
          <w:color w:val="000000" w:themeColor="text1"/>
          <w:sz w:val="28"/>
          <w:lang w:val="es-ES"/>
        </w:rPr>
      </w:pPr>
      <w:r w:rsidRPr="00DE7CC4">
        <w:rPr>
          <w:rFonts w:ascii="Times New Roman" w:hAnsi="Times New Roman" w:cs="Times New Roman"/>
          <w:b/>
          <w:bCs/>
          <w:color w:val="000000" w:themeColor="text1"/>
          <w:sz w:val="28"/>
          <w:lang w:val="es-ES"/>
        </w:rPr>
        <w:t>CORTE CONSTITUCIONAL</w:t>
      </w:r>
    </w:p>
    <w:p w:rsidR="00F32ED8" w:rsidRPr="00DE7CC4" w:rsidRDefault="00DE7CC4" w:rsidP="00882DB0">
      <w:pPr>
        <w:pStyle w:val="Encabezado"/>
        <w:jc w:val="center"/>
        <w:rPr>
          <w:rFonts w:ascii="Times New Roman" w:hAnsi="Times New Roman" w:cs="Times New Roman"/>
          <w:b/>
          <w:bCs/>
          <w:color w:val="000000" w:themeColor="text1"/>
          <w:sz w:val="28"/>
          <w:lang w:val="es-ES"/>
        </w:rPr>
      </w:pPr>
      <w:r w:rsidRPr="00DE7CC4">
        <w:rPr>
          <w:rFonts w:ascii="Times New Roman" w:hAnsi="Times New Roman" w:cs="Times New Roman"/>
          <w:b/>
          <w:bCs/>
          <w:color w:val="000000" w:themeColor="text1"/>
          <w:sz w:val="28"/>
          <w:lang w:val="es-ES"/>
        </w:rPr>
        <w:t>Sala Plena</w:t>
      </w:r>
    </w:p>
    <w:p w:rsidR="00F32ED8" w:rsidRPr="00DE7CC4" w:rsidRDefault="00DE7CC4" w:rsidP="00F32ED8">
      <w:pPr>
        <w:jc w:val="center"/>
        <w:rPr>
          <w:rFonts w:ascii="Times New Roman" w:hAnsi="Times New Roman" w:cs="Times New Roman"/>
          <w:b/>
          <w:bCs/>
          <w:color w:val="000000" w:themeColor="text1"/>
          <w:sz w:val="28"/>
          <w:lang w:val="es-ES"/>
        </w:rPr>
      </w:pPr>
    </w:p>
    <w:p w:rsidR="00F32ED8" w:rsidRPr="00DE7CC4" w:rsidRDefault="00DE7CC4" w:rsidP="00F32ED8">
      <w:pPr>
        <w:jc w:val="center"/>
        <w:rPr>
          <w:rFonts w:ascii="Times New Roman" w:hAnsi="Times New Roman" w:cs="Times New Roman"/>
          <w:color w:val="000000" w:themeColor="text1"/>
          <w:sz w:val="28"/>
          <w:lang w:val="es-ES_tradnl" w:eastAsia="es-ES"/>
        </w:rPr>
      </w:pPr>
      <w:r w:rsidRPr="00DE7CC4">
        <w:rPr>
          <w:rFonts w:ascii="Times New Roman" w:hAnsi="Times New Roman" w:cs="Times New Roman"/>
          <w:b/>
          <w:bCs/>
          <w:color w:val="000000" w:themeColor="text1"/>
          <w:sz w:val="28"/>
          <w:lang w:val="es-ES_tradnl"/>
        </w:rPr>
        <w:t>SENTENCIA C-</w:t>
      </w:r>
      <w:r w:rsidRPr="00DE7CC4">
        <w:rPr>
          <w:rFonts w:ascii="Times New Roman" w:hAnsi="Times New Roman" w:cs="Times New Roman"/>
          <w:b/>
          <w:bCs/>
          <w:color w:val="000000" w:themeColor="text1"/>
          <w:sz w:val="28"/>
          <w:lang w:val="es-ES_tradnl"/>
        </w:rPr>
        <w:t>031</w:t>
      </w:r>
      <w:r w:rsidRPr="00DE7CC4">
        <w:rPr>
          <w:rFonts w:ascii="Times New Roman" w:hAnsi="Times New Roman" w:cs="Times New Roman"/>
          <w:b/>
          <w:bCs/>
          <w:color w:val="000000" w:themeColor="text1"/>
          <w:sz w:val="28"/>
          <w:lang w:val="es-ES_tradnl"/>
        </w:rPr>
        <w:t xml:space="preserve"> de 2024</w:t>
      </w:r>
    </w:p>
    <w:p w:rsidR="00F32ED8" w:rsidRPr="00DE7CC4" w:rsidRDefault="00DE7CC4" w:rsidP="00F32ED8">
      <w:pPr>
        <w:ind w:left="3969"/>
        <w:jc w:val="both"/>
        <w:rPr>
          <w:rFonts w:ascii="Times New Roman" w:hAnsi="Times New Roman" w:cs="Times New Roman"/>
          <w:color w:val="000000" w:themeColor="text1"/>
          <w:sz w:val="28"/>
          <w:lang w:val="es-ES_tradnl" w:eastAsia="es-ES"/>
        </w:rPr>
      </w:pPr>
    </w:p>
    <w:p w:rsidR="00F32ED8" w:rsidRPr="00DE7CC4" w:rsidRDefault="00DE7CC4" w:rsidP="00F32ED8">
      <w:pPr>
        <w:kinsoku w:val="0"/>
        <w:overflowPunct w:val="0"/>
        <w:autoSpaceDE w:val="0"/>
        <w:autoSpaceDN w:val="0"/>
        <w:adjustRightInd w:val="0"/>
        <w:spacing w:before="72"/>
        <w:ind w:left="3828" w:right="49"/>
        <w:jc w:val="both"/>
        <w:rPr>
          <w:rFonts w:ascii="Times New Roman" w:hAnsi="Times New Roman" w:cs="Times New Roman"/>
          <w:color w:val="000000" w:themeColor="text1"/>
          <w:sz w:val="28"/>
          <w:lang w:val="es-ES_tradnl"/>
        </w:rPr>
      </w:pPr>
      <w:r w:rsidRPr="00DE7CC4">
        <w:rPr>
          <w:rFonts w:ascii="Times New Roman" w:hAnsi="Times New Roman" w:cs="Times New Roman"/>
          <w:b/>
          <w:bCs/>
          <w:color w:val="000000" w:themeColor="text1"/>
          <w:sz w:val="28"/>
          <w:lang w:val="es-ES_tradnl"/>
        </w:rPr>
        <w:t xml:space="preserve">Referencia: </w:t>
      </w:r>
      <w:r w:rsidRPr="00DE7CC4">
        <w:rPr>
          <w:rFonts w:ascii="Times New Roman" w:hAnsi="Times New Roman" w:cs="Times New Roman"/>
          <w:color w:val="000000" w:themeColor="text1"/>
          <w:sz w:val="28"/>
          <w:lang w:val="es-ES_tradnl"/>
        </w:rPr>
        <w:t>e</w:t>
      </w:r>
      <w:r w:rsidRPr="00DE7CC4">
        <w:rPr>
          <w:rFonts w:ascii="Times New Roman" w:hAnsi="Times New Roman" w:cs="Times New Roman"/>
          <w:color w:val="000000" w:themeColor="text1"/>
          <w:sz w:val="28"/>
          <w:lang w:val="es-ES_tradnl"/>
        </w:rPr>
        <w:t>xpediente D-15312</w:t>
      </w:r>
    </w:p>
    <w:p w:rsidR="00F32ED8" w:rsidRPr="00DE7CC4" w:rsidRDefault="00DE7CC4" w:rsidP="00F32ED8">
      <w:pPr>
        <w:kinsoku w:val="0"/>
        <w:overflowPunct w:val="0"/>
        <w:autoSpaceDE w:val="0"/>
        <w:autoSpaceDN w:val="0"/>
        <w:adjustRightInd w:val="0"/>
        <w:spacing w:before="8"/>
        <w:ind w:left="3828" w:right="49" w:hanging="4496"/>
        <w:rPr>
          <w:rFonts w:ascii="Times New Roman" w:hAnsi="Times New Roman" w:cs="Times New Roman"/>
          <w:color w:val="000000" w:themeColor="text1"/>
          <w:sz w:val="28"/>
          <w:lang w:val="es-ES_tradnl"/>
        </w:rPr>
      </w:pPr>
    </w:p>
    <w:p w:rsidR="00F32ED8" w:rsidRPr="00DE7CC4" w:rsidRDefault="00DE7CC4" w:rsidP="00F32ED8">
      <w:pPr>
        <w:ind w:left="3828"/>
        <w:jc w:val="both"/>
        <w:rPr>
          <w:rFonts w:ascii="Times New Roman" w:hAnsi="Times New Roman" w:cs="Times New Roman"/>
          <w:iCs/>
          <w:color w:val="000000" w:themeColor="text1"/>
          <w:sz w:val="28"/>
        </w:rPr>
      </w:pPr>
      <w:bookmarkStart w:id="1" w:name="_Hlk114232679"/>
      <w:r w:rsidRPr="00DE7CC4">
        <w:rPr>
          <w:rFonts w:ascii="Times New Roman" w:hAnsi="Times New Roman" w:cs="Times New Roman"/>
          <w:color w:val="000000" w:themeColor="text1"/>
          <w:sz w:val="28"/>
          <w:lang w:val="es-ES"/>
        </w:rPr>
        <w:t xml:space="preserve">Demanda de inconstitucionalidad contra el </w:t>
      </w:r>
      <w:r w:rsidRPr="00DE7CC4">
        <w:rPr>
          <w:rFonts w:ascii="Times New Roman" w:hAnsi="Times New Roman" w:cs="Times New Roman"/>
          <w:iCs/>
          <w:color w:val="000000" w:themeColor="text1"/>
          <w:sz w:val="28"/>
        </w:rPr>
        <w:t xml:space="preserve">artículo 16 de la Ley 2251 de 2022, “por la cual se dictan normas para el diseño e </w:t>
      </w:r>
      <w:r w:rsidRPr="00DE7CC4">
        <w:rPr>
          <w:rFonts w:ascii="Times New Roman" w:hAnsi="Times New Roman" w:cs="Times New Roman"/>
          <w:iCs/>
          <w:color w:val="000000" w:themeColor="text1"/>
          <w:sz w:val="28"/>
        </w:rPr>
        <w:t>implementación de la política de seguridad vial con enfoque de sistema seguro y se dictan otras disposiciones -Ley Julián Esteban”.</w:t>
      </w:r>
    </w:p>
    <w:bookmarkEnd w:id="1"/>
    <w:p w:rsidR="00F32ED8" w:rsidRPr="00DE7CC4" w:rsidRDefault="00DE7CC4" w:rsidP="00F32ED8">
      <w:pPr>
        <w:kinsoku w:val="0"/>
        <w:overflowPunct w:val="0"/>
        <w:autoSpaceDE w:val="0"/>
        <w:autoSpaceDN w:val="0"/>
        <w:adjustRightInd w:val="0"/>
        <w:spacing w:line="322" w:lineRule="exact"/>
        <w:ind w:left="3828" w:right="49"/>
        <w:jc w:val="both"/>
        <w:outlineLvl w:val="0"/>
        <w:rPr>
          <w:rFonts w:ascii="Times New Roman" w:hAnsi="Times New Roman" w:cs="Times New Roman"/>
          <w:b/>
          <w:bCs/>
          <w:color w:val="000000" w:themeColor="text1"/>
          <w:sz w:val="28"/>
        </w:rPr>
      </w:pPr>
    </w:p>
    <w:p w:rsidR="00F32ED8" w:rsidRPr="00DE7CC4" w:rsidRDefault="00DE7CC4" w:rsidP="00F32ED8">
      <w:pPr>
        <w:kinsoku w:val="0"/>
        <w:overflowPunct w:val="0"/>
        <w:autoSpaceDE w:val="0"/>
        <w:autoSpaceDN w:val="0"/>
        <w:adjustRightInd w:val="0"/>
        <w:spacing w:line="322" w:lineRule="exact"/>
        <w:ind w:left="3828" w:right="49"/>
        <w:jc w:val="both"/>
        <w:outlineLvl w:val="0"/>
        <w:rPr>
          <w:rFonts w:ascii="Times New Roman" w:hAnsi="Times New Roman" w:cs="Times New Roman"/>
          <w:b/>
          <w:bCs/>
          <w:color w:val="000000" w:themeColor="text1"/>
          <w:sz w:val="28"/>
          <w:lang w:val="es-ES_tradnl"/>
        </w:rPr>
      </w:pPr>
      <w:r w:rsidRPr="00DE7CC4">
        <w:rPr>
          <w:rFonts w:ascii="Times New Roman" w:hAnsi="Times New Roman" w:cs="Times New Roman"/>
          <w:b/>
          <w:bCs/>
          <w:color w:val="000000" w:themeColor="text1"/>
          <w:sz w:val="28"/>
          <w:lang w:val="es-ES_tradnl"/>
        </w:rPr>
        <w:t>Magistrada ponente:</w:t>
      </w:r>
    </w:p>
    <w:p w:rsidR="00F32ED8" w:rsidRPr="00DE7CC4" w:rsidRDefault="00DE7CC4" w:rsidP="00F32ED8">
      <w:pPr>
        <w:kinsoku w:val="0"/>
        <w:overflowPunct w:val="0"/>
        <w:autoSpaceDE w:val="0"/>
        <w:autoSpaceDN w:val="0"/>
        <w:adjustRightInd w:val="0"/>
        <w:ind w:left="3828" w:right="49"/>
        <w:rPr>
          <w:rFonts w:ascii="Times New Roman" w:hAnsi="Times New Roman" w:cs="Times New Roman"/>
          <w:color w:val="000000" w:themeColor="text1"/>
          <w:sz w:val="28"/>
          <w:lang w:val="es-ES_tradnl"/>
        </w:rPr>
      </w:pPr>
      <w:r w:rsidRPr="00DE7CC4">
        <w:rPr>
          <w:rFonts w:ascii="Times New Roman" w:hAnsi="Times New Roman" w:cs="Times New Roman"/>
          <w:color w:val="000000" w:themeColor="text1"/>
          <w:sz w:val="28"/>
          <w:lang w:val="es-ES_tradnl"/>
        </w:rPr>
        <w:t>Diana Fajardo Rivera</w:t>
      </w:r>
    </w:p>
    <w:p w:rsidR="00F32ED8" w:rsidRPr="00DE7CC4" w:rsidRDefault="00DE7CC4" w:rsidP="00F32ED8">
      <w:pPr>
        <w:jc w:val="both"/>
        <w:textAlignment w:val="baseline"/>
        <w:rPr>
          <w:rFonts w:ascii="Times New Roman" w:hAnsi="Times New Roman" w:cs="Times New Roman"/>
          <w:color w:val="000000" w:themeColor="text1"/>
          <w:sz w:val="28"/>
          <w:bdr w:val="none" w:sz="0" w:space="0" w:color="auto" w:frame="1"/>
          <w:lang w:val="es-ES_tradnl" w:eastAsia="es-ES"/>
        </w:rPr>
      </w:pPr>
    </w:p>
    <w:p w:rsidR="00F32ED8" w:rsidRPr="00DE7CC4" w:rsidRDefault="00DE7CC4" w:rsidP="00F32ED8">
      <w:pPr>
        <w:jc w:val="both"/>
        <w:textAlignment w:val="baseline"/>
        <w:rPr>
          <w:rFonts w:ascii="Times New Roman" w:hAnsi="Times New Roman" w:cs="Times New Roman"/>
          <w:color w:val="000000" w:themeColor="text1"/>
          <w:sz w:val="28"/>
          <w:lang w:eastAsia="es-ES"/>
        </w:rPr>
      </w:pPr>
      <w:r w:rsidRPr="00DE7CC4">
        <w:rPr>
          <w:rFonts w:ascii="Times New Roman" w:hAnsi="Times New Roman" w:cs="Times New Roman"/>
          <w:color w:val="000000" w:themeColor="text1"/>
          <w:sz w:val="28"/>
          <w:bdr w:val="none" w:sz="0" w:space="0" w:color="auto" w:frame="1"/>
          <w:lang w:eastAsia="es-ES"/>
        </w:rPr>
        <w:t xml:space="preserve">Bogotá D.C., </w:t>
      </w:r>
      <w:r w:rsidRPr="00DE7CC4">
        <w:rPr>
          <w:rFonts w:ascii="Times New Roman" w:hAnsi="Times New Roman" w:cs="Times New Roman"/>
          <w:color w:val="000000" w:themeColor="text1"/>
          <w:sz w:val="28"/>
          <w:bdr w:val="none" w:sz="0" w:space="0" w:color="auto" w:frame="1"/>
          <w:lang w:eastAsia="es-ES"/>
        </w:rPr>
        <w:t xml:space="preserve">ocho </w:t>
      </w:r>
      <w:r w:rsidRPr="00DE7CC4">
        <w:rPr>
          <w:rFonts w:ascii="Times New Roman" w:hAnsi="Times New Roman" w:cs="Times New Roman"/>
          <w:color w:val="000000" w:themeColor="text1"/>
          <w:sz w:val="28"/>
          <w:bdr w:val="none" w:sz="0" w:space="0" w:color="auto" w:frame="1"/>
          <w:lang w:eastAsia="es-ES"/>
        </w:rPr>
        <w:t>(</w:t>
      </w:r>
      <w:r w:rsidRPr="00DE7CC4">
        <w:rPr>
          <w:rFonts w:ascii="Times New Roman" w:hAnsi="Times New Roman" w:cs="Times New Roman"/>
          <w:color w:val="000000" w:themeColor="text1"/>
          <w:sz w:val="28"/>
          <w:bdr w:val="none" w:sz="0" w:space="0" w:color="auto" w:frame="1"/>
          <w:lang w:eastAsia="es-ES"/>
        </w:rPr>
        <w:t>8</w:t>
      </w:r>
      <w:r w:rsidRPr="00DE7CC4">
        <w:rPr>
          <w:rFonts w:ascii="Times New Roman" w:hAnsi="Times New Roman" w:cs="Times New Roman"/>
          <w:color w:val="000000" w:themeColor="text1"/>
          <w:sz w:val="28"/>
          <w:bdr w:val="none" w:sz="0" w:space="0" w:color="auto" w:frame="1"/>
          <w:lang w:eastAsia="es-ES"/>
        </w:rPr>
        <w:t>) de</w:t>
      </w:r>
      <w:r w:rsidRPr="00DE7CC4">
        <w:rPr>
          <w:rFonts w:ascii="Times New Roman" w:hAnsi="Times New Roman" w:cs="Times New Roman"/>
          <w:color w:val="000000" w:themeColor="text1"/>
          <w:sz w:val="28"/>
          <w:bdr w:val="none" w:sz="0" w:space="0" w:color="auto" w:frame="1"/>
          <w:lang w:eastAsia="es-ES"/>
        </w:rPr>
        <w:t xml:space="preserve"> febrero</w:t>
      </w:r>
      <w:r w:rsidRPr="00DE7CC4">
        <w:rPr>
          <w:rFonts w:ascii="Times New Roman" w:hAnsi="Times New Roman" w:cs="Times New Roman"/>
          <w:color w:val="000000" w:themeColor="text1"/>
          <w:sz w:val="28"/>
          <w:bdr w:val="none" w:sz="0" w:space="0" w:color="auto" w:frame="1"/>
          <w:lang w:eastAsia="es-ES"/>
        </w:rPr>
        <w:t xml:space="preserve"> de dos mil veinticuatro (2024)</w:t>
      </w:r>
    </w:p>
    <w:p w:rsidR="00F32ED8" w:rsidRPr="00DE7CC4" w:rsidRDefault="00DE7CC4" w:rsidP="00F32ED8">
      <w:pPr>
        <w:jc w:val="both"/>
        <w:textAlignment w:val="baseline"/>
        <w:rPr>
          <w:rFonts w:ascii="Times New Roman" w:hAnsi="Times New Roman" w:cs="Times New Roman"/>
          <w:color w:val="000000" w:themeColor="text1"/>
          <w:sz w:val="28"/>
          <w:bdr w:val="none" w:sz="0" w:space="0" w:color="auto" w:frame="1"/>
          <w:lang w:eastAsia="es-ES"/>
        </w:rPr>
      </w:pPr>
      <w:r w:rsidRPr="00DE7CC4">
        <w:rPr>
          <w:rFonts w:ascii="Times New Roman" w:hAnsi="Times New Roman" w:cs="Times New Roman"/>
          <w:color w:val="000000" w:themeColor="text1"/>
          <w:sz w:val="28"/>
          <w:bdr w:val="none" w:sz="0" w:space="0" w:color="auto" w:frame="1"/>
          <w:lang w:eastAsia="es-ES"/>
        </w:rPr>
        <w:t> </w:t>
      </w:r>
    </w:p>
    <w:p w:rsidR="00F32ED8" w:rsidRPr="00DE7CC4" w:rsidRDefault="00DE7CC4" w:rsidP="00F32ED8">
      <w:pPr>
        <w:jc w:val="both"/>
        <w:textAlignment w:val="baseline"/>
        <w:rPr>
          <w:rFonts w:ascii="Times New Roman" w:hAnsi="Times New Roman" w:cs="Times New Roman"/>
          <w:color w:val="000000" w:themeColor="text1"/>
          <w:sz w:val="28"/>
          <w:bdr w:val="none" w:sz="0" w:space="0" w:color="auto" w:frame="1"/>
          <w:lang w:eastAsia="es-ES"/>
        </w:rPr>
      </w:pPr>
      <w:r w:rsidRPr="00DE7CC4">
        <w:rPr>
          <w:rFonts w:ascii="Times New Roman" w:hAnsi="Times New Roman" w:cs="Times New Roman"/>
          <w:color w:val="000000" w:themeColor="text1"/>
          <w:sz w:val="28"/>
          <w:bdr w:val="none" w:sz="0" w:space="0" w:color="auto" w:frame="1"/>
          <w:lang w:eastAsia="es-ES"/>
        </w:rPr>
        <w:t xml:space="preserve">La Sala Plena de la Corte Constitucional, en ejercicio de sus atribuciones </w:t>
      </w:r>
      <w:r w:rsidRPr="00DE7CC4">
        <w:rPr>
          <w:rFonts w:ascii="Times New Roman" w:hAnsi="Times New Roman" w:cs="Times New Roman"/>
          <w:color w:val="000000" w:themeColor="text1"/>
          <w:sz w:val="28"/>
          <w:bdr w:val="none" w:sz="0" w:space="0" w:color="auto" w:frame="1"/>
          <w:lang w:eastAsia="es-ES"/>
        </w:rPr>
        <w:t>c</w:t>
      </w:r>
      <w:r w:rsidRPr="00DE7CC4">
        <w:rPr>
          <w:rFonts w:ascii="Times New Roman" w:hAnsi="Times New Roman" w:cs="Times New Roman"/>
          <w:color w:val="000000" w:themeColor="text1"/>
          <w:sz w:val="28"/>
          <w:bdr w:val="none" w:sz="0" w:space="0" w:color="auto" w:frame="1"/>
          <w:lang w:eastAsia="es-ES"/>
        </w:rPr>
        <w:t xml:space="preserve">onstitucionales y en cumplimiento de los requisitos y trámites establecidos en el Decreto Ley 2067 de 1991, ha proferido la siguiente </w:t>
      </w:r>
    </w:p>
    <w:p w:rsidR="00F32ED8" w:rsidRPr="00DE7CC4" w:rsidRDefault="00DE7CC4" w:rsidP="00F32ED8">
      <w:pPr>
        <w:jc w:val="both"/>
        <w:textAlignment w:val="baseline"/>
        <w:rPr>
          <w:rFonts w:ascii="Times New Roman" w:hAnsi="Times New Roman" w:cs="Times New Roman"/>
          <w:color w:val="000000" w:themeColor="text1"/>
          <w:sz w:val="28"/>
          <w:bdr w:val="none" w:sz="0" w:space="0" w:color="auto" w:frame="1"/>
          <w:lang w:eastAsia="es-ES"/>
        </w:rPr>
      </w:pPr>
    </w:p>
    <w:p w:rsidR="00FB194F" w:rsidRPr="00DE7CC4" w:rsidRDefault="00DE7CC4" w:rsidP="00FB194F">
      <w:pPr>
        <w:pStyle w:val="Ttulo1"/>
        <w:spacing w:line="240" w:lineRule="auto"/>
        <w:rPr>
          <w:rFonts w:ascii="Times New Roman" w:hAnsi="Times New Roman" w:cs="Times New Roman"/>
          <w:color w:val="000000" w:themeColor="text1"/>
          <w:szCs w:val="24"/>
        </w:rPr>
      </w:pPr>
      <w:bookmarkStart w:id="2" w:name="_Toc74379861"/>
      <w:bookmarkStart w:id="3" w:name="_Toc81813471"/>
      <w:r w:rsidRPr="00DE7CC4">
        <w:rPr>
          <w:rFonts w:ascii="Times New Roman" w:hAnsi="Times New Roman" w:cs="Times New Roman"/>
          <w:color w:val="000000" w:themeColor="text1"/>
          <w:szCs w:val="24"/>
        </w:rPr>
        <w:t>SENTENCIA</w:t>
      </w:r>
      <w:bookmarkEnd w:id="2"/>
      <w:bookmarkEnd w:id="3"/>
    </w:p>
    <w:p w:rsidR="00FB194F" w:rsidRPr="00DE7CC4" w:rsidRDefault="00DE7CC4" w:rsidP="00FB194F">
      <w:pPr>
        <w:rPr>
          <w:rFonts w:ascii="Times New Roman" w:hAnsi="Times New Roman" w:cs="Times New Roman"/>
          <w:sz w:val="28"/>
          <w:lang w:eastAsia="es-ES"/>
        </w:rPr>
      </w:pPr>
    </w:p>
    <w:p w:rsidR="00FB194F" w:rsidRPr="00DE7CC4" w:rsidRDefault="00DE7CC4" w:rsidP="00FB194F">
      <w:pPr>
        <w:rPr>
          <w:rFonts w:ascii="Times New Roman" w:hAnsi="Times New Roman" w:cs="Times New Roman"/>
          <w:b/>
          <w:bCs/>
          <w:sz w:val="28"/>
          <w:lang w:eastAsia="es-ES"/>
        </w:rPr>
      </w:pPr>
      <w:r w:rsidRPr="00DE7CC4">
        <w:rPr>
          <w:rFonts w:ascii="Times New Roman" w:hAnsi="Times New Roman" w:cs="Times New Roman"/>
          <w:b/>
          <w:bCs/>
          <w:sz w:val="28"/>
          <w:lang w:eastAsia="es-ES"/>
        </w:rPr>
        <w:t xml:space="preserve">Síntesis de la decisión </w:t>
      </w:r>
    </w:p>
    <w:p w:rsidR="00FB194F" w:rsidRPr="00DE7CC4" w:rsidRDefault="00DE7CC4" w:rsidP="00FB194F">
      <w:pPr>
        <w:rPr>
          <w:rFonts w:ascii="Times New Roman" w:hAnsi="Times New Roman" w:cs="Times New Roman"/>
          <w:b/>
          <w:bCs/>
          <w:color w:val="000000" w:themeColor="text1"/>
          <w:sz w:val="28"/>
          <w:lang w:val="es-ES"/>
        </w:rPr>
      </w:pPr>
    </w:p>
    <w:p w:rsidR="00FB194F" w:rsidRPr="00DE7CC4" w:rsidRDefault="00DE7CC4" w:rsidP="00FB194F">
      <w:pPr>
        <w:ind w:right="49"/>
        <w:jc w:val="both"/>
        <w:rPr>
          <w:rFonts w:ascii="Times New Roman" w:hAnsi="Times New Roman" w:cs="Times New Roman"/>
          <w:noProof/>
          <w:color w:val="000000" w:themeColor="text1"/>
          <w:sz w:val="28"/>
          <w:lang w:val="es-ES_tradnl"/>
        </w:rPr>
      </w:pPr>
      <w:r w:rsidRPr="00DE7CC4">
        <w:rPr>
          <w:rFonts w:ascii="Times New Roman" w:hAnsi="Times New Roman" w:cs="Times New Roman"/>
          <w:color w:val="000000" w:themeColor="text1"/>
          <w:sz w:val="28"/>
          <w:lang w:val="es-ES"/>
        </w:rPr>
        <w:t>1. La S</w:t>
      </w:r>
      <w:r w:rsidRPr="00DE7CC4">
        <w:rPr>
          <w:rFonts w:ascii="Times New Roman" w:hAnsi="Times New Roman" w:cs="Times New Roman"/>
          <w:color w:val="000000" w:themeColor="text1"/>
          <w:sz w:val="28"/>
          <w:lang w:val="es-ES"/>
        </w:rPr>
        <w:t xml:space="preserve">ala Plena se ocupó de la demanda de inconstitucionalidad presentada por </w:t>
      </w:r>
      <w:r w:rsidRPr="00DE7CC4">
        <w:rPr>
          <w:rFonts w:ascii="Times New Roman" w:hAnsi="Times New Roman" w:cs="Times New Roman"/>
          <w:color w:val="000000" w:themeColor="text1"/>
          <w:sz w:val="28"/>
        </w:rPr>
        <w:t xml:space="preserve">los ciudadanos </w:t>
      </w:r>
      <w:r w:rsidRPr="00DE7CC4">
        <w:rPr>
          <w:rFonts w:ascii="Times New Roman" w:hAnsi="Times New Roman" w:cs="Times New Roman"/>
          <w:noProof/>
          <w:color w:val="000000" w:themeColor="text1"/>
          <w:sz w:val="28"/>
          <w:lang w:val="es-ES_tradnl"/>
        </w:rPr>
        <w:t>Julio Andrés Ossa Santamaría, Juan Camilo Herrera Prieto y Armin Josef Sattler González</w:t>
      </w:r>
      <w:r w:rsidRPr="00DE7CC4">
        <w:rPr>
          <w:rFonts w:ascii="Times New Roman" w:hAnsi="Times New Roman" w:cs="Times New Roman"/>
          <w:color w:val="000000" w:themeColor="text1"/>
          <w:sz w:val="28"/>
        </w:rPr>
        <w:t xml:space="preserve"> </w:t>
      </w:r>
      <w:r w:rsidRPr="00DE7CC4">
        <w:rPr>
          <w:rFonts w:ascii="Times New Roman" w:hAnsi="Times New Roman" w:cs="Times New Roman"/>
          <w:color w:val="000000" w:themeColor="text1"/>
          <w:sz w:val="28"/>
          <w:lang w:val="es-ES"/>
        </w:rPr>
        <w:t xml:space="preserve">contra el artículo 16 de la Ley 2251 de 2022, que subrogó el artículo 143 del Código Nacional de Tránsito. De conformidad con lo decidido en el proceso de admisión del trámite, se admitieron cuatro cargos: el primero, por violación al deber </w:t>
      </w:r>
      <w:r w:rsidRPr="00DE7CC4">
        <w:rPr>
          <w:rFonts w:ascii="Times New Roman" w:hAnsi="Times New Roman" w:cs="Times New Roman"/>
          <w:noProof/>
          <w:color w:val="000000" w:themeColor="text1"/>
          <w:sz w:val="28"/>
          <w:lang w:val="es-ES_tradnl"/>
        </w:rPr>
        <w:t>de protección q</w:t>
      </w:r>
      <w:r w:rsidRPr="00DE7CC4">
        <w:rPr>
          <w:rFonts w:ascii="Times New Roman" w:hAnsi="Times New Roman" w:cs="Times New Roman"/>
          <w:noProof/>
          <w:color w:val="000000" w:themeColor="text1"/>
          <w:sz w:val="28"/>
          <w:lang w:val="es-ES_tradnl"/>
        </w:rPr>
        <w:t>ue le corresponde al Estado sobre la propiedad –los bienes de los residentes en el país–, artículos 2 y 58 superiores; el segundo, por vulneración a la prohibición de retroceso respecto del derecho de propiedad, artículos 58 y 60 de la Constitución y 21 de</w:t>
      </w:r>
      <w:r w:rsidRPr="00DE7CC4">
        <w:rPr>
          <w:rFonts w:ascii="Times New Roman" w:hAnsi="Times New Roman" w:cs="Times New Roman"/>
          <w:noProof/>
          <w:color w:val="000000" w:themeColor="text1"/>
          <w:sz w:val="28"/>
          <w:lang w:val="es-ES_tradnl"/>
        </w:rPr>
        <w:t xml:space="preserve"> la Convención Americana sobre Derechos Humanos; el tercero, por quebrabtamiento del deber de garantizar el orden público, artículos 2 y 189.4 superiores, y, el cuarto, por omisión en el deber del Estado de perseguir la responsabilidad de los particulares </w:t>
      </w:r>
      <w:r w:rsidRPr="00DE7CC4">
        <w:rPr>
          <w:rFonts w:ascii="Times New Roman" w:hAnsi="Times New Roman" w:cs="Times New Roman"/>
          <w:noProof/>
          <w:color w:val="000000" w:themeColor="text1"/>
          <w:sz w:val="28"/>
          <w:lang w:val="es-ES_tradnl"/>
        </w:rPr>
        <w:t>por la infracción de las normas de tránsito, artículo 6º superior.</w:t>
      </w:r>
    </w:p>
    <w:p w:rsidR="00FB194F" w:rsidRPr="00DE7CC4" w:rsidRDefault="00DE7CC4" w:rsidP="00FB194F">
      <w:pPr>
        <w:ind w:right="49"/>
        <w:jc w:val="both"/>
        <w:rPr>
          <w:rFonts w:ascii="Times New Roman" w:hAnsi="Times New Roman" w:cs="Times New Roman"/>
          <w:noProof/>
          <w:color w:val="000000" w:themeColor="text1"/>
          <w:sz w:val="28"/>
          <w:lang w:val="es-ES_tradnl"/>
        </w:rPr>
      </w:pPr>
    </w:p>
    <w:p w:rsidR="00FB194F" w:rsidRPr="00DE7CC4" w:rsidRDefault="00DE7CC4" w:rsidP="00FB194F">
      <w:pPr>
        <w:ind w:right="49"/>
        <w:jc w:val="both"/>
        <w:rPr>
          <w:rFonts w:ascii="Times New Roman" w:hAnsi="Times New Roman" w:cs="Times New Roman"/>
          <w:color w:val="000000" w:themeColor="text1"/>
          <w:sz w:val="28"/>
          <w:lang w:val="es-ES"/>
        </w:rPr>
      </w:pPr>
      <w:r w:rsidRPr="00DE7CC4">
        <w:rPr>
          <w:rFonts w:ascii="Times New Roman" w:hAnsi="Times New Roman" w:cs="Times New Roman"/>
          <w:noProof/>
          <w:color w:val="000000" w:themeColor="text1"/>
          <w:sz w:val="28"/>
          <w:lang w:val="es-ES_tradnl"/>
        </w:rPr>
        <w:t xml:space="preserve">2. </w:t>
      </w:r>
      <w:r w:rsidRPr="00DE7CC4">
        <w:rPr>
          <w:rFonts w:ascii="Times New Roman" w:hAnsi="Times New Roman" w:cs="Times New Roman"/>
          <w:color w:val="000000" w:themeColor="text1"/>
          <w:sz w:val="28"/>
          <w:lang w:val="es-ES"/>
        </w:rPr>
        <w:t>Adelantado el trámite respectivo, se allegaron seis intervenciones dentro de la oportunidad respectiva. La Nación - Ministerio de Transporte y la Federación Colombiana de Municipios - F</w:t>
      </w:r>
      <w:r w:rsidRPr="00DE7CC4">
        <w:rPr>
          <w:rFonts w:ascii="Times New Roman" w:hAnsi="Times New Roman" w:cs="Times New Roman"/>
          <w:color w:val="000000" w:themeColor="text1"/>
          <w:sz w:val="28"/>
          <w:lang w:val="es-ES"/>
        </w:rPr>
        <w:t>edemunicipios se opusieron a la prosperidad de las pretensiones; el Ministerio mencionado, de manera preliminar, consideró que la demanda era inepta. Los ciudadanos Paul Esteban Hernández - otra y Viviana Patricia Gómez Galeano - otra y la Universidad de l</w:t>
      </w:r>
      <w:r w:rsidRPr="00DE7CC4">
        <w:rPr>
          <w:rFonts w:ascii="Times New Roman" w:hAnsi="Times New Roman" w:cs="Times New Roman"/>
          <w:color w:val="000000" w:themeColor="text1"/>
          <w:sz w:val="28"/>
          <w:lang w:val="es-ES"/>
        </w:rPr>
        <w:t>os Andes, acompañaron las súplicas de la demanda. Y, finalmente, la Superintendencia Financiera adujo que se abstenía de efectuar un pronunciamiento sobre la constitucionalidad o no de la disposición demandada. La procuradora general de la nación, Margarit</w:t>
      </w:r>
      <w:r w:rsidRPr="00DE7CC4">
        <w:rPr>
          <w:rFonts w:ascii="Times New Roman" w:hAnsi="Times New Roman" w:cs="Times New Roman"/>
          <w:color w:val="000000" w:themeColor="text1"/>
          <w:sz w:val="28"/>
          <w:lang w:val="es-ES"/>
        </w:rPr>
        <w:t xml:space="preserve">a Cabello Blanco, en su concepto, se opuso a las pretensiones de la demanda y solicitó declarar la exequibilidad del artículo 16 de la Ley 2251 de 2022. </w:t>
      </w:r>
    </w:p>
    <w:p w:rsidR="00FB194F" w:rsidRPr="00DE7CC4" w:rsidRDefault="00DE7CC4" w:rsidP="00FB194F">
      <w:pPr>
        <w:ind w:right="49"/>
        <w:jc w:val="both"/>
        <w:rPr>
          <w:rFonts w:ascii="Times New Roman" w:hAnsi="Times New Roman" w:cs="Times New Roman"/>
          <w:color w:val="000000" w:themeColor="text1"/>
          <w:sz w:val="28"/>
          <w:lang w:val="es-ES"/>
        </w:rPr>
      </w:pPr>
    </w:p>
    <w:p w:rsidR="00FB194F" w:rsidRPr="00DE7CC4" w:rsidRDefault="00DE7CC4" w:rsidP="00FB194F">
      <w:pPr>
        <w:pStyle w:val="sangradetindependiente"/>
        <w:shd w:val="clear" w:color="auto" w:fill="FFFFFF"/>
        <w:spacing w:before="0" w:beforeAutospacing="0" w:after="0" w:afterAutospacing="0"/>
        <w:ind w:right="51"/>
        <w:jc w:val="both"/>
        <w:rPr>
          <w:rFonts w:ascii="Times New Roman" w:hAnsi="Times New Roman" w:cs="Times New Roman"/>
          <w:color w:val="000000" w:themeColor="text1"/>
          <w:sz w:val="28"/>
        </w:rPr>
      </w:pPr>
      <w:r w:rsidRPr="00DE7CC4">
        <w:rPr>
          <w:rFonts w:ascii="Times New Roman" w:hAnsi="Times New Roman" w:cs="Times New Roman"/>
          <w:color w:val="000000" w:themeColor="text1"/>
          <w:sz w:val="28"/>
          <w:lang w:val="es-ES"/>
        </w:rPr>
        <w:t>3. Como cuestiones previas, la Sala Plena estudió tres aspectos; el primero, relacionado con el alcan</w:t>
      </w:r>
      <w:r w:rsidRPr="00DE7CC4">
        <w:rPr>
          <w:rFonts w:ascii="Times New Roman" w:hAnsi="Times New Roman" w:cs="Times New Roman"/>
          <w:color w:val="000000" w:themeColor="text1"/>
          <w:sz w:val="28"/>
          <w:lang w:val="es-ES"/>
        </w:rPr>
        <w:t xml:space="preserve">ce y contexto de la disposición demandada; el segundo, con la aptitud de los cargos presentados y, el tercero, con la solicitud de una de las intervenciones de decretar en este caso la medida cautelar de suspensión provisional. En relación con lo primero, </w:t>
      </w:r>
      <w:r w:rsidRPr="00DE7CC4">
        <w:rPr>
          <w:rFonts w:ascii="Times New Roman" w:hAnsi="Times New Roman" w:cs="Times New Roman"/>
          <w:color w:val="000000" w:themeColor="text1"/>
          <w:sz w:val="28"/>
          <w:lang w:val="es-ES"/>
        </w:rPr>
        <w:t xml:space="preserve">la Sala Plena destacó que </w:t>
      </w:r>
      <w:r w:rsidRPr="00DE7CC4">
        <w:rPr>
          <w:rFonts w:ascii="Times New Roman" w:hAnsi="Times New Roman" w:cs="Times New Roman"/>
          <w:color w:val="000000" w:themeColor="text1"/>
          <w:sz w:val="28"/>
        </w:rPr>
        <w:t>(i) el artículo 16 de la Ley 2251 de 2022 subrogó el artículo 143 del Código Nacional de Tránsito, previendo un curso de acción especial para aquellos casos en los que se presentan accidentes de tránsito que arrojan solo daños mat</w:t>
      </w:r>
      <w:r w:rsidRPr="00DE7CC4">
        <w:rPr>
          <w:rFonts w:ascii="Times New Roman" w:hAnsi="Times New Roman" w:cs="Times New Roman"/>
          <w:color w:val="000000" w:themeColor="text1"/>
          <w:sz w:val="28"/>
        </w:rPr>
        <w:t>eriales; (ii) esta nueva configuración tiene por objeto descongestionar las vías, atender este tipo de accidentes de manera más ágil para efectos de garantizar el derecho a la locomoción, entre otros bienes involucrados en la actividad peligrosa de conduci</w:t>
      </w:r>
      <w:r w:rsidRPr="00DE7CC4">
        <w:rPr>
          <w:rFonts w:ascii="Times New Roman" w:hAnsi="Times New Roman" w:cs="Times New Roman"/>
          <w:color w:val="000000" w:themeColor="text1"/>
          <w:sz w:val="28"/>
        </w:rPr>
        <w:t xml:space="preserve">r; y (iii) la principal modificación radica en que la autoridad de tránsito ya no acudirá al lugar de los hechos para adelantar sus actuaciones de conciliación y, en caso de no ser posible, suscribir el informe policial de tránsito –lo que lleva aparejado </w:t>
      </w:r>
      <w:r w:rsidRPr="00DE7CC4">
        <w:rPr>
          <w:rFonts w:ascii="Times New Roman" w:hAnsi="Times New Roman" w:cs="Times New Roman"/>
          <w:color w:val="000000" w:themeColor="text1"/>
          <w:sz w:val="28"/>
        </w:rPr>
        <w:t>el croquis–. Conforme a esta nueva regulación, y teniendo en cuenta el alcance del informe policial de tránsito y para qué se elabora, corresponderá a los interesados recaudar las pruebas, en las condiciones previstas por la disposición, para una futura re</w:t>
      </w:r>
      <w:r w:rsidRPr="00DE7CC4">
        <w:rPr>
          <w:rFonts w:ascii="Times New Roman" w:hAnsi="Times New Roman" w:cs="Times New Roman"/>
          <w:color w:val="000000" w:themeColor="text1"/>
          <w:sz w:val="28"/>
        </w:rPr>
        <w:t>clamación por los daños causados. Por esto último, se indicó que era dable sostener que había una modificación en la configuración probatoria que antecede a la reclamación de daños a la propiedad, bien sea reclamando la efectividad de una póliza o acudiend</w:t>
      </w:r>
      <w:r w:rsidRPr="00DE7CC4">
        <w:rPr>
          <w:rFonts w:ascii="Times New Roman" w:hAnsi="Times New Roman" w:cs="Times New Roman"/>
          <w:color w:val="000000" w:themeColor="text1"/>
          <w:sz w:val="28"/>
        </w:rPr>
        <w:t>o a la vía de la responsabilidad extracontractual.</w:t>
      </w:r>
    </w:p>
    <w:p w:rsidR="00FB194F" w:rsidRPr="00DE7CC4" w:rsidRDefault="00DE7CC4" w:rsidP="00FB194F">
      <w:pPr>
        <w:pStyle w:val="sangradetindependiente"/>
        <w:shd w:val="clear" w:color="auto" w:fill="FFFFFF"/>
        <w:spacing w:before="0" w:beforeAutospacing="0" w:after="0" w:afterAutospacing="0"/>
        <w:ind w:right="51"/>
        <w:jc w:val="both"/>
        <w:rPr>
          <w:rFonts w:ascii="Times New Roman" w:hAnsi="Times New Roman" w:cs="Times New Roman"/>
          <w:color w:val="000000" w:themeColor="text1"/>
          <w:sz w:val="28"/>
        </w:rPr>
      </w:pPr>
    </w:p>
    <w:p w:rsidR="00FB194F" w:rsidRPr="00DE7CC4" w:rsidRDefault="00DE7CC4" w:rsidP="00FB194F">
      <w:pPr>
        <w:pStyle w:val="sangradetindependiente"/>
        <w:shd w:val="clear" w:color="auto" w:fill="FFFFFF"/>
        <w:spacing w:before="0" w:beforeAutospacing="0" w:after="0" w:afterAutospacing="0"/>
        <w:ind w:right="51"/>
        <w:jc w:val="both"/>
        <w:rPr>
          <w:rFonts w:ascii="Times New Roman" w:hAnsi="Times New Roman" w:cs="Times New Roman"/>
          <w:color w:val="000000" w:themeColor="text1"/>
          <w:sz w:val="28"/>
        </w:rPr>
      </w:pPr>
      <w:r w:rsidRPr="00DE7CC4">
        <w:rPr>
          <w:rFonts w:ascii="Times New Roman" w:hAnsi="Times New Roman" w:cs="Times New Roman"/>
          <w:color w:val="000000" w:themeColor="text1"/>
          <w:sz w:val="28"/>
        </w:rPr>
        <w:t xml:space="preserve">4. En relación con lo segundo, la aptitud de la demanda, </w:t>
      </w:r>
      <w:r w:rsidRPr="00DE7CC4">
        <w:rPr>
          <w:rFonts w:ascii="Times New Roman" w:hAnsi="Times New Roman" w:cs="Times New Roman"/>
          <w:color w:val="000000" w:themeColor="text1"/>
          <w:sz w:val="28"/>
          <w:lang w:val="es-ES"/>
        </w:rPr>
        <w:t xml:space="preserve">afirmó que solamente el </w:t>
      </w:r>
      <w:r w:rsidRPr="00DE7CC4">
        <w:rPr>
          <w:rFonts w:ascii="Times New Roman" w:hAnsi="Times New Roman" w:cs="Times New Roman"/>
          <w:i/>
          <w:iCs/>
          <w:color w:val="000000" w:themeColor="text1"/>
          <w:sz w:val="28"/>
          <w:lang w:val="es-ES"/>
        </w:rPr>
        <w:t>primer cargo</w:t>
      </w:r>
      <w:r w:rsidRPr="00DE7CC4">
        <w:rPr>
          <w:rFonts w:ascii="Times New Roman" w:hAnsi="Times New Roman" w:cs="Times New Roman"/>
          <w:color w:val="000000" w:themeColor="text1"/>
          <w:sz w:val="28"/>
          <w:lang w:val="es-ES"/>
        </w:rPr>
        <w:t xml:space="preserve"> era apto, por satisfacer los requisitos argumentativos necesarios para promover un pronunciamiento de fondo. No obstante, señaló que el </w:t>
      </w:r>
      <w:r w:rsidRPr="00DE7CC4">
        <w:rPr>
          <w:rFonts w:ascii="Times New Roman" w:hAnsi="Times New Roman" w:cs="Times New Roman"/>
          <w:i/>
          <w:iCs/>
          <w:color w:val="000000" w:themeColor="text1"/>
          <w:sz w:val="28"/>
          <w:lang w:val="es-ES"/>
        </w:rPr>
        <w:t>segundo cargo</w:t>
      </w:r>
      <w:r w:rsidRPr="00DE7CC4">
        <w:rPr>
          <w:rFonts w:ascii="Times New Roman" w:hAnsi="Times New Roman" w:cs="Times New Roman"/>
          <w:color w:val="000000" w:themeColor="text1"/>
          <w:sz w:val="28"/>
          <w:lang w:val="es-ES"/>
        </w:rPr>
        <w:t xml:space="preserve">, fundado en la vulneración de la prohibición de retroceso, </w:t>
      </w:r>
      <w:r w:rsidRPr="00DE7CC4">
        <w:rPr>
          <w:rFonts w:ascii="Times New Roman" w:hAnsi="Times New Roman" w:cs="Times New Roman"/>
          <w:color w:val="000000" w:themeColor="text1"/>
          <w:sz w:val="28"/>
          <w:bdr w:val="none" w:sz="0" w:space="0" w:color="auto" w:frame="1"/>
          <w:lang w:val="es-ES_tradnl" w:eastAsia="es-ES"/>
        </w:rPr>
        <w:t xml:space="preserve">no satisfizo los requisitos de (i) </w:t>
      </w:r>
      <w:r w:rsidRPr="00DE7CC4">
        <w:rPr>
          <w:rFonts w:ascii="Times New Roman" w:hAnsi="Times New Roman" w:cs="Times New Roman"/>
          <w:i/>
          <w:iCs/>
          <w:color w:val="000000" w:themeColor="text1"/>
          <w:sz w:val="28"/>
          <w:bdr w:val="none" w:sz="0" w:space="0" w:color="auto" w:frame="1"/>
          <w:lang w:val="es-ES_tradnl" w:eastAsia="es-ES"/>
        </w:rPr>
        <w:t xml:space="preserve">certeza, </w:t>
      </w:r>
      <w:r w:rsidRPr="00DE7CC4">
        <w:rPr>
          <w:rFonts w:ascii="Times New Roman" w:hAnsi="Times New Roman" w:cs="Times New Roman"/>
          <w:color w:val="000000" w:themeColor="text1"/>
          <w:sz w:val="28"/>
          <w:bdr w:val="none" w:sz="0" w:space="0" w:color="auto" w:frame="1"/>
          <w:lang w:val="es-ES_tradnl" w:eastAsia="es-ES"/>
        </w:rPr>
        <w:t>pu</w:t>
      </w:r>
      <w:r w:rsidRPr="00DE7CC4">
        <w:rPr>
          <w:rFonts w:ascii="Times New Roman" w:hAnsi="Times New Roman" w:cs="Times New Roman"/>
          <w:color w:val="000000" w:themeColor="text1"/>
          <w:sz w:val="28"/>
          <w:bdr w:val="none" w:sz="0" w:space="0" w:color="auto" w:frame="1"/>
          <w:lang w:val="es-ES_tradnl" w:eastAsia="es-ES"/>
        </w:rPr>
        <w:t>es la lectura de la disposición cuestionada no fue debidamente sustentada y se omitió advertir las variaciones legislativas entre la expedición de la Ley 769 de 2002 y la Ley 2251 de 2022;</w:t>
      </w:r>
      <w:r w:rsidRPr="00DE7CC4">
        <w:rPr>
          <w:rFonts w:ascii="Times New Roman" w:hAnsi="Times New Roman" w:cs="Times New Roman"/>
          <w:i/>
          <w:iCs/>
          <w:color w:val="000000" w:themeColor="text1"/>
          <w:sz w:val="28"/>
          <w:bdr w:val="none" w:sz="0" w:space="0" w:color="auto" w:frame="1"/>
          <w:lang w:val="es-ES_tradnl" w:eastAsia="es-ES"/>
        </w:rPr>
        <w:t xml:space="preserve"> </w:t>
      </w:r>
      <w:r w:rsidRPr="00DE7CC4">
        <w:rPr>
          <w:rFonts w:ascii="Times New Roman" w:hAnsi="Times New Roman" w:cs="Times New Roman"/>
          <w:color w:val="000000" w:themeColor="text1"/>
          <w:sz w:val="28"/>
          <w:bdr w:val="none" w:sz="0" w:space="0" w:color="auto" w:frame="1"/>
          <w:lang w:val="es-ES_tradnl" w:eastAsia="es-ES"/>
        </w:rPr>
        <w:t xml:space="preserve">(ii) </w:t>
      </w:r>
      <w:r w:rsidRPr="00DE7CC4">
        <w:rPr>
          <w:rFonts w:ascii="Times New Roman" w:hAnsi="Times New Roman" w:cs="Times New Roman"/>
          <w:i/>
          <w:iCs/>
          <w:color w:val="000000" w:themeColor="text1"/>
          <w:sz w:val="28"/>
          <w:bdr w:val="none" w:sz="0" w:space="0" w:color="auto" w:frame="1"/>
          <w:lang w:val="es-ES_tradnl" w:eastAsia="es-ES"/>
        </w:rPr>
        <w:t xml:space="preserve">especificidad, </w:t>
      </w:r>
      <w:r w:rsidRPr="00DE7CC4">
        <w:rPr>
          <w:rFonts w:ascii="Times New Roman" w:hAnsi="Times New Roman" w:cs="Times New Roman"/>
          <w:color w:val="000000" w:themeColor="text1"/>
          <w:sz w:val="28"/>
          <w:bdr w:val="none" w:sz="0" w:space="0" w:color="auto" w:frame="1"/>
          <w:lang w:val="es-ES_tradnl" w:eastAsia="es-ES"/>
        </w:rPr>
        <w:t>porque no se identificó la razón por la cual de</w:t>
      </w:r>
      <w:r w:rsidRPr="00DE7CC4">
        <w:rPr>
          <w:rFonts w:ascii="Times New Roman" w:hAnsi="Times New Roman" w:cs="Times New Roman"/>
          <w:color w:val="000000" w:themeColor="text1"/>
          <w:sz w:val="28"/>
          <w:bdr w:val="none" w:sz="0" w:space="0" w:color="auto" w:frame="1"/>
          <w:lang w:val="es-ES_tradnl" w:eastAsia="es-ES"/>
        </w:rPr>
        <w:t xml:space="preserve">l derecho de propiedad y de qué faceta en particular era predicable la no regresividad, y por qué ésta se podría ver afectada con la disposición demandada; (iii) </w:t>
      </w:r>
      <w:r w:rsidRPr="00DE7CC4">
        <w:rPr>
          <w:rFonts w:ascii="Times New Roman" w:hAnsi="Times New Roman" w:cs="Times New Roman"/>
          <w:i/>
          <w:iCs/>
          <w:color w:val="000000" w:themeColor="text1"/>
          <w:sz w:val="28"/>
          <w:bdr w:val="none" w:sz="0" w:space="0" w:color="auto" w:frame="1"/>
          <w:lang w:val="es-ES_tradnl" w:eastAsia="es-ES"/>
        </w:rPr>
        <w:t xml:space="preserve">pertinencia, </w:t>
      </w:r>
      <w:r w:rsidRPr="00DE7CC4">
        <w:rPr>
          <w:rFonts w:ascii="Times New Roman" w:hAnsi="Times New Roman" w:cs="Times New Roman"/>
          <w:color w:val="000000" w:themeColor="text1"/>
          <w:sz w:val="28"/>
          <w:bdr w:val="none" w:sz="0" w:space="0" w:color="auto" w:frame="1"/>
          <w:lang w:val="es-ES_tradnl" w:eastAsia="es-ES"/>
        </w:rPr>
        <w:t xml:space="preserve">en tanto algunos de sus argumentos eran especulativos, y, finalmente, (iv) </w:t>
      </w:r>
      <w:r w:rsidRPr="00DE7CC4">
        <w:rPr>
          <w:rFonts w:ascii="Times New Roman" w:hAnsi="Times New Roman" w:cs="Times New Roman"/>
          <w:i/>
          <w:iCs/>
          <w:color w:val="000000" w:themeColor="text1"/>
          <w:sz w:val="28"/>
          <w:bdr w:val="none" w:sz="0" w:space="0" w:color="auto" w:frame="1"/>
          <w:lang w:val="es-ES_tradnl" w:eastAsia="es-ES"/>
        </w:rPr>
        <w:t>sufici</w:t>
      </w:r>
      <w:r w:rsidRPr="00DE7CC4">
        <w:rPr>
          <w:rFonts w:ascii="Times New Roman" w:hAnsi="Times New Roman" w:cs="Times New Roman"/>
          <w:i/>
          <w:iCs/>
          <w:color w:val="000000" w:themeColor="text1"/>
          <w:sz w:val="28"/>
          <w:bdr w:val="none" w:sz="0" w:space="0" w:color="auto" w:frame="1"/>
          <w:lang w:val="es-ES_tradnl" w:eastAsia="es-ES"/>
        </w:rPr>
        <w:t xml:space="preserve">encia, </w:t>
      </w:r>
      <w:r w:rsidRPr="00DE7CC4">
        <w:rPr>
          <w:rFonts w:ascii="Times New Roman" w:hAnsi="Times New Roman" w:cs="Times New Roman"/>
          <w:color w:val="000000" w:themeColor="text1"/>
          <w:sz w:val="28"/>
          <w:bdr w:val="none" w:sz="0" w:space="0" w:color="auto" w:frame="1"/>
          <w:lang w:val="es-ES_tradnl" w:eastAsia="es-ES"/>
        </w:rPr>
        <w:t>en cuanto a partir del análisis realizado en esta instancia y con las intervenciones allegadas, no se generó una duda de inconstitucionalidad con la entidad para adelantar un pronunciamiento de fondo.</w:t>
      </w:r>
    </w:p>
    <w:p w:rsidR="00FB194F" w:rsidRPr="00DE7CC4" w:rsidRDefault="00DE7CC4" w:rsidP="00FB194F">
      <w:pPr>
        <w:jc w:val="both"/>
        <w:rPr>
          <w:rFonts w:ascii="Times New Roman" w:hAnsi="Times New Roman" w:cs="Times New Roman"/>
          <w:color w:val="000000" w:themeColor="text1"/>
          <w:sz w:val="28"/>
          <w:bdr w:val="none" w:sz="0" w:space="0" w:color="auto" w:frame="1"/>
          <w:lang w:val="es-ES_tradnl" w:eastAsia="es-ES"/>
        </w:rPr>
      </w:pPr>
    </w:p>
    <w:p w:rsidR="00FB194F" w:rsidRPr="00DE7CC4" w:rsidRDefault="00DE7CC4" w:rsidP="00FB194F">
      <w:pPr>
        <w:pStyle w:val="sangradetindependiente"/>
        <w:shd w:val="clear" w:color="auto" w:fill="FFFFFF"/>
        <w:spacing w:before="0" w:beforeAutospacing="0" w:after="0" w:afterAutospacing="0"/>
        <w:ind w:right="51"/>
        <w:jc w:val="both"/>
        <w:rPr>
          <w:rFonts w:ascii="Times New Roman" w:hAnsi="Times New Roman" w:cs="Times New Roman"/>
          <w:color w:val="000000" w:themeColor="text1"/>
          <w:sz w:val="28"/>
        </w:rPr>
      </w:pPr>
      <w:r w:rsidRPr="00DE7CC4">
        <w:rPr>
          <w:rFonts w:ascii="Times New Roman" w:hAnsi="Times New Roman" w:cs="Times New Roman"/>
          <w:color w:val="000000" w:themeColor="text1"/>
          <w:sz w:val="28"/>
          <w:bdr w:val="none" w:sz="0" w:space="0" w:color="auto" w:frame="1"/>
          <w:lang w:val="es-ES_tradnl" w:eastAsia="es-ES"/>
        </w:rPr>
        <w:t>5. Los cargos tercero y cuarto, analizados conj</w:t>
      </w:r>
      <w:r w:rsidRPr="00DE7CC4">
        <w:rPr>
          <w:rFonts w:ascii="Times New Roman" w:hAnsi="Times New Roman" w:cs="Times New Roman"/>
          <w:color w:val="000000" w:themeColor="text1"/>
          <w:sz w:val="28"/>
          <w:bdr w:val="none" w:sz="0" w:space="0" w:color="auto" w:frame="1"/>
          <w:lang w:val="es-ES_tradnl" w:eastAsia="es-ES"/>
        </w:rPr>
        <w:t xml:space="preserve">untamente, tampoco se consideraron aptos en razón a que no cumplieron con los requisitos de (i) </w:t>
      </w:r>
      <w:r w:rsidRPr="00DE7CC4">
        <w:rPr>
          <w:rFonts w:ascii="Times New Roman" w:hAnsi="Times New Roman" w:cs="Times New Roman"/>
          <w:i/>
          <w:iCs/>
          <w:color w:val="000000" w:themeColor="text1"/>
          <w:sz w:val="28"/>
          <w:bdr w:val="none" w:sz="0" w:space="0" w:color="auto" w:frame="1"/>
          <w:lang w:val="es-ES_tradnl" w:eastAsia="es-ES"/>
        </w:rPr>
        <w:t xml:space="preserve">certeza, </w:t>
      </w:r>
      <w:r w:rsidRPr="00DE7CC4">
        <w:rPr>
          <w:rFonts w:ascii="Times New Roman" w:hAnsi="Times New Roman" w:cs="Times New Roman"/>
          <w:color w:val="000000" w:themeColor="text1"/>
          <w:sz w:val="28"/>
          <w:bdr w:val="none" w:sz="0" w:space="0" w:color="auto" w:frame="1"/>
          <w:lang w:val="es-ES_tradnl" w:eastAsia="es-ES"/>
        </w:rPr>
        <w:t xml:space="preserve">pues la lectura de la disposición dada por los demandantes supuso una extrapolación entre comparendo e informe policial de accidente de tránsito; (ii) </w:t>
      </w:r>
      <w:r w:rsidRPr="00DE7CC4">
        <w:rPr>
          <w:rFonts w:ascii="Times New Roman" w:hAnsi="Times New Roman" w:cs="Times New Roman"/>
          <w:i/>
          <w:iCs/>
          <w:color w:val="000000" w:themeColor="text1"/>
          <w:sz w:val="28"/>
          <w:bdr w:val="none" w:sz="0" w:space="0" w:color="auto" w:frame="1"/>
          <w:lang w:val="es-ES_tradnl" w:eastAsia="es-ES"/>
        </w:rPr>
        <w:t>especificidad</w:t>
      </w:r>
      <w:r w:rsidRPr="00DE7CC4">
        <w:rPr>
          <w:rFonts w:ascii="Times New Roman" w:hAnsi="Times New Roman" w:cs="Times New Roman"/>
          <w:color w:val="000000" w:themeColor="text1"/>
          <w:sz w:val="28"/>
          <w:bdr w:val="none" w:sz="0" w:space="0" w:color="auto" w:frame="1"/>
          <w:lang w:val="es-ES_tradnl" w:eastAsia="es-ES"/>
        </w:rPr>
        <w:t xml:space="preserve">, dado que los promotores de la acción no lograron dar cuenda de por qué el enunciado demandado se oponía, en las condiciones vigentes regulativas, a los deberes previstos en los artículos 2, 6 y 189.4 superiores; (iii) </w:t>
      </w:r>
      <w:r w:rsidRPr="00DE7CC4">
        <w:rPr>
          <w:rFonts w:ascii="Times New Roman" w:hAnsi="Times New Roman" w:cs="Times New Roman"/>
          <w:i/>
          <w:iCs/>
          <w:color w:val="000000" w:themeColor="text1"/>
          <w:sz w:val="28"/>
          <w:bdr w:val="none" w:sz="0" w:space="0" w:color="auto" w:frame="1"/>
          <w:lang w:val="es-ES_tradnl" w:eastAsia="es-ES"/>
        </w:rPr>
        <w:t xml:space="preserve">pertinencia, </w:t>
      </w:r>
      <w:r w:rsidRPr="00DE7CC4">
        <w:rPr>
          <w:rFonts w:ascii="Times New Roman" w:hAnsi="Times New Roman" w:cs="Times New Roman"/>
          <w:color w:val="000000" w:themeColor="text1"/>
          <w:sz w:val="28"/>
          <w:bdr w:val="none" w:sz="0" w:space="0" w:color="auto" w:frame="1"/>
          <w:lang w:val="es-ES_tradnl" w:eastAsia="es-ES"/>
        </w:rPr>
        <w:t xml:space="preserve">en tanto los reproches fueron especulativos, y (iv) </w:t>
      </w:r>
      <w:r w:rsidRPr="00DE7CC4">
        <w:rPr>
          <w:rFonts w:ascii="Times New Roman" w:hAnsi="Times New Roman" w:cs="Times New Roman"/>
          <w:i/>
          <w:iCs/>
          <w:color w:val="000000" w:themeColor="text1"/>
          <w:sz w:val="28"/>
          <w:bdr w:val="none" w:sz="0" w:space="0" w:color="auto" w:frame="1"/>
          <w:lang w:val="es-ES_tradnl" w:eastAsia="es-ES"/>
        </w:rPr>
        <w:t xml:space="preserve">suficiencia, </w:t>
      </w:r>
      <w:r w:rsidRPr="00DE7CC4">
        <w:rPr>
          <w:rFonts w:ascii="Times New Roman" w:hAnsi="Times New Roman" w:cs="Times New Roman"/>
          <w:color w:val="000000" w:themeColor="text1"/>
          <w:sz w:val="28"/>
          <w:bdr w:val="none" w:sz="0" w:space="0" w:color="auto" w:frame="1"/>
          <w:lang w:val="es-ES_tradnl" w:eastAsia="es-ES"/>
        </w:rPr>
        <w:t xml:space="preserve">en cuanto a partir del análisis realizado en esta instancia y con las intervenciones allegadas, no se generó una duda de inconstitucionalidad con la entidad para adelantar un pronunciamiento </w:t>
      </w:r>
      <w:r w:rsidRPr="00DE7CC4">
        <w:rPr>
          <w:rFonts w:ascii="Times New Roman" w:hAnsi="Times New Roman" w:cs="Times New Roman"/>
          <w:color w:val="000000" w:themeColor="text1"/>
          <w:sz w:val="28"/>
          <w:bdr w:val="none" w:sz="0" w:space="0" w:color="auto" w:frame="1"/>
          <w:lang w:val="es-ES_tradnl" w:eastAsia="es-ES"/>
        </w:rPr>
        <w:t>de fondo.</w:t>
      </w:r>
    </w:p>
    <w:p w:rsidR="00FB194F" w:rsidRPr="00DE7CC4" w:rsidRDefault="00DE7CC4" w:rsidP="00FB194F">
      <w:pPr>
        <w:jc w:val="both"/>
        <w:rPr>
          <w:rFonts w:ascii="Times New Roman" w:hAnsi="Times New Roman" w:cs="Times New Roman"/>
          <w:color w:val="000000" w:themeColor="text1"/>
          <w:sz w:val="28"/>
          <w:bdr w:val="none" w:sz="0" w:space="0" w:color="auto" w:frame="1"/>
          <w:lang w:val="es-ES_tradnl" w:eastAsia="es-ES"/>
        </w:rPr>
      </w:pPr>
    </w:p>
    <w:p w:rsidR="00FB194F" w:rsidRPr="00DE7CC4" w:rsidRDefault="00DE7CC4" w:rsidP="00FB194F">
      <w:pPr>
        <w:jc w:val="both"/>
        <w:rPr>
          <w:rFonts w:ascii="Times New Roman" w:hAnsi="Times New Roman" w:cs="Times New Roman"/>
          <w:color w:val="000000" w:themeColor="text1"/>
          <w:sz w:val="28"/>
          <w:bdr w:val="none" w:sz="0" w:space="0" w:color="auto" w:frame="1"/>
          <w:lang w:val="es-ES_tradnl" w:eastAsia="es-ES"/>
        </w:rPr>
      </w:pPr>
      <w:r w:rsidRPr="00DE7CC4">
        <w:rPr>
          <w:rFonts w:ascii="Times New Roman" w:hAnsi="Times New Roman" w:cs="Times New Roman"/>
          <w:color w:val="000000" w:themeColor="text1"/>
          <w:sz w:val="28"/>
          <w:bdr w:val="none" w:sz="0" w:space="0" w:color="auto" w:frame="1"/>
          <w:lang w:val="es-ES_tradnl" w:eastAsia="es-ES"/>
        </w:rPr>
        <w:t>6. Respecto a la segunda cuestión previa, concerniente a la adopción de una medida cautelar en este asunto, la Sala reiteró que su adopción es excepcional y que, en este caso, además de que en este momento procesal lo que correspondía era adopta</w:t>
      </w:r>
      <w:r w:rsidRPr="00DE7CC4">
        <w:rPr>
          <w:rFonts w:ascii="Times New Roman" w:hAnsi="Times New Roman" w:cs="Times New Roman"/>
          <w:color w:val="000000" w:themeColor="text1"/>
          <w:sz w:val="28"/>
          <w:bdr w:val="none" w:sz="0" w:space="0" w:color="auto" w:frame="1"/>
          <w:lang w:val="es-ES_tradnl" w:eastAsia="es-ES"/>
        </w:rPr>
        <w:t xml:space="preserve">r una decisión de fondo, no se encontraron razones para acogerla, en tanto no se cumplieron los requisitos mencionados en el Auto 272 de 2023. </w:t>
      </w:r>
    </w:p>
    <w:p w:rsidR="00FB194F" w:rsidRPr="00DE7CC4" w:rsidRDefault="00DE7CC4" w:rsidP="00FB194F">
      <w:pPr>
        <w:jc w:val="both"/>
        <w:rPr>
          <w:rFonts w:ascii="Times New Roman" w:hAnsi="Times New Roman" w:cs="Times New Roman"/>
          <w:color w:val="000000" w:themeColor="text1"/>
          <w:sz w:val="28"/>
          <w:bdr w:val="none" w:sz="0" w:space="0" w:color="auto" w:frame="1"/>
          <w:lang w:val="es-ES_tradnl" w:eastAsia="es-ES"/>
        </w:rPr>
      </w:pPr>
    </w:p>
    <w:p w:rsidR="00FB194F" w:rsidRPr="00DE7CC4" w:rsidRDefault="00DE7CC4" w:rsidP="00FB194F">
      <w:pPr>
        <w:jc w:val="both"/>
        <w:rPr>
          <w:rFonts w:ascii="Times New Roman" w:hAnsi="Times New Roman" w:cs="Times New Roman"/>
          <w:color w:val="000000" w:themeColor="text1"/>
          <w:sz w:val="28"/>
        </w:rPr>
      </w:pPr>
      <w:r w:rsidRPr="00DE7CC4">
        <w:rPr>
          <w:rFonts w:ascii="Times New Roman" w:hAnsi="Times New Roman" w:cs="Times New Roman"/>
          <w:color w:val="000000" w:themeColor="text1"/>
          <w:sz w:val="28"/>
          <w:bdr w:val="none" w:sz="0" w:space="0" w:color="auto" w:frame="1"/>
          <w:lang w:val="es-ES_tradnl" w:eastAsia="es-ES"/>
        </w:rPr>
        <w:t xml:space="preserve">7. Superado lo anterior, la Sala procedió a resolver el único cargo considerado apto. Para ello, indicó que el </w:t>
      </w:r>
      <w:r w:rsidRPr="00DE7CC4">
        <w:rPr>
          <w:rFonts w:ascii="Times New Roman" w:hAnsi="Times New Roman" w:cs="Times New Roman"/>
          <w:color w:val="000000" w:themeColor="text1"/>
          <w:sz w:val="28"/>
          <w:bdr w:val="none" w:sz="0" w:space="0" w:color="auto" w:frame="1"/>
          <w:lang w:val="es-ES_tradnl" w:eastAsia="es-ES"/>
        </w:rPr>
        <w:t xml:space="preserve">problema jurídico </w:t>
      </w:r>
      <w:r w:rsidRPr="00DE7CC4">
        <w:rPr>
          <w:rFonts w:ascii="Times New Roman" w:hAnsi="Times New Roman" w:cs="Times New Roman"/>
          <w:bCs/>
          <w:color w:val="000000" w:themeColor="text1"/>
          <w:sz w:val="28"/>
        </w:rPr>
        <w:t>consistía en establecer si contradice el deber estatal de protección a la propiedad, que deriva de los artículos 2 y 58 de la Constitución Política, la configuración de</w:t>
      </w:r>
      <w:r w:rsidRPr="00DE7CC4">
        <w:rPr>
          <w:rFonts w:ascii="Times New Roman" w:hAnsi="Times New Roman" w:cs="Times New Roman"/>
          <w:color w:val="000000" w:themeColor="text1"/>
          <w:sz w:val="28"/>
        </w:rPr>
        <w:t xml:space="preserve"> un régimen que, en el marco de accidentes de tránsito con daños exclu</w:t>
      </w:r>
      <w:r w:rsidRPr="00DE7CC4">
        <w:rPr>
          <w:rFonts w:ascii="Times New Roman" w:hAnsi="Times New Roman" w:cs="Times New Roman"/>
          <w:color w:val="000000" w:themeColor="text1"/>
          <w:sz w:val="28"/>
        </w:rPr>
        <w:t>sivamente materiales, excluye la intervención de la autoridad de tránsito y, en consecuencia, lo que estaba llamada a hacer -con especial énfasis en el informe policial de tránsito- le corresponde ahora a los conductores, las entidades aseguradoras y los i</w:t>
      </w:r>
      <w:r w:rsidRPr="00DE7CC4">
        <w:rPr>
          <w:rFonts w:ascii="Times New Roman" w:hAnsi="Times New Roman" w:cs="Times New Roman"/>
          <w:color w:val="000000" w:themeColor="text1"/>
          <w:sz w:val="28"/>
        </w:rPr>
        <w:t>nteresados, corriendo estos últimos con la carga de recaudar en el momento del accidente todas las pruebas para que, de proceder, pretendan posteriormente el resarcimiento del daño producido a la propiedad en estas condiciones.</w:t>
      </w:r>
    </w:p>
    <w:p w:rsidR="00FB194F" w:rsidRPr="00DE7CC4" w:rsidRDefault="00DE7CC4" w:rsidP="00FB194F">
      <w:pPr>
        <w:jc w:val="both"/>
        <w:rPr>
          <w:rFonts w:ascii="Times New Roman" w:hAnsi="Times New Roman" w:cs="Times New Roman"/>
          <w:color w:val="000000" w:themeColor="text1"/>
          <w:sz w:val="28"/>
        </w:rPr>
      </w:pPr>
    </w:p>
    <w:p w:rsidR="00FB194F" w:rsidRPr="00DE7CC4" w:rsidRDefault="00DE7CC4" w:rsidP="00FB194F">
      <w:pPr>
        <w:jc w:val="both"/>
        <w:rPr>
          <w:rFonts w:ascii="Times New Roman" w:hAnsi="Times New Roman" w:cs="Times New Roman"/>
          <w:color w:val="000000" w:themeColor="text1"/>
          <w:sz w:val="28"/>
          <w:lang w:val="es-ES"/>
        </w:rPr>
      </w:pPr>
      <w:r w:rsidRPr="00DE7CC4">
        <w:rPr>
          <w:rFonts w:ascii="Times New Roman" w:hAnsi="Times New Roman" w:cs="Times New Roman"/>
          <w:color w:val="000000" w:themeColor="text1"/>
          <w:sz w:val="28"/>
        </w:rPr>
        <w:t>8. La respuesta brindada po</w:t>
      </w:r>
      <w:r w:rsidRPr="00DE7CC4">
        <w:rPr>
          <w:rFonts w:ascii="Times New Roman" w:hAnsi="Times New Roman" w:cs="Times New Roman"/>
          <w:color w:val="000000" w:themeColor="text1"/>
          <w:sz w:val="28"/>
        </w:rPr>
        <w:t xml:space="preserve">r la Sala Plena, tras referirse a los elementos fundamentales del derecho a la propiedad desarrollados por la jurisprudencia de la Corte Constitucional, fue negativa. Con fundamento en la metodología del juicio de proporcionalidad, en este asunto aplicado </w:t>
      </w:r>
      <w:r w:rsidRPr="00DE7CC4">
        <w:rPr>
          <w:rFonts w:ascii="Times New Roman" w:hAnsi="Times New Roman" w:cs="Times New Roman"/>
          <w:color w:val="000000" w:themeColor="text1"/>
          <w:sz w:val="28"/>
        </w:rPr>
        <w:t xml:space="preserve">en una intensidad leve, la Corte Constitucional concluyó que la medida no desconoce el deber del Estado de proteger la propiedad porque se dirige a cumplir dos propósitos constitucionalmente legítimos, esto es, a </w:t>
      </w:r>
      <w:r w:rsidRPr="00DE7CC4">
        <w:rPr>
          <w:rFonts w:ascii="Times New Roman" w:hAnsi="Times New Roman" w:cs="Times New Roman"/>
          <w:color w:val="000000" w:themeColor="text1"/>
          <w:sz w:val="28"/>
          <w:lang w:val="es-ES"/>
        </w:rPr>
        <w:t>establecer una configuración instrumental a</w:t>
      </w:r>
      <w:r w:rsidRPr="00DE7CC4">
        <w:rPr>
          <w:rFonts w:ascii="Times New Roman" w:hAnsi="Times New Roman" w:cs="Times New Roman"/>
          <w:color w:val="000000" w:themeColor="text1"/>
          <w:sz w:val="28"/>
          <w:lang w:val="es-ES"/>
        </w:rPr>
        <w:t>decuada para la reclamación del daño material causado en accidentes de tránsito y, además, a enfrentar los problemas de movilidad que se derivan de la obstaculización del tránsito que tiene lugar producto de un accidente automovilístico que no tiene las im</w:t>
      </w:r>
      <w:r w:rsidRPr="00DE7CC4">
        <w:rPr>
          <w:rFonts w:ascii="Times New Roman" w:hAnsi="Times New Roman" w:cs="Times New Roman"/>
          <w:color w:val="000000" w:themeColor="text1"/>
          <w:sz w:val="28"/>
          <w:lang w:val="es-ES"/>
        </w:rPr>
        <w:t xml:space="preserve">plicaciones más gravosas para la seguridad vial, porque no están comprometidas la integridad y vida de las personas. </w:t>
      </w:r>
    </w:p>
    <w:p w:rsidR="00FB194F" w:rsidRPr="00DE7CC4" w:rsidRDefault="00DE7CC4" w:rsidP="00FB194F">
      <w:pPr>
        <w:jc w:val="both"/>
        <w:rPr>
          <w:rFonts w:ascii="Times New Roman" w:hAnsi="Times New Roman" w:cs="Times New Roman"/>
          <w:color w:val="000000" w:themeColor="text1"/>
          <w:sz w:val="28"/>
          <w:lang w:val="es-ES"/>
        </w:rPr>
      </w:pPr>
    </w:p>
    <w:p w:rsidR="00FB194F" w:rsidRPr="00DE7CC4" w:rsidRDefault="00DE7CC4" w:rsidP="00FB194F">
      <w:pPr>
        <w:jc w:val="both"/>
        <w:rPr>
          <w:rFonts w:ascii="Times New Roman" w:hAnsi="Times New Roman" w:cs="Times New Roman"/>
          <w:color w:val="000000" w:themeColor="text1"/>
          <w:sz w:val="28"/>
          <w:lang w:val="es-ES"/>
        </w:rPr>
      </w:pPr>
      <w:r w:rsidRPr="00DE7CC4">
        <w:rPr>
          <w:rFonts w:ascii="Times New Roman" w:hAnsi="Times New Roman" w:cs="Times New Roman"/>
          <w:color w:val="000000" w:themeColor="text1"/>
          <w:sz w:val="28"/>
          <w:lang w:val="es-ES"/>
        </w:rPr>
        <w:t>9. A continuación, como elemento previo a abordar los dos pasos exigidos por el juicio en intensidad leve, la Sala Plena procedió a fijar</w:t>
      </w:r>
      <w:r w:rsidRPr="00DE7CC4">
        <w:rPr>
          <w:rFonts w:ascii="Times New Roman" w:hAnsi="Times New Roman" w:cs="Times New Roman"/>
          <w:color w:val="000000" w:themeColor="text1"/>
          <w:sz w:val="28"/>
          <w:lang w:val="es-ES"/>
        </w:rPr>
        <w:t xml:space="preserve"> el único sentido constitucional posible de la disposición demandada, destacando que aquél exigía comprender la necesidad de que en la interpretación y aplicación del artículo 16 demandado se tuviera en cuenta la necesidad de proteger de manera diferencial</w:t>
      </w:r>
      <w:r w:rsidRPr="00DE7CC4">
        <w:rPr>
          <w:rFonts w:ascii="Times New Roman" w:hAnsi="Times New Roman" w:cs="Times New Roman"/>
          <w:color w:val="000000" w:themeColor="text1"/>
          <w:sz w:val="28"/>
          <w:lang w:val="es-ES"/>
        </w:rPr>
        <w:t xml:space="preserve"> a personas en condición de vulnerabilidad que, para efectos de la carga probatoria allí establecida, podrían no estar en condiciones de satisfacerla, tal como ocurriría con algunas personas en situación de discapacidad que, por sus condiciones físicas, ta</w:t>
      </w:r>
      <w:r w:rsidRPr="00DE7CC4">
        <w:rPr>
          <w:rFonts w:ascii="Times New Roman" w:hAnsi="Times New Roman" w:cs="Times New Roman"/>
          <w:color w:val="000000" w:themeColor="text1"/>
          <w:sz w:val="28"/>
          <w:lang w:val="es-ES"/>
        </w:rPr>
        <w:t>l exigencia resultara completamente irrazonable.</w:t>
      </w:r>
    </w:p>
    <w:p w:rsidR="00FB194F" w:rsidRPr="00DE7CC4" w:rsidRDefault="00DE7CC4" w:rsidP="00FB194F">
      <w:pPr>
        <w:jc w:val="both"/>
        <w:rPr>
          <w:rFonts w:ascii="Times New Roman" w:hAnsi="Times New Roman" w:cs="Times New Roman"/>
          <w:color w:val="000000" w:themeColor="text1"/>
          <w:sz w:val="28"/>
          <w:lang w:val="es-ES"/>
        </w:rPr>
      </w:pPr>
    </w:p>
    <w:p w:rsidR="00FB194F" w:rsidRPr="00DE7CC4" w:rsidRDefault="00DE7CC4" w:rsidP="00FB194F">
      <w:pPr>
        <w:jc w:val="both"/>
        <w:rPr>
          <w:rFonts w:ascii="Times New Roman" w:hAnsi="Times New Roman" w:cs="Times New Roman"/>
          <w:color w:val="000000" w:themeColor="text1"/>
          <w:sz w:val="28"/>
          <w:lang w:val="es-ES"/>
        </w:rPr>
      </w:pPr>
      <w:r w:rsidRPr="00DE7CC4">
        <w:rPr>
          <w:rFonts w:ascii="Times New Roman" w:hAnsi="Times New Roman" w:cs="Times New Roman"/>
          <w:color w:val="000000" w:themeColor="text1"/>
          <w:sz w:val="28"/>
          <w:lang w:val="es-ES"/>
        </w:rPr>
        <w:t>10. Establecido lo anterior, se indicó que la medida es idónea, potencialmente adecuada, para satisfacer esos propósitos.  Con tal objeto se analizó el marco más global en el que se establece la carga de lo</w:t>
      </w:r>
      <w:r w:rsidRPr="00DE7CC4">
        <w:rPr>
          <w:rFonts w:ascii="Times New Roman" w:hAnsi="Times New Roman" w:cs="Times New Roman"/>
          <w:color w:val="000000" w:themeColor="text1"/>
          <w:sz w:val="28"/>
          <w:lang w:val="es-ES"/>
        </w:rPr>
        <w:t>s interesados de recaudar el material probatorio para futuras reclamaciones y se destacó que, conforme al artículo demandado, las pruebas así recaudadas reemplazan el informe de tránsito. No obstante, se evidenció que en algunos escenarios particulares est</w:t>
      </w:r>
      <w:r w:rsidRPr="00DE7CC4">
        <w:rPr>
          <w:rFonts w:ascii="Times New Roman" w:hAnsi="Times New Roman" w:cs="Times New Roman"/>
          <w:color w:val="000000" w:themeColor="text1"/>
          <w:sz w:val="28"/>
          <w:lang w:val="es-ES"/>
        </w:rPr>
        <w:t xml:space="preserve">a carga no era razonable. </w:t>
      </w:r>
    </w:p>
    <w:p w:rsidR="00FB194F" w:rsidRPr="00DE7CC4" w:rsidRDefault="00DE7CC4" w:rsidP="00FB194F">
      <w:pPr>
        <w:jc w:val="both"/>
        <w:rPr>
          <w:rFonts w:ascii="Times New Roman" w:hAnsi="Times New Roman" w:cs="Times New Roman"/>
          <w:color w:val="000000" w:themeColor="text1"/>
          <w:sz w:val="28"/>
          <w:lang w:val="es-ES"/>
        </w:rPr>
      </w:pPr>
    </w:p>
    <w:p w:rsidR="00FB194F" w:rsidRPr="00DE7CC4" w:rsidRDefault="00DE7CC4" w:rsidP="00FB194F">
      <w:pPr>
        <w:jc w:val="both"/>
        <w:rPr>
          <w:rFonts w:ascii="Times New Roman" w:hAnsi="Times New Roman" w:cs="Times New Roman"/>
          <w:color w:val="000000" w:themeColor="text1"/>
          <w:sz w:val="28"/>
          <w:lang w:val="es-ES"/>
        </w:rPr>
      </w:pPr>
      <w:r w:rsidRPr="00DE7CC4">
        <w:rPr>
          <w:rFonts w:ascii="Times New Roman" w:hAnsi="Times New Roman" w:cs="Times New Roman"/>
          <w:color w:val="000000" w:themeColor="text1"/>
          <w:sz w:val="28"/>
          <w:lang w:val="es-ES"/>
        </w:rPr>
        <w:t>11. Finalmente, la Sala Plena precisó que era necesario que las autoridades de tránsito, en ejercicio de sus funciones, ejerzan sus deberes asociados en esta materia bajo criterios de razonabilidad y proporcionalidad, sin omitir</w:t>
      </w:r>
      <w:r w:rsidRPr="00DE7CC4">
        <w:rPr>
          <w:rFonts w:ascii="Times New Roman" w:hAnsi="Times New Roman" w:cs="Times New Roman"/>
          <w:color w:val="000000" w:themeColor="text1"/>
          <w:sz w:val="28"/>
          <w:lang w:val="es-ES"/>
        </w:rPr>
        <w:t xml:space="preserve"> su obligación de </w:t>
      </w:r>
      <w:r w:rsidRPr="00DE7CC4">
        <w:rPr>
          <w:rFonts w:ascii="Times New Roman" w:hAnsi="Times New Roman" w:cs="Times New Roman"/>
          <w:i/>
          <w:iCs/>
          <w:color w:val="000000" w:themeColor="text1"/>
          <w:sz w:val="28"/>
          <w:lang w:val="es-ES"/>
        </w:rPr>
        <w:t>orientar</w:t>
      </w:r>
      <w:r w:rsidRPr="00DE7CC4">
        <w:rPr>
          <w:rFonts w:ascii="Times New Roman" w:hAnsi="Times New Roman" w:cs="Times New Roman"/>
          <w:color w:val="000000" w:themeColor="text1"/>
          <w:sz w:val="28"/>
          <w:lang w:val="es-ES"/>
        </w:rPr>
        <w:t xml:space="preserve"> y </w:t>
      </w:r>
      <w:r w:rsidRPr="00DE7CC4">
        <w:rPr>
          <w:rFonts w:ascii="Times New Roman" w:hAnsi="Times New Roman" w:cs="Times New Roman"/>
          <w:i/>
          <w:iCs/>
          <w:color w:val="000000" w:themeColor="text1"/>
          <w:sz w:val="28"/>
          <w:lang w:val="es-ES"/>
        </w:rPr>
        <w:t xml:space="preserve">capacitar </w:t>
      </w:r>
      <w:r w:rsidRPr="00DE7CC4">
        <w:rPr>
          <w:rFonts w:ascii="Times New Roman" w:hAnsi="Times New Roman" w:cs="Times New Roman"/>
          <w:color w:val="000000" w:themeColor="text1"/>
          <w:sz w:val="28"/>
          <w:lang w:val="es-ES"/>
        </w:rPr>
        <w:t xml:space="preserve">a los agentes viales, y prestando su asesoría en los casos que así se requiera para efectos del recaudo probatorio. </w:t>
      </w:r>
      <w:r w:rsidRPr="00DE7CC4">
        <w:rPr>
          <w:rFonts w:ascii="Times New Roman" w:hAnsi="Times New Roman" w:cs="Times New Roman"/>
          <w:color w:val="000000" w:themeColor="text1"/>
          <w:sz w:val="28"/>
        </w:rPr>
        <w:t>En esta misma dirección, también indicó que las autoridades con competencia en la materia, en particu</w:t>
      </w:r>
      <w:r w:rsidRPr="00DE7CC4">
        <w:rPr>
          <w:rFonts w:ascii="Times New Roman" w:hAnsi="Times New Roman" w:cs="Times New Roman"/>
          <w:color w:val="000000" w:themeColor="text1"/>
          <w:sz w:val="28"/>
        </w:rPr>
        <w:t xml:space="preserve">lar a las autoridades de tránsito debían adelantar campañas de capacitación que permitan una mayor comprensión de las cargas y condiciones técnicas y tecnológicas que deben atenderse para la recolección del material probatorio que ahora no está a cargo de </w:t>
      </w:r>
      <w:r w:rsidRPr="00DE7CC4">
        <w:rPr>
          <w:rFonts w:ascii="Times New Roman" w:hAnsi="Times New Roman" w:cs="Times New Roman"/>
          <w:color w:val="000000" w:themeColor="text1"/>
          <w:sz w:val="28"/>
        </w:rPr>
        <w:t>un agente de tránsito, entre otros aspectos.</w:t>
      </w:r>
    </w:p>
    <w:p w:rsidR="00F32ED8" w:rsidRPr="00DE7CC4" w:rsidRDefault="00DE7CC4" w:rsidP="00F32ED8">
      <w:pPr>
        <w:rPr>
          <w:rFonts w:ascii="Times New Roman" w:hAnsi="Times New Roman" w:cs="Times New Roman"/>
          <w:color w:val="000000" w:themeColor="text1"/>
          <w:sz w:val="28"/>
          <w:bdr w:val="none" w:sz="0" w:space="0" w:color="auto" w:frame="1"/>
          <w:lang w:eastAsia="es-ES"/>
        </w:rPr>
      </w:pPr>
    </w:p>
    <w:p w:rsidR="00F32ED8" w:rsidRPr="00DE7CC4" w:rsidRDefault="00DE7CC4" w:rsidP="00F32ED8">
      <w:pPr>
        <w:pStyle w:val="Ttulo2"/>
        <w:rPr>
          <w:rFonts w:ascii="Times New Roman" w:hAnsi="Times New Roman" w:cs="Times New Roman"/>
          <w:color w:val="000000" w:themeColor="text1"/>
          <w:szCs w:val="24"/>
        </w:rPr>
      </w:pPr>
      <w:bookmarkStart w:id="4" w:name="_Toc74379862"/>
      <w:bookmarkStart w:id="5" w:name="_Toc81813472"/>
      <w:r w:rsidRPr="00DE7CC4">
        <w:rPr>
          <w:rFonts w:ascii="Times New Roman" w:hAnsi="Times New Roman" w:cs="Times New Roman"/>
          <w:color w:val="000000" w:themeColor="text1"/>
          <w:szCs w:val="24"/>
        </w:rPr>
        <w:t xml:space="preserve">I. </w:t>
      </w:r>
      <w:bookmarkEnd w:id="4"/>
      <w:bookmarkEnd w:id="5"/>
      <w:r w:rsidRPr="00DE7CC4">
        <w:rPr>
          <w:rFonts w:ascii="Times New Roman" w:hAnsi="Times New Roman" w:cs="Times New Roman"/>
          <w:color w:val="000000" w:themeColor="text1"/>
          <w:szCs w:val="24"/>
        </w:rPr>
        <w:t>Antecedentes</w:t>
      </w:r>
    </w:p>
    <w:p w:rsidR="00F32ED8" w:rsidRPr="00DE7CC4" w:rsidRDefault="00DE7CC4" w:rsidP="00F32ED8">
      <w:pPr>
        <w:jc w:val="both"/>
        <w:textAlignment w:val="baseline"/>
        <w:rPr>
          <w:rFonts w:ascii="Times New Roman" w:hAnsi="Times New Roman" w:cs="Times New Roman"/>
          <w:color w:val="000000" w:themeColor="text1"/>
          <w:sz w:val="28"/>
          <w:bdr w:val="none" w:sz="0" w:space="0" w:color="auto" w:frame="1"/>
          <w:lang w:eastAsia="es-ES"/>
        </w:rPr>
      </w:pPr>
    </w:p>
    <w:p w:rsidR="00F32ED8" w:rsidRPr="00DE7CC4" w:rsidRDefault="00DE7CC4" w:rsidP="00F32ED8">
      <w:pPr>
        <w:pStyle w:val="Prrafodelista"/>
        <w:ind w:left="0" w:right="49"/>
        <w:jc w:val="both"/>
        <w:rPr>
          <w:rFonts w:ascii="Times New Roman" w:hAnsi="Times New Roman" w:cs="Times New Roman"/>
          <w:noProof/>
          <w:color w:val="000000" w:themeColor="text1"/>
          <w:sz w:val="28"/>
          <w:lang w:val="es-ES_tradnl"/>
        </w:rPr>
      </w:pPr>
      <w:r w:rsidRPr="00DE7CC4">
        <w:rPr>
          <w:rFonts w:ascii="Times New Roman" w:hAnsi="Times New Roman" w:cs="Times New Roman"/>
          <w:noProof/>
          <w:color w:val="000000" w:themeColor="text1"/>
          <w:sz w:val="28"/>
          <w:lang w:val="es-ES_tradnl"/>
        </w:rPr>
        <w:t xml:space="preserve">1. En ejercicio de la acción pública prevista en el artículo 241.4 de la Constitución Política, los ciudadanos Julio Andrés Ossa Santamaría, Juan Camilo Herrera Prieto y Armin Josef Sattler González presentaron demanda de inconstitucionalidad contra </w:t>
      </w:r>
      <w:r w:rsidRPr="00DE7CC4">
        <w:rPr>
          <w:rFonts w:ascii="Times New Roman" w:hAnsi="Times New Roman" w:cs="Times New Roman"/>
          <w:iCs/>
          <w:color w:val="000000" w:themeColor="text1"/>
          <w:sz w:val="28"/>
        </w:rPr>
        <w:t>el art</w:t>
      </w:r>
      <w:r w:rsidRPr="00DE7CC4">
        <w:rPr>
          <w:rFonts w:ascii="Times New Roman" w:hAnsi="Times New Roman" w:cs="Times New Roman"/>
          <w:iCs/>
          <w:color w:val="000000" w:themeColor="text1"/>
          <w:sz w:val="28"/>
        </w:rPr>
        <w:t>ículo 16 de la Ley 2251 de 2022,</w:t>
      </w:r>
      <w:r w:rsidRPr="00DE7CC4">
        <w:rPr>
          <w:rFonts w:ascii="Times New Roman" w:hAnsi="Times New Roman" w:cs="Times New Roman"/>
          <w:i/>
          <w:iCs/>
          <w:color w:val="000000" w:themeColor="text1"/>
          <w:sz w:val="28"/>
        </w:rPr>
        <w:t xml:space="preserve"> </w:t>
      </w:r>
      <w:r w:rsidRPr="00DE7CC4">
        <w:rPr>
          <w:rFonts w:ascii="Times New Roman" w:hAnsi="Times New Roman" w:cs="Times New Roman"/>
          <w:color w:val="000000" w:themeColor="text1"/>
          <w:sz w:val="28"/>
        </w:rPr>
        <w:t>que subrogó el artículo 143 de la Ley 769 de 2002 o Código Nacional de Tránsito</w:t>
      </w:r>
      <w:r w:rsidRPr="00DE7CC4">
        <w:rPr>
          <w:rStyle w:val="Refdenotaalpie"/>
          <w:rFonts w:ascii="Times New Roman" w:hAnsi="Times New Roman"/>
          <w:noProof/>
          <w:color w:val="000000" w:themeColor="text1"/>
          <w:sz w:val="28"/>
          <w:lang w:val="es-ES_tradnl"/>
        </w:rPr>
        <w:footnoteReference w:id="1"/>
      </w:r>
      <w:r w:rsidRPr="00DE7CC4">
        <w:rPr>
          <w:rFonts w:ascii="Times New Roman" w:hAnsi="Times New Roman" w:cs="Times New Roman"/>
          <w:color w:val="000000" w:themeColor="text1"/>
          <w:sz w:val="28"/>
        </w:rPr>
        <w:t>.</w:t>
      </w:r>
      <w:r w:rsidRPr="00DE7CC4">
        <w:rPr>
          <w:rFonts w:ascii="Times New Roman" w:hAnsi="Times New Roman" w:cs="Times New Roman"/>
          <w:noProof/>
          <w:color w:val="000000" w:themeColor="text1"/>
          <w:sz w:val="28"/>
          <w:lang w:val="es-ES_tradnl"/>
        </w:rPr>
        <w:t xml:space="preserve">  En s</w:t>
      </w:r>
      <w:r w:rsidRPr="00DE7CC4">
        <w:rPr>
          <w:rFonts w:ascii="Times New Roman" w:hAnsi="Times New Roman" w:cs="Times New Roman"/>
          <w:noProof/>
          <w:color w:val="000000" w:themeColor="text1"/>
          <w:sz w:val="28"/>
          <w:lang w:val="es-ES_tradnl"/>
        </w:rPr>
        <w:t>í</w:t>
      </w:r>
      <w:r w:rsidRPr="00DE7CC4">
        <w:rPr>
          <w:rFonts w:ascii="Times New Roman" w:hAnsi="Times New Roman" w:cs="Times New Roman"/>
          <w:noProof/>
          <w:color w:val="000000" w:themeColor="text1"/>
          <w:sz w:val="28"/>
          <w:lang w:val="es-ES_tradnl"/>
        </w:rPr>
        <w:t>ntesis, consideraron que la nueva regulación sobre los accidentes de tránsito que ocasionan solo daños materiales quebranta (i) el debe</w:t>
      </w:r>
      <w:r w:rsidRPr="00DE7CC4">
        <w:rPr>
          <w:rFonts w:ascii="Times New Roman" w:hAnsi="Times New Roman" w:cs="Times New Roman"/>
          <w:noProof/>
          <w:color w:val="000000" w:themeColor="text1"/>
          <w:sz w:val="28"/>
          <w:lang w:val="es-ES_tradnl"/>
        </w:rPr>
        <w:t>r de protección que corresponde al Estado respecto de la propiedad, artículos 2 y 58 superiores; (ii) el derecho a la vida e integridad de las personas, artículos 2 y 11 de la Constitución; (iii) la prohibición de retroceso respecto del derecho de propieda</w:t>
      </w:r>
      <w:r w:rsidRPr="00DE7CC4">
        <w:rPr>
          <w:rFonts w:ascii="Times New Roman" w:hAnsi="Times New Roman" w:cs="Times New Roman"/>
          <w:noProof/>
          <w:color w:val="000000" w:themeColor="text1"/>
          <w:sz w:val="28"/>
          <w:lang w:val="es-ES_tradnl"/>
        </w:rPr>
        <w:t>d, artículos 58 y 60 de la Constitución y 21 de la Convención Americana sobre Derechos Humanos; (iv) el deber de garantizar el orden público, artículos 2, 88 y 189.4 superiores; (v) el deber del Estado de perseguir la responsabilidad de los particulares po</w:t>
      </w:r>
      <w:r w:rsidRPr="00DE7CC4">
        <w:rPr>
          <w:rFonts w:ascii="Times New Roman" w:hAnsi="Times New Roman" w:cs="Times New Roman"/>
          <w:noProof/>
          <w:color w:val="000000" w:themeColor="text1"/>
          <w:sz w:val="28"/>
          <w:lang w:val="es-ES_tradnl"/>
        </w:rPr>
        <w:t xml:space="preserve">r la infracción de las normas de tránsito, artículo 6º superior, y (vi) el principio de proporcionalidad, en términos del sacrificio del derecho frente al objetivo de la norma de agilizar la movilidad vial, artículos 2 y 58 superiores. </w:t>
      </w:r>
    </w:p>
    <w:p w:rsidR="00F32ED8" w:rsidRPr="00DE7CC4" w:rsidRDefault="00DE7CC4" w:rsidP="00F32ED8">
      <w:pPr>
        <w:pStyle w:val="Prrafodelista"/>
        <w:ind w:left="0" w:right="49"/>
        <w:jc w:val="both"/>
        <w:rPr>
          <w:rFonts w:ascii="Times New Roman" w:hAnsi="Times New Roman" w:cs="Times New Roman"/>
          <w:noProof/>
          <w:color w:val="000000" w:themeColor="text1"/>
          <w:sz w:val="28"/>
          <w:lang w:val="es-ES_tradnl"/>
        </w:rPr>
      </w:pPr>
    </w:p>
    <w:p w:rsidR="00F32ED8" w:rsidRPr="00DE7CC4" w:rsidRDefault="00DE7CC4" w:rsidP="00F32ED8">
      <w:pPr>
        <w:pStyle w:val="Prrafodelista"/>
        <w:ind w:left="0" w:right="49"/>
        <w:jc w:val="both"/>
        <w:rPr>
          <w:rFonts w:ascii="Times New Roman" w:hAnsi="Times New Roman" w:cs="Times New Roman"/>
          <w:noProof/>
          <w:color w:val="000000" w:themeColor="text1"/>
          <w:sz w:val="28"/>
          <w:lang w:val="es-ES_tradnl"/>
        </w:rPr>
      </w:pPr>
      <w:r w:rsidRPr="00DE7CC4">
        <w:rPr>
          <w:rFonts w:ascii="Times New Roman" w:hAnsi="Times New Roman" w:cs="Times New Roman"/>
          <w:noProof/>
          <w:color w:val="000000" w:themeColor="text1"/>
          <w:sz w:val="28"/>
          <w:lang w:val="es-ES_tradnl"/>
        </w:rPr>
        <w:t xml:space="preserve">2. Mediante el </w:t>
      </w:r>
      <w:r w:rsidRPr="00DE7CC4">
        <w:rPr>
          <w:rFonts w:ascii="Times New Roman" w:hAnsi="Times New Roman" w:cs="Times New Roman"/>
          <w:noProof/>
          <w:color w:val="000000" w:themeColor="text1"/>
          <w:sz w:val="28"/>
          <w:lang w:val="es-ES_tradnl"/>
        </w:rPr>
        <w:t>Auto del 30 de mayo de 2023</w:t>
      </w:r>
      <w:r w:rsidRPr="00DE7CC4">
        <w:rPr>
          <w:rStyle w:val="Refdenotaalpie"/>
          <w:rFonts w:ascii="Times New Roman" w:hAnsi="Times New Roman"/>
          <w:noProof/>
          <w:color w:val="000000" w:themeColor="text1"/>
          <w:sz w:val="28"/>
          <w:lang w:val="es-ES_tradnl"/>
        </w:rPr>
        <w:footnoteReference w:id="2"/>
      </w:r>
      <w:r w:rsidRPr="00DE7CC4">
        <w:rPr>
          <w:rFonts w:ascii="Times New Roman" w:hAnsi="Times New Roman" w:cs="Times New Roman"/>
          <w:noProof/>
          <w:color w:val="000000" w:themeColor="text1"/>
          <w:sz w:val="28"/>
          <w:lang w:val="es-ES_tradnl"/>
        </w:rPr>
        <w:t xml:space="preserve"> la </w:t>
      </w:r>
      <w:r w:rsidRPr="00DE7CC4">
        <w:rPr>
          <w:rFonts w:ascii="Times New Roman" w:hAnsi="Times New Roman" w:cs="Times New Roman"/>
          <w:noProof/>
          <w:color w:val="000000" w:themeColor="text1"/>
          <w:sz w:val="28"/>
          <w:lang w:val="es-ES_tradnl"/>
        </w:rPr>
        <w:t>m</w:t>
      </w:r>
      <w:r w:rsidRPr="00DE7CC4">
        <w:rPr>
          <w:rFonts w:ascii="Times New Roman" w:hAnsi="Times New Roman" w:cs="Times New Roman"/>
          <w:noProof/>
          <w:color w:val="000000" w:themeColor="text1"/>
          <w:sz w:val="28"/>
          <w:lang w:val="es-ES_tradnl"/>
        </w:rPr>
        <w:t xml:space="preserve">agistrada sustanciadora concluyó que la demanda no satisfacía los requisitos señalados en el artículo 2 del Decreto 2067 de 1991, porque, en general, los cargos no cumplían los requisitos de </w:t>
      </w:r>
      <w:r w:rsidRPr="00DE7CC4">
        <w:rPr>
          <w:rFonts w:ascii="Times New Roman" w:hAnsi="Times New Roman" w:cs="Times New Roman"/>
          <w:i/>
          <w:iCs/>
          <w:noProof/>
          <w:color w:val="000000" w:themeColor="text1"/>
          <w:sz w:val="28"/>
          <w:lang w:val="es-ES_tradnl"/>
        </w:rPr>
        <w:t>claridad, certeza, especificidad</w:t>
      </w:r>
      <w:r w:rsidRPr="00DE7CC4">
        <w:rPr>
          <w:rFonts w:ascii="Times New Roman" w:hAnsi="Times New Roman" w:cs="Times New Roman"/>
          <w:i/>
          <w:iCs/>
          <w:noProof/>
          <w:color w:val="000000" w:themeColor="text1"/>
          <w:sz w:val="28"/>
          <w:lang w:val="es-ES_tradnl"/>
        </w:rPr>
        <w:t xml:space="preserve"> </w:t>
      </w:r>
      <w:r w:rsidRPr="00DE7CC4">
        <w:rPr>
          <w:rFonts w:ascii="Times New Roman" w:hAnsi="Times New Roman" w:cs="Times New Roman"/>
          <w:noProof/>
          <w:color w:val="000000" w:themeColor="text1"/>
          <w:sz w:val="28"/>
          <w:lang w:val="es-ES_tradnl"/>
        </w:rPr>
        <w:t xml:space="preserve">y </w:t>
      </w:r>
      <w:r w:rsidRPr="00DE7CC4">
        <w:rPr>
          <w:rFonts w:ascii="Times New Roman" w:hAnsi="Times New Roman" w:cs="Times New Roman"/>
          <w:i/>
          <w:iCs/>
          <w:noProof/>
          <w:color w:val="000000" w:themeColor="text1"/>
          <w:sz w:val="28"/>
          <w:lang w:val="es-ES_tradnl"/>
        </w:rPr>
        <w:t>pertinencia</w:t>
      </w:r>
      <w:r w:rsidRPr="00DE7CC4">
        <w:rPr>
          <w:rFonts w:ascii="Times New Roman" w:hAnsi="Times New Roman" w:cs="Times New Roman"/>
          <w:noProof/>
          <w:color w:val="000000" w:themeColor="text1"/>
          <w:sz w:val="28"/>
          <w:lang w:val="es-ES_tradnl"/>
        </w:rPr>
        <w:t>,</w:t>
      </w:r>
      <w:r w:rsidRPr="00DE7CC4">
        <w:rPr>
          <w:rFonts w:ascii="Times New Roman" w:hAnsi="Times New Roman" w:cs="Times New Roman"/>
          <w:i/>
          <w:iCs/>
          <w:noProof/>
          <w:color w:val="000000" w:themeColor="text1"/>
          <w:sz w:val="28"/>
          <w:lang w:val="es-ES_tradnl"/>
        </w:rPr>
        <w:t xml:space="preserve"> </w:t>
      </w:r>
      <w:r w:rsidRPr="00DE7CC4">
        <w:rPr>
          <w:rFonts w:ascii="Times New Roman" w:hAnsi="Times New Roman" w:cs="Times New Roman"/>
          <w:noProof/>
          <w:color w:val="000000" w:themeColor="text1"/>
          <w:sz w:val="28"/>
          <w:lang w:val="es-ES_tradnl"/>
        </w:rPr>
        <w:t>razón por la cual dispuso la inadmisión de la demanda. Dentro del término legal respectivo, los demandantes allegaron el escrito de corrección</w:t>
      </w:r>
      <w:r w:rsidRPr="00DE7CC4">
        <w:rPr>
          <w:rStyle w:val="Refdenotaalpie"/>
          <w:rFonts w:ascii="Times New Roman" w:hAnsi="Times New Roman"/>
          <w:noProof/>
          <w:color w:val="000000" w:themeColor="text1"/>
          <w:sz w:val="28"/>
          <w:lang w:val="es-ES_tradnl"/>
        </w:rPr>
        <w:footnoteReference w:id="3"/>
      </w:r>
      <w:r w:rsidRPr="00DE7CC4">
        <w:rPr>
          <w:rFonts w:ascii="Times New Roman" w:hAnsi="Times New Roman" w:cs="Times New Roman"/>
          <w:noProof/>
          <w:color w:val="000000" w:themeColor="text1"/>
          <w:sz w:val="28"/>
          <w:lang w:val="es-ES_tradnl"/>
        </w:rPr>
        <w:t xml:space="preserve">. </w:t>
      </w:r>
    </w:p>
    <w:p w:rsidR="00F32ED8" w:rsidRPr="00DE7CC4" w:rsidRDefault="00DE7CC4" w:rsidP="00F32ED8">
      <w:pPr>
        <w:pStyle w:val="Prrafodelista"/>
        <w:rPr>
          <w:rFonts w:ascii="Times New Roman" w:hAnsi="Times New Roman" w:cs="Times New Roman"/>
          <w:noProof/>
          <w:color w:val="000000" w:themeColor="text1"/>
          <w:sz w:val="28"/>
          <w:lang w:val="es-ES_tradnl"/>
        </w:rPr>
      </w:pPr>
    </w:p>
    <w:p w:rsidR="00F32ED8" w:rsidRPr="00DE7CC4" w:rsidRDefault="00DE7CC4" w:rsidP="00F32ED8">
      <w:pPr>
        <w:pStyle w:val="Prrafodelista"/>
        <w:ind w:left="0" w:right="49"/>
        <w:jc w:val="both"/>
        <w:rPr>
          <w:rFonts w:ascii="Times New Roman" w:hAnsi="Times New Roman" w:cs="Times New Roman"/>
          <w:noProof/>
          <w:color w:val="000000" w:themeColor="text1"/>
          <w:sz w:val="28"/>
          <w:lang w:val="es-ES_tradnl"/>
        </w:rPr>
      </w:pPr>
      <w:r w:rsidRPr="00DE7CC4">
        <w:rPr>
          <w:rFonts w:ascii="Times New Roman" w:hAnsi="Times New Roman" w:cs="Times New Roman"/>
          <w:noProof/>
          <w:color w:val="000000" w:themeColor="text1"/>
          <w:sz w:val="28"/>
          <w:lang w:val="es-ES_tradnl"/>
        </w:rPr>
        <w:t xml:space="preserve">3. A través del Auto del 23 de junio de 2023, la </w:t>
      </w:r>
      <w:r w:rsidRPr="00DE7CC4">
        <w:rPr>
          <w:rFonts w:ascii="Times New Roman" w:hAnsi="Times New Roman" w:cs="Times New Roman"/>
          <w:noProof/>
          <w:color w:val="000000" w:themeColor="text1"/>
          <w:sz w:val="28"/>
          <w:lang w:val="es-ES_tradnl"/>
        </w:rPr>
        <w:t>m</w:t>
      </w:r>
      <w:r w:rsidRPr="00DE7CC4">
        <w:rPr>
          <w:rFonts w:ascii="Times New Roman" w:hAnsi="Times New Roman" w:cs="Times New Roman"/>
          <w:noProof/>
          <w:color w:val="000000" w:themeColor="text1"/>
          <w:sz w:val="28"/>
          <w:lang w:val="es-ES_tradnl"/>
        </w:rPr>
        <w:t>agistrada sustanciadora admitió parcialment</w:t>
      </w:r>
      <w:r w:rsidRPr="00DE7CC4">
        <w:rPr>
          <w:rFonts w:ascii="Times New Roman" w:hAnsi="Times New Roman" w:cs="Times New Roman"/>
          <w:noProof/>
          <w:color w:val="000000" w:themeColor="text1"/>
          <w:sz w:val="28"/>
          <w:lang w:val="es-ES_tradnl"/>
        </w:rPr>
        <w:t>e la demanda</w:t>
      </w:r>
      <w:r w:rsidRPr="00DE7CC4">
        <w:rPr>
          <w:rStyle w:val="Refdenotaalpie"/>
          <w:rFonts w:ascii="Times New Roman" w:hAnsi="Times New Roman"/>
          <w:noProof/>
          <w:color w:val="000000" w:themeColor="text1"/>
          <w:sz w:val="28"/>
          <w:lang w:val="es-ES_tradnl"/>
        </w:rPr>
        <w:footnoteReference w:id="4"/>
      </w:r>
      <w:r w:rsidRPr="00DE7CC4">
        <w:rPr>
          <w:rFonts w:ascii="Times New Roman" w:hAnsi="Times New Roman" w:cs="Times New Roman"/>
          <w:noProof/>
          <w:color w:val="000000" w:themeColor="text1"/>
          <w:sz w:val="28"/>
          <w:lang w:val="es-ES_tradnl"/>
        </w:rPr>
        <w:t xml:space="preserve"> </w:t>
      </w:r>
      <w:r w:rsidRPr="00DE7CC4">
        <w:rPr>
          <w:rFonts w:ascii="Times New Roman" w:hAnsi="Times New Roman" w:cs="Times New Roman"/>
          <w:color w:val="000000" w:themeColor="text1"/>
          <w:sz w:val="28"/>
        </w:rPr>
        <w:t xml:space="preserve">por los cargos </w:t>
      </w:r>
      <w:r w:rsidRPr="00DE7CC4">
        <w:rPr>
          <w:rFonts w:ascii="Times New Roman" w:hAnsi="Times New Roman" w:cs="Times New Roman"/>
          <w:i/>
          <w:iCs/>
          <w:color w:val="000000" w:themeColor="text1"/>
          <w:sz w:val="28"/>
        </w:rPr>
        <w:t>primero,</w:t>
      </w:r>
      <w:r w:rsidRPr="00DE7CC4">
        <w:rPr>
          <w:rFonts w:ascii="Times New Roman" w:hAnsi="Times New Roman" w:cs="Times New Roman"/>
          <w:color w:val="000000" w:themeColor="text1"/>
          <w:sz w:val="28"/>
        </w:rPr>
        <w:t xml:space="preserve"> sustentado en la </w:t>
      </w:r>
      <w:r w:rsidRPr="00DE7CC4">
        <w:rPr>
          <w:rFonts w:ascii="Times New Roman" w:hAnsi="Times New Roman" w:cs="Times New Roman"/>
          <w:color w:val="000000" w:themeColor="text1"/>
          <w:sz w:val="28"/>
        </w:rPr>
        <w:t xml:space="preserve">omisión </w:t>
      </w:r>
      <w:r w:rsidRPr="00DE7CC4">
        <w:rPr>
          <w:rFonts w:ascii="Times New Roman" w:hAnsi="Times New Roman" w:cs="Times New Roman"/>
          <w:color w:val="000000" w:themeColor="text1"/>
          <w:sz w:val="28"/>
        </w:rPr>
        <w:t xml:space="preserve">del deber de protección que corresponde al Estado sobre la propiedad, en particular, de los bienes de los residentes en Colombia; </w:t>
      </w:r>
      <w:r w:rsidRPr="00DE7CC4">
        <w:rPr>
          <w:rFonts w:ascii="Times New Roman" w:hAnsi="Times New Roman" w:cs="Times New Roman"/>
          <w:i/>
          <w:iCs/>
          <w:color w:val="000000" w:themeColor="text1"/>
          <w:sz w:val="28"/>
        </w:rPr>
        <w:t>tercero</w:t>
      </w:r>
      <w:r w:rsidRPr="00DE7CC4">
        <w:rPr>
          <w:rFonts w:ascii="Times New Roman" w:hAnsi="Times New Roman" w:cs="Times New Roman"/>
          <w:color w:val="000000" w:themeColor="text1"/>
          <w:sz w:val="28"/>
        </w:rPr>
        <w:t>, fundado en el quebrantamiento del principio de no retr</w:t>
      </w:r>
      <w:r w:rsidRPr="00DE7CC4">
        <w:rPr>
          <w:rFonts w:ascii="Times New Roman" w:hAnsi="Times New Roman" w:cs="Times New Roman"/>
          <w:color w:val="000000" w:themeColor="text1"/>
          <w:sz w:val="28"/>
        </w:rPr>
        <w:t xml:space="preserve">oceso respecto de las facetas de protección del derecho de propiedad; </w:t>
      </w:r>
      <w:r w:rsidRPr="00DE7CC4">
        <w:rPr>
          <w:rFonts w:ascii="Times New Roman" w:hAnsi="Times New Roman" w:cs="Times New Roman"/>
          <w:i/>
          <w:iCs/>
          <w:color w:val="000000" w:themeColor="text1"/>
          <w:sz w:val="28"/>
        </w:rPr>
        <w:t>cuarto</w:t>
      </w:r>
      <w:r w:rsidRPr="00DE7CC4">
        <w:rPr>
          <w:rFonts w:ascii="Times New Roman" w:hAnsi="Times New Roman" w:cs="Times New Roman"/>
          <w:color w:val="000000" w:themeColor="text1"/>
          <w:sz w:val="28"/>
        </w:rPr>
        <w:t>, dirigido a evidenciar la vulneración del deber del Estado de garantizar el orden público</w:t>
      </w:r>
      <w:r w:rsidRPr="00DE7CC4">
        <w:rPr>
          <w:rStyle w:val="Refdenotaalpie"/>
          <w:rFonts w:ascii="Times New Roman" w:hAnsi="Times New Roman"/>
          <w:color w:val="000000" w:themeColor="text1"/>
          <w:sz w:val="28"/>
        </w:rPr>
        <w:footnoteReference w:id="5"/>
      </w:r>
      <w:r w:rsidRPr="00DE7CC4">
        <w:rPr>
          <w:rFonts w:ascii="Times New Roman" w:hAnsi="Times New Roman" w:cs="Times New Roman"/>
          <w:color w:val="000000" w:themeColor="text1"/>
          <w:sz w:val="28"/>
        </w:rPr>
        <w:t xml:space="preserve">; y, </w:t>
      </w:r>
      <w:r w:rsidRPr="00DE7CC4">
        <w:rPr>
          <w:rFonts w:ascii="Times New Roman" w:hAnsi="Times New Roman" w:cs="Times New Roman"/>
          <w:i/>
          <w:iCs/>
          <w:color w:val="000000" w:themeColor="text1"/>
          <w:sz w:val="28"/>
        </w:rPr>
        <w:t>quinto</w:t>
      </w:r>
      <w:r w:rsidRPr="00DE7CC4">
        <w:rPr>
          <w:rFonts w:ascii="Times New Roman" w:hAnsi="Times New Roman" w:cs="Times New Roman"/>
          <w:color w:val="000000" w:themeColor="text1"/>
          <w:sz w:val="28"/>
        </w:rPr>
        <w:t>, soportado en la presunta renuncia del Estado de perseguir la responsabilidad</w:t>
      </w:r>
      <w:r w:rsidRPr="00DE7CC4">
        <w:rPr>
          <w:rFonts w:ascii="Times New Roman" w:hAnsi="Times New Roman" w:cs="Times New Roman"/>
          <w:color w:val="000000" w:themeColor="text1"/>
          <w:sz w:val="28"/>
        </w:rPr>
        <w:t xml:space="preserve"> de los particulares que infringen las normas de tránsito. Asimismo, rechazó la demanda por los cargos segundo y sexto</w:t>
      </w:r>
      <w:r w:rsidRPr="00DE7CC4">
        <w:rPr>
          <w:rStyle w:val="Refdenotaalpie"/>
          <w:rFonts w:ascii="Times New Roman" w:hAnsi="Times New Roman"/>
          <w:color w:val="000000" w:themeColor="text1"/>
          <w:sz w:val="28"/>
        </w:rPr>
        <w:footnoteReference w:id="6"/>
      </w:r>
      <w:r w:rsidRPr="00DE7CC4">
        <w:rPr>
          <w:rFonts w:ascii="Times New Roman" w:hAnsi="Times New Roman" w:cs="Times New Roman"/>
          <w:color w:val="000000" w:themeColor="text1"/>
          <w:sz w:val="28"/>
        </w:rPr>
        <w:t xml:space="preserve">. </w:t>
      </w:r>
    </w:p>
    <w:p w:rsidR="00F32ED8" w:rsidRPr="00DE7CC4" w:rsidRDefault="00DE7CC4" w:rsidP="00F32ED8">
      <w:pPr>
        <w:pStyle w:val="Prrafodelista"/>
        <w:rPr>
          <w:rFonts w:ascii="Times New Roman" w:hAnsi="Times New Roman" w:cs="Times New Roman"/>
          <w:noProof/>
          <w:color w:val="000000" w:themeColor="text1"/>
          <w:sz w:val="28"/>
          <w:lang w:val="es-ES_tradnl"/>
        </w:rPr>
      </w:pPr>
    </w:p>
    <w:p w:rsidR="00F32ED8" w:rsidRPr="00DE7CC4" w:rsidRDefault="00DE7CC4" w:rsidP="00F32ED8">
      <w:pPr>
        <w:pStyle w:val="Prrafodelista"/>
        <w:ind w:left="0" w:right="49"/>
        <w:jc w:val="both"/>
        <w:rPr>
          <w:rFonts w:ascii="Times New Roman" w:hAnsi="Times New Roman" w:cs="Times New Roman"/>
          <w:noProof/>
          <w:color w:val="000000" w:themeColor="text1"/>
          <w:sz w:val="28"/>
          <w:lang w:val="es-ES_tradnl"/>
        </w:rPr>
      </w:pPr>
      <w:r w:rsidRPr="00DE7CC4">
        <w:rPr>
          <w:rFonts w:ascii="Times New Roman" w:hAnsi="Times New Roman" w:cs="Times New Roman"/>
          <w:noProof/>
          <w:color w:val="000000" w:themeColor="text1"/>
          <w:sz w:val="28"/>
          <w:lang w:val="es-ES_tradnl"/>
        </w:rPr>
        <w:t xml:space="preserve">4. Admitida parcialmente la demanda, se dispuso también </w:t>
      </w:r>
      <w:r w:rsidRPr="00DE7CC4">
        <w:rPr>
          <w:rFonts w:ascii="Times New Roman" w:hAnsi="Times New Roman" w:cs="Times New Roman"/>
          <w:bCs/>
          <w:color w:val="000000" w:themeColor="text1"/>
          <w:sz w:val="28"/>
          <w:lang w:eastAsia="es-ES"/>
        </w:rPr>
        <w:t>(i) comunicar la iniciación del proceso al Presidente de la República, al Pre</w:t>
      </w:r>
      <w:r w:rsidRPr="00DE7CC4">
        <w:rPr>
          <w:rFonts w:ascii="Times New Roman" w:hAnsi="Times New Roman" w:cs="Times New Roman"/>
          <w:bCs/>
          <w:color w:val="000000" w:themeColor="text1"/>
          <w:sz w:val="28"/>
          <w:lang w:eastAsia="es-ES"/>
        </w:rPr>
        <w:t>sidente del Congreso de la República</w:t>
      </w:r>
      <w:r w:rsidRPr="00DE7CC4">
        <w:rPr>
          <w:rStyle w:val="Refdenotaalpie"/>
          <w:rFonts w:ascii="Times New Roman" w:hAnsi="Times New Roman"/>
          <w:bCs/>
          <w:color w:val="000000" w:themeColor="text1"/>
          <w:sz w:val="28"/>
          <w:lang w:eastAsia="es-ES"/>
        </w:rPr>
        <w:footnoteReference w:id="7"/>
      </w:r>
      <w:r w:rsidRPr="00DE7CC4">
        <w:rPr>
          <w:rFonts w:ascii="Times New Roman" w:hAnsi="Times New Roman" w:cs="Times New Roman"/>
          <w:bCs/>
          <w:color w:val="000000" w:themeColor="text1"/>
          <w:sz w:val="28"/>
          <w:lang w:eastAsia="es-ES"/>
        </w:rPr>
        <w:t xml:space="preserve">, y a la Nación - ministerios del Interior, Hacienda y Crédito Público, de Salud y Protección Social, y de Transporte; </w:t>
      </w:r>
      <w:r w:rsidRPr="00DE7CC4">
        <w:rPr>
          <w:rFonts w:ascii="Times New Roman" w:hAnsi="Times New Roman" w:cs="Times New Roman"/>
          <w:bCs/>
          <w:iCs/>
          <w:color w:val="000000" w:themeColor="text1"/>
          <w:sz w:val="28"/>
          <w:lang w:eastAsia="es-ES"/>
        </w:rPr>
        <w:t>(ii)</w:t>
      </w:r>
      <w:r w:rsidRPr="00DE7CC4">
        <w:rPr>
          <w:rFonts w:ascii="Times New Roman" w:hAnsi="Times New Roman" w:cs="Times New Roman"/>
          <w:bCs/>
          <w:color w:val="000000" w:themeColor="text1"/>
          <w:sz w:val="28"/>
          <w:lang w:eastAsia="es-ES"/>
        </w:rPr>
        <w:t xml:space="preserve"> correr traslado a la Procuradora General de la Nación</w:t>
      </w:r>
      <w:r w:rsidRPr="00DE7CC4">
        <w:rPr>
          <w:rStyle w:val="Refdenotaalpie"/>
          <w:rFonts w:ascii="Times New Roman" w:hAnsi="Times New Roman"/>
          <w:bCs/>
          <w:color w:val="000000" w:themeColor="text1"/>
          <w:sz w:val="28"/>
          <w:lang w:eastAsia="es-ES"/>
        </w:rPr>
        <w:footnoteReference w:id="8"/>
      </w:r>
      <w:r w:rsidRPr="00DE7CC4">
        <w:rPr>
          <w:rFonts w:ascii="Times New Roman" w:hAnsi="Times New Roman" w:cs="Times New Roman"/>
          <w:bCs/>
          <w:color w:val="000000" w:themeColor="text1"/>
          <w:sz w:val="28"/>
          <w:lang w:eastAsia="es-ES"/>
        </w:rPr>
        <w:t xml:space="preserve">; </w:t>
      </w:r>
      <w:r w:rsidRPr="00DE7CC4">
        <w:rPr>
          <w:rFonts w:ascii="Times New Roman" w:hAnsi="Times New Roman" w:cs="Times New Roman"/>
          <w:bCs/>
          <w:iCs/>
          <w:color w:val="000000" w:themeColor="text1"/>
          <w:sz w:val="28"/>
          <w:lang w:eastAsia="es-ES"/>
        </w:rPr>
        <w:t>(iii)</w:t>
      </w:r>
      <w:r w:rsidRPr="00DE7CC4">
        <w:rPr>
          <w:rFonts w:ascii="Times New Roman" w:hAnsi="Times New Roman" w:cs="Times New Roman"/>
          <w:bCs/>
          <w:color w:val="000000" w:themeColor="text1"/>
          <w:sz w:val="28"/>
          <w:lang w:eastAsia="es-ES"/>
        </w:rPr>
        <w:t xml:space="preserve"> fijar en lista la disposición acu</w:t>
      </w:r>
      <w:r w:rsidRPr="00DE7CC4">
        <w:rPr>
          <w:rFonts w:ascii="Times New Roman" w:hAnsi="Times New Roman" w:cs="Times New Roman"/>
          <w:bCs/>
          <w:color w:val="000000" w:themeColor="text1"/>
          <w:sz w:val="28"/>
          <w:lang w:eastAsia="es-ES"/>
        </w:rPr>
        <w:t xml:space="preserve">sada, </w:t>
      </w:r>
      <w:r w:rsidRPr="00DE7CC4">
        <w:rPr>
          <w:rFonts w:ascii="Times New Roman" w:hAnsi="Times New Roman" w:cs="Times New Roman"/>
          <w:color w:val="000000" w:themeColor="text1"/>
          <w:sz w:val="28"/>
        </w:rPr>
        <w:t>con el objeto de recibir conceptos sobre la demanda de la referencia, por parte de todos y todas las interesadas</w:t>
      </w:r>
      <w:r w:rsidRPr="00DE7CC4">
        <w:rPr>
          <w:rStyle w:val="Refdenotaalpie"/>
          <w:rFonts w:ascii="Times New Roman" w:hAnsi="Times New Roman"/>
          <w:color w:val="000000" w:themeColor="text1"/>
          <w:sz w:val="28"/>
        </w:rPr>
        <w:footnoteReference w:id="9"/>
      </w:r>
      <w:r w:rsidRPr="00DE7CC4">
        <w:rPr>
          <w:rFonts w:ascii="Times New Roman" w:hAnsi="Times New Roman" w:cs="Times New Roman"/>
          <w:color w:val="000000" w:themeColor="text1"/>
          <w:sz w:val="28"/>
        </w:rPr>
        <w:t xml:space="preserve">, y </w:t>
      </w:r>
      <w:r w:rsidRPr="00DE7CC4">
        <w:rPr>
          <w:rFonts w:ascii="Times New Roman" w:hAnsi="Times New Roman" w:cs="Times New Roman"/>
          <w:iCs/>
          <w:color w:val="000000" w:themeColor="text1"/>
          <w:sz w:val="28"/>
        </w:rPr>
        <w:t>(iv)</w:t>
      </w:r>
      <w:r w:rsidRPr="00DE7CC4">
        <w:rPr>
          <w:rFonts w:ascii="Times New Roman" w:hAnsi="Times New Roman" w:cs="Times New Roman"/>
          <w:color w:val="000000" w:themeColor="text1"/>
          <w:sz w:val="28"/>
        </w:rPr>
        <w:t xml:space="preserve"> invitar</w:t>
      </w:r>
      <w:r w:rsidRPr="00DE7CC4">
        <w:rPr>
          <w:rFonts w:ascii="Times New Roman" w:hAnsi="Times New Roman" w:cs="Times New Roman"/>
          <w:b/>
          <w:color w:val="000000" w:themeColor="text1"/>
          <w:sz w:val="28"/>
        </w:rPr>
        <w:t xml:space="preserve"> </w:t>
      </w:r>
      <w:r w:rsidRPr="00DE7CC4">
        <w:rPr>
          <w:rFonts w:ascii="Times New Roman" w:hAnsi="Times New Roman" w:cs="Times New Roman"/>
          <w:color w:val="000000" w:themeColor="text1"/>
          <w:sz w:val="28"/>
        </w:rPr>
        <w:t>al proceso</w:t>
      </w:r>
      <w:r w:rsidRPr="00DE7CC4">
        <w:rPr>
          <w:rFonts w:ascii="Times New Roman" w:hAnsi="Times New Roman" w:cs="Times New Roman"/>
          <w:color w:val="000000" w:themeColor="text1"/>
          <w:sz w:val="28"/>
          <w:lang w:val="es-ES_tradnl" w:eastAsia="en-US"/>
        </w:rPr>
        <w:t xml:space="preserve">, </w:t>
      </w:r>
      <w:r w:rsidRPr="00DE7CC4">
        <w:rPr>
          <w:rFonts w:ascii="Times New Roman" w:hAnsi="Times New Roman" w:cs="Times New Roman"/>
          <w:color w:val="000000" w:themeColor="text1"/>
          <w:sz w:val="28"/>
          <w:lang w:eastAsia="es-ES"/>
        </w:rPr>
        <w:t>de</w:t>
      </w:r>
      <w:r w:rsidRPr="00DE7CC4">
        <w:rPr>
          <w:rFonts w:ascii="Times New Roman" w:hAnsi="Times New Roman" w:cs="Times New Roman"/>
          <w:color w:val="000000" w:themeColor="text1"/>
          <w:sz w:val="28"/>
          <w:lang w:val="es-ES_tradnl" w:eastAsia="es-ES"/>
        </w:rPr>
        <w:t xml:space="preserve"> conformidad con lo previsto en el artículo 13 del Decreto 2067 de 1991, a la Policía Nacional -Dirección </w:t>
      </w:r>
      <w:r w:rsidRPr="00DE7CC4">
        <w:rPr>
          <w:rFonts w:ascii="Times New Roman" w:hAnsi="Times New Roman" w:cs="Times New Roman"/>
          <w:color w:val="000000" w:themeColor="text1"/>
          <w:sz w:val="28"/>
          <w:lang w:val="es-ES_tradnl" w:eastAsia="es-ES"/>
        </w:rPr>
        <w:t>de Tránsito y Transportes, a la Agencia Nacional de Seguridad Vial, a la Superintendencia de Transporte, a la Superintendencia Financiera de Colombia, a la Secretaría Distrital de Movilidad de Bogotá -</w:t>
      </w:r>
      <w:r w:rsidRPr="00DE7CC4">
        <w:rPr>
          <w:rFonts w:ascii="Times New Roman" w:hAnsi="Times New Roman" w:cs="Times New Roman"/>
          <w:color w:val="000000" w:themeColor="text1"/>
          <w:sz w:val="28"/>
          <w:lang w:val="es-ES_tradnl" w:eastAsia="es-ES"/>
        </w:rPr>
        <w:t xml:space="preserve"> </w:t>
      </w:r>
      <w:r w:rsidRPr="00DE7CC4">
        <w:rPr>
          <w:rFonts w:ascii="Times New Roman" w:hAnsi="Times New Roman" w:cs="Times New Roman"/>
          <w:color w:val="000000" w:themeColor="text1"/>
          <w:sz w:val="28"/>
          <w:lang w:val="es-ES_tradnl" w:eastAsia="es-ES"/>
        </w:rPr>
        <w:t>D.C</w:t>
      </w:r>
      <w:r w:rsidRPr="00DE7CC4">
        <w:rPr>
          <w:rFonts w:ascii="Times New Roman" w:hAnsi="Times New Roman" w:cs="Times New Roman"/>
          <w:color w:val="000000" w:themeColor="text1"/>
          <w:sz w:val="28"/>
          <w:lang w:val="es-ES_tradnl" w:eastAsia="es-ES"/>
        </w:rPr>
        <w:t>.</w:t>
      </w:r>
      <w:r w:rsidRPr="00DE7CC4">
        <w:rPr>
          <w:rFonts w:ascii="Times New Roman" w:hAnsi="Times New Roman" w:cs="Times New Roman"/>
          <w:color w:val="000000" w:themeColor="text1"/>
          <w:sz w:val="28"/>
          <w:lang w:val="es-ES_tradnl" w:eastAsia="es-ES"/>
        </w:rPr>
        <w:t xml:space="preserve">, a la Secretaría de Movilidad de Cali, a la </w:t>
      </w:r>
      <w:r w:rsidRPr="00DE7CC4">
        <w:rPr>
          <w:rFonts w:ascii="Times New Roman" w:hAnsi="Times New Roman" w:cs="Times New Roman"/>
          <w:color w:val="000000" w:themeColor="text1"/>
          <w:sz w:val="28"/>
          <w:lang w:val="es-ES_tradnl" w:eastAsia="es-ES"/>
        </w:rPr>
        <w:t>Secretaría de Movilidad de Medellín, a la Secretaría de Tránsito y Seguridad Vial de Barranquilla, a la Federación Colombiana de Municipios, a la Federación Nacional de Departamentos, al Centro de Estudios e Investigaciones en Seguridad Vial -</w:t>
      </w:r>
      <w:r w:rsidRPr="00DE7CC4">
        <w:rPr>
          <w:rFonts w:ascii="Times New Roman" w:hAnsi="Times New Roman" w:cs="Times New Roman"/>
          <w:color w:val="000000" w:themeColor="text1"/>
          <w:sz w:val="28"/>
          <w:lang w:val="es-ES_tradnl" w:eastAsia="es-ES"/>
        </w:rPr>
        <w:t xml:space="preserve"> </w:t>
      </w:r>
      <w:r w:rsidRPr="00DE7CC4">
        <w:rPr>
          <w:rFonts w:ascii="Times New Roman" w:hAnsi="Times New Roman" w:cs="Times New Roman"/>
          <w:color w:val="000000" w:themeColor="text1"/>
          <w:sz w:val="28"/>
          <w:lang w:val="es-ES_tradnl" w:eastAsia="es-ES"/>
        </w:rPr>
        <w:t xml:space="preserve">Gobernación </w:t>
      </w:r>
      <w:r w:rsidRPr="00DE7CC4">
        <w:rPr>
          <w:rFonts w:ascii="Times New Roman" w:hAnsi="Times New Roman" w:cs="Times New Roman"/>
          <w:color w:val="000000" w:themeColor="text1"/>
          <w:sz w:val="28"/>
          <w:lang w:val="es-ES_tradnl" w:eastAsia="es-ES"/>
        </w:rPr>
        <w:t>de Cundinamarca, a la Asociación Colombiana de Derecho de Seguros</w:t>
      </w:r>
      <w:r w:rsidRPr="00DE7CC4">
        <w:rPr>
          <w:rFonts w:ascii="Times New Roman" w:hAnsi="Times New Roman" w:cs="Times New Roman"/>
          <w:color w:val="000000" w:themeColor="text1"/>
          <w:sz w:val="28"/>
          <w:lang w:val="es-ES_tradnl" w:eastAsia="es-ES"/>
        </w:rPr>
        <w:t xml:space="preserve"> </w:t>
      </w:r>
      <w:r w:rsidRPr="00DE7CC4">
        <w:rPr>
          <w:rFonts w:ascii="Times New Roman" w:hAnsi="Times New Roman" w:cs="Times New Roman"/>
          <w:color w:val="000000" w:themeColor="text1"/>
          <w:sz w:val="28"/>
          <w:lang w:val="es-ES_tradnl" w:eastAsia="es-ES"/>
        </w:rPr>
        <w:t>-</w:t>
      </w:r>
      <w:r w:rsidRPr="00DE7CC4">
        <w:rPr>
          <w:rFonts w:ascii="Times New Roman" w:hAnsi="Times New Roman" w:cs="Times New Roman"/>
          <w:color w:val="000000" w:themeColor="text1"/>
          <w:sz w:val="28"/>
          <w:lang w:val="es-ES_tradnl" w:eastAsia="es-ES"/>
        </w:rPr>
        <w:t xml:space="preserve"> </w:t>
      </w:r>
      <w:r w:rsidRPr="00DE7CC4">
        <w:rPr>
          <w:rFonts w:ascii="Times New Roman" w:hAnsi="Times New Roman" w:cs="Times New Roman"/>
          <w:color w:val="000000" w:themeColor="text1"/>
          <w:sz w:val="28"/>
          <w:lang w:val="es-ES_tradnl" w:eastAsia="es-ES"/>
        </w:rPr>
        <w:t>Acoldese, a la Federación de Aseguradores Colombianos -</w:t>
      </w:r>
      <w:r w:rsidRPr="00DE7CC4">
        <w:rPr>
          <w:rFonts w:ascii="Times New Roman" w:hAnsi="Times New Roman" w:cs="Times New Roman"/>
          <w:color w:val="000000" w:themeColor="text1"/>
          <w:sz w:val="28"/>
          <w:lang w:val="es-ES_tradnl" w:eastAsia="es-ES"/>
        </w:rPr>
        <w:t xml:space="preserve"> </w:t>
      </w:r>
      <w:r w:rsidRPr="00DE7CC4">
        <w:rPr>
          <w:rFonts w:ascii="Times New Roman" w:hAnsi="Times New Roman" w:cs="Times New Roman"/>
          <w:color w:val="000000" w:themeColor="text1"/>
          <w:sz w:val="28"/>
          <w:lang w:val="es-ES_tradnl" w:eastAsia="es-ES"/>
        </w:rPr>
        <w:t>Fasecolda, y a las universidades de los Andes, de La Sabana, del Valle, Externado de Colombia, Javeriana y Libre de Colombia.</w:t>
      </w:r>
    </w:p>
    <w:p w:rsidR="00F32ED8" w:rsidRPr="00DE7CC4" w:rsidRDefault="00DE7CC4" w:rsidP="00F32ED8">
      <w:pPr>
        <w:pStyle w:val="Prrafodelista"/>
        <w:ind w:left="0" w:right="49"/>
        <w:jc w:val="both"/>
        <w:rPr>
          <w:rFonts w:ascii="Times New Roman" w:hAnsi="Times New Roman" w:cs="Times New Roman"/>
          <w:noProof/>
          <w:color w:val="000000" w:themeColor="text1"/>
          <w:sz w:val="28"/>
          <w:lang w:val="es-ES_tradnl"/>
        </w:rPr>
      </w:pPr>
    </w:p>
    <w:p w:rsidR="00F32ED8" w:rsidRPr="00DE7CC4" w:rsidRDefault="00DE7CC4" w:rsidP="00F32ED8">
      <w:pPr>
        <w:pStyle w:val="Prrafodelista"/>
        <w:ind w:left="0" w:right="49"/>
        <w:jc w:val="both"/>
        <w:rPr>
          <w:rFonts w:ascii="Times New Roman" w:hAnsi="Times New Roman" w:cs="Times New Roman"/>
          <w:noProof/>
          <w:color w:val="000000" w:themeColor="text1"/>
          <w:sz w:val="28"/>
          <w:lang w:val="es-ES_tradnl"/>
        </w:rPr>
      </w:pPr>
      <w:r w:rsidRPr="00DE7CC4">
        <w:rPr>
          <w:rFonts w:ascii="Times New Roman" w:hAnsi="Times New Roman" w:cs="Times New Roman"/>
          <w:color w:val="000000" w:themeColor="text1"/>
          <w:sz w:val="28"/>
          <w:bdr w:val="none" w:sz="0" w:space="0" w:color="auto" w:frame="1"/>
          <w:lang w:eastAsia="es-ES"/>
        </w:rPr>
        <w:t>5. Un</w:t>
      </w:r>
      <w:r w:rsidRPr="00DE7CC4">
        <w:rPr>
          <w:rFonts w:ascii="Times New Roman" w:hAnsi="Times New Roman" w:cs="Times New Roman"/>
          <w:color w:val="000000" w:themeColor="text1"/>
          <w:sz w:val="28"/>
          <w:bdr w:val="none" w:sz="0" w:space="0" w:color="auto" w:frame="1"/>
          <w:lang w:eastAsia="es-ES"/>
        </w:rPr>
        <w:t>a vez cumplidos los trámites previstos en el Artículo 242 de la Constitución y en el Decreto Ley 2067 de 1991, procede la Corte a resolver sobre la demanda de la referencia.</w:t>
      </w:r>
    </w:p>
    <w:p w:rsidR="00F32ED8" w:rsidRPr="00DE7CC4" w:rsidRDefault="00DE7CC4" w:rsidP="00F32ED8">
      <w:pPr>
        <w:pStyle w:val="Prrafodelista"/>
        <w:ind w:left="0" w:right="49"/>
        <w:jc w:val="both"/>
        <w:rPr>
          <w:rFonts w:ascii="Times New Roman" w:hAnsi="Times New Roman" w:cs="Times New Roman"/>
          <w:noProof/>
          <w:color w:val="000000" w:themeColor="text1"/>
          <w:sz w:val="28"/>
          <w:lang w:val="es-ES_tradnl"/>
        </w:rPr>
      </w:pPr>
    </w:p>
    <w:p w:rsidR="00F32ED8" w:rsidRPr="00DE7CC4" w:rsidRDefault="00DE7CC4" w:rsidP="00F32ED8">
      <w:pPr>
        <w:pStyle w:val="Ttulo2"/>
        <w:rPr>
          <w:rFonts w:ascii="Times New Roman" w:hAnsi="Times New Roman" w:cs="Times New Roman"/>
          <w:color w:val="000000" w:themeColor="text1"/>
          <w:szCs w:val="24"/>
        </w:rPr>
      </w:pPr>
      <w:bookmarkStart w:id="6" w:name="_Toc74379863"/>
      <w:bookmarkStart w:id="7" w:name="_Toc81813473"/>
      <w:r w:rsidRPr="00DE7CC4">
        <w:rPr>
          <w:rFonts w:ascii="Times New Roman" w:hAnsi="Times New Roman" w:cs="Times New Roman"/>
          <w:color w:val="000000" w:themeColor="text1"/>
          <w:szCs w:val="24"/>
        </w:rPr>
        <w:t>II. Norma demandada</w:t>
      </w:r>
      <w:bookmarkEnd w:id="6"/>
      <w:bookmarkEnd w:id="7"/>
    </w:p>
    <w:p w:rsidR="00F32ED8" w:rsidRPr="00DE7CC4" w:rsidRDefault="00DE7CC4" w:rsidP="00F32ED8">
      <w:pPr>
        <w:pStyle w:val="Prrafodelista"/>
        <w:rPr>
          <w:rFonts w:ascii="Times New Roman" w:hAnsi="Times New Roman" w:cs="Times New Roman"/>
          <w:noProof/>
          <w:color w:val="000000" w:themeColor="text1"/>
          <w:sz w:val="28"/>
          <w:lang w:val="es-ES_tradnl"/>
        </w:rPr>
      </w:pPr>
    </w:p>
    <w:p w:rsidR="00F32ED8" w:rsidRPr="00DE7CC4" w:rsidRDefault="00DE7CC4" w:rsidP="00F32ED8">
      <w:pPr>
        <w:pStyle w:val="Prrafodelista"/>
        <w:ind w:left="0" w:right="49"/>
        <w:jc w:val="both"/>
        <w:rPr>
          <w:rFonts w:ascii="Times New Roman" w:hAnsi="Times New Roman" w:cs="Times New Roman"/>
          <w:noProof/>
          <w:color w:val="000000" w:themeColor="text1"/>
          <w:sz w:val="28"/>
          <w:lang w:val="es-ES_tradnl"/>
        </w:rPr>
      </w:pPr>
      <w:r w:rsidRPr="00DE7CC4">
        <w:rPr>
          <w:rFonts w:ascii="Times New Roman" w:hAnsi="Times New Roman" w:cs="Times New Roman"/>
          <w:noProof/>
          <w:color w:val="000000" w:themeColor="text1"/>
          <w:sz w:val="28"/>
          <w:lang w:val="es-ES_tradnl"/>
        </w:rPr>
        <w:t xml:space="preserve">6. A </w:t>
      </w:r>
      <w:r w:rsidRPr="00DE7CC4">
        <w:rPr>
          <w:rFonts w:ascii="Times New Roman" w:hAnsi="Times New Roman" w:cs="Times New Roman"/>
          <w:color w:val="000000" w:themeColor="text1"/>
          <w:sz w:val="28"/>
        </w:rPr>
        <w:t xml:space="preserve">continuación, se transcribe la disposición demandada: </w:t>
      </w:r>
    </w:p>
    <w:p w:rsidR="00F32ED8" w:rsidRPr="00DE7CC4" w:rsidRDefault="00DE7CC4" w:rsidP="00F32ED8">
      <w:pPr>
        <w:pStyle w:val="Prrafodelista"/>
        <w:ind w:left="0" w:right="49"/>
        <w:jc w:val="both"/>
        <w:rPr>
          <w:rFonts w:ascii="Times New Roman" w:hAnsi="Times New Roman" w:cs="Times New Roman"/>
          <w:noProof/>
          <w:color w:val="000000" w:themeColor="text1"/>
          <w:sz w:val="28"/>
          <w:lang w:val="es-ES_tradnl"/>
        </w:rPr>
      </w:pPr>
    </w:p>
    <w:p w:rsidR="00F32ED8" w:rsidRPr="00DE7CC4" w:rsidRDefault="00DE7CC4" w:rsidP="00F32ED8">
      <w:pPr>
        <w:pStyle w:val="Ttulo2"/>
        <w:ind w:left="567" w:right="333"/>
        <w:jc w:val="center"/>
        <w:rPr>
          <w:rFonts w:ascii="Times New Roman" w:hAnsi="Times New Roman" w:cs="Times New Roman"/>
          <w:color w:val="000000" w:themeColor="text1"/>
          <w:szCs w:val="22"/>
        </w:rPr>
      </w:pPr>
      <w:r w:rsidRPr="00DE7CC4">
        <w:rPr>
          <w:rFonts w:ascii="Times New Roman" w:hAnsi="Times New Roman" w:cs="Times New Roman"/>
          <w:color w:val="000000" w:themeColor="text1"/>
          <w:szCs w:val="22"/>
        </w:rPr>
        <w:t>“LEY 2251 DE 2022</w:t>
      </w:r>
    </w:p>
    <w:p w:rsidR="00F32ED8" w:rsidRPr="00DE7CC4" w:rsidRDefault="00DE7CC4" w:rsidP="00F32ED8">
      <w:pPr>
        <w:pStyle w:val="Ttulo2"/>
        <w:ind w:left="567" w:right="333"/>
        <w:jc w:val="center"/>
        <w:rPr>
          <w:rFonts w:ascii="Times New Roman" w:hAnsi="Times New Roman" w:cs="Times New Roman"/>
          <w:color w:val="000000" w:themeColor="text1"/>
          <w:szCs w:val="22"/>
        </w:rPr>
      </w:pPr>
      <w:r w:rsidRPr="00DE7CC4">
        <w:rPr>
          <w:rFonts w:ascii="Times New Roman" w:hAnsi="Times New Roman" w:cs="Times New Roman"/>
          <w:color w:val="000000" w:themeColor="text1"/>
          <w:szCs w:val="22"/>
        </w:rPr>
        <w:t>(julio 14)</w:t>
      </w:r>
    </w:p>
    <w:p w:rsidR="00F32ED8" w:rsidRPr="00DE7CC4" w:rsidRDefault="00DE7CC4" w:rsidP="00F32ED8">
      <w:pPr>
        <w:pStyle w:val="Ttulo2"/>
        <w:ind w:left="567" w:right="333"/>
        <w:jc w:val="center"/>
        <w:rPr>
          <w:rFonts w:ascii="Times New Roman" w:hAnsi="Times New Roman" w:cs="Times New Roman"/>
          <w:b w:val="0"/>
          <w:bCs/>
          <w:color w:val="000000" w:themeColor="text1"/>
          <w:szCs w:val="22"/>
        </w:rPr>
      </w:pPr>
      <w:r w:rsidRPr="00DE7CC4">
        <w:rPr>
          <w:rFonts w:ascii="Times New Roman" w:hAnsi="Times New Roman" w:cs="Times New Roman"/>
          <w:b w:val="0"/>
          <w:bCs/>
          <w:color w:val="000000" w:themeColor="text1"/>
          <w:szCs w:val="22"/>
        </w:rPr>
        <w:t>por la cual se dictan normas para el diseño e implementación de la política de seguridad vial con enfoque de sistema seguro y se dictan otras disposiciones Ley Julián Esteban.</w:t>
      </w:r>
    </w:p>
    <w:p w:rsidR="00F32ED8" w:rsidRPr="00DE7CC4" w:rsidRDefault="00DE7CC4" w:rsidP="00F32ED8">
      <w:pPr>
        <w:pStyle w:val="Ttulo2"/>
        <w:ind w:left="567" w:right="333"/>
        <w:jc w:val="center"/>
        <w:rPr>
          <w:rFonts w:ascii="Times New Roman" w:hAnsi="Times New Roman" w:cs="Times New Roman"/>
          <w:color w:val="000000" w:themeColor="text1"/>
          <w:szCs w:val="22"/>
        </w:rPr>
      </w:pPr>
    </w:p>
    <w:p w:rsidR="00F32ED8" w:rsidRPr="00DE7CC4" w:rsidRDefault="00DE7CC4" w:rsidP="00F32ED8">
      <w:pPr>
        <w:pStyle w:val="Ttulo2"/>
        <w:ind w:left="567" w:right="333"/>
        <w:jc w:val="center"/>
        <w:rPr>
          <w:rFonts w:ascii="Times New Roman" w:hAnsi="Times New Roman" w:cs="Times New Roman"/>
          <w:color w:val="000000" w:themeColor="text1"/>
          <w:szCs w:val="22"/>
        </w:rPr>
      </w:pPr>
      <w:r w:rsidRPr="00DE7CC4">
        <w:rPr>
          <w:rFonts w:ascii="Times New Roman" w:hAnsi="Times New Roman" w:cs="Times New Roman"/>
          <w:color w:val="000000" w:themeColor="text1"/>
          <w:szCs w:val="22"/>
        </w:rPr>
        <w:t>El Congreso de Colombia</w:t>
      </w:r>
    </w:p>
    <w:p w:rsidR="00F32ED8" w:rsidRPr="00DE7CC4" w:rsidRDefault="00DE7CC4" w:rsidP="00F32ED8">
      <w:pPr>
        <w:pStyle w:val="Ttulo2"/>
        <w:ind w:left="567" w:right="333"/>
        <w:jc w:val="center"/>
        <w:rPr>
          <w:rFonts w:ascii="Times New Roman" w:hAnsi="Times New Roman" w:cs="Times New Roman"/>
          <w:color w:val="000000" w:themeColor="text1"/>
          <w:szCs w:val="22"/>
        </w:rPr>
      </w:pPr>
    </w:p>
    <w:p w:rsidR="00F32ED8" w:rsidRPr="00DE7CC4" w:rsidRDefault="00DE7CC4" w:rsidP="00F32ED8">
      <w:pPr>
        <w:pStyle w:val="Ttulo2"/>
        <w:ind w:left="567" w:right="333"/>
        <w:jc w:val="center"/>
        <w:rPr>
          <w:rFonts w:ascii="Times New Roman" w:hAnsi="Times New Roman" w:cs="Times New Roman"/>
          <w:color w:val="000000" w:themeColor="text1"/>
          <w:szCs w:val="22"/>
        </w:rPr>
      </w:pPr>
      <w:r w:rsidRPr="00DE7CC4">
        <w:rPr>
          <w:rFonts w:ascii="Times New Roman" w:hAnsi="Times New Roman" w:cs="Times New Roman"/>
          <w:color w:val="000000" w:themeColor="text1"/>
          <w:szCs w:val="22"/>
        </w:rPr>
        <w:t>DECRETA:</w:t>
      </w:r>
    </w:p>
    <w:p w:rsidR="00F32ED8" w:rsidRPr="00DE7CC4" w:rsidRDefault="00DE7CC4" w:rsidP="00F32ED8">
      <w:pPr>
        <w:pStyle w:val="Ttulo2"/>
        <w:ind w:left="567" w:right="333"/>
        <w:rPr>
          <w:rFonts w:ascii="Times New Roman" w:hAnsi="Times New Roman" w:cs="Times New Roman"/>
          <w:color w:val="000000" w:themeColor="text1"/>
          <w:szCs w:val="22"/>
        </w:rPr>
      </w:pPr>
    </w:p>
    <w:p w:rsidR="00F32ED8" w:rsidRPr="00DE7CC4" w:rsidRDefault="00DE7CC4" w:rsidP="00F32ED8">
      <w:pPr>
        <w:pStyle w:val="Ttulo2"/>
        <w:ind w:left="567" w:right="333"/>
        <w:rPr>
          <w:rFonts w:ascii="Times New Roman" w:hAnsi="Times New Roman" w:cs="Times New Roman"/>
          <w:b w:val="0"/>
          <w:bCs/>
          <w:color w:val="000000" w:themeColor="text1"/>
          <w:szCs w:val="22"/>
        </w:rPr>
      </w:pPr>
      <w:r w:rsidRPr="00DE7CC4">
        <w:rPr>
          <w:rFonts w:ascii="Times New Roman" w:hAnsi="Times New Roman" w:cs="Times New Roman"/>
          <w:b w:val="0"/>
          <w:bCs/>
          <w:color w:val="000000" w:themeColor="text1"/>
          <w:szCs w:val="22"/>
        </w:rPr>
        <w:t>[...]</w:t>
      </w:r>
    </w:p>
    <w:p w:rsidR="00F32ED8" w:rsidRPr="00DE7CC4" w:rsidRDefault="00DE7CC4" w:rsidP="00F32ED8">
      <w:pPr>
        <w:pStyle w:val="Ttulo2"/>
        <w:ind w:left="567" w:right="333"/>
        <w:jc w:val="both"/>
        <w:rPr>
          <w:rFonts w:ascii="Times New Roman" w:hAnsi="Times New Roman" w:cs="Times New Roman"/>
          <w:b w:val="0"/>
          <w:bCs/>
          <w:color w:val="000000" w:themeColor="text1"/>
          <w:szCs w:val="22"/>
        </w:rPr>
      </w:pPr>
    </w:p>
    <w:p w:rsidR="00F32ED8" w:rsidRPr="00DE7CC4" w:rsidRDefault="00DE7CC4" w:rsidP="00F32ED8">
      <w:pPr>
        <w:pStyle w:val="Ttulo2"/>
        <w:ind w:left="567" w:right="333"/>
        <w:jc w:val="both"/>
        <w:rPr>
          <w:rFonts w:ascii="Times New Roman" w:hAnsi="Times New Roman" w:cs="Times New Roman"/>
          <w:b w:val="0"/>
          <w:bCs/>
          <w:color w:val="000000" w:themeColor="text1"/>
          <w:szCs w:val="22"/>
        </w:rPr>
      </w:pPr>
      <w:r w:rsidRPr="00DE7CC4">
        <w:rPr>
          <w:rFonts w:ascii="Times New Roman" w:hAnsi="Times New Roman" w:cs="Times New Roman"/>
          <w:b w:val="0"/>
          <w:bCs/>
          <w:color w:val="000000" w:themeColor="text1"/>
          <w:szCs w:val="22"/>
        </w:rPr>
        <w:t xml:space="preserve">Artículo 16. El artículo 143 de la Ley 769 de 2002 quedará así: </w:t>
      </w:r>
    </w:p>
    <w:p w:rsidR="00F32ED8" w:rsidRPr="00DE7CC4" w:rsidRDefault="00DE7CC4" w:rsidP="00F32ED8">
      <w:pPr>
        <w:pStyle w:val="Ttulo2"/>
        <w:ind w:left="567" w:right="333"/>
        <w:jc w:val="both"/>
        <w:rPr>
          <w:rFonts w:ascii="Times New Roman" w:hAnsi="Times New Roman" w:cs="Times New Roman"/>
          <w:b w:val="0"/>
          <w:bCs/>
          <w:color w:val="000000" w:themeColor="text1"/>
          <w:szCs w:val="22"/>
        </w:rPr>
      </w:pPr>
      <w:r w:rsidRPr="00DE7CC4">
        <w:rPr>
          <w:rFonts w:ascii="Times New Roman" w:hAnsi="Times New Roman" w:cs="Times New Roman"/>
          <w:b w:val="0"/>
          <w:bCs/>
          <w:color w:val="000000" w:themeColor="text1"/>
          <w:szCs w:val="22"/>
        </w:rPr>
        <w:t>“Artículo 143. Daños materiales. En todo accidente de tránsito donde sólo se causen daños materiales en los que resulten afectados vehículos asegurados no asegurados, inmuebles, cosas o anima</w:t>
      </w:r>
      <w:r w:rsidRPr="00DE7CC4">
        <w:rPr>
          <w:rFonts w:ascii="Times New Roman" w:hAnsi="Times New Roman" w:cs="Times New Roman"/>
          <w:b w:val="0"/>
          <w:bCs/>
          <w:color w:val="000000" w:themeColor="text1"/>
          <w:szCs w:val="22"/>
        </w:rPr>
        <w:t>les y no se produzcan lesiones personales, los conductores, entidades aseguradoras y demás interesados en el accidente recaudarán todas las pruebas relativas a la colisión mediante la utilización de herramientas técnicas y tecnológicas, que permitan la ate</w:t>
      </w:r>
      <w:r w:rsidRPr="00DE7CC4">
        <w:rPr>
          <w:rFonts w:ascii="Times New Roman" w:hAnsi="Times New Roman" w:cs="Times New Roman"/>
          <w:b w:val="0"/>
          <w:bCs/>
          <w:color w:val="000000" w:themeColor="text1"/>
          <w:szCs w:val="22"/>
        </w:rPr>
        <w:t>nción del mismo en forma oportuna, segura y que garantice la autenticidad, integridad, conservación y posterior consulta y uso probatorio de la información. Para tal efecto, el material probatorio recaudado con estas condiciones reemplazará el informe de a</w:t>
      </w:r>
      <w:r w:rsidRPr="00DE7CC4">
        <w:rPr>
          <w:rFonts w:ascii="Times New Roman" w:hAnsi="Times New Roman" w:cs="Times New Roman"/>
          <w:b w:val="0"/>
          <w:bCs/>
          <w:color w:val="000000" w:themeColor="text1"/>
          <w:szCs w:val="22"/>
        </w:rPr>
        <w:t xml:space="preserve">ccidente de tránsito que expide la autoridad competente. </w:t>
      </w:r>
    </w:p>
    <w:p w:rsidR="00F32ED8" w:rsidRPr="00DE7CC4" w:rsidRDefault="00DE7CC4" w:rsidP="00F32ED8">
      <w:pPr>
        <w:pStyle w:val="Ttulo2"/>
        <w:ind w:left="567" w:right="333"/>
        <w:jc w:val="both"/>
        <w:rPr>
          <w:rFonts w:ascii="Times New Roman" w:hAnsi="Times New Roman" w:cs="Times New Roman"/>
          <w:b w:val="0"/>
          <w:bCs/>
          <w:color w:val="000000" w:themeColor="text1"/>
          <w:szCs w:val="22"/>
        </w:rPr>
      </w:pPr>
      <w:r w:rsidRPr="00DE7CC4">
        <w:rPr>
          <w:rFonts w:ascii="Times New Roman" w:hAnsi="Times New Roman" w:cs="Times New Roman"/>
          <w:b w:val="0"/>
          <w:bCs/>
          <w:color w:val="000000" w:themeColor="text1"/>
          <w:szCs w:val="22"/>
        </w:rPr>
        <w:t xml:space="preserve">Independientemente de que los vehículos involucrados en un accidente de este tipo estén asegurados o no, los conductores deben retirar inmediatamente los vehículos colisionados y todo elemento que </w:t>
      </w:r>
      <w:r w:rsidRPr="00DE7CC4">
        <w:rPr>
          <w:rFonts w:ascii="Times New Roman" w:hAnsi="Times New Roman" w:cs="Times New Roman"/>
          <w:b w:val="0"/>
          <w:bCs/>
          <w:color w:val="000000" w:themeColor="text1"/>
          <w:szCs w:val="22"/>
        </w:rPr>
        <w:t>pueda interrumpir el tránsito y acudir a los centros de conciliación debidamente autorizados por el Ministerio de Justicia y del Derecho. Si fracasa la conciliación, cualquiera de las partes puede acudir a los demás mecanismos de acceso a la justicia. Para</w:t>
      </w:r>
      <w:r w:rsidRPr="00DE7CC4">
        <w:rPr>
          <w:rFonts w:ascii="Times New Roman" w:hAnsi="Times New Roman" w:cs="Times New Roman"/>
          <w:b w:val="0"/>
          <w:bCs/>
          <w:color w:val="000000" w:themeColor="text1"/>
          <w:szCs w:val="22"/>
        </w:rPr>
        <w:t xml:space="preserve"> tal efecto, no será necesaria la expedición del informe de accidente de tránsito, ni la presencia de autoridad de tránsito en la respectiva audiencia de conciliación”.</w:t>
      </w:r>
    </w:p>
    <w:p w:rsidR="00F32ED8" w:rsidRPr="00DE7CC4" w:rsidRDefault="00DE7CC4" w:rsidP="00F32ED8">
      <w:pPr>
        <w:pStyle w:val="NormalWeb"/>
        <w:shd w:val="clear" w:color="auto" w:fill="FFFFFF"/>
        <w:ind w:right="333"/>
        <w:rPr>
          <w:rStyle w:val="Textoennegrita"/>
          <w:rFonts w:ascii="Times New Roman" w:hAnsi="Times New Roman" w:cs="Times New Roman"/>
          <w:color w:val="000000" w:themeColor="text1"/>
          <w:sz w:val="28"/>
        </w:rPr>
      </w:pPr>
    </w:p>
    <w:p w:rsidR="00F32ED8" w:rsidRPr="00DE7CC4" w:rsidRDefault="00DE7CC4" w:rsidP="00F32ED8">
      <w:pPr>
        <w:pStyle w:val="Ttulo2"/>
        <w:rPr>
          <w:rFonts w:ascii="Times New Roman" w:hAnsi="Times New Roman" w:cs="Times New Roman"/>
          <w:color w:val="000000" w:themeColor="text1"/>
          <w:szCs w:val="24"/>
        </w:rPr>
      </w:pPr>
      <w:bookmarkStart w:id="8" w:name="_Toc74379864"/>
      <w:bookmarkStart w:id="9" w:name="_Toc81813474"/>
      <w:r w:rsidRPr="00DE7CC4">
        <w:rPr>
          <w:rFonts w:ascii="Times New Roman" w:hAnsi="Times New Roman" w:cs="Times New Roman"/>
          <w:color w:val="000000" w:themeColor="text1"/>
          <w:szCs w:val="24"/>
        </w:rPr>
        <w:t>III. La demanda</w:t>
      </w:r>
      <w:bookmarkEnd w:id="8"/>
      <w:bookmarkEnd w:id="9"/>
    </w:p>
    <w:p w:rsidR="00F32ED8" w:rsidRPr="00DE7CC4" w:rsidRDefault="00DE7CC4" w:rsidP="00F32ED8">
      <w:pPr>
        <w:tabs>
          <w:tab w:val="left" w:pos="2259"/>
        </w:tabs>
        <w:jc w:val="both"/>
        <w:rPr>
          <w:rFonts w:ascii="Times New Roman" w:hAnsi="Times New Roman" w:cs="Times New Roman"/>
          <w:color w:val="000000" w:themeColor="text1"/>
          <w:sz w:val="28"/>
          <w:bdr w:val="none" w:sz="0" w:space="0" w:color="auto" w:frame="1"/>
          <w:lang w:eastAsia="es-ES"/>
        </w:rPr>
      </w:pPr>
    </w:p>
    <w:p w:rsidR="00F32ED8" w:rsidRPr="00DE7CC4" w:rsidRDefault="00DE7CC4" w:rsidP="00F32ED8">
      <w:pPr>
        <w:tabs>
          <w:tab w:val="left" w:pos="2259"/>
        </w:tabs>
        <w:jc w:val="both"/>
        <w:rPr>
          <w:rFonts w:ascii="Times New Roman" w:hAnsi="Times New Roman" w:cs="Times New Roman"/>
          <w:color w:val="000000" w:themeColor="text1"/>
          <w:sz w:val="28"/>
          <w:bdr w:val="none" w:sz="0" w:space="0" w:color="auto" w:frame="1"/>
          <w:lang w:eastAsia="es-ES"/>
        </w:rPr>
      </w:pPr>
      <w:r w:rsidRPr="00DE7CC4">
        <w:rPr>
          <w:rFonts w:ascii="Times New Roman" w:hAnsi="Times New Roman" w:cs="Times New Roman"/>
          <w:color w:val="000000" w:themeColor="text1"/>
          <w:sz w:val="28"/>
          <w:bdr w:val="none" w:sz="0" w:space="0" w:color="auto" w:frame="1"/>
          <w:lang w:eastAsia="es-ES"/>
        </w:rPr>
        <w:t xml:space="preserve">7. Como resultado del estudio de aptitud de la demanda, solamente se </w:t>
      </w:r>
      <w:r w:rsidRPr="00DE7CC4">
        <w:rPr>
          <w:rFonts w:ascii="Times New Roman" w:hAnsi="Times New Roman" w:cs="Times New Roman"/>
          <w:color w:val="000000" w:themeColor="text1"/>
          <w:sz w:val="28"/>
          <w:bdr w:val="none" w:sz="0" w:space="0" w:color="auto" w:frame="1"/>
          <w:lang w:eastAsia="es-ES"/>
        </w:rPr>
        <w:t>admitieron cuatro (4) cargos, de los seis, presentados. A continuación se referirán aquellos que superaron el análisis inicial realizado por el despacho sustanciador</w:t>
      </w:r>
      <w:r w:rsidRPr="00DE7CC4">
        <w:rPr>
          <w:rStyle w:val="Refdenotaalpie"/>
          <w:rFonts w:ascii="Times New Roman" w:hAnsi="Times New Roman"/>
          <w:color w:val="000000" w:themeColor="text1"/>
          <w:sz w:val="28"/>
          <w:bdr w:val="none" w:sz="0" w:space="0" w:color="auto" w:frame="1"/>
          <w:lang w:eastAsia="es-ES"/>
        </w:rPr>
        <w:footnoteReference w:id="10"/>
      </w:r>
      <w:r w:rsidRPr="00DE7CC4">
        <w:rPr>
          <w:rFonts w:ascii="Times New Roman" w:hAnsi="Times New Roman" w:cs="Times New Roman"/>
          <w:color w:val="000000" w:themeColor="text1"/>
          <w:sz w:val="28"/>
          <w:bdr w:val="none" w:sz="0" w:space="0" w:color="auto" w:frame="1"/>
          <w:lang w:eastAsia="es-ES"/>
        </w:rPr>
        <w:t>.</w:t>
      </w:r>
    </w:p>
    <w:p w:rsidR="00F32ED8" w:rsidRPr="00DE7CC4" w:rsidRDefault="00DE7CC4" w:rsidP="00F32ED8">
      <w:pPr>
        <w:tabs>
          <w:tab w:val="left" w:pos="2259"/>
        </w:tabs>
        <w:jc w:val="both"/>
        <w:rPr>
          <w:rFonts w:ascii="Times New Roman" w:hAnsi="Times New Roman" w:cs="Times New Roman"/>
          <w:color w:val="000000" w:themeColor="text1"/>
          <w:sz w:val="28"/>
          <w:bdr w:val="none" w:sz="0" w:space="0" w:color="auto" w:frame="1"/>
          <w:lang w:eastAsia="es-ES"/>
        </w:rPr>
      </w:pPr>
    </w:p>
    <w:p w:rsidR="00F32ED8" w:rsidRPr="00DE7CC4" w:rsidRDefault="00DE7CC4" w:rsidP="00F32ED8">
      <w:pPr>
        <w:jc w:val="both"/>
        <w:textAlignment w:val="baseline"/>
        <w:rPr>
          <w:rFonts w:ascii="Times New Roman" w:hAnsi="Times New Roman" w:cs="Times New Roman"/>
          <w:b/>
          <w:bCs/>
          <w:i/>
          <w:iCs/>
          <w:color w:val="000000" w:themeColor="text1"/>
          <w:sz w:val="28"/>
        </w:rPr>
      </w:pPr>
      <w:r w:rsidRPr="00DE7CC4">
        <w:rPr>
          <w:rFonts w:ascii="Times New Roman" w:hAnsi="Times New Roman" w:cs="Times New Roman"/>
          <w:b/>
          <w:bCs/>
          <w:i/>
          <w:iCs/>
          <w:color w:val="000000" w:themeColor="text1"/>
          <w:sz w:val="28"/>
        </w:rPr>
        <w:t>Primer cargo: violación de los artículos 2 y 58 superiores, “desprotección de los biene</w:t>
      </w:r>
      <w:r w:rsidRPr="00DE7CC4">
        <w:rPr>
          <w:rFonts w:ascii="Times New Roman" w:hAnsi="Times New Roman" w:cs="Times New Roman"/>
          <w:b/>
          <w:bCs/>
          <w:i/>
          <w:iCs/>
          <w:color w:val="000000" w:themeColor="text1"/>
          <w:sz w:val="28"/>
        </w:rPr>
        <w:t>s de los residentes en Colombia”</w:t>
      </w:r>
      <w:r w:rsidRPr="00DE7CC4">
        <w:rPr>
          <w:rFonts w:ascii="Times New Roman" w:hAnsi="Times New Roman" w:cs="Times New Roman"/>
          <w:b/>
          <w:bCs/>
          <w:color w:val="000000" w:themeColor="text1"/>
          <w:sz w:val="28"/>
        </w:rPr>
        <w:t>, esto es, de la propiedad</w:t>
      </w:r>
      <w:r w:rsidRPr="00DE7CC4">
        <w:rPr>
          <w:rFonts w:ascii="Times New Roman" w:hAnsi="Times New Roman" w:cs="Times New Roman"/>
          <w:b/>
          <w:bCs/>
          <w:i/>
          <w:iCs/>
          <w:color w:val="000000" w:themeColor="text1"/>
          <w:sz w:val="28"/>
        </w:rPr>
        <w:t xml:space="preserve"> </w:t>
      </w:r>
    </w:p>
    <w:p w:rsidR="00F32ED8" w:rsidRPr="00DE7CC4" w:rsidRDefault="00DE7CC4" w:rsidP="00F32ED8">
      <w:pPr>
        <w:pStyle w:val="Prrafodelista"/>
        <w:ind w:left="0" w:right="49"/>
        <w:jc w:val="both"/>
        <w:rPr>
          <w:rFonts w:ascii="Times New Roman" w:hAnsi="Times New Roman" w:cs="Times New Roman"/>
          <w:noProof/>
          <w:color w:val="000000" w:themeColor="text1"/>
          <w:sz w:val="28"/>
          <w:lang w:val="es-ES_tradnl"/>
        </w:rPr>
      </w:pPr>
    </w:p>
    <w:p w:rsidR="00F32ED8" w:rsidRPr="00DE7CC4" w:rsidRDefault="00DE7CC4" w:rsidP="00F32ED8">
      <w:pPr>
        <w:pStyle w:val="Prrafodelista"/>
        <w:ind w:left="0" w:right="49"/>
        <w:jc w:val="both"/>
        <w:textAlignment w:val="baseline"/>
        <w:rPr>
          <w:rFonts w:ascii="Times New Roman" w:hAnsi="Times New Roman" w:cs="Times New Roman"/>
          <w:color w:val="000000" w:themeColor="text1"/>
          <w:sz w:val="28"/>
        </w:rPr>
      </w:pPr>
      <w:r w:rsidRPr="00DE7CC4">
        <w:rPr>
          <w:rFonts w:ascii="Times New Roman" w:hAnsi="Times New Roman" w:cs="Times New Roman"/>
          <w:color w:val="000000" w:themeColor="text1"/>
          <w:sz w:val="28"/>
        </w:rPr>
        <w:t>8. Los accionantes sostuvieron que el artículo cuestionado impone a las personas involucradas en accidentes de tránsito en los que solo se causan daños materiales y no hay lesionados, con indepen</w:t>
      </w:r>
      <w:r w:rsidRPr="00DE7CC4">
        <w:rPr>
          <w:rFonts w:ascii="Times New Roman" w:hAnsi="Times New Roman" w:cs="Times New Roman"/>
          <w:color w:val="000000" w:themeColor="text1"/>
          <w:sz w:val="28"/>
        </w:rPr>
        <w:t>dencia de que el vehículo esté o no esté asegurado, el deber de recoger el material probatorio necesario para cualquier reclamación indemnizatoria, sin la asistencia de la autoridad de tránsito. Según la norma, además, las personas están obligadas a garant</w:t>
      </w:r>
      <w:r w:rsidRPr="00DE7CC4">
        <w:rPr>
          <w:rFonts w:ascii="Times New Roman" w:hAnsi="Times New Roman" w:cs="Times New Roman"/>
          <w:color w:val="000000" w:themeColor="text1"/>
          <w:sz w:val="28"/>
        </w:rPr>
        <w:t>izar que la evidencia recopilada cumpla con los estándares de autenticidad, integridad, conservación y consulta posterior, una tarea para la cual no están preparadas técnicamente</w:t>
      </w:r>
      <w:bookmarkStart w:id="10" w:name="_Toc74379865"/>
      <w:r w:rsidRPr="00DE7CC4">
        <w:rPr>
          <w:rFonts w:ascii="Times New Roman" w:hAnsi="Times New Roman" w:cs="Times New Roman"/>
          <w:color w:val="000000" w:themeColor="text1"/>
          <w:sz w:val="28"/>
        </w:rPr>
        <w:t>:</w:t>
      </w:r>
    </w:p>
    <w:p w:rsidR="00F32ED8" w:rsidRPr="00DE7CC4" w:rsidRDefault="00DE7CC4" w:rsidP="00F32ED8">
      <w:pPr>
        <w:ind w:right="49"/>
        <w:jc w:val="both"/>
        <w:textAlignment w:val="baseline"/>
        <w:rPr>
          <w:rFonts w:ascii="Times New Roman" w:hAnsi="Times New Roman" w:cs="Times New Roman"/>
          <w:color w:val="000000" w:themeColor="text1"/>
          <w:sz w:val="28"/>
        </w:rPr>
      </w:pPr>
    </w:p>
    <w:p w:rsidR="00F32ED8" w:rsidRPr="00DE7CC4" w:rsidRDefault="00DE7CC4" w:rsidP="00F32ED8">
      <w:pPr>
        <w:ind w:left="567" w:right="333"/>
        <w:jc w:val="both"/>
        <w:textAlignment w:val="baseline"/>
        <w:rPr>
          <w:rFonts w:ascii="Times New Roman" w:hAnsi="Times New Roman" w:cs="Times New Roman"/>
          <w:color w:val="000000" w:themeColor="text1"/>
          <w:sz w:val="28"/>
        </w:rPr>
      </w:pPr>
      <w:r w:rsidRPr="00DE7CC4">
        <w:rPr>
          <w:rFonts w:ascii="Times New Roman" w:hAnsi="Times New Roman" w:cs="Times New Roman"/>
          <w:color w:val="000000" w:themeColor="text1"/>
          <w:sz w:val="28"/>
        </w:rPr>
        <w:t>“(…) el legislador, al imponer al ciudadano la carga de recoger las pruebas</w:t>
      </w:r>
      <w:r w:rsidRPr="00DE7CC4">
        <w:rPr>
          <w:rFonts w:ascii="Times New Roman" w:hAnsi="Times New Roman" w:cs="Times New Roman"/>
          <w:color w:val="000000" w:themeColor="text1"/>
          <w:sz w:val="28"/>
        </w:rPr>
        <w:t xml:space="preserve"> necesarias para evidenciar la ocurrencia del accidente, y para determinar las condiciones de modo, tiempo y lugar de los hechos, para que puedan sustentar cualquier reclamación indemnizatoria (al tiempo que impide la asistencia de la autoridad de tránsito</w:t>
      </w:r>
      <w:r w:rsidRPr="00DE7CC4">
        <w:rPr>
          <w:rFonts w:ascii="Times New Roman" w:hAnsi="Times New Roman" w:cs="Times New Roman"/>
          <w:color w:val="000000" w:themeColor="text1"/>
          <w:sz w:val="28"/>
        </w:rPr>
        <w:t>), ha puesto en cabeza de un sujeto no cualificado -el ciudadano común- la recolección de una evidencia que requiere un conocimiento técnico, objetivo, neutro y especializado, y sin presiones de interés alguno”</w:t>
      </w:r>
      <w:r w:rsidRPr="00DE7CC4">
        <w:rPr>
          <w:rStyle w:val="Refdenotaalpie"/>
          <w:rFonts w:ascii="Times New Roman" w:hAnsi="Times New Roman"/>
          <w:color w:val="000000" w:themeColor="text1"/>
          <w:sz w:val="28"/>
        </w:rPr>
        <w:footnoteReference w:id="11"/>
      </w:r>
      <w:r w:rsidRPr="00DE7CC4">
        <w:rPr>
          <w:rFonts w:ascii="Times New Roman" w:hAnsi="Times New Roman" w:cs="Times New Roman"/>
          <w:color w:val="000000" w:themeColor="text1"/>
          <w:sz w:val="28"/>
        </w:rPr>
        <w:t>.</w:t>
      </w:r>
    </w:p>
    <w:p w:rsidR="00F32ED8" w:rsidRPr="00DE7CC4" w:rsidRDefault="00DE7CC4" w:rsidP="00F32ED8">
      <w:pPr>
        <w:pStyle w:val="Prrafodelista"/>
        <w:ind w:left="0" w:right="49"/>
        <w:jc w:val="both"/>
        <w:textAlignment w:val="baseline"/>
        <w:rPr>
          <w:rFonts w:ascii="Times New Roman" w:hAnsi="Times New Roman" w:cs="Times New Roman"/>
          <w:color w:val="000000" w:themeColor="text1"/>
          <w:sz w:val="28"/>
        </w:rPr>
      </w:pPr>
    </w:p>
    <w:p w:rsidR="00F32ED8" w:rsidRPr="00DE7CC4" w:rsidRDefault="00DE7CC4" w:rsidP="00F32ED8">
      <w:pPr>
        <w:pStyle w:val="Prrafodelista"/>
        <w:ind w:left="0" w:right="49"/>
        <w:jc w:val="both"/>
        <w:textAlignment w:val="baseline"/>
        <w:rPr>
          <w:rFonts w:ascii="Times New Roman" w:hAnsi="Times New Roman" w:cs="Times New Roman"/>
          <w:color w:val="000000" w:themeColor="text1"/>
          <w:sz w:val="28"/>
        </w:rPr>
      </w:pPr>
      <w:r w:rsidRPr="00DE7CC4">
        <w:rPr>
          <w:rFonts w:ascii="Times New Roman" w:hAnsi="Times New Roman" w:cs="Times New Roman"/>
          <w:color w:val="000000" w:themeColor="text1"/>
          <w:sz w:val="28"/>
        </w:rPr>
        <w:t xml:space="preserve">9. Indicaron los promotores de la acción </w:t>
      </w:r>
      <w:r w:rsidRPr="00DE7CC4">
        <w:rPr>
          <w:rFonts w:ascii="Times New Roman" w:hAnsi="Times New Roman" w:cs="Times New Roman"/>
          <w:color w:val="000000" w:themeColor="text1"/>
          <w:sz w:val="28"/>
        </w:rPr>
        <w:t>que, tanto en los eventos en los que los vehículos están asegurados, en los que la norma señala que es posible obtener asesoría por la aseguradora, como en los casos en los que no lo están, no se podrá contar con apoyo técnico dado que los involucrados deb</w:t>
      </w:r>
      <w:r w:rsidRPr="00DE7CC4">
        <w:rPr>
          <w:rFonts w:ascii="Times New Roman" w:hAnsi="Times New Roman" w:cs="Times New Roman"/>
          <w:color w:val="000000" w:themeColor="text1"/>
          <w:sz w:val="28"/>
        </w:rPr>
        <w:t>en remover los vehículos inmediatamente</w:t>
      </w:r>
      <w:r w:rsidRPr="00DE7CC4">
        <w:rPr>
          <w:rStyle w:val="Refdenotaalpie"/>
          <w:rFonts w:ascii="Times New Roman" w:hAnsi="Times New Roman"/>
          <w:color w:val="000000" w:themeColor="text1"/>
          <w:sz w:val="28"/>
        </w:rPr>
        <w:footnoteReference w:id="12"/>
      </w:r>
      <w:r w:rsidRPr="00DE7CC4">
        <w:rPr>
          <w:rFonts w:ascii="Times New Roman" w:hAnsi="Times New Roman" w:cs="Times New Roman"/>
          <w:color w:val="000000" w:themeColor="text1"/>
          <w:sz w:val="28"/>
        </w:rPr>
        <w:t>, dando cuenta, por lo tanto, de que, “en ambos casos la desprotección alegada en la demanda sea evidente, pues la ley no obliga a la autoridad de tránsito para hacer presencia en el lugar de un accidente que solo ha</w:t>
      </w:r>
      <w:r w:rsidRPr="00DE7CC4">
        <w:rPr>
          <w:rFonts w:ascii="Times New Roman" w:hAnsi="Times New Roman" w:cs="Times New Roman"/>
          <w:color w:val="000000" w:themeColor="text1"/>
          <w:sz w:val="28"/>
        </w:rPr>
        <w:t xml:space="preserve"> producido daños materiales”</w:t>
      </w:r>
      <w:r w:rsidRPr="00DE7CC4">
        <w:rPr>
          <w:rStyle w:val="Refdenotaalpie"/>
          <w:rFonts w:ascii="Times New Roman" w:hAnsi="Times New Roman"/>
          <w:color w:val="000000" w:themeColor="text1"/>
          <w:sz w:val="28"/>
        </w:rPr>
        <w:footnoteReference w:id="13"/>
      </w:r>
      <w:r w:rsidRPr="00DE7CC4">
        <w:rPr>
          <w:rFonts w:ascii="Times New Roman" w:hAnsi="Times New Roman" w:cs="Times New Roman"/>
          <w:color w:val="000000" w:themeColor="text1"/>
          <w:sz w:val="28"/>
        </w:rPr>
        <w:t xml:space="preserve">. </w:t>
      </w:r>
    </w:p>
    <w:p w:rsidR="00F32ED8" w:rsidRPr="00DE7CC4" w:rsidRDefault="00DE7CC4" w:rsidP="00F32ED8">
      <w:pPr>
        <w:pStyle w:val="Prrafodelista"/>
        <w:ind w:left="0" w:right="49"/>
        <w:jc w:val="both"/>
        <w:textAlignment w:val="baseline"/>
        <w:rPr>
          <w:rFonts w:ascii="Times New Roman" w:hAnsi="Times New Roman" w:cs="Times New Roman"/>
          <w:color w:val="000000" w:themeColor="text1"/>
          <w:sz w:val="28"/>
        </w:rPr>
      </w:pPr>
    </w:p>
    <w:p w:rsidR="00F32ED8" w:rsidRPr="00DE7CC4" w:rsidRDefault="00DE7CC4" w:rsidP="00F32ED8">
      <w:pPr>
        <w:pStyle w:val="Prrafodelista"/>
        <w:ind w:left="0" w:right="49"/>
        <w:jc w:val="both"/>
        <w:textAlignment w:val="baseline"/>
        <w:rPr>
          <w:rFonts w:ascii="Times New Roman" w:hAnsi="Times New Roman" w:cs="Times New Roman"/>
          <w:color w:val="000000" w:themeColor="text1"/>
          <w:sz w:val="28"/>
        </w:rPr>
      </w:pPr>
      <w:r w:rsidRPr="00DE7CC4">
        <w:rPr>
          <w:rFonts w:ascii="Times New Roman" w:hAnsi="Times New Roman" w:cs="Times New Roman"/>
          <w:color w:val="000000" w:themeColor="text1"/>
          <w:sz w:val="28"/>
        </w:rPr>
        <w:t>10. En su concepto, la lesión del artículo 2 de la Constitución se verifica porque propicia la desprotección de los bienes de las personas, pese a que, según lo previsto en tal disposición, existe un manda</w:t>
      </w:r>
      <w:r w:rsidRPr="00DE7CC4">
        <w:rPr>
          <w:rFonts w:ascii="Times New Roman" w:hAnsi="Times New Roman" w:cs="Times New Roman"/>
          <w:color w:val="000000" w:themeColor="text1"/>
          <w:sz w:val="28"/>
        </w:rPr>
        <w:t>t</w:t>
      </w:r>
      <w:r w:rsidRPr="00DE7CC4">
        <w:rPr>
          <w:rFonts w:ascii="Times New Roman" w:hAnsi="Times New Roman" w:cs="Times New Roman"/>
          <w:color w:val="000000" w:themeColor="text1"/>
          <w:sz w:val="28"/>
        </w:rPr>
        <w:t xml:space="preserve">o constitucional </w:t>
      </w:r>
      <w:r w:rsidRPr="00DE7CC4">
        <w:rPr>
          <w:rFonts w:ascii="Times New Roman" w:hAnsi="Times New Roman" w:cs="Times New Roman"/>
          <w:color w:val="000000" w:themeColor="text1"/>
          <w:sz w:val="28"/>
        </w:rPr>
        <w:t>(obligación/deber) exigible a las autoridades para ampararlos. Bajo la Ley 769 de 2002 la autoridad de tránsito desempeñaba un papel esencial en el lugar del accidente, al facilitar la conciliación, que tenía la calidad de cosa juzgada, y, en caso de no ll</w:t>
      </w:r>
      <w:r w:rsidRPr="00DE7CC4">
        <w:rPr>
          <w:rFonts w:ascii="Times New Roman" w:hAnsi="Times New Roman" w:cs="Times New Roman"/>
          <w:color w:val="000000" w:themeColor="text1"/>
          <w:sz w:val="28"/>
        </w:rPr>
        <w:t xml:space="preserve">egar a ella, elaborar un informe de policía de accidente de tránsito (IPAT), con el cual los interesados podían acudir a las instancias respectivas para reclamar la declaración de responsabilidad. Este cambio en la normativa desplaza la responsabilidad de </w:t>
      </w:r>
      <w:r w:rsidRPr="00DE7CC4">
        <w:rPr>
          <w:rFonts w:ascii="Times New Roman" w:hAnsi="Times New Roman" w:cs="Times New Roman"/>
          <w:color w:val="000000" w:themeColor="text1"/>
          <w:sz w:val="28"/>
        </w:rPr>
        <w:t>la recolección de pruebas, de la autoridad a quienes conducen vehículos, incluso en los supuestos en los que no hay ánimo conciliatorio</w:t>
      </w:r>
      <w:r w:rsidRPr="00DE7CC4">
        <w:rPr>
          <w:rStyle w:val="Refdenotaalpie"/>
          <w:rFonts w:ascii="Times New Roman" w:hAnsi="Times New Roman"/>
          <w:color w:val="000000" w:themeColor="text1"/>
          <w:sz w:val="28"/>
        </w:rPr>
        <w:footnoteReference w:id="14"/>
      </w:r>
      <w:r w:rsidRPr="00DE7CC4">
        <w:rPr>
          <w:rFonts w:ascii="Times New Roman" w:hAnsi="Times New Roman" w:cs="Times New Roman"/>
          <w:color w:val="000000" w:themeColor="text1"/>
          <w:sz w:val="28"/>
        </w:rPr>
        <w:t xml:space="preserve"> y pese a que generalmente quienes conducen carecen de la preparación técnica y objetiva necesaria para esta tarea, espe</w:t>
      </w:r>
      <w:r w:rsidRPr="00DE7CC4">
        <w:rPr>
          <w:rFonts w:ascii="Times New Roman" w:hAnsi="Times New Roman" w:cs="Times New Roman"/>
          <w:color w:val="000000" w:themeColor="text1"/>
          <w:sz w:val="28"/>
        </w:rPr>
        <w:t>cialmente en un contexto de estrés post</w:t>
      </w:r>
      <w:r w:rsidRPr="00DE7CC4">
        <w:rPr>
          <w:rFonts w:ascii="Times New Roman" w:hAnsi="Times New Roman" w:cs="Times New Roman"/>
          <w:color w:val="000000" w:themeColor="text1"/>
          <w:sz w:val="28"/>
        </w:rPr>
        <w:t xml:space="preserve"> </w:t>
      </w:r>
      <w:r w:rsidRPr="00DE7CC4">
        <w:rPr>
          <w:rFonts w:ascii="Times New Roman" w:hAnsi="Times New Roman" w:cs="Times New Roman"/>
          <w:color w:val="000000" w:themeColor="text1"/>
          <w:sz w:val="28"/>
        </w:rPr>
        <w:t xml:space="preserve">accidente. </w:t>
      </w:r>
    </w:p>
    <w:p w:rsidR="00F32ED8" w:rsidRPr="00DE7CC4" w:rsidRDefault="00DE7CC4" w:rsidP="00F32ED8">
      <w:pPr>
        <w:pStyle w:val="Prrafodelista"/>
        <w:ind w:left="0" w:right="49"/>
        <w:jc w:val="both"/>
        <w:textAlignment w:val="baseline"/>
        <w:rPr>
          <w:rFonts w:ascii="Times New Roman" w:hAnsi="Times New Roman" w:cs="Times New Roman"/>
          <w:color w:val="000000" w:themeColor="text1"/>
          <w:sz w:val="28"/>
        </w:rPr>
      </w:pPr>
    </w:p>
    <w:p w:rsidR="00F32ED8" w:rsidRPr="00DE7CC4" w:rsidRDefault="00DE7CC4" w:rsidP="00F32ED8">
      <w:pPr>
        <w:pStyle w:val="Prrafodelista"/>
        <w:ind w:left="0" w:right="49"/>
        <w:jc w:val="both"/>
        <w:textAlignment w:val="baseline"/>
        <w:rPr>
          <w:rFonts w:ascii="Times New Roman" w:hAnsi="Times New Roman" w:cs="Times New Roman"/>
          <w:color w:val="000000" w:themeColor="text1"/>
          <w:sz w:val="28"/>
        </w:rPr>
      </w:pPr>
      <w:r w:rsidRPr="00DE7CC4">
        <w:rPr>
          <w:rFonts w:ascii="Times New Roman" w:hAnsi="Times New Roman" w:cs="Times New Roman"/>
          <w:color w:val="000000" w:themeColor="text1"/>
          <w:sz w:val="28"/>
        </w:rPr>
        <w:t xml:space="preserve">11. Esta transferencia de responsabilidad contradice el mandato constitucional de que las autoridades deben proteger los bienes de los residentes en Colombia y pone en riesgo la calidad y fiabilidad del </w:t>
      </w:r>
      <w:r w:rsidRPr="00DE7CC4">
        <w:rPr>
          <w:rFonts w:ascii="Times New Roman" w:hAnsi="Times New Roman" w:cs="Times New Roman"/>
          <w:color w:val="000000" w:themeColor="text1"/>
          <w:sz w:val="28"/>
        </w:rPr>
        <w:t>material probatorio, crucial para determinar la responsabilidad en accidentes de tránsito. Aunado a ello, la norma demandada es mucho más grave cuando, en su inciso segundo, ordena retirar los carros involucrados en el accidente, pues impide que, en el cas</w:t>
      </w:r>
      <w:r w:rsidRPr="00DE7CC4">
        <w:rPr>
          <w:rFonts w:ascii="Times New Roman" w:hAnsi="Times New Roman" w:cs="Times New Roman"/>
          <w:color w:val="000000" w:themeColor="text1"/>
          <w:sz w:val="28"/>
        </w:rPr>
        <w:t>o de que no exista ánimo conciliatorio para superar el suceso, se levante el informe de policía de tránsito para acudir a las instancias indemnizatorias posteriores.</w:t>
      </w:r>
    </w:p>
    <w:p w:rsidR="00F32ED8" w:rsidRPr="00DE7CC4" w:rsidRDefault="00DE7CC4" w:rsidP="00F32ED8">
      <w:pPr>
        <w:pStyle w:val="Prrafodelista"/>
        <w:ind w:left="0" w:right="49"/>
        <w:jc w:val="both"/>
        <w:textAlignment w:val="baseline"/>
        <w:rPr>
          <w:rFonts w:ascii="Times New Roman" w:hAnsi="Times New Roman" w:cs="Times New Roman"/>
          <w:color w:val="000000" w:themeColor="text1"/>
          <w:sz w:val="28"/>
        </w:rPr>
      </w:pPr>
    </w:p>
    <w:p w:rsidR="00F32ED8" w:rsidRPr="00DE7CC4" w:rsidRDefault="00DE7CC4" w:rsidP="00F32ED8">
      <w:pPr>
        <w:pStyle w:val="Prrafodelista"/>
        <w:ind w:left="0" w:right="49"/>
        <w:jc w:val="both"/>
        <w:textAlignment w:val="baseline"/>
        <w:rPr>
          <w:rFonts w:ascii="Times New Roman" w:hAnsi="Times New Roman" w:cs="Times New Roman"/>
          <w:color w:val="000000" w:themeColor="text1"/>
          <w:sz w:val="28"/>
        </w:rPr>
      </w:pPr>
      <w:r w:rsidRPr="00DE7CC4">
        <w:rPr>
          <w:rFonts w:ascii="Times New Roman" w:hAnsi="Times New Roman" w:cs="Times New Roman"/>
          <w:color w:val="000000" w:themeColor="text1"/>
          <w:sz w:val="28"/>
        </w:rPr>
        <w:t xml:space="preserve">12. La ausencia del informe policial en estos accidentes, que ahora no será emitido bajo </w:t>
      </w:r>
      <w:r w:rsidRPr="00DE7CC4">
        <w:rPr>
          <w:rFonts w:ascii="Times New Roman" w:hAnsi="Times New Roman" w:cs="Times New Roman"/>
          <w:color w:val="000000" w:themeColor="text1"/>
          <w:sz w:val="28"/>
        </w:rPr>
        <w:t>la nueva legislación, presenta un desafío significativo para la administración de justicia y la protección de los derechos de los ciudadanos, e incluso del interés general, en tanto, como consecuencia de los choques pueden afectarse bienes públicos. El inf</w:t>
      </w:r>
      <w:r w:rsidRPr="00DE7CC4">
        <w:rPr>
          <w:rFonts w:ascii="Times New Roman" w:hAnsi="Times New Roman" w:cs="Times New Roman"/>
          <w:color w:val="000000" w:themeColor="text1"/>
          <w:sz w:val="28"/>
        </w:rPr>
        <w:t>orme policial, reconocido como un documento esencial en la Sentencia C-429 de 2003, proporcionaba detalles fundamentales sobre el accidente, incluyendo la identificación de los conductores implicados y las circunstancias del incidente, necesarios para guia</w:t>
      </w:r>
      <w:r w:rsidRPr="00DE7CC4">
        <w:rPr>
          <w:rFonts w:ascii="Times New Roman" w:hAnsi="Times New Roman" w:cs="Times New Roman"/>
          <w:color w:val="000000" w:themeColor="text1"/>
          <w:sz w:val="28"/>
        </w:rPr>
        <w:t>r investigaciones futuras y establecer la realidad y veracidad de los hechos. La eliminación de la obligación de los agentes de tránsito de asistir a estos accidentes transfiere indebidamente la carga de recolección de pruebas a los ciudadanos, despojándol</w:t>
      </w:r>
      <w:r w:rsidRPr="00DE7CC4">
        <w:rPr>
          <w:rFonts w:ascii="Times New Roman" w:hAnsi="Times New Roman" w:cs="Times New Roman"/>
          <w:color w:val="000000" w:themeColor="text1"/>
          <w:sz w:val="28"/>
        </w:rPr>
        <w:t>os de una herramienta primordial para defender sus derechos y comprometiendo seriamente la seguridad vial y el orden público, en un contexto en el que dichos agentes acuden para proteger el patrimonio de quien se ha visto involucrado en un accidente en vía</w:t>
      </w:r>
      <w:r w:rsidRPr="00DE7CC4">
        <w:rPr>
          <w:rFonts w:ascii="Times New Roman" w:hAnsi="Times New Roman" w:cs="Times New Roman"/>
          <w:color w:val="000000" w:themeColor="text1"/>
          <w:sz w:val="28"/>
        </w:rPr>
        <w:t xml:space="preserve"> pública:</w:t>
      </w:r>
    </w:p>
    <w:p w:rsidR="00F32ED8" w:rsidRPr="00DE7CC4" w:rsidRDefault="00DE7CC4" w:rsidP="00F32ED8">
      <w:pPr>
        <w:pStyle w:val="Prrafodelista"/>
        <w:ind w:left="0" w:right="49"/>
        <w:jc w:val="both"/>
        <w:textAlignment w:val="baseline"/>
        <w:rPr>
          <w:rFonts w:ascii="Times New Roman" w:hAnsi="Times New Roman" w:cs="Times New Roman"/>
          <w:color w:val="000000" w:themeColor="text1"/>
          <w:sz w:val="28"/>
        </w:rPr>
      </w:pPr>
    </w:p>
    <w:p w:rsidR="00F32ED8" w:rsidRPr="00DE7CC4" w:rsidRDefault="00DE7CC4" w:rsidP="00F32ED8">
      <w:pPr>
        <w:pStyle w:val="Prrafodelista"/>
        <w:ind w:left="567" w:right="333"/>
        <w:jc w:val="both"/>
        <w:textAlignment w:val="baseline"/>
        <w:rPr>
          <w:rFonts w:ascii="Times New Roman" w:hAnsi="Times New Roman" w:cs="Times New Roman"/>
          <w:color w:val="000000" w:themeColor="text1"/>
          <w:sz w:val="28"/>
        </w:rPr>
      </w:pPr>
      <w:r w:rsidRPr="00DE7CC4">
        <w:rPr>
          <w:rFonts w:ascii="Times New Roman" w:hAnsi="Times New Roman" w:cs="Times New Roman"/>
          <w:color w:val="000000" w:themeColor="text1"/>
          <w:sz w:val="28"/>
        </w:rPr>
        <w:t>“La presencia del agente de tránsito constituye una garantía de imparcialidad y neutralidad, una garantía de seguridad, buena fe; una garantía de que las pruebas que se recojan, en vista a cualquier reclamación y a cualquier procedimiento admini</w:t>
      </w:r>
      <w:r w:rsidRPr="00DE7CC4">
        <w:rPr>
          <w:rFonts w:ascii="Times New Roman" w:hAnsi="Times New Roman" w:cs="Times New Roman"/>
          <w:color w:val="000000" w:themeColor="text1"/>
          <w:sz w:val="28"/>
        </w:rPr>
        <w:t>strativo, se obtengan con el conocimiento técnico idóneo, con la instrucción previa, pero especialmente con la oficialidad de un sujeto imparcial que no se ha visto involucrado en el accidente y que no se ve afectado por la destrucción de su patrimonio”</w:t>
      </w:r>
      <w:r w:rsidRPr="00DE7CC4">
        <w:rPr>
          <w:rStyle w:val="Refdenotaalpie"/>
          <w:rFonts w:ascii="Times New Roman" w:hAnsi="Times New Roman"/>
          <w:color w:val="000000" w:themeColor="text1"/>
          <w:sz w:val="28"/>
        </w:rPr>
        <w:footnoteReference w:id="15"/>
      </w:r>
      <w:r w:rsidRPr="00DE7CC4">
        <w:rPr>
          <w:rFonts w:ascii="Times New Roman" w:hAnsi="Times New Roman" w:cs="Times New Roman"/>
          <w:color w:val="000000" w:themeColor="text1"/>
          <w:sz w:val="28"/>
        </w:rPr>
        <w:t>.</w:t>
      </w:r>
    </w:p>
    <w:p w:rsidR="00F32ED8" w:rsidRPr="00DE7CC4" w:rsidRDefault="00DE7CC4" w:rsidP="00F32ED8">
      <w:pPr>
        <w:pStyle w:val="Prrafodelista"/>
        <w:rPr>
          <w:rFonts w:ascii="Times New Roman" w:hAnsi="Times New Roman" w:cs="Times New Roman"/>
          <w:color w:val="000000" w:themeColor="text1"/>
          <w:sz w:val="28"/>
        </w:rPr>
      </w:pPr>
    </w:p>
    <w:p w:rsidR="00F32ED8" w:rsidRPr="00DE7CC4" w:rsidRDefault="00DE7CC4" w:rsidP="00F32ED8">
      <w:pPr>
        <w:pStyle w:val="Prrafodelista"/>
        <w:ind w:left="0" w:right="49"/>
        <w:jc w:val="both"/>
        <w:textAlignment w:val="baseline"/>
        <w:rPr>
          <w:rFonts w:ascii="Times New Roman" w:hAnsi="Times New Roman" w:cs="Times New Roman"/>
          <w:color w:val="000000" w:themeColor="text1"/>
          <w:sz w:val="28"/>
        </w:rPr>
      </w:pPr>
      <w:r w:rsidRPr="00DE7CC4">
        <w:rPr>
          <w:rFonts w:ascii="Times New Roman" w:hAnsi="Times New Roman" w:cs="Times New Roman"/>
          <w:color w:val="000000" w:themeColor="text1"/>
          <w:sz w:val="28"/>
        </w:rPr>
        <w:t xml:space="preserve">13. Los promotores de la acción acompañaron la sustentación del cargo </w:t>
      </w:r>
      <w:r w:rsidRPr="00DE7CC4">
        <w:rPr>
          <w:rFonts w:ascii="Times New Roman" w:hAnsi="Times New Roman" w:cs="Times New Roman"/>
          <w:color w:val="000000" w:themeColor="text1"/>
          <w:sz w:val="28"/>
        </w:rPr>
        <w:t xml:space="preserve">con </w:t>
      </w:r>
      <w:r w:rsidRPr="00DE7CC4">
        <w:rPr>
          <w:rFonts w:ascii="Times New Roman" w:hAnsi="Times New Roman" w:cs="Times New Roman"/>
          <w:color w:val="000000" w:themeColor="text1"/>
          <w:sz w:val="28"/>
        </w:rPr>
        <w:t>una serie de reflexiones acerca de (i) las complicaciones operativas de la recolección probatoria, entre las que mencionan, por ejemplo, que “[n]o existe norma legal o reglamentaria</w:t>
      </w:r>
      <w:r w:rsidRPr="00DE7CC4">
        <w:rPr>
          <w:rFonts w:ascii="Times New Roman" w:hAnsi="Times New Roman" w:cs="Times New Roman"/>
          <w:color w:val="000000" w:themeColor="text1"/>
          <w:sz w:val="28"/>
        </w:rPr>
        <w:t xml:space="preserve"> que suponga el deber de todo ciudadano de instruirse en la forma correcta de recoger el material probatorio en caso de un accidente de tránsito. El policía de tránsito sí tiene ese entrenamiento”; (ii) la ausencia de reconocimiento por parte del Legislado</w:t>
      </w:r>
      <w:r w:rsidRPr="00DE7CC4">
        <w:rPr>
          <w:rFonts w:ascii="Times New Roman" w:hAnsi="Times New Roman" w:cs="Times New Roman"/>
          <w:color w:val="000000" w:themeColor="text1"/>
          <w:sz w:val="28"/>
        </w:rPr>
        <w:t>r de que, más allá del mundo de lo externo, los choques pueden generar lesiones psicológicas y, en esa condición se está pidiendo recaudar pruebas; (iii) la existencia de estudios que indican la infalibilidad de aquello sobre lo que las fotos pueden dar cu</w:t>
      </w:r>
      <w:r w:rsidRPr="00DE7CC4">
        <w:rPr>
          <w:rFonts w:ascii="Times New Roman" w:hAnsi="Times New Roman" w:cs="Times New Roman"/>
          <w:color w:val="000000" w:themeColor="text1"/>
          <w:sz w:val="28"/>
        </w:rPr>
        <w:t>enta; y (iv) la inexistencia de una obligación en quienes conducen de portar un sistema de captura de imágenes. Finalmente, la demanda presentó datos sobre la violencia que se suscita en las calles como consecuencia de los accidentes de tránsito.</w:t>
      </w:r>
    </w:p>
    <w:p w:rsidR="00F32ED8" w:rsidRPr="00DE7CC4" w:rsidRDefault="00DE7CC4" w:rsidP="00F32ED8">
      <w:pPr>
        <w:jc w:val="both"/>
        <w:textAlignment w:val="baseline"/>
        <w:rPr>
          <w:rFonts w:ascii="Times New Roman" w:hAnsi="Times New Roman" w:cs="Times New Roman"/>
          <w:b/>
          <w:bCs/>
          <w:i/>
          <w:iCs/>
          <w:color w:val="000000" w:themeColor="text1"/>
          <w:sz w:val="28"/>
        </w:rPr>
      </w:pPr>
    </w:p>
    <w:p w:rsidR="00F32ED8" w:rsidRPr="00DE7CC4" w:rsidRDefault="00DE7CC4" w:rsidP="00F32ED8">
      <w:pPr>
        <w:jc w:val="both"/>
        <w:textAlignment w:val="baseline"/>
        <w:rPr>
          <w:rFonts w:ascii="Times New Roman" w:hAnsi="Times New Roman" w:cs="Times New Roman"/>
          <w:b/>
          <w:bCs/>
          <w:i/>
          <w:iCs/>
          <w:color w:val="000000" w:themeColor="text1"/>
          <w:sz w:val="28"/>
        </w:rPr>
      </w:pPr>
      <w:r w:rsidRPr="00DE7CC4">
        <w:rPr>
          <w:rFonts w:ascii="Times New Roman" w:hAnsi="Times New Roman" w:cs="Times New Roman"/>
          <w:b/>
          <w:bCs/>
          <w:i/>
          <w:iCs/>
          <w:color w:val="000000" w:themeColor="text1"/>
          <w:sz w:val="28"/>
        </w:rPr>
        <w:t xml:space="preserve">Segundo </w:t>
      </w:r>
      <w:r w:rsidRPr="00DE7CC4">
        <w:rPr>
          <w:rFonts w:ascii="Times New Roman" w:hAnsi="Times New Roman" w:cs="Times New Roman"/>
          <w:b/>
          <w:bCs/>
          <w:i/>
          <w:iCs/>
          <w:color w:val="000000" w:themeColor="text1"/>
          <w:sz w:val="28"/>
        </w:rPr>
        <w:t>cargo: vulneración a los artículos 58 y 60 de la Constitución y al artículo 21 de la Convención Americana sobre Derechos Humanos porque el modelo seleccionado por el Legislador ofrece menores garantías y, por ente, vulnera el principio de no regresividad d</w:t>
      </w:r>
      <w:r w:rsidRPr="00DE7CC4">
        <w:rPr>
          <w:rFonts w:ascii="Times New Roman" w:hAnsi="Times New Roman" w:cs="Times New Roman"/>
          <w:b/>
          <w:bCs/>
          <w:i/>
          <w:iCs/>
          <w:color w:val="000000" w:themeColor="text1"/>
          <w:sz w:val="28"/>
        </w:rPr>
        <w:t>e los derechos económicos</w:t>
      </w:r>
    </w:p>
    <w:p w:rsidR="00F32ED8" w:rsidRPr="00DE7CC4" w:rsidRDefault="00DE7CC4" w:rsidP="00F32ED8">
      <w:pPr>
        <w:pStyle w:val="Prrafodelista"/>
        <w:ind w:left="0" w:right="49"/>
        <w:jc w:val="both"/>
        <w:textAlignment w:val="baseline"/>
        <w:rPr>
          <w:rFonts w:ascii="Times New Roman" w:hAnsi="Times New Roman" w:cs="Times New Roman"/>
          <w:color w:val="000000" w:themeColor="text1"/>
          <w:sz w:val="28"/>
        </w:rPr>
      </w:pPr>
    </w:p>
    <w:p w:rsidR="00F32ED8" w:rsidRPr="00DE7CC4" w:rsidRDefault="00DE7CC4" w:rsidP="00F32ED8">
      <w:pPr>
        <w:pStyle w:val="Prrafodelista"/>
        <w:ind w:left="0" w:right="49"/>
        <w:jc w:val="both"/>
        <w:textAlignment w:val="baseline"/>
        <w:rPr>
          <w:rFonts w:ascii="Times New Roman" w:hAnsi="Times New Roman" w:cs="Times New Roman"/>
          <w:color w:val="000000" w:themeColor="text1"/>
          <w:sz w:val="28"/>
        </w:rPr>
      </w:pPr>
      <w:r w:rsidRPr="00DE7CC4">
        <w:rPr>
          <w:rFonts w:ascii="Times New Roman" w:hAnsi="Times New Roman" w:cs="Times New Roman"/>
          <w:color w:val="000000" w:themeColor="text1"/>
          <w:sz w:val="28"/>
        </w:rPr>
        <w:t>14. Señalaron los accionantes que las disposiciones constitucionales y convencional mencionadas protegen el derecho subjetivo y económico a la propiedad, sometido a la prohibición de no regresividad. Para los demandantes, dado qu</w:t>
      </w:r>
      <w:r w:rsidRPr="00DE7CC4">
        <w:rPr>
          <w:rFonts w:ascii="Times New Roman" w:hAnsi="Times New Roman" w:cs="Times New Roman"/>
          <w:color w:val="000000" w:themeColor="text1"/>
          <w:sz w:val="28"/>
        </w:rPr>
        <w:t>e la propiedad tiene el carácter de derecho constitucional subjetivo económico y se ejerce garantizando la satisfacción de la función social, está sometido a la prohibición referida respecto de sus facetas prestacionales. En particular, indicaron que:</w:t>
      </w:r>
    </w:p>
    <w:p w:rsidR="00F32ED8" w:rsidRPr="00DE7CC4" w:rsidRDefault="00DE7CC4" w:rsidP="00F32ED8">
      <w:pPr>
        <w:pStyle w:val="Prrafodelista"/>
        <w:ind w:left="0" w:right="49"/>
        <w:jc w:val="both"/>
        <w:textAlignment w:val="baseline"/>
        <w:rPr>
          <w:rFonts w:ascii="Times New Roman" w:hAnsi="Times New Roman" w:cs="Times New Roman"/>
          <w:color w:val="000000" w:themeColor="text1"/>
          <w:sz w:val="28"/>
        </w:rPr>
      </w:pPr>
    </w:p>
    <w:p w:rsidR="00F32ED8" w:rsidRPr="00DE7CC4" w:rsidRDefault="00DE7CC4" w:rsidP="00F32ED8">
      <w:pPr>
        <w:pStyle w:val="Prrafodelista"/>
        <w:ind w:left="567" w:right="333"/>
        <w:jc w:val="both"/>
        <w:textAlignment w:val="baseline"/>
        <w:rPr>
          <w:rFonts w:ascii="Times New Roman" w:hAnsi="Times New Roman" w:cs="Times New Roman"/>
          <w:color w:val="000000" w:themeColor="text1"/>
          <w:sz w:val="28"/>
        </w:rPr>
      </w:pPr>
      <w:r w:rsidRPr="00DE7CC4">
        <w:rPr>
          <w:rFonts w:ascii="Times New Roman" w:hAnsi="Times New Roman" w:cs="Times New Roman"/>
          <w:color w:val="000000" w:themeColor="text1"/>
          <w:sz w:val="28"/>
        </w:rPr>
        <w:t>“As</w:t>
      </w:r>
      <w:r w:rsidRPr="00DE7CC4">
        <w:rPr>
          <w:rFonts w:ascii="Times New Roman" w:hAnsi="Times New Roman" w:cs="Times New Roman"/>
          <w:color w:val="000000" w:themeColor="text1"/>
          <w:sz w:val="28"/>
        </w:rPr>
        <w:t>í, lo que antes se protegía a través de la garantía de la presencia de la autoridad de tránsito en el lugar del accidente, ahora se encuentra sin protección. En términos de antes y ahora: antes, el Estado, también en el caso de los accidentes de “solo lata</w:t>
      </w:r>
      <w:r w:rsidRPr="00DE7CC4">
        <w:rPr>
          <w:rFonts w:ascii="Times New Roman" w:hAnsi="Times New Roman" w:cs="Times New Roman"/>
          <w:color w:val="000000" w:themeColor="text1"/>
          <w:sz w:val="28"/>
        </w:rPr>
        <w:t>s” estaba obligado por la ley a emprender acciones (faceta prestacional) en pos de la protección de la propiedad de los ciudadanos representada en su vehículo; ahora el legislador ha sustraído del goce de los ciudadanos dichas acciones de la autoridad de t</w:t>
      </w:r>
      <w:r w:rsidRPr="00DE7CC4">
        <w:rPr>
          <w:rFonts w:ascii="Times New Roman" w:hAnsi="Times New Roman" w:cs="Times New Roman"/>
          <w:color w:val="000000" w:themeColor="text1"/>
          <w:sz w:val="28"/>
        </w:rPr>
        <w:t>ránsito, ha disminuido las acciones tendientes a la protección de la propiedada (sic) representada en los vehículos y, por ende, ha restringido las prestaciones en pos de la garantía del derecho económico a la propiedad”</w:t>
      </w:r>
      <w:r w:rsidRPr="00DE7CC4">
        <w:rPr>
          <w:rStyle w:val="Refdenotaalpie"/>
          <w:rFonts w:ascii="Times New Roman" w:hAnsi="Times New Roman"/>
          <w:color w:val="000000" w:themeColor="text1"/>
          <w:sz w:val="28"/>
        </w:rPr>
        <w:footnoteReference w:id="16"/>
      </w:r>
      <w:r w:rsidRPr="00DE7CC4">
        <w:rPr>
          <w:rFonts w:ascii="Times New Roman" w:hAnsi="Times New Roman" w:cs="Times New Roman"/>
          <w:color w:val="000000" w:themeColor="text1"/>
          <w:sz w:val="28"/>
        </w:rPr>
        <w:t xml:space="preserve">.  </w:t>
      </w:r>
    </w:p>
    <w:p w:rsidR="00F32ED8" w:rsidRPr="00DE7CC4" w:rsidRDefault="00DE7CC4" w:rsidP="00F32ED8">
      <w:pPr>
        <w:pStyle w:val="Prrafodelista"/>
        <w:ind w:left="0" w:right="49"/>
        <w:jc w:val="both"/>
        <w:textAlignment w:val="baseline"/>
        <w:rPr>
          <w:rFonts w:ascii="Times New Roman" w:hAnsi="Times New Roman" w:cs="Times New Roman"/>
          <w:color w:val="000000" w:themeColor="text1"/>
          <w:sz w:val="28"/>
        </w:rPr>
      </w:pPr>
    </w:p>
    <w:p w:rsidR="00F32ED8" w:rsidRPr="00DE7CC4" w:rsidRDefault="00DE7CC4" w:rsidP="00F32ED8">
      <w:pPr>
        <w:pStyle w:val="Prrafodelista"/>
        <w:ind w:left="0" w:right="49"/>
        <w:jc w:val="both"/>
        <w:textAlignment w:val="baseline"/>
        <w:rPr>
          <w:rFonts w:ascii="Times New Roman" w:hAnsi="Times New Roman" w:cs="Times New Roman"/>
          <w:color w:val="000000" w:themeColor="text1"/>
          <w:sz w:val="28"/>
        </w:rPr>
      </w:pPr>
      <w:r w:rsidRPr="00DE7CC4">
        <w:rPr>
          <w:rFonts w:ascii="Times New Roman" w:hAnsi="Times New Roman" w:cs="Times New Roman"/>
          <w:color w:val="000000" w:themeColor="text1"/>
          <w:sz w:val="28"/>
        </w:rPr>
        <w:t xml:space="preserve">15. Consideraron que la nueva </w:t>
      </w:r>
      <w:r w:rsidRPr="00DE7CC4">
        <w:rPr>
          <w:rFonts w:ascii="Times New Roman" w:hAnsi="Times New Roman" w:cs="Times New Roman"/>
          <w:color w:val="000000" w:themeColor="text1"/>
          <w:sz w:val="28"/>
        </w:rPr>
        <w:t>legislación contenida en la Ley 2251 de 2022 genera preocupaciones significativas en cuanto a la protección del derecho a la propiedad privada, pues la transferencia de la responsabilidad de recolección de pruebas en accidentes de tránsito de las autoridad</w:t>
      </w:r>
      <w:r w:rsidRPr="00DE7CC4">
        <w:rPr>
          <w:rFonts w:ascii="Times New Roman" w:hAnsi="Times New Roman" w:cs="Times New Roman"/>
          <w:color w:val="000000" w:themeColor="text1"/>
          <w:sz w:val="28"/>
        </w:rPr>
        <w:t xml:space="preserve">es policiales a los ciudadanos no solo plantea problemas prácticos significativos para los propietarios de vehículos involucrados en accidentes, sino que también representa una medida regresiva en la protección de los derechos económicos, </w:t>
      </w:r>
      <w:r w:rsidRPr="00DE7CC4">
        <w:rPr>
          <w:rFonts w:ascii="Times New Roman" w:hAnsi="Times New Roman" w:cs="Times New Roman"/>
          <w:color w:val="000000" w:themeColor="text1"/>
          <w:sz w:val="28"/>
        </w:rPr>
        <w:t>en tanto “[e]l Es</w:t>
      </w:r>
      <w:r w:rsidRPr="00DE7CC4">
        <w:rPr>
          <w:rFonts w:ascii="Times New Roman" w:hAnsi="Times New Roman" w:cs="Times New Roman"/>
          <w:color w:val="000000" w:themeColor="text1"/>
          <w:sz w:val="28"/>
        </w:rPr>
        <w:t>tado ha renunciado a su deber de proteger este derecho [la propiedad], ya que las circunstancias en que opera la norma legal dejan al ciudadano inerme frente a la ocurrencia de un accidente de tránsito respecto de cuyos daños él no ha sido el responsable”</w:t>
      </w:r>
      <w:r w:rsidRPr="00DE7CC4">
        <w:rPr>
          <w:rStyle w:val="Refdenotaalpie"/>
          <w:rFonts w:ascii="Times New Roman" w:hAnsi="Times New Roman"/>
          <w:color w:val="000000" w:themeColor="text1"/>
          <w:sz w:val="28"/>
        </w:rPr>
        <w:footnoteReference w:id="17"/>
      </w:r>
      <w:r w:rsidRPr="00DE7CC4">
        <w:rPr>
          <w:rFonts w:ascii="Times New Roman" w:hAnsi="Times New Roman" w:cs="Times New Roman"/>
          <w:color w:val="000000" w:themeColor="text1"/>
          <w:sz w:val="28"/>
        </w:rPr>
        <w:t xml:space="preserve">, </w:t>
      </w:r>
      <w:r w:rsidRPr="00DE7CC4">
        <w:rPr>
          <w:rFonts w:ascii="Times New Roman" w:hAnsi="Times New Roman" w:cs="Times New Roman"/>
          <w:color w:val="000000" w:themeColor="text1"/>
          <w:sz w:val="28"/>
        </w:rPr>
        <w:t>contraviniendo el principio de progresividad y la prohibición de regresividad en la protección de derechos.</w:t>
      </w:r>
    </w:p>
    <w:p w:rsidR="00F32ED8" w:rsidRPr="00DE7CC4" w:rsidRDefault="00DE7CC4" w:rsidP="00F32ED8">
      <w:pPr>
        <w:pStyle w:val="Prrafodelista"/>
        <w:rPr>
          <w:rFonts w:ascii="Times New Roman" w:hAnsi="Times New Roman" w:cs="Times New Roman"/>
          <w:color w:val="000000" w:themeColor="text1"/>
          <w:sz w:val="28"/>
        </w:rPr>
      </w:pPr>
    </w:p>
    <w:p w:rsidR="00F32ED8" w:rsidRPr="00DE7CC4" w:rsidRDefault="00DE7CC4" w:rsidP="00F32ED8">
      <w:pPr>
        <w:pStyle w:val="Prrafodelista"/>
        <w:ind w:left="0" w:right="49"/>
        <w:jc w:val="both"/>
        <w:textAlignment w:val="baseline"/>
        <w:rPr>
          <w:rFonts w:ascii="Times New Roman" w:hAnsi="Times New Roman" w:cs="Times New Roman"/>
          <w:color w:val="000000" w:themeColor="text1"/>
          <w:sz w:val="28"/>
        </w:rPr>
      </w:pPr>
      <w:r w:rsidRPr="00DE7CC4">
        <w:rPr>
          <w:rFonts w:ascii="Times New Roman" w:hAnsi="Times New Roman" w:cs="Times New Roman"/>
          <w:color w:val="000000" w:themeColor="text1"/>
          <w:sz w:val="28"/>
        </w:rPr>
        <w:t>16. La ley impone a los ciudadanos una carga que repercute en la realización de  reclamaciones indemnizatorias eficaces. La ausencia de un inform</w:t>
      </w:r>
      <w:r w:rsidRPr="00DE7CC4">
        <w:rPr>
          <w:rFonts w:ascii="Times New Roman" w:hAnsi="Times New Roman" w:cs="Times New Roman"/>
          <w:color w:val="000000" w:themeColor="text1"/>
          <w:sz w:val="28"/>
        </w:rPr>
        <w:t>e policial oficial y la falta de autoridad en el lugar del accidente no solo complican la resolución de conflictos y la determinación de responsabilidades</w:t>
      </w:r>
      <w:r w:rsidRPr="00DE7CC4">
        <w:rPr>
          <w:rStyle w:val="Refdenotaalpie"/>
          <w:rFonts w:ascii="Times New Roman" w:hAnsi="Times New Roman"/>
          <w:color w:val="000000" w:themeColor="text1"/>
          <w:sz w:val="28"/>
        </w:rPr>
        <w:footnoteReference w:id="18"/>
      </w:r>
      <w:r w:rsidRPr="00DE7CC4">
        <w:rPr>
          <w:rFonts w:ascii="Times New Roman" w:hAnsi="Times New Roman" w:cs="Times New Roman"/>
          <w:color w:val="000000" w:themeColor="text1"/>
          <w:sz w:val="28"/>
        </w:rPr>
        <w:t xml:space="preserve">, sino que también llevan a un retroceso en la protección de la integridad del ordenamiento jurídico </w:t>
      </w:r>
      <w:r w:rsidRPr="00DE7CC4">
        <w:rPr>
          <w:rFonts w:ascii="Times New Roman" w:hAnsi="Times New Roman" w:cs="Times New Roman"/>
          <w:color w:val="000000" w:themeColor="text1"/>
          <w:sz w:val="28"/>
        </w:rPr>
        <w:t>y los derechos de los ciudadanos</w:t>
      </w:r>
      <w:r w:rsidRPr="00DE7CC4">
        <w:rPr>
          <w:rFonts w:ascii="Times New Roman" w:hAnsi="Times New Roman" w:cs="Times New Roman"/>
          <w:color w:val="000000" w:themeColor="text1"/>
          <w:sz w:val="28"/>
        </w:rPr>
        <w:t>, “[e]l descuido de la norma avocaría a los propietarios no responsables del accidente a eternos procesos administrativos y judiciales para demostrar la calidad del daño y la responsabilidad de la otra persona implicada en e</w:t>
      </w:r>
      <w:r w:rsidRPr="00DE7CC4">
        <w:rPr>
          <w:rFonts w:ascii="Times New Roman" w:hAnsi="Times New Roman" w:cs="Times New Roman"/>
          <w:color w:val="000000" w:themeColor="text1"/>
          <w:sz w:val="28"/>
        </w:rPr>
        <w:t>l accidente. Todo ello, en beneficio de las aseguradoras y en desproporción de la parte más débil de la relación”</w:t>
      </w:r>
      <w:r w:rsidRPr="00DE7CC4">
        <w:rPr>
          <w:rStyle w:val="Refdenotaalpie"/>
          <w:rFonts w:ascii="Times New Roman" w:hAnsi="Times New Roman"/>
          <w:color w:val="000000" w:themeColor="text1"/>
          <w:sz w:val="28"/>
        </w:rPr>
        <w:footnoteReference w:id="19"/>
      </w:r>
      <w:r w:rsidRPr="00DE7CC4">
        <w:rPr>
          <w:rFonts w:ascii="Times New Roman" w:hAnsi="Times New Roman" w:cs="Times New Roman"/>
          <w:color w:val="000000" w:themeColor="text1"/>
          <w:sz w:val="28"/>
        </w:rPr>
        <w:t>.</w:t>
      </w:r>
      <w:r w:rsidRPr="00DE7CC4">
        <w:rPr>
          <w:rFonts w:ascii="Times New Roman" w:hAnsi="Times New Roman" w:cs="Times New Roman"/>
          <w:color w:val="000000" w:themeColor="text1"/>
          <w:sz w:val="28"/>
        </w:rPr>
        <w:t xml:space="preserve"> Tal como lo sostuvo la Sentencia C-1165 de 2000</w:t>
      </w:r>
      <w:r w:rsidRPr="00DE7CC4">
        <w:rPr>
          <w:rStyle w:val="Refdenotaalpie"/>
          <w:rFonts w:ascii="Times New Roman" w:hAnsi="Times New Roman"/>
          <w:color w:val="000000" w:themeColor="text1"/>
          <w:sz w:val="28"/>
        </w:rPr>
        <w:footnoteReference w:id="20"/>
      </w:r>
      <w:r w:rsidRPr="00DE7CC4">
        <w:rPr>
          <w:rFonts w:ascii="Times New Roman" w:hAnsi="Times New Roman" w:cs="Times New Roman"/>
          <w:color w:val="000000" w:themeColor="text1"/>
          <w:sz w:val="28"/>
        </w:rPr>
        <w:t>, el artículo 1 superior impone al Estado deberes de abstención, pero también de acción “par</w:t>
      </w:r>
      <w:r w:rsidRPr="00DE7CC4">
        <w:rPr>
          <w:rFonts w:ascii="Times New Roman" w:hAnsi="Times New Roman" w:cs="Times New Roman"/>
          <w:color w:val="000000" w:themeColor="text1"/>
          <w:sz w:val="28"/>
        </w:rPr>
        <w:t>a que los derechos de contenido social y económico no sean de carácter meramente retórico sino que tengan cada vez más, un mayor cubrimiento cuya meta debe ser que gocen de ellos todos los habitantes del país”</w:t>
      </w:r>
      <w:r w:rsidRPr="00DE7CC4">
        <w:rPr>
          <w:rStyle w:val="Refdenotaalpie"/>
          <w:rFonts w:ascii="Times New Roman" w:hAnsi="Times New Roman"/>
          <w:color w:val="000000" w:themeColor="text1"/>
          <w:sz w:val="28"/>
        </w:rPr>
        <w:footnoteReference w:id="21"/>
      </w:r>
      <w:r w:rsidRPr="00DE7CC4">
        <w:rPr>
          <w:rFonts w:ascii="Times New Roman" w:hAnsi="Times New Roman" w:cs="Times New Roman"/>
          <w:color w:val="000000" w:themeColor="text1"/>
          <w:sz w:val="28"/>
        </w:rPr>
        <w:t>. En suma, indican que la norma demandada es r</w:t>
      </w:r>
      <w:r w:rsidRPr="00DE7CC4">
        <w:rPr>
          <w:rFonts w:ascii="Times New Roman" w:hAnsi="Times New Roman" w:cs="Times New Roman"/>
          <w:color w:val="000000" w:themeColor="text1"/>
          <w:sz w:val="28"/>
        </w:rPr>
        <w:t xml:space="preserve">egresiva porque recorta o limita el ámbito sustantivo de protección del respectivo derecho, dado que el Estado abandona sus deberes de protección y la ausencia del dictamen por el agente de tránsito permite el surgimiento de la duda sobre la imparcialidad </w:t>
      </w:r>
      <w:r w:rsidRPr="00DE7CC4">
        <w:rPr>
          <w:rFonts w:ascii="Times New Roman" w:hAnsi="Times New Roman" w:cs="Times New Roman"/>
          <w:color w:val="000000" w:themeColor="text1"/>
          <w:sz w:val="28"/>
        </w:rPr>
        <w:t>del recaudo probatorio.</w:t>
      </w:r>
    </w:p>
    <w:p w:rsidR="00F32ED8" w:rsidRPr="00DE7CC4" w:rsidRDefault="00DE7CC4" w:rsidP="00F32ED8">
      <w:pPr>
        <w:jc w:val="both"/>
        <w:textAlignment w:val="baseline"/>
        <w:rPr>
          <w:rFonts w:ascii="Times New Roman" w:hAnsi="Times New Roman" w:cs="Times New Roman"/>
          <w:b/>
          <w:bCs/>
          <w:i/>
          <w:iCs/>
          <w:color w:val="000000" w:themeColor="text1"/>
          <w:sz w:val="28"/>
        </w:rPr>
      </w:pPr>
    </w:p>
    <w:p w:rsidR="00F32ED8" w:rsidRPr="00DE7CC4" w:rsidRDefault="00DE7CC4" w:rsidP="00F32ED8">
      <w:pPr>
        <w:jc w:val="both"/>
        <w:textAlignment w:val="baseline"/>
        <w:rPr>
          <w:rFonts w:ascii="Times New Roman" w:hAnsi="Times New Roman" w:cs="Times New Roman"/>
          <w:b/>
          <w:bCs/>
          <w:i/>
          <w:iCs/>
          <w:color w:val="000000" w:themeColor="text1"/>
          <w:sz w:val="28"/>
        </w:rPr>
      </w:pPr>
      <w:r w:rsidRPr="00DE7CC4">
        <w:rPr>
          <w:rFonts w:ascii="Times New Roman" w:hAnsi="Times New Roman" w:cs="Times New Roman"/>
          <w:b/>
          <w:bCs/>
          <w:i/>
          <w:iCs/>
          <w:color w:val="000000" w:themeColor="text1"/>
          <w:sz w:val="28"/>
        </w:rPr>
        <w:t>Tercer cargo: quebrantamiento de los artículos 2 y 189.4 de la Constitución, por la renuncia al poder sancionatorio del Estado y aumento de la inseguridad vial. Afectación del orden público</w:t>
      </w:r>
    </w:p>
    <w:p w:rsidR="00F32ED8" w:rsidRPr="00DE7CC4" w:rsidRDefault="00DE7CC4" w:rsidP="00F32ED8">
      <w:pPr>
        <w:jc w:val="both"/>
        <w:textAlignment w:val="baseline"/>
        <w:rPr>
          <w:rFonts w:ascii="Times New Roman" w:hAnsi="Times New Roman" w:cs="Times New Roman"/>
          <w:b/>
          <w:bCs/>
          <w:i/>
          <w:iCs/>
          <w:color w:val="000000" w:themeColor="text1"/>
          <w:sz w:val="28"/>
        </w:rPr>
      </w:pPr>
    </w:p>
    <w:p w:rsidR="00F32ED8" w:rsidRPr="00DE7CC4" w:rsidRDefault="00DE7CC4" w:rsidP="00F32ED8">
      <w:pPr>
        <w:pStyle w:val="Prrafodelista"/>
        <w:ind w:left="0" w:right="49"/>
        <w:jc w:val="both"/>
        <w:textAlignment w:val="baseline"/>
        <w:rPr>
          <w:rFonts w:ascii="Times New Roman" w:hAnsi="Times New Roman" w:cs="Times New Roman"/>
          <w:color w:val="000000" w:themeColor="text1"/>
          <w:sz w:val="28"/>
        </w:rPr>
      </w:pPr>
      <w:r w:rsidRPr="00DE7CC4">
        <w:rPr>
          <w:rFonts w:ascii="Times New Roman" w:hAnsi="Times New Roman" w:cs="Times New Roman"/>
          <w:color w:val="000000" w:themeColor="text1"/>
          <w:sz w:val="28"/>
        </w:rPr>
        <w:t xml:space="preserve">17. Los demandantes precisaron que el </w:t>
      </w:r>
      <w:r w:rsidRPr="00DE7CC4">
        <w:rPr>
          <w:rFonts w:ascii="Times New Roman" w:hAnsi="Times New Roman" w:cs="Times New Roman"/>
          <w:color w:val="000000" w:themeColor="text1"/>
          <w:sz w:val="28"/>
        </w:rPr>
        <w:t>tránsito terrestre es parte integrante del concepto de orden público y, por lo tanto, de la convivencia ciudadana, dado que constituye una conducta peligrosa con impacto en la salud y la vida de las personas. No obstante, la intervención policial, con la p</w:t>
      </w:r>
      <w:r w:rsidRPr="00DE7CC4">
        <w:rPr>
          <w:rFonts w:ascii="Times New Roman" w:hAnsi="Times New Roman" w:cs="Times New Roman"/>
          <w:color w:val="000000" w:themeColor="text1"/>
          <w:sz w:val="28"/>
        </w:rPr>
        <w:t>otencialidad además de sancionar las conductas infractoras, fue eliminada en la norma demandada pues en el tipo de choques de que trata el artículo 16 dicha autoridad no hará presencia. Esta ausencia de la autoridad policial en el lugar del accidente no so</w:t>
      </w:r>
      <w:r w:rsidRPr="00DE7CC4">
        <w:rPr>
          <w:rFonts w:ascii="Times New Roman" w:hAnsi="Times New Roman" w:cs="Times New Roman"/>
          <w:color w:val="000000" w:themeColor="text1"/>
          <w:sz w:val="28"/>
        </w:rPr>
        <w:t>lo dificulta la identificación y sanción de infracciones, sino que también fomenta un ambiente de impunidad, alentando conductas irresponsables y aumentando el riesgo de accidentes.</w:t>
      </w:r>
    </w:p>
    <w:p w:rsidR="00F32ED8" w:rsidRPr="00DE7CC4" w:rsidRDefault="00DE7CC4" w:rsidP="00F32ED8">
      <w:pPr>
        <w:pStyle w:val="Prrafodelista"/>
        <w:ind w:left="0" w:right="49"/>
        <w:jc w:val="both"/>
        <w:textAlignment w:val="baseline"/>
        <w:rPr>
          <w:rFonts w:ascii="Times New Roman" w:hAnsi="Times New Roman" w:cs="Times New Roman"/>
          <w:color w:val="000000" w:themeColor="text1"/>
          <w:sz w:val="28"/>
        </w:rPr>
      </w:pPr>
    </w:p>
    <w:p w:rsidR="00F32ED8" w:rsidRPr="00DE7CC4" w:rsidRDefault="00DE7CC4" w:rsidP="00F32ED8">
      <w:pPr>
        <w:pStyle w:val="Prrafodelista"/>
        <w:ind w:left="0" w:right="49"/>
        <w:jc w:val="both"/>
        <w:textAlignment w:val="baseline"/>
        <w:rPr>
          <w:rFonts w:ascii="Times New Roman" w:hAnsi="Times New Roman" w:cs="Times New Roman"/>
          <w:color w:val="000000" w:themeColor="text1"/>
          <w:sz w:val="28"/>
        </w:rPr>
      </w:pPr>
      <w:r w:rsidRPr="00DE7CC4">
        <w:rPr>
          <w:rFonts w:ascii="Times New Roman" w:hAnsi="Times New Roman" w:cs="Times New Roman"/>
          <w:color w:val="000000" w:themeColor="text1"/>
          <w:sz w:val="28"/>
        </w:rPr>
        <w:t>18. En su concepto, como efecto de la disposición cuestionada, la ausenci</w:t>
      </w:r>
      <w:r w:rsidRPr="00DE7CC4">
        <w:rPr>
          <w:rFonts w:ascii="Times New Roman" w:hAnsi="Times New Roman" w:cs="Times New Roman"/>
          <w:color w:val="000000" w:themeColor="text1"/>
          <w:sz w:val="28"/>
        </w:rPr>
        <w:t>a de sanciones por infracciones conduce a mayor siniestralidad vial, inferencia que, indican, no es especulativa, sino que está documentada en informes de la Agencia Nacional de Seguridad Vial y aproximaciones doctrinarias, “existe una conexión directa ent</w:t>
      </w:r>
      <w:r w:rsidRPr="00DE7CC4">
        <w:rPr>
          <w:rFonts w:ascii="Times New Roman" w:hAnsi="Times New Roman" w:cs="Times New Roman"/>
          <w:color w:val="000000" w:themeColor="text1"/>
          <w:sz w:val="28"/>
        </w:rPr>
        <w:t>re la falta de control y sanción de la conducta antisocial y la relajación de la precaución vial, como en aplicación de la conocida teoría de las ventanas rotas, que sostiene que el desorden y la anomia sociales crean ambientes propicios para el aumento en</w:t>
      </w:r>
      <w:r w:rsidRPr="00DE7CC4">
        <w:rPr>
          <w:rFonts w:ascii="Times New Roman" w:hAnsi="Times New Roman" w:cs="Times New Roman"/>
          <w:color w:val="000000" w:themeColor="text1"/>
          <w:sz w:val="28"/>
        </w:rPr>
        <w:t xml:space="preserve"> la frecuencia y gravedad del desorden y la delincuencia, como si el fenómeno medrara como bola de nieve ante la inactiva expectación del Estado (...)”</w:t>
      </w:r>
      <w:r w:rsidRPr="00DE7CC4">
        <w:rPr>
          <w:rStyle w:val="Refdenotaalpie"/>
          <w:rFonts w:ascii="Times New Roman" w:hAnsi="Times New Roman"/>
          <w:color w:val="000000" w:themeColor="text1"/>
          <w:sz w:val="28"/>
        </w:rPr>
        <w:footnoteReference w:id="22"/>
      </w:r>
      <w:r w:rsidRPr="00DE7CC4">
        <w:rPr>
          <w:rFonts w:ascii="Times New Roman" w:hAnsi="Times New Roman" w:cs="Times New Roman"/>
          <w:color w:val="000000" w:themeColor="text1"/>
          <w:sz w:val="28"/>
        </w:rPr>
        <w:t>. Esta inferencia, además, encuentra sustento en lo indicado por la misma Corte Constitucional en la Sen</w:t>
      </w:r>
      <w:r w:rsidRPr="00DE7CC4">
        <w:rPr>
          <w:rFonts w:ascii="Times New Roman" w:hAnsi="Times New Roman" w:cs="Times New Roman"/>
          <w:color w:val="000000" w:themeColor="text1"/>
          <w:sz w:val="28"/>
        </w:rPr>
        <w:t>tencia C-1090 de 2003, en la que se indicó que “la descoordinación de las fuerzas físicas que actúan en el escenario del tránsito vehicular y peatonal provocaría la accidentalidad constante de sus elementos”</w:t>
      </w:r>
      <w:r w:rsidRPr="00DE7CC4">
        <w:rPr>
          <w:rStyle w:val="Refdenotaalpie"/>
          <w:rFonts w:ascii="Times New Roman" w:hAnsi="Times New Roman"/>
          <w:color w:val="000000" w:themeColor="text1"/>
          <w:sz w:val="28"/>
        </w:rPr>
        <w:footnoteReference w:id="23"/>
      </w:r>
      <w:r w:rsidRPr="00DE7CC4">
        <w:rPr>
          <w:rFonts w:ascii="Times New Roman" w:hAnsi="Times New Roman" w:cs="Times New Roman"/>
          <w:color w:val="000000" w:themeColor="text1"/>
          <w:sz w:val="28"/>
        </w:rPr>
        <w:t>.</w:t>
      </w:r>
    </w:p>
    <w:p w:rsidR="00F32ED8" w:rsidRPr="00DE7CC4" w:rsidRDefault="00DE7CC4" w:rsidP="00F32ED8">
      <w:pPr>
        <w:pStyle w:val="Prrafodelista"/>
        <w:ind w:left="0" w:right="49"/>
        <w:jc w:val="both"/>
        <w:textAlignment w:val="baseline"/>
        <w:rPr>
          <w:rFonts w:ascii="Times New Roman" w:hAnsi="Times New Roman" w:cs="Times New Roman"/>
          <w:color w:val="000000" w:themeColor="text1"/>
          <w:sz w:val="28"/>
        </w:rPr>
      </w:pPr>
    </w:p>
    <w:p w:rsidR="00F32ED8" w:rsidRPr="00DE7CC4" w:rsidRDefault="00DE7CC4" w:rsidP="00F32ED8">
      <w:pPr>
        <w:pStyle w:val="Prrafodelista"/>
        <w:ind w:left="0" w:right="49"/>
        <w:jc w:val="both"/>
        <w:textAlignment w:val="baseline"/>
        <w:rPr>
          <w:rFonts w:ascii="Times New Roman" w:hAnsi="Times New Roman" w:cs="Times New Roman"/>
          <w:color w:val="000000" w:themeColor="text1"/>
          <w:sz w:val="28"/>
        </w:rPr>
      </w:pPr>
      <w:r w:rsidRPr="00DE7CC4">
        <w:rPr>
          <w:rFonts w:ascii="Times New Roman" w:hAnsi="Times New Roman" w:cs="Times New Roman"/>
          <w:color w:val="000000" w:themeColor="text1"/>
          <w:sz w:val="28"/>
        </w:rPr>
        <w:t>19. Advierten que la falta de un enfoque disu</w:t>
      </w:r>
      <w:r w:rsidRPr="00DE7CC4">
        <w:rPr>
          <w:rFonts w:ascii="Times New Roman" w:hAnsi="Times New Roman" w:cs="Times New Roman"/>
          <w:color w:val="000000" w:themeColor="text1"/>
          <w:sz w:val="28"/>
        </w:rPr>
        <w:t>asorio eficaz en el manejo de las infracciones de tránsito conduce a una mayor incidencia de accidentes y a una alteración del orden público. Esta situación se enmarca en la teoría de las “Ventanas Rotas”, que sugiere cómo el desorden y la falta de control</w:t>
      </w:r>
      <w:r w:rsidRPr="00DE7CC4">
        <w:rPr>
          <w:rFonts w:ascii="Times New Roman" w:hAnsi="Times New Roman" w:cs="Times New Roman"/>
          <w:color w:val="000000" w:themeColor="text1"/>
          <w:sz w:val="28"/>
        </w:rPr>
        <w:t xml:space="preserve"> estatal pueden propiciar un incremento en la frecuencia y gravedad de los</w:t>
      </w:r>
      <w:r w:rsidRPr="00DE7CC4">
        <w:rPr>
          <w:rFonts w:ascii="Times New Roman" w:hAnsi="Times New Roman" w:cs="Times New Roman"/>
          <w:color w:val="000000" w:themeColor="text1"/>
          <w:sz w:val="28"/>
        </w:rPr>
        <w:t xml:space="preserve"> incidentes viales. Todo esto, </w:t>
      </w:r>
      <w:r w:rsidRPr="00DE7CC4">
        <w:rPr>
          <w:rFonts w:ascii="Times New Roman" w:hAnsi="Times New Roman" w:cs="Times New Roman"/>
          <w:color w:val="000000" w:themeColor="text1"/>
          <w:sz w:val="28"/>
        </w:rPr>
        <w:t>precisaron, ocurre pese a que la Constitución Política confiere al Presidente de la República la atribución de mantener el orden público, en el marco d</w:t>
      </w:r>
      <w:r w:rsidRPr="00DE7CC4">
        <w:rPr>
          <w:rFonts w:ascii="Times New Roman" w:hAnsi="Times New Roman" w:cs="Times New Roman"/>
          <w:color w:val="000000" w:themeColor="text1"/>
          <w:sz w:val="28"/>
        </w:rPr>
        <w:t>e la cual las autoridades de tránsito son las encargadas de garantizarlo en materia vial, así entonces:</w:t>
      </w:r>
    </w:p>
    <w:p w:rsidR="00F32ED8" w:rsidRPr="00DE7CC4" w:rsidRDefault="00DE7CC4" w:rsidP="00F32ED8">
      <w:pPr>
        <w:pStyle w:val="Prrafodelista"/>
        <w:ind w:left="0" w:right="49"/>
        <w:jc w:val="both"/>
        <w:textAlignment w:val="baseline"/>
        <w:rPr>
          <w:rFonts w:ascii="Times New Roman" w:hAnsi="Times New Roman" w:cs="Times New Roman"/>
          <w:color w:val="000000" w:themeColor="text1"/>
          <w:sz w:val="28"/>
        </w:rPr>
      </w:pPr>
    </w:p>
    <w:p w:rsidR="00F32ED8" w:rsidRPr="00DE7CC4" w:rsidRDefault="00DE7CC4" w:rsidP="00F32ED8">
      <w:pPr>
        <w:pStyle w:val="Prrafodelista"/>
        <w:ind w:left="567" w:right="333"/>
        <w:jc w:val="both"/>
        <w:textAlignment w:val="baseline"/>
        <w:rPr>
          <w:rFonts w:ascii="Times New Roman" w:hAnsi="Times New Roman" w:cs="Times New Roman"/>
          <w:color w:val="000000" w:themeColor="text1"/>
          <w:sz w:val="28"/>
        </w:rPr>
      </w:pPr>
      <w:r w:rsidRPr="00DE7CC4">
        <w:rPr>
          <w:rFonts w:ascii="Times New Roman" w:hAnsi="Times New Roman" w:cs="Times New Roman"/>
          <w:color w:val="000000" w:themeColor="text1"/>
          <w:sz w:val="28"/>
        </w:rPr>
        <w:t>“</w:t>
      </w:r>
      <w:r w:rsidRPr="00DE7CC4">
        <w:rPr>
          <w:rFonts w:ascii="Times New Roman" w:hAnsi="Times New Roman" w:cs="Times New Roman"/>
          <w:color w:val="000000" w:themeColor="text1"/>
          <w:sz w:val="28"/>
        </w:rPr>
        <w:t>(</w:t>
      </w:r>
      <w:r w:rsidRPr="00DE7CC4">
        <w:rPr>
          <w:rFonts w:ascii="Times New Roman" w:hAnsi="Times New Roman" w:cs="Times New Roman"/>
          <w:color w:val="000000" w:themeColor="text1"/>
          <w:sz w:val="28"/>
        </w:rPr>
        <w:t>…</w:t>
      </w:r>
      <w:r w:rsidRPr="00DE7CC4">
        <w:rPr>
          <w:rFonts w:ascii="Times New Roman" w:hAnsi="Times New Roman" w:cs="Times New Roman"/>
          <w:color w:val="000000" w:themeColor="text1"/>
          <w:sz w:val="28"/>
        </w:rPr>
        <w:t>)</w:t>
      </w:r>
      <w:r w:rsidRPr="00DE7CC4">
        <w:rPr>
          <w:rFonts w:ascii="Times New Roman" w:hAnsi="Times New Roman" w:cs="Times New Roman"/>
          <w:color w:val="000000" w:themeColor="text1"/>
          <w:sz w:val="28"/>
        </w:rPr>
        <w:t xml:space="preserve"> el hecho de que la autoridad de tránsito no sea llamada por la ley a asistir un accidente en el que solo haya daños materiales, impide que las inf</w:t>
      </w:r>
      <w:r w:rsidRPr="00DE7CC4">
        <w:rPr>
          <w:rFonts w:ascii="Times New Roman" w:hAnsi="Times New Roman" w:cs="Times New Roman"/>
          <w:color w:val="000000" w:themeColor="text1"/>
          <w:sz w:val="28"/>
        </w:rPr>
        <w:t>racciones de tránsito que pudieran haberse cometido con ocasión del accidente sean sancionadas.</w:t>
      </w:r>
    </w:p>
    <w:p w:rsidR="00F32ED8" w:rsidRPr="00DE7CC4" w:rsidRDefault="00DE7CC4" w:rsidP="00F32ED8">
      <w:pPr>
        <w:pStyle w:val="Prrafodelista"/>
        <w:ind w:left="567" w:right="333"/>
        <w:jc w:val="both"/>
        <w:textAlignment w:val="baseline"/>
        <w:rPr>
          <w:rFonts w:ascii="Times New Roman" w:hAnsi="Times New Roman" w:cs="Times New Roman"/>
          <w:color w:val="000000" w:themeColor="text1"/>
          <w:sz w:val="28"/>
        </w:rPr>
      </w:pPr>
      <w:r w:rsidRPr="00DE7CC4">
        <w:rPr>
          <w:rFonts w:ascii="Times New Roman" w:hAnsi="Times New Roman" w:cs="Times New Roman"/>
          <w:color w:val="000000" w:themeColor="text1"/>
          <w:sz w:val="28"/>
        </w:rPr>
        <w:t>(…)</w:t>
      </w:r>
    </w:p>
    <w:p w:rsidR="00F32ED8" w:rsidRPr="00DE7CC4" w:rsidRDefault="00DE7CC4" w:rsidP="00F32ED8">
      <w:pPr>
        <w:pStyle w:val="Prrafodelista"/>
        <w:ind w:left="567" w:right="333"/>
        <w:jc w:val="both"/>
        <w:textAlignment w:val="baseline"/>
        <w:rPr>
          <w:rFonts w:ascii="Times New Roman" w:hAnsi="Times New Roman" w:cs="Times New Roman"/>
          <w:color w:val="000000" w:themeColor="text1"/>
          <w:sz w:val="28"/>
        </w:rPr>
      </w:pPr>
      <w:r w:rsidRPr="00DE7CC4">
        <w:rPr>
          <w:rFonts w:ascii="Times New Roman" w:hAnsi="Times New Roman" w:cs="Times New Roman"/>
          <w:color w:val="000000" w:themeColor="text1"/>
          <w:sz w:val="28"/>
        </w:rPr>
        <w:t>Es evidente que la ausencia del Estado para sancionar las infracciones de tránsito genera impunidad, fenómeno que incrementa la inseguridad vial. Esta es un</w:t>
      </w:r>
      <w:r w:rsidRPr="00DE7CC4">
        <w:rPr>
          <w:rFonts w:ascii="Times New Roman" w:hAnsi="Times New Roman" w:cs="Times New Roman"/>
          <w:color w:val="000000" w:themeColor="text1"/>
          <w:sz w:val="28"/>
        </w:rPr>
        <w:t>a conclusión que no proviene del ingenio de quienes suscriben esta demanda, sino del propio texto de la sentencia citada [C-1090 de 2003].”</w:t>
      </w:r>
      <w:r w:rsidRPr="00DE7CC4">
        <w:rPr>
          <w:rStyle w:val="Refdenotaalpie"/>
          <w:rFonts w:ascii="Times New Roman" w:hAnsi="Times New Roman"/>
          <w:color w:val="000000" w:themeColor="text1"/>
          <w:sz w:val="28"/>
        </w:rPr>
        <w:footnoteReference w:id="24"/>
      </w:r>
      <w:r w:rsidRPr="00DE7CC4">
        <w:rPr>
          <w:rFonts w:ascii="Times New Roman" w:hAnsi="Times New Roman" w:cs="Times New Roman"/>
          <w:color w:val="000000" w:themeColor="text1"/>
          <w:sz w:val="28"/>
        </w:rPr>
        <w:t xml:space="preserve"> (Agregado nuestro).</w:t>
      </w:r>
    </w:p>
    <w:p w:rsidR="00F32ED8" w:rsidRPr="00DE7CC4" w:rsidRDefault="00DE7CC4" w:rsidP="00F32ED8">
      <w:pPr>
        <w:jc w:val="both"/>
        <w:textAlignment w:val="baseline"/>
        <w:rPr>
          <w:rFonts w:ascii="Times New Roman" w:hAnsi="Times New Roman" w:cs="Times New Roman"/>
          <w:b/>
          <w:bCs/>
          <w:i/>
          <w:iCs/>
          <w:color w:val="000000" w:themeColor="text1"/>
          <w:sz w:val="28"/>
        </w:rPr>
      </w:pPr>
    </w:p>
    <w:p w:rsidR="00F32ED8" w:rsidRPr="00DE7CC4" w:rsidRDefault="00DE7CC4" w:rsidP="00F32ED8">
      <w:pPr>
        <w:jc w:val="both"/>
        <w:textAlignment w:val="baseline"/>
        <w:rPr>
          <w:rFonts w:ascii="Times New Roman" w:hAnsi="Times New Roman" w:cs="Times New Roman"/>
          <w:b/>
          <w:bCs/>
          <w:i/>
          <w:iCs/>
          <w:color w:val="000000" w:themeColor="text1"/>
          <w:sz w:val="28"/>
        </w:rPr>
      </w:pPr>
      <w:r w:rsidRPr="00DE7CC4">
        <w:rPr>
          <w:rFonts w:ascii="Times New Roman" w:hAnsi="Times New Roman" w:cs="Times New Roman"/>
          <w:b/>
          <w:bCs/>
          <w:i/>
          <w:iCs/>
          <w:color w:val="000000" w:themeColor="text1"/>
          <w:sz w:val="28"/>
        </w:rPr>
        <w:t>Cuarto cargo: violación al artículo 6 de la Constitución, porque la norma permite que el Estad</w:t>
      </w:r>
      <w:r w:rsidRPr="00DE7CC4">
        <w:rPr>
          <w:rFonts w:ascii="Times New Roman" w:hAnsi="Times New Roman" w:cs="Times New Roman"/>
          <w:b/>
          <w:bCs/>
          <w:i/>
          <w:iCs/>
          <w:color w:val="000000" w:themeColor="text1"/>
          <w:sz w:val="28"/>
        </w:rPr>
        <w:t xml:space="preserve">o exima al particular que infringe las normas de tránsito de la responsabilidad por su actuación </w:t>
      </w:r>
    </w:p>
    <w:p w:rsidR="00F32ED8" w:rsidRPr="00DE7CC4" w:rsidRDefault="00DE7CC4" w:rsidP="00F32ED8">
      <w:pPr>
        <w:pStyle w:val="Prrafodelista"/>
        <w:ind w:left="0" w:right="49"/>
        <w:jc w:val="both"/>
        <w:textAlignment w:val="baseline"/>
        <w:rPr>
          <w:rFonts w:ascii="Times New Roman" w:hAnsi="Times New Roman" w:cs="Times New Roman"/>
          <w:color w:val="000000" w:themeColor="text1"/>
          <w:sz w:val="28"/>
        </w:rPr>
      </w:pPr>
    </w:p>
    <w:p w:rsidR="00F32ED8" w:rsidRPr="00DE7CC4" w:rsidRDefault="00DE7CC4" w:rsidP="00F32ED8">
      <w:pPr>
        <w:pStyle w:val="Prrafodelista"/>
        <w:ind w:left="0" w:right="49"/>
        <w:jc w:val="both"/>
        <w:textAlignment w:val="baseline"/>
        <w:rPr>
          <w:rFonts w:ascii="Times New Roman" w:hAnsi="Times New Roman" w:cs="Times New Roman"/>
          <w:color w:val="000000" w:themeColor="text1"/>
          <w:sz w:val="28"/>
        </w:rPr>
      </w:pPr>
      <w:r w:rsidRPr="00DE7CC4">
        <w:rPr>
          <w:rFonts w:ascii="Times New Roman" w:hAnsi="Times New Roman" w:cs="Times New Roman"/>
          <w:color w:val="000000" w:themeColor="text1"/>
          <w:sz w:val="28"/>
        </w:rPr>
        <w:t>20. La Constitución ordena que los particulares que infrinjan la ley sean responsables por su comportamiento. Sin embargo, el artículo demandado limita la ca</w:t>
      </w:r>
      <w:r w:rsidRPr="00DE7CC4">
        <w:rPr>
          <w:rFonts w:ascii="Times New Roman" w:hAnsi="Times New Roman" w:cs="Times New Roman"/>
          <w:color w:val="000000" w:themeColor="text1"/>
          <w:sz w:val="28"/>
        </w:rPr>
        <w:t>pacidad sancionadora del Estado, especialmente en incidentes de tránsito que solo resultan en daños materiales, lo que conduce a una falta de verificación de infracciones y a una potencial impunidad. Esta situación no solo va en contra del principio de res</w:t>
      </w:r>
      <w:r w:rsidRPr="00DE7CC4">
        <w:rPr>
          <w:rFonts w:ascii="Times New Roman" w:hAnsi="Times New Roman" w:cs="Times New Roman"/>
          <w:color w:val="000000" w:themeColor="text1"/>
          <w:sz w:val="28"/>
        </w:rPr>
        <w:t>ponsabilidad personal por actos violatorios, sino que también debilita el poder de policía del Estado en materia de tránsito, disminuyendo el efecto disuasorio de las sanciones y aumentando tanto la inseguridad vial como el desorden público.</w:t>
      </w:r>
    </w:p>
    <w:p w:rsidR="00F32ED8" w:rsidRPr="00DE7CC4" w:rsidRDefault="00DE7CC4" w:rsidP="00F32ED8">
      <w:pPr>
        <w:ind w:right="49"/>
        <w:jc w:val="both"/>
        <w:textAlignment w:val="baseline"/>
        <w:rPr>
          <w:rFonts w:ascii="Times New Roman" w:hAnsi="Times New Roman" w:cs="Times New Roman"/>
          <w:color w:val="000000" w:themeColor="text1"/>
          <w:sz w:val="28"/>
        </w:rPr>
      </w:pPr>
    </w:p>
    <w:p w:rsidR="00F32ED8" w:rsidRPr="00DE7CC4" w:rsidRDefault="00DE7CC4" w:rsidP="00F32ED8">
      <w:pPr>
        <w:pStyle w:val="Prrafodelista"/>
        <w:ind w:left="0" w:right="49"/>
        <w:jc w:val="both"/>
        <w:textAlignment w:val="baseline"/>
        <w:rPr>
          <w:rFonts w:ascii="Times New Roman" w:hAnsi="Times New Roman" w:cs="Times New Roman"/>
          <w:color w:val="000000" w:themeColor="text1"/>
          <w:sz w:val="28"/>
        </w:rPr>
      </w:pPr>
      <w:r w:rsidRPr="00DE7CC4">
        <w:rPr>
          <w:rFonts w:ascii="Times New Roman" w:hAnsi="Times New Roman" w:cs="Times New Roman"/>
          <w:color w:val="000000" w:themeColor="text1"/>
          <w:sz w:val="28"/>
        </w:rPr>
        <w:t>21. Los accio</w:t>
      </w:r>
      <w:r w:rsidRPr="00DE7CC4">
        <w:rPr>
          <w:rFonts w:ascii="Times New Roman" w:hAnsi="Times New Roman" w:cs="Times New Roman"/>
          <w:color w:val="000000" w:themeColor="text1"/>
          <w:sz w:val="28"/>
        </w:rPr>
        <w:t xml:space="preserve">nantes consideran que las implicaciones de esta normativa son profundas y desfavorables para el mantenimiento del orden público y la seguridad vial. Al impedir que los infractores en accidentes de tránsito sean debidamente sancionados, se rompe el vínculo </w:t>
      </w:r>
      <w:r w:rsidRPr="00DE7CC4">
        <w:rPr>
          <w:rFonts w:ascii="Times New Roman" w:hAnsi="Times New Roman" w:cs="Times New Roman"/>
          <w:color w:val="000000" w:themeColor="text1"/>
          <w:sz w:val="28"/>
        </w:rPr>
        <w:t xml:space="preserve">esencial entre la libertad personal y la restricción de su abuso, un pilar fundamental para el funcionamiento armónico de la sociedad. Además, la ley incentiva un comportamiento antisocial y eleva el riesgo de inseguridad vial, lo que a su vez erosiona la </w:t>
      </w:r>
      <w:r w:rsidRPr="00DE7CC4">
        <w:rPr>
          <w:rFonts w:ascii="Times New Roman" w:hAnsi="Times New Roman" w:cs="Times New Roman"/>
          <w:color w:val="000000" w:themeColor="text1"/>
          <w:sz w:val="28"/>
        </w:rPr>
        <w:t>tranquilidad social y la confianza en el sistema legal:</w:t>
      </w:r>
    </w:p>
    <w:p w:rsidR="00F32ED8" w:rsidRPr="00DE7CC4" w:rsidRDefault="00DE7CC4" w:rsidP="00F32ED8">
      <w:pPr>
        <w:pStyle w:val="Prrafodelista"/>
        <w:ind w:left="0" w:right="49"/>
        <w:jc w:val="both"/>
        <w:textAlignment w:val="baseline"/>
        <w:rPr>
          <w:rFonts w:ascii="Times New Roman" w:hAnsi="Times New Roman" w:cs="Times New Roman"/>
          <w:color w:val="000000" w:themeColor="text1"/>
          <w:sz w:val="28"/>
        </w:rPr>
      </w:pPr>
    </w:p>
    <w:p w:rsidR="00F32ED8" w:rsidRPr="00DE7CC4" w:rsidRDefault="00DE7CC4" w:rsidP="00F32ED8">
      <w:pPr>
        <w:pStyle w:val="Prrafodelista"/>
        <w:ind w:left="567" w:right="333"/>
        <w:jc w:val="both"/>
        <w:textAlignment w:val="baseline"/>
        <w:rPr>
          <w:rFonts w:ascii="Times New Roman" w:hAnsi="Times New Roman" w:cs="Times New Roman"/>
          <w:color w:val="000000" w:themeColor="text1"/>
          <w:sz w:val="28"/>
        </w:rPr>
      </w:pPr>
      <w:r w:rsidRPr="00DE7CC4">
        <w:rPr>
          <w:rFonts w:ascii="Times New Roman" w:hAnsi="Times New Roman" w:cs="Times New Roman"/>
          <w:color w:val="000000" w:themeColor="text1"/>
          <w:sz w:val="28"/>
        </w:rPr>
        <w:t xml:space="preserve">“Los accidentes que solo producen daños materiales pueden producirse de manera fortuita o por la comisión de una infracción de tránsito. De hecho, el legislador ha previsto que ello puede suceder al </w:t>
      </w:r>
      <w:r w:rsidRPr="00DE7CC4">
        <w:rPr>
          <w:rFonts w:ascii="Times New Roman" w:hAnsi="Times New Roman" w:cs="Times New Roman"/>
          <w:color w:val="000000" w:themeColor="text1"/>
          <w:sz w:val="28"/>
        </w:rPr>
        <w:t xml:space="preserve">consagrar en el artículo 2º de la Ley 769 de 2002 el concepto de “infracción compleja”, que es aquella infracción de tránsito que produce un accidente, un daño material. </w:t>
      </w:r>
    </w:p>
    <w:p w:rsidR="00F32ED8" w:rsidRPr="00DE7CC4" w:rsidRDefault="00DE7CC4" w:rsidP="00F32ED8">
      <w:pPr>
        <w:pStyle w:val="Prrafodelista"/>
        <w:ind w:left="567" w:right="333"/>
        <w:jc w:val="both"/>
        <w:textAlignment w:val="baseline"/>
        <w:rPr>
          <w:rFonts w:ascii="Times New Roman" w:hAnsi="Times New Roman" w:cs="Times New Roman"/>
          <w:color w:val="000000" w:themeColor="text1"/>
          <w:sz w:val="28"/>
        </w:rPr>
      </w:pPr>
      <w:r w:rsidRPr="00DE7CC4">
        <w:rPr>
          <w:rFonts w:ascii="Times New Roman" w:hAnsi="Times New Roman" w:cs="Times New Roman"/>
          <w:color w:val="000000" w:themeColor="text1"/>
          <w:sz w:val="28"/>
        </w:rPr>
        <w:t>Dado que el legislador ha previsto que el agente de tránsito no haga presencia en los</w:t>
      </w:r>
      <w:r w:rsidRPr="00DE7CC4">
        <w:rPr>
          <w:rFonts w:ascii="Times New Roman" w:hAnsi="Times New Roman" w:cs="Times New Roman"/>
          <w:color w:val="000000" w:themeColor="text1"/>
          <w:sz w:val="28"/>
        </w:rPr>
        <w:t xml:space="preserve"> accidentes de solo daños materiales, no es posible sancionar la infracción de tránsito que se comete con ocasión de dicho accidente. Si no hay agente de tránsito en la escena de la colisión, ¿cómo se impone el comparendo cuando el accidente ha sido ocasio</w:t>
      </w:r>
      <w:r w:rsidRPr="00DE7CC4">
        <w:rPr>
          <w:rFonts w:ascii="Times New Roman" w:hAnsi="Times New Roman" w:cs="Times New Roman"/>
          <w:color w:val="000000" w:themeColor="text1"/>
          <w:sz w:val="28"/>
        </w:rPr>
        <w:t>nado por efectos de una infracción de tránsito? Si no se sanciona la infracción, el Estado ha renunciado a que el ciudadano sea responsable por la infracción de la ley, lo cual es contrario al artículo 6º de la Constitución”.</w:t>
      </w:r>
    </w:p>
    <w:p w:rsidR="00F32ED8" w:rsidRPr="00DE7CC4" w:rsidRDefault="00DE7CC4" w:rsidP="00F32ED8">
      <w:pPr>
        <w:pStyle w:val="Prrafodelista"/>
        <w:ind w:left="0" w:right="49"/>
        <w:jc w:val="both"/>
        <w:textAlignment w:val="baseline"/>
        <w:rPr>
          <w:rFonts w:ascii="Times New Roman" w:hAnsi="Times New Roman" w:cs="Times New Roman"/>
          <w:color w:val="000000" w:themeColor="text1"/>
          <w:sz w:val="28"/>
        </w:rPr>
      </w:pPr>
    </w:p>
    <w:p w:rsidR="001C32BC" w:rsidRPr="00DE7CC4" w:rsidRDefault="00DE7CC4" w:rsidP="00F32ED8">
      <w:pPr>
        <w:pStyle w:val="Prrafodelista"/>
        <w:ind w:left="0" w:right="49"/>
        <w:jc w:val="both"/>
        <w:textAlignment w:val="baseline"/>
        <w:rPr>
          <w:rFonts w:ascii="Times New Roman" w:hAnsi="Times New Roman" w:cs="Times New Roman"/>
          <w:color w:val="000000" w:themeColor="text1"/>
          <w:sz w:val="28"/>
        </w:rPr>
      </w:pPr>
    </w:p>
    <w:p w:rsidR="001C32BC" w:rsidRPr="00DE7CC4" w:rsidRDefault="00DE7CC4" w:rsidP="00F32ED8">
      <w:pPr>
        <w:pStyle w:val="Prrafodelista"/>
        <w:ind w:left="0" w:right="49"/>
        <w:jc w:val="both"/>
        <w:textAlignment w:val="baseline"/>
        <w:rPr>
          <w:rFonts w:ascii="Times New Roman" w:hAnsi="Times New Roman" w:cs="Times New Roman"/>
          <w:color w:val="000000" w:themeColor="text1"/>
          <w:sz w:val="28"/>
        </w:rPr>
      </w:pPr>
    </w:p>
    <w:p w:rsidR="00F32ED8" w:rsidRPr="00DE7CC4" w:rsidRDefault="00DE7CC4" w:rsidP="00F32ED8">
      <w:pPr>
        <w:jc w:val="both"/>
        <w:textAlignment w:val="baseline"/>
        <w:rPr>
          <w:rFonts w:ascii="Times New Roman" w:hAnsi="Times New Roman" w:cs="Times New Roman"/>
          <w:b/>
          <w:bCs/>
          <w:color w:val="000000" w:themeColor="text1"/>
          <w:sz w:val="28"/>
          <w:bdr w:val="none" w:sz="0" w:space="0" w:color="auto" w:frame="1"/>
          <w:lang w:eastAsia="es-ES"/>
        </w:rPr>
      </w:pPr>
      <w:r w:rsidRPr="00DE7CC4">
        <w:rPr>
          <w:rFonts w:ascii="Times New Roman" w:hAnsi="Times New Roman" w:cs="Times New Roman"/>
          <w:b/>
          <w:bCs/>
          <w:color w:val="000000" w:themeColor="text1"/>
          <w:sz w:val="28"/>
          <w:bdr w:val="none" w:sz="0" w:space="0" w:color="auto" w:frame="1"/>
          <w:lang w:eastAsia="es-ES"/>
        </w:rPr>
        <w:t xml:space="preserve">IV. Síntesis de las </w:t>
      </w:r>
      <w:r w:rsidRPr="00DE7CC4">
        <w:rPr>
          <w:rFonts w:ascii="Times New Roman" w:hAnsi="Times New Roman" w:cs="Times New Roman"/>
          <w:b/>
          <w:bCs/>
          <w:color w:val="000000" w:themeColor="text1"/>
          <w:sz w:val="28"/>
          <w:bdr w:val="none" w:sz="0" w:space="0" w:color="auto" w:frame="1"/>
          <w:lang w:eastAsia="es-ES"/>
        </w:rPr>
        <w:t>intervenciones</w:t>
      </w:r>
    </w:p>
    <w:p w:rsidR="00F32ED8" w:rsidRPr="00DE7CC4" w:rsidRDefault="00DE7CC4" w:rsidP="00F32ED8">
      <w:pPr>
        <w:jc w:val="both"/>
        <w:textAlignment w:val="baseline"/>
        <w:rPr>
          <w:rFonts w:ascii="Times New Roman" w:hAnsi="Times New Roman" w:cs="Times New Roman"/>
          <w:b/>
          <w:bCs/>
          <w:color w:val="000000" w:themeColor="text1"/>
          <w:sz w:val="28"/>
          <w:bdr w:val="none" w:sz="0" w:space="0" w:color="auto" w:frame="1"/>
          <w:lang w:eastAsia="es-ES"/>
        </w:rPr>
      </w:pPr>
    </w:p>
    <w:p w:rsidR="00F32ED8" w:rsidRPr="00DE7CC4" w:rsidRDefault="00DE7CC4" w:rsidP="00F32ED8">
      <w:pPr>
        <w:jc w:val="both"/>
        <w:textAlignment w:val="baseline"/>
        <w:rPr>
          <w:rFonts w:ascii="Times New Roman" w:hAnsi="Times New Roman" w:cs="Times New Roman"/>
          <w:color w:val="000000" w:themeColor="text1"/>
          <w:sz w:val="28"/>
        </w:rPr>
      </w:pPr>
      <w:r w:rsidRPr="00DE7CC4">
        <w:rPr>
          <w:rFonts w:ascii="Times New Roman" w:hAnsi="Times New Roman" w:cs="Times New Roman"/>
          <w:color w:val="000000" w:themeColor="text1"/>
          <w:sz w:val="28"/>
          <w:bdr w:val="none" w:sz="0" w:space="0" w:color="auto" w:frame="1"/>
          <w:lang w:eastAsia="es-ES"/>
        </w:rPr>
        <w:t xml:space="preserve">22. En el término de fijación en lista se recibieron las siguientes intervenciones: (i) de </w:t>
      </w:r>
      <w:r w:rsidRPr="00DE7CC4">
        <w:rPr>
          <w:rFonts w:ascii="Times New Roman" w:hAnsi="Times New Roman" w:cs="Times New Roman"/>
          <w:b/>
          <w:bCs/>
          <w:color w:val="000000" w:themeColor="text1"/>
          <w:sz w:val="28"/>
          <w:bdr w:val="none" w:sz="0" w:space="0" w:color="auto" w:frame="1"/>
          <w:lang w:eastAsia="es-ES"/>
        </w:rPr>
        <w:t>entidades estatales</w:t>
      </w:r>
      <w:r w:rsidRPr="00DE7CC4">
        <w:rPr>
          <w:rFonts w:ascii="Times New Roman" w:hAnsi="Times New Roman" w:cs="Times New Roman"/>
          <w:color w:val="000000" w:themeColor="text1"/>
          <w:sz w:val="28"/>
          <w:bdr w:val="none" w:sz="0" w:space="0" w:color="auto" w:frame="1"/>
          <w:lang w:eastAsia="es-ES"/>
        </w:rPr>
        <w:t>, en concreto de la Nación - Ministerio de Transporte</w:t>
      </w:r>
      <w:r w:rsidRPr="00DE7CC4">
        <w:rPr>
          <w:rStyle w:val="Refdenotaalpie"/>
          <w:rFonts w:ascii="Times New Roman" w:hAnsi="Times New Roman"/>
          <w:color w:val="000000" w:themeColor="text1"/>
          <w:sz w:val="28"/>
          <w:bdr w:val="none" w:sz="0" w:space="0" w:color="auto" w:frame="1"/>
          <w:lang w:eastAsia="es-ES"/>
        </w:rPr>
        <w:footnoteReference w:id="25"/>
      </w:r>
      <w:r w:rsidRPr="00DE7CC4">
        <w:rPr>
          <w:rFonts w:ascii="Times New Roman" w:hAnsi="Times New Roman" w:cs="Times New Roman"/>
          <w:color w:val="000000" w:themeColor="text1"/>
          <w:sz w:val="28"/>
          <w:bdr w:val="none" w:sz="0" w:space="0" w:color="auto" w:frame="1"/>
          <w:lang w:eastAsia="es-ES"/>
        </w:rPr>
        <w:t xml:space="preserve"> y de la Superintendencia Financiera de Colombia</w:t>
      </w:r>
      <w:r w:rsidRPr="00DE7CC4">
        <w:rPr>
          <w:rStyle w:val="Refdenotaalpie"/>
          <w:rFonts w:ascii="Times New Roman" w:hAnsi="Times New Roman"/>
          <w:color w:val="000000" w:themeColor="text1"/>
          <w:sz w:val="28"/>
          <w:bdr w:val="none" w:sz="0" w:space="0" w:color="auto" w:frame="1"/>
          <w:lang w:eastAsia="es-ES"/>
        </w:rPr>
        <w:footnoteReference w:id="26"/>
      </w:r>
      <w:r w:rsidRPr="00DE7CC4">
        <w:rPr>
          <w:rFonts w:ascii="Times New Roman" w:hAnsi="Times New Roman" w:cs="Times New Roman"/>
          <w:color w:val="000000" w:themeColor="text1"/>
          <w:sz w:val="28"/>
          <w:bdr w:val="none" w:sz="0" w:space="0" w:color="auto" w:frame="1"/>
          <w:lang w:eastAsia="es-ES"/>
        </w:rPr>
        <w:t xml:space="preserve">; (ii) de </w:t>
      </w:r>
      <w:r w:rsidRPr="00DE7CC4">
        <w:rPr>
          <w:rFonts w:ascii="Times New Roman" w:hAnsi="Times New Roman" w:cs="Times New Roman"/>
          <w:b/>
          <w:bCs/>
          <w:color w:val="000000" w:themeColor="text1"/>
          <w:sz w:val="28"/>
          <w:bdr w:val="none" w:sz="0" w:space="0" w:color="auto" w:frame="1"/>
          <w:lang w:eastAsia="es-ES"/>
        </w:rPr>
        <w:t xml:space="preserve">instituciones no </w:t>
      </w:r>
      <w:r w:rsidRPr="00DE7CC4">
        <w:rPr>
          <w:rFonts w:ascii="Times New Roman" w:hAnsi="Times New Roman" w:cs="Times New Roman"/>
          <w:b/>
          <w:bCs/>
          <w:color w:val="000000" w:themeColor="text1"/>
          <w:sz w:val="28"/>
          <w:bdr w:val="none" w:sz="0" w:space="0" w:color="auto" w:frame="1"/>
          <w:lang w:eastAsia="es-ES"/>
        </w:rPr>
        <w:t>estatales y/o académicas</w:t>
      </w:r>
      <w:r w:rsidRPr="00DE7CC4">
        <w:rPr>
          <w:rFonts w:ascii="Times New Roman" w:hAnsi="Times New Roman" w:cs="Times New Roman"/>
          <w:color w:val="000000" w:themeColor="text1"/>
          <w:sz w:val="28"/>
          <w:bdr w:val="none" w:sz="0" w:space="0" w:color="auto" w:frame="1"/>
          <w:lang w:eastAsia="es-ES"/>
        </w:rPr>
        <w:t>, como la Federación Colombiana de Municipios</w:t>
      </w:r>
      <w:r w:rsidRPr="00DE7CC4">
        <w:rPr>
          <w:rStyle w:val="Refdenotaalpie"/>
          <w:rFonts w:ascii="Times New Roman" w:hAnsi="Times New Roman"/>
          <w:color w:val="000000" w:themeColor="text1"/>
          <w:sz w:val="28"/>
          <w:bdr w:val="none" w:sz="0" w:space="0" w:color="auto" w:frame="1"/>
          <w:lang w:eastAsia="es-ES"/>
        </w:rPr>
        <w:footnoteReference w:id="27"/>
      </w:r>
      <w:r w:rsidRPr="00DE7CC4">
        <w:rPr>
          <w:rFonts w:ascii="Times New Roman" w:hAnsi="Times New Roman" w:cs="Times New Roman"/>
          <w:color w:val="000000" w:themeColor="text1"/>
          <w:sz w:val="28"/>
          <w:bdr w:val="none" w:sz="0" w:space="0" w:color="auto" w:frame="1"/>
          <w:lang w:eastAsia="es-ES"/>
        </w:rPr>
        <w:t xml:space="preserve"> y la Universidad de los Andes - Área de Derecho Público del Consultorio Jurídico</w:t>
      </w:r>
      <w:r w:rsidRPr="00DE7CC4">
        <w:rPr>
          <w:rStyle w:val="Refdenotaalpie"/>
          <w:rFonts w:ascii="Times New Roman" w:hAnsi="Times New Roman"/>
          <w:color w:val="000000" w:themeColor="text1"/>
          <w:sz w:val="28"/>
          <w:bdr w:val="none" w:sz="0" w:space="0" w:color="auto" w:frame="1"/>
          <w:lang w:eastAsia="es-ES"/>
        </w:rPr>
        <w:footnoteReference w:id="28"/>
      </w:r>
      <w:r w:rsidRPr="00DE7CC4">
        <w:rPr>
          <w:rFonts w:ascii="Times New Roman" w:hAnsi="Times New Roman" w:cs="Times New Roman"/>
          <w:color w:val="000000" w:themeColor="text1"/>
          <w:sz w:val="28"/>
          <w:bdr w:val="none" w:sz="0" w:space="0" w:color="auto" w:frame="1"/>
          <w:lang w:eastAsia="es-ES"/>
        </w:rPr>
        <w:t xml:space="preserve">, y (iii) de la </w:t>
      </w:r>
      <w:r w:rsidRPr="00DE7CC4">
        <w:rPr>
          <w:rFonts w:ascii="Times New Roman" w:hAnsi="Times New Roman" w:cs="Times New Roman"/>
          <w:b/>
          <w:bCs/>
          <w:color w:val="000000" w:themeColor="text1"/>
          <w:sz w:val="28"/>
          <w:bdr w:val="none" w:sz="0" w:space="0" w:color="auto" w:frame="1"/>
          <w:lang w:eastAsia="es-ES"/>
        </w:rPr>
        <w:t>ciudadanía</w:t>
      </w:r>
      <w:r w:rsidRPr="00DE7CC4">
        <w:rPr>
          <w:rFonts w:ascii="Times New Roman" w:hAnsi="Times New Roman" w:cs="Times New Roman"/>
          <w:color w:val="000000" w:themeColor="text1"/>
          <w:sz w:val="28"/>
          <w:bdr w:val="none" w:sz="0" w:space="0" w:color="auto" w:frame="1"/>
          <w:lang w:eastAsia="es-ES"/>
        </w:rPr>
        <w:t>, en particular, de Paul Esteban Hernández y Diana Patricia Posada Virgen</w:t>
      </w:r>
      <w:r w:rsidRPr="00DE7CC4">
        <w:rPr>
          <w:rStyle w:val="Refdenotaalpie"/>
          <w:rFonts w:ascii="Times New Roman" w:hAnsi="Times New Roman"/>
          <w:color w:val="000000" w:themeColor="text1"/>
          <w:sz w:val="28"/>
          <w:bdr w:val="none" w:sz="0" w:space="0" w:color="auto" w:frame="1"/>
          <w:lang w:eastAsia="es-ES"/>
        </w:rPr>
        <w:footnoteReference w:id="29"/>
      </w:r>
      <w:r w:rsidRPr="00DE7CC4">
        <w:rPr>
          <w:rFonts w:ascii="Times New Roman" w:hAnsi="Times New Roman" w:cs="Times New Roman"/>
          <w:color w:val="000000" w:themeColor="text1"/>
          <w:sz w:val="28"/>
          <w:bdr w:val="none" w:sz="0" w:space="0" w:color="auto" w:frame="1"/>
          <w:lang w:eastAsia="es-ES"/>
        </w:rPr>
        <w:t xml:space="preserve">, y </w:t>
      </w:r>
      <w:r w:rsidRPr="00DE7CC4">
        <w:rPr>
          <w:rFonts w:ascii="Times New Roman" w:hAnsi="Times New Roman" w:cs="Times New Roman"/>
          <w:color w:val="000000" w:themeColor="text1"/>
          <w:sz w:val="28"/>
          <w:bdr w:val="none" w:sz="0" w:space="0" w:color="auto" w:frame="1"/>
          <w:lang w:eastAsia="es-ES"/>
        </w:rPr>
        <w:t xml:space="preserve">de </w:t>
      </w:r>
      <w:r w:rsidRPr="00DE7CC4">
        <w:rPr>
          <w:rFonts w:ascii="Times New Roman" w:hAnsi="Times New Roman" w:cs="Times New Roman"/>
          <w:color w:val="000000" w:themeColor="text1"/>
          <w:sz w:val="28"/>
        </w:rPr>
        <w:t>Viviana Patricia Gómez Galeano y Mauricio Gómez Galeano</w:t>
      </w:r>
      <w:r w:rsidRPr="00DE7CC4">
        <w:rPr>
          <w:rStyle w:val="Refdenotaalpie"/>
          <w:rFonts w:ascii="Times New Roman" w:hAnsi="Times New Roman"/>
          <w:color w:val="000000" w:themeColor="text1"/>
          <w:sz w:val="28"/>
        </w:rPr>
        <w:footnoteReference w:id="30"/>
      </w:r>
      <w:r w:rsidRPr="00DE7CC4">
        <w:rPr>
          <w:rFonts w:ascii="Times New Roman" w:hAnsi="Times New Roman" w:cs="Times New Roman"/>
          <w:color w:val="000000" w:themeColor="text1"/>
          <w:sz w:val="28"/>
        </w:rPr>
        <w:t>. Por fuera del término de fijación en lista, se allegaron intervenciones por parte la Policía Nacional</w:t>
      </w:r>
      <w:r w:rsidRPr="00DE7CC4">
        <w:rPr>
          <w:rStyle w:val="Refdenotaalpie"/>
          <w:rFonts w:ascii="Times New Roman" w:hAnsi="Times New Roman"/>
          <w:color w:val="000000" w:themeColor="text1"/>
          <w:sz w:val="28"/>
        </w:rPr>
        <w:footnoteReference w:id="31"/>
      </w:r>
      <w:r w:rsidRPr="00DE7CC4">
        <w:rPr>
          <w:rFonts w:ascii="Times New Roman" w:hAnsi="Times New Roman" w:cs="Times New Roman"/>
          <w:color w:val="000000" w:themeColor="text1"/>
          <w:sz w:val="28"/>
        </w:rPr>
        <w:t>, la Superintendencia de Transporte</w:t>
      </w:r>
      <w:r w:rsidRPr="00DE7CC4">
        <w:rPr>
          <w:rStyle w:val="Refdenotaalpie"/>
          <w:rFonts w:ascii="Times New Roman" w:hAnsi="Times New Roman"/>
          <w:color w:val="000000" w:themeColor="text1"/>
          <w:sz w:val="28"/>
        </w:rPr>
        <w:footnoteReference w:id="32"/>
      </w:r>
      <w:r w:rsidRPr="00DE7CC4">
        <w:rPr>
          <w:rFonts w:ascii="Times New Roman" w:hAnsi="Times New Roman" w:cs="Times New Roman"/>
          <w:color w:val="000000" w:themeColor="text1"/>
          <w:sz w:val="28"/>
        </w:rPr>
        <w:t xml:space="preserve"> y la Asociación Colombiana de Derecho de Seguros - Acold</w:t>
      </w:r>
      <w:r w:rsidRPr="00DE7CC4">
        <w:rPr>
          <w:rFonts w:ascii="Times New Roman" w:hAnsi="Times New Roman" w:cs="Times New Roman"/>
          <w:color w:val="000000" w:themeColor="text1"/>
          <w:sz w:val="28"/>
        </w:rPr>
        <w:t>ese</w:t>
      </w:r>
      <w:r w:rsidRPr="00DE7CC4">
        <w:rPr>
          <w:rStyle w:val="Refdenotaalpie"/>
          <w:rFonts w:ascii="Times New Roman" w:hAnsi="Times New Roman"/>
          <w:color w:val="000000" w:themeColor="text1"/>
          <w:sz w:val="28"/>
        </w:rPr>
        <w:footnoteReference w:id="33"/>
      </w:r>
      <w:r w:rsidRPr="00DE7CC4">
        <w:rPr>
          <w:rFonts w:ascii="Times New Roman" w:hAnsi="Times New Roman" w:cs="Times New Roman"/>
          <w:color w:val="000000" w:themeColor="text1"/>
          <w:sz w:val="28"/>
        </w:rPr>
        <w:t>.</w:t>
      </w:r>
    </w:p>
    <w:p w:rsidR="00F32ED8" w:rsidRPr="00DE7CC4" w:rsidRDefault="00DE7CC4" w:rsidP="00F32ED8">
      <w:pPr>
        <w:pStyle w:val="Prrafodelista"/>
        <w:ind w:left="0" w:right="49"/>
        <w:jc w:val="both"/>
        <w:textAlignment w:val="baseline"/>
        <w:rPr>
          <w:rFonts w:ascii="Times New Roman" w:hAnsi="Times New Roman" w:cs="Times New Roman"/>
          <w:color w:val="000000" w:themeColor="text1"/>
          <w:sz w:val="28"/>
        </w:rPr>
      </w:pPr>
    </w:p>
    <w:p w:rsidR="00F32ED8" w:rsidRPr="00DE7CC4" w:rsidRDefault="00DE7CC4" w:rsidP="00F32ED8">
      <w:pPr>
        <w:pStyle w:val="Prrafodelista"/>
        <w:ind w:left="0" w:right="49"/>
        <w:jc w:val="both"/>
        <w:textAlignment w:val="baseline"/>
        <w:rPr>
          <w:rFonts w:ascii="Times New Roman" w:hAnsi="Times New Roman" w:cs="Times New Roman"/>
          <w:i/>
          <w:iCs/>
          <w:color w:val="000000" w:themeColor="text1"/>
          <w:sz w:val="28"/>
        </w:rPr>
      </w:pPr>
      <w:r w:rsidRPr="00DE7CC4">
        <w:rPr>
          <w:rFonts w:ascii="Times New Roman" w:hAnsi="Times New Roman" w:cs="Times New Roman"/>
          <w:color w:val="000000" w:themeColor="text1"/>
          <w:sz w:val="28"/>
        </w:rPr>
        <w:tab/>
      </w:r>
      <w:r w:rsidRPr="00DE7CC4">
        <w:rPr>
          <w:rFonts w:ascii="Times New Roman" w:hAnsi="Times New Roman" w:cs="Times New Roman"/>
          <w:i/>
          <w:iCs/>
          <w:color w:val="000000" w:themeColor="text1"/>
          <w:sz w:val="28"/>
        </w:rPr>
        <w:t>Intervenciones y conceptos de expertos con petición de exequibilidad</w:t>
      </w:r>
    </w:p>
    <w:p w:rsidR="00F32ED8" w:rsidRPr="00DE7CC4" w:rsidRDefault="00DE7CC4" w:rsidP="00F32ED8">
      <w:pPr>
        <w:pStyle w:val="Prrafodelista"/>
        <w:ind w:left="0" w:right="49"/>
        <w:jc w:val="both"/>
        <w:textAlignment w:val="baseline"/>
        <w:rPr>
          <w:rFonts w:ascii="Times New Roman" w:hAnsi="Times New Roman" w:cs="Times New Roman"/>
          <w:i/>
          <w:iCs/>
          <w:color w:val="000000" w:themeColor="text1"/>
          <w:sz w:val="28"/>
        </w:rPr>
      </w:pPr>
    </w:p>
    <w:p w:rsidR="00F32ED8" w:rsidRPr="00DE7CC4" w:rsidRDefault="00DE7CC4" w:rsidP="00F32ED8">
      <w:pPr>
        <w:pStyle w:val="Prrafodelista"/>
        <w:ind w:left="0" w:right="49"/>
        <w:jc w:val="both"/>
        <w:textAlignment w:val="baseline"/>
        <w:rPr>
          <w:rFonts w:ascii="Times New Roman" w:hAnsi="Times New Roman" w:cs="Times New Roman"/>
          <w:color w:val="000000" w:themeColor="text1"/>
          <w:sz w:val="28"/>
        </w:rPr>
      </w:pPr>
      <w:r w:rsidRPr="00DE7CC4">
        <w:rPr>
          <w:rFonts w:ascii="Times New Roman" w:hAnsi="Times New Roman" w:cs="Times New Roman"/>
          <w:color w:val="000000" w:themeColor="text1"/>
          <w:sz w:val="28"/>
        </w:rPr>
        <w:t xml:space="preserve">23. La </w:t>
      </w:r>
      <w:r w:rsidRPr="00DE7CC4">
        <w:rPr>
          <w:rFonts w:ascii="Times New Roman" w:hAnsi="Times New Roman" w:cs="Times New Roman"/>
          <w:i/>
          <w:iCs/>
          <w:color w:val="000000" w:themeColor="text1"/>
          <w:sz w:val="28"/>
        </w:rPr>
        <w:t>Nación - Ministerio de Transporte</w:t>
      </w:r>
      <w:r w:rsidRPr="00DE7CC4">
        <w:rPr>
          <w:rFonts w:ascii="Times New Roman" w:hAnsi="Times New Roman" w:cs="Times New Roman"/>
          <w:color w:val="000000" w:themeColor="text1"/>
          <w:sz w:val="28"/>
        </w:rPr>
        <w:t>, media</w:t>
      </w:r>
      <w:r w:rsidRPr="00DE7CC4">
        <w:rPr>
          <w:rFonts w:ascii="Times New Roman" w:hAnsi="Times New Roman" w:cs="Times New Roman"/>
          <w:color w:val="000000" w:themeColor="text1"/>
          <w:sz w:val="28"/>
        </w:rPr>
        <w:t>n</w:t>
      </w:r>
      <w:r w:rsidRPr="00DE7CC4">
        <w:rPr>
          <w:rFonts w:ascii="Times New Roman" w:hAnsi="Times New Roman" w:cs="Times New Roman"/>
          <w:color w:val="000000" w:themeColor="text1"/>
          <w:sz w:val="28"/>
        </w:rPr>
        <w:t>te apoderado</w:t>
      </w:r>
      <w:r w:rsidRPr="00DE7CC4">
        <w:rPr>
          <w:rStyle w:val="Refdenotaalpie"/>
          <w:rFonts w:ascii="Times New Roman" w:hAnsi="Times New Roman"/>
          <w:color w:val="000000" w:themeColor="text1"/>
          <w:sz w:val="28"/>
        </w:rPr>
        <w:footnoteReference w:id="34"/>
      </w:r>
      <w:r w:rsidRPr="00DE7CC4">
        <w:rPr>
          <w:rFonts w:ascii="Times New Roman" w:hAnsi="Times New Roman" w:cs="Times New Roman"/>
          <w:color w:val="000000" w:themeColor="text1"/>
          <w:sz w:val="28"/>
        </w:rPr>
        <w:t>, pidió declarar la ineptitud de la demanda o, en subsidio, declarar la exequibilidad de la norma. En cuanto a lo pri</w:t>
      </w:r>
      <w:r w:rsidRPr="00DE7CC4">
        <w:rPr>
          <w:rFonts w:ascii="Times New Roman" w:hAnsi="Times New Roman" w:cs="Times New Roman"/>
          <w:color w:val="000000" w:themeColor="text1"/>
          <w:sz w:val="28"/>
        </w:rPr>
        <w:t>mero, indicó que los demandantes no precisaron el “verdadero motivo de la inconformidad constitucional”, dado que los argumentos expuestos son “consideraciones propias”, que no dan cuenta de una confrontación entre, por un lado, la disposición demandada y,</w:t>
      </w:r>
      <w:r w:rsidRPr="00DE7CC4">
        <w:rPr>
          <w:rFonts w:ascii="Times New Roman" w:hAnsi="Times New Roman" w:cs="Times New Roman"/>
          <w:color w:val="000000" w:themeColor="text1"/>
          <w:sz w:val="28"/>
        </w:rPr>
        <w:t xml:space="preserve"> por otro lado, los enunciados constitucionales presuntamente desconocidos. En concreto, destacó que “a pesar que se indica [en la demanda] cuál es la inconformidad de los demandantes y señala los artículos correspondientes (…) como normas supuestamente vi</w:t>
      </w:r>
      <w:r w:rsidRPr="00DE7CC4">
        <w:rPr>
          <w:rFonts w:ascii="Times New Roman" w:hAnsi="Times New Roman" w:cs="Times New Roman"/>
          <w:color w:val="000000" w:themeColor="text1"/>
          <w:sz w:val="28"/>
        </w:rPr>
        <w:t>oladas, sus argumentos jurídicos no son lo suficientemente sólidos ni se soportan sobre los principios constitucionales o jurisprudenciales que demuestren que el legislador se encuentre vulnerando” cada uno de los mandatos en que se fundan los cargos prese</w:t>
      </w:r>
      <w:r w:rsidRPr="00DE7CC4">
        <w:rPr>
          <w:rFonts w:ascii="Times New Roman" w:hAnsi="Times New Roman" w:cs="Times New Roman"/>
          <w:color w:val="000000" w:themeColor="text1"/>
          <w:sz w:val="28"/>
        </w:rPr>
        <w:t>ntados. Finalmente, luego de citar la Sentencia C-382 de 2012</w:t>
      </w:r>
      <w:r w:rsidRPr="00DE7CC4">
        <w:rPr>
          <w:rStyle w:val="Refdenotaalpie"/>
          <w:rFonts w:ascii="Times New Roman" w:hAnsi="Times New Roman"/>
          <w:color w:val="000000" w:themeColor="text1"/>
          <w:sz w:val="28"/>
        </w:rPr>
        <w:footnoteReference w:id="35"/>
      </w:r>
      <w:r w:rsidRPr="00DE7CC4">
        <w:rPr>
          <w:rFonts w:ascii="Times New Roman" w:hAnsi="Times New Roman" w:cs="Times New Roman"/>
          <w:color w:val="000000" w:themeColor="text1"/>
          <w:sz w:val="28"/>
        </w:rPr>
        <w:t xml:space="preserve"> en relación con los requisitos argumentativos que determinan la aptitud de un cargo de inconstitucionalidad, concluyó que la demanda que ahora se estudia no cumple los requisitos de claridad, certeza, especificidad, pertinencia y suficiencia.</w:t>
      </w:r>
    </w:p>
    <w:p w:rsidR="00F32ED8" w:rsidRPr="00DE7CC4" w:rsidRDefault="00DE7CC4" w:rsidP="00F32ED8">
      <w:pPr>
        <w:pStyle w:val="Prrafodelista"/>
        <w:ind w:left="0" w:right="49"/>
        <w:jc w:val="both"/>
        <w:textAlignment w:val="baseline"/>
        <w:rPr>
          <w:rFonts w:ascii="Times New Roman" w:hAnsi="Times New Roman" w:cs="Times New Roman"/>
          <w:color w:val="000000" w:themeColor="text1"/>
          <w:sz w:val="28"/>
        </w:rPr>
      </w:pPr>
    </w:p>
    <w:p w:rsidR="00F32ED8" w:rsidRPr="00DE7CC4" w:rsidRDefault="00DE7CC4" w:rsidP="00F32ED8">
      <w:pPr>
        <w:pStyle w:val="Prrafodelista"/>
        <w:ind w:left="0" w:right="49"/>
        <w:jc w:val="both"/>
        <w:textAlignment w:val="baseline"/>
        <w:rPr>
          <w:rFonts w:ascii="Times New Roman" w:hAnsi="Times New Roman" w:cs="Times New Roman"/>
          <w:color w:val="000000" w:themeColor="text1"/>
          <w:sz w:val="28"/>
        </w:rPr>
      </w:pPr>
      <w:r w:rsidRPr="00DE7CC4">
        <w:rPr>
          <w:rFonts w:ascii="Times New Roman" w:hAnsi="Times New Roman" w:cs="Times New Roman"/>
          <w:color w:val="000000" w:themeColor="text1"/>
          <w:sz w:val="28"/>
        </w:rPr>
        <w:t>24. De fond</w:t>
      </w:r>
      <w:r w:rsidRPr="00DE7CC4">
        <w:rPr>
          <w:rFonts w:ascii="Times New Roman" w:hAnsi="Times New Roman" w:cs="Times New Roman"/>
          <w:color w:val="000000" w:themeColor="text1"/>
          <w:sz w:val="28"/>
        </w:rPr>
        <w:t xml:space="preserve">o, respecto a los dos primeros cargos, manifestó que la norma no afecta el estado social de derecho ni el derecho a la propiedad privada “en el sentido de la pertenencia, disposición o acceso de los bienes de las personas” y no incentiva la expropiación o </w:t>
      </w:r>
      <w:r w:rsidRPr="00DE7CC4">
        <w:rPr>
          <w:rFonts w:ascii="Times New Roman" w:hAnsi="Times New Roman" w:cs="Times New Roman"/>
          <w:color w:val="000000" w:themeColor="text1"/>
          <w:sz w:val="28"/>
        </w:rPr>
        <w:t>pérdida de propiedad sobre vehículos involucrados en accidentes que solo producen daños materiales; de lo que se trata es de que, si se genera una situación que obligue a la reparación de daños, la discusión no se d</w:t>
      </w:r>
      <w:r w:rsidRPr="00DE7CC4">
        <w:rPr>
          <w:rFonts w:ascii="Times New Roman" w:hAnsi="Times New Roman" w:cs="Times New Roman"/>
          <w:color w:val="000000" w:themeColor="text1"/>
          <w:sz w:val="28"/>
        </w:rPr>
        <w:t>é</w:t>
      </w:r>
      <w:r w:rsidRPr="00DE7CC4">
        <w:rPr>
          <w:rFonts w:ascii="Times New Roman" w:hAnsi="Times New Roman" w:cs="Times New Roman"/>
          <w:color w:val="000000" w:themeColor="text1"/>
          <w:sz w:val="28"/>
        </w:rPr>
        <w:t xml:space="preserve"> en el sitio del accidente, sino en un c</w:t>
      </w:r>
      <w:r w:rsidRPr="00DE7CC4">
        <w:rPr>
          <w:rFonts w:ascii="Times New Roman" w:hAnsi="Times New Roman" w:cs="Times New Roman"/>
          <w:color w:val="000000" w:themeColor="text1"/>
          <w:sz w:val="28"/>
        </w:rPr>
        <w:t>entro de conciliación o, de ser necesario, a través de la vía judicial respectiva, lo que repercute en una mejor circulación en las vías. Así, el cambio en el procedimiento para manejar accidentes de tránsito sin lesionados, no implica una renuncia a las o</w:t>
      </w:r>
      <w:r w:rsidRPr="00DE7CC4">
        <w:rPr>
          <w:rFonts w:ascii="Times New Roman" w:hAnsi="Times New Roman" w:cs="Times New Roman"/>
          <w:color w:val="000000" w:themeColor="text1"/>
          <w:sz w:val="28"/>
        </w:rPr>
        <w:t>bligaciones constitucionales del Estado ni desprotege el derecho a la propiedad, porque regula quién debe recolectar las pruebas, usando para el efecto todas las herramientas técnicas y tecnológicas, concluyendo que el nuevo procedimiento es más ágil y efi</w:t>
      </w:r>
      <w:r w:rsidRPr="00DE7CC4">
        <w:rPr>
          <w:rFonts w:ascii="Times New Roman" w:hAnsi="Times New Roman" w:cs="Times New Roman"/>
          <w:color w:val="000000" w:themeColor="text1"/>
          <w:sz w:val="28"/>
        </w:rPr>
        <w:t>ciente. Desde su perspectiva, precisó, no se materializa un retroceso en la garantía de un derecho, en tanto se confiere:</w:t>
      </w:r>
    </w:p>
    <w:p w:rsidR="00F32ED8" w:rsidRPr="00DE7CC4" w:rsidRDefault="00DE7CC4" w:rsidP="00F32ED8">
      <w:pPr>
        <w:pStyle w:val="Prrafodelista"/>
        <w:ind w:left="0" w:right="49"/>
        <w:jc w:val="both"/>
        <w:textAlignment w:val="baseline"/>
        <w:rPr>
          <w:rFonts w:ascii="Times New Roman" w:hAnsi="Times New Roman" w:cs="Times New Roman"/>
          <w:color w:val="000000" w:themeColor="text1"/>
          <w:sz w:val="28"/>
        </w:rPr>
      </w:pPr>
    </w:p>
    <w:p w:rsidR="00F32ED8" w:rsidRPr="00DE7CC4" w:rsidRDefault="00DE7CC4" w:rsidP="00F32ED8">
      <w:pPr>
        <w:pStyle w:val="Prrafodelista"/>
        <w:ind w:left="567" w:right="333"/>
        <w:jc w:val="both"/>
        <w:textAlignment w:val="baseline"/>
        <w:rPr>
          <w:rFonts w:ascii="Times New Roman" w:hAnsi="Times New Roman" w:cs="Times New Roman"/>
          <w:color w:val="000000" w:themeColor="text1"/>
          <w:sz w:val="28"/>
        </w:rPr>
      </w:pPr>
      <w:r w:rsidRPr="00DE7CC4">
        <w:rPr>
          <w:rFonts w:ascii="Times New Roman" w:hAnsi="Times New Roman" w:cs="Times New Roman"/>
          <w:color w:val="000000" w:themeColor="text1"/>
          <w:sz w:val="28"/>
        </w:rPr>
        <w:t>“[A]bsoluta libertad probatoria en el recaudo de la prueba, mediante el uso de las tecnologías disponibles, la posibilidad de hacer v</w:t>
      </w:r>
      <w:r w:rsidRPr="00DE7CC4">
        <w:rPr>
          <w:rFonts w:ascii="Times New Roman" w:hAnsi="Times New Roman" w:cs="Times New Roman"/>
          <w:color w:val="000000" w:themeColor="text1"/>
          <w:sz w:val="28"/>
        </w:rPr>
        <w:t>aler dichas pruebas en el escenario correspondiente administrativo o judicial, se evita el año a terceros sobre la posibilidad de no afectar la movilidad en el entendido de que al tratarse de un simple accidente sin afectación de la integridad de las perso</w:t>
      </w:r>
      <w:r w:rsidRPr="00DE7CC4">
        <w:rPr>
          <w:rFonts w:ascii="Times New Roman" w:hAnsi="Times New Roman" w:cs="Times New Roman"/>
          <w:color w:val="000000" w:themeColor="text1"/>
          <w:sz w:val="28"/>
        </w:rPr>
        <w:t>nas, los involucrados tienen el deber de movilizar los vehículos, para no obstruir la movilidad de la vía; es decir, es una norma que no afecta la propiedad de las partes en el accidente pero que tampoco exige la presencia de los agentes de tránsito para d</w:t>
      </w:r>
      <w:r w:rsidRPr="00DE7CC4">
        <w:rPr>
          <w:rFonts w:ascii="Times New Roman" w:hAnsi="Times New Roman" w:cs="Times New Roman"/>
          <w:color w:val="000000" w:themeColor="text1"/>
          <w:sz w:val="28"/>
        </w:rPr>
        <w:t>arle plena validez a las pruebas que recauden las partes o las aseguradoras”</w:t>
      </w:r>
      <w:r w:rsidRPr="00DE7CC4">
        <w:rPr>
          <w:rStyle w:val="Refdenotaalpie"/>
          <w:rFonts w:ascii="Times New Roman" w:hAnsi="Times New Roman"/>
          <w:color w:val="000000" w:themeColor="text1"/>
          <w:sz w:val="28"/>
        </w:rPr>
        <w:footnoteReference w:id="36"/>
      </w:r>
      <w:r w:rsidRPr="00DE7CC4">
        <w:rPr>
          <w:rFonts w:ascii="Times New Roman" w:hAnsi="Times New Roman" w:cs="Times New Roman"/>
          <w:color w:val="000000" w:themeColor="text1"/>
          <w:sz w:val="28"/>
        </w:rPr>
        <w:t>.</w:t>
      </w:r>
    </w:p>
    <w:p w:rsidR="00F32ED8" w:rsidRPr="00DE7CC4" w:rsidRDefault="00DE7CC4" w:rsidP="00F32ED8">
      <w:pPr>
        <w:pStyle w:val="Prrafodelista"/>
        <w:ind w:left="0" w:right="49"/>
        <w:jc w:val="both"/>
        <w:textAlignment w:val="baseline"/>
        <w:rPr>
          <w:rFonts w:ascii="Times New Roman" w:hAnsi="Times New Roman" w:cs="Times New Roman"/>
          <w:color w:val="000000" w:themeColor="text1"/>
          <w:sz w:val="28"/>
        </w:rPr>
      </w:pPr>
    </w:p>
    <w:p w:rsidR="00F32ED8" w:rsidRPr="00DE7CC4" w:rsidRDefault="00DE7CC4" w:rsidP="00F32ED8">
      <w:pPr>
        <w:pStyle w:val="Prrafodelista"/>
        <w:ind w:left="0" w:right="49"/>
        <w:jc w:val="both"/>
        <w:textAlignment w:val="baseline"/>
        <w:rPr>
          <w:rFonts w:ascii="Times New Roman" w:hAnsi="Times New Roman" w:cs="Times New Roman"/>
          <w:color w:val="000000" w:themeColor="text1"/>
          <w:sz w:val="28"/>
        </w:rPr>
      </w:pPr>
      <w:r w:rsidRPr="00DE7CC4">
        <w:rPr>
          <w:rFonts w:ascii="Times New Roman" w:hAnsi="Times New Roman" w:cs="Times New Roman"/>
          <w:color w:val="000000" w:themeColor="text1"/>
          <w:sz w:val="28"/>
        </w:rPr>
        <w:t xml:space="preserve">25. En relación con los cargos tercero y cuarto, el apoderado del Ministerio afirmó que “con la norma demandada ni el Estado ni el Presidente de la República están abandonando </w:t>
      </w:r>
      <w:r w:rsidRPr="00DE7CC4">
        <w:rPr>
          <w:rFonts w:ascii="Times New Roman" w:hAnsi="Times New Roman" w:cs="Times New Roman"/>
          <w:color w:val="000000" w:themeColor="text1"/>
          <w:sz w:val="28"/>
        </w:rPr>
        <w:t>su función de conservación del orden público ni tampoco están desconociendo la efectividad de los principios, derechos y deberes consagrados en la Constitución Política”</w:t>
      </w:r>
      <w:r w:rsidRPr="00DE7CC4">
        <w:rPr>
          <w:rStyle w:val="Refdenotaalpie"/>
          <w:rFonts w:ascii="Times New Roman" w:hAnsi="Times New Roman"/>
          <w:color w:val="000000" w:themeColor="text1"/>
          <w:sz w:val="28"/>
        </w:rPr>
        <w:footnoteReference w:id="37"/>
      </w:r>
      <w:r w:rsidRPr="00DE7CC4">
        <w:rPr>
          <w:rFonts w:ascii="Times New Roman" w:hAnsi="Times New Roman" w:cs="Times New Roman"/>
          <w:color w:val="000000" w:themeColor="text1"/>
          <w:sz w:val="28"/>
        </w:rPr>
        <w:t>; lo que la norma prevé es un nuevo procedimiento, más ágil y directo, en casos de acc</w:t>
      </w:r>
      <w:r w:rsidRPr="00DE7CC4">
        <w:rPr>
          <w:rFonts w:ascii="Times New Roman" w:hAnsi="Times New Roman" w:cs="Times New Roman"/>
          <w:color w:val="000000" w:themeColor="text1"/>
          <w:sz w:val="28"/>
        </w:rPr>
        <w:t xml:space="preserve">identes de tránsito que generan solo daños materiales, en virtud del cual las pruebas que se recaudan bajo las condiciones allí establecidas reemplazan el informe de accidente de tránsito expedido por la autoridad competente. Así, la disposición demandada </w:t>
      </w:r>
      <w:r w:rsidRPr="00DE7CC4">
        <w:rPr>
          <w:rFonts w:ascii="Times New Roman" w:hAnsi="Times New Roman" w:cs="Times New Roman"/>
          <w:color w:val="000000" w:themeColor="text1"/>
          <w:sz w:val="28"/>
        </w:rPr>
        <w:t>“no está suprimiendo ni condicionando ningún derecho constitucional”. Finalmente, destacó que estos cargos “no cuentan con la suficiencia de fundamentación argumentativa ni prueban que se esté desconociendo la Constitución Política”</w:t>
      </w:r>
      <w:r w:rsidRPr="00DE7CC4">
        <w:rPr>
          <w:rStyle w:val="Refdenotaalpie"/>
          <w:rFonts w:ascii="Times New Roman" w:hAnsi="Times New Roman"/>
          <w:color w:val="000000" w:themeColor="text1"/>
          <w:sz w:val="28"/>
        </w:rPr>
        <w:footnoteReference w:id="38"/>
      </w:r>
      <w:r w:rsidRPr="00DE7CC4">
        <w:rPr>
          <w:rFonts w:ascii="Times New Roman" w:hAnsi="Times New Roman" w:cs="Times New Roman"/>
          <w:color w:val="000000" w:themeColor="text1"/>
          <w:sz w:val="28"/>
        </w:rPr>
        <w:t>.</w:t>
      </w:r>
    </w:p>
    <w:p w:rsidR="00F32ED8" w:rsidRPr="00DE7CC4" w:rsidRDefault="00DE7CC4" w:rsidP="00F32ED8">
      <w:pPr>
        <w:pStyle w:val="Prrafodelista"/>
        <w:ind w:left="0" w:right="49"/>
        <w:jc w:val="both"/>
        <w:textAlignment w:val="baseline"/>
        <w:rPr>
          <w:rFonts w:ascii="Times New Roman" w:hAnsi="Times New Roman" w:cs="Times New Roman"/>
          <w:color w:val="000000" w:themeColor="text1"/>
          <w:sz w:val="28"/>
        </w:rPr>
      </w:pPr>
    </w:p>
    <w:p w:rsidR="00F32ED8" w:rsidRPr="00DE7CC4" w:rsidRDefault="00DE7CC4" w:rsidP="00F32ED8">
      <w:pPr>
        <w:pStyle w:val="Prrafodelista"/>
        <w:ind w:left="0" w:right="49"/>
        <w:jc w:val="both"/>
        <w:textAlignment w:val="baseline"/>
        <w:rPr>
          <w:rFonts w:ascii="Times New Roman" w:hAnsi="Times New Roman" w:cs="Times New Roman"/>
          <w:i/>
          <w:iCs/>
          <w:color w:val="000000" w:themeColor="text1"/>
          <w:sz w:val="28"/>
        </w:rPr>
      </w:pPr>
      <w:r w:rsidRPr="00DE7CC4">
        <w:rPr>
          <w:rFonts w:ascii="Times New Roman" w:hAnsi="Times New Roman" w:cs="Times New Roman"/>
          <w:color w:val="000000" w:themeColor="text1"/>
          <w:sz w:val="28"/>
        </w:rPr>
        <w:t>26. La</w:t>
      </w:r>
      <w:r w:rsidRPr="00DE7CC4">
        <w:rPr>
          <w:rFonts w:ascii="Times New Roman" w:hAnsi="Times New Roman" w:cs="Times New Roman"/>
          <w:i/>
          <w:iCs/>
          <w:color w:val="000000" w:themeColor="text1"/>
          <w:sz w:val="28"/>
        </w:rPr>
        <w:t xml:space="preserve"> Federación Co</w:t>
      </w:r>
      <w:r w:rsidRPr="00DE7CC4">
        <w:rPr>
          <w:rFonts w:ascii="Times New Roman" w:hAnsi="Times New Roman" w:cs="Times New Roman"/>
          <w:i/>
          <w:iCs/>
          <w:color w:val="000000" w:themeColor="text1"/>
          <w:sz w:val="28"/>
        </w:rPr>
        <w:t>lombiana de Municipios - Fedemunicipios</w:t>
      </w:r>
      <w:r w:rsidRPr="00DE7CC4">
        <w:rPr>
          <w:rFonts w:ascii="Times New Roman" w:hAnsi="Times New Roman" w:cs="Times New Roman"/>
          <w:color w:val="000000" w:themeColor="text1"/>
          <w:sz w:val="28"/>
        </w:rPr>
        <w:t>, a través de su Director ejecutivo</w:t>
      </w:r>
      <w:r w:rsidRPr="00DE7CC4">
        <w:rPr>
          <w:rStyle w:val="Refdenotaalpie"/>
          <w:rFonts w:ascii="Times New Roman" w:hAnsi="Times New Roman"/>
          <w:color w:val="000000" w:themeColor="text1"/>
          <w:sz w:val="28"/>
        </w:rPr>
        <w:footnoteReference w:id="39"/>
      </w:r>
      <w:r w:rsidRPr="00DE7CC4">
        <w:rPr>
          <w:rFonts w:ascii="Times New Roman" w:hAnsi="Times New Roman" w:cs="Times New Roman"/>
          <w:color w:val="000000" w:themeColor="text1"/>
          <w:sz w:val="28"/>
        </w:rPr>
        <w:t>, solicitó declarar la exequibilidad de la disposición demanda</w:t>
      </w:r>
      <w:r w:rsidRPr="00DE7CC4">
        <w:rPr>
          <w:rFonts w:ascii="Times New Roman" w:hAnsi="Times New Roman" w:cs="Times New Roman"/>
          <w:color w:val="000000" w:themeColor="text1"/>
          <w:sz w:val="28"/>
        </w:rPr>
        <w:t>da</w:t>
      </w:r>
      <w:r w:rsidRPr="00DE7CC4">
        <w:rPr>
          <w:rFonts w:ascii="Times New Roman" w:hAnsi="Times New Roman" w:cs="Times New Roman"/>
          <w:color w:val="000000" w:themeColor="text1"/>
          <w:sz w:val="28"/>
        </w:rPr>
        <w:t xml:space="preserve"> porque, contrario a lo que presupone la demanda, no existe un deber constitucional específico del Estado de recaudar</w:t>
      </w:r>
      <w:r w:rsidRPr="00DE7CC4">
        <w:rPr>
          <w:rFonts w:ascii="Times New Roman" w:hAnsi="Times New Roman" w:cs="Times New Roman"/>
          <w:color w:val="000000" w:themeColor="text1"/>
          <w:sz w:val="28"/>
        </w:rPr>
        <w:t xml:space="preserve"> pruebas en accidentes de tránsito que solo involucran daños materiales. A través de ejemplos que indicarían la generación de daños en un contexto de vecindad</w:t>
      </w:r>
      <w:r w:rsidRPr="00DE7CC4">
        <w:rPr>
          <w:rStyle w:val="Refdenotaalpie"/>
          <w:rFonts w:ascii="Times New Roman" w:hAnsi="Times New Roman"/>
          <w:color w:val="000000" w:themeColor="text1"/>
          <w:sz w:val="28"/>
        </w:rPr>
        <w:footnoteReference w:id="40"/>
      </w:r>
      <w:r w:rsidRPr="00DE7CC4">
        <w:rPr>
          <w:rFonts w:ascii="Times New Roman" w:hAnsi="Times New Roman" w:cs="Times New Roman"/>
          <w:color w:val="000000" w:themeColor="text1"/>
          <w:sz w:val="28"/>
        </w:rPr>
        <w:t xml:space="preserve">, el interviniente indicó que, si en esos casos el Estado no debe acudir para recolectar pruebas </w:t>
      </w:r>
      <w:r w:rsidRPr="00DE7CC4">
        <w:rPr>
          <w:rFonts w:ascii="Times New Roman" w:hAnsi="Times New Roman" w:cs="Times New Roman"/>
          <w:color w:val="000000" w:themeColor="text1"/>
          <w:sz w:val="28"/>
        </w:rPr>
        <w:t>y contribuir en un escenario de reclamación de responsabilidad civil extracontractual, no existe razón para hacerlo en los supuestos de tránsito a los que se refiere la disposición demandada, pues, en uno y otro evento los afectados tienen la posibilidad d</w:t>
      </w:r>
      <w:r w:rsidRPr="00DE7CC4">
        <w:rPr>
          <w:rFonts w:ascii="Times New Roman" w:hAnsi="Times New Roman" w:cs="Times New Roman"/>
          <w:color w:val="000000" w:themeColor="text1"/>
          <w:sz w:val="28"/>
        </w:rPr>
        <w:t>e obtener un arreglo amigable o de acudir a un centro de conciliación. Cuestionó la creencia ciudadana sobre la función de los agentes de tránsito en accidentes, aclarando que su objetivo principal es determinar si se incurrió en alguna infracción de tráns</w:t>
      </w:r>
      <w:r w:rsidRPr="00DE7CC4">
        <w:rPr>
          <w:rFonts w:ascii="Times New Roman" w:hAnsi="Times New Roman" w:cs="Times New Roman"/>
          <w:color w:val="000000" w:themeColor="text1"/>
          <w:sz w:val="28"/>
        </w:rPr>
        <w:t>ito para impulsar el procedimiento contravencional correspondiente, y no en recaudar pruebas para eventuales conflictos civiles. En este sentido, precisó que:</w:t>
      </w:r>
    </w:p>
    <w:p w:rsidR="00F32ED8" w:rsidRPr="00DE7CC4" w:rsidRDefault="00DE7CC4" w:rsidP="00F32ED8">
      <w:pPr>
        <w:pStyle w:val="Prrafodelista"/>
        <w:ind w:left="0" w:right="49"/>
        <w:jc w:val="both"/>
        <w:textAlignment w:val="baseline"/>
        <w:rPr>
          <w:rFonts w:ascii="Times New Roman" w:hAnsi="Times New Roman" w:cs="Times New Roman"/>
          <w:i/>
          <w:iCs/>
          <w:color w:val="000000" w:themeColor="text1"/>
          <w:sz w:val="28"/>
        </w:rPr>
      </w:pPr>
    </w:p>
    <w:p w:rsidR="00F32ED8" w:rsidRPr="00DE7CC4" w:rsidRDefault="00DE7CC4" w:rsidP="00F32ED8">
      <w:pPr>
        <w:pStyle w:val="Prrafodelista"/>
        <w:ind w:left="567" w:right="333"/>
        <w:jc w:val="both"/>
        <w:textAlignment w:val="baseline"/>
        <w:rPr>
          <w:rFonts w:ascii="Times New Roman" w:hAnsi="Times New Roman" w:cs="Times New Roman"/>
          <w:color w:val="000000" w:themeColor="text1"/>
          <w:sz w:val="28"/>
        </w:rPr>
      </w:pPr>
      <w:r w:rsidRPr="00DE7CC4">
        <w:rPr>
          <w:rFonts w:ascii="Times New Roman" w:hAnsi="Times New Roman" w:cs="Times New Roman"/>
          <w:color w:val="000000" w:themeColor="text1"/>
          <w:sz w:val="28"/>
        </w:rPr>
        <w:t>“[l]a norma original de la Ley 769 de 2002 [no] exigía el retiro inmediato de los vehículos, y d</w:t>
      </w:r>
      <w:r w:rsidRPr="00DE7CC4">
        <w:rPr>
          <w:rFonts w:ascii="Times New Roman" w:hAnsi="Times New Roman" w:cs="Times New Roman"/>
          <w:color w:val="000000" w:themeColor="text1"/>
          <w:sz w:val="28"/>
        </w:rPr>
        <w:t xml:space="preserve">e su lectura de ninguna manera fluye que el propósito de la presencia en el lugar de las autoridades fuera el de acopiar prueba de carácter técnico, ni de que el informe policial que se levantara tuviera un valor probatorio especial (…). Como puede verse, </w:t>
      </w:r>
      <w:r w:rsidRPr="00DE7CC4">
        <w:rPr>
          <w:rFonts w:ascii="Times New Roman" w:hAnsi="Times New Roman" w:cs="Times New Roman"/>
          <w:color w:val="000000" w:themeColor="text1"/>
          <w:sz w:val="28"/>
        </w:rPr>
        <w:t>ni siquiera se trata de que los agentes de tránsito presentes en el lugar sean los llamados a emitir concepto alguno, en el sitio de los hechos sino que se alude a “las autoridades de tránsito”, y su concepto técnico lo emitirán en audiencia”</w:t>
      </w:r>
      <w:r w:rsidRPr="00DE7CC4">
        <w:rPr>
          <w:rStyle w:val="Refdenotaalpie"/>
          <w:rFonts w:ascii="Times New Roman" w:hAnsi="Times New Roman"/>
          <w:color w:val="000000" w:themeColor="text1"/>
          <w:sz w:val="28"/>
        </w:rPr>
        <w:footnoteReference w:id="41"/>
      </w:r>
      <w:r w:rsidRPr="00DE7CC4">
        <w:rPr>
          <w:rFonts w:ascii="Times New Roman" w:hAnsi="Times New Roman" w:cs="Times New Roman"/>
          <w:color w:val="000000" w:themeColor="text1"/>
          <w:sz w:val="28"/>
        </w:rPr>
        <w:t>.</w:t>
      </w:r>
    </w:p>
    <w:p w:rsidR="00F32ED8" w:rsidRPr="00DE7CC4" w:rsidRDefault="00DE7CC4" w:rsidP="00F32ED8">
      <w:pPr>
        <w:pStyle w:val="Prrafodelista"/>
        <w:ind w:left="0" w:right="49"/>
        <w:jc w:val="both"/>
        <w:textAlignment w:val="baseline"/>
        <w:rPr>
          <w:rFonts w:ascii="Times New Roman" w:hAnsi="Times New Roman" w:cs="Times New Roman"/>
          <w:i/>
          <w:iCs/>
          <w:color w:val="000000" w:themeColor="text1"/>
          <w:sz w:val="28"/>
        </w:rPr>
      </w:pPr>
    </w:p>
    <w:p w:rsidR="00F32ED8" w:rsidRPr="00DE7CC4" w:rsidRDefault="00DE7CC4" w:rsidP="00F32ED8">
      <w:pPr>
        <w:pStyle w:val="Prrafodelista"/>
        <w:ind w:left="0" w:right="49"/>
        <w:jc w:val="both"/>
        <w:textAlignment w:val="baseline"/>
        <w:rPr>
          <w:rFonts w:ascii="Times New Roman" w:hAnsi="Times New Roman" w:cs="Times New Roman"/>
          <w:i/>
          <w:iCs/>
          <w:color w:val="000000" w:themeColor="text1"/>
          <w:sz w:val="28"/>
        </w:rPr>
      </w:pPr>
      <w:r w:rsidRPr="00DE7CC4">
        <w:rPr>
          <w:rFonts w:ascii="Times New Roman" w:hAnsi="Times New Roman" w:cs="Times New Roman"/>
          <w:i/>
          <w:iCs/>
          <w:color w:val="000000" w:themeColor="text1"/>
          <w:sz w:val="28"/>
        </w:rPr>
        <w:tab/>
        <w:t>Intervenc</w:t>
      </w:r>
      <w:r w:rsidRPr="00DE7CC4">
        <w:rPr>
          <w:rFonts w:ascii="Times New Roman" w:hAnsi="Times New Roman" w:cs="Times New Roman"/>
          <w:i/>
          <w:iCs/>
          <w:color w:val="000000" w:themeColor="text1"/>
          <w:sz w:val="28"/>
        </w:rPr>
        <w:t>iones y conceptos con petición de inexequibilidad</w:t>
      </w:r>
    </w:p>
    <w:p w:rsidR="00F32ED8" w:rsidRPr="00DE7CC4" w:rsidRDefault="00DE7CC4" w:rsidP="00F32ED8">
      <w:pPr>
        <w:pStyle w:val="Prrafodelista"/>
        <w:ind w:left="0" w:right="49"/>
        <w:jc w:val="both"/>
        <w:textAlignment w:val="baseline"/>
        <w:rPr>
          <w:rFonts w:ascii="Times New Roman" w:hAnsi="Times New Roman" w:cs="Times New Roman"/>
          <w:color w:val="000000" w:themeColor="text1"/>
          <w:sz w:val="28"/>
        </w:rPr>
      </w:pPr>
    </w:p>
    <w:p w:rsidR="00F32ED8" w:rsidRPr="00DE7CC4" w:rsidRDefault="00DE7CC4" w:rsidP="00F32ED8">
      <w:pPr>
        <w:pStyle w:val="Prrafodelista"/>
        <w:ind w:left="0" w:right="49"/>
        <w:jc w:val="both"/>
        <w:textAlignment w:val="baseline"/>
        <w:rPr>
          <w:rFonts w:ascii="Times New Roman" w:hAnsi="Times New Roman" w:cs="Times New Roman"/>
          <w:color w:val="000000" w:themeColor="text1"/>
          <w:sz w:val="28"/>
        </w:rPr>
      </w:pPr>
      <w:r w:rsidRPr="00DE7CC4">
        <w:rPr>
          <w:rFonts w:ascii="Times New Roman" w:hAnsi="Times New Roman" w:cs="Times New Roman"/>
          <w:color w:val="000000" w:themeColor="text1"/>
          <w:sz w:val="28"/>
          <w:bdr w:val="none" w:sz="0" w:space="0" w:color="auto" w:frame="1"/>
          <w:lang w:eastAsia="es-ES"/>
        </w:rPr>
        <w:t>27</w:t>
      </w:r>
      <w:r w:rsidRPr="00DE7CC4">
        <w:rPr>
          <w:rFonts w:ascii="Times New Roman" w:hAnsi="Times New Roman" w:cs="Times New Roman"/>
          <w:i/>
          <w:iCs/>
          <w:color w:val="000000" w:themeColor="text1"/>
          <w:sz w:val="28"/>
          <w:bdr w:val="none" w:sz="0" w:space="0" w:color="auto" w:frame="1"/>
          <w:lang w:eastAsia="es-ES"/>
        </w:rPr>
        <w:t>. Paul Esteban Hernández y Diana Patricia Posada Virgen</w:t>
      </w:r>
      <w:r w:rsidRPr="00DE7CC4">
        <w:rPr>
          <w:rFonts w:ascii="Times New Roman" w:hAnsi="Times New Roman" w:cs="Times New Roman"/>
          <w:color w:val="000000" w:themeColor="text1"/>
          <w:sz w:val="28"/>
          <w:bdr w:val="none" w:sz="0" w:space="0" w:color="auto" w:frame="1"/>
          <w:lang w:eastAsia="es-ES"/>
        </w:rPr>
        <w:t xml:space="preserve"> coadyuvaron la acción constitucional contra el artículo 16 de la Ley 2251 de 2022, por lo cual solicitaron declarar su inconstitucionalidad y, en c</w:t>
      </w:r>
      <w:r w:rsidRPr="00DE7CC4">
        <w:rPr>
          <w:rFonts w:ascii="Times New Roman" w:hAnsi="Times New Roman" w:cs="Times New Roman"/>
          <w:color w:val="000000" w:themeColor="text1"/>
          <w:sz w:val="28"/>
          <w:bdr w:val="none" w:sz="0" w:space="0" w:color="auto" w:frame="1"/>
          <w:lang w:eastAsia="es-ES"/>
        </w:rPr>
        <w:t xml:space="preserve">onsecuencia, </w:t>
      </w:r>
      <w:r w:rsidRPr="00DE7CC4">
        <w:rPr>
          <w:rFonts w:ascii="Times New Roman" w:hAnsi="Times New Roman" w:cs="Times New Roman"/>
          <w:color w:val="000000" w:themeColor="text1"/>
          <w:sz w:val="28"/>
        </w:rPr>
        <w:t>ordenar al Congreso de la República que, como garantía del derecho colectivo a la seguridad pública y a la seguridad jurídica, “derogue el articulo 16 de la ley 2551 de 2022 o se reglamente de otra manera”, para que “las autoridades puedan int</w:t>
      </w:r>
      <w:r w:rsidRPr="00DE7CC4">
        <w:rPr>
          <w:rFonts w:ascii="Times New Roman" w:hAnsi="Times New Roman" w:cs="Times New Roman"/>
          <w:color w:val="000000" w:themeColor="text1"/>
          <w:sz w:val="28"/>
        </w:rPr>
        <w:t>ervenir, realizar IPAT, multas, audiencias y contradicción de las infracciones como viene existiendo actualmente en muchos lugares del país”</w:t>
      </w:r>
      <w:r w:rsidRPr="00DE7CC4">
        <w:rPr>
          <w:rFonts w:ascii="Times New Roman" w:hAnsi="Times New Roman" w:cs="Times New Roman"/>
          <w:i/>
          <w:iCs/>
          <w:color w:val="000000" w:themeColor="text1"/>
          <w:sz w:val="28"/>
        </w:rPr>
        <w:t xml:space="preserve"> </w:t>
      </w:r>
      <w:r w:rsidRPr="00DE7CC4">
        <w:rPr>
          <w:rFonts w:ascii="Times New Roman" w:hAnsi="Times New Roman" w:cs="Times New Roman"/>
          <w:color w:val="000000" w:themeColor="text1"/>
          <w:sz w:val="28"/>
        </w:rPr>
        <w:t>y, además, que evite el mismo error en la comisión de reforma al Código Nacional de Tránsito. Asimismo, pidieron qu</w:t>
      </w:r>
      <w:r w:rsidRPr="00DE7CC4">
        <w:rPr>
          <w:rFonts w:ascii="Times New Roman" w:hAnsi="Times New Roman" w:cs="Times New Roman"/>
          <w:color w:val="000000" w:themeColor="text1"/>
          <w:sz w:val="28"/>
        </w:rPr>
        <w:t>e se ordene al Ministerio de Transporte que reglamente la ley respectiva, “en el entendido de que las autoridades puedan intervenir en los procedimientos, imponer sanciones, multas, realizar IPATS y garantizar el debido proceso para poder acceder a otras a</w:t>
      </w:r>
      <w:r w:rsidRPr="00DE7CC4">
        <w:rPr>
          <w:rFonts w:ascii="Times New Roman" w:hAnsi="Times New Roman" w:cs="Times New Roman"/>
          <w:color w:val="000000" w:themeColor="text1"/>
          <w:sz w:val="28"/>
        </w:rPr>
        <w:t>utoridades o estamentos”.</w:t>
      </w:r>
    </w:p>
    <w:p w:rsidR="00F32ED8" w:rsidRPr="00DE7CC4" w:rsidRDefault="00DE7CC4" w:rsidP="00F32ED8">
      <w:pPr>
        <w:pStyle w:val="Prrafodelista"/>
        <w:ind w:left="0" w:right="49"/>
        <w:jc w:val="both"/>
        <w:textAlignment w:val="baseline"/>
        <w:rPr>
          <w:rFonts w:ascii="Times New Roman" w:hAnsi="Times New Roman" w:cs="Times New Roman"/>
          <w:color w:val="000000" w:themeColor="text1"/>
          <w:sz w:val="28"/>
        </w:rPr>
      </w:pPr>
    </w:p>
    <w:p w:rsidR="00F32ED8" w:rsidRPr="00DE7CC4" w:rsidRDefault="00DE7CC4" w:rsidP="00F32ED8">
      <w:pPr>
        <w:pStyle w:val="Prrafodelista"/>
        <w:ind w:left="0"/>
        <w:jc w:val="both"/>
        <w:rPr>
          <w:rFonts w:ascii="Times New Roman" w:hAnsi="Times New Roman" w:cs="Times New Roman"/>
          <w:color w:val="000000" w:themeColor="text1"/>
          <w:sz w:val="28"/>
        </w:rPr>
      </w:pPr>
      <w:r w:rsidRPr="00DE7CC4">
        <w:rPr>
          <w:rFonts w:ascii="Times New Roman" w:hAnsi="Times New Roman" w:cs="Times New Roman"/>
          <w:color w:val="000000" w:themeColor="text1"/>
          <w:sz w:val="28"/>
        </w:rPr>
        <w:t xml:space="preserve">28. Indicaron que el artículo cuestionado, que aborda el manejo de choques simples en tránsito, no sigue los mandados de la Constitución ni atiende al interés superior de protección a las personas, centrando su enfoque en la </w:t>
      </w:r>
      <w:r w:rsidRPr="00DE7CC4">
        <w:rPr>
          <w:rFonts w:ascii="Times New Roman" w:hAnsi="Times New Roman" w:cs="Times New Roman"/>
          <w:color w:val="000000" w:themeColor="text1"/>
          <w:sz w:val="28"/>
        </w:rPr>
        <w:t>descongestión vial. En particular, consideraron que la regulación cuestionada quebranta la seguridad jurídica y pública pues, por un lado, las normas de movilidad que provocan el inicio de procedimientos administrativos sancionatorios y, de esta forma, cum</w:t>
      </w:r>
      <w:r w:rsidRPr="00DE7CC4">
        <w:rPr>
          <w:rFonts w:ascii="Times New Roman" w:hAnsi="Times New Roman" w:cs="Times New Roman"/>
          <w:color w:val="000000" w:themeColor="text1"/>
          <w:sz w:val="28"/>
        </w:rPr>
        <w:t>plen su sentido de prevención general y especial, quedan prácticamente derogadas en tanto los choques no se tramitan por vías legales y, por otro lado, promueve una mayor conflictividad en las vías, “ya que la gente no tiene la cultura para solucionar conf</w:t>
      </w:r>
      <w:r w:rsidRPr="00DE7CC4">
        <w:rPr>
          <w:rFonts w:ascii="Times New Roman" w:hAnsi="Times New Roman" w:cs="Times New Roman"/>
          <w:color w:val="000000" w:themeColor="text1"/>
          <w:sz w:val="28"/>
        </w:rPr>
        <w:t>lictos de movilidad pacíficamente, generándose violencia”</w:t>
      </w:r>
      <w:r w:rsidRPr="00DE7CC4">
        <w:rPr>
          <w:rStyle w:val="Refdenotaalpie"/>
          <w:rFonts w:ascii="Times New Roman" w:hAnsi="Times New Roman"/>
          <w:color w:val="000000" w:themeColor="text1"/>
          <w:sz w:val="28"/>
        </w:rPr>
        <w:footnoteReference w:id="42"/>
      </w:r>
      <w:r w:rsidRPr="00DE7CC4">
        <w:rPr>
          <w:rFonts w:ascii="Times New Roman" w:hAnsi="Times New Roman" w:cs="Times New Roman"/>
          <w:color w:val="000000" w:themeColor="text1"/>
          <w:sz w:val="28"/>
        </w:rPr>
        <w:t>.</w:t>
      </w:r>
      <w:r w:rsidRPr="00DE7CC4">
        <w:rPr>
          <w:rFonts w:ascii="Times New Roman" w:hAnsi="Times New Roman" w:cs="Times New Roman"/>
          <w:i/>
          <w:iCs/>
          <w:color w:val="000000" w:themeColor="text1"/>
          <w:sz w:val="28"/>
        </w:rPr>
        <w:t xml:space="preserve"> </w:t>
      </w:r>
      <w:r w:rsidRPr="00DE7CC4">
        <w:rPr>
          <w:rFonts w:ascii="Times New Roman" w:hAnsi="Times New Roman" w:cs="Times New Roman"/>
          <w:iCs/>
          <w:color w:val="000000" w:themeColor="text1"/>
          <w:sz w:val="28"/>
        </w:rPr>
        <w:t>Finalmente, afirmaron que los municipios se están quedando sin una forma de recaudo en materia de multas y sanciones, lo que desconoce la multiculturalidad y la autonomía de las regiones.</w:t>
      </w:r>
    </w:p>
    <w:bookmarkEnd w:id="10"/>
    <w:p w:rsidR="00F32ED8" w:rsidRPr="00DE7CC4" w:rsidRDefault="00DE7CC4" w:rsidP="00F32ED8">
      <w:pPr>
        <w:pStyle w:val="Prrafodelista"/>
        <w:ind w:left="0" w:right="49"/>
        <w:jc w:val="both"/>
        <w:textAlignment w:val="baseline"/>
        <w:rPr>
          <w:rFonts w:ascii="Times New Roman" w:hAnsi="Times New Roman" w:cs="Times New Roman"/>
          <w:color w:val="000000" w:themeColor="text1"/>
          <w:sz w:val="28"/>
        </w:rPr>
      </w:pPr>
    </w:p>
    <w:p w:rsidR="00F32ED8" w:rsidRPr="00DE7CC4" w:rsidRDefault="00DE7CC4" w:rsidP="00F32ED8">
      <w:pPr>
        <w:pStyle w:val="Prrafodelista"/>
        <w:spacing w:before="100" w:beforeAutospacing="1" w:after="100" w:afterAutospacing="1"/>
        <w:ind w:left="0"/>
        <w:jc w:val="both"/>
        <w:rPr>
          <w:rFonts w:ascii="Times New Roman" w:hAnsi="Times New Roman" w:cs="Times New Roman"/>
          <w:color w:val="000000" w:themeColor="text1"/>
          <w:sz w:val="28"/>
        </w:rPr>
      </w:pPr>
      <w:r w:rsidRPr="00DE7CC4">
        <w:rPr>
          <w:rFonts w:ascii="Times New Roman" w:hAnsi="Times New Roman" w:cs="Times New Roman"/>
          <w:color w:val="000000" w:themeColor="text1"/>
          <w:sz w:val="28"/>
        </w:rPr>
        <w:t>29</w:t>
      </w:r>
      <w:r w:rsidRPr="00DE7CC4">
        <w:rPr>
          <w:rFonts w:ascii="Times New Roman" w:hAnsi="Times New Roman" w:cs="Times New Roman"/>
          <w:i/>
          <w:iCs/>
          <w:color w:val="000000" w:themeColor="text1"/>
          <w:sz w:val="28"/>
        </w:rPr>
        <w:t xml:space="preserve">. </w:t>
      </w:r>
      <w:r w:rsidRPr="00DE7CC4">
        <w:rPr>
          <w:rFonts w:ascii="Times New Roman" w:hAnsi="Times New Roman" w:cs="Times New Roman"/>
          <w:i/>
          <w:iCs/>
          <w:color w:val="000000" w:themeColor="text1"/>
          <w:sz w:val="28"/>
        </w:rPr>
        <w:t>Viviana Patricia Gómez Galeano y Mauricio Gómez Galeano</w:t>
      </w:r>
      <w:r w:rsidRPr="00DE7CC4">
        <w:rPr>
          <w:rFonts w:ascii="Times New Roman" w:hAnsi="Times New Roman" w:cs="Times New Roman"/>
          <w:color w:val="000000" w:themeColor="text1"/>
          <w:sz w:val="28"/>
        </w:rPr>
        <w:t xml:space="preserve"> coadyuvaron la demanda. Sostuvieron que la norma que se cuestiona crea un desequilibrio en las cargas públicas al asignar a los ciudadanos, incluso de forma transitoria, facultades de policía judicial</w:t>
      </w:r>
      <w:r w:rsidRPr="00DE7CC4">
        <w:rPr>
          <w:rFonts w:ascii="Times New Roman" w:hAnsi="Times New Roman" w:cs="Times New Roman"/>
          <w:color w:val="000000" w:themeColor="text1"/>
          <w:sz w:val="28"/>
        </w:rPr>
        <w:t xml:space="preserve"> en el contexto de daños materiales en accidentes de tránsito. Según los intervinientes, los ciudadanos carecen del conocimiento técnico y de la investidura legal necesaria para recolectar pruebas en temas de infracciones de tránsito, por lo que no pueden </w:t>
      </w:r>
      <w:r w:rsidRPr="00DE7CC4">
        <w:rPr>
          <w:rFonts w:ascii="Times New Roman" w:hAnsi="Times New Roman" w:cs="Times New Roman"/>
          <w:color w:val="000000" w:themeColor="text1"/>
          <w:sz w:val="28"/>
        </w:rPr>
        <w:t>“suplantar el IPAT o informe policial de accidentes de tránsito y mucho menos las audiencias y los fallos contravencionales”</w:t>
      </w:r>
      <w:r w:rsidRPr="00DE7CC4">
        <w:rPr>
          <w:rStyle w:val="Refdenotaalpie"/>
          <w:rFonts w:ascii="Times New Roman" w:hAnsi="Times New Roman"/>
          <w:color w:val="000000" w:themeColor="text1"/>
          <w:sz w:val="28"/>
        </w:rPr>
        <w:footnoteReference w:id="43"/>
      </w:r>
      <w:r w:rsidRPr="00DE7CC4">
        <w:rPr>
          <w:rFonts w:ascii="Times New Roman" w:hAnsi="Times New Roman" w:cs="Times New Roman"/>
          <w:color w:val="000000" w:themeColor="text1"/>
          <w:sz w:val="28"/>
        </w:rPr>
        <w:t>. Dejar esta carga en manos de los ciudadanos, continuaron, es peligroso y desigual, y desplaza el rol y la actividad de las autori</w:t>
      </w:r>
      <w:r w:rsidRPr="00DE7CC4">
        <w:rPr>
          <w:rFonts w:ascii="Times New Roman" w:hAnsi="Times New Roman" w:cs="Times New Roman"/>
          <w:color w:val="000000" w:themeColor="text1"/>
          <w:sz w:val="28"/>
        </w:rPr>
        <w:t>dades de la República. Agregaron que detrás de cada choque simple hay una violación de alguna norma de tránsito, y por lo tanto, nunca puede existir un choque simple sin que un participante haya violado al menos una norma de movilidad. Por estas razones, c</w:t>
      </w:r>
      <w:r w:rsidRPr="00DE7CC4">
        <w:rPr>
          <w:rFonts w:ascii="Times New Roman" w:hAnsi="Times New Roman" w:cs="Times New Roman"/>
          <w:color w:val="000000" w:themeColor="text1"/>
          <w:sz w:val="28"/>
        </w:rPr>
        <w:t>onsideran que se debe decretar la inexequibilidad de la norma. Además, solicitaron como medida cautelar la suspensión de la norma acusada, mientras se decide el fondo del asunto, para evitar un perjuicio irremediable en la estabilidad social y la seguridad</w:t>
      </w:r>
      <w:r w:rsidRPr="00DE7CC4">
        <w:rPr>
          <w:rFonts w:ascii="Times New Roman" w:hAnsi="Times New Roman" w:cs="Times New Roman"/>
          <w:color w:val="000000" w:themeColor="text1"/>
          <w:sz w:val="28"/>
        </w:rPr>
        <w:t xml:space="preserve"> jurídica; al respecto, argumentaron que la falta de informes por parte de las autoridades en choques simples está generando focos de violencia.</w:t>
      </w:r>
    </w:p>
    <w:p w:rsidR="00F32ED8" w:rsidRPr="00DE7CC4" w:rsidRDefault="00DE7CC4" w:rsidP="00F32ED8">
      <w:pPr>
        <w:pStyle w:val="Prrafodelista"/>
        <w:spacing w:before="100" w:beforeAutospacing="1" w:after="100" w:afterAutospacing="1"/>
        <w:ind w:left="0"/>
        <w:jc w:val="both"/>
        <w:rPr>
          <w:rFonts w:ascii="Times New Roman" w:hAnsi="Times New Roman" w:cs="Times New Roman"/>
          <w:color w:val="000000" w:themeColor="text1"/>
          <w:sz w:val="28"/>
        </w:rPr>
      </w:pPr>
    </w:p>
    <w:p w:rsidR="00F32ED8" w:rsidRPr="00DE7CC4" w:rsidRDefault="00DE7CC4" w:rsidP="00F32ED8">
      <w:pPr>
        <w:pStyle w:val="Prrafodelista"/>
        <w:ind w:left="0" w:right="49"/>
        <w:jc w:val="both"/>
        <w:textAlignment w:val="baseline"/>
        <w:rPr>
          <w:rFonts w:ascii="Times New Roman" w:hAnsi="Times New Roman" w:cs="Times New Roman"/>
          <w:color w:val="000000" w:themeColor="text1"/>
          <w:sz w:val="28"/>
        </w:rPr>
      </w:pPr>
      <w:r w:rsidRPr="00DE7CC4">
        <w:rPr>
          <w:rFonts w:ascii="Times New Roman" w:hAnsi="Times New Roman" w:cs="Times New Roman"/>
          <w:color w:val="000000" w:themeColor="text1"/>
          <w:sz w:val="28"/>
        </w:rPr>
        <w:t xml:space="preserve">30. </w:t>
      </w:r>
      <w:r w:rsidRPr="00DE7CC4">
        <w:rPr>
          <w:rFonts w:ascii="Times New Roman" w:hAnsi="Times New Roman" w:cs="Times New Roman"/>
          <w:i/>
          <w:iCs/>
          <w:color w:val="000000" w:themeColor="text1"/>
          <w:sz w:val="28"/>
        </w:rPr>
        <w:t>Integrantes del área de Derecho Público del Consultorio Jurídico</w:t>
      </w:r>
      <w:r w:rsidRPr="00DE7CC4">
        <w:rPr>
          <w:rStyle w:val="Refdenotaalpie"/>
          <w:rFonts w:ascii="Times New Roman" w:hAnsi="Times New Roman"/>
          <w:i/>
          <w:iCs/>
          <w:color w:val="000000" w:themeColor="text1"/>
          <w:sz w:val="28"/>
        </w:rPr>
        <w:footnoteReference w:id="44"/>
      </w:r>
      <w:r w:rsidRPr="00DE7CC4">
        <w:rPr>
          <w:rFonts w:ascii="Times New Roman" w:hAnsi="Times New Roman" w:cs="Times New Roman"/>
          <w:i/>
          <w:iCs/>
          <w:color w:val="000000" w:themeColor="text1"/>
          <w:sz w:val="28"/>
        </w:rPr>
        <w:t xml:space="preserve"> de la Universidad de los Andes</w:t>
      </w:r>
      <w:r w:rsidRPr="00DE7CC4">
        <w:rPr>
          <w:rFonts w:ascii="Times New Roman" w:hAnsi="Times New Roman" w:cs="Times New Roman"/>
          <w:color w:val="000000" w:themeColor="text1"/>
          <w:sz w:val="28"/>
        </w:rPr>
        <w:t xml:space="preserve"> solicitar</w:t>
      </w:r>
      <w:r w:rsidRPr="00DE7CC4">
        <w:rPr>
          <w:rFonts w:ascii="Times New Roman" w:hAnsi="Times New Roman" w:cs="Times New Roman"/>
          <w:color w:val="000000" w:themeColor="text1"/>
          <w:sz w:val="28"/>
        </w:rPr>
        <w:t>on declarar la inexequibilidad de la norma demandada, por desconocer los principios de proporcionalidad,  no regresividad y acceso a la administración de justicia; o, en su defecto, declarar la exequibilidad condicionada, el entendido de que el verbo “reca</w:t>
      </w:r>
      <w:r w:rsidRPr="00DE7CC4">
        <w:rPr>
          <w:rFonts w:ascii="Times New Roman" w:hAnsi="Times New Roman" w:cs="Times New Roman"/>
          <w:color w:val="000000" w:themeColor="text1"/>
          <w:sz w:val="28"/>
        </w:rPr>
        <w:t>udará” es facultativo, esto permitiría que “en caso de requerir[se] por parte de alguno de los implicados la presencia de la policía, estos lo puedan hacer; sobre todo cuando alguna de las partes no tiene dentro de su alcance la posibilidad de recolectar l</w:t>
      </w:r>
      <w:r w:rsidRPr="00DE7CC4">
        <w:rPr>
          <w:rFonts w:ascii="Times New Roman" w:hAnsi="Times New Roman" w:cs="Times New Roman"/>
          <w:color w:val="000000" w:themeColor="text1"/>
          <w:sz w:val="28"/>
        </w:rPr>
        <w:t>as pruebas por falta de un medio técnico o tecnológico”</w:t>
      </w:r>
      <w:r w:rsidRPr="00DE7CC4">
        <w:rPr>
          <w:rStyle w:val="Refdenotaalpie"/>
          <w:rFonts w:ascii="Times New Roman" w:hAnsi="Times New Roman"/>
          <w:color w:val="000000" w:themeColor="text1"/>
          <w:sz w:val="28"/>
        </w:rPr>
        <w:footnoteReference w:id="45"/>
      </w:r>
      <w:r w:rsidRPr="00DE7CC4">
        <w:rPr>
          <w:rFonts w:ascii="Times New Roman" w:hAnsi="Times New Roman" w:cs="Times New Roman"/>
          <w:color w:val="000000" w:themeColor="text1"/>
          <w:sz w:val="28"/>
        </w:rPr>
        <w:t>.</w:t>
      </w:r>
    </w:p>
    <w:p w:rsidR="00F32ED8" w:rsidRPr="00DE7CC4" w:rsidRDefault="00DE7CC4" w:rsidP="00F32ED8">
      <w:pPr>
        <w:pStyle w:val="Prrafodelista"/>
        <w:ind w:left="0" w:right="49"/>
        <w:jc w:val="both"/>
        <w:textAlignment w:val="baseline"/>
        <w:rPr>
          <w:rFonts w:ascii="Times New Roman" w:hAnsi="Times New Roman" w:cs="Times New Roman"/>
          <w:color w:val="000000" w:themeColor="text1"/>
          <w:sz w:val="28"/>
        </w:rPr>
      </w:pPr>
    </w:p>
    <w:p w:rsidR="00F32ED8" w:rsidRPr="00DE7CC4" w:rsidRDefault="00DE7CC4" w:rsidP="00F32ED8">
      <w:pPr>
        <w:pStyle w:val="Prrafodelista"/>
        <w:ind w:left="0" w:right="49"/>
        <w:jc w:val="both"/>
        <w:textAlignment w:val="baseline"/>
        <w:rPr>
          <w:rFonts w:ascii="Times New Roman" w:hAnsi="Times New Roman" w:cs="Times New Roman"/>
          <w:color w:val="000000" w:themeColor="text1"/>
          <w:sz w:val="28"/>
        </w:rPr>
      </w:pPr>
      <w:r w:rsidRPr="00DE7CC4">
        <w:rPr>
          <w:rFonts w:ascii="Times New Roman" w:hAnsi="Times New Roman" w:cs="Times New Roman"/>
          <w:color w:val="000000" w:themeColor="text1"/>
          <w:sz w:val="28"/>
        </w:rPr>
        <w:t>31. Los intervinientes indicaron que, con la disposición demandada, se traslada la carga de la prueba de las autoridades de tránsito, quienes contaban con la preparación debida, a los particulares.</w:t>
      </w:r>
      <w:r w:rsidRPr="00DE7CC4">
        <w:rPr>
          <w:rFonts w:ascii="Times New Roman" w:hAnsi="Times New Roman" w:cs="Times New Roman"/>
          <w:color w:val="000000" w:themeColor="text1"/>
          <w:sz w:val="28"/>
        </w:rPr>
        <w:t xml:space="preserve"> Este cambio, indicaron, viola el principio de no regresividad en la protección de los derechos económicos, sociales y culturales</w:t>
      </w:r>
      <w:r w:rsidRPr="00DE7CC4">
        <w:rPr>
          <w:rStyle w:val="Refdenotaalpie"/>
          <w:rFonts w:ascii="Times New Roman" w:hAnsi="Times New Roman"/>
          <w:color w:val="000000" w:themeColor="text1"/>
          <w:sz w:val="28"/>
        </w:rPr>
        <w:footnoteReference w:id="46"/>
      </w:r>
      <w:r w:rsidRPr="00DE7CC4">
        <w:rPr>
          <w:rFonts w:ascii="Times New Roman" w:hAnsi="Times New Roman" w:cs="Times New Roman"/>
          <w:color w:val="000000" w:themeColor="text1"/>
          <w:sz w:val="28"/>
        </w:rPr>
        <w:t xml:space="preserve">, porque “empeora las condiciones existentes de protección de las personas afectadas por el acaecimiento de siniestros viales </w:t>
      </w:r>
      <w:r w:rsidRPr="00DE7CC4">
        <w:rPr>
          <w:rFonts w:ascii="Times New Roman" w:hAnsi="Times New Roman" w:cs="Times New Roman"/>
          <w:color w:val="000000" w:themeColor="text1"/>
          <w:sz w:val="28"/>
        </w:rPr>
        <w:t>que involucren solamente daños materiales, ya que esta alternativa no resulta ser proporcional atendiendo a las afectaciones a las que conlleva tal imposición de la obligación del recaudo probatorio en cabeza de los involucrados, y también porque la dispos</w:t>
      </w:r>
      <w:r w:rsidRPr="00DE7CC4">
        <w:rPr>
          <w:rFonts w:ascii="Times New Roman" w:hAnsi="Times New Roman" w:cs="Times New Roman"/>
          <w:color w:val="000000" w:themeColor="text1"/>
          <w:sz w:val="28"/>
        </w:rPr>
        <w:t>ición subrogada configuraba una alternativa menos lesiva y más garantista de los derechos fundamentales”</w:t>
      </w:r>
      <w:r w:rsidRPr="00DE7CC4">
        <w:rPr>
          <w:rStyle w:val="Refdenotaalpie"/>
          <w:rFonts w:ascii="Times New Roman" w:hAnsi="Times New Roman"/>
          <w:color w:val="000000" w:themeColor="text1"/>
          <w:sz w:val="28"/>
        </w:rPr>
        <w:footnoteReference w:id="47"/>
      </w:r>
      <w:r w:rsidRPr="00DE7CC4">
        <w:rPr>
          <w:rFonts w:ascii="Times New Roman" w:hAnsi="Times New Roman" w:cs="Times New Roman"/>
          <w:color w:val="000000" w:themeColor="text1"/>
          <w:sz w:val="28"/>
        </w:rPr>
        <w:t xml:space="preserve">. Aunado a lo anterior, señalaron que viola </w:t>
      </w:r>
      <w:r w:rsidRPr="00DE7CC4">
        <w:rPr>
          <w:rFonts w:ascii="Times New Roman" w:hAnsi="Times New Roman" w:cs="Times New Roman"/>
          <w:color w:val="000000" w:themeColor="text1"/>
          <w:sz w:val="28"/>
        </w:rPr>
        <w:t>e</w:t>
      </w:r>
      <w:r w:rsidRPr="00DE7CC4">
        <w:rPr>
          <w:rFonts w:ascii="Times New Roman" w:hAnsi="Times New Roman" w:cs="Times New Roman"/>
          <w:color w:val="000000" w:themeColor="text1"/>
          <w:sz w:val="28"/>
        </w:rPr>
        <w:t xml:space="preserve">l acceso a la administración de justicia, en particular, </w:t>
      </w:r>
      <w:r w:rsidRPr="00DE7CC4">
        <w:rPr>
          <w:rFonts w:ascii="Times New Roman" w:hAnsi="Times New Roman" w:cs="Times New Roman"/>
          <w:color w:val="000000" w:themeColor="text1"/>
          <w:sz w:val="28"/>
        </w:rPr>
        <w:t>e</w:t>
      </w:r>
      <w:r w:rsidRPr="00DE7CC4">
        <w:rPr>
          <w:rFonts w:ascii="Times New Roman" w:hAnsi="Times New Roman" w:cs="Times New Roman"/>
          <w:color w:val="000000" w:themeColor="text1"/>
          <w:sz w:val="28"/>
        </w:rPr>
        <w:t>l debido proceso, por cuanto la disposición ni s</w:t>
      </w:r>
      <w:r w:rsidRPr="00DE7CC4">
        <w:rPr>
          <w:rFonts w:ascii="Times New Roman" w:hAnsi="Times New Roman" w:cs="Times New Roman"/>
          <w:color w:val="000000" w:themeColor="text1"/>
          <w:sz w:val="28"/>
        </w:rPr>
        <w:t xml:space="preserve">iquiera establece qué debe entenderse por </w:t>
      </w:r>
      <w:r w:rsidRPr="00DE7CC4">
        <w:rPr>
          <w:rFonts w:ascii="Times New Roman" w:hAnsi="Times New Roman" w:cs="Times New Roman"/>
          <w:i/>
          <w:iCs/>
          <w:color w:val="000000" w:themeColor="text1"/>
          <w:sz w:val="28"/>
        </w:rPr>
        <w:t>herramientas técnicas y tecnológicas</w:t>
      </w:r>
      <w:r w:rsidRPr="00DE7CC4">
        <w:rPr>
          <w:rFonts w:ascii="Times New Roman" w:hAnsi="Times New Roman" w:cs="Times New Roman"/>
          <w:color w:val="000000" w:themeColor="text1"/>
          <w:sz w:val="28"/>
        </w:rPr>
        <w:t xml:space="preserve"> con miras a que las pruebas garanticen la </w:t>
      </w:r>
      <w:r w:rsidRPr="00DE7CC4">
        <w:rPr>
          <w:rFonts w:ascii="Times New Roman" w:hAnsi="Times New Roman" w:cs="Times New Roman"/>
          <w:i/>
          <w:iCs/>
          <w:color w:val="000000" w:themeColor="text1"/>
          <w:sz w:val="28"/>
        </w:rPr>
        <w:t xml:space="preserve">autenticidad, integridad, conservación y posterior consulta, </w:t>
      </w:r>
      <w:r w:rsidRPr="00DE7CC4">
        <w:rPr>
          <w:rFonts w:ascii="Times New Roman" w:hAnsi="Times New Roman" w:cs="Times New Roman"/>
          <w:color w:val="000000" w:themeColor="text1"/>
          <w:sz w:val="28"/>
        </w:rPr>
        <w:t xml:space="preserve">por lo cual, este concepto indeterminado debería precisarse; y porque una </w:t>
      </w:r>
      <w:r w:rsidRPr="00DE7CC4">
        <w:rPr>
          <w:rFonts w:ascii="Times New Roman" w:hAnsi="Times New Roman" w:cs="Times New Roman"/>
          <w:color w:val="000000" w:themeColor="text1"/>
          <w:sz w:val="28"/>
        </w:rPr>
        <w:t xml:space="preserve">de las facetas del derecho al debido proceso corresponde a la defensa y al derecho a probar, por lo tanto, es incoherente </w:t>
      </w:r>
      <w:r w:rsidRPr="00DE7CC4">
        <w:rPr>
          <w:rFonts w:ascii="Times New Roman" w:hAnsi="Times New Roman" w:cs="Times New Roman"/>
          <w:color w:val="000000" w:themeColor="text1"/>
          <w:sz w:val="28"/>
        </w:rPr>
        <w:t xml:space="preserve">que </w:t>
      </w:r>
      <w:r w:rsidRPr="00DE7CC4">
        <w:rPr>
          <w:rFonts w:ascii="Times New Roman" w:hAnsi="Times New Roman" w:cs="Times New Roman"/>
          <w:color w:val="000000" w:themeColor="text1"/>
          <w:sz w:val="28"/>
        </w:rPr>
        <w:t>su ejercicio dependa de que el ciudadano cuente con un dispositivo tecnológico apto para acudir a la justicia, situación que lleva</w:t>
      </w:r>
      <w:r w:rsidRPr="00DE7CC4">
        <w:rPr>
          <w:rFonts w:ascii="Times New Roman" w:hAnsi="Times New Roman" w:cs="Times New Roman"/>
          <w:color w:val="000000" w:themeColor="text1"/>
          <w:sz w:val="28"/>
        </w:rPr>
        <w:t xml:space="preserve"> a casos de desigualdad porque solo quienes lo tengan tienen la posibilidad de probar la responsabilidad frente a un sujeto determinado.</w:t>
      </w:r>
    </w:p>
    <w:p w:rsidR="00F32ED8" w:rsidRPr="00DE7CC4" w:rsidRDefault="00DE7CC4" w:rsidP="00F32ED8">
      <w:pPr>
        <w:pStyle w:val="Prrafodelista"/>
        <w:ind w:left="0" w:right="49"/>
        <w:jc w:val="both"/>
        <w:textAlignment w:val="baseline"/>
        <w:rPr>
          <w:rFonts w:ascii="Times New Roman" w:hAnsi="Times New Roman" w:cs="Times New Roman"/>
          <w:color w:val="000000" w:themeColor="text1"/>
          <w:sz w:val="28"/>
        </w:rPr>
      </w:pPr>
    </w:p>
    <w:p w:rsidR="00DD719E" w:rsidRPr="00DE7CC4" w:rsidRDefault="00DE7CC4" w:rsidP="00F32ED8">
      <w:pPr>
        <w:pStyle w:val="Prrafodelista"/>
        <w:ind w:left="0" w:right="49"/>
        <w:jc w:val="both"/>
        <w:textAlignment w:val="baseline"/>
        <w:rPr>
          <w:rFonts w:ascii="Times New Roman" w:hAnsi="Times New Roman" w:cs="Times New Roman"/>
          <w:color w:val="000000" w:themeColor="text1"/>
          <w:sz w:val="28"/>
        </w:rPr>
      </w:pPr>
    </w:p>
    <w:p w:rsidR="00DD719E" w:rsidRPr="00DE7CC4" w:rsidRDefault="00DE7CC4" w:rsidP="00F32ED8">
      <w:pPr>
        <w:pStyle w:val="Prrafodelista"/>
        <w:ind w:left="0" w:right="49"/>
        <w:jc w:val="both"/>
        <w:textAlignment w:val="baseline"/>
        <w:rPr>
          <w:rFonts w:ascii="Times New Roman" w:hAnsi="Times New Roman" w:cs="Times New Roman"/>
          <w:color w:val="000000" w:themeColor="text1"/>
          <w:sz w:val="28"/>
        </w:rPr>
      </w:pPr>
    </w:p>
    <w:p w:rsidR="00F32ED8" w:rsidRPr="00DE7CC4" w:rsidRDefault="00DE7CC4" w:rsidP="00F32ED8">
      <w:pPr>
        <w:rPr>
          <w:rFonts w:ascii="Times New Roman" w:hAnsi="Times New Roman" w:cs="Times New Roman"/>
          <w:i/>
          <w:iCs/>
          <w:color w:val="000000" w:themeColor="text1"/>
          <w:sz w:val="28"/>
        </w:rPr>
      </w:pPr>
      <w:r w:rsidRPr="00DE7CC4">
        <w:rPr>
          <w:rFonts w:ascii="Times New Roman" w:hAnsi="Times New Roman" w:cs="Times New Roman"/>
          <w:i/>
          <w:iCs/>
          <w:color w:val="000000" w:themeColor="text1"/>
          <w:sz w:val="28"/>
        </w:rPr>
        <w:tab/>
        <w:t>Intervención con otra solicitud</w:t>
      </w:r>
    </w:p>
    <w:p w:rsidR="00F32ED8" w:rsidRPr="00DE7CC4" w:rsidRDefault="00DE7CC4" w:rsidP="00F32ED8">
      <w:pPr>
        <w:rPr>
          <w:rFonts w:ascii="Times New Roman" w:hAnsi="Times New Roman" w:cs="Times New Roman"/>
          <w:i/>
          <w:iCs/>
          <w:color w:val="000000" w:themeColor="text1"/>
          <w:sz w:val="28"/>
        </w:rPr>
      </w:pPr>
    </w:p>
    <w:p w:rsidR="00F32ED8" w:rsidRPr="00DE7CC4" w:rsidRDefault="00DE7CC4" w:rsidP="00F32ED8">
      <w:pPr>
        <w:pStyle w:val="Prrafodelista"/>
        <w:ind w:left="0" w:right="49"/>
        <w:jc w:val="both"/>
        <w:textAlignment w:val="baseline"/>
        <w:rPr>
          <w:rFonts w:ascii="Times New Roman" w:hAnsi="Times New Roman" w:cs="Times New Roman"/>
          <w:color w:val="000000" w:themeColor="text1"/>
          <w:sz w:val="28"/>
        </w:rPr>
      </w:pPr>
      <w:r w:rsidRPr="00DE7CC4">
        <w:rPr>
          <w:rFonts w:ascii="Times New Roman" w:hAnsi="Times New Roman" w:cs="Times New Roman"/>
          <w:color w:val="000000" w:themeColor="text1"/>
          <w:sz w:val="28"/>
        </w:rPr>
        <w:t xml:space="preserve">32. La </w:t>
      </w:r>
      <w:r w:rsidRPr="00DE7CC4">
        <w:rPr>
          <w:rFonts w:ascii="Times New Roman" w:hAnsi="Times New Roman" w:cs="Times New Roman"/>
          <w:i/>
          <w:iCs/>
          <w:color w:val="000000" w:themeColor="text1"/>
          <w:sz w:val="28"/>
        </w:rPr>
        <w:t>Superintendencia Financiera</w:t>
      </w:r>
      <w:r w:rsidRPr="00DE7CC4">
        <w:rPr>
          <w:rFonts w:ascii="Times New Roman" w:hAnsi="Times New Roman" w:cs="Times New Roman"/>
          <w:color w:val="000000" w:themeColor="text1"/>
          <w:sz w:val="28"/>
        </w:rPr>
        <w:t>, por intermedio de la Coordinadora del Grupo Co</w:t>
      </w:r>
      <w:r w:rsidRPr="00DE7CC4">
        <w:rPr>
          <w:rFonts w:ascii="Times New Roman" w:hAnsi="Times New Roman" w:cs="Times New Roman"/>
          <w:color w:val="000000" w:themeColor="text1"/>
          <w:sz w:val="28"/>
        </w:rPr>
        <w:t>ntencioso Administrativo Uno</w:t>
      </w:r>
      <w:r w:rsidRPr="00DE7CC4">
        <w:rPr>
          <w:rStyle w:val="Refdenotaalpie"/>
          <w:rFonts w:ascii="Times New Roman" w:hAnsi="Times New Roman"/>
          <w:color w:val="000000" w:themeColor="text1"/>
          <w:sz w:val="28"/>
        </w:rPr>
        <w:footnoteReference w:id="48"/>
      </w:r>
      <w:r w:rsidRPr="00DE7CC4">
        <w:rPr>
          <w:rFonts w:ascii="Times New Roman" w:hAnsi="Times New Roman" w:cs="Times New Roman"/>
          <w:color w:val="000000" w:themeColor="text1"/>
          <w:sz w:val="28"/>
        </w:rPr>
        <w:t>, señaló que, atendiendo al alcance de la demanda, se abstiene de rendir concepto sobre la constitucionalidad de la norma. Con todo, pone de presente que la Sala de Casación Civil de la Corte Suprema de Justicia</w:t>
      </w:r>
      <w:r w:rsidRPr="00DE7CC4">
        <w:rPr>
          <w:rStyle w:val="Refdenotaalpie"/>
          <w:rFonts w:ascii="Times New Roman" w:hAnsi="Times New Roman"/>
          <w:color w:val="000000" w:themeColor="text1"/>
          <w:sz w:val="28"/>
        </w:rPr>
        <w:footnoteReference w:id="49"/>
      </w:r>
      <w:r w:rsidRPr="00DE7CC4">
        <w:rPr>
          <w:rFonts w:ascii="Times New Roman" w:hAnsi="Times New Roman" w:cs="Times New Roman"/>
          <w:color w:val="000000" w:themeColor="text1"/>
          <w:sz w:val="28"/>
        </w:rPr>
        <w:t xml:space="preserve"> ha establecido</w:t>
      </w:r>
      <w:r w:rsidRPr="00DE7CC4">
        <w:rPr>
          <w:rFonts w:ascii="Times New Roman" w:hAnsi="Times New Roman" w:cs="Times New Roman"/>
          <w:color w:val="000000" w:themeColor="text1"/>
          <w:sz w:val="28"/>
        </w:rPr>
        <w:t xml:space="preserve"> que, en el marco de los contratos de seguro, existe libertad probatoria para efectos </w:t>
      </w:r>
      <w:r w:rsidRPr="00DE7CC4">
        <w:rPr>
          <w:rFonts w:ascii="Times New Roman" w:hAnsi="Times New Roman" w:cs="Times New Roman"/>
          <w:color w:val="000000" w:themeColor="text1"/>
          <w:sz w:val="28"/>
        </w:rPr>
        <w:t xml:space="preserve">de </w:t>
      </w:r>
      <w:r w:rsidRPr="00DE7CC4">
        <w:rPr>
          <w:rFonts w:ascii="Times New Roman" w:hAnsi="Times New Roman" w:cs="Times New Roman"/>
          <w:color w:val="000000" w:themeColor="text1"/>
          <w:sz w:val="28"/>
        </w:rPr>
        <w:t xml:space="preserve">establecer la ocurrencia y cuantía de un siniestro, en concordancia con lo dispuesto en el artículo 1080 del Código de Comercio. Esta postura, agregó, también ha sido </w:t>
      </w:r>
      <w:r w:rsidRPr="00DE7CC4">
        <w:rPr>
          <w:rFonts w:ascii="Times New Roman" w:hAnsi="Times New Roman" w:cs="Times New Roman"/>
          <w:color w:val="000000" w:themeColor="text1"/>
          <w:sz w:val="28"/>
        </w:rPr>
        <w:t>adoptada por la Corte Constitucional</w:t>
      </w:r>
      <w:r w:rsidRPr="00DE7CC4">
        <w:rPr>
          <w:rStyle w:val="Refdenotaalpie"/>
          <w:rFonts w:ascii="Times New Roman" w:hAnsi="Times New Roman"/>
          <w:color w:val="000000" w:themeColor="text1"/>
          <w:sz w:val="28"/>
        </w:rPr>
        <w:footnoteReference w:id="50"/>
      </w:r>
      <w:r w:rsidRPr="00DE7CC4">
        <w:rPr>
          <w:rFonts w:ascii="Times New Roman" w:hAnsi="Times New Roman" w:cs="Times New Roman"/>
          <w:color w:val="000000" w:themeColor="text1"/>
          <w:sz w:val="28"/>
        </w:rPr>
        <w:t>, la cual ha dispuesto que en ausencia de restricciones específicas, se pueden utilizar diversos mecanismos probatorios siempre que cumplan con los principios de conducencia, idoneidad y eficacia, protegiendo así la pos</w:t>
      </w:r>
      <w:r w:rsidRPr="00DE7CC4">
        <w:rPr>
          <w:rFonts w:ascii="Times New Roman" w:hAnsi="Times New Roman" w:cs="Times New Roman"/>
          <w:color w:val="000000" w:themeColor="text1"/>
          <w:sz w:val="28"/>
        </w:rPr>
        <w:t>ición de los asegurados y equilibrando las relaciones asimétricas en contratos de seguro, particularmente en situaciones donde no hay claridad sobre las limitaciones en la demostración del siniestro.</w:t>
      </w:r>
    </w:p>
    <w:p w:rsidR="00F32ED8" w:rsidRPr="00DE7CC4" w:rsidRDefault="00DE7CC4" w:rsidP="00F32ED8">
      <w:pPr>
        <w:pStyle w:val="Prrafodelista"/>
        <w:ind w:left="0" w:right="49"/>
        <w:jc w:val="both"/>
        <w:textAlignment w:val="baseline"/>
        <w:rPr>
          <w:rFonts w:ascii="Times New Roman" w:hAnsi="Times New Roman" w:cs="Times New Roman"/>
          <w:color w:val="000000" w:themeColor="text1"/>
          <w:sz w:val="28"/>
        </w:rPr>
      </w:pPr>
    </w:p>
    <w:p w:rsidR="00F32ED8" w:rsidRPr="00DE7CC4" w:rsidRDefault="00DE7CC4" w:rsidP="00F32ED8">
      <w:pPr>
        <w:jc w:val="both"/>
        <w:textAlignment w:val="baseline"/>
        <w:rPr>
          <w:rFonts w:ascii="Times New Roman" w:hAnsi="Times New Roman" w:cs="Times New Roman"/>
          <w:b/>
          <w:bCs/>
          <w:color w:val="000000" w:themeColor="text1"/>
          <w:sz w:val="28"/>
          <w:bdr w:val="none" w:sz="0" w:space="0" w:color="auto" w:frame="1"/>
          <w:lang w:eastAsia="es-ES"/>
        </w:rPr>
      </w:pPr>
      <w:r w:rsidRPr="00DE7CC4">
        <w:rPr>
          <w:rFonts w:ascii="Times New Roman" w:hAnsi="Times New Roman" w:cs="Times New Roman"/>
          <w:b/>
          <w:bCs/>
          <w:color w:val="000000" w:themeColor="text1"/>
          <w:sz w:val="28"/>
          <w:bdr w:val="none" w:sz="0" w:space="0" w:color="auto" w:frame="1"/>
          <w:lang w:eastAsia="es-ES"/>
        </w:rPr>
        <w:t>V. Concepto del Ministerio Público</w:t>
      </w:r>
    </w:p>
    <w:p w:rsidR="00F32ED8" w:rsidRPr="00DE7CC4" w:rsidRDefault="00DE7CC4" w:rsidP="00F32ED8">
      <w:pPr>
        <w:pStyle w:val="Prrafodelista"/>
        <w:rPr>
          <w:rFonts w:ascii="Times New Roman" w:hAnsi="Times New Roman" w:cs="Times New Roman"/>
          <w:color w:val="000000" w:themeColor="text1"/>
          <w:sz w:val="28"/>
        </w:rPr>
      </w:pPr>
    </w:p>
    <w:p w:rsidR="00F32ED8" w:rsidRPr="00DE7CC4" w:rsidRDefault="00DE7CC4" w:rsidP="00F32ED8">
      <w:pPr>
        <w:pStyle w:val="Prrafodelista"/>
        <w:ind w:left="0" w:right="49"/>
        <w:jc w:val="both"/>
        <w:textAlignment w:val="baseline"/>
        <w:rPr>
          <w:rFonts w:ascii="Times New Roman" w:hAnsi="Times New Roman" w:cs="Times New Roman"/>
          <w:color w:val="000000" w:themeColor="text1"/>
          <w:sz w:val="28"/>
          <w:bdr w:val="none" w:sz="0" w:space="0" w:color="auto" w:frame="1"/>
          <w:lang w:eastAsia="es-ES"/>
        </w:rPr>
      </w:pPr>
      <w:r w:rsidRPr="00DE7CC4">
        <w:rPr>
          <w:rFonts w:ascii="Times New Roman" w:hAnsi="Times New Roman" w:cs="Times New Roman"/>
          <w:color w:val="000000" w:themeColor="text1"/>
          <w:sz w:val="28"/>
          <w:bdr w:val="none" w:sz="0" w:space="0" w:color="auto" w:frame="1"/>
          <w:lang w:eastAsia="es-ES"/>
        </w:rPr>
        <w:t xml:space="preserve">33. La procuradora </w:t>
      </w:r>
      <w:r w:rsidRPr="00DE7CC4">
        <w:rPr>
          <w:rFonts w:ascii="Times New Roman" w:hAnsi="Times New Roman" w:cs="Times New Roman"/>
          <w:color w:val="000000" w:themeColor="text1"/>
          <w:sz w:val="28"/>
          <w:bdr w:val="none" w:sz="0" w:space="0" w:color="auto" w:frame="1"/>
          <w:lang w:eastAsia="es-ES"/>
        </w:rPr>
        <w:t>general de la nación, Margarita Cabello Blanco, solicitó declarar la exequibilidad de la disposición cuestionada</w:t>
      </w:r>
      <w:r w:rsidRPr="00DE7CC4">
        <w:rPr>
          <w:rStyle w:val="Refdenotaalpie"/>
          <w:rFonts w:ascii="Times New Roman" w:hAnsi="Times New Roman"/>
          <w:color w:val="000000" w:themeColor="text1"/>
          <w:sz w:val="28"/>
          <w:bdr w:val="none" w:sz="0" w:space="0" w:color="auto" w:frame="1"/>
          <w:lang w:eastAsia="es-ES"/>
        </w:rPr>
        <w:footnoteReference w:id="51"/>
      </w:r>
      <w:r w:rsidRPr="00DE7CC4">
        <w:rPr>
          <w:rFonts w:ascii="Times New Roman" w:hAnsi="Times New Roman" w:cs="Times New Roman"/>
          <w:color w:val="000000" w:themeColor="text1"/>
          <w:sz w:val="28"/>
          <w:bdr w:val="none" w:sz="0" w:space="0" w:color="auto" w:frame="1"/>
          <w:lang w:eastAsia="es-ES"/>
        </w:rPr>
        <w:t>. Inició su intervención indicando que, conforme a lo dispuesto en los numerales 2 y 25 del artículo 150 superior, el Legislador tiene competen</w:t>
      </w:r>
      <w:r w:rsidRPr="00DE7CC4">
        <w:rPr>
          <w:rFonts w:ascii="Times New Roman" w:hAnsi="Times New Roman" w:cs="Times New Roman"/>
          <w:color w:val="000000" w:themeColor="text1"/>
          <w:sz w:val="28"/>
          <w:bdr w:val="none" w:sz="0" w:space="0" w:color="auto" w:frame="1"/>
          <w:lang w:eastAsia="es-ES"/>
        </w:rPr>
        <w:t>cia para expedir códigos en todos los ramos y unificar normas sobre policía de tránsito, además de un amplio margen de configuración en materia de procedimientos judiciales y administrativos, siempre que se satisfagan los principios de razonabilidad y prop</w:t>
      </w:r>
      <w:r w:rsidRPr="00DE7CC4">
        <w:rPr>
          <w:rFonts w:ascii="Times New Roman" w:hAnsi="Times New Roman" w:cs="Times New Roman"/>
          <w:color w:val="000000" w:themeColor="text1"/>
          <w:sz w:val="28"/>
          <w:bdr w:val="none" w:sz="0" w:space="0" w:color="auto" w:frame="1"/>
          <w:lang w:eastAsia="es-ES"/>
        </w:rPr>
        <w:t>orcionalidad. En esta dirección, la norma demandada es expresión “legitima de la libertad de configuración normativa del Congreso de la República en materia procesal (…)”</w:t>
      </w:r>
      <w:r w:rsidRPr="00DE7CC4">
        <w:rPr>
          <w:rStyle w:val="Refdenotaalpie"/>
          <w:rFonts w:ascii="Times New Roman" w:hAnsi="Times New Roman"/>
          <w:color w:val="000000" w:themeColor="text1"/>
          <w:sz w:val="28"/>
          <w:bdr w:val="none" w:sz="0" w:space="0" w:color="auto" w:frame="1"/>
          <w:lang w:eastAsia="es-ES"/>
        </w:rPr>
        <w:footnoteReference w:id="52"/>
      </w:r>
      <w:r w:rsidRPr="00DE7CC4">
        <w:rPr>
          <w:rFonts w:ascii="Times New Roman" w:hAnsi="Times New Roman" w:cs="Times New Roman"/>
          <w:color w:val="000000" w:themeColor="text1"/>
          <w:sz w:val="28"/>
          <w:bdr w:val="none" w:sz="0" w:space="0" w:color="auto" w:frame="1"/>
          <w:lang w:eastAsia="es-ES"/>
        </w:rPr>
        <w:t>. En su criterio, esto último es cierto en tanto, ante un accidente de tránsito que d</w:t>
      </w:r>
      <w:r w:rsidRPr="00DE7CC4">
        <w:rPr>
          <w:rFonts w:ascii="Times New Roman" w:hAnsi="Times New Roman" w:cs="Times New Roman"/>
          <w:color w:val="000000" w:themeColor="text1"/>
          <w:sz w:val="28"/>
          <w:bdr w:val="none" w:sz="0" w:space="0" w:color="auto" w:frame="1"/>
          <w:lang w:eastAsia="es-ES"/>
        </w:rPr>
        <w:t>eje solo daños materiales, se activan dos instituciones jurídicas, de un lado, la responsabilidad civil extracontractual y, del otro lado, los contratos de seguros, escenarios en los que opera la libertad probatoria, conforme a lo previsto en los artículos</w:t>
      </w:r>
      <w:r w:rsidRPr="00DE7CC4">
        <w:rPr>
          <w:rFonts w:ascii="Times New Roman" w:hAnsi="Times New Roman" w:cs="Times New Roman"/>
          <w:color w:val="000000" w:themeColor="text1"/>
          <w:sz w:val="28"/>
          <w:bdr w:val="none" w:sz="0" w:space="0" w:color="auto" w:frame="1"/>
          <w:lang w:eastAsia="es-ES"/>
        </w:rPr>
        <w:t xml:space="preserve"> 165 y 176 del C</w:t>
      </w:r>
      <w:r w:rsidRPr="00DE7CC4">
        <w:rPr>
          <w:rFonts w:ascii="Times New Roman" w:hAnsi="Times New Roman" w:cs="Times New Roman"/>
          <w:color w:val="000000" w:themeColor="text1"/>
          <w:sz w:val="28"/>
          <w:bdr w:val="none" w:sz="0" w:space="0" w:color="auto" w:frame="1"/>
          <w:lang w:eastAsia="es-ES"/>
        </w:rPr>
        <w:t xml:space="preserve">ódigo </w:t>
      </w:r>
      <w:r w:rsidRPr="00DE7CC4">
        <w:rPr>
          <w:rFonts w:ascii="Times New Roman" w:hAnsi="Times New Roman" w:cs="Times New Roman"/>
          <w:color w:val="000000" w:themeColor="text1"/>
          <w:sz w:val="28"/>
          <w:bdr w:val="none" w:sz="0" w:space="0" w:color="auto" w:frame="1"/>
          <w:lang w:eastAsia="es-ES"/>
        </w:rPr>
        <w:t>G</w:t>
      </w:r>
      <w:r w:rsidRPr="00DE7CC4">
        <w:rPr>
          <w:rFonts w:ascii="Times New Roman" w:hAnsi="Times New Roman" w:cs="Times New Roman"/>
          <w:color w:val="000000" w:themeColor="text1"/>
          <w:sz w:val="28"/>
          <w:bdr w:val="none" w:sz="0" w:space="0" w:color="auto" w:frame="1"/>
          <w:lang w:eastAsia="es-ES"/>
        </w:rPr>
        <w:t xml:space="preserve">eneral del </w:t>
      </w:r>
      <w:r w:rsidRPr="00DE7CC4">
        <w:rPr>
          <w:rFonts w:ascii="Times New Roman" w:hAnsi="Times New Roman" w:cs="Times New Roman"/>
          <w:color w:val="000000" w:themeColor="text1"/>
          <w:sz w:val="28"/>
          <w:bdr w:val="none" w:sz="0" w:space="0" w:color="auto" w:frame="1"/>
          <w:lang w:eastAsia="es-ES"/>
        </w:rPr>
        <w:t>P</w:t>
      </w:r>
      <w:r w:rsidRPr="00DE7CC4">
        <w:rPr>
          <w:rFonts w:ascii="Times New Roman" w:hAnsi="Times New Roman" w:cs="Times New Roman"/>
          <w:color w:val="000000" w:themeColor="text1"/>
          <w:sz w:val="28"/>
          <w:bdr w:val="none" w:sz="0" w:space="0" w:color="auto" w:frame="1"/>
          <w:lang w:eastAsia="es-ES"/>
        </w:rPr>
        <w:t>roceso</w:t>
      </w:r>
      <w:r w:rsidRPr="00DE7CC4">
        <w:rPr>
          <w:rFonts w:ascii="Times New Roman" w:hAnsi="Times New Roman" w:cs="Times New Roman"/>
          <w:color w:val="000000" w:themeColor="text1"/>
          <w:sz w:val="28"/>
          <w:bdr w:val="none" w:sz="0" w:space="0" w:color="auto" w:frame="1"/>
          <w:lang w:eastAsia="es-ES"/>
        </w:rPr>
        <w:t xml:space="preserve"> y 1077 y 1080 del Código de Comercio.</w:t>
      </w:r>
    </w:p>
    <w:p w:rsidR="00F32ED8" w:rsidRPr="00DE7CC4" w:rsidRDefault="00DE7CC4" w:rsidP="00F32ED8">
      <w:pPr>
        <w:pStyle w:val="Prrafodelista"/>
        <w:ind w:left="0" w:right="49"/>
        <w:jc w:val="both"/>
        <w:textAlignment w:val="baseline"/>
        <w:rPr>
          <w:rFonts w:ascii="Times New Roman" w:hAnsi="Times New Roman" w:cs="Times New Roman"/>
          <w:color w:val="000000" w:themeColor="text1"/>
          <w:sz w:val="28"/>
          <w:bdr w:val="none" w:sz="0" w:space="0" w:color="auto" w:frame="1"/>
          <w:lang w:eastAsia="es-ES"/>
        </w:rPr>
      </w:pPr>
    </w:p>
    <w:p w:rsidR="00F32ED8" w:rsidRPr="00DE7CC4" w:rsidRDefault="00DE7CC4" w:rsidP="00F32ED8">
      <w:pPr>
        <w:pStyle w:val="Prrafodelista"/>
        <w:ind w:left="0" w:right="49"/>
        <w:jc w:val="both"/>
        <w:textAlignment w:val="baseline"/>
        <w:rPr>
          <w:rFonts w:ascii="Times New Roman" w:hAnsi="Times New Roman" w:cs="Times New Roman"/>
          <w:color w:val="000000" w:themeColor="text1"/>
          <w:sz w:val="28"/>
          <w:bdr w:val="none" w:sz="0" w:space="0" w:color="auto" w:frame="1"/>
          <w:lang w:eastAsia="es-ES"/>
        </w:rPr>
      </w:pPr>
      <w:r w:rsidRPr="00DE7CC4">
        <w:rPr>
          <w:rFonts w:ascii="Times New Roman" w:hAnsi="Times New Roman" w:cs="Times New Roman"/>
          <w:color w:val="000000" w:themeColor="text1"/>
          <w:sz w:val="28"/>
          <w:bdr w:val="none" w:sz="0" w:space="0" w:color="auto" w:frame="1"/>
          <w:lang w:eastAsia="es-ES"/>
        </w:rPr>
        <w:t>34. De conformidad con la jurisprudencia de la Corte Constitucional</w:t>
      </w:r>
      <w:r w:rsidRPr="00DE7CC4">
        <w:rPr>
          <w:rStyle w:val="Refdenotaalpie"/>
          <w:rFonts w:ascii="Times New Roman" w:hAnsi="Times New Roman"/>
          <w:color w:val="000000" w:themeColor="text1"/>
          <w:sz w:val="28"/>
          <w:bdr w:val="none" w:sz="0" w:space="0" w:color="auto" w:frame="1"/>
          <w:lang w:eastAsia="es-ES"/>
        </w:rPr>
        <w:footnoteReference w:id="53"/>
      </w:r>
      <w:r w:rsidRPr="00DE7CC4">
        <w:rPr>
          <w:rFonts w:ascii="Times New Roman" w:hAnsi="Times New Roman" w:cs="Times New Roman"/>
          <w:color w:val="000000" w:themeColor="text1"/>
          <w:sz w:val="28"/>
          <w:bdr w:val="none" w:sz="0" w:space="0" w:color="auto" w:frame="1"/>
          <w:lang w:eastAsia="es-ES"/>
        </w:rPr>
        <w:t xml:space="preserve"> y, en especial, del Consejo de Estado, el informe de policía del accidente de tránsito es un informe descr</w:t>
      </w:r>
      <w:r w:rsidRPr="00DE7CC4">
        <w:rPr>
          <w:rFonts w:ascii="Times New Roman" w:hAnsi="Times New Roman" w:cs="Times New Roman"/>
          <w:color w:val="000000" w:themeColor="text1"/>
          <w:sz w:val="28"/>
          <w:bdr w:val="none" w:sz="0" w:space="0" w:color="auto" w:frame="1"/>
          <w:lang w:eastAsia="es-ES"/>
        </w:rPr>
        <w:t>iptivo y no un dictamen pericial, cuyo contenido puede desvirtuarse a través de otros medios de prueba, que tengan mayor valor siguiendo un criterio de razonabilidad; la modificación efectuada, entonces, “genera que, ante la ausencia de dicho medio probato</w:t>
      </w:r>
      <w:r w:rsidRPr="00DE7CC4">
        <w:rPr>
          <w:rFonts w:ascii="Times New Roman" w:hAnsi="Times New Roman" w:cs="Times New Roman"/>
          <w:color w:val="000000" w:themeColor="text1"/>
          <w:sz w:val="28"/>
          <w:bdr w:val="none" w:sz="0" w:space="0" w:color="auto" w:frame="1"/>
          <w:lang w:eastAsia="es-ES"/>
        </w:rPr>
        <w:t>rio, los particulares tengan que velar por recaudar los elementos de juicio que consideren necesarios para gestionar sus intereses relacionados con la responsabilidad civil o la operación de los seguros en desarrollo del artículo 95.7 superior”</w:t>
      </w:r>
      <w:r w:rsidRPr="00DE7CC4">
        <w:rPr>
          <w:rStyle w:val="Refdenotaalpie"/>
          <w:rFonts w:ascii="Times New Roman" w:hAnsi="Times New Roman"/>
          <w:color w:val="000000" w:themeColor="text1"/>
          <w:sz w:val="28"/>
          <w:bdr w:val="none" w:sz="0" w:space="0" w:color="auto" w:frame="1"/>
          <w:lang w:eastAsia="es-ES"/>
        </w:rPr>
        <w:footnoteReference w:id="54"/>
      </w:r>
      <w:r w:rsidRPr="00DE7CC4">
        <w:rPr>
          <w:rFonts w:ascii="Times New Roman" w:hAnsi="Times New Roman" w:cs="Times New Roman"/>
          <w:color w:val="000000" w:themeColor="text1"/>
          <w:sz w:val="28"/>
          <w:bdr w:val="none" w:sz="0" w:space="0" w:color="auto" w:frame="1"/>
          <w:lang w:eastAsia="es-ES"/>
        </w:rPr>
        <w:t>.</w:t>
      </w:r>
    </w:p>
    <w:p w:rsidR="00F32ED8" w:rsidRPr="00DE7CC4" w:rsidRDefault="00DE7CC4" w:rsidP="00F32ED8">
      <w:pPr>
        <w:pStyle w:val="Prrafodelista"/>
        <w:ind w:left="0" w:right="49"/>
        <w:jc w:val="both"/>
        <w:textAlignment w:val="baseline"/>
        <w:rPr>
          <w:rFonts w:ascii="Times New Roman" w:hAnsi="Times New Roman" w:cs="Times New Roman"/>
          <w:color w:val="000000" w:themeColor="text1"/>
          <w:sz w:val="28"/>
          <w:bdr w:val="none" w:sz="0" w:space="0" w:color="auto" w:frame="1"/>
          <w:lang w:eastAsia="es-ES"/>
        </w:rPr>
      </w:pPr>
    </w:p>
    <w:p w:rsidR="00F32ED8" w:rsidRPr="00DE7CC4" w:rsidRDefault="00DE7CC4" w:rsidP="00F32ED8">
      <w:pPr>
        <w:pStyle w:val="Prrafodelista"/>
        <w:ind w:left="0" w:right="49"/>
        <w:jc w:val="both"/>
        <w:textAlignment w:val="baseline"/>
        <w:rPr>
          <w:rFonts w:ascii="Times New Roman" w:hAnsi="Times New Roman" w:cs="Times New Roman"/>
          <w:color w:val="000000" w:themeColor="text1"/>
          <w:sz w:val="28"/>
          <w:bdr w:val="none" w:sz="0" w:space="0" w:color="auto" w:frame="1"/>
          <w:lang w:eastAsia="es-ES"/>
        </w:rPr>
      </w:pPr>
      <w:r w:rsidRPr="00DE7CC4">
        <w:rPr>
          <w:rFonts w:ascii="Times New Roman" w:hAnsi="Times New Roman" w:cs="Times New Roman"/>
          <w:color w:val="000000" w:themeColor="text1"/>
          <w:sz w:val="28"/>
          <w:bdr w:val="none" w:sz="0" w:space="0" w:color="auto" w:frame="1"/>
          <w:lang w:eastAsia="es-ES"/>
        </w:rPr>
        <w:t xml:space="preserve">35. Por </w:t>
      </w:r>
      <w:r w:rsidRPr="00DE7CC4">
        <w:rPr>
          <w:rFonts w:ascii="Times New Roman" w:hAnsi="Times New Roman" w:cs="Times New Roman"/>
          <w:color w:val="000000" w:themeColor="text1"/>
          <w:sz w:val="28"/>
          <w:bdr w:val="none" w:sz="0" w:space="0" w:color="auto" w:frame="1"/>
          <w:lang w:eastAsia="es-ES"/>
        </w:rPr>
        <w:t>lo cual, la modificación que ahora se genera supera el test de proporcionalidad pues: (i) persigue una finalidad legítima, esto es, racionalizar los recursos y el tiempo del personal disponible para gestionar el tránsito (principios de eficacia y economía)</w:t>
      </w:r>
      <w:r w:rsidRPr="00DE7CC4">
        <w:rPr>
          <w:rFonts w:ascii="Times New Roman" w:hAnsi="Times New Roman" w:cs="Times New Roman"/>
          <w:color w:val="000000" w:themeColor="text1"/>
          <w:sz w:val="28"/>
          <w:bdr w:val="none" w:sz="0" w:space="0" w:color="auto" w:frame="1"/>
          <w:lang w:eastAsia="es-ES"/>
        </w:rPr>
        <w:t>; (ii) es adecuada para satisfacer tal finalidad, porque permite que los policías de tránsito se concentren en otras funciones beneficiosas para la comunidad, y (iii) no afecta desproporcionadamente los derechos al debido proceso y acceso a la administraci</w:t>
      </w:r>
      <w:r w:rsidRPr="00DE7CC4">
        <w:rPr>
          <w:rFonts w:ascii="Times New Roman" w:hAnsi="Times New Roman" w:cs="Times New Roman"/>
          <w:color w:val="000000" w:themeColor="text1"/>
          <w:sz w:val="28"/>
          <w:bdr w:val="none" w:sz="0" w:space="0" w:color="auto" w:frame="1"/>
          <w:lang w:eastAsia="es-ES"/>
        </w:rPr>
        <w:t>ón de justicia, “</w:t>
      </w:r>
      <w:r w:rsidRPr="00DE7CC4">
        <w:rPr>
          <w:rFonts w:ascii="Times New Roman" w:hAnsi="Times New Roman" w:cs="Times New Roman"/>
          <w:color w:val="000000" w:themeColor="text1"/>
          <w:sz w:val="28"/>
        </w:rPr>
        <w:t xml:space="preserve">porque no se elimina la posibilidad que tienen de procurar sus intereses asociados a la propiedad ante las autoridades competentes por medio de los procedimientos respectivos, en los que continúa existiendo libertad probatoria e imperando </w:t>
      </w:r>
      <w:r w:rsidRPr="00DE7CC4">
        <w:rPr>
          <w:rFonts w:ascii="Times New Roman" w:hAnsi="Times New Roman" w:cs="Times New Roman"/>
          <w:color w:val="000000" w:themeColor="text1"/>
          <w:sz w:val="28"/>
        </w:rPr>
        <w:t>el deber general, según el cual ´incumbe a las partes probar el supuesto de hecho de las normas que consagran el efecto jurídico que ellas persiguen´”</w:t>
      </w:r>
      <w:r w:rsidRPr="00DE7CC4">
        <w:rPr>
          <w:rStyle w:val="Refdenotaalpie"/>
          <w:rFonts w:ascii="Times New Roman" w:hAnsi="Times New Roman"/>
          <w:color w:val="000000" w:themeColor="text1"/>
          <w:sz w:val="28"/>
        </w:rPr>
        <w:footnoteReference w:id="55"/>
      </w:r>
      <w:r w:rsidRPr="00DE7CC4">
        <w:rPr>
          <w:rFonts w:ascii="Times New Roman" w:hAnsi="Times New Roman" w:cs="Times New Roman"/>
          <w:color w:val="000000" w:themeColor="text1"/>
          <w:sz w:val="28"/>
        </w:rPr>
        <w:t>.</w:t>
      </w:r>
    </w:p>
    <w:p w:rsidR="00F32ED8" w:rsidRPr="00DE7CC4" w:rsidRDefault="00DE7CC4" w:rsidP="00F32ED8">
      <w:pPr>
        <w:pStyle w:val="Prrafodelista"/>
        <w:ind w:left="0" w:right="49"/>
        <w:jc w:val="both"/>
        <w:textAlignment w:val="baseline"/>
        <w:rPr>
          <w:rFonts w:ascii="Times New Roman" w:hAnsi="Times New Roman" w:cs="Times New Roman"/>
          <w:color w:val="000000" w:themeColor="text1"/>
          <w:sz w:val="28"/>
          <w:bdr w:val="none" w:sz="0" w:space="0" w:color="auto" w:frame="1"/>
          <w:lang w:eastAsia="es-ES"/>
        </w:rPr>
      </w:pPr>
    </w:p>
    <w:p w:rsidR="00F32ED8" w:rsidRPr="00DE7CC4" w:rsidRDefault="00DE7CC4" w:rsidP="00F32ED8">
      <w:pPr>
        <w:pStyle w:val="Prrafodelista"/>
        <w:ind w:left="0" w:right="49"/>
        <w:jc w:val="both"/>
        <w:textAlignment w:val="baseline"/>
        <w:rPr>
          <w:rFonts w:ascii="Times New Roman" w:hAnsi="Times New Roman" w:cs="Times New Roman"/>
          <w:color w:val="000000" w:themeColor="text1"/>
          <w:sz w:val="28"/>
          <w:bdr w:val="none" w:sz="0" w:space="0" w:color="auto" w:frame="1"/>
          <w:lang w:eastAsia="es-ES"/>
        </w:rPr>
      </w:pPr>
      <w:r w:rsidRPr="00DE7CC4">
        <w:rPr>
          <w:rFonts w:ascii="Times New Roman" w:hAnsi="Times New Roman" w:cs="Times New Roman"/>
          <w:color w:val="000000" w:themeColor="text1"/>
          <w:sz w:val="28"/>
          <w:bdr w:val="none" w:sz="0" w:space="0" w:color="auto" w:frame="1"/>
          <w:lang w:eastAsia="es-ES"/>
        </w:rPr>
        <w:t>36. Finalmente, destacó que la intervención de los policías de tránsito para levantar el informe y croquis en este tipo de casos, era una situación especial de intervención oficiosa del Estado en el recaudo probatorio, por lo cual, su eliminación no es inc</w:t>
      </w:r>
      <w:r w:rsidRPr="00DE7CC4">
        <w:rPr>
          <w:rFonts w:ascii="Times New Roman" w:hAnsi="Times New Roman" w:cs="Times New Roman"/>
          <w:color w:val="000000" w:themeColor="text1"/>
          <w:sz w:val="28"/>
          <w:bdr w:val="none" w:sz="0" w:space="0" w:color="auto" w:frame="1"/>
          <w:lang w:eastAsia="es-ES"/>
        </w:rPr>
        <w:t xml:space="preserve">onstitucional, y que la medida es razonable en tanto responde al principio de "prevalencia del interés general", evitando la congestión vial que puede ocurrir mientras se espera el informe policial. </w:t>
      </w:r>
    </w:p>
    <w:p w:rsidR="00F32ED8" w:rsidRPr="00DE7CC4" w:rsidRDefault="00DE7CC4" w:rsidP="00F32ED8">
      <w:pPr>
        <w:pStyle w:val="Prrafodelista"/>
        <w:ind w:left="0" w:right="49"/>
        <w:jc w:val="both"/>
        <w:textAlignment w:val="baseline"/>
        <w:rPr>
          <w:rFonts w:ascii="Times New Roman" w:hAnsi="Times New Roman" w:cs="Times New Roman"/>
          <w:color w:val="000000" w:themeColor="text1"/>
          <w:sz w:val="28"/>
          <w:bdr w:val="none" w:sz="0" w:space="0" w:color="auto" w:frame="1"/>
          <w:lang w:eastAsia="es-ES"/>
        </w:rPr>
      </w:pPr>
    </w:p>
    <w:p w:rsidR="00F32ED8" w:rsidRPr="00DE7CC4" w:rsidRDefault="00DE7CC4" w:rsidP="00F32ED8">
      <w:pPr>
        <w:ind w:right="709"/>
        <w:textAlignment w:val="baseline"/>
        <w:rPr>
          <w:rFonts w:ascii="Times New Roman" w:hAnsi="Times New Roman" w:cs="Times New Roman"/>
          <w:color w:val="000000" w:themeColor="text1"/>
          <w:sz w:val="28"/>
          <w:lang w:eastAsia="es-ES"/>
        </w:rPr>
      </w:pPr>
      <w:r w:rsidRPr="00DE7CC4">
        <w:rPr>
          <w:rFonts w:ascii="Times New Roman" w:hAnsi="Times New Roman" w:cs="Times New Roman"/>
          <w:b/>
          <w:bCs/>
          <w:color w:val="000000" w:themeColor="text1"/>
          <w:spacing w:val="4"/>
          <w:sz w:val="28"/>
          <w:bdr w:val="none" w:sz="0" w:space="0" w:color="auto" w:frame="1"/>
          <w:lang w:val="es-ES_tradnl" w:eastAsia="es-ES"/>
        </w:rPr>
        <w:t>VI. </w:t>
      </w:r>
      <w:r w:rsidRPr="00DE7CC4">
        <w:rPr>
          <w:rFonts w:ascii="Times New Roman" w:hAnsi="Times New Roman" w:cs="Times New Roman"/>
          <w:b/>
          <w:bCs/>
          <w:color w:val="000000" w:themeColor="text1"/>
          <w:sz w:val="28"/>
          <w:bdr w:val="none" w:sz="0" w:space="0" w:color="auto" w:frame="1"/>
          <w:lang w:eastAsia="es-ES"/>
        </w:rPr>
        <w:t>Consideraciones de la Corte Constitucional</w:t>
      </w:r>
    </w:p>
    <w:p w:rsidR="00F32ED8" w:rsidRPr="00DE7CC4" w:rsidRDefault="00DE7CC4" w:rsidP="00F32ED8">
      <w:pPr>
        <w:jc w:val="both"/>
        <w:textAlignment w:val="baseline"/>
        <w:rPr>
          <w:rFonts w:ascii="Times New Roman" w:hAnsi="Times New Roman" w:cs="Times New Roman"/>
          <w:color w:val="000000" w:themeColor="text1"/>
          <w:sz w:val="28"/>
          <w:lang w:eastAsia="es-ES"/>
        </w:rPr>
      </w:pPr>
      <w:r w:rsidRPr="00DE7CC4">
        <w:rPr>
          <w:rFonts w:ascii="Times New Roman" w:hAnsi="Times New Roman" w:cs="Times New Roman"/>
          <w:b/>
          <w:bCs/>
          <w:color w:val="000000" w:themeColor="text1"/>
          <w:sz w:val="28"/>
          <w:bdr w:val="none" w:sz="0" w:space="0" w:color="auto" w:frame="1"/>
          <w:lang w:eastAsia="es-ES"/>
        </w:rPr>
        <w:t> </w:t>
      </w:r>
    </w:p>
    <w:p w:rsidR="00F32ED8" w:rsidRPr="00DE7CC4" w:rsidRDefault="00DE7CC4" w:rsidP="00F32ED8">
      <w:pPr>
        <w:jc w:val="both"/>
        <w:textAlignment w:val="baseline"/>
        <w:rPr>
          <w:rFonts w:ascii="Times New Roman" w:hAnsi="Times New Roman" w:cs="Times New Roman"/>
          <w:b/>
          <w:bCs/>
          <w:color w:val="000000" w:themeColor="text1"/>
          <w:sz w:val="28"/>
          <w:bdr w:val="none" w:sz="0" w:space="0" w:color="auto" w:frame="1"/>
          <w:lang w:eastAsia="es-ES"/>
        </w:rPr>
      </w:pPr>
      <w:r w:rsidRPr="00DE7CC4">
        <w:rPr>
          <w:rFonts w:ascii="Times New Roman" w:hAnsi="Times New Roman" w:cs="Times New Roman"/>
          <w:b/>
          <w:bCs/>
          <w:color w:val="000000" w:themeColor="text1"/>
          <w:sz w:val="28"/>
          <w:bdr w:val="none" w:sz="0" w:space="0" w:color="auto" w:frame="1"/>
          <w:lang w:eastAsia="es-ES"/>
        </w:rPr>
        <w:t xml:space="preserve">1. </w:t>
      </w:r>
      <w:r w:rsidRPr="00DE7CC4">
        <w:rPr>
          <w:rFonts w:ascii="Times New Roman" w:hAnsi="Times New Roman" w:cs="Times New Roman"/>
          <w:b/>
          <w:bCs/>
          <w:color w:val="000000" w:themeColor="text1"/>
          <w:sz w:val="28"/>
          <w:bdr w:val="none" w:sz="0" w:space="0" w:color="auto" w:frame="1"/>
          <w:lang w:eastAsia="es-ES"/>
        </w:rPr>
        <w:t>Competencia de la Corte</w:t>
      </w:r>
    </w:p>
    <w:p w:rsidR="00F32ED8" w:rsidRPr="00DE7CC4" w:rsidRDefault="00DE7CC4" w:rsidP="00F32ED8">
      <w:pPr>
        <w:jc w:val="both"/>
        <w:textAlignment w:val="baseline"/>
        <w:rPr>
          <w:rFonts w:ascii="Times New Roman" w:hAnsi="Times New Roman" w:cs="Times New Roman"/>
          <w:b/>
          <w:bCs/>
          <w:color w:val="000000" w:themeColor="text1"/>
          <w:sz w:val="28"/>
          <w:bdr w:val="none" w:sz="0" w:space="0" w:color="auto" w:frame="1"/>
          <w:lang w:eastAsia="es-ES"/>
        </w:rPr>
      </w:pPr>
    </w:p>
    <w:p w:rsidR="00F32ED8" w:rsidRPr="00DE7CC4" w:rsidRDefault="00DE7CC4" w:rsidP="00F32ED8">
      <w:pPr>
        <w:jc w:val="both"/>
        <w:textAlignment w:val="baseline"/>
        <w:rPr>
          <w:rFonts w:ascii="Times New Roman" w:hAnsi="Times New Roman" w:cs="Times New Roman"/>
          <w:color w:val="000000" w:themeColor="text1"/>
          <w:sz w:val="28"/>
          <w:bdr w:val="none" w:sz="0" w:space="0" w:color="auto" w:frame="1"/>
          <w:lang w:eastAsia="es-ES"/>
        </w:rPr>
      </w:pPr>
      <w:r w:rsidRPr="00DE7CC4">
        <w:rPr>
          <w:rFonts w:ascii="Times New Roman" w:hAnsi="Times New Roman" w:cs="Times New Roman"/>
          <w:color w:val="000000" w:themeColor="text1"/>
          <w:sz w:val="28"/>
          <w:bdr w:val="none" w:sz="0" w:space="0" w:color="auto" w:frame="1"/>
          <w:lang w:eastAsia="es-ES"/>
        </w:rPr>
        <w:t xml:space="preserve">37. De conformidad con lo dispuesto en el artículo 241, numeral 4 de la Constitución Política, la Corte Constitucional es competente para conocer y decidir definitivamente sobre la demanda de inconstitucionalidad de la referencia, </w:t>
      </w:r>
      <w:r w:rsidRPr="00DE7CC4">
        <w:rPr>
          <w:rFonts w:ascii="Times New Roman" w:hAnsi="Times New Roman" w:cs="Times New Roman"/>
          <w:color w:val="000000" w:themeColor="text1"/>
          <w:sz w:val="28"/>
          <w:bdr w:val="none" w:sz="0" w:space="0" w:color="auto" w:frame="1"/>
          <w:lang w:eastAsia="es-ES"/>
        </w:rPr>
        <w:t>pues se demanda una disposición perteneciente a una ley de la República.</w:t>
      </w:r>
    </w:p>
    <w:p w:rsidR="00F32ED8" w:rsidRPr="00DE7CC4" w:rsidRDefault="00DE7CC4" w:rsidP="00F32ED8">
      <w:pPr>
        <w:jc w:val="both"/>
        <w:textAlignment w:val="baseline"/>
        <w:rPr>
          <w:rFonts w:ascii="Times New Roman" w:hAnsi="Times New Roman" w:cs="Times New Roman"/>
          <w:color w:val="000000" w:themeColor="text1"/>
          <w:sz w:val="28"/>
          <w:bdr w:val="none" w:sz="0" w:space="0" w:color="auto" w:frame="1"/>
          <w:lang w:eastAsia="es-ES"/>
        </w:rPr>
      </w:pPr>
    </w:p>
    <w:p w:rsidR="00F32ED8" w:rsidRPr="00DE7CC4" w:rsidRDefault="00DE7CC4" w:rsidP="00F32ED8">
      <w:pPr>
        <w:jc w:val="both"/>
        <w:rPr>
          <w:rFonts w:ascii="Times New Roman" w:hAnsi="Times New Roman" w:cs="Times New Roman"/>
          <w:b/>
          <w:color w:val="000000" w:themeColor="text1"/>
          <w:sz w:val="28"/>
        </w:rPr>
      </w:pPr>
      <w:r w:rsidRPr="00DE7CC4">
        <w:rPr>
          <w:rFonts w:ascii="Times New Roman" w:hAnsi="Times New Roman" w:cs="Times New Roman"/>
          <w:b/>
          <w:color w:val="000000" w:themeColor="text1"/>
          <w:sz w:val="28"/>
        </w:rPr>
        <w:t>2. Cuestiones previas</w:t>
      </w:r>
    </w:p>
    <w:p w:rsidR="00F32ED8" w:rsidRPr="00DE7CC4" w:rsidRDefault="00DE7CC4" w:rsidP="00F32ED8">
      <w:pPr>
        <w:jc w:val="both"/>
        <w:rPr>
          <w:rFonts w:ascii="Times New Roman" w:hAnsi="Times New Roman" w:cs="Times New Roman"/>
          <w:bCs/>
          <w:color w:val="000000" w:themeColor="text1"/>
          <w:sz w:val="28"/>
        </w:rPr>
      </w:pPr>
    </w:p>
    <w:p w:rsidR="00F32ED8" w:rsidRPr="00DE7CC4" w:rsidRDefault="00DE7CC4" w:rsidP="00F32ED8">
      <w:pPr>
        <w:jc w:val="both"/>
        <w:rPr>
          <w:rFonts w:ascii="Times New Roman" w:hAnsi="Times New Roman" w:cs="Times New Roman"/>
          <w:bCs/>
          <w:color w:val="000000" w:themeColor="text1"/>
          <w:sz w:val="28"/>
        </w:rPr>
      </w:pPr>
      <w:r w:rsidRPr="00DE7CC4">
        <w:rPr>
          <w:rFonts w:ascii="Times New Roman" w:hAnsi="Times New Roman" w:cs="Times New Roman"/>
          <w:bCs/>
          <w:color w:val="000000" w:themeColor="text1"/>
          <w:sz w:val="28"/>
        </w:rPr>
        <w:t>38. En este acápite la Sala Plena se ocupará de dos asuntos. El primero, tiene que ver con la aptitud de la demanda y, el segundo, con la solicitud que realizó</w:t>
      </w:r>
      <w:r w:rsidRPr="00DE7CC4">
        <w:rPr>
          <w:rFonts w:ascii="Times New Roman" w:hAnsi="Times New Roman" w:cs="Times New Roman"/>
          <w:bCs/>
          <w:color w:val="000000" w:themeColor="text1"/>
          <w:sz w:val="28"/>
        </w:rPr>
        <w:t xml:space="preserve"> uno de los intervinientes de declarar una medida cautelar en el presente asunto. Antes de emprender este camino, con el objeto de tener claridad sobre la materia objeto de discusión, se procederá a realizar un acápite sobre el alcance y contexto de la dis</w:t>
      </w:r>
      <w:r w:rsidRPr="00DE7CC4">
        <w:rPr>
          <w:rFonts w:ascii="Times New Roman" w:hAnsi="Times New Roman" w:cs="Times New Roman"/>
          <w:bCs/>
          <w:color w:val="000000" w:themeColor="text1"/>
          <w:sz w:val="28"/>
        </w:rPr>
        <w:t>posición demandada</w:t>
      </w:r>
      <w:r w:rsidRPr="00DE7CC4">
        <w:rPr>
          <w:rStyle w:val="Refdenotaalpie"/>
          <w:rFonts w:ascii="Times New Roman" w:hAnsi="Times New Roman"/>
          <w:bCs/>
          <w:color w:val="000000" w:themeColor="text1"/>
          <w:sz w:val="28"/>
        </w:rPr>
        <w:footnoteReference w:id="56"/>
      </w:r>
      <w:r w:rsidRPr="00DE7CC4">
        <w:rPr>
          <w:rFonts w:ascii="Times New Roman" w:hAnsi="Times New Roman" w:cs="Times New Roman"/>
          <w:bCs/>
          <w:color w:val="000000" w:themeColor="text1"/>
          <w:sz w:val="28"/>
        </w:rPr>
        <w:t>.</w:t>
      </w:r>
    </w:p>
    <w:p w:rsidR="00F32ED8" w:rsidRPr="00DE7CC4" w:rsidRDefault="00DE7CC4" w:rsidP="00F32ED8">
      <w:pPr>
        <w:jc w:val="both"/>
        <w:rPr>
          <w:rFonts w:ascii="Times New Roman" w:hAnsi="Times New Roman" w:cs="Times New Roman"/>
          <w:bCs/>
          <w:color w:val="000000" w:themeColor="text1"/>
          <w:sz w:val="28"/>
        </w:rPr>
      </w:pPr>
    </w:p>
    <w:p w:rsidR="00F32ED8" w:rsidRPr="00DE7CC4" w:rsidRDefault="00DE7CC4" w:rsidP="00F32ED8">
      <w:pPr>
        <w:ind w:left="567"/>
        <w:jc w:val="both"/>
        <w:rPr>
          <w:rFonts w:ascii="Times New Roman" w:hAnsi="Times New Roman" w:cs="Times New Roman"/>
          <w:b/>
          <w:color w:val="000000" w:themeColor="text1"/>
          <w:sz w:val="28"/>
        </w:rPr>
      </w:pPr>
      <w:r w:rsidRPr="00DE7CC4">
        <w:rPr>
          <w:rFonts w:ascii="Times New Roman" w:hAnsi="Times New Roman" w:cs="Times New Roman"/>
          <w:b/>
          <w:color w:val="000000" w:themeColor="text1"/>
          <w:sz w:val="28"/>
        </w:rPr>
        <w:t>2.1. Alcance y contexto del artículo 16 de la Ley 2251 de 2022, que subroga el artículo 143 del Código Nacional de Tránsito</w:t>
      </w:r>
    </w:p>
    <w:p w:rsidR="00F32ED8" w:rsidRPr="00DE7CC4" w:rsidRDefault="00DE7CC4" w:rsidP="00F32ED8">
      <w:pPr>
        <w:jc w:val="both"/>
        <w:rPr>
          <w:rFonts w:ascii="Times New Roman" w:hAnsi="Times New Roman" w:cs="Times New Roman"/>
          <w:b/>
          <w:color w:val="000000" w:themeColor="text1"/>
          <w:sz w:val="28"/>
        </w:rPr>
      </w:pPr>
    </w:p>
    <w:p w:rsidR="00F32ED8" w:rsidRPr="00DE7CC4" w:rsidRDefault="00DE7CC4" w:rsidP="00F32ED8">
      <w:pPr>
        <w:jc w:val="both"/>
        <w:rPr>
          <w:rFonts w:ascii="Times New Roman" w:hAnsi="Times New Roman" w:cs="Times New Roman"/>
          <w:color w:val="000000" w:themeColor="text1"/>
          <w:sz w:val="28"/>
        </w:rPr>
      </w:pPr>
      <w:r w:rsidRPr="00DE7CC4">
        <w:rPr>
          <w:rFonts w:ascii="Times New Roman" w:hAnsi="Times New Roman" w:cs="Times New Roman"/>
          <w:color w:val="000000" w:themeColor="text1"/>
          <w:sz w:val="28"/>
        </w:rPr>
        <w:t xml:space="preserve">39. Para el estudio de este acápite la Sala Plena precisará, primero, el impacto que en el sistema normativo </w:t>
      </w:r>
      <w:r w:rsidRPr="00DE7CC4">
        <w:rPr>
          <w:rFonts w:ascii="Times New Roman" w:hAnsi="Times New Roman" w:cs="Times New Roman"/>
          <w:color w:val="000000" w:themeColor="text1"/>
          <w:sz w:val="28"/>
        </w:rPr>
        <w:t>tuvo el artículo demandado, en términos de aquellas disposiciones que fueron afectadas con su aprobación y entrada en vigencia; segundo, el sentido que puede concederse al artículo 16 cuestionado a partir de las discusiones legislativas que motivaron su ad</w:t>
      </w:r>
      <w:r w:rsidRPr="00DE7CC4">
        <w:rPr>
          <w:rFonts w:ascii="Times New Roman" w:hAnsi="Times New Roman" w:cs="Times New Roman"/>
          <w:color w:val="000000" w:themeColor="text1"/>
          <w:sz w:val="28"/>
        </w:rPr>
        <w:t xml:space="preserve">opción, y, finalmente, tercero, qué es lo que materialmente ordena. </w:t>
      </w:r>
    </w:p>
    <w:p w:rsidR="00F32ED8" w:rsidRPr="00DE7CC4" w:rsidRDefault="00DE7CC4" w:rsidP="00F32ED8">
      <w:pPr>
        <w:jc w:val="both"/>
        <w:rPr>
          <w:rFonts w:ascii="Times New Roman" w:hAnsi="Times New Roman" w:cs="Times New Roman"/>
          <w:color w:val="000000" w:themeColor="text1"/>
          <w:sz w:val="28"/>
        </w:rPr>
      </w:pPr>
    </w:p>
    <w:p w:rsidR="00F32ED8" w:rsidRPr="00DE7CC4" w:rsidRDefault="00DE7CC4" w:rsidP="00F32ED8">
      <w:pPr>
        <w:jc w:val="both"/>
        <w:rPr>
          <w:rFonts w:ascii="Times New Roman" w:hAnsi="Times New Roman" w:cs="Times New Roman"/>
          <w:color w:val="000000" w:themeColor="text1"/>
          <w:sz w:val="28"/>
        </w:rPr>
      </w:pPr>
      <w:r w:rsidRPr="00DE7CC4">
        <w:rPr>
          <w:rFonts w:ascii="Times New Roman" w:hAnsi="Times New Roman" w:cs="Times New Roman"/>
          <w:color w:val="000000" w:themeColor="text1"/>
          <w:sz w:val="28"/>
        </w:rPr>
        <w:t xml:space="preserve">40. </w:t>
      </w:r>
      <w:r w:rsidRPr="00DE7CC4">
        <w:rPr>
          <w:rFonts w:ascii="Times New Roman" w:hAnsi="Times New Roman" w:cs="Times New Roman"/>
          <w:b/>
          <w:bCs/>
          <w:color w:val="000000" w:themeColor="text1"/>
          <w:sz w:val="28"/>
        </w:rPr>
        <w:t>Primero</w:t>
      </w:r>
      <w:r w:rsidRPr="00DE7CC4">
        <w:rPr>
          <w:rFonts w:ascii="Times New Roman" w:hAnsi="Times New Roman" w:cs="Times New Roman"/>
          <w:color w:val="000000" w:themeColor="text1"/>
          <w:sz w:val="28"/>
        </w:rPr>
        <w:t xml:space="preserve">. El artículo 16 de la Ley 2251 de 2022 prevé: “[E]l artículo 143 de la Ley 769 de 2002 quedará así (…)” y, a continuación, estipula lo que el nuevo artículo 143 del Código Nacional ordena, por lo cual, técnicamente es posible hablar de una </w:t>
      </w:r>
      <w:r w:rsidRPr="00DE7CC4">
        <w:rPr>
          <w:rFonts w:ascii="Times New Roman" w:hAnsi="Times New Roman" w:cs="Times New Roman"/>
          <w:i/>
          <w:iCs/>
          <w:color w:val="000000" w:themeColor="text1"/>
          <w:sz w:val="28"/>
        </w:rPr>
        <w:t>subrogación</w:t>
      </w:r>
      <w:r w:rsidRPr="00DE7CC4">
        <w:rPr>
          <w:rStyle w:val="Refdenotaalpie"/>
          <w:rFonts w:ascii="Times New Roman" w:hAnsi="Times New Roman"/>
          <w:color w:val="000000" w:themeColor="text1"/>
          <w:sz w:val="28"/>
        </w:rPr>
        <w:footnoteReference w:id="57"/>
      </w:r>
      <w:r w:rsidRPr="00DE7CC4">
        <w:rPr>
          <w:rFonts w:ascii="Times New Roman" w:hAnsi="Times New Roman" w:cs="Times New Roman"/>
          <w:i/>
          <w:iCs/>
          <w:color w:val="000000" w:themeColor="text1"/>
          <w:sz w:val="28"/>
        </w:rPr>
        <w:t>.</w:t>
      </w:r>
      <w:r w:rsidRPr="00DE7CC4">
        <w:rPr>
          <w:rFonts w:ascii="Times New Roman" w:hAnsi="Times New Roman" w:cs="Times New Roman"/>
          <w:color w:val="000000" w:themeColor="text1"/>
          <w:sz w:val="28"/>
        </w:rPr>
        <w:t xml:space="preserve"> P</w:t>
      </w:r>
      <w:r w:rsidRPr="00DE7CC4">
        <w:rPr>
          <w:rFonts w:ascii="Times New Roman" w:hAnsi="Times New Roman" w:cs="Times New Roman"/>
          <w:color w:val="000000" w:themeColor="text1"/>
          <w:sz w:val="28"/>
        </w:rPr>
        <w:t xml:space="preserve">ara aclarar cuál es el alcance de esta última, es necesario hacer referencia al régimen previo sobre el procedimiento en caso de daños a cosas -capítulo VI-, ubicado en el título de sanciones y procedimientos del Código Nacional de Tránsito. </w:t>
      </w:r>
    </w:p>
    <w:p w:rsidR="00F32ED8" w:rsidRPr="00DE7CC4" w:rsidRDefault="00DE7CC4" w:rsidP="00F32ED8">
      <w:pPr>
        <w:jc w:val="both"/>
        <w:rPr>
          <w:rFonts w:ascii="Times New Roman" w:hAnsi="Times New Roman" w:cs="Times New Roman"/>
          <w:color w:val="000000" w:themeColor="text1"/>
          <w:sz w:val="28"/>
        </w:rPr>
      </w:pPr>
    </w:p>
    <w:p w:rsidR="00F32ED8" w:rsidRPr="00DE7CC4" w:rsidRDefault="00DE7CC4" w:rsidP="00F32ED8">
      <w:pPr>
        <w:jc w:val="both"/>
        <w:rPr>
          <w:rFonts w:ascii="Times New Roman" w:hAnsi="Times New Roman" w:cs="Times New Roman"/>
          <w:color w:val="000000" w:themeColor="text1"/>
          <w:sz w:val="28"/>
        </w:rPr>
      </w:pPr>
      <w:r w:rsidRPr="00DE7CC4">
        <w:rPr>
          <w:rFonts w:ascii="Times New Roman" w:hAnsi="Times New Roman" w:cs="Times New Roman"/>
          <w:color w:val="000000" w:themeColor="text1"/>
          <w:sz w:val="28"/>
        </w:rPr>
        <w:t>41. En el ma</w:t>
      </w:r>
      <w:r w:rsidRPr="00DE7CC4">
        <w:rPr>
          <w:rFonts w:ascii="Times New Roman" w:hAnsi="Times New Roman" w:cs="Times New Roman"/>
          <w:color w:val="000000" w:themeColor="text1"/>
          <w:sz w:val="28"/>
        </w:rPr>
        <w:t xml:space="preserve">rco de la Ley 769 de 2002, la regulación de aquello que debía hacerse ante un accidente de tránsito que arrojara exclusivamente daños materiales estaba prevista principalmente en el artículo 143, el cual, </w:t>
      </w:r>
      <w:r w:rsidRPr="00DE7CC4">
        <w:rPr>
          <w:rFonts w:ascii="Times New Roman" w:hAnsi="Times New Roman" w:cs="Times New Roman"/>
          <w:i/>
          <w:iCs/>
          <w:color w:val="000000" w:themeColor="text1"/>
          <w:sz w:val="28"/>
        </w:rPr>
        <w:t>formalmente</w:t>
      </w:r>
      <w:r w:rsidRPr="00DE7CC4">
        <w:rPr>
          <w:rFonts w:ascii="Times New Roman" w:hAnsi="Times New Roman" w:cs="Times New Roman"/>
          <w:color w:val="000000" w:themeColor="text1"/>
          <w:sz w:val="28"/>
        </w:rPr>
        <w:t>, no había sido modificado con anteriori</w:t>
      </w:r>
      <w:r w:rsidRPr="00DE7CC4">
        <w:rPr>
          <w:rFonts w:ascii="Times New Roman" w:hAnsi="Times New Roman" w:cs="Times New Roman"/>
          <w:color w:val="000000" w:themeColor="text1"/>
          <w:sz w:val="28"/>
        </w:rPr>
        <w:t>dad a la Ley 2251 de 2022. La referida disposición establecía que, en el tipo de accidente mencionado, (i) considerado como aquél en el que solo se afectan vehículos, inmuebles, cosas o animales “y no se produzcan lesiones personales”, (ii)  era obligación</w:t>
      </w:r>
      <w:r w:rsidRPr="00DE7CC4">
        <w:rPr>
          <w:rFonts w:ascii="Times New Roman" w:hAnsi="Times New Roman" w:cs="Times New Roman"/>
          <w:color w:val="000000" w:themeColor="text1"/>
          <w:sz w:val="28"/>
        </w:rPr>
        <w:t xml:space="preserve"> de los conductores detenerse y entregarle a la autoridad presente una serie de datos sobre su identificación, documentos habilitantes para conducir, entre otros. Se indicaba, además, que (iii) “[l]os conductores y demás implicados podrán conciliar sus int</w:t>
      </w:r>
      <w:r w:rsidRPr="00DE7CC4">
        <w:rPr>
          <w:rFonts w:ascii="Times New Roman" w:hAnsi="Times New Roman" w:cs="Times New Roman"/>
          <w:color w:val="000000" w:themeColor="text1"/>
          <w:sz w:val="28"/>
        </w:rPr>
        <w:t xml:space="preserve">ereses en los centros de conciliación legalmente constituidos y acudir a las compañías aseguradoras, previa extensión de un acta que suscribirán las partes y la autoridad de tránsito que presencie la conciliación, la cual tiene la calidad de cosa juzgada, </w:t>
      </w:r>
      <w:r w:rsidRPr="00DE7CC4">
        <w:rPr>
          <w:rFonts w:ascii="Times New Roman" w:hAnsi="Times New Roman" w:cs="Times New Roman"/>
          <w:color w:val="000000" w:themeColor="text1"/>
          <w:sz w:val="28"/>
        </w:rPr>
        <w:t>y prestará mérito ejecutivo”. Finalmente, señalaba que (iv) los vehículos comprometidos y otros elementos que interrumpieran el tránsito, debían retirarse de manera inmediata</w:t>
      </w:r>
      <w:r w:rsidRPr="00DE7CC4">
        <w:rPr>
          <w:rStyle w:val="Refdenotaalpie"/>
          <w:rFonts w:ascii="Times New Roman" w:hAnsi="Times New Roman"/>
          <w:color w:val="000000" w:themeColor="text1"/>
          <w:sz w:val="28"/>
        </w:rPr>
        <w:footnoteReference w:id="58"/>
      </w:r>
      <w:r w:rsidRPr="00DE7CC4">
        <w:rPr>
          <w:rFonts w:ascii="Times New Roman" w:hAnsi="Times New Roman" w:cs="Times New Roman"/>
          <w:color w:val="000000" w:themeColor="text1"/>
          <w:sz w:val="28"/>
        </w:rPr>
        <w:t>.</w:t>
      </w:r>
    </w:p>
    <w:p w:rsidR="00F32ED8" w:rsidRPr="00DE7CC4" w:rsidRDefault="00DE7CC4" w:rsidP="00F32ED8">
      <w:pPr>
        <w:jc w:val="both"/>
        <w:rPr>
          <w:rFonts w:ascii="Times New Roman" w:hAnsi="Times New Roman" w:cs="Times New Roman"/>
          <w:color w:val="000000" w:themeColor="text1"/>
          <w:sz w:val="28"/>
        </w:rPr>
      </w:pPr>
    </w:p>
    <w:p w:rsidR="00F32ED8" w:rsidRPr="00DE7CC4" w:rsidRDefault="00DE7CC4" w:rsidP="00F32ED8">
      <w:pPr>
        <w:jc w:val="both"/>
        <w:rPr>
          <w:rFonts w:ascii="Times New Roman" w:hAnsi="Times New Roman" w:cs="Times New Roman"/>
          <w:color w:val="000000" w:themeColor="text1"/>
          <w:sz w:val="28"/>
        </w:rPr>
      </w:pPr>
      <w:r w:rsidRPr="00DE7CC4">
        <w:rPr>
          <w:rFonts w:ascii="Times New Roman" w:hAnsi="Times New Roman" w:cs="Times New Roman"/>
          <w:color w:val="000000" w:themeColor="text1"/>
          <w:sz w:val="28"/>
        </w:rPr>
        <w:t>42. Como complemento a lo anterior, el artículo 144 -aún vigente-</w:t>
      </w:r>
      <w:r w:rsidRPr="00DE7CC4">
        <w:rPr>
          <w:rStyle w:val="Refdenotaalpie"/>
          <w:rFonts w:ascii="Times New Roman" w:hAnsi="Times New Roman"/>
          <w:color w:val="000000" w:themeColor="text1"/>
          <w:sz w:val="28"/>
        </w:rPr>
        <w:footnoteReference w:id="59"/>
      </w:r>
      <w:r w:rsidRPr="00DE7CC4">
        <w:rPr>
          <w:rFonts w:ascii="Times New Roman" w:hAnsi="Times New Roman" w:cs="Times New Roman"/>
          <w:color w:val="000000" w:themeColor="text1"/>
          <w:sz w:val="28"/>
        </w:rPr>
        <w:t xml:space="preserve"> prevé que, </w:t>
      </w:r>
      <w:r w:rsidRPr="00DE7CC4">
        <w:rPr>
          <w:rFonts w:ascii="Times New Roman" w:hAnsi="Times New Roman" w:cs="Times New Roman"/>
          <w:color w:val="000000" w:themeColor="text1"/>
          <w:sz w:val="28"/>
        </w:rPr>
        <w:t>en el evento de no lograr la conciliación entre los conductores, (i) el agente de tránsito, (ii) debe levantar un informe “descriptivo” de sus pormenores, con copia a los conductores. Precisa que dicho informe (iii) debe tener, por lo menos, los siguientes</w:t>
      </w:r>
      <w:r w:rsidRPr="00DE7CC4">
        <w:rPr>
          <w:rFonts w:ascii="Times New Roman" w:hAnsi="Times New Roman" w:cs="Times New Roman"/>
          <w:color w:val="000000" w:themeColor="text1"/>
          <w:sz w:val="28"/>
        </w:rPr>
        <w:t xml:space="preserve"> datos: </w:t>
      </w:r>
    </w:p>
    <w:p w:rsidR="00F32ED8" w:rsidRPr="00DE7CC4" w:rsidRDefault="00DE7CC4" w:rsidP="00F32ED8">
      <w:pPr>
        <w:jc w:val="both"/>
        <w:rPr>
          <w:rFonts w:ascii="Times New Roman" w:hAnsi="Times New Roman" w:cs="Times New Roman"/>
          <w:color w:val="000000" w:themeColor="text1"/>
          <w:sz w:val="28"/>
        </w:rPr>
      </w:pPr>
    </w:p>
    <w:p w:rsidR="00F32ED8" w:rsidRPr="00DE7CC4" w:rsidRDefault="00DE7CC4" w:rsidP="00F32ED8">
      <w:pPr>
        <w:pStyle w:val="NormalWeb"/>
        <w:ind w:left="567" w:right="335"/>
        <w:jc w:val="both"/>
        <w:rPr>
          <w:rFonts w:ascii="Times New Roman" w:hAnsi="Times New Roman" w:cs="Times New Roman"/>
          <w:color w:val="000000" w:themeColor="text1"/>
          <w:sz w:val="28"/>
        </w:rPr>
      </w:pPr>
      <w:r w:rsidRPr="00DE7CC4">
        <w:rPr>
          <w:rFonts w:ascii="Times New Roman" w:hAnsi="Times New Roman" w:cs="Times New Roman"/>
          <w:color w:val="000000" w:themeColor="text1"/>
          <w:sz w:val="28"/>
        </w:rPr>
        <w:t>“Lugar, fecha y hora en que ocurrió el hecho.</w:t>
      </w:r>
    </w:p>
    <w:p w:rsidR="00F32ED8" w:rsidRPr="00DE7CC4" w:rsidRDefault="00DE7CC4" w:rsidP="00F32ED8">
      <w:pPr>
        <w:pStyle w:val="NormalWeb"/>
        <w:ind w:left="567" w:right="335"/>
        <w:jc w:val="both"/>
        <w:rPr>
          <w:rFonts w:ascii="Times New Roman" w:hAnsi="Times New Roman" w:cs="Times New Roman"/>
          <w:color w:val="000000" w:themeColor="text1"/>
          <w:sz w:val="28"/>
        </w:rPr>
      </w:pPr>
      <w:r w:rsidRPr="00DE7CC4">
        <w:rPr>
          <w:rFonts w:ascii="Times New Roman" w:hAnsi="Times New Roman" w:cs="Times New Roman"/>
          <w:color w:val="000000" w:themeColor="text1"/>
          <w:sz w:val="28"/>
        </w:rPr>
        <w:t>Clase de vehículo, número de la placa y demás características.</w:t>
      </w:r>
    </w:p>
    <w:p w:rsidR="00F32ED8" w:rsidRPr="00DE7CC4" w:rsidRDefault="00DE7CC4" w:rsidP="00F32ED8">
      <w:pPr>
        <w:pStyle w:val="NormalWeb"/>
        <w:ind w:left="567" w:right="335"/>
        <w:jc w:val="both"/>
        <w:rPr>
          <w:rFonts w:ascii="Times New Roman" w:hAnsi="Times New Roman" w:cs="Times New Roman"/>
          <w:color w:val="000000" w:themeColor="text1"/>
          <w:sz w:val="28"/>
        </w:rPr>
      </w:pPr>
      <w:r w:rsidRPr="00DE7CC4">
        <w:rPr>
          <w:rFonts w:ascii="Times New Roman" w:hAnsi="Times New Roman" w:cs="Times New Roman"/>
          <w:color w:val="000000" w:themeColor="text1"/>
          <w:sz w:val="28"/>
        </w:rPr>
        <w:t>Nombre del conductor o conductores, documento de identidad, número de la licencia o licencias de conducción, lugar y fecha de expedición,</w:t>
      </w:r>
      <w:r w:rsidRPr="00DE7CC4">
        <w:rPr>
          <w:rFonts w:ascii="Times New Roman" w:hAnsi="Times New Roman" w:cs="Times New Roman"/>
          <w:color w:val="000000" w:themeColor="text1"/>
          <w:sz w:val="28"/>
        </w:rPr>
        <w:t xml:space="preserve"> dirección, teléfono, domicilio o residencia de los involucrados.</w:t>
      </w:r>
    </w:p>
    <w:p w:rsidR="00F32ED8" w:rsidRPr="00DE7CC4" w:rsidRDefault="00DE7CC4" w:rsidP="00F32ED8">
      <w:pPr>
        <w:pStyle w:val="NormalWeb"/>
        <w:ind w:left="567" w:right="335"/>
        <w:jc w:val="both"/>
        <w:rPr>
          <w:rFonts w:ascii="Times New Roman" w:hAnsi="Times New Roman" w:cs="Times New Roman"/>
          <w:color w:val="000000" w:themeColor="text1"/>
          <w:sz w:val="28"/>
        </w:rPr>
      </w:pPr>
      <w:r w:rsidRPr="00DE7CC4">
        <w:rPr>
          <w:rFonts w:ascii="Times New Roman" w:hAnsi="Times New Roman" w:cs="Times New Roman"/>
          <w:color w:val="000000" w:themeColor="text1"/>
          <w:sz w:val="28"/>
        </w:rPr>
        <w:t>Nombre del propietario o tenedor del vehículo o de los propietarios o tenedores de los vehículos.</w:t>
      </w:r>
    </w:p>
    <w:p w:rsidR="00F32ED8" w:rsidRPr="00DE7CC4" w:rsidRDefault="00DE7CC4" w:rsidP="00F32ED8">
      <w:pPr>
        <w:pStyle w:val="NormalWeb"/>
        <w:ind w:left="567" w:right="335"/>
        <w:jc w:val="both"/>
        <w:rPr>
          <w:rFonts w:ascii="Times New Roman" w:hAnsi="Times New Roman" w:cs="Times New Roman"/>
          <w:color w:val="000000" w:themeColor="text1"/>
          <w:sz w:val="28"/>
        </w:rPr>
      </w:pPr>
      <w:r w:rsidRPr="00DE7CC4">
        <w:rPr>
          <w:rFonts w:ascii="Times New Roman" w:hAnsi="Times New Roman" w:cs="Times New Roman"/>
          <w:color w:val="000000" w:themeColor="text1"/>
          <w:sz w:val="28"/>
        </w:rPr>
        <w:t>Nombre, documento de identidad y dirección de los testigos.</w:t>
      </w:r>
    </w:p>
    <w:p w:rsidR="00F32ED8" w:rsidRPr="00DE7CC4" w:rsidRDefault="00DE7CC4" w:rsidP="00F32ED8">
      <w:pPr>
        <w:pStyle w:val="NormalWeb"/>
        <w:ind w:left="567" w:right="335"/>
        <w:jc w:val="both"/>
        <w:rPr>
          <w:rFonts w:ascii="Times New Roman" w:hAnsi="Times New Roman" w:cs="Times New Roman"/>
          <w:color w:val="000000" w:themeColor="text1"/>
          <w:sz w:val="28"/>
        </w:rPr>
      </w:pPr>
      <w:r w:rsidRPr="00DE7CC4">
        <w:rPr>
          <w:rFonts w:ascii="Times New Roman" w:hAnsi="Times New Roman" w:cs="Times New Roman"/>
          <w:color w:val="000000" w:themeColor="text1"/>
          <w:sz w:val="28"/>
        </w:rPr>
        <w:t>Estado de seguridad, en general,</w:t>
      </w:r>
      <w:r w:rsidRPr="00DE7CC4">
        <w:rPr>
          <w:rFonts w:ascii="Times New Roman" w:hAnsi="Times New Roman" w:cs="Times New Roman"/>
          <w:color w:val="000000" w:themeColor="text1"/>
          <w:sz w:val="28"/>
        </w:rPr>
        <w:t xml:space="preserve"> del vehículo o de los vehículos, de los frenos, de la dirección, de las luces, bocinas y llantas.</w:t>
      </w:r>
    </w:p>
    <w:p w:rsidR="00F32ED8" w:rsidRPr="00DE7CC4" w:rsidRDefault="00DE7CC4" w:rsidP="00F32ED8">
      <w:pPr>
        <w:pStyle w:val="NormalWeb"/>
        <w:ind w:left="567" w:right="335"/>
        <w:jc w:val="both"/>
        <w:rPr>
          <w:rFonts w:ascii="Times New Roman" w:hAnsi="Times New Roman" w:cs="Times New Roman"/>
          <w:color w:val="000000" w:themeColor="text1"/>
          <w:sz w:val="28"/>
        </w:rPr>
      </w:pPr>
      <w:r w:rsidRPr="00DE7CC4">
        <w:rPr>
          <w:rFonts w:ascii="Times New Roman" w:hAnsi="Times New Roman" w:cs="Times New Roman"/>
          <w:color w:val="000000" w:themeColor="text1"/>
          <w:sz w:val="28"/>
        </w:rPr>
        <w:t>Estado de la vía, huella de frenada, grado de visibilidad, colocación de los vehículos y distancia, entre otros, la cual constará en el croquis</w:t>
      </w:r>
      <w:r w:rsidRPr="00DE7CC4">
        <w:rPr>
          <w:rStyle w:val="Refdenotaalpie"/>
          <w:rFonts w:ascii="Times New Roman" w:hAnsi="Times New Roman"/>
          <w:color w:val="000000" w:themeColor="text1"/>
          <w:sz w:val="28"/>
        </w:rPr>
        <w:footnoteReference w:id="60"/>
      </w:r>
      <w:r w:rsidRPr="00DE7CC4">
        <w:rPr>
          <w:rFonts w:ascii="Times New Roman" w:hAnsi="Times New Roman" w:cs="Times New Roman"/>
          <w:color w:val="000000" w:themeColor="text1"/>
          <w:sz w:val="28"/>
        </w:rPr>
        <w:t xml:space="preserve"> levantado.</w:t>
      </w:r>
    </w:p>
    <w:p w:rsidR="00F32ED8" w:rsidRPr="00DE7CC4" w:rsidRDefault="00DE7CC4" w:rsidP="00F32ED8">
      <w:pPr>
        <w:pStyle w:val="NormalWeb"/>
        <w:ind w:left="567" w:right="335"/>
        <w:jc w:val="both"/>
        <w:rPr>
          <w:rFonts w:ascii="Times New Roman" w:hAnsi="Times New Roman" w:cs="Times New Roman"/>
          <w:color w:val="000000" w:themeColor="text1"/>
          <w:sz w:val="28"/>
        </w:rPr>
      </w:pPr>
      <w:r w:rsidRPr="00DE7CC4">
        <w:rPr>
          <w:rFonts w:ascii="Times New Roman" w:hAnsi="Times New Roman" w:cs="Times New Roman"/>
          <w:color w:val="000000" w:themeColor="text1"/>
          <w:sz w:val="28"/>
        </w:rPr>
        <w:t>D</w:t>
      </w:r>
      <w:r w:rsidRPr="00DE7CC4">
        <w:rPr>
          <w:rFonts w:ascii="Times New Roman" w:hAnsi="Times New Roman" w:cs="Times New Roman"/>
          <w:color w:val="000000" w:themeColor="text1"/>
          <w:sz w:val="28"/>
        </w:rPr>
        <w:t>escripción de los daños y lesiones.</w:t>
      </w:r>
    </w:p>
    <w:p w:rsidR="00F32ED8" w:rsidRPr="00DE7CC4" w:rsidRDefault="00DE7CC4" w:rsidP="00F32ED8">
      <w:pPr>
        <w:pStyle w:val="NormalWeb"/>
        <w:ind w:left="567" w:right="335"/>
        <w:jc w:val="both"/>
        <w:rPr>
          <w:rFonts w:ascii="Times New Roman" w:hAnsi="Times New Roman" w:cs="Times New Roman"/>
          <w:color w:val="000000" w:themeColor="text1"/>
          <w:sz w:val="28"/>
        </w:rPr>
      </w:pPr>
      <w:r w:rsidRPr="00DE7CC4">
        <w:rPr>
          <w:rFonts w:ascii="Times New Roman" w:hAnsi="Times New Roman" w:cs="Times New Roman"/>
          <w:color w:val="000000" w:themeColor="text1"/>
          <w:sz w:val="28"/>
        </w:rPr>
        <w:t>Relación de los medios de prueba aportados por las partes.</w:t>
      </w:r>
    </w:p>
    <w:p w:rsidR="00F32ED8" w:rsidRPr="00DE7CC4" w:rsidRDefault="00DE7CC4" w:rsidP="00F32ED8">
      <w:pPr>
        <w:pStyle w:val="NormalWeb"/>
        <w:ind w:left="567" w:right="335"/>
        <w:jc w:val="both"/>
        <w:rPr>
          <w:rFonts w:ascii="Times New Roman" w:hAnsi="Times New Roman" w:cs="Times New Roman"/>
          <w:color w:val="000000" w:themeColor="text1"/>
          <w:sz w:val="28"/>
        </w:rPr>
      </w:pPr>
      <w:r w:rsidRPr="00DE7CC4">
        <w:rPr>
          <w:rFonts w:ascii="Times New Roman" w:hAnsi="Times New Roman" w:cs="Times New Roman"/>
          <w:color w:val="000000" w:themeColor="text1"/>
          <w:sz w:val="28"/>
        </w:rPr>
        <w:t>Descripción de las compañías de seguros y números de las pólizas de los seguros obligatorios exigidos por este código”.</w:t>
      </w:r>
    </w:p>
    <w:p w:rsidR="00F32ED8" w:rsidRPr="00DE7CC4" w:rsidRDefault="00DE7CC4" w:rsidP="00F32ED8">
      <w:pPr>
        <w:pStyle w:val="NormalWeb"/>
        <w:ind w:right="335"/>
        <w:jc w:val="both"/>
        <w:rPr>
          <w:rFonts w:ascii="Times New Roman" w:hAnsi="Times New Roman" w:cs="Times New Roman"/>
          <w:color w:val="000000" w:themeColor="text1"/>
          <w:sz w:val="28"/>
        </w:rPr>
      </w:pPr>
    </w:p>
    <w:p w:rsidR="00F32ED8" w:rsidRPr="00DE7CC4" w:rsidRDefault="00DE7CC4" w:rsidP="00F32ED8">
      <w:pPr>
        <w:pStyle w:val="NormalWeb"/>
        <w:ind w:right="49"/>
        <w:jc w:val="both"/>
        <w:rPr>
          <w:rFonts w:ascii="Times New Roman" w:hAnsi="Times New Roman" w:cs="Times New Roman"/>
          <w:color w:val="000000" w:themeColor="text1"/>
          <w:sz w:val="28"/>
        </w:rPr>
      </w:pPr>
      <w:r w:rsidRPr="00DE7CC4">
        <w:rPr>
          <w:rFonts w:ascii="Times New Roman" w:hAnsi="Times New Roman" w:cs="Times New Roman"/>
          <w:color w:val="000000" w:themeColor="text1"/>
          <w:sz w:val="28"/>
        </w:rPr>
        <w:t xml:space="preserve">43. Ahora bien, como consecuencia de la </w:t>
      </w:r>
      <w:r w:rsidRPr="00DE7CC4">
        <w:rPr>
          <w:rFonts w:ascii="Times New Roman" w:hAnsi="Times New Roman" w:cs="Times New Roman"/>
          <w:color w:val="000000" w:themeColor="text1"/>
          <w:sz w:val="28"/>
        </w:rPr>
        <w:t>expedición de la Ley 2161 de 2021</w:t>
      </w:r>
      <w:r w:rsidRPr="00DE7CC4">
        <w:rPr>
          <w:rStyle w:val="Refdenotaalpie"/>
          <w:rFonts w:ascii="Times New Roman" w:hAnsi="Times New Roman"/>
          <w:color w:val="000000" w:themeColor="text1"/>
          <w:sz w:val="28"/>
        </w:rPr>
        <w:footnoteReference w:id="61"/>
      </w:r>
      <w:r w:rsidRPr="00DE7CC4">
        <w:rPr>
          <w:rFonts w:ascii="Times New Roman" w:hAnsi="Times New Roman" w:cs="Times New Roman"/>
          <w:color w:val="000000" w:themeColor="text1"/>
          <w:sz w:val="28"/>
        </w:rPr>
        <w:t xml:space="preserve"> la regulación sobre aquello que debía hacerse tras un accidente de tránsito con daños exclusivamente materiales se había modificado parcialmente </w:t>
      </w:r>
      <w:r w:rsidRPr="00DE7CC4">
        <w:rPr>
          <w:rFonts w:ascii="Times New Roman" w:hAnsi="Times New Roman" w:cs="Times New Roman"/>
          <w:color w:val="000000" w:themeColor="text1"/>
          <w:sz w:val="28"/>
        </w:rPr>
        <w:t>–</w:t>
      </w:r>
      <w:r w:rsidRPr="00DE7CC4">
        <w:rPr>
          <w:rFonts w:ascii="Times New Roman" w:hAnsi="Times New Roman" w:cs="Times New Roman"/>
          <w:color w:val="000000" w:themeColor="text1"/>
          <w:sz w:val="28"/>
        </w:rPr>
        <w:t>aunque esto no se reflejara literalmente en el artículo 143 del Código Naci</w:t>
      </w:r>
      <w:r w:rsidRPr="00DE7CC4">
        <w:rPr>
          <w:rFonts w:ascii="Times New Roman" w:hAnsi="Times New Roman" w:cs="Times New Roman"/>
          <w:color w:val="000000" w:themeColor="text1"/>
          <w:sz w:val="28"/>
        </w:rPr>
        <w:t>onal de Tránsito-</w:t>
      </w:r>
      <w:r w:rsidRPr="00DE7CC4">
        <w:rPr>
          <w:rFonts w:ascii="Times New Roman" w:hAnsi="Times New Roman" w:cs="Times New Roman"/>
          <w:color w:val="000000" w:themeColor="text1"/>
          <w:sz w:val="28"/>
        </w:rPr>
        <w:t>–</w:t>
      </w:r>
      <w:r w:rsidRPr="00DE7CC4">
        <w:rPr>
          <w:rFonts w:ascii="Times New Roman" w:hAnsi="Times New Roman" w:cs="Times New Roman"/>
          <w:color w:val="000000" w:themeColor="text1"/>
          <w:sz w:val="28"/>
        </w:rPr>
        <w:t xml:space="preserve">. En particular, el artículo 12 adicionó el artículo 143A al Código Nacional de Tránsito con el objeto de regular el curso de acción ante este tipo de accidente pero que involucrara </w:t>
      </w:r>
      <w:r w:rsidRPr="00DE7CC4">
        <w:rPr>
          <w:rFonts w:ascii="Times New Roman" w:hAnsi="Times New Roman" w:cs="Times New Roman"/>
          <w:i/>
          <w:iCs/>
          <w:color w:val="000000" w:themeColor="text1"/>
          <w:sz w:val="28"/>
        </w:rPr>
        <w:t xml:space="preserve">vehículos asegurados. </w:t>
      </w:r>
      <w:r w:rsidRPr="00DE7CC4">
        <w:rPr>
          <w:rFonts w:ascii="Times New Roman" w:hAnsi="Times New Roman" w:cs="Times New Roman"/>
          <w:color w:val="000000" w:themeColor="text1"/>
          <w:sz w:val="28"/>
        </w:rPr>
        <w:t xml:space="preserve">En este evento, se previó: </w:t>
      </w:r>
    </w:p>
    <w:p w:rsidR="00F32ED8" w:rsidRPr="00DE7CC4" w:rsidRDefault="00DE7CC4" w:rsidP="00F32ED8">
      <w:pPr>
        <w:pStyle w:val="NormalWeb"/>
        <w:ind w:right="49"/>
        <w:jc w:val="both"/>
        <w:rPr>
          <w:rFonts w:ascii="Times New Roman" w:hAnsi="Times New Roman" w:cs="Times New Roman"/>
          <w:color w:val="000000" w:themeColor="text1"/>
          <w:sz w:val="28"/>
        </w:rPr>
      </w:pPr>
    </w:p>
    <w:p w:rsidR="00F32ED8" w:rsidRPr="00DE7CC4" w:rsidRDefault="00DE7CC4" w:rsidP="00F32ED8">
      <w:pPr>
        <w:pStyle w:val="NormalWeb"/>
        <w:ind w:left="567" w:right="333"/>
        <w:jc w:val="both"/>
        <w:rPr>
          <w:rFonts w:ascii="Times New Roman" w:hAnsi="Times New Roman" w:cs="Times New Roman"/>
          <w:color w:val="000000" w:themeColor="text1"/>
          <w:sz w:val="28"/>
        </w:rPr>
      </w:pPr>
      <w:r w:rsidRPr="00DE7CC4">
        <w:rPr>
          <w:rStyle w:val="baj"/>
          <w:rFonts w:ascii="Times New Roman" w:hAnsi="Times New Roman" w:cs="Times New Roman"/>
          <w:b/>
          <w:bCs/>
          <w:color w:val="000000" w:themeColor="text1"/>
          <w:sz w:val="28"/>
        </w:rPr>
        <w:t>“Artí</w:t>
      </w:r>
      <w:r w:rsidRPr="00DE7CC4">
        <w:rPr>
          <w:rStyle w:val="baj"/>
          <w:rFonts w:ascii="Times New Roman" w:hAnsi="Times New Roman" w:cs="Times New Roman"/>
          <w:b/>
          <w:bCs/>
          <w:color w:val="000000" w:themeColor="text1"/>
          <w:sz w:val="28"/>
        </w:rPr>
        <w:t>culo 143A. Daños materiales en vehículos asegurados. </w:t>
      </w:r>
      <w:r w:rsidRPr="00DE7CC4">
        <w:rPr>
          <w:rFonts w:ascii="Times New Roman" w:hAnsi="Times New Roman" w:cs="Times New Roman"/>
          <w:color w:val="000000" w:themeColor="text1"/>
          <w:sz w:val="28"/>
        </w:rPr>
        <w:t>En caso de daños materiales en los que solo resulten afectados vehículos asegurados, inmuebles, cosas o animales y no se produzcan lesiones personales, se hará el retiro inmediato de los vehículos colisi</w:t>
      </w:r>
      <w:r w:rsidRPr="00DE7CC4">
        <w:rPr>
          <w:rFonts w:ascii="Times New Roman" w:hAnsi="Times New Roman" w:cs="Times New Roman"/>
          <w:color w:val="000000" w:themeColor="text1"/>
          <w:sz w:val="28"/>
        </w:rPr>
        <w:t>onados y todo el elemento que pueda interrumpir el tránsito. Los conductores y demás implicados podrán conciliar sus intereses y acudir a las compañías aseguradoras, utilizando para tal fin herramientas técnicas y tecnológicas sin que para este fin se requ</w:t>
      </w:r>
      <w:r w:rsidRPr="00DE7CC4">
        <w:rPr>
          <w:rFonts w:ascii="Times New Roman" w:hAnsi="Times New Roman" w:cs="Times New Roman"/>
          <w:color w:val="000000" w:themeColor="text1"/>
          <w:sz w:val="28"/>
        </w:rPr>
        <w:t>iera la suscripción de documento alguno por parte de la autoridad de tránsito.</w:t>
      </w:r>
    </w:p>
    <w:p w:rsidR="00F32ED8" w:rsidRPr="00DE7CC4" w:rsidRDefault="00DE7CC4" w:rsidP="00F32ED8">
      <w:pPr>
        <w:pStyle w:val="NormalWeb"/>
        <w:ind w:left="567" w:right="333"/>
        <w:jc w:val="both"/>
        <w:rPr>
          <w:rFonts w:ascii="Times New Roman" w:hAnsi="Times New Roman" w:cs="Times New Roman"/>
          <w:color w:val="000000" w:themeColor="text1"/>
          <w:sz w:val="28"/>
        </w:rPr>
      </w:pPr>
      <w:r w:rsidRPr="00DE7CC4">
        <w:rPr>
          <w:rFonts w:ascii="Times New Roman" w:hAnsi="Times New Roman" w:cs="Times New Roman"/>
          <w:color w:val="000000" w:themeColor="text1"/>
          <w:sz w:val="28"/>
        </w:rPr>
        <w:t>Los vehículos solo podrán permanecer sobre la vía afectando el tráfico, por el tiempo necesario para la toma de estas pruebas por parte de los conductores o interesados. Corresp</w:t>
      </w:r>
      <w:r w:rsidRPr="00DE7CC4">
        <w:rPr>
          <w:rFonts w:ascii="Times New Roman" w:hAnsi="Times New Roman" w:cs="Times New Roman"/>
          <w:color w:val="000000" w:themeColor="text1"/>
          <w:sz w:val="28"/>
        </w:rPr>
        <w:t xml:space="preserve">onderá a las compañías aseguradoras adoptar las modificaciones al contrato de seguro y los procedimientos que permitan la celebración de estos acuerdos y el pago de las primas de seguro, sin que a esta finalidad pueda oponerse la ausencia del documento de </w:t>
      </w:r>
      <w:r w:rsidRPr="00DE7CC4">
        <w:rPr>
          <w:rFonts w:ascii="Times New Roman" w:hAnsi="Times New Roman" w:cs="Times New Roman"/>
          <w:color w:val="000000" w:themeColor="text1"/>
          <w:sz w:val="28"/>
        </w:rPr>
        <w:t>la autoridad de tránsito”.</w:t>
      </w:r>
    </w:p>
    <w:p w:rsidR="00F32ED8" w:rsidRPr="00DE7CC4" w:rsidRDefault="00DE7CC4" w:rsidP="00F32ED8">
      <w:pPr>
        <w:pStyle w:val="NormalWeb"/>
        <w:ind w:right="49"/>
        <w:jc w:val="both"/>
        <w:rPr>
          <w:rFonts w:ascii="Times New Roman" w:hAnsi="Times New Roman" w:cs="Times New Roman"/>
          <w:color w:val="000000" w:themeColor="text1"/>
          <w:sz w:val="28"/>
        </w:rPr>
      </w:pPr>
    </w:p>
    <w:p w:rsidR="00F32ED8" w:rsidRPr="00DE7CC4" w:rsidRDefault="00DE7CC4" w:rsidP="00F32ED8">
      <w:pPr>
        <w:pStyle w:val="NormalWeb"/>
        <w:ind w:right="49"/>
        <w:jc w:val="both"/>
        <w:rPr>
          <w:rFonts w:ascii="Times New Roman" w:hAnsi="Times New Roman" w:cs="Times New Roman"/>
          <w:color w:val="000000" w:themeColor="text1"/>
          <w:sz w:val="28"/>
        </w:rPr>
      </w:pPr>
      <w:r w:rsidRPr="00DE7CC4">
        <w:rPr>
          <w:rFonts w:ascii="Times New Roman" w:hAnsi="Times New Roman" w:cs="Times New Roman"/>
          <w:color w:val="000000" w:themeColor="text1"/>
          <w:sz w:val="28"/>
        </w:rPr>
        <w:t>44. Ahora bien, con la entrada en vigencia de la Ley 2251 de 2022, el artículo 143 del Código Nacional de Tránsito fue subrogado por el artículo 16 y el artículo 143A del mismo Código fue derogado por el artículo 24</w:t>
      </w:r>
      <w:r w:rsidRPr="00DE7CC4">
        <w:rPr>
          <w:rStyle w:val="Refdenotaalpie"/>
          <w:rFonts w:ascii="Times New Roman" w:hAnsi="Times New Roman"/>
          <w:color w:val="000000" w:themeColor="text1"/>
          <w:sz w:val="28"/>
        </w:rPr>
        <w:footnoteReference w:id="62"/>
      </w:r>
      <w:r w:rsidRPr="00DE7CC4">
        <w:rPr>
          <w:rFonts w:ascii="Times New Roman" w:hAnsi="Times New Roman" w:cs="Times New Roman"/>
          <w:color w:val="000000" w:themeColor="text1"/>
          <w:sz w:val="28"/>
        </w:rPr>
        <w:t>, por lo cual, actualmente y como se verá, el artículo 16 de la Ley 2251 de 2022 fijó el régimen de aquello que se debe hacer ante un accidente de tránsito que involucra solamente daños materiales, eliminando la distinción entre vehículos asegurados y no a</w:t>
      </w:r>
      <w:r w:rsidRPr="00DE7CC4">
        <w:rPr>
          <w:rFonts w:ascii="Times New Roman" w:hAnsi="Times New Roman" w:cs="Times New Roman"/>
          <w:color w:val="000000" w:themeColor="text1"/>
          <w:sz w:val="28"/>
        </w:rPr>
        <w:t xml:space="preserve">segurados y, prácticamente, definiendo en los dos casos un régimen similar al establecido en el mencionado artículo 143A derogado. Asimismo, es importante precisar que con el artículo 16 de la </w:t>
      </w:r>
      <w:r w:rsidRPr="00DE7CC4">
        <w:rPr>
          <w:rFonts w:ascii="Times New Roman" w:hAnsi="Times New Roman" w:cs="Times New Roman"/>
          <w:color w:val="000000" w:themeColor="text1"/>
          <w:sz w:val="28"/>
        </w:rPr>
        <w:t>L</w:t>
      </w:r>
      <w:r w:rsidRPr="00DE7CC4">
        <w:rPr>
          <w:rFonts w:ascii="Times New Roman" w:hAnsi="Times New Roman" w:cs="Times New Roman"/>
          <w:color w:val="000000" w:themeColor="text1"/>
          <w:sz w:val="28"/>
        </w:rPr>
        <w:t>ey 2251 de 2022 se dio una subrogación o reemplazo integral al</w:t>
      </w:r>
      <w:r w:rsidRPr="00DE7CC4">
        <w:rPr>
          <w:rFonts w:ascii="Times New Roman" w:hAnsi="Times New Roman" w:cs="Times New Roman"/>
          <w:color w:val="000000" w:themeColor="text1"/>
          <w:sz w:val="28"/>
        </w:rPr>
        <w:t xml:space="preserve"> original artículo 143 de la Ley 769 de 2002.</w:t>
      </w:r>
    </w:p>
    <w:p w:rsidR="00F32ED8" w:rsidRPr="00DE7CC4" w:rsidRDefault="00DE7CC4" w:rsidP="00F32ED8">
      <w:pPr>
        <w:ind w:right="335"/>
        <w:jc w:val="both"/>
        <w:rPr>
          <w:rFonts w:ascii="Times New Roman" w:hAnsi="Times New Roman" w:cs="Times New Roman"/>
          <w:color w:val="000000" w:themeColor="text1"/>
          <w:sz w:val="28"/>
        </w:rPr>
      </w:pPr>
    </w:p>
    <w:p w:rsidR="00F32ED8" w:rsidRPr="00DE7CC4" w:rsidRDefault="00DE7CC4" w:rsidP="00F32ED8">
      <w:pPr>
        <w:jc w:val="both"/>
        <w:rPr>
          <w:rFonts w:ascii="Times New Roman" w:hAnsi="Times New Roman" w:cs="Times New Roman"/>
          <w:color w:val="000000" w:themeColor="text1"/>
          <w:sz w:val="28"/>
        </w:rPr>
      </w:pPr>
      <w:r w:rsidRPr="00DE7CC4">
        <w:rPr>
          <w:rFonts w:ascii="Times New Roman" w:hAnsi="Times New Roman" w:cs="Times New Roman"/>
          <w:color w:val="000000" w:themeColor="text1"/>
          <w:sz w:val="28"/>
        </w:rPr>
        <w:t xml:space="preserve">45. </w:t>
      </w:r>
      <w:r w:rsidRPr="00DE7CC4">
        <w:rPr>
          <w:rFonts w:ascii="Times New Roman" w:hAnsi="Times New Roman" w:cs="Times New Roman"/>
          <w:b/>
          <w:bCs/>
          <w:color w:val="000000" w:themeColor="text1"/>
          <w:sz w:val="28"/>
        </w:rPr>
        <w:t>Segundo</w:t>
      </w:r>
      <w:r w:rsidRPr="00DE7CC4">
        <w:rPr>
          <w:rFonts w:ascii="Times New Roman" w:hAnsi="Times New Roman" w:cs="Times New Roman"/>
          <w:color w:val="000000" w:themeColor="text1"/>
          <w:sz w:val="28"/>
        </w:rPr>
        <w:t>. La Ley 2251 de 2022, por la cual se dictan normas para el diseño e implementación de la política de seguridad vial con enfoque de sistema seguro y se dictan otras disposiciones -Ley Julián Esteban</w:t>
      </w:r>
      <w:r w:rsidRPr="00DE7CC4">
        <w:rPr>
          <w:rFonts w:ascii="Times New Roman" w:hAnsi="Times New Roman" w:cs="Times New Roman"/>
          <w:color w:val="000000" w:themeColor="text1"/>
          <w:sz w:val="28"/>
        </w:rPr>
        <w:t>-, tuvo por objeto diseñar una política pública en materia de seguridad vial, fundada en el criterio de “sistema seguro”, definido por el artículo 2, literal a), como aquél que tiene en cuenta la vulnerabilidad de las personas y tolera el error humano, por</w:t>
      </w:r>
      <w:r w:rsidRPr="00DE7CC4">
        <w:rPr>
          <w:rFonts w:ascii="Times New Roman" w:hAnsi="Times New Roman" w:cs="Times New Roman"/>
          <w:color w:val="000000" w:themeColor="text1"/>
          <w:sz w:val="28"/>
        </w:rPr>
        <w:t xml:space="preserve"> lo cual, enfatiza en la necesidad de contar con todos los elementos y agentes que interactúan en condiciones de seguridad</w:t>
      </w:r>
      <w:r w:rsidRPr="00DE7CC4">
        <w:rPr>
          <w:rStyle w:val="Refdenotaalpie"/>
          <w:rFonts w:ascii="Times New Roman" w:hAnsi="Times New Roman"/>
          <w:color w:val="000000" w:themeColor="text1"/>
          <w:sz w:val="28"/>
        </w:rPr>
        <w:footnoteReference w:id="63"/>
      </w:r>
      <w:r w:rsidRPr="00DE7CC4">
        <w:rPr>
          <w:rFonts w:ascii="Times New Roman" w:hAnsi="Times New Roman" w:cs="Times New Roman"/>
          <w:color w:val="000000" w:themeColor="text1"/>
          <w:sz w:val="28"/>
        </w:rPr>
        <w:t>. De conformidad con la información extraída de los antecedentes legislativos:</w:t>
      </w:r>
    </w:p>
    <w:p w:rsidR="00F32ED8" w:rsidRPr="00DE7CC4" w:rsidRDefault="00DE7CC4" w:rsidP="00F32ED8">
      <w:pPr>
        <w:jc w:val="both"/>
        <w:rPr>
          <w:rFonts w:ascii="Times New Roman" w:hAnsi="Times New Roman" w:cs="Times New Roman"/>
          <w:color w:val="000000" w:themeColor="text1"/>
          <w:sz w:val="28"/>
        </w:rPr>
      </w:pPr>
    </w:p>
    <w:p w:rsidR="00F32ED8" w:rsidRPr="00DE7CC4" w:rsidRDefault="00DE7CC4" w:rsidP="00F32ED8">
      <w:pPr>
        <w:jc w:val="both"/>
        <w:rPr>
          <w:rFonts w:ascii="Times New Roman" w:hAnsi="Times New Roman" w:cs="Times New Roman"/>
          <w:color w:val="000000" w:themeColor="text1"/>
          <w:sz w:val="28"/>
        </w:rPr>
      </w:pPr>
      <w:r w:rsidRPr="00DE7CC4">
        <w:rPr>
          <w:rFonts w:ascii="Times New Roman" w:hAnsi="Times New Roman" w:cs="Times New Roman"/>
          <w:color w:val="000000" w:themeColor="text1"/>
          <w:sz w:val="28"/>
        </w:rPr>
        <w:t xml:space="preserve">45.1.  La motivación fundamental del proyecto que </w:t>
      </w:r>
      <w:r w:rsidRPr="00DE7CC4">
        <w:rPr>
          <w:rFonts w:ascii="Times New Roman" w:hAnsi="Times New Roman" w:cs="Times New Roman"/>
          <w:color w:val="000000" w:themeColor="text1"/>
          <w:sz w:val="28"/>
        </w:rPr>
        <w:t>culminó con la expedición de la Ley 2251, con iniciativa en congresistas de la República, fue “garantizar el derecho a la vida, a la integridad personal y a la salud de los individuos del sistema de tránsito y transporte terrestre (…) reforzando los instru</w:t>
      </w:r>
      <w:r w:rsidRPr="00DE7CC4">
        <w:rPr>
          <w:rFonts w:ascii="Times New Roman" w:hAnsi="Times New Roman" w:cs="Times New Roman"/>
          <w:color w:val="000000" w:themeColor="text1"/>
          <w:sz w:val="28"/>
        </w:rPr>
        <w:t>mentos normativos para luchar contra la violencia vial”</w:t>
      </w:r>
      <w:r w:rsidRPr="00DE7CC4">
        <w:rPr>
          <w:rStyle w:val="Refdenotaalpie"/>
          <w:rFonts w:ascii="Times New Roman" w:hAnsi="Times New Roman"/>
          <w:color w:val="000000" w:themeColor="text1"/>
          <w:sz w:val="28"/>
        </w:rPr>
        <w:footnoteReference w:id="64"/>
      </w:r>
      <w:r w:rsidRPr="00DE7CC4">
        <w:rPr>
          <w:rFonts w:ascii="Times New Roman" w:hAnsi="Times New Roman" w:cs="Times New Roman"/>
          <w:color w:val="000000" w:themeColor="text1"/>
          <w:sz w:val="28"/>
        </w:rPr>
        <w:t xml:space="preserve">. Para ello, se tuvo en cuenta el deber del Legislador de regular la actividad de tránsito automotor, bajo la premisa según la cual el ejercicio de </w:t>
      </w:r>
      <w:r w:rsidRPr="00DE7CC4">
        <w:rPr>
          <w:rFonts w:ascii="Times New Roman" w:hAnsi="Times New Roman" w:cs="Times New Roman"/>
          <w:i/>
          <w:iCs/>
          <w:color w:val="000000" w:themeColor="text1"/>
          <w:sz w:val="28"/>
        </w:rPr>
        <w:t xml:space="preserve">conducir </w:t>
      </w:r>
      <w:r w:rsidRPr="00DE7CC4">
        <w:rPr>
          <w:rFonts w:ascii="Times New Roman" w:hAnsi="Times New Roman" w:cs="Times New Roman"/>
          <w:color w:val="000000" w:themeColor="text1"/>
          <w:sz w:val="28"/>
        </w:rPr>
        <w:t>constituye una actividad de riesgo o peligr</w:t>
      </w:r>
      <w:r w:rsidRPr="00DE7CC4">
        <w:rPr>
          <w:rFonts w:ascii="Times New Roman" w:hAnsi="Times New Roman" w:cs="Times New Roman"/>
          <w:color w:val="000000" w:themeColor="text1"/>
          <w:sz w:val="28"/>
        </w:rPr>
        <w:t>o. Aunado a lo anterior, se valoraron cifras que, provenientes de la Organización Mundial de la Salud - OMS, dan cuenta del elevado número de pérdida de vidas en el mundo por accidentes en la vía</w:t>
      </w:r>
      <w:r w:rsidRPr="00DE7CC4">
        <w:rPr>
          <w:rStyle w:val="Refdenotaalpie"/>
          <w:rFonts w:ascii="Times New Roman" w:hAnsi="Times New Roman"/>
          <w:color w:val="000000" w:themeColor="text1"/>
          <w:sz w:val="28"/>
        </w:rPr>
        <w:footnoteReference w:id="65"/>
      </w:r>
      <w:r w:rsidRPr="00DE7CC4">
        <w:rPr>
          <w:rFonts w:ascii="Times New Roman" w:hAnsi="Times New Roman" w:cs="Times New Roman"/>
          <w:color w:val="000000" w:themeColor="text1"/>
          <w:sz w:val="28"/>
        </w:rPr>
        <w:t xml:space="preserve"> y de lesiones por la misma causa</w:t>
      </w:r>
      <w:r w:rsidRPr="00DE7CC4">
        <w:rPr>
          <w:rStyle w:val="Refdenotaalpie"/>
          <w:rFonts w:ascii="Times New Roman" w:hAnsi="Times New Roman"/>
          <w:color w:val="000000" w:themeColor="text1"/>
          <w:sz w:val="28"/>
        </w:rPr>
        <w:footnoteReference w:id="66"/>
      </w:r>
      <w:r w:rsidRPr="00DE7CC4">
        <w:rPr>
          <w:rFonts w:ascii="Times New Roman" w:hAnsi="Times New Roman" w:cs="Times New Roman"/>
          <w:color w:val="000000" w:themeColor="text1"/>
          <w:sz w:val="28"/>
        </w:rPr>
        <w:t>,</w:t>
      </w:r>
      <w:r w:rsidRPr="00DE7CC4">
        <w:rPr>
          <w:rFonts w:ascii="Times New Roman" w:hAnsi="Times New Roman" w:cs="Times New Roman"/>
          <w:color w:val="000000" w:themeColor="text1"/>
          <w:sz w:val="28"/>
        </w:rPr>
        <w:t xml:space="preserve"> así como del costo que p</w:t>
      </w:r>
      <w:r w:rsidRPr="00DE7CC4">
        <w:rPr>
          <w:rFonts w:ascii="Times New Roman" w:hAnsi="Times New Roman" w:cs="Times New Roman"/>
          <w:color w:val="000000" w:themeColor="text1"/>
          <w:sz w:val="28"/>
        </w:rPr>
        <w:t xml:space="preserve">ara los </w:t>
      </w:r>
      <w:r w:rsidRPr="00DE7CC4">
        <w:rPr>
          <w:rFonts w:ascii="Times New Roman" w:hAnsi="Times New Roman" w:cs="Times New Roman"/>
          <w:color w:val="000000" w:themeColor="text1"/>
          <w:sz w:val="28"/>
        </w:rPr>
        <w:t>E</w:t>
      </w:r>
      <w:r w:rsidRPr="00DE7CC4">
        <w:rPr>
          <w:rFonts w:ascii="Times New Roman" w:hAnsi="Times New Roman" w:cs="Times New Roman"/>
          <w:color w:val="000000" w:themeColor="text1"/>
          <w:sz w:val="28"/>
        </w:rPr>
        <w:t>stados implica la accidentalidad de tránsito</w:t>
      </w:r>
      <w:r w:rsidRPr="00DE7CC4">
        <w:rPr>
          <w:rStyle w:val="Refdenotaalpie"/>
          <w:rFonts w:ascii="Times New Roman" w:hAnsi="Times New Roman"/>
          <w:color w:val="000000" w:themeColor="text1"/>
          <w:sz w:val="28"/>
        </w:rPr>
        <w:footnoteReference w:id="67"/>
      </w:r>
      <w:r w:rsidRPr="00DE7CC4">
        <w:rPr>
          <w:rFonts w:ascii="Times New Roman" w:hAnsi="Times New Roman" w:cs="Times New Roman"/>
          <w:color w:val="000000" w:themeColor="text1"/>
          <w:sz w:val="28"/>
        </w:rPr>
        <w:t>.</w:t>
      </w:r>
      <w:r w:rsidRPr="00DE7CC4">
        <w:rPr>
          <w:rFonts w:ascii="Times New Roman" w:hAnsi="Times New Roman" w:cs="Times New Roman"/>
          <w:color w:val="000000" w:themeColor="text1"/>
          <w:sz w:val="28"/>
        </w:rPr>
        <w:t xml:space="preserve"> También se precisó que, pese a que Colombia ha adoptado planes de seguridad vial, inicialmente para el 2011-2021, cuyo objeto recayó en la reducción de muertes y lesiones en las vías, no se ha logrado</w:t>
      </w:r>
      <w:r w:rsidRPr="00DE7CC4">
        <w:rPr>
          <w:rFonts w:ascii="Times New Roman" w:hAnsi="Times New Roman" w:cs="Times New Roman"/>
          <w:color w:val="000000" w:themeColor="text1"/>
          <w:sz w:val="28"/>
        </w:rPr>
        <w:t xml:space="preserve"> la reducción propuesta</w:t>
      </w:r>
      <w:r w:rsidRPr="00DE7CC4">
        <w:rPr>
          <w:rStyle w:val="Refdenotaalpie"/>
          <w:rFonts w:ascii="Times New Roman" w:hAnsi="Times New Roman"/>
          <w:color w:val="000000" w:themeColor="text1"/>
          <w:sz w:val="28"/>
        </w:rPr>
        <w:footnoteReference w:id="68"/>
      </w:r>
      <w:r w:rsidRPr="00DE7CC4">
        <w:rPr>
          <w:rFonts w:ascii="Times New Roman" w:hAnsi="Times New Roman" w:cs="Times New Roman"/>
          <w:color w:val="000000" w:themeColor="text1"/>
          <w:sz w:val="28"/>
        </w:rPr>
        <w:t>.</w:t>
      </w:r>
    </w:p>
    <w:p w:rsidR="00F32ED8" w:rsidRPr="00DE7CC4" w:rsidRDefault="00DE7CC4" w:rsidP="00F32ED8">
      <w:pPr>
        <w:jc w:val="both"/>
        <w:rPr>
          <w:rFonts w:ascii="Times New Roman" w:hAnsi="Times New Roman" w:cs="Times New Roman"/>
          <w:color w:val="000000" w:themeColor="text1"/>
          <w:sz w:val="28"/>
        </w:rPr>
      </w:pPr>
    </w:p>
    <w:p w:rsidR="00F32ED8" w:rsidRPr="00DE7CC4" w:rsidRDefault="00DE7CC4" w:rsidP="00F32ED8">
      <w:pPr>
        <w:jc w:val="both"/>
        <w:rPr>
          <w:rFonts w:ascii="Times New Roman" w:hAnsi="Times New Roman" w:cs="Times New Roman"/>
          <w:color w:val="000000" w:themeColor="text1"/>
          <w:sz w:val="28"/>
        </w:rPr>
      </w:pPr>
      <w:r w:rsidRPr="00DE7CC4">
        <w:rPr>
          <w:rFonts w:ascii="Times New Roman" w:hAnsi="Times New Roman" w:cs="Times New Roman"/>
          <w:color w:val="000000" w:themeColor="text1"/>
          <w:sz w:val="28"/>
        </w:rPr>
        <w:t xml:space="preserve">45.2. La modificación al artículo 143 del Código Nacional de Tránsito, aprobada en el artículo 16 demandado, se produjo como consecuencia de una propuesta incluida en la ponencia del tercer debate llevado a cabo ante la Comisión </w:t>
      </w:r>
      <w:r w:rsidRPr="00DE7CC4">
        <w:rPr>
          <w:rFonts w:ascii="Times New Roman" w:hAnsi="Times New Roman" w:cs="Times New Roman"/>
          <w:color w:val="000000" w:themeColor="text1"/>
          <w:sz w:val="28"/>
        </w:rPr>
        <w:t>Sexta de la Cámara de Representantes</w:t>
      </w:r>
      <w:r w:rsidRPr="00DE7CC4">
        <w:rPr>
          <w:rStyle w:val="Refdenotaalpie"/>
          <w:rFonts w:ascii="Times New Roman" w:hAnsi="Times New Roman"/>
          <w:color w:val="000000" w:themeColor="text1"/>
          <w:sz w:val="28"/>
        </w:rPr>
        <w:footnoteReference w:id="69"/>
      </w:r>
      <w:r w:rsidRPr="00DE7CC4">
        <w:rPr>
          <w:rFonts w:ascii="Times New Roman" w:hAnsi="Times New Roman" w:cs="Times New Roman"/>
          <w:color w:val="000000" w:themeColor="text1"/>
          <w:sz w:val="28"/>
        </w:rPr>
        <w:t>,</w:t>
      </w:r>
      <w:r w:rsidRPr="00DE7CC4">
        <w:rPr>
          <w:rFonts w:ascii="Times New Roman" w:hAnsi="Times New Roman" w:cs="Times New Roman"/>
          <w:color w:val="000000" w:themeColor="text1"/>
          <w:sz w:val="28"/>
        </w:rPr>
        <w:t xml:space="preserve"> aprobada en dicha instancia y, posteriormente, en cuarto debate y en conciliación</w:t>
      </w:r>
      <w:r w:rsidRPr="00DE7CC4">
        <w:rPr>
          <w:rStyle w:val="Refdenotaalpie"/>
          <w:rFonts w:ascii="Times New Roman" w:hAnsi="Times New Roman"/>
          <w:color w:val="000000" w:themeColor="text1"/>
          <w:sz w:val="28"/>
        </w:rPr>
        <w:footnoteReference w:id="70"/>
      </w:r>
      <w:r w:rsidRPr="00DE7CC4">
        <w:rPr>
          <w:rFonts w:ascii="Times New Roman" w:hAnsi="Times New Roman" w:cs="Times New Roman"/>
          <w:color w:val="000000" w:themeColor="text1"/>
          <w:sz w:val="28"/>
        </w:rPr>
        <w:t xml:space="preserve">. </w:t>
      </w:r>
    </w:p>
    <w:p w:rsidR="00F32ED8" w:rsidRPr="00DE7CC4" w:rsidRDefault="00DE7CC4" w:rsidP="00F32ED8">
      <w:pPr>
        <w:jc w:val="both"/>
        <w:rPr>
          <w:rFonts w:ascii="Times New Roman" w:hAnsi="Times New Roman" w:cs="Times New Roman"/>
          <w:color w:val="000000" w:themeColor="text1"/>
          <w:sz w:val="28"/>
        </w:rPr>
      </w:pPr>
    </w:p>
    <w:p w:rsidR="00F32ED8" w:rsidRPr="00DE7CC4" w:rsidRDefault="00DE7CC4" w:rsidP="00F32ED8">
      <w:pPr>
        <w:jc w:val="both"/>
        <w:rPr>
          <w:rFonts w:ascii="Times New Roman" w:hAnsi="Times New Roman" w:cs="Times New Roman"/>
          <w:color w:val="000000" w:themeColor="text1"/>
          <w:sz w:val="28"/>
        </w:rPr>
      </w:pPr>
      <w:r w:rsidRPr="00DE7CC4">
        <w:rPr>
          <w:rFonts w:ascii="Times New Roman" w:hAnsi="Times New Roman" w:cs="Times New Roman"/>
          <w:color w:val="000000" w:themeColor="text1"/>
          <w:sz w:val="28"/>
        </w:rPr>
        <w:t>46. Con los anteriores antecedentes, el Congreso de la República aprobó la Ley Julián Esteban, compuesta por siete (vii) capítulos,</w:t>
      </w:r>
      <w:r w:rsidRPr="00DE7CC4">
        <w:rPr>
          <w:rFonts w:ascii="Times New Roman" w:hAnsi="Times New Roman" w:cs="Times New Roman"/>
          <w:color w:val="000000" w:themeColor="text1"/>
          <w:sz w:val="28"/>
        </w:rPr>
        <w:t xml:space="preserve"> el primero referido al objeto y principios generales; el segundo a la obligatoriedad de la reglamentación sobre vehículos automotores y la infraestructura vial; el tercero a la licencia de conducción; el cuarto a las obligaciones de los motociclistas, mot</w:t>
      </w:r>
      <w:r w:rsidRPr="00DE7CC4">
        <w:rPr>
          <w:rFonts w:ascii="Times New Roman" w:hAnsi="Times New Roman" w:cs="Times New Roman"/>
          <w:color w:val="000000" w:themeColor="text1"/>
          <w:sz w:val="28"/>
        </w:rPr>
        <w:t xml:space="preserve">ociclos y mototriciclos; el quinto al registro de lesiones corporales en las vías; el sexto a la velocidad, y el séptimo </w:t>
      </w:r>
      <w:r w:rsidRPr="00DE7CC4">
        <w:rPr>
          <w:rFonts w:ascii="Times New Roman" w:hAnsi="Times New Roman" w:cs="Times New Roman"/>
          <w:color w:val="000000" w:themeColor="text1"/>
          <w:sz w:val="28"/>
        </w:rPr>
        <w:t xml:space="preserve">a </w:t>
      </w:r>
      <w:r w:rsidRPr="00DE7CC4">
        <w:rPr>
          <w:rFonts w:ascii="Times New Roman" w:hAnsi="Times New Roman" w:cs="Times New Roman"/>
          <w:color w:val="000000" w:themeColor="text1"/>
          <w:sz w:val="28"/>
        </w:rPr>
        <w:t xml:space="preserve">otras disposiciones. Dentro de estas últimas, se incluyó la que ahora es objeto de cuestionamiento. </w:t>
      </w:r>
    </w:p>
    <w:p w:rsidR="00F32ED8" w:rsidRPr="00DE7CC4" w:rsidRDefault="00DE7CC4" w:rsidP="00F32ED8">
      <w:pPr>
        <w:jc w:val="both"/>
        <w:rPr>
          <w:rFonts w:ascii="Times New Roman" w:hAnsi="Times New Roman" w:cs="Times New Roman"/>
          <w:color w:val="000000" w:themeColor="text1"/>
          <w:sz w:val="28"/>
        </w:rPr>
      </w:pPr>
    </w:p>
    <w:p w:rsidR="00F32ED8" w:rsidRPr="00DE7CC4" w:rsidRDefault="00DE7CC4" w:rsidP="00F32ED8">
      <w:pPr>
        <w:jc w:val="both"/>
        <w:rPr>
          <w:rFonts w:ascii="Times New Roman" w:hAnsi="Times New Roman" w:cs="Times New Roman"/>
          <w:color w:val="000000" w:themeColor="text1"/>
          <w:sz w:val="28"/>
        </w:rPr>
      </w:pPr>
      <w:r w:rsidRPr="00DE7CC4">
        <w:rPr>
          <w:rFonts w:ascii="Times New Roman" w:hAnsi="Times New Roman" w:cs="Times New Roman"/>
          <w:color w:val="000000" w:themeColor="text1"/>
          <w:sz w:val="28"/>
        </w:rPr>
        <w:t>47. Vale anotar, así mismo, que</w:t>
      </w:r>
      <w:r w:rsidRPr="00DE7CC4">
        <w:rPr>
          <w:rFonts w:ascii="Times New Roman" w:hAnsi="Times New Roman" w:cs="Times New Roman"/>
          <w:color w:val="000000" w:themeColor="text1"/>
          <w:sz w:val="28"/>
        </w:rPr>
        <w:t xml:space="preserve"> en el marco de los debates tercero</w:t>
      </w:r>
      <w:r w:rsidRPr="00DE7CC4">
        <w:rPr>
          <w:rStyle w:val="Refdenotaalpie"/>
          <w:rFonts w:ascii="Times New Roman" w:hAnsi="Times New Roman"/>
          <w:color w:val="000000" w:themeColor="text1"/>
          <w:sz w:val="28"/>
        </w:rPr>
        <w:footnoteReference w:id="71"/>
      </w:r>
      <w:r w:rsidRPr="00DE7CC4">
        <w:rPr>
          <w:rFonts w:ascii="Times New Roman" w:hAnsi="Times New Roman" w:cs="Times New Roman"/>
          <w:color w:val="000000" w:themeColor="text1"/>
          <w:sz w:val="28"/>
        </w:rPr>
        <w:t xml:space="preserve"> y cuarto</w:t>
      </w:r>
      <w:r w:rsidRPr="00DE7CC4">
        <w:rPr>
          <w:rStyle w:val="Refdenotaalpie"/>
          <w:rFonts w:ascii="Times New Roman" w:hAnsi="Times New Roman"/>
          <w:color w:val="000000" w:themeColor="text1"/>
          <w:sz w:val="28"/>
        </w:rPr>
        <w:footnoteReference w:id="72"/>
      </w:r>
      <w:r w:rsidRPr="00DE7CC4">
        <w:rPr>
          <w:rFonts w:ascii="Times New Roman" w:hAnsi="Times New Roman" w:cs="Times New Roman"/>
          <w:color w:val="000000" w:themeColor="text1"/>
          <w:sz w:val="28"/>
        </w:rPr>
        <w:t xml:space="preserve"> -considerando que la inclusión en el proyecto de ley del artículo que  subroga el artículo 143 del Código Nacional de Tránsito se dio en el tercer debate- no hubo intervenciones relevantes que indiquen, más al</w:t>
      </w:r>
      <w:r w:rsidRPr="00DE7CC4">
        <w:rPr>
          <w:rFonts w:ascii="Times New Roman" w:hAnsi="Times New Roman" w:cs="Times New Roman"/>
          <w:color w:val="000000" w:themeColor="text1"/>
          <w:sz w:val="28"/>
        </w:rPr>
        <w:t xml:space="preserve">lá de las consideraciones generales de la normativa, las razones que subyacen a esta disposición. No obstante, en la ponencia para tercer debate se indicó lo siguiente: </w:t>
      </w:r>
    </w:p>
    <w:p w:rsidR="00F32ED8" w:rsidRPr="00DE7CC4" w:rsidRDefault="00DE7CC4" w:rsidP="00F32ED8">
      <w:pPr>
        <w:jc w:val="both"/>
        <w:rPr>
          <w:rFonts w:ascii="Times New Roman" w:hAnsi="Times New Roman" w:cs="Times New Roman"/>
          <w:color w:val="000000" w:themeColor="text1"/>
          <w:sz w:val="28"/>
        </w:rPr>
      </w:pPr>
    </w:p>
    <w:p w:rsidR="00F32ED8" w:rsidRPr="00DE7CC4" w:rsidRDefault="00DE7CC4" w:rsidP="00F32ED8">
      <w:pPr>
        <w:pStyle w:val="NormalWeb"/>
        <w:ind w:left="567" w:right="333"/>
        <w:jc w:val="both"/>
        <w:rPr>
          <w:rFonts w:ascii="Times New Roman" w:hAnsi="Times New Roman" w:cs="Times New Roman"/>
          <w:color w:val="000000" w:themeColor="text1"/>
          <w:sz w:val="28"/>
        </w:rPr>
      </w:pPr>
      <w:r w:rsidRPr="00DE7CC4">
        <w:rPr>
          <w:rFonts w:ascii="Times New Roman" w:hAnsi="Times New Roman" w:cs="Times New Roman"/>
          <w:color w:val="000000" w:themeColor="text1"/>
          <w:sz w:val="28"/>
        </w:rPr>
        <w:t>“(…) Igualmente, es necesario derogar el artículo 143 A de la Ley 769 de 2002 adicion</w:t>
      </w:r>
      <w:r w:rsidRPr="00DE7CC4">
        <w:rPr>
          <w:rFonts w:ascii="Times New Roman" w:hAnsi="Times New Roman" w:cs="Times New Roman"/>
          <w:color w:val="000000" w:themeColor="text1"/>
          <w:sz w:val="28"/>
        </w:rPr>
        <w:t>ado por el artículo 12 de la Ley 2161 de 2021, que ha suscitado la errada interpretación de que sólo existe este deber si todos los vehículos están asegurados”</w:t>
      </w:r>
      <w:r w:rsidRPr="00DE7CC4">
        <w:rPr>
          <w:rStyle w:val="Refdenotaalpie"/>
          <w:rFonts w:ascii="Times New Roman" w:hAnsi="Times New Roman"/>
          <w:color w:val="000000" w:themeColor="text1"/>
          <w:sz w:val="28"/>
        </w:rPr>
        <w:footnoteReference w:id="73"/>
      </w:r>
      <w:r w:rsidRPr="00DE7CC4">
        <w:rPr>
          <w:rFonts w:ascii="Times New Roman" w:hAnsi="Times New Roman" w:cs="Times New Roman"/>
          <w:color w:val="000000" w:themeColor="text1"/>
          <w:sz w:val="28"/>
        </w:rPr>
        <w:t>.</w:t>
      </w:r>
    </w:p>
    <w:p w:rsidR="00F32ED8" w:rsidRPr="00DE7CC4" w:rsidRDefault="00DE7CC4" w:rsidP="00F32ED8">
      <w:pPr>
        <w:jc w:val="both"/>
        <w:rPr>
          <w:rFonts w:ascii="Times New Roman" w:hAnsi="Times New Roman" w:cs="Times New Roman"/>
          <w:color w:val="000000" w:themeColor="text1"/>
          <w:sz w:val="28"/>
        </w:rPr>
      </w:pPr>
    </w:p>
    <w:p w:rsidR="00F32ED8" w:rsidRPr="00DE7CC4" w:rsidRDefault="00DE7CC4" w:rsidP="00F32ED8">
      <w:pPr>
        <w:jc w:val="both"/>
        <w:rPr>
          <w:rFonts w:ascii="Times New Roman" w:hAnsi="Times New Roman" w:cs="Times New Roman"/>
          <w:color w:val="000000" w:themeColor="text1"/>
          <w:sz w:val="28"/>
        </w:rPr>
      </w:pPr>
      <w:r w:rsidRPr="00DE7CC4">
        <w:rPr>
          <w:rFonts w:ascii="Times New Roman" w:hAnsi="Times New Roman" w:cs="Times New Roman"/>
          <w:color w:val="000000" w:themeColor="text1"/>
          <w:sz w:val="28"/>
        </w:rPr>
        <w:t xml:space="preserve">48. En el informe de conciliación, por su parte, los congresistas integrantes de la comisión </w:t>
      </w:r>
      <w:r w:rsidRPr="00DE7CC4">
        <w:rPr>
          <w:rFonts w:ascii="Times New Roman" w:hAnsi="Times New Roman" w:cs="Times New Roman"/>
          <w:color w:val="000000" w:themeColor="text1"/>
          <w:sz w:val="28"/>
        </w:rPr>
        <w:t>respectiva efectuaron un ajuste al texto aprobado en la Plenaria, argumentando la necesidad de garantizar “certeza jurídica frente al sentido original y querer del conjunto normativo del proyecto”:</w:t>
      </w:r>
    </w:p>
    <w:p w:rsidR="00F32ED8" w:rsidRPr="00DE7CC4" w:rsidRDefault="00DE7CC4" w:rsidP="00F32ED8">
      <w:pPr>
        <w:jc w:val="both"/>
        <w:rPr>
          <w:rFonts w:ascii="Times New Roman" w:hAnsi="Times New Roman" w:cs="Times New Roman"/>
          <w:color w:val="000000" w:themeColor="text1"/>
          <w:sz w:val="28"/>
        </w:rPr>
      </w:pPr>
    </w:p>
    <w:p w:rsidR="00F32ED8" w:rsidRPr="00DE7CC4" w:rsidRDefault="00DE7CC4" w:rsidP="00F32ED8">
      <w:pPr>
        <w:ind w:left="567" w:right="333"/>
        <w:jc w:val="both"/>
        <w:rPr>
          <w:rFonts w:ascii="Times New Roman" w:hAnsi="Times New Roman" w:cs="Times New Roman"/>
          <w:color w:val="000000" w:themeColor="text1"/>
          <w:sz w:val="28"/>
        </w:rPr>
      </w:pPr>
      <w:r w:rsidRPr="00DE7CC4">
        <w:rPr>
          <w:rFonts w:ascii="Times New Roman" w:hAnsi="Times New Roman" w:cs="Times New Roman"/>
          <w:color w:val="000000" w:themeColor="text1"/>
          <w:sz w:val="28"/>
        </w:rPr>
        <w:t>“El ajuste que se propone, pretende precisar que el mater</w:t>
      </w:r>
      <w:r w:rsidRPr="00DE7CC4">
        <w:rPr>
          <w:rFonts w:ascii="Times New Roman" w:hAnsi="Times New Roman" w:cs="Times New Roman"/>
          <w:color w:val="000000" w:themeColor="text1"/>
          <w:sz w:val="28"/>
        </w:rPr>
        <w:t>ial probatorio recaudado bajo las condiciones establecidas en el artículo, reemplazará el informe de accidente de tránsito y no simplemente lo complementará. Esta conclusión tiene como sustente[o] el inciso segundo del mismo artículo, donde se contempla qu</w:t>
      </w:r>
      <w:r w:rsidRPr="00DE7CC4">
        <w:rPr>
          <w:rFonts w:ascii="Times New Roman" w:hAnsi="Times New Roman" w:cs="Times New Roman"/>
          <w:color w:val="000000" w:themeColor="text1"/>
          <w:sz w:val="28"/>
        </w:rPr>
        <w:t>e ante un escenario de conciliación o el fracaso del mismo, en sede judicial los involucrados podrán acudir a dichas instancias sin que sea necesaria la expedición de un informe de accidente de tránsito, ni la presencia de autoridad de tránsito”</w:t>
      </w:r>
      <w:r w:rsidRPr="00DE7CC4">
        <w:rPr>
          <w:rStyle w:val="Refdenotaalpie"/>
          <w:rFonts w:ascii="Times New Roman" w:hAnsi="Times New Roman"/>
          <w:color w:val="000000" w:themeColor="text1"/>
          <w:sz w:val="28"/>
        </w:rPr>
        <w:footnoteReference w:id="74"/>
      </w:r>
      <w:r w:rsidRPr="00DE7CC4">
        <w:rPr>
          <w:rFonts w:ascii="Times New Roman" w:hAnsi="Times New Roman" w:cs="Times New Roman"/>
          <w:color w:val="000000" w:themeColor="text1"/>
          <w:sz w:val="28"/>
        </w:rPr>
        <w:t>.</w:t>
      </w:r>
    </w:p>
    <w:p w:rsidR="00F32ED8" w:rsidRPr="00DE7CC4" w:rsidRDefault="00DE7CC4" w:rsidP="00F32ED8">
      <w:pPr>
        <w:jc w:val="both"/>
        <w:rPr>
          <w:rFonts w:ascii="Times New Roman" w:hAnsi="Times New Roman" w:cs="Times New Roman"/>
          <w:color w:val="000000" w:themeColor="text1"/>
          <w:sz w:val="28"/>
        </w:rPr>
      </w:pPr>
    </w:p>
    <w:p w:rsidR="00F32ED8" w:rsidRPr="00DE7CC4" w:rsidRDefault="00DE7CC4" w:rsidP="00F32ED8">
      <w:pPr>
        <w:jc w:val="both"/>
        <w:rPr>
          <w:rFonts w:ascii="Times New Roman" w:hAnsi="Times New Roman" w:cs="Times New Roman"/>
          <w:color w:val="000000" w:themeColor="text1"/>
          <w:sz w:val="28"/>
        </w:rPr>
      </w:pPr>
      <w:r w:rsidRPr="00DE7CC4">
        <w:rPr>
          <w:rFonts w:ascii="Times New Roman" w:hAnsi="Times New Roman" w:cs="Times New Roman"/>
          <w:color w:val="000000" w:themeColor="text1"/>
          <w:sz w:val="28"/>
        </w:rPr>
        <w:t>49. Aho</w:t>
      </w:r>
      <w:r w:rsidRPr="00DE7CC4">
        <w:rPr>
          <w:rFonts w:ascii="Times New Roman" w:hAnsi="Times New Roman" w:cs="Times New Roman"/>
          <w:color w:val="000000" w:themeColor="text1"/>
          <w:sz w:val="28"/>
        </w:rPr>
        <w:t xml:space="preserve">ra bien, en vista de que en la Ley 2161 de 2021 existía ya una disposición que preveía, como una </w:t>
      </w:r>
      <w:r w:rsidRPr="00DE7CC4">
        <w:rPr>
          <w:rFonts w:ascii="Times New Roman" w:hAnsi="Times New Roman" w:cs="Times New Roman"/>
          <w:i/>
          <w:iCs/>
          <w:color w:val="000000" w:themeColor="text1"/>
          <w:sz w:val="28"/>
        </w:rPr>
        <w:t xml:space="preserve">excepción </w:t>
      </w:r>
      <w:r w:rsidRPr="00DE7CC4">
        <w:rPr>
          <w:rFonts w:ascii="Times New Roman" w:hAnsi="Times New Roman" w:cs="Times New Roman"/>
          <w:color w:val="000000" w:themeColor="text1"/>
          <w:sz w:val="28"/>
        </w:rPr>
        <w:t>a la regla general establecida en el artículo 143 de la Ley 769 de 2002, la no asistencia de una autoridad de tránsito -para suscribir el informe pol</w:t>
      </w:r>
      <w:r w:rsidRPr="00DE7CC4">
        <w:rPr>
          <w:rFonts w:ascii="Times New Roman" w:hAnsi="Times New Roman" w:cs="Times New Roman"/>
          <w:color w:val="000000" w:themeColor="text1"/>
          <w:sz w:val="28"/>
        </w:rPr>
        <w:t>icial respectivo- en accidentes de tránsito que involucraran vehículos asegurados (Art. 12, que adicionó el Art. 143A al Código Nacional de Tránsito)</w:t>
      </w:r>
      <w:r w:rsidRPr="00DE7CC4">
        <w:rPr>
          <w:rStyle w:val="Refdenotaalpie"/>
          <w:rFonts w:ascii="Times New Roman" w:hAnsi="Times New Roman"/>
          <w:color w:val="000000" w:themeColor="text1"/>
          <w:sz w:val="28"/>
        </w:rPr>
        <w:footnoteReference w:id="75"/>
      </w:r>
      <w:r w:rsidRPr="00DE7CC4">
        <w:rPr>
          <w:rFonts w:ascii="Times New Roman" w:hAnsi="Times New Roman" w:cs="Times New Roman"/>
          <w:color w:val="000000" w:themeColor="text1"/>
          <w:sz w:val="28"/>
        </w:rPr>
        <w:t xml:space="preserve">, estima la Sala Plena necesario hacer referencia a los antecedentes legislativos de este cuerpo </w:t>
      </w:r>
      <w:r w:rsidRPr="00DE7CC4">
        <w:rPr>
          <w:rFonts w:ascii="Times New Roman" w:hAnsi="Times New Roman" w:cs="Times New Roman"/>
          <w:color w:val="000000" w:themeColor="text1"/>
          <w:sz w:val="28"/>
        </w:rPr>
        <w:t>normativo, con miras a contar con mayores elementos de juicio para el estudio que ahora realiza. Al respecto, es importante destacar que la Sentencia C-321 de 2022</w:t>
      </w:r>
      <w:r w:rsidRPr="00DE7CC4">
        <w:rPr>
          <w:rStyle w:val="Refdenotaalpie"/>
          <w:rFonts w:ascii="Times New Roman" w:hAnsi="Times New Roman"/>
          <w:color w:val="000000" w:themeColor="text1"/>
          <w:sz w:val="28"/>
        </w:rPr>
        <w:footnoteReference w:id="76"/>
      </w:r>
      <w:r w:rsidRPr="00DE7CC4">
        <w:rPr>
          <w:rFonts w:ascii="Times New Roman" w:hAnsi="Times New Roman" w:cs="Times New Roman"/>
          <w:color w:val="000000" w:themeColor="text1"/>
          <w:sz w:val="28"/>
        </w:rPr>
        <w:t xml:space="preserve"> precisó, al analizar una demanda de inconstitucionalidad contra el artículo 10 de la Ley 21</w:t>
      </w:r>
      <w:r w:rsidRPr="00DE7CC4">
        <w:rPr>
          <w:rFonts w:ascii="Times New Roman" w:hAnsi="Times New Roman" w:cs="Times New Roman"/>
          <w:color w:val="000000" w:themeColor="text1"/>
          <w:sz w:val="28"/>
        </w:rPr>
        <w:t>61 de 2021, que el núcleo temático de esta normativa se centró, entre otros elementos, en fortalecer -evitar la evasión- la obligación de afiliación al sistema de aseguramiento a través del SOAT, contrarrestar prácticas fraudulentas en la afectación del mi</w:t>
      </w:r>
      <w:r w:rsidRPr="00DE7CC4">
        <w:rPr>
          <w:rFonts w:ascii="Times New Roman" w:hAnsi="Times New Roman" w:cs="Times New Roman"/>
          <w:color w:val="000000" w:themeColor="text1"/>
          <w:sz w:val="28"/>
        </w:rPr>
        <w:t>smo y establecer incentivos a quienes, por su conducta en la vía, no se ven involucrados en accidentes que lleven a hacer efectivo este aseguramiento:</w:t>
      </w:r>
    </w:p>
    <w:p w:rsidR="00F32ED8" w:rsidRPr="00DE7CC4" w:rsidRDefault="00DE7CC4" w:rsidP="00F32ED8">
      <w:pPr>
        <w:ind w:left="567" w:right="333"/>
        <w:jc w:val="both"/>
        <w:rPr>
          <w:rFonts w:ascii="Times New Roman" w:hAnsi="Times New Roman" w:cs="Times New Roman"/>
          <w:color w:val="000000" w:themeColor="text1"/>
          <w:sz w:val="28"/>
        </w:rPr>
      </w:pPr>
    </w:p>
    <w:p w:rsidR="00F32ED8" w:rsidRPr="00DE7CC4" w:rsidRDefault="00DE7CC4" w:rsidP="00F32ED8">
      <w:pPr>
        <w:ind w:left="567" w:right="333"/>
        <w:jc w:val="both"/>
        <w:rPr>
          <w:rFonts w:ascii="Times New Roman" w:hAnsi="Times New Roman" w:cs="Times New Roman"/>
          <w:color w:val="000000" w:themeColor="text1"/>
          <w:sz w:val="28"/>
        </w:rPr>
      </w:pPr>
      <w:r w:rsidRPr="00DE7CC4">
        <w:rPr>
          <w:rFonts w:ascii="Times New Roman" w:hAnsi="Times New Roman" w:cs="Times New Roman"/>
          <w:color w:val="000000" w:themeColor="text1"/>
          <w:sz w:val="28"/>
          <w:shd w:val="clear" w:color="auto" w:fill="FFFFFF"/>
        </w:rPr>
        <w:t>“Dentro del núcleo temático perseguido por el Legislador al proferir la Ley 2161 de 2021 se encuentra es</w:t>
      </w:r>
      <w:r w:rsidRPr="00DE7CC4">
        <w:rPr>
          <w:rFonts w:ascii="Times New Roman" w:hAnsi="Times New Roman" w:cs="Times New Roman"/>
          <w:color w:val="000000" w:themeColor="text1"/>
          <w:sz w:val="28"/>
          <w:shd w:val="clear" w:color="auto" w:fill="FFFFFF"/>
        </w:rPr>
        <w:t>tablecer medidas que promuevan la seguridad vial del país a través de prácticas y actitudes responsables durante la circulación en las vías que a su vez fomenten la adquisición, renovación y no evasión del Seguro Obligatorio de Accidentes de Tránsito (SOAT</w:t>
      </w:r>
      <w:r w:rsidRPr="00DE7CC4">
        <w:rPr>
          <w:rFonts w:ascii="Times New Roman" w:hAnsi="Times New Roman" w:cs="Times New Roman"/>
          <w:color w:val="000000" w:themeColor="text1"/>
          <w:sz w:val="28"/>
          <w:shd w:val="clear" w:color="auto" w:fill="FFFFFF"/>
        </w:rPr>
        <w:t>)”.</w:t>
      </w:r>
    </w:p>
    <w:p w:rsidR="00F32ED8" w:rsidRPr="00DE7CC4" w:rsidRDefault="00DE7CC4" w:rsidP="00F32ED8">
      <w:pPr>
        <w:jc w:val="both"/>
        <w:rPr>
          <w:rFonts w:ascii="Times New Roman" w:hAnsi="Times New Roman" w:cs="Times New Roman"/>
          <w:color w:val="000000" w:themeColor="text1"/>
          <w:sz w:val="28"/>
        </w:rPr>
      </w:pPr>
    </w:p>
    <w:p w:rsidR="00F32ED8" w:rsidRPr="00DE7CC4" w:rsidRDefault="00DE7CC4" w:rsidP="00F32ED8">
      <w:pPr>
        <w:jc w:val="both"/>
        <w:rPr>
          <w:rFonts w:ascii="Times New Roman" w:hAnsi="Times New Roman" w:cs="Times New Roman"/>
          <w:color w:val="000000" w:themeColor="text1"/>
          <w:sz w:val="28"/>
        </w:rPr>
      </w:pPr>
      <w:r w:rsidRPr="00DE7CC4">
        <w:rPr>
          <w:rFonts w:ascii="Times New Roman" w:hAnsi="Times New Roman" w:cs="Times New Roman"/>
          <w:color w:val="000000" w:themeColor="text1"/>
          <w:sz w:val="28"/>
        </w:rPr>
        <w:t>50. Aunado a lo anterior, siguiendo para el efecto los antecedentes legislativos y, en particular, la aprobación del artículo 4, que adiciona al Código Nacional de Tránsito el artículo 42A, también se incluyó una disposición que tuvo por objeto regula</w:t>
      </w:r>
      <w:r w:rsidRPr="00DE7CC4">
        <w:rPr>
          <w:rFonts w:ascii="Times New Roman" w:hAnsi="Times New Roman" w:cs="Times New Roman"/>
          <w:color w:val="000000" w:themeColor="text1"/>
          <w:sz w:val="28"/>
        </w:rPr>
        <w:t xml:space="preserve">r el aseguramiento complementario y </w:t>
      </w:r>
      <w:r w:rsidRPr="00DE7CC4">
        <w:rPr>
          <w:rFonts w:ascii="Times New Roman" w:hAnsi="Times New Roman" w:cs="Times New Roman"/>
          <w:i/>
          <w:iCs/>
          <w:color w:val="000000" w:themeColor="text1"/>
          <w:sz w:val="28"/>
        </w:rPr>
        <w:t>voluntario</w:t>
      </w:r>
      <w:r w:rsidRPr="00DE7CC4">
        <w:rPr>
          <w:rFonts w:ascii="Times New Roman" w:hAnsi="Times New Roman" w:cs="Times New Roman"/>
          <w:color w:val="000000" w:themeColor="text1"/>
          <w:sz w:val="28"/>
        </w:rPr>
        <w:t xml:space="preserve"> al seguro obligatorio -SOAT-, dirigido a amparar “la responsabilidad civil por daños materiales a terceros, cubriendo la reparación o parte de ella de los bienes asegurables, en caso de presentarse un </w:t>
      </w:r>
      <w:r w:rsidRPr="00DE7CC4">
        <w:rPr>
          <w:rFonts w:ascii="Times New Roman" w:hAnsi="Times New Roman" w:cs="Times New Roman"/>
          <w:color w:val="000000" w:themeColor="text1"/>
          <w:sz w:val="28"/>
          <w:u w:val="single"/>
        </w:rPr>
        <w:t>choque s</w:t>
      </w:r>
      <w:r w:rsidRPr="00DE7CC4">
        <w:rPr>
          <w:rFonts w:ascii="Times New Roman" w:hAnsi="Times New Roman" w:cs="Times New Roman"/>
          <w:color w:val="000000" w:themeColor="text1"/>
          <w:sz w:val="28"/>
          <w:u w:val="single"/>
        </w:rPr>
        <w:t>imple</w:t>
      </w:r>
      <w:r w:rsidRPr="00DE7CC4">
        <w:rPr>
          <w:rFonts w:ascii="Times New Roman" w:hAnsi="Times New Roman" w:cs="Times New Roman"/>
          <w:color w:val="000000" w:themeColor="text1"/>
          <w:sz w:val="28"/>
        </w:rPr>
        <w:t xml:space="preserve">”. (Subraya fuera de texto). Sobre este mismo tema, y para aquello que concierne en este asunto, se previó en el artículo 12 de la Ley 2161 de 2021 ya referido que, en casos de daños materiales a vehículos </w:t>
      </w:r>
      <w:r w:rsidRPr="00DE7CC4">
        <w:rPr>
          <w:rFonts w:ascii="Times New Roman" w:hAnsi="Times New Roman" w:cs="Times New Roman"/>
          <w:i/>
          <w:iCs/>
          <w:color w:val="000000" w:themeColor="text1"/>
          <w:sz w:val="28"/>
        </w:rPr>
        <w:t>asegurados</w:t>
      </w:r>
      <w:r w:rsidRPr="00DE7CC4">
        <w:rPr>
          <w:rFonts w:ascii="Times New Roman" w:hAnsi="Times New Roman" w:cs="Times New Roman"/>
          <w:color w:val="000000" w:themeColor="text1"/>
          <w:sz w:val="28"/>
        </w:rPr>
        <w:t xml:space="preserve">, las personas involucradas debían </w:t>
      </w:r>
      <w:r w:rsidRPr="00DE7CC4">
        <w:rPr>
          <w:rFonts w:ascii="Times New Roman" w:hAnsi="Times New Roman" w:cs="Times New Roman"/>
          <w:color w:val="000000" w:themeColor="text1"/>
          <w:sz w:val="28"/>
        </w:rPr>
        <w:t xml:space="preserve">retirar inmediatamente los vehículos y todo elemento que pudiera </w:t>
      </w:r>
      <w:r w:rsidRPr="00DE7CC4">
        <w:rPr>
          <w:rFonts w:ascii="Times New Roman" w:hAnsi="Times New Roman" w:cs="Times New Roman"/>
          <w:i/>
          <w:iCs/>
          <w:color w:val="000000" w:themeColor="text1"/>
          <w:sz w:val="28"/>
        </w:rPr>
        <w:t>interrumpir el tráfico</w:t>
      </w:r>
      <w:r w:rsidRPr="00DE7CC4">
        <w:rPr>
          <w:rFonts w:ascii="Times New Roman" w:hAnsi="Times New Roman" w:cs="Times New Roman"/>
          <w:color w:val="000000" w:themeColor="text1"/>
          <w:sz w:val="28"/>
        </w:rPr>
        <w:t>, podían conciliar sus intereses y acudir a las compañías aseguradoras, agregando que las pruebas debían tomarse en el sitio por los interesados, acudiendo para el efect</w:t>
      </w:r>
      <w:r w:rsidRPr="00DE7CC4">
        <w:rPr>
          <w:rFonts w:ascii="Times New Roman" w:hAnsi="Times New Roman" w:cs="Times New Roman"/>
          <w:color w:val="000000" w:themeColor="text1"/>
          <w:sz w:val="28"/>
        </w:rPr>
        <w:t xml:space="preserve">o a las herramientas técnicas y tecnológicas y sin que se requiriera la suscripción de documento alguno por la autoridad de tránsito. </w:t>
      </w:r>
    </w:p>
    <w:p w:rsidR="00F32ED8" w:rsidRPr="00DE7CC4" w:rsidRDefault="00DE7CC4" w:rsidP="00F32ED8">
      <w:pPr>
        <w:jc w:val="both"/>
        <w:rPr>
          <w:rFonts w:ascii="Times New Roman" w:hAnsi="Times New Roman" w:cs="Times New Roman"/>
          <w:color w:val="000000" w:themeColor="text1"/>
          <w:sz w:val="28"/>
        </w:rPr>
      </w:pPr>
    </w:p>
    <w:p w:rsidR="00F32ED8" w:rsidRPr="00DE7CC4" w:rsidRDefault="00DE7CC4" w:rsidP="00F32ED8">
      <w:pPr>
        <w:jc w:val="both"/>
        <w:rPr>
          <w:rFonts w:ascii="Times New Roman" w:hAnsi="Times New Roman" w:cs="Times New Roman"/>
          <w:color w:val="000000" w:themeColor="text1"/>
          <w:sz w:val="28"/>
        </w:rPr>
      </w:pPr>
      <w:r w:rsidRPr="00DE7CC4">
        <w:rPr>
          <w:rFonts w:ascii="Times New Roman" w:hAnsi="Times New Roman" w:cs="Times New Roman"/>
          <w:color w:val="000000" w:themeColor="text1"/>
          <w:sz w:val="28"/>
        </w:rPr>
        <w:t>51. Sobre el uso de herramientas tecnológicas, en la Gaceta 1260 de 2021, que contiene el informe de ponencia para la pl</w:t>
      </w:r>
      <w:r w:rsidRPr="00DE7CC4">
        <w:rPr>
          <w:rFonts w:ascii="Times New Roman" w:hAnsi="Times New Roman" w:cs="Times New Roman"/>
          <w:color w:val="000000" w:themeColor="text1"/>
          <w:sz w:val="28"/>
        </w:rPr>
        <w:t>enaria del Senado, se indicó que tenían el fin de “a</w:t>
      </w:r>
      <w:r w:rsidRPr="00DE7CC4">
        <w:rPr>
          <w:rFonts w:ascii="Times New Roman" w:hAnsi="Times New Roman" w:cs="Times New Roman"/>
          <w:color w:val="000000" w:themeColor="text1"/>
          <w:sz w:val="28"/>
          <w:u w:val="single"/>
        </w:rPr>
        <w:t>gilizar los procedimientos en vía</w:t>
      </w:r>
      <w:r w:rsidRPr="00DE7CC4">
        <w:rPr>
          <w:rFonts w:ascii="Times New Roman" w:hAnsi="Times New Roman" w:cs="Times New Roman"/>
          <w:color w:val="000000" w:themeColor="text1"/>
          <w:sz w:val="28"/>
        </w:rPr>
        <w:t xml:space="preserve"> y evitar las conductas fraudulentas”</w:t>
      </w:r>
      <w:r w:rsidRPr="00DE7CC4">
        <w:rPr>
          <w:rStyle w:val="Refdenotaalpie"/>
          <w:rFonts w:ascii="Times New Roman" w:hAnsi="Times New Roman"/>
          <w:color w:val="000000" w:themeColor="text1"/>
          <w:sz w:val="28"/>
        </w:rPr>
        <w:footnoteReference w:id="77"/>
      </w:r>
      <w:r w:rsidRPr="00DE7CC4">
        <w:rPr>
          <w:rFonts w:ascii="Times New Roman" w:hAnsi="Times New Roman" w:cs="Times New Roman"/>
          <w:color w:val="000000" w:themeColor="text1"/>
          <w:sz w:val="28"/>
        </w:rPr>
        <w:t xml:space="preserve">. (Subraya fuera de texto). Finalmente, al verificar en el trámite legislativo la inclusión de este último artículo, se concluye que </w:t>
      </w:r>
      <w:r w:rsidRPr="00DE7CC4">
        <w:rPr>
          <w:rFonts w:ascii="Times New Roman" w:hAnsi="Times New Roman" w:cs="Times New Roman"/>
          <w:color w:val="000000" w:themeColor="text1"/>
          <w:sz w:val="28"/>
        </w:rPr>
        <w:t>se incorporó en la sesión plenaria del Senado</w:t>
      </w:r>
      <w:r w:rsidRPr="00DE7CC4">
        <w:rPr>
          <w:rStyle w:val="Refdenotaalpie"/>
          <w:rFonts w:ascii="Times New Roman" w:hAnsi="Times New Roman"/>
          <w:color w:val="000000" w:themeColor="text1"/>
          <w:sz w:val="28"/>
        </w:rPr>
        <w:footnoteReference w:id="78"/>
      </w:r>
      <w:r w:rsidRPr="00DE7CC4">
        <w:rPr>
          <w:rFonts w:ascii="Times New Roman" w:hAnsi="Times New Roman" w:cs="Times New Roman"/>
          <w:color w:val="000000" w:themeColor="text1"/>
          <w:sz w:val="28"/>
        </w:rPr>
        <w:t xml:space="preserve"> sin que, en este caso y tal como ocurrió con la Ley 2251 de 2022, se hayan efectuado consideraciones adicionales a las ya mencionadas sobre la razón de su incursión. </w:t>
      </w:r>
    </w:p>
    <w:p w:rsidR="00F32ED8" w:rsidRPr="00DE7CC4" w:rsidRDefault="00DE7CC4" w:rsidP="00F32ED8">
      <w:pPr>
        <w:jc w:val="both"/>
        <w:rPr>
          <w:rFonts w:ascii="Times New Roman" w:hAnsi="Times New Roman" w:cs="Times New Roman"/>
          <w:color w:val="000000" w:themeColor="text1"/>
          <w:sz w:val="28"/>
        </w:rPr>
      </w:pPr>
    </w:p>
    <w:p w:rsidR="00F32ED8" w:rsidRPr="00DE7CC4" w:rsidRDefault="00DE7CC4" w:rsidP="00F32ED8">
      <w:pPr>
        <w:jc w:val="both"/>
        <w:rPr>
          <w:rFonts w:ascii="Times New Roman" w:hAnsi="Times New Roman" w:cs="Times New Roman"/>
          <w:color w:val="000000" w:themeColor="text1"/>
          <w:sz w:val="28"/>
        </w:rPr>
      </w:pPr>
      <w:r w:rsidRPr="00DE7CC4">
        <w:rPr>
          <w:rFonts w:ascii="Times New Roman" w:hAnsi="Times New Roman" w:cs="Times New Roman"/>
          <w:color w:val="000000" w:themeColor="text1"/>
          <w:sz w:val="28"/>
        </w:rPr>
        <w:t xml:space="preserve">52. Observando lo hasta ahora </w:t>
      </w:r>
      <w:r w:rsidRPr="00DE7CC4">
        <w:rPr>
          <w:rFonts w:ascii="Times New Roman" w:hAnsi="Times New Roman" w:cs="Times New Roman"/>
          <w:color w:val="000000" w:themeColor="text1"/>
          <w:sz w:val="28"/>
        </w:rPr>
        <w:t>sostenido</w:t>
      </w:r>
      <w:r w:rsidRPr="00DE7CC4">
        <w:rPr>
          <w:rFonts w:ascii="Times New Roman" w:hAnsi="Times New Roman" w:cs="Times New Roman"/>
          <w:color w:val="000000" w:themeColor="text1"/>
          <w:sz w:val="28"/>
        </w:rPr>
        <w:t xml:space="preserve">, </w:t>
      </w:r>
      <w:r w:rsidRPr="00DE7CC4">
        <w:rPr>
          <w:rFonts w:ascii="Times New Roman" w:hAnsi="Times New Roman" w:cs="Times New Roman"/>
          <w:color w:val="000000" w:themeColor="text1"/>
          <w:sz w:val="28"/>
        </w:rPr>
        <w:t>concluye la Sala que, en general, la expedición de la Ley 2251 de 2022 se inscribe en un escenario en el que se pretende fortalecer la seguridad vial y, en consecuencia, la garantía de los derechos involucrados en la actividad del transporte -sea este públ</w:t>
      </w:r>
      <w:r w:rsidRPr="00DE7CC4">
        <w:rPr>
          <w:rFonts w:ascii="Times New Roman" w:hAnsi="Times New Roman" w:cs="Times New Roman"/>
          <w:color w:val="000000" w:themeColor="text1"/>
          <w:sz w:val="28"/>
        </w:rPr>
        <w:t>ico o privado-</w:t>
      </w:r>
      <w:r w:rsidRPr="00DE7CC4">
        <w:rPr>
          <w:rStyle w:val="Refdenotaalpie"/>
          <w:rFonts w:ascii="Times New Roman" w:hAnsi="Times New Roman"/>
          <w:color w:val="000000" w:themeColor="text1"/>
          <w:sz w:val="28"/>
        </w:rPr>
        <w:footnoteReference w:id="79"/>
      </w:r>
      <w:r w:rsidRPr="00DE7CC4">
        <w:rPr>
          <w:rFonts w:ascii="Times New Roman" w:hAnsi="Times New Roman" w:cs="Times New Roman"/>
          <w:color w:val="000000" w:themeColor="text1"/>
          <w:sz w:val="28"/>
        </w:rPr>
        <w:t>; a partir de una concepción que atiende, no solamente a la adopción de requerimientos técnicos más confiables para vehículos -por ejemplo-, sino al fortalecimiento del sistema de aseguramiento,</w:t>
      </w:r>
      <w:r w:rsidRPr="00DE7CC4">
        <w:rPr>
          <w:rStyle w:val="Refdenotaalpie"/>
          <w:rFonts w:ascii="Times New Roman" w:hAnsi="Times New Roman"/>
          <w:color w:val="000000" w:themeColor="text1"/>
          <w:sz w:val="28"/>
        </w:rPr>
        <w:footnoteReference w:id="80"/>
      </w:r>
      <w:r w:rsidRPr="00DE7CC4">
        <w:rPr>
          <w:rFonts w:ascii="Times New Roman" w:hAnsi="Times New Roman" w:cs="Times New Roman"/>
          <w:color w:val="000000" w:themeColor="text1"/>
          <w:sz w:val="28"/>
        </w:rPr>
        <w:t xml:space="preserve"> creando incentivos para el cumplimiento de la</w:t>
      </w:r>
      <w:r w:rsidRPr="00DE7CC4">
        <w:rPr>
          <w:rFonts w:ascii="Times New Roman" w:hAnsi="Times New Roman" w:cs="Times New Roman"/>
          <w:color w:val="000000" w:themeColor="text1"/>
          <w:sz w:val="28"/>
        </w:rPr>
        <w:t xml:space="preserve"> obligación de adquirir el SOAT y, además, estableciendo algunas reglas para la adquisición de seguros que amplían la cobertura de riesgos a los casos de choques simples </w:t>
      </w:r>
      <w:r w:rsidRPr="00DE7CC4">
        <w:rPr>
          <w:rFonts w:ascii="Times New Roman" w:hAnsi="Times New Roman" w:cs="Times New Roman"/>
          <w:color w:val="000000" w:themeColor="text1"/>
          <w:sz w:val="28"/>
        </w:rPr>
        <w:t>–</w:t>
      </w:r>
      <w:r w:rsidRPr="00DE7CC4">
        <w:rPr>
          <w:rFonts w:ascii="Times New Roman" w:hAnsi="Times New Roman" w:cs="Times New Roman"/>
          <w:color w:val="000000" w:themeColor="text1"/>
          <w:sz w:val="28"/>
        </w:rPr>
        <w:t>en particular ver el alcance de la Ley 2161 de 2021</w:t>
      </w:r>
      <w:r w:rsidRPr="00DE7CC4">
        <w:rPr>
          <w:rFonts w:ascii="Times New Roman" w:hAnsi="Times New Roman" w:cs="Times New Roman"/>
          <w:color w:val="000000" w:themeColor="text1"/>
          <w:sz w:val="28"/>
        </w:rPr>
        <w:t>–</w:t>
      </w:r>
      <w:r w:rsidRPr="00DE7CC4">
        <w:rPr>
          <w:rStyle w:val="Refdenotaalpie"/>
          <w:rFonts w:ascii="Times New Roman" w:hAnsi="Times New Roman"/>
          <w:color w:val="000000" w:themeColor="text1"/>
          <w:sz w:val="28"/>
        </w:rPr>
        <w:footnoteReference w:id="81"/>
      </w:r>
      <w:r w:rsidRPr="00DE7CC4">
        <w:rPr>
          <w:rFonts w:ascii="Times New Roman" w:hAnsi="Times New Roman" w:cs="Times New Roman"/>
          <w:color w:val="000000" w:themeColor="text1"/>
          <w:sz w:val="28"/>
        </w:rPr>
        <w:t>. Con la adopción del artículo 1</w:t>
      </w:r>
      <w:r w:rsidRPr="00DE7CC4">
        <w:rPr>
          <w:rFonts w:ascii="Times New Roman" w:hAnsi="Times New Roman" w:cs="Times New Roman"/>
          <w:color w:val="000000" w:themeColor="text1"/>
          <w:sz w:val="28"/>
        </w:rPr>
        <w:t xml:space="preserve">6 de la Ley 2251 de 2022, en particular, se pretende </w:t>
      </w:r>
      <w:r w:rsidRPr="00DE7CC4">
        <w:rPr>
          <w:rFonts w:ascii="Times New Roman" w:hAnsi="Times New Roman" w:cs="Times New Roman"/>
          <w:color w:val="000000" w:themeColor="text1"/>
          <w:sz w:val="28"/>
        </w:rPr>
        <w:t>–</w:t>
      </w:r>
      <w:r w:rsidRPr="00DE7CC4">
        <w:rPr>
          <w:rFonts w:ascii="Times New Roman" w:hAnsi="Times New Roman" w:cs="Times New Roman"/>
          <w:color w:val="000000" w:themeColor="text1"/>
          <w:sz w:val="28"/>
        </w:rPr>
        <w:t>sin perjuicio del análisis más integral que se hará más adelante</w:t>
      </w:r>
      <w:r w:rsidRPr="00DE7CC4">
        <w:rPr>
          <w:rFonts w:ascii="Times New Roman" w:hAnsi="Times New Roman" w:cs="Times New Roman"/>
          <w:color w:val="000000" w:themeColor="text1"/>
          <w:sz w:val="28"/>
        </w:rPr>
        <w:t>–</w:t>
      </w:r>
      <w:r w:rsidRPr="00DE7CC4">
        <w:rPr>
          <w:rFonts w:ascii="Times New Roman" w:hAnsi="Times New Roman" w:cs="Times New Roman"/>
          <w:color w:val="000000" w:themeColor="text1"/>
          <w:sz w:val="28"/>
        </w:rPr>
        <w:t xml:space="preserve"> </w:t>
      </w:r>
      <w:r w:rsidRPr="00DE7CC4">
        <w:rPr>
          <w:rFonts w:ascii="Times New Roman" w:hAnsi="Times New Roman" w:cs="Times New Roman"/>
          <w:i/>
          <w:iCs/>
          <w:color w:val="000000" w:themeColor="text1"/>
          <w:sz w:val="28"/>
        </w:rPr>
        <w:t>reducir la congestión vial</w:t>
      </w:r>
      <w:r w:rsidRPr="00DE7CC4">
        <w:rPr>
          <w:rFonts w:ascii="Times New Roman" w:hAnsi="Times New Roman" w:cs="Times New Roman"/>
          <w:color w:val="000000" w:themeColor="text1"/>
          <w:sz w:val="28"/>
        </w:rPr>
        <w:t xml:space="preserve">, lo cual repercute en la satisfacción de derechos fundamentales tales como la libertad de locomoción. </w:t>
      </w:r>
    </w:p>
    <w:p w:rsidR="00F32ED8" w:rsidRPr="00DE7CC4" w:rsidRDefault="00DE7CC4" w:rsidP="00F32ED8">
      <w:pPr>
        <w:jc w:val="both"/>
        <w:rPr>
          <w:rFonts w:ascii="Times New Roman" w:hAnsi="Times New Roman" w:cs="Times New Roman"/>
          <w:color w:val="000000" w:themeColor="text1"/>
          <w:sz w:val="28"/>
        </w:rPr>
      </w:pPr>
    </w:p>
    <w:p w:rsidR="00F32ED8" w:rsidRPr="00DE7CC4" w:rsidRDefault="00DE7CC4" w:rsidP="00F32ED8">
      <w:pPr>
        <w:jc w:val="both"/>
        <w:rPr>
          <w:rFonts w:ascii="Times New Roman" w:hAnsi="Times New Roman" w:cs="Times New Roman"/>
          <w:color w:val="000000" w:themeColor="text1"/>
          <w:sz w:val="28"/>
        </w:rPr>
      </w:pPr>
      <w:r w:rsidRPr="00DE7CC4">
        <w:rPr>
          <w:rFonts w:ascii="Times New Roman" w:hAnsi="Times New Roman" w:cs="Times New Roman"/>
          <w:color w:val="000000" w:themeColor="text1"/>
          <w:sz w:val="28"/>
        </w:rPr>
        <w:t xml:space="preserve">53. </w:t>
      </w:r>
      <w:r w:rsidRPr="00DE7CC4">
        <w:rPr>
          <w:rFonts w:ascii="Times New Roman" w:hAnsi="Times New Roman" w:cs="Times New Roman"/>
          <w:b/>
          <w:bCs/>
          <w:color w:val="000000" w:themeColor="text1"/>
          <w:sz w:val="28"/>
        </w:rPr>
        <w:t xml:space="preserve">Tercero. </w:t>
      </w:r>
      <w:r w:rsidRPr="00DE7CC4">
        <w:rPr>
          <w:rFonts w:ascii="Times New Roman" w:hAnsi="Times New Roman" w:cs="Times New Roman"/>
          <w:color w:val="000000" w:themeColor="text1"/>
          <w:sz w:val="28"/>
        </w:rPr>
        <w:t xml:space="preserve">En este sentido, con el artículo 16 de la Ley 2251 de 2022 se introduce al Código Nacional de Tránsito una nueva regulación sobre el manejo que debe darse a los accidentes de tránsito que tienen como resultado exclusivo daños materiales, esto es, </w:t>
      </w:r>
      <w:r w:rsidRPr="00DE7CC4">
        <w:rPr>
          <w:rFonts w:ascii="Times New Roman" w:hAnsi="Times New Roman" w:cs="Times New Roman"/>
          <w:color w:val="000000" w:themeColor="text1"/>
          <w:sz w:val="28"/>
        </w:rPr>
        <w:t xml:space="preserve">que no involucran personas lesionadas. El cambio fundamental, frente a la anterior regulación, es que para efectos del </w:t>
      </w:r>
      <w:r w:rsidRPr="00DE7CC4">
        <w:rPr>
          <w:rFonts w:ascii="Times New Roman" w:hAnsi="Times New Roman" w:cs="Times New Roman"/>
          <w:i/>
          <w:iCs/>
          <w:color w:val="000000" w:themeColor="text1"/>
          <w:sz w:val="28"/>
        </w:rPr>
        <w:t xml:space="preserve">procedimiento en caso de daños a cosas </w:t>
      </w:r>
      <w:r w:rsidRPr="00DE7CC4">
        <w:rPr>
          <w:rFonts w:ascii="Times New Roman" w:hAnsi="Times New Roman" w:cs="Times New Roman"/>
          <w:color w:val="000000" w:themeColor="text1"/>
          <w:sz w:val="28"/>
        </w:rPr>
        <w:t>ya no se requiere, con independencia de que el vehículo tenga un seguro que cubra la responsabilid</w:t>
      </w:r>
      <w:r w:rsidRPr="00DE7CC4">
        <w:rPr>
          <w:rFonts w:ascii="Times New Roman" w:hAnsi="Times New Roman" w:cs="Times New Roman"/>
          <w:color w:val="000000" w:themeColor="text1"/>
          <w:sz w:val="28"/>
        </w:rPr>
        <w:t>ad que se genera por dicha circunstancia</w:t>
      </w:r>
      <w:r w:rsidRPr="00DE7CC4">
        <w:rPr>
          <w:rStyle w:val="Refdenotaalpie"/>
          <w:rFonts w:ascii="Times New Roman" w:hAnsi="Times New Roman"/>
          <w:color w:val="000000" w:themeColor="text1"/>
          <w:sz w:val="28"/>
        </w:rPr>
        <w:footnoteReference w:id="82"/>
      </w:r>
      <w:r w:rsidRPr="00DE7CC4">
        <w:rPr>
          <w:rFonts w:ascii="Times New Roman" w:hAnsi="Times New Roman" w:cs="Times New Roman"/>
          <w:color w:val="000000" w:themeColor="text1"/>
          <w:sz w:val="28"/>
        </w:rPr>
        <w:t>, la intervención de la autoridad de tránsito, ausencia que -en esta exclusiva materia- implica que ya no interviene en la conciliación que antes podía adelantarse en el lugar de los hechos y, en particular, no actú</w:t>
      </w:r>
      <w:r w:rsidRPr="00DE7CC4">
        <w:rPr>
          <w:rFonts w:ascii="Times New Roman" w:hAnsi="Times New Roman" w:cs="Times New Roman"/>
          <w:color w:val="000000" w:themeColor="text1"/>
          <w:sz w:val="28"/>
        </w:rPr>
        <w:t>a para levantar el informe policial de accidente de tránsito. Por este motivo, ahora serán (i) los conductores, entidades aseguradoras y demás interesados, quienes (ii) recaudarán todas las pruebas relativas a la colisión, luego de lo cual deben retirar in</w:t>
      </w:r>
      <w:r w:rsidRPr="00DE7CC4">
        <w:rPr>
          <w:rFonts w:ascii="Times New Roman" w:hAnsi="Times New Roman" w:cs="Times New Roman"/>
          <w:color w:val="000000" w:themeColor="text1"/>
          <w:sz w:val="28"/>
        </w:rPr>
        <w:t>mediatamente los vehículos y todo lo que interrumpa el tránsito. Esto es, lo que antes hacía el agente de tránsito en materia probatoria en el momento y lugar del accidente, como recopilar datos personales de los implicad</w:t>
      </w:r>
      <w:r w:rsidRPr="00DE7CC4">
        <w:rPr>
          <w:rFonts w:ascii="Times New Roman" w:hAnsi="Times New Roman" w:cs="Times New Roman"/>
          <w:color w:val="000000" w:themeColor="text1"/>
          <w:sz w:val="28"/>
        </w:rPr>
        <w:t>o</w:t>
      </w:r>
      <w:r w:rsidRPr="00DE7CC4">
        <w:rPr>
          <w:rFonts w:ascii="Times New Roman" w:hAnsi="Times New Roman" w:cs="Times New Roman"/>
          <w:color w:val="000000" w:themeColor="text1"/>
          <w:sz w:val="28"/>
        </w:rPr>
        <w:t xml:space="preserve">s en el accidente así como de sus </w:t>
      </w:r>
      <w:r w:rsidRPr="00DE7CC4">
        <w:rPr>
          <w:rFonts w:ascii="Times New Roman" w:hAnsi="Times New Roman" w:cs="Times New Roman"/>
          <w:color w:val="000000" w:themeColor="text1"/>
          <w:sz w:val="28"/>
        </w:rPr>
        <w:t>vehículos, tomar datos de personas que pudieran ser testigos del hecho y, además, elaborar el croquis, son actuaciones que entran a suplir los nuevos destinatarios de esta carga; para, posteriormente y en caso de ser necesario, acudir a los centros de conc</w:t>
      </w:r>
      <w:r w:rsidRPr="00DE7CC4">
        <w:rPr>
          <w:rFonts w:ascii="Times New Roman" w:hAnsi="Times New Roman" w:cs="Times New Roman"/>
          <w:color w:val="000000" w:themeColor="text1"/>
          <w:sz w:val="28"/>
        </w:rPr>
        <w:t xml:space="preserve">iliación autorizados y a las vías de acceso a la administración de justicia para reclamar la reparación del daño causado.  </w:t>
      </w:r>
    </w:p>
    <w:p w:rsidR="00F32ED8" w:rsidRPr="00DE7CC4" w:rsidRDefault="00DE7CC4" w:rsidP="00F32ED8">
      <w:pPr>
        <w:jc w:val="both"/>
        <w:rPr>
          <w:rFonts w:ascii="Times New Roman" w:hAnsi="Times New Roman" w:cs="Times New Roman"/>
          <w:color w:val="000000" w:themeColor="text1"/>
          <w:sz w:val="28"/>
        </w:rPr>
      </w:pPr>
    </w:p>
    <w:p w:rsidR="00F32ED8" w:rsidRPr="00DE7CC4" w:rsidRDefault="00DE7CC4" w:rsidP="00F32ED8">
      <w:pPr>
        <w:jc w:val="both"/>
        <w:rPr>
          <w:rFonts w:ascii="Times New Roman" w:hAnsi="Times New Roman" w:cs="Times New Roman"/>
          <w:color w:val="000000" w:themeColor="text1"/>
          <w:sz w:val="28"/>
        </w:rPr>
      </w:pPr>
      <w:r w:rsidRPr="00DE7CC4">
        <w:rPr>
          <w:rFonts w:ascii="Times New Roman" w:hAnsi="Times New Roman" w:cs="Times New Roman"/>
          <w:color w:val="000000" w:themeColor="text1"/>
          <w:sz w:val="28"/>
        </w:rPr>
        <w:t>54. Sobre este particular, la Circular Externa No. 20224000000057 del 29 de septiembre de 2022 del Ministerio de Transporte, dirigi</w:t>
      </w:r>
      <w:r w:rsidRPr="00DE7CC4">
        <w:rPr>
          <w:rFonts w:ascii="Times New Roman" w:hAnsi="Times New Roman" w:cs="Times New Roman"/>
          <w:color w:val="000000" w:themeColor="text1"/>
          <w:sz w:val="28"/>
        </w:rPr>
        <w:t>da a gobernadores, alcaldes, organismos de tránsito, Dirección de Tránsito y Transporte de la Policía Nacional – DITRA, cuerpos operativos de control de los organismos de tránsito, compañías de seguros, empresas de transporte y conductores de vehículos, ex</w:t>
      </w:r>
      <w:r w:rsidRPr="00DE7CC4">
        <w:rPr>
          <w:rFonts w:ascii="Times New Roman" w:hAnsi="Times New Roman" w:cs="Times New Roman"/>
          <w:color w:val="000000" w:themeColor="text1"/>
          <w:sz w:val="28"/>
        </w:rPr>
        <w:t>pedida para dar instrucciones sobre el cumplimiento del artículo 16 de la Ley 2251 de 2022, indica que “los lineamientos de la Ley se orientan a gestionar de manera oportuna y ágil, por parte de los interesados el recaudo de pruebas en los accidentes de tr</w:t>
      </w:r>
      <w:r w:rsidRPr="00DE7CC4">
        <w:rPr>
          <w:rFonts w:ascii="Times New Roman" w:hAnsi="Times New Roman" w:cs="Times New Roman"/>
          <w:color w:val="000000" w:themeColor="text1"/>
          <w:sz w:val="28"/>
        </w:rPr>
        <w:t>ánsito (siniestros viales) donde solo se presenten daños materiales (…) deberá directamente el conductor recaudar las pruebas e información necesaria para dirimir el conflicto (…)”; por lo cual, “[l]a Dirección de Tránsito y Transporte de la Policía Nacion</w:t>
      </w:r>
      <w:r w:rsidRPr="00DE7CC4">
        <w:rPr>
          <w:rFonts w:ascii="Times New Roman" w:hAnsi="Times New Roman" w:cs="Times New Roman"/>
          <w:color w:val="000000" w:themeColor="text1"/>
          <w:sz w:val="28"/>
        </w:rPr>
        <w:t>al y los cuerpos operativos de control de los organismos de tránsito a nivel Nacional, no tendrán que elaborar el informe policial en accidentes de tránsito”.</w:t>
      </w:r>
    </w:p>
    <w:p w:rsidR="00F32ED8" w:rsidRPr="00DE7CC4" w:rsidRDefault="00DE7CC4" w:rsidP="00F32ED8">
      <w:pPr>
        <w:jc w:val="both"/>
        <w:rPr>
          <w:rFonts w:ascii="Times New Roman" w:hAnsi="Times New Roman" w:cs="Times New Roman"/>
          <w:color w:val="000000" w:themeColor="text1"/>
          <w:sz w:val="28"/>
        </w:rPr>
      </w:pPr>
    </w:p>
    <w:p w:rsidR="00F32ED8" w:rsidRPr="00DE7CC4" w:rsidRDefault="00DE7CC4" w:rsidP="00F32ED8">
      <w:pPr>
        <w:ind w:right="49"/>
        <w:jc w:val="both"/>
        <w:rPr>
          <w:rFonts w:ascii="Times New Roman" w:hAnsi="Times New Roman" w:cs="Times New Roman"/>
          <w:color w:val="000000" w:themeColor="text1"/>
          <w:sz w:val="28"/>
        </w:rPr>
      </w:pPr>
      <w:r w:rsidRPr="00DE7CC4">
        <w:rPr>
          <w:rFonts w:ascii="Times New Roman" w:hAnsi="Times New Roman" w:cs="Times New Roman"/>
          <w:color w:val="000000" w:themeColor="text1"/>
          <w:sz w:val="28"/>
        </w:rPr>
        <w:t>55. Ahora bien, ¿a qué tipo de pruebas se refiere la disposición? Hasta antes de la entrada en v</w:t>
      </w:r>
      <w:r w:rsidRPr="00DE7CC4">
        <w:rPr>
          <w:rFonts w:ascii="Times New Roman" w:hAnsi="Times New Roman" w:cs="Times New Roman"/>
          <w:color w:val="000000" w:themeColor="text1"/>
          <w:sz w:val="28"/>
        </w:rPr>
        <w:t>igencia del artículo 16 de la Ley 2251 de 2022 la prueba fundamental que recaudaba la autoridad de tránsito en accidentes con implicaciones exclusivamente materiales era el informe policial</w:t>
      </w:r>
      <w:r w:rsidRPr="00DE7CC4">
        <w:rPr>
          <w:rFonts w:ascii="Times New Roman" w:hAnsi="Times New Roman" w:cs="Times New Roman"/>
          <w:color w:val="000000" w:themeColor="text1"/>
          <w:sz w:val="28"/>
        </w:rPr>
        <w:t xml:space="preserve"> de accidente de tránsito</w:t>
      </w:r>
      <w:r w:rsidRPr="00DE7CC4">
        <w:rPr>
          <w:rStyle w:val="Refdenotaalpie"/>
          <w:rFonts w:ascii="Times New Roman" w:hAnsi="Times New Roman"/>
          <w:color w:val="000000" w:themeColor="text1"/>
          <w:sz w:val="28"/>
        </w:rPr>
        <w:footnoteReference w:id="83"/>
      </w:r>
      <w:r w:rsidRPr="00DE7CC4">
        <w:rPr>
          <w:rFonts w:ascii="Times New Roman" w:hAnsi="Times New Roman" w:cs="Times New Roman"/>
          <w:color w:val="000000" w:themeColor="text1"/>
          <w:sz w:val="28"/>
        </w:rPr>
        <w:t>. Ahora son los directamente involucrados</w:t>
      </w:r>
      <w:r w:rsidRPr="00DE7CC4">
        <w:rPr>
          <w:rFonts w:ascii="Times New Roman" w:hAnsi="Times New Roman" w:cs="Times New Roman"/>
          <w:color w:val="000000" w:themeColor="text1"/>
          <w:sz w:val="28"/>
        </w:rPr>
        <w:t xml:space="preserve"> quienes deben recaudar “todas las pruebas (…) mediante la utilización de herramientas técnicas y tecnológicas, que permitan la atención del mismo en forma oportuna, segura y que garantice la autenticidad, integridad, conservación u posterior consulta y us</w:t>
      </w:r>
      <w:r w:rsidRPr="00DE7CC4">
        <w:rPr>
          <w:rFonts w:ascii="Times New Roman" w:hAnsi="Times New Roman" w:cs="Times New Roman"/>
          <w:color w:val="000000" w:themeColor="text1"/>
          <w:sz w:val="28"/>
        </w:rPr>
        <w:t>o probatorio de la información”. Así, serán los interesados quienes deben, con el uso de dispositivos tales como teléfonos -entre otros-, tomar fotos o videos para dar cuenta de la colisión. Dicho de otra manera, una prueba documental expedida por autorida</w:t>
      </w:r>
      <w:r w:rsidRPr="00DE7CC4">
        <w:rPr>
          <w:rFonts w:ascii="Times New Roman" w:hAnsi="Times New Roman" w:cs="Times New Roman"/>
          <w:color w:val="000000" w:themeColor="text1"/>
          <w:sz w:val="28"/>
        </w:rPr>
        <w:t xml:space="preserve">d pública </w:t>
      </w:r>
      <w:r w:rsidRPr="00DE7CC4">
        <w:rPr>
          <w:rFonts w:ascii="Times New Roman" w:hAnsi="Times New Roman" w:cs="Times New Roman"/>
          <w:color w:val="000000" w:themeColor="text1"/>
          <w:sz w:val="28"/>
        </w:rPr>
        <w:t>–</w:t>
      </w:r>
      <w:r w:rsidRPr="00DE7CC4">
        <w:rPr>
          <w:rFonts w:ascii="Times New Roman" w:hAnsi="Times New Roman" w:cs="Times New Roman"/>
          <w:color w:val="000000" w:themeColor="text1"/>
          <w:sz w:val="28"/>
        </w:rPr>
        <w:t>carácter dado al informe policial</w:t>
      </w:r>
      <w:r w:rsidRPr="00DE7CC4">
        <w:rPr>
          <w:rFonts w:ascii="Times New Roman" w:hAnsi="Times New Roman" w:cs="Times New Roman"/>
          <w:color w:val="000000" w:themeColor="text1"/>
          <w:sz w:val="28"/>
        </w:rPr>
        <w:t>–</w:t>
      </w:r>
      <w:r w:rsidRPr="00DE7CC4">
        <w:rPr>
          <w:rFonts w:ascii="Times New Roman" w:hAnsi="Times New Roman" w:cs="Times New Roman"/>
          <w:color w:val="000000" w:themeColor="text1"/>
          <w:sz w:val="28"/>
        </w:rPr>
        <w:t xml:space="preserve"> se reemplaza por pruebas esencialmente documentales privadas. También debe precisarse que se traslada a los directamente interesados la obligación de obtener los datos de las personas y vehículos involucrados así como de posibles testigos, con miras a fut</w:t>
      </w:r>
      <w:r w:rsidRPr="00DE7CC4">
        <w:rPr>
          <w:rFonts w:ascii="Times New Roman" w:hAnsi="Times New Roman" w:cs="Times New Roman"/>
          <w:color w:val="000000" w:themeColor="text1"/>
          <w:sz w:val="28"/>
        </w:rPr>
        <w:t>uros requerimientos extrajudiciales o judiciales</w:t>
      </w:r>
      <w:r w:rsidRPr="00DE7CC4">
        <w:rPr>
          <w:rStyle w:val="Refdenotaalpie"/>
          <w:rFonts w:ascii="Times New Roman" w:hAnsi="Times New Roman"/>
          <w:color w:val="000000" w:themeColor="text1"/>
          <w:sz w:val="28"/>
        </w:rPr>
        <w:footnoteReference w:id="84"/>
      </w:r>
      <w:r w:rsidRPr="00DE7CC4">
        <w:rPr>
          <w:rFonts w:ascii="Times New Roman" w:hAnsi="Times New Roman" w:cs="Times New Roman"/>
          <w:color w:val="000000" w:themeColor="text1"/>
          <w:sz w:val="28"/>
        </w:rPr>
        <w:t xml:space="preserve">. En conclusión, las pruebas a las que se refiere la disposición necesariamente corresponden a las que se pueden recaudar en el momento del accidente, las demás que se consideren </w:t>
      </w:r>
      <w:r w:rsidRPr="00DE7CC4">
        <w:rPr>
          <w:rFonts w:ascii="Times New Roman" w:hAnsi="Times New Roman" w:cs="Times New Roman"/>
          <w:color w:val="000000" w:themeColor="text1"/>
          <w:sz w:val="28"/>
        </w:rPr>
        <w:t>–</w:t>
      </w:r>
      <w:r w:rsidRPr="00DE7CC4">
        <w:rPr>
          <w:rFonts w:ascii="Times New Roman" w:hAnsi="Times New Roman" w:cs="Times New Roman"/>
          <w:color w:val="000000" w:themeColor="text1"/>
          <w:sz w:val="28"/>
        </w:rPr>
        <w:t xml:space="preserve">dictámenes periciales, por </w:t>
      </w:r>
      <w:r w:rsidRPr="00DE7CC4">
        <w:rPr>
          <w:rFonts w:ascii="Times New Roman" w:hAnsi="Times New Roman" w:cs="Times New Roman"/>
          <w:color w:val="000000" w:themeColor="text1"/>
          <w:sz w:val="28"/>
        </w:rPr>
        <w:t>ejemplo</w:t>
      </w:r>
      <w:r w:rsidRPr="00DE7CC4">
        <w:rPr>
          <w:rFonts w:ascii="Times New Roman" w:hAnsi="Times New Roman" w:cs="Times New Roman"/>
          <w:color w:val="000000" w:themeColor="text1"/>
          <w:sz w:val="28"/>
        </w:rPr>
        <w:t>–</w:t>
      </w:r>
      <w:r w:rsidRPr="00DE7CC4">
        <w:rPr>
          <w:rFonts w:ascii="Times New Roman" w:hAnsi="Times New Roman" w:cs="Times New Roman"/>
          <w:color w:val="000000" w:themeColor="text1"/>
          <w:sz w:val="28"/>
        </w:rPr>
        <w:t xml:space="preserve"> podrán solicitarse en el marco de las reclamaciones que eventualmente se inicien.</w:t>
      </w:r>
    </w:p>
    <w:p w:rsidR="00F32ED8" w:rsidRPr="00DE7CC4" w:rsidRDefault="00DE7CC4" w:rsidP="00F32ED8">
      <w:pPr>
        <w:ind w:right="49"/>
        <w:jc w:val="both"/>
        <w:rPr>
          <w:rFonts w:ascii="Times New Roman" w:hAnsi="Times New Roman" w:cs="Times New Roman"/>
          <w:color w:val="000000" w:themeColor="text1"/>
          <w:sz w:val="28"/>
        </w:rPr>
      </w:pPr>
    </w:p>
    <w:p w:rsidR="00F32ED8" w:rsidRPr="00DE7CC4" w:rsidRDefault="00DE7CC4" w:rsidP="00F32ED8">
      <w:pPr>
        <w:pStyle w:val="sangradetindependiente"/>
        <w:shd w:val="clear" w:color="auto" w:fill="FFFFFF"/>
        <w:spacing w:before="0" w:beforeAutospacing="0" w:after="0" w:afterAutospacing="0"/>
        <w:ind w:right="51"/>
        <w:jc w:val="both"/>
        <w:rPr>
          <w:rFonts w:ascii="Times New Roman" w:hAnsi="Times New Roman" w:cs="Times New Roman"/>
          <w:color w:val="000000" w:themeColor="text1"/>
          <w:sz w:val="28"/>
        </w:rPr>
      </w:pPr>
      <w:r w:rsidRPr="00DE7CC4">
        <w:rPr>
          <w:rFonts w:ascii="Times New Roman" w:hAnsi="Times New Roman" w:cs="Times New Roman"/>
          <w:color w:val="000000" w:themeColor="text1"/>
          <w:sz w:val="28"/>
        </w:rPr>
        <w:t>56. Sobre lo afirmado son necesarias varias precisiones. (i) De conformidad con lo sostenido por esta Corporación</w:t>
      </w:r>
      <w:r w:rsidRPr="00DE7CC4">
        <w:rPr>
          <w:rStyle w:val="Refdenotaalpie"/>
          <w:rFonts w:ascii="Times New Roman" w:hAnsi="Times New Roman"/>
          <w:color w:val="000000" w:themeColor="text1"/>
          <w:sz w:val="28"/>
        </w:rPr>
        <w:footnoteReference w:id="85"/>
      </w:r>
      <w:r w:rsidRPr="00DE7CC4">
        <w:rPr>
          <w:rFonts w:ascii="Times New Roman" w:hAnsi="Times New Roman" w:cs="Times New Roman"/>
          <w:color w:val="000000" w:themeColor="text1"/>
          <w:sz w:val="28"/>
        </w:rPr>
        <w:t>, el informe de tránsito “no es un informe pericia</w:t>
      </w:r>
      <w:r w:rsidRPr="00DE7CC4">
        <w:rPr>
          <w:rFonts w:ascii="Times New Roman" w:hAnsi="Times New Roman" w:cs="Times New Roman"/>
          <w:color w:val="000000" w:themeColor="text1"/>
          <w:sz w:val="28"/>
        </w:rPr>
        <w:t xml:space="preserve">l, sino un informe descriptivo” o </w:t>
      </w:r>
      <w:r w:rsidRPr="00DE7CC4">
        <w:rPr>
          <w:rFonts w:ascii="Times New Roman" w:hAnsi="Times New Roman" w:cs="Times New Roman"/>
          <w:i/>
          <w:iCs/>
          <w:color w:val="000000" w:themeColor="text1"/>
          <w:sz w:val="28"/>
        </w:rPr>
        <w:t>prueba documental</w:t>
      </w:r>
      <w:r w:rsidRPr="00DE7CC4">
        <w:rPr>
          <w:rFonts w:ascii="Times New Roman" w:hAnsi="Times New Roman" w:cs="Times New Roman"/>
          <w:color w:val="000000" w:themeColor="text1"/>
          <w:sz w:val="28"/>
        </w:rPr>
        <w:t>; cuyos criterios de expedición</w:t>
      </w:r>
      <w:r w:rsidRPr="00DE7CC4">
        <w:rPr>
          <w:rStyle w:val="Refdenotaalpie"/>
          <w:rFonts w:ascii="Times New Roman" w:hAnsi="Times New Roman"/>
          <w:color w:val="000000" w:themeColor="text1"/>
          <w:sz w:val="28"/>
        </w:rPr>
        <w:footnoteReference w:id="86"/>
      </w:r>
      <w:r w:rsidRPr="00DE7CC4">
        <w:rPr>
          <w:rFonts w:ascii="Times New Roman" w:hAnsi="Times New Roman" w:cs="Times New Roman"/>
          <w:color w:val="000000" w:themeColor="text1"/>
          <w:sz w:val="28"/>
        </w:rPr>
        <w:t xml:space="preserve"> y evaluación se sujetan a las normas procesales respectivas </w:t>
      </w:r>
      <w:r w:rsidRPr="00DE7CC4">
        <w:rPr>
          <w:rFonts w:ascii="Times New Roman" w:hAnsi="Times New Roman" w:cs="Times New Roman"/>
          <w:color w:val="000000" w:themeColor="text1"/>
          <w:sz w:val="28"/>
        </w:rPr>
        <w:t>–</w:t>
      </w:r>
      <w:r w:rsidRPr="00DE7CC4">
        <w:rPr>
          <w:rFonts w:ascii="Times New Roman" w:hAnsi="Times New Roman" w:cs="Times New Roman"/>
          <w:color w:val="000000" w:themeColor="text1"/>
          <w:sz w:val="28"/>
        </w:rPr>
        <w:t>Código General del Proceso, por ejemplo</w:t>
      </w:r>
      <w:r w:rsidRPr="00DE7CC4">
        <w:rPr>
          <w:rFonts w:ascii="Times New Roman" w:hAnsi="Times New Roman" w:cs="Times New Roman"/>
          <w:color w:val="000000" w:themeColor="text1"/>
          <w:sz w:val="28"/>
        </w:rPr>
        <w:t>–</w:t>
      </w:r>
      <w:r w:rsidRPr="00DE7CC4">
        <w:rPr>
          <w:rFonts w:ascii="Times New Roman" w:hAnsi="Times New Roman" w:cs="Times New Roman"/>
          <w:color w:val="000000" w:themeColor="text1"/>
          <w:sz w:val="28"/>
        </w:rPr>
        <w:t>. En adición, los informes pueden hacer parte de los respectivos proces</w:t>
      </w:r>
      <w:r w:rsidRPr="00DE7CC4">
        <w:rPr>
          <w:rFonts w:ascii="Times New Roman" w:hAnsi="Times New Roman" w:cs="Times New Roman"/>
          <w:color w:val="000000" w:themeColor="text1"/>
          <w:sz w:val="28"/>
        </w:rPr>
        <w:t>os y su valoración se hará en el marco de las otras pruebas allegadas, a partir de las reglas de la sana crítica</w:t>
      </w:r>
      <w:r w:rsidRPr="00DE7CC4">
        <w:rPr>
          <w:rStyle w:val="Refdenotaalpie"/>
          <w:rFonts w:ascii="Times New Roman" w:hAnsi="Times New Roman"/>
          <w:color w:val="000000" w:themeColor="text1"/>
          <w:sz w:val="28"/>
        </w:rPr>
        <w:footnoteReference w:id="87"/>
      </w:r>
      <w:r w:rsidRPr="00DE7CC4">
        <w:rPr>
          <w:rFonts w:ascii="Times New Roman" w:hAnsi="Times New Roman" w:cs="Times New Roman"/>
          <w:color w:val="000000" w:themeColor="text1"/>
          <w:sz w:val="28"/>
        </w:rPr>
        <w:t>: “[De] tal suerte que se trata de un documento público cuyo contenido material puede ser desvirtuado en el proceso respectivo y que debe ser a</w:t>
      </w:r>
      <w:r w:rsidRPr="00DE7CC4">
        <w:rPr>
          <w:rFonts w:ascii="Times New Roman" w:hAnsi="Times New Roman" w:cs="Times New Roman"/>
          <w:color w:val="000000" w:themeColor="text1"/>
          <w:sz w:val="28"/>
        </w:rPr>
        <w:t>preciado por el funcionario judicial de acuerdo a las reglas de la sana crítica a fin de otorgarle el alcance probatorio que corresponda una vez sea valorado en conjunto con todas las pruebas practicadas, bien oficiosamente o bien a petición de parte”</w:t>
      </w:r>
      <w:r w:rsidRPr="00DE7CC4">
        <w:rPr>
          <w:rStyle w:val="Refdenotaalpie"/>
          <w:rFonts w:ascii="Times New Roman" w:hAnsi="Times New Roman"/>
          <w:color w:val="000000" w:themeColor="text1"/>
          <w:sz w:val="28"/>
        </w:rPr>
        <w:footnoteReference w:id="88"/>
      </w:r>
      <w:r w:rsidRPr="00DE7CC4">
        <w:rPr>
          <w:rFonts w:ascii="Times New Roman" w:hAnsi="Times New Roman" w:cs="Times New Roman"/>
          <w:color w:val="000000" w:themeColor="text1"/>
          <w:sz w:val="28"/>
        </w:rPr>
        <w:t>. (i</w:t>
      </w:r>
      <w:r w:rsidRPr="00DE7CC4">
        <w:rPr>
          <w:rFonts w:ascii="Times New Roman" w:hAnsi="Times New Roman" w:cs="Times New Roman"/>
          <w:color w:val="000000" w:themeColor="text1"/>
          <w:sz w:val="28"/>
        </w:rPr>
        <w:t xml:space="preserve">i) Medios probatorios tales como fotos o videos, de acuerdo a lo establecido en el artículo 243 y siguientes, constituyen también </w:t>
      </w:r>
      <w:r w:rsidRPr="00DE7CC4">
        <w:rPr>
          <w:rFonts w:ascii="Times New Roman" w:hAnsi="Times New Roman" w:cs="Times New Roman"/>
          <w:i/>
          <w:iCs/>
          <w:color w:val="000000" w:themeColor="text1"/>
          <w:sz w:val="28"/>
        </w:rPr>
        <w:t>prueba documental</w:t>
      </w:r>
      <w:r w:rsidRPr="00DE7CC4">
        <w:rPr>
          <w:rFonts w:ascii="Times New Roman" w:hAnsi="Times New Roman" w:cs="Times New Roman"/>
          <w:color w:val="000000" w:themeColor="text1"/>
          <w:sz w:val="28"/>
        </w:rPr>
        <w:t xml:space="preserve">, por supuesto, en este caso ya no será de origen público sino privado. </w:t>
      </w:r>
    </w:p>
    <w:p w:rsidR="00F32ED8" w:rsidRPr="00DE7CC4" w:rsidRDefault="00DE7CC4" w:rsidP="00F32ED8">
      <w:pPr>
        <w:pStyle w:val="sangradetindependiente"/>
        <w:shd w:val="clear" w:color="auto" w:fill="FFFFFF"/>
        <w:spacing w:before="0" w:beforeAutospacing="0" w:after="0" w:afterAutospacing="0"/>
        <w:ind w:right="51"/>
        <w:jc w:val="both"/>
        <w:rPr>
          <w:rFonts w:ascii="Times New Roman" w:hAnsi="Times New Roman" w:cs="Times New Roman"/>
          <w:color w:val="000000" w:themeColor="text1"/>
          <w:sz w:val="28"/>
        </w:rPr>
      </w:pPr>
    </w:p>
    <w:p w:rsidR="00F32ED8" w:rsidRPr="00DE7CC4" w:rsidRDefault="00DE7CC4" w:rsidP="00F32ED8">
      <w:pPr>
        <w:pStyle w:val="sangradetindependiente"/>
        <w:shd w:val="clear" w:color="auto" w:fill="FFFFFF"/>
        <w:spacing w:before="0" w:beforeAutospacing="0" w:after="0" w:afterAutospacing="0"/>
        <w:ind w:right="51"/>
        <w:jc w:val="both"/>
        <w:rPr>
          <w:rFonts w:ascii="Times New Roman" w:hAnsi="Times New Roman" w:cs="Times New Roman"/>
          <w:color w:val="000000" w:themeColor="text1"/>
          <w:sz w:val="28"/>
        </w:rPr>
      </w:pPr>
      <w:r w:rsidRPr="00DE7CC4">
        <w:rPr>
          <w:rFonts w:ascii="Times New Roman" w:hAnsi="Times New Roman" w:cs="Times New Roman"/>
          <w:color w:val="000000" w:themeColor="text1"/>
          <w:sz w:val="28"/>
        </w:rPr>
        <w:t>57. No obstante, (iii) reconociendo</w:t>
      </w:r>
      <w:r w:rsidRPr="00DE7CC4">
        <w:rPr>
          <w:rFonts w:ascii="Times New Roman" w:hAnsi="Times New Roman" w:cs="Times New Roman"/>
          <w:color w:val="000000" w:themeColor="text1"/>
          <w:sz w:val="28"/>
        </w:rPr>
        <w:t xml:space="preserve"> la fuerza probatoria del informe de tránsito, es importante advertir que el mismo artículo demandado indica que “el material probatorio recaudado con estas condiciones </w:t>
      </w:r>
      <w:r w:rsidRPr="00DE7CC4">
        <w:rPr>
          <w:rFonts w:ascii="Times New Roman" w:hAnsi="Times New Roman" w:cs="Times New Roman"/>
          <w:color w:val="000000" w:themeColor="text1"/>
          <w:sz w:val="28"/>
          <w:u w:val="single"/>
        </w:rPr>
        <w:t>reemplazará</w:t>
      </w:r>
      <w:r w:rsidRPr="00DE7CC4">
        <w:rPr>
          <w:rFonts w:ascii="Times New Roman" w:hAnsi="Times New Roman" w:cs="Times New Roman"/>
          <w:color w:val="000000" w:themeColor="text1"/>
          <w:sz w:val="28"/>
        </w:rPr>
        <w:t xml:space="preserve"> el informe de accidente de tránsito que expide la autoridad competente” (su</w:t>
      </w:r>
      <w:r w:rsidRPr="00DE7CC4">
        <w:rPr>
          <w:rFonts w:ascii="Times New Roman" w:hAnsi="Times New Roman" w:cs="Times New Roman"/>
          <w:color w:val="000000" w:themeColor="text1"/>
          <w:sz w:val="28"/>
        </w:rPr>
        <w:t>brayas fuera de texto), por lo cual, es claro que para efectos de reclamaciones posteriores por razón de accidentes de tránsito con daños materiales las pruebas recaudadas por los interesados -fotos, videos, entre otras posibilidades- reemplazan el informe</w:t>
      </w:r>
      <w:r w:rsidRPr="00DE7CC4">
        <w:rPr>
          <w:rFonts w:ascii="Times New Roman" w:hAnsi="Times New Roman" w:cs="Times New Roman"/>
          <w:color w:val="000000" w:themeColor="text1"/>
          <w:sz w:val="28"/>
        </w:rPr>
        <w:t xml:space="preserve"> y, por lo tanto, pueden dar cuenta, </w:t>
      </w:r>
      <w:r w:rsidRPr="00DE7CC4">
        <w:rPr>
          <w:rFonts w:ascii="Times New Roman" w:hAnsi="Times New Roman" w:cs="Times New Roman"/>
          <w:i/>
          <w:iCs/>
          <w:color w:val="000000" w:themeColor="text1"/>
          <w:sz w:val="28"/>
        </w:rPr>
        <w:t>incluso por sí solas</w:t>
      </w:r>
      <w:r w:rsidRPr="00DE7CC4">
        <w:rPr>
          <w:rFonts w:ascii="Times New Roman" w:hAnsi="Times New Roman" w:cs="Times New Roman"/>
          <w:color w:val="000000" w:themeColor="text1"/>
          <w:sz w:val="28"/>
        </w:rPr>
        <w:t>, del accidente para efectos de establecer responsabilidades, todo en el marco de la apreciación racional de la prueba. Ahora bien, ¿a qué condiciones se refiere la norma?</w:t>
      </w:r>
    </w:p>
    <w:p w:rsidR="00F32ED8" w:rsidRPr="00DE7CC4" w:rsidRDefault="00DE7CC4" w:rsidP="00F32ED8">
      <w:pPr>
        <w:pStyle w:val="sangradetindependiente"/>
        <w:shd w:val="clear" w:color="auto" w:fill="FFFFFF"/>
        <w:spacing w:before="0" w:beforeAutospacing="0" w:after="0" w:afterAutospacing="0"/>
        <w:ind w:right="51"/>
        <w:jc w:val="both"/>
        <w:rPr>
          <w:rFonts w:ascii="Times New Roman" w:hAnsi="Times New Roman" w:cs="Times New Roman"/>
          <w:color w:val="000000" w:themeColor="text1"/>
          <w:sz w:val="28"/>
        </w:rPr>
      </w:pPr>
    </w:p>
    <w:p w:rsidR="00F32ED8" w:rsidRPr="00DE7CC4" w:rsidRDefault="00DE7CC4" w:rsidP="00F32ED8">
      <w:pPr>
        <w:pStyle w:val="sangradetindependiente"/>
        <w:shd w:val="clear" w:color="auto" w:fill="FFFFFF"/>
        <w:spacing w:before="0" w:beforeAutospacing="0" w:after="0" w:afterAutospacing="0"/>
        <w:ind w:right="51"/>
        <w:jc w:val="both"/>
        <w:rPr>
          <w:rFonts w:ascii="Times New Roman" w:hAnsi="Times New Roman" w:cs="Times New Roman"/>
          <w:color w:val="000000" w:themeColor="text1"/>
          <w:sz w:val="28"/>
        </w:rPr>
      </w:pPr>
      <w:r w:rsidRPr="00DE7CC4">
        <w:rPr>
          <w:rFonts w:ascii="Times New Roman" w:hAnsi="Times New Roman" w:cs="Times New Roman"/>
          <w:color w:val="000000" w:themeColor="text1"/>
          <w:sz w:val="28"/>
        </w:rPr>
        <w:t>58. Como se indicó, el art</w:t>
      </w:r>
      <w:r w:rsidRPr="00DE7CC4">
        <w:rPr>
          <w:rFonts w:ascii="Times New Roman" w:hAnsi="Times New Roman" w:cs="Times New Roman"/>
          <w:color w:val="000000" w:themeColor="text1"/>
          <w:sz w:val="28"/>
        </w:rPr>
        <w:t>ículo 16 cuestionado hace mención a la garantía de “autenticidad, integridad, conservación y posterior consulta”, aspectos todos estos predicables, en particular, de medios para los que se utilizan tecnologías de la información. En esta dirección, por ejem</w:t>
      </w:r>
      <w:r w:rsidRPr="00DE7CC4">
        <w:rPr>
          <w:rFonts w:ascii="Times New Roman" w:hAnsi="Times New Roman" w:cs="Times New Roman"/>
          <w:color w:val="000000" w:themeColor="text1"/>
          <w:sz w:val="28"/>
        </w:rPr>
        <w:t>plo, el artículo 186 del Código de Procedimiento Administrativo y de lo Contencioso Administrativo señala que las actuaciones judiciales escritas que se adelanten a través de las TIC</w:t>
      </w:r>
      <w:r w:rsidRPr="00DE7CC4">
        <w:rPr>
          <w:rFonts w:ascii="Times New Roman" w:hAnsi="Times New Roman" w:cs="Times New Roman"/>
          <w:color w:val="000000" w:themeColor="text1"/>
          <w:sz w:val="28"/>
        </w:rPr>
        <w:t xml:space="preserve"> (tecnologías de la información y las comunicaciones)</w:t>
      </w:r>
      <w:r w:rsidRPr="00DE7CC4">
        <w:rPr>
          <w:rFonts w:ascii="Times New Roman" w:hAnsi="Times New Roman" w:cs="Times New Roman"/>
          <w:color w:val="000000" w:themeColor="text1"/>
          <w:sz w:val="28"/>
        </w:rPr>
        <w:t xml:space="preserve"> deben garantizar “su</w:t>
      </w:r>
      <w:r w:rsidRPr="00DE7CC4">
        <w:rPr>
          <w:rFonts w:ascii="Times New Roman" w:hAnsi="Times New Roman" w:cs="Times New Roman"/>
          <w:color w:val="000000" w:themeColor="text1"/>
          <w:sz w:val="28"/>
        </w:rPr>
        <w:t xml:space="preserve"> autenticidad, integridad, conservación y posterior consulta”. Sobre la </w:t>
      </w:r>
      <w:r w:rsidRPr="00DE7CC4">
        <w:rPr>
          <w:rFonts w:ascii="Times New Roman" w:hAnsi="Times New Roman" w:cs="Times New Roman"/>
          <w:i/>
          <w:iCs/>
          <w:color w:val="000000" w:themeColor="text1"/>
          <w:sz w:val="28"/>
        </w:rPr>
        <w:t xml:space="preserve">autenticidad, </w:t>
      </w:r>
      <w:r w:rsidRPr="00DE7CC4">
        <w:rPr>
          <w:rFonts w:ascii="Times New Roman" w:hAnsi="Times New Roman" w:cs="Times New Roman"/>
          <w:color w:val="000000" w:themeColor="text1"/>
          <w:sz w:val="28"/>
        </w:rPr>
        <w:t>el artículo 244 del Código General del Proceso indica que implica tener la “certeza sobre la persona que lo ha elaborado, manuscrito, firmado, o cuando exista certeza res</w:t>
      </w:r>
      <w:r w:rsidRPr="00DE7CC4">
        <w:rPr>
          <w:rFonts w:ascii="Times New Roman" w:hAnsi="Times New Roman" w:cs="Times New Roman"/>
          <w:color w:val="000000" w:themeColor="text1"/>
          <w:sz w:val="28"/>
        </w:rPr>
        <w:t>pecto de la persona a quien se atribuya el documento”. Sobre la integridad, el artículo 9 de la Ley 527 de 1999</w:t>
      </w:r>
      <w:r w:rsidRPr="00DE7CC4">
        <w:rPr>
          <w:rStyle w:val="Refdenotaalpie"/>
          <w:rFonts w:ascii="Times New Roman" w:hAnsi="Times New Roman"/>
          <w:color w:val="000000" w:themeColor="text1"/>
          <w:sz w:val="28"/>
        </w:rPr>
        <w:footnoteReference w:id="89"/>
      </w:r>
      <w:r w:rsidRPr="00DE7CC4">
        <w:rPr>
          <w:rFonts w:ascii="Times New Roman" w:hAnsi="Times New Roman" w:cs="Times New Roman"/>
          <w:color w:val="000000" w:themeColor="text1"/>
          <w:sz w:val="28"/>
        </w:rPr>
        <w:t xml:space="preserve"> prevé que </w:t>
      </w:r>
      <w:r w:rsidRPr="00DE7CC4">
        <w:rPr>
          <w:rFonts w:ascii="Times New Roman" w:hAnsi="Times New Roman" w:cs="Times New Roman"/>
          <w:color w:val="000000" w:themeColor="text1"/>
          <w:sz w:val="28"/>
        </w:rPr>
        <w:t>–</w:t>
      </w:r>
      <w:r w:rsidRPr="00DE7CC4">
        <w:rPr>
          <w:rFonts w:ascii="Times New Roman" w:hAnsi="Times New Roman" w:cs="Times New Roman"/>
          <w:color w:val="000000" w:themeColor="text1"/>
          <w:sz w:val="28"/>
        </w:rPr>
        <w:t>respecto a mensajes de datos</w:t>
      </w:r>
      <w:r w:rsidRPr="00DE7CC4">
        <w:rPr>
          <w:rFonts w:ascii="Times New Roman" w:hAnsi="Times New Roman" w:cs="Times New Roman"/>
          <w:color w:val="000000" w:themeColor="text1"/>
          <w:sz w:val="28"/>
        </w:rPr>
        <w:t>–</w:t>
      </w:r>
      <w:r w:rsidRPr="00DE7CC4">
        <w:rPr>
          <w:rFonts w:ascii="Times New Roman" w:hAnsi="Times New Roman" w:cs="Times New Roman"/>
          <w:color w:val="000000" w:themeColor="text1"/>
          <w:sz w:val="28"/>
        </w:rPr>
        <w:t xml:space="preserve"> la información satisface este requisito si “ha permanecido completa e inalterada”, mientras que sobre </w:t>
      </w:r>
      <w:r w:rsidRPr="00DE7CC4">
        <w:rPr>
          <w:rFonts w:ascii="Times New Roman" w:hAnsi="Times New Roman" w:cs="Times New Roman"/>
          <w:color w:val="000000" w:themeColor="text1"/>
          <w:sz w:val="28"/>
        </w:rPr>
        <w:t>la conservación indica el artículo 12 de la misma ley</w:t>
      </w:r>
      <w:r w:rsidRPr="00DE7CC4">
        <w:rPr>
          <w:rFonts w:ascii="Times New Roman" w:hAnsi="Times New Roman" w:cs="Times New Roman"/>
          <w:i/>
          <w:iCs/>
          <w:color w:val="000000" w:themeColor="text1"/>
          <w:sz w:val="28"/>
        </w:rPr>
        <w:t xml:space="preserve"> </w:t>
      </w:r>
      <w:r w:rsidRPr="00DE7CC4">
        <w:rPr>
          <w:rFonts w:ascii="Times New Roman" w:hAnsi="Times New Roman" w:cs="Times New Roman"/>
          <w:color w:val="000000" w:themeColor="text1"/>
          <w:sz w:val="28"/>
        </w:rPr>
        <w:t>que se acredita si la información es accesible para la posterior consulta y el formato en que se haya generado no se modifica, entre otras. Por lo anterior, en general, las características de las prueba</w:t>
      </w:r>
      <w:r w:rsidRPr="00DE7CC4">
        <w:rPr>
          <w:rFonts w:ascii="Times New Roman" w:hAnsi="Times New Roman" w:cs="Times New Roman"/>
          <w:color w:val="000000" w:themeColor="text1"/>
          <w:sz w:val="28"/>
        </w:rPr>
        <w:t>s que se deben recaudar por las partes interesadas deben dar cuenta de su fuente, garantizar que no se han alterado y conservarse para poder ser consultadas posteriormente. Si reúnen estos requisitos, reemplazan al informe de tránsito y, por lo tanto, debe</w:t>
      </w:r>
      <w:r w:rsidRPr="00DE7CC4">
        <w:rPr>
          <w:rFonts w:ascii="Times New Roman" w:hAnsi="Times New Roman" w:cs="Times New Roman"/>
          <w:color w:val="000000" w:themeColor="text1"/>
          <w:sz w:val="28"/>
        </w:rPr>
        <w:t xml:space="preserve">n valorarse como tal.  </w:t>
      </w:r>
    </w:p>
    <w:p w:rsidR="00F32ED8" w:rsidRPr="00DE7CC4" w:rsidRDefault="00DE7CC4" w:rsidP="00F32ED8">
      <w:pPr>
        <w:pStyle w:val="sangradetindependiente"/>
        <w:shd w:val="clear" w:color="auto" w:fill="FFFFFF"/>
        <w:spacing w:before="0" w:beforeAutospacing="0" w:after="0" w:afterAutospacing="0"/>
        <w:ind w:right="51"/>
        <w:jc w:val="both"/>
        <w:rPr>
          <w:rFonts w:ascii="Times New Roman" w:hAnsi="Times New Roman" w:cs="Times New Roman"/>
          <w:color w:val="000000" w:themeColor="text1"/>
          <w:sz w:val="28"/>
        </w:rPr>
      </w:pPr>
    </w:p>
    <w:p w:rsidR="00F32ED8" w:rsidRPr="00DE7CC4" w:rsidRDefault="00DE7CC4" w:rsidP="00F32ED8">
      <w:pPr>
        <w:pStyle w:val="sangradetindependiente"/>
        <w:shd w:val="clear" w:color="auto" w:fill="FFFFFF"/>
        <w:spacing w:before="0" w:beforeAutospacing="0" w:after="0" w:afterAutospacing="0"/>
        <w:ind w:right="51"/>
        <w:jc w:val="both"/>
        <w:rPr>
          <w:rFonts w:ascii="Times New Roman" w:hAnsi="Times New Roman" w:cs="Times New Roman"/>
          <w:color w:val="000000" w:themeColor="text1"/>
          <w:sz w:val="28"/>
        </w:rPr>
      </w:pPr>
      <w:r w:rsidRPr="00DE7CC4">
        <w:rPr>
          <w:rFonts w:ascii="Times New Roman" w:hAnsi="Times New Roman" w:cs="Times New Roman"/>
          <w:color w:val="000000" w:themeColor="text1"/>
          <w:sz w:val="28"/>
        </w:rPr>
        <w:t>59. Asimismo la disposición indica que las aseguradoras también están llamadas al recaudo de las pruebas, supuesto que solo aplica en caso de que el vehículo colisionado se halle amparado por el riesgo de daños materiales y, claro,</w:t>
      </w:r>
      <w:r w:rsidRPr="00DE7CC4">
        <w:rPr>
          <w:rFonts w:ascii="Times New Roman" w:hAnsi="Times New Roman" w:cs="Times New Roman"/>
          <w:color w:val="000000" w:themeColor="text1"/>
          <w:sz w:val="28"/>
        </w:rPr>
        <w:t xml:space="preserve"> que el recaudo -directo o a través de la asesoría- satisfaga la necesidad de no generar demoras en esta actividad, dado que la disposición prevé el retiro inmediato de </w:t>
      </w:r>
      <w:r w:rsidRPr="00DE7CC4">
        <w:rPr>
          <w:rFonts w:ascii="Times New Roman" w:hAnsi="Times New Roman" w:cs="Times New Roman"/>
          <w:color w:val="000000" w:themeColor="text1"/>
          <w:sz w:val="28"/>
        </w:rPr>
        <w:t>todo aquello</w:t>
      </w:r>
      <w:r w:rsidRPr="00DE7CC4">
        <w:rPr>
          <w:rFonts w:ascii="Times New Roman" w:hAnsi="Times New Roman" w:cs="Times New Roman"/>
          <w:color w:val="000000" w:themeColor="text1"/>
          <w:sz w:val="28"/>
        </w:rPr>
        <w:t xml:space="preserve"> que afecte el tránsito. Sobre esto último, en la Circular del Ministerio d</w:t>
      </w:r>
      <w:r w:rsidRPr="00DE7CC4">
        <w:rPr>
          <w:rFonts w:ascii="Times New Roman" w:hAnsi="Times New Roman" w:cs="Times New Roman"/>
          <w:color w:val="000000" w:themeColor="text1"/>
          <w:sz w:val="28"/>
        </w:rPr>
        <w:t xml:space="preserve">e Transporte antes indicada se sostuvo que en los casos en los que vehículos asegurados sean los afectados por este tipo de accidentes “es deber de la Compañía de Seguros que tiene asegurado el automotor, en su rol de interesado en el siniestro, definir e </w:t>
      </w:r>
      <w:r w:rsidRPr="00DE7CC4">
        <w:rPr>
          <w:rFonts w:ascii="Times New Roman" w:hAnsi="Times New Roman" w:cs="Times New Roman"/>
          <w:color w:val="000000" w:themeColor="text1"/>
          <w:sz w:val="28"/>
        </w:rPr>
        <w:t>informar al asegurado y/o tomador sobre las herramientas técnicas y tecnológicas que permitan el recaudo ágil, oportuno y suficiente de las pruebas del accidentes de tránsito”.</w:t>
      </w:r>
    </w:p>
    <w:p w:rsidR="00F32ED8" w:rsidRPr="00DE7CC4" w:rsidRDefault="00DE7CC4" w:rsidP="00F32ED8">
      <w:pPr>
        <w:pStyle w:val="sangradetindependiente"/>
        <w:shd w:val="clear" w:color="auto" w:fill="FFFFFF"/>
        <w:spacing w:before="0" w:beforeAutospacing="0" w:after="0" w:afterAutospacing="0"/>
        <w:ind w:right="51"/>
        <w:jc w:val="both"/>
        <w:rPr>
          <w:rFonts w:ascii="Times New Roman" w:hAnsi="Times New Roman" w:cs="Times New Roman"/>
          <w:color w:val="000000" w:themeColor="text1"/>
          <w:sz w:val="28"/>
        </w:rPr>
      </w:pPr>
    </w:p>
    <w:p w:rsidR="00F32ED8" w:rsidRPr="00DE7CC4" w:rsidRDefault="00DE7CC4" w:rsidP="00F32ED8">
      <w:pPr>
        <w:pStyle w:val="sangradetindependiente"/>
        <w:shd w:val="clear" w:color="auto" w:fill="FFFFFF"/>
        <w:spacing w:before="0" w:beforeAutospacing="0" w:after="0" w:afterAutospacing="0"/>
        <w:ind w:right="51"/>
        <w:jc w:val="both"/>
        <w:rPr>
          <w:rFonts w:ascii="Times New Roman" w:hAnsi="Times New Roman" w:cs="Times New Roman"/>
          <w:color w:val="000000" w:themeColor="text1"/>
          <w:sz w:val="28"/>
        </w:rPr>
      </w:pPr>
      <w:r w:rsidRPr="00DE7CC4">
        <w:rPr>
          <w:rFonts w:ascii="Times New Roman" w:hAnsi="Times New Roman" w:cs="Times New Roman"/>
          <w:color w:val="000000" w:themeColor="text1"/>
          <w:sz w:val="28"/>
        </w:rPr>
        <w:t>60. En conclusión, (i) el artículo 16 de la Ley 2251 de 2022 subrogó el artícu</w:t>
      </w:r>
      <w:r w:rsidRPr="00DE7CC4">
        <w:rPr>
          <w:rFonts w:ascii="Times New Roman" w:hAnsi="Times New Roman" w:cs="Times New Roman"/>
          <w:color w:val="000000" w:themeColor="text1"/>
          <w:sz w:val="28"/>
        </w:rPr>
        <w:t>lo 143 del Código Nacional de Tránsito, previendo un curso de acción especial para aquellos casos en los que se presentan accidentes de tránsito que arrojan solo daños materiales. (ii) Esta nueva configuración tiene por objeto descongestionar las vías, est</w:t>
      </w:r>
      <w:r w:rsidRPr="00DE7CC4">
        <w:rPr>
          <w:rFonts w:ascii="Times New Roman" w:hAnsi="Times New Roman" w:cs="Times New Roman"/>
          <w:color w:val="000000" w:themeColor="text1"/>
          <w:sz w:val="28"/>
        </w:rPr>
        <w:t xml:space="preserve">o es, atender este tipo de accidentes de manera más ágil para efectos de garantizar el derecho a la locomoción, entre otros bienes involucrados en la actividad peligrosa de conducir; y (iii) la principal modificación radica en que la autoridad de tránsito </w:t>
      </w:r>
      <w:r w:rsidRPr="00DE7CC4">
        <w:rPr>
          <w:rFonts w:ascii="Times New Roman" w:hAnsi="Times New Roman" w:cs="Times New Roman"/>
          <w:color w:val="000000" w:themeColor="text1"/>
          <w:sz w:val="28"/>
        </w:rPr>
        <w:t xml:space="preserve">ya no acudirá al lugar de los hechos para adelantar sus actuaciones de conciliación y, en caso de no ser posible un arreglo amistoso, suscribir el informe policial de tránsito </w:t>
      </w:r>
      <w:r w:rsidRPr="00DE7CC4">
        <w:rPr>
          <w:rFonts w:ascii="Times New Roman" w:hAnsi="Times New Roman" w:cs="Times New Roman"/>
          <w:color w:val="000000" w:themeColor="text1"/>
          <w:sz w:val="28"/>
        </w:rPr>
        <w:t>–</w:t>
      </w:r>
      <w:r w:rsidRPr="00DE7CC4">
        <w:rPr>
          <w:rFonts w:ascii="Times New Roman" w:hAnsi="Times New Roman" w:cs="Times New Roman"/>
          <w:color w:val="000000" w:themeColor="text1"/>
          <w:sz w:val="28"/>
        </w:rPr>
        <w:t>lo que lleva aparejado el croquis</w:t>
      </w:r>
      <w:r w:rsidRPr="00DE7CC4">
        <w:rPr>
          <w:rFonts w:ascii="Times New Roman" w:hAnsi="Times New Roman" w:cs="Times New Roman"/>
          <w:color w:val="000000" w:themeColor="text1"/>
          <w:sz w:val="28"/>
        </w:rPr>
        <w:t>–</w:t>
      </w:r>
      <w:r w:rsidRPr="00DE7CC4">
        <w:rPr>
          <w:rFonts w:ascii="Times New Roman" w:hAnsi="Times New Roman" w:cs="Times New Roman"/>
          <w:color w:val="000000" w:themeColor="text1"/>
          <w:sz w:val="28"/>
        </w:rPr>
        <w:t>. Conforme a esta nueva regulación, y teniend</w:t>
      </w:r>
      <w:r w:rsidRPr="00DE7CC4">
        <w:rPr>
          <w:rFonts w:ascii="Times New Roman" w:hAnsi="Times New Roman" w:cs="Times New Roman"/>
          <w:color w:val="000000" w:themeColor="text1"/>
          <w:sz w:val="28"/>
        </w:rPr>
        <w:t xml:space="preserve">o en cuenta el alcance del informe policial de </w:t>
      </w:r>
      <w:r w:rsidRPr="00DE7CC4">
        <w:rPr>
          <w:rFonts w:ascii="Times New Roman" w:hAnsi="Times New Roman" w:cs="Times New Roman"/>
          <w:color w:val="000000" w:themeColor="text1"/>
          <w:sz w:val="28"/>
        </w:rPr>
        <w:t xml:space="preserve">accidente de </w:t>
      </w:r>
      <w:r w:rsidRPr="00DE7CC4">
        <w:rPr>
          <w:rFonts w:ascii="Times New Roman" w:hAnsi="Times New Roman" w:cs="Times New Roman"/>
          <w:color w:val="000000" w:themeColor="text1"/>
          <w:sz w:val="28"/>
        </w:rPr>
        <w:t>tránsito y para qu</w:t>
      </w:r>
      <w:r w:rsidRPr="00DE7CC4">
        <w:rPr>
          <w:rFonts w:ascii="Times New Roman" w:hAnsi="Times New Roman" w:cs="Times New Roman"/>
          <w:color w:val="000000" w:themeColor="text1"/>
          <w:sz w:val="28"/>
        </w:rPr>
        <w:t>é</w:t>
      </w:r>
      <w:r w:rsidRPr="00DE7CC4">
        <w:rPr>
          <w:rFonts w:ascii="Times New Roman" w:hAnsi="Times New Roman" w:cs="Times New Roman"/>
          <w:color w:val="000000" w:themeColor="text1"/>
          <w:sz w:val="28"/>
        </w:rPr>
        <w:t xml:space="preserve"> se elabora, corresponderá a los interesados recaudar las pruebas, en las condiciones previstas por la disposición, para una futura reclamación por los daños causados. Por esto </w:t>
      </w:r>
      <w:r w:rsidRPr="00DE7CC4">
        <w:rPr>
          <w:rFonts w:ascii="Times New Roman" w:hAnsi="Times New Roman" w:cs="Times New Roman"/>
          <w:color w:val="000000" w:themeColor="text1"/>
          <w:sz w:val="28"/>
        </w:rPr>
        <w:t xml:space="preserve">último, es posible decir que hay una modificación en la configuración probatoria que antecede a la reclamación de daños a la propiedad, bien sea </w:t>
      </w:r>
      <w:r w:rsidRPr="00DE7CC4">
        <w:rPr>
          <w:rFonts w:ascii="Times New Roman" w:hAnsi="Times New Roman" w:cs="Times New Roman"/>
          <w:color w:val="000000" w:themeColor="text1"/>
          <w:sz w:val="28"/>
        </w:rPr>
        <w:t xml:space="preserve">solicitando </w:t>
      </w:r>
      <w:r w:rsidRPr="00DE7CC4">
        <w:rPr>
          <w:rFonts w:ascii="Times New Roman" w:hAnsi="Times New Roman" w:cs="Times New Roman"/>
          <w:color w:val="000000" w:themeColor="text1"/>
          <w:sz w:val="28"/>
        </w:rPr>
        <w:t>la efectividad de una póliza o acudiendo a la vía de la responsabilidad extracontractual.</w:t>
      </w:r>
    </w:p>
    <w:p w:rsidR="00F32ED8" w:rsidRPr="00DE7CC4" w:rsidRDefault="00DE7CC4" w:rsidP="00F32ED8">
      <w:pPr>
        <w:pStyle w:val="sangradetindependiente"/>
        <w:shd w:val="clear" w:color="auto" w:fill="FFFFFF"/>
        <w:spacing w:before="0" w:beforeAutospacing="0" w:after="0" w:afterAutospacing="0"/>
        <w:ind w:right="51"/>
        <w:jc w:val="both"/>
        <w:rPr>
          <w:rFonts w:ascii="Times New Roman" w:hAnsi="Times New Roman" w:cs="Times New Roman"/>
          <w:color w:val="000000" w:themeColor="text1"/>
          <w:sz w:val="28"/>
        </w:rPr>
      </w:pPr>
    </w:p>
    <w:p w:rsidR="00F32ED8" w:rsidRPr="00DE7CC4" w:rsidRDefault="00DE7CC4" w:rsidP="00F32ED8">
      <w:pPr>
        <w:pStyle w:val="sangradetindependiente"/>
        <w:shd w:val="clear" w:color="auto" w:fill="FFFFFF"/>
        <w:spacing w:before="0" w:beforeAutospacing="0" w:after="0" w:afterAutospacing="0"/>
        <w:ind w:right="51"/>
        <w:jc w:val="both"/>
        <w:rPr>
          <w:rFonts w:ascii="Times New Roman" w:hAnsi="Times New Roman" w:cs="Times New Roman"/>
          <w:color w:val="000000" w:themeColor="text1"/>
          <w:sz w:val="28"/>
        </w:rPr>
      </w:pPr>
      <w:r w:rsidRPr="00DE7CC4">
        <w:rPr>
          <w:rFonts w:ascii="Times New Roman" w:hAnsi="Times New Roman" w:cs="Times New Roman"/>
          <w:color w:val="000000" w:themeColor="text1"/>
          <w:sz w:val="28"/>
        </w:rPr>
        <w:t>61. Fina</w:t>
      </w:r>
      <w:r w:rsidRPr="00DE7CC4">
        <w:rPr>
          <w:rFonts w:ascii="Times New Roman" w:hAnsi="Times New Roman" w:cs="Times New Roman"/>
          <w:color w:val="000000" w:themeColor="text1"/>
          <w:sz w:val="28"/>
        </w:rPr>
        <w:t>lmente, como un elemento adicional a lo establecido en el artículo demandado, en el evento en el que no se retiren los vehículos y demás elementos que obstruyan el tránsito, el artículo 144A del Código Nacional de Tránsito dispone la imposición de un compa</w:t>
      </w:r>
      <w:r w:rsidRPr="00DE7CC4">
        <w:rPr>
          <w:rFonts w:ascii="Times New Roman" w:hAnsi="Times New Roman" w:cs="Times New Roman"/>
          <w:color w:val="000000" w:themeColor="text1"/>
          <w:sz w:val="28"/>
        </w:rPr>
        <w:t>rendo. El retiro de los vehículos, empero, no se impone en aquellos casos en los que no sea posible hacerlo por las condiciones técnico-mecánicas de los mismos o cuando en el accidente estén involucradas personas presuntamente en estado de embriaguez, “[s]</w:t>
      </w:r>
      <w:r w:rsidRPr="00DE7CC4">
        <w:rPr>
          <w:rFonts w:ascii="Times New Roman" w:hAnsi="Times New Roman" w:cs="Times New Roman"/>
          <w:color w:val="000000" w:themeColor="text1"/>
          <w:sz w:val="28"/>
        </w:rPr>
        <w:t>ituación en la cual cualquiera de las partes podrá negarse al retiro de los vehículos hasta tanto se hagan las pruebas establecidas en este código”.</w:t>
      </w:r>
    </w:p>
    <w:p w:rsidR="00F32ED8" w:rsidRPr="00DE7CC4" w:rsidRDefault="00DE7CC4" w:rsidP="00F32ED8">
      <w:pPr>
        <w:jc w:val="both"/>
        <w:rPr>
          <w:rFonts w:ascii="Times New Roman" w:hAnsi="Times New Roman" w:cs="Times New Roman"/>
          <w:bCs/>
          <w:color w:val="000000" w:themeColor="text1"/>
          <w:sz w:val="28"/>
        </w:rPr>
      </w:pPr>
    </w:p>
    <w:p w:rsidR="00F32ED8" w:rsidRPr="00DE7CC4" w:rsidRDefault="00DE7CC4" w:rsidP="00F32ED8">
      <w:pPr>
        <w:ind w:firstLine="708"/>
        <w:jc w:val="both"/>
        <w:rPr>
          <w:rFonts w:ascii="Times New Roman" w:hAnsi="Times New Roman" w:cs="Times New Roman"/>
          <w:b/>
          <w:color w:val="000000" w:themeColor="text1"/>
          <w:sz w:val="28"/>
        </w:rPr>
      </w:pPr>
      <w:r w:rsidRPr="00DE7CC4">
        <w:rPr>
          <w:rFonts w:ascii="Times New Roman" w:hAnsi="Times New Roman" w:cs="Times New Roman"/>
          <w:b/>
          <w:color w:val="000000" w:themeColor="text1"/>
          <w:sz w:val="28"/>
        </w:rPr>
        <w:t>2.2. Aptitud de la demanda</w:t>
      </w:r>
    </w:p>
    <w:p w:rsidR="00F32ED8" w:rsidRPr="00DE7CC4" w:rsidRDefault="00DE7CC4" w:rsidP="00F32ED8">
      <w:pPr>
        <w:jc w:val="both"/>
        <w:rPr>
          <w:rFonts w:ascii="Times New Roman" w:hAnsi="Times New Roman" w:cs="Times New Roman"/>
          <w:b/>
          <w:i/>
          <w:iCs/>
          <w:color w:val="000000" w:themeColor="text1"/>
          <w:sz w:val="28"/>
        </w:rPr>
      </w:pPr>
    </w:p>
    <w:p w:rsidR="00F32ED8" w:rsidRPr="00DE7CC4" w:rsidRDefault="00DE7CC4" w:rsidP="00F32ED8">
      <w:pPr>
        <w:pStyle w:val="Prrafodelista"/>
        <w:tabs>
          <w:tab w:val="left" w:pos="426"/>
        </w:tabs>
        <w:ind w:left="0"/>
        <w:jc w:val="both"/>
        <w:rPr>
          <w:rFonts w:ascii="Times New Roman" w:hAnsi="Times New Roman" w:cs="Times New Roman"/>
          <w:i/>
          <w:iCs/>
          <w:noProof/>
          <w:color w:val="000000" w:themeColor="text1"/>
          <w:sz w:val="28"/>
          <w:lang w:val="es-ES_tradnl"/>
        </w:rPr>
      </w:pPr>
      <w:r w:rsidRPr="00DE7CC4">
        <w:rPr>
          <w:rFonts w:ascii="Times New Roman" w:hAnsi="Times New Roman" w:cs="Times New Roman"/>
          <w:color w:val="000000" w:themeColor="text1"/>
          <w:sz w:val="28"/>
          <w:shd w:val="clear" w:color="auto" w:fill="FFFFFF"/>
        </w:rPr>
        <w:t xml:space="preserve">62. Como se advierte de los antecedentes expuestos, la aptitud de la demanda </w:t>
      </w:r>
      <w:r w:rsidRPr="00DE7CC4">
        <w:rPr>
          <w:rFonts w:ascii="Times New Roman" w:hAnsi="Times New Roman" w:cs="Times New Roman"/>
          <w:color w:val="000000" w:themeColor="text1"/>
          <w:sz w:val="28"/>
          <w:shd w:val="clear" w:color="auto" w:fill="FFFFFF"/>
        </w:rPr>
        <w:t>presentada por los ciudadanos Julio Andrés Ossa Santamaría y otros contra el artículo 16 de la Ley 2251 de 2022 fue cuestionada dentro del proceso participativo que antecede y, además, se presentaron argumentos que permiten dimensionar de mejor manera el a</w:t>
      </w:r>
      <w:r w:rsidRPr="00DE7CC4">
        <w:rPr>
          <w:rFonts w:ascii="Times New Roman" w:hAnsi="Times New Roman" w:cs="Times New Roman"/>
          <w:color w:val="000000" w:themeColor="text1"/>
          <w:sz w:val="28"/>
          <w:shd w:val="clear" w:color="auto" w:fill="FFFFFF"/>
        </w:rPr>
        <w:t>lcance y contexto normativo del enunciado cuestionado, por lo cual, es necesario detenerse para establecer si uno o varios de los cargos invocados tienen la aptitud necesaria para promover una decisión de fondo en esta oportunidad. Con este objetivo, la Sa</w:t>
      </w:r>
      <w:r w:rsidRPr="00DE7CC4">
        <w:rPr>
          <w:rFonts w:ascii="Times New Roman" w:hAnsi="Times New Roman" w:cs="Times New Roman"/>
          <w:color w:val="000000" w:themeColor="text1"/>
          <w:sz w:val="28"/>
          <w:shd w:val="clear" w:color="auto" w:fill="FFFFFF"/>
        </w:rPr>
        <w:t>la se referirá, en un primer momento, a los requisitos de aptitud exigidos y, en un segundo momento, se pronunciará individualmente sobre cada uno de los cargos efectivamente admitidos.</w:t>
      </w:r>
    </w:p>
    <w:p w:rsidR="00F32ED8" w:rsidRPr="00DE7CC4" w:rsidRDefault="00DE7CC4" w:rsidP="00F32ED8">
      <w:pPr>
        <w:jc w:val="both"/>
        <w:rPr>
          <w:rFonts w:ascii="Times New Roman" w:hAnsi="Times New Roman" w:cs="Times New Roman"/>
          <w:b/>
          <w:i/>
          <w:iCs/>
          <w:color w:val="000000" w:themeColor="text1"/>
          <w:sz w:val="28"/>
        </w:rPr>
      </w:pPr>
    </w:p>
    <w:p w:rsidR="00F32ED8" w:rsidRPr="00DE7CC4" w:rsidRDefault="00DE7CC4" w:rsidP="00F32ED8">
      <w:pPr>
        <w:jc w:val="both"/>
        <w:rPr>
          <w:rFonts w:ascii="Times New Roman" w:hAnsi="Times New Roman" w:cs="Times New Roman"/>
          <w:b/>
          <w:color w:val="000000" w:themeColor="text1"/>
          <w:sz w:val="28"/>
        </w:rPr>
      </w:pPr>
      <w:r w:rsidRPr="00DE7CC4">
        <w:rPr>
          <w:rFonts w:ascii="Times New Roman" w:hAnsi="Times New Roman" w:cs="Times New Roman"/>
          <w:b/>
          <w:color w:val="000000" w:themeColor="text1"/>
          <w:sz w:val="28"/>
        </w:rPr>
        <w:t>2.2.1. Requisitos de aptitud de la demanda en la acción pública de in</w:t>
      </w:r>
      <w:r w:rsidRPr="00DE7CC4">
        <w:rPr>
          <w:rFonts w:ascii="Times New Roman" w:hAnsi="Times New Roman" w:cs="Times New Roman"/>
          <w:b/>
          <w:color w:val="000000" w:themeColor="text1"/>
          <w:sz w:val="28"/>
        </w:rPr>
        <w:t>constitucionalidad. Reiteración de jurisprudencia</w:t>
      </w:r>
      <w:r w:rsidRPr="00DE7CC4">
        <w:rPr>
          <w:rStyle w:val="Refdenotaalpie"/>
          <w:rFonts w:ascii="Times New Roman" w:eastAsiaTheme="majorEastAsia" w:hAnsi="Times New Roman"/>
          <w:bCs/>
          <w:color w:val="000000" w:themeColor="text1"/>
          <w:sz w:val="28"/>
        </w:rPr>
        <w:footnoteReference w:id="90"/>
      </w:r>
    </w:p>
    <w:p w:rsidR="00F32ED8" w:rsidRPr="00DE7CC4" w:rsidRDefault="00DE7CC4" w:rsidP="00F32ED8">
      <w:pPr>
        <w:pStyle w:val="Prrafodelista"/>
        <w:tabs>
          <w:tab w:val="left" w:pos="426"/>
        </w:tabs>
        <w:ind w:left="0"/>
        <w:jc w:val="both"/>
        <w:rPr>
          <w:rFonts w:ascii="Times New Roman" w:hAnsi="Times New Roman" w:cs="Times New Roman"/>
          <w:i/>
          <w:iCs/>
          <w:noProof/>
          <w:color w:val="000000" w:themeColor="text1"/>
          <w:sz w:val="28"/>
          <w:lang w:val="es-ES_tradnl"/>
        </w:rPr>
      </w:pPr>
    </w:p>
    <w:p w:rsidR="00F32ED8" w:rsidRPr="00DE7CC4" w:rsidRDefault="00DE7CC4" w:rsidP="00F32ED8">
      <w:pPr>
        <w:pStyle w:val="Prrafodelista"/>
        <w:tabs>
          <w:tab w:val="left" w:pos="426"/>
        </w:tabs>
        <w:ind w:left="0" w:right="49"/>
        <w:jc w:val="both"/>
        <w:rPr>
          <w:rFonts w:ascii="Times New Roman" w:hAnsi="Times New Roman" w:cs="Times New Roman"/>
          <w:i/>
          <w:iCs/>
          <w:noProof/>
          <w:color w:val="000000" w:themeColor="text1"/>
          <w:sz w:val="28"/>
          <w:lang w:val="es-ES_tradnl"/>
        </w:rPr>
      </w:pPr>
      <w:r w:rsidRPr="00DE7CC4">
        <w:rPr>
          <w:rFonts w:ascii="Times New Roman" w:hAnsi="Times New Roman" w:cs="Times New Roman"/>
          <w:bCs/>
          <w:color w:val="000000" w:themeColor="text1"/>
          <w:sz w:val="28"/>
        </w:rPr>
        <w:t>63. La Corte Constitucional ha enfatizado que la acción pública de inconstitucionalidad es expresión del derecho de participación en una democracia</w:t>
      </w:r>
      <w:r w:rsidRPr="00DE7CC4">
        <w:rPr>
          <w:rStyle w:val="Refdenotaalpie"/>
          <w:rFonts w:ascii="Times New Roman" w:eastAsiaTheme="majorEastAsia" w:hAnsi="Times New Roman"/>
          <w:bCs/>
          <w:color w:val="000000" w:themeColor="text1"/>
          <w:sz w:val="28"/>
        </w:rPr>
        <w:footnoteReference w:id="91"/>
      </w:r>
      <w:r w:rsidRPr="00DE7CC4">
        <w:rPr>
          <w:rFonts w:ascii="Times New Roman" w:hAnsi="Times New Roman" w:cs="Times New Roman"/>
          <w:bCs/>
          <w:color w:val="000000" w:themeColor="text1"/>
          <w:sz w:val="28"/>
        </w:rPr>
        <w:t>, y que constituye un instrumento de control sobre el po</w:t>
      </w:r>
      <w:r w:rsidRPr="00DE7CC4">
        <w:rPr>
          <w:rFonts w:ascii="Times New Roman" w:hAnsi="Times New Roman" w:cs="Times New Roman"/>
          <w:bCs/>
          <w:color w:val="000000" w:themeColor="text1"/>
          <w:sz w:val="28"/>
        </w:rPr>
        <w:t>der de configuración normativa que radica, de manera principal, en el Congreso de la República</w:t>
      </w:r>
      <w:r w:rsidRPr="00DE7CC4">
        <w:rPr>
          <w:rStyle w:val="Refdenotaalpie"/>
          <w:rFonts w:ascii="Times New Roman" w:eastAsiaTheme="majorEastAsia" w:hAnsi="Times New Roman"/>
          <w:bCs/>
          <w:color w:val="000000" w:themeColor="text1"/>
          <w:sz w:val="28"/>
        </w:rPr>
        <w:footnoteReference w:id="92"/>
      </w:r>
      <w:r w:rsidRPr="00DE7CC4">
        <w:rPr>
          <w:rFonts w:ascii="Times New Roman" w:hAnsi="Times New Roman" w:cs="Times New Roman"/>
          <w:bCs/>
          <w:color w:val="000000" w:themeColor="text1"/>
          <w:sz w:val="28"/>
        </w:rPr>
        <w:t>. El ejercicio de dicho mecanismo, sin embargo, no está desprovisto de exigencias que, si bien no pueden constituirse en barreras para el acceso a la administrac</w:t>
      </w:r>
      <w:r w:rsidRPr="00DE7CC4">
        <w:rPr>
          <w:rFonts w:ascii="Times New Roman" w:hAnsi="Times New Roman" w:cs="Times New Roman"/>
          <w:bCs/>
          <w:color w:val="000000" w:themeColor="text1"/>
          <w:sz w:val="28"/>
        </w:rPr>
        <w:t>ión de justicia, están orientadas a dar cuenta (i) de la presunción de corrección de las leyes, con mayor precisión e intensidad de aquellas proferidas por el Congreso de la República, que deriva del carácter epistemológico del proceso democrático, y de la</w:t>
      </w:r>
      <w:r w:rsidRPr="00DE7CC4">
        <w:rPr>
          <w:rFonts w:ascii="Times New Roman" w:hAnsi="Times New Roman" w:cs="Times New Roman"/>
          <w:bCs/>
          <w:color w:val="000000" w:themeColor="text1"/>
          <w:sz w:val="28"/>
        </w:rPr>
        <w:t xml:space="preserve"> pretensión de estabilidad del ordenamiento jurídico en beneficio de la seguridad que debe brindar a sus destinatarios; y, (ii) del ejercicio ponderado de la competencia del Juez Constitucional, que, por un lado, no debe asumir por sí mismo la carga de for</w:t>
      </w:r>
      <w:r w:rsidRPr="00DE7CC4">
        <w:rPr>
          <w:rFonts w:ascii="Times New Roman" w:hAnsi="Times New Roman" w:cs="Times New Roman"/>
          <w:bCs/>
          <w:color w:val="000000" w:themeColor="text1"/>
          <w:sz w:val="28"/>
        </w:rPr>
        <w:t xml:space="preserve">mular acusaciones contra las normas que luego debe estudiar con imparcialidad; y, por el otro, debe garantizar un escenario en el que el escrito de la demanda permita orientar la participación y el debate ciudadano. </w:t>
      </w:r>
    </w:p>
    <w:p w:rsidR="00F32ED8" w:rsidRPr="00DE7CC4" w:rsidRDefault="00DE7CC4" w:rsidP="00F32ED8">
      <w:pPr>
        <w:pStyle w:val="Prrafodelista"/>
        <w:tabs>
          <w:tab w:val="left" w:pos="426"/>
        </w:tabs>
        <w:ind w:left="0"/>
        <w:jc w:val="both"/>
        <w:rPr>
          <w:rFonts w:ascii="Times New Roman" w:hAnsi="Times New Roman" w:cs="Times New Roman"/>
          <w:i/>
          <w:iCs/>
          <w:noProof/>
          <w:color w:val="000000" w:themeColor="text1"/>
          <w:sz w:val="28"/>
          <w:lang w:val="es-ES_tradnl"/>
        </w:rPr>
      </w:pPr>
    </w:p>
    <w:p w:rsidR="00F32ED8" w:rsidRPr="00DE7CC4" w:rsidRDefault="00DE7CC4" w:rsidP="00F32ED8">
      <w:pPr>
        <w:pStyle w:val="Prrafodelista"/>
        <w:tabs>
          <w:tab w:val="left" w:pos="426"/>
        </w:tabs>
        <w:ind w:left="0"/>
        <w:jc w:val="both"/>
        <w:rPr>
          <w:rFonts w:ascii="Times New Roman" w:hAnsi="Times New Roman" w:cs="Times New Roman"/>
          <w:i/>
          <w:iCs/>
          <w:noProof/>
          <w:color w:val="000000" w:themeColor="text1"/>
          <w:sz w:val="28"/>
          <w:lang w:val="es-ES_tradnl"/>
        </w:rPr>
      </w:pPr>
      <w:r w:rsidRPr="00DE7CC4">
        <w:rPr>
          <w:rFonts w:ascii="Times New Roman" w:hAnsi="Times New Roman" w:cs="Times New Roman"/>
          <w:bCs/>
          <w:color w:val="000000" w:themeColor="text1"/>
          <w:sz w:val="28"/>
        </w:rPr>
        <w:t>64. Por lo anterior, aunque en aplicac</w:t>
      </w:r>
      <w:r w:rsidRPr="00DE7CC4">
        <w:rPr>
          <w:rFonts w:ascii="Times New Roman" w:hAnsi="Times New Roman" w:cs="Times New Roman"/>
          <w:bCs/>
          <w:color w:val="000000" w:themeColor="text1"/>
          <w:sz w:val="28"/>
        </w:rPr>
        <w:t xml:space="preserve">ión del principio </w:t>
      </w:r>
      <w:r w:rsidRPr="00DE7CC4">
        <w:rPr>
          <w:rFonts w:ascii="Times New Roman" w:hAnsi="Times New Roman" w:cs="Times New Roman"/>
          <w:bCs/>
          <w:i/>
          <w:color w:val="000000" w:themeColor="text1"/>
          <w:sz w:val="28"/>
        </w:rPr>
        <w:t>pro actione</w:t>
      </w:r>
      <w:r w:rsidRPr="00DE7CC4">
        <w:rPr>
          <w:rFonts w:ascii="Times New Roman" w:hAnsi="Times New Roman" w:cs="Times New Roman"/>
          <w:bCs/>
          <w:color w:val="000000" w:themeColor="text1"/>
          <w:sz w:val="28"/>
        </w:rPr>
        <w:t xml:space="preserve"> es preferible, en beneficio de un ordenamiento jurídico coherente y consistente, dictar una decisión de fondo a una inhibitoria, no le es dable a la Corte Constitucional corregir de oficio, ni subsanar aspectos oscuros, débile</w:t>
      </w:r>
      <w:r w:rsidRPr="00DE7CC4">
        <w:rPr>
          <w:rFonts w:ascii="Times New Roman" w:hAnsi="Times New Roman" w:cs="Times New Roman"/>
          <w:bCs/>
          <w:color w:val="000000" w:themeColor="text1"/>
          <w:sz w:val="28"/>
        </w:rPr>
        <w:t>s o no inteligibles dejados por el accionante, “</w:t>
      </w:r>
      <w:r w:rsidRPr="00DE7CC4">
        <w:rPr>
          <w:rFonts w:ascii="Times New Roman" w:hAnsi="Times New Roman" w:cs="Times New Roman"/>
          <w:color w:val="000000" w:themeColor="text1"/>
          <w:sz w:val="28"/>
          <w:bdr w:val="none" w:sz="0" w:space="0" w:color="auto" w:frame="1"/>
          <w:shd w:val="clear" w:color="auto" w:fill="FFFFFF"/>
        </w:rPr>
        <w:t>pues, se corre el riesgo de transformar una acción eminentemente rogada, en un mecanismo oficioso</w:t>
      </w:r>
      <w:r w:rsidRPr="00DE7CC4">
        <w:rPr>
          <w:rFonts w:ascii="Times New Roman" w:hAnsi="Times New Roman" w:cs="Times New Roman"/>
          <w:color w:val="000000" w:themeColor="text1"/>
          <w:sz w:val="28"/>
          <w:shd w:val="clear" w:color="auto" w:fill="FFFFFF"/>
        </w:rPr>
        <w:t>"</w:t>
      </w:r>
      <w:r w:rsidRPr="00DE7CC4">
        <w:rPr>
          <w:rStyle w:val="Refdenotaalpie"/>
          <w:rFonts w:ascii="Times New Roman" w:eastAsiaTheme="majorEastAsia" w:hAnsi="Times New Roman"/>
          <w:color w:val="000000" w:themeColor="text1"/>
          <w:sz w:val="28"/>
          <w:shd w:val="clear" w:color="auto" w:fill="FFFFFF"/>
        </w:rPr>
        <w:footnoteReference w:id="93"/>
      </w:r>
      <w:r w:rsidRPr="00DE7CC4">
        <w:rPr>
          <w:rFonts w:ascii="Times New Roman" w:hAnsi="Times New Roman" w:cs="Times New Roman"/>
          <w:color w:val="000000" w:themeColor="text1"/>
          <w:sz w:val="28"/>
          <w:shd w:val="clear" w:color="auto" w:fill="FFFFFF"/>
        </w:rPr>
        <w:t>. Así,</w:t>
      </w:r>
      <w:r w:rsidRPr="00DE7CC4">
        <w:rPr>
          <w:rFonts w:ascii="Times New Roman" w:hAnsi="Times New Roman" w:cs="Times New Roman"/>
          <w:color w:val="000000" w:themeColor="text1"/>
          <w:sz w:val="28"/>
        </w:rPr>
        <w:t xml:space="preserve"> </w:t>
      </w:r>
      <w:r w:rsidRPr="00DE7CC4">
        <w:rPr>
          <w:rFonts w:ascii="Times New Roman" w:hAnsi="Times New Roman" w:cs="Times New Roman"/>
          <w:bCs/>
          <w:color w:val="000000" w:themeColor="text1"/>
          <w:sz w:val="28"/>
        </w:rPr>
        <w:t>las exigencias que rigen en esta materia no resultan contrarias al carácter público de la acción de in</w:t>
      </w:r>
      <w:r w:rsidRPr="00DE7CC4">
        <w:rPr>
          <w:rFonts w:ascii="Times New Roman" w:hAnsi="Times New Roman" w:cs="Times New Roman"/>
          <w:bCs/>
          <w:color w:val="000000" w:themeColor="text1"/>
          <w:sz w:val="28"/>
        </w:rPr>
        <w:t>constitucionalidad, sino que responden a la necesidad de establecer una carga procesal mínima que tiene como finalidad permitir que la Corte Constitucional cumpla de manera eficaz las funciones que le han sido asignadas por la Carta Política en esta materi</w:t>
      </w:r>
      <w:r w:rsidRPr="00DE7CC4">
        <w:rPr>
          <w:rFonts w:ascii="Times New Roman" w:hAnsi="Times New Roman" w:cs="Times New Roman"/>
          <w:bCs/>
          <w:color w:val="000000" w:themeColor="text1"/>
          <w:sz w:val="28"/>
        </w:rPr>
        <w:t>a</w:t>
      </w:r>
      <w:r w:rsidRPr="00DE7CC4">
        <w:rPr>
          <w:rFonts w:ascii="Times New Roman" w:hAnsi="Times New Roman" w:cs="Times New Roman"/>
          <w:color w:val="000000" w:themeColor="text1"/>
          <w:sz w:val="28"/>
          <w:vertAlign w:val="superscript"/>
        </w:rPr>
        <w:footnoteReference w:id="94"/>
      </w:r>
      <w:r w:rsidRPr="00DE7CC4">
        <w:rPr>
          <w:rFonts w:ascii="Times New Roman" w:hAnsi="Times New Roman" w:cs="Times New Roman"/>
          <w:bCs/>
          <w:color w:val="000000" w:themeColor="text1"/>
          <w:sz w:val="28"/>
        </w:rPr>
        <w:t xml:space="preserve">, armonizando diversos principios institucionales y sustantivos. </w:t>
      </w:r>
    </w:p>
    <w:p w:rsidR="00F32ED8" w:rsidRPr="00DE7CC4" w:rsidRDefault="00DE7CC4" w:rsidP="00F32ED8">
      <w:pPr>
        <w:pStyle w:val="Prrafodelista"/>
        <w:rPr>
          <w:rFonts w:ascii="Times New Roman" w:hAnsi="Times New Roman" w:cs="Times New Roman"/>
          <w:color w:val="000000" w:themeColor="text1"/>
          <w:sz w:val="28"/>
          <w:lang w:val="es-ES_tradnl"/>
        </w:rPr>
      </w:pPr>
    </w:p>
    <w:p w:rsidR="00F32ED8" w:rsidRPr="00DE7CC4" w:rsidRDefault="00DE7CC4" w:rsidP="00F32ED8">
      <w:pPr>
        <w:pStyle w:val="Prrafodelista"/>
        <w:tabs>
          <w:tab w:val="left" w:pos="426"/>
        </w:tabs>
        <w:ind w:left="0"/>
        <w:jc w:val="both"/>
        <w:rPr>
          <w:rFonts w:ascii="Times New Roman" w:hAnsi="Times New Roman" w:cs="Times New Roman"/>
          <w:iCs/>
          <w:noProof/>
          <w:color w:val="000000" w:themeColor="text1"/>
          <w:sz w:val="28"/>
          <w:lang w:val="es-ES_tradnl"/>
        </w:rPr>
      </w:pPr>
      <w:r w:rsidRPr="00DE7CC4">
        <w:rPr>
          <w:rFonts w:ascii="Times New Roman" w:hAnsi="Times New Roman" w:cs="Times New Roman"/>
          <w:color w:val="000000" w:themeColor="text1"/>
          <w:sz w:val="28"/>
        </w:rPr>
        <w:t xml:space="preserve">65. Bajo tal premisa, y partiendo del contenido del artículo 2 del Decreto 2067 de 1991, la jurisprudencia ha precisado que, para que exista demanda en forma, el promotor del respectivo escrito de acusación debe </w:t>
      </w:r>
      <w:r w:rsidRPr="00DE7CC4">
        <w:rPr>
          <w:rFonts w:ascii="Times New Roman" w:hAnsi="Times New Roman" w:cs="Times New Roman"/>
          <w:iCs/>
          <w:color w:val="000000" w:themeColor="text1"/>
          <w:sz w:val="28"/>
        </w:rPr>
        <w:t>(i) señalar las normas que se acusan como in</w:t>
      </w:r>
      <w:r w:rsidRPr="00DE7CC4">
        <w:rPr>
          <w:rFonts w:ascii="Times New Roman" w:hAnsi="Times New Roman" w:cs="Times New Roman"/>
          <w:iCs/>
          <w:color w:val="000000" w:themeColor="text1"/>
          <w:sz w:val="28"/>
        </w:rPr>
        <w:t>constitucionales, (ii) indicar las disposiciones superiores que estima infringidas, y (iii) exponer las razones o motivos por los cuales la norma acusada viola la Constitución, lo que se traduce, a su vez, en la formulación de por lo menos un cargo concret</w:t>
      </w:r>
      <w:r w:rsidRPr="00DE7CC4">
        <w:rPr>
          <w:rFonts w:ascii="Times New Roman" w:hAnsi="Times New Roman" w:cs="Times New Roman"/>
          <w:iCs/>
          <w:color w:val="000000" w:themeColor="text1"/>
          <w:sz w:val="28"/>
        </w:rPr>
        <w:t>o de inconstitucionalidad</w:t>
      </w:r>
      <w:r w:rsidRPr="00DE7CC4">
        <w:rPr>
          <w:rFonts w:ascii="Times New Roman" w:hAnsi="Times New Roman" w:cs="Times New Roman"/>
          <w:iCs/>
          <w:color w:val="000000" w:themeColor="text1"/>
          <w:sz w:val="28"/>
          <w:vertAlign w:val="superscript"/>
        </w:rPr>
        <w:footnoteReference w:id="95"/>
      </w:r>
      <w:r w:rsidRPr="00DE7CC4">
        <w:rPr>
          <w:rFonts w:ascii="Times New Roman" w:hAnsi="Times New Roman" w:cs="Times New Roman"/>
          <w:iCs/>
          <w:color w:val="000000" w:themeColor="text1"/>
          <w:sz w:val="28"/>
        </w:rPr>
        <w:t>. El promotor de la acción, por supuesto, también debe explicar la razón por la cual estima que la Corte Constitucional es competente para conocer del asunto (</w:t>
      </w:r>
      <w:r w:rsidRPr="00DE7CC4">
        <w:rPr>
          <w:rFonts w:ascii="Times New Roman" w:hAnsi="Times New Roman" w:cs="Times New Roman"/>
          <w:iCs/>
          <w:color w:val="000000" w:themeColor="text1"/>
          <w:sz w:val="28"/>
        </w:rPr>
        <w:t>a</w:t>
      </w:r>
      <w:r w:rsidRPr="00DE7CC4">
        <w:rPr>
          <w:rFonts w:ascii="Times New Roman" w:hAnsi="Times New Roman" w:cs="Times New Roman"/>
          <w:iCs/>
          <w:color w:val="000000" w:themeColor="text1"/>
          <w:sz w:val="28"/>
        </w:rPr>
        <w:t>rts. 241, C</w:t>
      </w:r>
      <w:r w:rsidRPr="00DE7CC4">
        <w:rPr>
          <w:rFonts w:ascii="Times New Roman" w:hAnsi="Times New Roman" w:cs="Times New Roman"/>
          <w:iCs/>
          <w:color w:val="000000" w:themeColor="text1"/>
          <w:sz w:val="28"/>
        </w:rPr>
        <w:t>.</w:t>
      </w:r>
      <w:r w:rsidRPr="00DE7CC4">
        <w:rPr>
          <w:rFonts w:ascii="Times New Roman" w:hAnsi="Times New Roman" w:cs="Times New Roman"/>
          <w:iCs/>
          <w:color w:val="000000" w:themeColor="text1"/>
          <w:sz w:val="28"/>
        </w:rPr>
        <w:t>P</w:t>
      </w:r>
      <w:r w:rsidRPr="00DE7CC4">
        <w:rPr>
          <w:rFonts w:ascii="Times New Roman" w:hAnsi="Times New Roman" w:cs="Times New Roman"/>
          <w:iCs/>
          <w:color w:val="000000" w:themeColor="text1"/>
          <w:sz w:val="28"/>
        </w:rPr>
        <w:t>.</w:t>
      </w:r>
      <w:r w:rsidRPr="00DE7CC4">
        <w:rPr>
          <w:rFonts w:ascii="Times New Roman" w:hAnsi="Times New Roman" w:cs="Times New Roman"/>
          <w:iCs/>
          <w:color w:val="000000" w:themeColor="text1"/>
          <w:sz w:val="28"/>
        </w:rPr>
        <w:t xml:space="preserve"> y 2 del Decreto 2067 de 1991).  </w:t>
      </w:r>
    </w:p>
    <w:p w:rsidR="00F32ED8" w:rsidRPr="00DE7CC4" w:rsidRDefault="00DE7CC4" w:rsidP="00F32ED8">
      <w:pPr>
        <w:pStyle w:val="Prrafodelista"/>
        <w:rPr>
          <w:rFonts w:ascii="Times New Roman" w:hAnsi="Times New Roman" w:cs="Times New Roman"/>
          <w:iCs/>
          <w:color w:val="000000" w:themeColor="text1"/>
          <w:sz w:val="28"/>
        </w:rPr>
      </w:pPr>
    </w:p>
    <w:p w:rsidR="00F32ED8" w:rsidRPr="00DE7CC4" w:rsidRDefault="00DE7CC4" w:rsidP="00F32ED8">
      <w:pPr>
        <w:pStyle w:val="Prrafodelista"/>
        <w:tabs>
          <w:tab w:val="left" w:pos="426"/>
        </w:tabs>
        <w:ind w:left="0"/>
        <w:jc w:val="both"/>
        <w:rPr>
          <w:rFonts w:ascii="Times New Roman" w:hAnsi="Times New Roman" w:cs="Times New Roman"/>
          <w:i/>
          <w:iCs/>
          <w:noProof/>
          <w:color w:val="000000" w:themeColor="text1"/>
          <w:sz w:val="28"/>
          <w:lang w:val="es-ES_tradnl"/>
        </w:rPr>
      </w:pPr>
      <w:r w:rsidRPr="00DE7CC4">
        <w:rPr>
          <w:rFonts w:ascii="Times New Roman" w:hAnsi="Times New Roman" w:cs="Times New Roman"/>
          <w:color w:val="000000" w:themeColor="text1"/>
          <w:sz w:val="28"/>
        </w:rPr>
        <w:t>66. En relación con e</w:t>
      </w:r>
      <w:r w:rsidRPr="00DE7CC4">
        <w:rPr>
          <w:rFonts w:ascii="Times New Roman" w:hAnsi="Times New Roman" w:cs="Times New Roman"/>
          <w:color w:val="000000" w:themeColor="text1"/>
          <w:sz w:val="28"/>
        </w:rPr>
        <w:t>l tercero de los anteriores requisitos, la exigencia se traduce en que la acusación presentada se apoye en razones (i)</w:t>
      </w:r>
      <w:r w:rsidRPr="00DE7CC4">
        <w:rPr>
          <w:rFonts w:ascii="Times New Roman" w:hAnsi="Times New Roman" w:cs="Times New Roman"/>
          <w:bCs/>
          <w:iCs/>
          <w:color w:val="000000" w:themeColor="text1"/>
          <w:sz w:val="28"/>
        </w:rPr>
        <w:t xml:space="preserve"> </w:t>
      </w:r>
      <w:r w:rsidRPr="00DE7CC4">
        <w:rPr>
          <w:rFonts w:ascii="Times New Roman" w:hAnsi="Times New Roman" w:cs="Times New Roman"/>
          <w:b/>
          <w:i/>
          <w:color w:val="000000" w:themeColor="text1"/>
          <w:sz w:val="28"/>
        </w:rPr>
        <w:t>claras</w:t>
      </w:r>
      <w:r w:rsidRPr="00DE7CC4">
        <w:rPr>
          <w:rFonts w:ascii="Times New Roman" w:hAnsi="Times New Roman" w:cs="Times New Roman"/>
          <w:color w:val="000000" w:themeColor="text1"/>
          <w:sz w:val="28"/>
        </w:rPr>
        <w:t>, esto es, cuando la acusación formulada es comprensible y de fácil entendimiento; (ii)</w:t>
      </w:r>
      <w:r w:rsidRPr="00DE7CC4">
        <w:rPr>
          <w:rFonts w:ascii="Times New Roman" w:hAnsi="Times New Roman" w:cs="Times New Roman"/>
          <w:b/>
          <w:bCs/>
          <w:i/>
          <w:iCs/>
          <w:color w:val="000000" w:themeColor="text1"/>
          <w:sz w:val="28"/>
        </w:rPr>
        <w:t xml:space="preserve"> </w:t>
      </w:r>
      <w:r w:rsidRPr="00DE7CC4">
        <w:rPr>
          <w:rFonts w:ascii="Times New Roman" w:hAnsi="Times New Roman" w:cs="Times New Roman"/>
          <w:b/>
          <w:i/>
          <w:color w:val="000000" w:themeColor="text1"/>
          <w:sz w:val="28"/>
        </w:rPr>
        <w:t>ciertas</w:t>
      </w:r>
      <w:r w:rsidRPr="00DE7CC4">
        <w:rPr>
          <w:rFonts w:ascii="Times New Roman" w:hAnsi="Times New Roman" w:cs="Times New Roman"/>
          <w:color w:val="000000" w:themeColor="text1"/>
          <w:sz w:val="28"/>
        </w:rPr>
        <w:t>, cuando la acusación recae directam</w:t>
      </w:r>
      <w:r w:rsidRPr="00DE7CC4">
        <w:rPr>
          <w:rFonts w:ascii="Times New Roman" w:hAnsi="Times New Roman" w:cs="Times New Roman"/>
          <w:color w:val="000000" w:themeColor="text1"/>
          <w:sz w:val="28"/>
        </w:rPr>
        <w:t>ente sobre el contenido de la disposición demandada y no sobre una proposición jurídica inferida o deducida por el actor e incluso sobre otras normas vigentes que, en todo caso, no son el objeto concreto de la demanda; (iii)</w:t>
      </w:r>
      <w:r w:rsidRPr="00DE7CC4">
        <w:rPr>
          <w:rFonts w:ascii="Times New Roman" w:hAnsi="Times New Roman" w:cs="Times New Roman"/>
          <w:b/>
          <w:bCs/>
          <w:i/>
          <w:iCs/>
          <w:color w:val="000000" w:themeColor="text1"/>
          <w:sz w:val="28"/>
        </w:rPr>
        <w:t xml:space="preserve"> </w:t>
      </w:r>
      <w:r w:rsidRPr="00DE7CC4">
        <w:rPr>
          <w:rFonts w:ascii="Times New Roman" w:hAnsi="Times New Roman" w:cs="Times New Roman"/>
          <w:b/>
          <w:i/>
          <w:color w:val="000000" w:themeColor="text1"/>
          <w:sz w:val="28"/>
        </w:rPr>
        <w:t>específicas</w:t>
      </w:r>
      <w:r w:rsidRPr="00DE7CC4">
        <w:rPr>
          <w:rFonts w:ascii="Times New Roman" w:hAnsi="Times New Roman" w:cs="Times New Roman"/>
          <w:color w:val="000000" w:themeColor="text1"/>
          <w:sz w:val="28"/>
        </w:rPr>
        <w:t xml:space="preserve">, en cuanto se </w:t>
      </w:r>
      <w:r w:rsidRPr="00DE7CC4">
        <w:rPr>
          <w:rFonts w:ascii="Times New Roman" w:hAnsi="Times New Roman" w:cs="Times New Roman"/>
          <w:color w:val="000000" w:themeColor="text1"/>
          <w:sz w:val="28"/>
        </w:rPr>
        <w:t>defina o se muestre en forma diáfana la manera como la norma vulnera la Constitución; (iv)</w:t>
      </w:r>
      <w:r w:rsidRPr="00DE7CC4">
        <w:rPr>
          <w:rFonts w:ascii="Times New Roman" w:hAnsi="Times New Roman" w:cs="Times New Roman"/>
          <w:b/>
          <w:bCs/>
          <w:i/>
          <w:iCs/>
          <w:color w:val="000000" w:themeColor="text1"/>
          <w:sz w:val="28"/>
        </w:rPr>
        <w:t xml:space="preserve"> </w:t>
      </w:r>
      <w:r w:rsidRPr="00DE7CC4">
        <w:rPr>
          <w:rFonts w:ascii="Times New Roman" w:hAnsi="Times New Roman" w:cs="Times New Roman"/>
          <w:b/>
          <w:i/>
          <w:color w:val="000000" w:themeColor="text1"/>
          <w:sz w:val="28"/>
        </w:rPr>
        <w:t>pertinentes</w:t>
      </w:r>
      <w:r w:rsidRPr="00DE7CC4">
        <w:rPr>
          <w:rFonts w:ascii="Times New Roman" w:hAnsi="Times New Roman" w:cs="Times New Roman"/>
          <w:color w:val="000000" w:themeColor="text1"/>
          <w:sz w:val="28"/>
        </w:rPr>
        <w:t>, cuando se utilizan argumentos de naturaleza estrictamente constitucional y no razones de orden legal, personal, doctrinal o de simple conveniencia, y (v</w:t>
      </w:r>
      <w:r w:rsidRPr="00DE7CC4">
        <w:rPr>
          <w:rFonts w:ascii="Times New Roman" w:hAnsi="Times New Roman" w:cs="Times New Roman"/>
          <w:color w:val="000000" w:themeColor="text1"/>
          <w:sz w:val="28"/>
        </w:rPr>
        <w:t>)</w:t>
      </w:r>
      <w:r w:rsidRPr="00DE7CC4">
        <w:rPr>
          <w:rFonts w:ascii="Times New Roman" w:hAnsi="Times New Roman" w:cs="Times New Roman"/>
          <w:b/>
          <w:bCs/>
          <w:i/>
          <w:iCs/>
          <w:color w:val="000000" w:themeColor="text1"/>
          <w:sz w:val="28"/>
        </w:rPr>
        <w:t xml:space="preserve"> </w:t>
      </w:r>
      <w:r w:rsidRPr="00DE7CC4">
        <w:rPr>
          <w:rFonts w:ascii="Times New Roman" w:hAnsi="Times New Roman" w:cs="Times New Roman"/>
          <w:b/>
          <w:i/>
          <w:color w:val="000000" w:themeColor="text1"/>
          <w:sz w:val="28"/>
        </w:rPr>
        <w:t>suficientes</w:t>
      </w:r>
      <w:r w:rsidRPr="00DE7CC4">
        <w:rPr>
          <w:rFonts w:ascii="Times New Roman" w:hAnsi="Times New Roman" w:cs="Times New Roman"/>
          <w:color w:val="000000" w:themeColor="text1"/>
          <w:sz w:val="28"/>
        </w:rPr>
        <w:t>, en la medida en que la acusación contenga todos los elementos fácticos y probatorios que devienen necesarios para adelantar el juicio de inconstitucionalidad, de forma que suscite por lo menos una sospecha o duda mínima sobre la constitucion</w:t>
      </w:r>
      <w:r w:rsidRPr="00DE7CC4">
        <w:rPr>
          <w:rFonts w:ascii="Times New Roman" w:hAnsi="Times New Roman" w:cs="Times New Roman"/>
          <w:color w:val="000000" w:themeColor="text1"/>
          <w:sz w:val="28"/>
        </w:rPr>
        <w:t>alidad del precepto impugnado</w:t>
      </w:r>
      <w:r w:rsidRPr="00DE7CC4">
        <w:rPr>
          <w:rFonts w:ascii="Times New Roman" w:hAnsi="Times New Roman" w:cs="Times New Roman"/>
          <w:color w:val="000000" w:themeColor="text1"/>
          <w:sz w:val="28"/>
          <w:vertAlign w:val="superscript"/>
        </w:rPr>
        <w:footnoteReference w:id="96"/>
      </w:r>
      <w:r w:rsidRPr="00DE7CC4">
        <w:rPr>
          <w:rFonts w:ascii="Times New Roman" w:hAnsi="Times New Roman" w:cs="Times New Roman"/>
          <w:color w:val="000000" w:themeColor="text1"/>
          <w:sz w:val="28"/>
        </w:rPr>
        <w:t>.</w:t>
      </w:r>
    </w:p>
    <w:p w:rsidR="00F32ED8" w:rsidRPr="00DE7CC4" w:rsidRDefault="00DE7CC4" w:rsidP="00F32ED8">
      <w:pPr>
        <w:pStyle w:val="Prrafodelista"/>
        <w:rPr>
          <w:rFonts w:ascii="Times New Roman" w:hAnsi="Times New Roman" w:cs="Times New Roman"/>
          <w:color w:val="000000" w:themeColor="text1"/>
          <w:sz w:val="28"/>
        </w:rPr>
      </w:pPr>
    </w:p>
    <w:p w:rsidR="00F32ED8" w:rsidRPr="00DE7CC4" w:rsidRDefault="00DE7CC4" w:rsidP="00F32ED8">
      <w:pPr>
        <w:pStyle w:val="Prrafodelista"/>
        <w:tabs>
          <w:tab w:val="left" w:pos="426"/>
        </w:tabs>
        <w:ind w:left="0"/>
        <w:jc w:val="both"/>
        <w:rPr>
          <w:rFonts w:ascii="Times New Roman" w:hAnsi="Times New Roman" w:cs="Times New Roman"/>
          <w:iCs/>
          <w:noProof/>
          <w:color w:val="000000" w:themeColor="text1"/>
          <w:sz w:val="28"/>
          <w:lang w:val="es-ES_tradnl"/>
        </w:rPr>
      </w:pPr>
      <w:r w:rsidRPr="00DE7CC4">
        <w:rPr>
          <w:rFonts w:ascii="Times New Roman" w:hAnsi="Times New Roman" w:cs="Times New Roman"/>
          <w:color w:val="000000" w:themeColor="text1"/>
          <w:sz w:val="28"/>
        </w:rPr>
        <w:t xml:space="preserve">67. Cuando se satisfacen los requisitos atrás señalados, la Corte se encuentra en condiciones de adelantar el proceso judicial con el objetivo de establecer si lo acusado </w:t>
      </w:r>
      <w:r w:rsidRPr="00DE7CC4">
        <w:rPr>
          <w:rFonts w:ascii="Times New Roman" w:hAnsi="Times New Roman" w:cs="Times New Roman"/>
          <w:iCs/>
          <w:color w:val="000000" w:themeColor="text1"/>
          <w:sz w:val="28"/>
        </w:rPr>
        <w:t>“se somete o no al ordenamiento supralegal que se di</w:t>
      </w:r>
      <w:r w:rsidRPr="00DE7CC4">
        <w:rPr>
          <w:rFonts w:ascii="Times New Roman" w:hAnsi="Times New Roman" w:cs="Times New Roman"/>
          <w:iCs/>
          <w:color w:val="000000" w:themeColor="text1"/>
          <w:sz w:val="28"/>
        </w:rPr>
        <w:t>ce desconocido”</w:t>
      </w:r>
      <w:r w:rsidRPr="00DE7CC4">
        <w:rPr>
          <w:rFonts w:ascii="Times New Roman" w:hAnsi="Times New Roman" w:cs="Times New Roman"/>
          <w:iCs/>
          <w:color w:val="000000" w:themeColor="text1"/>
          <w:sz w:val="28"/>
          <w:vertAlign w:val="superscript"/>
        </w:rPr>
        <w:footnoteReference w:id="97"/>
      </w:r>
      <w:r w:rsidRPr="00DE7CC4">
        <w:rPr>
          <w:rFonts w:ascii="Times New Roman" w:hAnsi="Times New Roman" w:cs="Times New Roman"/>
          <w:iCs/>
          <w:color w:val="000000" w:themeColor="text1"/>
          <w:sz w:val="28"/>
        </w:rPr>
        <w:t>; de lo contrario, al juez constitucional le será imposible “entrar en el examen material de los preceptos atacados con miras a establecer si se avienen o no a la Constitución”</w:t>
      </w:r>
      <w:r w:rsidRPr="00DE7CC4">
        <w:rPr>
          <w:rFonts w:ascii="Times New Roman" w:hAnsi="Times New Roman" w:cs="Times New Roman"/>
          <w:iCs/>
          <w:color w:val="000000" w:themeColor="text1"/>
          <w:sz w:val="28"/>
          <w:vertAlign w:val="superscript"/>
        </w:rPr>
        <w:footnoteReference w:id="98"/>
      </w:r>
      <w:r w:rsidRPr="00DE7CC4">
        <w:rPr>
          <w:rFonts w:ascii="Times New Roman" w:hAnsi="Times New Roman" w:cs="Times New Roman"/>
          <w:iCs/>
          <w:color w:val="000000" w:themeColor="text1"/>
          <w:sz w:val="28"/>
        </w:rPr>
        <w:t xml:space="preserve"> y, en tales circunstancias, no habrá lugar a darle curso al pr</w:t>
      </w:r>
      <w:r w:rsidRPr="00DE7CC4">
        <w:rPr>
          <w:rFonts w:ascii="Times New Roman" w:hAnsi="Times New Roman" w:cs="Times New Roman"/>
          <w:iCs/>
          <w:color w:val="000000" w:themeColor="text1"/>
          <w:sz w:val="28"/>
        </w:rPr>
        <w:t>oceso o, habiéndolo adelantado, culminará con una sentencia inhibitoria, sin que en este caso pueda oponerse una primera decisión de admisión dado que es en la Sala Plena de la Corporación, integrada por todos sus magistrados, en quien recae la competencia</w:t>
      </w:r>
      <w:r w:rsidRPr="00DE7CC4">
        <w:rPr>
          <w:rFonts w:ascii="Times New Roman" w:hAnsi="Times New Roman" w:cs="Times New Roman"/>
          <w:iCs/>
          <w:color w:val="000000" w:themeColor="text1"/>
          <w:sz w:val="28"/>
        </w:rPr>
        <w:t xml:space="preserve"> de proferir un fallo, determinando, previa deliberación, si la demanda es apta o no</w:t>
      </w:r>
      <w:r w:rsidRPr="00DE7CC4">
        <w:rPr>
          <w:rStyle w:val="Refdenotaalpie"/>
          <w:rFonts w:ascii="Times New Roman" w:eastAsiaTheme="majorEastAsia" w:hAnsi="Times New Roman"/>
          <w:iCs/>
          <w:color w:val="000000" w:themeColor="text1"/>
          <w:sz w:val="28"/>
        </w:rPr>
        <w:footnoteReference w:id="99"/>
      </w:r>
      <w:r w:rsidRPr="00DE7CC4">
        <w:rPr>
          <w:rFonts w:ascii="Times New Roman" w:hAnsi="Times New Roman" w:cs="Times New Roman"/>
          <w:iCs/>
          <w:color w:val="000000" w:themeColor="text1"/>
          <w:sz w:val="28"/>
        </w:rPr>
        <w:t>.</w:t>
      </w:r>
    </w:p>
    <w:p w:rsidR="00F32ED8" w:rsidRPr="00DE7CC4" w:rsidRDefault="00DE7CC4" w:rsidP="00F32ED8">
      <w:pPr>
        <w:pStyle w:val="Prrafodelista"/>
        <w:tabs>
          <w:tab w:val="left" w:pos="426"/>
        </w:tabs>
        <w:ind w:left="0"/>
        <w:jc w:val="both"/>
        <w:rPr>
          <w:rFonts w:ascii="Times New Roman" w:hAnsi="Times New Roman" w:cs="Times New Roman"/>
          <w:iCs/>
          <w:color w:val="000000" w:themeColor="text1"/>
          <w:sz w:val="28"/>
        </w:rPr>
      </w:pPr>
      <w:r w:rsidRPr="00DE7CC4">
        <w:rPr>
          <w:rFonts w:ascii="Times New Roman" w:hAnsi="Times New Roman" w:cs="Times New Roman"/>
          <w:iCs/>
          <w:color w:val="000000" w:themeColor="text1"/>
          <w:sz w:val="28"/>
        </w:rPr>
        <w:t xml:space="preserve"> </w:t>
      </w:r>
    </w:p>
    <w:p w:rsidR="00F32ED8" w:rsidRPr="00DE7CC4" w:rsidRDefault="00DE7CC4" w:rsidP="00F32ED8">
      <w:pPr>
        <w:tabs>
          <w:tab w:val="left" w:pos="426"/>
        </w:tabs>
        <w:jc w:val="both"/>
        <w:rPr>
          <w:rFonts w:ascii="Times New Roman" w:hAnsi="Times New Roman" w:cs="Times New Roman"/>
          <w:color w:val="000000" w:themeColor="text1"/>
          <w:sz w:val="28"/>
        </w:rPr>
      </w:pPr>
      <w:r w:rsidRPr="00DE7CC4">
        <w:rPr>
          <w:rFonts w:ascii="Times New Roman" w:hAnsi="Times New Roman" w:cs="Times New Roman"/>
          <w:color w:val="000000" w:themeColor="text1"/>
          <w:sz w:val="28"/>
        </w:rPr>
        <w:t>68. Recientemente la Sentencia C-269 de 2022</w:t>
      </w:r>
      <w:r w:rsidRPr="00DE7CC4">
        <w:rPr>
          <w:rStyle w:val="Refdenotaalpie"/>
          <w:rFonts w:ascii="Times New Roman" w:hAnsi="Times New Roman"/>
          <w:color w:val="000000" w:themeColor="text1"/>
          <w:sz w:val="28"/>
        </w:rPr>
        <w:footnoteReference w:id="100"/>
      </w:r>
      <w:r w:rsidRPr="00DE7CC4">
        <w:rPr>
          <w:rFonts w:ascii="Times New Roman" w:hAnsi="Times New Roman" w:cs="Times New Roman"/>
          <w:color w:val="000000" w:themeColor="text1"/>
          <w:sz w:val="28"/>
        </w:rPr>
        <w:t xml:space="preserve"> reiteró que </w:t>
      </w:r>
      <w:r w:rsidRPr="00DE7CC4">
        <w:rPr>
          <w:rFonts w:ascii="Times New Roman" w:hAnsi="Times New Roman" w:cs="Times New Roman"/>
          <w:i/>
          <w:iCs/>
          <w:color w:val="000000" w:themeColor="text1"/>
          <w:sz w:val="28"/>
        </w:rPr>
        <w:t>“</w:t>
      </w:r>
      <w:r w:rsidRPr="00DE7CC4">
        <w:rPr>
          <w:rFonts w:ascii="Times New Roman" w:hAnsi="Times New Roman" w:cs="Times New Roman"/>
          <w:color w:val="000000" w:themeColor="text1"/>
          <w:sz w:val="28"/>
        </w:rPr>
        <w:t>las decisiones adoptadas en los autos admisorios de las demandas de inconstitucionalidad ya sea por parte de</w:t>
      </w:r>
      <w:r w:rsidRPr="00DE7CC4">
        <w:rPr>
          <w:rFonts w:ascii="Times New Roman" w:hAnsi="Times New Roman" w:cs="Times New Roman"/>
          <w:color w:val="000000" w:themeColor="text1"/>
          <w:sz w:val="28"/>
        </w:rPr>
        <w:t>l Magistrado sustanciador o en cumplimiento de un auto de súplica, no constituyen decisiones intangibles para la Sala Plena al momento de pronunciarse sobre el fondo del asunto. En ese sentido, el Pleno bien puede considerar que, aun cuando la demanda haya</w:t>
      </w:r>
      <w:r w:rsidRPr="00DE7CC4">
        <w:rPr>
          <w:rFonts w:ascii="Times New Roman" w:hAnsi="Times New Roman" w:cs="Times New Roman"/>
          <w:color w:val="000000" w:themeColor="text1"/>
          <w:sz w:val="28"/>
        </w:rPr>
        <w:t xml:space="preserve"> sido admitida, la decisión final puede resultar en un fallo inhibitorio total o parcial, existir cosa juzgada o incluso declarar la carencia actual de objeto, entre otros eventos que en principio fueron superados en la etapa admisoria. En suma, unos son l</w:t>
      </w:r>
      <w:r w:rsidRPr="00DE7CC4">
        <w:rPr>
          <w:rFonts w:ascii="Times New Roman" w:hAnsi="Times New Roman" w:cs="Times New Roman"/>
          <w:color w:val="000000" w:themeColor="text1"/>
          <w:sz w:val="28"/>
        </w:rPr>
        <w:t>os requisitos de admisibilidad de la acción pública de inconstitucionalidad, y otros, los requisitos para que se profiera una decisión de mérito por parte de la Sala Plena de la Corte Constitucional”. En esta dirección es importante destacar que el proceso</w:t>
      </w:r>
      <w:r w:rsidRPr="00DE7CC4">
        <w:rPr>
          <w:rFonts w:ascii="Times New Roman" w:hAnsi="Times New Roman" w:cs="Times New Roman"/>
          <w:color w:val="000000" w:themeColor="text1"/>
          <w:sz w:val="28"/>
        </w:rPr>
        <w:t xml:space="preserve"> de constitucionalidad inicia con un escrito ciudadano, pero, a partir de allí, se nutre a través de las intervenciones de autoridades, expertos y ciudadanía, que, indudablemente, brindan elementos para una mejor comprensión de los debates jurídicos traído</w:t>
      </w:r>
      <w:r w:rsidRPr="00DE7CC4">
        <w:rPr>
          <w:rFonts w:ascii="Times New Roman" w:hAnsi="Times New Roman" w:cs="Times New Roman"/>
          <w:color w:val="000000" w:themeColor="text1"/>
          <w:sz w:val="28"/>
        </w:rPr>
        <w:t>s ante la Corte Constitucional; elementos que, en el marco de un procedimiento participativo, determinan las decisiones, incluso inhibitorias, que válidamente puede adoptar la Sala Plena en ejercicio de sus atribuciones constitucionales.</w:t>
      </w:r>
    </w:p>
    <w:p w:rsidR="00F32ED8" w:rsidRPr="00DE7CC4" w:rsidRDefault="00DE7CC4" w:rsidP="00F32ED8">
      <w:pPr>
        <w:pStyle w:val="Prrafodelista"/>
        <w:tabs>
          <w:tab w:val="left" w:pos="426"/>
        </w:tabs>
        <w:ind w:left="0"/>
        <w:jc w:val="both"/>
        <w:rPr>
          <w:rFonts w:ascii="Times New Roman" w:hAnsi="Times New Roman" w:cs="Times New Roman"/>
          <w:noProof/>
          <w:color w:val="000000" w:themeColor="text1"/>
          <w:sz w:val="28"/>
        </w:rPr>
      </w:pPr>
    </w:p>
    <w:p w:rsidR="00F32ED8" w:rsidRPr="00DE7CC4" w:rsidRDefault="00DE7CC4" w:rsidP="00F32ED8">
      <w:pPr>
        <w:pStyle w:val="Prrafodelista"/>
        <w:tabs>
          <w:tab w:val="left" w:pos="426"/>
        </w:tabs>
        <w:ind w:left="0"/>
        <w:jc w:val="both"/>
        <w:rPr>
          <w:rFonts w:ascii="Times New Roman" w:hAnsi="Times New Roman" w:cs="Times New Roman"/>
          <w:color w:val="000000" w:themeColor="text1"/>
          <w:sz w:val="28"/>
        </w:rPr>
      </w:pPr>
      <w:r w:rsidRPr="00DE7CC4">
        <w:rPr>
          <w:rFonts w:ascii="Times New Roman" w:hAnsi="Times New Roman" w:cs="Times New Roman"/>
          <w:noProof/>
          <w:color w:val="000000" w:themeColor="text1"/>
          <w:sz w:val="28"/>
        </w:rPr>
        <w:t xml:space="preserve">69. </w:t>
      </w:r>
      <w:r w:rsidRPr="00DE7CC4">
        <w:rPr>
          <w:rFonts w:ascii="Times New Roman" w:hAnsi="Times New Roman" w:cs="Times New Roman"/>
          <w:color w:val="000000" w:themeColor="text1"/>
          <w:sz w:val="28"/>
        </w:rPr>
        <w:t xml:space="preserve">A </w:t>
      </w:r>
      <w:r w:rsidRPr="00DE7CC4">
        <w:rPr>
          <w:rFonts w:ascii="Times New Roman" w:hAnsi="Times New Roman" w:cs="Times New Roman"/>
          <w:color w:val="000000" w:themeColor="text1"/>
          <w:sz w:val="28"/>
        </w:rPr>
        <w:t>continuación, con fundamento en las premisas mencionadas, se verificará el cumplimiento de los requisitos mencionados.</w:t>
      </w:r>
    </w:p>
    <w:p w:rsidR="00F32ED8" w:rsidRPr="00DE7CC4" w:rsidRDefault="00DE7CC4" w:rsidP="00F32ED8">
      <w:pPr>
        <w:pStyle w:val="Prrafodelista"/>
        <w:tabs>
          <w:tab w:val="left" w:pos="426"/>
        </w:tabs>
        <w:ind w:left="0"/>
        <w:jc w:val="both"/>
        <w:rPr>
          <w:rFonts w:ascii="Times New Roman" w:hAnsi="Times New Roman" w:cs="Times New Roman"/>
          <w:color w:val="000000" w:themeColor="text1"/>
          <w:sz w:val="28"/>
        </w:rPr>
      </w:pPr>
    </w:p>
    <w:p w:rsidR="00F32ED8" w:rsidRPr="00DE7CC4" w:rsidRDefault="00DE7CC4" w:rsidP="00F32ED8">
      <w:pPr>
        <w:jc w:val="both"/>
        <w:rPr>
          <w:rFonts w:ascii="Times New Roman" w:hAnsi="Times New Roman" w:cs="Times New Roman"/>
          <w:b/>
          <w:bCs/>
          <w:color w:val="000000" w:themeColor="text1"/>
          <w:sz w:val="28"/>
          <w:bdr w:val="none" w:sz="0" w:space="0" w:color="auto" w:frame="1"/>
          <w:lang w:val="es-ES_tradnl" w:eastAsia="es-ES"/>
        </w:rPr>
      </w:pPr>
      <w:r w:rsidRPr="00DE7CC4">
        <w:rPr>
          <w:rFonts w:ascii="Times New Roman" w:hAnsi="Times New Roman" w:cs="Times New Roman"/>
          <w:b/>
          <w:bCs/>
          <w:color w:val="000000" w:themeColor="text1"/>
          <w:sz w:val="28"/>
          <w:bdr w:val="none" w:sz="0" w:space="0" w:color="auto" w:frame="1"/>
          <w:lang w:val="es-ES_tradnl" w:eastAsia="es-ES"/>
        </w:rPr>
        <w:t>2.2.2. El primer cargo, fundado en la presunta lesión de los artículos 2 y 58 de la Constitución Política, es apto. Los demás cargos inv</w:t>
      </w:r>
      <w:r w:rsidRPr="00DE7CC4">
        <w:rPr>
          <w:rFonts w:ascii="Times New Roman" w:hAnsi="Times New Roman" w:cs="Times New Roman"/>
          <w:b/>
          <w:bCs/>
          <w:color w:val="000000" w:themeColor="text1"/>
          <w:sz w:val="28"/>
          <w:bdr w:val="none" w:sz="0" w:space="0" w:color="auto" w:frame="1"/>
          <w:lang w:val="es-ES_tradnl" w:eastAsia="es-ES"/>
        </w:rPr>
        <w:t>ocados carecen de los requisitos argumentativos exigidos para generar un pronunciamiento de fondo</w:t>
      </w:r>
    </w:p>
    <w:p w:rsidR="00F32ED8" w:rsidRPr="00DE7CC4" w:rsidRDefault="00DE7CC4" w:rsidP="00F32ED8">
      <w:pPr>
        <w:jc w:val="both"/>
        <w:rPr>
          <w:rFonts w:ascii="Times New Roman" w:hAnsi="Times New Roman" w:cs="Times New Roman"/>
          <w:color w:val="000000" w:themeColor="text1"/>
          <w:sz w:val="28"/>
          <w:bdr w:val="none" w:sz="0" w:space="0" w:color="auto" w:frame="1"/>
          <w:lang w:val="es-ES_tradnl" w:eastAsia="es-ES"/>
        </w:rPr>
      </w:pPr>
    </w:p>
    <w:p w:rsidR="00F32ED8" w:rsidRPr="00DE7CC4" w:rsidRDefault="00DE7CC4" w:rsidP="00F32ED8">
      <w:pPr>
        <w:jc w:val="both"/>
        <w:rPr>
          <w:rFonts w:ascii="Times New Roman" w:hAnsi="Times New Roman" w:cs="Times New Roman"/>
          <w:color w:val="000000" w:themeColor="text1"/>
          <w:sz w:val="28"/>
          <w:bdr w:val="none" w:sz="0" w:space="0" w:color="auto" w:frame="1"/>
          <w:lang w:val="es-ES_tradnl" w:eastAsia="es-ES"/>
        </w:rPr>
      </w:pPr>
      <w:r w:rsidRPr="00DE7CC4">
        <w:rPr>
          <w:rFonts w:ascii="Times New Roman" w:hAnsi="Times New Roman" w:cs="Times New Roman"/>
          <w:color w:val="000000" w:themeColor="text1"/>
          <w:sz w:val="28"/>
          <w:bdr w:val="none" w:sz="0" w:space="0" w:color="auto" w:frame="1"/>
          <w:lang w:val="es-ES_tradnl" w:eastAsia="es-ES"/>
        </w:rPr>
        <w:t xml:space="preserve">70. Para iniciar debe advertirse que, de manera expresa, la </w:t>
      </w:r>
      <w:r w:rsidRPr="00DE7CC4">
        <w:rPr>
          <w:rFonts w:ascii="Times New Roman" w:hAnsi="Times New Roman" w:cs="Times New Roman"/>
          <w:i/>
          <w:iCs/>
          <w:color w:val="000000" w:themeColor="text1"/>
          <w:sz w:val="28"/>
          <w:bdr w:val="none" w:sz="0" w:space="0" w:color="auto" w:frame="1"/>
          <w:lang w:val="es-ES_tradnl" w:eastAsia="es-ES"/>
        </w:rPr>
        <w:t xml:space="preserve">Nación - Ministerio de Transporte </w:t>
      </w:r>
      <w:r w:rsidRPr="00DE7CC4">
        <w:rPr>
          <w:rFonts w:ascii="Times New Roman" w:hAnsi="Times New Roman" w:cs="Times New Roman"/>
          <w:color w:val="000000" w:themeColor="text1"/>
          <w:sz w:val="28"/>
          <w:bdr w:val="none" w:sz="0" w:space="0" w:color="auto" w:frame="1"/>
          <w:lang w:val="es-ES_tradnl" w:eastAsia="es-ES"/>
        </w:rPr>
        <w:t>solicitó a la Corte Constitucional emitir una decisión inhibito</w:t>
      </w:r>
      <w:r w:rsidRPr="00DE7CC4">
        <w:rPr>
          <w:rFonts w:ascii="Times New Roman" w:hAnsi="Times New Roman" w:cs="Times New Roman"/>
          <w:color w:val="000000" w:themeColor="text1"/>
          <w:sz w:val="28"/>
          <w:bdr w:val="none" w:sz="0" w:space="0" w:color="auto" w:frame="1"/>
          <w:lang w:val="es-ES_tradnl" w:eastAsia="es-ES"/>
        </w:rPr>
        <w:t>ria por la ineptitud de la demanda. Para el efecto, tras citar adecuadamente los requisitos precisados por la jurisprudencia constitucional sobre la materia, los argumentos expuestos para acompañar esta petición se remiten a indicar que los cargos se funda</w:t>
      </w:r>
      <w:r w:rsidRPr="00DE7CC4">
        <w:rPr>
          <w:rFonts w:ascii="Times New Roman" w:hAnsi="Times New Roman" w:cs="Times New Roman"/>
          <w:color w:val="000000" w:themeColor="text1"/>
          <w:sz w:val="28"/>
          <w:bdr w:val="none" w:sz="0" w:space="0" w:color="auto" w:frame="1"/>
          <w:lang w:val="es-ES_tradnl" w:eastAsia="es-ES"/>
        </w:rPr>
        <w:t>n en “consideraciones propias” y que “sus argumentos jurídicos [de los demandantes] no son lo suficientemente sólidos ni se soportan sobre los principios constitucionales o jurisprudenciales que demuestren que el legislador se encuentre vulnerando”.</w:t>
      </w:r>
    </w:p>
    <w:p w:rsidR="00F32ED8" w:rsidRPr="00DE7CC4" w:rsidRDefault="00DE7CC4" w:rsidP="00F32ED8">
      <w:pPr>
        <w:jc w:val="both"/>
        <w:rPr>
          <w:rFonts w:ascii="Times New Roman" w:hAnsi="Times New Roman" w:cs="Times New Roman"/>
          <w:color w:val="000000" w:themeColor="text1"/>
          <w:sz w:val="28"/>
          <w:bdr w:val="none" w:sz="0" w:space="0" w:color="auto" w:frame="1"/>
          <w:lang w:val="es-ES_tradnl" w:eastAsia="es-ES"/>
        </w:rPr>
      </w:pPr>
    </w:p>
    <w:p w:rsidR="00F32ED8" w:rsidRPr="00DE7CC4" w:rsidRDefault="00DE7CC4" w:rsidP="00F32ED8">
      <w:pPr>
        <w:jc w:val="both"/>
        <w:rPr>
          <w:rFonts w:ascii="Times New Roman" w:hAnsi="Times New Roman" w:cs="Times New Roman"/>
          <w:color w:val="000000" w:themeColor="text1"/>
          <w:sz w:val="28"/>
          <w:shd w:val="clear" w:color="auto" w:fill="FFFFFF"/>
          <w:lang w:val="es-ES_tradnl"/>
        </w:rPr>
      </w:pPr>
      <w:r w:rsidRPr="00DE7CC4">
        <w:rPr>
          <w:rFonts w:ascii="Times New Roman" w:hAnsi="Times New Roman" w:cs="Times New Roman"/>
          <w:color w:val="000000" w:themeColor="text1"/>
          <w:sz w:val="28"/>
          <w:bdr w:val="none" w:sz="0" w:space="0" w:color="auto" w:frame="1"/>
          <w:lang w:val="es-ES_tradnl" w:eastAsia="es-ES"/>
        </w:rPr>
        <w:t xml:space="preserve">71. </w:t>
      </w:r>
      <w:r w:rsidRPr="00DE7CC4">
        <w:rPr>
          <w:rFonts w:ascii="Times New Roman" w:hAnsi="Times New Roman" w:cs="Times New Roman"/>
          <w:color w:val="000000" w:themeColor="text1"/>
          <w:sz w:val="28"/>
          <w:bdr w:val="none" w:sz="0" w:space="0" w:color="auto" w:frame="1"/>
          <w:lang w:val="es-ES_tradnl" w:eastAsia="es-ES"/>
        </w:rPr>
        <w:t>Al respecto, en la Sentencia C-100 de 2022</w:t>
      </w:r>
      <w:r w:rsidRPr="00DE7CC4">
        <w:rPr>
          <w:rStyle w:val="Refdenotaalpie"/>
          <w:rFonts w:ascii="Times New Roman" w:hAnsi="Times New Roman"/>
          <w:color w:val="000000" w:themeColor="text1"/>
          <w:sz w:val="28"/>
          <w:bdr w:val="none" w:sz="0" w:space="0" w:color="auto" w:frame="1"/>
          <w:lang w:val="es-ES_tradnl" w:eastAsia="es-ES"/>
        </w:rPr>
        <w:footnoteReference w:id="101"/>
      </w:r>
      <w:r w:rsidRPr="00DE7CC4">
        <w:rPr>
          <w:rFonts w:ascii="Times New Roman" w:hAnsi="Times New Roman" w:cs="Times New Roman"/>
          <w:color w:val="000000" w:themeColor="text1"/>
          <w:sz w:val="28"/>
          <w:bdr w:val="none" w:sz="0" w:space="0" w:color="auto" w:frame="1"/>
          <w:lang w:val="es-ES_tradnl" w:eastAsia="es-ES"/>
        </w:rPr>
        <w:t xml:space="preserve"> esta Corporación indicó que a la solicitud de inhibición presentada por los intervinientes debía acompañarse “</w:t>
      </w:r>
      <w:r w:rsidRPr="00DE7CC4">
        <w:rPr>
          <w:rFonts w:ascii="Times New Roman" w:hAnsi="Times New Roman" w:cs="Times New Roman"/>
          <w:i/>
          <w:iCs/>
          <w:color w:val="000000" w:themeColor="text1"/>
          <w:sz w:val="28"/>
          <w:shd w:val="clear" w:color="auto" w:fill="FFFFFF"/>
          <w:lang w:val="es-ES_tradnl"/>
        </w:rPr>
        <w:t>un análisis mínimo que permita colegir las razones del incumplimiento de cada uno de los requisitos de</w:t>
      </w:r>
      <w:r w:rsidRPr="00DE7CC4">
        <w:rPr>
          <w:rFonts w:ascii="Times New Roman" w:hAnsi="Times New Roman" w:cs="Times New Roman"/>
          <w:i/>
          <w:iCs/>
          <w:color w:val="000000" w:themeColor="text1"/>
          <w:sz w:val="28"/>
          <w:shd w:val="clear" w:color="auto" w:fill="FFFFFF"/>
          <w:lang w:val="es-ES_tradnl"/>
        </w:rPr>
        <w:t xml:space="preserve"> la carga argumentativa”</w:t>
      </w:r>
      <w:r w:rsidRPr="00DE7CC4">
        <w:rPr>
          <w:rFonts w:ascii="Times New Roman" w:hAnsi="Times New Roman" w:cs="Times New Roman"/>
          <w:color w:val="000000" w:themeColor="text1"/>
          <w:sz w:val="28"/>
          <w:shd w:val="clear" w:color="auto" w:fill="FFFFFF"/>
          <w:lang w:val="es-ES_tradnl"/>
        </w:rPr>
        <w:t>, porque, de lo contrario y de no observar razones adicionales para volver sobre este aspecto, el estudio de aptitud se remitía a aquél efectuado en el auto admisorio de la demanda. A partir de esta regla, encuentra la Sala Plena qu</w:t>
      </w:r>
      <w:r w:rsidRPr="00DE7CC4">
        <w:rPr>
          <w:rFonts w:ascii="Times New Roman" w:hAnsi="Times New Roman" w:cs="Times New Roman"/>
          <w:color w:val="000000" w:themeColor="text1"/>
          <w:sz w:val="28"/>
          <w:shd w:val="clear" w:color="auto" w:fill="FFFFFF"/>
          <w:lang w:val="es-ES_tradnl"/>
        </w:rPr>
        <w:t xml:space="preserve">e en esta ocasión los reparos realizados por el Ministerio de Transporte son vagos y generales, esto es, el Ministerio ni siquiera desplegó un esfuerzo argumentativo dirigido a evidenciar por qué cada uno de los cargos, con sus especificidades y enfoques, </w:t>
      </w:r>
      <w:r w:rsidRPr="00DE7CC4">
        <w:rPr>
          <w:rFonts w:ascii="Times New Roman" w:hAnsi="Times New Roman" w:cs="Times New Roman"/>
          <w:color w:val="000000" w:themeColor="text1"/>
          <w:sz w:val="28"/>
          <w:shd w:val="clear" w:color="auto" w:fill="FFFFFF"/>
          <w:lang w:val="es-ES_tradnl"/>
        </w:rPr>
        <w:t xml:space="preserve">no cumplían con los requisitos exigidos, por lo cual, sus afirmaciones en este preciso aspecto no contribuyen al estudio que ahora se plantea. </w:t>
      </w:r>
    </w:p>
    <w:p w:rsidR="00F32ED8" w:rsidRPr="00DE7CC4" w:rsidRDefault="00DE7CC4" w:rsidP="00F32ED8">
      <w:pPr>
        <w:jc w:val="both"/>
        <w:rPr>
          <w:rFonts w:ascii="Times New Roman" w:hAnsi="Times New Roman" w:cs="Times New Roman"/>
          <w:color w:val="000000" w:themeColor="text1"/>
          <w:sz w:val="28"/>
          <w:shd w:val="clear" w:color="auto" w:fill="FFFFFF"/>
          <w:lang w:val="es-ES_tradnl"/>
        </w:rPr>
      </w:pPr>
    </w:p>
    <w:p w:rsidR="00F32ED8" w:rsidRPr="00DE7CC4" w:rsidRDefault="00DE7CC4" w:rsidP="00F32ED8">
      <w:pPr>
        <w:jc w:val="both"/>
        <w:rPr>
          <w:rFonts w:ascii="Times New Roman" w:hAnsi="Times New Roman" w:cs="Times New Roman"/>
          <w:color w:val="000000" w:themeColor="text1"/>
          <w:sz w:val="28"/>
          <w:shd w:val="clear" w:color="auto" w:fill="FFFFFF"/>
          <w:lang w:val="es-ES_tradnl"/>
        </w:rPr>
      </w:pPr>
      <w:r w:rsidRPr="00DE7CC4">
        <w:rPr>
          <w:rFonts w:ascii="Times New Roman" w:hAnsi="Times New Roman" w:cs="Times New Roman"/>
          <w:color w:val="000000" w:themeColor="text1"/>
          <w:sz w:val="28"/>
          <w:shd w:val="clear" w:color="auto" w:fill="FFFFFF"/>
          <w:lang w:val="es-ES_tradnl"/>
        </w:rPr>
        <w:t>72. Con todo, a partir de las intervenciones allegadas al proceso y, en esta medida, contando con mayores eleme</w:t>
      </w:r>
      <w:r w:rsidRPr="00DE7CC4">
        <w:rPr>
          <w:rFonts w:ascii="Times New Roman" w:hAnsi="Times New Roman" w:cs="Times New Roman"/>
          <w:color w:val="000000" w:themeColor="text1"/>
          <w:sz w:val="28"/>
          <w:shd w:val="clear" w:color="auto" w:fill="FFFFFF"/>
          <w:lang w:val="es-ES_tradnl"/>
        </w:rPr>
        <w:t xml:space="preserve">ntos de juicio, es necesario asumir un estudio más detallado sobre la aptitud sustantiva, particularmente, de los últimos tres cargos de la demanda. </w:t>
      </w:r>
    </w:p>
    <w:p w:rsidR="00F32ED8" w:rsidRPr="00DE7CC4" w:rsidRDefault="00DE7CC4" w:rsidP="00F32ED8">
      <w:pPr>
        <w:jc w:val="both"/>
        <w:rPr>
          <w:rFonts w:ascii="Times New Roman" w:hAnsi="Times New Roman" w:cs="Times New Roman"/>
          <w:color w:val="000000" w:themeColor="text1"/>
          <w:sz w:val="28"/>
          <w:shd w:val="clear" w:color="auto" w:fill="FFFFFF"/>
          <w:lang w:val="es-ES_tradnl"/>
        </w:rPr>
      </w:pPr>
    </w:p>
    <w:p w:rsidR="00F32ED8" w:rsidRPr="00DE7CC4" w:rsidRDefault="00DE7CC4" w:rsidP="00F32ED8">
      <w:pPr>
        <w:jc w:val="both"/>
        <w:rPr>
          <w:rFonts w:ascii="Times New Roman" w:hAnsi="Times New Roman" w:cs="Times New Roman"/>
          <w:color w:val="000000" w:themeColor="text1"/>
          <w:sz w:val="28"/>
          <w:shd w:val="clear" w:color="auto" w:fill="FFFFFF"/>
          <w:lang w:val="es-ES_tradnl"/>
        </w:rPr>
      </w:pPr>
      <w:r w:rsidRPr="00DE7CC4">
        <w:rPr>
          <w:rFonts w:ascii="Times New Roman" w:hAnsi="Times New Roman" w:cs="Times New Roman"/>
          <w:color w:val="000000" w:themeColor="text1"/>
          <w:sz w:val="28"/>
          <w:shd w:val="clear" w:color="auto" w:fill="FFFFFF"/>
          <w:lang w:val="es-ES_tradnl"/>
        </w:rPr>
        <w:t xml:space="preserve">73. Antes de ello, de manera sintética y remitiéndose para el efecto a la admisión realizada en la etapa </w:t>
      </w:r>
      <w:r w:rsidRPr="00DE7CC4">
        <w:rPr>
          <w:rFonts w:ascii="Times New Roman" w:hAnsi="Times New Roman" w:cs="Times New Roman"/>
          <w:color w:val="000000" w:themeColor="text1"/>
          <w:sz w:val="28"/>
          <w:shd w:val="clear" w:color="auto" w:fill="FFFFFF"/>
          <w:lang w:val="es-ES_tradnl"/>
        </w:rPr>
        <w:t xml:space="preserve">procesal respectiva, se debe afirmar que el </w:t>
      </w:r>
      <w:r w:rsidRPr="00DE7CC4">
        <w:rPr>
          <w:rFonts w:ascii="Times New Roman" w:hAnsi="Times New Roman" w:cs="Times New Roman"/>
          <w:i/>
          <w:iCs/>
          <w:color w:val="000000" w:themeColor="text1"/>
          <w:sz w:val="28"/>
          <w:shd w:val="clear" w:color="auto" w:fill="FFFFFF"/>
          <w:lang w:val="es-ES_tradnl"/>
        </w:rPr>
        <w:t>primer cargo</w:t>
      </w:r>
      <w:r w:rsidRPr="00DE7CC4">
        <w:rPr>
          <w:rFonts w:ascii="Times New Roman" w:hAnsi="Times New Roman" w:cs="Times New Roman"/>
          <w:color w:val="000000" w:themeColor="text1"/>
          <w:sz w:val="28"/>
          <w:shd w:val="clear" w:color="auto" w:fill="FFFFFF"/>
          <w:lang w:val="es-ES_tradnl"/>
        </w:rPr>
        <w:t>, fundado en los artículos 2 y 58 superiores</w:t>
      </w:r>
      <w:r w:rsidRPr="00DE7CC4">
        <w:rPr>
          <w:rFonts w:ascii="Times New Roman" w:hAnsi="Times New Roman" w:cs="Times New Roman"/>
          <w:color w:val="000000" w:themeColor="text1"/>
          <w:sz w:val="28"/>
          <w:shd w:val="clear" w:color="auto" w:fill="FFFFFF"/>
          <w:lang w:val="es-ES_tradnl"/>
        </w:rPr>
        <w:t>,</w:t>
      </w:r>
      <w:r w:rsidRPr="00DE7CC4">
        <w:rPr>
          <w:rFonts w:ascii="Times New Roman" w:hAnsi="Times New Roman" w:cs="Times New Roman"/>
          <w:color w:val="000000" w:themeColor="text1"/>
          <w:sz w:val="28"/>
          <w:shd w:val="clear" w:color="auto" w:fill="FFFFFF"/>
          <w:lang w:val="es-ES_tradnl"/>
        </w:rPr>
        <w:t xml:space="preserve"> es apto, en tanto satisface los requisitos de </w:t>
      </w:r>
      <w:r w:rsidRPr="00DE7CC4">
        <w:rPr>
          <w:rFonts w:ascii="Times New Roman" w:hAnsi="Times New Roman" w:cs="Times New Roman"/>
          <w:i/>
          <w:iCs/>
          <w:color w:val="000000" w:themeColor="text1"/>
          <w:sz w:val="28"/>
          <w:shd w:val="clear" w:color="auto" w:fill="FFFFFF"/>
          <w:lang w:val="es-ES_tradnl"/>
        </w:rPr>
        <w:t xml:space="preserve">claridad, certeza, especificidad, pertinencia y suficiencia. </w:t>
      </w:r>
      <w:r w:rsidRPr="00DE7CC4">
        <w:rPr>
          <w:rFonts w:ascii="Times New Roman" w:hAnsi="Times New Roman" w:cs="Times New Roman"/>
          <w:color w:val="000000" w:themeColor="text1"/>
          <w:sz w:val="28"/>
          <w:shd w:val="clear" w:color="auto" w:fill="FFFFFF"/>
          <w:lang w:val="es-ES_tradnl"/>
        </w:rPr>
        <w:t>Los demandantes sostienen que la nueva configur</w:t>
      </w:r>
      <w:r w:rsidRPr="00DE7CC4">
        <w:rPr>
          <w:rFonts w:ascii="Times New Roman" w:hAnsi="Times New Roman" w:cs="Times New Roman"/>
          <w:color w:val="000000" w:themeColor="text1"/>
          <w:sz w:val="28"/>
          <w:shd w:val="clear" w:color="auto" w:fill="FFFFFF"/>
          <w:lang w:val="es-ES_tradnl"/>
        </w:rPr>
        <w:t xml:space="preserve">ación normativa, que traslada a las personas involucradas en un accidente de tránsito con consecuencias exclusivamente materiales </w:t>
      </w:r>
      <w:r w:rsidRPr="00DE7CC4">
        <w:rPr>
          <w:rFonts w:ascii="Times New Roman" w:hAnsi="Times New Roman" w:cs="Times New Roman"/>
          <w:color w:val="000000" w:themeColor="text1"/>
          <w:sz w:val="28"/>
          <w:shd w:val="clear" w:color="auto" w:fill="FFFFFF"/>
          <w:lang w:val="es-ES_tradnl"/>
        </w:rPr>
        <w:t>–</w:t>
      </w:r>
      <w:r w:rsidRPr="00DE7CC4">
        <w:rPr>
          <w:rFonts w:ascii="Times New Roman" w:hAnsi="Times New Roman" w:cs="Times New Roman"/>
          <w:color w:val="000000" w:themeColor="text1"/>
          <w:sz w:val="28"/>
          <w:shd w:val="clear" w:color="auto" w:fill="FFFFFF"/>
          <w:lang w:val="es-ES_tradnl"/>
        </w:rPr>
        <w:t>y a las aseguradoras</w:t>
      </w:r>
      <w:r w:rsidRPr="00DE7CC4">
        <w:rPr>
          <w:rFonts w:ascii="Times New Roman" w:hAnsi="Times New Roman" w:cs="Times New Roman"/>
          <w:color w:val="000000" w:themeColor="text1"/>
          <w:sz w:val="28"/>
          <w:shd w:val="clear" w:color="auto" w:fill="FFFFFF"/>
          <w:lang w:val="es-ES_tradnl"/>
        </w:rPr>
        <w:t>–</w:t>
      </w:r>
      <w:r w:rsidRPr="00DE7CC4">
        <w:rPr>
          <w:rFonts w:ascii="Times New Roman" w:hAnsi="Times New Roman" w:cs="Times New Roman"/>
          <w:color w:val="000000" w:themeColor="text1"/>
          <w:sz w:val="28"/>
          <w:shd w:val="clear" w:color="auto" w:fill="FFFFFF"/>
          <w:lang w:val="es-ES_tradnl"/>
        </w:rPr>
        <w:t xml:space="preserve"> la carga de recaudar pruebas para, posteriormente, obtener la respectiva defensa de sus bienes </w:t>
      </w:r>
      <w:r w:rsidRPr="00DE7CC4">
        <w:rPr>
          <w:rFonts w:ascii="Times New Roman" w:hAnsi="Times New Roman" w:cs="Times New Roman"/>
          <w:color w:val="000000" w:themeColor="text1"/>
          <w:sz w:val="28"/>
          <w:shd w:val="clear" w:color="auto" w:fill="FFFFFF"/>
          <w:lang w:val="es-ES_tradnl"/>
        </w:rPr>
        <w:t>–</w:t>
      </w:r>
      <w:r w:rsidRPr="00DE7CC4">
        <w:rPr>
          <w:rFonts w:ascii="Times New Roman" w:hAnsi="Times New Roman" w:cs="Times New Roman"/>
          <w:color w:val="000000" w:themeColor="text1"/>
          <w:sz w:val="28"/>
          <w:shd w:val="clear" w:color="auto" w:fill="FFFFFF"/>
          <w:lang w:val="es-ES_tradnl"/>
        </w:rPr>
        <w:t>a travé</w:t>
      </w:r>
      <w:r w:rsidRPr="00DE7CC4">
        <w:rPr>
          <w:rFonts w:ascii="Times New Roman" w:hAnsi="Times New Roman" w:cs="Times New Roman"/>
          <w:color w:val="000000" w:themeColor="text1"/>
          <w:sz w:val="28"/>
          <w:shd w:val="clear" w:color="auto" w:fill="FFFFFF"/>
          <w:lang w:val="es-ES_tradnl"/>
        </w:rPr>
        <w:t>s de afectación de la póliza respectiva por la ocurrencia de un siniestro o del uso de los medios prejudiciales y judiciales para la declaración de la responsabilidad civil extracontractual</w:t>
      </w:r>
      <w:r w:rsidRPr="00DE7CC4">
        <w:rPr>
          <w:rFonts w:ascii="Times New Roman" w:hAnsi="Times New Roman" w:cs="Times New Roman"/>
          <w:color w:val="000000" w:themeColor="text1"/>
          <w:sz w:val="28"/>
          <w:shd w:val="clear" w:color="auto" w:fill="FFFFFF"/>
          <w:lang w:val="es-ES_tradnl"/>
        </w:rPr>
        <w:t>–</w:t>
      </w:r>
      <w:r w:rsidRPr="00DE7CC4">
        <w:rPr>
          <w:rFonts w:ascii="Times New Roman" w:hAnsi="Times New Roman" w:cs="Times New Roman"/>
          <w:color w:val="000000" w:themeColor="text1"/>
          <w:sz w:val="28"/>
          <w:shd w:val="clear" w:color="auto" w:fill="FFFFFF"/>
          <w:lang w:val="es-ES_tradnl"/>
        </w:rPr>
        <w:t xml:space="preserve"> desconoce el deber de protección del Estado respecto de la propie</w:t>
      </w:r>
      <w:r w:rsidRPr="00DE7CC4">
        <w:rPr>
          <w:rFonts w:ascii="Times New Roman" w:hAnsi="Times New Roman" w:cs="Times New Roman"/>
          <w:color w:val="000000" w:themeColor="text1"/>
          <w:sz w:val="28"/>
          <w:shd w:val="clear" w:color="auto" w:fill="FFFFFF"/>
          <w:lang w:val="es-ES_tradnl"/>
        </w:rPr>
        <w:t xml:space="preserve">dad, dado que, omite la intervención de la autoridad de tránsito, quien ante este tipo de casos actuaba para levantar un croquis y llenar el respectivo informe policial de accidente de tránsito. A partir de esta exposición, la Sala Plena encuentra no solo </w:t>
      </w:r>
      <w:r w:rsidRPr="00DE7CC4">
        <w:rPr>
          <w:rFonts w:ascii="Times New Roman" w:hAnsi="Times New Roman" w:cs="Times New Roman"/>
          <w:color w:val="000000" w:themeColor="text1"/>
          <w:sz w:val="28"/>
          <w:shd w:val="clear" w:color="auto" w:fill="FFFFFF"/>
          <w:lang w:val="es-ES_tradnl"/>
        </w:rPr>
        <w:t>que la comprensión de la disposición es adecuada, sino que, con los elementos de juicio aportados y tras el estudio más detallado en este momento procesal de los mandatos normativos comprometidos, se genera una mínima duda de inconstitucionalidad que habil</w:t>
      </w:r>
      <w:r w:rsidRPr="00DE7CC4">
        <w:rPr>
          <w:rFonts w:ascii="Times New Roman" w:hAnsi="Times New Roman" w:cs="Times New Roman"/>
          <w:color w:val="000000" w:themeColor="text1"/>
          <w:sz w:val="28"/>
          <w:shd w:val="clear" w:color="auto" w:fill="FFFFFF"/>
          <w:lang w:val="es-ES_tradnl"/>
        </w:rPr>
        <w:t>ita al estudio de fondo del asunto.</w:t>
      </w:r>
    </w:p>
    <w:p w:rsidR="00F32ED8" w:rsidRPr="00DE7CC4" w:rsidRDefault="00DE7CC4" w:rsidP="00F32ED8">
      <w:pPr>
        <w:jc w:val="both"/>
        <w:rPr>
          <w:rFonts w:ascii="Times New Roman" w:hAnsi="Times New Roman" w:cs="Times New Roman"/>
          <w:color w:val="000000" w:themeColor="text1"/>
          <w:sz w:val="28"/>
          <w:shd w:val="clear" w:color="auto" w:fill="FFFFFF"/>
          <w:lang w:val="es-ES_tradnl"/>
        </w:rPr>
      </w:pPr>
    </w:p>
    <w:p w:rsidR="00F32ED8" w:rsidRPr="00DE7CC4" w:rsidRDefault="00DE7CC4" w:rsidP="00F32ED8">
      <w:pPr>
        <w:jc w:val="both"/>
        <w:rPr>
          <w:rFonts w:ascii="Times New Roman" w:hAnsi="Times New Roman" w:cs="Times New Roman"/>
          <w:color w:val="000000" w:themeColor="text1"/>
          <w:sz w:val="28"/>
          <w:bdr w:val="none" w:sz="0" w:space="0" w:color="auto" w:frame="1"/>
          <w:lang w:val="es-ES_tradnl" w:eastAsia="es-ES"/>
        </w:rPr>
      </w:pPr>
      <w:r w:rsidRPr="00DE7CC4">
        <w:rPr>
          <w:rFonts w:ascii="Times New Roman" w:hAnsi="Times New Roman" w:cs="Times New Roman"/>
          <w:color w:val="000000" w:themeColor="text1"/>
          <w:sz w:val="28"/>
          <w:bdr w:val="none" w:sz="0" w:space="0" w:color="auto" w:frame="1"/>
          <w:lang w:val="es-ES_tradnl" w:eastAsia="es-ES"/>
        </w:rPr>
        <w:t xml:space="preserve">74. El </w:t>
      </w:r>
      <w:r w:rsidRPr="00DE7CC4">
        <w:rPr>
          <w:rFonts w:ascii="Times New Roman" w:hAnsi="Times New Roman" w:cs="Times New Roman"/>
          <w:i/>
          <w:iCs/>
          <w:color w:val="000000" w:themeColor="text1"/>
          <w:sz w:val="28"/>
          <w:bdr w:val="none" w:sz="0" w:space="0" w:color="auto" w:frame="1"/>
          <w:lang w:val="es-ES_tradnl" w:eastAsia="es-ES"/>
        </w:rPr>
        <w:t>cargo segundo</w:t>
      </w:r>
      <w:r w:rsidRPr="00DE7CC4">
        <w:rPr>
          <w:rFonts w:ascii="Times New Roman" w:hAnsi="Times New Roman" w:cs="Times New Roman"/>
          <w:color w:val="000000" w:themeColor="text1"/>
          <w:sz w:val="28"/>
          <w:bdr w:val="none" w:sz="0" w:space="0" w:color="auto" w:frame="1"/>
          <w:lang w:val="es-ES_tradnl" w:eastAsia="es-ES"/>
        </w:rPr>
        <w:t xml:space="preserve"> de la demanda se dirige a dar cuenta de la vulneración de los artículos 58 y 60 de la Constitución y 21 de la Convención Americana sobre Derechos Humanos, por la presunta lesión del principio de no </w:t>
      </w:r>
      <w:r w:rsidRPr="00DE7CC4">
        <w:rPr>
          <w:rFonts w:ascii="Times New Roman" w:hAnsi="Times New Roman" w:cs="Times New Roman"/>
          <w:color w:val="000000" w:themeColor="text1"/>
          <w:sz w:val="28"/>
          <w:bdr w:val="none" w:sz="0" w:space="0" w:color="auto" w:frame="1"/>
          <w:lang w:val="es-ES_tradnl" w:eastAsia="es-ES"/>
        </w:rPr>
        <w:t xml:space="preserve">regresividad </w:t>
      </w:r>
      <w:r w:rsidRPr="00DE7CC4">
        <w:rPr>
          <w:rFonts w:ascii="Times New Roman" w:hAnsi="Times New Roman" w:cs="Times New Roman"/>
          <w:color w:val="000000" w:themeColor="text1"/>
          <w:sz w:val="28"/>
          <w:bdr w:val="none" w:sz="0" w:space="0" w:color="auto" w:frame="1"/>
          <w:lang w:val="es-ES_tradnl" w:eastAsia="es-ES"/>
        </w:rPr>
        <w:t xml:space="preserve">que, indican los accionantes, es </w:t>
      </w:r>
      <w:r w:rsidRPr="00DE7CC4">
        <w:rPr>
          <w:rFonts w:ascii="Times New Roman" w:hAnsi="Times New Roman" w:cs="Times New Roman"/>
          <w:color w:val="000000" w:themeColor="text1"/>
          <w:sz w:val="28"/>
          <w:bdr w:val="none" w:sz="0" w:space="0" w:color="auto" w:frame="1"/>
          <w:lang w:val="es-ES_tradnl" w:eastAsia="es-ES"/>
        </w:rPr>
        <w:t xml:space="preserve">predicable </w:t>
      </w:r>
      <w:r w:rsidRPr="00DE7CC4">
        <w:rPr>
          <w:rFonts w:ascii="Times New Roman" w:hAnsi="Times New Roman" w:cs="Times New Roman"/>
          <w:color w:val="000000" w:themeColor="text1"/>
          <w:sz w:val="28"/>
          <w:bdr w:val="none" w:sz="0" w:space="0" w:color="auto" w:frame="1"/>
          <w:lang w:val="es-ES_tradnl" w:eastAsia="es-ES"/>
        </w:rPr>
        <w:t xml:space="preserve">de </w:t>
      </w:r>
      <w:r w:rsidRPr="00DE7CC4">
        <w:rPr>
          <w:rFonts w:ascii="Times New Roman" w:hAnsi="Times New Roman" w:cs="Times New Roman"/>
          <w:color w:val="000000" w:themeColor="text1"/>
          <w:sz w:val="28"/>
          <w:bdr w:val="none" w:sz="0" w:space="0" w:color="auto" w:frame="1"/>
          <w:lang w:val="es-ES_tradnl" w:eastAsia="es-ES"/>
        </w:rPr>
        <w:t>las facetas prestacionales de la propiedad</w:t>
      </w:r>
      <w:r w:rsidRPr="00DE7CC4">
        <w:rPr>
          <w:rFonts w:ascii="Times New Roman" w:hAnsi="Times New Roman" w:cs="Times New Roman"/>
          <w:color w:val="000000" w:themeColor="text1"/>
          <w:sz w:val="28"/>
          <w:bdr w:val="none" w:sz="0" w:space="0" w:color="auto" w:frame="1"/>
          <w:lang w:val="es-ES_tradnl" w:eastAsia="es-ES"/>
        </w:rPr>
        <w:t xml:space="preserve">. En particular, en el escrito de corrección los demandantes indicaron que (i) la propiedad es un derecho de contenido económico, por lo cual, el Estado ha promovido medidas para amparar el </w:t>
      </w:r>
      <w:r w:rsidRPr="00DE7CC4">
        <w:rPr>
          <w:rFonts w:ascii="Times New Roman" w:hAnsi="Times New Roman" w:cs="Times New Roman"/>
          <w:i/>
          <w:iCs/>
          <w:color w:val="000000" w:themeColor="text1"/>
          <w:sz w:val="28"/>
          <w:bdr w:val="none" w:sz="0" w:space="0" w:color="auto" w:frame="1"/>
          <w:lang w:val="es-ES_tradnl" w:eastAsia="es-ES"/>
        </w:rPr>
        <w:t xml:space="preserve">acceso </w:t>
      </w:r>
      <w:r w:rsidRPr="00DE7CC4">
        <w:rPr>
          <w:rFonts w:ascii="Times New Roman" w:hAnsi="Times New Roman" w:cs="Times New Roman"/>
          <w:color w:val="000000" w:themeColor="text1"/>
          <w:sz w:val="28"/>
          <w:bdr w:val="none" w:sz="0" w:space="0" w:color="auto" w:frame="1"/>
          <w:lang w:val="es-ES_tradnl" w:eastAsia="es-ES"/>
        </w:rPr>
        <w:t>a la misma; sin embargo, (ii) “al momento de reiterar dicha</w:t>
      </w:r>
      <w:r w:rsidRPr="00DE7CC4">
        <w:rPr>
          <w:rFonts w:ascii="Times New Roman" w:hAnsi="Times New Roman" w:cs="Times New Roman"/>
          <w:color w:val="000000" w:themeColor="text1"/>
          <w:sz w:val="28"/>
          <w:bdr w:val="none" w:sz="0" w:space="0" w:color="auto" w:frame="1"/>
          <w:lang w:val="es-ES_tradnl" w:eastAsia="es-ES"/>
        </w:rPr>
        <w:t>s medidas, tal y como ocurre con la norma demandada, se traduce en un retroceso”</w:t>
      </w:r>
      <w:r w:rsidRPr="00DE7CC4">
        <w:rPr>
          <w:rStyle w:val="Refdenotaalpie"/>
          <w:rFonts w:ascii="Times New Roman" w:hAnsi="Times New Roman"/>
          <w:color w:val="000000" w:themeColor="text1"/>
          <w:sz w:val="28"/>
          <w:bdr w:val="none" w:sz="0" w:space="0" w:color="auto" w:frame="1"/>
          <w:lang w:val="es-ES_tradnl" w:eastAsia="es-ES"/>
        </w:rPr>
        <w:footnoteReference w:id="102"/>
      </w:r>
      <w:r w:rsidRPr="00DE7CC4">
        <w:rPr>
          <w:rFonts w:ascii="Times New Roman" w:hAnsi="Times New Roman" w:cs="Times New Roman"/>
          <w:color w:val="000000" w:themeColor="text1"/>
          <w:sz w:val="28"/>
          <w:bdr w:val="none" w:sz="0" w:space="0" w:color="auto" w:frame="1"/>
          <w:lang w:val="es-ES_tradnl" w:eastAsia="es-ES"/>
        </w:rPr>
        <w:t>. En particular, agregaron, (iii) antes de emitirse la disposición demandada, “el Estado, también en el caso de los accidentes de ´solo latas´ estaba obligado por la ley a emp</w:t>
      </w:r>
      <w:r w:rsidRPr="00DE7CC4">
        <w:rPr>
          <w:rFonts w:ascii="Times New Roman" w:hAnsi="Times New Roman" w:cs="Times New Roman"/>
          <w:color w:val="000000" w:themeColor="text1"/>
          <w:sz w:val="28"/>
          <w:bdr w:val="none" w:sz="0" w:space="0" w:color="auto" w:frame="1"/>
          <w:lang w:val="es-ES_tradnl" w:eastAsia="es-ES"/>
        </w:rPr>
        <w:t>render acciones (faceta prestacional) en pos de la protección de la propiedad de los ciudadanos representada en su vehículo” y, ahora, “el legislador ha sustraído del goce de los ciudadanos dichas acciones de la autoridad de tránsito, ha disminuido accione</w:t>
      </w:r>
      <w:r w:rsidRPr="00DE7CC4">
        <w:rPr>
          <w:rFonts w:ascii="Times New Roman" w:hAnsi="Times New Roman" w:cs="Times New Roman"/>
          <w:color w:val="000000" w:themeColor="text1"/>
          <w:sz w:val="28"/>
          <w:bdr w:val="none" w:sz="0" w:space="0" w:color="auto" w:frame="1"/>
          <w:lang w:val="es-ES_tradnl" w:eastAsia="es-ES"/>
        </w:rPr>
        <w:t>s tendientes a la protección de la propiedad representada en los vehículos”</w:t>
      </w:r>
      <w:r w:rsidRPr="00DE7CC4">
        <w:rPr>
          <w:rStyle w:val="Refdenotaalpie"/>
          <w:rFonts w:ascii="Times New Roman" w:hAnsi="Times New Roman"/>
          <w:color w:val="000000" w:themeColor="text1"/>
          <w:sz w:val="28"/>
          <w:bdr w:val="none" w:sz="0" w:space="0" w:color="auto" w:frame="1"/>
          <w:lang w:val="es-ES_tradnl" w:eastAsia="es-ES"/>
        </w:rPr>
        <w:footnoteReference w:id="103"/>
      </w:r>
      <w:r w:rsidRPr="00DE7CC4">
        <w:rPr>
          <w:rFonts w:ascii="Times New Roman" w:hAnsi="Times New Roman" w:cs="Times New Roman"/>
          <w:color w:val="000000" w:themeColor="text1"/>
          <w:sz w:val="28"/>
          <w:bdr w:val="none" w:sz="0" w:space="0" w:color="auto" w:frame="1"/>
          <w:lang w:val="es-ES_tradnl" w:eastAsia="es-ES"/>
        </w:rPr>
        <w:t xml:space="preserve">. </w:t>
      </w:r>
    </w:p>
    <w:p w:rsidR="00F32ED8" w:rsidRPr="00DE7CC4" w:rsidRDefault="00DE7CC4" w:rsidP="00F32ED8">
      <w:pPr>
        <w:jc w:val="both"/>
        <w:rPr>
          <w:rFonts w:ascii="Times New Roman" w:hAnsi="Times New Roman" w:cs="Times New Roman"/>
          <w:color w:val="000000" w:themeColor="text1"/>
          <w:sz w:val="28"/>
          <w:bdr w:val="none" w:sz="0" w:space="0" w:color="auto" w:frame="1"/>
          <w:lang w:val="es-ES_tradnl" w:eastAsia="es-ES"/>
        </w:rPr>
      </w:pPr>
    </w:p>
    <w:p w:rsidR="00F32ED8" w:rsidRPr="00DE7CC4" w:rsidRDefault="00DE7CC4" w:rsidP="00F32ED8">
      <w:pPr>
        <w:jc w:val="both"/>
        <w:rPr>
          <w:rFonts w:ascii="Times New Roman" w:hAnsi="Times New Roman" w:cs="Times New Roman"/>
          <w:color w:val="000000" w:themeColor="text1"/>
          <w:sz w:val="28"/>
          <w:bdr w:val="none" w:sz="0" w:space="0" w:color="auto" w:frame="1"/>
          <w:lang w:val="es-ES_tradnl" w:eastAsia="es-ES"/>
        </w:rPr>
      </w:pPr>
      <w:r w:rsidRPr="00DE7CC4">
        <w:rPr>
          <w:rFonts w:ascii="Times New Roman" w:hAnsi="Times New Roman" w:cs="Times New Roman"/>
          <w:color w:val="000000" w:themeColor="text1"/>
          <w:sz w:val="28"/>
          <w:bdr w:val="none" w:sz="0" w:space="0" w:color="auto" w:frame="1"/>
          <w:lang w:val="es-ES_tradnl" w:eastAsia="es-ES"/>
        </w:rPr>
        <w:t>75. Sobre este cargo, las posturas de las intervenciones que hicieron alguna mención específica</w:t>
      </w:r>
      <w:r w:rsidRPr="00DE7CC4">
        <w:rPr>
          <w:rStyle w:val="Refdenotaalpie"/>
          <w:rFonts w:ascii="Times New Roman" w:hAnsi="Times New Roman"/>
          <w:color w:val="000000" w:themeColor="text1"/>
          <w:sz w:val="28"/>
          <w:bdr w:val="none" w:sz="0" w:space="0" w:color="auto" w:frame="1"/>
          <w:lang w:val="es-ES_tradnl" w:eastAsia="es-ES"/>
        </w:rPr>
        <w:footnoteReference w:id="104"/>
      </w:r>
      <w:r w:rsidRPr="00DE7CC4">
        <w:rPr>
          <w:rFonts w:ascii="Times New Roman" w:hAnsi="Times New Roman" w:cs="Times New Roman"/>
          <w:color w:val="000000" w:themeColor="text1"/>
          <w:sz w:val="28"/>
          <w:bdr w:val="none" w:sz="0" w:space="0" w:color="auto" w:frame="1"/>
          <w:lang w:val="es-ES_tradnl" w:eastAsia="es-ES"/>
        </w:rPr>
        <w:t>, se sintetizan en, de un lado, oponerse a la prosperidad del cargo porque, como</w:t>
      </w:r>
      <w:r w:rsidRPr="00DE7CC4">
        <w:rPr>
          <w:rFonts w:ascii="Times New Roman" w:hAnsi="Times New Roman" w:cs="Times New Roman"/>
          <w:color w:val="000000" w:themeColor="text1"/>
          <w:sz w:val="28"/>
          <w:bdr w:val="none" w:sz="0" w:space="0" w:color="auto" w:frame="1"/>
          <w:lang w:val="es-ES_tradnl" w:eastAsia="es-ES"/>
        </w:rPr>
        <w:t xml:space="preserve"> indicó el Ministerio de Transporte, lo único que hace la disposición demandada es configurar la absoluta libertad en el recaudo probatorio en accidentes de tránsito con daños </w:t>
      </w:r>
      <w:r w:rsidRPr="00DE7CC4">
        <w:rPr>
          <w:rFonts w:ascii="Times New Roman" w:hAnsi="Times New Roman" w:cs="Times New Roman"/>
          <w:color w:val="000000" w:themeColor="text1"/>
          <w:sz w:val="28"/>
          <w:bdr w:val="none" w:sz="0" w:space="0" w:color="auto" w:frame="1"/>
          <w:lang w:val="es-ES_tradnl" w:eastAsia="es-ES"/>
        </w:rPr>
        <w:t>–</w:t>
      </w:r>
      <w:r w:rsidRPr="00DE7CC4">
        <w:rPr>
          <w:rFonts w:ascii="Times New Roman" w:hAnsi="Times New Roman" w:cs="Times New Roman"/>
          <w:color w:val="000000" w:themeColor="text1"/>
          <w:sz w:val="28"/>
          <w:bdr w:val="none" w:sz="0" w:space="0" w:color="auto" w:frame="1"/>
          <w:lang w:val="es-ES_tradnl" w:eastAsia="es-ES"/>
        </w:rPr>
        <w:t>exclusivamente</w:t>
      </w:r>
      <w:r w:rsidRPr="00DE7CC4">
        <w:rPr>
          <w:rFonts w:ascii="Times New Roman" w:hAnsi="Times New Roman" w:cs="Times New Roman"/>
          <w:color w:val="000000" w:themeColor="text1"/>
          <w:sz w:val="28"/>
          <w:bdr w:val="none" w:sz="0" w:space="0" w:color="auto" w:frame="1"/>
          <w:lang w:val="es-ES_tradnl" w:eastAsia="es-ES"/>
        </w:rPr>
        <w:t>–</w:t>
      </w:r>
      <w:r w:rsidRPr="00DE7CC4">
        <w:rPr>
          <w:rFonts w:ascii="Times New Roman" w:hAnsi="Times New Roman" w:cs="Times New Roman"/>
          <w:color w:val="000000" w:themeColor="text1"/>
          <w:sz w:val="28"/>
          <w:bdr w:val="none" w:sz="0" w:space="0" w:color="auto" w:frame="1"/>
          <w:lang w:val="es-ES_tradnl" w:eastAsia="es-ES"/>
        </w:rPr>
        <w:t xml:space="preserve"> materiales; y, de otro lado, acompañar la petición de inexequib</w:t>
      </w:r>
      <w:r w:rsidRPr="00DE7CC4">
        <w:rPr>
          <w:rFonts w:ascii="Times New Roman" w:hAnsi="Times New Roman" w:cs="Times New Roman"/>
          <w:color w:val="000000" w:themeColor="text1"/>
          <w:sz w:val="28"/>
          <w:bdr w:val="none" w:sz="0" w:space="0" w:color="auto" w:frame="1"/>
          <w:lang w:val="es-ES_tradnl" w:eastAsia="es-ES"/>
        </w:rPr>
        <w:t xml:space="preserve">ilidad porque el nuevo enunciado </w:t>
      </w:r>
      <w:r w:rsidRPr="00DE7CC4">
        <w:rPr>
          <w:rFonts w:ascii="Times New Roman" w:hAnsi="Times New Roman" w:cs="Times New Roman"/>
          <w:color w:val="000000" w:themeColor="text1"/>
          <w:sz w:val="28"/>
        </w:rPr>
        <w:t>“empeora las condiciones existentes de protección de las personas afectadas por el acaecimiento de siniestros viales que involucren solamente daños materiales”</w:t>
      </w:r>
      <w:r w:rsidRPr="00DE7CC4">
        <w:rPr>
          <w:rStyle w:val="Refdenotaalpie"/>
          <w:rFonts w:ascii="Times New Roman" w:hAnsi="Times New Roman"/>
          <w:color w:val="000000" w:themeColor="text1"/>
          <w:sz w:val="28"/>
        </w:rPr>
        <w:footnoteReference w:id="105"/>
      </w:r>
      <w:r w:rsidRPr="00DE7CC4">
        <w:rPr>
          <w:rFonts w:ascii="Times New Roman" w:hAnsi="Times New Roman" w:cs="Times New Roman"/>
          <w:color w:val="000000" w:themeColor="text1"/>
          <w:sz w:val="28"/>
        </w:rPr>
        <w:t>.</w:t>
      </w:r>
    </w:p>
    <w:p w:rsidR="00F32ED8" w:rsidRPr="00DE7CC4" w:rsidRDefault="00DE7CC4" w:rsidP="00F32ED8">
      <w:pPr>
        <w:jc w:val="both"/>
        <w:rPr>
          <w:rFonts w:ascii="Times New Roman" w:hAnsi="Times New Roman" w:cs="Times New Roman"/>
          <w:color w:val="000000" w:themeColor="text1"/>
          <w:sz w:val="28"/>
          <w:bdr w:val="none" w:sz="0" w:space="0" w:color="auto" w:frame="1"/>
          <w:lang w:val="es-ES_tradnl" w:eastAsia="es-ES"/>
        </w:rPr>
      </w:pPr>
    </w:p>
    <w:p w:rsidR="00F32ED8" w:rsidRPr="00DE7CC4" w:rsidRDefault="00DE7CC4" w:rsidP="00F32ED8">
      <w:pPr>
        <w:jc w:val="both"/>
        <w:rPr>
          <w:rFonts w:ascii="Times New Roman" w:hAnsi="Times New Roman" w:cs="Times New Roman"/>
          <w:color w:val="000000" w:themeColor="text1"/>
          <w:sz w:val="28"/>
          <w:bdr w:val="none" w:sz="0" w:space="0" w:color="auto" w:frame="1"/>
          <w:lang w:val="es-ES_tradnl" w:eastAsia="es-ES"/>
        </w:rPr>
      </w:pPr>
      <w:r w:rsidRPr="00DE7CC4">
        <w:rPr>
          <w:rFonts w:ascii="Times New Roman" w:hAnsi="Times New Roman" w:cs="Times New Roman"/>
          <w:color w:val="000000" w:themeColor="text1"/>
          <w:sz w:val="28"/>
          <w:bdr w:val="none" w:sz="0" w:space="0" w:color="auto" w:frame="1"/>
          <w:lang w:val="es-ES_tradnl" w:eastAsia="es-ES"/>
        </w:rPr>
        <w:t xml:space="preserve">76. El principio de progresividad encuentra </w:t>
      </w:r>
      <w:r w:rsidRPr="00DE7CC4">
        <w:rPr>
          <w:rFonts w:ascii="Times New Roman" w:hAnsi="Times New Roman" w:cs="Times New Roman"/>
          <w:color w:val="000000" w:themeColor="text1"/>
          <w:sz w:val="28"/>
          <w:bdr w:val="none" w:sz="0" w:space="0" w:color="auto" w:frame="1"/>
          <w:lang w:val="es-ES_tradnl" w:eastAsia="es-ES"/>
        </w:rPr>
        <w:t>sustento normati</w:t>
      </w:r>
      <w:r w:rsidRPr="00DE7CC4">
        <w:rPr>
          <w:rFonts w:ascii="Times New Roman" w:hAnsi="Times New Roman" w:cs="Times New Roman"/>
          <w:color w:val="000000" w:themeColor="text1"/>
          <w:sz w:val="28"/>
          <w:bdr w:val="none" w:sz="0" w:space="0" w:color="auto" w:frame="1"/>
          <w:lang w:val="es-ES_tradnl" w:eastAsia="es-ES"/>
        </w:rPr>
        <w:t xml:space="preserve">vo </w:t>
      </w:r>
      <w:r w:rsidRPr="00DE7CC4">
        <w:rPr>
          <w:rFonts w:ascii="Times New Roman" w:hAnsi="Times New Roman" w:cs="Times New Roman"/>
          <w:color w:val="000000" w:themeColor="text1"/>
          <w:sz w:val="28"/>
          <w:bdr w:val="none" w:sz="0" w:space="0" w:color="auto" w:frame="1"/>
          <w:lang w:val="es-ES_tradnl" w:eastAsia="es-ES"/>
        </w:rPr>
        <w:t>en varios instrumentos internacionales que hacen parte del bloque de constitucionalidad, por virtud de lo establecido en el artículo 93 superior y en nuestra Constitución. Desde la primera perspectiva, en el sistema universal, el inciso primero del artícul</w:t>
      </w:r>
      <w:r w:rsidRPr="00DE7CC4">
        <w:rPr>
          <w:rFonts w:ascii="Times New Roman" w:hAnsi="Times New Roman" w:cs="Times New Roman"/>
          <w:color w:val="000000" w:themeColor="text1"/>
          <w:sz w:val="28"/>
          <w:bdr w:val="none" w:sz="0" w:space="0" w:color="auto" w:frame="1"/>
          <w:lang w:val="es-ES_tradnl" w:eastAsia="es-ES"/>
        </w:rPr>
        <w:t>o 2 del Pacto Internacional de Derechos Económicos, Sociales y Culturales establece el compromiso de los estados parte de lograr progresivamente, “hasta el máximo de los recursos de que disponga”, la plena efectividad de los derechos allí reconocidos; y, e</w:t>
      </w:r>
      <w:r w:rsidRPr="00DE7CC4">
        <w:rPr>
          <w:rFonts w:ascii="Times New Roman" w:hAnsi="Times New Roman" w:cs="Times New Roman"/>
          <w:color w:val="000000" w:themeColor="text1"/>
          <w:sz w:val="28"/>
          <w:bdr w:val="none" w:sz="0" w:space="0" w:color="auto" w:frame="1"/>
          <w:lang w:val="es-ES_tradnl" w:eastAsia="es-ES"/>
        </w:rPr>
        <w:t>n el sistema regional, por su parte, los artículos 26 de la Convención Americana sobre Derechos Humanos y 1 del Protocolo de San Salvador contienen un mandato similar. El Comité de DESC, como intérprete auténtico del primer instrumento mencionado, indicó e</w:t>
      </w:r>
      <w:r w:rsidRPr="00DE7CC4">
        <w:rPr>
          <w:rFonts w:ascii="Times New Roman" w:hAnsi="Times New Roman" w:cs="Times New Roman"/>
          <w:color w:val="000000" w:themeColor="text1"/>
          <w:sz w:val="28"/>
          <w:bdr w:val="none" w:sz="0" w:space="0" w:color="auto" w:frame="1"/>
          <w:lang w:val="es-ES_tradnl" w:eastAsia="es-ES"/>
        </w:rPr>
        <w:t xml:space="preserve">n la Observación 3, sobre “la índole de las obligaciones de los estados partes”, que “todas las medidas de carácter deliberadamente retroactivo en este aspecto requerirán la consideración más cuidadosa y deberán justificarse plenamente por referencia a la </w:t>
      </w:r>
      <w:r w:rsidRPr="00DE7CC4">
        <w:rPr>
          <w:rFonts w:ascii="Times New Roman" w:hAnsi="Times New Roman" w:cs="Times New Roman"/>
          <w:color w:val="000000" w:themeColor="text1"/>
          <w:sz w:val="28"/>
          <w:bdr w:val="none" w:sz="0" w:space="0" w:color="auto" w:frame="1"/>
          <w:lang w:val="es-ES_tradnl" w:eastAsia="es-ES"/>
        </w:rPr>
        <w:t xml:space="preserve">totalidad de los derechos previstos en el Pacto y en el aprovechamiento pleno del máximo de los recursos de que disponga”, dando así alcance a la prohibición de retroceso injustificado, una de las manifestaciones del principio de progresividad. </w:t>
      </w:r>
    </w:p>
    <w:p w:rsidR="00F32ED8" w:rsidRPr="00DE7CC4" w:rsidRDefault="00DE7CC4" w:rsidP="00F32ED8">
      <w:pPr>
        <w:jc w:val="both"/>
        <w:rPr>
          <w:rFonts w:ascii="Times New Roman" w:hAnsi="Times New Roman" w:cs="Times New Roman"/>
          <w:color w:val="000000" w:themeColor="text1"/>
          <w:sz w:val="28"/>
          <w:bdr w:val="none" w:sz="0" w:space="0" w:color="auto" w:frame="1"/>
          <w:lang w:val="es-ES_tradnl" w:eastAsia="es-ES"/>
        </w:rPr>
      </w:pPr>
    </w:p>
    <w:p w:rsidR="00F32ED8" w:rsidRPr="00DE7CC4" w:rsidRDefault="00DE7CC4" w:rsidP="00F32ED8">
      <w:pPr>
        <w:jc w:val="both"/>
        <w:rPr>
          <w:rFonts w:ascii="Times New Roman" w:hAnsi="Times New Roman" w:cs="Times New Roman"/>
          <w:color w:val="000000" w:themeColor="text1"/>
          <w:sz w:val="28"/>
          <w:bdr w:val="none" w:sz="0" w:space="0" w:color="auto" w:frame="1"/>
          <w:lang w:val="es-ES_tradnl" w:eastAsia="es-ES"/>
        </w:rPr>
      </w:pPr>
      <w:r w:rsidRPr="00DE7CC4">
        <w:rPr>
          <w:rFonts w:ascii="Times New Roman" w:hAnsi="Times New Roman" w:cs="Times New Roman"/>
          <w:color w:val="000000" w:themeColor="text1"/>
          <w:sz w:val="28"/>
          <w:bdr w:val="none" w:sz="0" w:space="0" w:color="auto" w:frame="1"/>
          <w:lang w:val="es-ES_tradnl" w:eastAsia="es-ES"/>
        </w:rPr>
        <w:t>77. Inter</w:t>
      </w:r>
      <w:r w:rsidRPr="00DE7CC4">
        <w:rPr>
          <w:rFonts w:ascii="Times New Roman" w:hAnsi="Times New Roman" w:cs="Times New Roman"/>
          <w:color w:val="000000" w:themeColor="text1"/>
          <w:sz w:val="28"/>
          <w:bdr w:val="none" w:sz="0" w:space="0" w:color="auto" w:frame="1"/>
          <w:lang w:val="es-ES_tradnl" w:eastAsia="es-ES"/>
        </w:rPr>
        <w:t>namente, la Corte Constitucional ha destacado</w:t>
      </w:r>
      <w:r w:rsidRPr="00DE7CC4">
        <w:rPr>
          <w:rStyle w:val="Refdenotaalpie"/>
          <w:rFonts w:ascii="Times New Roman" w:hAnsi="Times New Roman"/>
          <w:color w:val="000000" w:themeColor="text1"/>
          <w:sz w:val="28"/>
          <w:bdr w:val="none" w:sz="0" w:space="0" w:color="auto" w:frame="1"/>
          <w:lang w:val="es-ES_tradnl" w:eastAsia="es-ES"/>
        </w:rPr>
        <w:footnoteReference w:id="106"/>
      </w:r>
      <w:r w:rsidRPr="00DE7CC4">
        <w:rPr>
          <w:rFonts w:ascii="Times New Roman" w:hAnsi="Times New Roman" w:cs="Times New Roman"/>
          <w:color w:val="000000" w:themeColor="text1"/>
          <w:sz w:val="28"/>
          <w:bdr w:val="none" w:sz="0" w:space="0" w:color="auto" w:frame="1"/>
          <w:lang w:val="es-ES_tradnl" w:eastAsia="es-ES"/>
        </w:rPr>
        <w:t xml:space="preserve"> que los enunciados mencionados son armónicos con nuestra Constitución, que (i) configura el Estado como Social de Derecho; (ii) ordena a las autoridades el deber de hacer efectivos todos los derechos constituc</w:t>
      </w:r>
      <w:r w:rsidRPr="00DE7CC4">
        <w:rPr>
          <w:rFonts w:ascii="Times New Roman" w:hAnsi="Times New Roman" w:cs="Times New Roman"/>
          <w:color w:val="000000" w:themeColor="text1"/>
          <w:sz w:val="28"/>
          <w:bdr w:val="none" w:sz="0" w:space="0" w:color="auto" w:frame="1"/>
          <w:lang w:val="es-ES_tradnl" w:eastAsia="es-ES"/>
        </w:rPr>
        <w:t>ionales (</w:t>
      </w:r>
      <w:r w:rsidRPr="00DE7CC4">
        <w:rPr>
          <w:rFonts w:ascii="Times New Roman" w:hAnsi="Times New Roman" w:cs="Times New Roman"/>
          <w:color w:val="000000" w:themeColor="text1"/>
          <w:sz w:val="28"/>
          <w:bdr w:val="none" w:sz="0" w:space="0" w:color="auto" w:frame="1"/>
          <w:lang w:val="es-ES_tradnl" w:eastAsia="es-ES"/>
        </w:rPr>
        <w:t>a</w:t>
      </w:r>
      <w:r w:rsidRPr="00DE7CC4">
        <w:rPr>
          <w:rFonts w:ascii="Times New Roman" w:hAnsi="Times New Roman" w:cs="Times New Roman"/>
          <w:color w:val="000000" w:themeColor="text1"/>
          <w:sz w:val="28"/>
          <w:bdr w:val="none" w:sz="0" w:space="0" w:color="auto" w:frame="1"/>
          <w:lang w:val="es-ES_tradnl" w:eastAsia="es-ES"/>
        </w:rPr>
        <w:t xml:space="preserve">rt. 2), y (iii) prevé algunas cláusulas específicas con la mención expresa del deber de permitir un </w:t>
      </w:r>
      <w:r w:rsidRPr="00DE7CC4">
        <w:rPr>
          <w:rFonts w:ascii="Times New Roman" w:hAnsi="Times New Roman" w:cs="Times New Roman"/>
          <w:i/>
          <w:iCs/>
          <w:color w:val="000000" w:themeColor="text1"/>
          <w:sz w:val="28"/>
          <w:bdr w:val="none" w:sz="0" w:space="0" w:color="auto" w:frame="1"/>
          <w:lang w:val="es-ES_tradnl" w:eastAsia="es-ES"/>
        </w:rPr>
        <w:t>acceso</w:t>
      </w:r>
      <w:r w:rsidRPr="00DE7CC4">
        <w:rPr>
          <w:rFonts w:ascii="Times New Roman" w:hAnsi="Times New Roman" w:cs="Times New Roman"/>
          <w:color w:val="000000" w:themeColor="text1"/>
          <w:sz w:val="28"/>
          <w:bdr w:val="none" w:sz="0" w:space="0" w:color="auto" w:frame="1"/>
          <w:lang w:val="es-ES_tradnl" w:eastAsia="es-ES"/>
        </w:rPr>
        <w:t xml:space="preserve"> progresivo a la satisfacción de determinados bienes constitucionales, como a la propiedad de la tierra para el caso de los trabajadores agr</w:t>
      </w:r>
      <w:r w:rsidRPr="00DE7CC4">
        <w:rPr>
          <w:rFonts w:ascii="Times New Roman" w:hAnsi="Times New Roman" w:cs="Times New Roman"/>
          <w:color w:val="000000" w:themeColor="text1"/>
          <w:sz w:val="28"/>
          <w:bdr w:val="none" w:sz="0" w:space="0" w:color="auto" w:frame="1"/>
          <w:lang w:val="es-ES_tradnl" w:eastAsia="es-ES"/>
        </w:rPr>
        <w:t>arios (</w:t>
      </w:r>
      <w:r w:rsidRPr="00DE7CC4">
        <w:rPr>
          <w:rFonts w:ascii="Times New Roman" w:hAnsi="Times New Roman" w:cs="Times New Roman"/>
          <w:color w:val="000000" w:themeColor="text1"/>
          <w:sz w:val="28"/>
          <w:bdr w:val="none" w:sz="0" w:space="0" w:color="auto" w:frame="1"/>
          <w:lang w:val="es-ES_tradnl" w:eastAsia="es-ES"/>
        </w:rPr>
        <w:t>a</w:t>
      </w:r>
      <w:r w:rsidRPr="00DE7CC4">
        <w:rPr>
          <w:rFonts w:ascii="Times New Roman" w:hAnsi="Times New Roman" w:cs="Times New Roman"/>
          <w:color w:val="000000" w:themeColor="text1"/>
          <w:sz w:val="28"/>
          <w:bdr w:val="none" w:sz="0" w:space="0" w:color="auto" w:frame="1"/>
          <w:lang w:val="es-ES_tradnl" w:eastAsia="es-ES"/>
        </w:rPr>
        <w:t>rt. 64). A su turno, la adecuada comprensión -dogmática- de los derechos, ha determinado que para su aplicación solo sea imprescindible establecer si se trata o no de una posición o faceta con contenido prestacional</w:t>
      </w:r>
      <w:r w:rsidRPr="00DE7CC4">
        <w:rPr>
          <w:rStyle w:val="Refdenotaalpie"/>
          <w:rFonts w:ascii="Times New Roman" w:hAnsi="Times New Roman"/>
          <w:color w:val="000000" w:themeColor="text1"/>
          <w:sz w:val="28"/>
          <w:bdr w:val="none" w:sz="0" w:space="0" w:color="auto" w:frame="1"/>
          <w:lang w:val="es-ES_tradnl" w:eastAsia="es-ES"/>
        </w:rPr>
        <w:footnoteReference w:id="107"/>
      </w:r>
      <w:r w:rsidRPr="00DE7CC4">
        <w:rPr>
          <w:rFonts w:ascii="Times New Roman" w:hAnsi="Times New Roman" w:cs="Times New Roman"/>
          <w:color w:val="000000" w:themeColor="text1"/>
          <w:sz w:val="28"/>
          <w:bdr w:val="none" w:sz="0" w:space="0" w:color="auto" w:frame="1"/>
          <w:lang w:val="es-ES_tradnl" w:eastAsia="es-ES"/>
        </w:rPr>
        <w:t>, con independencia de si se tra</w:t>
      </w:r>
      <w:r w:rsidRPr="00DE7CC4">
        <w:rPr>
          <w:rFonts w:ascii="Times New Roman" w:hAnsi="Times New Roman" w:cs="Times New Roman"/>
          <w:color w:val="000000" w:themeColor="text1"/>
          <w:sz w:val="28"/>
          <w:bdr w:val="none" w:sz="0" w:space="0" w:color="auto" w:frame="1"/>
          <w:lang w:val="es-ES_tradnl" w:eastAsia="es-ES"/>
        </w:rPr>
        <w:t>ta de un derecho de los que tradicionalmente, por ejemplo, se consideraron bajo la categoría de civiles y políticos</w:t>
      </w:r>
      <w:r w:rsidRPr="00DE7CC4">
        <w:rPr>
          <w:rStyle w:val="Refdenotaalpie"/>
          <w:rFonts w:ascii="Times New Roman" w:hAnsi="Times New Roman"/>
          <w:color w:val="000000" w:themeColor="text1"/>
          <w:sz w:val="28"/>
          <w:bdr w:val="none" w:sz="0" w:space="0" w:color="auto" w:frame="1"/>
          <w:lang w:val="es-ES_tradnl" w:eastAsia="es-ES"/>
        </w:rPr>
        <w:footnoteReference w:id="108"/>
      </w:r>
      <w:r w:rsidRPr="00DE7CC4">
        <w:rPr>
          <w:rFonts w:ascii="Times New Roman" w:hAnsi="Times New Roman" w:cs="Times New Roman"/>
          <w:color w:val="000000" w:themeColor="text1"/>
          <w:sz w:val="28"/>
          <w:bdr w:val="none" w:sz="0" w:space="0" w:color="auto" w:frame="1"/>
          <w:lang w:val="es-ES_tradnl" w:eastAsia="es-ES"/>
        </w:rPr>
        <w:t>. A partir de estas líneas generales, finalmente, ha precisado una metodología para el análisis de medidas acusadas de desconocer, específic</w:t>
      </w:r>
      <w:r w:rsidRPr="00DE7CC4">
        <w:rPr>
          <w:rFonts w:ascii="Times New Roman" w:hAnsi="Times New Roman" w:cs="Times New Roman"/>
          <w:color w:val="000000" w:themeColor="text1"/>
          <w:sz w:val="28"/>
          <w:bdr w:val="none" w:sz="0" w:space="0" w:color="auto" w:frame="1"/>
          <w:lang w:val="es-ES_tradnl" w:eastAsia="es-ES"/>
        </w:rPr>
        <w:t>amente, la prohibición de retroceso</w:t>
      </w:r>
      <w:r w:rsidRPr="00DE7CC4">
        <w:rPr>
          <w:rStyle w:val="Refdenotaalpie"/>
          <w:rFonts w:ascii="Times New Roman" w:hAnsi="Times New Roman"/>
          <w:color w:val="000000" w:themeColor="text1"/>
          <w:sz w:val="28"/>
          <w:bdr w:val="none" w:sz="0" w:space="0" w:color="auto" w:frame="1"/>
          <w:lang w:val="es-ES_tradnl" w:eastAsia="es-ES"/>
        </w:rPr>
        <w:footnoteReference w:id="109"/>
      </w:r>
      <w:r w:rsidRPr="00DE7CC4">
        <w:rPr>
          <w:rFonts w:ascii="Times New Roman" w:hAnsi="Times New Roman" w:cs="Times New Roman"/>
          <w:color w:val="000000" w:themeColor="text1"/>
          <w:sz w:val="28"/>
          <w:bdr w:val="none" w:sz="0" w:space="0" w:color="auto" w:frame="1"/>
          <w:lang w:val="es-ES_tradnl" w:eastAsia="es-ES"/>
        </w:rPr>
        <w:t>.</w:t>
      </w:r>
    </w:p>
    <w:p w:rsidR="00F32ED8" w:rsidRPr="00DE7CC4" w:rsidRDefault="00DE7CC4" w:rsidP="00F32ED8">
      <w:pPr>
        <w:jc w:val="both"/>
        <w:rPr>
          <w:rFonts w:ascii="Times New Roman" w:hAnsi="Times New Roman" w:cs="Times New Roman"/>
          <w:color w:val="000000" w:themeColor="text1"/>
          <w:sz w:val="28"/>
          <w:bdr w:val="none" w:sz="0" w:space="0" w:color="auto" w:frame="1"/>
          <w:lang w:val="es-ES_tradnl" w:eastAsia="es-ES"/>
        </w:rPr>
      </w:pPr>
    </w:p>
    <w:p w:rsidR="00F32ED8" w:rsidRPr="00DE7CC4" w:rsidRDefault="00DE7CC4" w:rsidP="00F32ED8">
      <w:pPr>
        <w:jc w:val="both"/>
        <w:rPr>
          <w:rFonts w:ascii="Times New Roman" w:hAnsi="Times New Roman" w:cs="Times New Roman"/>
          <w:color w:val="000000" w:themeColor="text1"/>
          <w:sz w:val="28"/>
          <w:bdr w:val="none" w:sz="0" w:space="0" w:color="auto" w:frame="1"/>
          <w:lang w:val="es-ES_tradnl" w:eastAsia="es-ES"/>
        </w:rPr>
      </w:pPr>
      <w:r w:rsidRPr="00DE7CC4">
        <w:rPr>
          <w:rFonts w:ascii="Times New Roman" w:hAnsi="Times New Roman" w:cs="Times New Roman"/>
          <w:color w:val="000000" w:themeColor="text1"/>
          <w:sz w:val="28"/>
          <w:bdr w:val="none" w:sz="0" w:space="0" w:color="auto" w:frame="1"/>
          <w:lang w:val="es-ES_tradnl" w:eastAsia="es-ES"/>
        </w:rPr>
        <w:t xml:space="preserve">78. En esta dirección, como una </w:t>
      </w:r>
      <w:r w:rsidRPr="00DE7CC4">
        <w:rPr>
          <w:rFonts w:ascii="Times New Roman" w:hAnsi="Times New Roman" w:cs="Times New Roman"/>
          <w:i/>
          <w:iCs/>
          <w:color w:val="000000" w:themeColor="text1"/>
          <w:sz w:val="28"/>
          <w:bdr w:val="none" w:sz="0" w:space="0" w:color="auto" w:frame="1"/>
          <w:lang w:val="es-ES_tradnl" w:eastAsia="es-ES"/>
        </w:rPr>
        <w:t>condición habilitante</w:t>
      </w:r>
      <w:r w:rsidRPr="00DE7CC4">
        <w:rPr>
          <w:rFonts w:ascii="Times New Roman" w:hAnsi="Times New Roman" w:cs="Times New Roman"/>
          <w:color w:val="000000" w:themeColor="text1"/>
          <w:sz w:val="28"/>
          <w:bdr w:val="none" w:sz="0" w:space="0" w:color="auto" w:frame="1"/>
          <w:lang w:val="es-ES_tradnl" w:eastAsia="es-ES"/>
        </w:rPr>
        <w:t xml:space="preserve"> del juicio, es necesario que quien promueva un cargo por este motivo, primero, dé cuenta de que la regulación cuestionada “reduce o afecta negativamente el grado d</w:t>
      </w:r>
      <w:r w:rsidRPr="00DE7CC4">
        <w:rPr>
          <w:rFonts w:ascii="Times New Roman" w:hAnsi="Times New Roman" w:cs="Times New Roman"/>
          <w:color w:val="000000" w:themeColor="text1"/>
          <w:sz w:val="28"/>
          <w:bdr w:val="none" w:sz="0" w:space="0" w:color="auto" w:frame="1"/>
          <w:lang w:val="es-ES_tradnl" w:eastAsia="es-ES"/>
        </w:rPr>
        <w:t>e realización de la faceta prestacional de un derecho constitucional”</w:t>
      </w:r>
      <w:r w:rsidRPr="00DE7CC4">
        <w:rPr>
          <w:rStyle w:val="Refdenotaalpie"/>
          <w:rFonts w:ascii="Times New Roman" w:hAnsi="Times New Roman"/>
          <w:color w:val="000000" w:themeColor="text1"/>
          <w:sz w:val="28"/>
          <w:bdr w:val="none" w:sz="0" w:space="0" w:color="auto" w:frame="1"/>
          <w:lang w:val="es-ES_tradnl" w:eastAsia="es-ES"/>
        </w:rPr>
        <w:footnoteReference w:id="110"/>
      </w:r>
      <w:r w:rsidRPr="00DE7CC4">
        <w:rPr>
          <w:rFonts w:ascii="Times New Roman" w:hAnsi="Times New Roman" w:cs="Times New Roman"/>
          <w:color w:val="000000" w:themeColor="text1"/>
          <w:sz w:val="28"/>
          <w:bdr w:val="none" w:sz="0" w:space="0" w:color="auto" w:frame="1"/>
          <w:lang w:val="es-ES_tradnl" w:eastAsia="es-ES"/>
        </w:rPr>
        <w:t xml:space="preserve">. A continuación, de verificarse lo anterior, se precisa examinar si la medida afecta o no el contenido mínimo o las obligaciones de inmediato cumplimiento, en tanto, si esto es así, la </w:t>
      </w:r>
      <w:r w:rsidRPr="00DE7CC4">
        <w:rPr>
          <w:rFonts w:ascii="Times New Roman" w:hAnsi="Times New Roman" w:cs="Times New Roman"/>
          <w:color w:val="000000" w:themeColor="text1"/>
          <w:sz w:val="28"/>
          <w:bdr w:val="none" w:sz="0" w:space="0" w:color="auto" w:frame="1"/>
          <w:lang w:val="es-ES_tradnl" w:eastAsia="es-ES"/>
        </w:rPr>
        <w:t>norma será inconstitucional. Y, finalmente, de no acreditarse lo anterior, será necesario valorar si se justifica o no, para lo cual se ha acudido al test de proporcionalidad</w:t>
      </w:r>
      <w:r w:rsidRPr="00DE7CC4">
        <w:rPr>
          <w:rStyle w:val="Refdenotaalpie"/>
          <w:rFonts w:ascii="Times New Roman" w:hAnsi="Times New Roman"/>
          <w:color w:val="000000" w:themeColor="text1"/>
          <w:sz w:val="28"/>
          <w:bdr w:val="none" w:sz="0" w:space="0" w:color="auto" w:frame="1"/>
          <w:lang w:val="es-ES_tradnl" w:eastAsia="es-ES"/>
        </w:rPr>
        <w:footnoteReference w:id="111"/>
      </w:r>
      <w:r w:rsidRPr="00DE7CC4">
        <w:rPr>
          <w:rFonts w:ascii="Times New Roman" w:hAnsi="Times New Roman" w:cs="Times New Roman"/>
          <w:color w:val="000000" w:themeColor="text1"/>
          <w:sz w:val="28"/>
          <w:bdr w:val="none" w:sz="0" w:space="0" w:color="auto" w:frame="1"/>
          <w:lang w:val="es-ES_tradnl" w:eastAsia="es-ES"/>
        </w:rPr>
        <w:t xml:space="preserve">. </w:t>
      </w:r>
    </w:p>
    <w:p w:rsidR="00F32ED8" w:rsidRPr="00DE7CC4" w:rsidRDefault="00DE7CC4" w:rsidP="00F32ED8">
      <w:pPr>
        <w:jc w:val="both"/>
        <w:rPr>
          <w:rFonts w:ascii="Times New Roman" w:hAnsi="Times New Roman" w:cs="Times New Roman"/>
          <w:color w:val="000000" w:themeColor="text1"/>
          <w:sz w:val="28"/>
          <w:bdr w:val="none" w:sz="0" w:space="0" w:color="auto" w:frame="1"/>
          <w:lang w:val="es-ES_tradnl" w:eastAsia="es-ES"/>
        </w:rPr>
      </w:pPr>
    </w:p>
    <w:p w:rsidR="00F32ED8" w:rsidRPr="00DE7CC4" w:rsidRDefault="00DE7CC4" w:rsidP="00F32ED8">
      <w:pPr>
        <w:jc w:val="both"/>
        <w:rPr>
          <w:rFonts w:ascii="Times New Roman" w:hAnsi="Times New Roman" w:cs="Times New Roman"/>
          <w:color w:val="000000" w:themeColor="text1"/>
          <w:sz w:val="28"/>
          <w:bdr w:val="none" w:sz="0" w:space="0" w:color="auto" w:frame="1"/>
          <w:lang w:val="es-ES_tradnl" w:eastAsia="es-ES"/>
        </w:rPr>
      </w:pPr>
      <w:r w:rsidRPr="00DE7CC4">
        <w:rPr>
          <w:rFonts w:ascii="Times New Roman" w:hAnsi="Times New Roman" w:cs="Times New Roman"/>
          <w:color w:val="000000" w:themeColor="text1"/>
          <w:sz w:val="28"/>
          <w:bdr w:val="none" w:sz="0" w:space="0" w:color="auto" w:frame="1"/>
          <w:lang w:val="es-ES_tradnl" w:eastAsia="es-ES"/>
        </w:rPr>
        <w:t>79. De cara a esta metodología y, por supuesto, a los requisitos argumentativ</w:t>
      </w:r>
      <w:r w:rsidRPr="00DE7CC4">
        <w:rPr>
          <w:rFonts w:ascii="Times New Roman" w:hAnsi="Times New Roman" w:cs="Times New Roman"/>
          <w:color w:val="000000" w:themeColor="text1"/>
          <w:sz w:val="28"/>
          <w:bdr w:val="none" w:sz="0" w:space="0" w:color="auto" w:frame="1"/>
          <w:lang w:val="es-ES_tradnl" w:eastAsia="es-ES"/>
        </w:rPr>
        <w:t xml:space="preserve">os exigidos para considerar la aptitud del cargo, aprecia la Sala Plena que los accionantes no satisficieron los requisitos de (i) </w:t>
      </w:r>
      <w:r w:rsidRPr="00DE7CC4">
        <w:rPr>
          <w:rFonts w:ascii="Times New Roman" w:hAnsi="Times New Roman" w:cs="Times New Roman"/>
          <w:i/>
          <w:iCs/>
          <w:color w:val="000000" w:themeColor="text1"/>
          <w:sz w:val="28"/>
          <w:bdr w:val="none" w:sz="0" w:space="0" w:color="auto" w:frame="1"/>
          <w:lang w:val="es-ES_tradnl" w:eastAsia="es-ES"/>
        </w:rPr>
        <w:t>certeza:</w:t>
      </w:r>
      <w:r w:rsidRPr="00DE7CC4">
        <w:rPr>
          <w:rFonts w:ascii="Times New Roman" w:hAnsi="Times New Roman" w:cs="Times New Roman"/>
          <w:color w:val="000000" w:themeColor="text1"/>
          <w:sz w:val="28"/>
          <w:bdr w:val="none" w:sz="0" w:space="0" w:color="auto" w:frame="1"/>
          <w:lang w:val="es-ES_tradnl" w:eastAsia="es-ES"/>
        </w:rPr>
        <w:t xml:space="preserve"> en razón a que, primero, la lectura que extraen de la disposición cuestionada no se encuentra debidamente sustentada</w:t>
      </w:r>
      <w:r w:rsidRPr="00DE7CC4">
        <w:rPr>
          <w:rFonts w:ascii="Times New Roman" w:hAnsi="Times New Roman" w:cs="Times New Roman"/>
          <w:color w:val="000000" w:themeColor="text1"/>
          <w:sz w:val="28"/>
          <w:bdr w:val="none" w:sz="0" w:space="0" w:color="auto" w:frame="1"/>
          <w:lang w:val="es-ES_tradnl" w:eastAsia="es-ES"/>
        </w:rPr>
        <w:t xml:space="preserve"> y, segundo, omiten variaciones legislativas entre la expedición de la Ley 769 de 2002 y la Ley 2251 de 2022, </w:t>
      </w:r>
      <w:r w:rsidRPr="00DE7CC4">
        <w:rPr>
          <w:rFonts w:ascii="Times New Roman" w:hAnsi="Times New Roman" w:cs="Times New Roman"/>
          <w:color w:val="000000" w:themeColor="text1"/>
          <w:sz w:val="28"/>
          <w:bdr w:val="none" w:sz="0" w:space="0" w:color="auto" w:frame="1"/>
          <w:lang w:val="es-ES_tradnl" w:eastAsia="es-ES"/>
        </w:rPr>
        <w:t xml:space="preserve">por lo cual no </w:t>
      </w:r>
      <w:r w:rsidRPr="00DE7CC4">
        <w:rPr>
          <w:rFonts w:ascii="Times New Roman" w:hAnsi="Times New Roman" w:cs="Times New Roman"/>
          <w:color w:val="000000" w:themeColor="text1"/>
          <w:sz w:val="28"/>
          <w:bdr w:val="none" w:sz="0" w:space="0" w:color="auto" w:frame="1"/>
          <w:lang w:val="es-ES_tradnl" w:eastAsia="es-ES"/>
        </w:rPr>
        <w:t>identifica</w:t>
      </w:r>
      <w:r w:rsidRPr="00DE7CC4">
        <w:rPr>
          <w:rFonts w:ascii="Times New Roman" w:hAnsi="Times New Roman" w:cs="Times New Roman"/>
          <w:color w:val="000000" w:themeColor="text1"/>
          <w:sz w:val="28"/>
          <w:bdr w:val="none" w:sz="0" w:space="0" w:color="auto" w:frame="1"/>
          <w:lang w:val="es-ES_tradnl" w:eastAsia="es-ES"/>
        </w:rPr>
        <w:t>n</w:t>
      </w:r>
      <w:r w:rsidRPr="00DE7CC4">
        <w:rPr>
          <w:rFonts w:ascii="Times New Roman" w:hAnsi="Times New Roman" w:cs="Times New Roman"/>
          <w:color w:val="000000" w:themeColor="text1"/>
          <w:sz w:val="28"/>
          <w:bdr w:val="none" w:sz="0" w:space="0" w:color="auto" w:frame="1"/>
          <w:lang w:val="es-ES_tradnl" w:eastAsia="es-ES"/>
        </w:rPr>
        <w:t xml:space="preserve"> correctamente qué es lo que el ordenamiento vigente y previo a la disposición demandada preveía en esta materia y, a pa</w:t>
      </w:r>
      <w:r w:rsidRPr="00DE7CC4">
        <w:rPr>
          <w:rFonts w:ascii="Times New Roman" w:hAnsi="Times New Roman" w:cs="Times New Roman"/>
          <w:color w:val="000000" w:themeColor="text1"/>
          <w:sz w:val="28"/>
          <w:bdr w:val="none" w:sz="0" w:space="0" w:color="auto" w:frame="1"/>
          <w:lang w:val="es-ES_tradnl" w:eastAsia="es-ES"/>
        </w:rPr>
        <w:t xml:space="preserve">rtir de ello, </w:t>
      </w:r>
      <w:r w:rsidRPr="00DE7CC4">
        <w:rPr>
          <w:rFonts w:ascii="Times New Roman" w:hAnsi="Times New Roman" w:cs="Times New Roman"/>
          <w:color w:val="000000" w:themeColor="text1"/>
          <w:sz w:val="28"/>
          <w:bdr w:val="none" w:sz="0" w:space="0" w:color="auto" w:frame="1"/>
          <w:lang w:val="es-ES_tradnl" w:eastAsia="es-ES"/>
        </w:rPr>
        <w:t>en qué se concreta</w:t>
      </w:r>
      <w:r w:rsidRPr="00DE7CC4">
        <w:rPr>
          <w:rFonts w:ascii="Times New Roman" w:hAnsi="Times New Roman" w:cs="Times New Roman"/>
          <w:color w:val="000000" w:themeColor="text1"/>
          <w:sz w:val="28"/>
          <w:bdr w:val="none" w:sz="0" w:space="0" w:color="auto" w:frame="1"/>
          <w:lang w:val="es-ES_tradnl" w:eastAsia="es-ES"/>
        </w:rPr>
        <w:t xml:space="preserve"> el retroceso que debe estudiarse;</w:t>
      </w:r>
      <w:r w:rsidRPr="00DE7CC4">
        <w:rPr>
          <w:rFonts w:ascii="Times New Roman" w:hAnsi="Times New Roman" w:cs="Times New Roman"/>
          <w:i/>
          <w:iCs/>
          <w:color w:val="000000" w:themeColor="text1"/>
          <w:sz w:val="28"/>
          <w:bdr w:val="none" w:sz="0" w:space="0" w:color="auto" w:frame="1"/>
          <w:lang w:val="es-ES_tradnl" w:eastAsia="es-ES"/>
        </w:rPr>
        <w:t xml:space="preserve"> </w:t>
      </w:r>
      <w:r w:rsidRPr="00DE7CC4">
        <w:rPr>
          <w:rFonts w:ascii="Times New Roman" w:hAnsi="Times New Roman" w:cs="Times New Roman"/>
          <w:color w:val="000000" w:themeColor="text1"/>
          <w:sz w:val="28"/>
          <w:bdr w:val="none" w:sz="0" w:space="0" w:color="auto" w:frame="1"/>
          <w:lang w:val="es-ES_tradnl" w:eastAsia="es-ES"/>
        </w:rPr>
        <w:t xml:space="preserve">(ii) </w:t>
      </w:r>
      <w:r w:rsidRPr="00DE7CC4">
        <w:rPr>
          <w:rFonts w:ascii="Times New Roman" w:hAnsi="Times New Roman" w:cs="Times New Roman"/>
          <w:i/>
          <w:iCs/>
          <w:color w:val="000000" w:themeColor="text1"/>
          <w:sz w:val="28"/>
          <w:bdr w:val="none" w:sz="0" w:space="0" w:color="auto" w:frame="1"/>
          <w:lang w:val="es-ES_tradnl" w:eastAsia="es-ES"/>
        </w:rPr>
        <w:t xml:space="preserve">especificidad: </w:t>
      </w:r>
      <w:r w:rsidRPr="00DE7CC4">
        <w:rPr>
          <w:rFonts w:ascii="Times New Roman" w:hAnsi="Times New Roman" w:cs="Times New Roman"/>
          <w:color w:val="000000" w:themeColor="text1"/>
          <w:sz w:val="28"/>
          <w:bdr w:val="none" w:sz="0" w:space="0" w:color="auto" w:frame="1"/>
          <w:lang w:val="es-ES_tradnl" w:eastAsia="es-ES"/>
        </w:rPr>
        <w:t xml:space="preserve">porque no logran identificar </w:t>
      </w:r>
      <w:r w:rsidRPr="00DE7CC4">
        <w:rPr>
          <w:rFonts w:ascii="Times New Roman" w:hAnsi="Times New Roman" w:cs="Times New Roman"/>
          <w:color w:val="000000" w:themeColor="text1"/>
          <w:sz w:val="28"/>
          <w:bdr w:val="none" w:sz="0" w:space="0" w:color="auto" w:frame="1"/>
          <w:lang w:val="es-ES_tradnl" w:eastAsia="es-ES"/>
        </w:rPr>
        <w:t>por qué del derecho de propiedad y, más concretamente, de alguna de sus facetas es predicable un contenido prestacional y, a partir de dicho</w:t>
      </w:r>
      <w:r w:rsidRPr="00DE7CC4">
        <w:rPr>
          <w:rFonts w:ascii="Times New Roman" w:hAnsi="Times New Roman" w:cs="Times New Roman"/>
          <w:color w:val="000000" w:themeColor="text1"/>
          <w:sz w:val="28"/>
          <w:bdr w:val="none" w:sz="0" w:space="0" w:color="auto" w:frame="1"/>
          <w:lang w:val="es-ES_tradnl" w:eastAsia="es-ES"/>
        </w:rPr>
        <w:t xml:space="preserve"> supuesto, el principio de no regresividad -y su alcance-</w:t>
      </w:r>
      <w:r w:rsidRPr="00DE7CC4">
        <w:rPr>
          <w:rFonts w:ascii="Times New Roman" w:hAnsi="Times New Roman" w:cs="Times New Roman"/>
          <w:color w:val="000000" w:themeColor="text1"/>
          <w:sz w:val="28"/>
          <w:bdr w:val="none" w:sz="0" w:space="0" w:color="auto" w:frame="1"/>
          <w:lang w:val="es-ES_tradnl" w:eastAsia="es-ES"/>
        </w:rPr>
        <w:t xml:space="preserve">, lo cual impide fijar con claridad la </w:t>
      </w:r>
      <w:r w:rsidRPr="00DE7CC4">
        <w:rPr>
          <w:rFonts w:ascii="Times New Roman" w:hAnsi="Times New Roman" w:cs="Times New Roman"/>
          <w:i/>
          <w:iCs/>
          <w:color w:val="000000" w:themeColor="text1"/>
          <w:sz w:val="28"/>
          <w:bdr w:val="none" w:sz="0" w:space="0" w:color="auto" w:frame="1"/>
          <w:lang w:val="es-ES_tradnl" w:eastAsia="es-ES"/>
        </w:rPr>
        <w:t xml:space="preserve">condición habilitante </w:t>
      </w:r>
      <w:r w:rsidRPr="00DE7CC4">
        <w:rPr>
          <w:rFonts w:ascii="Times New Roman" w:hAnsi="Times New Roman" w:cs="Times New Roman"/>
          <w:color w:val="000000" w:themeColor="text1"/>
          <w:sz w:val="28"/>
          <w:bdr w:val="none" w:sz="0" w:space="0" w:color="auto" w:frame="1"/>
          <w:lang w:val="es-ES_tradnl" w:eastAsia="es-ES"/>
        </w:rPr>
        <w:t xml:space="preserve">para iniciar un juicio de constitucionalidad por la presunta violación de la prohibición de retroceso; (iii) </w:t>
      </w:r>
      <w:r w:rsidRPr="00DE7CC4">
        <w:rPr>
          <w:rFonts w:ascii="Times New Roman" w:hAnsi="Times New Roman" w:cs="Times New Roman"/>
          <w:i/>
          <w:iCs/>
          <w:color w:val="000000" w:themeColor="text1"/>
          <w:sz w:val="28"/>
          <w:bdr w:val="none" w:sz="0" w:space="0" w:color="auto" w:frame="1"/>
          <w:lang w:val="es-ES_tradnl" w:eastAsia="es-ES"/>
        </w:rPr>
        <w:t xml:space="preserve">pertinencia: </w:t>
      </w:r>
      <w:r w:rsidRPr="00DE7CC4">
        <w:rPr>
          <w:rFonts w:ascii="Times New Roman" w:hAnsi="Times New Roman" w:cs="Times New Roman"/>
          <w:color w:val="000000" w:themeColor="text1"/>
          <w:sz w:val="28"/>
          <w:bdr w:val="none" w:sz="0" w:space="0" w:color="auto" w:frame="1"/>
          <w:lang w:val="es-ES_tradnl" w:eastAsia="es-ES"/>
        </w:rPr>
        <w:t>en tanto sus arg</w:t>
      </w:r>
      <w:r w:rsidRPr="00DE7CC4">
        <w:rPr>
          <w:rFonts w:ascii="Times New Roman" w:hAnsi="Times New Roman" w:cs="Times New Roman"/>
          <w:color w:val="000000" w:themeColor="text1"/>
          <w:sz w:val="28"/>
          <w:bdr w:val="none" w:sz="0" w:space="0" w:color="auto" w:frame="1"/>
          <w:lang w:val="es-ES_tradnl" w:eastAsia="es-ES"/>
        </w:rPr>
        <w:t xml:space="preserve">umentos son especulativos, y, finalmente, (iv) </w:t>
      </w:r>
      <w:r w:rsidRPr="00DE7CC4">
        <w:rPr>
          <w:rFonts w:ascii="Times New Roman" w:hAnsi="Times New Roman" w:cs="Times New Roman"/>
          <w:i/>
          <w:iCs/>
          <w:color w:val="000000" w:themeColor="text1"/>
          <w:sz w:val="28"/>
          <w:bdr w:val="none" w:sz="0" w:space="0" w:color="auto" w:frame="1"/>
          <w:lang w:val="es-ES_tradnl" w:eastAsia="es-ES"/>
        </w:rPr>
        <w:t xml:space="preserve">suficiencia: </w:t>
      </w:r>
      <w:r w:rsidRPr="00DE7CC4">
        <w:rPr>
          <w:rFonts w:ascii="Times New Roman" w:hAnsi="Times New Roman" w:cs="Times New Roman"/>
          <w:color w:val="000000" w:themeColor="text1"/>
          <w:sz w:val="28"/>
          <w:bdr w:val="none" w:sz="0" w:space="0" w:color="auto" w:frame="1"/>
          <w:lang w:val="es-ES_tradnl" w:eastAsia="es-ES"/>
        </w:rPr>
        <w:t>en cuanto, por este cargo, no se genera una mínima duda de inconstitucionalidad con el estándar requerido para emitir de fondo una decisión. Si bien al momento de admitirse la demanda por este car</w:t>
      </w:r>
      <w:r w:rsidRPr="00DE7CC4">
        <w:rPr>
          <w:rFonts w:ascii="Times New Roman" w:hAnsi="Times New Roman" w:cs="Times New Roman"/>
          <w:color w:val="000000" w:themeColor="text1"/>
          <w:sz w:val="28"/>
          <w:bdr w:val="none" w:sz="0" w:space="0" w:color="auto" w:frame="1"/>
          <w:lang w:val="es-ES_tradnl" w:eastAsia="es-ES"/>
        </w:rPr>
        <w:t xml:space="preserve">go se consideró que, en dicha etapa y para efectos de iniciar el proceso de constitucionalidad, sí </w:t>
      </w:r>
      <w:r w:rsidRPr="00DE7CC4">
        <w:rPr>
          <w:rFonts w:ascii="Times New Roman" w:hAnsi="Times New Roman" w:cs="Times New Roman"/>
          <w:color w:val="000000" w:themeColor="text1"/>
          <w:sz w:val="28"/>
          <w:bdr w:val="none" w:sz="0" w:space="0" w:color="auto" w:frame="1"/>
          <w:lang w:val="es-ES_tradnl" w:eastAsia="es-ES"/>
        </w:rPr>
        <w:t xml:space="preserve">se </w:t>
      </w:r>
      <w:r w:rsidRPr="00DE7CC4">
        <w:rPr>
          <w:rFonts w:ascii="Times New Roman" w:hAnsi="Times New Roman" w:cs="Times New Roman"/>
          <w:color w:val="000000" w:themeColor="text1"/>
          <w:sz w:val="28"/>
          <w:bdr w:val="none" w:sz="0" w:space="0" w:color="auto" w:frame="1"/>
          <w:lang w:val="es-ES_tradnl" w:eastAsia="es-ES"/>
        </w:rPr>
        <w:t xml:space="preserve">generaba una mínima duda, lo cierto es que, en este momento procesal y a partir de los argumentos de las intervenciones y contextualización normativa, se </w:t>
      </w:r>
      <w:r w:rsidRPr="00DE7CC4">
        <w:rPr>
          <w:rFonts w:ascii="Times New Roman" w:hAnsi="Times New Roman" w:cs="Times New Roman"/>
          <w:color w:val="000000" w:themeColor="text1"/>
          <w:sz w:val="28"/>
          <w:bdr w:val="none" w:sz="0" w:space="0" w:color="auto" w:frame="1"/>
          <w:lang w:val="es-ES_tradnl" w:eastAsia="es-ES"/>
        </w:rPr>
        <w:t xml:space="preserve">concluye que no satisface este requisito. </w:t>
      </w:r>
    </w:p>
    <w:p w:rsidR="00F32ED8" w:rsidRPr="00DE7CC4" w:rsidRDefault="00DE7CC4" w:rsidP="00F32ED8">
      <w:pPr>
        <w:jc w:val="both"/>
        <w:rPr>
          <w:rFonts w:ascii="Times New Roman" w:hAnsi="Times New Roman" w:cs="Times New Roman"/>
          <w:color w:val="000000" w:themeColor="text1"/>
          <w:sz w:val="28"/>
          <w:bdr w:val="none" w:sz="0" w:space="0" w:color="auto" w:frame="1"/>
          <w:lang w:val="es-ES_tradnl" w:eastAsia="es-ES"/>
        </w:rPr>
      </w:pPr>
    </w:p>
    <w:p w:rsidR="00F32ED8" w:rsidRPr="00DE7CC4" w:rsidRDefault="00DE7CC4" w:rsidP="00F32ED8">
      <w:pPr>
        <w:jc w:val="both"/>
        <w:rPr>
          <w:rFonts w:ascii="Times New Roman" w:hAnsi="Times New Roman" w:cs="Times New Roman"/>
          <w:color w:val="000000" w:themeColor="text1"/>
          <w:sz w:val="28"/>
          <w:bdr w:val="none" w:sz="0" w:space="0" w:color="auto" w:frame="1"/>
          <w:lang w:val="es-ES_tradnl" w:eastAsia="es-ES"/>
        </w:rPr>
      </w:pPr>
      <w:r w:rsidRPr="00DE7CC4">
        <w:rPr>
          <w:rFonts w:ascii="Times New Roman" w:hAnsi="Times New Roman" w:cs="Times New Roman"/>
          <w:color w:val="000000" w:themeColor="text1"/>
          <w:sz w:val="28"/>
          <w:bdr w:val="none" w:sz="0" w:space="0" w:color="auto" w:frame="1"/>
          <w:lang w:val="es-ES_tradnl" w:eastAsia="es-ES"/>
        </w:rPr>
        <w:t xml:space="preserve">80. El cargo no cumple el requisito de </w:t>
      </w:r>
      <w:r w:rsidRPr="00DE7CC4">
        <w:rPr>
          <w:rFonts w:ascii="Times New Roman" w:hAnsi="Times New Roman" w:cs="Times New Roman"/>
          <w:i/>
          <w:iCs/>
          <w:color w:val="000000" w:themeColor="text1"/>
          <w:sz w:val="28"/>
          <w:bdr w:val="none" w:sz="0" w:space="0" w:color="auto" w:frame="1"/>
          <w:lang w:val="es-ES_tradnl" w:eastAsia="es-ES"/>
        </w:rPr>
        <w:t xml:space="preserve">certeza. </w:t>
      </w:r>
      <w:r w:rsidRPr="00DE7CC4">
        <w:rPr>
          <w:rFonts w:ascii="Times New Roman" w:hAnsi="Times New Roman" w:cs="Times New Roman"/>
          <w:iCs/>
          <w:color w:val="000000" w:themeColor="text1"/>
          <w:sz w:val="28"/>
          <w:bdr w:val="none" w:sz="0" w:space="0" w:color="auto" w:frame="1"/>
          <w:lang w:val="es-ES_tradnl" w:eastAsia="es-ES"/>
        </w:rPr>
        <w:t xml:space="preserve">De manera consistente, los promotores de la acción dan a entender que el </w:t>
      </w:r>
      <w:r w:rsidRPr="00DE7CC4">
        <w:rPr>
          <w:rFonts w:ascii="Times New Roman" w:hAnsi="Times New Roman" w:cs="Times New Roman"/>
          <w:i/>
          <w:color w:val="000000" w:themeColor="text1"/>
          <w:sz w:val="28"/>
          <w:bdr w:val="none" w:sz="0" w:space="0" w:color="auto" w:frame="1"/>
          <w:lang w:val="es-ES_tradnl" w:eastAsia="es-ES"/>
        </w:rPr>
        <w:t>retroceso</w:t>
      </w:r>
      <w:r w:rsidRPr="00DE7CC4">
        <w:rPr>
          <w:rFonts w:ascii="Times New Roman" w:hAnsi="Times New Roman" w:cs="Times New Roman"/>
          <w:iCs/>
          <w:color w:val="000000" w:themeColor="text1"/>
          <w:sz w:val="28"/>
          <w:bdr w:val="none" w:sz="0" w:space="0" w:color="auto" w:frame="1"/>
          <w:lang w:val="es-ES_tradnl" w:eastAsia="es-ES"/>
        </w:rPr>
        <w:t xml:space="preserve"> se predica de los propietarios de vehículos que, involucrados en los accidentes d</w:t>
      </w:r>
      <w:r w:rsidRPr="00DE7CC4">
        <w:rPr>
          <w:rFonts w:ascii="Times New Roman" w:hAnsi="Times New Roman" w:cs="Times New Roman"/>
          <w:iCs/>
          <w:color w:val="000000" w:themeColor="text1"/>
          <w:sz w:val="28"/>
          <w:bdr w:val="none" w:sz="0" w:space="0" w:color="auto" w:frame="1"/>
          <w:lang w:val="es-ES_tradnl" w:eastAsia="es-ES"/>
        </w:rPr>
        <w:t xml:space="preserve">e tránsito que generan solo daños materiales, </w:t>
      </w:r>
      <w:r w:rsidRPr="00DE7CC4">
        <w:rPr>
          <w:rFonts w:ascii="Times New Roman" w:hAnsi="Times New Roman" w:cs="Times New Roman"/>
          <w:color w:val="000000" w:themeColor="text1"/>
          <w:sz w:val="28"/>
          <w:bdr w:val="none" w:sz="0" w:space="0" w:color="auto" w:frame="1"/>
          <w:lang w:val="es-ES_tradnl" w:eastAsia="es-ES"/>
        </w:rPr>
        <w:t>no hayan sido responsables del accidente; en esta dirección, indicaron que el Estado renuncia a su deber de proteger el derecho a la propiedad pues “dejan al ciudadano inerme frente a la ocurrencia de un accide</w:t>
      </w:r>
      <w:r w:rsidRPr="00DE7CC4">
        <w:rPr>
          <w:rFonts w:ascii="Times New Roman" w:hAnsi="Times New Roman" w:cs="Times New Roman"/>
          <w:color w:val="000000" w:themeColor="text1"/>
          <w:sz w:val="28"/>
          <w:bdr w:val="none" w:sz="0" w:space="0" w:color="auto" w:frame="1"/>
          <w:lang w:val="es-ES_tradnl" w:eastAsia="es-ES"/>
        </w:rPr>
        <w:t>nte de tránsito respecto de cuyos daños él no ha sido responsable”</w:t>
      </w:r>
      <w:r w:rsidRPr="00DE7CC4">
        <w:rPr>
          <w:rStyle w:val="Refdenotaalpie"/>
          <w:rFonts w:ascii="Times New Roman" w:hAnsi="Times New Roman"/>
          <w:color w:val="000000" w:themeColor="text1"/>
          <w:sz w:val="28"/>
          <w:bdr w:val="none" w:sz="0" w:space="0" w:color="auto" w:frame="1"/>
          <w:lang w:val="es-ES_tradnl" w:eastAsia="es-ES"/>
        </w:rPr>
        <w:footnoteReference w:id="112"/>
      </w:r>
      <w:r w:rsidRPr="00DE7CC4">
        <w:rPr>
          <w:rFonts w:ascii="Times New Roman" w:hAnsi="Times New Roman" w:cs="Times New Roman"/>
          <w:color w:val="000000" w:themeColor="text1"/>
          <w:sz w:val="28"/>
          <w:bdr w:val="none" w:sz="0" w:space="0" w:color="auto" w:frame="1"/>
          <w:lang w:val="es-ES_tradnl" w:eastAsia="es-ES"/>
        </w:rPr>
        <w:t xml:space="preserve"> y la recolección de la prueba por quien carece de experticia “afecta ilegítimamente el derecho de propiedad del dueño del vehículo que no ha sido responsable del daño”</w:t>
      </w:r>
      <w:r w:rsidRPr="00DE7CC4">
        <w:rPr>
          <w:rStyle w:val="Refdenotaalpie"/>
          <w:rFonts w:ascii="Times New Roman" w:hAnsi="Times New Roman"/>
          <w:color w:val="000000" w:themeColor="text1"/>
          <w:sz w:val="28"/>
          <w:bdr w:val="none" w:sz="0" w:space="0" w:color="auto" w:frame="1"/>
          <w:lang w:val="es-ES_tradnl" w:eastAsia="es-ES"/>
        </w:rPr>
        <w:footnoteReference w:id="113"/>
      </w:r>
      <w:r w:rsidRPr="00DE7CC4">
        <w:rPr>
          <w:rFonts w:ascii="Times New Roman" w:hAnsi="Times New Roman" w:cs="Times New Roman"/>
          <w:color w:val="000000" w:themeColor="text1"/>
          <w:sz w:val="28"/>
          <w:bdr w:val="none" w:sz="0" w:space="0" w:color="auto" w:frame="1"/>
          <w:lang w:val="es-ES_tradnl" w:eastAsia="es-ES"/>
        </w:rPr>
        <w:t xml:space="preserve">. No obstante, para </w:t>
      </w:r>
      <w:r w:rsidRPr="00DE7CC4">
        <w:rPr>
          <w:rFonts w:ascii="Times New Roman" w:hAnsi="Times New Roman" w:cs="Times New Roman"/>
          <w:color w:val="000000" w:themeColor="text1"/>
          <w:sz w:val="28"/>
          <w:bdr w:val="none" w:sz="0" w:space="0" w:color="auto" w:frame="1"/>
          <w:lang w:val="es-ES_tradnl" w:eastAsia="es-ES"/>
        </w:rPr>
        <w:t>la regulación demandada la responsabilidad -o no- en un accidente de tránsito no es un aspecto relevante e, incluso, es posible que un accidente de tránsito no comprometa la responsabilidad de quienes están inmersos en el mismo o que aquella sea concurrent</w:t>
      </w:r>
      <w:r w:rsidRPr="00DE7CC4">
        <w:rPr>
          <w:rFonts w:ascii="Times New Roman" w:hAnsi="Times New Roman" w:cs="Times New Roman"/>
          <w:color w:val="000000" w:themeColor="text1"/>
          <w:sz w:val="28"/>
          <w:bdr w:val="none" w:sz="0" w:space="0" w:color="auto" w:frame="1"/>
          <w:lang w:val="es-ES_tradnl" w:eastAsia="es-ES"/>
        </w:rPr>
        <w:t xml:space="preserve">e, con lo cual, tal lectura del artículo 16 demandado y, por tanto, el enfoque del cargo, no son debidamente justificados. </w:t>
      </w:r>
    </w:p>
    <w:p w:rsidR="00F32ED8" w:rsidRPr="00DE7CC4" w:rsidRDefault="00DE7CC4" w:rsidP="00F32ED8">
      <w:pPr>
        <w:jc w:val="both"/>
        <w:rPr>
          <w:rFonts w:ascii="Times New Roman" w:hAnsi="Times New Roman" w:cs="Times New Roman"/>
          <w:color w:val="000000" w:themeColor="text1"/>
          <w:sz w:val="28"/>
          <w:bdr w:val="none" w:sz="0" w:space="0" w:color="auto" w:frame="1"/>
          <w:lang w:val="es-ES_tradnl" w:eastAsia="es-ES"/>
        </w:rPr>
      </w:pPr>
    </w:p>
    <w:p w:rsidR="00F32ED8" w:rsidRPr="00DE7CC4" w:rsidRDefault="00DE7CC4" w:rsidP="00F32ED8">
      <w:pPr>
        <w:jc w:val="both"/>
        <w:rPr>
          <w:rFonts w:ascii="Times New Roman" w:hAnsi="Times New Roman" w:cs="Times New Roman"/>
          <w:color w:val="000000" w:themeColor="text1"/>
          <w:sz w:val="28"/>
          <w:bdr w:val="none" w:sz="0" w:space="0" w:color="auto" w:frame="1"/>
          <w:lang w:val="es-ES_tradnl" w:eastAsia="es-ES"/>
        </w:rPr>
      </w:pPr>
      <w:r w:rsidRPr="00DE7CC4">
        <w:rPr>
          <w:rFonts w:ascii="Times New Roman" w:hAnsi="Times New Roman" w:cs="Times New Roman"/>
          <w:color w:val="000000" w:themeColor="text1"/>
          <w:sz w:val="28"/>
          <w:bdr w:val="none" w:sz="0" w:space="0" w:color="auto" w:frame="1"/>
          <w:lang w:val="es-ES_tradnl" w:eastAsia="es-ES"/>
        </w:rPr>
        <w:t>81. Sumado a lo anterior, para los demandantes la ausencia de la autoridad de tránsito dificulta el “hallazgo de testigos del accid</w:t>
      </w:r>
      <w:r w:rsidRPr="00DE7CC4">
        <w:rPr>
          <w:rFonts w:ascii="Times New Roman" w:hAnsi="Times New Roman" w:cs="Times New Roman"/>
          <w:color w:val="000000" w:themeColor="text1"/>
          <w:sz w:val="28"/>
          <w:bdr w:val="none" w:sz="0" w:space="0" w:color="auto" w:frame="1"/>
          <w:lang w:val="es-ES_tradnl" w:eastAsia="es-ES"/>
        </w:rPr>
        <w:t>ente, pues no es igual que un policía de tránsito recoja información testimonial del hecho, a que lo haga el ciudadano común, que no ejerce autoridad sobre nadie. La imposibilidad jurídica de que el ciudadano recaude por vía de autoridad la prueba testimon</w:t>
      </w:r>
      <w:r w:rsidRPr="00DE7CC4">
        <w:rPr>
          <w:rFonts w:ascii="Times New Roman" w:hAnsi="Times New Roman" w:cs="Times New Roman"/>
          <w:color w:val="000000" w:themeColor="text1"/>
          <w:sz w:val="28"/>
          <w:bdr w:val="none" w:sz="0" w:space="0" w:color="auto" w:frame="1"/>
          <w:lang w:val="es-ES_tradnl" w:eastAsia="es-ES"/>
        </w:rPr>
        <w:t>ial hace que se pierda una prueba importante para determinar el daño y la culpa del accidente”</w:t>
      </w:r>
      <w:r w:rsidRPr="00DE7CC4">
        <w:rPr>
          <w:rStyle w:val="Refdenotaalpie"/>
          <w:rFonts w:ascii="Times New Roman" w:hAnsi="Times New Roman"/>
          <w:color w:val="000000" w:themeColor="text1"/>
          <w:sz w:val="28"/>
          <w:bdr w:val="none" w:sz="0" w:space="0" w:color="auto" w:frame="1"/>
          <w:lang w:val="es-ES_tradnl" w:eastAsia="es-ES"/>
        </w:rPr>
        <w:footnoteReference w:id="114"/>
      </w:r>
      <w:r w:rsidRPr="00DE7CC4">
        <w:rPr>
          <w:rFonts w:ascii="Times New Roman" w:hAnsi="Times New Roman" w:cs="Times New Roman"/>
          <w:color w:val="000000" w:themeColor="text1"/>
          <w:sz w:val="28"/>
          <w:bdr w:val="none" w:sz="0" w:space="0" w:color="auto" w:frame="1"/>
          <w:lang w:val="es-ES_tradnl" w:eastAsia="es-ES"/>
        </w:rPr>
        <w:t>. Para esta comprensión, los demandantes acuden a una lectura sistemática del artículo 144 de la Ley 769 de 2002, según el cual el informe policial por accidente</w:t>
      </w:r>
      <w:r w:rsidRPr="00DE7CC4">
        <w:rPr>
          <w:rFonts w:ascii="Times New Roman" w:hAnsi="Times New Roman" w:cs="Times New Roman"/>
          <w:color w:val="000000" w:themeColor="text1"/>
          <w:sz w:val="28"/>
          <w:bdr w:val="none" w:sz="0" w:space="0" w:color="auto" w:frame="1"/>
          <w:lang w:val="es-ES_tradnl" w:eastAsia="es-ES"/>
        </w:rPr>
        <w:t xml:space="preserve"> de tránsito -IPAT- puede ser suscrito por un testigo mayor de edad:</w:t>
      </w:r>
    </w:p>
    <w:p w:rsidR="00F32ED8" w:rsidRPr="00DE7CC4" w:rsidRDefault="00DE7CC4" w:rsidP="00F32ED8">
      <w:pPr>
        <w:ind w:left="567" w:right="333"/>
        <w:jc w:val="both"/>
        <w:rPr>
          <w:rFonts w:ascii="Times New Roman" w:hAnsi="Times New Roman" w:cs="Times New Roman"/>
          <w:color w:val="000000" w:themeColor="text1"/>
          <w:sz w:val="28"/>
          <w:bdr w:val="none" w:sz="0" w:space="0" w:color="auto" w:frame="1"/>
          <w:lang w:val="es-ES_tradnl" w:eastAsia="es-ES"/>
        </w:rPr>
      </w:pPr>
    </w:p>
    <w:p w:rsidR="00F32ED8" w:rsidRPr="00DE7CC4" w:rsidRDefault="00DE7CC4" w:rsidP="00F32ED8">
      <w:pPr>
        <w:pStyle w:val="NormalWeb"/>
        <w:spacing w:line="254" w:lineRule="atLeast"/>
        <w:ind w:left="567" w:right="333"/>
        <w:jc w:val="both"/>
        <w:rPr>
          <w:rFonts w:ascii="Times New Roman" w:hAnsi="Times New Roman" w:cs="Times New Roman"/>
          <w:color w:val="000000" w:themeColor="text1"/>
          <w:sz w:val="28"/>
        </w:rPr>
      </w:pPr>
      <w:r w:rsidRPr="00DE7CC4">
        <w:rPr>
          <w:rFonts w:ascii="Times New Roman" w:hAnsi="Times New Roman" w:cs="Times New Roman"/>
          <w:color w:val="000000" w:themeColor="text1"/>
          <w:sz w:val="28"/>
          <w:bdr w:val="none" w:sz="0" w:space="0" w:color="auto" w:frame="1"/>
          <w:lang w:val="es-ES_tradnl" w:eastAsia="es-ES"/>
        </w:rPr>
        <w:t>“</w:t>
      </w:r>
      <w:r w:rsidRPr="00DE7CC4">
        <w:rPr>
          <w:rStyle w:val="Textoennegrita"/>
          <w:rFonts w:ascii="Times New Roman" w:hAnsi="Times New Roman" w:cs="Times New Roman"/>
          <w:color w:val="000000" w:themeColor="text1"/>
          <w:sz w:val="28"/>
        </w:rPr>
        <w:t xml:space="preserve">Artículo 144. </w:t>
      </w:r>
      <w:r w:rsidRPr="00DE7CC4">
        <w:rPr>
          <w:rStyle w:val="nfasis"/>
          <w:rFonts w:ascii="Times New Roman" w:hAnsi="Times New Roman" w:cs="Times New Roman"/>
          <w:color w:val="000000" w:themeColor="text1"/>
          <w:sz w:val="28"/>
        </w:rPr>
        <w:t>Informe policial</w:t>
      </w:r>
      <w:r w:rsidRPr="00DE7CC4">
        <w:rPr>
          <w:rFonts w:ascii="Times New Roman" w:hAnsi="Times New Roman" w:cs="Times New Roman"/>
          <w:i/>
          <w:iCs/>
          <w:color w:val="000000" w:themeColor="text1"/>
          <w:sz w:val="28"/>
        </w:rPr>
        <w:t>.</w:t>
      </w:r>
      <w:r w:rsidRPr="00DE7CC4">
        <w:rPr>
          <w:rFonts w:ascii="Times New Roman" w:hAnsi="Times New Roman" w:cs="Times New Roman"/>
          <w:color w:val="000000" w:themeColor="text1"/>
          <w:sz w:val="28"/>
        </w:rPr>
        <w:t xml:space="preserve"> En los casos en que no fuere posible la conciliación entre los conductores, el agente de tránsito que conozca el hecho levantará un informe descriptivo de sus pormenores, con copia inmediata a los conductores, quienes deberán suscribirlas, y si éstos se n</w:t>
      </w:r>
      <w:r w:rsidRPr="00DE7CC4">
        <w:rPr>
          <w:rFonts w:ascii="Times New Roman" w:hAnsi="Times New Roman" w:cs="Times New Roman"/>
          <w:color w:val="000000" w:themeColor="text1"/>
          <w:sz w:val="28"/>
        </w:rPr>
        <w:t>egaren a hacerlo bastará la firma de un testigo mayor de edad.</w:t>
      </w:r>
    </w:p>
    <w:p w:rsidR="00F32ED8" w:rsidRPr="00DE7CC4" w:rsidRDefault="00DE7CC4" w:rsidP="00F32ED8">
      <w:pPr>
        <w:pStyle w:val="NormalWeb"/>
        <w:spacing w:line="254" w:lineRule="atLeast"/>
        <w:ind w:left="567" w:right="333"/>
        <w:jc w:val="both"/>
        <w:rPr>
          <w:rFonts w:ascii="Times New Roman" w:hAnsi="Times New Roman" w:cs="Times New Roman"/>
          <w:color w:val="000000" w:themeColor="text1"/>
          <w:sz w:val="28"/>
        </w:rPr>
      </w:pPr>
      <w:r w:rsidRPr="00DE7CC4">
        <w:rPr>
          <w:rFonts w:ascii="Times New Roman" w:hAnsi="Times New Roman" w:cs="Times New Roman"/>
          <w:color w:val="000000" w:themeColor="text1"/>
          <w:sz w:val="28"/>
        </w:rPr>
        <w:t>(…)”.</w:t>
      </w:r>
    </w:p>
    <w:p w:rsidR="00F32ED8" w:rsidRPr="00DE7CC4" w:rsidRDefault="00DE7CC4" w:rsidP="00F32ED8">
      <w:pPr>
        <w:pStyle w:val="NormalWeb"/>
        <w:spacing w:line="254" w:lineRule="atLeast"/>
        <w:ind w:right="49"/>
        <w:jc w:val="both"/>
        <w:rPr>
          <w:rFonts w:ascii="Times New Roman" w:hAnsi="Times New Roman" w:cs="Times New Roman"/>
          <w:color w:val="000000" w:themeColor="text1"/>
          <w:sz w:val="28"/>
        </w:rPr>
      </w:pPr>
    </w:p>
    <w:p w:rsidR="00F32ED8" w:rsidRPr="00DE7CC4" w:rsidRDefault="00DE7CC4" w:rsidP="00F32ED8">
      <w:pPr>
        <w:pStyle w:val="NormalWeb"/>
        <w:spacing w:line="254" w:lineRule="atLeast"/>
        <w:ind w:right="49"/>
        <w:jc w:val="both"/>
        <w:rPr>
          <w:rFonts w:ascii="Times New Roman" w:hAnsi="Times New Roman" w:cs="Times New Roman"/>
          <w:color w:val="000000" w:themeColor="text1"/>
          <w:sz w:val="28"/>
        </w:rPr>
      </w:pPr>
      <w:r w:rsidRPr="00DE7CC4">
        <w:rPr>
          <w:rFonts w:ascii="Times New Roman" w:hAnsi="Times New Roman" w:cs="Times New Roman"/>
          <w:color w:val="000000" w:themeColor="text1"/>
          <w:sz w:val="28"/>
        </w:rPr>
        <w:t xml:space="preserve">82. La inconsistencia en la apreciación de los accionantes, radica en el alcance que le dan a la intervención del mencionado testigo y, por tanto, las implicaciones que atribuyen a la </w:t>
      </w:r>
      <w:r w:rsidRPr="00DE7CC4">
        <w:rPr>
          <w:rFonts w:ascii="Times New Roman" w:hAnsi="Times New Roman" w:cs="Times New Roman"/>
          <w:color w:val="000000" w:themeColor="text1"/>
          <w:sz w:val="28"/>
        </w:rPr>
        <w:t>ausencia de la autoridad de tránsito en accidentes con repercusiones exclusivamente materiales. La demanda cita, en apoyo de su aproximación, la Sentencia C-429 de 2003</w:t>
      </w:r>
      <w:r w:rsidRPr="00DE7CC4">
        <w:rPr>
          <w:rStyle w:val="Refdenotaalpie"/>
          <w:rFonts w:ascii="Times New Roman" w:hAnsi="Times New Roman"/>
          <w:color w:val="000000" w:themeColor="text1"/>
          <w:sz w:val="28"/>
        </w:rPr>
        <w:footnoteReference w:id="115"/>
      </w:r>
      <w:r w:rsidRPr="00DE7CC4">
        <w:rPr>
          <w:rFonts w:ascii="Times New Roman" w:hAnsi="Times New Roman" w:cs="Times New Roman"/>
          <w:color w:val="000000" w:themeColor="text1"/>
          <w:sz w:val="28"/>
        </w:rPr>
        <w:t>, que se pronunció sobre el rol del testigo en informes por accidentes de tránsito que,</w:t>
      </w:r>
      <w:r w:rsidRPr="00DE7CC4">
        <w:rPr>
          <w:rFonts w:ascii="Times New Roman" w:hAnsi="Times New Roman" w:cs="Times New Roman"/>
          <w:color w:val="000000" w:themeColor="text1"/>
          <w:sz w:val="28"/>
        </w:rPr>
        <w:t xml:space="preserve"> además, tienen implicaciones penales (</w:t>
      </w:r>
      <w:r w:rsidRPr="00DE7CC4">
        <w:rPr>
          <w:rFonts w:ascii="Times New Roman" w:hAnsi="Times New Roman" w:cs="Times New Roman"/>
          <w:color w:val="000000" w:themeColor="text1"/>
          <w:sz w:val="28"/>
        </w:rPr>
        <w:t>a</w:t>
      </w:r>
      <w:r w:rsidRPr="00DE7CC4">
        <w:rPr>
          <w:rFonts w:ascii="Times New Roman" w:hAnsi="Times New Roman" w:cs="Times New Roman"/>
          <w:color w:val="000000" w:themeColor="text1"/>
          <w:sz w:val="28"/>
        </w:rPr>
        <w:t xml:space="preserve">rt. 149, Ley 769 de 2002), pero que, claramente, tiene un alcance similar al enunciado establecido en el artículo 144 mencionado. Contrario a lo que de allí deducen los promotores de la acción, dicho pronunciamiento </w:t>
      </w:r>
      <w:r w:rsidRPr="00DE7CC4">
        <w:rPr>
          <w:rFonts w:ascii="Times New Roman" w:hAnsi="Times New Roman" w:cs="Times New Roman"/>
          <w:color w:val="000000" w:themeColor="text1"/>
          <w:sz w:val="28"/>
        </w:rPr>
        <w:t xml:space="preserve">de la Corte es nítido al señalar que: </w:t>
      </w:r>
    </w:p>
    <w:p w:rsidR="00F32ED8" w:rsidRPr="00DE7CC4" w:rsidRDefault="00DE7CC4" w:rsidP="00F32ED8">
      <w:pPr>
        <w:pStyle w:val="NormalWeb"/>
        <w:spacing w:line="254" w:lineRule="atLeast"/>
        <w:ind w:right="333"/>
        <w:jc w:val="both"/>
        <w:rPr>
          <w:rFonts w:ascii="Times New Roman" w:hAnsi="Times New Roman" w:cs="Times New Roman"/>
          <w:color w:val="000000" w:themeColor="text1"/>
          <w:sz w:val="28"/>
        </w:rPr>
      </w:pPr>
    </w:p>
    <w:p w:rsidR="00F32ED8" w:rsidRPr="00DE7CC4" w:rsidRDefault="00DE7CC4" w:rsidP="00F32ED8">
      <w:pPr>
        <w:pStyle w:val="NormalWeb"/>
        <w:spacing w:line="254" w:lineRule="atLeast"/>
        <w:ind w:left="567" w:right="900"/>
        <w:jc w:val="both"/>
        <w:rPr>
          <w:rFonts w:ascii="Times New Roman" w:hAnsi="Times New Roman" w:cs="Times New Roman"/>
          <w:color w:val="000000" w:themeColor="text1"/>
          <w:sz w:val="28"/>
          <w:shd w:val="clear" w:color="auto" w:fill="FFFFFF"/>
        </w:rPr>
      </w:pPr>
      <w:r w:rsidRPr="00DE7CC4">
        <w:rPr>
          <w:rFonts w:ascii="Times New Roman" w:hAnsi="Times New Roman" w:cs="Times New Roman"/>
          <w:color w:val="000000" w:themeColor="text1"/>
          <w:sz w:val="28"/>
          <w:shd w:val="clear" w:color="auto" w:fill="FFFFFF"/>
        </w:rPr>
        <w:t>“Para esta Corporación es claro que la norma legal debe entenderse como la posibilidad de que alternativamente el informe sea firmado por un testigo, cuando los conductores no quieran firmarlo o no estén en posibilid</w:t>
      </w:r>
      <w:r w:rsidRPr="00DE7CC4">
        <w:rPr>
          <w:rFonts w:ascii="Times New Roman" w:hAnsi="Times New Roman" w:cs="Times New Roman"/>
          <w:color w:val="000000" w:themeColor="text1"/>
          <w:sz w:val="28"/>
          <w:shd w:val="clear" w:color="auto" w:fill="FFFFFF"/>
        </w:rPr>
        <w:t>ad de hacerlo</w:t>
      </w:r>
      <w:bookmarkStart w:id="12" w:name="_ftnref10"/>
      <w:r w:rsidRPr="00DE7CC4">
        <w:rPr>
          <w:rFonts w:ascii="Times New Roman" w:hAnsi="Times New Roman" w:cs="Times New Roman"/>
          <w:color w:val="000000" w:themeColor="text1"/>
          <w:sz w:val="28"/>
        </w:rPr>
        <w:fldChar w:fldCharType="begin"/>
      </w:r>
      <w:r w:rsidRPr="00DE7CC4">
        <w:rPr>
          <w:rFonts w:ascii="Times New Roman" w:hAnsi="Times New Roman" w:cs="Times New Roman"/>
          <w:color w:val="000000" w:themeColor="text1"/>
          <w:sz w:val="28"/>
        </w:rPr>
        <w:instrText>HYPERLINK "https://www.corteconstitucional.gov.co/relatoria/2003/C-429-03.htm" \l "_ftn10" \o ""</w:instrText>
      </w:r>
      <w:r w:rsidRPr="00DE7CC4">
        <w:rPr>
          <w:rFonts w:ascii="Times New Roman" w:hAnsi="Times New Roman" w:cs="Times New Roman"/>
          <w:color w:val="000000" w:themeColor="text1"/>
          <w:sz w:val="28"/>
        </w:rPr>
        <w:fldChar w:fldCharType="separate"/>
      </w:r>
      <w:r w:rsidRPr="00DE7CC4">
        <w:rPr>
          <w:rFonts w:ascii="Times New Roman" w:hAnsi="Times New Roman" w:cs="Times New Roman"/>
          <w:color w:val="000000" w:themeColor="text1"/>
          <w:sz w:val="28"/>
          <w:shd w:val="clear" w:color="auto" w:fill="FFFFFF"/>
          <w:vertAlign w:val="superscript"/>
        </w:rPr>
        <w:t>[10]</w:t>
      </w:r>
      <w:r w:rsidRPr="00DE7CC4">
        <w:rPr>
          <w:rFonts w:ascii="Times New Roman" w:hAnsi="Times New Roman" w:cs="Times New Roman"/>
          <w:color w:val="000000" w:themeColor="text1"/>
          <w:sz w:val="28"/>
        </w:rPr>
        <w:fldChar w:fldCharType="end"/>
      </w:r>
      <w:bookmarkEnd w:id="12"/>
      <w:r w:rsidRPr="00DE7CC4">
        <w:rPr>
          <w:rFonts w:ascii="Times New Roman" w:hAnsi="Times New Roman" w:cs="Times New Roman"/>
          <w:color w:val="000000" w:themeColor="text1"/>
          <w:sz w:val="28"/>
          <w:shd w:val="clear" w:color="auto" w:fill="FFFFFF"/>
        </w:rPr>
        <w:t>. En efecto, la previsión legal de esta figura constituye simplemente un instrumento que permite sentar las bases sobre las cuales se adelan</w:t>
      </w:r>
      <w:r w:rsidRPr="00DE7CC4">
        <w:rPr>
          <w:rFonts w:ascii="Times New Roman" w:hAnsi="Times New Roman" w:cs="Times New Roman"/>
          <w:color w:val="000000" w:themeColor="text1"/>
          <w:sz w:val="28"/>
          <w:shd w:val="clear" w:color="auto" w:fill="FFFFFF"/>
        </w:rPr>
        <w:t xml:space="preserve">tará un trámite penal y así evitar la parálisis de la actividad investigativa del Estado. Esta exigencia legal, tampoco constituye una vulneración del derecho de defensa del implicado, por cuanto </w:t>
      </w:r>
      <w:r w:rsidRPr="00DE7CC4">
        <w:rPr>
          <w:rFonts w:ascii="Times New Roman" w:hAnsi="Times New Roman" w:cs="Times New Roman"/>
          <w:color w:val="000000" w:themeColor="text1"/>
          <w:sz w:val="28"/>
          <w:u w:val="single"/>
          <w:shd w:val="clear" w:color="auto" w:fill="FFFFFF"/>
        </w:rPr>
        <w:t xml:space="preserve">el testigo está llamado a firmar solo para acreditar la </w:t>
      </w:r>
      <w:r w:rsidRPr="00DE7CC4">
        <w:rPr>
          <w:rFonts w:ascii="Times New Roman" w:hAnsi="Times New Roman" w:cs="Times New Roman"/>
          <w:color w:val="000000" w:themeColor="text1"/>
          <w:sz w:val="28"/>
          <w:u w:val="single"/>
          <w:shd w:val="clear" w:color="auto" w:fill="FFFFFF"/>
        </w:rPr>
        <w:t>negativa o la imposibilidad del conductor de hacerlo, pero jamás puede entenderse como la convalidación de la veracidad de los hechos descritos ni de los datos y apreciaciones que aparecen consignados en el informe descriptivo, o la imputación de responsab</w:t>
      </w:r>
      <w:r w:rsidRPr="00DE7CC4">
        <w:rPr>
          <w:rFonts w:ascii="Times New Roman" w:hAnsi="Times New Roman" w:cs="Times New Roman"/>
          <w:color w:val="000000" w:themeColor="text1"/>
          <w:sz w:val="28"/>
          <w:u w:val="single"/>
          <w:shd w:val="clear" w:color="auto" w:fill="FFFFFF"/>
        </w:rPr>
        <w:t>ilidad de los implicados</w:t>
      </w:r>
      <w:r w:rsidRPr="00DE7CC4">
        <w:rPr>
          <w:rFonts w:ascii="Times New Roman" w:hAnsi="Times New Roman" w:cs="Times New Roman"/>
          <w:color w:val="000000" w:themeColor="text1"/>
          <w:sz w:val="28"/>
          <w:shd w:val="clear" w:color="auto" w:fill="FFFFFF"/>
        </w:rPr>
        <w:t xml:space="preserve">”. (Destacado fuera de texto). </w:t>
      </w:r>
    </w:p>
    <w:p w:rsidR="00F32ED8" w:rsidRPr="00DE7CC4" w:rsidRDefault="00DE7CC4" w:rsidP="00F32ED8">
      <w:pPr>
        <w:pStyle w:val="NormalWeb"/>
        <w:spacing w:line="254" w:lineRule="atLeast"/>
        <w:ind w:right="900"/>
        <w:jc w:val="both"/>
        <w:rPr>
          <w:rFonts w:ascii="Times New Roman" w:hAnsi="Times New Roman" w:cs="Times New Roman"/>
          <w:color w:val="000000" w:themeColor="text1"/>
          <w:sz w:val="28"/>
          <w:shd w:val="clear" w:color="auto" w:fill="FFFFFF"/>
        </w:rPr>
      </w:pPr>
    </w:p>
    <w:p w:rsidR="00F32ED8" w:rsidRPr="00DE7CC4" w:rsidRDefault="00DE7CC4" w:rsidP="00F32ED8">
      <w:pPr>
        <w:pStyle w:val="NormalWeb"/>
        <w:spacing w:line="254" w:lineRule="atLeast"/>
        <w:ind w:right="49"/>
        <w:jc w:val="both"/>
        <w:rPr>
          <w:rFonts w:ascii="Times New Roman" w:hAnsi="Times New Roman" w:cs="Times New Roman"/>
          <w:i/>
          <w:iCs/>
          <w:color w:val="000000" w:themeColor="text1"/>
          <w:sz w:val="28"/>
        </w:rPr>
      </w:pPr>
      <w:r w:rsidRPr="00DE7CC4">
        <w:rPr>
          <w:rFonts w:ascii="Times New Roman" w:hAnsi="Times New Roman" w:cs="Times New Roman"/>
          <w:color w:val="000000" w:themeColor="text1"/>
          <w:sz w:val="28"/>
        </w:rPr>
        <w:t>83. Por lo anterior, a partir de las disposiciones invocadas, el impacto que los demandantes atribuyen al artículo 16 de la Ley 2251 de 2022 en materia de prueba testimonial carece de justificación y</w:t>
      </w:r>
      <w:r w:rsidRPr="00DE7CC4">
        <w:rPr>
          <w:rFonts w:ascii="Times New Roman" w:hAnsi="Times New Roman" w:cs="Times New Roman"/>
          <w:color w:val="000000" w:themeColor="text1"/>
          <w:sz w:val="28"/>
        </w:rPr>
        <w:t xml:space="preserve"> constituye una derivación propia de su contenido que no encuentra soporte normativo, dado que el agente de tránsito no practicaba la prueba testimonial, afectando de esta manera el requisito de </w:t>
      </w:r>
      <w:r w:rsidRPr="00DE7CC4">
        <w:rPr>
          <w:rFonts w:ascii="Times New Roman" w:hAnsi="Times New Roman" w:cs="Times New Roman"/>
          <w:i/>
          <w:iCs/>
          <w:color w:val="000000" w:themeColor="text1"/>
          <w:sz w:val="28"/>
        </w:rPr>
        <w:t xml:space="preserve">certeza. </w:t>
      </w:r>
    </w:p>
    <w:p w:rsidR="00F32ED8" w:rsidRPr="00DE7CC4" w:rsidRDefault="00DE7CC4" w:rsidP="00F32ED8">
      <w:pPr>
        <w:pStyle w:val="NormalWeb"/>
        <w:spacing w:line="254" w:lineRule="atLeast"/>
        <w:ind w:right="49"/>
        <w:jc w:val="both"/>
        <w:rPr>
          <w:rFonts w:ascii="Times New Roman" w:hAnsi="Times New Roman" w:cs="Times New Roman"/>
          <w:i/>
          <w:iCs/>
          <w:color w:val="000000" w:themeColor="text1"/>
          <w:sz w:val="28"/>
        </w:rPr>
      </w:pPr>
    </w:p>
    <w:p w:rsidR="00F32ED8" w:rsidRPr="00DE7CC4" w:rsidRDefault="00DE7CC4" w:rsidP="00F32ED8">
      <w:pPr>
        <w:pStyle w:val="NormalWeb"/>
        <w:spacing w:line="254" w:lineRule="atLeast"/>
        <w:ind w:right="49"/>
        <w:jc w:val="both"/>
        <w:rPr>
          <w:rFonts w:ascii="Times New Roman" w:hAnsi="Times New Roman" w:cs="Times New Roman"/>
          <w:color w:val="000000" w:themeColor="text1"/>
          <w:sz w:val="28"/>
        </w:rPr>
      </w:pPr>
      <w:r w:rsidRPr="00DE7CC4">
        <w:rPr>
          <w:rFonts w:ascii="Times New Roman" w:hAnsi="Times New Roman" w:cs="Times New Roman"/>
          <w:color w:val="000000" w:themeColor="text1"/>
          <w:sz w:val="28"/>
        </w:rPr>
        <w:t>84</w:t>
      </w:r>
      <w:r w:rsidRPr="00DE7CC4">
        <w:rPr>
          <w:rFonts w:ascii="Times New Roman" w:hAnsi="Times New Roman" w:cs="Times New Roman"/>
          <w:i/>
          <w:iCs/>
          <w:color w:val="000000" w:themeColor="text1"/>
          <w:sz w:val="28"/>
        </w:rPr>
        <w:t xml:space="preserve">. </w:t>
      </w:r>
      <w:r w:rsidRPr="00DE7CC4">
        <w:rPr>
          <w:rFonts w:ascii="Times New Roman" w:hAnsi="Times New Roman" w:cs="Times New Roman"/>
          <w:color w:val="000000" w:themeColor="text1"/>
          <w:sz w:val="28"/>
        </w:rPr>
        <w:t>Finalmente, e incluso si las objeciones referi</w:t>
      </w:r>
      <w:r w:rsidRPr="00DE7CC4">
        <w:rPr>
          <w:rFonts w:ascii="Times New Roman" w:hAnsi="Times New Roman" w:cs="Times New Roman"/>
          <w:color w:val="000000" w:themeColor="text1"/>
          <w:sz w:val="28"/>
        </w:rPr>
        <w:t>das no tuvieran suficiente peso, la demanda incurrió en una omisión definitiva de cara a la adecuada fundamentación de un cargo por violación de l</w:t>
      </w:r>
      <w:r w:rsidRPr="00DE7CC4">
        <w:rPr>
          <w:rFonts w:ascii="Times New Roman" w:hAnsi="Times New Roman" w:cs="Times New Roman"/>
          <w:color w:val="000000" w:themeColor="text1"/>
          <w:sz w:val="28"/>
        </w:rPr>
        <w:t xml:space="preserve">a prohibición de retroceso. En </w:t>
      </w:r>
      <w:r w:rsidRPr="00DE7CC4">
        <w:rPr>
          <w:rFonts w:ascii="Times New Roman" w:hAnsi="Times New Roman" w:cs="Times New Roman"/>
          <w:color w:val="000000" w:themeColor="text1"/>
          <w:sz w:val="28"/>
        </w:rPr>
        <w:t>concreto, la identificación de lo que el ordenamiento jurídico anterior a la ex</w:t>
      </w:r>
      <w:r w:rsidRPr="00DE7CC4">
        <w:rPr>
          <w:rFonts w:ascii="Times New Roman" w:hAnsi="Times New Roman" w:cs="Times New Roman"/>
          <w:color w:val="000000" w:themeColor="text1"/>
          <w:sz w:val="28"/>
        </w:rPr>
        <w:t xml:space="preserve">pedición del artículo 16 de la Ley 2251 de 2022 establecía en la materia, no fue debidamente realizada por los accionantes. En efecto, como se indicó en el estudio </w:t>
      </w:r>
      <w:r w:rsidRPr="00DE7CC4">
        <w:rPr>
          <w:rFonts w:ascii="Times New Roman" w:hAnsi="Times New Roman" w:cs="Times New Roman"/>
          <w:color w:val="000000" w:themeColor="text1"/>
          <w:sz w:val="28"/>
        </w:rPr>
        <w:t xml:space="preserve">elaborado </w:t>
      </w:r>
      <w:r w:rsidRPr="00DE7CC4">
        <w:rPr>
          <w:rFonts w:ascii="Times New Roman" w:hAnsi="Times New Roman" w:cs="Times New Roman"/>
          <w:color w:val="000000" w:themeColor="text1"/>
          <w:sz w:val="28"/>
        </w:rPr>
        <w:t>antes, la Ley 2161 de 2021</w:t>
      </w:r>
      <w:r w:rsidRPr="00DE7CC4">
        <w:rPr>
          <w:rStyle w:val="Refdenotaalpie"/>
          <w:rFonts w:ascii="Times New Roman" w:hAnsi="Times New Roman"/>
          <w:color w:val="000000" w:themeColor="text1"/>
          <w:sz w:val="28"/>
        </w:rPr>
        <w:footnoteReference w:id="116"/>
      </w:r>
      <w:r w:rsidRPr="00DE7CC4">
        <w:rPr>
          <w:rFonts w:ascii="Times New Roman" w:hAnsi="Times New Roman" w:cs="Times New Roman"/>
          <w:color w:val="000000" w:themeColor="text1"/>
          <w:sz w:val="28"/>
        </w:rPr>
        <w:t xml:space="preserve"> adicionó, con su artículo 12, el artículo 143A de la L</w:t>
      </w:r>
      <w:r w:rsidRPr="00DE7CC4">
        <w:rPr>
          <w:rFonts w:ascii="Times New Roman" w:hAnsi="Times New Roman" w:cs="Times New Roman"/>
          <w:color w:val="000000" w:themeColor="text1"/>
          <w:sz w:val="28"/>
        </w:rPr>
        <w:t>ey 769 de 2002, en los siguientes términos:</w:t>
      </w:r>
    </w:p>
    <w:p w:rsidR="00F32ED8" w:rsidRPr="00DE7CC4" w:rsidRDefault="00DE7CC4" w:rsidP="00F32ED8">
      <w:pPr>
        <w:pStyle w:val="NormalWeb"/>
        <w:spacing w:line="254" w:lineRule="atLeast"/>
        <w:ind w:right="49"/>
        <w:jc w:val="both"/>
        <w:rPr>
          <w:rFonts w:ascii="Times New Roman" w:hAnsi="Times New Roman" w:cs="Times New Roman"/>
          <w:color w:val="000000" w:themeColor="text1"/>
          <w:sz w:val="28"/>
        </w:rPr>
      </w:pPr>
    </w:p>
    <w:p w:rsidR="00F32ED8" w:rsidRPr="00DE7CC4" w:rsidRDefault="00DE7CC4" w:rsidP="00F32ED8">
      <w:pPr>
        <w:pStyle w:val="NormalWeb"/>
        <w:spacing w:line="254" w:lineRule="atLeast"/>
        <w:ind w:left="567" w:right="333"/>
        <w:jc w:val="both"/>
        <w:rPr>
          <w:rFonts w:ascii="Times New Roman" w:hAnsi="Times New Roman" w:cs="Times New Roman"/>
          <w:color w:val="000000" w:themeColor="text1"/>
          <w:sz w:val="28"/>
        </w:rPr>
      </w:pPr>
      <w:r w:rsidRPr="00DE7CC4">
        <w:rPr>
          <w:rStyle w:val="Textoennegrita"/>
          <w:rFonts w:ascii="Times New Roman" w:hAnsi="Times New Roman" w:cs="Times New Roman"/>
          <w:color w:val="000000" w:themeColor="text1"/>
          <w:sz w:val="28"/>
        </w:rPr>
        <w:t xml:space="preserve">"ARTÍCULO 143A. Daños materiales en </w:t>
      </w:r>
      <w:r w:rsidRPr="00DE7CC4">
        <w:rPr>
          <w:rStyle w:val="Textoennegrita"/>
          <w:rFonts w:ascii="Times New Roman" w:hAnsi="Times New Roman" w:cs="Times New Roman"/>
          <w:color w:val="000000" w:themeColor="text1"/>
          <w:sz w:val="28"/>
          <w:u w:val="single"/>
        </w:rPr>
        <w:t>vehículos asegurados</w:t>
      </w:r>
      <w:r w:rsidRPr="00DE7CC4">
        <w:rPr>
          <w:rStyle w:val="Textoennegrita"/>
          <w:rFonts w:ascii="Times New Roman" w:hAnsi="Times New Roman" w:cs="Times New Roman"/>
          <w:color w:val="000000" w:themeColor="text1"/>
          <w:sz w:val="28"/>
        </w:rPr>
        <w:t>.</w:t>
      </w:r>
      <w:r w:rsidRPr="00DE7CC4">
        <w:rPr>
          <w:rFonts w:ascii="Times New Roman" w:hAnsi="Times New Roman" w:cs="Times New Roman"/>
          <w:b/>
          <w:bCs/>
          <w:color w:val="000000" w:themeColor="text1"/>
          <w:sz w:val="28"/>
        </w:rPr>
        <w:t> </w:t>
      </w:r>
      <w:r w:rsidRPr="00DE7CC4">
        <w:rPr>
          <w:rFonts w:ascii="Times New Roman" w:hAnsi="Times New Roman" w:cs="Times New Roman"/>
          <w:color w:val="000000" w:themeColor="text1"/>
          <w:sz w:val="28"/>
        </w:rPr>
        <w:t xml:space="preserve">En caso de daños materiales en los que solo resulten afectados </w:t>
      </w:r>
      <w:r w:rsidRPr="00DE7CC4">
        <w:rPr>
          <w:rFonts w:ascii="Times New Roman" w:hAnsi="Times New Roman" w:cs="Times New Roman"/>
          <w:color w:val="000000" w:themeColor="text1"/>
          <w:sz w:val="28"/>
          <w:u w:val="single"/>
        </w:rPr>
        <w:t>vehículos asegurados</w:t>
      </w:r>
      <w:r w:rsidRPr="00DE7CC4">
        <w:rPr>
          <w:rFonts w:ascii="Times New Roman" w:hAnsi="Times New Roman" w:cs="Times New Roman"/>
          <w:color w:val="000000" w:themeColor="text1"/>
          <w:sz w:val="28"/>
        </w:rPr>
        <w:t xml:space="preserve">, inmuebles, cosas o animales y </w:t>
      </w:r>
      <w:r w:rsidRPr="00DE7CC4">
        <w:rPr>
          <w:rFonts w:ascii="Times New Roman" w:hAnsi="Times New Roman" w:cs="Times New Roman"/>
          <w:color w:val="000000" w:themeColor="text1"/>
          <w:sz w:val="28"/>
          <w:u w:val="single"/>
        </w:rPr>
        <w:t>no se produzcan lesiones personales</w:t>
      </w:r>
      <w:r w:rsidRPr="00DE7CC4">
        <w:rPr>
          <w:rFonts w:ascii="Times New Roman" w:hAnsi="Times New Roman" w:cs="Times New Roman"/>
          <w:color w:val="000000" w:themeColor="text1"/>
          <w:sz w:val="28"/>
        </w:rPr>
        <w:t xml:space="preserve">, </w:t>
      </w:r>
      <w:r w:rsidRPr="00DE7CC4">
        <w:rPr>
          <w:rFonts w:ascii="Times New Roman" w:hAnsi="Times New Roman" w:cs="Times New Roman"/>
          <w:color w:val="000000" w:themeColor="text1"/>
          <w:sz w:val="28"/>
          <w:u w:val="single"/>
        </w:rPr>
        <w:t>se hará el retiro inmediato de los vehículos colisionados y todo el elemento que pueda interrumpir el tránsito</w:t>
      </w:r>
      <w:r w:rsidRPr="00DE7CC4">
        <w:rPr>
          <w:rFonts w:ascii="Times New Roman" w:hAnsi="Times New Roman" w:cs="Times New Roman"/>
          <w:color w:val="000000" w:themeColor="text1"/>
          <w:sz w:val="28"/>
        </w:rPr>
        <w:t>. Los conductores y demás implicados podrán conciliar sus intereses y acudir a las compañías aseguradoras, utilizando para tal fin herramientas té</w:t>
      </w:r>
      <w:r w:rsidRPr="00DE7CC4">
        <w:rPr>
          <w:rFonts w:ascii="Times New Roman" w:hAnsi="Times New Roman" w:cs="Times New Roman"/>
          <w:color w:val="000000" w:themeColor="text1"/>
          <w:sz w:val="28"/>
        </w:rPr>
        <w:t>cnicas y tecnológicas sin que para este fin se requiera la suscripción de documento alguno por parte de la autoridad de tránsito. </w:t>
      </w:r>
    </w:p>
    <w:p w:rsidR="00F32ED8" w:rsidRPr="00DE7CC4" w:rsidRDefault="00DE7CC4" w:rsidP="00F32ED8">
      <w:pPr>
        <w:pStyle w:val="NormalWeb"/>
        <w:spacing w:line="254" w:lineRule="atLeast"/>
        <w:ind w:left="567" w:right="333"/>
        <w:jc w:val="both"/>
        <w:rPr>
          <w:rFonts w:ascii="Times New Roman" w:hAnsi="Times New Roman" w:cs="Times New Roman"/>
          <w:color w:val="000000" w:themeColor="text1"/>
          <w:sz w:val="28"/>
        </w:rPr>
      </w:pPr>
      <w:r w:rsidRPr="00DE7CC4">
        <w:rPr>
          <w:rFonts w:ascii="Times New Roman" w:hAnsi="Times New Roman" w:cs="Times New Roman"/>
          <w:color w:val="000000" w:themeColor="text1"/>
          <w:sz w:val="28"/>
          <w:u w:val="single"/>
        </w:rPr>
        <w:t>Los vehículos solo podrán permanecer sobre la vía afectando el tráfico, por el tiempo necesario para la toma de estas pruebas</w:t>
      </w:r>
      <w:r w:rsidRPr="00DE7CC4">
        <w:rPr>
          <w:rFonts w:ascii="Times New Roman" w:hAnsi="Times New Roman" w:cs="Times New Roman"/>
          <w:color w:val="000000" w:themeColor="text1"/>
          <w:sz w:val="28"/>
          <w:u w:val="single"/>
        </w:rPr>
        <w:t xml:space="preserve"> por parte de los conductores o interesados</w:t>
      </w:r>
      <w:r w:rsidRPr="00DE7CC4">
        <w:rPr>
          <w:rFonts w:ascii="Times New Roman" w:hAnsi="Times New Roman" w:cs="Times New Roman"/>
          <w:color w:val="000000" w:themeColor="text1"/>
          <w:sz w:val="28"/>
        </w:rPr>
        <w:t xml:space="preserve">. Corresponderá a las compañías aseguradoras adoptar las modificaciones al contrato de seguro y los procedimientos que permitan la celebración de estos acuerdos y el pago de las primas de seguro, </w:t>
      </w:r>
      <w:r w:rsidRPr="00DE7CC4">
        <w:rPr>
          <w:rFonts w:ascii="Times New Roman" w:hAnsi="Times New Roman" w:cs="Times New Roman"/>
          <w:color w:val="000000" w:themeColor="text1"/>
          <w:sz w:val="28"/>
          <w:u w:val="single"/>
        </w:rPr>
        <w:t>sin que a este fi</w:t>
      </w:r>
      <w:r w:rsidRPr="00DE7CC4">
        <w:rPr>
          <w:rFonts w:ascii="Times New Roman" w:hAnsi="Times New Roman" w:cs="Times New Roman"/>
          <w:color w:val="000000" w:themeColor="text1"/>
          <w:sz w:val="28"/>
          <w:u w:val="single"/>
        </w:rPr>
        <w:t>nalidad pueda oponerse la ausencia del documento de la autoridad de tránsito</w:t>
      </w:r>
      <w:r w:rsidRPr="00DE7CC4">
        <w:rPr>
          <w:rFonts w:ascii="Times New Roman" w:hAnsi="Times New Roman" w:cs="Times New Roman"/>
          <w:color w:val="000000" w:themeColor="text1"/>
          <w:sz w:val="28"/>
        </w:rPr>
        <w:t>". (Destacado fuera de texto).</w:t>
      </w:r>
    </w:p>
    <w:p w:rsidR="00F32ED8" w:rsidRPr="00DE7CC4" w:rsidRDefault="00DE7CC4" w:rsidP="00F32ED8">
      <w:pPr>
        <w:pStyle w:val="NormalWeb"/>
        <w:spacing w:line="254" w:lineRule="atLeast"/>
        <w:ind w:right="49"/>
        <w:jc w:val="both"/>
        <w:rPr>
          <w:rFonts w:ascii="Times New Roman" w:hAnsi="Times New Roman" w:cs="Times New Roman"/>
          <w:color w:val="000000" w:themeColor="text1"/>
          <w:sz w:val="28"/>
        </w:rPr>
      </w:pPr>
    </w:p>
    <w:p w:rsidR="00F32ED8" w:rsidRPr="00DE7CC4" w:rsidRDefault="00DE7CC4" w:rsidP="00F32ED8">
      <w:pPr>
        <w:pStyle w:val="NormalWeb"/>
        <w:spacing w:line="254" w:lineRule="atLeast"/>
        <w:ind w:right="49"/>
        <w:jc w:val="both"/>
        <w:rPr>
          <w:rFonts w:ascii="Times New Roman" w:hAnsi="Times New Roman" w:cs="Times New Roman"/>
          <w:color w:val="000000" w:themeColor="text1"/>
          <w:sz w:val="28"/>
        </w:rPr>
      </w:pPr>
      <w:r w:rsidRPr="00DE7CC4">
        <w:rPr>
          <w:rFonts w:ascii="Times New Roman" w:hAnsi="Times New Roman" w:cs="Times New Roman"/>
          <w:color w:val="000000" w:themeColor="text1"/>
          <w:sz w:val="28"/>
        </w:rPr>
        <w:t>85. Esto es, antes de que se expidiera la Ley 2251 de 2022 no es cierto que, como lo indicaron los accionantes y sirvió de soporte para formular est</w:t>
      </w:r>
      <w:r w:rsidRPr="00DE7CC4">
        <w:rPr>
          <w:rFonts w:ascii="Times New Roman" w:hAnsi="Times New Roman" w:cs="Times New Roman"/>
          <w:color w:val="000000" w:themeColor="text1"/>
          <w:sz w:val="28"/>
        </w:rPr>
        <w:t xml:space="preserve">e cargo, existiera una regla según la cual en </w:t>
      </w:r>
      <w:r w:rsidRPr="00DE7CC4">
        <w:rPr>
          <w:rFonts w:ascii="Times New Roman" w:hAnsi="Times New Roman" w:cs="Times New Roman"/>
          <w:i/>
          <w:iCs/>
          <w:color w:val="000000" w:themeColor="text1"/>
          <w:sz w:val="28"/>
        </w:rPr>
        <w:t>todos</w:t>
      </w:r>
      <w:r w:rsidRPr="00DE7CC4">
        <w:rPr>
          <w:rFonts w:ascii="Times New Roman" w:hAnsi="Times New Roman" w:cs="Times New Roman"/>
          <w:color w:val="000000" w:themeColor="text1"/>
          <w:sz w:val="28"/>
        </w:rPr>
        <w:t xml:space="preserve"> los accidentes de tránsito con daños de índole exclusivamente material interviniera el policía de tránsito como lo preveía el artículo 143 original de la Ley 769 de 2002, dado que con el artículo 12 de la</w:t>
      </w:r>
      <w:r w:rsidRPr="00DE7CC4">
        <w:rPr>
          <w:rFonts w:ascii="Times New Roman" w:hAnsi="Times New Roman" w:cs="Times New Roman"/>
          <w:color w:val="000000" w:themeColor="text1"/>
          <w:sz w:val="28"/>
        </w:rPr>
        <w:t xml:space="preserve"> Ley 2161 de 2021 ya se había introducido una “excepción” a dicho mandato. Incluso, debe precisarse, el artículo 13 de la Ley 2161 de 2021 incluyó la regla -aún vigente-, según la cual, el no levantamiento de los vehículos involucrados en este tipo de acci</w:t>
      </w:r>
      <w:r w:rsidRPr="00DE7CC4">
        <w:rPr>
          <w:rFonts w:ascii="Times New Roman" w:hAnsi="Times New Roman" w:cs="Times New Roman"/>
          <w:color w:val="000000" w:themeColor="text1"/>
          <w:sz w:val="28"/>
        </w:rPr>
        <w:t>dente determina, entre otras consecuencias, la imposición de un comparendo.</w:t>
      </w:r>
    </w:p>
    <w:p w:rsidR="00F32ED8" w:rsidRPr="00DE7CC4" w:rsidRDefault="00DE7CC4" w:rsidP="00F32ED8">
      <w:pPr>
        <w:pStyle w:val="NormalWeb"/>
        <w:spacing w:line="254" w:lineRule="atLeast"/>
        <w:ind w:right="49"/>
        <w:jc w:val="both"/>
        <w:rPr>
          <w:rFonts w:ascii="Times New Roman" w:hAnsi="Times New Roman" w:cs="Times New Roman"/>
          <w:color w:val="000000" w:themeColor="text1"/>
          <w:sz w:val="28"/>
        </w:rPr>
      </w:pPr>
    </w:p>
    <w:p w:rsidR="00F32ED8" w:rsidRPr="00DE7CC4" w:rsidRDefault="00DE7CC4" w:rsidP="00F32ED8">
      <w:pPr>
        <w:pStyle w:val="NormalWeb"/>
        <w:spacing w:line="254" w:lineRule="atLeast"/>
        <w:ind w:right="49"/>
        <w:jc w:val="both"/>
        <w:rPr>
          <w:rFonts w:ascii="Times New Roman" w:hAnsi="Times New Roman" w:cs="Times New Roman"/>
          <w:color w:val="000000" w:themeColor="text1"/>
          <w:sz w:val="28"/>
        </w:rPr>
      </w:pPr>
      <w:r w:rsidRPr="00DE7CC4">
        <w:rPr>
          <w:rFonts w:ascii="Times New Roman" w:hAnsi="Times New Roman" w:cs="Times New Roman"/>
          <w:color w:val="000000" w:themeColor="text1"/>
          <w:sz w:val="28"/>
        </w:rPr>
        <w:t>86. Ahora bien, es cierto que el artículo 143A de la Ley 769 de 2003 fue derogado por el artículo 24 de la Ley 2251 de 2022, pero esto fue así porque con el artículo 16 de la mism</w:t>
      </w:r>
      <w:r w:rsidRPr="00DE7CC4">
        <w:rPr>
          <w:rFonts w:ascii="Times New Roman" w:hAnsi="Times New Roman" w:cs="Times New Roman"/>
          <w:color w:val="000000" w:themeColor="text1"/>
          <w:sz w:val="28"/>
        </w:rPr>
        <w:t>a, que modificó el artículo 143 de la Ley 769 de 2002, el ámbito de aplicación se extendió, al precisar con claridad que la regla de no intervención de la autoridad de tránsito se predicaba de vehículos con o sin seguro. De hecho, al proponerse la introduc</w:t>
      </w:r>
      <w:r w:rsidRPr="00DE7CC4">
        <w:rPr>
          <w:rFonts w:ascii="Times New Roman" w:hAnsi="Times New Roman" w:cs="Times New Roman"/>
          <w:color w:val="000000" w:themeColor="text1"/>
          <w:sz w:val="28"/>
        </w:rPr>
        <w:t xml:space="preserve">ción en el proyecto de ley que originó la expedición de la Ley 2251 de 2022 del actual artículo 16 -cuestionado-, se indicó lo siguiente: </w:t>
      </w:r>
    </w:p>
    <w:p w:rsidR="00F32ED8" w:rsidRPr="00DE7CC4" w:rsidRDefault="00DE7CC4" w:rsidP="00F32ED8">
      <w:pPr>
        <w:pStyle w:val="NormalWeb"/>
        <w:spacing w:line="254" w:lineRule="atLeast"/>
        <w:ind w:right="49"/>
        <w:jc w:val="both"/>
        <w:rPr>
          <w:rFonts w:ascii="Times New Roman" w:hAnsi="Times New Roman" w:cs="Times New Roman"/>
          <w:color w:val="000000" w:themeColor="text1"/>
          <w:sz w:val="28"/>
        </w:rPr>
      </w:pPr>
    </w:p>
    <w:p w:rsidR="00F32ED8" w:rsidRPr="00DE7CC4" w:rsidRDefault="00DE7CC4" w:rsidP="00F32ED8">
      <w:pPr>
        <w:pStyle w:val="NormalWeb"/>
        <w:spacing w:line="254" w:lineRule="atLeast"/>
        <w:ind w:left="567" w:right="333"/>
        <w:jc w:val="both"/>
        <w:rPr>
          <w:rFonts w:ascii="Times New Roman" w:hAnsi="Times New Roman" w:cs="Times New Roman"/>
          <w:color w:val="000000" w:themeColor="text1"/>
          <w:sz w:val="28"/>
        </w:rPr>
      </w:pPr>
      <w:r w:rsidRPr="00DE7CC4">
        <w:rPr>
          <w:rFonts w:ascii="Times New Roman" w:hAnsi="Times New Roman" w:cs="Times New Roman"/>
          <w:color w:val="000000" w:themeColor="text1"/>
          <w:sz w:val="28"/>
        </w:rPr>
        <w:t>“(…) Igualmente, es necesario derogar el artículo 143 A de la Ley 769 de 2002 adicionado por el artículo 12 de la Le</w:t>
      </w:r>
      <w:r w:rsidRPr="00DE7CC4">
        <w:rPr>
          <w:rFonts w:ascii="Times New Roman" w:hAnsi="Times New Roman" w:cs="Times New Roman"/>
          <w:color w:val="000000" w:themeColor="text1"/>
          <w:sz w:val="28"/>
        </w:rPr>
        <w:t>y 2161 de 2021, que ha suscitado la errada interpretación de que sólo existe este deber si todos los vehículos están asegurados”</w:t>
      </w:r>
      <w:r w:rsidRPr="00DE7CC4">
        <w:rPr>
          <w:rStyle w:val="Refdenotaalpie"/>
          <w:rFonts w:ascii="Times New Roman" w:hAnsi="Times New Roman"/>
          <w:color w:val="000000" w:themeColor="text1"/>
          <w:sz w:val="28"/>
        </w:rPr>
        <w:footnoteReference w:id="117"/>
      </w:r>
      <w:r w:rsidRPr="00DE7CC4">
        <w:rPr>
          <w:rFonts w:ascii="Times New Roman" w:hAnsi="Times New Roman" w:cs="Times New Roman"/>
          <w:color w:val="000000" w:themeColor="text1"/>
          <w:sz w:val="28"/>
        </w:rPr>
        <w:t>.</w:t>
      </w:r>
    </w:p>
    <w:p w:rsidR="00F32ED8" w:rsidRPr="00DE7CC4" w:rsidRDefault="00DE7CC4" w:rsidP="00F32ED8">
      <w:pPr>
        <w:jc w:val="both"/>
        <w:rPr>
          <w:rFonts w:ascii="Times New Roman" w:hAnsi="Times New Roman" w:cs="Times New Roman"/>
          <w:color w:val="000000" w:themeColor="text1"/>
          <w:sz w:val="28"/>
          <w:bdr w:val="none" w:sz="0" w:space="0" w:color="auto" w:frame="1"/>
          <w:lang w:eastAsia="es-ES"/>
        </w:rPr>
      </w:pPr>
    </w:p>
    <w:p w:rsidR="00F32ED8" w:rsidRPr="00DE7CC4" w:rsidRDefault="00DE7CC4" w:rsidP="00F32ED8">
      <w:pPr>
        <w:jc w:val="both"/>
        <w:rPr>
          <w:rFonts w:ascii="Times New Roman" w:hAnsi="Times New Roman" w:cs="Times New Roman"/>
          <w:i/>
          <w:iCs/>
          <w:color w:val="000000" w:themeColor="text1"/>
          <w:sz w:val="28"/>
          <w:bdr w:val="none" w:sz="0" w:space="0" w:color="auto" w:frame="1"/>
          <w:lang w:val="es-ES_tradnl" w:eastAsia="es-ES"/>
        </w:rPr>
      </w:pPr>
      <w:r w:rsidRPr="00DE7CC4">
        <w:rPr>
          <w:rFonts w:ascii="Times New Roman" w:hAnsi="Times New Roman" w:cs="Times New Roman"/>
          <w:color w:val="000000" w:themeColor="text1"/>
          <w:sz w:val="28"/>
          <w:bdr w:val="none" w:sz="0" w:space="0" w:color="auto" w:frame="1"/>
          <w:lang w:val="es-ES_tradnl" w:eastAsia="es-ES"/>
        </w:rPr>
        <w:t xml:space="preserve">87. La indebida o incompleta identificación del régimen normativo previo al cambio introducido por el artículo 16 de la Ley </w:t>
      </w:r>
      <w:r w:rsidRPr="00DE7CC4">
        <w:rPr>
          <w:rFonts w:ascii="Times New Roman" w:hAnsi="Times New Roman" w:cs="Times New Roman"/>
          <w:color w:val="000000" w:themeColor="text1"/>
          <w:sz w:val="28"/>
          <w:bdr w:val="none" w:sz="0" w:space="0" w:color="auto" w:frame="1"/>
          <w:lang w:val="es-ES_tradnl" w:eastAsia="es-ES"/>
        </w:rPr>
        <w:t xml:space="preserve">2251 de 2022 impide, en consecuencia, analizar la justificación de la medida y dimensionar por qué el artículo demandado adoptó la regulación cuestionada, repercutiendo, como se ha anunciado, en el requisito de </w:t>
      </w:r>
      <w:r w:rsidRPr="00DE7CC4">
        <w:rPr>
          <w:rFonts w:ascii="Times New Roman" w:hAnsi="Times New Roman" w:cs="Times New Roman"/>
          <w:i/>
          <w:iCs/>
          <w:color w:val="000000" w:themeColor="text1"/>
          <w:sz w:val="28"/>
          <w:bdr w:val="none" w:sz="0" w:space="0" w:color="auto" w:frame="1"/>
          <w:lang w:val="es-ES_tradnl" w:eastAsia="es-ES"/>
        </w:rPr>
        <w:t xml:space="preserve">certeza. </w:t>
      </w:r>
    </w:p>
    <w:p w:rsidR="00F32ED8" w:rsidRPr="00DE7CC4" w:rsidRDefault="00DE7CC4" w:rsidP="00F32ED8">
      <w:pPr>
        <w:jc w:val="both"/>
        <w:rPr>
          <w:rFonts w:ascii="Times New Roman" w:hAnsi="Times New Roman" w:cs="Times New Roman"/>
          <w:i/>
          <w:iCs/>
          <w:color w:val="000000" w:themeColor="text1"/>
          <w:sz w:val="28"/>
          <w:bdr w:val="none" w:sz="0" w:space="0" w:color="auto" w:frame="1"/>
          <w:lang w:val="es-ES_tradnl" w:eastAsia="es-ES"/>
        </w:rPr>
      </w:pPr>
    </w:p>
    <w:p w:rsidR="00F32ED8" w:rsidRPr="00DE7CC4" w:rsidRDefault="00DE7CC4" w:rsidP="00F32ED8">
      <w:pPr>
        <w:jc w:val="both"/>
        <w:rPr>
          <w:rFonts w:ascii="Times New Roman" w:hAnsi="Times New Roman" w:cs="Times New Roman"/>
          <w:color w:val="000000" w:themeColor="text1"/>
          <w:sz w:val="28"/>
          <w:bdr w:val="none" w:sz="0" w:space="0" w:color="auto" w:frame="1"/>
          <w:lang w:val="es-ES_tradnl" w:eastAsia="es-ES"/>
        </w:rPr>
      </w:pPr>
      <w:r w:rsidRPr="00DE7CC4">
        <w:rPr>
          <w:rFonts w:ascii="Times New Roman" w:hAnsi="Times New Roman" w:cs="Times New Roman"/>
          <w:color w:val="000000" w:themeColor="text1"/>
          <w:sz w:val="28"/>
          <w:bdr w:val="none" w:sz="0" w:space="0" w:color="auto" w:frame="1"/>
          <w:lang w:val="es-ES_tradnl" w:eastAsia="es-ES"/>
        </w:rPr>
        <w:t xml:space="preserve">88. En adición a lo indicado, pese a que sería suficiente para la adopción de una decisión inhibitoria, el cargo carece de </w:t>
      </w:r>
      <w:r w:rsidRPr="00DE7CC4">
        <w:rPr>
          <w:rFonts w:ascii="Times New Roman" w:hAnsi="Times New Roman" w:cs="Times New Roman"/>
          <w:i/>
          <w:iCs/>
          <w:color w:val="000000" w:themeColor="text1"/>
          <w:sz w:val="28"/>
          <w:bdr w:val="none" w:sz="0" w:space="0" w:color="auto" w:frame="1"/>
          <w:lang w:val="es-ES_tradnl" w:eastAsia="es-ES"/>
        </w:rPr>
        <w:t xml:space="preserve">especificidad. </w:t>
      </w:r>
      <w:r w:rsidRPr="00DE7CC4">
        <w:rPr>
          <w:rFonts w:ascii="Times New Roman" w:hAnsi="Times New Roman" w:cs="Times New Roman"/>
          <w:color w:val="000000" w:themeColor="text1"/>
          <w:sz w:val="28"/>
          <w:bdr w:val="none" w:sz="0" w:space="0" w:color="auto" w:frame="1"/>
          <w:lang w:val="es-ES_tradnl" w:eastAsia="es-ES"/>
        </w:rPr>
        <w:t>Tal como se mencionó al identificar metodológicamente el juicio por la presunta violación a la prohibición de retroces</w:t>
      </w:r>
      <w:r w:rsidRPr="00DE7CC4">
        <w:rPr>
          <w:rFonts w:ascii="Times New Roman" w:hAnsi="Times New Roman" w:cs="Times New Roman"/>
          <w:color w:val="000000" w:themeColor="text1"/>
          <w:sz w:val="28"/>
          <w:bdr w:val="none" w:sz="0" w:space="0" w:color="auto" w:frame="1"/>
          <w:lang w:val="es-ES_tradnl" w:eastAsia="es-ES"/>
        </w:rPr>
        <w:t xml:space="preserve">o, es necesario que el demandante identifique o precise qué faceta prestacional del derecho constitucional es la que se afecta con la medida cuestionada. En este caso, sin embargo, dicha precisión </w:t>
      </w:r>
      <w:r w:rsidRPr="00DE7CC4">
        <w:rPr>
          <w:rFonts w:ascii="Times New Roman" w:hAnsi="Times New Roman" w:cs="Times New Roman"/>
          <w:color w:val="000000" w:themeColor="text1"/>
          <w:sz w:val="28"/>
          <w:bdr w:val="none" w:sz="0" w:space="0" w:color="auto" w:frame="1"/>
          <w:lang w:val="es-ES_tradnl" w:eastAsia="es-ES"/>
        </w:rPr>
        <w:t>no se materializó</w:t>
      </w:r>
      <w:r w:rsidRPr="00DE7CC4">
        <w:rPr>
          <w:rFonts w:ascii="Times New Roman" w:hAnsi="Times New Roman" w:cs="Times New Roman"/>
          <w:color w:val="000000" w:themeColor="text1"/>
          <w:sz w:val="28"/>
          <w:bdr w:val="none" w:sz="0" w:space="0" w:color="auto" w:frame="1"/>
          <w:lang w:val="es-ES_tradnl" w:eastAsia="es-ES"/>
        </w:rPr>
        <w:t>. Ello obedece a que</w:t>
      </w:r>
      <w:r w:rsidRPr="00DE7CC4">
        <w:rPr>
          <w:rFonts w:ascii="Times New Roman" w:hAnsi="Times New Roman" w:cs="Times New Roman"/>
          <w:color w:val="000000" w:themeColor="text1"/>
          <w:sz w:val="28"/>
          <w:bdr w:val="none" w:sz="0" w:space="0" w:color="auto" w:frame="1"/>
          <w:lang w:val="es-ES_tradnl" w:eastAsia="es-ES"/>
        </w:rPr>
        <w:t>, por un lado, los dem</w:t>
      </w:r>
      <w:r w:rsidRPr="00DE7CC4">
        <w:rPr>
          <w:rFonts w:ascii="Times New Roman" w:hAnsi="Times New Roman" w:cs="Times New Roman"/>
          <w:color w:val="000000" w:themeColor="text1"/>
          <w:sz w:val="28"/>
          <w:bdr w:val="none" w:sz="0" w:space="0" w:color="auto" w:frame="1"/>
          <w:lang w:val="es-ES_tradnl" w:eastAsia="es-ES"/>
        </w:rPr>
        <w:t>andantes no desarrollaron explícitamente por qué del derecho de propiedad puede hablarse de facetas con contenido prestacional sometidas a la prohibición indicada y, luego de ello</w:t>
      </w:r>
      <w:r w:rsidRPr="00DE7CC4">
        <w:rPr>
          <w:rFonts w:ascii="Times New Roman" w:hAnsi="Times New Roman" w:cs="Times New Roman"/>
          <w:color w:val="000000" w:themeColor="text1"/>
          <w:sz w:val="28"/>
          <w:bdr w:val="none" w:sz="0" w:space="0" w:color="auto" w:frame="1"/>
          <w:lang w:val="es-ES_tradnl" w:eastAsia="es-ES"/>
        </w:rPr>
        <w:t xml:space="preserve"> y muy importante,</w:t>
      </w:r>
      <w:r w:rsidRPr="00DE7CC4">
        <w:rPr>
          <w:rFonts w:ascii="Times New Roman" w:hAnsi="Times New Roman" w:cs="Times New Roman"/>
          <w:color w:val="000000" w:themeColor="text1"/>
          <w:sz w:val="28"/>
          <w:bdr w:val="none" w:sz="0" w:space="0" w:color="auto" w:frame="1"/>
          <w:lang w:val="es-ES_tradnl" w:eastAsia="es-ES"/>
        </w:rPr>
        <w:t xml:space="preserve"> cuál faceta en concreto se</w:t>
      </w:r>
      <w:r w:rsidRPr="00DE7CC4">
        <w:rPr>
          <w:rFonts w:ascii="Times New Roman" w:hAnsi="Times New Roman" w:cs="Times New Roman"/>
          <w:color w:val="000000" w:themeColor="text1"/>
          <w:sz w:val="28"/>
          <w:bdr w:val="none" w:sz="0" w:space="0" w:color="auto" w:frame="1"/>
          <w:lang w:val="es-ES_tradnl" w:eastAsia="es-ES"/>
        </w:rPr>
        <w:t xml:space="preserve"> </w:t>
      </w:r>
      <w:r w:rsidRPr="00DE7CC4">
        <w:rPr>
          <w:rFonts w:ascii="Times New Roman" w:hAnsi="Times New Roman" w:cs="Times New Roman"/>
          <w:color w:val="000000" w:themeColor="text1"/>
          <w:sz w:val="28"/>
          <w:bdr w:val="none" w:sz="0" w:space="0" w:color="auto" w:frame="1"/>
          <w:lang w:val="es-ES_tradnl" w:eastAsia="es-ES"/>
        </w:rPr>
        <w:t xml:space="preserve">vería </w:t>
      </w:r>
      <w:r w:rsidRPr="00DE7CC4">
        <w:rPr>
          <w:rFonts w:ascii="Times New Roman" w:hAnsi="Times New Roman" w:cs="Times New Roman"/>
          <w:color w:val="000000" w:themeColor="text1"/>
          <w:sz w:val="28"/>
          <w:bdr w:val="none" w:sz="0" w:space="0" w:color="auto" w:frame="1"/>
          <w:lang w:val="es-ES_tradnl" w:eastAsia="es-ES"/>
        </w:rPr>
        <w:t>impactada</w:t>
      </w:r>
      <w:r w:rsidRPr="00DE7CC4">
        <w:rPr>
          <w:rFonts w:ascii="Times New Roman" w:hAnsi="Times New Roman" w:cs="Times New Roman"/>
          <w:color w:val="000000" w:themeColor="text1"/>
          <w:sz w:val="28"/>
          <w:bdr w:val="none" w:sz="0" w:space="0" w:color="auto" w:frame="1"/>
          <w:lang w:val="es-ES_tradnl" w:eastAsia="es-ES"/>
        </w:rPr>
        <w:t xml:space="preserve"> por el cambio n</w:t>
      </w:r>
      <w:r w:rsidRPr="00DE7CC4">
        <w:rPr>
          <w:rFonts w:ascii="Times New Roman" w:hAnsi="Times New Roman" w:cs="Times New Roman"/>
          <w:color w:val="000000" w:themeColor="text1"/>
          <w:sz w:val="28"/>
          <w:bdr w:val="none" w:sz="0" w:space="0" w:color="auto" w:frame="1"/>
          <w:lang w:val="es-ES_tradnl" w:eastAsia="es-ES"/>
        </w:rPr>
        <w:t>ormativo</w:t>
      </w:r>
      <w:r w:rsidRPr="00DE7CC4">
        <w:rPr>
          <w:rFonts w:ascii="Times New Roman" w:hAnsi="Times New Roman" w:cs="Times New Roman"/>
          <w:color w:val="000000" w:themeColor="text1"/>
          <w:sz w:val="28"/>
          <w:bdr w:val="none" w:sz="0" w:space="0" w:color="auto" w:frame="1"/>
          <w:lang w:val="es-ES_tradnl" w:eastAsia="es-ES"/>
        </w:rPr>
        <w:t>.</w:t>
      </w:r>
      <w:r w:rsidRPr="00DE7CC4">
        <w:rPr>
          <w:rFonts w:ascii="Times New Roman" w:hAnsi="Times New Roman" w:cs="Times New Roman"/>
          <w:color w:val="000000" w:themeColor="text1"/>
          <w:sz w:val="28"/>
          <w:bdr w:val="none" w:sz="0" w:space="0" w:color="auto" w:frame="1"/>
          <w:lang w:val="es-ES_tradnl" w:eastAsia="es-ES"/>
        </w:rPr>
        <w:t xml:space="preserve"> </w:t>
      </w:r>
      <w:r w:rsidRPr="00DE7CC4">
        <w:rPr>
          <w:rFonts w:ascii="Times New Roman" w:hAnsi="Times New Roman" w:cs="Times New Roman"/>
          <w:color w:val="000000" w:themeColor="text1"/>
          <w:sz w:val="28"/>
          <w:bdr w:val="none" w:sz="0" w:space="0" w:color="auto" w:frame="1"/>
          <w:lang w:val="es-ES_tradnl" w:eastAsia="es-ES"/>
        </w:rPr>
        <w:t>P</w:t>
      </w:r>
      <w:r w:rsidRPr="00DE7CC4">
        <w:rPr>
          <w:rFonts w:ascii="Times New Roman" w:hAnsi="Times New Roman" w:cs="Times New Roman"/>
          <w:color w:val="000000" w:themeColor="text1"/>
          <w:sz w:val="28"/>
          <w:bdr w:val="none" w:sz="0" w:space="0" w:color="auto" w:frame="1"/>
          <w:lang w:val="es-ES_tradnl" w:eastAsia="es-ES"/>
        </w:rPr>
        <w:t xml:space="preserve">or otro lado, </w:t>
      </w:r>
      <w:r w:rsidRPr="00DE7CC4">
        <w:rPr>
          <w:rFonts w:ascii="Times New Roman" w:hAnsi="Times New Roman" w:cs="Times New Roman"/>
          <w:color w:val="000000" w:themeColor="text1"/>
          <w:sz w:val="28"/>
          <w:bdr w:val="none" w:sz="0" w:space="0" w:color="auto" w:frame="1"/>
          <w:lang w:val="es-ES_tradnl" w:eastAsia="es-ES"/>
        </w:rPr>
        <w:t>como parámetro de control de este cargo se invocó, entre otros, el artículo 60 de la Constitución, cuyo inciso 1 precisa que “[e]l Estado promoverá, de acuerdo con la ley, el acceso a la propiedad”</w:t>
      </w:r>
      <w:r w:rsidRPr="00DE7CC4">
        <w:rPr>
          <w:rStyle w:val="Refdenotaalpie"/>
          <w:rFonts w:ascii="Times New Roman" w:hAnsi="Times New Roman"/>
          <w:color w:val="000000" w:themeColor="text1"/>
          <w:sz w:val="28"/>
          <w:bdr w:val="none" w:sz="0" w:space="0" w:color="auto" w:frame="1"/>
          <w:lang w:val="es-ES_tradnl" w:eastAsia="es-ES"/>
        </w:rPr>
        <w:footnoteReference w:id="118"/>
      </w:r>
      <w:r w:rsidRPr="00DE7CC4">
        <w:rPr>
          <w:rFonts w:ascii="Times New Roman" w:hAnsi="Times New Roman" w:cs="Times New Roman"/>
          <w:color w:val="000000" w:themeColor="text1"/>
          <w:sz w:val="28"/>
          <w:bdr w:val="none" w:sz="0" w:space="0" w:color="auto" w:frame="1"/>
          <w:lang w:val="es-ES_tradnl" w:eastAsia="es-ES"/>
        </w:rPr>
        <w:t xml:space="preserve"> y, concordante con lo anterior, </w:t>
      </w:r>
      <w:r w:rsidRPr="00DE7CC4">
        <w:rPr>
          <w:rFonts w:ascii="Times New Roman" w:hAnsi="Times New Roman" w:cs="Times New Roman"/>
          <w:color w:val="000000" w:themeColor="text1"/>
          <w:sz w:val="28"/>
          <w:bdr w:val="none" w:sz="0" w:space="0" w:color="auto" w:frame="1"/>
          <w:lang w:val="es-ES_tradnl" w:eastAsia="es-ES"/>
        </w:rPr>
        <w:t xml:space="preserve">en el escrito de corrección se indicó que el Estado debe promover medidas de protección del derecho de propiedad privada “amparando el </w:t>
      </w:r>
      <w:r w:rsidRPr="00DE7CC4">
        <w:rPr>
          <w:rFonts w:ascii="Times New Roman" w:hAnsi="Times New Roman" w:cs="Times New Roman"/>
          <w:color w:val="000000" w:themeColor="text1"/>
          <w:sz w:val="28"/>
          <w:u w:val="single"/>
          <w:bdr w:val="none" w:sz="0" w:space="0" w:color="auto" w:frame="1"/>
          <w:lang w:val="es-ES_tradnl" w:eastAsia="es-ES"/>
        </w:rPr>
        <w:t>acceso</w:t>
      </w:r>
      <w:r w:rsidRPr="00DE7CC4">
        <w:rPr>
          <w:rFonts w:ascii="Times New Roman" w:hAnsi="Times New Roman" w:cs="Times New Roman"/>
          <w:color w:val="000000" w:themeColor="text1"/>
          <w:sz w:val="28"/>
          <w:bdr w:val="none" w:sz="0" w:space="0" w:color="auto" w:frame="1"/>
          <w:lang w:val="es-ES_tradnl" w:eastAsia="es-ES"/>
        </w:rPr>
        <w:t xml:space="preserve"> a ella, al momento de retirar dichas medidas, tal y como ocurre con la norma demandada, se traduce en un retroceso</w:t>
      </w:r>
      <w:r w:rsidRPr="00DE7CC4">
        <w:rPr>
          <w:rFonts w:ascii="Times New Roman" w:hAnsi="Times New Roman" w:cs="Times New Roman"/>
          <w:color w:val="000000" w:themeColor="text1"/>
          <w:sz w:val="28"/>
          <w:bdr w:val="none" w:sz="0" w:space="0" w:color="auto" w:frame="1"/>
          <w:lang w:val="es-ES_tradnl" w:eastAsia="es-ES"/>
        </w:rPr>
        <w:t>”</w:t>
      </w:r>
      <w:r w:rsidRPr="00DE7CC4">
        <w:rPr>
          <w:rStyle w:val="Refdenotaalpie"/>
          <w:rFonts w:ascii="Times New Roman" w:hAnsi="Times New Roman"/>
          <w:color w:val="000000" w:themeColor="text1"/>
          <w:sz w:val="28"/>
          <w:bdr w:val="none" w:sz="0" w:space="0" w:color="auto" w:frame="1"/>
          <w:lang w:val="es-ES_tradnl" w:eastAsia="es-ES"/>
        </w:rPr>
        <w:footnoteReference w:id="119"/>
      </w:r>
      <w:r w:rsidRPr="00DE7CC4">
        <w:rPr>
          <w:rFonts w:ascii="Times New Roman" w:hAnsi="Times New Roman" w:cs="Times New Roman"/>
          <w:color w:val="000000" w:themeColor="text1"/>
          <w:sz w:val="28"/>
          <w:bdr w:val="none" w:sz="0" w:space="0" w:color="auto" w:frame="1"/>
          <w:lang w:val="es-ES_tradnl" w:eastAsia="es-ES"/>
        </w:rPr>
        <w:t xml:space="preserve"> (destacado fuera de texto). No obstante, no es claro por qué y en qué sentido -ausencia de justificación- la regulación demandada</w:t>
      </w:r>
      <w:r w:rsidRPr="00DE7CC4">
        <w:rPr>
          <w:rFonts w:ascii="Times New Roman" w:hAnsi="Times New Roman" w:cs="Times New Roman"/>
          <w:color w:val="000000" w:themeColor="text1"/>
          <w:sz w:val="28"/>
          <w:bdr w:val="none" w:sz="0" w:space="0" w:color="auto" w:frame="1"/>
          <w:lang w:val="es-ES_tradnl" w:eastAsia="es-ES"/>
        </w:rPr>
        <w:t>, cuyo alcance fue fijado,</w:t>
      </w:r>
      <w:r w:rsidRPr="00DE7CC4">
        <w:rPr>
          <w:rFonts w:ascii="Times New Roman" w:hAnsi="Times New Roman" w:cs="Times New Roman"/>
          <w:color w:val="000000" w:themeColor="text1"/>
          <w:sz w:val="28"/>
          <w:bdr w:val="none" w:sz="0" w:space="0" w:color="auto" w:frame="1"/>
          <w:lang w:val="es-ES_tradnl" w:eastAsia="es-ES"/>
        </w:rPr>
        <w:t xml:space="preserve"> </w:t>
      </w:r>
      <w:r w:rsidRPr="00DE7CC4">
        <w:rPr>
          <w:rFonts w:ascii="Times New Roman" w:hAnsi="Times New Roman" w:cs="Times New Roman"/>
          <w:color w:val="000000" w:themeColor="text1"/>
          <w:sz w:val="28"/>
          <w:bdr w:val="none" w:sz="0" w:space="0" w:color="auto" w:frame="1"/>
          <w:lang w:val="es-ES_tradnl" w:eastAsia="es-ES"/>
        </w:rPr>
        <w:t xml:space="preserve">afecta </w:t>
      </w:r>
      <w:r w:rsidRPr="00DE7CC4">
        <w:rPr>
          <w:rFonts w:ascii="Times New Roman" w:hAnsi="Times New Roman" w:cs="Times New Roman"/>
          <w:color w:val="000000" w:themeColor="text1"/>
          <w:sz w:val="28"/>
          <w:bdr w:val="none" w:sz="0" w:space="0" w:color="auto" w:frame="1"/>
          <w:lang w:val="es-ES_tradnl" w:eastAsia="es-ES"/>
        </w:rPr>
        <w:t>siquiera un aspecto relacionado con el</w:t>
      </w:r>
      <w:r w:rsidRPr="00DE7CC4">
        <w:rPr>
          <w:rFonts w:ascii="Times New Roman" w:hAnsi="Times New Roman" w:cs="Times New Roman"/>
          <w:color w:val="000000" w:themeColor="text1"/>
          <w:sz w:val="28"/>
          <w:bdr w:val="none" w:sz="0" w:space="0" w:color="auto" w:frame="1"/>
          <w:lang w:val="es-ES_tradnl" w:eastAsia="es-ES"/>
        </w:rPr>
        <w:t xml:space="preserve"> </w:t>
      </w:r>
      <w:r w:rsidRPr="00DE7CC4">
        <w:rPr>
          <w:rFonts w:ascii="Times New Roman" w:hAnsi="Times New Roman" w:cs="Times New Roman"/>
          <w:i/>
          <w:iCs/>
          <w:color w:val="000000" w:themeColor="text1"/>
          <w:sz w:val="28"/>
          <w:bdr w:val="none" w:sz="0" w:space="0" w:color="auto" w:frame="1"/>
          <w:lang w:val="es-ES_tradnl" w:eastAsia="es-ES"/>
        </w:rPr>
        <w:t xml:space="preserve">acceso </w:t>
      </w:r>
      <w:r w:rsidRPr="00DE7CC4">
        <w:rPr>
          <w:rFonts w:ascii="Times New Roman" w:hAnsi="Times New Roman" w:cs="Times New Roman"/>
          <w:color w:val="000000" w:themeColor="text1"/>
          <w:sz w:val="28"/>
          <w:bdr w:val="none" w:sz="0" w:space="0" w:color="auto" w:frame="1"/>
          <w:lang w:val="es-ES_tradnl" w:eastAsia="es-ES"/>
        </w:rPr>
        <w:t>a la propiedad</w:t>
      </w:r>
      <w:r w:rsidRPr="00DE7CC4">
        <w:rPr>
          <w:rStyle w:val="Refdenotaalpie"/>
          <w:rFonts w:ascii="Times New Roman" w:hAnsi="Times New Roman"/>
          <w:color w:val="000000" w:themeColor="text1"/>
          <w:sz w:val="28"/>
          <w:bdr w:val="none" w:sz="0" w:space="0" w:color="auto" w:frame="1"/>
          <w:lang w:val="es-ES_tradnl" w:eastAsia="es-ES"/>
        </w:rPr>
        <w:footnoteReference w:id="120"/>
      </w:r>
      <w:r w:rsidRPr="00DE7CC4">
        <w:rPr>
          <w:rFonts w:ascii="Times New Roman" w:hAnsi="Times New Roman" w:cs="Times New Roman"/>
          <w:color w:val="000000" w:themeColor="text1"/>
          <w:sz w:val="28"/>
          <w:bdr w:val="none" w:sz="0" w:space="0" w:color="auto" w:frame="1"/>
          <w:lang w:val="es-ES_tradnl" w:eastAsia="es-ES"/>
        </w:rPr>
        <w:t>,</w:t>
      </w:r>
      <w:r w:rsidRPr="00DE7CC4">
        <w:rPr>
          <w:rFonts w:ascii="Times New Roman" w:hAnsi="Times New Roman" w:cs="Times New Roman"/>
          <w:color w:val="000000" w:themeColor="text1"/>
          <w:sz w:val="28"/>
          <w:bdr w:val="none" w:sz="0" w:space="0" w:color="auto" w:frame="1"/>
          <w:lang w:val="es-ES_tradnl" w:eastAsia="es-ES"/>
        </w:rPr>
        <w:t xml:space="preserve"> por lo cual, no se cuenta con los elementos necesarios para adelantar el ejercicio </w:t>
      </w:r>
      <w:r w:rsidRPr="00DE7CC4">
        <w:rPr>
          <w:rFonts w:ascii="Times New Roman" w:hAnsi="Times New Roman" w:cs="Times New Roman"/>
          <w:color w:val="000000" w:themeColor="text1"/>
          <w:sz w:val="28"/>
          <w:bdr w:val="none" w:sz="0" w:space="0" w:color="auto" w:frame="1"/>
          <w:lang w:val="es-ES_tradnl" w:eastAsia="es-ES"/>
        </w:rPr>
        <w:t xml:space="preserve">de </w:t>
      </w:r>
      <w:r w:rsidRPr="00DE7CC4">
        <w:rPr>
          <w:rFonts w:ascii="Times New Roman" w:hAnsi="Times New Roman" w:cs="Times New Roman"/>
          <w:color w:val="000000" w:themeColor="text1"/>
          <w:sz w:val="28"/>
          <w:bdr w:val="none" w:sz="0" w:space="0" w:color="auto" w:frame="1"/>
          <w:lang w:val="es-ES_tradnl" w:eastAsia="es-ES"/>
        </w:rPr>
        <w:t xml:space="preserve">confrontación que presupone el control de constitucionalidad. </w:t>
      </w:r>
    </w:p>
    <w:p w:rsidR="00F32ED8" w:rsidRPr="00DE7CC4" w:rsidRDefault="00DE7CC4" w:rsidP="00F32ED8">
      <w:pPr>
        <w:jc w:val="both"/>
        <w:rPr>
          <w:rFonts w:ascii="Times New Roman" w:hAnsi="Times New Roman" w:cs="Times New Roman"/>
          <w:color w:val="000000" w:themeColor="text1"/>
          <w:sz w:val="28"/>
          <w:bdr w:val="none" w:sz="0" w:space="0" w:color="auto" w:frame="1"/>
          <w:lang w:val="es-ES_tradnl" w:eastAsia="es-ES"/>
        </w:rPr>
      </w:pPr>
    </w:p>
    <w:p w:rsidR="00F32ED8" w:rsidRPr="00DE7CC4" w:rsidRDefault="00DE7CC4" w:rsidP="00F32ED8">
      <w:pPr>
        <w:jc w:val="both"/>
        <w:rPr>
          <w:rFonts w:ascii="Times New Roman" w:hAnsi="Times New Roman" w:cs="Times New Roman"/>
          <w:color w:val="000000" w:themeColor="text1"/>
          <w:sz w:val="28"/>
          <w:bdr w:val="none" w:sz="0" w:space="0" w:color="auto" w:frame="1"/>
          <w:lang w:val="es-ES_tradnl" w:eastAsia="es-ES"/>
        </w:rPr>
      </w:pPr>
      <w:r w:rsidRPr="00DE7CC4">
        <w:rPr>
          <w:rFonts w:ascii="Times New Roman" w:hAnsi="Times New Roman" w:cs="Times New Roman"/>
          <w:color w:val="000000" w:themeColor="text1"/>
          <w:sz w:val="28"/>
          <w:bdr w:val="none" w:sz="0" w:space="0" w:color="auto" w:frame="1"/>
          <w:lang w:val="es-ES_tradnl" w:eastAsia="es-ES"/>
        </w:rPr>
        <w:t>89. Los accionantes acud</w:t>
      </w:r>
      <w:r w:rsidRPr="00DE7CC4">
        <w:rPr>
          <w:rFonts w:ascii="Times New Roman" w:hAnsi="Times New Roman" w:cs="Times New Roman"/>
          <w:color w:val="000000" w:themeColor="text1"/>
          <w:sz w:val="28"/>
          <w:bdr w:val="none" w:sz="0" w:space="0" w:color="auto" w:frame="1"/>
          <w:lang w:val="es-ES_tradnl" w:eastAsia="es-ES"/>
        </w:rPr>
        <w:t>iero</w:t>
      </w:r>
      <w:r w:rsidRPr="00DE7CC4">
        <w:rPr>
          <w:rFonts w:ascii="Times New Roman" w:hAnsi="Times New Roman" w:cs="Times New Roman"/>
          <w:color w:val="000000" w:themeColor="text1"/>
          <w:sz w:val="28"/>
          <w:bdr w:val="none" w:sz="0" w:space="0" w:color="auto" w:frame="1"/>
          <w:lang w:val="es-ES_tradnl" w:eastAsia="es-ES"/>
        </w:rPr>
        <w:t>n</w:t>
      </w:r>
      <w:r w:rsidRPr="00DE7CC4">
        <w:rPr>
          <w:rFonts w:ascii="Times New Roman" w:hAnsi="Times New Roman" w:cs="Times New Roman"/>
          <w:color w:val="000000" w:themeColor="text1"/>
          <w:sz w:val="28"/>
          <w:bdr w:val="none" w:sz="0" w:space="0" w:color="auto" w:frame="1"/>
          <w:lang w:val="es-ES_tradnl" w:eastAsia="es-ES"/>
        </w:rPr>
        <w:t xml:space="preserve"> a argumentos </w:t>
      </w:r>
      <w:r w:rsidRPr="00DE7CC4">
        <w:rPr>
          <w:rFonts w:ascii="Times New Roman" w:hAnsi="Times New Roman" w:cs="Times New Roman"/>
          <w:i/>
          <w:iCs/>
          <w:color w:val="000000" w:themeColor="text1"/>
          <w:sz w:val="28"/>
          <w:bdr w:val="none" w:sz="0" w:space="0" w:color="auto" w:frame="1"/>
          <w:lang w:val="es-ES_tradnl" w:eastAsia="es-ES"/>
        </w:rPr>
        <w:t xml:space="preserve">impertinentes </w:t>
      </w:r>
      <w:r w:rsidRPr="00DE7CC4">
        <w:rPr>
          <w:rFonts w:ascii="Times New Roman" w:hAnsi="Times New Roman" w:cs="Times New Roman"/>
          <w:color w:val="000000" w:themeColor="text1"/>
          <w:sz w:val="28"/>
          <w:bdr w:val="none" w:sz="0" w:space="0" w:color="auto" w:frame="1"/>
          <w:lang w:val="es-ES_tradnl" w:eastAsia="es-ES"/>
        </w:rPr>
        <w:t>como sustento de su invocación. Así, indicaron q</w:t>
      </w:r>
      <w:r w:rsidRPr="00DE7CC4">
        <w:rPr>
          <w:rFonts w:ascii="Times New Roman" w:hAnsi="Times New Roman" w:cs="Times New Roman"/>
          <w:color w:val="000000" w:themeColor="text1"/>
          <w:sz w:val="28"/>
          <w:bdr w:val="none" w:sz="0" w:space="0" w:color="auto" w:frame="1"/>
          <w:lang w:val="es-ES_tradnl" w:eastAsia="es-ES"/>
        </w:rPr>
        <w:t>ue</w:t>
      </w:r>
      <w:r w:rsidRPr="00DE7CC4">
        <w:rPr>
          <w:rFonts w:ascii="Times New Roman" w:hAnsi="Times New Roman" w:cs="Times New Roman"/>
          <w:color w:val="000000" w:themeColor="text1"/>
          <w:sz w:val="28"/>
          <w:bdr w:val="none" w:sz="0" w:space="0" w:color="auto" w:frame="1"/>
          <w:lang w:val="es-ES_tradnl" w:eastAsia="es-ES"/>
        </w:rPr>
        <w:t xml:space="preserve"> “la falta de informe oficial del accidente genera serios y numerosos problemas de reclamación indemnizatoria porque la prueba recaudada por el ciudadano no es oficial, y siempre generará dudas por la obvia imparcialidad” y que</w:t>
      </w:r>
      <w:r w:rsidRPr="00DE7CC4">
        <w:rPr>
          <w:rFonts w:ascii="Times New Roman" w:hAnsi="Times New Roman" w:cs="Times New Roman"/>
          <w:color w:val="000000" w:themeColor="text1"/>
          <w:sz w:val="28"/>
          <w:bdr w:val="none" w:sz="0" w:space="0" w:color="auto" w:frame="1"/>
          <w:lang w:val="es-ES_tradnl" w:eastAsia="es-ES"/>
        </w:rPr>
        <w:t xml:space="preserve"> “[l]as compañías de seguro</w:t>
      </w:r>
      <w:r w:rsidRPr="00DE7CC4">
        <w:rPr>
          <w:rFonts w:ascii="Times New Roman" w:hAnsi="Times New Roman" w:cs="Times New Roman"/>
          <w:color w:val="000000" w:themeColor="text1"/>
          <w:sz w:val="28"/>
          <w:bdr w:val="none" w:sz="0" w:space="0" w:color="auto" w:frame="1"/>
          <w:lang w:val="es-ES_tradnl" w:eastAsia="es-ES"/>
        </w:rPr>
        <w:t>s podrían rechazar la reclamación si el accidente no ha sido correctamente documentado, al tiempo que los ciudadanos que no cuentan con seguro de daños no tendrían garantizada la calidad de la prueba para entablar una demanda por responsabilidad civil extr</w:t>
      </w:r>
      <w:r w:rsidRPr="00DE7CC4">
        <w:rPr>
          <w:rFonts w:ascii="Times New Roman" w:hAnsi="Times New Roman" w:cs="Times New Roman"/>
          <w:color w:val="000000" w:themeColor="text1"/>
          <w:sz w:val="28"/>
          <w:bdr w:val="none" w:sz="0" w:space="0" w:color="auto" w:frame="1"/>
          <w:lang w:val="es-ES_tradnl" w:eastAsia="es-ES"/>
        </w:rPr>
        <w:t>acontractual”</w:t>
      </w:r>
      <w:r w:rsidRPr="00DE7CC4">
        <w:rPr>
          <w:rStyle w:val="Refdenotaalpie"/>
          <w:rFonts w:ascii="Times New Roman" w:hAnsi="Times New Roman"/>
          <w:color w:val="000000" w:themeColor="text1"/>
          <w:sz w:val="28"/>
          <w:bdr w:val="none" w:sz="0" w:space="0" w:color="auto" w:frame="1"/>
          <w:lang w:val="es-ES_tradnl" w:eastAsia="es-ES"/>
        </w:rPr>
        <w:footnoteReference w:id="121"/>
      </w:r>
      <w:r w:rsidRPr="00DE7CC4">
        <w:rPr>
          <w:rFonts w:ascii="Times New Roman" w:hAnsi="Times New Roman" w:cs="Times New Roman"/>
          <w:color w:val="000000" w:themeColor="text1"/>
          <w:sz w:val="28"/>
          <w:bdr w:val="none" w:sz="0" w:space="0" w:color="auto" w:frame="1"/>
          <w:lang w:val="es-ES_tradnl" w:eastAsia="es-ES"/>
        </w:rPr>
        <w:t>,</w:t>
      </w:r>
      <w:r w:rsidRPr="00DE7CC4">
        <w:rPr>
          <w:rFonts w:ascii="Times New Roman" w:hAnsi="Times New Roman" w:cs="Times New Roman"/>
          <w:color w:val="000000" w:themeColor="text1"/>
          <w:sz w:val="28"/>
          <w:bdr w:val="none" w:sz="0" w:space="0" w:color="auto" w:frame="1"/>
          <w:lang w:val="es-ES_tradnl" w:eastAsia="es-ES"/>
        </w:rPr>
        <w:t xml:space="preserve"> </w:t>
      </w:r>
      <w:r w:rsidRPr="00DE7CC4">
        <w:rPr>
          <w:rFonts w:ascii="Times New Roman" w:hAnsi="Times New Roman" w:cs="Times New Roman"/>
          <w:color w:val="000000" w:themeColor="text1"/>
          <w:sz w:val="28"/>
          <w:bdr w:val="none" w:sz="0" w:space="0" w:color="auto" w:frame="1"/>
          <w:lang w:val="es-ES_tradnl" w:eastAsia="es-ES"/>
        </w:rPr>
        <w:t>afirmaciones</w:t>
      </w:r>
      <w:r w:rsidRPr="00DE7CC4">
        <w:rPr>
          <w:rFonts w:ascii="Times New Roman" w:hAnsi="Times New Roman" w:cs="Times New Roman"/>
          <w:color w:val="000000" w:themeColor="text1"/>
          <w:sz w:val="28"/>
          <w:bdr w:val="none" w:sz="0" w:space="0" w:color="auto" w:frame="1"/>
          <w:lang w:val="es-ES_tradnl" w:eastAsia="es-ES"/>
        </w:rPr>
        <w:t xml:space="preserve"> que carece</w:t>
      </w:r>
      <w:r w:rsidRPr="00DE7CC4">
        <w:rPr>
          <w:rFonts w:ascii="Times New Roman" w:hAnsi="Times New Roman" w:cs="Times New Roman"/>
          <w:color w:val="000000" w:themeColor="text1"/>
          <w:sz w:val="28"/>
          <w:bdr w:val="none" w:sz="0" w:space="0" w:color="auto" w:frame="1"/>
          <w:lang w:val="es-ES_tradnl" w:eastAsia="es-ES"/>
        </w:rPr>
        <w:t>n</w:t>
      </w:r>
      <w:r w:rsidRPr="00DE7CC4">
        <w:rPr>
          <w:rFonts w:ascii="Times New Roman" w:hAnsi="Times New Roman" w:cs="Times New Roman"/>
          <w:color w:val="000000" w:themeColor="text1"/>
          <w:sz w:val="28"/>
          <w:bdr w:val="none" w:sz="0" w:space="0" w:color="auto" w:frame="1"/>
          <w:lang w:val="es-ES_tradnl" w:eastAsia="es-ES"/>
        </w:rPr>
        <w:t xml:space="preserve"> de sustento</w:t>
      </w:r>
      <w:r w:rsidRPr="00DE7CC4">
        <w:rPr>
          <w:rFonts w:ascii="Times New Roman" w:hAnsi="Times New Roman" w:cs="Times New Roman"/>
          <w:color w:val="000000" w:themeColor="text1"/>
          <w:sz w:val="28"/>
          <w:bdr w:val="none" w:sz="0" w:space="0" w:color="auto" w:frame="1"/>
          <w:lang w:val="es-ES_tradnl" w:eastAsia="es-ES"/>
        </w:rPr>
        <w:t>. La primera recurre a la</w:t>
      </w:r>
      <w:r w:rsidRPr="00DE7CC4">
        <w:rPr>
          <w:rFonts w:ascii="Times New Roman" w:hAnsi="Times New Roman" w:cs="Times New Roman"/>
          <w:color w:val="000000" w:themeColor="text1"/>
          <w:sz w:val="28"/>
          <w:bdr w:val="none" w:sz="0" w:space="0" w:color="auto" w:frame="1"/>
          <w:lang w:val="es-ES_tradnl" w:eastAsia="es-ES"/>
        </w:rPr>
        <w:t xml:space="preserve"> imparcialidad</w:t>
      </w:r>
      <w:r w:rsidRPr="00DE7CC4">
        <w:rPr>
          <w:rFonts w:ascii="Times New Roman" w:hAnsi="Times New Roman" w:cs="Times New Roman"/>
          <w:color w:val="000000" w:themeColor="text1"/>
          <w:sz w:val="28"/>
          <w:bdr w:val="none" w:sz="0" w:space="0" w:color="auto" w:frame="1"/>
          <w:lang w:val="es-ES_tradnl" w:eastAsia="es-ES"/>
        </w:rPr>
        <w:t xml:space="preserve"> como criterio relevante en la recolección y aportación de pruebas sin</w:t>
      </w:r>
      <w:r w:rsidRPr="00DE7CC4">
        <w:rPr>
          <w:rFonts w:ascii="Times New Roman" w:hAnsi="Times New Roman" w:cs="Times New Roman"/>
          <w:color w:val="000000" w:themeColor="text1"/>
          <w:sz w:val="28"/>
          <w:bdr w:val="none" w:sz="0" w:space="0" w:color="auto" w:frame="1"/>
          <w:lang w:val="es-ES_tradnl" w:eastAsia="es-ES"/>
        </w:rPr>
        <w:t xml:space="preserve"> </w:t>
      </w:r>
      <w:r w:rsidRPr="00DE7CC4">
        <w:rPr>
          <w:rFonts w:ascii="Times New Roman" w:hAnsi="Times New Roman" w:cs="Times New Roman"/>
          <w:color w:val="000000" w:themeColor="text1"/>
          <w:sz w:val="28"/>
          <w:bdr w:val="none" w:sz="0" w:space="0" w:color="auto" w:frame="1"/>
          <w:lang w:val="es-ES_tradnl" w:eastAsia="es-ES"/>
        </w:rPr>
        <w:t xml:space="preserve">justificar su alcance en esta etapa y, contrario a la Constitución, presupone que no es válido predicar de esta actividad el principio de buena fe por parte de los interesados. Las dos afirmaciones, además, son </w:t>
      </w:r>
      <w:r w:rsidRPr="00DE7CC4">
        <w:rPr>
          <w:rFonts w:ascii="Times New Roman" w:hAnsi="Times New Roman" w:cs="Times New Roman"/>
          <w:color w:val="000000" w:themeColor="text1"/>
          <w:sz w:val="28"/>
          <w:bdr w:val="none" w:sz="0" w:space="0" w:color="auto" w:frame="1"/>
          <w:lang w:val="es-ES_tradnl" w:eastAsia="es-ES"/>
        </w:rPr>
        <w:t>consideraci</w:t>
      </w:r>
      <w:r w:rsidRPr="00DE7CC4">
        <w:rPr>
          <w:rFonts w:ascii="Times New Roman" w:hAnsi="Times New Roman" w:cs="Times New Roman"/>
          <w:color w:val="000000" w:themeColor="text1"/>
          <w:sz w:val="28"/>
          <w:bdr w:val="none" w:sz="0" w:space="0" w:color="auto" w:frame="1"/>
          <w:lang w:val="es-ES_tradnl" w:eastAsia="es-ES"/>
        </w:rPr>
        <w:t>o</w:t>
      </w:r>
      <w:r w:rsidRPr="00DE7CC4">
        <w:rPr>
          <w:rFonts w:ascii="Times New Roman" w:hAnsi="Times New Roman" w:cs="Times New Roman"/>
          <w:color w:val="000000" w:themeColor="text1"/>
          <w:sz w:val="28"/>
          <w:bdr w:val="none" w:sz="0" w:space="0" w:color="auto" w:frame="1"/>
          <w:lang w:val="es-ES_tradnl" w:eastAsia="es-ES"/>
        </w:rPr>
        <w:t>n</w:t>
      </w:r>
      <w:r w:rsidRPr="00DE7CC4">
        <w:rPr>
          <w:rFonts w:ascii="Times New Roman" w:hAnsi="Times New Roman" w:cs="Times New Roman"/>
          <w:color w:val="000000" w:themeColor="text1"/>
          <w:sz w:val="28"/>
          <w:bdr w:val="none" w:sz="0" w:space="0" w:color="auto" w:frame="1"/>
          <w:lang w:val="es-ES_tradnl" w:eastAsia="es-ES"/>
        </w:rPr>
        <w:t>es</w:t>
      </w:r>
      <w:r w:rsidRPr="00DE7CC4">
        <w:rPr>
          <w:rFonts w:ascii="Times New Roman" w:hAnsi="Times New Roman" w:cs="Times New Roman"/>
          <w:color w:val="000000" w:themeColor="text1"/>
          <w:sz w:val="28"/>
          <w:bdr w:val="none" w:sz="0" w:space="0" w:color="auto" w:frame="1"/>
          <w:lang w:val="es-ES_tradnl" w:eastAsia="es-ES"/>
        </w:rPr>
        <w:t xml:space="preserve"> personal</w:t>
      </w:r>
      <w:r w:rsidRPr="00DE7CC4">
        <w:rPr>
          <w:rFonts w:ascii="Times New Roman" w:hAnsi="Times New Roman" w:cs="Times New Roman"/>
          <w:color w:val="000000" w:themeColor="text1"/>
          <w:sz w:val="28"/>
          <w:bdr w:val="none" w:sz="0" w:space="0" w:color="auto" w:frame="1"/>
          <w:lang w:val="es-ES_tradnl" w:eastAsia="es-ES"/>
        </w:rPr>
        <w:t>es</w:t>
      </w:r>
      <w:r w:rsidRPr="00DE7CC4">
        <w:rPr>
          <w:rFonts w:ascii="Times New Roman" w:hAnsi="Times New Roman" w:cs="Times New Roman"/>
          <w:color w:val="000000" w:themeColor="text1"/>
          <w:sz w:val="28"/>
          <w:bdr w:val="none" w:sz="0" w:space="0" w:color="auto" w:frame="1"/>
          <w:lang w:val="es-ES_tradnl" w:eastAsia="es-ES"/>
        </w:rPr>
        <w:t xml:space="preserve"> y meramente especu</w:t>
      </w:r>
      <w:r w:rsidRPr="00DE7CC4">
        <w:rPr>
          <w:rFonts w:ascii="Times New Roman" w:hAnsi="Times New Roman" w:cs="Times New Roman"/>
          <w:color w:val="000000" w:themeColor="text1"/>
          <w:sz w:val="28"/>
          <w:bdr w:val="none" w:sz="0" w:space="0" w:color="auto" w:frame="1"/>
          <w:lang w:val="es-ES_tradnl" w:eastAsia="es-ES"/>
        </w:rPr>
        <w:t>lativas</w:t>
      </w:r>
      <w:r w:rsidRPr="00DE7CC4">
        <w:rPr>
          <w:rStyle w:val="Refdenotaalpie"/>
          <w:rFonts w:ascii="Times New Roman" w:hAnsi="Times New Roman"/>
          <w:color w:val="000000" w:themeColor="text1"/>
          <w:sz w:val="28"/>
          <w:bdr w:val="none" w:sz="0" w:space="0" w:color="auto" w:frame="1"/>
          <w:lang w:val="es-ES_tradnl" w:eastAsia="es-ES"/>
        </w:rPr>
        <w:footnoteReference w:id="122"/>
      </w:r>
      <w:r w:rsidRPr="00DE7CC4">
        <w:rPr>
          <w:rFonts w:ascii="Times New Roman" w:hAnsi="Times New Roman" w:cs="Times New Roman"/>
          <w:color w:val="000000" w:themeColor="text1"/>
          <w:sz w:val="28"/>
          <w:bdr w:val="none" w:sz="0" w:space="0" w:color="auto" w:frame="1"/>
          <w:lang w:val="es-ES_tradnl" w:eastAsia="es-ES"/>
        </w:rPr>
        <w:t>. Finalmente, en las condiciones indicadas, es evidente que esta discusión no cuenta con los elementos fácticos, probatorios y/o jurídicos adecuados para que la Sala Plena asuma el control de fondo de la disposición demandada, por lo que no se cump</w:t>
      </w:r>
      <w:r w:rsidRPr="00DE7CC4">
        <w:rPr>
          <w:rFonts w:ascii="Times New Roman" w:hAnsi="Times New Roman" w:cs="Times New Roman"/>
          <w:color w:val="000000" w:themeColor="text1"/>
          <w:sz w:val="28"/>
          <w:bdr w:val="none" w:sz="0" w:space="0" w:color="auto" w:frame="1"/>
          <w:lang w:val="es-ES_tradnl" w:eastAsia="es-ES"/>
        </w:rPr>
        <w:t xml:space="preserve">le el requisito de suficiencia. Todo lo anterior conduce, sin duda alguna, a emitir una decisión inhibitoria frente a este reparo. </w:t>
      </w:r>
    </w:p>
    <w:p w:rsidR="00F32ED8" w:rsidRPr="00DE7CC4" w:rsidRDefault="00DE7CC4" w:rsidP="00F32ED8">
      <w:pPr>
        <w:jc w:val="both"/>
        <w:rPr>
          <w:rFonts w:ascii="Times New Roman" w:hAnsi="Times New Roman" w:cs="Times New Roman"/>
          <w:color w:val="000000" w:themeColor="text1"/>
          <w:sz w:val="28"/>
          <w:bdr w:val="none" w:sz="0" w:space="0" w:color="auto" w:frame="1"/>
          <w:lang w:val="es-ES_tradnl" w:eastAsia="es-ES"/>
        </w:rPr>
      </w:pPr>
    </w:p>
    <w:p w:rsidR="00F32ED8" w:rsidRPr="00DE7CC4" w:rsidRDefault="00DE7CC4" w:rsidP="00F32ED8">
      <w:pPr>
        <w:jc w:val="both"/>
        <w:rPr>
          <w:rFonts w:ascii="Times New Roman" w:hAnsi="Times New Roman" w:cs="Times New Roman"/>
          <w:color w:val="000000" w:themeColor="text1"/>
          <w:sz w:val="28"/>
          <w:bdr w:val="none" w:sz="0" w:space="0" w:color="auto" w:frame="1"/>
          <w:lang w:eastAsia="es-ES"/>
        </w:rPr>
      </w:pPr>
      <w:r w:rsidRPr="00DE7CC4">
        <w:rPr>
          <w:rFonts w:ascii="Times New Roman" w:hAnsi="Times New Roman" w:cs="Times New Roman"/>
          <w:color w:val="000000" w:themeColor="text1"/>
          <w:sz w:val="28"/>
          <w:bdr w:val="none" w:sz="0" w:space="0" w:color="auto" w:frame="1"/>
          <w:lang w:val="es-ES_tradnl" w:eastAsia="es-ES"/>
        </w:rPr>
        <w:t xml:space="preserve">90. Los </w:t>
      </w:r>
      <w:r w:rsidRPr="00DE7CC4">
        <w:rPr>
          <w:rFonts w:ascii="Times New Roman" w:hAnsi="Times New Roman" w:cs="Times New Roman"/>
          <w:i/>
          <w:iCs/>
          <w:color w:val="000000" w:themeColor="text1"/>
          <w:sz w:val="28"/>
          <w:bdr w:val="none" w:sz="0" w:space="0" w:color="auto" w:frame="1"/>
          <w:lang w:val="es-ES_tradnl" w:eastAsia="es-ES"/>
        </w:rPr>
        <w:t>cargos</w:t>
      </w:r>
      <w:r w:rsidRPr="00DE7CC4">
        <w:rPr>
          <w:rFonts w:ascii="Times New Roman" w:hAnsi="Times New Roman" w:cs="Times New Roman"/>
          <w:i/>
          <w:iCs/>
          <w:color w:val="000000" w:themeColor="text1"/>
          <w:sz w:val="28"/>
          <w:bdr w:val="none" w:sz="0" w:space="0" w:color="auto" w:frame="1"/>
          <w:lang w:eastAsia="es-ES"/>
        </w:rPr>
        <w:t xml:space="preserve"> tercero y cuarto</w:t>
      </w:r>
      <w:r w:rsidRPr="00DE7CC4">
        <w:rPr>
          <w:rFonts w:ascii="Times New Roman" w:hAnsi="Times New Roman" w:cs="Times New Roman"/>
          <w:color w:val="000000" w:themeColor="text1"/>
          <w:sz w:val="28"/>
          <w:bdr w:val="none" w:sz="0" w:space="0" w:color="auto" w:frame="1"/>
          <w:lang w:eastAsia="es-ES"/>
        </w:rPr>
        <w:t xml:space="preserve">, en concepto de la Sala Plena y dado que </w:t>
      </w:r>
      <w:r w:rsidRPr="00DE7CC4">
        <w:rPr>
          <w:rFonts w:ascii="Times New Roman" w:hAnsi="Times New Roman" w:cs="Times New Roman"/>
          <w:color w:val="000000" w:themeColor="text1"/>
          <w:sz w:val="28"/>
          <w:bdr w:val="none" w:sz="0" w:space="0" w:color="auto" w:frame="1"/>
          <w:lang w:eastAsia="es-ES"/>
        </w:rPr>
        <w:t>–</w:t>
      </w:r>
      <w:r w:rsidRPr="00DE7CC4">
        <w:rPr>
          <w:rFonts w:ascii="Times New Roman" w:hAnsi="Times New Roman" w:cs="Times New Roman"/>
          <w:color w:val="000000" w:themeColor="text1"/>
          <w:sz w:val="28"/>
          <w:bdr w:val="none" w:sz="0" w:space="0" w:color="auto" w:frame="1"/>
          <w:lang w:eastAsia="es-ES"/>
        </w:rPr>
        <w:t>vistos en su conjunto</w:t>
      </w:r>
      <w:r w:rsidRPr="00DE7CC4">
        <w:rPr>
          <w:rFonts w:ascii="Times New Roman" w:hAnsi="Times New Roman" w:cs="Times New Roman"/>
          <w:color w:val="000000" w:themeColor="text1"/>
          <w:sz w:val="28"/>
          <w:bdr w:val="none" w:sz="0" w:space="0" w:color="auto" w:frame="1"/>
          <w:lang w:eastAsia="es-ES"/>
        </w:rPr>
        <w:t>–</w:t>
      </w:r>
      <w:r w:rsidRPr="00DE7CC4">
        <w:rPr>
          <w:rFonts w:ascii="Times New Roman" w:hAnsi="Times New Roman" w:cs="Times New Roman"/>
          <w:color w:val="000000" w:themeColor="text1"/>
          <w:sz w:val="28"/>
          <w:bdr w:val="none" w:sz="0" w:space="0" w:color="auto" w:frame="1"/>
          <w:lang w:eastAsia="es-ES"/>
        </w:rPr>
        <w:t xml:space="preserve"> comprenden dos caras de un reproche común, se analizarán conjuntamente. Para los demandantes, con el artículo 16 de la Ley 2251 de 2022 el Estado y, en particular el Presidente de la República, renunció a la obligación de garantizar el orden público y omi</w:t>
      </w:r>
      <w:r w:rsidRPr="00DE7CC4">
        <w:rPr>
          <w:rFonts w:ascii="Times New Roman" w:hAnsi="Times New Roman" w:cs="Times New Roman"/>
          <w:color w:val="000000" w:themeColor="text1"/>
          <w:sz w:val="28"/>
          <w:bdr w:val="none" w:sz="0" w:space="0" w:color="auto" w:frame="1"/>
          <w:lang w:eastAsia="es-ES"/>
        </w:rPr>
        <w:t>tió, además, el deber de establecer la responsabilidad del particular que infrinja las normas de tránsito. Indicaron que el mantenimiento del orden público es una obligación del Presidente de la República, competencia que se irradia en todo el territorio n</w:t>
      </w:r>
      <w:r w:rsidRPr="00DE7CC4">
        <w:rPr>
          <w:rFonts w:ascii="Times New Roman" w:hAnsi="Times New Roman" w:cs="Times New Roman"/>
          <w:color w:val="000000" w:themeColor="text1"/>
          <w:sz w:val="28"/>
          <w:bdr w:val="none" w:sz="0" w:space="0" w:color="auto" w:frame="1"/>
          <w:lang w:eastAsia="es-ES"/>
        </w:rPr>
        <w:t xml:space="preserve">acional a través de las autoridades administrativas de policía, entre las que están las autoridades de tránsito; encargadas estas últimas del orden público vial y de garantizar la seguridad vial en el país.  Si esto es así, continúan, como la autoridad de </w:t>
      </w:r>
      <w:r w:rsidRPr="00DE7CC4">
        <w:rPr>
          <w:rFonts w:ascii="Times New Roman" w:hAnsi="Times New Roman" w:cs="Times New Roman"/>
          <w:color w:val="000000" w:themeColor="text1"/>
          <w:sz w:val="28"/>
          <w:bdr w:val="none" w:sz="0" w:space="0" w:color="auto" w:frame="1"/>
          <w:lang w:eastAsia="es-ES"/>
        </w:rPr>
        <w:t>tránsito ya no está llamada a asistir en los casos a los que se refiere la disposición demandada, se “impide que las infracciones de tránsito que pudieran haberse cometido con ocasión del accidente sean sancionadas (…) es una forma de promover la impunidad</w:t>
      </w:r>
      <w:r w:rsidRPr="00DE7CC4">
        <w:rPr>
          <w:rFonts w:ascii="Times New Roman" w:hAnsi="Times New Roman" w:cs="Times New Roman"/>
          <w:color w:val="000000" w:themeColor="text1"/>
          <w:sz w:val="28"/>
          <w:bdr w:val="none" w:sz="0" w:space="0" w:color="auto" w:frame="1"/>
          <w:lang w:eastAsia="es-ES"/>
        </w:rPr>
        <w:t xml:space="preserve"> por la comisión de infracciones de tránsito”</w:t>
      </w:r>
      <w:r w:rsidRPr="00DE7CC4">
        <w:rPr>
          <w:rStyle w:val="Refdenotaalpie"/>
          <w:rFonts w:ascii="Times New Roman" w:hAnsi="Times New Roman"/>
          <w:color w:val="000000" w:themeColor="text1"/>
          <w:sz w:val="28"/>
          <w:bdr w:val="none" w:sz="0" w:space="0" w:color="auto" w:frame="1"/>
          <w:lang w:eastAsia="es-ES"/>
        </w:rPr>
        <w:footnoteReference w:id="123"/>
      </w:r>
      <w:r w:rsidRPr="00DE7CC4">
        <w:rPr>
          <w:rFonts w:ascii="Times New Roman" w:hAnsi="Times New Roman" w:cs="Times New Roman"/>
          <w:color w:val="000000" w:themeColor="text1"/>
          <w:sz w:val="28"/>
          <w:bdr w:val="none" w:sz="0" w:space="0" w:color="auto" w:frame="1"/>
          <w:lang w:eastAsia="es-ES"/>
        </w:rPr>
        <w:t>.</w:t>
      </w:r>
      <w:r w:rsidRPr="00DE7CC4">
        <w:rPr>
          <w:rStyle w:val="Refdenotaalpie"/>
          <w:rFonts w:ascii="Times New Roman" w:hAnsi="Times New Roman"/>
          <w:color w:val="000000" w:themeColor="text1"/>
          <w:sz w:val="28"/>
          <w:bdr w:val="none" w:sz="0" w:space="0" w:color="auto" w:frame="1"/>
          <w:lang w:eastAsia="es-ES"/>
        </w:rPr>
        <w:t xml:space="preserve"> </w:t>
      </w:r>
      <w:r w:rsidRPr="00DE7CC4">
        <w:rPr>
          <w:rFonts w:ascii="Times New Roman" w:hAnsi="Times New Roman" w:cs="Times New Roman"/>
          <w:color w:val="000000" w:themeColor="text1"/>
          <w:sz w:val="28"/>
          <w:lang w:val="es-ES_tradnl"/>
        </w:rPr>
        <w:t xml:space="preserve">A partir de allí se genera, en concepto de los accionantes, un fenómeno de impunidad que incrementa la criminalidad. </w:t>
      </w:r>
    </w:p>
    <w:p w:rsidR="00F32ED8" w:rsidRPr="00DE7CC4" w:rsidRDefault="00DE7CC4" w:rsidP="00F32ED8">
      <w:pPr>
        <w:jc w:val="both"/>
        <w:rPr>
          <w:rFonts w:ascii="Times New Roman" w:hAnsi="Times New Roman" w:cs="Times New Roman"/>
          <w:color w:val="000000" w:themeColor="text1"/>
          <w:sz w:val="28"/>
          <w:lang w:val="es-ES_tradnl"/>
        </w:rPr>
      </w:pPr>
    </w:p>
    <w:p w:rsidR="00F32ED8" w:rsidRPr="00DE7CC4" w:rsidRDefault="00DE7CC4" w:rsidP="00F32ED8">
      <w:pPr>
        <w:jc w:val="both"/>
        <w:rPr>
          <w:rFonts w:ascii="Times New Roman" w:hAnsi="Times New Roman" w:cs="Times New Roman"/>
          <w:color w:val="000000" w:themeColor="text1"/>
          <w:sz w:val="28"/>
          <w:lang w:val="es-ES_tradnl"/>
        </w:rPr>
      </w:pPr>
      <w:r w:rsidRPr="00DE7CC4">
        <w:rPr>
          <w:rFonts w:ascii="Times New Roman" w:hAnsi="Times New Roman" w:cs="Times New Roman"/>
          <w:color w:val="000000" w:themeColor="text1"/>
          <w:sz w:val="28"/>
          <w:lang w:val="es-ES_tradnl"/>
        </w:rPr>
        <w:t>91. Finalmente, si, conforme al artículo 6 de la Constitución, los particulares son respo</w:t>
      </w:r>
      <w:r w:rsidRPr="00DE7CC4">
        <w:rPr>
          <w:rFonts w:ascii="Times New Roman" w:hAnsi="Times New Roman" w:cs="Times New Roman"/>
          <w:color w:val="000000" w:themeColor="text1"/>
          <w:sz w:val="28"/>
          <w:lang w:val="es-ES_tradnl"/>
        </w:rPr>
        <w:t>nsables por vulnerar la ley, es claro que, si no está el agente de tránsito en la escena del accidente solo latas, “¿cómo se impone el comparendo cuando el accidente ha sido ocasionado por efectos de una infracción de tránsito? Si no se sanciona la infracc</w:t>
      </w:r>
      <w:r w:rsidRPr="00DE7CC4">
        <w:rPr>
          <w:rFonts w:ascii="Times New Roman" w:hAnsi="Times New Roman" w:cs="Times New Roman"/>
          <w:color w:val="000000" w:themeColor="text1"/>
          <w:sz w:val="28"/>
          <w:lang w:val="es-ES_tradnl"/>
        </w:rPr>
        <w:t>ión, el Estado ha renunciado a que el ciudadano sea responsable por la infracción de la ley, lo cual es contrario al artículo 6º de la Constitución”</w:t>
      </w:r>
      <w:r w:rsidRPr="00DE7CC4">
        <w:rPr>
          <w:rStyle w:val="Refdenotaalpie"/>
          <w:rFonts w:ascii="Times New Roman" w:hAnsi="Times New Roman"/>
          <w:color w:val="000000" w:themeColor="text1"/>
          <w:sz w:val="28"/>
          <w:lang w:val="es-ES_tradnl"/>
        </w:rPr>
        <w:footnoteReference w:id="124"/>
      </w:r>
      <w:r w:rsidRPr="00DE7CC4">
        <w:rPr>
          <w:rFonts w:ascii="Times New Roman" w:hAnsi="Times New Roman" w:cs="Times New Roman"/>
          <w:color w:val="000000" w:themeColor="text1"/>
          <w:sz w:val="28"/>
          <w:lang w:val="es-ES_tradnl"/>
        </w:rPr>
        <w:t>.</w:t>
      </w:r>
    </w:p>
    <w:p w:rsidR="00F32ED8" w:rsidRPr="00DE7CC4" w:rsidRDefault="00DE7CC4" w:rsidP="00F32ED8">
      <w:pPr>
        <w:jc w:val="both"/>
        <w:rPr>
          <w:rFonts w:ascii="Times New Roman" w:hAnsi="Times New Roman" w:cs="Times New Roman"/>
          <w:color w:val="000000" w:themeColor="text1"/>
          <w:sz w:val="28"/>
          <w:lang w:val="es-ES_tradnl"/>
        </w:rPr>
      </w:pPr>
    </w:p>
    <w:p w:rsidR="00F32ED8" w:rsidRPr="00DE7CC4" w:rsidRDefault="00DE7CC4" w:rsidP="00F32ED8">
      <w:pPr>
        <w:jc w:val="both"/>
        <w:rPr>
          <w:rFonts w:ascii="Times New Roman" w:hAnsi="Times New Roman" w:cs="Times New Roman"/>
          <w:color w:val="000000" w:themeColor="text1"/>
          <w:sz w:val="28"/>
          <w:lang w:val="es-ES_tradnl"/>
        </w:rPr>
      </w:pPr>
      <w:r w:rsidRPr="00DE7CC4">
        <w:rPr>
          <w:rFonts w:ascii="Times New Roman" w:hAnsi="Times New Roman" w:cs="Times New Roman"/>
          <w:color w:val="000000" w:themeColor="text1"/>
          <w:sz w:val="28"/>
          <w:lang w:val="es-ES_tradnl"/>
        </w:rPr>
        <w:t>92. Sobre estos dos reparos, el Ministerio de Transporte indicó que el Estado y el Presidente de la Repú</w:t>
      </w:r>
      <w:r w:rsidRPr="00DE7CC4">
        <w:rPr>
          <w:rFonts w:ascii="Times New Roman" w:hAnsi="Times New Roman" w:cs="Times New Roman"/>
          <w:color w:val="000000" w:themeColor="text1"/>
          <w:sz w:val="28"/>
          <w:lang w:val="es-ES_tradnl"/>
        </w:rPr>
        <w:t xml:space="preserve">blica no están renunciando a ninguno de los deberes a su cargo, porque, contrario a lo dicho por los demandantes, lo que prevé la disposición es un nuevo régimen probatorio. </w:t>
      </w:r>
      <w:r w:rsidRPr="00DE7CC4">
        <w:rPr>
          <w:rFonts w:ascii="Times New Roman" w:hAnsi="Times New Roman" w:cs="Times New Roman"/>
          <w:color w:val="000000" w:themeColor="text1"/>
          <w:sz w:val="28"/>
          <w:bdr w:val="none" w:sz="0" w:space="0" w:color="auto" w:frame="1"/>
          <w:lang w:eastAsia="es-ES"/>
        </w:rPr>
        <w:t>Paul Esteban Hernández y Diana Patricia Posada Virgen, en apoyo a la demanda, indi</w:t>
      </w:r>
      <w:r w:rsidRPr="00DE7CC4">
        <w:rPr>
          <w:rFonts w:ascii="Times New Roman" w:hAnsi="Times New Roman" w:cs="Times New Roman"/>
          <w:color w:val="000000" w:themeColor="text1"/>
          <w:sz w:val="28"/>
          <w:bdr w:val="none" w:sz="0" w:space="0" w:color="auto" w:frame="1"/>
          <w:lang w:eastAsia="es-ES"/>
        </w:rPr>
        <w:t xml:space="preserve">caron que el artículo 16 de la Ley 2251 de 2022 lesiona el principio de </w:t>
      </w:r>
      <w:r w:rsidRPr="00DE7CC4">
        <w:rPr>
          <w:rFonts w:ascii="Times New Roman" w:hAnsi="Times New Roman" w:cs="Times New Roman"/>
          <w:i/>
          <w:iCs/>
          <w:color w:val="000000" w:themeColor="text1"/>
          <w:sz w:val="28"/>
          <w:bdr w:val="none" w:sz="0" w:space="0" w:color="auto" w:frame="1"/>
          <w:lang w:eastAsia="es-ES"/>
        </w:rPr>
        <w:t xml:space="preserve">seguridad pública </w:t>
      </w:r>
      <w:r w:rsidRPr="00DE7CC4">
        <w:rPr>
          <w:rFonts w:ascii="Times New Roman" w:hAnsi="Times New Roman" w:cs="Times New Roman"/>
          <w:color w:val="000000" w:themeColor="text1"/>
          <w:sz w:val="28"/>
          <w:bdr w:val="none" w:sz="0" w:space="0" w:color="auto" w:frame="1"/>
          <w:lang w:eastAsia="es-ES"/>
        </w:rPr>
        <w:t>porque, en su criterio, quedan prácticamente derogadas las normas de movilidad que generan procedimientos administrativos sancionatorios y que tienen por objeto, en s</w:t>
      </w:r>
      <w:r w:rsidRPr="00DE7CC4">
        <w:rPr>
          <w:rFonts w:ascii="Times New Roman" w:hAnsi="Times New Roman" w:cs="Times New Roman"/>
          <w:color w:val="000000" w:themeColor="text1"/>
          <w:sz w:val="28"/>
          <w:bdr w:val="none" w:sz="0" w:space="0" w:color="auto" w:frame="1"/>
          <w:lang w:eastAsia="es-ES"/>
        </w:rPr>
        <w:t xml:space="preserve">u criterio, finalidades de prevención general y especial. </w:t>
      </w:r>
      <w:r w:rsidRPr="00DE7CC4">
        <w:rPr>
          <w:rFonts w:ascii="Times New Roman" w:hAnsi="Times New Roman" w:cs="Times New Roman"/>
          <w:color w:val="000000" w:themeColor="text1"/>
          <w:sz w:val="28"/>
          <w:lang w:val="es-ES_tradnl"/>
        </w:rPr>
        <w:t>Viviana Patricia Gómez Galeano y Mauricio Gómez Galeano, coadyuvantes de la inexequibilidad, afirmaron -sin hacer mención a estos dos cargos- que detrás de cada choque simple hay una infracción a un</w:t>
      </w:r>
      <w:r w:rsidRPr="00DE7CC4">
        <w:rPr>
          <w:rFonts w:ascii="Times New Roman" w:hAnsi="Times New Roman" w:cs="Times New Roman"/>
          <w:color w:val="000000" w:themeColor="text1"/>
          <w:sz w:val="28"/>
          <w:lang w:val="es-ES_tradnl"/>
        </w:rPr>
        <w:t>a norma de tránsito, por lo cual, se extrae, la disposición sí llevaría a omitir tal sanción. Y, por último, la Federación Colombiana de Municipios - Fedemunicipios y los integrantes del área de Derecho Público del Consultorio Jurídico de la Universidad de</w:t>
      </w:r>
      <w:r w:rsidRPr="00DE7CC4">
        <w:rPr>
          <w:rFonts w:ascii="Times New Roman" w:hAnsi="Times New Roman" w:cs="Times New Roman"/>
          <w:color w:val="000000" w:themeColor="text1"/>
          <w:sz w:val="28"/>
          <w:lang w:val="es-ES_tradnl"/>
        </w:rPr>
        <w:t xml:space="preserve"> los Andes no realizaron manifestación expresa sobre estos reparos. </w:t>
      </w:r>
    </w:p>
    <w:p w:rsidR="00F32ED8" w:rsidRPr="00DE7CC4" w:rsidRDefault="00DE7CC4" w:rsidP="00F32ED8">
      <w:pPr>
        <w:jc w:val="both"/>
        <w:rPr>
          <w:rFonts w:ascii="Times New Roman" w:hAnsi="Times New Roman" w:cs="Times New Roman"/>
          <w:color w:val="000000" w:themeColor="text1"/>
          <w:sz w:val="28"/>
          <w:lang w:val="es-ES_tradnl"/>
        </w:rPr>
      </w:pPr>
    </w:p>
    <w:p w:rsidR="00F32ED8" w:rsidRPr="00DE7CC4" w:rsidRDefault="00DE7CC4" w:rsidP="00F32ED8">
      <w:pPr>
        <w:jc w:val="both"/>
        <w:rPr>
          <w:rFonts w:ascii="Times New Roman" w:hAnsi="Times New Roman" w:cs="Times New Roman"/>
          <w:color w:val="000000" w:themeColor="text1"/>
          <w:sz w:val="28"/>
          <w:lang w:val="es-ES_tradnl"/>
        </w:rPr>
      </w:pPr>
      <w:r w:rsidRPr="00DE7CC4">
        <w:rPr>
          <w:rFonts w:ascii="Times New Roman" w:hAnsi="Times New Roman" w:cs="Times New Roman"/>
          <w:color w:val="000000" w:themeColor="text1"/>
          <w:sz w:val="28"/>
          <w:lang w:val="es-ES_tradnl"/>
        </w:rPr>
        <w:t>93. Por su parte, para el Ministerio Público el artículo regula una materia de orden procesal ligada a las pruebas utilizadas para que, a través de la responsabilidad civil extracontract</w:t>
      </w:r>
      <w:r w:rsidRPr="00DE7CC4">
        <w:rPr>
          <w:rFonts w:ascii="Times New Roman" w:hAnsi="Times New Roman" w:cs="Times New Roman"/>
          <w:color w:val="000000" w:themeColor="text1"/>
          <w:sz w:val="28"/>
          <w:lang w:val="es-ES_tradnl"/>
        </w:rPr>
        <w:t>ual o los contratos de seguros, se paguen las indemnizaciones tras la configuración de un daño en el marco de los accidentes de tránsito con daños exclusivamente materiales, escenario en el que tradicionalmente era importante el informe de tránsito para da</w:t>
      </w:r>
      <w:r w:rsidRPr="00DE7CC4">
        <w:rPr>
          <w:rFonts w:ascii="Times New Roman" w:hAnsi="Times New Roman" w:cs="Times New Roman"/>
          <w:color w:val="000000" w:themeColor="text1"/>
          <w:sz w:val="28"/>
          <w:lang w:val="es-ES_tradnl"/>
        </w:rPr>
        <w:t xml:space="preserve">r cuenta de la ocurrencia de los hechos y existencia de los daños. </w:t>
      </w:r>
    </w:p>
    <w:p w:rsidR="00F32ED8" w:rsidRPr="00DE7CC4" w:rsidRDefault="00DE7CC4" w:rsidP="00F32ED8">
      <w:pPr>
        <w:jc w:val="both"/>
        <w:rPr>
          <w:rFonts w:ascii="Times New Roman" w:hAnsi="Times New Roman" w:cs="Times New Roman"/>
          <w:color w:val="000000" w:themeColor="text1"/>
          <w:sz w:val="28"/>
          <w:lang w:val="es-ES_tradnl"/>
        </w:rPr>
      </w:pPr>
    </w:p>
    <w:p w:rsidR="00F32ED8" w:rsidRPr="00DE7CC4" w:rsidRDefault="00DE7CC4" w:rsidP="00F32ED8">
      <w:pPr>
        <w:jc w:val="both"/>
        <w:rPr>
          <w:rFonts w:ascii="Times New Roman" w:hAnsi="Times New Roman" w:cs="Times New Roman"/>
          <w:color w:val="000000" w:themeColor="text1"/>
          <w:sz w:val="28"/>
          <w:lang w:val="es-ES_tradnl"/>
        </w:rPr>
      </w:pPr>
      <w:r w:rsidRPr="00DE7CC4">
        <w:rPr>
          <w:rFonts w:ascii="Times New Roman" w:hAnsi="Times New Roman" w:cs="Times New Roman"/>
          <w:color w:val="000000" w:themeColor="text1"/>
          <w:sz w:val="28"/>
          <w:lang w:val="es-ES_tradnl"/>
        </w:rPr>
        <w:t xml:space="preserve">94. En criterio de la Sala Plena, los </w:t>
      </w:r>
      <w:r w:rsidRPr="00DE7CC4">
        <w:rPr>
          <w:rFonts w:ascii="Times New Roman" w:hAnsi="Times New Roman" w:cs="Times New Roman"/>
          <w:i/>
          <w:iCs/>
          <w:color w:val="000000" w:themeColor="text1"/>
          <w:sz w:val="28"/>
          <w:lang w:val="es-ES_tradnl"/>
        </w:rPr>
        <w:t xml:space="preserve">cargos tercero y cuarto </w:t>
      </w:r>
      <w:r w:rsidRPr="00DE7CC4">
        <w:rPr>
          <w:rFonts w:ascii="Times New Roman" w:hAnsi="Times New Roman" w:cs="Times New Roman"/>
          <w:color w:val="000000" w:themeColor="text1"/>
          <w:sz w:val="28"/>
          <w:lang w:val="es-ES_tradnl"/>
        </w:rPr>
        <w:t xml:space="preserve">no son aptos, en particular, por no cumplir el requisito de </w:t>
      </w:r>
      <w:r w:rsidRPr="00DE7CC4">
        <w:rPr>
          <w:rFonts w:ascii="Times New Roman" w:hAnsi="Times New Roman" w:cs="Times New Roman"/>
          <w:i/>
          <w:iCs/>
          <w:color w:val="000000" w:themeColor="text1"/>
          <w:sz w:val="28"/>
          <w:lang w:val="es-ES_tradnl"/>
        </w:rPr>
        <w:t>certeza</w:t>
      </w:r>
      <w:r w:rsidRPr="00DE7CC4">
        <w:rPr>
          <w:rFonts w:ascii="Times New Roman" w:hAnsi="Times New Roman" w:cs="Times New Roman"/>
          <w:color w:val="000000" w:themeColor="text1"/>
          <w:sz w:val="28"/>
          <w:lang w:val="es-ES_tradnl"/>
        </w:rPr>
        <w:t xml:space="preserve">. Para comenzar es necesario advertir que, como reconocen </w:t>
      </w:r>
      <w:r w:rsidRPr="00DE7CC4">
        <w:rPr>
          <w:rFonts w:ascii="Times New Roman" w:hAnsi="Times New Roman" w:cs="Times New Roman"/>
          <w:color w:val="000000" w:themeColor="text1"/>
          <w:sz w:val="28"/>
          <w:lang w:val="es-ES_tradnl"/>
        </w:rPr>
        <w:t>los demandantes, el Código Nacional de Tránsito -Ley 769 de 2002- prevé la existencia de dos tipos de infracción: simple y compleja; la primera se configura cuando se trata de una violación a la “mera norma” y la segunda se verifica cuando se produce, adem</w:t>
      </w:r>
      <w:r w:rsidRPr="00DE7CC4">
        <w:rPr>
          <w:rFonts w:ascii="Times New Roman" w:hAnsi="Times New Roman" w:cs="Times New Roman"/>
          <w:color w:val="000000" w:themeColor="text1"/>
          <w:sz w:val="28"/>
          <w:lang w:val="es-ES_tradnl"/>
        </w:rPr>
        <w:t>ás, un daño material</w:t>
      </w:r>
      <w:r w:rsidRPr="00DE7CC4">
        <w:rPr>
          <w:rStyle w:val="Refdenotaalpie"/>
          <w:rFonts w:ascii="Times New Roman" w:hAnsi="Times New Roman"/>
          <w:color w:val="000000" w:themeColor="text1"/>
          <w:sz w:val="28"/>
          <w:lang w:val="es-ES_tradnl"/>
        </w:rPr>
        <w:footnoteReference w:id="125"/>
      </w:r>
      <w:r w:rsidRPr="00DE7CC4">
        <w:rPr>
          <w:rFonts w:ascii="Times New Roman" w:hAnsi="Times New Roman" w:cs="Times New Roman"/>
          <w:color w:val="000000" w:themeColor="text1"/>
          <w:sz w:val="28"/>
          <w:lang w:val="es-ES_tradnl"/>
        </w:rPr>
        <w:t>. De esto puede extraerse que, en efecto, es posible que un accidente de tránsito lleve aparejada una infracción de tránsito, por lo cual, el artículo 147 de la misma normativa prevé la obligación del agente de tránsito</w:t>
      </w:r>
      <w:r w:rsidRPr="00DE7CC4">
        <w:rPr>
          <w:rStyle w:val="Refdenotaalpie"/>
          <w:rFonts w:ascii="Times New Roman" w:hAnsi="Times New Roman"/>
          <w:color w:val="000000" w:themeColor="text1"/>
          <w:sz w:val="28"/>
          <w:lang w:val="es-ES_tradnl"/>
        </w:rPr>
        <w:footnoteReference w:id="126"/>
      </w:r>
      <w:r w:rsidRPr="00DE7CC4">
        <w:rPr>
          <w:rFonts w:ascii="Times New Roman" w:hAnsi="Times New Roman" w:cs="Times New Roman"/>
          <w:color w:val="000000" w:themeColor="text1"/>
          <w:sz w:val="28"/>
          <w:lang w:val="es-ES_tradnl"/>
        </w:rPr>
        <w:t xml:space="preserve"> de imponer el </w:t>
      </w:r>
      <w:r w:rsidRPr="00DE7CC4">
        <w:rPr>
          <w:rFonts w:ascii="Times New Roman" w:hAnsi="Times New Roman" w:cs="Times New Roman"/>
          <w:color w:val="000000" w:themeColor="text1"/>
          <w:sz w:val="28"/>
          <w:lang w:val="es-ES_tradnl"/>
        </w:rPr>
        <w:t>comparendo cuando a ello haya lugar:</w:t>
      </w:r>
    </w:p>
    <w:p w:rsidR="00F32ED8" w:rsidRPr="00DE7CC4" w:rsidRDefault="00DE7CC4" w:rsidP="00F32ED8">
      <w:pPr>
        <w:ind w:left="567" w:right="333"/>
        <w:jc w:val="both"/>
        <w:rPr>
          <w:rFonts w:ascii="Times New Roman" w:hAnsi="Times New Roman" w:cs="Times New Roman"/>
          <w:color w:val="000000" w:themeColor="text1"/>
          <w:sz w:val="28"/>
          <w:lang w:val="es-ES_tradnl"/>
        </w:rPr>
      </w:pPr>
    </w:p>
    <w:p w:rsidR="00F32ED8" w:rsidRPr="00DE7CC4" w:rsidRDefault="00DE7CC4" w:rsidP="00F32ED8">
      <w:pPr>
        <w:ind w:left="567" w:right="333"/>
        <w:jc w:val="both"/>
        <w:rPr>
          <w:rFonts w:ascii="Times New Roman" w:hAnsi="Times New Roman" w:cs="Times New Roman"/>
          <w:color w:val="000000" w:themeColor="text1"/>
          <w:sz w:val="28"/>
          <w:lang w:val="es-ES_tradnl"/>
        </w:rPr>
      </w:pPr>
      <w:r w:rsidRPr="00DE7CC4">
        <w:rPr>
          <w:rFonts w:ascii="Times New Roman" w:hAnsi="Times New Roman" w:cs="Times New Roman"/>
          <w:color w:val="000000" w:themeColor="text1"/>
          <w:sz w:val="28"/>
          <w:lang w:val="es-ES_tradnl"/>
        </w:rPr>
        <w:t>“</w:t>
      </w:r>
      <w:r w:rsidRPr="00DE7CC4">
        <w:rPr>
          <w:rStyle w:val="nfasis"/>
          <w:rFonts w:ascii="Times New Roman" w:hAnsi="Times New Roman" w:cs="Times New Roman"/>
          <w:i w:val="0"/>
          <w:iCs w:val="0"/>
          <w:color w:val="000000" w:themeColor="text1"/>
          <w:sz w:val="28"/>
        </w:rPr>
        <w:t>Obligación de comparendo.</w:t>
      </w:r>
      <w:r w:rsidRPr="00DE7CC4">
        <w:rPr>
          <w:rFonts w:ascii="Times New Roman" w:hAnsi="Times New Roman" w:cs="Times New Roman"/>
          <w:color w:val="000000" w:themeColor="text1"/>
          <w:sz w:val="28"/>
        </w:rPr>
        <w:t> En toda circunstancia, si el agente de tránsito observare la violación de las normas establecidas en este código, en caso de daños a cosas, podrá imponer un comparendo al conductor infractor”</w:t>
      </w:r>
      <w:r w:rsidRPr="00DE7CC4">
        <w:rPr>
          <w:rFonts w:ascii="Times New Roman" w:hAnsi="Times New Roman" w:cs="Times New Roman"/>
          <w:color w:val="000000" w:themeColor="text1"/>
          <w:sz w:val="28"/>
        </w:rPr>
        <w:t>.</w:t>
      </w:r>
    </w:p>
    <w:p w:rsidR="00F32ED8" w:rsidRPr="00DE7CC4" w:rsidRDefault="00DE7CC4" w:rsidP="00F32ED8">
      <w:pPr>
        <w:jc w:val="both"/>
        <w:rPr>
          <w:rFonts w:ascii="Times New Roman" w:hAnsi="Times New Roman" w:cs="Times New Roman"/>
          <w:color w:val="000000" w:themeColor="text1"/>
          <w:sz w:val="28"/>
          <w:lang w:val="es-ES_tradnl"/>
        </w:rPr>
      </w:pPr>
    </w:p>
    <w:p w:rsidR="00F32ED8" w:rsidRPr="00DE7CC4" w:rsidRDefault="00DE7CC4" w:rsidP="00F32ED8">
      <w:pPr>
        <w:jc w:val="both"/>
        <w:rPr>
          <w:rFonts w:ascii="Times New Roman" w:hAnsi="Times New Roman" w:cs="Times New Roman"/>
          <w:color w:val="000000" w:themeColor="text1"/>
          <w:sz w:val="28"/>
          <w:lang w:val="es-ES_tradnl"/>
        </w:rPr>
      </w:pPr>
      <w:r w:rsidRPr="00DE7CC4">
        <w:rPr>
          <w:rFonts w:ascii="Times New Roman" w:hAnsi="Times New Roman" w:cs="Times New Roman"/>
          <w:color w:val="000000" w:themeColor="text1"/>
          <w:sz w:val="28"/>
          <w:lang w:val="es-ES_tradnl"/>
        </w:rPr>
        <w:t xml:space="preserve">95. Lo indicado, sin embargo, permite ver con claridad que el </w:t>
      </w:r>
      <w:r w:rsidRPr="00DE7CC4">
        <w:rPr>
          <w:rFonts w:ascii="Times New Roman" w:hAnsi="Times New Roman" w:cs="Times New Roman"/>
          <w:i/>
          <w:iCs/>
          <w:color w:val="000000" w:themeColor="text1"/>
          <w:sz w:val="28"/>
          <w:lang w:val="es-ES_tradnl"/>
        </w:rPr>
        <w:t>informe policial de accidente de tránsito</w:t>
      </w:r>
      <w:r w:rsidRPr="00DE7CC4">
        <w:rPr>
          <w:rFonts w:ascii="Times New Roman" w:hAnsi="Times New Roman" w:cs="Times New Roman"/>
          <w:color w:val="000000" w:themeColor="text1"/>
          <w:sz w:val="28"/>
          <w:lang w:val="es-ES_tradnl"/>
        </w:rPr>
        <w:t xml:space="preserve"> no tiene una relación inescindible o necesaria con la imposición de un comparendo por la presunta comisión de una de las faltas que, por ejemplo, est</w:t>
      </w:r>
      <w:r w:rsidRPr="00DE7CC4">
        <w:rPr>
          <w:rFonts w:ascii="Times New Roman" w:hAnsi="Times New Roman" w:cs="Times New Roman"/>
          <w:color w:val="000000" w:themeColor="text1"/>
          <w:sz w:val="28"/>
          <w:lang w:val="es-ES_tradnl"/>
        </w:rPr>
        <w:t>án descritas en el artículo 131 del mismo Código y que no han sido modificadas o derogadas por la disposición hoy cuestionada: no todo accidente está antecedido por la comisión de una conducta lesiva de la regulación vial. Bajo este mismo hilo argumentativ</w:t>
      </w:r>
      <w:r w:rsidRPr="00DE7CC4">
        <w:rPr>
          <w:rFonts w:ascii="Times New Roman" w:hAnsi="Times New Roman" w:cs="Times New Roman"/>
          <w:color w:val="000000" w:themeColor="text1"/>
          <w:sz w:val="28"/>
          <w:lang w:val="es-ES_tradnl"/>
        </w:rPr>
        <w:t xml:space="preserve">o, es evidente que la regulación prevista en el artículo 16 demandado, modificatorio del artículo 143 del Código, no se ocupa de la </w:t>
      </w:r>
      <w:r w:rsidRPr="00DE7CC4">
        <w:rPr>
          <w:rFonts w:ascii="Times New Roman" w:hAnsi="Times New Roman" w:cs="Times New Roman"/>
          <w:i/>
          <w:iCs/>
          <w:color w:val="000000" w:themeColor="text1"/>
          <w:sz w:val="28"/>
          <w:lang w:val="es-ES_tradnl"/>
        </w:rPr>
        <w:t xml:space="preserve">persecución </w:t>
      </w:r>
      <w:r w:rsidRPr="00DE7CC4">
        <w:rPr>
          <w:rFonts w:ascii="Times New Roman" w:hAnsi="Times New Roman" w:cs="Times New Roman"/>
          <w:color w:val="000000" w:themeColor="text1"/>
          <w:sz w:val="28"/>
          <w:lang w:val="es-ES_tradnl"/>
        </w:rPr>
        <w:t>para la sanción de las conductas que, en las vías, generan inseguridad y afectación a los derechos de locomoción</w:t>
      </w:r>
      <w:r w:rsidRPr="00DE7CC4">
        <w:rPr>
          <w:rFonts w:ascii="Times New Roman" w:hAnsi="Times New Roman" w:cs="Times New Roman"/>
          <w:color w:val="000000" w:themeColor="text1"/>
          <w:sz w:val="28"/>
          <w:lang w:val="es-ES_tradnl"/>
        </w:rPr>
        <w:t>, vida, entre otros. Si esto es así, en consecuencia, la acusación que se hace por la presunta omisión de atender los deberes relacionados con el orden público y, ligado a este, al deber responsabilizar a los particulares por la infracción a las normas a l</w:t>
      </w:r>
      <w:r w:rsidRPr="00DE7CC4">
        <w:rPr>
          <w:rFonts w:ascii="Times New Roman" w:hAnsi="Times New Roman" w:cs="Times New Roman"/>
          <w:color w:val="000000" w:themeColor="text1"/>
          <w:sz w:val="28"/>
          <w:lang w:val="es-ES_tradnl"/>
        </w:rPr>
        <w:t>as que deben sujetar su comportamiento, se construye alrededor de una premisa que no se deriva de la disposición demandada, no corresponde a aquello que ordena, permite u obliga.</w:t>
      </w:r>
    </w:p>
    <w:p w:rsidR="00F32ED8" w:rsidRPr="00DE7CC4" w:rsidRDefault="00DE7CC4" w:rsidP="00F32ED8">
      <w:pPr>
        <w:jc w:val="both"/>
        <w:rPr>
          <w:rFonts w:ascii="Times New Roman" w:hAnsi="Times New Roman" w:cs="Times New Roman"/>
          <w:color w:val="000000" w:themeColor="text1"/>
          <w:sz w:val="28"/>
          <w:lang w:val="es-ES_tradnl"/>
        </w:rPr>
      </w:pPr>
    </w:p>
    <w:p w:rsidR="00F32ED8" w:rsidRPr="00DE7CC4" w:rsidRDefault="00DE7CC4" w:rsidP="00F32ED8">
      <w:pPr>
        <w:jc w:val="both"/>
        <w:rPr>
          <w:rFonts w:ascii="Times New Roman" w:hAnsi="Times New Roman" w:cs="Times New Roman"/>
          <w:color w:val="000000" w:themeColor="text1"/>
          <w:sz w:val="28"/>
          <w:lang w:val="es-ES_tradnl"/>
        </w:rPr>
      </w:pPr>
      <w:r w:rsidRPr="00DE7CC4">
        <w:rPr>
          <w:rFonts w:ascii="Times New Roman" w:hAnsi="Times New Roman" w:cs="Times New Roman"/>
          <w:color w:val="000000" w:themeColor="text1"/>
          <w:sz w:val="28"/>
          <w:lang w:val="es-ES_tradnl"/>
        </w:rPr>
        <w:t>96. En efecto, lo que la norma prevé es que, ante un accidente de tránsito q</w:t>
      </w:r>
      <w:r w:rsidRPr="00DE7CC4">
        <w:rPr>
          <w:rFonts w:ascii="Times New Roman" w:hAnsi="Times New Roman" w:cs="Times New Roman"/>
          <w:color w:val="000000" w:themeColor="text1"/>
          <w:sz w:val="28"/>
          <w:lang w:val="es-ES_tradnl"/>
        </w:rPr>
        <w:t>ue solo cause daños materiales, no se requiere la presencia de autoridad de tránsito, no se levantará el informe de tránsito y las pruebas de la colisión deben ser recaudadas por los interesados -con el alcance ya indicado-, por lo tanto, el vehículo o veh</w:t>
      </w:r>
      <w:r w:rsidRPr="00DE7CC4">
        <w:rPr>
          <w:rFonts w:ascii="Times New Roman" w:hAnsi="Times New Roman" w:cs="Times New Roman"/>
          <w:color w:val="000000" w:themeColor="text1"/>
          <w:sz w:val="28"/>
          <w:lang w:val="es-ES_tradnl"/>
        </w:rPr>
        <w:t>ículos implicados deben retirarse inmediatamente. Esto es, la norma no indica que no sea posible sancionar</w:t>
      </w:r>
      <w:r w:rsidRPr="00DE7CC4">
        <w:rPr>
          <w:rFonts w:ascii="Times New Roman" w:hAnsi="Times New Roman" w:cs="Times New Roman"/>
          <w:color w:val="000000" w:themeColor="text1"/>
          <w:sz w:val="28"/>
          <w:lang w:val="es-ES_tradnl"/>
        </w:rPr>
        <w:t xml:space="preserve"> en el caso de que se haya infringido una norma de tránsito</w:t>
      </w:r>
      <w:r w:rsidRPr="00DE7CC4">
        <w:rPr>
          <w:rFonts w:ascii="Times New Roman" w:hAnsi="Times New Roman" w:cs="Times New Roman"/>
          <w:color w:val="000000" w:themeColor="text1"/>
          <w:sz w:val="28"/>
          <w:lang w:val="es-ES_tradnl"/>
        </w:rPr>
        <w:t xml:space="preserve"> </w:t>
      </w:r>
      <w:r w:rsidRPr="00DE7CC4">
        <w:rPr>
          <w:rFonts w:ascii="Times New Roman" w:hAnsi="Times New Roman" w:cs="Times New Roman"/>
          <w:color w:val="000000" w:themeColor="text1"/>
          <w:sz w:val="28"/>
          <w:lang w:val="es-ES_tradnl"/>
        </w:rPr>
        <w:t>–</w:t>
      </w:r>
      <w:r w:rsidRPr="00DE7CC4">
        <w:rPr>
          <w:rFonts w:ascii="Times New Roman" w:hAnsi="Times New Roman" w:cs="Times New Roman"/>
          <w:color w:val="000000" w:themeColor="text1"/>
          <w:sz w:val="28"/>
          <w:lang w:val="es-ES_tradnl"/>
        </w:rPr>
        <w:t xml:space="preserve">atendiendo </w:t>
      </w:r>
      <w:r w:rsidRPr="00DE7CC4">
        <w:rPr>
          <w:rFonts w:ascii="Times New Roman" w:hAnsi="Times New Roman" w:cs="Times New Roman"/>
          <w:color w:val="000000" w:themeColor="text1"/>
          <w:sz w:val="28"/>
          <w:lang w:val="es-ES_tradnl"/>
        </w:rPr>
        <w:t xml:space="preserve">a las reglas que garantizan el debido proceso y ante la autoridad competente, </w:t>
      </w:r>
      <w:r w:rsidRPr="00DE7CC4">
        <w:rPr>
          <w:rFonts w:ascii="Times New Roman" w:hAnsi="Times New Roman" w:cs="Times New Roman"/>
          <w:color w:val="000000" w:themeColor="text1"/>
          <w:sz w:val="28"/>
          <w:lang w:val="es-ES_tradnl"/>
        </w:rPr>
        <w:t>que no corresponde  al agente de tránsito con la imposición del comparendo, como parece presumir la demanda</w:t>
      </w:r>
      <w:r w:rsidRPr="00DE7CC4">
        <w:rPr>
          <w:rFonts w:ascii="Times New Roman" w:hAnsi="Times New Roman" w:cs="Times New Roman"/>
          <w:color w:val="000000" w:themeColor="text1"/>
          <w:sz w:val="28"/>
          <w:lang w:val="es-ES_tradnl"/>
        </w:rPr>
        <w:t>–</w:t>
      </w:r>
      <w:r w:rsidRPr="00DE7CC4">
        <w:rPr>
          <w:rFonts w:ascii="Times New Roman" w:hAnsi="Times New Roman" w:cs="Times New Roman"/>
          <w:color w:val="000000" w:themeColor="text1"/>
          <w:sz w:val="28"/>
          <w:lang w:val="es-ES_tradnl"/>
        </w:rPr>
        <w:t xml:space="preserve">, </w:t>
      </w:r>
      <w:r w:rsidRPr="00DE7CC4">
        <w:rPr>
          <w:rFonts w:ascii="Times New Roman" w:hAnsi="Times New Roman" w:cs="Times New Roman"/>
          <w:color w:val="000000" w:themeColor="text1"/>
          <w:sz w:val="28"/>
          <w:lang w:val="es-ES_tradnl"/>
        </w:rPr>
        <w:t>o que, en el evento en que un agente de tránsito se encuentre en el lugar y/o asista inmediatamente al mismo, deba omitir su deber de imponer un c</w:t>
      </w:r>
      <w:r w:rsidRPr="00DE7CC4">
        <w:rPr>
          <w:rFonts w:ascii="Times New Roman" w:hAnsi="Times New Roman" w:cs="Times New Roman"/>
          <w:color w:val="000000" w:themeColor="text1"/>
          <w:sz w:val="28"/>
          <w:lang w:val="es-ES_tradnl"/>
        </w:rPr>
        <w:t>omparendo si verifica la presunta comisión de una conducta</w:t>
      </w:r>
      <w:r w:rsidRPr="00DE7CC4">
        <w:rPr>
          <w:rStyle w:val="Refdenotaalpie"/>
          <w:rFonts w:ascii="Times New Roman" w:hAnsi="Times New Roman"/>
          <w:color w:val="000000" w:themeColor="text1"/>
          <w:sz w:val="28"/>
          <w:lang w:val="es-ES_tradnl"/>
        </w:rPr>
        <w:footnoteReference w:id="127"/>
      </w:r>
      <w:r w:rsidRPr="00DE7CC4">
        <w:rPr>
          <w:rFonts w:ascii="Times New Roman" w:hAnsi="Times New Roman" w:cs="Times New Roman"/>
          <w:color w:val="000000" w:themeColor="text1"/>
          <w:sz w:val="28"/>
          <w:lang w:val="es-ES_tradnl"/>
        </w:rPr>
        <w:t xml:space="preserve"> que, incluso independientemente de que haya tenido algo que ver con el accidente, sea contraria a los deberes en las vías.</w:t>
      </w:r>
    </w:p>
    <w:p w:rsidR="00F32ED8" w:rsidRPr="00DE7CC4" w:rsidRDefault="00DE7CC4" w:rsidP="00F32ED8">
      <w:pPr>
        <w:jc w:val="both"/>
        <w:rPr>
          <w:rFonts w:ascii="Times New Roman" w:hAnsi="Times New Roman" w:cs="Times New Roman"/>
          <w:color w:val="000000" w:themeColor="text1"/>
          <w:sz w:val="28"/>
          <w:lang w:val="es-ES_tradnl"/>
        </w:rPr>
      </w:pPr>
    </w:p>
    <w:p w:rsidR="00F32ED8" w:rsidRPr="00DE7CC4" w:rsidRDefault="00DE7CC4" w:rsidP="00F32ED8">
      <w:pPr>
        <w:jc w:val="both"/>
        <w:rPr>
          <w:rFonts w:ascii="Times New Roman" w:hAnsi="Times New Roman" w:cs="Times New Roman"/>
          <w:color w:val="000000" w:themeColor="text1"/>
          <w:sz w:val="28"/>
          <w:lang w:val="es-ES_tradnl"/>
        </w:rPr>
      </w:pPr>
      <w:r w:rsidRPr="00DE7CC4">
        <w:rPr>
          <w:rFonts w:ascii="Times New Roman" w:hAnsi="Times New Roman" w:cs="Times New Roman"/>
          <w:color w:val="000000" w:themeColor="text1"/>
          <w:sz w:val="28"/>
          <w:lang w:val="es-ES_tradnl"/>
        </w:rPr>
        <w:t xml:space="preserve">97. Aunado a lo anterior, el cargo carece de </w:t>
      </w:r>
      <w:r w:rsidRPr="00DE7CC4">
        <w:rPr>
          <w:rFonts w:ascii="Times New Roman" w:hAnsi="Times New Roman" w:cs="Times New Roman"/>
          <w:i/>
          <w:iCs/>
          <w:color w:val="000000" w:themeColor="text1"/>
          <w:sz w:val="28"/>
          <w:lang w:val="es-ES_tradnl"/>
        </w:rPr>
        <w:t xml:space="preserve">especificidad. </w:t>
      </w:r>
      <w:r w:rsidRPr="00DE7CC4">
        <w:rPr>
          <w:rFonts w:ascii="Times New Roman" w:hAnsi="Times New Roman" w:cs="Times New Roman"/>
          <w:color w:val="000000" w:themeColor="text1"/>
          <w:sz w:val="28"/>
          <w:lang w:val="es-ES_tradnl"/>
        </w:rPr>
        <w:t xml:space="preserve">A partir de </w:t>
      </w:r>
      <w:r w:rsidRPr="00DE7CC4">
        <w:rPr>
          <w:rFonts w:ascii="Times New Roman" w:hAnsi="Times New Roman" w:cs="Times New Roman"/>
          <w:color w:val="000000" w:themeColor="text1"/>
          <w:sz w:val="28"/>
          <w:lang w:val="es-ES_tradnl"/>
        </w:rPr>
        <w:t xml:space="preserve">una premisa que no deriva de la norma y -al parecer- bajo un supuesto de </w:t>
      </w:r>
      <w:r w:rsidRPr="00DE7CC4">
        <w:rPr>
          <w:rFonts w:ascii="Times New Roman" w:hAnsi="Times New Roman" w:cs="Times New Roman"/>
          <w:i/>
          <w:iCs/>
          <w:color w:val="000000" w:themeColor="text1"/>
          <w:sz w:val="28"/>
          <w:lang w:val="es-ES_tradnl"/>
        </w:rPr>
        <w:t xml:space="preserve">pérdida de oportunidad </w:t>
      </w:r>
      <w:r w:rsidRPr="00DE7CC4">
        <w:rPr>
          <w:rFonts w:ascii="Times New Roman" w:hAnsi="Times New Roman" w:cs="Times New Roman"/>
          <w:color w:val="000000" w:themeColor="text1"/>
          <w:sz w:val="28"/>
          <w:lang w:val="es-ES_tradnl"/>
        </w:rPr>
        <w:t>para imponer comparendos, los accionantes no logran evidenciar que el enunciado demandado se oponga de manera directa a los artículos constitucionales invocados</w:t>
      </w:r>
      <w:r w:rsidRPr="00DE7CC4">
        <w:rPr>
          <w:rFonts w:ascii="Times New Roman" w:hAnsi="Times New Roman" w:cs="Times New Roman"/>
          <w:color w:val="000000" w:themeColor="text1"/>
          <w:sz w:val="28"/>
          <w:lang w:val="es-ES_tradnl"/>
        </w:rPr>
        <w:t xml:space="preserve"> como parámetro de control. En este sentido, no mencionan ni justifican por qué razón, si el artículo 16 de la Ley 2251 de 2022 no afecta la regulación sobre comparendos y, además, existen medios de control no presenciales para asegurar el cumplimiento de </w:t>
      </w:r>
      <w:r w:rsidRPr="00DE7CC4">
        <w:rPr>
          <w:rFonts w:ascii="Times New Roman" w:hAnsi="Times New Roman" w:cs="Times New Roman"/>
          <w:color w:val="000000" w:themeColor="text1"/>
          <w:sz w:val="28"/>
          <w:lang w:val="es-ES_tradnl"/>
        </w:rPr>
        <w:t xml:space="preserve">las normas de tránsito, la regulación demandada tendría un impacto a considerar sobre el orden público. </w:t>
      </w:r>
    </w:p>
    <w:p w:rsidR="00F32ED8" w:rsidRPr="00DE7CC4" w:rsidRDefault="00DE7CC4" w:rsidP="00F32ED8">
      <w:pPr>
        <w:jc w:val="both"/>
        <w:rPr>
          <w:rFonts w:ascii="Times New Roman" w:hAnsi="Times New Roman" w:cs="Times New Roman"/>
          <w:color w:val="000000" w:themeColor="text1"/>
          <w:sz w:val="28"/>
          <w:lang w:val="es-ES_tradnl"/>
        </w:rPr>
      </w:pPr>
    </w:p>
    <w:p w:rsidR="00F32ED8" w:rsidRPr="00DE7CC4" w:rsidRDefault="00DE7CC4" w:rsidP="00F32ED8">
      <w:pPr>
        <w:jc w:val="both"/>
        <w:rPr>
          <w:rFonts w:ascii="Times New Roman" w:hAnsi="Times New Roman" w:cs="Times New Roman"/>
          <w:color w:val="000000" w:themeColor="text1"/>
          <w:sz w:val="28"/>
          <w:lang w:val="es-ES_tradnl"/>
        </w:rPr>
      </w:pPr>
      <w:r w:rsidRPr="00DE7CC4">
        <w:rPr>
          <w:rFonts w:ascii="Times New Roman" w:hAnsi="Times New Roman" w:cs="Times New Roman"/>
          <w:color w:val="000000" w:themeColor="text1"/>
          <w:sz w:val="28"/>
          <w:lang w:val="es-ES_tradnl"/>
        </w:rPr>
        <w:t>98. El artículo 129 del Código Nacional de Tránsito, relacionado con los informes de tránsito de las autoridades por la comisión de infracciones previ</w:t>
      </w:r>
      <w:r w:rsidRPr="00DE7CC4">
        <w:rPr>
          <w:rFonts w:ascii="Times New Roman" w:hAnsi="Times New Roman" w:cs="Times New Roman"/>
          <w:color w:val="000000" w:themeColor="text1"/>
          <w:sz w:val="28"/>
          <w:lang w:val="es-ES_tradnl"/>
        </w:rPr>
        <w:t xml:space="preserve">stas en la misma normativa, prevé que “[l]as ayudas tecnológicas como cámaras de video y equipos electrónicos de lectura que permitan con precisión la identificación del vehículo o del conductor serán válidos como prueba de ocurrencia de una infracción de </w:t>
      </w:r>
      <w:r w:rsidRPr="00DE7CC4">
        <w:rPr>
          <w:rFonts w:ascii="Times New Roman" w:hAnsi="Times New Roman" w:cs="Times New Roman"/>
          <w:color w:val="000000" w:themeColor="text1"/>
          <w:sz w:val="28"/>
          <w:lang w:val="es-ES_tradnl"/>
        </w:rPr>
        <w:t>tránsito y por lo tanto darán lugar a la imposición de un comparendo”. En desarrollo de lo anterior, la Ley 1843 de 2017 regula “la instalación y puesta en marcha de sistemas automáticos, semiautomáticos y otros medios tecnológicos para la detección de inf</w:t>
      </w:r>
      <w:r w:rsidRPr="00DE7CC4">
        <w:rPr>
          <w:rFonts w:ascii="Times New Roman" w:hAnsi="Times New Roman" w:cs="Times New Roman"/>
          <w:color w:val="000000" w:themeColor="text1"/>
          <w:sz w:val="28"/>
          <w:lang w:val="es-ES_tradnl"/>
        </w:rPr>
        <w:t xml:space="preserve">racciones”, evidenciándose, </w:t>
      </w:r>
      <w:r w:rsidRPr="00DE7CC4">
        <w:rPr>
          <w:rFonts w:ascii="Times New Roman" w:hAnsi="Times New Roman" w:cs="Times New Roman"/>
          <w:i/>
          <w:iCs/>
          <w:color w:val="000000" w:themeColor="text1"/>
          <w:sz w:val="28"/>
          <w:lang w:val="es-ES_tradnl"/>
        </w:rPr>
        <w:t>prima facie</w:t>
      </w:r>
      <w:r w:rsidRPr="00DE7CC4">
        <w:rPr>
          <w:rFonts w:ascii="Times New Roman" w:hAnsi="Times New Roman" w:cs="Times New Roman"/>
          <w:color w:val="000000" w:themeColor="text1"/>
          <w:sz w:val="28"/>
          <w:lang w:val="es-ES_tradnl"/>
        </w:rPr>
        <w:t>, la existencia de mecanismos adecuados y expeditos para que los agentes viales cumplan las reglas respectivas y, de no hacerlo, puedan ser sujeto de la imposición de la sanción respectiva</w:t>
      </w:r>
      <w:r w:rsidRPr="00DE7CC4">
        <w:rPr>
          <w:rStyle w:val="Refdenotaalpie"/>
          <w:rFonts w:ascii="Times New Roman" w:hAnsi="Times New Roman"/>
          <w:color w:val="000000" w:themeColor="text1"/>
          <w:sz w:val="28"/>
          <w:lang w:val="es-ES_tradnl"/>
        </w:rPr>
        <w:footnoteReference w:id="128"/>
      </w:r>
      <w:r w:rsidRPr="00DE7CC4">
        <w:rPr>
          <w:rFonts w:ascii="Times New Roman" w:hAnsi="Times New Roman" w:cs="Times New Roman"/>
          <w:color w:val="000000" w:themeColor="text1"/>
          <w:sz w:val="28"/>
          <w:lang w:val="es-ES_tradnl"/>
        </w:rPr>
        <w:t>. De ello dan cuenta, además</w:t>
      </w:r>
      <w:r w:rsidRPr="00DE7CC4">
        <w:rPr>
          <w:rFonts w:ascii="Times New Roman" w:hAnsi="Times New Roman" w:cs="Times New Roman"/>
          <w:color w:val="000000" w:themeColor="text1"/>
          <w:sz w:val="28"/>
          <w:lang w:val="es-ES_tradnl"/>
        </w:rPr>
        <w:t>, disposiciones recientes que tienen por objeto, no solo el fortalecimiento de campañas para la seguridad vial, sino de los sistemas tecnológicos para la detección de infracciones</w:t>
      </w:r>
      <w:r w:rsidRPr="00DE7CC4">
        <w:rPr>
          <w:rStyle w:val="Refdenotaalpie"/>
          <w:rFonts w:ascii="Times New Roman" w:hAnsi="Times New Roman"/>
          <w:color w:val="000000" w:themeColor="text1"/>
          <w:sz w:val="28"/>
          <w:lang w:val="es-ES_tradnl"/>
        </w:rPr>
        <w:footnoteReference w:id="129"/>
      </w:r>
      <w:r w:rsidRPr="00DE7CC4">
        <w:rPr>
          <w:rFonts w:ascii="Times New Roman" w:hAnsi="Times New Roman" w:cs="Times New Roman"/>
          <w:color w:val="000000" w:themeColor="text1"/>
          <w:sz w:val="28"/>
          <w:lang w:val="es-ES_tradnl"/>
        </w:rPr>
        <w:t>.</w:t>
      </w:r>
    </w:p>
    <w:p w:rsidR="00F32ED8" w:rsidRPr="00DE7CC4" w:rsidRDefault="00DE7CC4" w:rsidP="00F32ED8">
      <w:pPr>
        <w:jc w:val="both"/>
        <w:rPr>
          <w:rFonts w:ascii="Times New Roman" w:hAnsi="Times New Roman" w:cs="Times New Roman"/>
          <w:color w:val="000000" w:themeColor="text1"/>
          <w:sz w:val="28"/>
          <w:lang w:val="es-ES_tradnl"/>
        </w:rPr>
      </w:pPr>
    </w:p>
    <w:p w:rsidR="00F32ED8" w:rsidRPr="00DE7CC4" w:rsidRDefault="00DE7CC4" w:rsidP="00F32ED8">
      <w:pPr>
        <w:jc w:val="both"/>
        <w:rPr>
          <w:rFonts w:ascii="Times New Roman" w:hAnsi="Times New Roman" w:cs="Times New Roman"/>
          <w:color w:val="000000" w:themeColor="text1"/>
          <w:sz w:val="28"/>
          <w:lang w:val="es-ES_tradnl"/>
        </w:rPr>
      </w:pPr>
      <w:r w:rsidRPr="00DE7CC4">
        <w:rPr>
          <w:rFonts w:ascii="Times New Roman" w:hAnsi="Times New Roman" w:cs="Times New Roman"/>
          <w:color w:val="000000" w:themeColor="text1"/>
          <w:sz w:val="28"/>
          <w:lang w:val="es-ES_tradnl"/>
        </w:rPr>
        <w:t>99. No obstante, sobre esta materia los accionantes no efectuaron consideración alguna dirigida a sostener por qué, pese que (i) el artículo 16 de la Ley 2251 de 2022 se refiere a la no intervención de las autoridades de tránsito respecto de los accidentes</w:t>
      </w:r>
      <w:r w:rsidRPr="00DE7CC4">
        <w:rPr>
          <w:rFonts w:ascii="Times New Roman" w:hAnsi="Times New Roman" w:cs="Times New Roman"/>
          <w:color w:val="000000" w:themeColor="text1"/>
          <w:sz w:val="28"/>
          <w:lang w:val="es-ES_tradnl"/>
        </w:rPr>
        <w:t xml:space="preserve"> de tránsito que arrojan solamente consecuencias materiales, asunto que no </w:t>
      </w:r>
      <w:r w:rsidRPr="00DE7CC4">
        <w:rPr>
          <w:rFonts w:ascii="Times New Roman" w:hAnsi="Times New Roman" w:cs="Times New Roman"/>
          <w:i/>
          <w:iCs/>
          <w:color w:val="000000" w:themeColor="text1"/>
          <w:sz w:val="28"/>
          <w:lang w:val="es-ES_tradnl"/>
        </w:rPr>
        <w:t xml:space="preserve">necesariamente </w:t>
      </w:r>
      <w:r w:rsidRPr="00DE7CC4">
        <w:rPr>
          <w:rFonts w:ascii="Times New Roman" w:hAnsi="Times New Roman" w:cs="Times New Roman"/>
          <w:color w:val="000000" w:themeColor="text1"/>
          <w:sz w:val="28"/>
          <w:lang w:val="es-ES_tradnl"/>
        </w:rPr>
        <w:t xml:space="preserve">está ligado a la comisión de infracciones de tránsito susceptibles de </w:t>
      </w:r>
      <w:r w:rsidRPr="00DE7CC4">
        <w:rPr>
          <w:rFonts w:ascii="Times New Roman" w:hAnsi="Times New Roman" w:cs="Times New Roman"/>
          <w:i/>
          <w:iCs/>
          <w:color w:val="000000" w:themeColor="text1"/>
          <w:sz w:val="28"/>
          <w:lang w:val="es-ES_tradnl"/>
        </w:rPr>
        <w:t xml:space="preserve">comparendo </w:t>
      </w:r>
      <w:r w:rsidRPr="00DE7CC4">
        <w:rPr>
          <w:rFonts w:ascii="Times New Roman" w:hAnsi="Times New Roman" w:cs="Times New Roman"/>
          <w:color w:val="000000" w:themeColor="text1"/>
          <w:sz w:val="28"/>
          <w:lang w:val="es-ES_tradnl"/>
        </w:rPr>
        <w:t>y (ii) existen medios para la detección de infracciones que no se supeditan a la pres</w:t>
      </w:r>
      <w:r w:rsidRPr="00DE7CC4">
        <w:rPr>
          <w:rFonts w:ascii="Times New Roman" w:hAnsi="Times New Roman" w:cs="Times New Roman"/>
          <w:color w:val="000000" w:themeColor="text1"/>
          <w:sz w:val="28"/>
          <w:lang w:val="es-ES_tradnl"/>
        </w:rPr>
        <w:t>encia física de una autoridad de tránsito en la vía, (iii) podría concluirse que la disposición apareja la claudicación del Estado, del Presidente de la República y demás autoridades con competencia, a garantizar el orden público en materia vial y a promov</w:t>
      </w:r>
      <w:r w:rsidRPr="00DE7CC4">
        <w:rPr>
          <w:rFonts w:ascii="Times New Roman" w:hAnsi="Times New Roman" w:cs="Times New Roman"/>
          <w:color w:val="000000" w:themeColor="text1"/>
          <w:sz w:val="28"/>
          <w:lang w:val="es-ES_tradnl"/>
        </w:rPr>
        <w:t xml:space="preserve">er una sociedad anómica, en la que se fomente la impunidad y accidentalidad. </w:t>
      </w:r>
    </w:p>
    <w:p w:rsidR="00F32ED8" w:rsidRPr="00DE7CC4" w:rsidRDefault="00DE7CC4" w:rsidP="00F32ED8">
      <w:pPr>
        <w:jc w:val="both"/>
        <w:rPr>
          <w:rFonts w:ascii="Times New Roman" w:hAnsi="Times New Roman" w:cs="Times New Roman"/>
          <w:color w:val="000000" w:themeColor="text1"/>
          <w:sz w:val="28"/>
          <w:lang w:val="es-ES_tradnl"/>
        </w:rPr>
      </w:pPr>
    </w:p>
    <w:p w:rsidR="00F32ED8" w:rsidRPr="00DE7CC4" w:rsidRDefault="00DE7CC4" w:rsidP="00F32ED8">
      <w:pPr>
        <w:jc w:val="both"/>
        <w:rPr>
          <w:rFonts w:ascii="Times New Roman" w:hAnsi="Times New Roman" w:cs="Times New Roman"/>
          <w:color w:val="000000" w:themeColor="text1"/>
          <w:sz w:val="28"/>
          <w:lang w:val="es-ES_tradnl"/>
        </w:rPr>
      </w:pPr>
      <w:r w:rsidRPr="00DE7CC4">
        <w:rPr>
          <w:rFonts w:ascii="Times New Roman" w:hAnsi="Times New Roman" w:cs="Times New Roman"/>
          <w:color w:val="000000" w:themeColor="text1"/>
          <w:sz w:val="28"/>
          <w:lang w:val="es-ES_tradnl"/>
        </w:rPr>
        <w:t xml:space="preserve">100. El cargo, además, no goza de </w:t>
      </w:r>
      <w:r w:rsidRPr="00DE7CC4">
        <w:rPr>
          <w:rFonts w:ascii="Times New Roman" w:hAnsi="Times New Roman" w:cs="Times New Roman"/>
          <w:i/>
          <w:iCs/>
          <w:color w:val="000000" w:themeColor="text1"/>
          <w:sz w:val="28"/>
          <w:lang w:val="es-ES_tradnl"/>
        </w:rPr>
        <w:t>pertinencia</w:t>
      </w:r>
      <w:r w:rsidRPr="00DE7CC4">
        <w:rPr>
          <w:rFonts w:ascii="Times New Roman" w:hAnsi="Times New Roman" w:cs="Times New Roman"/>
          <w:color w:val="000000" w:themeColor="text1"/>
          <w:sz w:val="28"/>
          <w:lang w:val="es-ES_tradnl"/>
        </w:rPr>
        <w:t xml:space="preserve"> dado que los presupuestos y conclusiones son producto de construcciones o apreciaciones personales sobre los posibles impactos -sin fundamento- que tendría la aplicación de la disposición. </w:t>
      </w:r>
      <w:r w:rsidRPr="00DE7CC4">
        <w:rPr>
          <w:rFonts w:ascii="Times New Roman" w:hAnsi="Times New Roman" w:cs="Times New Roman"/>
          <w:color w:val="000000" w:themeColor="text1"/>
          <w:sz w:val="28"/>
          <w:lang w:val="es-ES_tradnl"/>
        </w:rPr>
        <w:t>En este sentido, los demandantes indicaron que “el hecho de que la</w:t>
      </w:r>
      <w:r w:rsidRPr="00DE7CC4">
        <w:rPr>
          <w:rFonts w:ascii="Times New Roman" w:hAnsi="Times New Roman" w:cs="Times New Roman"/>
          <w:color w:val="000000" w:themeColor="text1"/>
          <w:sz w:val="28"/>
          <w:lang w:val="es-ES_tradnl"/>
        </w:rPr>
        <w:t xml:space="preserve"> autoridad de tránsito no sea llamada por la ley a asistir a un accidente de tránsito en el que solo haya daños materiales, impide que las infracciones de tránsito que pudieran haberse cometido con ocasión del accidente sean sancionadas”</w:t>
      </w:r>
      <w:r w:rsidRPr="00DE7CC4">
        <w:rPr>
          <w:rStyle w:val="Refdenotaalpie"/>
          <w:rFonts w:ascii="Times New Roman" w:hAnsi="Times New Roman"/>
          <w:color w:val="000000" w:themeColor="text1"/>
          <w:sz w:val="28"/>
          <w:lang w:val="es-ES_tradnl"/>
        </w:rPr>
        <w:footnoteReference w:id="130"/>
      </w:r>
      <w:r w:rsidRPr="00DE7CC4">
        <w:rPr>
          <w:rFonts w:ascii="Times New Roman" w:hAnsi="Times New Roman" w:cs="Times New Roman"/>
          <w:color w:val="000000" w:themeColor="text1"/>
          <w:sz w:val="28"/>
          <w:lang w:val="es-ES_tradnl"/>
        </w:rPr>
        <w:t xml:space="preserve"> y que “la desapar</w:t>
      </w:r>
      <w:r w:rsidRPr="00DE7CC4">
        <w:rPr>
          <w:rFonts w:ascii="Times New Roman" w:hAnsi="Times New Roman" w:cs="Times New Roman"/>
          <w:color w:val="000000" w:themeColor="text1"/>
          <w:sz w:val="28"/>
          <w:lang w:val="es-ES_tradnl"/>
        </w:rPr>
        <w:t>ición del Estado de la escena de la colisión le impide a la autoridad aplicar la sanción por la infracción de la norma de tránsito, lo que promueve más infracciones a las normas de tránsito y favorece la inseguridad vial, es decir, el desorden público en l</w:t>
      </w:r>
      <w:r w:rsidRPr="00DE7CC4">
        <w:rPr>
          <w:rFonts w:ascii="Times New Roman" w:hAnsi="Times New Roman" w:cs="Times New Roman"/>
          <w:color w:val="000000" w:themeColor="text1"/>
          <w:sz w:val="28"/>
          <w:lang w:val="es-ES_tradnl"/>
        </w:rPr>
        <w:t xml:space="preserve">as vías públicas”, afirmaciones todas ellas especulativas. </w:t>
      </w:r>
      <w:r w:rsidRPr="00DE7CC4">
        <w:rPr>
          <w:rFonts w:ascii="Times New Roman" w:hAnsi="Times New Roman" w:cs="Times New Roman"/>
          <w:color w:val="000000" w:themeColor="text1"/>
          <w:sz w:val="28"/>
          <w:lang w:val="es-ES_tradnl"/>
        </w:rPr>
        <w:t>Este enfoque también es el que se observa en quienes, conforme a lo indicado al iniciar el estudio de este cargo, afirmaron que el artículo 16 demandado iba en contra de la seguridad pública, expos</w:t>
      </w:r>
      <w:r w:rsidRPr="00DE7CC4">
        <w:rPr>
          <w:rFonts w:ascii="Times New Roman" w:hAnsi="Times New Roman" w:cs="Times New Roman"/>
          <w:color w:val="000000" w:themeColor="text1"/>
          <w:sz w:val="28"/>
          <w:lang w:val="es-ES_tradnl"/>
        </w:rPr>
        <w:t xml:space="preserve">ición que, se insiste, no se soporta en argumentos constitucionales. También es oportuno mencionar que el presunto aumento en las riñas en la vía, como consecuencia de la ausencia de autoridad vial, corresponde a un asunto que, de llegarse a presentar, no </w:t>
      </w:r>
      <w:r w:rsidRPr="00DE7CC4">
        <w:rPr>
          <w:rFonts w:ascii="Times New Roman" w:hAnsi="Times New Roman" w:cs="Times New Roman"/>
          <w:color w:val="000000" w:themeColor="text1"/>
          <w:sz w:val="28"/>
          <w:lang w:val="es-ES_tradnl"/>
        </w:rPr>
        <w:t>relieva a las autoridades encargadas de garantizar el orden público en el país, como la Policía Nacional, de intervenir, no con el objeto de efectuar un informe policial de accidente de tránsito, sino de garantizar la convivencia en paz de todas las person</w:t>
      </w:r>
      <w:r w:rsidRPr="00DE7CC4">
        <w:rPr>
          <w:rFonts w:ascii="Times New Roman" w:hAnsi="Times New Roman" w:cs="Times New Roman"/>
          <w:color w:val="000000" w:themeColor="text1"/>
          <w:sz w:val="28"/>
          <w:lang w:val="es-ES_tradnl"/>
        </w:rPr>
        <w:t>as habitantes en el país.</w:t>
      </w:r>
    </w:p>
    <w:p w:rsidR="00F32ED8" w:rsidRPr="00DE7CC4" w:rsidRDefault="00DE7CC4" w:rsidP="00F32ED8">
      <w:pPr>
        <w:jc w:val="both"/>
        <w:rPr>
          <w:rFonts w:ascii="Times New Roman" w:hAnsi="Times New Roman" w:cs="Times New Roman"/>
          <w:color w:val="000000" w:themeColor="text1"/>
          <w:sz w:val="28"/>
          <w:lang w:val="es-ES_tradnl"/>
        </w:rPr>
      </w:pPr>
    </w:p>
    <w:p w:rsidR="00F32ED8" w:rsidRPr="00DE7CC4" w:rsidRDefault="00DE7CC4" w:rsidP="00F32ED8">
      <w:pPr>
        <w:jc w:val="both"/>
        <w:rPr>
          <w:rFonts w:ascii="Times New Roman" w:hAnsi="Times New Roman" w:cs="Times New Roman"/>
          <w:color w:val="000000" w:themeColor="text1"/>
          <w:sz w:val="28"/>
          <w:bdr w:val="none" w:sz="0" w:space="0" w:color="auto" w:frame="1"/>
          <w:lang w:val="es-ES_tradnl" w:eastAsia="es-ES"/>
        </w:rPr>
      </w:pPr>
      <w:r w:rsidRPr="00DE7CC4">
        <w:rPr>
          <w:rFonts w:ascii="Times New Roman" w:hAnsi="Times New Roman" w:cs="Times New Roman"/>
          <w:color w:val="000000" w:themeColor="text1"/>
          <w:sz w:val="28"/>
          <w:lang w:val="es-ES_tradnl"/>
        </w:rPr>
        <w:t xml:space="preserve">101. En los anteriores términos, se concluye que el cargo tampoco satisface el requisito de </w:t>
      </w:r>
      <w:r w:rsidRPr="00DE7CC4">
        <w:rPr>
          <w:rFonts w:ascii="Times New Roman" w:hAnsi="Times New Roman" w:cs="Times New Roman"/>
          <w:i/>
          <w:iCs/>
          <w:color w:val="000000" w:themeColor="text1"/>
          <w:sz w:val="28"/>
          <w:lang w:val="es-ES_tradnl"/>
        </w:rPr>
        <w:t>suficiencia</w:t>
      </w:r>
      <w:r w:rsidRPr="00DE7CC4">
        <w:rPr>
          <w:rFonts w:ascii="Times New Roman" w:hAnsi="Times New Roman" w:cs="Times New Roman"/>
          <w:color w:val="000000" w:themeColor="text1"/>
          <w:sz w:val="28"/>
          <w:lang w:val="es-ES_tradnl"/>
        </w:rPr>
        <w:t xml:space="preserve">, en razón a que no </w:t>
      </w:r>
      <w:r w:rsidRPr="00DE7CC4">
        <w:rPr>
          <w:rFonts w:ascii="Times New Roman" w:hAnsi="Times New Roman" w:cs="Times New Roman"/>
          <w:color w:val="000000" w:themeColor="text1"/>
          <w:sz w:val="28"/>
          <w:bdr w:val="none" w:sz="0" w:space="0" w:color="auto" w:frame="1"/>
          <w:lang w:val="es-ES_tradnl" w:eastAsia="es-ES"/>
        </w:rPr>
        <w:t>genera una mínima duda de inconstitucionalidad con el estándar requerido para emitir de fondo una decisión</w:t>
      </w:r>
      <w:r w:rsidRPr="00DE7CC4">
        <w:rPr>
          <w:rFonts w:ascii="Times New Roman" w:hAnsi="Times New Roman" w:cs="Times New Roman"/>
          <w:color w:val="000000" w:themeColor="text1"/>
          <w:sz w:val="28"/>
          <w:bdr w:val="none" w:sz="0" w:space="0" w:color="auto" w:frame="1"/>
          <w:lang w:val="es-ES_tradnl" w:eastAsia="es-ES"/>
        </w:rPr>
        <w:t>. Si bien al momento de admitirse la demanda por estos cargos se consideró que, en dicha etapa y para efectos de iniciar el proceso de constitucionalidad, sí generaban una mínima duda, lo cierto es que, en este momento procesal y a partir de los argumentos</w:t>
      </w:r>
      <w:r w:rsidRPr="00DE7CC4">
        <w:rPr>
          <w:rFonts w:ascii="Times New Roman" w:hAnsi="Times New Roman" w:cs="Times New Roman"/>
          <w:color w:val="000000" w:themeColor="text1"/>
          <w:sz w:val="28"/>
          <w:bdr w:val="none" w:sz="0" w:space="0" w:color="auto" w:frame="1"/>
          <w:lang w:val="es-ES_tradnl" w:eastAsia="es-ES"/>
        </w:rPr>
        <w:t xml:space="preserve"> de las intervenciones y contextualización normativa, se concluye que no satisface este requisito. </w:t>
      </w:r>
      <w:r w:rsidRPr="00DE7CC4">
        <w:rPr>
          <w:rFonts w:ascii="Times New Roman" w:hAnsi="Times New Roman" w:cs="Times New Roman"/>
          <w:color w:val="000000" w:themeColor="text1"/>
          <w:sz w:val="28"/>
          <w:lang w:val="es-ES_tradnl"/>
        </w:rPr>
        <w:t xml:space="preserve">Por todo lo expuesto, la Sala Plena se inhibirá de adoptar una decisión de fondo por los cargos tercero y cuarto. </w:t>
      </w:r>
    </w:p>
    <w:p w:rsidR="00F32ED8" w:rsidRPr="00DE7CC4" w:rsidRDefault="00DE7CC4" w:rsidP="00F32ED8">
      <w:pPr>
        <w:jc w:val="both"/>
        <w:rPr>
          <w:rFonts w:ascii="Times New Roman" w:hAnsi="Times New Roman" w:cs="Times New Roman"/>
          <w:color w:val="000000" w:themeColor="text1"/>
          <w:sz w:val="28"/>
          <w:lang w:val="es-ES_tradnl"/>
        </w:rPr>
      </w:pPr>
    </w:p>
    <w:p w:rsidR="00F32ED8" w:rsidRPr="00DE7CC4" w:rsidRDefault="00DE7CC4" w:rsidP="00F32ED8">
      <w:pPr>
        <w:jc w:val="both"/>
        <w:rPr>
          <w:rFonts w:ascii="Times New Roman" w:hAnsi="Times New Roman" w:cs="Times New Roman"/>
          <w:color w:val="000000" w:themeColor="text1"/>
          <w:sz w:val="28"/>
          <w:lang w:val="es-ES_tradnl"/>
        </w:rPr>
      </w:pPr>
      <w:r w:rsidRPr="00DE7CC4">
        <w:rPr>
          <w:rFonts w:ascii="Times New Roman" w:hAnsi="Times New Roman" w:cs="Times New Roman"/>
          <w:color w:val="000000" w:themeColor="text1"/>
          <w:sz w:val="28"/>
          <w:lang w:val="es-ES_tradnl"/>
        </w:rPr>
        <w:t>102. En síntesis, el estudio de fondo que</w:t>
      </w:r>
      <w:r w:rsidRPr="00DE7CC4">
        <w:rPr>
          <w:rFonts w:ascii="Times New Roman" w:hAnsi="Times New Roman" w:cs="Times New Roman"/>
          <w:color w:val="000000" w:themeColor="text1"/>
          <w:sz w:val="28"/>
          <w:lang w:val="es-ES_tradnl"/>
        </w:rPr>
        <w:t xml:space="preserve"> se efectuará en esta oportunidad se centrará en el primer cargo presentado, esto es, la presunta lesión de los artículos 2 y 58 de la Constitución.  </w:t>
      </w:r>
    </w:p>
    <w:p w:rsidR="00F32ED8" w:rsidRPr="00DE7CC4" w:rsidRDefault="00DE7CC4" w:rsidP="00F32ED8">
      <w:pPr>
        <w:jc w:val="both"/>
        <w:rPr>
          <w:rFonts w:ascii="Times New Roman" w:hAnsi="Times New Roman" w:cs="Times New Roman"/>
          <w:color w:val="000000" w:themeColor="text1"/>
          <w:sz w:val="28"/>
          <w:bdr w:val="none" w:sz="0" w:space="0" w:color="auto" w:frame="1"/>
          <w:lang w:val="es-ES_tradnl" w:eastAsia="es-ES"/>
        </w:rPr>
      </w:pPr>
    </w:p>
    <w:p w:rsidR="00F32ED8" w:rsidRPr="00DE7CC4" w:rsidRDefault="00DE7CC4" w:rsidP="00F32ED8">
      <w:pPr>
        <w:ind w:firstLine="708"/>
        <w:jc w:val="both"/>
        <w:rPr>
          <w:rFonts w:ascii="Times New Roman" w:hAnsi="Times New Roman" w:cs="Times New Roman"/>
          <w:b/>
          <w:color w:val="000000" w:themeColor="text1"/>
          <w:sz w:val="28"/>
        </w:rPr>
      </w:pPr>
      <w:r w:rsidRPr="00DE7CC4">
        <w:rPr>
          <w:rFonts w:ascii="Times New Roman" w:hAnsi="Times New Roman" w:cs="Times New Roman"/>
          <w:b/>
          <w:color w:val="000000" w:themeColor="text1"/>
          <w:sz w:val="28"/>
        </w:rPr>
        <w:t>2.3. Solicitud de medida cautelar</w:t>
      </w:r>
    </w:p>
    <w:p w:rsidR="00F32ED8" w:rsidRPr="00DE7CC4" w:rsidRDefault="00DE7CC4" w:rsidP="00F32ED8">
      <w:pPr>
        <w:jc w:val="both"/>
        <w:rPr>
          <w:rFonts w:ascii="Times New Roman" w:hAnsi="Times New Roman" w:cs="Times New Roman"/>
          <w:bCs/>
          <w:color w:val="000000" w:themeColor="text1"/>
          <w:sz w:val="28"/>
        </w:rPr>
      </w:pPr>
    </w:p>
    <w:p w:rsidR="00F32ED8" w:rsidRPr="00DE7CC4" w:rsidRDefault="00DE7CC4" w:rsidP="00F32ED8">
      <w:pPr>
        <w:jc w:val="both"/>
        <w:rPr>
          <w:rFonts w:ascii="Times New Roman" w:hAnsi="Times New Roman" w:cs="Times New Roman"/>
          <w:bCs/>
          <w:color w:val="000000" w:themeColor="text1"/>
          <w:sz w:val="28"/>
        </w:rPr>
      </w:pPr>
      <w:r w:rsidRPr="00DE7CC4">
        <w:rPr>
          <w:rFonts w:ascii="Times New Roman" w:hAnsi="Times New Roman" w:cs="Times New Roman"/>
          <w:bCs/>
          <w:color w:val="000000" w:themeColor="text1"/>
          <w:sz w:val="28"/>
        </w:rPr>
        <w:t xml:space="preserve">103. Los ciudadanos </w:t>
      </w:r>
      <w:r w:rsidRPr="00DE7CC4">
        <w:rPr>
          <w:rFonts w:ascii="Times New Roman" w:hAnsi="Times New Roman" w:cs="Times New Roman"/>
          <w:bCs/>
          <w:i/>
          <w:iCs/>
          <w:color w:val="000000" w:themeColor="text1"/>
          <w:sz w:val="28"/>
        </w:rPr>
        <w:t xml:space="preserve">Viviana Patricia Gómez Galeano y Mauricio Gómez </w:t>
      </w:r>
      <w:r w:rsidRPr="00DE7CC4">
        <w:rPr>
          <w:rFonts w:ascii="Times New Roman" w:hAnsi="Times New Roman" w:cs="Times New Roman"/>
          <w:bCs/>
          <w:i/>
          <w:iCs/>
          <w:color w:val="000000" w:themeColor="text1"/>
          <w:sz w:val="28"/>
        </w:rPr>
        <w:t>Galeano</w:t>
      </w:r>
      <w:r w:rsidRPr="00DE7CC4">
        <w:rPr>
          <w:rFonts w:ascii="Times New Roman" w:hAnsi="Times New Roman" w:cs="Times New Roman"/>
          <w:bCs/>
          <w:color w:val="000000" w:themeColor="text1"/>
          <w:sz w:val="28"/>
        </w:rPr>
        <w:t>, como intervinientes,</w:t>
      </w:r>
      <w:r w:rsidRPr="00DE7CC4">
        <w:rPr>
          <w:rFonts w:ascii="Times New Roman" w:hAnsi="Times New Roman" w:cs="Times New Roman"/>
          <w:bCs/>
          <w:i/>
          <w:iCs/>
          <w:color w:val="000000" w:themeColor="text1"/>
          <w:sz w:val="28"/>
        </w:rPr>
        <w:t xml:space="preserve"> </w:t>
      </w:r>
      <w:r w:rsidRPr="00DE7CC4">
        <w:rPr>
          <w:rFonts w:ascii="Times New Roman" w:hAnsi="Times New Roman" w:cs="Times New Roman"/>
          <w:bCs/>
          <w:color w:val="000000" w:themeColor="text1"/>
          <w:sz w:val="28"/>
        </w:rPr>
        <w:t>pidieron a la Corte Constitucional adoptar una medida cautelar en el presente asunto, consistente en la suspensión provisional de la disposición demandada con miras a evitar el presunto perjuicio irremediable en la estabilidad</w:t>
      </w:r>
      <w:r w:rsidRPr="00DE7CC4">
        <w:rPr>
          <w:rFonts w:ascii="Times New Roman" w:hAnsi="Times New Roman" w:cs="Times New Roman"/>
          <w:bCs/>
          <w:color w:val="000000" w:themeColor="text1"/>
          <w:sz w:val="28"/>
        </w:rPr>
        <w:t xml:space="preserve"> social y en la seguridad jurídica, dado que, en su criterio, la ausencia de informes de accidente de tránsito está generando focos de violencia. </w:t>
      </w:r>
    </w:p>
    <w:p w:rsidR="00F32ED8" w:rsidRPr="00DE7CC4" w:rsidRDefault="00DE7CC4" w:rsidP="00F32ED8">
      <w:pPr>
        <w:jc w:val="both"/>
        <w:rPr>
          <w:rFonts w:ascii="Times New Roman" w:hAnsi="Times New Roman" w:cs="Times New Roman"/>
          <w:bCs/>
          <w:color w:val="000000" w:themeColor="text1"/>
          <w:sz w:val="28"/>
        </w:rPr>
      </w:pPr>
    </w:p>
    <w:p w:rsidR="00F32ED8" w:rsidRPr="00DE7CC4" w:rsidRDefault="00DE7CC4" w:rsidP="00F32ED8">
      <w:pPr>
        <w:jc w:val="both"/>
        <w:rPr>
          <w:rFonts w:ascii="Times New Roman" w:hAnsi="Times New Roman" w:cs="Times New Roman"/>
          <w:color w:val="000000" w:themeColor="text1"/>
          <w:sz w:val="28"/>
        </w:rPr>
      </w:pPr>
      <w:r w:rsidRPr="00DE7CC4">
        <w:rPr>
          <w:rFonts w:ascii="Times New Roman" w:hAnsi="Times New Roman" w:cs="Times New Roman"/>
          <w:bCs/>
          <w:color w:val="000000" w:themeColor="text1"/>
          <w:sz w:val="28"/>
        </w:rPr>
        <w:t>104. La Corte Constitucional, mediante el Auto 272 de 2023</w:t>
      </w:r>
      <w:r w:rsidRPr="00DE7CC4">
        <w:rPr>
          <w:rStyle w:val="Refdenotaalpie"/>
          <w:rFonts w:ascii="Times New Roman" w:hAnsi="Times New Roman"/>
          <w:bCs/>
          <w:color w:val="000000" w:themeColor="text1"/>
          <w:sz w:val="28"/>
        </w:rPr>
        <w:footnoteReference w:id="131"/>
      </w:r>
      <w:r w:rsidRPr="00DE7CC4">
        <w:rPr>
          <w:rFonts w:ascii="Times New Roman" w:hAnsi="Times New Roman" w:cs="Times New Roman"/>
          <w:bCs/>
          <w:color w:val="000000" w:themeColor="text1"/>
          <w:sz w:val="28"/>
        </w:rPr>
        <w:t>, efectuó un ajuste o modificación parcial al pre</w:t>
      </w:r>
      <w:r w:rsidRPr="00DE7CC4">
        <w:rPr>
          <w:rFonts w:ascii="Times New Roman" w:hAnsi="Times New Roman" w:cs="Times New Roman"/>
          <w:bCs/>
          <w:color w:val="000000" w:themeColor="text1"/>
          <w:sz w:val="28"/>
        </w:rPr>
        <w:t xml:space="preserve">cedente constitucional sobre la improcedencia generalizada de la adopción de medidas cautelares en los procesos de control abstracto de constitucionalidad; concluyó, entonces, que </w:t>
      </w:r>
      <w:r w:rsidRPr="00DE7CC4">
        <w:rPr>
          <w:rFonts w:ascii="Times New Roman" w:hAnsi="Times New Roman" w:cs="Times New Roman"/>
          <w:color w:val="000000" w:themeColor="text1"/>
          <w:sz w:val="28"/>
        </w:rPr>
        <w:t>en el marco de la acción pública de inconstitucionalidad estas son excepcion</w:t>
      </w:r>
      <w:r w:rsidRPr="00DE7CC4">
        <w:rPr>
          <w:rFonts w:ascii="Times New Roman" w:hAnsi="Times New Roman" w:cs="Times New Roman"/>
          <w:color w:val="000000" w:themeColor="text1"/>
          <w:sz w:val="28"/>
        </w:rPr>
        <w:t xml:space="preserve">ales, sometidas a cargas argumentativas y acreditaciones exigentes, siendo procedentes solamente frente a normas </w:t>
      </w:r>
      <w:r w:rsidRPr="00DE7CC4">
        <w:rPr>
          <w:rFonts w:ascii="Times New Roman" w:hAnsi="Times New Roman" w:cs="Times New Roman"/>
          <w:i/>
          <w:iCs/>
          <w:color w:val="000000" w:themeColor="text1"/>
          <w:sz w:val="28"/>
        </w:rPr>
        <w:t>prima facie</w:t>
      </w:r>
      <w:r w:rsidRPr="00DE7CC4">
        <w:rPr>
          <w:rFonts w:ascii="Times New Roman" w:hAnsi="Times New Roman" w:cs="Times New Roman"/>
          <w:color w:val="000000" w:themeColor="text1"/>
          <w:sz w:val="28"/>
        </w:rPr>
        <w:t xml:space="preserve"> abierta o manifiestamente incompatibles con la Constitución Política, para evitar que produzcan efectos irremediables o eludan el c</w:t>
      </w:r>
      <w:r w:rsidRPr="00DE7CC4">
        <w:rPr>
          <w:rFonts w:ascii="Times New Roman" w:hAnsi="Times New Roman" w:cs="Times New Roman"/>
          <w:color w:val="000000" w:themeColor="text1"/>
          <w:sz w:val="28"/>
        </w:rPr>
        <w:t>ontrol de constitucionalidad. En particular, según lo indicado en el fundamento jurídico 59 de la mencionada providencia, la adopción de una medida cautelar procede “únicamente a solicitud de cualquier magistrado, inclusive del propio magistrado sustanciad</w:t>
      </w:r>
      <w:r w:rsidRPr="00DE7CC4">
        <w:rPr>
          <w:rFonts w:ascii="Times New Roman" w:hAnsi="Times New Roman" w:cs="Times New Roman"/>
          <w:color w:val="000000" w:themeColor="text1"/>
          <w:sz w:val="28"/>
        </w:rPr>
        <w:t>or del proceso de constitucionalidad (…)”</w:t>
      </w:r>
      <w:r w:rsidRPr="00DE7CC4">
        <w:rPr>
          <w:rFonts w:ascii="Times New Roman" w:hAnsi="Times New Roman" w:cs="Times New Roman"/>
          <w:color w:val="000000" w:themeColor="text1"/>
          <w:sz w:val="28"/>
        </w:rPr>
        <w:t xml:space="preserve">, mientras que </w:t>
      </w:r>
      <w:r w:rsidRPr="00DE7CC4">
        <w:rPr>
          <w:rFonts w:ascii="Times New Roman" w:hAnsi="Times New Roman" w:cs="Times New Roman"/>
          <w:color w:val="000000" w:themeColor="text1"/>
          <w:sz w:val="28"/>
        </w:rPr>
        <w:t xml:space="preserve">el ciudadano demandante </w:t>
      </w:r>
      <w:r w:rsidRPr="00DE7CC4">
        <w:rPr>
          <w:rFonts w:ascii="Times New Roman" w:hAnsi="Times New Roman" w:cs="Times New Roman"/>
          <w:color w:val="000000" w:themeColor="text1"/>
          <w:sz w:val="28"/>
        </w:rPr>
        <w:t>“</w:t>
      </w:r>
      <w:r w:rsidRPr="00DE7CC4">
        <w:rPr>
          <w:rFonts w:ascii="Times New Roman" w:hAnsi="Times New Roman" w:cs="Times New Roman"/>
          <w:color w:val="000000" w:themeColor="text1"/>
          <w:sz w:val="28"/>
        </w:rPr>
        <w:t>solo podrá proponerle al magistrado sustanciador o a cualquier magistrado de la Corte que la solicite a la Sala plena pero no tendrá facultad para hacerlo directamente”.</w:t>
      </w:r>
    </w:p>
    <w:p w:rsidR="00F32ED8" w:rsidRPr="00DE7CC4" w:rsidRDefault="00DE7CC4" w:rsidP="00F32ED8">
      <w:pPr>
        <w:jc w:val="both"/>
        <w:rPr>
          <w:rFonts w:ascii="Times New Roman" w:hAnsi="Times New Roman" w:cs="Times New Roman"/>
          <w:color w:val="000000" w:themeColor="text1"/>
          <w:sz w:val="28"/>
        </w:rPr>
      </w:pPr>
    </w:p>
    <w:p w:rsidR="00F32ED8" w:rsidRPr="00DE7CC4" w:rsidRDefault="00DE7CC4" w:rsidP="00F32ED8">
      <w:pPr>
        <w:jc w:val="both"/>
        <w:rPr>
          <w:rFonts w:ascii="Times New Roman" w:hAnsi="Times New Roman" w:cs="Times New Roman"/>
          <w:color w:val="000000" w:themeColor="text1"/>
          <w:sz w:val="28"/>
          <w:shd w:val="clear" w:color="auto" w:fill="FFFFFF"/>
          <w:lang w:val="es-ES"/>
        </w:rPr>
      </w:pPr>
      <w:r w:rsidRPr="00DE7CC4">
        <w:rPr>
          <w:rFonts w:ascii="Times New Roman" w:hAnsi="Times New Roman" w:cs="Times New Roman"/>
          <w:color w:val="000000" w:themeColor="text1"/>
          <w:sz w:val="28"/>
        </w:rPr>
        <w:t>105.</w:t>
      </w:r>
      <w:r w:rsidRPr="00DE7CC4">
        <w:rPr>
          <w:rFonts w:ascii="Times New Roman" w:hAnsi="Times New Roman" w:cs="Times New Roman"/>
          <w:color w:val="000000" w:themeColor="text1"/>
          <w:sz w:val="28"/>
        </w:rPr>
        <w:t xml:space="preserve"> A partir de los anteriores supuestos, con el objeto de reiterar los presupuestos esenciales de la procedencia de una medida excepcional, es importante advertir que (i) </w:t>
      </w:r>
      <w:r w:rsidRPr="00DE7CC4">
        <w:rPr>
          <w:rFonts w:ascii="Times New Roman" w:hAnsi="Times New Roman" w:cs="Times New Roman"/>
          <w:color w:val="000000" w:themeColor="text1"/>
          <w:sz w:val="28"/>
        </w:rPr>
        <w:t>ni</w:t>
      </w:r>
      <w:r w:rsidRPr="00DE7CC4">
        <w:rPr>
          <w:rFonts w:ascii="Times New Roman" w:hAnsi="Times New Roman" w:cs="Times New Roman"/>
          <w:color w:val="000000" w:themeColor="text1"/>
          <w:sz w:val="28"/>
        </w:rPr>
        <w:t xml:space="preserve"> la Magistrada sustanciadora ni ningún otro Magistrado de la Sala Plena consideraron </w:t>
      </w:r>
      <w:r w:rsidRPr="00DE7CC4">
        <w:rPr>
          <w:rFonts w:ascii="Times New Roman" w:hAnsi="Times New Roman" w:cs="Times New Roman"/>
          <w:color w:val="000000" w:themeColor="text1"/>
          <w:sz w:val="28"/>
        </w:rPr>
        <w:t xml:space="preserve">la necesidad de adoptar una cautela en este asunto, pues es claro que (ii) ni de la petición incoada, ni de los elementos allegados al proceso, se evidenciaba una inconstitucionalidad, </w:t>
      </w:r>
      <w:r w:rsidRPr="00DE7CC4">
        <w:rPr>
          <w:rFonts w:ascii="Times New Roman" w:hAnsi="Times New Roman" w:cs="Times New Roman"/>
          <w:i/>
          <w:iCs/>
          <w:color w:val="000000" w:themeColor="text1"/>
          <w:sz w:val="28"/>
        </w:rPr>
        <w:t>prima facie</w:t>
      </w:r>
      <w:r w:rsidRPr="00DE7CC4">
        <w:rPr>
          <w:rFonts w:ascii="Times New Roman" w:hAnsi="Times New Roman" w:cs="Times New Roman"/>
          <w:color w:val="000000" w:themeColor="text1"/>
          <w:sz w:val="28"/>
        </w:rPr>
        <w:t xml:space="preserve">, de la disposición, con un alcance tal como para exigir la </w:t>
      </w:r>
      <w:r w:rsidRPr="00DE7CC4">
        <w:rPr>
          <w:rFonts w:ascii="Times New Roman" w:hAnsi="Times New Roman" w:cs="Times New Roman"/>
          <w:color w:val="000000" w:themeColor="text1"/>
          <w:sz w:val="28"/>
        </w:rPr>
        <w:t>actuación temprana de la Corte Constitucional en defensa de la supremacía e integridad de la Constitución. En esta instancia del trámite lo que procede</w:t>
      </w:r>
      <w:r w:rsidRPr="00DE7CC4">
        <w:rPr>
          <w:rFonts w:ascii="Times New Roman" w:hAnsi="Times New Roman" w:cs="Times New Roman"/>
          <w:color w:val="000000" w:themeColor="text1"/>
          <w:sz w:val="28"/>
        </w:rPr>
        <w:t>,</w:t>
      </w:r>
      <w:r w:rsidRPr="00DE7CC4">
        <w:rPr>
          <w:rFonts w:ascii="Times New Roman" w:hAnsi="Times New Roman" w:cs="Times New Roman"/>
          <w:color w:val="000000" w:themeColor="text1"/>
          <w:sz w:val="28"/>
        </w:rPr>
        <w:t xml:space="preserve"> en consecuencia, es dictar una decisión de fondo respecto del cargo que se consideró apto y, no sobra a</w:t>
      </w:r>
      <w:r w:rsidRPr="00DE7CC4">
        <w:rPr>
          <w:rFonts w:ascii="Times New Roman" w:hAnsi="Times New Roman" w:cs="Times New Roman"/>
          <w:color w:val="000000" w:themeColor="text1"/>
          <w:sz w:val="28"/>
        </w:rPr>
        <w:t xml:space="preserve">dvertir, formulado por la parte demandante, en razón a que, en principio, no se pueden abordar reparos diferentes que no fueron objeto de la participación y deliberación democrática que inspira este tipo de acciones. </w:t>
      </w:r>
    </w:p>
    <w:p w:rsidR="00F32ED8" w:rsidRPr="00DE7CC4" w:rsidRDefault="00DE7CC4" w:rsidP="00F32ED8">
      <w:pPr>
        <w:rPr>
          <w:rFonts w:ascii="Times New Roman" w:hAnsi="Times New Roman" w:cs="Times New Roman"/>
          <w:color w:val="000000" w:themeColor="text1"/>
          <w:sz w:val="28"/>
          <w:lang w:val="es-ES"/>
        </w:rPr>
      </w:pPr>
    </w:p>
    <w:p w:rsidR="00F32ED8" w:rsidRPr="00DE7CC4" w:rsidRDefault="00DE7CC4" w:rsidP="00F32ED8">
      <w:pPr>
        <w:jc w:val="both"/>
        <w:rPr>
          <w:rFonts w:ascii="Times New Roman" w:hAnsi="Times New Roman" w:cs="Times New Roman"/>
          <w:b/>
          <w:color w:val="000000" w:themeColor="text1"/>
          <w:sz w:val="28"/>
        </w:rPr>
      </w:pPr>
      <w:r w:rsidRPr="00DE7CC4">
        <w:rPr>
          <w:rFonts w:ascii="Times New Roman" w:hAnsi="Times New Roman" w:cs="Times New Roman"/>
          <w:b/>
          <w:color w:val="000000" w:themeColor="text1"/>
          <w:sz w:val="28"/>
        </w:rPr>
        <w:t>3. Análisis de fondo del cargo por pr</w:t>
      </w:r>
      <w:r w:rsidRPr="00DE7CC4">
        <w:rPr>
          <w:rFonts w:ascii="Times New Roman" w:hAnsi="Times New Roman" w:cs="Times New Roman"/>
          <w:b/>
          <w:color w:val="000000" w:themeColor="text1"/>
          <w:sz w:val="28"/>
        </w:rPr>
        <w:t xml:space="preserve">esunta vulneración de los artículos 2 y 58 de la Constitución </w:t>
      </w:r>
    </w:p>
    <w:p w:rsidR="00F32ED8" w:rsidRPr="00DE7CC4" w:rsidRDefault="00DE7CC4" w:rsidP="00F32ED8">
      <w:pPr>
        <w:jc w:val="both"/>
        <w:rPr>
          <w:rFonts w:ascii="Times New Roman" w:hAnsi="Times New Roman" w:cs="Times New Roman"/>
          <w:b/>
          <w:color w:val="000000" w:themeColor="text1"/>
          <w:sz w:val="28"/>
        </w:rPr>
      </w:pPr>
    </w:p>
    <w:p w:rsidR="00F32ED8" w:rsidRPr="00DE7CC4" w:rsidRDefault="00DE7CC4" w:rsidP="00F32ED8">
      <w:pPr>
        <w:jc w:val="both"/>
        <w:rPr>
          <w:rFonts w:ascii="Times New Roman" w:hAnsi="Times New Roman" w:cs="Times New Roman"/>
          <w:b/>
          <w:color w:val="000000" w:themeColor="text1"/>
          <w:sz w:val="28"/>
        </w:rPr>
      </w:pPr>
      <w:r w:rsidRPr="00DE7CC4">
        <w:rPr>
          <w:rFonts w:ascii="Times New Roman" w:hAnsi="Times New Roman" w:cs="Times New Roman"/>
          <w:b/>
          <w:color w:val="000000" w:themeColor="text1"/>
          <w:sz w:val="28"/>
        </w:rPr>
        <w:t>3.1. Problema jurídico y metodología de la decisión</w:t>
      </w:r>
    </w:p>
    <w:p w:rsidR="00F32ED8" w:rsidRPr="00DE7CC4" w:rsidRDefault="00DE7CC4" w:rsidP="00F32ED8">
      <w:pPr>
        <w:jc w:val="both"/>
        <w:rPr>
          <w:rFonts w:ascii="Times New Roman" w:hAnsi="Times New Roman" w:cs="Times New Roman"/>
          <w:b/>
          <w:color w:val="000000" w:themeColor="text1"/>
          <w:sz w:val="28"/>
        </w:rPr>
      </w:pPr>
    </w:p>
    <w:p w:rsidR="00F32ED8" w:rsidRPr="00DE7CC4" w:rsidRDefault="00DE7CC4" w:rsidP="00F32ED8">
      <w:pPr>
        <w:jc w:val="both"/>
        <w:rPr>
          <w:rFonts w:ascii="Times New Roman" w:hAnsi="Times New Roman" w:cs="Times New Roman"/>
          <w:color w:val="000000" w:themeColor="text1"/>
          <w:sz w:val="28"/>
        </w:rPr>
      </w:pPr>
      <w:r w:rsidRPr="00DE7CC4">
        <w:rPr>
          <w:rFonts w:ascii="Times New Roman" w:hAnsi="Times New Roman" w:cs="Times New Roman"/>
          <w:bCs/>
          <w:color w:val="000000" w:themeColor="text1"/>
          <w:sz w:val="28"/>
        </w:rPr>
        <w:t>106. En atención al cargo que estimó apto la Sala Plena</w:t>
      </w:r>
      <w:r w:rsidRPr="00DE7CC4">
        <w:rPr>
          <w:rFonts w:ascii="Times New Roman" w:hAnsi="Times New Roman" w:cs="Times New Roman"/>
          <w:bCs/>
          <w:color w:val="000000" w:themeColor="text1"/>
          <w:sz w:val="28"/>
        </w:rPr>
        <w:t>,</w:t>
      </w:r>
      <w:r w:rsidRPr="00DE7CC4">
        <w:rPr>
          <w:rFonts w:ascii="Times New Roman" w:hAnsi="Times New Roman" w:cs="Times New Roman"/>
          <w:bCs/>
          <w:color w:val="000000" w:themeColor="text1"/>
          <w:sz w:val="28"/>
        </w:rPr>
        <w:t xml:space="preserve"> con fundamento en los argumentos expuestos en la demanda </w:t>
      </w:r>
      <w:r w:rsidRPr="00DE7CC4">
        <w:rPr>
          <w:rFonts w:ascii="Times New Roman" w:hAnsi="Times New Roman" w:cs="Times New Roman"/>
          <w:bCs/>
          <w:color w:val="000000" w:themeColor="text1"/>
          <w:sz w:val="28"/>
        </w:rPr>
        <w:t>-</w:t>
      </w:r>
      <w:r w:rsidRPr="00DE7CC4">
        <w:rPr>
          <w:rFonts w:ascii="Times New Roman" w:hAnsi="Times New Roman" w:cs="Times New Roman"/>
          <w:bCs/>
          <w:color w:val="000000" w:themeColor="text1"/>
          <w:sz w:val="28"/>
        </w:rPr>
        <w:t xml:space="preserve">que fueron sometidos a </w:t>
      </w:r>
      <w:r w:rsidRPr="00DE7CC4">
        <w:rPr>
          <w:rFonts w:ascii="Times New Roman" w:hAnsi="Times New Roman" w:cs="Times New Roman"/>
          <w:bCs/>
          <w:color w:val="000000" w:themeColor="text1"/>
          <w:sz w:val="28"/>
        </w:rPr>
        <w:t>un proceso participativo</w:t>
      </w:r>
      <w:r w:rsidRPr="00DE7CC4">
        <w:rPr>
          <w:rFonts w:ascii="Times New Roman" w:hAnsi="Times New Roman" w:cs="Times New Roman"/>
          <w:bCs/>
          <w:color w:val="000000" w:themeColor="text1"/>
          <w:sz w:val="28"/>
        </w:rPr>
        <w:t>-, y</w:t>
      </w:r>
      <w:r w:rsidRPr="00DE7CC4">
        <w:rPr>
          <w:rFonts w:ascii="Times New Roman" w:hAnsi="Times New Roman" w:cs="Times New Roman"/>
          <w:bCs/>
          <w:color w:val="000000" w:themeColor="text1"/>
          <w:sz w:val="28"/>
        </w:rPr>
        <w:t xml:space="preserve"> valorando l</w:t>
      </w:r>
      <w:r w:rsidRPr="00DE7CC4">
        <w:rPr>
          <w:rFonts w:ascii="Times New Roman" w:hAnsi="Times New Roman" w:cs="Times New Roman"/>
          <w:bCs/>
          <w:color w:val="000000" w:themeColor="text1"/>
          <w:sz w:val="28"/>
        </w:rPr>
        <w:t>a</w:t>
      </w:r>
      <w:r w:rsidRPr="00DE7CC4">
        <w:rPr>
          <w:rFonts w:ascii="Times New Roman" w:hAnsi="Times New Roman" w:cs="Times New Roman"/>
          <w:bCs/>
          <w:color w:val="000000" w:themeColor="text1"/>
          <w:sz w:val="28"/>
        </w:rPr>
        <w:t xml:space="preserve">s </w:t>
      </w:r>
      <w:r w:rsidRPr="00DE7CC4">
        <w:rPr>
          <w:rFonts w:ascii="Times New Roman" w:hAnsi="Times New Roman" w:cs="Times New Roman"/>
          <w:bCs/>
          <w:color w:val="000000" w:themeColor="text1"/>
          <w:sz w:val="28"/>
        </w:rPr>
        <w:t xml:space="preserve">consideraciones </w:t>
      </w:r>
      <w:r w:rsidRPr="00DE7CC4">
        <w:rPr>
          <w:rFonts w:ascii="Times New Roman" w:hAnsi="Times New Roman" w:cs="Times New Roman"/>
          <w:bCs/>
          <w:color w:val="000000" w:themeColor="text1"/>
          <w:sz w:val="28"/>
        </w:rPr>
        <w:t>expuest</w:t>
      </w:r>
      <w:r w:rsidRPr="00DE7CC4">
        <w:rPr>
          <w:rFonts w:ascii="Times New Roman" w:hAnsi="Times New Roman" w:cs="Times New Roman"/>
          <w:bCs/>
          <w:color w:val="000000" w:themeColor="text1"/>
          <w:sz w:val="28"/>
        </w:rPr>
        <w:t>a</w:t>
      </w:r>
      <w:r w:rsidRPr="00DE7CC4">
        <w:rPr>
          <w:rFonts w:ascii="Times New Roman" w:hAnsi="Times New Roman" w:cs="Times New Roman"/>
          <w:bCs/>
          <w:color w:val="000000" w:themeColor="text1"/>
          <w:sz w:val="28"/>
        </w:rPr>
        <w:t xml:space="preserve">s por los intervinientes y el Ministerio Público, el problema jurídico por resolver consiste en establecer si contradice el deber </w:t>
      </w:r>
      <w:r w:rsidRPr="00DE7CC4">
        <w:rPr>
          <w:rFonts w:ascii="Times New Roman" w:hAnsi="Times New Roman" w:cs="Times New Roman"/>
          <w:bCs/>
          <w:color w:val="000000" w:themeColor="text1"/>
          <w:sz w:val="28"/>
        </w:rPr>
        <w:t xml:space="preserve">estatal </w:t>
      </w:r>
      <w:r w:rsidRPr="00DE7CC4">
        <w:rPr>
          <w:rFonts w:ascii="Times New Roman" w:hAnsi="Times New Roman" w:cs="Times New Roman"/>
          <w:bCs/>
          <w:color w:val="000000" w:themeColor="text1"/>
          <w:sz w:val="28"/>
        </w:rPr>
        <w:t>de protección a la propiedad</w:t>
      </w:r>
      <w:r w:rsidRPr="00DE7CC4">
        <w:rPr>
          <w:rFonts w:ascii="Times New Roman" w:hAnsi="Times New Roman" w:cs="Times New Roman"/>
          <w:bCs/>
          <w:color w:val="000000" w:themeColor="text1"/>
          <w:sz w:val="28"/>
        </w:rPr>
        <w:t>,</w:t>
      </w:r>
      <w:r w:rsidRPr="00DE7CC4">
        <w:rPr>
          <w:rFonts w:ascii="Times New Roman" w:hAnsi="Times New Roman" w:cs="Times New Roman"/>
          <w:bCs/>
          <w:color w:val="000000" w:themeColor="text1"/>
          <w:sz w:val="28"/>
        </w:rPr>
        <w:t xml:space="preserve"> que deriva de los art</w:t>
      </w:r>
      <w:r w:rsidRPr="00DE7CC4">
        <w:rPr>
          <w:rFonts w:ascii="Times New Roman" w:hAnsi="Times New Roman" w:cs="Times New Roman"/>
          <w:bCs/>
          <w:color w:val="000000" w:themeColor="text1"/>
          <w:sz w:val="28"/>
        </w:rPr>
        <w:t>ículos 2 y 58 de la Constitución Política</w:t>
      </w:r>
      <w:r w:rsidRPr="00DE7CC4">
        <w:rPr>
          <w:rFonts w:ascii="Times New Roman" w:hAnsi="Times New Roman" w:cs="Times New Roman"/>
          <w:bCs/>
          <w:color w:val="000000" w:themeColor="text1"/>
          <w:sz w:val="28"/>
        </w:rPr>
        <w:t>,</w:t>
      </w:r>
      <w:r w:rsidRPr="00DE7CC4">
        <w:rPr>
          <w:rFonts w:ascii="Times New Roman" w:hAnsi="Times New Roman" w:cs="Times New Roman"/>
          <w:bCs/>
          <w:color w:val="000000" w:themeColor="text1"/>
          <w:sz w:val="28"/>
        </w:rPr>
        <w:t xml:space="preserve"> la configuración de</w:t>
      </w:r>
      <w:r w:rsidRPr="00DE7CC4">
        <w:rPr>
          <w:rFonts w:ascii="Times New Roman" w:hAnsi="Times New Roman" w:cs="Times New Roman"/>
          <w:color w:val="000000" w:themeColor="text1"/>
          <w:sz w:val="28"/>
        </w:rPr>
        <w:t xml:space="preserve"> un régimen que, en el marco de accidentes de tránsito con daños exclusivamente materiales, excluy</w:t>
      </w:r>
      <w:r w:rsidRPr="00DE7CC4">
        <w:rPr>
          <w:rFonts w:ascii="Times New Roman" w:hAnsi="Times New Roman" w:cs="Times New Roman"/>
          <w:color w:val="000000" w:themeColor="text1"/>
          <w:sz w:val="28"/>
        </w:rPr>
        <w:t>e</w:t>
      </w:r>
      <w:r w:rsidRPr="00DE7CC4">
        <w:rPr>
          <w:rFonts w:ascii="Times New Roman" w:hAnsi="Times New Roman" w:cs="Times New Roman"/>
          <w:color w:val="000000" w:themeColor="text1"/>
          <w:sz w:val="28"/>
        </w:rPr>
        <w:t xml:space="preserve"> la intervención de la autoridad de tránsito y, </w:t>
      </w:r>
      <w:r w:rsidRPr="00DE7CC4">
        <w:rPr>
          <w:rFonts w:ascii="Times New Roman" w:hAnsi="Times New Roman" w:cs="Times New Roman"/>
          <w:color w:val="000000" w:themeColor="text1"/>
          <w:sz w:val="28"/>
        </w:rPr>
        <w:t>en consecuencia</w:t>
      </w:r>
      <w:r w:rsidRPr="00DE7CC4">
        <w:rPr>
          <w:rFonts w:ascii="Times New Roman" w:hAnsi="Times New Roman" w:cs="Times New Roman"/>
          <w:color w:val="000000" w:themeColor="text1"/>
          <w:sz w:val="28"/>
        </w:rPr>
        <w:t xml:space="preserve">, lo que estaba llamada a hacer </w:t>
      </w:r>
      <w:r w:rsidRPr="00DE7CC4">
        <w:rPr>
          <w:rFonts w:ascii="Times New Roman" w:hAnsi="Times New Roman" w:cs="Times New Roman"/>
          <w:color w:val="000000" w:themeColor="text1"/>
          <w:sz w:val="28"/>
        </w:rPr>
        <w:t xml:space="preserve">-con especial énfasis en el informe policial de tránsito- </w:t>
      </w:r>
      <w:r w:rsidRPr="00DE7CC4">
        <w:rPr>
          <w:rFonts w:ascii="Times New Roman" w:hAnsi="Times New Roman" w:cs="Times New Roman"/>
          <w:color w:val="000000" w:themeColor="text1"/>
          <w:sz w:val="28"/>
        </w:rPr>
        <w:t xml:space="preserve">le </w:t>
      </w:r>
      <w:r w:rsidRPr="00DE7CC4">
        <w:rPr>
          <w:rFonts w:ascii="Times New Roman" w:hAnsi="Times New Roman" w:cs="Times New Roman"/>
          <w:color w:val="000000" w:themeColor="text1"/>
          <w:sz w:val="28"/>
        </w:rPr>
        <w:t>correspond</w:t>
      </w:r>
      <w:r w:rsidRPr="00DE7CC4">
        <w:rPr>
          <w:rFonts w:ascii="Times New Roman" w:hAnsi="Times New Roman" w:cs="Times New Roman"/>
          <w:color w:val="000000" w:themeColor="text1"/>
          <w:sz w:val="28"/>
        </w:rPr>
        <w:t>e ahora</w:t>
      </w:r>
      <w:r w:rsidRPr="00DE7CC4">
        <w:rPr>
          <w:rFonts w:ascii="Times New Roman" w:hAnsi="Times New Roman" w:cs="Times New Roman"/>
          <w:color w:val="000000" w:themeColor="text1"/>
          <w:sz w:val="28"/>
        </w:rPr>
        <w:t xml:space="preserve"> a los conductores, las entidades aseguradoras y los interesados, corriendo estos últimos con la carga de recaudar en el momento del accidente todas las pruebas para que, de proc</w:t>
      </w:r>
      <w:r w:rsidRPr="00DE7CC4">
        <w:rPr>
          <w:rFonts w:ascii="Times New Roman" w:hAnsi="Times New Roman" w:cs="Times New Roman"/>
          <w:color w:val="000000" w:themeColor="text1"/>
          <w:sz w:val="28"/>
        </w:rPr>
        <w:t xml:space="preserve">eder, pretendan posteriormente </w:t>
      </w:r>
      <w:r w:rsidRPr="00DE7CC4">
        <w:rPr>
          <w:rFonts w:ascii="Times New Roman" w:hAnsi="Times New Roman" w:cs="Times New Roman"/>
          <w:color w:val="000000" w:themeColor="text1"/>
          <w:sz w:val="28"/>
        </w:rPr>
        <w:t>el resarcimiento d</w:t>
      </w:r>
      <w:r w:rsidRPr="00DE7CC4">
        <w:rPr>
          <w:rFonts w:ascii="Times New Roman" w:hAnsi="Times New Roman" w:cs="Times New Roman"/>
          <w:color w:val="000000" w:themeColor="text1"/>
          <w:sz w:val="28"/>
        </w:rPr>
        <w:t>el daño producido a la propiedad en estas condiciones.</w:t>
      </w:r>
    </w:p>
    <w:p w:rsidR="00F32ED8" w:rsidRPr="00DE7CC4" w:rsidRDefault="00DE7CC4" w:rsidP="00F32ED8">
      <w:pPr>
        <w:jc w:val="both"/>
        <w:rPr>
          <w:rFonts w:ascii="Times New Roman" w:hAnsi="Times New Roman" w:cs="Times New Roman"/>
          <w:color w:val="000000" w:themeColor="text1"/>
          <w:sz w:val="28"/>
        </w:rPr>
      </w:pPr>
    </w:p>
    <w:p w:rsidR="00F32ED8" w:rsidRPr="00DE7CC4" w:rsidRDefault="00DE7CC4" w:rsidP="00F32ED8">
      <w:pPr>
        <w:jc w:val="both"/>
        <w:rPr>
          <w:rFonts w:ascii="Times New Roman" w:hAnsi="Times New Roman" w:cs="Times New Roman"/>
          <w:color w:val="000000" w:themeColor="text1"/>
          <w:sz w:val="28"/>
        </w:rPr>
      </w:pPr>
      <w:r w:rsidRPr="00DE7CC4">
        <w:rPr>
          <w:rFonts w:ascii="Times New Roman" w:hAnsi="Times New Roman" w:cs="Times New Roman"/>
          <w:color w:val="000000" w:themeColor="text1"/>
          <w:sz w:val="28"/>
        </w:rPr>
        <w:t>107. Con tal objeto, la Corte efectuará algunas consideraciones fundamentales sobre el derecho de propiedad y, a continuación, estudiará el cargo que s</w:t>
      </w:r>
      <w:r w:rsidRPr="00DE7CC4">
        <w:rPr>
          <w:rFonts w:ascii="Times New Roman" w:hAnsi="Times New Roman" w:cs="Times New Roman"/>
          <w:color w:val="000000" w:themeColor="text1"/>
          <w:sz w:val="28"/>
        </w:rPr>
        <w:t>e estimó apto para ello.  Antes de ello, debe resaltarse que el análisis que se realizará se enfoca exclusivamente en los argumentos expuestos por los accionantes y en el examen de la regla cuestionada frente al parámetro de control delimitado.</w:t>
      </w:r>
    </w:p>
    <w:p w:rsidR="00F32ED8" w:rsidRPr="00DE7CC4" w:rsidRDefault="00DE7CC4" w:rsidP="00F32ED8">
      <w:pPr>
        <w:jc w:val="both"/>
        <w:rPr>
          <w:rFonts w:ascii="Times New Roman" w:hAnsi="Times New Roman" w:cs="Times New Roman"/>
          <w:b/>
          <w:color w:val="000000" w:themeColor="text1"/>
          <w:sz w:val="28"/>
        </w:rPr>
      </w:pPr>
    </w:p>
    <w:p w:rsidR="00F32ED8" w:rsidRPr="00DE7CC4" w:rsidRDefault="00DE7CC4" w:rsidP="00F32ED8">
      <w:pPr>
        <w:ind w:right="49"/>
        <w:jc w:val="both"/>
        <w:rPr>
          <w:rFonts w:ascii="Times New Roman" w:hAnsi="Times New Roman" w:cs="Times New Roman"/>
          <w:b/>
          <w:color w:val="000000" w:themeColor="text1"/>
          <w:sz w:val="28"/>
        </w:rPr>
      </w:pPr>
      <w:r w:rsidRPr="00DE7CC4">
        <w:rPr>
          <w:rFonts w:ascii="Times New Roman" w:hAnsi="Times New Roman" w:cs="Times New Roman"/>
          <w:b/>
          <w:color w:val="000000" w:themeColor="text1"/>
          <w:sz w:val="28"/>
        </w:rPr>
        <w:t>3.2. Consi</w:t>
      </w:r>
      <w:r w:rsidRPr="00DE7CC4">
        <w:rPr>
          <w:rFonts w:ascii="Times New Roman" w:hAnsi="Times New Roman" w:cs="Times New Roman"/>
          <w:b/>
          <w:color w:val="000000" w:themeColor="text1"/>
          <w:sz w:val="28"/>
        </w:rPr>
        <w:t>deraciones fundamentales sobre el derecho a la propiedad privada - Reiteración de jurisprudencia</w:t>
      </w:r>
    </w:p>
    <w:p w:rsidR="00F32ED8" w:rsidRPr="00DE7CC4" w:rsidRDefault="00DE7CC4" w:rsidP="00F32ED8">
      <w:pPr>
        <w:ind w:right="49"/>
        <w:jc w:val="both"/>
        <w:rPr>
          <w:rFonts w:ascii="Times New Roman" w:hAnsi="Times New Roman" w:cs="Times New Roman"/>
          <w:b/>
          <w:color w:val="000000" w:themeColor="text1"/>
          <w:sz w:val="28"/>
        </w:rPr>
      </w:pPr>
    </w:p>
    <w:p w:rsidR="00F32ED8" w:rsidRPr="00DE7CC4" w:rsidRDefault="00DE7CC4" w:rsidP="00F32ED8">
      <w:pPr>
        <w:pStyle w:val="Prrafodelista"/>
        <w:tabs>
          <w:tab w:val="left" w:pos="284"/>
        </w:tabs>
        <w:ind w:left="0" w:right="49"/>
        <w:jc w:val="both"/>
        <w:rPr>
          <w:rFonts w:ascii="Times New Roman" w:hAnsi="Times New Roman" w:cs="Times New Roman"/>
          <w:color w:val="000000" w:themeColor="text1"/>
          <w:sz w:val="28"/>
        </w:rPr>
      </w:pPr>
      <w:r w:rsidRPr="00DE7CC4">
        <w:rPr>
          <w:rFonts w:ascii="Times New Roman" w:hAnsi="Times New Roman" w:cs="Times New Roman"/>
          <w:color w:val="000000" w:themeColor="text1"/>
          <w:sz w:val="28"/>
          <w:lang w:val="es-ES"/>
        </w:rPr>
        <w:t>108. La Constitución Política prevé la protección de la propiedad privada en los artículos 2 y 58. El primero de ellos prescribe que “[</w:t>
      </w:r>
      <w:r w:rsidRPr="00DE7CC4">
        <w:rPr>
          <w:rFonts w:ascii="Times New Roman" w:hAnsi="Times New Roman" w:cs="Times New Roman"/>
          <w:color w:val="000000" w:themeColor="text1"/>
          <w:sz w:val="28"/>
        </w:rPr>
        <w:t xml:space="preserve">l]as autoridades de la </w:t>
      </w:r>
      <w:r w:rsidRPr="00DE7CC4">
        <w:rPr>
          <w:rFonts w:ascii="Times New Roman" w:hAnsi="Times New Roman" w:cs="Times New Roman"/>
          <w:color w:val="000000" w:themeColor="text1"/>
          <w:sz w:val="28"/>
        </w:rPr>
        <w:t xml:space="preserve">República están instituidas”, entre otras cosas, para la protección de los bienes de todas las personas residentes en Colombia. A su turno, la segunda de tales disposiciones establece que se encuentra garantizada “la propiedad privada y los demás derechos </w:t>
      </w:r>
      <w:r w:rsidRPr="00DE7CC4">
        <w:rPr>
          <w:rFonts w:ascii="Times New Roman" w:hAnsi="Times New Roman" w:cs="Times New Roman"/>
          <w:color w:val="000000" w:themeColor="text1"/>
          <w:sz w:val="28"/>
        </w:rPr>
        <w:t>adquiridos con arreglo a las leyes civiles”; igualmente, señala que el “</w:t>
      </w:r>
      <w:r w:rsidRPr="00DE7CC4">
        <w:rPr>
          <w:rFonts w:ascii="Times New Roman" w:hAnsi="Times New Roman" w:cs="Times New Roman"/>
          <w:color w:val="000000" w:themeColor="text1"/>
          <w:sz w:val="28"/>
        </w:rPr>
        <w:t>Estado protegerá y promoverá las formas asociativas y solidarias de propiedad”.</w:t>
      </w:r>
      <w:r w:rsidRPr="00DE7CC4">
        <w:rPr>
          <w:rFonts w:ascii="Times New Roman" w:hAnsi="Times New Roman" w:cs="Times New Roman"/>
          <w:color w:val="000000" w:themeColor="text1"/>
          <w:sz w:val="28"/>
        </w:rPr>
        <w:t xml:space="preserve"> A su vez el artículo 21 de la Convención Americana sobre Derechos Humanos prevé que “[t]oda persona tien</w:t>
      </w:r>
      <w:r w:rsidRPr="00DE7CC4">
        <w:rPr>
          <w:rFonts w:ascii="Times New Roman" w:hAnsi="Times New Roman" w:cs="Times New Roman"/>
          <w:color w:val="000000" w:themeColor="text1"/>
          <w:sz w:val="28"/>
        </w:rPr>
        <w:t>e derecho al uso y goce de sus bienes” siendo posible que la ley subordine “tal uso y goce al interés social”. Con fundamento en tales disposiciones, ha dicho la Corte Constitucional que la Carta reconoce “l</w:t>
      </w:r>
      <w:r w:rsidRPr="00DE7CC4">
        <w:rPr>
          <w:rFonts w:ascii="Times New Roman" w:hAnsi="Times New Roman" w:cs="Times New Roman"/>
          <w:color w:val="000000" w:themeColor="text1"/>
          <w:sz w:val="28"/>
          <w:shd w:val="clear" w:color="auto" w:fill="FFFFFF"/>
        </w:rPr>
        <w:t>a propiedad privada en su doble dimensión de inst</w:t>
      </w:r>
      <w:r w:rsidRPr="00DE7CC4">
        <w:rPr>
          <w:rFonts w:ascii="Times New Roman" w:hAnsi="Times New Roman" w:cs="Times New Roman"/>
          <w:color w:val="000000" w:themeColor="text1"/>
          <w:sz w:val="28"/>
          <w:shd w:val="clear" w:color="auto" w:fill="FFFFFF"/>
        </w:rPr>
        <w:t>itución propia de nuestro ordenamiento constitucional y como derecho individual objeto de amparo”</w:t>
      </w:r>
      <w:r w:rsidRPr="00DE7CC4">
        <w:rPr>
          <w:rStyle w:val="Refdenotaalpie"/>
          <w:rFonts w:ascii="Times New Roman" w:hAnsi="Times New Roman"/>
          <w:color w:val="000000" w:themeColor="text1"/>
          <w:sz w:val="28"/>
          <w:shd w:val="clear" w:color="auto" w:fill="FFFFFF"/>
        </w:rPr>
        <w:footnoteReference w:id="132"/>
      </w:r>
      <w:r w:rsidRPr="00DE7CC4">
        <w:rPr>
          <w:rFonts w:ascii="Times New Roman" w:hAnsi="Times New Roman" w:cs="Times New Roman"/>
          <w:color w:val="000000" w:themeColor="text1"/>
          <w:sz w:val="28"/>
          <w:shd w:val="clear" w:color="auto" w:fill="FFFFFF"/>
        </w:rPr>
        <w:t>.</w:t>
      </w:r>
    </w:p>
    <w:p w:rsidR="00F32ED8" w:rsidRPr="00DE7CC4" w:rsidRDefault="00DE7CC4" w:rsidP="00F32ED8">
      <w:pPr>
        <w:pStyle w:val="Prrafodelista"/>
        <w:tabs>
          <w:tab w:val="left" w:pos="284"/>
        </w:tabs>
        <w:ind w:left="0" w:right="49"/>
        <w:jc w:val="both"/>
        <w:rPr>
          <w:rFonts w:ascii="Times New Roman" w:hAnsi="Times New Roman" w:cs="Times New Roman"/>
          <w:color w:val="000000" w:themeColor="text1"/>
          <w:sz w:val="28"/>
        </w:rPr>
      </w:pPr>
    </w:p>
    <w:p w:rsidR="00F32ED8" w:rsidRPr="00DE7CC4" w:rsidRDefault="00DE7CC4" w:rsidP="00F32ED8">
      <w:pPr>
        <w:pStyle w:val="Prrafodelista"/>
        <w:tabs>
          <w:tab w:val="left" w:pos="284"/>
        </w:tabs>
        <w:ind w:left="0" w:right="49"/>
        <w:jc w:val="both"/>
        <w:rPr>
          <w:rFonts w:ascii="Times New Roman" w:hAnsi="Times New Roman" w:cs="Times New Roman"/>
          <w:color w:val="000000" w:themeColor="text1"/>
          <w:sz w:val="28"/>
          <w:lang w:val="es-ES"/>
        </w:rPr>
      </w:pPr>
      <w:r w:rsidRPr="00DE7CC4">
        <w:rPr>
          <w:rFonts w:ascii="Times New Roman" w:hAnsi="Times New Roman" w:cs="Times New Roman"/>
          <w:color w:val="000000" w:themeColor="text1"/>
          <w:sz w:val="28"/>
        </w:rPr>
        <w:t xml:space="preserve">109. El reconocimiento constitucional del derecho a la propiedad privada </w:t>
      </w:r>
      <w:r w:rsidRPr="00DE7CC4">
        <w:rPr>
          <w:rFonts w:ascii="Times New Roman" w:hAnsi="Times New Roman" w:cs="Times New Roman"/>
          <w:color w:val="000000" w:themeColor="text1"/>
          <w:sz w:val="28"/>
          <w:lang w:val="es-ES"/>
        </w:rPr>
        <w:t>se complementa con la fijación de un conjunto de reglas y principios que delimitan</w:t>
      </w:r>
      <w:r w:rsidRPr="00DE7CC4">
        <w:rPr>
          <w:rFonts w:ascii="Times New Roman" w:hAnsi="Times New Roman" w:cs="Times New Roman"/>
          <w:color w:val="000000" w:themeColor="text1"/>
          <w:sz w:val="28"/>
          <w:lang w:val="es-ES"/>
        </w:rPr>
        <w:t xml:space="preserve"> su alcance. Se trata de un régimen que evidencia su doble dimensión, individual y comunitaria</w:t>
      </w:r>
      <w:r w:rsidRPr="00DE7CC4">
        <w:rPr>
          <w:rStyle w:val="Refdenotaalpie"/>
          <w:rFonts w:ascii="Times New Roman" w:hAnsi="Times New Roman"/>
          <w:color w:val="000000" w:themeColor="text1"/>
          <w:sz w:val="28"/>
          <w:lang w:val="es-ES"/>
        </w:rPr>
        <w:footnoteReference w:id="133"/>
      </w:r>
      <w:r w:rsidRPr="00DE7CC4">
        <w:rPr>
          <w:rFonts w:ascii="Times New Roman" w:hAnsi="Times New Roman" w:cs="Times New Roman"/>
          <w:color w:val="000000" w:themeColor="text1"/>
          <w:sz w:val="28"/>
          <w:lang w:val="es-ES"/>
        </w:rPr>
        <w:t xml:space="preserve">. En esa dirección el artículo 58 de la Carta establece (i) que </w:t>
      </w:r>
      <w:r w:rsidRPr="00DE7CC4">
        <w:rPr>
          <w:rFonts w:ascii="Times New Roman" w:hAnsi="Times New Roman" w:cs="Times New Roman"/>
          <w:color w:val="000000" w:themeColor="text1"/>
          <w:sz w:val="28"/>
        </w:rPr>
        <w:t>“cuando de la aplicación de una ley expedida por motivos de utilidad pública o interés social, re</w:t>
      </w:r>
      <w:r w:rsidRPr="00DE7CC4">
        <w:rPr>
          <w:rFonts w:ascii="Times New Roman" w:hAnsi="Times New Roman" w:cs="Times New Roman"/>
          <w:color w:val="000000" w:themeColor="text1"/>
          <w:sz w:val="28"/>
        </w:rPr>
        <w:t xml:space="preserve">sultaren en conflicto los derechos de los particulares con la necesidad por ella reconocida, el interés privado deberá ceder al interés público o social”. Dispone además (ii) que </w:t>
      </w:r>
      <w:r w:rsidRPr="00DE7CC4">
        <w:rPr>
          <w:rFonts w:ascii="Times New Roman" w:hAnsi="Times New Roman" w:cs="Times New Roman"/>
          <w:color w:val="000000" w:themeColor="text1"/>
          <w:sz w:val="28"/>
        </w:rPr>
        <w:t xml:space="preserve">el ejercicio de </w:t>
      </w:r>
      <w:r w:rsidRPr="00DE7CC4">
        <w:rPr>
          <w:rFonts w:ascii="Times New Roman" w:hAnsi="Times New Roman" w:cs="Times New Roman"/>
          <w:color w:val="000000" w:themeColor="text1"/>
          <w:sz w:val="28"/>
        </w:rPr>
        <w:t>“[l]</w:t>
      </w:r>
      <w:r w:rsidRPr="00DE7CC4">
        <w:rPr>
          <w:rFonts w:ascii="Times New Roman" w:hAnsi="Times New Roman" w:cs="Times New Roman"/>
          <w:color w:val="000000" w:themeColor="text1"/>
          <w:sz w:val="28"/>
        </w:rPr>
        <w:t>a propiedad es una función social que implica obligacione</w:t>
      </w:r>
      <w:r w:rsidRPr="00DE7CC4">
        <w:rPr>
          <w:rFonts w:ascii="Times New Roman" w:hAnsi="Times New Roman" w:cs="Times New Roman"/>
          <w:color w:val="000000" w:themeColor="text1"/>
          <w:sz w:val="28"/>
        </w:rPr>
        <w:t>s</w:t>
      </w:r>
      <w:r w:rsidRPr="00DE7CC4">
        <w:rPr>
          <w:rFonts w:ascii="Times New Roman" w:hAnsi="Times New Roman" w:cs="Times New Roman"/>
          <w:color w:val="000000" w:themeColor="text1"/>
          <w:sz w:val="28"/>
        </w:rPr>
        <w:t>” y</w:t>
      </w:r>
      <w:r w:rsidRPr="00DE7CC4">
        <w:rPr>
          <w:rFonts w:ascii="Times New Roman" w:hAnsi="Times New Roman" w:cs="Times New Roman"/>
          <w:color w:val="000000" w:themeColor="text1"/>
          <w:sz w:val="28"/>
        </w:rPr>
        <w:t xml:space="preserve"> </w:t>
      </w:r>
      <w:r w:rsidRPr="00DE7CC4">
        <w:rPr>
          <w:rFonts w:ascii="Times New Roman" w:hAnsi="Times New Roman" w:cs="Times New Roman"/>
          <w:color w:val="000000" w:themeColor="text1"/>
          <w:sz w:val="28"/>
        </w:rPr>
        <w:t>“[c]</w:t>
      </w:r>
      <w:r w:rsidRPr="00DE7CC4">
        <w:rPr>
          <w:rFonts w:ascii="Times New Roman" w:hAnsi="Times New Roman" w:cs="Times New Roman"/>
          <w:color w:val="000000" w:themeColor="text1"/>
          <w:sz w:val="28"/>
        </w:rPr>
        <w:t>omo tal, le es inherente una función ecológica</w:t>
      </w:r>
      <w:r w:rsidRPr="00DE7CC4">
        <w:rPr>
          <w:rFonts w:ascii="Times New Roman" w:hAnsi="Times New Roman" w:cs="Times New Roman"/>
          <w:color w:val="000000" w:themeColor="text1"/>
          <w:sz w:val="28"/>
        </w:rPr>
        <w:t>”. Finalmente (iii) prevé que “[</w:t>
      </w:r>
      <w:r w:rsidRPr="00DE7CC4">
        <w:rPr>
          <w:rFonts w:ascii="Times New Roman" w:hAnsi="Times New Roman" w:cs="Times New Roman"/>
          <w:color w:val="000000" w:themeColor="text1"/>
          <w:sz w:val="28"/>
        </w:rPr>
        <w:t>p]or motivos de utilidad pública o de interés social definidos por el legislador, podrá haber expropiación mediante sentencia judicial e indemnización previa”</w:t>
      </w:r>
      <w:r w:rsidRPr="00DE7CC4">
        <w:rPr>
          <w:rStyle w:val="Refdenotaalpie"/>
          <w:rFonts w:ascii="Times New Roman" w:hAnsi="Times New Roman"/>
          <w:color w:val="000000" w:themeColor="text1"/>
          <w:sz w:val="28"/>
        </w:rPr>
        <w:footnoteReference w:id="134"/>
      </w:r>
      <w:r w:rsidRPr="00DE7CC4">
        <w:rPr>
          <w:rFonts w:ascii="Times New Roman" w:hAnsi="Times New Roman" w:cs="Times New Roman"/>
          <w:color w:val="000000" w:themeColor="text1"/>
          <w:sz w:val="28"/>
        </w:rPr>
        <w:t>.</w:t>
      </w:r>
    </w:p>
    <w:p w:rsidR="00F32ED8" w:rsidRPr="00DE7CC4" w:rsidRDefault="00DE7CC4" w:rsidP="00F32ED8">
      <w:pPr>
        <w:pStyle w:val="Prrafodelista"/>
        <w:ind w:right="49"/>
        <w:jc w:val="both"/>
        <w:rPr>
          <w:rFonts w:ascii="Times New Roman" w:hAnsi="Times New Roman" w:cs="Times New Roman"/>
          <w:color w:val="000000" w:themeColor="text1"/>
          <w:sz w:val="28"/>
          <w:lang w:val="es-ES"/>
        </w:rPr>
      </w:pPr>
    </w:p>
    <w:p w:rsidR="00F32ED8" w:rsidRPr="00DE7CC4" w:rsidRDefault="00DE7CC4" w:rsidP="00F32ED8">
      <w:pPr>
        <w:pStyle w:val="Prrafodelista"/>
        <w:tabs>
          <w:tab w:val="left" w:pos="284"/>
        </w:tabs>
        <w:ind w:left="0" w:right="49"/>
        <w:jc w:val="both"/>
        <w:rPr>
          <w:rFonts w:ascii="Times New Roman" w:hAnsi="Times New Roman" w:cs="Times New Roman"/>
          <w:color w:val="000000" w:themeColor="text1"/>
          <w:sz w:val="28"/>
          <w:lang w:val="es-ES"/>
        </w:rPr>
      </w:pPr>
      <w:r w:rsidRPr="00DE7CC4">
        <w:rPr>
          <w:rFonts w:ascii="Times New Roman" w:hAnsi="Times New Roman" w:cs="Times New Roman"/>
          <w:color w:val="000000" w:themeColor="text1"/>
          <w:sz w:val="28"/>
          <w:lang w:val="es-ES"/>
        </w:rPr>
        <w:t>110. La</w:t>
      </w:r>
      <w:r w:rsidRPr="00DE7CC4">
        <w:rPr>
          <w:rFonts w:ascii="Times New Roman" w:hAnsi="Times New Roman" w:cs="Times New Roman"/>
          <w:color w:val="000000" w:themeColor="text1"/>
          <w:sz w:val="28"/>
          <w:lang w:val="es-ES"/>
        </w:rPr>
        <w:t xml:space="preserve"> jurisprudencia de esta Corte ha destacado que el mencionado artículo 58 “</w:t>
      </w:r>
      <w:r w:rsidRPr="00DE7CC4">
        <w:rPr>
          <w:rFonts w:ascii="Times New Roman" w:hAnsi="Times New Roman" w:cs="Times New Roman"/>
          <w:color w:val="000000" w:themeColor="text1"/>
          <w:sz w:val="28"/>
          <w:shd w:val="clear" w:color="auto" w:fill="FFFFFF"/>
        </w:rPr>
        <w:t>consagra el derecho subjetivo a la propiedad privada y garantiza la protección de la misma”</w:t>
      </w:r>
      <w:r w:rsidRPr="00DE7CC4">
        <w:rPr>
          <w:rStyle w:val="Refdenotaalpie"/>
          <w:rFonts w:ascii="Times New Roman" w:hAnsi="Times New Roman"/>
          <w:color w:val="000000" w:themeColor="text1"/>
          <w:sz w:val="28"/>
          <w:shd w:val="clear" w:color="auto" w:fill="FFFFFF"/>
        </w:rPr>
        <w:footnoteReference w:id="135"/>
      </w:r>
      <w:r w:rsidRPr="00DE7CC4">
        <w:rPr>
          <w:rFonts w:ascii="Times New Roman" w:hAnsi="Times New Roman" w:cs="Times New Roman"/>
          <w:color w:val="000000" w:themeColor="text1"/>
          <w:sz w:val="28"/>
          <w:shd w:val="clear" w:color="auto" w:fill="FFFFFF"/>
        </w:rPr>
        <w:t>. Al precisar su alcance, se ha apoyado en la definición que establece el artículo 669 del</w:t>
      </w:r>
      <w:r w:rsidRPr="00DE7CC4">
        <w:rPr>
          <w:rFonts w:ascii="Times New Roman" w:hAnsi="Times New Roman" w:cs="Times New Roman"/>
          <w:color w:val="000000" w:themeColor="text1"/>
          <w:sz w:val="28"/>
          <w:shd w:val="clear" w:color="auto" w:fill="FFFFFF"/>
        </w:rPr>
        <w:t xml:space="preserve"> Código Civil al catalogarlo como el “derecho real en una cosa corporal, para gozar y disponer de ella, no siendo contra ley o derecho ajeno”</w:t>
      </w:r>
      <w:r w:rsidRPr="00DE7CC4">
        <w:rPr>
          <w:rStyle w:val="Refdenotaalpie"/>
          <w:rFonts w:ascii="Times New Roman" w:hAnsi="Times New Roman"/>
          <w:color w:val="000000" w:themeColor="text1"/>
          <w:sz w:val="28"/>
          <w:shd w:val="clear" w:color="auto" w:fill="FFFFFF"/>
        </w:rPr>
        <w:footnoteReference w:id="136"/>
      </w:r>
      <w:r w:rsidRPr="00DE7CC4">
        <w:rPr>
          <w:rFonts w:ascii="Times New Roman" w:hAnsi="Times New Roman" w:cs="Times New Roman"/>
          <w:color w:val="000000" w:themeColor="text1"/>
          <w:sz w:val="28"/>
          <w:shd w:val="clear" w:color="auto" w:fill="FFFFFF"/>
        </w:rPr>
        <w:t>. De este modo, ha sostenido que “como expresión de la libertad económica del individuo, otorga a su titular la ca</w:t>
      </w:r>
      <w:r w:rsidRPr="00DE7CC4">
        <w:rPr>
          <w:rFonts w:ascii="Times New Roman" w:hAnsi="Times New Roman" w:cs="Times New Roman"/>
          <w:color w:val="000000" w:themeColor="text1"/>
          <w:sz w:val="28"/>
          <w:shd w:val="clear" w:color="auto" w:fill="FFFFFF"/>
        </w:rPr>
        <w:t>pacidad de goce, uso y disposición de bienes corporales o incorporales, pero debe someterse a las restricciones que establezca la Constitución y la ley”</w:t>
      </w:r>
      <w:r w:rsidRPr="00DE7CC4">
        <w:rPr>
          <w:rStyle w:val="Refdenotaalpie"/>
          <w:rFonts w:ascii="Times New Roman" w:hAnsi="Times New Roman"/>
          <w:color w:val="000000" w:themeColor="text1"/>
          <w:sz w:val="28"/>
          <w:shd w:val="clear" w:color="auto" w:fill="FFFFFF"/>
        </w:rPr>
        <w:footnoteReference w:id="137"/>
      </w:r>
      <w:r w:rsidRPr="00DE7CC4">
        <w:rPr>
          <w:rFonts w:ascii="Times New Roman" w:hAnsi="Times New Roman" w:cs="Times New Roman"/>
          <w:color w:val="000000" w:themeColor="text1"/>
          <w:sz w:val="28"/>
          <w:shd w:val="clear" w:color="auto" w:fill="FFFFFF"/>
        </w:rPr>
        <w:t xml:space="preserve">. En esa dirección, para la Sala Plena </w:t>
      </w:r>
      <w:r w:rsidRPr="00DE7CC4">
        <w:rPr>
          <w:rFonts w:ascii="Times New Roman" w:hAnsi="Times New Roman" w:cs="Times New Roman"/>
          <w:color w:val="000000" w:themeColor="text1"/>
          <w:sz w:val="28"/>
          <w:lang w:val="es-ES"/>
        </w:rPr>
        <w:t>“[</w:t>
      </w:r>
      <w:r w:rsidRPr="00DE7CC4">
        <w:rPr>
          <w:rFonts w:ascii="Times New Roman" w:hAnsi="Times New Roman" w:cs="Times New Roman"/>
          <w:color w:val="000000" w:themeColor="text1"/>
          <w:sz w:val="28"/>
        </w:rPr>
        <w:t>e]l derecho de propiedad privada es el prototipo de los derech</w:t>
      </w:r>
      <w:r w:rsidRPr="00DE7CC4">
        <w:rPr>
          <w:rFonts w:ascii="Times New Roman" w:hAnsi="Times New Roman" w:cs="Times New Roman"/>
          <w:color w:val="000000" w:themeColor="text1"/>
          <w:sz w:val="28"/>
        </w:rPr>
        <w:t>os patrimoniales y, junto con la libertad de contratación, constituye la expresión más notable de la libertad económica del individuo en el Estado liberal o democrático, que permite a aquel obtener los bienes y servicios para la satisfacción de sus necesid</w:t>
      </w:r>
      <w:r w:rsidRPr="00DE7CC4">
        <w:rPr>
          <w:rFonts w:ascii="Times New Roman" w:hAnsi="Times New Roman" w:cs="Times New Roman"/>
          <w:color w:val="000000" w:themeColor="text1"/>
          <w:sz w:val="28"/>
        </w:rPr>
        <w:t>ades”</w:t>
      </w:r>
      <w:r w:rsidRPr="00DE7CC4">
        <w:rPr>
          <w:rStyle w:val="Refdenotaalpie"/>
          <w:rFonts w:ascii="Times New Roman" w:hAnsi="Times New Roman"/>
          <w:color w:val="000000" w:themeColor="text1"/>
          <w:sz w:val="28"/>
        </w:rPr>
        <w:footnoteReference w:id="138"/>
      </w:r>
      <w:r w:rsidRPr="00DE7CC4">
        <w:rPr>
          <w:rFonts w:ascii="Times New Roman" w:hAnsi="Times New Roman" w:cs="Times New Roman"/>
          <w:color w:val="000000" w:themeColor="text1"/>
          <w:sz w:val="28"/>
        </w:rPr>
        <w:t>.</w:t>
      </w:r>
    </w:p>
    <w:p w:rsidR="00F32ED8" w:rsidRPr="00DE7CC4" w:rsidRDefault="00DE7CC4" w:rsidP="00F32ED8">
      <w:pPr>
        <w:shd w:val="clear" w:color="auto" w:fill="FFFFFF"/>
        <w:ind w:right="49"/>
        <w:jc w:val="both"/>
        <w:rPr>
          <w:rFonts w:ascii="Times New Roman" w:hAnsi="Times New Roman" w:cs="Times New Roman"/>
          <w:color w:val="000000" w:themeColor="text1"/>
          <w:sz w:val="28"/>
        </w:rPr>
      </w:pPr>
      <w:r w:rsidRPr="00DE7CC4">
        <w:rPr>
          <w:rFonts w:ascii="Times New Roman" w:hAnsi="Times New Roman" w:cs="Times New Roman"/>
          <w:color w:val="000000" w:themeColor="text1"/>
          <w:sz w:val="28"/>
        </w:rPr>
        <w:t> </w:t>
      </w:r>
    </w:p>
    <w:p w:rsidR="00F32ED8" w:rsidRPr="00DE7CC4" w:rsidRDefault="00DE7CC4" w:rsidP="00F32ED8">
      <w:pPr>
        <w:pStyle w:val="Prrafodelista"/>
        <w:tabs>
          <w:tab w:val="left" w:pos="284"/>
        </w:tabs>
        <w:ind w:left="0" w:right="49"/>
        <w:jc w:val="both"/>
        <w:rPr>
          <w:rFonts w:ascii="Times New Roman" w:hAnsi="Times New Roman" w:cs="Times New Roman"/>
          <w:color w:val="000000" w:themeColor="text1"/>
          <w:sz w:val="28"/>
          <w:lang w:val="es-ES"/>
        </w:rPr>
      </w:pPr>
      <w:r w:rsidRPr="00DE7CC4">
        <w:rPr>
          <w:rFonts w:ascii="Times New Roman" w:hAnsi="Times New Roman" w:cs="Times New Roman"/>
          <w:color w:val="000000" w:themeColor="text1"/>
          <w:sz w:val="28"/>
          <w:shd w:val="clear" w:color="auto" w:fill="FFFFFF"/>
        </w:rPr>
        <w:t>111. Refiriendo específicamente los poderes o facultades que lo integran, la jurisprudencia ha indicado que “se resumen en los actos materiales y jurídicos que permiten a su titular el aprovechamiento de su derecho, en concreto, a través de los b</w:t>
      </w:r>
      <w:r w:rsidRPr="00DE7CC4">
        <w:rPr>
          <w:rFonts w:ascii="Times New Roman" w:hAnsi="Times New Roman" w:cs="Times New Roman"/>
          <w:color w:val="000000" w:themeColor="text1"/>
          <w:sz w:val="28"/>
          <w:shd w:val="clear" w:color="auto" w:fill="FFFFFF"/>
        </w:rPr>
        <w:t>eneficios del uso, el fruto y la disposición”</w:t>
      </w:r>
      <w:r w:rsidRPr="00DE7CC4">
        <w:rPr>
          <w:rStyle w:val="Refdenotaalpie"/>
          <w:rFonts w:ascii="Times New Roman" w:hAnsi="Times New Roman"/>
          <w:color w:val="000000" w:themeColor="text1"/>
          <w:sz w:val="28"/>
          <w:shd w:val="clear" w:color="auto" w:fill="FFFFFF"/>
        </w:rPr>
        <w:footnoteReference w:id="139"/>
      </w:r>
      <w:r w:rsidRPr="00DE7CC4">
        <w:rPr>
          <w:rFonts w:ascii="Times New Roman" w:hAnsi="Times New Roman" w:cs="Times New Roman"/>
          <w:color w:val="000000" w:themeColor="text1"/>
          <w:sz w:val="28"/>
          <w:shd w:val="clear" w:color="auto" w:fill="FFFFFF"/>
        </w:rPr>
        <w:t xml:space="preserve">. De esta forma el </w:t>
      </w:r>
      <w:r w:rsidRPr="00DE7CC4">
        <w:rPr>
          <w:rFonts w:ascii="Times New Roman" w:hAnsi="Times New Roman" w:cs="Times New Roman"/>
          <w:b/>
          <w:color w:val="000000" w:themeColor="text1"/>
          <w:sz w:val="28"/>
          <w:shd w:val="clear" w:color="auto" w:fill="FFFFFF"/>
        </w:rPr>
        <w:t>derecho a usar</w:t>
      </w:r>
      <w:r w:rsidRPr="00DE7CC4">
        <w:rPr>
          <w:rFonts w:ascii="Times New Roman" w:hAnsi="Times New Roman" w:cs="Times New Roman"/>
          <w:color w:val="000000" w:themeColor="text1"/>
          <w:sz w:val="28"/>
          <w:shd w:val="clear" w:color="auto" w:fill="FFFFFF"/>
        </w:rPr>
        <w:t xml:space="preserve"> implica “la facultad que le asiste al propietario de servirse de la cosa y de aprovecharse de los servicios que pueda rendir”</w:t>
      </w:r>
      <w:r w:rsidRPr="00DE7CC4">
        <w:rPr>
          <w:rStyle w:val="Refdenotaalpie"/>
          <w:rFonts w:ascii="Times New Roman" w:hAnsi="Times New Roman"/>
          <w:color w:val="000000" w:themeColor="text1"/>
          <w:sz w:val="28"/>
          <w:shd w:val="clear" w:color="auto" w:fill="FFFFFF"/>
        </w:rPr>
        <w:footnoteReference w:id="140"/>
      </w:r>
      <w:r w:rsidRPr="00DE7CC4">
        <w:rPr>
          <w:rFonts w:ascii="Times New Roman" w:hAnsi="Times New Roman" w:cs="Times New Roman"/>
          <w:color w:val="000000" w:themeColor="text1"/>
          <w:sz w:val="28"/>
          <w:shd w:val="clear" w:color="auto" w:fill="FFFFFF"/>
        </w:rPr>
        <w:t xml:space="preserve">; el </w:t>
      </w:r>
      <w:r w:rsidRPr="00DE7CC4">
        <w:rPr>
          <w:rFonts w:ascii="Times New Roman" w:hAnsi="Times New Roman" w:cs="Times New Roman"/>
          <w:b/>
          <w:color w:val="000000" w:themeColor="text1"/>
          <w:sz w:val="28"/>
          <w:shd w:val="clear" w:color="auto" w:fill="FFFFFF"/>
        </w:rPr>
        <w:t>derecho a usufructuar</w:t>
      </w:r>
      <w:r w:rsidRPr="00DE7CC4">
        <w:rPr>
          <w:rFonts w:ascii="Times New Roman" w:hAnsi="Times New Roman" w:cs="Times New Roman"/>
          <w:color w:val="000000" w:themeColor="text1"/>
          <w:sz w:val="28"/>
          <w:shd w:val="clear" w:color="auto" w:fill="FFFFFF"/>
        </w:rPr>
        <w:t xml:space="preserve"> “se manifiesta en la posibilidad del dueño de recoger todos los productos que acceden o se derivan de su explotación”</w:t>
      </w:r>
      <w:r w:rsidRPr="00DE7CC4">
        <w:rPr>
          <w:rStyle w:val="Refdenotaalpie"/>
          <w:rFonts w:ascii="Times New Roman" w:hAnsi="Times New Roman"/>
          <w:color w:val="000000" w:themeColor="text1"/>
          <w:sz w:val="28"/>
          <w:shd w:val="clear" w:color="auto" w:fill="FFFFFF"/>
        </w:rPr>
        <w:footnoteReference w:id="141"/>
      </w:r>
      <w:r w:rsidRPr="00DE7CC4">
        <w:rPr>
          <w:rFonts w:ascii="Times New Roman" w:hAnsi="Times New Roman" w:cs="Times New Roman"/>
          <w:color w:val="000000" w:themeColor="text1"/>
          <w:sz w:val="28"/>
          <w:shd w:val="clear" w:color="auto" w:fill="FFFFFF"/>
        </w:rPr>
        <w:t xml:space="preserve">; y el </w:t>
      </w:r>
      <w:r w:rsidRPr="00DE7CC4">
        <w:rPr>
          <w:rFonts w:ascii="Times New Roman" w:hAnsi="Times New Roman" w:cs="Times New Roman"/>
          <w:b/>
          <w:color w:val="000000" w:themeColor="text1"/>
          <w:sz w:val="28"/>
          <w:shd w:val="clear" w:color="auto" w:fill="FFFFFF"/>
        </w:rPr>
        <w:t>derecho a disponer</w:t>
      </w:r>
      <w:r w:rsidRPr="00DE7CC4">
        <w:rPr>
          <w:rFonts w:ascii="Times New Roman" w:hAnsi="Times New Roman" w:cs="Times New Roman"/>
          <w:color w:val="000000" w:themeColor="text1"/>
          <w:sz w:val="28"/>
          <w:shd w:val="clear" w:color="auto" w:fill="FFFFFF"/>
        </w:rPr>
        <w:t xml:space="preserve"> “consiste en el reconocimiento de todas aquellas facultades jurídicas que se pueden realizar por el propietario</w:t>
      </w:r>
      <w:r w:rsidRPr="00DE7CC4">
        <w:rPr>
          <w:rFonts w:ascii="Times New Roman" w:hAnsi="Times New Roman" w:cs="Times New Roman"/>
          <w:color w:val="000000" w:themeColor="text1"/>
          <w:sz w:val="28"/>
          <w:shd w:val="clear" w:color="auto" w:fill="FFFFFF"/>
        </w:rPr>
        <w:t xml:space="preserve"> y que se traducen en actos de disposición o enajenación sobre la titularidad del bien”</w:t>
      </w:r>
      <w:r w:rsidRPr="00DE7CC4">
        <w:rPr>
          <w:rStyle w:val="Refdenotaalpie"/>
          <w:rFonts w:ascii="Times New Roman" w:hAnsi="Times New Roman"/>
          <w:color w:val="000000" w:themeColor="text1"/>
          <w:sz w:val="28"/>
          <w:shd w:val="clear" w:color="auto" w:fill="FFFFFF"/>
        </w:rPr>
        <w:footnoteReference w:id="142"/>
      </w:r>
      <w:r w:rsidRPr="00DE7CC4">
        <w:rPr>
          <w:rFonts w:ascii="Times New Roman" w:hAnsi="Times New Roman" w:cs="Times New Roman"/>
          <w:color w:val="000000" w:themeColor="text1"/>
          <w:sz w:val="28"/>
          <w:shd w:val="clear" w:color="auto" w:fill="FFFFFF"/>
        </w:rPr>
        <w:t xml:space="preserve">. </w:t>
      </w:r>
    </w:p>
    <w:p w:rsidR="00F32ED8" w:rsidRPr="00DE7CC4" w:rsidRDefault="00DE7CC4" w:rsidP="00F32ED8">
      <w:pPr>
        <w:pStyle w:val="Prrafodelista"/>
        <w:ind w:right="49"/>
        <w:jc w:val="both"/>
        <w:rPr>
          <w:rFonts w:ascii="Times New Roman" w:hAnsi="Times New Roman" w:cs="Times New Roman"/>
          <w:color w:val="000000" w:themeColor="text1"/>
          <w:sz w:val="28"/>
          <w:lang w:val="es-ES"/>
        </w:rPr>
      </w:pPr>
    </w:p>
    <w:p w:rsidR="00F32ED8" w:rsidRPr="00DE7CC4" w:rsidRDefault="00DE7CC4" w:rsidP="00F32ED8">
      <w:pPr>
        <w:pStyle w:val="Prrafodelista"/>
        <w:tabs>
          <w:tab w:val="left" w:pos="284"/>
        </w:tabs>
        <w:ind w:left="0" w:right="49"/>
        <w:jc w:val="both"/>
        <w:rPr>
          <w:rFonts w:ascii="Times New Roman" w:hAnsi="Times New Roman" w:cs="Times New Roman"/>
          <w:color w:val="000000" w:themeColor="text1"/>
          <w:sz w:val="28"/>
          <w:lang w:val="es-ES"/>
        </w:rPr>
      </w:pPr>
      <w:r w:rsidRPr="00DE7CC4">
        <w:rPr>
          <w:rFonts w:ascii="Times New Roman" w:hAnsi="Times New Roman" w:cs="Times New Roman"/>
          <w:color w:val="000000" w:themeColor="text1"/>
          <w:sz w:val="28"/>
          <w:shd w:val="clear" w:color="auto" w:fill="FFFFFF"/>
        </w:rPr>
        <w:t>112. Ha indicado, a su vez, un grupo de rasgos que caracterizan este bien: “(i) [e]s un derecho pleno porque le confiere a su titular un conjunto amplio de atribuci</w:t>
      </w:r>
      <w:r w:rsidRPr="00DE7CC4">
        <w:rPr>
          <w:rFonts w:ascii="Times New Roman" w:hAnsi="Times New Roman" w:cs="Times New Roman"/>
          <w:color w:val="000000" w:themeColor="text1"/>
          <w:sz w:val="28"/>
          <w:shd w:val="clear" w:color="auto" w:fill="FFFFFF"/>
        </w:rPr>
        <w:t>ones que puede ejercer autónomamente dentro de los límites impuestos por el ordenamiento jurídico y los derechos ajenos; (ii) Es un derecho exclusivo en la medida en que, por regla general, el propietario puede oponerse a la intromisión de un tercero en su</w:t>
      </w:r>
      <w:r w:rsidRPr="00DE7CC4">
        <w:rPr>
          <w:rFonts w:ascii="Times New Roman" w:hAnsi="Times New Roman" w:cs="Times New Roman"/>
          <w:color w:val="000000" w:themeColor="text1"/>
          <w:sz w:val="28"/>
          <w:shd w:val="clear" w:color="auto" w:fill="FFFFFF"/>
        </w:rPr>
        <w:t xml:space="preserve"> ejercicio; (iii) Es un derecho perpetuo en cuanto dura mientras persista el bien sobre el cual se incorpora el dominio, y además, no se extingue -en principio- por su falta de uso; (iv) Es un derecho autónomo al no depender su existencia de la continuidad</w:t>
      </w:r>
      <w:r w:rsidRPr="00DE7CC4">
        <w:rPr>
          <w:rFonts w:ascii="Times New Roman" w:hAnsi="Times New Roman" w:cs="Times New Roman"/>
          <w:color w:val="000000" w:themeColor="text1"/>
          <w:sz w:val="28"/>
          <w:shd w:val="clear" w:color="auto" w:fill="FFFFFF"/>
        </w:rPr>
        <w:t xml:space="preserve"> de un derecho principal; (v) Es un derecho irrevocable, en el sentido de reconocer que su extinción o transmisión depende por lo general de la propia voluntad de su propietario y no de la realización de una causa extraña o del solo querer de un tercero, y</w:t>
      </w:r>
      <w:r w:rsidRPr="00DE7CC4">
        <w:rPr>
          <w:rFonts w:ascii="Times New Roman" w:hAnsi="Times New Roman" w:cs="Times New Roman"/>
          <w:color w:val="000000" w:themeColor="text1"/>
          <w:sz w:val="28"/>
          <w:shd w:val="clear" w:color="auto" w:fill="FFFFFF"/>
        </w:rPr>
        <w:t xml:space="preserve"> finalmente; (vi) Es un derecho real teniendo en cuenta que se trata de un poder jurídico que se otorga sobre una cosa, con el deber correlativo de ser respetado por todas las personas”</w:t>
      </w:r>
      <w:r w:rsidRPr="00DE7CC4">
        <w:rPr>
          <w:rStyle w:val="Refdenotaalpie"/>
          <w:rFonts w:ascii="Times New Roman" w:hAnsi="Times New Roman"/>
          <w:color w:val="000000" w:themeColor="text1"/>
          <w:sz w:val="28"/>
          <w:shd w:val="clear" w:color="auto" w:fill="FFFFFF"/>
        </w:rPr>
        <w:footnoteReference w:id="143"/>
      </w:r>
      <w:r w:rsidRPr="00DE7CC4">
        <w:rPr>
          <w:rFonts w:ascii="Times New Roman" w:hAnsi="Times New Roman" w:cs="Times New Roman"/>
          <w:color w:val="000000" w:themeColor="text1"/>
          <w:sz w:val="28"/>
          <w:shd w:val="clear" w:color="auto" w:fill="FFFFFF"/>
        </w:rPr>
        <w:t>.</w:t>
      </w:r>
    </w:p>
    <w:p w:rsidR="00F32ED8" w:rsidRPr="00DE7CC4" w:rsidRDefault="00DE7CC4" w:rsidP="00F32ED8">
      <w:pPr>
        <w:pStyle w:val="Prrafodelista"/>
        <w:tabs>
          <w:tab w:val="left" w:pos="284"/>
        </w:tabs>
        <w:ind w:left="0" w:right="49"/>
        <w:jc w:val="both"/>
        <w:rPr>
          <w:rFonts w:ascii="Times New Roman" w:hAnsi="Times New Roman" w:cs="Times New Roman"/>
          <w:color w:val="000000" w:themeColor="text1"/>
          <w:sz w:val="28"/>
          <w:lang w:val="es-ES"/>
        </w:rPr>
      </w:pPr>
    </w:p>
    <w:p w:rsidR="00F32ED8" w:rsidRPr="00DE7CC4" w:rsidRDefault="00DE7CC4" w:rsidP="00F32ED8">
      <w:pPr>
        <w:pStyle w:val="Prrafodelista"/>
        <w:tabs>
          <w:tab w:val="left" w:pos="284"/>
        </w:tabs>
        <w:ind w:left="0" w:right="49"/>
        <w:jc w:val="both"/>
        <w:rPr>
          <w:rFonts w:ascii="Times New Roman" w:hAnsi="Times New Roman" w:cs="Times New Roman"/>
          <w:color w:val="000000" w:themeColor="text1"/>
          <w:sz w:val="28"/>
          <w:lang w:val="es-ES"/>
        </w:rPr>
      </w:pPr>
      <w:r w:rsidRPr="00DE7CC4">
        <w:rPr>
          <w:rFonts w:ascii="Times New Roman" w:hAnsi="Times New Roman" w:cs="Times New Roman"/>
          <w:color w:val="000000" w:themeColor="text1"/>
          <w:sz w:val="28"/>
          <w:shd w:val="clear" w:color="auto" w:fill="FFFFFF"/>
        </w:rPr>
        <w:t>113. A pesar de que para precisar el contenido del derecho de propi</w:t>
      </w:r>
      <w:r w:rsidRPr="00DE7CC4">
        <w:rPr>
          <w:rFonts w:ascii="Times New Roman" w:hAnsi="Times New Roman" w:cs="Times New Roman"/>
          <w:color w:val="000000" w:themeColor="text1"/>
          <w:sz w:val="28"/>
          <w:shd w:val="clear" w:color="auto" w:fill="FFFFFF"/>
        </w:rPr>
        <w:t>edad la jurisprudencia ha reconocido su vínculo con los “viejos atributos del derecho de dominio”</w:t>
      </w:r>
      <w:r w:rsidRPr="00DE7CC4">
        <w:rPr>
          <w:rStyle w:val="Refdenotaalpie"/>
          <w:rFonts w:ascii="Times New Roman" w:hAnsi="Times New Roman"/>
          <w:color w:val="000000" w:themeColor="text1"/>
          <w:sz w:val="28"/>
          <w:shd w:val="clear" w:color="auto" w:fill="FFFFFF"/>
        </w:rPr>
        <w:footnoteReference w:id="144"/>
      </w:r>
      <w:r w:rsidRPr="00DE7CC4">
        <w:rPr>
          <w:rFonts w:ascii="Times New Roman" w:hAnsi="Times New Roman" w:cs="Times New Roman"/>
          <w:color w:val="000000" w:themeColor="text1"/>
          <w:sz w:val="28"/>
          <w:shd w:val="clear" w:color="auto" w:fill="FFFFFF"/>
        </w:rPr>
        <w:t xml:space="preserve"> -relativos al uso, goce y disposición- también ha indicado que “en virtud de la fórmula del Estado Social de Derecho, esa garantía perdió su carácter de inta</w:t>
      </w:r>
      <w:r w:rsidRPr="00DE7CC4">
        <w:rPr>
          <w:rFonts w:ascii="Times New Roman" w:hAnsi="Times New Roman" w:cs="Times New Roman"/>
          <w:color w:val="000000" w:themeColor="text1"/>
          <w:sz w:val="28"/>
          <w:shd w:val="clear" w:color="auto" w:fill="FFFFFF"/>
        </w:rPr>
        <w:t>ngible, de modo que la Carta Política restringió los poderes del propietario y los armonizó con los intereses de la comunidad y el principio de solidaridad”</w:t>
      </w:r>
      <w:r w:rsidRPr="00DE7CC4">
        <w:rPr>
          <w:rStyle w:val="Refdenotaalpie"/>
          <w:rFonts w:ascii="Times New Roman" w:hAnsi="Times New Roman"/>
          <w:color w:val="000000" w:themeColor="text1"/>
          <w:sz w:val="28"/>
          <w:shd w:val="clear" w:color="auto" w:fill="FFFFFF"/>
        </w:rPr>
        <w:footnoteReference w:id="145"/>
      </w:r>
      <w:r w:rsidRPr="00DE7CC4">
        <w:rPr>
          <w:rFonts w:ascii="Times New Roman" w:hAnsi="Times New Roman" w:cs="Times New Roman"/>
          <w:color w:val="000000" w:themeColor="text1"/>
          <w:sz w:val="28"/>
          <w:shd w:val="clear" w:color="auto" w:fill="FFFFFF"/>
        </w:rPr>
        <w:t xml:space="preserve">. Es por ello que </w:t>
      </w:r>
      <w:r w:rsidRPr="00DE7CC4">
        <w:rPr>
          <w:rFonts w:ascii="Times New Roman" w:hAnsi="Times New Roman" w:cs="Times New Roman"/>
          <w:color w:val="000000" w:themeColor="text1"/>
          <w:sz w:val="28"/>
        </w:rPr>
        <w:t>“el derecho contemporáneo ha fijado restricciones a los atributos de la propiedad</w:t>
      </w:r>
      <w:r w:rsidRPr="00DE7CC4">
        <w:rPr>
          <w:rFonts w:ascii="Times New Roman" w:hAnsi="Times New Roman" w:cs="Times New Roman"/>
          <w:color w:val="000000" w:themeColor="text1"/>
          <w:sz w:val="28"/>
        </w:rPr>
        <w:t>, limites que imponen deberes al ejercicio de ese derecho y se derivan de su función social</w:t>
      </w:r>
      <w:bookmarkStart w:id="13" w:name="_ftnref70"/>
      <w:r w:rsidRPr="00DE7CC4">
        <w:rPr>
          <w:rFonts w:ascii="Times New Roman" w:hAnsi="Times New Roman" w:cs="Times New Roman"/>
          <w:color w:val="000000" w:themeColor="text1"/>
          <w:sz w:val="28"/>
        </w:rPr>
        <w:t xml:space="preserve"> (…)”</w:t>
      </w:r>
      <w:bookmarkEnd w:id="13"/>
      <w:r w:rsidRPr="00DE7CC4">
        <w:rPr>
          <w:rStyle w:val="Refdenotaalpie"/>
          <w:rFonts w:ascii="Times New Roman" w:hAnsi="Times New Roman"/>
          <w:color w:val="000000" w:themeColor="text1"/>
          <w:sz w:val="28"/>
        </w:rPr>
        <w:footnoteReference w:id="146"/>
      </w:r>
      <w:r w:rsidRPr="00DE7CC4">
        <w:rPr>
          <w:rFonts w:ascii="Times New Roman" w:hAnsi="Times New Roman" w:cs="Times New Roman"/>
          <w:color w:val="000000" w:themeColor="text1"/>
          <w:sz w:val="28"/>
        </w:rPr>
        <w:t>. En esa dirección “[l]a protección del derecho de dominio ocurrirá, siempre y cuando se respeten sus inherentes funciones sociales y ecológicas, las cuales es</w:t>
      </w:r>
      <w:r w:rsidRPr="00DE7CC4">
        <w:rPr>
          <w:rFonts w:ascii="Times New Roman" w:hAnsi="Times New Roman" w:cs="Times New Roman"/>
          <w:color w:val="000000" w:themeColor="text1"/>
          <w:sz w:val="28"/>
        </w:rPr>
        <w:t>tán encaminadas a cumplir deberes constitucionales vinculados con la noción de Estado Social de Derecho, como son la protección al medio ambiente, la salvaguarda de los derechos ajenos, la promoción de la justicia y la equidad, y el interés general prevale</w:t>
      </w:r>
      <w:r w:rsidRPr="00DE7CC4">
        <w:rPr>
          <w:rFonts w:ascii="Times New Roman" w:hAnsi="Times New Roman" w:cs="Times New Roman"/>
          <w:color w:val="000000" w:themeColor="text1"/>
          <w:sz w:val="28"/>
        </w:rPr>
        <w:t>nte”</w:t>
      </w:r>
      <w:r w:rsidRPr="00DE7CC4">
        <w:rPr>
          <w:rStyle w:val="Refdenotaalpie"/>
          <w:rFonts w:ascii="Times New Roman" w:hAnsi="Times New Roman"/>
          <w:color w:val="000000" w:themeColor="text1"/>
          <w:sz w:val="28"/>
        </w:rPr>
        <w:footnoteReference w:id="147"/>
      </w:r>
      <w:r w:rsidRPr="00DE7CC4">
        <w:rPr>
          <w:rFonts w:ascii="Times New Roman" w:hAnsi="Times New Roman" w:cs="Times New Roman"/>
          <w:color w:val="000000" w:themeColor="text1"/>
          <w:sz w:val="28"/>
        </w:rPr>
        <w:t>. Tal circunstancia explica “que el ordenamiento jurídico adopte límites al derecho a la propiedad privada, restricciones que permiten la armonización entre los derechos del propietario y las necesidades de la colectividad”</w:t>
      </w:r>
      <w:r w:rsidRPr="00DE7CC4">
        <w:rPr>
          <w:rStyle w:val="Refdenotaalpie"/>
          <w:rFonts w:ascii="Times New Roman" w:hAnsi="Times New Roman"/>
          <w:color w:val="000000" w:themeColor="text1"/>
          <w:sz w:val="28"/>
        </w:rPr>
        <w:footnoteReference w:id="148"/>
      </w:r>
      <w:r w:rsidRPr="00DE7CC4">
        <w:rPr>
          <w:rFonts w:ascii="Times New Roman" w:hAnsi="Times New Roman" w:cs="Times New Roman"/>
          <w:color w:val="000000" w:themeColor="text1"/>
          <w:sz w:val="28"/>
        </w:rPr>
        <w:t>.</w:t>
      </w:r>
    </w:p>
    <w:p w:rsidR="00F32ED8" w:rsidRPr="00DE7CC4" w:rsidRDefault="00DE7CC4" w:rsidP="00F32ED8">
      <w:pPr>
        <w:pStyle w:val="Prrafodelista"/>
        <w:tabs>
          <w:tab w:val="left" w:pos="284"/>
        </w:tabs>
        <w:ind w:left="0" w:right="49"/>
        <w:jc w:val="both"/>
        <w:rPr>
          <w:rFonts w:ascii="Times New Roman" w:hAnsi="Times New Roman" w:cs="Times New Roman"/>
          <w:color w:val="000000" w:themeColor="text1"/>
          <w:sz w:val="28"/>
          <w:lang w:val="es-ES"/>
        </w:rPr>
      </w:pPr>
    </w:p>
    <w:p w:rsidR="00F32ED8" w:rsidRPr="00DE7CC4" w:rsidRDefault="00DE7CC4" w:rsidP="00F32ED8">
      <w:pPr>
        <w:pStyle w:val="Prrafodelista"/>
        <w:tabs>
          <w:tab w:val="left" w:pos="284"/>
        </w:tabs>
        <w:ind w:left="0" w:right="49"/>
        <w:jc w:val="both"/>
        <w:rPr>
          <w:rFonts w:ascii="Times New Roman" w:hAnsi="Times New Roman" w:cs="Times New Roman"/>
          <w:color w:val="000000" w:themeColor="text1"/>
          <w:sz w:val="28"/>
          <w:lang w:val="es-ES"/>
        </w:rPr>
      </w:pPr>
      <w:r w:rsidRPr="00DE7CC4">
        <w:rPr>
          <w:rFonts w:ascii="Times New Roman" w:hAnsi="Times New Roman" w:cs="Times New Roman"/>
          <w:color w:val="000000" w:themeColor="text1"/>
          <w:sz w:val="28"/>
          <w:lang w:val="es-ES"/>
        </w:rPr>
        <w:t>114. La imposición const</w:t>
      </w:r>
      <w:r w:rsidRPr="00DE7CC4">
        <w:rPr>
          <w:rFonts w:ascii="Times New Roman" w:hAnsi="Times New Roman" w:cs="Times New Roman"/>
          <w:color w:val="000000" w:themeColor="text1"/>
          <w:sz w:val="28"/>
          <w:lang w:val="es-ES"/>
        </w:rPr>
        <w:t>itucional de un deber de proteger los bienes de los residentes en Colombia (</w:t>
      </w:r>
      <w:r w:rsidRPr="00DE7CC4">
        <w:rPr>
          <w:rFonts w:ascii="Times New Roman" w:hAnsi="Times New Roman" w:cs="Times New Roman"/>
          <w:color w:val="000000" w:themeColor="text1"/>
          <w:sz w:val="28"/>
          <w:lang w:val="es-ES"/>
        </w:rPr>
        <w:t>a</w:t>
      </w:r>
      <w:r w:rsidRPr="00DE7CC4">
        <w:rPr>
          <w:rFonts w:ascii="Times New Roman" w:hAnsi="Times New Roman" w:cs="Times New Roman"/>
          <w:color w:val="000000" w:themeColor="text1"/>
          <w:sz w:val="28"/>
          <w:lang w:val="es-ES"/>
        </w:rPr>
        <w:t>rt. 2) y el reconocimiento del derecho a la propiedad (</w:t>
      </w:r>
      <w:r w:rsidRPr="00DE7CC4">
        <w:rPr>
          <w:rFonts w:ascii="Times New Roman" w:hAnsi="Times New Roman" w:cs="Times New Roman"/>
          <w:color w:val="000000" w:themeColor="text1"/>
          <w:sz w:val="28"/>
          <w:lang w:val="es-ES"/>
        </w:rPr>
        <w:t>a</w:t>
      </w:r>
      <w:r w:rsidRPr="00DE7CC4">
        <w:rPr>
          <w:rFonts w:ascii="Times New Roman" w:hAnsi="Times New Roman" w:cs="Times New Roman"/>
          <w:color w:val="000000" w:themeColor="text1"/>
          <w:sz w:val="28"/>
          <w:lang w:val="es-ES"/>
        </w:rPr>
        <w:t>rt. 58), explican la existencia de diversas relaciones jurídicas -traducibles en derechos subjetivos- que tienen por objeto</w:t>
      </w:r>
      <w:r w:rsidRPr="00DE7CC4">
        <w:rPr>
          <w:rFonts w:ascii="Times New Roman" w:hAnsi="Times New Roman" w:cs="Times New Roman"/>
          <w:color w:val="000000" w:themeColor="text1"/>
          <w:sz w:val="28"/>
          <w:lang w:val="es-ES"/>
        </w:rPr>
        <w:t xml:space="preserve"> garantizar las facultades o poderes de usar, gozar y disponer de los bienes, materiales o inmateriales, que se integran al patrimonio de las personas. De este modo </w:t>
      </w:r>
      <w:r w:rsidRPr="00DE7CC4">
        <w:rPr>
          <w:rFonts w:ascii="Times New Roman" w:hAnsi="Times New Roman" w:cs="Times New Roman"/>
          <w:color w:val="000000" w:themeColor="text1"/>
          <w:sz w:val="28"/>
          <w:shd w:val="clear" w:color="auto" w:fill="FFFFFF"/>
        </w:rPr>
        <w:t>“si bien los atributos del derecho a la propiedad privada pueden ser objeto de limitación o</w:t>
      </w:r>
      <w:r w:rsidRPr="00DE7CC4">
        <w:rPr>
          <w:rFonts w:ascii="Times New Roman" w:hAnsi="Times New Roman" w:cs="Times New Roman"/>
          <w:color w:val="000000" w:themeColor="text1"/>
          <w:sz w:val="28"/>
          <w:shd w:val="clear" w:color="auto" w:fill="FFFFFF"/>
        </w:rPr>
        <w:t xml:space="preserve"> restricción, en aras de cumplir con las funciones sociales y ecológicas que reconoce la Constitución Política, no por ello puede llegarse al extremo de lesionar su núcleo esencial que se manifiesta en el nivel mínimo de ejercicio de los atributos de goce </w:t>
      </w:r>
      <w:r w:rsidRPr="00DE7CC4">
        <w:rPr>
          <w:rFonts w:ascii="Times New Roman" w:hAnsi="Times New Roman" w:cs="Times New Roman"/>
          <w:color w:val="000000" w:themeColor="text1"/>
          <w:sz w:val="28"/>
          <w:shd w:val="clear" w:color="auto" w:fill="FFFFFF"/>
        </w:rPr>
        <w:t>y disposición, que produzcan utilidad económica en su titular”</w:t>
      </w:r>
      <w:r w:rsidRPr="00DE7CC4">
        <w:rPr>
          <w:rStyle w:val="Refdenotaalpie"/>
          <w:rFonts w:ascii="Times New Roman" w:hAnsi="Times New Roman"/>
          <w:color w:val="000000" w:themeColor="text1"/>
          <w:sz w:val="28"/>
          <w:shd w:val="clear" w:color="auto" w:fill="FFFFFF"/>
        </w:rPr>
        <w:footnoteReference w:id="149"/>
      </w:r>
      <w:r w:rsidRPr="00DE7CC4">
        <w:rPr>
          <w:rFonts w:ascii="Times New Roman" w:hAnsi="Times New Roman" w:cs="Times New Roman"/>
          <w:color w:val="000000" w:themeColor="text1"/>
          <w:sz w:val="28"/>
          <w:lang w:val="es-ES"/>
        </w:rPr>
        <w:t xml:space="preserve">. </w:t>
      </w:r>
    </w:p>
    <w:p w:rsidR="00F32ED8" w:rsidRPr="00DE7CC4" w:rsidRDefault="00DE7CC4" w:rsidP="00F32ED8">
      <w:pPr>
        <w:pStyle w:val="Prrafodelista"/>
        <w:ind w:right="49"/>
        <w:jc w:val="both"/>
        <w:rPr>
          <w:rFonts w:ascii="Times New Roman" w:hAnsi="Times New Roman" w:cs="Times New Roman"/>
          <w:color w:val="000000" w:themeColor="text1"/>
          <w:sz w:val="28"/>
          <w:lang w:val="es-ES"/>
        </w:rPr>
      </w:pPr>
    </w:p>
    <w:p w:rsidR="00F32ED8" w:rsidRPr="00DE7CC4" w:rsidRDefault="00DE7CC4" w:rsidP="00F32ED8">
      <w:pPr>
        <w:pStyle w:val="Prrafodelista"/>
        <w:tabs>
          <w:tab w:val="left" w:pos="284"/>
        </w:tabs>
        <w:ind w:left="0" w:right="49"/>
        <w:jc w:val="both"/>
        <w:rPr>
          <w:rFonts w:ascii="Times New Roman" w:hAnsi="Times New Roman" w:cs="Times New Roman"/>
          <w:color w:val="000000" w:themeColor="text1"/>
          <w:sz w:val="28"/>
          <w:lang w:val="es-ES"/>
        </w:rPr>
      </w:pPr>
      <w:r w:rsidRPr="00DE7CC4">
        <w:rPr>
          <w:rFonts w:ascii="Times New Roman" w:hAnsi="Times New Roman" w:cs="Times New Roman"/>
          <w:color w:val="000000" w:themeColor="text1"/>
          <w:sz w:val="28"/>
          <w:lang w:val="es-ES"/>
        </w:rPr>
        <w:t>115. El primer grupo de relaciones refleja la dimensión negativa del derecho de propiedad. Tienen una base común en la prohibición -</w:t>
      </w:r>
      <w:r w:rsidRPr="00DE7CC4">
        <w:rPr>
          <w:rFonts w:ascii="Times New Roman" w:hAnsi="Times New Roman" w:cs="Times New Roman"/>
          <w:i/>
          <w:color w:val="000000" w:themeColor="text1"/>
          <w:sz w:val="28"/>
          <w:lang w:val="es-ES"/>
        </w:rPr>
        <w:t>prima facie</w:t>
      </w:r>
      <w:r w:rsidRPr="00DE7CC4">
        <w:rPr>
          <w:rFonts w:ascii="Times New Roman" w:hAnsi="Times New Roman" w:cs="Times New Roman"/>
          <w:color w:val="000000" w:themeColor="text1"/>
          <w:sz w:val="28"/>
          <w:lang w:val="es-ES"/>
        </w:rPr>
        <w:t>- de interferencia en los poderes de uso, goce</w:t>
      </w:r>
      <w:r w:rsidRPr="00DE7CC4">
        <w:rPr>
          <w:rFonts w:ascii="Times New Roman" w:hAnsi="Times New Roman" w:cs="Times New Roman"/>
          <w:color w:val="000000" w:themeColor="text1"/>
          <w:sz w:val="28"/>
          <w:lang w:val="es-ES"/>
        </w:rPr>
        <w:t xml:space="preserve"> y disposición respecto de los bienes protegidos. Bajo esa perspectiva, a menos que exista una expresa autorización constitucional </w:t>
      </w:r>
      <w:r w:rsidRPr="00DE7CC4">
        <w:rPr>
          <w:rFonts w:ascii="Times New Roman" w:hAnsi="Times New Roman" w:cs="Times New Roman"/>
          <w:color w:val="000000" w:themeColor="text1"/>
          <w:sz w:val="28"/>
          <w:lang w:val="es-ES"/>
        </w:rPr>
        <w:t>–</w:t>
      </w:r>
      <w:r w:rsidRPr="00DE7CC4">
        <w:rPr>
          <w:rFonts w:ascii="Times New Roman" w:hAnsi="Times New Roman" w:cs="Times New Roman"/>
          <w:color w:val="000000" w:themeColor="text1"/>
          <w:sz w:val="28"/>
          <w:lang w:val="es-ES"/>
        </w:rPr>
        <w:t>tal y como ocurre por ejemplo con la extinción de dominio (</w:t>
      </w:r>
      <w:r w:rsidRPr="00DE7CC4">
        <w:rPr>
          <w:rFonts w:ascii="Times New Roman" w:hAnsi="Times New Roman" w:cs="Times New Roman"/>
          <w:color w:val="000000" w:themeColor="text1"/>
          <w:sz w:val="28"/>
          <w:lang w:val="es-ES"/>
        </w:rPr>
        <w:t>a</w:t>
      </w:r>
      <w:r w:rsidRPr="00DE7CC4">
        <w:rPr>
          <w:rFonts w:ascii="Times New Roman" w:hAnsi="Times New Roman" w:cs="Times New Roman"/>
          <w:color w:val="000000" w:themeColor="text1"/>
          <w:sz w:val="28"/>
          <w:lang w:val="es-ES"/>
        </w:rPr>
        <w:t>rt. 34)</w:t>
      </w:r>
      <w:r w:rsidRPr="00DE7CC4">
        <w:rPr>
          <w:rStyle w:val="Refdenotaalpie"/>
          <w:rFonts w:ascii="Times New Roman" w:hAnsi="Times New Roman"/>
          <w:color w:val="000000" w:themeColor="text1"/>
          <w:sz w:val="28"/>
          <w:lang w:val="es-ES"/>
        </w:rPr>
        <w:footnoteReference w:id="150"/>
      </w:r>
      <w:r w:rsidRPr="00DE7CC4">
        <w:rPr>
          <w:rFonts w:ascii="Times New Roman" w:hAnsi="Times New Roman" w:cs="Times New Roman"/>
          <w:color w:val="000000" w:themeColor="text1"/>
          <w:sz w:val="28"/>
          <w:lang w:val="es-ES"/>
        </w:rPr>
        <w:t xml:space="preserve"> o con la expropiación (</w:t>
      </w:r>
      <w:r w:rsidRPr="00DE7CC4">
        <w:rPr>
          <w:rFonts w:ascii="Times New Roman" w:hAnsi="Times New Roman" w:cs="Times New Roman"/>
          <w:color w:val="000000" w:themeColor="text1"/>
          <w:sz w:val="28"/>
          <w:lang w:val="es-ES"/>
        </w:rPr>
        <w:t>a</w:t>
      </w:r>
      <w:r w:rsidRPr="00DE7CC4">
        <w:rPr>
          <w:rFonts w:ascii="Times New Roman" w:hAnsi="Times New Roman" w:cs="Times New Roman"/>
          <w:color w:val="000000" w:themeColor="text1"/>
          <w:sz w:val="28"/>
          <w:lang w:val="es-ES"/>
        </w:rPr>
        <w:t>rts. 58 y 59)</w:t>
      </w:r>
      <w:r w:rsidRPr="00DE7CC4">
        <w:rPr>
          <w:rStyle w:val="Refdenotaalpie"/>
          <w:rFonts w:ascii="Times New Roman" w:hAnsi="Times New Roman"/>
          <w:color w:val="000000" w:themeColor="text1"/>
          <w:sz w:val="28"/>
          <w:lang w:val="es-ES"/>
        </w:rPr>
        <w:footnoteReference w:id="151"/>
      </w:r>
      <w:r w:rsidRPr="00DE7CC4">
        <w:rPr>
          <w:rFonts w:ascii="Times New Roman" w:hAnsi="Times New Roman" w:cs="Times New Roman"/>
          <w:color w:val="000000" w:themeColor="text1"/>
          <w:sz w:val="28"/>
          <w:lang w:val="es-ES"/>
        </w:rPr>
        <w:t>–</w:t>
      </w:r>
      <w:r w:rsidRPr="00DE7CC4">
        <w:rPr>
          <w:rFonts w:ascii="Times New Roman" w:hAnsi="Times New Roman" w:cs="Times New Roman"/>
          <w:color w:val="000000" w:themeColor="text1"/>
          <w:sz w:val="28"/>
          <w:lang w:val="es-ES"/>
        </w:rPr>
        <w:t xml:space="preserve"> o que exista una justificación suficiente de la misma naturaleza, no es admisible que las autoridades del Estado impongan restricciones al ejercicio de tales facultades.</w:t>
      </w:r>
      <w:r w:rsidRPr="00DE7CC4">
        <w:rPr>
          <w:rStyle w:val="Refdenotaalpie"/>
          <w:rFonts w:ascii="Times New Roman" w:hAnsi="Times New Roman"/>
          <w:color w:val="000000" w:themeColor="text1"/>
          <w:sz w:val="28"/>
          <w:lang w:val="es-ES"/>
        </w:rPr>
        <w:footnoteReference w:id="152"/>
      </w:r>
      <w:r w:rsidRPr="00DE7CC4">
        <w:rPr>
          <w:rFonts w:ascii="Times New Roman" w:hAnsi="Times New Roman" w:cs="Times New Roman"/>
          <w:color w:val="000000" w:themeColor="text1"/>
          <w:sz w:val="28"/>
          <w:lang w:val="es-ES"/>
        </w:rPr>
        <w:t xml:space="preserve"> Este derecho de defensa tiene entonces un vínculo estrecho con la autonomía personal</w:t>
      </w:r>
      <w:r w:rsidRPr="00DE7CC4">
        <w:rPr>
          <w:rFonts w:ascii="Times New Roman" w:hAnsi="Times New Roman" w:cs="Times New Roman"/>
          <w:color w:val="000000" w:themeColor="text1"/>
          <w:sz w:val="28"/>
          <w:lang w:val="es-ES"/>
        </w:rPr>
        <w:t xml:space="preserve"> dado que, como lo ha dicho la Corte, la faceta del derecho de propiedad relacionada “con </w:t>
      </w:r>
      <w:r w:rsidRPr="00DE7CC4">
        <w:rPr>
          <w:rFonts w:ascii="Times New Roman" w:hAnsi="Times New Roman" w:cs="Times New Roman"/>
          <w:color w:val="000000" w:themeColor="text1"/>
          <w:sz w:val="28"/>
          <w:shd w:val="clear" w:color="auto" w:fill="FFFFFF"/>
        </w:rPr>
        <w:t>la adquisición y ejercicio de una situación jurídica activa de poder,</w:t>
      </w:r>
      <w:r w:rsidRPr="00DE7CC4">
        <w:rPr>
          <w:rFonts w:ascii="Times New Roman" w:hAnsi="Times New Roman" w:cs="Times New Roman"/>
          <w:color w:val="000000" w:themeColor="text1"/>
          <w:sz w:val="28"/>
          <w:lang w:val="es-ES"/>
        </w:rPr>
        <w:t xml:space="preserve"> </w:t>
      </w:r>
      <w:r w:rsidRPr="00DE7CC4">
        <w:rPr>
          <w:rFonts w:ascii="Times New Roman" w:hAnsi="Times New Roman" w:cs="Times New Roman"/>
          <w:color w:val="000000" w:themeColor="text1"/>
          <w:sz w:val="28"/>
          <w:shd w:val="clear" w:color="auto" w:fill="FFFFFF"/>
        </w:rPr>
        <w:t>está gobernada por un principio de libertad que se expresa en la autotutela y auto</w:t>
      </w:r>
      <w:r w:rsidRPr="00DE7CC4">
        <w:rPr>
          <w:rFonts w:ascii="Times New Roman" w:hAnsi="Times New Roman" w:cs="Times New Roman"/>
          <w:color w:val="000000" w:themeColor="text1"/>
          <w:sz w:val="28"/>
          <w:shd w:val="clear" w:color="auto" w:fill="FFFFFF"/>
        </w:rPr>
        <w:t>r</w:t>
      </w:r>
      <w:r w:rsidRPr="00DE7CC4">
        <w:rPr>
          <w:rFonts w:ascii="Times New Roman" w:hAnsi="Times New Roman" w:cs="Times New Roman"/>
          <w:color w:val="000000" w:themeColor="text1"/>
          <w:sz w:val="28"/>
          <w:shd w:val="clear" w:color="auto" w:fill="FFFFFF"/>
        </w:rPr>
        <w:t>responsabilid</w:t>
      </w:r>
      <w:r w:rsidRPr="00DE7CC4">
        <w:rPr>
          <w:rFonts w:ascii="Times New Roman" w:hAnsi="Times New Roman" w:cs="Times New Roman"/>
          <w:color w:val="000000" w:themeColor="text1"/>
          <w:sz w:val="28"/>
          <w:shd w:val="clear" w:color="auto" w:fill="FFFFFF"/>
        </w:rPr>
        <w:t>ad del sujeto que, como artífice y gestor de su propio interés, puede encauzar su voluntad en un sentido activo o pasivo”</w:t>
      </w:r>
      <w:r w:rsidRPr="00DE7CC4">
        <w:rPr>
          <w:rStyle w:val="Refdenotaalpie"/>
          <w:rFonts w:ascii="Times New Roman" w:hAnsi="Times New Roman"/>
          <w:color w:val="000000" w:themeColor="text1"/>
          <w:sz w:val="28"/>
          <w:shd w:val="clear" w:color="auto" w:fill="FFFFFF"/>
        </w:rPr>
        <w:footnoteReference w:id="153"/>
      </w:r>
      <w:r w:rsidRPr="00DE7CC4">
        <w:rPr>
          <w:rFonts w:ascii="Times New Roman" w:hAnsi="Times New Roman" w:cs="Times New Roman"/>
          <w:color w:val="000000" w:themeColor="text1"/>
          <w:sz w:val="28"/>
          <w:shd w:val="clear" w:color="auto" w:fill="FFFFFF"/>
        </w:rPr>
        <w:t>.</w:t>
      </w:r>
      <w:r w:rsidRPr="00DE7CC4">
        <w:rPr>
          <w:rFonts w:ascii="Times New Roman" w:hAnsi="Times New Roman" w:cs="Times New Roman"/>
          <w:color w:val="000000" w:themeColor="text1"/>
          <w:sz w:val="28"/>
          <w:lang w:val="es-ES"/>
        </w:rPr>
        <w:t xml:space="preserve"> </w:t>
      </w:r>
    </w:p>
    <w:p w:rsidR="00F32ED8" w:rsidRPr="00DE7CC4" w:rsidRDefault="00DE7CC4" w:rsidP="00F32ED8">
      <w:pPr>
        <w:ind w:right="49"/>
        <w:jc w:val="both"/>
        <w:rPr>
          <w:rFonts w:ascii="Times New Roman" w:hAnsi="Times New Roman" w:cs="Times New Roman"/>
          <w:color w:val="000000" w:themeColor="text1"/>
          <w:sz w:val="28"/>
          <w:lang w:val="es-ES"/>
        </w:rPr>
      </w:pPr>
    </w:p>
    <w:p w:rsidR="00F32ED8" w:rsidRPr="00DE7CC4" w:rsidRDefault="00DE7CC4" w:rsidP="00F32ED8">
      <w:pPr>
        <w:pStyle w:val="Prrafodelista"/>
        <w:tabs>
          <w:tab w:val="left" w:pos="284"/>
        </w:tabs>
        <w:ind w:left="0" w:right="49"/>
        <w:jc w:val="both"/>
        <w:rPr>
          <w:rFonts w:ascii="Times New Roman" w:hAnsi="Times New Roman" w:cs="Times New Roman"/>
          <w:color w:val="000000" w:themeColor="text1"/>
          <w:sz w:val="28"/>
          <w:lang w:val="es-ES"/>
        </w:rPr>
      </w:pPr>
      <w:r w:rsidRPr="00DE7CC4">
        <w:rPr>
          <w:rFonts w:ascii="Times New Roman" w:hAnsi="Times New Roman" w:cs="Times New Roman"/>
          <w:color w:val="000000" w:themeColor="text1"/>
          <w:sz w:val="28"/>
          <w:lang w:val="es-ES"/>
        </w:rPr>
        <w:t>116. El segundo grupo de posiciones amparadas por el artículo 58 constituyen una manifestación de la dimensión positiva del derech</w:t>
      </w:r>
      <w:r w:rsidRPr="00DE7CC4">
        <w:rPr>
          <w:rFonts w:ascii="Times New Roman" w:hAnsi="Times New Roman" w:cs="Times New Roman"/>
          <w:color w:val="000000" w:themeColor="text1"/>
          <w:sz w:val="28"/>
          <w:lang w:val="es-ES"/>
        </w:rPr>
        <w:t>o de propiedad y se traducen en diferentes deberes exigibles de las autoridades estatales. Aunque en la literatura se formulan diversas clasificaciones, esta dimensión implica, al menos, la existencia de tres derechos que exigen al Estado (i) proteger al t</w:t>
      </w:r>
      <w:r w:rsidRPr="00DE7CC4">
        <w:rPr>
          <w:rFonts w:ascii="Times New Roman" w:hAnsi="Times New Roman" w:cs="Times New Roman"/>
          <w:color w:val="000000" w:themeColor="text1"/>
          <w:sz w:val="28"/>
          <w:lang w:val="es-ES"/>
        </w:rPr>
        <w:t>itular del derecho frente a las intervenciones de terceros que afecten los poderes de usar, gozar o disponer de los bienes; (ii) expedir normas que regulen la propiedad precisando la forma en que se adquiere, transfiere y extingue</w:t>
      </w:r>
      <w:r w:rsidRPr="00DE7CC4">
        <w:rPr>
          <w:rStyle w:val="Refdenotaalpie"/>
          <w:rFonts w:ascii="Times New Roman" w:hAnsi="Times New Roman"/>
          <w:color w:val="000000" w:themeColor="text1"/>
          <w:sz w:val="28"/>
          <w:lang w:val="es-ES"/>
        </w:rPr>
        <w:footnoteReference w:id="154"/>
      </w:r>
      <w:r w:rsidRPr="00DE7CC4">
        <w:rPr>
          <w:rFonts w:ascii="Times New Roman" w:hAnsi="Times New Roman" w:cs="Times New Roman"/>
          <w:color w:val="000000" w:themeColor="text1"/>
          <w:sz w:val="28"/>
          <w:lang w:val="es-ES"/>
        </w:rPr>
        <w:t>,</w:t>
      </w:r>
      <w:r w:rsidRPr="00DE7CC4">
        <w:rPr>
          <w:rFonts w:ascii="Times New Roman" w:hAnsi="Times New Roman" w:cs="Times New Roman"/>
          <w:color w:val="000000" w:themeColor="text1"/>
          <w:sz w:val="28"/>
          <w:lang w:val="es-ES"/>
        </w:rPr>
        <w:t xml:space="preserve"> las facultades específi</w:t>
      </w:r>
      <w:r w:rsidRPr="00DE7CC4">
        <w:rPr>
          <w:rFonts w:ascii="Times New Roman" w:hAnsi="Times New Roman" w:cs="Times New Roman"/>
          <w:color w:val="000000" w:themeColor="text1"/>
          <w:sz w:val="28"/>
          <w:lang w:val="es-ES"/>
        </w:rPr>
        <w:t>cas que confiere, así como los límites y cargas a los que se sujeta su ejercicio;</w:t>
      </w:r>
      <w:r w:rsidRPr="00DE7CC4">
        <w:rPr>
          <w:rStyle w:val="Refdenotaalpie"/>
          <w:rFonts w:ascii="Times New Roman" w:hAnsi="Times New Roman"/>
          <w:color w:val="000000" w:themeColor="text1"/>
          <w:sz w:val="28"/>
          <w:lang w:val="es-ES"/>
        </w:rPr>
        <w:footnoteReference w:id="155"/>
      </w:r>
      <w:r w:rsidRPr="00DE7CC4">
        <w:rPr>
          <w:rFonts w:ascii="Times New Roman" w:hAnsi="Times New Roman" w:cs="Times New Roman"/>
          <w:color w:val="000000" w:themeColor="text1"/>
          <w:sz w:val="28"/>
          <w:lang w:val="es-ES"/>
        </w:rPr>
        <w:t xml:space="preserve"> y (iii) adoptar y aplicar normas que definan competencias y procedimientos adecuados para la garantía del derecho de propiedad. Además, la Corte ha reconocido que, en cierto</w:t>
      </w:r>
      <w:r w:rsidRPr="00DE7CC4">
        <w:rPr>
          <w:rFonts w:ascii="Times New Roman" w:hAnsi="Times New Roman" w:cs="Times New Roman"/>
          <w:color w:val="000000" w:themeColor="text1"/>
          <w:sz w:val="28"/>
          <w:lang w:val="es-ES"/>
        </w:rPr>
        <w:t>s casos, como ocurre respecto de las víctimas del conflicto armado, la legislación debe (iv) establecer una protección reforzada del derecho de propiedad</w:t>
      </w:r>
      <w:r w:rsidRPr="00DE7CC4">
        <w:rPr>
          <w:rStyle w:val="Refdenotaalpie"/>
          <w:rFonts w:ascii="Times New Roman" w:hAnsi="Times New Roman"/>
          <w:color w:val="000000" w:themeColor="text1"/>
          <w:sz w:val="28"/>
          <w:lang w:val="es-ES"/>
        </w:rPr>
        <w:footnoteReference w:id="156"/>
      </w:r>
      <w:r w:rsidRPr="00DE7CC4">
        <w:rPr>
          <w:rFonts w:ascii="Times New Roman" w:hAnsi="Times New Roman" w:cs="Times New Roman"/>
          <w:color w:val="000000" w:themeColor="text1"/>
          <w:sz w:val="28"/>
          <w:lang w:val="es-ES"/>
        </w:rPr>
        <w:t>.</w:t>
      </w:r>
    </w:p>
    <w:p w:rsidR="00F32ED8" w:rsidRPr="00DE7CC4" w:rsidRDefault="00DE7CC4" w:rsidP="00F32ED8">
      <w:pPr>
        <w:pStyle w:val="Prrafodelista"/>
        <w:ind w:right="49"/>
        <w:jc w:val="both"/>
        <w:rPr>
          <w:rFonts w:ascii="Times New Roman" w:hAnsi="Times New Roman" w:cs="Times New Roman"/>
          <w:color w:val="000000" w:themeColor="text1"/>
          <w:sz w:val="28"/>
          <w:lang w:val="es-ES"/>
        </w:rPr>
      </w:pPr>
    </w:p>
    <w:p w:rsidR="00F32ED8" w:rsidRPr="00DE7CC4" w:rsidRDefault="00DE7CC4" w:rsidP="00F32ED8">
      <w:pPr>
        <w:pStyle w:val="Prrafodelista"/>
        <w:tabs>
          <w:tab w:val="left" w:pos="284"/>
        </w:tabs>
        <w:ind w:left="0" w:right="49"/>
        <w:jc w:val="both"/>
        <w:rPr>
          <w:rFonts w:ascii="Times New Roman" w:hAnsi="Times New Roman" w:cs="Times New Roman"/>
          <w:color w:val="000000" w:themeColor="text1"/>
          <w:sz w:val="28"/>
          <w:lang w:val="es-ES"/>
        </w:rPr>
      </w:pPr>
      <w:r w:rsidRPr="00DE7CC4">
        <w:rPr>
          <w:rFonts w:ascii="Times New Roman" w:hAnsi="Times New Roman" w:cs="Times New Roman"/>
          <w:color w:val="000000" w:themeColor="text1"/>
          <w:sz w:val="28"/>
          <w:lang w:val="es-ES"/>
        </w:rPr>
        <w:t>117. A pesar del contenido irreductible del derecho de propiedad que ha quedado referido, las dimen</w:t>
      </w:r>
      <w:r w:rsidRPr="00DE7CC4">
        <w:rPr>
          <w:rFonts w:ascii="Times New Roman" w:hAnsi="Times New Roman" w:cs="Times New Roman"/>
          <w:color w:val="000000" w:themeColor="text1"/>
          <w:sz w:val="28"/>
          <w:lang w:val="es-ES"/>
        </w:rPr>
        <w:t>siones (ii) y (iii) reflejan la extraordinaria importancia que para la configuración del derecho tiene su regulación legal. La Corte ha precisado la competencia del Congreso, indicando que la legislación “</w:t>
      </w:r>
      <w:r w:rsidRPr="00DE7CC4">
        <w:rPr>
          <w:rFonts w:ascii="Times New Roman" w:hAnsi="Times New Roman" w:cs="Times New Roman"/>
          <w:color w:val="000000" w:themeColor="text1"/>
          <w:sz w:val="28"/>
        </w:rPr>
        <w:t>no puede desvirtuar la institución de la propiedad,</w:t>
      </w:r>
      <w:r w:rsidRPr="00DE7CC4">
        <w:rPr>
          <w:rFonts w:ascii="Times New Roman" w:hAnsi="Times New Roman" w:cs="Times New Roman"/>
          <w:color w:val="000000" w:themeColor="text1"/>
          <w:sz w:val="28"/>
        </w:rPr>
        <w:t xml:space="preserve"> sin que ello signifique la necesidad de mantenerla en todos los casos”</w:t>
      </w:r>
      <w:r w:rsidRPr="00DE7CC4">
        <w:rPr>
          <w:rStyle w:val="Refdenotaalpie"/>
          <w:rFonts w:ascii="Times New Roman" w:hAnsi="Times New Roman"/>
          <w:color w:val="000000" w:themeColor="text1"/>
          <w:sz w:val="28"/>
        </w:rPr>
        <w:footnoteReference w:id="157"/>
      </w:r>
      <w:r w:rsidRPr="00DE7CC4">
        <w:rPr>
          <w:rFonts w:ascii="Times New Roman" w:hAnsi="Times New Roman" w:cs="Times New Roman"/>
          <w:color w:val="000000" w:themeColor="text1"/>
          <w:sz w:val="28"/>
        </w:rPr>
        <w:t>. Conforme a dicha premisa “[l]a regulación legal debe, pues, dejar un ámbito, así sea reducido y condicionado, que permita la satisfacción del interés privado y la adopción de concret</w:t>
      </w:r>
      <w:r w:rsidRPr="00DE7CC4">
        <w:rPr>
          <w:rFonts w:ascii="Times New Roman" w:hAnsi="Times New Roman" w:cs="Times New Roman"/>
          <w:color w:val="000000" w:themeColor="text1"/>
          <w:sz w:val="28"/>
        </w:rPr>
        <w:t>as posibilidades de acción por parte de su titular, ámbito que en modo alguno puede construirse de manera apriorista y abstracta”</w:t>
      </w:r>
      <w:r w:rsidRPr="00DE7CC4">
        <w:rPr>
          <w:rStyle w:val="Refdenotaalpie"/>
          <w:rFonts w:ascii="Times New Roman" w:hAnsi="Times New Roman"/>
          <w:color w:val="000000" w:themeColor="text1"/>
          <w:sz w:val="28"/>
        </w:rPr>
        <w:footnoteReference w:id="158"/>
      </w:r>
      <w:r w:rsidRPr="00DE7CC4">
        <w:rPr>
          <w:rFonts w:ascii="Times New Roman" w:hAnsi="Times New Roman" w:cs="Times New Roman"/>
          <w:color w:val="000000" w:themeColor="text1"/>
          <w:sz w:val="28"/>
        </w:rPr>
        <w:t xml:space="preserve">. Para esta Corte “[e]se núcleo irreductible de poder, garantizado por la Constitución, se refiere al nivel mínimo que pueden </w:t>
      </w:r>
      <w:r w:rsidRPr="00DE7CC4">
        <w:rPr>
          <w:rFonts w:ascii="Times New Roman" w:hAnsi="Times New Roman" w:cs="Times New Roman"/>
          <w:color w:val="000000" w:themeColor="text1"/>
          <w:sz w:val="28"/>
        </w:rPr>
        <w:t>objetivamente tener las facultades de goce y disposición del bien para permitir a su titular extraer su utilidad económica en términos de valor de uso o de valor de cambio que, en la conciencia social, alcancen a justificar la presencia de un interés priva</w:t>
      </w:r>
      <w:r w:rsidRPr="00DE7CC4">
        <w:rPr>
          <w:rFonts w:ascii="Times New Roman" w:hAnsi="Times New Roman" w:cs="Times New Roman"/>
          <w:color w:val="000000" w:themeColor="text1"/>
          <w:sz w:val="28"/>
        </w:rPr>
        <w:t>do y a reconocer como subsistentes los rasgos que distinguen un cierto tipo de propiedad”</w:t>
      </w:r>
      <w:r w:rsidRPr="00DE7CC4">
        <w:rPr>
          <w:rStyle w:val="Refdenotaalpie"/>
          <w:rFonts w:ascii="Times New Roman" w:hAnsi="Times New Roman"/>
          <w:color w:val="000000" w:themeColor="text1"/>
          <w:sz w:val="28"/>
        </w:rPr>
        <w:footnoteReference w:id="159"/>
      </w:r>
      <w:r w:rsidRPr="00DE7CC4">
        <w:rPr>
          <w:rFonts w:ascii="Times New Roman" w:hAnsi="Times New Roman" w:cs="Times New Roman"/>
          <w:color w:val="000000" w:themeColor="text1"/>
          <w:sz w:val="28"/>
        </w:rPr>
        <w:t xml:space="preserve">. Según este tribunal “aquélla y éstos se esfumarían si las limitaciones y obligaciones sociales impuestas al propietario son irrazonables y coartan toda posibilidad </w:t>
      </w:r>
      <w:r w:rsidRPr="00DE7CC4">
        <w:rPr>
          <w:rFonts w:ascii="Times New Roman" w:hAnsi="Times New Roman" w:cs="Times New Roman"/>
          <w:color w:val="000000" w:themeColor="text1"/>
          <w:sz w:val="28"/>
        </w:rPr>
        <w:t>efectiva de utilidad puramente individual del derecho”</w:t>
      </w:r>
      <w:r w:rsidRPr="00DE7CC4">
        <w:rPr>
          <w:rStyle w:val="Refdenotaalpie"/>
          <w:rFonts w:ascii="Times New Roman" w:hAnsi="Times New Roman"/>
          <w:color w:val="000000" w:themeColor="text1"/>
          <w:sz w:val="28"/>
        </w:rPr>
        <w:footnoteReference w:id="160"/>
      </w:r>
      <w:r w:rsidRPr="00DE7CC4">
        <w:rPr>
          <w:rFonts w:ascii="Times New Roman" w:hAnsi="Times New Roman" w:cs="Times New Roman"/>
          <w:color w:val="000000" w:themeColor="text1"/>
          <w:sz w:val="28"/>
        </w:rPr>
        <w:t>.</w:t>
      </w:r>
    </w:p>
    <w:p w:rsidR="00F32ED8" w:rsidRPr="00DE7CC4" w:rsidRDefault="00DE7CC4" w:rsidP="00F32ED8">
      <w:pPr>
        <w:pStyle w:val="Prrafodelista"/>
        <w:tabs>
          <w:tab w:val="left" w:pos="284"/>
        </w:tabs>
        <w:ind w:left="0" w:right="-234"/>
        <w:jc w:val="both"/>
        <w:rPr>
          <w:rFonts w:ascii="Times New Roman" w:hAnsi="Times New Roman" w:cs="Times New Roman"/>
          <w:color w:val="000000" w:themeColor="text1"/>
          <w:sz w:val="28"/>
          <w:lang w:val="es-ES"/>
        </w:rPr>
      </w:pPr>
    </w:p>
    <w:p w:rsidR="00F32ED8" w:rsidRPr="00DE7CC4" w:rsidRDefault="00DE7CC4" w:rsidP="00F32ED8">
      <w:pPr>
        <w:pStyle w:val="Prrafodelista"/>
        <w:tabs>
          <w:tab w:val="left" w:pos="284"/>
        </w:tabs>
        <w:ind w:left="0" w:right="49"/>
        <w:jc w:val="both"/>
        <w:rPr>
          <w:rFonts w:ascii="Times New Roman" w:hAnsi="Times New Roman" w:cs="Times New Roman"/>
          <w:color w:val="000000" w:themeColor="text1"/>
          <w:sz w:val="28"/>
          <w:lang w:val="es-ES"/>
        </w:rPr>
      </w:pPr>
      <w:r w:rsidRPr="00DE7CC4">
        <w:rPr>
          <w:rFonts w:ascii="Times New Roman" w:hAnsi="Times New Roman" w:cs="Times New Roman"/>
          <w:color w:val="000000" w:themeColor="text1"/>
          <w:sz w:val="28"/>
          <w:lang w:val="es-ES"/>
        </w:rPr>
        <w:t>118. A partir de estas premisas este Tribunal ha sostenido que “[</w:t>
      </w:r>
      <w:r w:rsidRPr="00DE7CC4">
        <w:rPr>
          <w:rFonts w:ascii="Times New Roman" w:hAnsi="Times New Roman" w:cs="Times New Roman"/>
          <w:color w:val="000000" w:themeColor="text1"/>
          <w:sz w:val="28"/>
          <w:shd w:val="clear" w:color="auto" w:fill="FFFFFF"/>
        </w:rPr>
        <w:t xml:space="preserve">l]a configuración legal de propiedad, entonces, puede apuntar indistintamente a la supresión de ciertas facultades, a su ejercicio </w:t>
      </w:r>
      <w:r w:rsidRPr="00DE7CC4">
        <w:rPr>
          <w:rFonts w:ascii="Times New Roman" w:hAnsi="Times New Roman" w:cs="Times New Roman"/>
          <w:color w:val="000000" w:themeColor="text1"/>
          <w:sz w:val="28"/>
          <w:shd w:val="clear" w:color="auto" w:fill="FFFFFF"/>
        </w:rPr>
        <w:t>condicionado o, en ciertos casos, al obligado ejercicio de algunas obligaciones”</w:t>
      </w:r>
      <w:r w:rsidRPr="00DE7CC4">
        <w:rPr>
          <w:rStyle w:val="Refdenotaalpie"/>
          <w:rFonts w:ascii="Times New Roman" w:hAnsi="Times New Roman"/>
          <w:color w:val="000000" w:themeColor="text1"/>
          <w:sz w:val="28"/>
          <w:shd w:val="clear" w:color="auto" w:fill="FFFFFF"/>
        </w:rPr>
        <w:footnoteReference w:id="161"/>
      </w:r>
      <w:r w:rsidRPr="00DE7CC4">
        <w:rPr>
          <w:rFonts w:ascii="Times New Roman" w:hAnsi="Times New Roman" w:cs="Times New Roman"/>
          <w:color w:val="000000" w:themeColor="text1"/>
          <w:sz w:val="28"/>
          <w:shd w:val="clear" w:color="auto" w:fill="FFFFFF"/>
        </w:rPr>
        <w:t>. El carácter esencialmente limitable del derecho de propiedad -que se sigue de su estructura, de las diferentes formas en que puede desarrollarse y de la doble función social</w:t>
      </w:r>
      <w:r w:rsidRPr="00DE7CC4">
        <w:rPr>
          <w:rFonts w:ascii="Times New Roman" w:hAnsi="Times New Roman" w:cs="Times New Roman"/>
          <w:color w:val="000000" w:themeColor="text1"/>
          <w:sz w:val="28"/>
          <w:shd w:val="clear" w:color="auto" w:fill="FFFFFF"/>
        </w:rPr>
        <w:t xml:space="preserve"> y ecológica que lo acompaña- requiere, en todo caso, que el contenido medular antes referido sea garantizado. </w:t>
      </w:r>
    </w:p>
    <w:p w:rsidR="00F32ED8" w:rsidRPr="00DE7CC4" w:rsidRDefault="00DE7CC4" w:rsidP="00F32ED8">
      <w:pPr>
        <w:pStyle w:val="Prrafodelista"/>
        <w:ind w:right="49"/>
        <w:jc w:val="both"/>
        <w:rPr>
          <w:rFonts w:ascii="Times New Roman" w:hAnsi="Times New Roman" w:cs="Times New Roman"/>
          <w:color w:val="000000" w:themeColor="text1"/>
          <w:sz w:val="28"/>
          <w:shd w:val="clear" w:color="auto" w:fill="FFFFFF"/>
        </w:rPr>
      </w:pPr>
    </w:p>
    <w:p w:rsidR="00F32ED8" w:rsidRPr="00DE7CC4" w:rsidRDefault="00DE7CC4" w:rsidP="00F32ED8">
      <w:pPr>
        <w:pStyle w:val="Prrafodelista"/>
        <w:tabs>
          <w:tab w:val="left" w:pos="284"/>
        </w:tabs>
        <w:ind w:left="0" w:right="49"/>
        <w:jc w:val="both"/>
        <w:rPr>
          <w:rFonts w:ascii="Times New Roman" w:hAnsi="Times New Roman" w:cs="Times New Roman"/>
          <w:color w:val="000000" w:themeColor="text1"/>
          <w:sz w:val="28"/>
          <w:lang w:val="es-ES"/>
        </w:rPr>
      </w:pPr>
      <w:r w:rsidRPr="00DE7CC4">
        <w:rPr>
          <w:rFonts w:ascii="Times New Roman" w:hAnsi="Times New Roman" w:cs="Times New Roman"/>
          <w:color w:val="000000" w:themeColor="text1"/>
          <w:sz w:val="28"/>
          <w:shd w:val="clear" w:color="auto" w:fill="FFFFFF"/>
        </w:rPr>
        <w:t xml:space="preserve">119. En suma y en lo que interesa en el asunto que ahora decide la Corte, el derecho de propiedad (i) garantiza un nivel mínimo de protección que haga posible </w:t>
      </w:r>
      <w:r w:rsidRPr="00DE7CC4">
        <w:rPr>
          <w:rFonts w:ascii="Times New Roman" w:hAnsi="Times New Roman" w:cs="Times New Roman"/>
          <w:color w:val="000000" w:themeColor="text1"/>
          <w:sz w:val="28"/>
        </w:rPr>
        <w:t xml:space="preserve">ejercer las facultades de uso, goce y disposición del bien para permitir a su titular extraer su </w:t>
      </w:r>
      <w:r w:rsidRPr="00DE7CC4">
        <w:rPr>
          <w:rFonts w:ascii="Times New Roman" w:hAnsi="Times New Roman" w:cs="Times New Roman"/>
          <w:color w:val="000000" w:themeColor="text1"/>
          <w:sz w:val="28"/>
        </w:rPr>
        <w:t>utilidad económica en términos de valor de uso o de valor de cambio; (ii) en su dimensión negativa prohíbe adoptar normas legales que anulen tales facultades o que las limiten desproporcionadamente</w:t>
      </w:r>
      <w:r w:rsidRPr="00DE7CC4">
        <w:rPr>
          <w:rStyle w:val="Refdenotaalpie"/>
          <w:rFonts w:ascii="Times New Roman" w:hAnsi="Times New Roman"/>
          <w:color w:val="000000" w:themeColor="text1"/>
          <w:sz w:val="28"/>
        </w:rPr>
        <w:footnoteReference w:id="162"/>
      </w:r>
      <w:r w:rsidRPr="00DE7CC4">
        <w:rPr>
          <w:rFonts w:ascii="Times New Roman" w:hAnsi="Times New Roman" w:cs="Times New Roman"/>
          <w:color w:val="000000" w:themeColor="text1"/>
          <w:sz w:val="28"/>
        </w:rPr>
        <w:t>; y (iii) en su dimensión positiva ordena al legislador ex</w:t>
      </w:r>
      <w:r w:rsidRPr="00DE7CC4">
        <w:rPr>
          <w:rFonts w:ascii="Times New Roman" w:hAnsi="Times New Roman" w:cs="Times New Roman"/>
          <w:color w:val="000000" w:themeColor="text1"/>
          <w:sz w:val="28"/>
        </w:rPr>
        <w:t>pedir normas que (a) concreten el ejercicio de esas facultades y definan sus límites</w:t>
      </w:r>
      <w:r w:rsidRPr="00DE7CC4">
        <w:rPr>
          <w:rStyle w:val="Refdenotaalpie"/>
          <w:rFonts w:ascii="Times New Roman" w:hAnsi="Times New Roman"/>
          <w:color w:val="000000" w:themeColor="text1"/>
          <w:sz w:val="28"/>
        </w:rPr>
        <w:footnoteReference w:id="163"/>
      </w:r>
      <w:r w:rsidRPr="00DE7CC4">
        <w:rPr>
          <w:rFonts w:ascii="Times New Roman" w:hAnsi="Times New Roman" w:cs="Times New Roman"/>
          <w:color w:val="000000" w:themeColor="text1"/>
          <w:sz w:val="28"/>
        </w:rPr>
        <w:t xml:space="preserve">, (b) proscriban y sancionen su lesión por parte de terceros y (c) prevean competencias y procedimientos para su garantía.    </w:t>
      </w:r>
    </w:p>
    <w:p w:rsidR="00F32ED8" w:rsidRPr="00DE7CC4" w:rsidRDefault="00DE7CC4" w:rsidP="00F32ED8">
      <w:pPr>
        <w:pStyle w:val="Prrafodelista"/>
        <w:ind w:right="49"/>
        <w:jc w:val="both"/>
        <w:rPr>
          <w:rFonts w:ascii="Times New Roman" w:hAnsi="Times New Roman" w:cs="Times New Roman"/>
          <w:color w:val="000000" w:themeColor="text1"/>
          <w:sz w:val="28"/>
          <w:shd w:val="clear" w:color="auto" w:fill="FFFFFF"/>
        </w:rPr>
      </w:pPr>
    </w:p>
    <w:p w:rsidR="00F32ED8" w:rsidRPr="00DE7CC4" w:rsidRDefault="00DE7CC4" w:rsidP="00F32ED8">
      <w:pPr>
        <w:pStyle w:val="Prrafodelista"/>
        <w:tabs>
          <w:tab w:val="left" w:pos="284"/>
        </w:tabs>
        <w:ind w:left="0" w:right="49"/>
        <w:jc w:val="both"/>
        <w:rPr>
          <w:rFonts w:ascii="Times New Roman" w:hAnsi="Times New Roman" w:cs="Times New Roman"/>
          <w:color w:val="000000" w:themeColor="text1"/>
          <w:sz w:val="28"/>
          <w:lang w:val="es-ES"/>
        </w:rPr>
      </w:pPr>
      <w:r w:rsidRPr="00DE7CC4">
        <w:rPr>
          <w:rFonts w:ascii="Times New Roman" w:hAnsi="Times New Roman" w:cs="Times New Roman"/>
          <w:color w:val="000000" w:themeColor="text1"/>
          <w:sz w:val="28"/>
          <w:shd w:val="clear" w:color="auto" w:fill="FFFFFF"/>
        </w:rPr>
        <w:t>120. La existencia de competencias y proced</w:t>
      </w:r>
      <w:r w:rsidRPr="00DE7CC4">
        <w:rPr>
          <w:rFonts w:ascii="Times New Roman" w:hAnsi="Times New Roman" w:cs="Times New Roman"/>
          <w:color w:val="000000" w:themeColor="text1"/>
          <w:sz w:val="28"/>
          <w:shd w:val="clear" w:color="auto" w:fill="FFFFFF"/>
        </w:rPr>
        <w:t>imientos que permitan asegurar la protección de las facultades de usar, gozar y disponer de los bienes corresponde a una dimensión imprescindible del derecho de propiedad. Como lo ha dicho la Corte ese derecho incluye la facultad de “</w:t>
      </w:r>
      <w:r w:rsidRPr="00DE7CC4">
        <w:rPr>
          <w:rFonts w:ascii="Times New Roman" w:hAnsi="Times New Roman" w:cs="Times New Roman"/>
          <w:i/>
          <w:color w:val="000000" w:themeColor="text1"/>
          <w:sz w:val="28"/>
          <w:shd w:val="clear" w:color="auto" w:fill="FFFFFF"/>
        </w:rPr>
        <w:t>ejercer las acciones q</w:t>
      </w:r>
      <w:r w:rsidRPr="00DE7CC4">
        <w:rPr>
          <w:rFonts w:ascii="Times New Roman" w:hAnsi="Times New Roman" w:cs="Times New Roman"/>
          <w:i/>
          <w:color w:val="000000" w:themeColor="text1"/>
          <w:sz w:val="28"/>
          <w:shd w:val="clear" w:color="auto" w:fill="FFFFFF"/>
        </w:rPr>
        <w:t>ue derivan de la posición jurídica reconocida por la constitución y las leyes</w:t>
      </w:r>
      <w:r w:rsidRPr="00DE7CC4">
        <w:rPr>
          <w:rFonts w:ascii="Times New Roman" w:hAnsi="Times New Roman" w:cs="Times New Roman"/>
          <w:color w:val="000000" w:themeColor="text1"/>
          <w:sz w:val="28"/>
          <w:shd w:val="clear" w:color="auto" w:fill="FFFFFF"/>
        </w:rPr>
        <w:t>”</w:t>
      </w:r>
      <w:r w:rsidRPr="00DE7CC4">
        <w:rPr>
          <w:rStyle w:val="Refdenotaalpie"/>
          <w:rFonts w:ascii="Times New Roman" w:hAnsi="Times New Roman"/>
          <w:color w:val="000000" w:themeColor="text1"/>
          <w:sz w:val="28"/>
          <w:shd w:val="clear" w:color="auto" w:fill="FFFFFF"/>
        </w:rPr>
        <w:footnoteReference w:id="164"/>
      </w:r>
      <w:r w:rsidRPr="00DE7CC4">
        <w:rPr>
          <w:rFonts w:ascii="Times New Roman" w:hAnsi="Times New Roman" w:cs="Times New Roman"/>
          <w:color w:val="000000" w:themeColor="text1"/>
          <w:sz w:val="28"/>
          <w:shd w:val="clear" w:color="auto" w:fill="FFFFFF"/>
        </w:rPr>
        <w:t>. Ello se vincula además con la postura de esta Corte al sostener que el derecho de acceso a la justicia guarda estrecha relación con el derecho a un recurso judicial efectivo c</w:t>
      </w:r>
      <w:r w:rsidRPr="00DE7CC4">
        <w:rPr>
          <w:rFonts w:ascii="Times New Roman" w:hAnsi="Times New Roman" w:cs="Times New Roman"/>
          <w:color w:val="000000" w:themeColor="text1"/>
          <w:sz w:val="28"/>
          <w:shd w:val="clear" w:color="auto" w:fill="FFFFFF"/>
        </w:rPr>
        <w:t xml:space="preserve">omo garantía necesaria para asegurar la protección plena de los derechos. De este modo algunas facetas del derecho al debido proceso o del derecho de acceso a la administración de justicia pueden quedar también comprendidas por el ámbito de protección del </w:t>
      </w:r>
      <w:r w:rsidRPr="00DE7CC4">
        <w:rPr>
          <w:rFonts w:ascii="Times New Roman" w:hAnsi="Times New Roman" w:cs="Times New Roman"/>
          <w:color w:val="000000" w:themeColor="text1"/>
          <w:sz w:val="28"/>
          <w:shd w:val="clear" w:color="auto" w:fill="FFFFFF"/>
        </w:rPr>
        <w:t>derecho a la propiedad, cuando pueda probarse un vínculo necesario y, por ello, no contingente. En ese sentido la Corte ha destacado al referirse a la obligación de respetar este último derecho la relevancia, por ejemplo, (i) del procedimiento expropiatori</w:t>
      </w:r>
      <w:r w:rsidRPr="00DE7CC4">
        <w:rPr>
          <w:rFonts w:ascii="Times New Roman" w:hAnsi="Times New Roman" w:cs="Times New Roman"/>
          <w:color w:val="000000" w:themeColor="text1"/>
          <w:sz w:val="28"/>
          <w:shd w:val="clear" w:color="auto" w:fill="FFFFFF"/>
        </w:rPr>
        <w:t>o y de la posibilidad de cuestionarlo judicialmente</w:t>
      </w:r>
      <w:r w:rsidRPr="00DE7CC4">
        <w:rPr>
          <w:rStyle w:val="Refdenotaalpie"/>
          <w:rFonts w:ascii="Times New Roman" w:hAnsi="Times New Roman"/>
          <w:color w:val="000000" w:themeColor="text1"/>
          <w:sz w:val="28"/>
          <w:shd w:val="clear" w:color="auto" w:fill="FFFFFF"/>
        </w:rPr>
        <w:footnoteReference w:id="165"/>
      </w:r>
      <w:r w:rsidRPr="00DE7CC4">
        <w:rPr>
          <w:rFonts w:ascii="Times New Roman" w:hAnsi="Times New Roman" w:cs="Times New Roman"/>
          <w:color w:val="000000" w:themeColor="text1"/>
          <w:sz w:val="28"/>
          <w:shd w:val="clear" w:color="auto" w:fill="FFFFFF"/>
        </w:rPr>
        <w:t xml:space="preserve"> o (ii) de la procedencia de la acción de reparación directa en contra de la ocupación de bienes privados por parte del Estado</w:t>
      </w:r>
      <w:r w:rsidRPr="00DE7CC4">
        <w:rPr>
          <w:rStyle w:val="Refdenotaalpie"/>
          <w:rFonts w:ascii="Times New Roman" w:hAnsi="Times New Roman"/>
          <w:color w:val="000000" w:themeColor="text1"/>
          <w:sz w:val="28"/>
          <w:shd w:val="clear" w:color="auto" w:fill="FFFFFF"/>
        </w:rPr>
        <w:footnoteReference w:id="166"/>
      </w:r>
      <w:r w:rsidRPr="00DE7CC4">
        <w:rPr>
          <w:rFonts w:ascii="Times New Roman" w:hAnsi="Times New Roman" w:cs="Times New Roman"/>
          <w:color w:val="000000" w:themeColor="text1"/>
          <w:sz w:val="28"/>
          <w:shd w:val="clear" w:color="auto" w:fill="FFFFFF"/>
        </w:rPr>
        <w:t xml:space="preserve">. </w:t>
      </w:r>
    </w:p>
    <w:p w:rsidR="00F32ED8" w:rsidRPr="00DE7CC4" w:rsidRDefault="00DE7CC4" w:rsidP="00F32ED8">
      <w:pPr>
        <w:pStyle w:val="Prrafodelista"/>
        <w:ind w:right="49"/>
        <w:rPr>
          <w:rFonts w:ascii="Times New Roman" w:hAnsi="Times New Roman" w:cs="Times New Roman"/>
          <w:color w:val="000000" w:themeColor="text1"/>
          <w:sz w:val="28"/>
          <w:lang w:val="es-ES"/>
        </w:rPr>
      </w:pPr>
    </w:p>
    <w:p w:rsidR="00F32ED8" w:rsidRPr="00DE7CC4" w:rsidRDefault="00DE7CC4" w:rsidP="00F32ED8">
      <w:pPr>
        <w:ind w:right="49"/>
        <w:jc w:val="both"/>
        <w:rPr>
          <w:rFonts w:ascii="Times New Roman" w:hAnsi="Times New Roman" w:cs="Times New Roman"/>
          <w:b/>
          <w:bCs/>
          <w:color w:val="000000" w:themeColor="text1"/>
          <w:sz w:val="28"/>
          <w:lang w:val="es-ES"/>
        </w:rPr>
      </w:pPr>
      <w:r w:rsidRPr="00DE7CC4">
        <w:rPr>
          <w:rFonts w:ascii="Times New Roman" w:hAnsi="Times New Roman" w:cs="Times New Roman"/>
          <w:b/>
          <w:bCs/>
          <w:color w:val="000000" w:themeColor="text1"/>
          <w:sz w:val="28"/>
          <w:lang w:val="es-ES"/>
        </w:rPr>
        <w:t>3.3. El artículo 16 de la Ley 2251 de 2022 es exequible por el cargo anal</w:t>
      </w:r>
      <w:r w:rsidRPr="00DE7CC4">
        <w:rPr>
          <w:rFonts w:ascii="Times New Roman" w:hAnsi="Times New Roman" w:cs="Times New Roman"/>
          <w:b/>
          <w:bCs/>
          <w:color w:val="000000" w:themeColor="text1"/>
          <w:sz w:val="28"/>
          <w:lang w:val="es-ES"/>
        </w:rPr>
        <w:t>izado</w:t>
      </w:r>
      <w:r w:rsidRPr="00DE7CC4">
        <w:rPr>
          <w:rFonts w:ascii="Times New Roman" w:hAnsi="Times New Roman" w:cs="Times New Roman"/>
          <w:b/>
          <w:bCs/>
          <w:color w:val="000000" w:themeColor="text1"/>
          <w:sz w:val="28"/>
          <w:lang w:val="es-ES"/>
        </w:rPr>
        <w:t xml:space="preserve"> </w:t>
      </w:r>
    </w:p>
    <w:p w:rsidR="00F32ED8" w:rsidRPr="00DE7CC4" w:rsidRDefault="00DE7CC4" w:rsidP="00F32ED8">
      <w:pPr>
        <w:ind w:right="49"/>
        <w:rPr>
          <w:rFonts w:ascii="Times New Roman" w:hAnsi="Times New Roman" w:cs="Times New Roman"/>
          <w:b/>
          <w:bCs/>
          <w:color w:val="000000" w:themeColor="text1"/>
          <w:sz w:val="28"/>
          <w:lang w:val="es-ES"/>
        </w:rPr>
      </w:pPr>
    </w:p>
    <w:p w:rsidR="00F32ED8" w:rsidRPr="00DE7CC4" w:rsidRDefault="00DE7CC4" w:rsidP="00F32ED8">
      <w:pPr>
        <w:jc w:val="both"/>
        <w:rPr>
          <w:rFonts w:ascii="Times New Roman" w:hAnsi="Times New Roman" w:cs="Times New Roman"/>
          <w:color w:val="000000" w:themeColor="text1"/>
          <w:sz w:val="28"/>
          <w:lang w:val="es-ES"/>
        </w:rPr>
      </w:pPr>
      <w:r w:rsidRPr="00DE7CC4">
        <w:rPr>
          <w:rFonts w:ascii="Times New Roman" w:hAnsi="Times New Roman" w:cs="Times New Roman"/>
          <w:color w:val="000000" w:themeColor="text1"/>
          <w:sz w:val="28"/>
          <w:lang w:val="es-ES"/>
        </w:rPr>
        <w:t xml:space="preserve">121. Según la acusación, la disposición demandada desconoce los deberes de protección del derecho de propiedad que son predicables del Estado, en atención a que elimina </w:t>
      </w:r>
      <w:r w:rsidRPr="00DE7CC4">
        <w:rPr>
          <w:rFonts w:ascii="Times New Roman" w:hAnsi="Times New Roman" w:cs="Times New Roman"/>
          <w:color w:val="000000" w:themeColor="text1"/>
          <w:sz w:val="28"/>
        </w:rPr>
        <w:t>la intervención de la autoridad de tránsito y, con ello, lo que antes estaba ll</w:t>
      </w:r>
      <w:r w:rsidRPr="00DE7CC4">
        <w:rPr>
          <w:rFonts w:ascii="Times New Roman" w:hAnsi="Times New Roman" w:cs="Times New Roman"/>
          <w:color w:val="000000" w:themeColor="text1"/>
          <w:sz w:val="28"/>
        </w:rPr>
        <w:t>amada a hacer en este contexto -con especial énfasis en el informe policial de tránsito- corresponde ahora a los conductores, las entidades aseguradoras y los interesados, corriendo estos últimos con la carga de recaudar en el momento del accidente todas l</w:t>
      </w:r>
      <w:r w:rsidRPr="00DE7CC4">
        <w:rPr>
          <w:rFonts w:ascii="Times New Roman" w:hAnsi="Times New Roman" w:cs="Times New Roman"/>
          <w:color w:val="000000" w:themeColor="text1"/>
          <w:sz w:val="28"/>
        </w:rPr>
        <w:t xml:space="preserve">as pruebas para que, de proceder, pretendan posteriormente el </w:t>
      </w:r>
      <w:r w:rsidRPr="00DE7CC4">
        <w:rPr>
          <w:rFonts w:ascii="Times New Roman" w:hAnsi="Times New Roman" w:cs="Times New Roman"/>
          <w:color w:val="000000" w:themeColor="text1"/>
          <w:sz w:val="28"/>
        </w:rPr>
        <w:t xml:space="preserve">resarcimiento del </w:t>
      </w:r>
      <w:r w:rsidRPr="00DE7CC4">
        <w:rPr>
          <w:rFonts w:ascii="Times New Roman" w:hAnsi="Times New Roman" w:cs="Times New Roman"/>
          <w:color w:val="000000" w:themeColor="text1"/>
          <w:sz w:val="28"/>
        </w:rPr>
        <w:t xml:space="preserve">daño producido a la propiedad en estas condiciones. </w:t>
      </w:r>
      <w:r w:rsidRPr="00DE7CC4">
        <w:rPr>
          <w:rFonts w:ascii="Times New Roman" w:hAnsi="Times New Roman" w:cs="Times New Roman"/>
          <w:color w:val="000000" w:themeColor="text1"/>
          <w:sz w:val="28"/>
          <w:lang w:val="es-ES"/>
        </w:rPr>
        <w:t>Ello, en consecuencia, incidiría en el ejercicio de las facultades que, como titulares del derecho de dominio, tienen los propietarios respecto de los vehículos automotores. Sobre este enfoque, varios de los intervinientes indicaron que la modificación leg</w:t>
      </w:r>
      <w:r w:rsidRPr="00DE7CC4">
        <w:rPr>
          <w:rFonts w:ascii="Times New Roman" w:hAnsi="Times New Roman" w:cs="Times New Roman"/>
          <w:color w:val="000000" w:themeColor="text1"/>
          <w:sz w:val="28"/>
          <w:lang w:val="es-ES"/>
        </w:rPr>
        <w:t xml:space="preserve">islativa tenía un impacto en el régimen probatorio establecido para que, bien a través de la afectación del seguro que cubra este tipo de riesgo o de la vía conciliatoria y contenciosa respectiva, se reclame el daño causado en el accidente de tránsito </w:t>
      </w:r>
      <w:r w:rsidRPr="00DE7CC4">
        <w:rPr>
          <w:rFonts w:ascii="Times New Roman" w:hAnsi="Times New Roman" w:cs="Times New Roman"/>
          <w:color w:val="000000" w:themeColor="text1"/>
          <w:sz w:val="28"/>
          <w:lang w:val="es-ES"/>
        </w:rPr>
        <w:t>–</w:t>
      </w:r>
      <w:r w:rsidRPr="00DE7CC4">
        <w:rPr>
          <w:rFonts w:ascii="Times New Roman" w:hAnsi="Times New Roman" w:cs="Times New Roman"/>
          <w:color w:val="000000" w:themeColor="text1"/>
          <w:sz w:val="28"/>
          <w:lang w:val="es-ES"/>
        </w:rPr>
        <w:t xml:space="preserve">en </w:t>
      </w:r>
      <w:r w:rsidRPr="00DE7CC4">
        <w:rPr>
          <w:rFonts w:ascii="Times New Roman" w:hAnsi="Times New Roman" w:cs="Times New Roman"/>
          <w:color w:val="000000" w:themeColor="text1"/>
          <w:sz w:val="28"/>
          <w:lang w:val="es-ES"/>
        </w:rPr>
        <w:t>este sentido ver, por ejemplo, la intervención del Ministerio de Transporte y del Ministerio Público</w:t>
      </w:r>
      <w:r w:rsidRPr="00DE7CC4">
        <w:rPr>
          <w:rFonts w:ascii="Times New Roman" w:hAnsi="Times New Roman" w:cs="Times New Roman"/>
          <w:color w:val="000000" w:themeColor="text1"/>
          <w:sz w:val="28"/>
          <w:lang w:val="es-ES"/>
        </w:rPr>
        <w:t>–</w:t>
      </w:r>
      <w:r w:rsidRPr="00DE7CC4">
        <w:rPr>
          <w:rFonts w:ascii="Times New Roman" w:hAnsi="Times New Roman" w:cs="Times New Roman"/>
          <w:color w:val="000000" w:themeColor="text1"/>
          <w:sz w:val="28"/>
          <w:lang w:val="es-ES"/>
        </w:rPr>
        <w:t xml:space="preserve">. </w:t>
      </w:r>
    </w:p>
    <w:p w:rsidR="00F32ED8" w:rsidRPr="00DE7CC4" w:rsidRDefault="00DE7CC4" w:rsidP="00F32ED8">
      <w:pPr>
        <w:jc w:val="both"/>
        <w:rPr>
          <w:rFonts w:ascii="Times New Roman" w:hAnsi="Times New Roman" w:cs="Times New Roman"/>
          <w:color w:val="000000" w:themeColor="text1"/>
          <w:sz w:val="28"/>
          <w:lang w:val="es-ES"/>
        </w:rPr>
      </w:pPr>
    </w:p>
    <w:p w:rsidR="00F32ED8" w:rsidRPr="00DE7CC4" w:rsidRDefault="00DE7CC4" w:rsidP="00F32ED8">
      <w:pPr>
        <w:jc w:val="both"/>
        <w:rPr>
          <w:rFonts w:ascii="Times New Roman" w:hAnsi="Times New Roman" w:cs="Times New Roman"/>
          <w:color w:val="000000" w:themeColor="text1"/>
          <w:sz w:val="28"/>
          <w:lang w:val="es-ES"/>
        </w:rPr>
      </w:pPr>
      <w:r w:rsidRPr="00DE7CC4">
        <w:rPr>
          <w:rFonts w:ascii="Times New Roman" w:hAnsi="Times New Roman" w:cs="Times New Roman"/>
          <w:color w:val="000000" w:themeColor="text1"/>
          <w:sz w:val="28"/>
          <w:lang w:val="es-ES"/>
        </w:rPr>
        <w:t>122. Con fundamento en lo anterior, el análisis que procederá a hacer la Sala se funda exclusivamente en el cargo invocado, referido a la garantía de l</w:t>
      </w:r>
      <w:r w:rsidRPr="00DE7CC4">
        <w:rPr>
          <w:rFonts w:ascii="Times New Roman" w:hAnsi="Times New Roman" w:cs="Times New Roman"/>
          <w:color w:val="000000" w:themeColor="text1"/>
          <w:sz w:val="28"/>
          <w:lang w:val="es-ES"/>
        </w:rPr>
        <w:t xml:space="preserve">a propiedad y, por lo tanto, tal como se anticipó en el acápite previo, a la faceta de protección referida a la configuración por parte del Estado </w:t>
      </w:r>
      <w:r w:rsidRPr="00DE7CC4">
        <w:rPr>
          <w:rFonts w:ascii="Times New Roman" w:hAnsi="Times New Roman" w:cs="Times New Roman"/>
          <w:color w:val="000000" w:themeColor="text1"/>
          <w:sz w:val="28"/>
          <w:lang w:val="es-ES"/>
        </w:rPr>
        <w:t>–</w:t>
      </w:r>
      <w:r w:rsidRPr="00DE7CC4">
        <w:rPr>
          <w:rFonts w:ascii="Times New Roman" w:hAnsi="Times New Roman" w:cs="Times New Roman"/>
          <w:color w:val="000000" w:themeColor="text1"/>
          <w:sz w:val="28"/>
          <w:lang w:val="es-ES"/>
        </w:rPr>
        <w:t>en este caso del Legislador</w:t>
      </w:r>
      <w:r w:rsidRPr="00DE7CC4">
        <w:rPr>
          <w:rFonts w:ascii="Times New Roman" w:hAnsi="Times New Roman" w:cs="Times New Roman"/>
          <w:color w:val="000000" w:themeColor="text1"/>
          <w:sz w:val="28"/>
          <w:lang w:val="es-ES"/>
        </w:rPr>
        <w:t>–</w:t>
      </w:r>
      <w:r w:rsidRPr="00DE7CC4">
        <w:rPr>
          <w:rFonts w:ascii="Times New Roman" w:hAnsi="Times New Roman" w:cs="Times New Roman"/>
          <w:color w:val="000000" w:themeColor="text1"/>
          <w:sz w:val="28"/>
          <w:lang w:val="es-ES"/>
        </w:rPr>
        <w:t xml:space="preserve"> de procedimientos y competencias que garanticen tal derecho.</w:t>
      </w:r>
    </w:p>
    <w:p w:rsidR="00F32ED8" w:rsidRPr="00DE7CC4" w:rsidRDefault="00DE7CC4" w:rsidP="00F32ED8">
      <w:pPr>
        <w:pStyle w:val="Prrafodelista"/>
        <w:tabs>
          <w:tab w:val="left" w:pos="284"/>
        </w:tabs>
        <w:ind w:left="0" w:right="49"/>
        <w:jc w:val="both"/>
        <w:rPr>
          <w:rFonts w:ascii="Times New Roman" w:hAnsi="Times New Roman" w:cs="Times New Roman"/>
          <w:color w:val="000000" w:themeColor="text1"/>
          <w:sz w:val="28"/>
          <w:lang w:val="es-ES"/>
        </w:rPr>
      </w:pPr>
    </w:p>
    <w:p w:rsidR="00F32ED8" w:rsidRPr="00DE7CC4" w:rsidRDefault="00DE7CC4" w:rsidP="00F32ED8">
      <w:pPr>
        <w:pStyle w:val="Prrafodelista"/>
        <w:tabs>
          <w:tab w:val="left" w:pos="284"/>
        </w:tabs>
        <w:ind w:left="0" w:right="49"/>
        <w:jc w:val="both"/>
        <w:rPr>
          <w:rFonts w:ascii="Times New Roman" w:hAnsi="Times New Roman" w:cs="Times New Roman"/>
          <w:color w:val="000000" w:themeColor="text1"/>
          <w:sz w:val="28"/>
          <w:lang w:val="es-ES"/>
        </w:rPr>
      </w:pPr>
      <w:r w:rsidRPr="00DE7CC4">
        <w:rPr>
          <w:rFonts w:ascii="Times New Roman" w:hAnsi="Times New Roman" w:cs="Times New Roman"/>
          <w:color w:val="000000" w:themeColor="text1"/>
          <w:sz w:val="28"/>
          <w:lang w:val="es-ES"/>
        </w:rPr>
        <w:t xml:space="preserve">123. </w:t>
      </w:r>
      <w:r w:rsidRPr="00DE7CC4">
        <w:rPr>
          <w:rFonts w:ascii="Times New Roman" w:hAnsi="Times New Roman" w:cs="Times New Roman"/>
          <w:color w:val="000000" w:themeColor="text1"/>
          <w:sz w:val="28"/>
          <w:lang w:val="es-ES"/>
        </w:rPr>
        <w:t>En este sent</w:t>
      </w:r>
      <w:r w:rsidRPr="00DE7CC4">
        <w:rPr>
          <w:rFonts w:ascii="Times New Roman" w:hAnsi="Times New Roman" w:cs="Times New Roman"/>
          <w:color w:val="000000" w:themeColor="text1"/>
          <w:sz w:val="28"/>
          <w:lang w:val="es-ES"/>
        </w:rPr>
        <w:t>ido, e</w:t>
      </w:r>
      <w:r w:rsidRPr="00DE7CC4">
        <w:rPr>
          <w:rFonts w:ascii="Times New Roman" w:hAnsi="Times New Roman" w:cs="Times New Roman"/>
          <w:color w:val="000000" w:themeColor="text1"/>
          <w:sz w:val="28"/>
          <w:lang w:val="es-ES"/>
        </w:rPr>
        <w:t>l derecho de propiedad ampara el ejercicio de las facultades de usar, gozar y disponer de los bienes de modo tal que sea posible explotar su valor de uso o de cambio. Si ello es así, los daños en vehículos automotores como resultado de un accidente d</w:t>
      </w:r>
      <w:r w:rsidRPr="00DE7CC4">
        <w:rPr>
          <w:rFonts w:ascii="Times New Roman" w:hAnsi="Times New Roman" w:cs="Times New Roman"/>
          <w:color w:val="000000" w:themeColor="text1"/>
          <w:sz w:val="28"/>
          <w:lang w:val="es-ES"/>
        </w:rPr>
        <w:t>e tránsito afectan el derecho de propiedad en tanto su causación reduce, en algún grado, las posibilidades del propietario para emplear el bien afectado o para disponer jurídicamente del mismo. Como se ha dicho, en virtud de la dimensión positiva del derec</w:t>
      </w:r>
      <w:r w:rsidRPr="00DE7CC4">
        <w:rPr>
          <w:rFonts w:ascii="Times New Roman" w:hAnsi="Times New Roman" w:cs="Times New Roman"/>
          <w:color w:val="000000" w:themeColor="text1"/>
          <w:sz w:val="28"/>
          <w:lang w:val="es-ES"/>
        </w:rPr>
        <w:t>ho de propiedad, al Legislador le corresponde expedir normas que protejan a los particulares frente a los daños causados por terceros previendo mecanismos adecuados para reclamar, cuando a ello haya lugar, la reparación de los daños que les sean imputables</w:t>
      </w:r>
      <w:r w:rsidRPr="00DE7CC4">
        <w:rPr>
          <w:rFonts w:ascii="Times New Roman" w:hAnsi="Times New Roman" w:cs="Times New Roman"/>
          <w:color w:val="000000" w:themeColor="text1"/>
          <w:sz w:val="28"/>
          <w:lang w:val="es-ES"/>
        </w:rPr>
        <w:t>. Así las cosas (i) la ausencia de un cuerpo legislativo con ese propósito o (ii) la vigencia de regulaciones que impongan al propietario cargas desproporcionadas para la defensa de su derecho, configurando un amparo insuficiente, vulnera</w:t>
      </w:r>
      <w:r w:rsidRPr="00DE7CC4">
        <w:rPr>
          <w:rFonts w:ascii="Times New Roman" w:hAnsi="Times New Roman" w:cs="Times New Roman"/>
          <w:color w:val="000000" w:themeColor="text1"/>
          <w:sz w:val="28"/>
          <w:lang w:val="es-ES"/>
        </w:rPr>
        <w:t>rían</w:t>
      </w:r>
      <w:r w:rsidRPr="00DE7CC4">
        <w:rPr>
          <w:rFonts w:ascii="Times New Roman" w:hAnsi="Times New Roman" w:cs="Times New Roman"/>
          <w:color w:val="000000" w:themeColor="text1"/>
          <w:sz w:val="28"/>
          <w:lang w:val="es-ES"/>
        </w:rPr>
        <w:t xml:space="preserve"> el deber esta</w:t>
      </w:r>
      <w:r w:rsidRPr="00DE7CC4">
        <w:rPr>
          <w:rFonts w:ascii="Times New Roman" w:hAnsi="Times New Roman" w:cs="Times New Roman"/>
          <w:color w:val="000000" w:themeColor="text1"/>
          <w:sz w:val="28"/>
          <w:lang w:val="es-ES"/>
        </w:rPr>
        <w:t>tal de proteger los bienes de los residentes en Colombia (</w:t>
      </w:r>
      <w:r w:rsidRPr="00DE7CC4">
        <w:rPr>
          <w:rFonts w:ascii="Times New Roman" w:hAnsi="Times New Roman" w:cs="Times New Roman"/>
          <w:color w:val="000000" w:themeColor="text1"/>
          <w:sz w:val="28"/>
          <w:lang w:val="es-ES"/>
        </w:rPr>
        <w:t>a</w:t>
      </w:r>
      <w:r w:rsidRPr="00DE7CC4">
        <w:rPr>
          <w:rFonts w:ascii="Times New Roman" w:hAnsi="Times New Roman" w:cs="Times New Roman"/>
          <w:color w:val="000000" w:themeColor="text1"/>
          <w:sz w:val="28"/>
          <w:lang w:val="es-ES"/>
        </w:rPr>
        <w:t>rt. 2) y el derecho a la propiedad (</w:t>
      </w:r>
      <w:r w:rsidRPr="00DE7CC4">
        <w:rPr>
          <w:rFonts w:ascii="Times New Roman" w:hAnsi="Times New Roman" w:cs="Times New Roman"/>
          <w:color w:val="000000" w:themeColor="text1"/>
          <w:sz w:val="28"/>
          <w:lang w:val="es-ES"/>
        </w:rPr>
        <w:t>a</w:t>
      </w:r>
      <w:r w:rsidRPr="00DE7CC4">
        <w:rPr>
          <w:rFonts w:ascii="Times New Roman" w:hAnsi="Times New Roman" w:cs="Times New Roman"/>
          <w:color w:val="000000" w:themeColor="text1"/>
          <w:sz w:val="28"/>
          <w:lang w:val="es-ES"/>
        </w:rPr>
        <w:t>rt. 58).</w:t>
      </w:r>
    </w:p>
    <w:p w:rsidR="00F32ED8" w:rsidRPr="00DE7CC4" w:rsidRDefault="00DE7CC4" w:rsidP="00F32ED8">
      <w:pPr>
        <w:ind w:right="-234"/>
        <w:rPr>
          <w:rFonts w:ascii="Times New Roman" w:hAnsi="Times New Roman" w:cs="Times New Roman"/>
          <w:color w:val="000000" w:themeColor="text1"/>
          <w:sz w:val="28"/>
          <w:lang w:val="es-ES"/>
        </w:rPr>
      </w:pPr>
    </w:p>
    <w:p w:rsidR="00F32ED8" w:rsidRPr="00DE7CC4" w:rsidRDefault="00DE7CC4" w:rsidP="00F32ED8">
      <w:pPr>
        <w:ind w:right="49"/>
        <w:jc w:val="both"/>
        <w:rPr>
          <w:rFonts w:ascii="Times New Roman" w:hAnsi="Times New Roman" w:cs="Times New Roman"/>
          <w:b/>
          <w:bCs/>
          <w:color w:val="000000" w:themeColor="text1"/>
          <w:sz w:val="28"/>
          <w:lang w:val="es-ES"/>
        </w:rPr>
      </w:pPr>
      <w:r w:rsidRPr="00DE7CC4">
        <w:rPr>
          <w:rFonts w:ascii="Times New Roman" w:hAnsi="Times New Roman" w:cs="Times New Roman"/>
          <w:b/>
          <w:bCs/>
          <w:color w:val="000000" w:themeColor="text1"/>
          <w:sz w:val="28"/>
          <w:lang w:val="es-ES"/>
        </w:rPr>
        <w:t xml:space="preserve">Análisis de la disposición demandada a través de un juicio de proporcionalidad en intensidad leve </w:t>
      </w:r>
    </w:p>
    <w:p w:rsidR="00F32ED8" w:rsidRPr="00DE7CC4" w:rsidRDefault="00DE7CC4" w:rsidP="00F32ED8">
      <w:pPr>
        <w:ind w:right="-234"/>
        <w:rPr>
          <w:rFonts w:ascii="Times New Roman" w:hAnsi="Times New Roman" w:cs="Times New Roman"/>
          <w:color w:val="000000" w:themeColor="text1"/>
          <w:sz w:val="28"/>
          <w:lang w:val="es-ES"/>
        </w:rPr>
      </w:pPr>
    </w:p>
    <w:p w:rsidR="00F32ED8" w:rsidRPr="00DE7CC4" w:rsidRDefault="00DE7CC4" w:rsidP="00F32ED8">
      <w:pPr>
        <w:ind w:right="49"/>
        <w:jc w:val="both"/>
        <w:rPr>
          <w:rFonts w:ascii="Times New Roman" w:hAnsi="Times New Roman" w:cs="Times New Roman"/>
          <w:color w:val="000000" w:themeColor="text1"/>
          <w:sz w:val="28"/>
        </w:rPr>
      </w:pPr>
      <w:r w:rsidRPr="00DE7CC4">
        <w:rPr>
          <w:rFonts w:ascii="Times New Roman" w:hAnsi="Times New Roman" w:cs="Times New Roman"/>
          <w:color w:val="000000" w:themeColor="text1"/>
          <w:sz w:val="28"/>
          <w:lang w:val="es-ES"/>
        </w:rPr>
        <w:t>124. Para la Corte Constitucional la disposición d</w:t>
      </w:r>
      <w:r w:rsidRPr="00DE7CC4">
        <w:rPr>
          <w:rFonts w:ascii="Times New Roman" w:hAnsi="Times New Roman" w:cs="Times New Roman"/>
          <w:color w:val="000000" w:themeColor="text1"/>
          <w:sz w:val="28"/>
          <w:lang w:val="es-ES"/>
        </w:rPr>
        <w:t>emandada</w:t>
      </w:r>
      <w:r w:rsidRPr="00DE7CC4">
        <w:rPr>
          <w:rFonts w:ascii="Times New Roman" w:hAnsi="Times New Roman" w:cs="Times New Roman"/>
          <w:color w:val="000000" w:themeColor="text1"/>
          <w:sz w:val="28"/>
          <w:lang w:val="es-ES"/>
        </w:rPr>
        <w:t>, interpretada a la luz de la Constitución Política,</w:t>
      </w:r>
      <w:r w:rsidRPr="00DE7CC4">
        <w:rPr>
          <w:rFonts w:ascii="Times New Roman" w:hAnsi="Times New Roman" w:cs="Times New Roman"/>
          <w:color w:val="000000" w:themeColor="text1"/>
          <w:sz w:val="28"/>
          <w:lang w:val="es-ES"/>
        </w:rPr>
        <w:t xml:space="preserve"> no implica una infracción al derecho de propiedad. </w:t>
      </w:r>
      <w:r w:rsidRPr="00DE7CC4">
        <w:rPr>
          <w:rFonts w:ascii="Times New Roman" w:hAnsi="Times New Roman" w:cs="Times New Roman"/>
          <w:color w:val="000000" w:themeColor="text1"/>
          <w:sz w:val="28"/>
        </w:rPr>
        <w:t>Metodológicamente, a efectos de juzgar el artículo cuestionado, el estudio se realizará a través del juicio integrado de proporcionalidad</w:t>
      </w:r>
      <w:r w:rsidRPr="00DE7CC4">
        <w:rPr>
          <w:rStyle w:val="Refdenotaalpie"/>
          <w:rFonts w:ascii="Times New Roman" w:hAnsi="Times New Roman"/>
          <w:color w:val="000000" w:themeColor="text1"/>
          <w:sz w:val="28"/>
        </w:rPr>
        <w:footnoteReference w:id="167"/>
      </w:r>
      <w:r w:rsidRPr="00DE7CC4">
        <w:rPr>
          <w:rFonts w:ascii="Times New Roman" w:hAnsi="Times New Roman" w:cs="Times New Roman"/>
          <w:color w:val="000000" w:themeColor="text1"/>
          <w:sz w:val="28"/>
        </w:rPr>
        <w:t>,  com</w:t>
      </w:r>
      <w:r w:rsidRPr="00DE7CC4">
        <w:rPr>
          <w:rFonts w:ascii="Times New Roman" w:hAnsi="Times New Roman" w:cs="Times New Roman"/>
          <w:color w:val="000000" w:themeColor="text1"/>
          <w:sz w:val="28"/>
        </w:rPr>
        <w:t>puesto por el principio de proporcionalidad clásico</w:t>
      </w:r>
      <w:r w:rsidRPr="00DE7CC4">
        <w:rPr>
          <w:rStyle w:val="Refdenotaalpie"/>
          <w:rFonts w:ascii="Times New Roman" w:hAnsi="Times New Roman"/>
          <w:color w:val="000000" w:themeColor="text1"/>
          <w:sz w:val="28"/>
        </w:rPr>
        <w:footnoteReference w:id="168"/>
      </w:r>
      <w:r w:rsidRPr="00DE7CC4">
        <w:rPr>
          <w:rFonts w:ascii="Times New Roman" w:hAnsi="Times New Roman" w:cs="Times New Roman"/>
          <w:color w:val="000000" w:themeColor="text1"/>
          <w:sz w:val="28"/>
        </w:rPr>
        <w:t xml:space="preserve"> y un test que, basado en tres intensidades o escrutinios, permite abordar diferencialmente grupos de casos que merecen tal tratamiento por involucrar -en mayor o menor medida- el ámbito de configuración </w:t>
      </w:r>
      <w:r w:rsidRPr="00DE7CC4">
        <w:rPr>
          <w:rFonts w:ascii="Times New Roman" w:hAnsi="Times New Roman" w:cs="Times New Roman"/>
          <w:color w:val="000000" w:themeColor="text1"/>
          <w:sz w:val="28"/>
        </w:rPr>
        <w:t>del Legislador</w:t>
      </w:r>
      <w:r w:rsidRPr="00DE7CC4">
        <w:rPr>
          <w:rStyle w:val="Refdenotaalpie"/>
          <w:rFonts w:ascii="Times New Roman" w:hAnsi="Times New Roman"/>
          <w:color w:val="000000" w:themeColor="text1"/>
          <w:sz w:val="28"/>
        </w:rPr>
        <w:footnoteReference w:id="169"/>
      </w:r>
      <w:r w:rsidRPr="00DE7CC4">
        <w:rPr>
          <w:rFonts w:ascii="Times New Roman" w:hAnsi="Times New Roman" w:cs="Times New Roman"/>
          <w:color w:val="000000" w:themeColor="text1"/>
          <w:sz w:val="28"/>
        </w:rPr>
        <w:t xml:space="preserve">. En atención a lo anterior, el primer aspecto que debe establecerse es la intensidad en la que se adelantará el juicio. </w:t>
      </w:r>
    </w:p>
    <w:p w:rsidR="00F32ED8" w:rsidRPr="00DE7CC4" w:rsidRDefault="00DE7CC4" w:rsidP="00F32ED8">
      <w:pPr>
        <w:ind w:right="49"/>
        <w:jc w:val="both"/>
        <w:rPr>
          <w:rFonts w:ascii="Times New Roman" w:hAnsi="Times New Roman" w:cs="Times New Roman"/>
          <w:color w:val="000000" w:themeColor="text1"/>
          <w:sz w:val="28"/>
        </w:rPr>
      </w:pPr>
    </w:p>
    <w:p w:rsidR="00F32ED8" w:rsidRPr="00DE7CC4" w:rsidRDefault="00DE7CC4" w:rsidP="00F32ED8">
      <w:pPr>
        <w:ind w:right="49"/>
        <w:jc w:val="both"/>
        <w:rPr>
          <w:rFonts w:ascii="Times New Roman" w:hAnsi="Times New Roman" w:cs="Times New Roman"/>
          <w:color w:val="000000" w:themeColor="text1"/>
          <w:sz w:val="28"/>
          <w:lang w:val="es-ES"/>
        </w:rPr>
      </w:pPr>
      <w:r w:rsidRPr="00DE7CC4">
        <w:rPr>
          <w:rFonts w:ascii="Times New Roman" w:hAnsi="Times New Roman" w:cs="Times New Roman"/>
          <w:color w:val="000000" w:themeColor="text1"/>
          <w:sz w:val="28"/>
        </w:rPr>
        <w:t xml:space="preserve">125. </w:t>
      </w:r>
      <w:r w:rsidRPr="00DE7CC4">
        <w:rPr>
          <w:rFonts w:ascii="Times New Roman" w:hAnsi="Times New Roman" w:cs="Times New Roman"/>
          <w:color w:val="000000" w:themeColor="text1"/>
          <w:sz w:val="28"/>
          <w:lang w:val="es-ES"/>
        </w:rPr>
        <w:t>Para esta Corporación el examen debe realizarse en una intensidad débil</w:t>
      </w:r>
      <w:r w:rsidRPr="00DE7CC4">
        <w:rPr>
          <w:rStyle w:val="Refdenotaalpie"/>
          <w:rFonts w:ascii="Times New Roman" w:hAnsi="Times New Roman"/>
          <w:color w:val="000000" w:themeColor="text1"/>
          <w:sz w:val="28"/>
          <w:lang w:val="es-ES"/>
        </w:rPr>
        <w:footnoteReference w:id="170"/>
      </w:r>
      <w:r w:rsidRPr="00DE7CC4">
        <w:rPr>
          <w:rFonts w:ascii="Times New Roman" w:hAnsi="Times New Roman" w:cs="Times New Roman"/>
          <w:color w:val="000000" w:themeColor="text1"/>
          <w:sz w:val="28"/>
          <w:lang w:val="es-ES"/>
        </w:rPr>
        <w:t>, que preserve la competencia del Congreso para valorar las diversas alternativas que existen para regular el tránsito y proteger a los propietarios de vehículos automotores. Ello es así dado que, por un lado, la regulación del tránsito terrestre y del rég</w:t>
      </w:r>
      <w:r w:rsidRPr="00DE7CC4">
        <w:rPr>
          <w:rFonts w:ascii="Times New Roman" w:hAnsi="Times New Roman" w:cs="Times New Roman"/>
          <w:color w:val="000000" w:themeColor="text1"/>
          <w:sz w:val="28"/>
          <w:lang w:val="es-ES"/>
        </w:rPr>
        <w:t xml:space="preserve">imen de responsabilidad civil derivada de los accidentes automovilísticos se integra a una competencia respecto de la cual el Legislador dispone de un amplio margen de configuración, en virtud de lo dispuesto en el artículo 150.2 de la Constitución. Y, de </w:t>
      </w:r>
      <w:r w:rsidRPr="00DE7CC4">
        <w:rPr>
          <w:rFonts w:ascii="Times New Roman" w:hAnsi="Times New Roman" w:cs="Times New Roman"/>
          <w:color w:val="000000" w:themeColor="text1"/>
          <w:sz w:val="28"/>
          <w:lang w:val="es-ES"/>
        </w:rPr>
        <w:t>otro lado, la disposición acusada prevé un sistema que no elimina la protección de la propiedad ni priva a las personas cuyos bienes han sido afectados en un accidente de tránsito de instrumentos para probar los daños causados. De este modo no se evidencia</w:t>
      </w:r>
      <w:r w:rsidRPr="00DE7CC4">
        <w:rPr>
          <w:rFonts w:ascii="Times New Roman" w:hAnsi="Times New Roman" w:cs="Times New Roman"/>
          <w:color w:val="000000" w:themeColor="text1"/>
          <w:sz w:val="28"/>
          <w:lang w:val="es-ES"/>
        </w:rPr>
        <w:t xml:space="preserve">, al menos en principio, una restricción significativa de las facultades del propietario que justifiquen un escrutinio más exigente.     </w:t>
      </w:r>
    </w:p>
    <w:p w:rsidR="00F32ED8" w:rsidRPr="00DE7CC4" w:rsidRDefault="00DE7CC4" w:rsidP="00F32ED8">
      <w:pPr>
        <w:ind w:right="49"/>
        <w:jc w:val="both"/>
        <w:rPr>
          <w:rFonts w:ascii="Times New Roman" w:hAnsi="Times New Roman" w:cs="Times New Roman"/>
          <w:color w:val="000000" w:themeColor="text1"/>
          <w:sz w:val="28"/>
          <w:lang w:val="es-ES"/>
        </w:rPr>
      </w:pPr>
    </w:p>
    <w:p w:rsidR="00F32ED8" w:rsidRPr="00DE7CC4" w:rsidRDefault="00DE7CC4" w:rsidP="00F32ED8">
      <w:pPr>
        <w:ind w:right="49"/>
        <w:jc w:val="both"/>
        <w:rPr>
          <w:rFonts w:ascii="Times New Roman" w:hAnsi="Times New Roman" w:cs="Times New Roman"/>
          <w:color w:val="000000" w:themeColor="text1"/>
          <w:sz w:val="28"/>
          <w:lang w:val="es-ES"/>
        </w:rPr>
      </w:pPr>
      <w:r w:rsidRPr="00DE7CC4">
        <w:rPr>
          <w:rFonts w:ascii="Times New Roman" w:hAnsi="Times New Roman" w:cs="Times New Roman"/>
          <w:color w:val="000000" w:themeColor="text1"/>
          <w:sz w:val="28"/>
          <w:lang w:val="es-ES"/>
        </w:rPr>
        <w:t>126. En cuanto a lo primero, debe precisarse que la jurisprudencia reiterada y pacífica de esta Corporación ha consid</w:t>
      </w:r>
      <w:r w:rsidRPr="00DE7CC4">
        <w:rPr>
          <w:rFonts w:ascii="Times New Roman" w:hAnsi="Times New Roman" w:cs="Times New Roman"/>
          <w:color w:val="000000" w:themeColor="text1"/>
          <w:sz w:val="28"/>
          <w:lang w:val="es-ES"/>
        </w:rPr>
        <w:t xml:space="preserve">erado que la regulación del tránsito terrestre es una competencia que recae sobre el Legislador de manera amplia, en atención a que tiene por objeto regular una actividad de alcance riesgoso que compromete la garantía, entre otros derechos, de movilidad y </w:t>
      </w:r>
      <w:r w:rsidRPr="00DE7CC4">
        <w:rPr>
          <w:rFonts w:ascii="Times New Roman" w:hAnsi="Times New Roman" w:cs="Times New Roman"/>
          <w:color w:val="000000" w:themeColor="text1"/>
          <w:sz w:val="28"/>
          <w:lang w:val="es-ES"/>
        </w:rPr>
        <w:t>circulación de las personas</w:t>
      </w:r>
      <w:r w:rsidRPr="00DE7CC4">
        <w:rPr>
          <w:rStyle w:val="Refdenotaalpie"/>
          <w:rFonts w:ascii="Times New Roman" w:hAnsi="Times New Roman"/>
          <w:color w:val="000000" w:themeColor="text1"/>
          <w:sz w:val="28"/>
          <w:lang w:val="es-ES"/>
        </w:rPr>
        <w:footnoteReference w:id="171"/>
      </w:r>
      <w:r w:rsidRPr="00DE7CC4">
        <w:rPr>
          <w:rFonts w:ascii="Times New Roman" w:hAnsi="Times New Roman" w:cs="Times New Roman"/>
          <w:color w:val="000000" w:themeColor="text1"/>
          <w:sz w:val="28"/>
          <w:lang w:val="es-ES"/>
        </w:rPr>
        <w:t xml:space="preserve">, su interés es público y en este escenario debe prevalecer este tipo de interés sobre el privado. Así, es una obligación del Estado, a través de las autoridades competentes, la emisión de normativas que garanticen la seguridad </w:t>
      </w:r>
      <w:r w:rsidRPr="00DE7CC4">
        <w:rPr>
          <w:rFonts w:ascii="Times New Roman" w:hAnsi="Times New Roman" w:cs="Times New Roman"/>
          <w:color w:val="000000" w:themeColor="text1"/>
          <w:sz w:val="28"/>
          <w:lang w:val="es-ES"/>
        </w:rPr>
        <w:t>vial y, en consecuencia, la protección de la vida e integridad de los actores viales y de los bienes e infraestructura comprometida, el medio ambiente y otros fines. La Sentencia C-144 de 2009</w:t>
      </w:r>
      <w:r w:rsidRPr="00DE7CC4">
        <w:rPr>
          <w:rStyle w:val="Refdenotaalpie"/>
          <w:rFonts w:ascii="Times New Roman" w:hAnsi="Times New Roman"/>
          <w:color w:val="000000" w:themeColor="text1"/>
          <w:sz w:val="28"/>
          <w:lang w:val="es-ES"/>
        </w:rPr>
        <w:footnoteReference w:id="172"/>
      </w:r>
      <w:r w:rsidRPr="00DE7CC4">
        <w:rPr>
          <w:rFonts w:ascii="Times New Roman" w:hAnsi="Times New Roman" w:cs="Times New Roman"/>
          <w:color w:val="000000" w:themeColor="text1"/>
          <w:sz w:val="28"/>
          <w:lang w:val="es-ES"/>
        </w:rPr>
        <w:t>, indicó que:</w:t>
      </w:r>
    </w:p>
    <w:p w:rsidR="00F32ED8" w:rsidRPr="00DE7CC4" w:rsidRDefault="00DE7CC4" w:rsidP="00F32ED8">
      <w:pPr>
        <w:ind w:right="49"/>
        <w:jc w:val="both"/>
        <w:rPr>
          <w:rFonts w:ascii="Times New Roman" w:hAnsi="Times New Roman" w:cs="Times New Roman"/>
          <w:color w:val="000000" w:themeColor="text1"/>
          <w:sz w:val="28"/>
          <w:lang w:val="es-ES"/>
        </w:rPr>
      </w:pPr>
    </w:p>
    <w:p w:rsidR="00F32ED8" w:rsidRPr="00DE7CC4" w:rsidRDefault="00DE7CC4" w:rsidP="00F32ED8">
      <w:pPr>
        <w:shd w:val="clear" w:color="auto" w:fill="FFFFFF"/>
        <w:ind w:left="567" w:right="333"/>
        <w:jc w:val="both"/>
        <w:rPr>
          <w:rFonts w:ascii="Times New Roman" w:hAnsi="Times New Roman" w:cs="Times New Roman"/>
          <w:color w:val="000000" w:themeColor="text1"/>
          <w:sz w:val="28"/>
        </w:rPr>
      </w:pPr>
      <w:r w:rsidRPr="00DE7CC4">
        <w:rPr>
          <w:rFonts w:ascii="Times New Roman" w:hAnsi="Times New Roman" w:cs="Times New Roman"/>
          <w:color w:val="000000" w:themeColor="text1"/>
          <w:sz w:val="28"/>
        </w:rPr>
        <w:t>“4.1. El transporte terrestre es una actividad s</w:t>
      </w:r>
      <w:r w:rsidRPr="00DE7CC4">
        <w:rPr>
          <w:rFonts w:ascii="Times New Roman" w:hAnsi="Times New Roman" w:cs="Times New Roman"/>
          <w:color w:val="000000" w:themeColor="text1"/>
          <w:sz w:val="28"/>
        </w:rPr>
        <w:t>ocial y económica que facilita la  realización del derecho de libre movimiento y circulación, así como de derechos vinculados con la libertad económica y la iniciativa privada relacionada con la prestación del servicio público de transporte. Su ejercicio a</w:t>
      </w:r>
      <w:r w:rsidRPr="00DE7CC4">
        <w:rPr>
          <w:rFonts w:ascii="Times New Roman" w:hAnsi="Times New Roman" w:cs="Times New Roman"/>
          <w:color w:val="000000" w:themeColor="text1"/>
          <w:sz w:val="28"/>
        </w:rPr>
        <w:t>rriesga derechos fundamentales de los ciudadanos a la vida, la integridad y la seguridad, por el peligro que entraña la movilización a través de vehículos -velocidad de la movilización y contundencia de los mismos-. También impacta en derechos colectivos c</w:t>
      </w:r>
      <w:r w:rsidRPr="00DE7CC4">
        <w:rPr>
          <w:rFonts w:ascii="Times New Roman" w:hAnsi="Times New Roman" w:cs="Times New Roman"/>
          <w:color w:val="000000" w:themeColor="text1"/>
          <w:sz w:val="28"/>
        </w:rPr>
        <w:t>omo el medio ambiente y el uso del espacio público (vgr. vías, calles, bahías, publicidad exterior, contaminación del aire, etc.). Como consecuencia de ello, es objeto de una fuerte regulación por el Legislador, al punto tal de que la Corte ha reconocido q</w:t>
      </w:r>
      <w:r w:rsidRPr="00DE7CC4">
        <w:rPr>
          <w:rFonts w:ascii="Times New Roman" w:hAnsi="Times New Roman" w:cs="Times New Roman"/>
          <w:color w:val="000000" w:themeColor="text1"/>
          <w:sz w:val="28"/>
        </w:rPr>
        <w:t>ue es “legítima una amplia intervención policiva del Estado [en estas materias], con el fin de garantizar el orden, y proteger los derechos” de los ciudadanos”.</w:t>
      </w:r>
    </w:p>
    <w:p w:rsidR="00F32ED8" w:rsidRPr="00DE7CC4" w:rsidRDefault="00DE7CC4" w:rsidP="00F32ED8">
      <w:pPr>
        <w:shd w:val="clear" w:color="auto" w:fill="FFFFFF"/>
        <w:ind w:right="49"/>
        <w:jc w:val="both"/>
        <w:rPr>
          <w:rFonts w:ascii="Times New Roman" w:hAnsi="Times New Roman" w:cs="Times New Roman"/>
          <w:color w:val="000000" w:themeColor="text1"/>
          <w:sz w:val="28"/>
        </w:rPr>
      </w:pPr>
    </w:p>
    <w:p w:rsidR="00F32ED8" w:rsidRPr="00DE7CC4" w:rsidRDefault="00DE7CC4" w:rsidP="00F32ED8">
      <w:pPr>
        <w:shd w:val="clear" w:color="auto" w:fill="FFFFFF"/>
        <w:ind w:right="49"/>
        <w:jc w:val="both"/>
        <w:rPr>
          <w:rFonts w:ascii="Times New Roman" w:hAnsi="Times New Roman" w:cs="Times New Roman"/>
          <w:color w:val="000000" w:themeColor="text1"/>
          <w:sz w:val="28"/>
        </w:rPr>
      </w:pPr>
      <w:r w:rsidRPr="00DE7CC4">
        <w:rPr>
          <w:rFonts w:ascii="Times New Roman" w:hAnsi="Times New Roman" w:cs="Times New Roman"/>
          <w:color w:val="000000" w:themeColor="text1"/>
          <w:sz w:val="28"/>
        </w:rPr>
        <w:t>127. Con el mismo alcance, la Sentencia C-321 de 2022</w:t>
      </w:r>
      <w:r w:rsidRPr="00DE7CC4">
        <w:rPr>
          <w:rStyle w:val="Refdenotaalpie"/>
          <w:rFonts w:ascii="Times New Roman" w:hAnsi="Times New Roman"/>
          <w:color w:val="000000" w:themeColor="text1"/>
          <w:sz w:val="28"/>
        </w:rPr>
        <w:footnoteReference w:id="173"/>
      </w:r>
      <w:r w:rsidRPr="00DE7CC4">
        <w:rPr>
          <w:rFonts w:ascii="Times New Roman" w:hAnsi="Times New Roman" w:cs="Times New Roman"/>
          <w:color w:val="000000" w:themeColor="text1"/>
          <w:sz w:val="28"/>
        </w:rPr>
        <w:t>, reiteró que el carácter riesgoso de la</w:t>
      </w:r>
      <w:r w:rsidRPr="00DE7CC4">
        <w:rPr>
          <w:rFonts w:ascii="Times New Roman" w:hAnsi="Times New Roman" w:cs="Times New Roman"/>
          <w:color w:val="000000" w:themeColor="text1"/>
          <w:sz w:val="28"/>
        </w:rPr>
        <w:t xml:space="preserve"> actividad justificaba una regulación </w:t>
      </w:r>
      <w:r w:rsidRPr="00DE7CC4">
        <w:rPr>
          <w:rFonts w:ascii="Times New Roman" w:hAnsi="Times New Roman" w:cs="Times New Roman"/>
          <w:i/>
          <w:iCs/>
          <w:color w:val="000000" w:themeColor="text1"/>
          <w:sz w:val="28"/>
        </w:rPr>
        <w:t xml:space="preserve">intensa </w:t>
      </w:r>
      <w:r w:rsidRPr="00DE7CC4">
        <w:rPr>
          <w:rFonts w:ascii="Times New Roman" w:hAnsi="Times New Roman" w:cs="Times New Roman"/>
          <w:color w:val="000000" w:themeColor="text1"/>
          <w:sz w:val="28"/>
        </w:rPr>
        <w:t xml:space="preserve">por parte del legislador, dirigida, fundamentalmente, a la protección de la vida y </w:t>
      </w:r>
      <w:r w:rsidRPr="00DE7CC4">
        <w:rPr>
          <w:rFonts w:ascii="Times New Roman" w:hAnsi="Times New Roman" w:cs="Times New Roman"/>
          <w:color w:val="000000" w:themeColor="text1"/>
          <w:sz w:val="28"/>
        </w:rPr>
        <w:t xml:space="preserve">de </w:t>
      </w:r>
      <w:r w:rsidRPr="00DE7CC4">
        <w:rPr>
          <w:rFonts w:ascii="Times New Roman" w:hAnsi="Times New Roman" w:cs="Times New Roman"/>
          <w:color w:val="000000" w:themeColor="text1"/>
          <w:sz w:val="28"/>
        </w:rPr>
        <w:t>los bienes de las personas; por lo cual, “</w:t>
      </w:r>
      <w:r w:rsidRPr="00DE7CC4">
        <w:rPr>
          <w:rFonts w:ascii="Times New Roman" w:hAnsi="Times New Roman" w:cs="Times New Roman"/>
          <w:color w:val="000000" w:themeColor="text1"/>
          <w:sz w:val="28"/>
          <w:shd w:val="clear" w:color="auto" w:fill="FFFFFF"/>
        </w:rPr>
        <w:t>(i) el Legislador “tiene una amplia libertad de configuración respecto de la misma</w:t>
      </w:r>
      <w:r w:rsidRPr="00DE7CC4">
        <w:rPr>
          <w:rFonts w:ascii="Times New Roman" w:hAnsi="Times New Roman" w:cs="Times New Roman"/>
          <w:color w:val="000000" w:themeColor="text1"/>
          <w:sz w:val="28"/>
          <w:shd w:val="clear" w:color="auto" w:fill="FFFFFF"/>
        </w:rPr>
        <w:t>” y que, en consecuencia, (ii) el control constitucional ejercido sobre las regulaciones de tránsito “no debe ser tan riguroso como en otros campos a fin de no vulnerar esa amplitud de la libertad de configuración del Legislador”.</w:t>
      </w:r>
      <w:r w:rsidRPr="00DE7CC4">
        <w:rPr>
          <w:rFonts w:ascii="Times New Roman" w:hAnsi="Times New Roman" w:cs="Times New Roman"/>
          <w:color w:val="000000" w:themeColor="text1"/>
          <w:sz w:val="28"/>
        </w:rPr>
        <w:t xml:space="preserve"> </w:t>
      </w:r>
    </w:p>
    <w:p w:rsidR="00F32ED8" w:rsidRPr="00DE7CC4" w:rsidRDefault="00DE7CC4" w:rsidP="00F32ED8">
      <w:pPr>
        <w:shd w:val="clear" w:color="auto" w:fill="FFFFFF"/>
        <w:ind w:right="49"/>
        <w:jc w:val="both"/>
        <w:rPr>
          <w:rFonts w:ascii="Times New Roman" w:hAnsi="Times New Roman" w:cs="Times New Roman"/>
          <w:color w:val="000000" w:themeColor="text1"/>
          <w:sz w:val="28"/>
        </w:rPr>
      </w:pPr>
    </w:p>
    <w:p w:rsidR="00F32ED8" w:rsidRPr="00DE7CC4" w:rsidRDefault="00DE7CC4" w:rsidP="00F32ED8">
      <w:pPr>
        <w:shd w:val="clear" w:color="auto" w:fill="FFFFFF"/>
        <w:ind w:right="49"/>
        <w:jc w:val="both"/>
        <w:rPr>
          <w:rFonts w:ascii="Times New Roman" w:hAnsi="Times New Roman" w:cs="Times New Roman"/>
          <w:color w:val="000000" w:themeColor="text1"/>
          <w:sz w:val="28"/>
        </w:rPr>
      </w:pPr>
      <w:r w:rsidRPr="00DE7CC4">
        <w:rPr>
          <w:rFonts w:ascii="Times New Roman" w:hAnsi="Times New Roman" w:cs="Times New Roman"/>
          <w:color w:val="000000" w:themeColor="text1"/>
          <w:sz w:val="28"/>
        </w:rPr>
        <w:t>128. Aunado a lo anteri</w:t>
      </w:r>
      <w:r w:rsidRPr="00DE7CC4">
        <w:rPr>
          <w:rFonts w:ascii="Times New Roman" w:hAnsi="Times New Roman" w:cs="Times New Roman"/>
          <w:color w:val="000000" w:themeColor="text1"/>
          <w:sz w:val="28"/>
        </w:rPr>
        <w:t xml:space="preserve">or, en este asunto se trata de </w:t>
      </w:r>
      <w:r w:rsidRPr="00DE7CC4">
        <w:rPr>
          <w:rFonts w:ascii="Times New Roman" w:hAnsi="Times New Roman" w:cs="Times New Roman"/>
          <w:color w:val="000000" w:themeColor="text1"/>
          <w:sz w:val="28"/>
        </w:rPr>
        <w:t>una</w:t>
      </w:r>
      <w:r w:rsidRPr="00DE7CC4">
        <w:rPr>
          <w:rFonts w:ascii="Times New Roman" w:hAnsi="Times New Roman" w:cs="Times New Roman"/>
          <w:color w:val="000000" w:themeColor="text1"/>
          <w:sz w:val="28"/>
        </w:rPr>
        <w:t xml:space="preserve"> regulación dirigida a crear instrumentos o vías de protección adecuadas para que quien se considere lesionado en </w:t>
      </w:r>
      <w:r w:rsidRPr="00DE7CC4">
        <w:rPr>
          <w:rFonts w:ascii="Times New Roman" w:hAnsi="Times New Roman" w:cs="Times New Roman"/>
          <w:color w:val="000000" w:themeColor="text1"/>
          <w:sz w:val="28"/>
        </w:rPr>
        <w:t>e</w:t>
      </w:r>
      <w:r w:rsidRPr="00DE7CC4">
        <w:rPr>
          <w:rFonts w:ascii="Times New Roman" w:hAnsi="Times New Roman" w:cs="Times New Roman"/>
          <w:color w:val="000000" w:themeColor="text1"/>
          <w:sz w:val="28"/>
        </w:rPr>
        <w:t xml:space="preserve">l derecho </w:t>
      </w:r>
      <w:r w:rsidRPr="00DE7CC4">
        <w:rPr>
          <w:rFonts w:ascii="Times New Roman" w:hAnsi="Times New Roman" w:cs="Times New Roman"/>
          <w:color w:val="000000" w:themeColor="text1"/>
          <w:sz w:val="28"/>
        </w:rPr>
        <w:t xml:space="preserve">a la propiedad </w:t>
      </w:r>
      <w:r w:rsidRPr="00DE7CC4">
        <w:rPr>
          <w:rFonts w:ascii="Times New Roman" w:hAnsi="Times New Roman" w:cs="Times New Roman"/>
          <w:color w:val="000000" w:themeColor="text1"/>
          <w:sz w:val="28"/>
        </w:rPr>
        <w:t>por virtud de un accidente de tránsito, pueda reclamar la indemnización de un daño</w:t>
      </w:r>
      <w:r w:rsidRPr="00DE7CC4">
        <w:rPr>
          <w:rFonts w:ascii="Times New Roman" w:hAnsi="Times New Roman" w:cs="Times New Roman"/>
          <w:color w:val="000000" w:themeColor="text1"/>
          <w:sz w:val="28"/>
        </w:rPr>
        <w:t>; escenario este en el que la competencia normativa del Congreso también es amplia</w:t>
      </w:r>
      <w:r w:rsidRPr="00DE7CC4">
        <w:rPr>
          <w:rFonts w:ascii="Times New Roman" w:hAnsi="Times New Roman" w:cs="Times New Roman"/>
          <w:color w:val="000000" w:themeColor="text1"/>
          <w:sz w:val="28"/>
        </w:rPr>
        <w:t xml:space="preserve"> porque se refiere a la adopción de vías o acciones para su defensa</w:t>
      </w:r>
      <w:r w:rsidRPr="00DE7CC4">
        <w:rPr>
          <w:rFonts w:ascii="Times New Roman" w:hAnsi="Times New Roman" w:cs="Times New Roman"/>
          <w:color w:val="000000" w:themeColor="text1"/>
          <w:sz w:val="28"/>
        </w:rPr>
        <w:t>. Por supuesto, todo esto, en uno y otro caso, con sujeción a criterios de razonabilidad y proporcionalidad</w:t>
      </w:r>
      <w:r w:rsidRPr="00DE7CC4">
        <w:rPr>
          <w:rStyle w:val="Refdenotaalpie"/>
          <w:rFonts w:ascii="Times New Roman" w:hAnsi="Times New Roman"/>
          <w:color w:val="000000" w:themeColor="text1"/>
          <w:sz w:val="28"/>
        </w:rPr>
        <w:footnoteReference w:id="174"/>
      </w:r>
      <w:r w:rsidRPr="00DE7CC4">
        <w:rPr>
          <w:rFonts w:ascii="Times New Roman" w:hAnsi="Times New Roman" w:cs="Times New Roman"/>
          <w:color w:val="000000" w:themeColor="text1"/>
          <w:sz w:val="28"/>
        </w:rPr>
        <w:t>.</w:t>
      </w:r>
      <w:r w:rsidRPr="00DE7CC4">
        <w:rPr>
          <w:rFonts w:ascii="Times New Roman" w:hAnsi="Times New Roman" w:cs="Times New Roman"/>
          <w:color w:val="000000" w:themeColor="text1"/>
          <w:sz w:val="28"/>
        </w:rPr>
        <w:t xml:space="preserve"> </w:t>
      </w:r>
    </w:p>
    <w:p w:rsidR="00F32ED8" w:rsidRPr="00DE7CC4" w:rsidRDefault="00DE7CC4" w:rsidP="00F32ED8">
      <w:pPr>
        <w:shd w:val="clear" w:color="auto" w:fill="FFFFFF"/>
        <w:ind w:right="333"/>
        <w:jc w:val="both"/>
        <w:rPr>
          <w:rFonts w:ascii="Times New Roman" w:hAnsi="Times New Roman" w:cs="Times New Roman"/>
          <w:color w:val="000000" w:themeColor="text1"/>
          <w:sz w:val="28"/>
        </w:rPr>
      </w:pPr>
    </w:p>
    <w:p w:rsidR="00F32ED8" w:rsidRPr="00DE7CC4" w:rsidRDefault="00DE7CC4" w:rsidP="00F32ED8">
      <w:pPr>
        <w:pStyle w:val="Prrafodelista"/>
        <w:tabs>
          <w:tab w:val="left" w:pos="284"/>
        </w:tabs>
        <w:ind w:left="0" w:right="49"/>
        <w:jc w:val="both"/>
        <w:rPr>
          <w:rFonts w:ascii="Times New Roman" w:hAnsi="Times New Roman" w:cs="Times New Roman"/>
          <w:color w:val="000000" w:themeColor="text1"/>
          <w:sz w:val="28"/>
          <w:lang w:val="es-ES"/>
        </w:rPr>
      </w:pPr>
      <w:r w:rsidRPr="00DE7CC4">
        <w:rPr>
          <w:rFonts w:ascii="Times New Roman" w:hAnsi="Times New Roman" w:cs="Times New Roman"/>
          <w:color w:val="000000" w:themeColor="text1"/>
          <w:sz w:val="28"/>
          <w:lang w:val="es-ES"/>
        </w:rPr>
        <w:t>129. Ahora bien, como ha quedado explicado en el acápite 2.1. de esta providencia, la disposición demandada elimina el deber de las autoridades de tránsito en colisiones que tengan solamente impacto material de desplegar su actividad para que se conci</w:t>
      </w:r>
      <w:r w:rsidRPr="00DE7CC4">
        <w:rPr>
          <w:rFonts w:ascii="Times New Roman" w:hAnsi="Times New Roman" w:cs="Times New Roman"/>
          <w:color w:val="000000" w:themeColor="text1"/>
          <w:sz w:val="28"/>
          <w:lang w:val="es-ES"/>
        </w:rPr>
        <w:t>lie o, en su defecto, se elabore el informe policía de accidente de tránsito. No obstante, esta nueva regulación -completamente independiente a la obligación de las autoridades de tránsito de establecer la posible comisión de infracciones de tránsito- no d</w:t>
      </w:r>
      <w:r w:rsidRPr="00DE7CC4">
        <w:rPr>
          <w:rFonts w:ascii="Times New Roman" w:hAnsi="Times New Roman" w:cs="Times New Roman"/>
          <w:color w:val="000000" w:themeColor="text1"/>
          <w:sz w:val="28"/>
          <w:lang w:val="es-ES"/>
        </w:rPr>
        <w:t>esconoce la necesidad de que los interesados recauden las pruebas para que, posteriormente, puedan acudir a las vías correspondientes y</w:t>
      </w:r>
      <w:r w:rsidRPr="00DE7CC4">
        <w:rPr>
          <w:rFonts w:ascii="Times New Roman" w:hAnsi="Times New Roman" w:cs="Times New Roman"/>
          <w:color w:val="000000" w:themeColor="text1"/>
          <w:sz w:val="28"/>
          <w:lang w:val="es-ES"/>
        </w:rPr>
        <w:t>,</w:t>
      </w:r>
      <w:r w:rsidRPr="00DE7CC4">
        <w:rPr>
          <w:rFonts w:ascii="Times New Roman" w:hAnsi="Times New Roman" w:cs="Times New Roman"/>
          <w:color w:val="000000" w:themeColor="text1"/>
          <w:sz w:val="28"/>
          <w:lang w:val="es-ES"/>
        </w:rPr>
        <w:t xml:space="preserve"> según las condiciones de aseguramiento de los vehículos</w:t>
      </w:r>
      <w:r w:rsidRPr="00DE7CC4">
        <w:rPr>
          <w:rFonts w:ascii="Times New Roman" w:hAnsi="Times New Roman" w:cs="Times New Roman"/>
          <w:color w:val="000000" w:themeColor="text1"/>
          <w:sz w:val="28"/>
          <w:lang w:val="es-ES"/>
        </w:rPr>
        <w:t>,</w:t>
      </w:r>
      <w:r w:rsidRPr="00DE7CC4">
        <w:rPr>
          <w:rFonts w:ascii="Times New Roman" w:hAnsi="Times New Roman" w:cs="Times New Roman"/>
          <w:color w:val="000000" w:themeColor="text1"/>
          <w:sz w:val="28"/>
          <w:lang w:val="es-ES"/>
        </w:rPr>
        <w:t xml:space="preserve"> obtener la reparación a que haya lugar, régimen que, prima fac</w:t>
      </w:r>
      <w:r w:rsidRPr="00DE7CC4">
        <w:rPr>
          <w:rFonts w:ascii="Times New Roman" w:hAnsi="Times New Roman" w:cs="Times New Roman"/>
          <w:color w:val="000000" w:themeColor="text1"/>
          <w:sz w:val="28"/>
          <w:lang w:val="es-ES"/>
        </w:rPr>
        <w:t xml:space="preserve">ie, no se evidencia lesivo de facetas fundamentales del derecho de propiedad como para incrementar la intensidad del </w:t>
      </w:r>
      <w:r w:rsidRPr="00DE7CC4">
        <w:rPr>
          <w:rFonts w:ascii="Times New Roman" w:hAnsi="Times New Roman" w:cs="Times New Roman"/>
          <w:color w:val="000000" w:themeColor="text1"/>
          <w:sz w:val="28"/>
          <w:lang w:val="es-ES"/>
        </w:rPr>
        <w:t>juicio</w:t>
      </w:r>
      <w:r w:rsidRPr="00DE7CC4">
        <w:rPr>
          <w:rFonts w:ascii="Times New Roman" w:hAnsi="Times New Roman" w:cs="Times New Roman"/>
          <w:color w:val="000000" w:themeColor="text1"/>
          <w:sz w:val="28"/>
          <w:lang w:val="es-ES"/>
        </w:rPr>
        <w:t>. Nótese que, además, el artículo cuestionado es claro que las vías conciliatorias y judiciales son expresamente reconocidas para los</w:t>
      </w:r>
      <w:r w:rsidRPr="00DE7CC4">
        <w:rPr>
          <w:rFonts w:ascii="Times New Roman" w:hAnsi="Times New Roman" w:cs="Times New Roman"/>
          <w:color w:val="000000" w:themeColor="text1"/>
          <w:sz w:val="28"/>
          <w:lang w:val="es-ES"/>
        </w:rPr>
        <w:t xml:space="preserve"> interesados. </w:t>
      </w:r>
    </w:p>
    <w:p w:rsidR="00F32ED8" w:rsidRPr="00DE7CC4" w:rsidRDefault="00DE7CC4" w:rsidP="00F32ED8">
      <w:pPr>
        <w:pStyle w:val="Prrafodelista"/>
        <w:tabs>
          <w:tab w:val="left" w:pos="284"/>
        </w:tabs>
        <w:ind w:left="0" w:right="49"/>
        <w:jc w:val="both"/>
        <w:rPr>
          <w:rFonts w:ascii="Times New Roman" w:hAnsi="Times New Roman" w:cs="Times New Roman"/>
          <w:color w:val="000000" w:themeColor="text1"/>
          <w:sz w:val="28"/>
          <w:lang w:val="es-ES"/>
        </w:rPr>
      </w:pPr>
    </w:p>
    <w:p w:rsidR="00F32ED8" w:rsidRPr="00DE7CC4" w:rsidRDefault="00DE7CC4" w:rsidP="00F32ED8">
      <w:pPr>
        <w:pStyle w:val="Prrafodelista"/>
        <w:tabs>
          <w:tab w:val="left" w:pos="284"/>
        </w:tabs>
        <w:ind w:left="0" w:right="49"/>
        <w:jc w:val="both"/>
        <w:rPr>
          <w:rFonts w:ascii="Times New Roman" w:hAnsi="Times New Roman" w:cs="Times New Roman"/>
          <w:color w:val="000000" w:themeColor="text1"/>
          <w:sz w:val="28"/>
          <w:lang w:val="es-ES"/>
        </w:rPr>
      </w:pPr>
      <w:r w:rsidRPr="00DE7CC4">
        <w:rPr>
          <w:rFonts w:ascii="Times New Roman" w:hAnsi="Times New Roman" w:cs="Times New Roman"/>
          <w:color w:val="000000" w:themeColor="text1"/>
          <w:sz w:val="28"/>
          <w:lang w:val="es-ES"/>
        </w:rPr>
        <w:t xml:space="preserve">130. </w:t>
      </w:r>
      <w:r w:rsidRPr="00DE7CC4">
        <w:rPr>
          <w:rFonts w:ascii="Times New Roman" w:hAnsi="Times New Roman" w:cs="Times New Roman"/>
          <w:color w:val="000000" w:themeColor="text1"/>
          <w:sz w:val="28"/>
          <w:lang w:val="es-ES"/>
        </w:rPr>
        <w:t>En adición</w:t>
      </w:r>
      <w:r w:rsidRPr="00DE7CC4">
        <w:rPr>
          <w:rFonts w:ascii="Times New Roman" w:hAnsi="Times New Roman" w:cs="Times New Roman"/>
          <w:color w:val="000000" w:themeColor="text1"/>
          <w:sz w:val="28"/>
          <w:lang w:val="es-ES"/>
        </w:rPr>
        <w:t xml:space="preserve">, es importante resaltar que esta nueva regulación tampoco impacta aquellos casos en los que los accidentes involucran lesiones a personas, pues allí las obligaciones de las autoridades de tránsito </w:t>
      </w:r>
      <w:r w:rsidRPr="00DE7CC4">
        <w:rPr>
          <w:rFonts w:ascii="Times New Roman" w:hAnsi="Times New Roman" w:cs="Times New Roman"/>
          <w:color w:val="000000" w:themeColor="text1"/>
          <w:sz w:val="28"/>
          <w:lang w:val="es-ES"/>
        </w:rPr>
        <w:t xml:space="preserve">en esta materia </w:t>
      </w:r>
      <w:r w:rsidRPr="00DE7CC4">
        <w:rPr>
          <w:rFonts w:ascii="Times New Roman" w:hAnsi="Times New Roman" w:cs="Times New Roman"/>
          <w:color w:val="000000" w:themeColor="text1"/>
          <w:sz w:val="28"/>
          <w:lang w:val="es-ES"/>
        </w:rPr>
        <w:t>se mantienen incólumes, en consecuencia, el impacto de la medida recae sobre la afectación de derechos que, si bien son constitucionalmente relevantes, no representan los casos que comprometen, por ejemplo, los derechos a la vida o integridad de las person</w:t>
      </w:r>
      <w:r w:rsidRPr="00DE7CC4">
        <w:rPr>
          <w:rFonts w:ascii="Times New Roman" w:hAnsi="Times New Roman" w:cs="Times New Roman"/>
          <w:color w:val="000000" w:themeColor="text1"/>
          <w:sz w:val="28"/>
          <w:lang w:val="es-ES"/>
        </w:rPr>
        <w:t xml:space="preserve">as. </w:t>
      </w:r>
    </w:p>
    <w:p w:rsidR="00F32ED8" w:rsidRPr="00DE7CC4" w:rsidRDefault="00DE7CC4" w:rsidP="00F32ED8">
      <w:pPr>
        <w:pStyle w:val="Prrafodelista"/>
        <w:tabs>
          <w:tab w:val="left" w:pos="284"/>
        </w:tabs>
        <w:ind w:left="0" w:right="49"/>
        <w:jc w:val="both"/>
        <w:rPr>
          <w:rFonts w:ascii="Times New Roman" w:hAnsi="Times New Roman" w:cs="Times New Roman"/>
          <w:color w:val="000000" w:themeColor="text1"/>
          <w:sz w:val="28"/>
          <w:lang w:val="es-ES"/>
        </w:rPr>
      </w:pPr>
    </w:p>
    <w:p w:rsidR="00F32ED8" w:rsidRPr="00DE7CC4" w:rsidRDefault="00DE7CC4" w:rsidP="00F32ED8">
      <w:pPr>
        <w:pStyle w:val="Textonotapie"/>
        <w:jc w:val="both"/>
        <w:rPr>
          <w:rFonts w:ascii="Times New Roman" w:hAnsi="Times New Roman" w:cs="Times New Roman"/>
          <w:color w:val="000000" w:themeColor="text1"/>
          <w:sz w:val="28"/>
          <w:lang w:val="es-ES_tradnl"/>
        </w:rPr>
      </w:pPr>
      <w:r w:rsidRPr="00DE7CC4">
        <w:rPr>
          <w:rFonts w:ascii="Times New Roman" w:hAnsi="Times New Roman" w:cs="Times New Roman"/>
          <w:color w:val="000000" w:themeColor="text1"/>
          <w:sz w:val="28"/>
        </w:rPr>
        <w:t>131. En conclusión, por la materia a la que se refiere el artículo 16 de la Ley 2251 de 2022, que subrogó el artículo 143 del Código Nacional de Tránsito, el juicio que debe adelantarse es en intensidad leve. Bajo esta premisa, le corresponde a la Co</w:t>
      </w:r>
      <w:r w:rsidRPr="00DE7CC4">
        <w:rPr>
          <w:rFonts w:ascii="Times New Roman" w:hAnsi="Times New Roman" w:cs="Times New Roman"/>
          <w:color w:val="000000" w:themeColor="text1"/>
          <w:sz w:val="28"/>
        </w:rPr>
        <w:t xml:space="preserve">rte establecer si la medida analizada </w:t>
      </w:r>
      <w:r w:rsidRPr="00DE7CC4">
        <w:rPr>
          <w:rFonts w:ascii="Times New Roman" w:hAnsi="Times New Roman" w:cs="Times New Roman"/>
          <w:color w:val="000000" w:themeColor="text1"/>
          <w:sz w:val="28"/>
          <w:lang w:val="es-ES_tradnl"/>
        </w:rPr>
        <w:t xml:space="preserve">obedece a una finalidad legítima -no prohibida por la Constitución- y si el medio escogido para conseguirla no está prohibido constitucionalmente y, </w:t>
      </w:r>
      <w:r w:rsidRPr="00DE7CC4">
        <w:rPr>
          <w:rFonts w:ascii="Times New Roman" w:hAnsi="Times New Roman" w:cs="Times New Roman"/>
          <w:i/>
          <w:iCs/>
          <w:color w:val="000000" w:themeColor="text1"/>
          <w:sz w:val="28"/>
          <w:lang w:val="es-ES_tradnl"/>
        </w:rPr>
        <w:t>prima facie</w:t>
      </w:r>
      <w:r w:rsidRPr="00DE7CC4">
        <w:rPr>
          <w:rFonts w:ascii="Times New Roman" w:hAnsi="Times New Roman" w:cs="Times New Roman"/>
          <w:color w:val="000000" w:themeColor="text1"/>
          <w:sz w:val="28"/>
          <w:lang w:val="es-ES_tradnl"/>
        </w:rPr>
        <w:t>, es idóneo o adecuado para alcanzar la finalidad.</w:t>
      </w:r>
    </w:p>
    <w:p w:rsidR="00487E62" w:rsidRPr="00DE7CC4" w:rsidRDefault="00DE7CC4" w:rsidP="00F32ED8">
      <w:pPr>
        <w:pStyle w:val="Textonotapie"/>
        <w:jc w:val="both"/>
        <w:rPr>
          <w:rFonts w:ascii="Times New Roman" w:hAnsi="Times New Roman" w:cs="Times New Roman"/>
          <w:color w:val="000000" w:themeColor="text1"/>
          <w:sz w:val="28"/>
          <w:lang w:val="es-ES_tradnl"/>
        </w:rPr>
      </w:pPr>
    </w:p>
    <w:p w:rsidR="00487E62" w:rsidRPr="00DE7CC4" w:rsidRDefault="00DE7CC4" w:rsidP="00F32ED8">
      <w:pPr>
        <w:pStyle w:val="Textonotapie"/>
        <w:jc w:val="both"/>
        <w:rPr>
          <w:rFonts w:ascii="Times New Roman" w:hAnsi="Times New Roman" w:cs="Times New Roman"/>
          <w:b/>
          <w:bCs/>
          <w:i/>
          <w:iCs/>
          <w:color w:val="000000" w:themeColor="text1"/>
          <w:sz w:val="28"/>
          <w:lang w:val="es-ES_tradnl"/>
        </w:rPr>
      </w:pPr>
      <w:r w:rsidRPr="00DE7CC4">
        <w:rPr>
          <w:rFonts w:ascii="Times New Roman" w:hAnsi="Times New Roman" w:cs="Times New Roman"/>
          <w:b/>
          <w:bCs/>
          <w:i/>
          <w:iCs/>
          <w:color w:val="000000" w:themeColor="text1"/>
          <w:sz w:val="28"/>
          <w:lang w:val="es-ES_tradnl"/>
        </w:rPr>
        <w:t xml:space="preserve">Única </w:t>
      </w:r>
      <w:r w:rsidRPr="00DE7CC4">
        <w:rPr>
          <w:rFonts w:ascii="Times New Roman" w:hAnsi="Times New Roman" w:cs="Times New Roman"/>
          <w:b/>
          <w:bCs/>
          <w:i/>
          <w:iCs/>
          <w:color w:val="000000" w:themeColor="text1"/>
          <w:sz w:val="28"/>
          <w:lang w:val="es-ES_tradnl"/>
        </w:rPr>
        <w:t>i</w:t>
      </w:r>
      <w:r w:rsidRPr="00DE7CC4">
        <w:rPr>
          <w:rFonts w:ascii="Times New Roman" w:hAnsi="Times New Roman" w:cs="Times New Roman"/>
          <w:b/>
          <w:bCs/>
          <w:i/>
          <w:iCs/>
          <w:color w:val="000000" w:themeColor="text1"/>
          <w:sz w:val="28"/>
          <w:lang w:val="es-ES_tradnl"/>
        </w:rPr>
        <w:t xml:space="preserve">nterpretación </w:t>
      </w:r>
      <w:r w:rsidRPr="00DE7CC4">
        <w:rPr>
          <w:rFonts w:ascii="Times New Roman" w:hAnsi="Times New Roman" w:cs="Times New Roman"/>
          <w:b/>
          <w:bCs/>
          <w:i/>
          <w:iCs/>
          <w:color w:val="000000" w:themeColor="text1"/>
          <w:sz w:val="28"/>
          <w:lang w:val="es-ES_tradnl"/>
        </w:rPr>
        <w:t>constitucional</w:t>
      </w:r>
      <w:r w:rsidRPr="00DE7CC4">
        <w:rPr>
          <w:rFonts w:ascii="Times New Roman" w:hAnsi="Times New Roman" w:cs="Times New Roman"/>
          <w:b/>
          <w:bCs/>
          <w:i/>
          <w:iCs/>
          <w:color w:val="000000" w:themeColor="text1"/>
          <w:sz w:val="28"/>
          <w:lang w:val="es-ES_tradnl"/>
        </w:rPr>
        <w:t xml:space="preserve"> </w:t>
      </w:r>
      <w:r w:rsidRPr="00DE7CC4">
        <w:rPr>
          <w:rFonts w:ascii="Times New Roman" w:hAnsi="Times New Roman" w:cs="Times New Roman"/>
          <w:b/>
          <w:bCs/>
          <w:i/>
          <w:iCs/>
          <w:color w:val="000000" w:themeColor="text1"/>
          <w:sz w:val="28"/>
          <w:lang w:val="es-ES_tradnl"/>
        </w:rPr>
        <w:t xml:space="preserve">posible </w:t>
      </w:r>
      <w:r w:rsidRPr="00DE7CC4">
        <w:rPr>
          <w:rFonts w:ascii="Times New Roman" w:hAnsi="Times New Roman" w:cs="Times New Roman"/>
          <w:b/>
          <w:bCs/>
          <w:i/>
          <w:iCs/>
          <w:color w:val="000000" w:themeColor="text1"/>
          <w:sz w:val="28"/>
          <w:lang w:val="es-ES_tradnl"/>
        </w:rPr>
        <w:t>de la disposición demandada como presupuesto del juicio leve de proporcionalidad</w:t>
      </w:r>
    </w:p>
    <w:p w:rsidR="00487E62" w:rsidRPr="00DE7CC4" w:rsidRDefault="00DE7CC4" w:rsidP="00F32ED8">
      <w:pPr>
        <w:pStyle w:val="Textonotapie"/>
        <w:jc w:val="both"/>
        <w:rPr>
          <w:rFonts w:ascii="Times New Roman" w:hAnsi="Times New Roman" w:cs="Times New Roman"/>
          <w:b/>
          <w:bCs/>
          <w:i/>
          <w:iCs/>
          <w:color w:val="000000" w:themeColor="text1"/>
          <w:sz w:val="28"/>
          <w:lang w:val="es-ES_tradnl"/>
        </w:rPr>
      </w:pPr>
    </w:p>
    <w:p w:rsidR="00487E62" w:rsidRPr="00DE7CC4" w:rsidRDefault="00DE7CC4" w:rsidP="00F32ED8">
      <w:pPr>
        <w:pStyle w:val="Textonotapie"/>
        <w:jc w:val="both"/>
        <w:rPr>
          <w:rFonts w:ascii="Times New Roman" w:hAnsi="Times New Roman" w:cs="Times New Roman"/>
          <w:i/>
          <w:iCs/>
          <w:color w:val="000000" w:themeColor="text1"/>
          <w:sz w:val="28"/>
          <w:lang w:val="es-ES_tradnl"/>
        </w:rPr>
      </w:pPr>
      <w:r w:rsidRPr="00DE7CC4">
        <w:rPr>
          <w:rFonts w:ascii="Times New Roman" w:hAnsi="Times New Roman" w:cs="Times New Roman"/>
          <w:color w:val="000000" w:themeColor="text1"/>
          <w:sz w:val="28"/>
          <w:lang w:val="es-ES_tradnl"/>
        </w:rPr>
        <w:t>132</w:t>
      </w:r>
      <w:r w:rsidRPr="00DE7CC4">
        <w:rPr>
          <w:rFonts w:ascii="Times New Roman" w:hAnsi="Times New Roman" w:cs="Times New Roman"/>
          <w:color w:val="000000" w:themeColor="text1"/>
          <w:sz w:val="28"/>
          <w:lang w:val="es-ES_tradnl"/>
        </w:rPr>
        <w:t xml:space="preserve">. Antes </w:t>
      </w:r>
      <w:r w:rsidRPr="00DE7CC4">
        <w:rPr>
          <w:rFonts w:ascii="Times New Roman" w:hAnsi="Times New Roman" w:cs="Times New Roman"/>
          <w:color w:val="000000" w:themeColor="text1"/>
          <w:sz w:val="28"/>
          <w:lang w:val="es-ES_tradnl"/>
        </w:rPr>
        <w:t>de abordar</w:t>
      </w:r>
      <w:r w:rsidRPr="00DE7CC4">
        <w:rPr>
          <w:rFonts w:ascii="Times New Roman" w:hAnsi="Times New Roman" w:cs="Times New Roman"/>
          <w:color w:val="000000" w:themeColor="text1"/>
          <w:sz w:val="28"/>
          <w:lang w:val="es-ES_tradnl"/>
        </w:rPr>
        <w:t xml:space="preserve"> los pasos que el juicio de proporcionalidad en intensidad leve exige para analizar la constitucionalidad de una medida adoptada por el </w:t>
      </w:r>
      <w:r w:rsidRPr="00DE7CC4">
        <w:rPr>
          <w:rFonts w:ascii="Times New Roman" w:hAnsi="Times New Roman" w:cs="Times New Roman"/>
          <w:color w:val="000000" w:themeColor="text1"/>
          <w:sz w:val="28"/>
          <w:lang w:val="es-ES_tradnl"/>
        </w:rPr>
        <w:t>l</w:t>
      </w:r>
      <w:r w:rsidRPr="00DE7CC4">
        <w:rPr>
          <w:rFonts w:ascii="Times New Roman" w:hAnsi="Times New Roman" w:cs="Times New Roman"/>
          <w:color w:val="000000" w:themeColor="text1"/>
          <w:sz w:val="28"/>
          <w:lang w:val="es-ES_tradnl"/>
        </w:rPr>
        <w:t>egislador, es preciso establecer el único sentido constitucional posible que deriva de la disposición demandada. Para e</w:t>
      </w:r>
      <w:r w:rsidRPr="00DE7CC4">
        <w:rPr>
          <w:rFonts w:ascii="Times New Roman" w:hAnsi="Times New Roman" w:cs="Times New Roman"/>
          <w:color w:val="000000" w:themeColor="text1"/>
          <w:sz w:val="28"/>
          <w:lang w:val="es-ES_tradnl"/>
        </w:rPr>
        <w:t xml:space="preserve">llo es necesario tener en cuenta el </w:t>
      </w:r>
      <w:r w:rsidRPr="00DE7CC4">
        <w:rPr>
          <w:rFonts w:ascii="Times New Roman" w:hAnsi="Times New Roman" w:cs="Times New Roman"/>
          <w:i/>
          <w:iCs/>
          <w:color w:val="000000" w:themeColor="text1"/>
          <w:sz w:val="28"/>
          <w:lang w:val="es-ES_tradnl"/>
        </w:rPr>
        <w:t>alcance normativo</w:t>
      </w:r>
      <w:r w:rsidRPr="00DE7CC4">
        <w:rPr>
          <w:rFonts w:ascii="Times New Roman" w:hAnsi="Times New Roman" w:cs="Times New Roman"/>
          <w:color w:val="000000" w:themeColor="text1"/>
          <w:sz w:val="28"/>
          <w:lang w:val="es-ES_tradnl"/>
        </w:rPr>
        <w:t xml:space="preserve"> </w:t>
      </w:r>
      <w:r w:rsidRPr="00DE7CC4">
        <w:rPr>
          <w:rFonts w:ascii="Times New Roman" w:hAnsi="Times New Roman" w:cs="Times New Roman"/>
          <w:color w:val="000000" w:themeColor="text1"/>
          <w:sz w:val="28"/>
          <w:lang w:val="es-ES_tradnl"/>
        </w:rPr>
        <w:t xml:space="preserve">del artículo 16 de la Ley 2251 de 2022 </w:t>
      </w:r>
      <w:r w:rsidRPr="00DE7CC4">
        <w:rPr>
          <w:rFonts w:ascii="Times New Roman" w:hAnsi="Times New Roman" w:cs="Times New Roman"/>
          <w:color w:val="000000" w:themeColor="text1"/>
          <w:sz w:val="28"/>
          <w:lang w:val="es-ES_tradnl"/>
        </w:rPr>
        <w:t xml:space="preserve">que la Sala Plena ha </w:t>
      </w:r>
      <w:r w:rsidRPr="00DE7CC4">
        <w:rPr>
          <w:rFonts w:ascii="Times New Roman" w:hAnsi="Times New Roman" w:cs="Times New Roman"/>
          <w:color w:val="000000" w:themeColor="text1"/>
          <w:sz w:val="28"/>
          <w:lang w:val="es-ES_tradnl"/>
        </w:rPr>
        <w:t>señalado</w:t>
      </w:r>
      <w:r w:rsidRPr="00DE7CC4">
        <w:rPr>
          <w:rFonts w:ascii="Times New Roman" w:hAnsi="Times New Roman" w:cs="Times New Roman"/>
          <w:color w:val="000000" w:themeColor="text1"/>
          <w:sz w:val="28"/>
          <w:lang w:val="es-ES_tradnl"/>
        </w:rPr>
        <w:t xml:space="preserve"> en el acápite 2.1.</w:t>
      </w:r>
      <w:r w:rsidRPr="00DE7CC4">
        <w:rPr>
          <w:rFonts w:ascii="Times New Roman" w:hAnsi="Times New Roman" w:cs="Times New Roman"/>
          <w:color w:val="000000" w:themeColor="text1"/>
          <w:sz w:val="28"/>
          <w:lang w:val="es-ES_tradnl"/>
        </w:rPr>
        <w:t xml:space="preserve"> </w:t>
      </w:r>
      <w:r w:rsidRPr="00DE7CC4">
        <w:rPr>
          <w:rFonts w:ascii="Times New Roman" w:hAnsi="Times New Roman" w:cs="Times New Roman"/>
          <w:color w:val="000000" w:themeColor="text1"/>
          <w:sz w:val="28"/>
          <w:lang w:val="es-ES_tradnl"/>
        </w:rPr>
        <w:t xml:space="preserve">y </w:t>
      </w:r>
      <w:r w:rsidRPr="00DE7CC4">
        <w:rPr>
          <w:rFonts w:ascii="Times New Roman" w:hAnsi="Times New Roman" w:cs="Times New Roman"/>
          <w:color w:val="000000" w:themeColor="text1"/>
          <w:sz w:val="28"/>
          <w:lang w:val="es-ES_tradnl"/>
        </w:rPr>
        <w:t>el</w:t>
      </w:r>
      <w:r w:rsidRPr="00DE7CC4">
        <w:rPr>
          <w:rFonts w:ascii="Times New Roman" w:hAnsi="Times New Roman" w:cs="Times New Roman"/>
          <w:color w:val="000000" w:themeColor="text1"/>
          <w:sz w:val="28"/>
          <w:lang w:val="es-ES_tradnl"/>
        </w:rPr>
        <w:t xml:space="preserve"> principio de interpretación </w:t>
      </w:r>
      <w:r w:rsidRPr="00DE7CC4">
        <w:rPr>
          <w:rFonts w:ascii="Times New Roman" w:hAnsi="Times New Roman" w:cs="Times New Roman"/>
          <w:color w:val="000000" w:themeColor="text1"/>
          <w:sz w:val="28"/>
          <w:lang w:val="es-ES_tradnl"/>
        </w:rPr>
        <w:t xml:space="preserve">vinculado a </w:t>
      </w:r>
      <w:r w:rsidRPr="00DE7CC4">
        <w:rPr>
          <w:rFonts w:ascii="Times New Roman" w:hAnsi="Times New Roman" w:cs="Times New Roman"/>
          <w:color w:val="000000" w:themeColor="text1"/>
          <w:sz w:val="28"/>
          <w:lang w:val="es-ES_tradnl"/>
        </w:rPr>
        <w:t xml:space="preserve">la </w:t>
      </w:r>
      <w:r w:rsidRPr="00DE7CC4">
        <w:rPr>
          <w:rFonts w:ascii="Times New Roman" w:hAnsi="Times New Roman" w:cs="Times New Roman"/>
          <w:color w:val="000000" w:themeColor="text1"/>
          <w:sz w:val="28"/>
          <w:lang w:val="es-ES_tradnl"/>
        </w:rPr>
        <w:t>supremacía formal y material de la Constitución (</w:t>
      </w:r>
      <w:r w:rsidRPr="00DE7CC4">
        <w:rPr>
          <w:rFonts w:ascii="Times New Roman" w:hAnsi="Times New Roman" w:cs="Times New Roman"/>
          <w:color w:val="000000" w:themeColor="text1"/>
          <w:sz w:val="28"/>
          <w:lang w:val="es-ES_tradnl"/>
        </w:rPr>
        <w:t>a</w:t>
      </w:r>
      <w:r w:rsidRPr="00DE7CC4">
        <w:rPr>
          <w:rFonts w:ascii="Times New Roman" w:hAnsi="Times New Roman" w:cs="Times New Roman"/>
          <w:color w:val="000000" w:themeColor="text1"/>
          <w:sz w:val="28"/>
          <w:lang w:val="es-ES_tradnl"/>
        </w:rPr>
        <w:t>rt. 4)</w:t>
      </w:r>
      <w:r w:rsidRPr="00DE7CC4">
        <w:rPr>
          <w:rFonts w:ascii="Times New Roman" w:hAnsi="Times New Roman" w:cs="Times New Roman"/>
          <w:color w:val="000000" w:themeColor="text1"/>
          <w:sz w:val="28"/>
          <w:lang w:val="es-ES_tradnl"/>
        </w:rPr>
        <w:t>:</w:t>
      </w:r>
      <w:r w:rsidRPr="00DE7CC4">
        <w:rPr>
          <w:rFonts w:ascii="Times New Roman" w:hAnsi="Times New Roman" w:cs="Times New Roman"/>
          <w:color w:val="000000" w:themeColor="text1"/>
          <w:sz w:val="28"/>
          <w:lang w:val="es-ES_tradnl"/>
        </w:rPr>
        <w:t xml:space="preserve"> </w:t>
      </w:r>
      <w:r w:rsidRPr="00DE7CC4">
        <w:rPr>
          <w:rFonts w:ascii="Times New Roman" w:hAnsi="Times New Roman" w:cs="Times New Roman"/>
          <w:color w:val="000000" w:themeColor="text1"/>
          <w:sz w:val="28"/>
          <w:lang w:val="es-ES_tradnl"/>
        </w:rPr>
        <w:t xml:space="preserve">el de </w:t>
      </w:r>
      <w:r w:rsidRPr="00DE7CC4">
        <w:rPr>
          <w:rFonts w:ascii="Times New Roman" w:hAnsi="Times New Roman" w:cs="Times New Roman"/>
          <w:i/>
          <w:iCs/>
          <w:color w:val="000000" w:themeColor="text1"/>
          <w:sz w:val="28"/>
          <w:lang w:val="es-ES_tradnl"/>
        </w:rPr>
        <w:t xml:space="preserve">interpretación conforme. </w:t>
      </w:r>
    </w:p>
    <w:p w:rsidR="00271979" w:rsidRPr="00DE7CC4" w:rsidRDefault="00DE7CC4" w:rsidP="00F32ED8">
      <w:pPr>
        <w:pStyle w:val="Textonotapie"/>
        <w:jc w:val="both"/>
        <w:rPr>
          <w:rFonts w:ascii="Times New Roman" w:hAnsi="Times New Roman" w:cs="Times New Roman"/>
          <w:i/>
          <w:iCs/>
          <w:color w:val="000000" w:themeColor="text1"/>
          <w:sz w:val="28"/>
          <w:lang w:val="es-ES_tradnl"/>
        </w:rPr>
      </w:pPr>
    </w:p>
    <w:p w:rsidR="00271979" w:rsidRPr="00DE7CC4" w:rsidRDefault="00DE7CC4" w:rsidP="00F32ED8">
      <w:pPr>
        <w:pStyle w:val="Textonotapie"/>
        <w:jc w:val="both"/>
        <w:rPr>
          <w:rFonts w:ascii="Times New Roman" w:hAnsi="Times New Roman" w:cs="Times New Roman"/>
          <w:color w:val="000000" w:themeColor="text1"/>
          <w:sz w:val="28"/>
          <w:lang w:val="es-ES_tradnl"/>
        </w:rPr>
      </w:pPr>
      <w:r w:rsidRPr="00DE7CC4">
        <w:rPr>
          <w:rFonts w:ascii="Times New Roman" w:hAnsi="Times New Roman" w:cs="Times New Roman"/>
          <w:color w:val="000000" w:themeColor="text1"/>
          <w:sz w:val="28"/>
          <w:lang w:val="es-ES_tradnl"/>
        </w:rPr>
        <w:t>133</w:t>
      </w:r>
      <w:r w:rsidRPr="00DE7CC4">
        <w:rPr>
          <w:rFonts w:ascii="Times New Roman" w:hAnsi="Times New Roman" w:cs="Times New Roman"/>
          <w:color w:val="000000" w:themeColor="text1"/>
          <w:sz w:val="28"/>
          <w:lang w:val="es-ES_tradnl"/>
        </w:rPr>
        <w:t xml:space="preserve">. Para iniciar es preciso reiterar que, a través de la disposición demandada, el Legislador ha transferido una </w:t>
      </w:r>
      <w:r w:rsidRPr="00DE7CC4">
        <w:rPr>
          <w:rFonts w:ascii="Times New Roman" w:hAnsi="Times New Roman" w:cs="Times New Roman"/>
          <w:i/>
          <w:iCs/>
          <w:color w:val="000000" w:themeColor="text1"/>
          <w:sz w:val="28"/>
          <w:lang w:val="es-ES_tradnl"/>
        </w:rPr>
        <w:t xml:space="preserve">carga </w:t>
      </w:r>
      <w:r w:rsidRPr="00DE7CC4">
        <w:rPr>
          <w:rFonts w:ascii="Times New Roman" w:hAnsi="Times New Roman" w:cs="Times New Roman"/>
          <w:color w:val="000000" w:themeColor="text1"/>
          <w:sz w:val="28"/>
          <w:lang w:val="es-ES_tradnl"/>
        </w:rPr>
        <w:t>probatoria directa, en el sitio del siniestro, a los involucrados en un accidente de tránsito que arroje sola</w:t>
      </w:r>
      <w:r w:rsidRPr="00DE7CC4">
        <w:rPr>
          <w:rFonts w:ascii="Times New Roman" w:hAnsi="Times New Roman" w:cs="Times New Roman"/>
          <w:color w:val="000000" w:themeColor="text1"/>
          <w:sz w:val="28"/>
          <w:lang w:val="es-ES_tradnl"/>
        </w:rPr>
        <w:t xml:space="preserve">mente daños materiales. A </w:t>
      </w:r>
      <w:r w:rsidRPr="00DE7CC4">
        <w:rPr>
          <w:rFonts w:ascii="Times New Roman" w:hAnsi="Times New Roman" w:cs="Times New Roman"/>
          <w:color w:val="000000" w:themeColor="text1"/>
          <w:sz w:val="28"/>
          <w:lang w:val="es-ES_tradnl"/>
        </w:rPr>
        <w:t>e</w:t>
      </w:r>
      <w:r w:rsidRPr="00DE7CC4">
        <w:rPr>
          <w:rFonts w:ascii="Times New Roman" w:hAnsi="Times New Roman" w:cs="Times New Roman"/>
          <w:color w:val="000000" w:themeColor="text1"/>
          <w:sz w:val="28"/>
          <w:lang w:val="es-ES_tradnl"/>
        </w:rPr>
        <w:t xml:space="preserve">sta </w:t>
      </w:r>
      <w:r w:rsidRPr="00DE7CC4">
        <w:rPr>
          <w:rFonts w:ascii="Times New Roman" w:hAnsi="Times New Roman" w:cs="Times New Roman"/>
          <w:i/>
          <w:iCs/>
          <w:color w:val="000000" w:themeColor="text1"/>
          <w:sz w:val="28"/>
          <w:lang w:val="es-ES_tradnl"/>
        </w:rPr>
        <w:t>carga</w:t>
      </w:r>
      <w:r w:rsidRPr="00DE7CC4">
        <w:rPr>
          <w:rFonts w:ascii="Times New Roman" w:hAnsi="Times New Roman" w:cs="Times New Roman"/>
          <w:color w:val="000000" w:themeColor="text1"/>
          <w:sz w:val="28"/>
          <w:lang w:val="es-ES_tradnl"/>
        </w:rPr>
        <w:t xml:space="preserve">, por supuesto, debe dársele una interpretación constitucional que </w:t>
      </w:r>
      <w:r w:rsidRPr="00DE7CC4">
        <w:rPr>
          <w:rFonts w:ascii="Times New Roman" w:hAnsi="Times New Roman" w:cs="Times New Roman"/>
          <w:color w:val="000000" w:themeColor="text1"/>
          <w:sz w:val="28"/>
          <w:lang w:val="es-ES_tradnl"/>
        </w:rPr>
        <w:t xml:space="preserve">permita determinar, con </w:t>
      </w:r>
      <w:r w:rsidRPr="00DE7CC4">
        <w:rPr>
          <w:rFonts w:ascii="Times New Roman" w:hAnsi="Times New Roman" w:cs="Times New Roman"/>
          <w:i/>
          <w:iCs/>
          <w:color w:val="000000" w:themeColor="text1"/>
          <w:sz w:val="28"/>
          <w:lang w:val="es-ES_tradnl"/>
        </w:rPr>
        <w:t xml:space="preserve">razonabilidad, </w:t>
      </w:r>
      <w:r w:rsidRPr="00DE7CC4">
        <w:rPr>
          <w:rFonts w:ascii="Times New Roman" w:hAnsi="Times New Roman" w:cs="Times New Roman"/>
          <w:color w:val="000000" w:themeColor="text1"/>
          <w:sz w:val="28"/>
          <w:lang w:val="es-ES_tradnl"/>
        </w:rPr>
        <w:t xml:space="preserve">respecto de quién es aquello predicable. Dicho de otro modo, exigir dicha </w:t>
      </w:r>
      <w:r w:rsidRPr="00DE7CC4">
        <w:rPr>
          <w:rFonts w:ascii="Times New Roman" w:hAnsi="Times New Roman" w:cs="Times New Roman"/>
          <w:i/>
          <w:iCs/>
          <w:color w:val="000000" w:themeColor="text1"/>
          <w:sz w:val="28"/>
          <w:lang w:val="es-ES_tradnl"/>
        </w:rPr>
        <w:t xml:space="preserve">carga </w:t>
      </w:r>
      <w:r w:rsidRPr="00DE7CC4">
        <w:rPr>
          <w:rFonts w:ascii="Times New Roman" w:hAnsi="Times New Roman" w:cs="Times New Roman"/>
          <w:color w:val="000000" w:themeColor="text1"/>
          <w:sz w:val="28"/>
          <w:lang w:val="es-ES_tradnl"/>
        </w:rPr>
        <w:t xml:space="preserve">respecto de quien </w:t>
      </w:r>
      <w:r w:rsidRPr="00DE7CC4">
        <w:rPr>
          <w:rFonts w:ascii="Times New Roman" w:hAnsi="Times New Roman" w:cs="Times New Roman"/>
          <w:i/>
          <w:iCs/>
          <w:color w:val="000000" w:themeColor="text1"/>
          <w:sz w:val="28"/>
          <w:lang w:val="es-ES_tradnl"/>
        </w:rPr>
        <w:t xml:space="preserve">evidentemente </w:t>
      </w:r>
      <w:r w:rsidRPr="00DE7CC4">
        <w:rPr>
          <w:rFonts w:ascii="Times New Roman" w:hAnsi="Times New Roman" w:cs="Times New Roman"/>
          <w:color w:val="000000" w:themeColor="text1"/>
          <w:sz w:val="28"/>
          <w:lang w:val="es-ES_tradnl"/>
        </w:rPr>
        <w:t>no</w:t>
      </w:r>
      <w:r w:rsidRPr="00DE7CC4">
        <w:rPr>
          <w:rFonts w:ascii="Times New Roman" w:hAnsi="Times New Roman" w:cs="Times New Roman"/>
          <w:color w:val="000000" w:themeColor="text1"/>
          <w:sz w:val="28"/>
          <w:lang w:val="es-ES_tradnl"/>
        </w:rPr>
        <w:t xml:space="preserve"> está en posibilidad de soportarl</w:t>
      </w:r>
      <w:r w:rsidRPr="00DE7CC4">
        <w:rPr>
          <w:rFonts w:ascii="Times New Roman" w:hAnsi="Times New Roman" w:cs="Times New Roman"/>
          <w:color w:val="000000" w:themeColor="text1"/>
          <w:sz w:val="28"/>
          <w:lang w:val="es-ES_tradnl"/>
        </w:rPr>
        <w:t>a</w:t>
      </w:r>
      <w:r w:rsidRPr="00DE7CC4">
        <w:rPr>
          <w:rFonts w:ascii="Times New Roman" w:hAnsi="Times New Roman" w:cs="Times New Roman"/>
          <w:color w:val="000000" w:themeColor="text1"/>
          <w:sz w:val="28"/>
          <w:lang w:val="es-ES_tradnl"/>
        </w:rPr>
        <w:t>,</w:t>
      </w:r>
      <w:r w:rsidRPr="00DE7CC4">
        <w:rPr>
          <w:rFonts w:ascii="Times New Roman" w:hAnsi="Times New Roman" w:cs="Times New Roman"/>
          <w:color w:val="000000" w:themeColor="text1"/>
          <w:sz w:val="28"/>
          <w:lang w:val="es-ES_tradnl"/>
        </w:rPr>
        <w:t xml:space="preserve"> </w:t>
      </w:r>
      <w:r w:rsidRPr="00DE7CC4">
        <w:rPr>
          <w:rFonts w:ascii="Times New Roman" w:hAnsi="Times New Roman" w:cs="Times New Roman"/>
          <w:color w:val="000000" w:themeColor="text1"/>
          <w:sz w:val="28"/>
          <w:lang w:val="es-ES_tradnl"/>
        </w:rPr>
        <w:t>implica</w:t>
      </w:r>
      <w:r w:rsidRPr="00DE7CC4">
        <w:rPr>
          <w:rFonts w:ascii="Times New Roman" w:hAnsi="Times New Roman" w:cs="Times New Roman"/>
          <w:color w:val="000000" w:themeColor="text1"/>
          <w:sz w:val="28"/>
          <w:lang w:val="es-ES_tradnl"/>
        </w:rPr>
        <w:t xml:space="preserve"> un alcance que, por no </w:t>
      </w:r>
      <w:r w:rsidRPr="00DE7CC4">
        <w:rPr>
          <w:rFonts w:ascii="Times New Roman" w:hAnsi="Times New Roman" w:cs="Times New Roman"/>
          <w:color w:val="000000" w:themeColor="text1"/>
          <w:sz w:val="28"/>
          <w:lang w:val="es-ES_tradnl"/>
        </w:rPr>
        <w:t xml:space="preserve">configurar </w:t>
      </w:r>
      <w:r w:rsidRPr="00DE7CC4">
        <w:rPr>
          <w:rFonts w:ascii="Times New Roman" w:hAnsi="Times New Roman" w:cs="Times New Roman"/>
          <w:color w:val="000000" w:themeColor="text1"/>
          <w:sz w:val="28"/>
          <w:lang w:val="es-ES_tradnl"/>
        </w:rPr>
        <w:t>una interpretación natural y obvia, es i</w:t>
      </w:r>
      <w:r w:rsidRPr="00DE7CC4">
        <w:rPr>
          <w:rFonts w:ascii="Times New Roman" w:hAnsi="Times New Roman" w:cs="Times New Roman"/>
          <w:color w:val="000000" w:themeColor="text1"/>
          <w:sz w:val="28"/>
          <w:lang w:val="es-ES_tradnl"/>
        </w:rPr>
        <w:t>nadmisible</w:t>
      </w:r>
      <w:r w:rsidRPr="00DE7CC4">
        <w:rPr>
          <w:rStyle w:val="Refdenotaalpie"/>
          <w:rFonts w:ascii="Times New Roman" w:hAnsi="Times New Roman"/>
          <w:color w:val="000000" w:themeColor="text1"/>
          <w:sz w:val="28"/>
          <w:lang w:val="es-ES_tradnl"/>
        </w:rPr>
        <w:footnoteReference w:id="175"/>
      </w:r>
      <w:r w:rsidRPr="00DE7CC4">
        <w:rPr>
          <w:rFonts w:ascii="Times New Roman" w:hAnsi="Times New Roman" w:cs="Times New Roman"/>
          <w:color w:val="000000" w:themeColor="text1"/>
          <w:sz w:val="28"/>
          <w:lang w:val="es-ES_tradnl"/>
        </w:rPr>
        <w:t>.</w:t>
      </w:r>
      <w:r w:rsidRPr="00DE7CC4">
        <w:rPr>
          <w:rFonts w:ascii="Times New Roman" w:hAnsi="Times New Roman" w:cs="Times New Roman"/>
          <w:color w:val="000000" w:themeColor="text1"/>
          <w:sz w:val="28"/>
          <w:lang w:val="es-ES_tradnl"/>
        </w:rPr>
        <w:t xml:space="preserve"> </w:t>
      </w:r>
    </w:p>
    <w:p w:rsidR="00110A1D" w:rsidRPr="00DE7CC4" w:rsidRDefault="00DE7CC4" w:rsidP="00F32ED8">
      <w:pPr>
        <w:pStyle w:val="Textonotapie"/>
        <w:jc w:val="both"/>
        <w:rPr>
          <w:rFonts w:ascii="Times New Roman" w:hAnsi="Times New Roman" w:cs="Times New Roman"/>
          <w:color w:val="000000" w:themeColor="text1"/>
          <w:sz w:val="28"/>
          <w:lang w:val="es-ES_tradnl"/>
        </w:rPr>
      </w:pPr>
    </w:p>
    <w:p w:rsidR="004E409A" w:rsidRPr="00DE7CC4" w:rsidRDefault="00DE7CC4" w:rsidP="00D74DF4">
      <w:pPr>
        <w:pStyle w:val="Prrafodelista"/>
        <w:tabs>
          <w:tab w:val="left" w:pos="284"/>
        </w:tabs>
        <w:ind w:left="0" w:right="49"/>
        <w:jc w:val="both"/>
        <w:rPr>
          <w:rFonts w:ascii="Times New Roman" w:hAnsi="Times New Roman" w:cs="Times New Roman"/>
          <w:color w:val="000000" w:themeColor="text1"/>
          <w:sz w:val="28"/>
          <w:shd w:val="clear" w:color="auto" w:fill="FFFFFF"/>
        </w:rPr>
      </w:pPr>
      <w:r w:rsidRPr="00DE7CC4">
        <w:rPr>
          <w:rFonts w:ascii="Times New Roman" w:hAnsi="Times New Roman" w:cs="Times New Roman"/>
          <w:color w:val="000000" w:themeColor="text1"/>
          <w:sz w:val="28"/>
          <w:lang w:val="es-ES_tradnl"/>
        </w:rPr>
        <w:t>134</w:t>
      </w:r>
      <w:r w:rsidRPr="00DE7CC4">
        <w:rPr>
          <w:rFonts w:ascii="Times New Roman" w:hAnsi="Times New Roman" w:cs="Times New Roman"/>
          <w:color w:val="000000" w:themeColor="text1"/>
          <w:sz w:val="28"/>
          <w:lang w:val="es-ES_tradnl"/>
        </w:rPr>
        <w:t xml:space="preserve">. A partir de </w:t>
      </w:r>
      <w:r w:rsidRPr="00DE7CC4">
        <w:rPr>
          <w:rFonts w:ascii="Times New Roman" w:hAnsi="Times New Roman" w:cs="Times New Roman"/>
          <w:color w:val="000000" w:themeColor="text1"/>
          <w:sz w:val="28"/>
          <w:lang w:val="es-ES_tradnl"/>
        </w:rPr>
        <w:t>dicho</w:t>
      </w:r>
      <w:r w:rsidRPr="00DE7CC4">
        <w:rPr>
          <w:rFonts w:ascii="Times New Roman" w:hAnsi="Times New Roman" w:cs="Times New Roman"/>
          <w:color w:val="000000" w:themeColor="text1"/>
          <w:sz w:val="28"/>
          <w:lang w:val="es-ES_tradnl"/>
        </w:rPr>
        <w:t xml:space="preserve"> presupuesto, </w:t>
      </w:r>
      <w:r w:rsidRPr="00DE7CC4">
        <w:rPr>
          <w:rFonts w:ascii="Times New Roman" w:hAnsi="Times New Roman" w:cs="Times New Roman"/>
          <w:color w:val="000000" w:themeColor="text1"/>
          <w:sz w:val="28"/>
          <w:lang w:val="es-ES_tradnl"/>
        </w:rPr>
        <w:t xml:space="preserve">en vigencia de un Estado social de derecho fundado en el respeto de la dignidad humana </w:t>
      </w:r>
      <w:r w:rsidRPr="00DE7CC4">
        <w:rPr>
          <w:rFonts w:ascii="Times New Roman" w:hAnsi="Times New Roman" w:cs="Times New Roman"/>
          <w:color w:val="000000" w:themeColor="text1"/>
          <w:sz w:val="28"/>
          <w:lang w:val="es-ES_tradnl"/>
        </w:rPr>
        <w:t>y comprometido con la efectividad de los derechos constitucionales</w:t>
      </w:r>
      <w:r w:rsidRPr="00DE7CC4">
        <w:rPr>
          <w:rFonts w:ascii="Times New Roman" w:hAnsi="Times New Roman" w:cs="Times New Roman"/>
          <w:color w:val="000000" w:themeColor="text1"/>
          <w:sz w:val="28"/>
          <w:lang w:val="es-ES_tradnl"/>
        </w:rPr>
        <w:t xml:space="preserve">, </w:t>
      </w:r>
      <w:r w:rsidRPr="00DE7CC4">
        <w:rPr>
          <w:rFonts w:ascii="Times New Roman" w:hAnsi="Times New Roman" w:cs="Times New Roman"/>
          <w:color w:val="000000" w:themeColor="text1"/>
          <w:sz w:val="28"/>
          <w:lang w:val="es-ES"/>
        </w:rPr>
        <w:t xml:space="preserve">la Sala </w:t>
      </w:r>
      <w:r w:rsidRPr="00DE7CC4">
        <w:rPr>
          <w:rFonts w:ascii="Times New Roman" w:hAnsi="Times New Roman" w:cs="Times New Roman"/>
          <w:color w:val="000000" w:themeColor="text1"/>
          <w:sz w:val="28"/>
          <w:lang w:val="es-ES"/>
        </w:rPr>
        <w:t>debe considerar la existencia de situaciones que exigen</w:t>
      </w:r>
      <w:r w:rsidRPr="00DE7CC4">
        <w:rPr>
          <w:rFonts w:ascii="Times New Roman" w:hAnsi="Times New Roman" w:cs="Times New Roman"/>
          <w:color w:val="000000" w:themeColor="text1"/>
          <w:sz w:val="28"/>
          <w:lang w:val="es-ES"/>
        </w:rPr>
        <w:t xml:space="preserve"> promociones y </w:t>
      </w:r>
      <w:r w:rsidRPr="00DE7CC4">
        <w:rPr>
          <w:rFonts w:ascii="Times New Roman" w:hAnsi="Times New Roman" w:cs="Times New Roman"/>
          <w:color w:val="000000" w:themeColor="text1"/>
          <w:sz w:val="28"/>
          <w:lang w:val="es-ES"/>
        </w:rPr>
        <w:t xml:space="preserve">protecciones reforzadas, con miras a garantizar, entre otros </w:t>
      </w:r>
      <w:r w:rsidRPr="00DE7CC4">
        <w:rPr>
          <w:rFonts w:ascii="Times New Roman" w:hAnsi="Times New Roman" w:cs="Times New Roman"/>
          <w:color w:val="000000" w:themeColor="text1"/>
          <w:sz w:val="28"/>
          <w:lang w:val="es-ES"/>
        </w:rPr>
        <w:t>mandatos</w:t>
      </w:r>
      <w:r w:rsidRPr="00DE7CC4">
        <w:rPr>
          <w:rFonts w:ascii="Times New Roman" w:hAnsi="Times New Roman" w:cs="Times New Roman"/>
          <w:color w:val="000000" w:themeColor="text1"/>
          <w:sz w:val="28"/>
          <w:lang w:val="es-ES"/>
        </w:rPr>
        <w:t>, la igualdad material (</w:t>
      </w:r>
      <w:r w:rsidRPr="00DE7CC4">
        <w:rPr>
          <w:rFonts w:ascii="Times New Roman" w:hAnsi="Times New Roman" w:cs="Times New Roman"/>
          <w:color w:val="000000" w:themeColor="text1"/>
          <w:sz w:val="28"/>
          <w:lang w:val="es-ES"/>
        </w:rPr>
        <w:t>a</w:t>
      </w:r>
      <w:r w:rsidRPr="00DE7CC4">
        <w:rPr>
          <w:rFonts w:ascii="Times New Roman" w:hAnsi="Times New Roman" w:cs="Times New Roman"/>
          <w:color w:val="000000" w:themeColor="text1"/>
          <w:sz w:val="28"/>
          <w:lang w:val="es-ES"/>
        </w:rPr>
        <w:t>rt. 13, C.P.). E</w:t>
      </w:r>
      <w:r w:rsidRPr="00DE7CC4">
        <w:rPr>
          <w:rFonts w:ascii="Times New Roman" w:hAnsi="Times New Roman" w:cs="Times New Roman"/>
          <w:color w:val="000000" w:themeColor="text1"/>
          <w:sz w:val="28"/>
          <w:lang w:val="es-ES"/>
        </w:rPr>
        <w:t xml:space="preserve">n esta dirección, </w:t>
      </w:r>
      <w:r w:rsidRPr="00DE7CC4">
        <w:rPr>
          <w:rFonts w:ascii="Times New Roman" w:hAnsi="Times New Roman" w:cs="Times New Roman"/>
          <w:color w:val="000000" w:themeColor="text1"/>
          <w:sz w:val="28"/>
          <w:lang w:val="es-ES"/>
        </w:rPr>
        <w:t xml:space="preserve">por ejemplo, la Corte Constitucional ha reconocido </w:t>
      </w:r>
      <w:r w:rsidRPr="00DE7CC4">
        <w:rPr>
          <w:rFonts w:ascii="Times New Roman" w:hAnsi="Times New Roman" w:cs="Times New Roman"/>
          <w:color w:val="000000" w:themeColor="text1"/>
          <w:sz w:val="28"/>
          <w:lang w:val="es-ES"/>
        </w:rPr>
        <w:t xml:space="preserve">el </w:t>
      </w:r>
      <w:r w:rsidRPr="00DE7CC4">
        <w:rPr>
          <w:rFonts w:ascii="Times New Roman" w:hAnsi="Times New Roman" w:cs="Times New Roman"/>
          <w:color w:val="000000" w:themeColor="text1"/>
          <w:sz w:val="28"/>
          <w:lang w:val="es-ES"/>
        </w:rPr>
        <w:t>amparo reforzad</w:t>
      </w:r>
      <w:r w:rsidRPr="00DE7CC4">
        <w:rPr>
          <w:rFonts w:ascii="Times New Roman" w:hAnsi="Times New Roman" w:cs="Times New Roman"/>
          <w:color w:val="000000" w:themeColor="text1"/>
          <w:sz w:val="28"/>
          <w:lang w:val="es-ES"/>
        </w:rPr>
        <w:t>o</w:t>
      </w:r>
      <w:r w:rsidRPr="00DE7CC4">
        <w:rPr>
          <w:rFonts w:ascii="Times New Roman" w:hAnsi="Times New Roman" w:cs="Times New Roman"/>
          <w:color w:val="000000" w:themeColor="text1"/>
          <w:sz w:val="28"/>
          <w:lang w:val="es-ES"/>
        </w:rPr>
        <w:t xml:space="preserve"> que se debe a</w:t>
      </w:r>
      <w:r w:rsidRPr="00DE7CC4">
        <w:rPr>
          <w:rFonts w:ascii="Times New Roman" w:hAnsi="Times New Roman" w:cs="Times New Roman"/>
          <w:color w:val="000000" w:themeColor="text1"/>
          <w:sz w:val="28"/>
          <w:lang w:val="es-ES"/>
        </w:rPr>
        <w:t xml:space="preserve"> las personas en situación de discapacidad, derivado de </w:t>
      </w:r>
      <w:r w:rsidRPr="00DE7CC4">
        <w:rPr>
          <w:rFonts w:ascii="Times New Roman" w:hAnsi="Times New Roman" w:cs="Times New Roman"/>
          <w:color w:val="000000" w:themeColor="text1"/>
          <w:sz w:val="28"/>
          <w:lang w:val="es-ES"/>
        </w:rPr>
        <w:t xml:space="preserve">las </w:t>
      </w:r>
      <w:r w:rsidRPr="00DE7CC4">
        <w:rPr>
          <w:rFonts w:ascii="Times New Roman" w:hAnsi="Times New Roman" w:cs="Times New Roman"/>
          <w:color w:val="000000" w:themeColor="text1"/>
          <w:sz w:val="28"/>
          <w:lang w:val="es-ES"/>
        </w:rPr>
        <w:t xml:space="preserve">disposiciones superiores </w:t>
      </w:r>
      <w:r w:rsidRPr="00DE7CC4">
        <w:rPr>
          <w:rFonts w:ascii="Times New Roman" w:hAnsi="Times New Roman" w:cs="Times New Roman"/>
          <w:color w:val="000000" w:themeColor="text1"/>
          <w:sz w:val="28"/>
          <w:lang w:val="es-ES"/>
        </w:rPr>
        <w:t>(</w:t>
      </w:r>
      <w:r w:rsidRPr="00DE7CC4">
        <w:rPr>
          <w:rFonts w:ascii="Times New Roman" w:hAnsi="Times New Roman" w:cs="Times New Roman"/>
          <w:color w:val="000000" w:themeColor="text1"/>
          <w:sz w:val="28"/>
          <w:lang w:val="es-ES"/>
        </w:rPr>
        <w:t>a</w:t>
      </w:r>
      <w:r w:rsidRPr="00DE7CC4">
        <w:rPr>
          <w:rFonts w:ascii="Times New Roman" w:hAnsi="Times New Roman" w:cs="Times New Roman"/>
          <w:color w:val="000000" w:themeColor="text1"/>
          <w:sz w:val="28"/>
          <w:lang w:val="es-ES"/>
        </w:rPr>
        <w:t xml:space="preserve">rt. 47) </w:t>
      </w:r>
      <w:r w:rsidRPr="00DE7CC4">
        <w:rPr>
          <w:rFonts w:ascii="Times New Roman" w:hAnsi="Times New Roman" w:cs="Times New Roman"/>
          <w:color w:val="000000" w:themeColor="text1"/>
          <w:sz w:val="28"/>
          <w:lang w:val="es-ES"/>
        </w:rPr>
        <w:t>y de aquellas</w:t>
      </w:r>
      <w:r w:rsidRPr="00DE7CC4">
        <w:rPr>
          <w:rFonts w:ascii="Times New Roman" w:hAnsi="Times New Roman" w:cs="Times New Roman"/>
          <w:color w:val="000000" w:themeColor="text1"/>
          <w:sz w:val="28"/>
          <w:lang w:val="es-ES"/>
        </w:rPr>
        <w:t xml:space="preserve"> contenidas en pactos y tratados del derecho i</w:t>
      </w:r>
      <w:r w:rsidRPr="00DE7CC4">
        <w:rPr>
          <w:rFonts w:ascii="Times New Roman" w:hAnsi="Times New Roman" w:cs="Times New Roman"/>
          <w:color w:val="000000" w:themeColor="text1"/>
          <w:sz w:val="28"/>
          <w:lang w:val="es-ES"/>
        </w:rPr>
        <w:t xml:space="preserve">nternacional de los derechos humanos que </w:t>
      </w:r>
      <w:r w:rsidRPr="00DE7CC4">
        <w:rPr>
          <w:rFonts w:ascii="Times New Roman" w:hAnsi="Times New Roman" w:cs="Times New Roman"/>
          <w:color w:val="000000" w:themeColor="text1"/>
          <w:sz w:val="28"/>
          <w:lang w:val="es-ES"/>
        </w:rPr>
        <w:t>se incorporan</w:t>
      </w:r>
      <w:r w:rsidRPr="00DE7CC4">
        <w:rPr>
          <w:rFonts w:ascii="Times New Roman" w:hAnsi="Times New Roman" w:cs="Times New Roman"/>
          <w:color w:val="000000" w:themeColor="text1"/>
          <w:sz w:val="28"/>
          <w:lang w:val="es-ES"/>
        </w:rPr>
        <w:t xml:space="preserve"> a través del </w:t>
      </w:r>
      <w:r w:rsidRPr="00DE7CC4">
        <w:rPr>
          <w:rFonts w:ascii="Times New Roman" w:hAnsi="Times New Roman" w:cs="Times New Roman"/>
          <w:color w:val="000000" w:themeColor="text1"/>
          <w:sz w:val="28"/>
          <w:lang w:val="es-ES"/>
        </w:rPr>
        <w:t>bloque de constitucionalidad</w:t>
      </w:r>
      <w:r w:rsidRPr="00DE7CC4">
        <w:rPr>
          <w:rStyle w:val="Refdenotaalpie"/>
          <w:rFonts w:ascii="Times New Roman" w:hAnsi="Times New Roman"/>
          <w:color w:val="000000" w:themeColor="text1"/>
          <w:sz w:val="28"/>
          <w:lang w:val="es-ES"/>
        </w:rPr>
        <w:footnoteReference w:id="176"/>
      </w:r>
      <w:r w:rsidRPr="00DE7CC4">
        <w:rPr>
          <w:rFonts w:ascii="Times New Roman" w:hAnsi="Times New Roman" w:cs="Times New Roman"/>
          <w:color w:val="000000" w:themeColor="text1"/>
          <w:sz w:val="28"/>
          <w:lang w:val="es-ES"/>
        </w:rPr>
        <w:t xml:space="preserve">; </w:t>
      </w:r>
      <w:r w:rsidRPr="00DE7CC4">
        <w:rPr>
          <w:rFonts w:ascii="Times New Roman" w:hAnsi="Times New Roman" w:cs="Times New Roman"/>
          <w:color w:val="000000" w:themeColor="text1"/>
          <w:sz w:val="28"/>
          <w:lang w:val="es-ES"/>
        </w:rPr>
        <w:t>extrayendo</w:t>
      </w:r>
      <w:r w:rsidRPr="00DE7CC4">
        <w:rPr>
          <w:rFonts w:ascii="Times New Roman" w:hAnsi="Times New Roman" w:cs="Times New Roman"/>
          <w:color w:val="000000" w:themeColor="text1"/>
          <w:sz w:val="28"/>
          <w:lang w:val="es-ES"/>
        </w:rPr>
        <w:t xml:space="preserve"> de aquellas</w:t>
      </w:r>
      <w:r w:rsidRPr="00DE7CC4">
        <w:rPr>
          <w:rFonts w:ascii="Times New Roman" w:hAnsi="Times New Roman" w:cs="Times New Roman"/>
          <w:color w:val="000000" w:themeColor="text1"/>
          <w:sz w:val="28"/>
          <w:lang w:val="es-ES"/>
        </w:rPr>
        <w:t>, entre otras,</w:t>
      </w:r>
      <w:r w:rsidRPr="00DE7CC4">
        <w:rPr>
          <w:rFonts w:ascii="Times New Roman" w:hAnsi="Times New Roman" w:cs="Times New Roman"/>
          <w:color w:val="000000" w:themeColor="text1"/>
          <w:sz w:val="28"/>
          <w:lang w:val="es-ES"/>
        </w:rPr>
        <w:t xml:space="preserve"> la obli</w:t>
      </w:r>
      <w:r w:rsidRPr="00DE7CC4">
        <w:rPr>
          <w:rFonts w:ascii="Times New Roman" w:hAnsi="Times New Roman" w:cs="Times New Roman"/>
          <w:color w:val="000000" w:themeColor="text1"/>
          <w:sz w:val="28"/>
          <w:lang w:val="es-ES"/>
        </w:rPr>
        <w:t>gación estatal de “</w:t>
      </w:r>
      <w:r w:rsidRPr="00DE7CC4">
        <w:rPr>
          <w:rFonts w:ascii="Times New Roman" w:hAnsi="Times New Roman" w:cs="Times New Roman"/>
          <w:color w:val="000000" w:themeColor="text1"/>
          <w:sz w:val="28"/>
          <w:shd w:val="clear" w:color="auto" w:fill="FFFFFF"/>
        </w:rPr>
        <w:t>otorgarles un trato especial, pues la no aplicación de la diferenciación positiva contribuye a</w:t>
      </w:r>
      <w:r w:rsidRPr="00DE7CC4">
        <w:rPr>
          <w:rFonts w:ascii="Times New Roman" w:hAnsi="Times New Roman" w:cs="Times New Roman"/>
          <w:color w:val="000000" w:themeColor="text1"/>
          <w:sz w:val="28"/>
          <w:shd w:val="clear" w:color="auto" w:fill="FFFFFF"/>
        </w:rPr>
        <w:t xml:space="preserve"> perpetuar la marginación o la discriminación”</w:t>
      </w:r>
      <w:r w:rsidRPr="00DE7CC4">
        <w:rPr>
          <w:rStyle w:val="Refdenotaalpie"/>
          <w:rFonts w:ascii="Times New Roman" w:hAnsi="Times New Roman"/>
          <w:color w:val="000000" w:themeColor="text1"/>
          <w:sz w:val="28"/>
          <w:shd w:val="clear" w:color="auto" w:fill="FFFFFF"/>
        </w:rPr>
        <w:footnoteReference w:id="177"/>
      </w:r>
      <w:r w:rsidRPr="00DE7CC4">
        <w:rPr>
          <w:rFonts w:ascii="Times New Roman" w:hAnsi="Times New Roman" w:cs="Times New Roman"/>
          <w:color w:val="000000" w:themeColor="text1"/>
          <w:sz w:val="28"/>
          <w:shd w:val="clear" w:color="auto" w:fill="FFFFFF"/>
        </w:rPr>
        <w:t xml:space="preserve">.  </w:t>
      </w:r>
    </w:p>
    <w:p w:rsidR="00F5151B" w:rsidRPr="00DE7CC4" w:rsidRDefault="00DE7CC4" w:rsidP="00D74DF4">
      <w:pPr>
        <w:pStyle w:val="Prrafodelista"/>
        <w:tabs>
          <w:tab w:val="left" w:pos="284"/>
        </w:tabs>
        <w:ind w:left="0" w:right="49"/>
        <w:jc w:val="both"/>
        <w:rPr>
          <w:rFonts w:ascii="Times New Roman" w:hAnsi="Times New Roman" w:cs="Times New Roman"/>
          <w:color w:val="000000" w:themeColor="text1"/>
          <w:sz w:val="28"/>
          <w:shd w:val="clear" w:color="auto" w:fill="FFFFFF"/>
        </w:rPr>
      </w:pPr>
    </w:p>
    <w:p w:rsidR="005A0A76" w:rsidRPr="00DE7CC4" w:rsidRDefault="00DE7CC4" w:rsidP="00D74DF4">
      <w:pPr>
        <w:pStyle w:val="Prrafodelista"/>
        <w:tabs>
          <w:tab w:val="left" w:pos="284"/>
        </w:tabs>
        <w:ind w:left="0" w:right="49"/>
        <w:jc w:val="both"/>
        <w:rPr>
          <w:rFonts w:ascii="Times New Roman" w:hAnsi="Times New Roman" w:cs="Times New Roman"/>
          <w:color w:val="000000" w:themeColor="text1"/>
          <w:sz w:val="28"/>
          <w:lang w:val="es-ES"/>
        </w:rPr>
      </w:pPr>
      <w:r w:rsidRPr="00DE7CC4">
        <w:rPr>
          <w:rFonts w:ascii="Times New Roman" w:hAnsi="Times New Roman" w:cs="Times New Roman"/>
          <w:color w:val="000000" w:themeColor="text1"/>
          <w:sz w:val="28"/>
          <w:shd w:val="clear" w:color="auto" w:fill="FFFFFF"/>
        </w:rPr>
        <w:t>135</w:t>
      </w:r>
      <w:r w:rsidRPr="00DE7CC4">
        <w:rPr>
          <w:rFonts w:ascii="Times New Roman" w:hAnsi="Times New Roman" w:cs="Times New Roman"/>
          <w:color w:val="000000" w:themeColor="text1"/>
          <w:sz w:val="28"/>
          <w:shd w:val="clear" w:color="auto" w:fill="FFFFFF"/>
        </w:rPr>
        <w:t xml:space="preserve">. </w:t>
      </w:r>
      <w:r w:rsidRPr="00DE7CC4">
        <w:rPr>
          <w:rFonts w:ascii="Times New Roman" w:hAnsi="Times New Roman" w:cs="Times New Roman"/>
          <w:color w:val="000000" w:themeColor="text1"/>
          <w:sz w:val="28"/>
          <w:shd w:val="clear" w:color="auto" w:fill="FFFFFF"/>
        </w:rPr>
        <w:t>En esta dirección</w:t>
      </w:r>
      <w:r w:rsidRPr="00DE7CC4">
        <w:rPr>
          <w:rFonts w:ascii="Times New Roman" w:hAnsi="Times New Roman" w:cs="Times New Roman"/>
          <w:color w:val="000000" w:themeColor="text1"/>
          <w:sz w:val="28"/>
          <w:shd w:val="clear" w:color="auto" w:fill="FFFFFF"/>
        </w:rPr>
        <w:t xml:space="preserve">, la Sala no desconoce que, </w:t>
      </w:r>
      <w:r w:rsidRPr="00DE7CC4">
        <w:rPr>
          <w:rFonts w:ascii="Times New Roman" w:hAnsi="Times New Roman" w:cs="Times New Roman"/>
          <w:color w:val="000000" w:themeColor="text1"/>
          <w:sz w:val="28"/>
          <w:lang w:val="es-ES"/>
        </w:rPr>
        <w:t>según la regulación de tránsito y transporte</w:t>
      </w:r>
      <w:r w:rsidRPr="00DE7CC4">
        <w:rPr>
          <w:rFonts w:ascii="Times New Roman" w:hAnsi="Times New Roman" w:cs="Times New Roman"/>
          <w:color w:val="000000" w:themeColor="text1"/>
          <w:sz w:val="28"/>
          <w:lang w:val="es-ES"/>
        </w:rPr>
        <w:t>, las personas en situación de discapacidad</w:t>
      </w:r>
      <w:r w:rsidRPr="00DE7CC4">
        <w:rPr>
          <w:rFonts w:ascii="Times New Roman" w:hAnsi="Times New Roman" w:cs="Times New Roman"/>
          <w:color w:val="000000" w:themeColor="text1"/>
          <w:sz w:val="28"/>
          <w:lang w:val="es-ES"/>
        </w:rPr>
        <w:t xml:space="preserve"> </w:t>
      </w:r>
      <w:r w:rsidRPr="00DE7CC4">
        <w:rPr>
          <w:rFonts w:ascii="Times New Roman" w:hAnsi="Times New Roman" w:cs="Times New Roman"/>
          <w:color w:val="000000" w:themeColor="text1"/>
          <w:sz w:val="28"/>
          <w:lang w:val="es-ES"/>
        </w:rPr>
        <w:t>están habilitadas para</w:t>
      </w:r>
      <w:r w:rsidRPr="00DE7CC4">
        <w:rPr>
          <w:rFonts w:ascii="Times New Roman" w:hAnsi="Times New Roman" w:cs="Times New Roman"/>
          <w:color w:val="000000" w:themeColor="text1"/>
          <w:sz w:val="28"/>
          <w:lang w:val="es-ES"/>
        </w:rPr>
        <w:t xml:space="preserve"> obtener la licencia de conducción y, en con</w:t>
      </w:r>
      <w:r w:rsidRPr="00DE7CC4">
        <w:rPr>
          <w:rFonts w:ascii="Times New Roman" w:hAnsi="Times New Roman" w:cs="Times New Roman"/>
          <w:color w:val="000000" w:themeColor="text1"/>
          <w:sz w:val="28"/>
          <w:lang w:val="es-ES"/>
        </w:rPr>
        <w:t>secuencia, ejercer esta actividad en el marco del transporte privado</w:t>
      </w:r>
      <w:r w:rsidRPr="00DE7CC4">
        <w:rPr>
          <w:rStyle w:val="Refdenotaalpie"/>
          <w:rFonts w:ascii="Times New Roman" w:hAnsi="Times New Roman"/>
          <w:color w:val="000000" w:themeColor="text1"/>
          <w:sz w:val="28"/>
          <w:lang w:val="es-ES"/>
        </w:rPr>
        <w:footnoteReference w:id="178"/>
      </w:r>
      <w:r w:rsidRPr="00DE7CC4">
        <w:rPr>
          <w:rFonts w:ascii="Times New Roman" w:hAnsi="Times New Roman" w:cs="Times New Roman"/>
          <w:color w:val="000000" w:themeColor="text1"/>
          <w:sz w:val="28"/>
          <w:lang w:val="es-ES"/>
        </w:rPr>
        <w:t>, siempre y cuando reúna</w:t>
      </w:r>
      <w:r w:rsidRPr="00DE7CC4">
        <w:rPr>
          <w:rFonts w:ascii="Times New Roman" w:hAnsi="Times New Roman" w:cs="Times New Roman"/>
          <w:color w:val="000000" w:themeColor="text1"/>
          <w:sz w:val="28"/>
          <w:lang w:val="es-ES"/>
        </w:rPr>
        <w:t>n</w:t>
      </w:r>
      <w:r w:rsidRPr="00DE7CC4">
        <w:rPr>
          <w:rFonts w:ascii="Times New Roman" w:hAnsi="Times New Roman" w:cs="Times New Roman"/>
          <w:color w:val="000000" w:themeColor="text1"/>
          <w:sz w:val="28"/>
          <w:lang w:val="es-ES"/>
        </w:rPr>
        <w:t xml:space="preserve"> todos</w:t>
      </w:r>
      <w:r w:rsidRPr="00DE7CC4">
        <w:rPr>
          <w:rFonts w:ascii="Times New Roman" w:hAnsi="Times New Roman" w:cs="Times New Roman"/>
          <w:color w:val="000000" w:themeColor="text1"/>
          <w:sz w:val="28"/>
          <w:lang w:val="es-ES"/>
        </w:rPr>
        <w:t xml:space="preserve"> los requisitos requeridos para el efecto. </w:t>
      </w:r>
      <w:r w:rsidRPr="00DE7CC4">
        <w:rPr>
          <w:rFonts w:ascii="Times New Roman" w:hAnsi="Times New Roman" w:cs="Times New Roman"/>
          <w:color w:val="000000" w:themeColor="text1"/>
          <w:sz w:val="28"/>
          <w:lang w:val="es-ES"/>
        </w:rPr>
        <w:t>Si esto es así, la única interpretación posible del artículo 16 de la Ley 2251 de 2022 exige tener en cuenta que,</w:t>
      </w:r>
      <w:r w:rsidRPr="00DE7CC4">
        <w:rPr>
          <w:rFonts w:ascii="Times New Roman" w:hAnsi="Times New Roman" w:cs="Times New Roman"/>
          <w:color w:val="000000" w:themeColor="text1"/>
          <w:sz w:val="28"/>
          <w:lang w:val="es-ES"/>
        </w:rPr>
        <w:t xml:space="preserve"> en un </w:t>
      </w:r>
      <w:r w:rsidRPr="00DE7CC4">
        <w:rPr>
          <w:rFonts w:ascii="Times New Roman" w:hAnsi="Times New Roman" w:cs="Times New Roman"/>
          <w:color w:val="000000" w:themeColor="text1"/>
          <w:sz w:val="28"/>
          <w:lang w:val="es-ES"/>
        </w:rPr>
        <w:t xml:space="preserve">amplio </w:t>
      </w:r>
      <w:r w:rsidRPr="00DE7CC4">
        <w:rPr>
          <w:rFonts w:ascii="Times New Roman" w:hAnsi="Times New Roman" w:cs="Times New Roman"/>
          <w:color w:val="000000" w:themeColor="text1"/>
          <w:sz w:val="28"/>
          <w:lang w:val="es-ES"/>
        </w:rPr>
        <w:t>contexto de diversidades funcionales</w:t>
      </w:r>
      <w:r w:rsidRPr="00DE7CC4">
        <w:rPr>
          <w:rFonts w:ascii="Times New Roman" w:hAnsi="Times New Roman" w:cs="Times New Roman"/>
          <w:color w:val="000000" w:themeColor="text1"/>
          <w:sz w:val="28"/>
          <w:lang w:val="es-ES"/>
        </w:rPr>
        <w:t xml:space="preserve"> y</w:t>
      </w:r>
      <w:r w:rsidRPr="00DE7CC4">
        <w:rPr>
          <w:rFonts w:ascii="Times New Roman" w:hAnsi="Times New Roman" w:cs="Times New Roman"/>
          <w:color w:val="000000" w:themeColor="text1"/>
          <w:sz w:val="28"/>
          <w:lang w:val="es-ES"/>
        </w:rPr>
        <w:t xml:space="preserve"> </w:t>
      </w:r>
      <w:r w:rsidRPr="00DE7CC4">
        <w:rPr>
          <w:rFonts w:ascii="Times New Roman" w:hAnsi="Times New Roman" w:cs="Times New Roman"/>
          <w:color w:val="000000" w:themeColor="text1"/>
          <w:sz w:val="28"/>
          <w:lang w:val="es-ES"/>
        </w:rPr>
        <w:t xml:space="preserve">solo </w:t>
      </w:r>
      <w:r w:rsidRPr="00DE7CC4">
        <w:rPr>
          <w:rFonts w:ascii="Times New Roman" w:hAnsi="Times New Roman" w:cs="Times New Roman"/>
          <w:color w:val="000000" w:themeColor="text1"/>
          <w:sz w:val="28"/>
          <w:lang w:val="es-ES"/>
        </w:rPr>
        <w:t>en</w:t>
      </w:r>
      <w:r w:rsidRPr="00DE7CC4">
        <w:rPr>
          <w:rFonts w:ascii="Times New Roman" w:hAnsi="Times New Roman" w:cs="Times New Roman"/>
          <w:color w:val="000000" w:themeColor="text1"/>
          <w:sz w:val="28"/>
          <w:lang w:val="es-ES"/>
        </w:rPr>
        <w:t xml:space="preserve"> </w:t>
      </w:r>
      <w:r w:rsidRPr="00DE7CC4">
        <w:rPr>
          <w:rFonts w:ascii="Times New Roman" w:hAnsi="Times New Roman" w:cs="Times New Roman"/>
          <w:color w:val="000000" w:themeColor="text1"/>
          <w:sz w:val="28"/>
          <w:lang w:val="es-ES"/>
        </w:rPr>
        <w:t xml:space="preserve">aquellos casos en los que la persona </w:t>
      </w:r>
      <w:r w:rsidRPr="00DE7CC4">
        <w:rPr>
          <w:rFonts w:ascii="Times New Roman" w:hAnsi="Times New Roman" w:cs="Times New Roman"/>
          <w:color w:val="000000" w:themeColor="text1"/>
          <w:sz w:val="28"/>
          <w:lang w:val="es-ES"/>
        </w:rPr>
        <w:t xml:space="preserve">esté en condiciones que no le permitan ejercer la actividad probatoria regulada en la norma mencionada, deberá recibir la asistencia de la autoridad de tránsito -agente- para la recolección de las pruebas relacionadas con la colisión. </w:t>
      </w:r>
      <w:r w:rsidRPr="00DE7CC4">
        <w:rPr>
          <w:rFonts w:ascii="Times New Roman" w:hAnsi="Times New Roman" w:cs="Times New Roman"/>
          <w:color w:val="000000" w:themeColor="text1"/>
          <w:sz w:val="28"/>
          <w:lang w:val="es-ES"/>
        </w:rPr>
        <w:t>Esto implica, en cons</w:t>
      </w:r>
      <w:r w:rsidRPr="00DE7CC4">
        <w:rPr>
          <w:rFonts w:ascii="Times New Roman" w:hAnsi="Times New Roman" w:cs="Times New Roman"/>
          <w:color w:val="000000" w:themeColor="text1"/>
          <w:sz w:val="28"/>
          <w:lang w:val="es-ES"/>
        </w:rPr>
        <w:t xml:space="preserve">ecuencia, </w:t>
      </w:r>
      <w:r w:rsidRPr="00DE7CC4">
        <w:rPr>
          <w:rFonts w:ascii="Times New Roman" w:hAnsi="Times New Roman" w:cs="Times New Roman"/>
          <w:color w:val="000000" w:themeColor="text1"/>
          <w:sz w:val="28"/>
          <w:lang w:val="es-ES"/>
        </w:rPr>
        <w:t xml:space="preserve">que la Sala Plena reconoce que, en principio, en tanto aquellas personas fueron habilitadas para ejercer la actividad de conducción se presume que también lo están para satisfacer su carga probatoria, pero, excepcionalmente y en aquellos </w:t>
      </w:r>
      <w:r w:rsidRPr="00DE7CC4">
        <w:rPr>
          <w:rFonts w:ascii="Times New Roman" w:hAnsi="Times New Roman" w:cs="Times New Roman"/>
          <w:color w:val="000000" w:themeColor="text1"/>
          <w:sz w:val="28"/>
          <w:lang w:val="es-ES"/>
        </w:rPr>
        <w:t xml:space="preserve">eventos </w:t>
      </w:r>
      <w:r w:rsidRPr="00DE7CC4">
        <w:rPr>
          <w:rFonts w:ascii="Times New Roman" w:hAnsi="Times New Roman" w:cs="Times New Roman"/>
          <w:color w:val="000000" w:themeColor="text1"/>
          <w:sz w:val="28"/>
          <w:lang w:val="es-ES"/>
        </w:rPr>
        <w:t xml:space="preserve">en que esto no les sea posible, por ejemplo, por </w:t>
      </w:r>
      <w:r w:rsidRPr="00DE7CC4">
        <w:rPr>
          <w:rFonts w:ascii="Times New Roman" w:hAnsi="Times New Roman" w:cs="Times New Roman"/>
          <w:color w:val="000000" w:themeColor="text1"/>
          <w:sz w:val="28"/>
          <w:lang w:val="es-ES"/>
        </w:rPr>
        <w:t>una</w:t>
      </w:r>
      <w:r w:rsidRPr="00DE7CC4">
        <w:rPr>
          <w:rFonts w:ascii="Times New Roman" w:hAnsi="Times New Roman" w:cs="Times New Roman"/>
          <w:color w:val="000000" w:themeColor="text1"/>
          <w:sz w:val="28"/>
          <w:lang w:val="es-ES"/>
        </w:rPr>
        <w:t xml:space="preserve"> alta afectación en la movilidad fuera del vehículo, deberá recibir la necesaria asistencia por parte del Estado, a través del agente de tránsito. </w:t>
      </w:r>
    </w:p>
    <w:p w:rsidR="00457DD2" w:rsidRPr="00DE7CC4" w:rsidRDefault="00DE7CC4" w:rsidP="00D74DF4">
      <w:pPr>
        <w:pStyle w:val="Prrafodelista"/>
        <w:tabs>
          <w:tab w:val="left" w:pos="284"/>
        </w:tabs>
        <w:ind w:left="0" w:right="49"/>
        <w:jc w:val="both"/>
        <w:rPr>
          <w:rFonts w:ascii="Times New Roman" w:hAnsi="Times New Roman" w:cs="Times New Roman"/>
          <w:color w:val="000000" w:themeColor="text1"/>
          <w:sz w:val="28"/>
          <w:lang w:val="es-ES"/>
        </w:rPr>
      </w:pPr>
    </w:p>
    <w:p w:rsidR="00457DD2" w:rsidRPr="00DE7CC4" w:rsidRDefault="00DE7CC4" w:rsidP="00D74DF4">
      <w:pPr>
        <w:pStyle w:val="Prrafodelista"/>
        <w:tabs>
          <w:tab w:val="left" w:pos="284"/>
        </w:tabs>
        <w:ind w:left="0" w:right="49"/>
        <w:jc w:val="both"/>
        <w:rPr>
          <w:rFonts w:ascii="Times New Roman" w:hAnsi="Times New Roman" w:cs="Times New Roman"/>
          <w:color w:val="000000" w:themeColor="text1"/>
          <w:sz w:val="28"/>
          <w:lang w:val="es-ES"/>
        </w:rPr>
      </w:pPr>
      <w:r w:rsidRPr="00DE7CC4">
        <w:rPr>
          <w:rFonts w:ascii="Times New Roman" w:hAnsi="Times New Roman" w:cs="Times New Roman"/>
          <w:color w:val="000000" w:themeColor="text1"/>
          <w:sz w:val="28"/>
          <w:lang w:val="es-ES"/>
        </w:rPr>
        <w:t>136</w:t>
      </w:r>
      <w:r w:rsidRPr="00DE7CC4">
        <w:rPr>
          <w:rFonts w:ascii="Times New Roman" w:hAnsi="Times New Roman" w:cs="Times New Roman"/>
          <w:color w:val="000000" w:themeColor="text1"/>
          <w:sz w:val="28"/>
          <w:lang w:val="es-ES"/>
        </w:rPr>
        <w:t xml:space="preserve">. </w:t>
      </w:r>
      <w:r w:rsidRPr="00DE7CC4">
        <w:rPr>
          <w:rFonts w:ascii="Times New Roman" w:hAnsi="Times New Roman" w:cs="Times New Roman"/>
          <w:color w:val="000000" w:themeColor="text1"/>
          <w:sz w:val="28"/>
          <w:lang w:val="es-ES"/>
        </w:rPr>
        <w:t>Similar</w:t>
      </w:r>
      <w:r w:rsidRPr="00DE7CC4">
        <w:rPr>
          <w:rFonts w:ascii="Times New Roman" w:hAnsi="Times New Roman" w:cs="Times New Roman"/>
          <w:color w:val="000000" w:themeColor="text1"/>
          <w:sz w:val="28"/>
          <w:lang w:val="es-ES"/>
        </w:rPr>
        <w:t xml:space="preserve"> situación puede predicarse</w:t>
      </w:r>
      <w:r w:rsidRPr="00DE7CC4">
        <w:rPr>
          <w:rFonts w:ascii="Times New Roman" w:hAnsi="Times New Roman" w:cs="Times New Roman"/>
          <w:color w:val="000000" w:themeColor="text1"/>
          <w:sz w:val="28"/>
          <w:lang w:val="es-ES"/>
        </w:rPr>
        <w:t>, por ejemplo,</w:t>
      </w:r>
      <w:r w:rsidRPr="00DE7CC4">
        <w:rPr>
          <w:rFonts w:ascii="Times New Roman" w:hAnsi="Times New Roman" w:cs="Times New Roman"/>
          <w:color w:val="000000" w:themeColor="text1"/>
          <w:sz w:val="28"/>
          <w:lang w:val="es-ES"/>
        </w:rPr>
        <w:t xml:space="preserve"> </w:t>
      </w:r>
      <w:r w:rsidRPr="00DE7CC4">
        <w:rPr>
          <w:rFonts w:ascii="Times New Roman" w:hAnsi="Times New Roman" w:cs="Times New Roman"/>
          <w:color w:val="000000" w:themeColor="text1"/>
          <w:sz w:val="28"/>
          <w:lang w:val="es-ES"/>
        </w:rPr>
        <w:t>r</w:t>
      </w:r>
      <w:r w:rsidRPr="00DE7CC4">
        <w:rPr>
          <w:rFonts w:ascii="Times New Roman" w:hAnsi="Times New Roman" w:cs="Times New Roman"/>
          <w:color w:val="000000" w:themeColor="text1"/>
          <w:sz w:val="28"/>
          <w:lang w:val="es-ES"/>
        </w:rPr>
        <w:t xml:space="preserve">especto de los adultos mayores </w:t>
      </w:r>
      <w:r w:rsidRPr="00DE7CC4">
        <w:rPr>
          <w:rFonts w:ascii="Times New Roman" w:hAnsi="Times New Roman" w:cs="Times New Roman"/>
          <w:color w:val="000000" w:themeColor="text1"/>
          <w:sz w:val="28"/>
          <w:lang w:val="es-ES"/>
        </w:rPr>
        <w:t xml:space="preserve">y las personas de la tercera edad </w:t>
      </w:r>
      <w:r w:rsidRPr="00DE7CC4">
        <w:rPr>
          <w:rFonts w:ascii="Times New Roman" w:hAnsi="Times New Roman" w:cs="Times New Roman"/>
          <w:color w:val="000000" w:themeColor="text1"/>
          <w:sz w:val="28"/>
          <w:lang w:val="es-ES"/>
        </w:rPr>
        <w:t>(Art.</w:t>
      </w:r>
      <w:r w:rsidRPr="00DE7CC4">
        <w:rPr>
          <w:rFonts w:ascii="Times New Roman" w:hAnsi="Times New Roman" w:cs="Times New Roman"/>
          <w:color w:val="000000" w:themeColor="text1"/>
          <w:sz w:val="28"/>
          <w:lang w:val="es-ES"/>
        </w:rPr>
        <w:t xml:space="preserve"> 46, C.P. y Convención </w:t>
      </w:r>
      <w:r w:rsidRPr="00DE7CC4">
        <w:rPr>
          <w:rFonts w:ascii="Times New Roman" w:hAnsi="Times New Roman" w:cs="Times New Roman"/>
          <w:color w:val="000000" w:themeColor="text1"/>
          <w:sz w:val="28"/>
          <w:lang w:val="es-ES"/>
        </w:rPr>
        <w:t>i</w:t>
      </w:r>
      <w:r w:rsidRPr="00DE7CC4">
        <w:rPr>
          <w:rFonts w:ascii="Times New Roman" w:hAnsi="Times New Roman" w:cs="Times New Roman"/>
          <w:color w:val="000000" w:themeColor="text1"/>
          <w:sz w:val="28"/>
          <w:lang w:val="es-ES"/>
        </w:rPr>
        <w:t>nteramericana sobre la protección de los derechos humanos de las personas mayores), cuyas condiciones temporales de la licencia de conducción se regulan en el art</w:t>
      </w:r>
      <w:r w:rsidRPr="00DE7CC4">
        <w:rPr>
          <w:rFonts w:ascii="Times New Roman" w:hAnsi="Times New Roman" w:cs="Times New Roman"/>
          <w:color w:val="000000" w:themeColor="text1"/>
          <w:sz w:val="28"/>
          <w:lang w:val="es-ES"/>
        </w:rPr>
        <w:t xml:space="preserve">ículo 22 de la Ley 769 de 2022; </w:t>
      </w:r>
      <w:r w:rsidRPr="00DE7CC4">
        <w:rPr>
          <w:rFonts w:ascii="Times New Roman" w:hAnsi="Times New Roman" w:cs="Times New Roman"/>
          <w:color w:val="000000" w:themeColor="text1"/>
          <w:sz w:val="28"/>
          <w:lang w:val="es-ES"/>
        </w:rPr>
        <w:t>y</w:t>
      </w:r>
      <w:r w:rsidRPr="00DE7CC4">
        <w:rPr>
          <w:rFonts w:ascii="Times New Roman" w:hAnsi="Times New Roman" w:cs="Times New Roman"/>
          <w:color w:val="000000" w:themeColor="text1"/>
          <w:sz w:val="28"/>
          <w:lang w:val="es-ES"/>
        </w:rPr>
        <w:t xml:space="preserve">, </w:t>
      </w:r>
      <w:r w:rsidRPr="00DE7CC4">
        <w:rPr>
          <w:rFonts w:ascii="Times New Roman" w:hAnsi="Times New Roman" w:cs="Times New Roman"/>
          <w:color w:val="000000" w:themeColor="text1"/>
          <w:sz w:val="28"/>
          <w:lang w:val="es-ES"/>
        </w:rPr>
        <w:t xml:space="preserve">de los adolescentes </w:t>
      </w:r>
      <w:r w:rsidRPr="00DE7CC4">
        <w:rPr>
          <w:rFonts w:ascii="Times New Roman" w:hAnsi="Times New Roman" w:cs="Times New Roman"/>
          <w:color w:val="000000" w:themeColor="text1"/>
          <w:sz w:val="28"/>
          <w:lang w:val="es-ES"/>
        </w:rPr>
        <w:t xml:space="preserve">(Art. 45, C.P.) </w:t>
      </w:r>
      <w:r w:rsidRPr="00DE7CC4">
        <w:rPr>
          <w:rFonts w:ascii="Times New Roman" w:hAnsi="Times New Roman" w:cs="Times New Roman"/>
          <w:color w:val="000000" w:themeColor="text1"/>
          <w:sz w:val="28"/>
          <w:lang w:val="es-ES"/>
        </w:rPr>
        <w:t xml:space="preserve">que, </w:t>
      </w:r>
      <w:r w:rsidRPr="00DE7CC4">
        <w:rPr>
          <w:rFonts w:ascii="Times New Roman" w:hAnsi="Times New Roman" w:cs="Times New Roman"/>
          <w:color w:val="000000" w:themeColor="text1"/>
          <w:sz w:val="28"/>
          <w:lang w:val="es-ES"/>
        </w:rPr>
        <w:t xml:space="preserve">en </w:t>
      </w:r>
      <w:r w:rsidRPr="00DE7CC4">
        <w:rPr>
          <w:rFonts w:ascii="Times New Roman" w:hAnsi="Times New Roman" w:cs="Times New Roman"/>
          <w:color w:val="000000" w:themeColor="text1"/>
          <w:sz w:val="28"/>
          <w:lang w:val="es-ES"/>
        </w:rPr>
        <w:t xml:space="preserve">virtud </w:t>
      </w:r>
      <w:r w:rsidRPr="00DE7CC4">
        <w:rPr>
          <w:rFonts w:ascii="Times New Roman" w:hAnsi="Times New Roman" w:cs="Times New Roman"/>
          <w:color w:val="000000" w:themeColor="text1"/>
          <w:sz w:val="28"/>
          <w:lang w:val="es-ES"/>
        </w:rPr>
        <w:t xml:space="preserve">de </w:t>
      </w:r>
      <w:r w:rsidRPr="00DE7CC4">
        <w:rPr>
          <w:rFonts w:ascii="Times New Roman" w:hAnsi="Times New Roman" w:cs="Times New Roman"/>
          <w:color w:val="000000" w:themeColor="text1"/>
          <w:sz w:val="28"/>
          <w:lang w:val="es-ES"/>
        </w:rPr>
        <w:t xml:space="preserve">lo establecido </w:t>
      </w:r>
      <w:r w:rsidRPr="00DE7CC4">
        <w:rPr>
          <w:rFonts w:ascii="Times New Roman" w:hAnsi="Times New Roman" w:cs="Times New Roman"/>
          <w:color w:val="000000" w:themeColor="text1"/>
          <w:sz w:val="28"/>
          <w:lang w:val="es-ES"/>
        </w:rPr>
        <w:t xml:space="preserve">por </w:t>
      </w:r>
      <w:r w:rsidRPr="00DE7CC4">
        <w:rPr>
          <w:rFonts w:ascii="Times New Roman" w:hAnsi="Times New Roman" w:cs="Times New Roman"/>
          <w:color w:val="000000" w:themeColor="text1"/>
          <w:sz w:val="28"/>
          <w:lang w:val="es-ES"/>
        </w:rPr>
        <w:t xml:space="preserve">el artículo 19 de la misma </w:t>
      </w:r>
      <w:r w:rsidRPr="00DE7CC4">
        <w:rPr>
          <w:rFonts w:ascii="Times New Roman" w:hAnsi="Times New Roman" w:cs="Times New Roman"/>
          <w:color w:val="000000" w:themeColor="text1"/>
          <w:sz w:val="28"/>
          <w:lang w:val="es-ES"/>
        </w:rPr>
        <w:t>l</w:t>
      </w:r>
      <w:r w:rsidRPr="00DE7CC4">
        <w:rPr>
          <w:rFonts w:ascii="Times New Roman" w:hAnsi="Times New Roman" w:cs="Times New Roman"/>
          <w:color w:val="000000" w:themeColor="text1"/>
          <w:sz w:val="28"/>
          <w:lang w:val="es-ES"/>
        </w:rPr>
        <w:t>ey, pueden acceder a esta habilitación. Tal como se mencionó</w:t>
      </w:r>
      <w:r w:rsidRPr="00DE7CC4">
        <w:rPr>
          <w:rFonts w:ascii="Times New Roman" w:hAnsi="Times New Roman" w:cs="Times New Roman"/>
          <w:color w:val="000000" w:themeColor="text1"/>
          <w:sz w:val="28"/>
          <w:lang w:val="es-ES"/>
        </w:rPr>
        <w:t xml:space="preserve"> en el fundamento anterior</w:t>
      </w:r>
      <w:r w:rsidRPr="00DE7CC4">
        <w:rPr>
          <w:rFonts w:ascii="Times New Roman" w:hAnsi="Times New Roman" w:cs="Times New Roman"/>
          <w:color w:val="000000" w:themeColor="text1"/>
          <w:sz w:val="28"/>
          <w:lang w:val="es-ES"/>
        </w:rPr>
        <w:t xml:space="preserve">, respecto de estos grupos </w:t>
      </w:r>
      <w:r w:rsidRPr="00DE7CC4">
        <w:rPr>
          <w:rFonts w:ascii="Times New Roman" w:hAnsi="Times New Roman" w:cs="Times New Roman"/>
          <w:color w:val="000000" w:themeColor="text1"/>
          <w:sz w:val="28"/>
          <w:lang w:val="es-ES"/>
        </w:rPr>
        <w:t xml:space="preserve">también debe presumirse </w:t>
      </w:r>
      <w:r w:rsidRPr="00DE7CC4">
        <w:rPr>
          <w:rFonts w:ascii="Times New Roman" w:hAnsi="Times New Roman" w:cs="Times New Roman"/>
          <w:color w:val="000000" w:themeColor="text1"/>
          <w:sz w:val="28"/>
          <w:lang w:val="es-ES"/>
        </w:rPr>
        <w:t xml:space="preserve">su aptitud para asumir todos los deberes que derivan </w:t>
      </w:r>
      <w:r w:rsidRPr="00DE7CC4">
        <w:rPr>
          <w:rFonts w:ascii="Times New Roman" w:hAnsi="Times New Roman" w:cs="Times New Roman"/>
          <w:color w:val="000000" w:themeColor="text1"/>
          <w:sz w:val="28"/>
          <w:lang w:val="es-ES"/>
        </w:rPr>
        <w:t>de su situación de personas que conducen</w:t>
      </w:r>
      <w:r w:rsidRPr="00DE7CC4">
        <w:rPr>
          <w:rFonts w:ascii="Times New Roman" w:hAnsi="Times New Roman" w:cs="Times New Roman"/>
          <w:color w:val="000000" w:themeColor="text1"/>
          <w:sz w:val="28"/>
          <w:lang w:val="es-ES"/>
        </w:rPr>
        <w:t>, pero, excepcionalmente y valoradas sus condiciones, puede</w:t>
      </w:r>
      <w:r w:rsidRPr="00DE7CC4">
        <w:rPr>
          <w:rFonts w:ascii="Times New Roman" w:hAnsi="Times New Roman" w:cs="Times New Roman"/>
          <w:color w:val="000000" w:themeColor="text1"/>
          <w:sz w:val="28"/>
          <w:lang w:val="es-ES"/>
        </w:rPr>
        <w:t xml:space="preserve">n requerir </w:t>
      </w:r>
      <w:r w:rsidRPr="00DE7CC4">
        <w:rPr>
          <w:rFonts w:ascii="Times New Roman" w:hAnsi="Times New Roman" w:cs="Times New Roman"/>
          <w:color w:val="000000" w:themeColor="text1"/>
          <w:sz w:val="28"/>
          <w:lang w:val="es-ES"/>
        </w:rPr>
        <w:t>la asistencia del agente de tránsito en la recolección de las pruebas</w:t>
      </w:r>
      <w:r w:rsidRPr="00DE7CC4">
        <w:rPr>
          <w:rFonts w:ascii="Times New Roman" w:hAnsi="Times New Roman" w:cs="Times New Roman"/>
          <w:color w:val="000000" w:themeColor="text1"/>
          <w:sz w:val="28"/>
          <w:lang w:val="es-ES"/>
        </w:rPr>
        <w:t>. Esta es una actividad de valoración</w:t>
      </w:r>
      <w:r w:rsidRPr="00DE7CC4">
        <w:rPr>
          <w:rFonts w:ascii="Times New Roman" w:hAnsi="Times New Roman" w:cs="Times New Roman"/>
          <w:color w:val="000000" w:themeColor="text1"/>
          <w:sz w:val="28"/>
          <w:lang w:val="es-ES"/>
        </w:rPr>
        <w:t xml:space="preserve">, bajo el criterio de razonabilidad, </w:t>
      </w:r>
      <w:r w:rsidRPr="00DE7CC4">
        <w:rPr>
          <w:rFonts w:ascii="Times New Roman" w:hAnsi="Times New Roman" w:cs="Times New Roman"/>
          <w:color w:val="000000" w:themeColor="text1"/>
          <w:sz w:val="28"/>
          <w:lang w:val="es-ES"/>
        </w:rPr>
        <w:t xml:space="preserve">que las autoridades de tránsito deben realizar en la aplicación de las disposiciones involucradas en este tipo de accidentes que solo </w:t>
      </w:r>
      <w:r w:rsidRPr="00DE7CC4">
        <w:rPr>
          <w:rFonts w:ascii="Times New Roman" w:hAnsi="Times New Roman" w:cs="Times New Roman"/>
          <w:color w:val="000000" w:themeColor="text1"/>
          <w:sz w:val="28"/>
          <w:lang w:val="es-ES"/>
        </w:rPr>
        <w:t xml:space="preserve">producen </w:t>
      </w:r>
      <w:r w:rsidRPr="00DE7CC4">
        <w:rPr>
          <w:rFonts w:ascii="Times New Roman" w:hAnsi="Times New Roman" w:cs="Times New Roman"/>
          <w:color w:val="000000" w:themeColor="text1"/>
          <w:sz w:val="28"/>
          <w:lang w:val="es-ES"/>
        </w:rPr>
        <w:t>daños materiales.</w:t>
      </w:r>
    </w:p>
    <w:p w:rsidR="00D62FB8" w:rsidRPr="00DE7CC4" w:rsidRDefault="00DE7CC4" w:rsidP="00D74DF4">
      <w:pPr>
        <w:pStyle w:val="Prrafodelista"/>
        <w:tabs>
          <w:tab w:val="left" w:pos="284"/>
        </w:tabs>
        <w:ind w:left="0" w:right="49"/>
        <w:jc w:val="both"/>
        <w:rPr>
          <w:rFonts w:ascii="Times New Roman" w:hAnsi="Times New Roman" w:cs="Times New Roman"/>
          <w:color w:val="000000" w:themeColor="text1"/>
          <w:sz w:val="28"/>
          <w:lang w:val="es-ES"/>
        </w:rPr>
      </w:pPr>
    </w:p>
    <w:p w:rsidR="002456BF" w:rsidRPr="00DE7CC4" w:rsidRDefault="00DE7CC4" w:rsidP="00D74DF4">
      <w:pPr>
        <w:pStyle w:val="Prrafodelista"/>
        <w:tabs>
          <w:tab w:val="left" w:pos="284"/>
        </w:tabs>
        <w:ind w:left="0" w:right="49"/>
        <w:jc w:val="both"/>
        <w:rPr>
          <w:rFonts w:ascii="Times New Roman" w:hAnsi="Times New Roman" w:cs="Times New Roman"/>
          <w:color w:val="000000" w:themeColor="text1"/>
          <w:sz w:val="28"/>
          <w:lang w:val="es-ES"/>
        </w:rPr>
      </w:pPr>
      <w:r w:rsidRPr="00DE7CC4">
        <w:rPr>
          <w:rFonts w:ascii="Times New Roman" w:hAnsi="Times New Roman" w:cs="Times New Roman"/>
          <w:color w:val="000000" w:themeColor="text1"/>
          <w:sz w:val="28"/>
          <w:lang w:val="es-ES"/>
        </w:rPr>
        <w:t>137</w:t>
      </w:r>
      <w:r w:rsidRPr="00DE7CC4">
        <w:rPr>
          <w:rFonts w:ascii="Times New Roman" w:hAnsi="Times New Roman" w:cs="Times New Roman"/>
          <w:color w:val="000000" w:themeColor="text1"/>
          <w:sz w:val="28"/>
          <w:lang w:val="es-ES"/>
        </w:rPr>
        <w:t xml:space="preserve">. </w:t>
      </w:r>
      <w:r w:rsidRPr="00DE7CC4">
        <w:rPr>
          <w:rFonts w:ascii="Times New Roman" w:hAnsi="Times New Roman" w:cs="Times New Roman"/>
          <w:color w:val="000000" w:themeColor="text1"/>
          <w:sz w:val="28"/>
          <w:lang w:val="es-ES"/>
        </w:rPr>
        <w:t xml:space="preserve">En adición </w:t>
      </w:r>
      <w:r w:rsidRPr="00DE7CC4">
        <w:rPr>
          <w:rFonts w:ascii="Times New Roman" w:hAnsi="Times New Roman" w:cs="Times New Roman"/>
          <w:color w:val="000000" w:themeColor="text1"/>
          <w:sz w:val="28"/>
          <w:lang w:val="es-ES"/>
        </w:rPr>
        <w:t>a la</w:t>
      </w:r>
      <w:r w:rsidRPr="00DE7CC4">
        <w:rPr>
          <w:rFonts w:ascii="Times New Roman" w:hAnsi="Times New Roman" w:cs="Times New Roman"/>
          <w:color w:val="000000" w:themeColor="text1"/>
          <w:sz w:val="28"/>
          <w:lang w:val="es-ES"/>
        </w:rPr>
        <w:t>s</w:t>
      </w:r>
      <w:r w:rsidRPr="00DE7CC4">
        <w:rPr>
          <w:rFonts w:ascii="Times New Roman" w:hAnsi="Times New Roman" w:cs="Times New Roman"/>
          <w:color w:val="000000" w:themeColor="text1"/>
          <w:sz w:val="28"/>
          <w:lang w:val="es-ES"/>
        </w:rPr>
        <w:t xml:space="preserve"> circunstancias que, sin ánimo de exhaustividad, se ha</w:t>
      </w:r>
      <w:r w:rsidRPr="00DE7CC4">
        <w:rPr>
          <w:rFonts w:ascii="Times New Roman" w:hAnsi="Times New Roman" w:cs="Times New Roman"/>
          <w:color w:val="000000" w:themeColor="text1"/>
          <w:sz w:val="28"/>
          <w:lang w:val="es-ES"/>
        </w:rPr>
        <w:t>n</w:t>
      </w:r>
      <w:r w:rsidRPr="00DE7CC4">
        <w:rPr>
          <w:rFonts w:ascii="Times New Roman" w:hAnsi="Times New Roman" w:cs="Times New Roman"/>
          <w:color w:val="000000" w:themeColor="text1"/>
          <w:sz w:val="28"/>
          <w:lang w:val="es-ES"/>
        </w:rPr>
        <w:t xml:space="preserve"> venido enunciando, es necesari</w:t>
      </w:r>
      <w:r w:rsidRPr="00DE7CC4">
        <w:rPr>
          <w:rFonts w:ascii="Times New Roman" w:hAnsi="Times New Roman" w:cs="Times New Roman"/>
          <w:color w:val="000000" w:themeColor="text1"/>
          <w:sz w:val="28"/>
          <w:lang w:val="es-ES"/>
        </w:rPr>
        <w:t>o</w:t>
      </w:r>
      <w:r w:rsidRPr="00DE7CC4">
        <w:rPr>
          <w:rFonts w:ascii="Times New Roman" w:hAnsi="Times New Roman" w:cs="Times New Roman"/>
          <w:color w:val="000000" w:themeColor="text1"/>
          <w:sz w:val="28"/>
          <w:lang w:val="es-ES"/>
        </w:rPr>
        <w:t xml:space="preserve"> </w:t>
      </w:r>
      <w:r w:rsidRPr="00DE7CC4">
        <w:rPr>
          <w:rFonts w:ascii="Times New Roman" w:hAnsi="Times New Roman" w:cs="Times New Roman"/>
          <w:color w:val="000000" w:themeColor="text1"/>
          <w:sz w:val="28"/>
          <w:lang w:val="es-ES"/>
        </w:rPr>
        <w:t xml:space="preserve">reconocer </w:t>
      </w:r>
      <w:r w:rsidRPr="00DE7CC4">
        <w:rPr>
          <w:rFonts w:ascii="Times New Roman" w:hAnsi="Times New Roman" w:cs="Times New Roman"/>
          <w:color w:val="000000" w:themeColor="text1"/>
          <w:sz w:val="28"/>
          <w:lang w:val="es-ES"/>
        </w:rPr>
        <w:t xml:space="preserve">y tener en cuenta en este estudio </w:t>
      </w:r>
      <w:r w:rsidRPr="00DE7CC4">
        <w:rPr>
          <w:rFonts w:ascii="Times New Roman" w:hAnsi="Times New Roman" w:cs="Times New Roman"/>
          <w:color w:val="000000" w:themeColor="text1"/>
          <w:sz w:val="28"/>
          <w:lang w:val="es-ES"/>
        </w:rPr>
        <w:t>la existencia de la</w:t>
      </w:r>
      <w:r w:rsidRPr="00DE7CC4">
        <w:rPr>
          <w:rFonts w:ascii="Times New Roman" w:hAnsi="Times New Roman" w:cs="Times New Roman"/>
          <w:color w:val="000000" w:themeColor="text1"/>
          <w:sz w:val="28"/>
          <w:lang w:val="es-ES"/>
        </w:rPr>
        <w:t xml:space="preserve"> brecha digital</w:t>
      </w:r>
      <w:r w:rsidRPr="00DE7CC4">
        <w:rPr>
          <w:rStyle w:val="Refdenotaalpie"/>
          <w:rFonts w:ascii="Times New Roman" w:hAnsi="Times New Roman"/>
          <w:color w:val="000000" w:themeColor="text1"/>
          <w:sz w:val="28"/>
          <w:lang w:val="es-ES"/>
        </w:rPr>
        <w:footnoteReference w:id="179"/>
      </w:r>
      <w:r w:rsidRPr="00DE7CC4">
        <w:rPr>
          <w:rFonts w:ascii="Times New Roman" w:hAnsi="Times New Roman" w:cs="Times New Roman"/>
          <w:color w:val="000000" w:themeColor="text1"/>
          <w:sz w:val="28"/>
          <w:lang w:val="es-ES"/>
        </w:rPr>
        <w:t xml:space="preserve">, </w:t>
      </w:r>
      <w:r w:rsidRPr="00DE7CC4">
        <w:rPr>
          <w:rFonts w:ascii="Times New Roman" w:hAnsi="Times New Roman" w:cs="Times New Roman"/>
          <w:color w:val="000000" w:themeColor="text1"/>
          <w:sz w:val="28"/>
          <w:lang w:val="es-ES"/>
        </w:rPr>
        <w:t xml:space="preserve">en atención a las herramientas -técnicas y tecnológicas- exigidas para la recolección </w:t>
      </w:r>
      <w:r w:rsidRPr="00DE7CC4">
        <w:rPr>
          <w:rFonts w:ascii="Times New Roman" w:hAnsi="Times New Roman" w:cs="Times New Roman"/>
          <w:color w:val="000000" w:themeColor="text1"/>
          <w:sz w:val="28"/>
          <w:lang w:val="es-ES"/>
        </w:rPr>
        <w:t xml:space="preserve">de las pruebas de la colisión de tránsito. </w:t>
      </w:r>
      <w:r w:rsidRPr="00DE7CC4">
        <w:rPr>
          <w:rFonts w:ascii="Times New Roman" w:hAnsi="Times New Roman" w:cs="Times New Roman"/>
          <w:color w:val="000000" w:themeColor="text1"/>
          <w:sz w:val="28"/>
          <w:lang w:val="es-ES"/>
        </w:rPr>
        <w:t xml:space="preserve">La Sala advierte que en esta materia existe una situación </w:t>
      </w:r>
      <w:r w:rsidRPr="00DE7CC4">
        <w:rPr>
          <w:rFonts w:ascii="Times New Roman" w:hAnsi="Times New Roman" w:cs="Times New Roman"/>
          <w:color w:val="000000" w:themeColor="text1"/>
          <w:sz w:val="28"/>
          <w:lang w:val="es-ES"/>
        </w:rPr>
        <w:t>de vulnerabilidad</w:t>
      </w:r>
      <w:r w:rsidRPr="00DE7CC4">
        <w:rPr>
          <w:rFonts w:ascii="Times New Roman" w:hAnsi="Times New Roman" w:cs="Times New Roman"/>
          <w:color w:val="000000" w:themeColor="text1"/>
          <w:sz w:val="28"/>
          <w:lang w:val="es-ES"/>
        </w:rPr>
        <w:t xml:space="preserve"> </w:t>
      </w:r>
      <w:r w:rsidRPr="00DE7CC4">
        <w:rPr>
          <w:rFonts w:ascii="Times New Roman" w:hAnsi="Times New Roman" w:cs="Times New Roman"/>
          <w:color w:val="000000" w:themeColor="text1"/>
          <w:sz w:val="28"/>
          <w:lang w:val="es-ES"/>
        </w:rPr>
        <w:t>preexistente y predicable de parte de la población</w:t>
      </w:r>
      <w:r w:rsidRPr="00DE7CC4">
        <w:rPr>
          <w:rFonts w:ascii="Times New Roman" w:hAnsi="Times New Roman" w:cs="Times New Roman"/>
          <w:color w:val="000000" w:themeColor="text1"/>
          <w:sz w:val="28"/>
          <w:lang w:val="es-ES"/>
        </w:rPr>
        <w:t xml:space="preserve"> colombiana que no tiene acceso a los instrumentos tecnológicos para tomar las pruebas,</w:t>
      </w:r>
      <w:r w:rsidRPr="00DE7CC4">
        <w:rPr>
          <w:rFonts w:ascii="Times New Roman" w:hAnsi="Times New Roman" w:cs="Times New Roman"/>
          <w:color w:val="000000" w:themeColor="text1"/>
          <w:sz w:val="28"/>
          <w:lang w:val="es-ES"/>
        </w:rPr>
        <w:t xml:space="preserve"> por lo cual, exigirles la carga de que trata la norma</w:t>
      </w:r>
      <w:r w:rsidRPr="00DE7CC4">
        <w:rPr>
          <w:rFonts w:ascii="Times New Roman" w:hAnsi="Times New Roman" w:cs="Times New Roman"/>
          <w:color w:val="000000" w:themeColor="text1"/>
          <w:sz w:val="28"/>
          <w:lang w:val="es-ES"/>
        </w:rPr>
        <w:t>,</w:t>
      </w:r>
      <w:r w:rsidRPr="00DE7CC4">
        <w:rPr>
          <w:rFonts w:ascii="Times New Roman" w:hAnsi="Times New Roman" w:cs="Times New Roman"/>
          <w:color w:val="000000" w:themeColor="text1"/>
          <w:sz w:val="28"/>
          <w:lang w:val="es-ES"/>
        </w:rPr>
        <w:t xml:space="preserve"> podría</w:t>
      </w:r>
      <w:r w:rsidRPr="00DE7CC4">
        <w:rPr>
          <w:rFonts w:ascii="Times New Roman" w:hAnsi="Times New Roman" w:cs="Times New Roman"/>
          <w:color w:val="000000" w:themeColor="text1"/>
          <w:sz w:val="28"/>
          <w:lang w:val="es-ES"/>
        </w:rPr>
        <w:t xml:space="preserve"> ahondar </w:t>
      </w:r>
      <w:r w:rsidRPr="00DE7CC4">
        <w:rPr>
          <w:rFonts w:ascii="Times New Roman" w:hAnsi="Times New Roman" w:cs="Times New Roman"/>
          <w:color w:val="000000" w:themeColor="text1"/>
          <w:sz w:val="28"/>
          <w:lang w:val="es-ES"/>
        </w:rPr>
        <w:t>su situación de vulnerabilidad, dado que,</w:t>
      </w:r>
      <w:r w:rsidRPr="00DE7CC4">
        <w:rPr>
          <w:rFonts w:ascii="Times New Roman" w:hAnsi="Times New Roman" w:cs="Times New Roman"/>
          <w:color w:val="000000" w:themeColor="text1"/>
          <w:sz w:val="28"/>
          <w:lang w:val="es-ES"/>
        </w:rPr>
        <w:t xml:space="preserve"> para la defensa de </w:t>
      </w:r>
      <w:r w:rsidRPr="00DE7CC4">
        <w:rPr>
          <w:rFonts w:ascii="Times New Roman" w:hAnsi="Times New Roman" w:cs="Times New Roman"/>
          <w:color w:val="000000" w:themeColor="text1"/>
          <w:sz w:val="28"/>
          <w:lang w:val="es-ES"/>
        </w:rPr>
        <w:t xml:space="preserve">su </w:t>
      </w:r>
      <w:r w:rsidRPr="00DE7CC4">
        <w:rPr>
          <w:rFonts w:ascii="Times New Roman" w:hAnsi="Times New Roman" w:cs="Times New Roman"/>
          <w:color w:val="000000" w:themeColor="text1"/>
          <w:sz w:val="28"/>
          <w:lang w:val="es-ES"/>
        </w:rPr>
        <w:t xml:space="preserve">propiedad, </w:t>
      </w:r>
      <w:r w:rsidRPr="00DE7CC4">
        <w:rPr>
          <w:rFonts w:ascii="Times New Roman" w:hAnsi="Times New Roman" w:cs="Times New Roman"/>
          <w:color w:val="000000" w:themeColor="text1"/>
          <w:sz w:val="28"/>
          <w:lang w:val="es-ES"/>
        </w:rPr>
        <w:t>se estaría exigiendo contar con dichas herramientas</w:t>
      </w:r>
      <w:r w:rsidRPr="00DE7CC4">
        <w:rPr>
          <w:rFonts w:ascii="Times New Roman" w:hAnsi="Times New Roman" w:cs="Times New Roman"/>
          <w:color w:val="000000" w:themeColor="text1"/>
          <w:sz w:val="28"/>
          <w:lang w:val="es-ES"/>
        </w:rPr>
        <w:t xml:space="preserve">. El impacto de la disposición cuestionada, por ser en este aspecto diferencial y más gravoso para las personas mencionadas, debe ajustarse a la única lectura posible de la Constitución, que es, en este tipo de casos, </w:t>
      </w:r>
      <w:r w:rsidRPr="00DE7CC4">
        <w:rPr>
          <w:rFonts w:ascii="Times New Roman" w:hAnsi="Times New Roman" w:cs="Times New Roman"/>
          <w:color w:val="000000" w:themeColor="text1"/>
          <w:sz w:val="28"/>
          <w:lang w:val="es-ES"/>
        </w:rPr>
        <w:t>exigir la presencia de</w:t>
      </w:r>
      <w:r w:rsidRPr="00DE7CC4">
        <w:rPr>
          <w:rFonts w:ascii="Times New Roman" w:hAnsi="Times New Roman" w:cs="Times New Roman"/>
          <w:color w:val="000000" w:themeColor="text1"/>
          <w:sz w:val="28"/>
          <w:lang w:val="es-ES"/>
        </w:rPr>
        <w:t xml:space="preserve"> la autoridad de</w:t>
      </w:r>
      <w:r w:rsidRPr="00DE7CC4">
        <w:rPr>
          <w:rFonts w:ascii="Times New Roman" w:hAnsi="Times New Roman" w:cs="Times New Roman"/>
          <w:color w:val="000000" w:themeColor="text1"/>
          <w:sz w:val="28"/>
          <w:lang w:val="es-ES"/>
        </w:rPr>
        <w:t xml:space="preserve"> tránsito. </w:t>
      </w:r>
    </w:p>
    <w:p w:rsidR="002456BF" w:rsidRPr="00DE7CC4" w:rsidRDefault="00DE7CC4" w:rsidP="00D74DF4">
      <w:pPr>
        <w:pStyle w:val="Prrafodelista"/>
        <w:tabs>
          <w:tab w:val="left" w:pos="284"/>
        </w:tabs>
        <w:ind w:left="0" w:right="49"/>
        <w:jc w:val="both"/>
        <w:rPr>
          <w:rFonts w:ascii="Times New Roman" w:hAnsi="Times New Roman" w:cs="Times New Roman"/>
          <w:color w:val="000000" w:themeColor="text1"/>
          <w:sz w:val="28"/>
          <w:lang w:val="es-ES"/>
        </w:rPr>
      </w:pPr>
    </w:p>
    <w:p w:rsidR="00D62FB8" w:rsidRPr="00DE7CC4" w:rsidRDefault="00DE7CC4" w:rsidP="00D74DF4">
      <w:pPr>
        <w:pStyle w:val="Prrafodelista"/>
        <w:tabs>
          <w:tab w:val="left" w:pos="284"/>
        </w:tabs>
        <w:ind w:left="0" w:right="49"/>
        <w:jc w:val="both"/>
        <w:rPr>
          <w:rFonts w:ascii="Times New Roman" w:hAnsi="Times New Roman" w:cs="Times New Roman"/>
          <w:color w:val="000000" w:themeColor="text1"/>
          <w:sz w:val="28"/>
          <w:lang w:val="es-ES"/>
        </w:rPr>
      </w:pPr>
      <w:r w:rsidRPr="00DE7CC4">
        <w:rPr>
          <w:rFonts w:ascii="Times New Roman" w:hAnsi="Times New Roman" w:cs="Times New Roman"/>
          <w:color w:val="000000" w:themeColor="text1"/>
          <w:sz w:val="28"/>
          <w:lang w:val="es-ES"/>
        </w:rPr>
        <w:t>138</w:t>
      </w:r>
      <w:r w:rsidRPr="00DE7CC4">
        <w:rPr>
          <w:rFonts w:ascii="Times New Roman" w:hAnsi="Times New Roman" w:cs="Times New Roman"/>
          <w:color w:val="000000" w:themeColor="text1"/>
          <w:sz w:val="28"/>
          <w:lang w:val="es-ES"/>
        </w:rPr>
        <w:t xml:space="preserve">. </w:t>
      </w:r>
      <w:r w:rsidRPr="00DE7CC4">
        <w:rPr>
          <w:rFonts w:ascii="Times New Roman" w:hAnsi="Times New Roman" w:cs="Times New Roman"/>
          <w:color w:val="000000" w:themeColor="text1"/>
          <w:sz w:val="28"/>
          <w:lang w:val="es-ES"/>
        </w:rPr>
        <w:t>Así entonces, es imperativo</w:t>
      </w:r>
      <w:r w:rsidRPr="00DE7CC4">
        <w:rPr>
          <w:rFonts w:ascii="Times New Roman" w:hAnsi="Times New Roman" w:cs="Times New Roman"/>
          <w:color w:val="000000" w:themeColor="text1"/>
          <w:sz w:val="28"/>
          <w:lang w:val="es-ES"/>
        </w:rPr>
        <w:t>, por un lado,</w:t>
      </w:r>
      <w:r w:rsidRPr="00DE7CC4">
        <w:rPr>
          <w:rFonts w:ascii="Times New Roman" w:hAnsi="Times New Roman" w:cs="Times New Roman"/>
          <w:color w:val="000000" w:themeColor="text1"/>
          <w:sz w:val="28"/>
          <w:lang w:val="es-ES"/>
        </w:rPr>
        <w:t xml:space="preserve"> </w:t>
      </w:r>
      <w:r w:rsidRPr="00DE7CC4">
        <w:rPr>
          <w:rFonts w:ascii="Times New Roman" w:hAnsi="Times New Roman" w:cs="Times New Roman"/>
          <w:color w:val="000000" w:themeColor="text1"/>
          <w:sz w:val="28"/>
          <w:lang w:val="es-ES"/>
        </w:rPr>
        <w:t xml:space="preserve">que </w:t>
      </w:r>
      <w:r w:rsidRPr="00DE7CC4">
        <w:rPr>
          <w:rFonts w:ascii="Times New Roman" w:hAnsi="Times New Roman" w:cs="Times New Roman"/>
          <w:color w:val="000000" w:themeColor="text1"/>
          <w:sz w:val="28"/>
          <w:lang w:val="es-ES"/>
        </w:rPr>
        <w:t>las autoridades de tránsito involucradas y, en particular, los agentes de tránsito en las vías</w:t>
      </w:r>
      <w:r w:rsidRPr="00DE7CC4">
        <w:rPr>
          <w:rFonts w:ascii="Times New Roman" w:hAnsi="Times New Roman" w:cs="Times New Roman"/>
          <w:color w:val="000000" w:themeColor="text1"/>
          <w:sz w:val="28"/>
          <w:lang w:val="es-ES"/>
        </w:rPr>
        <w:t>,</w:t>
      </w:r>
      <w:r w:rsidRPr="00DE7CC4">
        <w:rPr>
          <w:rFonts w:ascii="Times New Roman" w:hAnsi="Times New Roman" w:cs="Times New Roman"/>
          <w:color w:val="000000" w:themeColor="text1"/>
          <w:sz w:val="28"/>
          <w:lang w:val="es-ES"/>
        </w:rPr>
        <w:t xml:space="preserve"> den una lectura </w:t>
      </w:r>
      <w:r w:rsidRPr="00DE7CC4">
        <w:rPr>
          <w:rFonts w:ascii="Times New Roman" w:hAnsi="Times New Roman" w:cs="Times New Roman"/>
          <w:i/>
          <w:iCs/>
          <w:color w:val="000000" w:themeColor="text1"/>
          <w:sz w:val="28"/>
          <w:lang w:val="es-ES"/>
        </w:rPr>
        <w:t>armónica</w:t>
      </w:r>
      <w:r w:rsidRPr="00DE7CC4">
        <w:rPr>
          <w:rFonts w:ascii="Times New Roman" w:hAnsi="Times New Roman" w:cs="Times New Roman"/>
          <w:color w:val="000000" w:themeColor="text1"/>
          <w:sz w:val="28"/>
          <w:lang w:val="es-ES"/>
        </w:rPr>
        <w:t xml:space="preserve"> con la Constitución </w:t>
      </w:r>
      <w:r w:rsidRPr="00DE7CC4">
        <w:rPr>
          <w:rFonts w:ascii="Times New Roman" w:hAnsi="Times New Roman" w:cs="Times New Roman"/>
          <w:color w:val="000000" w:themeColor="text1"/>
          <w:sz w:val="28"/>
          <w:lang w:val="es-ES"/>
        </w:rPr>
        <w:t>–</w:t>
      </w:r>
      <w:r w:rsidRPr="00DE7CC4">
        <w:rPr>
          <w:rFonts w:ascii="Times New Roman" w:hAnsi="Times New Roman" w:cs="Times New Roman"/>
          <w:color w:val="000000" w:themeColor="text1"/>
          <w:sz w:val="28"/>
          <w:lang w:val="es-ES"/>
        </w:rPr>
        <w:t>y, por lo tanto, razonable</w:t>
      </w:r>
      <w:r w:rsidRPr="00DE7CC4">
        <w:rPr>
          <w:rFonts w:ascii="Times New Roman" w:hAnsi="Times New Roman" w:cs="Times New Roman"/>
          <w:color w:val="000000" w:themeColor="text1"/>
          <w:sz w:val="28"/>
          <w:lang w:val="es-ES"/>
        </w:rPr>
        <w:t>–</w:t>
      </w:r>
      <w:r w:rsidRPr="00DE7CC4">
        <w:rPr>
          <w:rFonts w:ascii="Times New Roman" w:hAnsi="Times New Roman" w:cs="Times New Roman"/>
          <w:color w:val="000000" w:themeColor="text1"/>
          <w:sz w:val="28"/>
          <w:lang w:val="es-ES"/>
        </w:rPr>
        <w:t xml:space="preserve"> al artículo 16 de la L</w:t>
      </w:r>
      <w:r w:rsidRPr="00DE7CC4">
        <w:rPr>
          <w:rFonts w:ascii="Times New Roman" w:hAnsi="Times New Roman" w:cs="Times New Roman"/>
          <w:color w:val="000000" w:themeColor="text1"/>
          <w:sz w:val="28"/>
          <w:lang w:val="es-ES"/>
        </w:rPr>
        <w:t>ey 2251 de 2022, evitando incurrir en conductas que conduzcan a afectar a personas en situación de vulnerabilidad</w:t>
      </w:r>
      <w:r w:rsidRPr="00DE7CC4">
        <w:rPr>
          <w:rFonts w:ascii="Times New Roman" w:hAnsi="Times New Roman" w:cs="Times New Roman"/>
          <w:color w:val="000000" w:themeColor="text1"/>
          <w:sz w:val="28"/>
          <w:lang w:val="es-ES"/>
        </w:rPr>
        <w:t>, y</w:t>
      </w:r>
      <w:r w:rsidRPr="00DE7CC4">
        <w:rPr>
          <w:rFonts w:ascii="Times New Roman" w:hAnsi="Times New Roman" w:cs="Times New Roman"/>
          <w:color w:val="000000" w:themeColor="text1"/>
          <w:sz w:val="28"/>
          <w:lang w:val="es-ES"/>
        </w:rPr>
        <w:t xml:space="preserve">, por otro lado, </w:t>
      </w:r>
      <w:r w:rsidRPr="00DE7CC4">
        <w:rPr>
          <w:rFonts w:ascii="Times New Roman" w:hAnsi="Times New Roman" w:cs="Times New Roman"/>
          <w:color w:val="000000" w:themeColor="text1"/>
          <w:sz w:val="28"/>
          <w:lang w:val="es-ES"/>
        </w:rPr>
        <w:t xml:space="preserve">que </w:t>
      </w:r>
      <w:r w:rsidRPr="00DE7CC4">
        <w:rPr>
          <w:rFonts w:ascii="Times New Roman" w:hAnsi="Times New Roman" w:cs="Times New Roman"/>
          <w:color w:val="000000" w:themeColor="text1"/>
          <w:sz w:val="28"/>
          <w:lang w:val="es-ES"/>
        </w:rPr>
        <w:t xml:space="preserve">la Corte llame la atención </w:t>
      </w:r>
      <w:r w:rsidRPr="00DE7CC4">
        <w:rPr>
          <w:rFonts w:ascii="Times New Roman" w:hAnsi="Times New Roman" w:cs="Times New Roman"/>
          <w:color w:val="000000" w:themeColor="text1"/>
          <w:sz w:val="28"/>
          <w:lang w:val="es-ES"/>
        </w:rPr>
        <w:t>sobre la premisa de que</w:t>
      </w:r>
      <w:r w:rsidRPr="00DE7CC4">
        <w:rPr>
          <w:rFonts w:ascii="Times New Roman" w:hAnsi="Times New Roman" w:cs="Times New Roman"/>
          <w:color w:val="000000" w:themeColor="text1"/>
          <w:sz w:val="28"/>
          <w:lang w:val="es-ES"/>
        </w:rPr>
        <w:t>, en principio, todas las personas que hayan recibido habilitación pa</w:t>
      </w:r>
      <w:r w:rsidRPr="00DE7CC4">
        <w:rPr>
          <w:rFonts w:ascii="Times New Roman" w:hAnsi="Times New Roman" w:cs="Times New Roman"/>
          <w:color w:val="000000" w:themeColor="text1"/>
          <w:sz w:val="28"/>
          <w:lang w:val="es-ES"/>
        </w:rPr>
        <w:t xml:space="preserve">ra conducir, también lo están para asumir los deberes </w:t>
      </w:r>
      <w:r w:rsidRPr="00DE7CC4">
        <w:rPr>
          <w:rFonts w:ascii="Times New Roman" w:hAnsi="Times New Roman" w:cs="Times New Roman"/>
          <w:color w:val="000000" w:themeColor="text1"/>
          <w:sz w:val="28"/>
          <w:lang w:val="es-ES"/>
        </w:rPr>
        <w:t xml:space="preserve">y cargas </w:t>
      </w:r>
      <w:r w:rsidRPr="00DE7CC4">
        <w:rPr>
          <w:rFonts w:ascii="Times New Roman" w:hAnsi="Times New Roman" w:cs="Times New Roman"/>
          <w:color w:val="000000" w:themeColor="text1"/>
          <w:sz w:val="28"/>
          <w:lang w:val="es-ES"/>
        </w:rPr>
        <w:t>que a dicha actividad están aparejados</w:t>
      </w:r>
      <w:r w:rsidRPr="00DE7CC4">
        <w:rPr>
          <w:rFonts w:ascii="Times New Roman" w:hAnsi="Times New Roman" w:cs="Times New Roman"/>
          <w:color w:val="000000" w:themeColor="text1"/>
          <w:sz w:val="28"/>
          <w:lang w:val="es-ES"/>
        </w:rPr>
        <w:t>, por lo cual, solo excepcionalmente y por motivos constitucionalmente ineludibles como los indicados en esta providencia, tienen el derecho a que las auto</w:t>
      </w:r>
      <w:r w:rsidRPr="00DE7CC4">
        <w:rPr>
          <w:rFonts w:ascii="Times New Roman" w:hAnsi="Times New Roman" w:cs="Times New Roman"/>
          <w:color w:val="000000" w:themeColor="text1"/>
          <w:sz w:val="28"/>
          <w:lang w:val="es-ES"/>
        </w:rPr>
        <w:t xml:space="preserve">ridades de tránsito acudan -ante su llamado- a asistirlas en la actividad probatoria regulada en la disposición demandada, bien sea a través de las herramientas técnicas y tecnológicas a que la misma hace referencia o, en caso de que ello no sea posible </w:t>
      </w:r>
      <w:r w:rsidRPr="00DE7CC4">
        <w:rPr>
          <w:rFonts w:ascii="Times New Roman" w:hAnsi="Times New Roman" w:cs="Times New Roman"/>
          <w:color w:val="000000" w:themeColor="text1"/>
          <w:sz w:val="28"/>
          <w:lang w:val="es-ES"/>
        </w:rPr>
        <w:t>–</w:t>
      </w:r>
      <w:r w:rsidRPr="00DE7CC4">
        <w:rPr>
          <w:rFonts w:ascii="Times New Roman" w:hAnsi="Times New Roman" w:cs="Times New Roman"/>
          <w:color w:val="000000" w:themeColor="text1"/>
          <w:sz w:val="28"/>
          <w:lang w:val="es-ES"/>
        </w:rPr>
        <w:t>como sucedería en el último supuesto referido por la Sala</w:t>
      </w:r>
      <w:r w:rsidRPr="00DE7CC4">
        <w:rPr>
          <w:rFonts w:ascii="Times New Roman" w:hAnsi="Times New Roman" w:cs="Times New Roman"/>
          <w:color w:val="000000" w:themeColor="text1"/>
          <w:sz w:val="28"/>
          <w:lang w:val="es-ES"/>
        </w:rPr>
        <w:t>–</w:t>
      </w:r>
      <w:r w:rsidRPr="00DE7CC4">
        <w:rPr>
          <w:rFonts w:ascii="Times New Roman" w:hAnsi="Times New Roman" w:cs="Times New Roman"/>
          <w:color w:val="000000" w:themeColor="text1"/>
          <w:sz w:val="28"/>
          <w:lang w:val="es-ES"/>
        </w:rPr>
        <w:t xml:space="preserve">, a través del levantamiento del informe policial de accidente de tránsito. </w:t>
      </w:r>
    </w:p>
    <w:p w:rsidR="006C36E0" w:rsidRPr="00DE7CC4" w:rsidRDefault="00DE7CC4" w:rsidP="00D74DF4">
      <w:pPr>
        <w:pStyle w:val="Prrafodelista"/>
        <w:tabs>
          <w:tab w:val="left" w:pos="284"/>
        </w:tabs>
        <w:ind w:left="0" w:right="49"/>
        <w:jc w:val="both"/>
        <w:rPr>
          <w:rFonts w:ascii="Times New Roman" w:hAnsi="Times New Roman" w:cs="Times New Roman"/>
          <w:color w:val="000000" w:themeColor="text1"/>
          <w:sz w:val="28"/>
          <w:lang w:val="es-ES"/>
        </w:rPr>
      </w:pPr>
    </w:p>
    <w:p w:rsidR="00D74DF4" w:rsidRPr="00DE7CC4" w:rsidRDefault="00DE7CC4" w:rsidP="00D74DF4">
      <w:pPr>
        <w:pStyle w:val="Prrafodelista"/>
        <w:tabs>
          <w:tab w:val="left" w:pos="284"/>
        </w:tabs>
        <w:ind w:left="0" w:right="49"/>
        <w:jc w:val="both"/>
        <w:rPr>
          <w:rFonts w:ascii="Times New Roman" w:hAnsi="Times New Roman" w:cs="Times New Roman"/>
          <w:color w:val="000000" w:themeColor="text1"/>
          <w:sz w:val="28"/>
          <w:lang w:val="es-ES"/>
        </w:rPr>
      </w:pPr>
      <w:r w:rsidRPr="00DE7CC4">
        <w:rPr>
          <w:rFonts w:ascii="Times New Roman" w:hAnsi="Times New Roman" w:cs="Times New Roman"/>
          <w:color w:val="000000" w:themeColor="text1"/>
          <w:sz w:val="28"/>
          <w:lang w:val="es-ES"/>
        </w:rPr>
        <w:t>139</w:t>
      </w:r>
      <w:r w:rsidRPr="00DE7CC4">
        <w:rPr>
          <w:rFonts w:ascii="Times New Roman" w:hAnsi="Times New Roman" w:cs="Times New Roman"/>
          <w:color w:val="000000" w:themeColor="text1"/>
          <w:sz w:val="28"/>
          <w:lang w:val="es-ES"/>
        </w:rPr>
        <w:t xml:space="preserve">. </w:t>
      </w:r>
      <w:r w:rsidRPr="00DE7CC4">
        <w:rPr>
          <w:rFonts w:ascii="Times New Roman" w:hAnsi="Times New Roman" w:cs="Times New Roman"/>
          <w:color w:val="000000" w:themeColor="text1"/>
          <w:sz w:val="28"/>
          <w:lang w:val="es-ES"/>
        </w:rPr>
        <w:t xml:space="preserve">Ello se desprende, además de los cánones constitucionales, del alcance del </w:t>
      </w:r>
      <w:r w:rsidRPr="00DE7CC4">
        <w:rPr>
          <w:rFonts w:ascii="Times New Roman" w:hAnsi="Times New Roman" w:cs="Times New Roman"/>
          <w:color w:val="000000" w:themeColor="text1"/>
          <w:sz w:val="28"/>
          <w:lang w:val="es-ES"/>
        </w:rPr>
        <w:t>deber legal de</w:t>
      </w:r>
      <w:r w:rsidRPr="00DE7CC4">
        <w:rPr>
          <w:rFonts w:ascii="Times New Roman" w:hAnsi="Times New Roman" w:cs="Times New Roman"/>
          <w:color w:val="000000" w:themeColor="text1"/>
          <w:sz w:val="28"/>
          <w:lang w:val="es-ES"/>
        </w:rPr>
        <w:t xml:space="preserve"> las autoridades de tránsi</w:t>
      </w:r>
      <w:r w:rsidRPr="00DE7CC4">
        <w:rPr>
          <w:rFonts w:ascii="Times New Roman" w:hAnsi="Times New Roman" w:cs="Times New Roman"/>
          <w:color w:val="000000" w:themeColor="text1"/>
          <w:sz w:val="28"/>
          <w:lang w:val="es-ES"/>
        </w:rPr>
        <w:t>to y, en particular, de los agentes para</w:t>
      </w:r>
      <w:r w:rsidRPr="00DE7CC4">
        <w:rPr>
          <w:rFonts w:ascii="Times New Roman" w:hAnsi="Times New Roman" w:cs="Times New Roman"/>
          <w:color w:val="000000" w:themeColor="text1"/>
          <w:sz w:val="28"/>
          <w:lang w:val="es-ES"/>
        </w:rPr>
        <w:t xml:space="preserve"> “velar por el cumplimiento del régimen normativo de tránsito y transporte y garantizar la libre locomoción de todos los ciudadanos” y ejercer, en consecuencia, las siguientes funciones: </w:t>
      </w:r>
    </w:p>
    <w:p w:rsidR="00D74DF4" w:rsidRPr="00DE7CC4" w:rsidRDefault="00DE7CC4" w:rsidP="00D74DF4">
      <w:pPr>
        <w:pStyle w:val="Prrafodelista"/>
        <w:tabs>
          <w:tab w:val="left" w:pos="284"/>
        </w:tabs>
        <w:ind w:left="567" w:right="333"/>
        <w:jc w:val="both"/>
        <w:rPr>
          <w:rFonts w:ascii="Times New Roman" w:hAnsi="Times New Roman" w:cs="Times New Roman"/>
          <w:color w:val="000000" w:themeColor="text1"/>
          <w:sz w:val="28"/>
          <w:lang w:val="es-ES"/>
        </w:rPr>
      </w:pPr>
    </w:p>
    <w:p w:rsidR="00D74DF4" w:rsidRPr="00DE7CC4" w:rsidRDefault="00DE7CC4" w:rsidP="00D74DF4">
      <w:pPr>
        <w:ind w:left="567" w:right="333"/>
        <w:jc w:val="both"/>
        <w:rPr>
          <w:rFonts w:ascii="Times New Roman" w:hAnsi="Times New Roman" w:cs="Times New Roman"/>
          <w:color w:val="000000" w:themeColor="text1"/>
          <w:sz w:val="28"/>
        </w:rPr>
      </w:pPr>
      <w:r w:rsidRPr="00DE7CC4">
        <w:rPr>
          <w:rFonts w:ascii="Times New Roman" w:hAnsi="Times New Roman" w:cs="Times New Roman"/>
          <w:color w:val="000000" w:themeColor="text1"/>
          <w:sz w:val="28"/>
        </w:rPr>
        <w:t>“</w:t>
      </w:r>
      <w:r w:rsidRPr="00DE7CC4">
        <w:rPr>
          <w:rFonts w:ascii="Times New Roman" w:hAnsi="Times New Roman" w:cs="Times New Roman"/>
          <w:color w:val="000000" w:themeColor="text1"/>
          <w:sz w:val="28"/>
        </w:rPr>
        <w:t>(…)</w:t>
      </w:r>
      <w:r w:rsidRPr="00DE7CC4">
        <w:rPr>
          <w:rFonts w:ascii="Times New Roman" w:hAnsi="Times New Roman" w:cs="Times New Roman"/>
          <w:color w:val="000000" w:themeColor="text1"/>
          <w:sz w:val="28"/>
        </w:rPr>
        <w:t>.</w:t>
      </w:r>
    </w:p>
    <w:p w:rsidR="00D74DF4" w:rsidRPr="00DE7CC4" w:rsidRDefault="00DE7CC4" w:rsidP="00D74DF4">
      <w:pPr>
        <w:ind w:left="567" w:right="333"/>
        <w:jc w:val="both"/>
        <w:rPr>
          <w:rFonts w:ascii="Times New Roman" w:hAnsi="Times New Roman" w:cs="Times New Roman"/>
          <w:color w:val="000000" w:themeColor="text1"/>
          <w:sz w:val="28"/>
        </w:rPr>
      </w:pPr>
      <w:r w:rsidRPr="00DE7CC4">
        <w:rPr>
          <w:rFonts w:ascii="Times New Roman" w:hAnsi="Times New Roman" w:cs="Times New Roman"/>
          <w:color w:val="000000" w:themeColor="text1"/>
          <w:sz w:val="28"/>
        </w:rPr>
        <w:t>2. </w:t>
      </w:r>
      <w:r w:rsidRPr="00DE7CC4">
        <w:rPr>
          <w:rFonts w:ascii="Times New Roman" w:hAnsi="Times New Roman" w:cs="Times New Roman"/>
          <w:b/>
          <w:bCs/>
          <w:color w:val="000000" w:themeColor="text1"/>
          <w:sz w:val="28"/>
        </w:rPr>
        <w:t>Educativa. </w:t>
      </w:r>
      <w:r w:rsidRPr="00DE7CC4">
        <w:rPr>
          <w:rFonts w:ascii="Times New Roman" w:hAnsi="Times New Roman" w:cs="Times New Roman"/>
          <w:color w:val="000000" w:themeColor="text1"/>
          <w:sz w:val="28"/>
        </w:rPr>
        <w:t>A travé</w:t>
      </w:r>
      <w:r w:rsidRPr="00DE7CC4">
        <w:rPr>
          <w:rFonts w:ascii="Times New Roman" w:hAnsi="Times New Roman" w:cs="Times New Roman"/>
          <w:color w:val="000000" w:themeColor="text1"/>
          <w:sz w:val="28"/>
        </w:rPr>
        <w:t>s de orientar, capacitar y crear cultura en la comunidad respecto a las normas de tránsito y transporte.</w:t>
      </w:r>
    </w:p>
    <w:p w:rsidR="00D74DF4" w:rsidRPr="00DE7CC4" w:rsidRDefault="00DE7CC4" w:rsidP="00D74DF4">
      <w:pPr>
        <w:ind w:left="567" w:right="333"/>
        <w:jc w:val="both"/>
        <w:rPr>
          <w:rFonts w:ascii="Times New Roman" w:hAnsi="Times New Roman" w:cs="Times New Roman"/>
          <w:color w:val="000000" w:themeColor="text1"/>
          <w:sz w:val="28"/>
        </w:rPr>
      </w:pPr>
      <w:r w:rsidRPr="00DE7CC4">
        <w:rPr>
          <w:rFonts w:ascii="Times New Roman" w:hAnsi="Times New Roman" w:cs="Times New Roman"/>
          <w:color w:val="000000" w:themeColor="text1"/>
          <w:sz w:val="28"/>
        </w:rPr>
        <w:t>3. </w:t>
      </w:r>
      <w:r w:rsidRPr="00DE7CC4">
        <w:rPr>
          <w:rFonts w:ascii="Times New Roman" w:hAnsi="Times New Roman" w:cs="Times New Roman"/>
          <w:b/>
          <w:bCs/>
          <w:color w:val="000000" w:themeColor="text1"/>
          <w:sz w:val="28"/>
        </w:rPr>
        <w:t>Preventiva</w:t>
      </w:r>
      <w:r w:rsidRPr="00DE7CC4">
        <w:rPr>
          <w:rFonts w:ascii="Times New Roman" w:hAnsi="Times New Roman" w:cs="Times New Roman"/>
          <w:color w:val="000000" w:themeColor="text1"/>
          <w:sz w:val="28"/>
        </w:rPr>
        <w:t xml:space="preserve">. De la comisión de infracciones o contravenciones, regulando la circulación vehicular y peatonal, vigilando, controlando e interviniendo </w:t>
      </w:r>
      <w:r w:rsidRPr="00DE7CC4">
        <w:rPr>
          <w:rFonts w:ascii="Times New Roman" w:hAnsi="Times New Roman" w:cs="Times New Roman"/>
          <w:color w:val="000000" w:themeColor="text1"/>
          <w:sz w:val="28"/>
        </w:rPr>
        <w:t>en el cumplimiento de los procedimientos técnicos, misionales y jurídicos de las normas de tránsito.</w:t>
      </w:r>
    </w:p>
    <w:p w:rsidR="00D74DF4" w:rsidRPr="00DE7CC4" w:rsidRDefault="00DE7CC4" w:rsidP="00D74DF4">
      <w:pPr>
        <w:ind w:left="567" w:right="333"/>
        <w:jc w:val="both"/>
        <w:rPr>
          <w:rFonts w:ascii="Times New Roman" w:hAnsi="Times New Roman" w:cs="Times New Roman"/>
          <w:color w:val="000000" w:themeColor="text1"/>
          <w:sz w:val="28"/>
        </w:rPr>
      </w:pPr>
      <w:r w:rsidRPr="00DE7CC4">
        <w:rPr>
          <w:rFonts w:ascii="Times New Roman" w:hAnsi="Times New Roman" w:cs="Times New Roman"/>
          <w:color w:val="000000" w:themeColor="text1"/>
          <w:sz w:val="28"/>
        </w:rPr>
        <w:t>4. </w:t>
      </w:r>
      <w:r w:rsidRPr="00DE7CC4">
        <w:rPr>
          <w:rFonts w:ascii="Times New Roman" w:hAnsi="Times New Roman" w:cs="Times New Roman"/>
          <w:b/>
          <w:bCs/>
          <w:color w:val="000000" w:themeColor="text1"/>
          <w:sz w:val="28"/>
        </w:rPr>
        <w:t>Solidaridad</w:t>
      </w:r>
      <w:r w:rsidRPr="00DE7CC4">
        <w:rPr>
          <w:rFonts w:ascii="Times New Roman" w:hAnsi="Times New Roman" w:cs="Times New Roman"/>
          <w:color w:val="000000" w:themeColor="text1"/>
          <w:sz w:val="28"/>
        </w:rPr>
        <w:t>. Entre los cuerpos de agentes de tránsito y transporte, la comunidad y demás autoridades.</w:t>
      </w:r>
    </w:p>
    <w:p w:rsidR="006C36E0" w:rsidRPr="00DE7CC4" w:rsidRDefault="00DE7CC4" w:rsidP="00D74DF4">
      <w:pPr>
        <w:ind w:left="567" w:right="333"/>
        <w:jc w:val="both"/>
        <w:rPr>
          <w:rFonts w:ascii="Times New Roman" w:hAnsi="Times New Roman" w:cs="Times New Roman"/>
          <w:color w:val="000000" w:themeColor="text1"/>
          <w:sz w:val="28"/>
        </w:rPr>
      </w:pPr>
      <w:r w:rsidRPr="00DE7CC4">
        <w:rPr>
          <w:rFonts w:ascii="Times New Roman" w:hAnsi="Times New Roman" w:cs="Times New Roman"/>
          <w:color w:val="000000" w:themeColor="text1"/>
          <w:sz w:val="28"/>
        </w:rPr>
        <w:t>(…)”</w:t>
      </w:r>
      <w:r w:rsidRPr="00DE7CC4">
        <w:rPr>
          <w:rFonts w:ascii="Times New Roman" w:hAnsi="Times New Roman" w:cs="Times New Roman"/>
          <w:color w:val="000000" w:themeColor="text1"/>
          <w:sz w:val="28"/>
        </w:rPr>
        <w:t>.</w:t>
      </w:r>
    </w:p>
    <w:p w:rsidR="00D74DF4" w:rsidRPr="00DE7CC4" w:rsidRDefault="00DE7CC4" w:rsidP="00D74DF4">
      <w:pPr>
        <w:pStyle w:val="Prrafodelista"/>
        <w:tabs>
          <w:tab w:val="left" w:pos="284"/>
        </w:tabs>
        <w:ind w:left="567" w:right="333"/>
        <w:jc w:val="both"/>
        <w:rPr>
          <w:rFonts w:ascii="Times New Roman" w:hAnsi="Times New Roman" w:cs="Times New Roman"/>
          <w:color w:val="000000" w:themeColor="text1"/>
          <w:sz w:val="28"/>
          <w:lang w:val="es-ES"/>
        </w:rPr>
      </w:pPr>
    </w:p>
    <w:p w:rsidR="00487E62" w:rsidRPr="00DE7CC4" w:rsidRDefault="00DE7CC4" w:rsidP="00B40CB9">
      <w:pPr>
        <w:pStyle w:val="Prrafodelista"/>
        <w:tabs>
          <w:tab w:val="left" w:pos="284"/>
        </w:tabs>
        <w:ind w:left="0" w:right="49"/>
        <w:jc w:val="both"/>
        <w:rPr>
          <w:rFonts w:ascii="Times New Roman" w:hAnsi="Times New Roman" w:cs="Times New Roman"/>
          <w:color w:val="000000" w:themeColor="text1"/>
          <w:sz w:val="28"/>
          <w:lang w:val="es-ES"/>
        </w:rPr>
      </w:pPr>
      <w:r w:rsidRPr="00DE7CC4">
        <w:rPr>
          <w:rFonts w:ascii="Times New Roman" w:hAnsi="Times New Roman" w:cs="Times New Roman"/>
          <w:color w:val="000000" w:themeColor="text1"/>
          <w:sz w:val="28"/>
          <w:lang w:val="es-ES"/>
        </w:rPr>
        <w:t>140</w:t>
      </w:r>
      <w:r w:rsidRPr="00DE7CC4">
        <w:rPr>
          <w:rFonts w:ascii="Times New Roman" w:hAnsi="Times New Roman" w:cs="Times New Roman"/>
          <w:color w:val="000000" w:themeColor="text1"/>
          <w:sz w:val="28"/>
          <w:lang w:val="es-ES"/>
        </w:rPr>
        <w:t>.</w:t>
      </w:r>
      <w:r w:rsidRPr="00DE7CC4">
        <w:rPr>
          <w:rFonts w:ascii="Times New Roman" w:hAnsi="Times New Roman" w:cs="Times New Roman"/>
          <w:color w:val="000000" w:themeColor="text1"/>
          <w:sz w:val="28"/>
          <w:lang w:val="es-ES"/>
        </w:rPr>
        <w:t xml:space="preserve"> A partir de </w:t>
      </w:r>
      <w:r w:rsidRPr="00DE7CC4">
        <w:rPr>
          <w:rFonts w:ascii="Times New Roman" w:hAnsi="Times New Roman" w:cs="Times New Roman"/>
          <w:color w:val="000000" w:themeColor="text1"/>
          <w:sz w:val="28"/>
          <w:lang w:val="es-ES"/>
        </w:rPr>
        <w:t xml:space="preserve">esta interpretación </w:t>
      </w:r>
      <w:r w:rsidRPr="00DE7CC4">
        <w:rPr>
          <w:rFonts w:ascii="Times New Roman" w:hAnsi="Times New Roman" w:cs="Times New Roman"/>
          <w:color w:val="000000" w:themeColor="text1"/>
          <w:sz w:val="28"/>
          <w:lang w:val="es-ES"/>
        </w:rPr>
        <w:t>constitucional del artículo 16 de la Ley 2251 de 2022</w:t>
      </w:r>
      <w:r w:rsidRPr="00DE7CC4">
        <w:rPr>
          <w:rFonts w:ascii="Times New Roman" w:hAnsi="Times New Roman" w:cs="Times New Roman"/>
          <w:color w:val="000000" w:themeColor="text1"/>
          <w:sz w:val="28"/>
          <w:lang w:val="es-ES"/>
        </w:rPr>
        <w:t xml:space="preserve">, la Sala Plena </w:t>
      </w:r>
      <w:r w:rsidRPr="00DE7CC4">
        <w:rPr>
          <w:rFonts w:ascii="Times New Roman" w:hAnsi="Times New Roman" w:cs="Times New Roman"/>
          <w:color w:val="000000" w:themeColor="text1"/>
          <w:sz w:val="28"/>
          <w:lang w:val="es-ES"/>
        </w:rPr>
        <w:t>adelantará los pasos del juicio leve que permitirán establecer si la norma así indicada supera el examen de constitucionalidad</w:t>
      </w:r>
      <w:r w:rsidRPr="00DE7CC4">
        <w:rPr>
          <w:rFonts w:ascii="Times New Roman" w:hAnsi="Times New Roman" w:cs="Times New Roman"/>
          <w:color w:val="000000" w:themeColor="text1"/>
          <w:sz w:val="28"/>
          <w:lang w:val="es-ES"/>
        </w:rPr>
        <w:t>, teniendo en cuenta el cargo propuesto por los demandantes y</w:t>
      </w:r>
      <w:r w:rsidRPr="00DE7CC4">
        <w:rPr>
          <w:rFonts w:ascii="Times New Roman" w:hAnsi="Times New Roman" w:cs="Times New Roman"/>
          <w:color w:val="000000" w:themeColor="text1"/>
          <w:sz w:val="28"/>
          <w:lang w:val="es-ES"/>
        </w:rPr>
        <w:t xml:space="preserve"> admitido por la Corte Constitucional.</w:t>
      </w:r>
    </w:p>
    <w:p w:rsidR="00487E62" w:rsidRPr="00DE7CC4" w:rsidRDefault="00DE7CC4" w:rsidP="00F32ED8">
      <w:pPr>
        <w:pStyle w:val="Prrafodelista"/>
        <w:tabs>
          <w:tab w:val="left" w:pos="284"/>
        </w:tabs>
        <w:ind w:left="0" w:right="49"/>
        <w:jc w:val="both"/>
        <w:rPr>
          <w:rFonts w:ascii="Times New Roman" w:hAnsi="Times New Roman" w:cs="Times New Roman"/>
          <w:color w:val="000000" w:themeColor="text1"/>
          <w:sz w:val="28"/>
          <w:lang w:val="es-ES"/>
        </w:rPr>
      </w:pPr>
    </w:p>
    <w:p w:rsidR="00487E62" w:rsidRPr="00DE7CC4" w:rsidRDefault="00DE7CC4" w:rsidP="00F32ED8">
      <w:pPr>
        <w:pStyle w:val="Prrafodelista"/>
        <w:tabs>
          <w:tab w:val="left" w:pos="284"/>
        </w:tabs>
        <w:ind w:left="0" w:right="49"/>
        <w:jc w:val="both"/>
        <w:rPr>
          <w:rFonts w:ascii="Times New Roman" w:hAnsi="Times New Roman" w:cs="Times New Roman"/>
          <w:b/>
          <w:bCs/>
          <w:i/>
          <w:iCs/>
          <w:color w:val="000000" w:themeColor="text1"/>
          <w:sz w:val="28"/>
          <w:lang w:val="es-ES_tradnl"/>
        </w:rPr>
      </w:pPr>
      <w:r w:rsidRPr="00DE7CC4">
        <w:rPr>
          <w:rFonts w:ascii="Times New Roman" w:hAnsi="Times New Roman" w:cs="Times New Roman"/>
          <w:b/>
          <w:bCs/>
          <w:i/>
          <w:iCs/>
          <w:color w:val="000000" w:themeColor="text1"/>
          <w:sz w:val="28"/>
          <w:lang w:val="es-ES_tradnl"/>
        </w:rPr>
        <w:t>La medida del artículo 16 de la Ley 2251 de 2022 supera el juicio de proporcionalidad en intensidad leve</w:t>
      </w:r>
    </w:p>
    <w:p w:rsidR="00B40CB9" w:rsidRPr="00DE7CC4" w:rsidRDefault="00DE7CC4" w:rsidP="00F32ED8">
      <w:pPr>
        <w:pStyle w:val="Prrafodelista"/>
        <w:tabs>
          <w:tab w:val="left" w:pos="284"/>
        </w:tabs>
        <w:ind w:left="0" w:right="49"/>
        <w:jc w:val="both"/>
        <w:rPr>
          <w:rFonts w:ascii="Times New Roman" w:hAnsi="Times New Roman" w:cs="Times New Roman"/>
          <w:color w:val="000000" w:themeColor="text1"/>
          <w:sz w:val="28"/>
          <w:lang w:val="es-ES_tradnl"/>
        </w:rPr>
      </w:pPr>
    </w:p>
    <w:p w:rsidR="00AE05DF" w:rsidRPr="00DE7CC4" w:rsidRDefault="00DE7CC4" w:rsidP="00F32ED8">
      <w:pPr>
        <w:pStyle w:val="Prrafodelista"/>
        <w:tabs>
          <w:tab w:val="left" w:pos="284"/>
        </w:tabs>
        <w:ind w:left="0" w:right="49"/>
        <w:jc w:val="both"/>
        <w:rPr>
          <w:rFonts w:ascii="Times New Roman" w:hAnsi="Times New Roman" w:cs="Times New Roman"/>
          <w:color w:val="000000" w:themeColor="text1"/>
          <w:sz w:val="28"/>
          <w:lang w:val="es-ES"/>
        </w:rPr>
      </w:pPr>
      <w:r w:rsidRPr="00DE7CC4">
        <w:rPr>
          <w:rFonts w:ascii="Times New Roman" w:hAnsi="Times New Roman" w:cs="Times New Roman"/>
          <w:color w:val="000000" w:themeColor="text1"/>
          <w:sz w:val="28"/>
          <w:lang w:val="es-ES"/>
        </w:rPr>
        <w:t>141</w:t>
      </w:r>
      <w:r w:rsidRPr="00DE7CC4">
        <w:rPr>
          <w:rFonts w:ascii="Times New Roman" w:hAnsi="Times New Roman" w:cs="Times New Roman"/>
          <w:color w:val="000000" w:themeColor="text1"/>
          <w:sz w:val="28"/>
          <w:lang w:val="es-ES"/>
        </w:rPr>
        <w:t xml:space="preserve">. </w:t>
      </w:r>
      <w:r w:rsidRPr="00DE7CC4">
        <w:rPr>
          <w:rFonts w:ascii="Times New Roman" w:hAnsi="Times New Roman" w:cs="Times New Roman"/>
          <w:color w:val="000000" w:themeColor="text1"/>
          <w:sz w:val="28"/>
          <w:lang w:val="es-ES"/>
        </w:rPr>
        <w:t xml:space="preserve">De entrada, es importante </w:t>
      </w:r>
      <w:r w:rsidRPr="00DE7CC4">
        <w:rPr>
          <w:rFonts w:ascii="Times New Roman" w:hAnsi="Times New Roman" w:cs="Times New Roman"/>
          <w:color w:val="000000" w:themeColor="text1"/>
          <w:sz w:val="28"/>
          <w:lang w:val="es-ES"/>
        </w:rPr>
        <w:t>denotar</w:t>
      </w:r>
      <w:r w:rsidRPr="00DE7CC4">
        <w:rPr>
          <w:rFonts w:ascii="Times New Roman" w:hAnsi="Times New Roman" w:cs="Times New Roman"/>
          <w:color w:val="000000" w:themeColor="text1"/>
          <w:sz w:val="28"/>
          <w:lang w:val="es-ES"/>
        </w:rPr>
        <w:t xml:space="preserve"> que a la</w:t>
      </w:r>
      <w:r w:rsidRPr="00DE7CC4">
        <w:rPr>
          <w:rFonts w:ascii="Times New Roman" w:hAnsi="Times New Roman" w:cs="Times New Roman"/>
          <w:color w:val="000000" w:themeColor="text1"/>
          <w:sz w:val="28"/>
          <w:lang w:val="es-ES"/>
        </w:rPr>
        <w:t xml:space="preserve"> regulación demandada</w:t>
      </w:r>
      <w:r w:rsidRPr="00DE7CC4">
        <w:rPr>
          <w:rFonts w:ascii="Times New Roman" w:hAnsi="Times New Roman" w:cs="Times New Roman"/>
          <w:color w:val="000000" w:themeColor="text1"/>
          <w:sz w:val="28"/>
          <w:lang w:val="es-ES"/>
        </w:rPr>
        <w:t xml:space="preserve"> subyace un claro enfoque por satisfacer el interés general asociado a las prácticas seguras y vitales para que las vías del país sean un escenario de garantía de los derechos de todos los actores viales</w:t>
      </w:r>
      <w:r w:rsidRPr="00DE7CC4">
        <w:rPr>
          <w:rFonts w:ascii="Times New Roman" w:hAnsi="Times New Roman" w:cs="Times New Roman"/>
          <w:color w:val="000000" w:themeColor="text1"/>
          <w:sz w:val="28"/>
          <w:lang w:val="es-ES"/>
        </w:rPr>
        <w:t xml:space="preserve">. Con este objetivo, sin embargo, el </w:t>
      </w:r>
      <w:r w:rsidRPr="00DE7CC4">
        <w:rPr>
          <w:rFonts w:ascii="Times New Roman" w:hAnsi="Times New Roman" w:cs="Times New Roman"/>
          <w:color w:val="000000" w:themeColor="text1"/>
          <w:sz w:val="28"/>
          <w:lang w:val="es-ES"/>
        </w:rPr>
        <w:t>l</w:t>
      </w:r>
      <w:r w:rsidRPr="00DE7CC4">
        <w:rPr>
          <w:rFonts w:ascii="Times New Roman" w:hAnsi="Times New Roman" w:cs="Times New Roman"/>
          <w:color w:val="000000" w:themeColor="text1"/>
          <w:sz w:val="28"/>
          <w:lang w:val="es-ES"/>
        </w:rPr>
        <w:t>egislador tampo</w:t>
      </w:r>
      <w:r w:rsidRPr="00DE7CC4">
        <w:rPr>
          <w:rFonts w:ascii="Times New Roman" w:hAnsi="Times New Roman" w:cs="Times New Roman"/>
          <w:color w:val="000000" w:themeColor="text1"/>
          <w:sz w:val="28"/>
          <w:lang w:val="es-ES"/>
        </w:rPr>
        <w:t>co desatiende la protección de intereses individuales que se pueden afectar por medidas dirigidas a esa pretensión más general, por lo cual, como sucede en este caso, fijó unos cursos de acción a cargo de las personas que conducen y respecto de los acciden</w:t>
      </w:r>
      <w:r w:rsidRPr="00DE7CC4">
        <w:rPr>
          <w:rFonts w:ascii="Times New Roman" w:hAnsi="Times New Roman" w:cs="Times New Roman"/>
          <w:color w:val="000000" w:themeColor="text1"/>
          <w:sz w:val="28"/>
          <w:lang w:val="es-ES"/>
        </w:rPr>
        <w:t xml:space="preserve">tes de tránsito menos graves </w:t>
      </w:r>
      <w:r w:rsidRPr="00DE7CC4">
        <w:rPr>
          <w:rFonts w:ascii="Times New Roman" w:hAnsi="Times New Roman" w:cs="Times New Roman"/>
          <w:color w:val="000000" w:themeColor="text1"/>
          <w:sz w:val="28"/>
          <w:lang w:val="es-ES"/>
        </w:rPr>
        <w:t>–</w:t>
      </w:r>
      <w:r w:rsidRPr="00DE7CC4">
        <w:rPr>
          <w:rFonts w:ascii="Times New Roman" w:hAnsi="Times New Roman" w:cs="Times New Roman"/>
          <w:color w:val="000000" w:themeColor="text1"/>
          <w:sz w:val="28"/>
          <w:lang w:val="es-ES"/>
        </w:rPr>
        <w:t>pues no está comprometida la integridad y la vida de las personas</w:t>
      </w:r>
      <w:r w:rsidRPr="00DE7CC4">
        <w:rPr>
          <w:rFonts w:ascii="Times New Roman" w:hAnsi="Times New Roman" w:cs="Times New Roman"/>
          <w:color w:val="000000" w:themeColor="text1"/>
          <w:sz w:val="28"/>
          <w:lang w:val="es-ES"/>
        </w:rPr>
        <w:t>–</w:t>
      </w:r>
      <w:r w:rsidRPr="00DE7CC4">
        <w:rPr>
          <w:rFonts w:ascii="Times New Roman" w:hAnsi="Times New Roman" w:cs="Times New Roman"/>
          <w:color w:val="000000" w:themeColor="text1"/>
          <w:sz w:val="28"/>
          <w:lang w:val="es-ES"/>
        </w:rPr>
        <w:t xml:space="preserve">. Para la Sala, bajo esta teleología, la disposición demandada </w:t>
      </w:r>
      <w:r w:rsidRPr="00DE7CC4">
        <w:rPr>
          <w:rFonts w:ascii="Times New Roman" w:hAnsi="Times New Roman" w:cs="Times New Roman"/>
          <w:color w:val="000000" w:themeColor="text1"/>
          <w:sz w:val="28"/>
          <w:lang w:val="es-ES"/>
        </w:rPr>
        <w:t xml:space="preserve">tiene un </w:t>
      </w:r>
      <w:r w:rsidRPr="00DE7CC4">
        <w:rPr>
          <w:rFonts w:ascii="Times New Roman" w:hAnsi="Times New Roman" w:cs="Times New Roman"/>
          <w:i/>
          <w:iCs/>
          <w:color w:val="000000" w:themeColor="text1"/>
          <w:sz w:val="28"/>
          <w:lang w:val="es-ES"/>
        </w:rPr>
        <w:t>doble propósito constitucionalmente legítimo</w:t>
      </w:r>
      <w:r w:rsidRPr="00DE7CC4">
        <w:rPr>
          <w:rStyle w:val="Refdenotaalpie"/>
          <w:rFonts w:ascii="Times New Roman" w:hAnsi="Times New Roman"/>
          <w:color w:val="000000" w:themeColor="text1"/>
          <w:sz w:val="28"/>
          <w:lang w:val="es-ES"/>
        </w:rPr>
        <w:footnoteReference w:id="180"/>
      </w:r>
      <w:r w:rsidRPr="00DE7CC4">
        <w:rPr>
          <w:rFonts w:ascii="Times New Roman" w:hAnsi="Times New Roman" w:cs="Times New Roman"/>
          <w:color w:val="000000" w:themeColor="text1"/>
          <w:sz w:val="28"/>
          <w:lang w:val="es-ES"/>
        </w:rPr>
        <w:t>.</w:t>
      </w:r>
      <w:r w:rsidRPr="00DE7CC4">
        <w:rPr>
          <w:rFonts w:ascii="Times New Roman" w:hAnsi="Times New Roman" w:cs="Times New Roman"/>
          <w:color w:val="000000" w:themeColor="text1"/>
          <w:sz w:val="28"/>
          <w:lang w:val="es-ES"/>
        </w:rPr>
        <w:t xml:space="preserve"> </w:t>
      </w:r>
    </w:p>
    <w:p w:rsidR="00AE05DF" w:rsidRPr="00DE7CC4" w:rsidRDefault="00DE7CC4" w:rsidP="00F32ED8">
      <w:pPr>
        <w:pStyle w:val="Prrafodelista"/>
        <w:tabs>
          <w:tab w:val="left" w:pos="284"/>
        </w:tabs>
        <w:ind w:left="0" w:right="49"/>
        <w:jc w:val="both"/>
        <w:rPr>
          <w:rFonts w:ascii="Times New Roman" w:hAnsi="Times New Roman" w:cs="Times New Roman"/>
          <w:color w:val="000000" w:themeColor="text1"/>
          <w:sz w:val="28"/>
          <w:lang w:val="es-ES"/>
        </w:rPr>
      </w:pPr>
    </w:p>
    <w:p w:rsidR="00F32ED8" w:rsidRPr="00DE7CC4" w:rsidRDefault="00DE7CC4" w:rsidP="00F32ED8">
      <w:pPr>
        <w:pStyle w:val="Prrafodelista"/>
        <w:tabs>
          <w:tab w:val="left" w:pos="284"/>
        </w:tabs>
        <w:ind w:left="0" w:right="49"/>
        <w:jc w:val="both"/>
        <w:rPr>
          <w:rFonts w:ascii="Times New Roman" w:hAnsi="Times New Roman" w:cs="Times New Roman"/>
          <w:color w:val="000000" w:themeColor="text1"/>
          <w:sz w:val="28"/>
          <w:lang w:val="es-ES"/>
        </w:rPr>
      </w:pPr>
      <w:r w:rsidRPr="00DE7CC4">
        <w:rPr>
          <w:rFonts w:ascii="Times New Roman" w:hAnsi="Times New Roman" w:cs="Times New Roman"/>
          <w:color w:val="000000" w:themeColor="text1"/>
          <w:sz w:val="28"/>
          <w:lang w:val="es-ES"/>
        </w:rPr>
        <w:t>142</w:t>
      </w:r>
      <w:r w:rsidRPr="00DE7CC4">
        <w:rPr>
          <w:rFonts w:ascii="Times New Roman" w:hAnsi="Times New Roman" w:cs="Times New Roman"/>
          <w:color w:val="000000" w:themeColor="text1"/>
          <w:sz w:val="28"/>
          <w:lang w:val="es-ES"/>
        </w:rPr>
        <w:t xml:space="preserve">. </w:t>
      </w:r>
      <w:r w:rsidRPr="00DE7CC4">
        <w:rPr>
          <w:rFonts w:ascii="Times New Roman" w:hAnsi="Times New Roman" w:cs="Times New Roman"/>
          <w:color w:val="000000" w:themeColor="text1"/>
          <w:sz w:val="28"/>
          <w:lang w:val="es-ES"/>
        </w:rPr>
        <w:t>De una parte, se dirige a establec</w:t>
      </w:r>
      <w:r w:rsidRPr="00DE7CC4">
        <w:rPr>
          <w:rFonts w:ascii="Times New Roman" w:hAnsi="Times New Roman" w:cs="Times New Roman"/>
          <w:color w:val="000000" w:themeColor="text1"/>
          <w:sz w:val="28"/>
          <w:lang w:val="es-ES"/>
        </w:rPr>
        <w:t xml:space="preserve">er una configuración instrumental para la reclamación del daño material causado en accidentes de tránsito, precisando que se podrá acudir a instituciones </w:t>
      </w:r>
      <w:r w:rsidRPr="00DE7CC4">
        <w:rPr>
          <w:rFonts w:ascii="Times New Roman" w:hAnsi="Times New Roman" w:cs="Times New Roman"/>
          <w:color w:val="000000" w:themeColor="text1"/>
          <w:sz w:val="28"/>
          <w:lang w:val="es-ES"/>
        </w:rPr>
        <w:t xml:space="preserve">autorizadas para </w:t>
      </w:r>
      <w:r w:rsidRPr="00DE7CC4">
        <w:rPr>
          <w:rFonts w:ascii="Times New Roman" w:hAnsi="Times New Roman" w:cs="Times New Roman"/>
          <w:color w:val="000000" w:themeColor="text1"/>
          <w:sz w:val="28"/>
          <w:lang w:val="es-ES"/>
        </w:rPr>
        <w:t>adelanta</w:t>
      </w:r>
      <w:r w:rsidRPr="00DE7CC4">
        <w:rPr>
          <w:rFonts w:ascii="Times New Roman" w:hAnsi="Times New Roman" w:cs="Times New Roman"/>
          <w:color w:val="000000" w:themeColor="text1"/>
          <w:sz w:val="28"/>
          <w:lang w:val="es-ES"/>
        </w:rPr>
        <w:t>r</w:t>
      </w:r>
      <w:r w:rsidRPr="00DE7CC4">
        <w:rPr>
          <w:rFonts w:ascii="Times New Roman" w:hAnsi="Times New Roman" w:cs="Times New Roman"/>
          <w:color w:val="000000" w:themeColor="text1"/>
          <w:sz w:val="28"/>
          <w:lang w:val="es-ES"/>
        </w:rPr>
        <w:t xml:space="preserve"> conciliaciones y, en el evento en que a ello haya lugar, a las vías judicia</w:t>
      </w:r>
      <w:r w:rsidRPr="00DE7CC4">
        <w:rPr>
          <w:rFonts w:ascii="Times New Roman" w:hAnsi="Times New Roman" w:cs="Times New Roman"/>
          <w:color w:val="000000" w:themeColor="text1"/>
          <w:sz w:val="28"/>
          <w:lang w:val="es-ES"/>
        </w:rPr>
        <w:t xml:space="preserve">les respectivas. Para el efecto, además y principalmente </w:t>
      </w:r>
      <w:r w:rsidRPr="00DE7CC4">
        <w:rPr>
          <w:rFonts w:ascii="Times New Roman" w:hAnsi="Times New Roman" w:cs="Times New Roman"/>
          <w:color w:val="000000" w:themeColor="text1"/>
          <w:sz w:val="28"/>
          <w:lang w:val="es-ES"/>
        </w:rPr>
        <w:t>en atención a</w:t>
      </w:r>
      <w:r w:rsidRPr="00DE7CC4">
        <w:rPr>
          <w:rFonts w:ascii="Times New Roman" w:hAnsi="Times New Roman" w:cs="Times New Roman"/>
          <w:color w:val="000000" w:themeColor="text1"/>
          <w:sz w:val="28"/>
          <w:lang w:val="es-ES"/>
        </w:rPr>
        <w:t xml:space="preserve"> lo alegado por los demandantes, regula un instrumento de recaudo probatorio </w:t>
      </w:r>
      <w:r w:rsidRPr="00DE7CC4">
        <w:rPr>
          <w:rFonts w:ascii="Times New Roman" w:hAnsi="Times New Roman" w:cs="Times New Roman"/>
          <w:color w:val="000000" w:themeColor="text1"/>
          <w:sz w:val="28"/>
          <w:lang w:val="es-ES"/>
        </w:rPr>
        <w:t>–</w:t>
      </w:r>
      <w:r w:rsidRPr="00DE7CC4">
        <w:rPr>
          <w:rFonts w:ascii="Times New Roman" w:hAnsi="Times New Roman" w:cs="Times New Roman"/>
          <w:color w:val="000000" w:themeColor="text1"/>
          <w:sz w:val="28"/>
          <w:lang w:val="es-ES"/>
        </w:rPr>
        <w:t>a disposición de los interesados</w:t>
      </w:r>
      <w:r w:rsidRPr="00DE7CC4">
        <w:rPr>
          <w:rFonts w:ascii="Times New Roman" w:hAnsi="Times New Roman" w:cs="Times New Roman"/>
          <w:color w:val="000000" w:themeColor="text1"/>
          <w:sz w:val="28"/>
          <w:lang w:val="es-ES"/>
        </w:rPr>
        <w:t>–</w:t>
      </w:r>
      <w:r w:rsidRPr="00DE7CC4">
        <w:rPr>
          <w:rFonts w:ascii="Times New Roman" w:hAnsi="Times New Roman" w:cs="Times New Roman"/>
          <w:color w:val="000000" w:themeColor="text1"/>
          <w:sz w:val="28"/>
          <w:lang w:val="es-ES"/>
        </w:rPr>
        <w:t xml:space="preserve"> para acreditar la ocurrencia de los accidentes de tránsito, así como sus consecuencias materiales. Con este enfoque y con el objetivo de hacer posible la demostración de las afectaciones del derecho de propiedad derivadas de tales accidentes, autoriza el </w:t>
      </w:r>
      <w:r w:rsidRPr="00DE7CC4">
        <w:rPr>
          <w:rFonts w:ascii="Times New Roman" w:hAnsi="Times New Roman" w:cs="Times New Roman"/>
          <w:color w:val="000000" w:themeColor="text1"/>
          <w:sz w:val="28"/>
          <w:lang w:val="es-ES"/>
        </w:rPr>
        <w:t>recaudo de</w:t>
      </w:r>
      <w:r w:rsidRPr="00DE7CC4">
        <w:rPr>
          <w:rFonts w:ascii="Times New Roman" w:hAnsi="Times New Roman" w:cs="Times New Roman"/>
          <w:color w:val="000000" w:themeColor="text1"/>
          <w:sz w:val="28"/>
        </w:rPr>
        <w:t xml:space="preserve"> las pruebas relativas a la colisión mediante la utilización de herramientas técnicas y tecnológicas, </w:t>
      </w:r>
      <w:r w:rsidRPr="00DE7CC4">
        <w:rPr>
          <w:rFonts w:ascii="Times New Roman" w:hAnsi="Times New Roman" w:cs="Times New Roman"/>
          <w:color w:val="000000" w:themeColor="text1"/>
          <w:sz w:val="28"/>
          <w:lang w:val="es-ES"/>
        </w:rPr>
        <w:t xml:space="preserve">previendo además que dichas pruebas -cuando cumplan las condiciones allí previstas y con la intervención de quienes también allí dispone- </w:t>
      </w:r>
      <w:r w:rsidRPr="00DE7CC4">
        <w:rPr>
          <w:rFonts w:ascii="Times New Roman" w:hAnsi="Times New Roman" w:cs="Times New Roman"/>
          <w:i/>
          <w:iCs/>
          <w:color w:val="000000" w:themeColor="text1"/>
          <w:sz w:val="28"/>
        </w:rPr>
        <w:t>reempl</w:t>
      </w:r>
      <w:r w:rsidRPr="00DE7CC4">
        <w:rPr>
          <w:rFonts w:ascii="Times New Roman" w:hAnsi="Times New Roman" w:cs="Times New Roman"/>
          <w:i/>
          <w:iCs/>
          <w:color w:val="000000" w:themeColor="text1"/>
          <w:sz w:val="28"/>
        </w:rPr>
        <w:t xml:space="preserve">azarán </w:t>
      </w:r>
      <w:r w:rsidRPr="00DE7CC4">
        <w:rPr>
          <w:rFonts w:ascii="Times New Roman" w:hAnsi="Times New Roman" w:cs="Times New Roman"/>
          <w:color w:val="000000" w:themeColor="text1"/>
          <w:sz w:val="28"/>
        </w:rPr>
        <w:t>el informe de accidentes.</w:t>
      </w:r>
      <w:r w:rsidRPr="00DE7CC4">
        <w:rPr>
          <w:rFonts w:ascii="Times New Roman" w:hAnsi="Times New Roman" w:cs="Times New Roman"/>
          <w:color w:val="000000" w:themeColor="text1"/>
          <w:sz w:val="28"/>
          <w:lang w:val="es-ES"/>
        </w:rPr>
        <w:t xml:space="preserve">   </w:t>
      </w:r>
    </w:p>
    <w:p w:rsidR="00F32ED8" w:rsidRPr="00DE7CC4" w:rsidRDefault="00DE7CC4" w:rsidP="00F32ED8">
      <w:pPr>
        <w:pStyle w:val="Prrafodelista"/>
        <w:tabs>
          <w:tab w:val="left" w:pos="284"/>
        </w:tabs>
        <w:ind w:left="0" w:right="49"/>
        <w:jc w:val="both"/>
        <w:rPr>
          <w:rFonts w:ascii="Times New Roman" w:hAnsi="Times New Roman" w:cs="Times New Roman"/>
          <w:color w:val="000000" w:themeColor="text1"/>
          <w:sz w:val="28"/>
          <w:lang w:val="es-ES"/>
        </w:rPr>
      </w:pPr>
    </w:p>
    <w:p w:rsidR="00F32ED8" w:rsidRPr="00DE7CC4" w:rsidRDefault="00DE7CC4" w:rsidP="00F32ED8">
      <w:pPr>
        <w:pStyle w:val="Prrafodelista"/>
        <w:tabs>
          <w:tab w:val="left" w:pos="284"/>
        </w:tabs>
        <w:ind w:left="0" w:right="49"/>
        <w:jc w:val="both"/>
        <w:rPr>
          <w:rFonts w:ascii="Times New Roman" w:hAnsi="Times New Roman" w:cs="Times New Roman"/>
          <w:color w:val="000000" w:themeColor="text1"/>
          <w:sz w:val="28"/>
          <w:lang w:val="es-ES"/>
        </w:rPr>
      </w:pPr>
      <w:r w:rsidRPr="00DE7CC4">
        <w:rPr>
          <w:rFonts w:ascii="Times New Roman" w:hAnsi="Times New Roman" w:cs="Times New Roman"/>
          <w:color w:val="000000" w:themeColor="text1"/>
          <w:sz w:val="28"/>
          <w:lang w:val="es-ES"/>
        </w:rPr>
        <w:t>143</w:t>
      </w:r>
      <w:r w:rsidRPr="00DE7CC4">
        <w:rPr>
          <w:rFonts w:ascii="Times New Roman" w:hAnsi="Times New Roman" w:cs="Times New Roman"/>
          <w:color w:val="000000" w:themeColor="text1"/>
          <w:sz w:val="28"/>
          <w:lang w:val="es-ES"/>
        </w:rPr>
        <w:t xml:space="preserve">. Sobre este preciso aspecto, es necesario reconocer que antes de la entrada en vigencia de la disposición </w:t>
      </w:r>
      <w:r w:rsidRPr="00DE7CC4">
        <w:rPr>
          <w:rFonts w:ascii="Times New Roman" w:hAnsi="Times New Roman" w:cs="Times New Roman"/>
          <w:color w:val="000000" w:themeColor="text1"/>
          <w:sz w:val="28"/>
          <w:lang w:val="es-ES"/>
        </w:rPr>
        <w:t>–</w:t>
      </w:r>
      <w:r w:rsidRPr="00DE7CC4">
        <w:rPr>
          <w:rFonts w:ascii="Times New Roman" w:hAnsi="Times New Roman" w:cs="Times New Roman"/>
          <w:color w:val="000000" w:themeColor="text1"/>
          <w:sz w:val="28"/>
          <w:lang w:val="es-ES"/>
        </w:rPr>
        <w:t xml:space="preserve">por lo menos en los eventos en los que los vehículos no estaban asegurados, por virtud de lo indicado en el </w:t>
      </w:r>
      <w:r w:rsidRPr="00DE7CC4">
        <w:rPr>
          <w:rFonts w:ascii="Times New Roman" w:hAnsi="Times New Roman" w:cs="Times New Roman"/>
          <w:color w:val="000000" w:themeColor="text1"/>
          <w:sz w:val="28"/>
          <w:lang w:val="es-ES"/>
        </w:rPr>
        <w:t>artículo 143A del Código Nacional de Tránsito</w:t>
      </w:r>
      <w:r w:rsidRPr="00DE7CC4">
        <w:rPr>
          <w:rFonts w:ascii="Times New Roman" w:hAnsi="Times New Roman" w:cs="Times New Roman"/>
          <w:color w:val="000000" w:themeColor="text1"/>
          <w:sz w:val="28"/>
          <w:lang w:val="es-ES"/>
        </w:rPr>
        <w:t>–</w:t>
      </w:r>
      <w:r w:rsidRPr="00DE7CC4">
        <w:rPr>
          <w:rFonts w:ascii="Times New Roman" w:hAnsi="Times New Roman" w:cs="Times New Roman"/>
          <w:color w:val="000000" w:themeColor="text1"/>
          <w:sz w:val="28"/>
          <w:lang w:val="es-ES"/>
        </w:rPr>
        <w:t xml:space="preserve"> eran las autoridades de tránsito las que adelantaban el procedimiento, esto es, el intento de conciliación y la expedición del informe policial de tránsito, documento que, como se ha anotado, sí tiene relevanc</w:t>
      </w:r>
      <w:r w:rsidRPr="00DE7CC4">
        <w:rPr>
          <w:rFonts w:ascii="Times New Roman" w:hAnsi="Times New Roman" w:cs="Times New Roman"/>
          <w:color w:val="000000" w:themeColor="text1"/>
          <w:sz w:val="28"/>
          <w:lang w:val="es-ES"/>
        </w:rPr>
        <w:t>ia en la pretensión de reparación del daño causado. No obstante, tal como se advirtió, este informe tampoco constituía plena prueba en el tipo de reclamación tendiente a obtener la indemnización de un daño o, dicho de otra manera, no había una especie de t</w:t>
      </w:r>
      <w:r w:rsidRPr="00DE7CC4">
        <w:rPr>
          <w:rFonts w:ascii="Times New Roman" w:hAnsi="Times New Roman" w:cs="Times New Roman"/>
          <w:color w:val="000000" w:themeColor="text1"/>
          <w:sz w:val="28"/>
          <w:lang w:val="es-ES"/>
        </w:rPr>
        <w:t>arifa legal con única prueba en la materia. En la Sentencia C-429 de 2003</w:t>
      </w:r>
      <w:r w:rsidRPr="00DE7CC4">
        <w:rPr>
          <w:rStyle w:val="Refdenotaalpie"/>
          <w:rFonts w:ascii="Times New Roman" w:hAnsi="Times New Roman"/>
          <w:color w:val="000000" w:themeColor="text1"/>
          <w:sz w:val="28"/>
          <w:lang w:val="es-ES"/>
        </w:rPr>
        <w:footnoteReference w:id="181"/>
      </w:r>
      <w:r w:rsidRPr="00DE7CC4">
        <w:rPr>
          <w:rFonts w:ascii="Times New Roman" w:hAnsi="Times New Roman" w:cs="Times New Roman"/>
          <w:color w:val="000000" w:themeColor="text1"/>
          <w:sz w:val="28"/>
          <w:lang w:val="es-ES"/>
        </w:rPr>
        <w:t>, que se pronunció sobre este tipo de informes cuando -además- estaba de por medio la presunta comisión de conductas lesivas del derecho penal, indicó que se trataba de un informe de</w:t>
      </w:r>
      <w:r w:rsidRPr="00DE7CC4">
        <w:rPr>
          <w:rFonts w:ascii="Times New Roman" w:hAnsi="Times New Roman" w:cs="Times New Roman"/>
          <w:color w:val="000000" w:themeColor="text1"/>
          <w:sz w:val="28"/>
          <w:lang w:val="es-ES"/>
        </w:rPr>
        <w:t xml:space="preserve">scriptivo sobre los hechos que se observaban por la autoridad de tránsito al momento de atender uno de estos hechos, por lo cual, su contenido debía ser sometido, siguiendo las reglas de la sana crítica, a la valoración de la autoridad respectiva: </w:t>
      </w:r>
    </w:p>
    <w:p w:rsidR="00F32ED8" w:rsidRPr="00DE7CC4" w:rsidRDefault="00DE7CC4" w:rsidP="00F32ED8">
      <w:pPr>
        <w:pStyle w:val="Prrafodelista"/>
        <w:tabs>
          <w:tab w:val="left" w:pos="284"/>
        </w:tabs>
        <w:ind w:left="0" w:right="49"/>
        <w:jc w:val="both"/>
        <w:rPr>
          <w:rFonts w:ascii="Times New Roman" w:hAnsi="Times New Roman" w:cs="Times New Roman"/>
          <w:color w:val="000000" w:themeColor="text1"/>
          <w:sz w:val="28"/>
          <w:lang w:val="es-ES"/>
        </w:rPr>
      </w:pPr>
    </w:p>
    <w:p w:rsidR="00F32ED8" w:rsidRPr="00DE7CC4" w:rsidRDefault="00DE7CC4" w:rsidP="00F32ED8">
      <w:pPr>
        <w:pStyle w:val="Prrafodelista"/>
        <w:tabs>
          <w:tab w:val="left" w:pos="284"/>
        </w:tabs>
        <w:ind w:left="567" w:right="333"/>
        <w:jc w:val="both"/>
        <w:rPr>
          <w:rFonts w:ascii="Times New Roman" w:hAnsi="Times New Roman" w:cs="Times New Roman"/>
          <w:color w:val="000000" w:themeColor="text1"/>
          <w:sz w:val="28"/>
          <w:shd w:val="clear" w:color="auto" w:fill="FFFFFF"/>
        </w:rPr>
      </w:pPr>
      <w:r w:rsidRPr="00DE7CC4">
        <w:rPr>
          <w:rFonts w:ascii="Times New Roman" w:hAnsi="Times New Roman" w:cs="Times New Roman"/>
          <w:color w:val="000000" w:themeColor="text1"/>
          <w:sz w:val="28"/>
          <w:shd w:val="clear" w:color="auto" w:fill="FFFFFF"/>
        </w:rPr>
        <w:t>“En es</w:t>
      </w:r>
      <w:r w:rsidRPr="00DE7CC4">
        <w:rPr>
          <w:rFonts w:ascii="Times New Roman" w:hAnsi="Times New Roman" w:cs="Times New Roman"/>
          <w:color w:val="000000" w:themeColor="text1"/>
          <w:sz w:val="28"/>
          <w:shd w:val="clear" w:color="auto" w:fill="FFFFFF"/>
        </w:rPr>
        <w:t>te orden de ideas, el informe descriptivo elaborado por una autoridad de tránsito, constituye un importante instrumento al servicio de la administración de justicia como quiera que en éste se da cuenta de la ocurrencia de un hecho, en algunos casos con imp</w:t>
      </w:r>
      <w:r w:rsidRPr="00DE7CC4">
        <w:rPr>
          <w:rFonts w:ascii="Times New Roman" w:hAnsi="Times New Roman" w:cs="Times New Roman"/>
          <w:color w:val="000000" w:themeColor="text1"/>
          <w:sz w:val="28"/>
          <w:shd w:val="clear" w:color="auto" w:fill="FFFFFF"/>
        </w:rPr>
        <w:t>licaciones de orden civil pero en otros además con carácter penal, en el que aparecen identificados los conductores implicados, así como consignados datos sobre las posibles condiciones en que aquél tuvo lugar, y además estará firmado por los conductores o</w:t>
      </w:r>
      <w:r w:rsidRPr="00DE7CC4">
        <w:rPr>
          <w:rFonts w:ascii="Times New Roman" w:hAnsi="Times New Roman" w:cs="Times New Roman"/>
          <w:color w:val="000000" w:themeColor="text1"/>
          <w:sz w:val="28"/>
          <w:shd w:val="clear" w:color="auto" w:fill="FFFFFF"/>
        </w:rPr>
        <w:t xml:space="preserve"> en su defecto por un testigo. Datos todos estos que resultan fundamentales para orientar una futura investigación o proceso y a partir los cuales se puede producir la prueba que se requiera para establecer la realidad y veracidad de los hechos”.</w:t>
      </w:r>
    </w:p>
    <w:p w:rsidR="00F32ED8" w:rsidRPr="00DE7CC4" w:rsidRDefault="00DE7CC4" w:rsidP="00F32ED8">
      <w:pPr>
        <w:pStyle w:val="Prrafodelista"/>
        <w:tabs>
          <w:tab w:val="left" w:pos="284"/>
        </w:tabs>
        <w:ind w:left="567" w:right="333"/>
        <w:jc w:val="both"/>
        <w:rPr>
          <w:rFonts w:ascii="Times New Roman" w:hAnsi="Times New Roman" w:cs="Times New Roman"/>
          <w:color w:val="000000" w:themeColor="text1"/>
          <w:sz w:val="28"/>
          <w:lang w:val="es-ES"/>
        </w:rPr>
      </w:pPr>
    </w:p>
    <w:p w:rsidR="00F32ED8" w:rsidRPr="00DE7CC4" w:rsidRDefault="00DE7CC4" w:rsidP="00F32ED8">
      <w:pPr>
        <w:pStyle w:val="Prrafodelista"/>
        <w:tabs>
          <w:tab w:val="left" w:pos="284"/>
        </w:tabs>
        <w:ind w:left="0" w:right="49"/>
        <w:jc w:val="both"/>
        <w:rPr>
          <w:rFonts w:ascii="Times New Roman" w:hAnsi="Times New Roman" w:cs="Times New Roman"/>
          <w:color w:val="000000" w:themeColor="text1"/>
          <w:sz w:val="28"/>
          <w:lang w:val="es-ES"/>
        </w:rPr>
      </w:pPr>
      <w:r w:rsidRPr="00DE7CC4">
        <w:rPr>
          <w:rFonts w:ascii="Times New Roman" w:hAnsi="Times New Roman" w:cs="Times New Roman"/>
          <w:color w:val="000000" w:themeColor="text1"/>
          <w:sz w:val="28"/>
          <w:lang w:val="es-ES"/>
        </w:rPr>
        <w:t>144</w:t>
      </w:r>
      <w:r w:rsidRPr="00DE7CC4">
        <w:rPr>
          <w:rFonts w:ascii="Times New Roman" w:hAnsi="Times New Roman" w:cs="Times New Roman"/>
          <w:color w:val="000000" w:themeColor="text1"/>
          <w:sz w:val="28"/>
          <w:lang w:val="es-ES"/>
        </w:rPr>
        <w:t xml:space="preserve">. En </w:t>
      </w:r>
      <w:r w:rsidRPr="00DE7CC4">
        <w:rPr>
          <w:rFonts w:ascii="Times New Roman" w:hAnsi="Times New Roman" w:cs="Times New Roman"/>
          <w:color w:val="000000" w:themeColor="text1"/>
          <w:sz w:val="28"/>
          <w:lang w:val="es-ES"/>
        </w:rPr>
        <w:t xml:space="preserve">lugar de este documento </w:t>
      </w:r>
      <w:r w:rsidRPr="00DE7CC4">
        <w:rPr>
          <w:rFonts w:ascii="Times New Roman" w:hAnsi="Times New Roman" w:cs="Times New Roman"/>
          <w:color w:val="000000" w:themeColor="text1"/>
          <w:sz w:val="28"/>
          <w:lang w:val="es-ES"/>
        </w:rPr>
        <w:t>–</w:t>
      </w:r>
      <w:r w:rsidRPr="00DE7CC4">
        <w:rPr>
          <w:rFonts w:ascii="Times New Roman" w:hAnsi="Times New Roman" w:cs="Times New Roman"/>
          <w:color w:val="000000" w:themeColor="text1"/>
          <w:sz w:val="28"/>
          <w:lang w:val="es-ES"/>
        </w:rPr>
        <w:t>contentivo del croquis y de datos generales referidos a los involucrados e, incluso, a posibles testigos</w:t>
      </w:r>
      <w:r w:rsidRPr="00DE7CC4">
        <w:rPr>
          <w:rFonts w:ascii="Times New Roman" w:hAnsi="Times New Roman" w:cs="Times New Roman"/>
          <w:color w:val="000000" w:themeColor="text1"/>
          <w:sz w:val="28"/>
          <w:lang w:val="es-ES"/>
        </w:rPr>
        <w:t>–</w:t>
      </w:r>
      <w:r w:rsidRPr="00DE7CC4">
        <w:rPr>
          <w:rFonts w:ascii="Times New Roman" w:hAnsi="Times New Roman" w:cs="Times New Roman"/>
          <w:color w:val="000000" w:themeColor="text1"/>
          <w:sz w:val="28"/>
          <w:lang w:val="es-ES"/>
        </w:rPr>
        <w:t xml:space="preserve">, la disposición cuestionada prevé que los interesados recaudarán </w:t>
      </w:r>
      <w:r w:rsidRPr="00DE7CC4">
        <w:rPr>
          <w:rFonts w:ascii="Times New Roman" w:hAnsi="Times New Roman" w:cs="Times New Roman"/>
          <w:i/>
          <w:iCs/>
          <w:color w:val="000000" w:themeColor="text1"/>
          <w:sz w:val="28"/>
          <w:lang w:val="es-ES"/>
        </w:rPr>
        <w:t>todas las pruebas relativas a la colisión</w:t>
      </w:r>
      <w:r w:rsidRPr="00DE7CC4">
        <w:rPr>
          <w:rFonts w:ascii="Times New Roman" w:hAnsi="Times New Roman" w:cs="Times New Roman"/>
          <w:color w:val="000000" w:themeColor="text1"/>
          <w:sz w:val="28"/>
          <w:lang w:val="es-ES"/>
        </w:rPr>
        <w:t>, esto es, aquellas</w:t>
      </w:r>
      <w:r w:rsidRPr="00DE7CC4">
        <w:rPr>
          <w:rFonts w:ascii="Times New Roman" w:hAnsi="Times New Roman" w:cs="Times New Roman"/>
          <w:color w:val="000000" w:themeColor="text1"/>
          <w:sz w:val="28"/>
          <w:lang w:val="es-ES"/>
        </w:rPr>
        <w:t xml:space="preserve"> cuyo recaudo es preciso en ese momento por el hecho de que los elementos están dispuestos en la escena del accidente que acaba de ocurrir</w:t>
      </w:r>
      <w:r w:rsidRPr="00DE7CC4">
        <w:rPr>
          <w:rStyle w:val="Refdenotaalpie"/>
          <w:rFonts w:ascii="Times New Roman" w:hAnsi="Times New Roman"/>
          <w:color w:val="000000" w:themeColor="text1"/>
          <w:sz w:val="28"/>
          <w:lang w:val="es-ES"/>
        </w:rPr>
        <w:footnoteReference w:id="182"/>
      </w:r>
      <w:r w:rsidRPr="00DE7CC4">
        <w:rPr>
          <w:rFonts w:ascii="Times New Roman" w:hAnsi="Times New Roman" w:cs="Times New Roman"/>
          <w:color w:val="000000" w:themeColor="text1"/>
          <w:sz w:val="28"/>
          <w:lang w:val="es-ES"/>
        </w:rPr>
        <w:t>; mediante la utilización de herramientas técnicas y tecnológicas, que permitan la atención del mismo en forma oportu</w:t>
      </w:r>
      <w:r w:rsidRPr="00DE7CC4">
        <w:rPr>
          <w:rFonts w:ascii="Times New Roman" w:hAnsi="Times New Roman" w:cs="Times New Roman"/>
          <w:color w:val="000000" w:themeColor="text1"/>
          <w:sz w:val="28"/>
          <w:lang w:val="es-ES"/>
        </w:rPr>
        <w:t xml:space="preserve">na, segura y que garantice la autenticidad, integridad, conservación y posterior consulta y uso probatorio de la información. De este modo, según el artículo acusado el material probatorio recaudado con estas condiciones </w:t>
      </w:r>
      <w:r w:rsidRPr="00DE7CC4">
        <w:rPr>
          <w:rFonts w:ascii="Times New Roman" w:hAnsi="Times New Roman" w:cs="Times New Roman"/>
          <w:i/>
          <w:iCs/>
          <w:color w:val="000000" w:themeColor="text1"/>
          <w:sz w:val="28"/>
          <w:lang w:val="es-ES"/>
        </w:rPr>
        <w:t>reemplazará</w:t>
      </w:r>
      <w:r w:rsidRPr="00DE7CC4">
        <w:rPr>
          <w:rFonts w:ascii="Times New Roman" w:hAnsi="Times New Roman" w:cs="Times New Roman"/>
          <w:color w:val="000000" w:themeColor="text1"/>
          <w:sz w:val="28"/>
          <w:lang w:val="es-ES"/>
        </w:rPr>
        <w:t xml:space="preserve"> el informe de accidente</w:t>
      </w:r>
      <w:r w:rsidRPr="00DE7CC4">
        <w:rPr>
          <w:rFonts w:ascii="Times New Roman" w:hAnsi="Times New Roman" w:cs="Times New Roman"/>
          <w:color w:val="000000" w:themeColor="text1"/>
          <w:sz w:val="28"/>
          <w:lang w:val="es-ES"/>
        </w:rPr>
        <w:t xml:space="preserve"> de tránsito que expide la autoridad competente, por lo que su fuerza demostrativa será igual a la de aquél y deberán entrar a su evaluación conforme a las reglas de la sana crítica. </w:t>
      </w:r>
    </w:p>
    <w:p w:rsidR="00F32ED8" w:rsidRPr="00DE7CC4" w:rsidRDefault="00DE7CC4" w:rsidP="00F32ED8">
      <w:pPr>
        <w:pStyle w:val="Prrafodelista"/>
        <w:tabs>
          <w:tab w:val="left" w:pos="284"/>
        </w:tabs>
        <w:ind w:left="0" w:right="49"/>
        <w:jc w:val="both"/>
        <w:rPr>
          <w:rFonts w:ascii="Times New Roman" w:hAnsi="Times New Roman" w:cs="Times New Roman"/>
          <w:color w:val="000000" w:themeColor="text1"/>
          <w:sz w:val="28"/>
          <w:lang w:val="es-ES"/>
        </w:rPr>
      </w:pPr>
    </w:p>
    <w:p w:rsidR="00F32ED8" w:rsidRPr="00DE7CC4" w:rsidRDefault="00DE7CC4" w:rsidP="00F32ED8">
      <w:pPr>
        <w:pStyle w:val="Prrafodelista"/>
        <w:tabs>
          <w:tab w:val="left" w:pos="284"/>
        </w:tabs>
        <w:ind w:left="0" w:right="49"/>
        <w:jc w:val="both"/>
        <w:rPr>
          <w:rFonts w:ascii="Times New Roman" w:hAnsi="Times New Roman" w:cs="Times New Roman"/>
          <w:color w:val="000000" w:themeColor="text1"/>
          <w:sz w:val="28"/>
          <w:lang w:val="es-ES"/>
        </w:rPr>
      </w:pPr>
      <w:r w:rsidRPr="00DE7CC4">
        <w:rPr>
          <w:rFonts w:ascii="Times New Roman" w:hAnsi="Times New Roman" w:cs="Times New Roman"/>
          <w:color w:val="000000" w:themeColor="text1"/>
          <w:sz w:val="28"/>
          <w:lang w:val="es-ES"/>
        </w:rPr>
        <w:t>145</w:t>
      </w:r>
      <w:r w:rsidRPr="00DE7CC4">
        <w:rPr>
          <w:rFonts w:ascii="Times New Roman" w:hAnsi="Times New Roman" w:cs="Times New Roman"/>
          <w:color w:val="000000" w:themeColor="text1"/>
          <w:sz w:val="28"/>
          <w:lang w:val="es-ES"/>
        </w:rPr>
        <w:t>. Desde esta perspectiva, entonces, la disposición demandada transfi</w:t>
      </w:r>
      <w:r w:rsidRPr="00DE7CC4">
        <w:rPr>
          <w:rFonts w:ascii="Times New Roman" w:hAnsi="Times New Roman" w:cs="Times New Roman"/>
          <w:color w:val="000000" w:themeColor="text1"/>
          <w:sz w:val="28"/>
          <w:lang w:val="es-ES"/>
        </w:rPr>
        <w:t>ere una carga que antes era asumida por la autoridad de tránsito a los involucrados</w:t>
      </w:r>
      <w:r w:rsidRPr="00DE7CC4">
        <w:rPr>
          <w:rStyle w:val="Refdenotaalpie"/>
          <w:rFonts w:ascii="Times New Roman" w:hAnsi="Times New Roman"/>
          <w:color w:val="000000" w:themeColor="text1"/>
          <w:sz w:val="28"/>
          <w:lang w:val="es-ES"/>
        </w:rPr>
        <w:footnoteReference w:id="183"/>
      </w:r>
      <w:r w:rsidRPr="00DE7CC4">
        <w:rPr>
          <w:rFonts w:ascii="Times New Roman" w:hAnsi="Times New Roman" w:cs="Times New Roman"/>
          <w:color w:val="000000" w:themeColor="text1"/>
          <w:sz w:val="28"/>
          <w:lang w:val="es-ES"/>
        </w:rPr>
        <w:t xml:space="preserve">; carga que sí tiene -como se indicará a continuación- la fuerza de garantizar el derecho de propiedad involucrado en estos escenarios. </w:t>
      </w:r>
    </w:p>
    <w:p w:rsidR="00F32ED8" w:rsidRPr="00DE7CC4" w:rsidRDefault="00DE7CC4" w:rsidP="00F32ED8">
      <w:pPr>
        <w:pStyle w:val="Prrafodelista"/>
        <w:tabs>
          <w:tab w:val="left" w:pos="284"/>
        </w:tabs>
        <w:ind w:left="0" w:right="49"/>
        <w:jc w:val="both"/>
        <w:rPr>
          <w:rFonts w:ascii="Times New Roman" w:hAnsi="Times New Roman" w:cs="Times New Roman"/>
          <w:color w:val="000000" w:themeColor="text1"/>
          <w:sz w:val="28"/>
          <w:lang w:val="es-ES"/>
        </w:rPr>
      </w:pPr>
    </w:p>
    <w:p w:rsidR="00F32ED8" w:rsidRPr="00DE7CC4" w:rsidRDefault="00DE7CC4" w:rsidP="00F32ED8">
      <w:pPr>
        <w:pStyle w:val="Prrafodelista"/>
        <w:tabs>
          <w:tab w:val="left" w:pos="284"/>
        </w:tabs>
        <w:ind w:left="0" w:right="49"/>
        <w:jc w:val="both"/>
        <w:rPr>
          <w:rFonts w:ascii="Times New Roman" w:hAnsi="Times New Roman" w:cs="Times New Roman"/>
          <w:color w:val="000000" w:themeColor="text1"/>
          <w:sz w:val="28"/>
          <w:lang w:val="es-ES"/>
        </w:rPr>
      </w:pPr>
      <w:r w:rsidRPr="00DE7CC4">
        <w:rPr>
          <w:rFonts w:ascii="Times New Roman" w:hAnsi="Times New Roman" w:cs="Times New Roman"/>
          <w:color w:val="000000" w:themeColor="text1"/>
          <w:sz w:val="28"/>
          <w:lang w:val="es-ES"/>
        </w:rPr>
        <w:t>146</w:t>
      </w:r>
      <w:r w:rsidRPr="00DE7CC4">
        <w:rPr>
          <w:rFonts w:ascii="Times New Roman" w:hAnsi="Times New Roman" w:cs="Times New Roman"/>
          <w:color w:val="000000" w:themeColor="text1"/>
          <w:sz w:val="28"/>
          <w:lang w:val="es-ES"/>
        </w:rPr>
        <w:t>. De otra parte,</w:t>
      </w:r>
      <w:r w:rsidRPr="00DE7CC4">
        <w:rPr>
          <w:rFonts w:ascii="Times New Roman" w:hAnsi="Times New Roman" w:cs="Times New Roman"/>
          <w:color w:val="000000" w:themeColor="text1"/>
          <w:sz w:val="28"/>
          <w:lang w:val="es-ES"/>
        </w:rPr>
        <w:t xml:space="preserve"> el segundo propósito constitucional,</w:t>
      </w:r>
      <w:r w:rsidRPr="00DE7CC4">
        <w:rPr>
          <w:rFonts w:ascii="Times New Roman" w:hAnsi="Times New Roman" w:cs="Times New Roman"/>
          <w:color w:val="000000" w:themeColor="text1"/>
          <w:sz w:val="28"/>
          <w:lang w:val="es-ES"/>
        </w:rPr>
        <w:t xml:space="preserve"> la regulación acusada -tal y como se desprende del trámite de aprobación de la ley de la que hace parte el artículo acusado, así como de su propio texto en los términos previamente explicados- </w:t>
      </w:r>
      <w:r w:rsidRPr="00DE7CC4">
        <w:rPr>
          <w:rFonts w:ascii="Times New Roman" w:hAnsi="Times New Roman" w:cs="Times New Roman"/>
          <w:color w:val="000000" w:themeColor="text1"/>
          <w:sz w:val="28"/>
          <w:lang w:val="es-ES"/>
        </w:rPr>
        <w:t>se dirige a</w:t>
      </w:r>
      <w:r w:rsidRPr="00DE7CC4">
        <w:rPr>
          <w:rFonts w:ascii="Times New Roman" w:hAnsi="Times New Roman" w:cs="Times New Roman"/>
          <w:color w:val="000000" w:themeColor="text1"/>
          <w:sz w:val="28"/>
          <w:lang w:val="es-ES"/>
        </w:rPr>
        <w:t xml:space="preserve"> enfrentar los</w:t>
      </w:r>
      <w:r w:rsidRPr="00DE7CC4">
        <w:rPr>
          <w:rFonts w:ascii="Times New Roman" w:hAnsi="Times New Roman" w:cs="Times New Roman"/>
          <w:color w:val="000000" w:themeColor="text1"/>
          <w:sz w:val="28"/>
          <w:lang w:val="es-ES"/>
        </w:rPr>
        <w:t xml:space="preserve"> problemas de movilidad que se derivan de la obstaculización del tránsito que tiene lugar producto de un accidente automovilístico que no tiene las implicaciones más gravosas para la seguridad vial, porque no están comprometidas la integridad y vida de las</w:t>
      </w:r>
      <w:r w:rsidRPr="00DE7CC4">
        <w:rPr>
          <w:rFonts w:ascii="Times New Roman" w:hAnsi="Times New Roman" w:cs="Times New Roman"/>
          <w:color w:val="000000" w:themeColor="text1"/>
          <w:sz w:val="28"/>
          <w:lang w:val="es-ES"/>
        </w:rPr>
        <w:t xml:space="preserve"> personas. Tal como se ha venido indicando, la regulación en materia de tránsito terrestre obedece a importantes y caros principios constitucionales, por lo cual, la relevancia de promover un tránsito adecuado, en condiciones óptimas, y con seguridad, cons</w:t>
      </w:r>
      <w:r w:rsidRPr="00DE7CC4">
        <w:rPr>
          <w:rFonts w:ascii="Times New Roman" w:hAnsi="Times New Roman" w:cs="Times New Roman"/>
          <w:color w:val="000000" w:themeColor="text1"/>
          <w:sz w:val="28"/>
          <w:lang w:val="es-ES"/>
        </w:rPr>
        <w:t xml:space="preserve">tituye una finalidad insalvable. </w:t>
      </w:r>
    </w:p>
    <w:p w:rsidR="00F32ED8" w:rsidRPr="00DE7CC4" w:rsidRDefault="00DE7CC4" w:rsidP="00F32ED8">
      <w:pPr>
        <w:pStyle w:val="Prrafodelista"/>
        <w:tabs>
          <w:tab w:val="left" w:pos="284"/>
        </w:tabs>
        <w:ind w:left="0" w:right="49"/>
        <w:jc w:val="both"/>
        <w:rPr>
          <w:rFonts w:ascii="Times New Roman" w:hAnsi="Times New Roman" w:cs="Times New Roman"/>
          <w:color w:val="000000" w:themeColor="text1"/>
          <w:sz w:val="28"/>
          <w:lang w:val="es-ES"/>
        </w:rPr>
      </w:pPr>
    </w:p>
    <w:p w:rsidR="00F32ED8" w:rsidRPr="00DE7CC4" w:rsidRDefault="00DE7CC4" w:rsidP="00F32ED8">
      <w:pPr>
        <w:pStyle w:val="Prrafodelista"/>
        <w:tabs>
          <w:tab w:val="left" w:pos="284"/>
        </w:tabs>
        <w:ind w:left="0" w:right="49"/>
        <w:jc w:val="both"/>
        <w:rPr>
          <w:rFonts w:ascii="Times New Roman" w:hAnsi="Times New Roman" w:cs="Times New Roman"/>
          <w:color w:val="000000" w:themeColor="text1"/>
          <w:sz w:val="28"/>
          <w:lang w:val="es-ES"/>
        </w:rPr>
      </w:pPr>
      <w:r w:rsidRPr="00DE7CC4">
        <w:rPr>
          <w:rFonts w:ascii="Times New Roman" w:hAnsi="Times New Roman" w:cs="Times New Roman"/>
          <w:color w:val="000000" w:themeColor="text1"/>
          <w:sz w:val="28"/>
          <w:lang w:val="es-ES"/>
        </w:rPr>
        <w:t>147</w:t>
      </w:r>
      <w:r w:rsidRPr="00DE7CC4">
        <w:rPr>
          <w:rFonts w:ascii="Times New Roman" w:hAnsi="Times New Roman" w:cs="Times New Roman"/>
          <w:color w:val="000000" w:themeColor="text1"/>
          <w:sz w:val="28"/>
          <w:lang w:val="es-ES"/>
        </w:rPr>
        <w:t>. El Legislador, en consecuencia, ha venido emitiendo disposiciones que tienen por objeto promover la conducta correcta y responsable de todos los agentes viales, para lograr menores niveles de congestión y, así, garan</w:t>
      </w:r>
      <w:r w:rsidRPr="00DE7CC4">
        <w:rPr>
          <w:rFonts w:ascii="Times New Roman" w:hAnsi="Times New Roman" w:cs="Times New Roman"/>
          <w:color w:val="000000" w:themeColor="text1"/>
          <w:sz w:val="28"/>
          <w:lang w:val="es-ES"/>
        </w:rPr>
        <w:t>tizar la protección de los derechos involucrados en la actividad, asunto que no encuentra reproche alguno</w:t>
      </w:r>
      <w:r w:rsidRPr="00DE7CC4">
        <w:rPr>
          <w:rStyle w:val="Refdenotaalpie"/>
          <w:rFonts w:ascii="Times New Roman" w:hAnsi="Times New Roman"/>
          <w:color w:val="000000" w:themeColor="text1"/>
          <w:sz w:val="28"/>
          <w:lang w:val="es-ES"/>
        </w:rPr>
        <w:footnoteReference w:id="184"/>
      </w:r>
      <w:r w:rsidRPr="00DE7CC4">
        <w:rPr>
          <w:rFonts w:ascii="Times New Roman" w:hAnsi="Times New Roman" w:cs="Times New Roman"/>
          <w:color w:val="000000" w:themeColor="text1"/>
          <w:sz w:val="28"/>
          <w:lang w:val="es-ES"/>
        </w:rPr>
        <w:t xml:space="preserve">, acudiendo para ello a un medio </w:t>
      </w:r>
      <w:r w:rsidRPr="00DE7CC4">
        <w:rPr>
          <w:rFonts w:ascii="Times New Roman" w:hAnsi="Times New Roman" w:cs="Times New Roman"/>
          <w:color w:val="000000" w:themeColor="text1"/>
          <w:sz w:val="28"/>
          <w:lang w:val="es-ES"/>
        </w:rPr>
        <w:t>–</w:t>
      </w:r>
      <w:r w:rsidRPr="00DE7CC4">
        <w:rPr>
          <w:rFonts w:ascii="Times New Roman" w:hAnsi="Times New Roman" w:cs="Times New Roman"/>
          <w:color w:val="000000" w:themeColor="text1"/>
          <w:sz w:val="28"/>
          <w:lang w:val="es-ES"/>
        </w:rPr>
        <w:t>la configuración que en materia de pruebas y cursos de acción se ha mencionado</w:t>
      </w:r>
      <w:r w:rsidRPr="00DE7CC4">
        <w:rPr>
          <w:rFonts w:ascii="Times New Roman" w:hAnsi="Times New Roman" w:cs="Times New Roman"/>
          <w:color w:val="000000" w:themeColor="text1"/>
          <w:sz w:val="28"/>
          <w:lang w:val="es-ES"/>
        </w:rPr>
        <w:t>–</w:t>
      </w:r>
      <w:r w:rsidRPr="00DE7CC4">
        <w:rPr>
          <w:rFonts w:ascii="Times New Roman" w:hAnsi="Times New Roman" w:cs="Times New Roman"/>
          <w:color w:val="000000" w:themeColor="text1"/>
          <w:sz w:val="28"/>
          <w:lang w:val="es-ES"/>
        </w:rPr>
        <w:t xml:space="preserve"> que no está prohibido constitucional</w:t>
      </w:r>
      <w:r w:rsidRPr="00DE7CC4">
        <w:rPr>
          <w:rFonts w:ascii="Times New Roman" w:hAnsi="Times New Roman" w:cs="Times New Roman"/>
          <w:color w:val="000000" w:themeColor="text1"/>
          <w:sz w:val="28"/>
          <w:lang w:val="es-ES"/>
        </w:rPr>
        <w:t>mente.</w:t>
      </w:r>
    </w:p>
    <w:p w:rsidR="00066A9B" w:rsidRPr="00DE7CC4" w:rsidRDefault="00DE7CC4" w:rsidP="00F32ED8">
      <w:pPr>
        <w:pStyle w:val="Prrafodelista"/>
        <w:tabs>
          <w:tab w:val="left" w:pos="284"/>
        </w:tabs>
        <w:ind w:left="0" w:right="49"/>
        <w:jc w:val="both"/>
        <w:rPr>
          <w:rFonts w:ascii="Times New Roman" w:hAnsi="Times New Roman" w:cs="Times New Roman"/>
          <w:color w:val="000000" w:themeColor="text1"/>
          <w:sz w:val="28"/>
          <w:lang w:val="es-ES"/>
        </w:rPr>
      </w:pPr>
    </w:p>
    <w:p w:rsidR="00F32ED8" w:rsidRPr="00DE7CC4" w:rsidRDefault="00DE7CC4" w:rsidP="00F32ED8">
      <w:pPr>
        <w:pStyle w:val="Prrafodelista"/>
        <w:tabs>
          <w:tab w:val="left" w:pos="284"/>
        </w:tabs>
        <w:ind w:left="0" w:right="49"/>
        <w:jc w:val="both"/>
        <w:rPr>
          <w:rFonts w:ascii="Times New Roman" w:hAnsi="Times New Roman" w:cs="Times New Roman"/>
          <w:color w:val="000000" w:themeColor="text1"/>
          <w:sz w:val="28"/>
          <w:lang w:val="es-ES"/>
        </w:rPr>
      </w:pPr>
      <w:r w:rsidRPr="00DE7CC4">
        <w:rPr>
          <w:rFonts w:ascii="Times New Roman" w:hAnsi="Times New Roman" w:cs="Times New Roman"/>
          <w:color w:val="000000" w:themeColor="text1"/>
          <w:sz w:val="28"/>
          <w:lang w:val="es-ES"/>
        </w:rPr>
        <w:t>148</w:t>
      </w:r>
      <w:r w:rsidRPr="00DE7CC4">
        <w:rPr>
          <w:rFonts w:ascii="Times New Roman" w:hAnsi="Times New Roman" w:cs="Times New Roman"/>
          <w:color w:val="000000" w:themeColor="text1"/>
          <w:sz w:val="28"/>
          <w:lang w:val="es-ES"/>
        </w:rPr>
        <w:t>. La disposición demandada</w:t>
      </w:r>
      <w:r w:rsidRPr="00DE7CC4">
        <w:rPr>
          <w:rFonts w:ascii="Times New Roman" w:hAnsi="Times New Roman" w:cs="Times New Roman"/>
          <w:color w:val="000000" w:themeColor="text1"/>
          <w:sz w:val="28"/>
          <w:lang w:val="es-ES"/>
        </w:rPr>
        <w:t>, además,</w:t>
      </w:r>
      <w:r w:rsidRPr="00DE7CC4">
        <w:rPr>
          <w:rFonts w:ascii="Times New Roman" w:hAnsi="Times New Roman" w:cs="Times New Roman"/>
          <w:color w:val="000000" w:themeColor="text1"/>
          <w:sz w:val="28"/>
          <w:lang w:val="es-ES"/>
        </w:rPr>
        <w:t xml:space="preserve"> es idónea para alcanzar esos propósitos. Por un lado, la autorización para el recaudo de</w:t>
      </w:r>
      <w:r w:rsidRPr="00DE7CC4">
        <w:rPr>
          <w:rFonts w:ascii="Times New Roman" w:hAnsi="Times New Roman" w:cs="Times New Roman"/>
          <w:color w:val="000000" w:themeColor="text1"/>
          <w:sz w:val="28"/>
        </w:rPr>
        <w:t xml:space="preserve"> todas las pruebas </w:t>
      </w:r>
      <w:r w:rsidRPr="00DE7CC4">
        <w:rPr>
          <w:rFonts w:ascii="Times New Roman" w:hAnsi="Times New Roman" w:cs="Times New Roman"/>
          <w:i/>
          <w:iCs/>
          <w:color w:val="000000" w:themeColor="text1"/>
          <w:sz w:val="28"/>
        </w:rPr>
        <w:t>relativas a la colisión</w:t>
      </w:r>
      <w:r w:rsidRPr="00DE7CC4">
        <w:rPr>
          <w:rFonts w:ascii="Times New Roman" w:hAnsi="Times New Roman" w:cs="Times New Roman"/>
          <w:color w:val="000000" w:themeColor="text1"/>
          <w:sz w:val="28"/>
        </w:rPr>
        <w:t xml:space="preserve"> mediante la utilización de herramientas técnicas y tecnológicas, se integra a </w:t>
      </w:r>
      <w:r w:rsidRPr="00DE7CC4">
        <w:rPr>
          <w:rFonts w:ascii="Times New Roman" w:hAnsi="Times New Roman" w:cs="Times New Roman"/>
          <w:color w:val="000000" w:themeColor="text1"/>
          <w:sz w:val="28"/>
          <w:lang w:val="es-ES"/>
        </w:rPr>
        <w:t>un sistema más amplio de reglas sustantivas, competencias y procedimientos que le permiten a los particulares -cuyos bienes hayan sido afectados en accidentes de tránsito- solicitar la reparación de los daños sufridos. En efecto, por ejemplo, (i) la legisl</w:t>
      </w:r>
      <w:r w:rsidRPr="00DE7CC4">
        <w:rPr>
          <w:rFonts w:ascii="Times New Roman" w:hAnsi="Times New Roman" w:cs="Times New Roman"/>
          <w:color w:val="000000" w:themeColor="text1"/>
          <w:sz w:val="28"/>
          <w:lang w:val="es-ES"/>
        </w:rPr>
        <w:t xml:space="preserve">ación ordinaria prevé un conjunto de normas referidas a la responsabilidad civil extracontractual en las que se definen las condiciones bajo las cuales surge la obligación de reparar los daños causados en los bienes de una persona afectada en un accidente </w:t>
      </w:r>
      <w:r w:rsidRPr="00DE7CC4">
        <w:rPr>
          <w:rFonts w:ascii="Times New Roman" w:hAnsi="Times New Roman" w:cs="Times New Roman"/>
          <w:color w:val="000000" w:themeColor="text1"/>
          <w:sz w:val="28"/>
          <w:lang w:val="es-ES"/>
        </w:rPr>
        <w:t>(</w:t>
      </w:r>
      <w:r w:rsidRPr="00DE7CC4">
        <w:rPr>
          <w:rFonts w:ascii="Times New Roman" w:hAnsi="Times New Roman" w:cs="Times New Roman"/>
          <w:color w:val="000000" w:themeColor="text1"/>
          <w:sz w:val="28"/>
          <w:lang w:val="es-ES"/>
        </w:rPr>
        <w:t>a</w:t>
      </w:r>
      <w:r w:rsidRPr="00DE7CC4">
        <w:rPr>
          <w:rFonts w:ascii="Times New Roman" w:hAnsi="Times New Roman" w:cs="Times New Roman"/>
          <w:color w:val="000000" w:themeColor="text1"/>
          <w:sz w:val="28"/>
          <w:lang w:val="es-ES"/>
        </w:rPr>
        <w:t>rts. 2341 y ss). Igualmente (ii) el Código General del Proceso prevé las autoridades judiciales que, sin perjuicio de las posibilidades de acudir a la conciliación extrajudicial, se encuentran habilitadas para resolver las disputas que surjan con ocasión</w:t>
      </w:r>
      <w:r w:rsidRPr="00DE7CC4">
        <w:rPr>
          <w:rFonts w:ascii="Times New Roman" w:hAnsi="Times New Roman" w:cs="Times New Roman"/>
          <w:color w:val="000000" w:themeColor="text1"/>
          <w:sz w:val="28"/>
          <w:lang w:val="es-ES"/>
        </w:rPr>
        <w:t xml:space="preserve"> de los eventos que dan lugar a responsabilidad civil, a lo cual se agrega todo un marco normativo que, en el </w:t>
      </w:r>
      <w:r w:rsidRPr="00DE7CC4">
        <w:rPr>
          <w:rFonts w:ascii="Times New Roman" w:hAnsi="Times New Roman" w:cs="Times New Roman"/>
          <w:color w:val="000000" w:themeColor="text1"/>
          <w:sz w:val="28"/>
          <w:lang w:val="es-ES"/>
        </w:rPr>
        <w:t xml:space="preserve">contexto </w:t>
      </w:r>
      <w:r w:rsidRPr="00DE7CC4">
        <w:rPr>
          <w:rFonts w:ascii="Times New Roman" w:hAnsi="Times New Roman" w:cs="Times New Roman"/>
          <w:color w:val="000000" w:themeColor="text1"/>
          <w:sz w:val="28"/>
          <w:lang w:val="es-ES"/>
        </w:rPr>
        <w:t>de la regulación de los seguros, actúa para satisfacer las necesidades que se evidencian en este escenario.</w:t>
      </w:r>
    </w:p>
    <w:p w:rsidR="00F32ED8" w:rsidRPr="00DE7CC4" w:rsidRDefault="00DE7CC4" w:rsidP="00F32ED8">
      <w:pPr>
        <w:pStyle w:val="Prrafodelista"/>
        <w:tabs>
          <w:tab w:val="left" w:pos="284"/>
        </w:tabs>
        <w:ind w:left="0" w:right="49"/>
        <w:jc w:val="both"/>
        <w:rPr>
          <w:rFonts w:ascii="Times New Roman" w:hAnsi="Times New Roman" w:cs="Times New Roman"/>
          <w:color w:val="000000" w:themeColor="text1"/>
          <w:sz w:val="28"/>
          <w:lang w:val="es-ES"/>
        </w:rPr>
      </w:pPr>
    </w:p>
    <w:p w:rsidR="00887FB2" w:rsidRPr="00DE7CC4" w:rsidRDefault="00DE7CC4" w:rsidP="00F32ED8">
      <w:pPr>
        <w:pStyle w:val="Prrafodelista"/>
        <w:tabs>
          <w:tab w:val="left" w:pos="284"/>
        </w:tabs>
        <w:ind w:left="0" w:right="49"/>
        <w:jc w:val="both"/>
        <w:rPr>
          <w:rFonts w:ascii="Times New Roman" w:hAnsi="Times New Roman" w:cs="Times New Roman"/>
          <w:color w:val="000000" w:themeColor="text1"/>
          <w:sz w:val="28"/>
          <w:lang w:val="es-ES"/>
        </w:rPr>
      </w:pPr>
      <w:r w:rsidRPr="00DE7CC4">
        <w:rPr>
          <w:rFonts w:ascii="Times New Roman" w:hAnsi="Times New Roman" w:cs="Times New Roman"/>
          <w:color w:val="000000" w:themeColor="text1"/>
          <w:sz w:val="28"/>
          <w:lang w:val="es-ES"/>
        </w:rPr>
        <w:t>149</w:t>
      </w:r>
      <w:r w:rsidRPr="00DE7CC4">
        <w:rPr>
          <w:rFonts w:ascii="Times New Roman" w:hAnsi="Times New Roman" w:cs="Times New Roman"/>
          <w:color w:val="000000" w:themeColor="text1"/>
          <w:sz w:val="28"/>
          <w:lang w:val="es-ES"/>
        </w:rPr>
        <w:t xml:space="preserve">. A su vez (iii) en la legislación procesal se fijan los procedimientos que deben adelantarse para definir estas controversias, previendo no solo las diferentes etapas y recursos procesales, sino también los </w:t>
      </w:r>
      <w:r w:rsidRPr="00DE7CC4">
        <w:rPr>
          <w:rFonts w:ascii="Times New Roman" w:hAnsi="Times New Roman" w:cs="Times New Roman"/>
          <w:i/>
          <w:iCs/>
          <w:color w:val="000000" w:themeColor="text1"/>
          <w:sz w:val="28"/>
          <w:lang w:val="es-ES"/>
        </w:rPr>
        <w:t>medios de prueba</w:t>
      </w:r>
      <w:r w:rsidRPr="00DE7CC4">
        <w:rPr>
          <w:rFonts w:ascii="Times New Roman" w:hAnsi="Times New Roman" w:cs="Times New Roman"/>
          <w:color w:val="000000" w:themeColor="text1"/>
          <w:sz w:val="28"/>
          <w:lang w:val="es-ES"/>
        </w:rPr>
        <w:t xml:space="preserve"> a disposición de las partes par</w:t>
      </w:r>
      <w:r w:rsidRPr="00DE7CC4">
        <w:rPr>
          <w:rFonts w:ascii="Times New Roman" w:hAnsi="Times New Roman" w:cs="Times New Roman"/>
          <w:color w:val="000000" w:themeColor="text1"/>
          <w:sz w:val="28"/>
          <w:lang w:val="es-ES"/>
        </w:rPr>
        <w:t>a acreditar los hechos en los que se asientan sus pretensiones o excepciones. Probatoriamente, entonces, debe resaltarse que ese régimen que acompaña a las reclamaciones para reparar el daño causado da cuenta de una amplia gama de medios que pueden allegar</w:t>
      </w:r>
      <w:r w:rsidRPr="00DE7CC4">
        <w:rPr>
          <w:rFonts w:ascii="Times New Roman" w:hAnsi="Times New Roman" w:cs="Times New Roman"/>
          <w:color w:val="000000" w:themeColor="text1"/>
          <w:sz w:val="28"/>
          <w:lang w:val="es-ES"/>
        </w:rPr>
        <w:t xml:space="preserve">se una vez se inician las reclamaciones, procedimientos y/o procesos, tales como dictámenes periciales o testimonios, entre otros. No debe perderse de vista que </w:t>
      </w:r>
      <w:r w:rsidRPr="00DE7CC4">
        <w:rPr>
          <w:rFonts w:ascii="Times New Roman" w:hAnsi="Times New Roman" w:cs="Times New Roman"/>
          <w:i/>
          <w:iCs/>
          <w:color w:val="000000" w:themeColor="text1"/>
          <w:sz w:val="28"/>
          <w:lang w:val="es-ES"/>
        </w:rPr>
        <w:t xml:space="preserve">todas las pruebas </w:t>
      </w:r>
      <w:r w:rsidRPr="00DE7CC4">
        <w:rPr>
          <w:rFonts w:ascii="Times New Roman" w:hAnsi="Times New Roman" w:cs="Times New Roman"/>
          <w:color w:val="000000" w:themeColor="text1"/>
          <w:sz w:val="28"/>
          <w:lang w:val="es-ES"/>
        </w:rPr>
        <w:t>que deben recaudarse en el sitio por los interesados, conforme al artículo 16</w:t>
      </w:r>
      <w:r w:rsidRPr="00DE7CC4">
        <w:rPr>
          <w:rFonts w:ascii="Times New Roman" w:hAnsi="Times New Roman" w:cs="Times New Roman"/>
          <w:color w:val="000000" w:themeColor="text1"/>
          <w:sz w:val="28"/>
          <w:lang w:val="es-ES"/>
        </w:rPr>
        <w:t xml:space="preserve"> de la Ley 2251 de 2022, </w:t>
      </w:r>
      <w:r w:rsidRPr="00DE7CC4">
        <w:rPr>
          <w:rFonts w:ascii="Times New Roman" w:hAnsi="Times New Roman" w:cs="Times New Roman"/>
          <w:i/>
          <w:iCs/>
          <w:color w:val="000000" w:themeColor="text1"/>
          <w:sz w:val="28"/>
          <w:lang w:val="es-ES"/>
        </w:rPr>
        <w:t>son las relativas a la colisión</w:t>
      </w:r>
      <w:r w:rsidRPr="00DE7CC4">
        <w:rPr>
          <w:rFonts w:ascii="Times New Roman" w:hAnsi="Times New Roman" w:cs="Times New Roman"/>
          <w:color w:val="000000" w:themeColor="text1"/>
          <w:sz w:val="28"/>
          <w:lang w:val="es-ES"/>
        </w:rPr>
        <w:t xml:space="preserve">, carga que, analizada en el contexto, implica aquellas que den cuenta del accidente </w:t>
      </w:r>
      <w:r w:rsidRPr="00DE7CC4">
        <w:rPr>
          <w:rFonts w:ascii="Times New Roman" w:hAnsi="Times New Roman" w:cs="Times New Roman"/>
          <w:color w:val="000000" w:themeColor="text1"/>
          <w:sz w:val="28"/>
          <w:lang w:val="es-ES"/>
        </w:rPr>
        <w:t>–</w:t>
      </w:r>
      <w:r w:rsidRPr="00DE7CC4">
        <w:rPr>
          <w:rFonts w:ascii="Times New Roman" w:hAnsi="Times New Roman" w:cs="Times New Roman"/>
          <w:color w:val="000000" w:themeColor="text1"/>
          <w:sz w:val="28"/>
          <w:lang w:val="es-ES"/>
        </w:rPr>
        <w:t>como fotos y video que los interesados mismos puedan tomar</w:t>
      </w:r>
      <w:r w:rsidRPr="00DE7CC4">
        <w:rPr>
          <w:rFonts w:ascii="Times New Roman" w:hAnsi="Times New Roman" w:cs="Times New Roman"/>
          <w:color w:val="000000" w:themeColor="text1"/>
          <w:sz w:val="28"/>
          <w:lang w:val="es-ES"/>
        </w:rPr>
        <w:t>–</w:t>
      </w:r>
      <w:r w:rsidRPr="00DE7CC4">
        <w:rPr>
          <w:rFonts w:ascii="Times New Roman" w:hAnsi="Times New Roman" w:cs="Times New Roman"/>
          <w:color w:val="000000" w:themeColor="text1"/>
          <w:sz w:val="28"/>
          <w:lang w:val="es-ES"/>
        </w:rPr>
        <w:t xml:space="preserve"> y datos de personas, por ejemplo, que puedan acudir de</w:t>
      </w:r>
      <w:r w:rsidRPr="00DE7CC4">
        <w:rPr>
          <w:rFonts w:ascii="Times New Roman" w:hAnsi="Times New Roman" w:cs="Times New Roman"/>
          <w:color w:val="000000" w:themeColor="text1"/>
          <w:sz w:val="28"/>
          <w:lang w:val="es-ES"/>
        </w:rPr>
        <w:t xml:space="preserve">spués a rendir testimonio de los hechos. </w:t>
      </w:r>
    </w:p>
    <w:p w:rsidR="00887FB2" w:rsidRPr="00DE7CC4" w:rsidRDefault="00DE7CC4" w:rsidP="00F32ED8">
      <w:pPr>
        <w:pStyle w:val="Prrafodelista"/>
        <w:tabs>
          <w:tab w:val="left" w:pos="284"/>
        </w:tabs>
        <w:ind w:left="0" w:right="49"/>
        <w:jc w:val="both"/>
        <w:rPr>
          <w:rFonts w:ascii="Times New Roman" w:hAnsi="Times New Roman" w:cs="Times New Roman"/>
          <w:color w:val="000000" w:themeColor="text1"/>
          <w:sz w:val="28"/>
          <w:lang w:val="es-ES"/>
        </w:rPr>
      </w:pPr>
    </w:p>
    <w:p w:rsidR="00526EAD" w:rsidRPr="00DE7CC4" w:rsidRDefault="00DE7CC4" w:rsidP="00F32ED8">
      <w:pPr>
        <w:pStyle w:val="Prrafodelista"/>
        <w:tabs>
          <w:tab w:val="left" w:pos="284"/>
        </w:tabs>
        <w:ind w:left="0" w:right="49"/>
        <w:jc w:val="both"/>
        <w:rPr>
          <w:rFonts w:ascii="Times New Roman" w:hAnsi="Times New Roman" w:cs="Times New Roman"/>
          <w:color w:val="000000" w:themeColor="text1"/>
          <w:sz w:val="28"/>
          <w:lang w:val="es-ES"/>
        </w:rPr>
      </w:pPr>
      <w:r w:rsidRPr="00DE7CC4">
        <w:rPr>
          <w:rFonts w:ascii="Times New Roman" w:hAnsi="Times New Roman" w:cs="Times New Roman"/>
          <w:color w:val="000000" w:themeColor="text1"/>
          <w:sz w:val="28"/>
          <w:lang w:val="es-ES"/>
        </w:rPr>
        <w:t>150</w:t>
      </w:r>
      <w:r w:rsidRPr="00DE7CC4">
        <w:rPr>
          <w:rFonts w:ascii="Times New Roman" w:hAnsi="Times New Roman" w:cs="Times New Roman"/>
          <w:color w:val="000000" w:themeColor="text1"/>
          <w:sz w:val="28"/>
          <w:lang w:val="es-ES"/>
        </w:rPr>
        <w:t xml:space="preserve">. </w:t>
      </w:r>
      <w:r w:rsidRPr="00DE7CC4">
        <w:rPr>
          <w:rFonts w:ascii="Times New Roman" w:hAnsi="Times New Roman" w:cs="Times New Roman"/>
          <w:color w:val="000000" w:themeColor="text1"/>
          <w:sz w:val="28"/>
          <w:lang w:val="es-ES"/>
        </w:rPr>
        <w:t xml:space="preserve">En esta última dirección, es necesario </w:t>
      </w:r>
      <w:r w:rsidRPr="00DE7CC4">
        <w:rPr>
          <w:rFonts w:ascii="Times New Roman" w:hAnsi="Times New Roman" w:cs="Times New Roman"/>
          <w:color w:val="000000" w:themeColor="text1"/>
          <w:sz w:val="28"/>
          <w:lang w:val="es-ES"/>
        </w:rPr>
        <w:t>ahondar en dos asuntos relacionados</w:t>
      </w:r>
      <w:r w:rsidRPr="00DE7CC4">
        <w:rPr>
          <w:rFonts w:ascii="Times New Roman" w:hAnsi="Times New Roman" w:cs="Times New Roman"/>
          <w:color w:val="000000" w:themeColor="text1"/>
          <w:sz w:val="28"/>
          <w:lang w:val="es-ES"/>
        </w:rPr>
        <w:t xml:space="preserve"> y que deben examinarse al amparo de la misma premisa: l</w:t>
      </w:r>
      <w:r w:rsidRPr="00DE7CC4">
        <w:rPr>
          <w:rFonts w:ascii="Times New Roman" w:hAnsi="Times New Roman" w:cs="Times New Roman"/>
          <w:color w:val="000000" w:themeColor="text1"/>
          <w:sz w:val="28"/>
          <w:lang w:val="es-ES"/>
        </w:rPr>
        <w:t>a Sala Plena no puede presumir la omisión ciudadana de deberes tales como “obr</w:t>
      </w:r>
      <w:r w:rsidRPr="00DE7CC4">
        <w:rPr>
          <w:rFonts w:ascii="Times New Roman" w:hAnsi="Times New Roman" w:cs="Times New Roman"/>
          <w:color w:val="000000" w:themeColor="text1"/>
          <w:sz w:val="28"/>
          <w:lang w:val="es-ES"/>
        </w:rPr>
        <w:t>ar conforme al principio de solidaridad” y “colaborar para el buen funcionamiento de la administración de justicia” (</w:t>
      </w:r>
      <w:r w:rsidRPr="00DE7CC4">
        <w:rPr>
          <w:rFonts w:ascii="Times New Roman" w:hAnsi="Times New Roman" w:cs="Times New Roman"/>
          <w:color w:val="000000" w:themeColor="text1"/>
          <w:sz w:val="28"/>
          <w:lang w:val="es-ES"/>
        </w:rPr>
        <w:t>a</w:t>
      </w:r>
      <w:r w:rsidRPr="00DE7CC4">
        <w:rPr>
          <w:rFonts w:ascii="Times New Roman" w:hAnsi="Times New Roman" w:cs="Times New Roman"/>
          <w:color w:val="000000" w:themeColor="text1"/>
          <w:sz w:val="28"/>
          <w:lang w:val="es-ES"/>
        </w:rPr>
        <w:t>rt. 95</w:t>
      </w:r>
      <w:r w:rsidRPr="00DE7CC4">
        <w:rPr>
          <w:rFonts w:ascii="Times New Roman" w:hAnsi="Times New Roman" w:cs="Times New Roman"/>
          <w:color w:val="000000" w:themeColor="text1"/>
          <w:sz w:val="28"/>
          <w:lang w:val="es-ES"/>
        </w:rPr>
        <w:t>,</w:t>
      </w:r>
      <w:r w:rsidRPr="00DE7CC4">
        <w:rPr>
          <w:rFonts w:ascii="Times New Roman" w:hAnsi="Times New Roman" w:cs="Times New Roman"/>
          <w:color w:val="000000" w:themeColor="text1"/>
          <w:sz w:val="28"/>
          <w:lang w:val="es-ES"/>
        </w:rPr>
        <w:t xml:space="preserve"> </w:t>
      </w:r>
      <w:r w:rsidRPr="00DE7CC4">
        <w:rPr>
          <w:rFonts w:ascii="Times New Roman" w:hAnsi="Times New Roman" w:cs="Times New Roman"/>
          <w:color w:val="000000" w:themeColor="text1"/>
          <w:sz w:val="28"/>
          <w:lang w:val="es-ES"/>
        </w:rPr>
        <w:t>C.P.</w:t>
      </w:r>
      <w:r w:rsidRPr="00DE7CC4">
        <w:rPr>
          <w:rFonts w:ascii="Times New Roman" w:hAnsi="Times New Roman" w:cs="Times New Roman"/>
          <w:color w:val="000000" w:themeColor="text1"/>
          <w:sz w:val="28"/>
          <w:lang w:val="es-ES"/>
        </w:rPr>
        <w:t>)</w:t>
      </w:r>
      <w:r w:rsidRPr="00DE7CC4">
        <w:rPr>
          <w:rFonts w:ascii="Times New Roman" w:hAnsi="Times New Roman" w:cs="Times New Roman"/>
          <w:color w:val="000000" w:themeColor="text1"/>
          <w:sz w:val="28"/>
          <w:lang w:val="es-ES"/>
        </w:rPr>
        <w:t xml:space="preserve">. </w:t>
      </w:r>
      <w:r w:rsidRPr="00DE7CC4">
        <w:rPr>
          <w:rFonts w:ascii="Times New Roman" w:hAnsi="Times New Roman" w:cs="Times New Roman"/>
          <w:color w:val="000000" w:themeColor="text1"/>
          <w:sz w:val="28"/>
          <w:lang w:val="es-ES"/>
        </w:rPr>
        <w:t xml:space="preserve"> </w:t>
      </w:r>
      <w:r w:rsidRPr="00DE7CC4">
        <w:rPr>
          <w:rFonts w:ascii="Times New Roman" w:hAnsi="Times New Roman" w:cs="Times New Roman"/>
          <w:color w:val="000000" w:themeColor="text1"/>
          <w:sz w:val="28"/>
          <w:lang w:val="es-ES"/>
        </w:rPr>
        <w:t>El primer asunto tiene que ver con el hecho de que, tal como lo indicaron los demandantes, entre las actuaciones que antes</w:t>
      </w:r>
      <w:r w:rsidRPr="00DE7CC4">
        <w:rPr>
          <w:rFonts w:ascii="Times New Roman" w:hAnsi="Times New Roman" w:cs="Times New Roman"/>
          <w:color w:val="000000" w:themeColor="text1"/>
          <w:sz w:val="28"/>
          <w:lang w:val="es-ES"/>
        </w:rPr>
        <w:t xml:space="preserve"> estaban a cargo del agente de tránsito y ahora de los mismos interesados, se encuentra la de solicitar el nombre del conductor involucrado en el accidente, su documento de identidad, número de licencia, entre otros. Para los demandantes, esta carga es irr</w:t>
      </w:r>
      <w:r w:rsidRPr="00DE7CC4">
        <w:rPr>
          <w:rFonts w:ascii="Times New Roman" w:hAnsi="Times New Roman" w:cs="Times New Roman"/>
          <w:color w:val="000000" w:themeColor="text1"/>
          <w:sz w:val="28"/>
          <w:lang w:val="es-ES"/>
        </w:rPr>
        <w:t xml:space="preserve">azonable porque los particulares no están en la obligación de dar esa información a persona privada alguna. </w:t>
      </w:r>
    </w:p>
    <w:p w:rsidR="00526EAD" w:rsidRPr="00DE7CC4" w:rsidRDefault="00DE7CC4" w:rsidP="00F32ED8">
      <w:pPr>
        <w:pStyle w:val="Prrafodelista"/>
        <w:tabs>
          <w:tab w:val="left" w:pos="284"/>
        </w:tabs>
        <w:ind w:left="0" w:right="49"/>
        <w:jc w:val="both"/>
        <w:rPr>
          <w:rFonts w:ascii="Times New Roman" w:hAnsi="Times New Roman" w:cs="Times New Roman"/>
          <w:color w:val="000000" w:themeColor="text1"/>
          <w:sz w:val="28"/>
          <w:lang w:val="es-ES"/>
        </w:rPr>
      </w:pPr>
    </w:p>
    <w:p w:rsidR="00F32ED8" w:rsidRPr="00DE7CC4" w:rsidRDefault="00DE7CC4" w:rsidP="00F32ED8">
      <w:pPr>
        <w:pStyle w:val="Prrafodelista"/>
        <w:tabs>
          <w:tab w:val="left" w:pos="284"/>
        </w:tabs>
        <w:ind w:left="0" w:right="49"/>
        <w:jc w:val="both"/>
        <w:rPr>
          <w:rFonts w:ascii="Times New Roman" w:hAnsi="Times New Roman" w:cs="Times New Roman"/>
          <w:color w:val="000000" w:themeColor="text1"/>
          <w:sz w:val="28"/>
          <w:lang w:val="es-ES"/>
        </w:rPr>
      </w:pPr>
      <w:r w:rsidRPr="00DE7CC4">
        <w:rPr>
          <w:rFonts w:ascii="Times New Roman" w:hAnsi="Times New Roman" w:cs="Times New Roman"/>
          <w:color w:val="000000" w:themeColor="text1"/>
          <w:sz w:val="28"/>
          <w:lang w:val="es-ES"/>
        </w:rPr>
        <w:t>151</w:t>
      </w:r>
      <w:r w:rsidRPr="00DE7CC4">
        <w:rPr>
          <w:rFonts w:ascii="Times New Roman" w:hAnsi="Times New Roman" w:cs="Times New Roman"/>
          <w:color w:val="000000" w:themeColor="text1"/>
          <w:sz w:val="28"/>
          <w:lang w:val="es-ES"/>
        </w:rPr>
        <w:t xml:space="preserve">. </w:t>
      </w:r>
      <w:r w:rsidRPr="00DE7CC4">
        <w:rPr>
          <w:rFonts w:ascii="Times New Roman" w:hAnsi="Times New Roman" w:cs="Times New Roman"/>
          <w:color w:val="000000" w:themeColor="text1"/>
          <w:sz w:val="28"/>
          <w:lang w:val="es-ES"/>
        </w:rPr>
        <w:t xml:space="preserve">En concepto de la </w:t>
      </w:r>
      <w:r w:rsidRPr="00DE7CC4">
        <w:rPr>
          <w:rFonts w:ascii="Times New Roman" w:hAnsi="Times New Roman" w:cs="Times New Roman"/>
          <w:color w:val="000000" w:themeColor="text1"/>
          <w:sz w:val="28"/>
          <w:lang w:val="es-ES"/>
        </w:rPr>
        <w:t>Corte</w:t>
      </w:r>
      <w:r w:rsidRPr="00DE7CC4">
        <w:rPr>
          <w:rFonts w:ascii="Times New Roman" w:hAnsi="Times New Roman" w:cs="Times New Roman"/>
          <w:color w:val="000000" w:themeColor="text1"/>
          <w:sz w:val="28"/>
          <w:lang w:val="es-ES"/>
        </w:rPr>
        <w:t xml:space="preserve"> y por virtud del deber constitucional indicado, los particulares comprometidos en accidentes de tránsito cuya actuaci</w:t>
      </w:r>
      <w:r w:rsidRPr="00DE7CC4">
        <w:rPr>
          <w:rFonts w:ascii="Times New Roman" w:hAnsi="Times New Roman" w:cs="Times New Roman"/>
          <w:color w:val="000000" w:themeColor="text1"/>
          <w:sz w:val="28"/>
          <w:lang w:val="es-ES"/>
        </w:rPr>
        <w:t xml:space="preserve">ón </w:t>
      </w:r>
      <w:r w:rsidRPr="00DE7CC4">
        <w:rPr>
          <w:rFonts w:ascii="Times New Roman" w:hAnsi="Times New Roman" w:cs="Times New Roman"/>
          <w:color w:val="000000" w:themeColor="text1"/>
          <w:sz w:val="28"/>
          <w:lang w:val="es-ES"/>
        </w:rPr>
        <w:t xml:space="preserve">interfiera en </w:t>
      </w:r>
      <w:r w:rsidRPr="00DE7CC4">
        <w:rPr>
          <w:rFonts w:ascii="Times New Roman" w:hAnsi="Times New Roman" w:cs="Times New Roman"/>
          <w:color w:val="000000" w:themeColor="text1"/>
          <w:sz w:val="28"/>
          <w:lang w:val="es-ES"/>
        </w:rPr>
        <w:t xml:space="preserve">la garantía de </w:t>
      </w:r>
      <w:r w:rsidRPr="00DE7CC4">
        <w:rPr>
          <w:rFonts w:ascii="Times New Roman" w:hAnsi="Times New Roman" w:cs="Times New Roman"/>
          <w:color w:val="000000" w:themeColor="text1"/>
          <w:sz w:val="28"/>
          <w:lang w:val="es-ES"/>
        </w:rPr>
        <w:t xml:space="preserve">los </w:t>
      </w:r>
      <w:r w:rsidRPr="00DE7CC4">
        <w:rPr>
          <w:rFonts w:ascii="Times New Roman" w:hAnsi="Times New Roman" w:cs="Times New Roman"/>
          <w:color w:val="000000" w:themeColor="text1"/>
          <w:sz w:val="28"/>
          <w:lang w:val="es-ES"/>
        </w:rPr>
        <w:t xml:space="preserve">derechos de otras personas, sí deben contribuir </w:t>
      </w:r>
      <w:r w:rsidRPr="00DE7CC4">
        <w:rPr>
          <w:rFonts w:ascii="Times New Roman" w:hAnsi="Times New Roman" w:cs="Times New Roman"/>
          <w:color w:val="000000" w:themeColor="text1"/>
          <w:sz w:val="28"/>
          <w:lang w:val="es-ES"/>
        </w:rPr>
        <w:t>al</w:t>
      </w:r>
      <w:r w:rsidRPr="00DE7CC4">
        <w:rPr>
          <w:rFonts w:ascii="Times New Roman" w:hAnsi="Times New Roman" w:cs="Times New Roman"/>
          <w:color w:val="000000" w:themeColor="text1"/>
          <w:sz w:val="28"/>
          <w:lang w:val="es-ES"/>
        </w:rPr>
        <w:t xml:space="preserve"> esclarecimiento de los hechos y, de ser el caso, asumir las responsabilidades a que haya lugar, por lo cual, están llamados a </w:t>
      </w:r>
      <w:r w:rsidRPr="00DE7CC4">
        <w:rPr>
          <w:rFonts w:ascii="Times New Roman" w:hAnsi="Times New Roman" w:cs="Times New Roman"/>
          <w:color w:val="000000" w:themeColor="text1"/>
          <w:sz w:val="28"/>
          <w:lang w:val="es-ES"/>
        </w:rPr>
        <w:t xml:space="preserve">colaborar </w:t>
      </w:r>
      <w:r w:rsidRPr="00DE7CC4">
        <w:rPr>
          <w:rFonts w:ascii="Times New Roman" w:hAnsi="Times New Roman" w:cs="Times New Roman"/>
          <w:color w:val="000000" w:themeColor="text1"/>
          <w:sz w:val="28"/>
          <w:lang w:val="es-ES"/>
        </w:rPr>
        <w:t xml:space="preserve">en estos escenarios. </w:t>
      </w:r>
      <w:r w:rsidRPr="00DE7CC4">
        <w:rPr>
          <w:rFonts w:ascii="Times New Roman" w:hAnsi="Times New Roman" w:cs="Times New Roman"/>
          <w:color w:val="000000" w:themeColor="text1"/>
          <w:sz w:val="28"/>
          <w:lang w:val="es-ES"/>
        </w:rPr>
        <w:t>Además</w:t>
      </w:r>
      <w:r w:rsidRPr="00DE7CC4">
        <w:rPr>
          <w:rFonts w:ascii="Times New Roman" w:hAnsi="Times New Roman" w:cs="Times New Roman"/>
          <w:color w:val="000000" w:themeColor="text1"/>
          <w:sz w:val="28"/>
          <w:lang w:val="es-ES"/>
        </w:rPr>
        <w:t xml:space="preserve">, es imprescindible destacar que, ante los inconvenientes que puedan generarse con una persona renuente y/o que, incluso, huya del lugar, </w:t>
      </w:r>
      <w:r w:rsidRPr="00DE7CC4">
        <w:rPr>
          <w:rFonts w:ascii="Times New Roman" w:hAnsi="Times New Roman" w:cs="Times New Roman"/>
          <w:color w:val="000000" w:themeColor="text1"/>
          <w:sz w:val="28"/>
          <w:lang w:val="es-ES"/>
        </w:rPr>
        <w:t>e</w:t>
      </w:r>
      <w:r w:rsidRPr="00DE7CC4">
        <w:rPr>
          <w:rFonts w:ascii="Times New Roman" w:hAnsi="Times New Roman" w:cs="Times New Roman"/>
          <w:color w:val="000000" w:themeColor="text1"/>
          <w:sz w:val="28"/>
          <w:lang w:val="es-ES"/>
        </w:rPr>
        <w:t>s posible</w:t>
      </w:r>
      <w:r w:rsidRPr="00DE7CC4">
        <w:rPr>
          <w:rFonts w:ascii="Times New Roman" w:hAnsi="Times New Roman" w:cs="Times New Roman"/>
          <w:color w:val="000000" w:themeColor="text1"/>
          <w:sz w:val="28"/>
          <w:lang w:val="es-ES"/>
        </w:rPr>
        <w:t>,</w:t>
      </w:r>
      <w:r w:rsidRPr="00DE7CC4">
        <w:rPr>
          <w:rFonts w:ascii="Times New Roman" w:hAnsi="Times New Roman" w:cs="Times New Roman"/>
          <w:color w:val="000000" w:themeColor="text1"/>
          <w:sz w:val="28"/>
          <w:lang w:val="es-ES"/>
        </w:rPr>
        <w:t xml:space="preserve"> a partir de información como el número de la placa del vehículo, </w:t>
      </w:r>
      <w:r w:rsidRPr="00DE7CC4">
        <w:rPr>
          <w:rFonts w:ascii="Times New Roman" w:hAnsi="Times New Roman" w:cs="Times New Roman"/>
          <w:color w:val="000000" w:themeColor="text1"/>
          <w:sz w:val="28"/>
          <w:lang w:val="es-ES"/>
        </w:rPr>
        <w:t>que en el escenario conciliatorio y/o jud</w:t>
      </w:r>
      <w:r w:rsidRPr="00DE7CC4">
        <w:rPr>
          <w:rFonts w:ascii="Times New Roman" w:hAnsi="Times New Roman" w:cs="Times New Roman"/>
          <w:color w:val="000000" w:themeColor="text1"/>
          <w:sz w:val="28"/>
          <w:lang w:val="es-ES"/>
        </w:rPr>
        <w:t xml:space="preserve">icial, a través de las autoridades con competencia en este tipo de casos, se </w:t>
      </w:r>
      <w:r w:rsidRPr="00DE7CC4">
        <w:rPr>
          <w:rFonts w:ascii="Times New Roman" w:hAnsi="Times New Roman" w:cs="Times New Roman"/>
          <w:color w:val="000000" w:themeColor="text1"/>
          <w:sz w:val="28"/>
          <w:lang w:val="es-ES"/>
        </w:rPr>
        <w:t>acud</w:t>
      </w:r>
      <w:r w:rsidRPr="00DE7CC4">
        <w:rPr>
          <w:rFonts w:ascii="Times New Roman" w:hAnsi="Times New Roman" w:cs="Times New Roman"/>
          <w:color w:val="000000" w:themeColor="text1"/>
          <w:sz w:val="28"/>
          <w:lang w:val="es-ES"/>
        </w:rPr>
        <w:t>a</w:t>
      </w:r>
      <w:r w:rsidRPr="00DE7CC4">
        <w:rPr>
          <w:rFonts w:ascii="Times New Roman" w:hAnsi="Times New Roman" w:cs="Times New Roman"/>
          <w:color w:val="000000" w:themeColor="text1"/>
          <w:sz w:val="28"/>
          <w:lang w:val="es-ES"/>
        </w:rPr>
        <w:t xml:space="preserve"> a las autoridades de tránsito para obtener los datos requeridos </w:t>
      </w:r>
      <w:r w:rsidRPr="00DE7CC4">
        <w:rPr>
          <w:rFonts w:ascii="Times New Roman" w:hAnsi="Times New Roman" w:cs="Times New Roman"/>
          <w:color w:val="000000" w:themeColor="text1"/>
          <w:sz w:val="28"/>
          <w:lang w:val="es-ES"/>
        </w:rPr>
        <w:t>y así</w:t>
      </w:r>
      <w:r w:rsidRPr="00DE7CC4">
        <w:rPr>
          <w:rFonts w:ascii="Times New Roman" w:hAnsi="Times New Roman" w:cs="Times New Roman"/>
          <w:color w:val="000000" w:themeColor="text1"/>
          <w:sz w:val="28"/>
          <w:lang w:val="es-ES"/>
        </w:rPr>
        <w:t>, en principio, dirigir las reclamaciones por los presuntos daños causados. Situación similar</w:t>
      </w:r>
      <w:r w:rsidRPr="00DE7CC4">
        <w:rPr>
          <w:rFonts w:ascii="Times New Roman" w:hAnsi="Times New Roman" w:cs="Times New Roman"/>
          <w:color w:val="000000" w:themeColor="text1"/>
          <w:sz w:val="28"/>
          <w:lang w:val="es-ES"/>
        </w:rPr>
        <w:t>, segundo a</w:t>
      </w:r>
      <w:r w:rsidRPr="00DE7CC4">
        <w:rPr>
          <w:rFonts w:ascii="Times New Roman" w:hAnsi="Times New Roman" w:cs="Times New Roman"/>
          <w:color w:val="000000" w:themeColor="text1"/>
          <w:sz w:val="28"/>
          <w:lang w:val="es-ES"/>
        </w:rPr>
        <w:t>sunto,</w:t>
      </w:r>
      <w:r w:rsidRPr="00DE7CC4">
        <w:rPr>
          <w:rFonts w:ascii="Times New Roman" w:hAnsi="Times New Roman" w:cs="Times New Roman"/>
          <w:color w:val="000000" w:themeColor="text1"/>
          <w:sz w:val="28"/>
          <w:lang w:val="es-ES"/>
        </w:rPr>
        <w:t xml:space="preserve"> </w:t>
      </w:r>
      <w:r w:rsidRPr="00DE7CC4">
        <w:rPr>
          <w:rFonts w:ascii="Times New Roman" w:hAnsi="Times New Roman" w:cs="Times New Roman"/>
          <w:color w:val="000000" w:themeColor="text1"/>
          <w:sz w:val="28"/>
          <w:lang w:val="es-ES"/>
        </w:rPr>
        <w:t xml:space="preserve">es predicable respecto </w:t>
      </w:r>
      <w:r w:rsidRPr="00DE7CC4">
        <w:rPr>
          <w:rFonts w:ascii="Times New Roman" w:hAnsi="Times New Roman" w:cs="Times New Roman"/>
          <w:color w:val="000000" w:themeColor="text1"/>
          <w:sz w:val="28"/>
          <w:lang w:val="es-ES"/>
        </w:rPr>
        <w:t>de personas particulares -y ajenos al accidente-</w:t>
      </w:r>
      <w:r w:rsidRPr="00DE7CC4">
        <w:rPr>
          <w:rFonts w:ascii="Times New Roman" w:hAnsi="Times New Roman" w:cs="Times New Roman"/>
          <w:color w:val="000000" w:themeColor="text1"/>
          <w:sz w:val="28"/>
          <w:lang w:val="es-ES"/>
        </w:rPr>
        <w:t xml:space="preserve"> que, habiendo presenciado el accidente, puedan ser llamadas posteriormente por la autoridad competente como testigos. Sobre los datos que en el sitio de la colisión deberían rec</w:t>
      </w:r>
      <w:r w:rsidRPr="00DE7CC4">
        <w:rPr>
          <w:rFonts w:ascii="Times New Roman" w:hAnsi="Times New Roman" w:cs="Times New Roman"/>
          <w:color w:val="000000" w:themeColor="text1"/>
          <w:sz w:val="28"/>
          <w:lang w:val="es-ES"/>
        </w:rPr>
        <w:t>opilarse por los interesados en este evento, es necesario indicar que</w:t>
      </w:r>
      <w:r w:rsidRPr="00DE7CC4">
        <w:rPr>
          <w:rFonts w:ascii="Times New Roman" w:hAnsi="Times New Roman" w:cs="Times New Roman"/>
          <w:color w:val="000000" w:themeColor="text1"/>
          <w:sz w:val="28"/>
          <w:lang w:val="es-ES"/>
        </w:rPr>
        <w:t xml:space="preserve"> la ciudadanía también está llamada a cumplir, se insiste, deberes dentro de la comunidad que integra.</w:t>
      </w:r>
    </w:p>
    <w:p w:rsidR="00F32ED8" w:rsidRPr="00DE7CC4" w:rsidRDefault="00DE7CC4" w:rsidP="00F32ED8">
      <w:pPr>
        <w:pStyle w:val="Prrafodelista"/>
        <w:tabs>
          <w:tab w:val="left" w:pos="284"/>
        </w:tabs>
        <w:ind w:left="0" w:right="49"/>
        <w:jc w:val="both"/>
        <w:rPr>
          <w:rFonts w:ascii="Times New Roman" w:hAnsi="Times New Roman" w:cs="Times New Roman"/>
          <w:color w:val="000000" w:themeColor="text1"/>
          <w:sz w:val="28"/>
          <w:lang w:val="es-ES"/>
        </w:rPr>
      </w:pPr>
    </w:p>
    <w:p w:rsidR="00F32ED8" w:rsidRPr="00DE7CC4" w:rsidRDefault="00DE7CC4" w:rsidP="00F32ED8">
      <w:pPr>
        <w:pStyle w:val="Prrafodelista"/>
        <w:tabs>
          <w:tab w:val="left" w:pos="284"/>
        </w:tabs>
        <w:ind w:left="0" w:right="49"/>
        <w:jc w:val="both"/>
        <w:rPr>
          <w:rFonts w:ascii="Times New Roman" w:hAnsi="Times New Roman" w:cs="Times New Roman"/>
          <w:color w:val="000000" w:themeColor="text1"/>
          <w:sz w:val="28"/>
          <w:lang w:val="es-ES"/>
        </w:rPr>
      </w:pPr>
      <w:r w:rsidRPr="00DE7CC4">
        <w:rPr>
          <w:rFonts w:ascii="Times New Roman" w:hAnsi="Times New Roman" w:cs="Times New Roman"/>
          <w:color w:val="000000" w:themeColor="text1"/>
          <w:sz w:val="28"/>
          <w:lang w:val="es-ES"/>
        </w:rPr>
        <w:t>152</w:t>
      </w:r>
      <w:r w:rsidRPr="00DE7CC4">
        <w:rPr>
          <w:rFonts w:ascii="Times New Roman" w:hAnsi="Times New Roman" w:cs="Times New Roman"/>
          <w:color w:val="000000" w:themeColor="text1"/>
          <w:sz w:val="28"/>
          <w:lang w:val="es-ES"/>
        </w:rPr>
        <w:t>. Por otro lado, la regulación adoptada al reemplazar el informe de tránsito e i</w:t>
      </w:r>
      <w:r w:rsidRPr="00DE7CC4">
        <w:rPr>
          <w:rFonts w:ascii="Times New Roman" w:hAnsi="Times New Roman" w:cs="Times New Roman"/>
          <w:color w:val="000000" w:themeColor="text1"/>
          <w:sz w:val="28"/>
          <w:lang w:val="es-ES"/>
        </w:rPr>
        <w:t xml:space="preserve">mponer la movilización de los vehículos </w:t>
      </w:r>
      <w:r w:rsidRPr="00DE7CC4">
        <w:rPr>
          <w:rFonts w:ascii="Times New Roman" w:hAnsi="Times New Roman" w:cs="Times New Roman"/>
          <w:color w:val="000000" w:themeColor="text1"/>
          <w:sz w:val="28"/>
          <w:lang w:val="es-ES"/>
        </w:rPr>
        <w:t>–</w:t>
      </w:r>
      <w:r w:rsidRPr="00DE7CC4">
        <w:rPr>
          <w:rFonts w:ascii="Times New Roman" w:hAnsi="Times New Roman" w:cs="Times New Roman"/>
          <w:color w:val="000000" w:themeColor="text1"/>
          <w:sz w:val="28"/>
          <w:lang w:val="es-ES"/>
        </w:rPr>
        <w:t>una vez se recopilan las pruebas que soportarían una reclamación futura</w:t>
      </w:r>
      <w:r w:rsidRPr="00DE7CC4">
        <w:rPr>
          <w:rFonts w:ascii="Times New Roman" w:hAnsi="Times New Roman" w:cs="Times New Roman"/>
          <w:color w:val="000000" w:themeColor="text1"/>
          <w:sz w:val="28"/>
          <w:lang w:val="es-ES"/>
        </w:rPr>
        <w:t>–</w:t>
      </w:r>
      <w:r w:rsidRPr="00DE7CC4">
        <w:rPr>
          <w:rFonts w:ascii="Times New Roman" w:hAnsi="Times New Roman" w:cs="Times New Roman"/>
          <w:color w:val="000000" w:themeColor="text1"/>
          <w:sz w:val="28"/>
          <w:lang w:val="es-ES"/>
        </w:rPr>
        <w:t xml:space="preserve"> contribuye, incluso efectivamente, a </w:t>
      </w:r>
      <w:r w:rsidRPr="00DE7CC4">
        <w:rPr>
          <w:rFonts w:ascii="Times New Roman" w:hAnsi="Times New Roman" w:cs="Times New Roman"/>
          <w:i/>
          <w:iCs/>
          <w:color w:val="000000" w:themeColor="text1"/>
          <w:sz w:val="28"/>
          <w:lang w:val="es-ES"/>
        </w:rPr>
        <w:t>alcanzar ese propósito</w:t>
      </w:r>
      <w:r w:rsidRPr="00DE7CC4">
        <w:rPr>
          <w:rFonts w:ascii="Times New Roman" w:hAnsi="Times New Roman" w:cs="Times New Roman"/>
          <w:color w:val="000000" w:themeColor="text1"/>
          <w:sz w:val="28"/>
          <w:lang w:val="es-ES"/>
        </w:rPr>
        <w:t>, dado que evita la extendida parálisis de la circulación originada por la obstacul</w:t>
      </w:r>
      <w:r w:rsidRPr="00DE7CC4">
        <w:rPr>
          <w:rFonts w:ascii="Times New Roman" w:hAnsi="Times New Roman" w:cs="Times New Roman"/>
          <w:color w:val="000000" w:themeColor="text1"/>
          <w:sz w:val="28"/>
          <w:lang w:val="es-ES"/>
        </w:rPr>
        <w:t>ización de las vías y, en este sentido, contribuye a garantizar los principios y derechos comprometidos con el tránsito.</w:t>
      </w:r>
    </w:p>
    <w:p w:rsidR="00F32ED8" w:rsidRPr="00DE7CC4" w:rsidRDefault="00DE7CC4" w:rsidP="00F32ED8">
      <w:pPr>
        <w:pStyle w:val="Prrafodelista"/>
        <w:ind w:right="49"/>
        <w:rPr>
          <w:rFonts w:ascii="Times New Roman" w:hAnsi="Times New Roman" w:cs="Times New Roman"/>
          <w:color w:val="000000" w:themeColor="text1"/>
          <w:sz w:val="28"/>
          <w:lang w:val="es-ES"/>
        </w:rPr>
      </w:pPr>
    </w:p>
    <w:p w:rsidR="00F32ED8" w:rsidRPr="00DE7CC4" w:rsidRDefault="00DE7CC4" w:rsidP="00F32ED8">
      <w:pPr>
        <w:pStyle w:val="Prrafodelista"/>
        <w:tabs>
          <w:tab w:val="left" w:pos="284"/>
        </w:tabs>
        <w:ind w:left="0" w:right="49"/>
        <w:jc w:val="both"/>
        <w:rPr>
          <w:rFonts w:ascii="Times New Roman" w:hAnsi="Times New Roman" w:cs="Times New Roman"/>
          <w:color w:val="000000" w:themeColor="text1"/>
          <w:sz w:val="28"/>
          <w:lang w:val="es-ES"/>
        </w:rPr>
      </w:pPr>
      <w:r w:rsidRPr="00DE7CC4">
        <w:rPr>
          <w:rFonts w:ascii="Times New Roman" w:hAnsi="Times New Roman" w:cs="Times New Roman"/>
          <w:color w:val="000000" w:themeColor="text1"/>
          <w:sz w:val="28"/>
          <w:lang w:val="es-ES"/>
        </w:rPr>
        <w:t>153</w:t>
      </w:r>
      <w:r w:rsidRPr="00DE7CC4">
        <w:rPr>
          <w:rFonts w:ascii="Times New Roman" w:hAnsi="Times New Roman" w:cs="Times New Roman"/>
          <w:color w:val="000000" w:themeColor="text1"/>
          <w:sz w:val="28"/>
          <w:lang w:val="es-ES"/>
        </w:rPr>
        <w:t>. Asimismo, la Corte encuentra que, si bien el Legislador puede prever múltiples opciones para alcanzar los objetivos identificados</w:t>
      </w:r>
      <w:r w:rsidRPr="00DE7CC4">
        <w:rPr>
          <w:rFonts w:ascii="Times New Roman" w:hAnsi="Times New Roman" w:cs="Times New Roman"/>
          <w:color w:val="000000" w:themeColor="text1"/>
          <w:sz w:val="28"/>
          <w:lang w:val="es-ES"/>
        </w:rPr>
        <w:t>, eligió una que se encuentra comprendida por su margen de configuración. En apoyo de esta conclusión existen varias razones. Primer</w:t>
      </w:r>
      <w:r w:rsidRPr="00DE7CC4">
        <w:rPr>
          <w:rFonts w:ascii="Times New Roman" w:hAnsi="Times New Roman" w:cs="Times New Roman"/>
          <w:color w:val="000000" w:themeColor="text1"/>
          <w:sz w:val="28"/>
          <w:lang w:val="es-ES"/>
        </w:rPr>
        <w:t>a</w:t>
      </w:r>
      <w:r w:rsidRPr="00DE7CC4">
        <w:rPr>
          <w:rFonts w:ascii="Times New Roman" w:hAnsi="Times New Roman" w:cs="Times New Roman"/>
          <w:color w:val="000000" w:themeColor="text1"/>
          <w:sz w:val="28"/>
          <w:lang w:val="es-ES"/>
        </w:rPr>
        <w:t>, la disposición no priva al propietario afectado de acudir a diferentes medios de prueba a efectos de probar la responsabi</w:t>
      </w:r>
      <w:r w:rsidRPr="00DE7CC4">
        <w:rPr>
          <w:rFonts w:ascii="Times New Roman" w:hAnsi="Times New Roman" w:cs="Times New Roman"/>
          <w:color w:val="000000" w:themeColor="text1"/>
          <w:sz w:val="28"/>
          <w:lang w:val="es-ES"/>
        </w:rPr>
        <w:t>lidad en la producción de los daños, no solo al momento de la colisión conforme a la carga impuesta en el artículo 16 demandado, sino luego, con miras a un proceso y en los términos antes indicados. Todo ello se prevé en la regulación procesal a cuyo conte</w:t>
      </w:r>
      <w:r w:rsidRPr="00DE7CC4">
        <w:rPr>
          <w:rFonts w:ascii="Times New Roman" w:hAnsi="Times New Roman" w:cs="Times New Roman"/>
          <w:color w:val="000000" w:themeColor="text1"/>
          <w:sz w:val="28"/>
          <w:lang w:val="es-ES"/>
        </w:rPr>
        <w:t>nido puede acudir el afectado a fin de plantear su reclamación ante las autoridades respectivas.</w:t>
      </w:r>
    </w:p>
    <w:p w:rsidR="00F32ED8" w:rsidRPr="00DE7CC4" w:rsidRDefault="00DE7CC4" w:rsidP="00F32ED8">
      <w:pPr>
        <w:pStyle w:val="Prrafodelista"/>
        <w:tabs>
          <w:tab w:val="left" w:pos="284"/>
        </w:tabs>
        <w:ind w:left="0" w:right="49"/>
        <w:jc w:val="both"/>
        <w:rPr>
          <w:rFonts w:ascii="Times New Roman" w:hAnsi="Times New Roman" w:cs="Times New Roman"/>
          <w:color w:val="000000" w:themeColor="text1"/>
          <w:sz w:val="28"/>
          <w:lang w:val="es-ES"/>
        </w:rPr>
      </w:pPr>
    </w:p>
    <w:p w:rsidR="00F32ED8" w:rsidRPr="00DE7CC4" w:rsidRDefault="00DE7CC4" w:rsidP="00F32ED8">
      <w:pPr>
        <w:pStyle w:val="Prrafodelista"/>
        <w:tabs>
          <w:tab w:val="left" w:pos="284"/>
        </w:tabs>
        <w:ind w:left="0" w:right="49"/>
        <w:jc w:val="both"/>
        <w:rPr>
          <w:rFonts w:ascii="Times New Roman" w:hAnsi="Times New Roman" w:cs="Times New Roman"/>
          <w:color w:val="000000" w:themeColor="text1"/>
          <w:sz w:val="28"/>
          <w:lang w:val="es-ES"/>
        </w:rPr>
      </w:pPr>
      <w:r w:rsidRPr="00DE7CC4">
        <w:rPr>
          <w:rFonts w:ascii="Times New Roman" w:hAnsi="Times New Roman" w:cs="Times New Roman"/>
          <w:color w:val="000000" w:themeColor="text1"/>
          <w:sz w:val="28"/>
          <w:lang w:val="es-ES"/>
        </w:rPr>
        <w:t>154</w:t>
      </w:r>
      <w:r w:rsidRPr="00DE7CC4">
        <w:rPr>
          <w:rFonts w:ascii="Times New Roman" w:hAnsi="Times New Roman" w:cs="Times New Roman"/>
          <w:color w:val="000000" w:themeColor="text1"/>
          <w:sz w:val="28"/>
          <w:lang w:val="es-ES"/>
        </w:rPr>
        <w:t>. Segund</w:t>
      </w:r>
      <w:r w:rsidRPr="00DE7CC4">
        <w:rPr>
          <w:rFonts w:ascii="Times New Roman" w:hAnsi="Times New Roman" w:cs="Times New Roman"/>
          <w:color w:val="000000" w:themeColor="text1"/>
          <w:sz w:val="28"/>
          <w:lang w:val="es-ES"/>
        </w:rPr>
        <w:t>a</w:t>
      </w:r>
      <w:r w:rsidRPr="00DE7CC4">
        <w:rPr>
          <w:rFonts w:ascii="Times New Roman" w:hAnsi="Times New Roman" w:cs="Times New Roman"/>
          <w:color w:val="000000" w:themeColor="text1"/>
          <w:sz w:val="28"/>
          <w:lang w:val="es-ES"/>
        </w:rPr>
        <w:t xml:space="preserve">, el </w:t>
      </w:r>
      <w:r w:rsidRPr="00DE7CC4">
        <w:rPr>
          <w:rFonts w:ascii="Times New Roman" w:hAnsi="Times New Roman" w:cs="Times New Roman"/>
          <w:color w:val="000000" w:themeColor="text1"/>
          <w:sz w:val="28"/>
          <w:lang w:val="es-ES"/>
        </w:rPr>
        <w:t>l</w:t>
      </w:r>
      <w:r w:rsidRPr="00DE7CC4">
        <w:rPr>
          <w:rFonts w:ascii="Times New Roman" w:hAnsi="Times New Roman" w:cs="Times New Roman"/>
          <w:color w:val="000000" w:themeColor="text1"/>
          <w:sz w:val="28"/>
          <w:lang w:val="es-ES"/>
        </w:rPr>
        <w:t>egislador se encuentra habilitado para imponer a los propietarios de vehículos exigencias especiales relacionadas, por ejemplo, con la instrucción necesaria para cumplir con la carga probatoria impuesta en casos de accidentes de tránsito que generan solame</w:t>
      </w:r>
      <w:r w:rsidRPr="00DE7CC4">
        <w:rPr>
          <w:rFonts w:ascii="Times New Roman" w:hAnsi="Times New Roman" w:cs="Times New Roman"/>
          <w:color w:val="000000" w:themeColor="text1"/>
          <w:sz w:val="28"/>
          <w:lang w:val="es-ES"/>
        </w:rPr>
        <w:t>nte daños materiales. En esta dirección la jurisprudencia de la Corte también ha sido clara. La Sentencia C-322 de 2022 indicó recientemente que, en razón a la función social de la propiedad, era posible que el Legislador impusiera cargas necesarias para s</w:t>
      </w:r>
      <w:r w:rsidRPr="00DE7CC4">
        <w:rPr>
          <w:rFonts w:ascii="Times New Roman" w:hAnsi="Times New Roman" w:cs="Times New Roman"/>
          <w:color w:val="000000" w:themeColor="text1"/>
          <w:sz w:val="28"/>
          <w:lang w:val="es-ES"/>
        </w:rPr>
        <w:t xml:space="preserve">u adecuado ejercicio: </w:t>
      </w:r>
    </w:p>
    <w:p w:rsidR="00F32ED8" w:rsidRPr="00DE7CC4" w:rsidRDefault="00DE7CC4" w:rsidP="00F32ED8">
      <w:pPr>
        <w:pStyle w:val="Prrafodelista"/>
        <w:tabs>
          <w:tab w:val="left" w:pos="284"/>
        </w:tabs>
        <w:ind w:left="0" w:right="49"/>
        <w:jc w:val="both"/>
        <w:rPr>
          <w:rFonts w:ascii="Times New Roman" w:hAnsi="Times New Roman" w:cs="Times New Roman"/>
          <w:color w:val="000000" w:themeColor="text1"/>
          <w:sz w:val="28"/>
          <w:lang w:val="es-ES"/>
        </w:rPr>
      </w:pPr>
    </w:p>
    <w:p w:rsidR="00F32ED8" w:rsidRPr="00DE7CC4" w:rsidRDefault="00DE7CC4" w:rsidP="00F32ED8">
      <w:pPr>
        <w:ind w:left="567" w:right="333"/>
        <w:jc w:val="both"/>
        <w:rPr>
          <w:rFonts w:ascii="Times New Roman" w:hAnsi="Times New Roman" w:cs="Times New Roman"/>
          <w:color w:val="000000" w:themeColor="text1"/>
          <w:sz w:val="28"/>
          <w:shd w:val="clear" w:color="auto" w:fill="FFFFFF"/>
          <w:lang w:val="es-ES"/>
        </w:rPr>
      </w:pPr>
      <w:r w:rsidRPr="00DE7CC4">
        <w:rPr>
          <w:rFonts w:ascii="Times New Roman" w:hAnsi="Times New Roman" w:cs="Times New Roman"/>
          <w:color w:val="000000" w:themeColor="text1"/>
          <w:sz w:val="28"/>
          <w:shd w:val="clear" w:color="auto" w:fill="FFFFFF"/>
          <w:lang w:val="es-ES"/>
        </w:rPr>
        <w:t>“Sobre este particular, la Corte Constitucional ha señalado que el carácter social del derecho de propiedad autoriza al Legislador para “</w:t>
      </w:r>
      <w:r w:rsidRPr="00DE7CC4">
        <w:rPr>
          <w:rFonts w:ascii="Times New Roman" w:hAnsi="Times New Roman" w:cs="Times New Roman"/>
          <w:i/>
          <w:iCs/>
          <w:color w:val="000000" w:themeColor="text1"/>
          <w:sz w:val="28"/>
          <w:shd w:val="clear" w:color="auto" w:fill="FFFFFF"/>
          <w:lang w:val="es-ES"/>
        </w:rPr>
        <w:t xml:space="preserve">obligar al propietario, ya no sólo a abstenerse de realizar conductas que limiten el ejercicio </w:t>
      </w:r>
      <w:r w:rsidRPr="00DE7CC4">
        <w:rPr>
          <w:rFonts w:ascii="Times New Roman" w:hAnsi="Times New Roman" w:cs="Times New Roman"/>
          <w:i/>
          <w:iCs/>
          <w:color w:val="000000" w:themeColor="text1"/>
          <w:sz w:val="28"/>
          <w:shd w:val="clear" w:color="auto" w:fill="FFFFFF"/>
          <w:lang w:val="es-ES"/>
        </w:rPr>
        <w:t>de su derecho, sino a desplegar acciones positivas que tiendan a efectivizarlo</w:t>
      </w:r>
      <w:r w:rsidRPr="00DE7CC4">
        <w:rPr>
          <w:rFonts w:ascii="Times New Roman" w:hAnsi="Times New Roman" w:cs="Times New Roman"/>
          <w:color w:val="000000" w:themeColor="text1"/>
          <w:sz w:val="28"/>
          <w:shd w:val="clear" w:color="auto" w:fill="FFFFFF"/>
          <w:lang w:val="es-ES"/>
        </w:rPr>
        <w:t>”. En este sentido, la Corte ha señalado que “[l]a </w:t>
      </w:r>
      <w:r w:rsidRPr="00DE7CC4">
        <w:rPr>
          <w:rFonts w:ascii="Times New Roman" w:hAnsi="Times New Roman" w:cs="Times New Roman"/>
          <w:b/>
          <w:bCs/>
          <w:color w:val="000000" w:themeColor="text1"/>
          <w:sz w:val="28"/>
          <w:shd w:val="clear" w:color="auto" w:fill="FFFFFF"/>
          <w:lang w:val="es-ES"/>
        </w:rPr>
        <w:t>configuración legal de la propiedad, entonces, puede apuntar indistintamente a la supresión de ciertas facultades, a su ejercic</w:t>
      </w:r>
      <w:r w:rsidRPr="00DE7CC4">
        <w:rPr>
          <w:rFonts w:ascii="Times New Roman" w:hAnsi="Times New Roman" w:cs="Times New Roman"/>
          <w:b/>
          <w:bCs/>
          <w:color w:val="000000" w:themeColor="text1"/>
          <w:sz w:val="28"/>
          <w:shd w:val="clear" w:color="auto" w:fill="FFFFFF"/>
          <w:lang w:val="es-ES"/>
        </w:rPr>
        <w:t>io condicionado o, en ciertos casos, al obligado ejercicio de algunas obligaciones”</w:t>
      </w:r>
      <w:r w:rsidRPr="00DE7CC4">
        <w:rPr>
          <w:rFonts w:ascii="Times New Roman" w:hAnsi="Times New Roman" w:cs="Times New Roman"/>
          <w:color w:val="000000" w:themeColor="text1"/>
          <w:sz w:val="28"/>
          <w:shd w:val="clear" w:color="auto" w:fill="FFFFFF"/>
          <w:lang w:val="es-ES"/>
        </w:rPr>
        <w:t>.</w:t>
      </w:r>
      <w:r w:rsidRPr="00DE7CC4">
        <w:rPr>
          <w:rFonts w:ascii="Times New Roman" w:hAnsi="Times New Roman" w:cs="Times New Roman"/>
          <w:b/>
          <w:bCs/>
          <w:color w:val="000000" w:themeColor="text1"/>
          <w:sz w:val="28"/>
          <w:shd w:val="clear" w:color="auto" w:fill="FFFFFF"/>
          <w:lang w:val="es-ES"/>
        </w:rPr>
        <w:t> </w:t>
      </w:r>
      <w:r w:rsidRPr="00DE7CC4">
        <w:rPr>
          <w:rFonts w:ascii="Times New Roman" w:hAnsi="Times New Roman" w:cs="Times New Roman"/>
          <w:color w:val="000000" w:themeColor="text1"/>
          <w:sz w:val="28"/>
          <w:shd w:val="clear" w:color="auto" w:fill="FFFFFF"/>
          <w:lang w:val="es-ES"/>
        </w:rPr>
        <w:t>(Subrayado fuera del texto original)</w:t>
      </w:r>
      <w:r w:rsidRPr="00DE7CC4">
        <w:rPr>
          <w:rFonts w:ascii="Times New Roman" w:hAnsi="Times New Roman" w:cs="Times New Roman"/>
          <w:color w:val="000000" w:themeColor="text1"/>
          <w:sz w:val="28"/>
          <w:shd w:val="clear" w:color="auto" w:fill="FFFFFF"/>
          <w:lang w:val="es-ES"/>
        </w:rPr>
        <w:t>.</w:t>
      </w:r>
      <w:r w:rsidRPr="00DE7CC4" w:rsidDel="00D12793">
        <w:rPr>
          <w:rFonts w:ascii="Times New Roman" w:hAnsi="Times New Roman" w:cs="Times New Roman"/>
          <w:sz w:val="28"/>
        </w:rPr>
        <w:t xml:space="preserve"> </w:t>
      </w:r>
    </w:p>
    <w:p w:rsidR="00F32ED8" w:rsidRPr="00DE7CC4" w:rsidRDefault="00DE7CC4" w:rsidP="00F32ED8">
      <w:pPr>
        <w:pStyle w:val="Prrafodelista"/>
        <w:tabs>
          <w:tab w:val="left" w:pos="284"/>
        </w:tabs>
        <w:ind w:left="0" w:right="49"/>
        <w:jc w:val="both"/>
        <w:rPr>
          <w:rFonts w:ascii="Times New Roman" w:hAnsi="Times New Roman" w:cs="Times New Roman"/>
          <w:color w:val="000000" w:themeColor="text1"/>
          <w:sz w:val="28"/>
        </w:rPr>
      </w:pPr>
    </w:p>
    <w:p w:rsidR="00F32ED8" w:rsidRPr="00DE7CC4" w:rsidRDefault="00DE7CC4" w:rsidP="00F32ED8">
      <w:pPr>
        <w:pStyle w:val="Prrafodelista"/>
        <w:tabs>
          <w:tab w:val="left" w:pos="284"/>
        </w:tabs>
        <w:ind w:left="0" w:right="49"/>
        <w:jc w:val="both"/>
        <w:rPr>
          <w:rFonts w:ascii="Times New Roman" w:hAnsi="Times New Roman" w:cs="Times New Roman"/>
          <w:color w:val="000000" w:themeColor="text1"/>
          <w:sz w:val="28"/>
          <w:lang w:val="es-ES"/>
        </w:rPr>
      </w:pPr>
      <w:r w:rsidRPr="00DE7CC4">
        <w:rPr>
          <w:rFonts w:ascii="Times New Roman" w:hAnsi="Times New Roman" w:cs="Times New Roman"/>
          <w:color w:val="000000" w:themeColor="text1"/>
          <w:sz w:val="28"/>
          <w:lang w:val="es-ES"/>
        </w:rPr>
        <w:t>155</w:t>
      </w:r>
      <w:r w:rsidRPr="00DE7CC4">
        <w:rPr>
          <w:rFonts w:ascii="Times New Roman" w:hAnsi="Times New Roman" w:cs="Times New Roman"/>
          <w:color w:val="000000" w:themeColor="text1"/>
          <w:sz w:val="28"/>
          <w:lang w:val="es-ES"/>
        </w:rPr>
        <w:t xml:space="preserve">. Por lo anterior, </w:t>
      </w:r>
      <w:r w:rsidRPr="00DE7CC4">
        <w:rPr>
          <w:rFonts w:ascii="Times New Roman" w:hAnsi="Times New Roman" w:cs="Times New Roman"/>
          <w:color w:val="000000" w:themeColor="text1"/>
          <w:sz w:val="28"/>
          <w:lang w:val="es-ES"/>
        </w:rPr>
        <w:t xml:space="preserve">estima </w:t>
      </w:r>
      <w:r w:rsidRPr="00DE7CC4">
        <w:rPr>
          <w:rFonts w:ascii="Times New Roman" w:hAnsi="Times New Roman" w:cs="Times New Roman"/>
          <w:color w:val="000000" w:themeColor="text1"/>
          <w:sz w:val="28"/>
          <w:lang w:val="es-ES"/>
        </w:rPr>
        <w:t>la Sala</w:t>
      </w:r>
      <w:r w:rsidRPr="00DE7CC4">
        <w:rPr>
          <w:rFonts w:ascii="Times New Roman" w:hAnsi="Times New Roman" w:cs="Times New Roman"/>
          <w:color w:val="000000" w:themeColor="text1"/>
          <w:sz w:val="28"/>
          <w:lang w:val="es-ES"/>
        </w:rPr>
        <w:t xml:space="preserve"> que</w:t>
      </w:r>
      <w:r w:rsidRPr="00DE7CC4">
        <w:rPr>
          <w:rFonts w:ascii="Times New Roman" w:hAnsi="Times New Roman" w:cs="Times New Roman"/>
          <w:color w:val="000000" w:themeColor="text1"/>
          <w:sz w:val="28"/>
          <w:lang w:val="es-ES"/>
        </w:rPr>
        <w:t xml:space="preserve"> un régimen abstracto y que tiene por objeto regular con una pretensión de universalidad los supuestos en los que se generan choques que solamente dejan en la vía daños materiales, cuya implicación es la de imponer a los agentes viales</w:t>
      </w:r>
      <w:r w:rsidRPr="00DE7CC4">
        <w:rPr>
          <w:rFonts w:ascii="Times New Roman" w:hAnsi="Times New Roman" w:cs="Times New Roman"/>
          <w:color w:val="000000" w:themeColor="text1"/>
          <w:sz w:val="28"/>
          <w:lang w:val="es-ES"/>
        </w:rPr>
        <w:t xml:space="preserve"> cargas probatorias</w:t>
      </w:r>
      <w:r w:rsidRPr="00DE7CC4">
        <w:rPr>
          <w:rFonts w:ascii="Times New Roman" w:hAnsi="Times New Roman" w:cs="Times New Roman"/>
          <w:color w:val="000000" w:themeColor="text1"/>
          <w:sz w:val="28"/>
          <w:lang w:val="es-ES"/>
        </w:rPr>
        <w:t xml:space="preserve">, </w:t>
      </w:r>
      <w:r w:rsidRPr="00DE7CC4">
        <w:rPr>
          <w:rFonts w:ascii="Times New Roman" w:hAnsi="Times New Roman" w:cs="Times New Roman"/>
          <w:color w:val="000000" w:themeColor="text1"/>
          <w:sz w:val="28"/>
          <w:lang w:val="es-ES"/>
        </w:rPr>
        <w:t>incluso con asesoría de las aseguradoras en los eventos en los que se cuenta con las pólizas respectivas, no constituye una imposición que afecte el derecho de propiedad en la dimensión analizada.</w:t>
      </w:r>
    </w:p>
    <w:p w:rsidR="00F32ED8" w:rsidRPr="00DE7CC4" w:rsidRDefault="00DE7CC4" w:rsidP="00F32ED8">
      <w:pPr>
        <w:pStyle w:val="Prrafodelista"/>
        <w:tabs>
          <w:tab w:val="left" w:pos="284"/>
        </w:tabs>
        <w:ind w:left="0" w:right="49"/>
        <w:jc w:val="both"/>
        <w:rPr>
          <w:rFonts w:ascii="Times New Roman" w:hAnsi="Times New Roman" w:cs="Times New Roman"/>
          <w:color w:val="000000" w:themeColor="text1"/>
          <w:sz w:val="28"/>
          <w:lang w:val="es-ES"/>
        </w:rPr>
      </w:pPr>
    </w:p>
    <w:p w:rsidR="00F32ED8" w:rsidRPr="00DE7CC4" w:rsidRDefault="00DE7CC4" w:rsidP="00F32ED8">
      <w:pPr>
        <w:pStyle w:val="Prrafodelista"/>
        <w:tabs>
          <w:tab w:val="left" w:pos="284"/>
        </w:tabs>
        <w:ind w:left="0" w:right="49"/>
        <w:jc w:val="both"/>
        <w:rPr>
          <w:rFonts w:ascii="Times New Roman" w:hAnsi="Times New Roman" w:cs="Times New Roman"/>
          <w:color w:val="000000" w:themeColor="text1"/>
          <w:sz w:val="28"/>
          <w:lang w:val="es-ES"/>
        </w:rPr>
      </w:pPr>
      <w:r w:rsidRPr="00DE7CC4">
        <w:rPr>
          <w:rFonts w:ascii="Times New Roman" w:hAnsi="Times New Roman" w:cs="Times New Roman"/>
          <w:color w:val="000000" w:themeColor="text1"/>
          <w:sz w:val="28"/>
          <w:lang w:val="es-ES"/>
        </w:rPr>
        <w:t>156</w:t>
      </w:r>
      <w:r w:rsidRPr="00DE7CC4">
        <w:rPr>
          <w:rFonts w:ascii="Times New Roman" w:hAnsi="Times New Roman" w:cs="Times New Roman"/>
          <w:color w:val="000000" w:themeColor="text1"/>
          <w:sz w:val="28"/>
          <w:lang w:val="es-ES"/>
        </w:rPr>
        <w:t>. Y, tercer</w:t>
      </w:r>
      <w:r w:rsidRPr="00DE7CC4">
        <w:rPr>
          <w:rFonts w:ascii="Times New Roman" w:hAnsi="Times New Roman" w:cs="Times New Roman"/>
          <w:color w:val="000000" w:themeColor="text1"/>
          <w:sz w:val="28"/>
          <w:lang w:val="es-ES"/>
        </w:rPr>
        <w:t>a</w:t>
      </w:r>
      <w:r w:rsidRPr="00DE7CC4">
        <w:rPr>
          <w:rFonts w:ascii="Times New Roman" w:hAnsi="Times New Roman" w:cs="Times New Roman"/>
          <w:color w:val="000000" w:themeColor="text1"/>
          <w:sz w:val="28"/>
          <w:lang w:val="es-ES"/>
        </w:rPr>
        <w:t>, la regla no es absoluta, dado que, por un</w:t>
      </w:r>
      <w:r w:rsidRPr="00DE7CC4">
        <w:rPr>
          <w:rFonts w:ascii="Times New Roman" w:hAnsi="Times New Roman" w:cs="Times New Roman"/>
          <w:color w:val="000000" w:themeColor="text1"/>
          <w:sz w:val="28"/>
          <w:lang w:val="es-ES"/>
        </w:rPr>
        <w:t xml:space="preserve"> lado, solo se aplica en accidentes que generen exclusivamente daños materiales y no en aquellos que involucran afectación a la integridad -vida y salud- de las personas; y, por otro lado, en algunos de estos casos tampoco se exige el levantamiento del veh</w:t>
      </w:r>
      <w:r w:rsidRPr="00DE7CC4">
        <w:rPr>
          <w:rFonts w:ascii="Times New Roman" w:hAnsi="Times New Roman" w:cs="Times New Roman"/>
          <w:color w:val="000000" w:themeColor="text1"/>
          <w:sz w:val="28"/>
          <w:lang w:val="es-ES"/>
        </w:rPr>
        <w:t>ículo o vehículos comprometidos, ello sucede, conforme al artículo 144A del Código Nacional de Tránsito cuando es “materialmente imposible el retiro de los vehículos en razón de las condiciones técnico-mecánicas” y cuando en el accidente están comprometida</w:t>
      </w:r>
      <w:r w:rsidRPr="00DE7CC4">
        <w:rPr>
          <w:rFonts w:ascii="Times New Roman" w:hAnsi="Times New Roman" w:cs="Times New Roman"/>
          <w:color w:val="000000" w:themeColor="text1"/>
          <w:sz w:val="28"/>
          <w:lang w:val="es-ES"/>
        </w:rPr>
        <w:t xml:space="preserve">s personas que presuntamente están en estado de embriaguez, dotando así de razonabilidad la regulación. </w:t>
      </w:r>
    </w:p>
    <w:p w:rsidR="00F32ED8" w:rsidRPr="00DE7CC4" w:rsidRDefault="00DE7CC4" w:rsidP="00F32ED8">
      <w:pPr>
        <w:pStyle w:val="Prrafodelista"/>
        <w:tabs>
          <w:tab w:val="left" w:pos="284"/>
        </w:tabs>
        <w:ind w:left="0" w:right="49"/>
        <w:jc w:val="both"/>
        <w:rPr>
          <w:rFonts w:ascii="Times New Roman" w:hAnsi="Times New Roman" w:cs="Times New Roman"/>
          <w:color w:val="000000" w:themeColor="text1"/>
          <w:sz w:val="28"/>
          <w:lang w:val="es-ES"/>
        </w:rPr>
      </w:pPr>
    </w:p>
    <w:p w:rsidR="00F32ED8" w:rsidRPr="00DE7CC4" w:rsidRDefault="00DE7CC4" w:rsidP="00F32ED8">
      <w:pPr>
        <w:pStyle w:val="Prrafodelista"/>
        <w:tabs>
          <w:tab w:val="left" w:pos="284"/>
        </w:tabs>
        <w:ind w:left="0" w:right="49"/>
        <w:jc w:val="both"/>
        <w:rPr>
          <w:rFonts w:ascii="Times New Roman" w:hAnsi="Times New Roman" w:cs="Times New Roman"/>
          <w:color w:val="000000" w:themeColor="text1"/>
          <w:sz w:val="28"/>
          <w:lang w:val="es-ES"/>
        </w:rPr>
      </w:pPr>
      <w:r w:rsidRPr="00DE7CC4">
        <w:rPr>
          <w:rFonts w:ascii="Times New Roman" w:hAnsi="Times New Roman" w:cs="Times New Roman"/>
          <w:color w:val="000000" w:themeColor="text1"/>
          <w:sz w:val="28"/>
          <w:lang w:val="es-ES"/>
        </w:rPr>
        <w:t>157</w:t>
      </w:r>
      <w:r w:rsidRPr="00DE7CC4">
        <w:rPr>
          <w:rFonts w:ascii="Times New Roman" w:hAnsi="Times New Roman" w:cs="Times New Roman"/>
          <w:color w:val="000000" w:themeColor="text1"/>
          <w:sz w:val="28"/>
          <w:lang w:val="es-ES"/>
        </w:rPr>
        <w:t xml:space="preserve">. En </w:t>
      </w:r>
      <w:r w:rsidRPr="00DE7CC4">
        <w:rPr>
          <w:rFonts w:ascii="Times New Roman" w:hAnsi="Times New Roman" w:cs="Times New Roman"/>
          <w:color w:val="000000" w:themeColor="text1"/>
          <w:sz w:val="28"/>
          <w:lang w:val="es-ES"/>
        </w:rPr>
        <w:t xml:space="preserve">estos </w:t>
      </w:r>
      <w:r w:rsidRPr="00DE7CC4">
        <w:rPr>
          <w:rFonts w:ascii="Times New Roman" w:hAnsi="Times New Roman" w:cs="Times New Roman"/>
          <w:color w:val="000000" w:themeColor="text1"/>
          <w:sz w:val="28"/>
          <w:lang w:val="es-ES"/>
        </w:rPr>
        <w:t>términos</w:t>
      </w:r>
      <w:r w:rsidRPr="00DE7CC4">
        <w:rPr>
          <w:rFonts w:ascii="Times New Roman" w:hAnsi="Times New Roman" w:cs="Times New Roman"/>
          <w:color w:val="000000" w:themeColor="text1"/>
          <w:sz w:val="28"/>
          <w:lang w:val="es-ES"/>
        </w:rPr>
        <w:t xml:space="preserve"> </w:t>
      </w:r>
      <w:r w:rsidRPr="00DE7CC4">
        <w:rPr>
          <w:rFonts w:ascii="Times New Roman" w:hAnsi="Times New Roman" w:cs="Times New Roman"/>
          <w:color w:val="000000" w:themeColor="text1"/>
          <w:sz w:val="28"/>
          <w:lang w:val="es-ES"/>
        </w:rPr>
        <w:t>la medida</w:t>
      </w:r>
      <w:r w:rsidRPr="00DE7CC4">
        <w:rPr>
          <w:rFonts w:ascii="Times New Roman" w:hAnsi="Times New Roman" w:cs="Times New Roman"/>
          <w:color w:val="000000" w:themeColor="text1"/>
          <w:sz w:val="28"/>
          <w:lang w:val="es-ES"/>
        </w:rPr>
        <w:t xml:space="preserve"> es</w:t>
      </w:r>
      <w:r w:rsidRPr="00DE7CC4">
        <w:rPr>
          <w:rFonts w:ascii="Times New Roman" w:hAnsi="Times New Roman" w:cs="Times New Roman"/>
          <w:color w:val="000000" w:themeColor="text1"/>
          <w:sz w:val="28"/>
          <w:lang w:val="es-ES"/>
        </w:rPr>
        <w:t xml:space="preserve"> idónea</w:t>
      </w:r>
      <w:r w:rsidRPr="00DE7CC4">
        <w:rPr>
          <w:rFonts w:ascii="Times New Roman" w:hAnsi="Times New Roman" w:cs="Times New Roman"/>
          <w:color w:val="000000" w:themeColor="text1"/>
          <w:sz w:val="28"/>
          <w:lang w:val="es-ES"/>
        </w:rPr>
        <w:t xml:space="preserve"> y, en consecuencia, supera el juicio de proporcionalidad en intensidad leve. </w:t>
      </w:r>
    </w:p>
    <w:p w:rsidR="00F32ED8" w:rsidRPr="00DE7CC4" w:rsidRDefault="00DE7CC4" w:rsidP="00F32ED8">
      <w:pPr>
        <w:pStyle w:val="Prrafodelista"/>
        <w:tabs>
          <w:tab w:val="left" w:pos="284"/>
        </w:tabs>
        <w:ind w:left="0" w:right="49"/>
        <w:jc w:val="both"/>
        <w:rPr>
          <w:rFonts w:ascii="Times New Roman" w:hAnsi="Times New Roman" w:cs="Times New Roman"/>
          <w:color w:val="000000" w:themeColor="text1"/>
          <w:sz w:val="28"/>
          <w:lang w:val="es-ES"/>
        </w:rPr>
      </w:pPr>
    </w:p>
    <w:p w:rsidR="00526EAD" w:rsidRPr="00DE7CC4" w:rsidRDefault="00DE7CC4" w:rsidP="00F32ED8">
      <w:pPr>
        <w:pStyle w:val="Prrafodelista"/>
        <w:tabs>
          <w:tab w:val="left" w:pos="284"/>
        </w:tabs>
        <w:ind w:left="0" w:right="49"/>
        <w:jc w:val="both"/>
        <w:rPr>
          <w:rFonts w:ascii="Times New Roman" w:hAnsi="Times New Roman" w:cs="Times New Roman"/>
          <w:b/>
          <w:bCs/>
          <w:i/>
          <w:color w:val="000000" w:themeColor="text1"/>
          <w:sz w:val="28"/>
          <w:lang w:val="es-ES"/>
        </w:rPr>
      </w:pPr>
      <w:r w:rsidRPr="00DE7CC4">
        <w:rPr>
          <w:rFonts w:ascii="Times New Roman" w:hAnsi="Times New Roman" w:cs="Times New Roman"/>
          <w:b/>
          <w:bCs/>
          <w:i/>
          <w:color w:val="000000" w:themeColor="text1"/>
          <w:sz w:val="28"/>
          <w:lang w:val="es-ES"/>
        </w:rPr>
        <w:t xml:space="preserve">Consideraciones finales </w:t>
      </w:r>
      <w:r w:rsidRPr="00DE7CC4">
        <w:rPr>
          <w:rFonts w:ascii="Times New Roman" w:hAnsi="Times New Roman" w:cs="Times New Roman"/>
          <w:b/>
          <w:bCs/>
          <w:i/>
          <w:color w:val="000000" w:themeColor="text1"/>
          <w:sz w:val="28"/>
          <w:lang w:val="es-ES"/>
        </w:rPr>
        <w:t>sobre la aplicación de la norma demandada</w:t>
      </w:r>
    </w:p>
    <w:p w:rsidR="00526EAD" w:rsidRPr="00DE7CC4" w:rsidRDefault="00DE7CC4" w:rsidP="00F32ED8">
      <w:pPr>
        <w:pStyle w:val="Prrafodelista"/>
        <w:tabs>
          <w:tab w:val="left" w:pos="284"/>
        </w:tabs>
        <w:ind w:left="0" w:right="49"/>
        <w:jc w:val="both"/>
        <w:rPr>
          <w:rFonts w:ascii="Times New Roman" w:hAnsi="Times New Roman" w:cs="Times New Roman"/>
          <w:b/>
          <w:bCs/>
          <w:i/>
          <w:color w:val="000000" w:themeColor="text1"/>
          <w:sz w:val="28"/>
          <w:lang w:val="es-ES"/>
        </w:rPr>
      </w:pPr>
    </w:p>
    <w:p w:rsidR="00686F32" w:rsidRPr="00DE7CC4" w:rsidRDefault="00DE7CC4" w:rsidP="00F32ED8">
      <w:pPr>
        <w:pStyle w:val="Prrafodelista"/>
        <w:tabs>
          <w:tab w:val="left" w:pos="284"/>
        </w:tabs>
        <w:ind w:left="0" w:right="49"/>
        <w:jc w:val="both"/>
        <w:rPr>
          <w:rFonts w:ascii="Times New Roman" w:hAnsi="Times New Roman" w:cs="Times New Roman"/>
          <w:color w:val="000000" w:themeColor="text1"/>
          <w:sz w:val="28"/>
          <w:lang w:val="es-ES"/>
        </w:rPr>
      </w:pPr>
      <w:r w:rsidRPr="00DE7CC4">
        <w:rPr>
          <w:rFonts w:ascii="Times New Roman" w:hAnsi="Times New Roman" w:cs="Times New Roman"/>
          <w:color w:val="000000" w:themeColor="text1"/>
          <w:sz w:val="28"/>
          <w:lang w:val="es-ES"/>
        </w:rPr>
        <w:t>158</w:t>
      </w:r>
      <w:r w:rsidRPr="00DE7CC4">
        <w:rPr>
          <w:rFonts w:ascii="Times New Roman" w:hAnsi="Times New Roman" w:cs="Times New Roman"/>
          <w:color w:val="000000" w:themeColor="text1"/>
          <w:sz w:val="28"/>
          <w:lang w:val="es-ES"/>
        </w:rPr>
        <w:t xml:space="preserve">. </w:t>
      </w:r>
      <w:r w:rsidRPr="00DE7CC4">
        <w:rPr>
          <w:rFonts w:ascii="Times New Roman" w:hAnsi="Times New Roman" w:cs="Times New Roman"/>
          <w:color w:val="000000" w:themeColor="text1"/>
          <w:sz w:val="28"/>
          <w:lang w:val="es-ES"/>
        </w:rPr>
        <w:t xml:space="preserve">Precisada la interpretación </w:t>
      </w:r>
      <w:r w:rsidRPr="00DE7CC4">
        <w:rPr>
          <w:rFonts w:ascii="Times New Roman" w:hAnsi="Times New Roman" w:cs="Times New Roman"/>
          <w:color w:val="000000" w:themeColor="text1"/>
          <w:sz w:val="28"/>
          <w:lang w:val="es-ES"/>
        </w:rPr>
        <w:t>constitucionalmente conforme</w:t>
      </w:r>
      <w:r w:rsidRPr="00DE7CC4">
        <w:rPr>
          <w:rFonts w:ascii="Times New Roman" w:hAnsi="Times New Roman" w:cs="Times New Roman"/>
          <w:color w:val="000000" w:themeColor="text1"/>
          <w:sz w:val="28"/>
          <w:lang w:val="es-ES"/>
        </w:rPr>
        <w:t xml:space="preserve"> de la disposición demandada y una vez </w:t>
      </w:r>
      <w:r w:rsidRPr="00DE7CC4">
        <w:rPr>
          <w:rFonts w:ascii="Times New Roman" w:hAnsi="Times New Roman" w:cs="Times New Roman"/>
          <w:color w:val="000000" w:themeColor="text1"/>
          <w:sz w:val="28"/>
          <w:lang w:val="es-ES"/>
        </w:rPr>
        <w:t xml:space="preserve">verificada su </w:t>
      </w:r>
      <w:r w:rsidRPr="00DE7CC4">
        <w:rPr>
          <w:rFonts w:ascii="Times New Roman" w:hAnsi="Times New Roman" w:cs="Times New Roman"/>
          <w:color w:val="000000" w:themeColor="text1"/>
          <w:sz w:val="28"/>
          <w:lang w:val="es-ES"/>
        </w:rPr>
        <w:t xml:space="preserve">exequibilidad </w:t>
      </w:r>
      <w:r w:rsidRPr="00DE7CC4">
        <w:rPr>
          <w:rFonts w:ascii="Times New Roman" w:hAnsi="Times New Roman" w:cs="Times New Roman"/>
          <w:color w:val="000000" w:themeColor="text1"/>
          <w:sz w:val="28"/>
          <w:lang w:val="es-ES"/>
        </w:rPr>
        <w:t>por el único cargo estudiado</w:t>
      </w:r>
      <w:r w:rsidRPr="00DE7CC4">
        <w:rPr>
          <w:rFonts w:ascii="Times New Roman" w:hAnsi="Times New Roman" w:cs="Times New Roman"/>
          <w:color w:val="000000" w:themeColor="text1"/>
          <w:sz w:val="28"/>
          <w:lang w:val="es-ES"/>
        </w:rPr>
        <w:t xml:space="preserve">, la </w:t>
      </w:r>
      <w:r w:rsidRPr="00DE7CC4">
        <w:rPr>
          <w:rFonts w:ascii="Times New Roman" w:hAnsi="Times New Roman" w:cs="Times New Roman"/>
          <w:color w:val="000000" w:themeColor="text1"/>
          <w:sz w:val="28"/>
          <w:lang w:val="es-ES"/>
        </w:rPr>
        <w:t>Corte</w:t>
      </w:r>
      <w:r w:rsidRPr="00DE7CC4">
        <w:rPr>
          <w:rFonts w:ascii="Times New Roman" w:hAnsi="Times New Roman" w:cs="Times New Roman"/>
          <w:color w:val="000000" w:themeColor="text1"/>
          <w:sz w:val="28"/>
          <w:lang w:val="es-ES"/>
        </w:rPr>
        <w:t xml:space="preserve"> estima necesario reparar en dos aspectos finales. De un lado, en la necesidad de que las autoridades de tránsito y, en particular, el agente de tránsito tenga en cuenta </w:t>
      </w:r>
      <w:r w:rsidRPr="00DE7CC4">
        <w:rPr>
          <w:rFonts w:ascii="Times New Roman" w:hAnsi="Times New Roman" w:cs="Times New Roman"/>
          <w:color w:val="000000" w:themeColor="text1"/>
          <w:sz w:val="28"/>
          <w:lang w:val="es-ES"/>
        </w:rPr>
        <w:t>que sus o</w:t>
      </w:r>
      <w:r w:rsidRPr="00DE7CC4">
        <w:rPr>
          <w:rFonts w:ascii="Times New Roman" w:hAnsi="Times New Roman" w:cs="Times New Roman"/>
          <w:color w:val="000000" w:themeColor="text1"/>
          <w:sz w:val="28"/>
          <w:lang w:val="es-ES"/>
        </w:rPr>
        <w:t>bligaci</w:t>
      </w:r>
      <w:r w:rsidRPr="00DE7CC4">
        <w:rPr>
          <w:rFonts w:ascii="Times New Roman" w:hAnsi="Times New Roman" w:cs="Times New Roman"/>
          <w:color w:val="000000" w:themeColor="text1"/>
          <w:sz w:val="28"/>
          <w:lang w:val="es-ES"/>
        </w:rPr>
        <w:t>o</w:t>
      </w:r>
      <w:r w:rsidRPr="00DE7CC4">
        <w:rPr>
          <w:rFonts w:ascii="Times New Roman" w:hAnsi="Times New Roman" w:cs="Times New Roman"/>
          <w:color w:val="000000" w:themeColor="text1"/>
          <w:sz w:val="28"/>
          <w:lang w:val="es-ES"/>
        </w:rPr>
        <w:t>n</w:t>
      </w:r>
      <w:r w:rsidRPr="00DE7CC4">
        <w:rPr>
          <w:rFonts w:ascii="Times New Roman" w:hAnsi="Times New Roman" w:cs="Times New Roman"/>
          <w:color w:val="000000" w:themeColor="text1"/>
          <w:sz w:val="28"/>
          <w:lang w:val="es-ES"/>
        </w:rPr>
        <w:t xml:space="preserve">es </w:t>
      </w:r>
      <w:r w:rsidRPr="00DE7CC4">
        <w:rPr>
          <w:rFonts w:ascii="Times New Roman" w:hAnsi="Times New Roman" w:cs="Times New Roman"/>
          <w:color w:val="000000" w:themeColor="text1"/>
          <w:sz w:val="28"/>
          <w:lang w:val="es-ES"/>
        </w:rPr>
        <w:t>para dar cumplimiento a las normas aplicables a accidentes de trá</w:t>
      </w:r>
      <w:r w:rsidRPr="00DE7CC4">
        <w:rPr>
          <w:rFonts w:ascii="Times New Roman" w:hAnsi="Times New Roman" w:cs="Times New Roman"/>
          <w:color w:val="000000" w:themeColor="text1"/>
          <w:sz w:val="28"/>
          <w:lang w:val="es-ES"/>
        </w:rPr>
        <w:t>nsito que solo arrojan daños materiales</w:t>
      </w:r>
      <w:r w:rsidRPr="00DE7CC4">
        <w:rPr>
          <w:rFonts w:ascii="Times New Roman" w:hAnsi="Times New Roman" w:cs="Times New Roman"/>
          <w:color w:val="000000" w:themeColor="text1"/>
          <w:sz w:val="28"/>
          <w:lang w:val="es-ES"/>
        </w:rPr>
        <w:t xml:space="preserve"> deben </w:t>
      </w:r>
      <w:r w:rsidRPr="00DE7CC4">
        <w:rPr>
          <w:rFonts w:ascii="Times New Roman" w:hAnsi="Times New Roman" w:cs="Times New Roman"/>
          <w:color w:val="000000" w:themeColor="text1"/>
          <w:sz w:val="28"/>
          <w:lang w:val="es-ES"/>
        </w:rPr>
        <w:t xml:space="preserve">llevarse a cabo </w:t>
      </w:r>
      <w:r w:rsidRPr="00DE7CC4">
        <w:rPr>
          <w:rFonts w:ascii="Times New Roman" w:hAnsi="Times New Roman" w:cs="Times New Roman"/>
          <w:color w:val="000000" w:themeColor="text1"/>
          <w:sz w:val="28"/>
          <w:lang w:val="es-ES"/>
        </w:rPr>
        <w:t>siguiendo</w:t>
      </w:r>
      <w:r w:rsidRPr="00DE7CC4">
        <w:rPr>
          <w:rFonts w:ascii="Times New Roman" w:hAnsi="Times New Roman" w:cs="Times New Roman"/>
          <w:color w:val="000000" w:themeColor="text1"/>
          <w:sz w:val="28"/>
          <w:lang w:val="es-ES"/>
        </w:rPr>
        <w:t xml:space="preserve"> los criterios de razonabilidad y proporcionalidad</w:t>
      </w:r>
      <w:r w:rsidRPr="00DE7CC4">
        <w:rPr>
          <w:rFonts w:ascii="Times New Roman" w:hAnsi="Times New Roman" w:cs="Times New Roman"/>
          <w:color w:val="000000" w:themeColor="text1"/>
          <w:sz w:val="28"/>
          <w:lang w:val="es-ES"/>
        </w:rPr>
        <w:t>.</w:t>
      </w:r>
      <w:r w:rsidRPr="00DE7CC4">
        <w:rPr>
          <w:rFonts w:ascii="Times New Roman" w:hAnsi="Times New Roman" w:cs="Times New Roman"/>
          <w:color w:val="000000" w:themeColor="text1"/>
          <w:sz w:val="28"/>
          <w:lang w:val="es-ES"/>
        </w:rPr>
        <w:t xml:space="preserve"> Y, segundo, el deber de las autoridades de tránsito competentes </w:t>
      </w:r>
      <w:r w:rsidRPr="00DE7CC4">
        <w:rPr>
          <w:rFonts w:ascii="Times New Roman" w:hAnsi="Times New Roman" w:cs="Times New Roman"/>
          <w:color w:val="000000" w:themeColor="text1"/>
          <w:sz w:val="28"/>
          <w:lang w:val="es-ES"/>
        </w:rPr>
        <w:t>de adelantar</w:t>
      </w:r>
      <w:r w:rsidRPr="00DE7CC4">
        <w:rPr>
          <w:rFonts w:ascii="Times New Roman" w:hAnsi="Times New Roman" w:cs="Times New Roman"/>
          <w:color w:val="000000" w:themeColor="text1"/>
          <w:sz w:val="28"/>
          <w:lang w:val="es-ES"/>
        </w:rPr>
        <w:t xml:space="preserve"> acciones pedagógicas que permitan a las personas destina</w:t>
      </w:r>
      <w:r w:rsidRPr="00DE7CC4">
        <w:rPr>
          <w:rFonts w:ascii="Times New Roman" w:hAnsi="Times New Roman" w:cs="Times New Roman"/>
          <w:color w:val="000000" w:themeColor="text1"/>
          <w:sz w:val="28"/>
          <w:lang w:val="es-ES"/>
        </w:rPr>
        <w:t xml:space="preserve">tarias de la carga </w:t>
      </w:r>
      <w:r w:rsidRPr="00DE7CC4">
        <w:rPr>
          <w:rFonts w:ascii="Times New Roman" w:hAnsi="Times New Roman" w:cs="Times New Roman"/>
          <w:color w:val="000000" w:themeColor="text1"/>
          <w:sz w:val="28"/>
          <w:lang w:val="es-ES"/>
        </w:rPr>
        <w:t>probatoria del artículo 16 de la Ley 2251 de 2022</w:t>
      </w:r>
      <w:r w:rsidRPr="00DE7CC4">
        <w:rPr>
          <w:rFonts w:ascii="Times New Roman" w:hAnsi="Times New Roman" w:cs="Times New Roman"/>
          <w:color w:val="000000" w:themeColor="text1"/>
          <w:sz w:val="28"/>
          <w:lang w:val="es-ES"/>
        </w:rPr>
        <w:t xml:space="preserve"> tener claridad sobre las actuaciones a su cargo.</w:t>
      </w:r>
    </w:p>
    <w:p w:rsidR="00DD101F" w:rsidRPr="00DE7CC4" w:rsidRDefault="00DE7CC4" w:rsidP="00F32ED8">
      <w:pPr>
        <w:pStyle w:val="Prrafodelista"/>
        <w:tabs>
          <w:tab w:val="left" w:pos="284"/>
        </w:tabs>
        <w:ind w:left="0" w:right="49"/>
        <w:jc w:val="both"/>
        <w:rPr>
          <w:rFonts w:ascii="Times New Roman" w:hAnsi="Times New Roman" w:cs="Times New Roman"/>
          <w:color w:val="000000" w:themeColor="text1"/>
          <w:sz w:val="28"/>
          <w:lang w:val="es-ES"/>
        </w:rPr>
      </w:pPr>
    </w:p>
    <w:p w:rsidR="00916F55" w:rsidRPr="00DE7CC4" w:rsidRDefault="00DE7CC4" w:rsidP="00F32ED8">
      <w:pPr>
        <w:pStyle w:val="Prrafodelista"/>
        <w:tabs>
          <w:tab w:val="left" w:pos="284"/>
        </w:tabs>
        <w:ind w:left="0" w:right="49"/>
        <w:jc w:val="both"/>
        <w:rPr>
          <w:rFonts w:ascii="Times New Roman" w:hAnsi="Times New Roman" w:cs="Times New Roman"/>
          <w:color w:val="000000" w:themeColor="text1"/>
          <w:sz w:val="28"/>
        </w:rPr>
      </w:pPr>
      <w:r w:rsidRPr="00DE7CC4">
        <w:rPr>
          <w:rFonts w:ascii="Times New Roman" w:hAnsi="Times New Roman" w:cs="Times New Roman"/>
          <w:color w:val="000000" w:themeColor="text1"/>
          <w:sz w:val="28"/>
          <w:lang w:val="es-ES"/>
        </w:rPr>
        <w:t>159</w:t>
      </w:r>
      <w:r w:rsidRPr="00DE7CC4">
        <w:rPr>
          <w:rFonts w:ascii="Times New Roman" w:hAnsi="Times New Roman" w:cs="Times New Roman"/>
          <w:color w:val="000000" w:themeColor="text1"/>
          <w:sz w:val="28"/>
          <w:lang w:val="es-ES"/>
        </w:rPr>
        <w:t xml:space="preserve">. </w:t>
      </w:r>
      <w:r w:rsidRPr="00DE7CC4">
        <w:rPr>
          <w:rFonts w:ascii="Times New Roman" w:hAnsi="Times New Roman" w:cs="Times New Roman"/>
          <w:color w:val="000000" w:themeColor="text1"/>
          <w:sz w:val="28"/>
          <w:lang w:val="es-ES"/>
        </w:rPr>
        <w:t xml:space="preserve">En cuanto a lo primero, es </w:t>
      </w:r>
      <w:r w:rsidRPr="00DE7CC4">
        <w:rPr>
          <w:rFonts w:ascii="Times New Roman" w:hAnsi="Times New Roman" w:cs="Times New Roman"/>
          <w:color w:val="000000" w:themeColor="text1"/>
          <w:sz w:val="28"/>
          <w:lang w:val="es-ES"/>
        </w:rPr>
        <w:t xml:space="preserve">necesario </w:t>
      </w:r>
      <w:r w:rsidRPr="00DE7CC4">
        <w:rPr>
          <w:rFonts w:ascii="Times New Roman" w:hAnsi="Times New Roman" w:cs="Times New Roman"/>
          <w:color w:val="000000" w:themeColor="text1"/>
          <w:sz w:val="28"/>
          <w:lang w:val="es-ES"/>
        </w:rPr>
        <w:t>reiterar que en la interpretación y aplicación de la disposición cuestionada debe tenerse en cu</w:t>
      </w:r>
      <w:r w:rsidRPr="00DE7CC4">
        <w:rPr>
          <w:rFonts w:ascii="Times New Roman" w:hAnsi="Times New Roman" w:cs="Times New Roman"/>
          <w:color w:val="000000" w:themeColor="text1"/>
          <w:sz w:val="28"/>
          <w:lang w:val="es-ES"/>
        </w:rPr>
        <w:t>enta el criterio de conform</w:t>
      </w:r>
      <w:r w:rsidRPr="00DE7CC4">
        <w:rPr>
          <w:rFonts w:ascii="Times New Roman" w:hAnsi="Times New Roman" w:cs="Times New Roman"/>
          <w:color w:val="000000" w:themeColor="text1"/>
          <w:sz w:val="28"/>
          <w:lang w:val="es-ES"/>
        </w:rPr>
        <w:t>idad</w:t>
      </w:r>
      <w:r w:rsidRPr="00DE7CC4">
        <w:rPr>
          <w:rFonts w:ascii="Times New Roman" w:hAnsi="Times New Roman" w:cs="Times New Roman"/>
          <w:color w:val="000000" w:themeColor="text1"/>
          <w:sz w:val="28"/>
          <w:lang w:val="es-ES"/>
        </w:rPr>
        <w:t xml:space="preserve"> </w:t>
      </w:r>
      <w:r w:rsidRPr="00DE7CC4">
        <w:rPr>
          <w:rFonts w:ascii="Times New Roman" w:hAnsi="Times New Roman" w:cs="Times New Roman"/>
          <w:color w:val="000000" w:themeColor="text1"/>
          <w:sz w:val="28"/>
          <w:lang w:val="es-ES"/>
        </w:rPr>
        <w:t>con</w:t>
      </w:r>
      <w:r w:rsidRPr="00DE7CC4">
        <w:rPr>
          <w:rFonts w:ascii="Times New Roman" w:hAnsi="Times New Roman" w:cs="Times New Roman"/>
          <w:color w:val="000000" w:themeColor="text1"/>
          <w:sz w:val="28"/>
          <w:lang w:val="es-ES"/>
        </w:rPr>
        <w:t xml:space="preserve"> la Constitución, el cual exige entender la carga probatoria establecida por el </w:t>
      </w:r>
      <w:r w:rsidRPr="00DE7CC4">
        <w:rPr>
          <w:rFonts w:ascii="Times New Roman" w:hAnsi="Times New Roman" w:cs="Times New Roman"/>
          <w:color w:val="000000" w:themeColor="text1"/>
          <w:sz w:val="28"/>
          <w:lang w:val="es-ES"/>
        </w:rPr>
        <w:t>l</w:t>
      </w:r>
      <w:r w:rsidRPr="00DE7CC4">
        <w:rPr>
          <w:rFonts w:ascii="Times New Roman" w:hAnsi="Times New Roman" w:cs="Times New Roman"/>
          <w:color w:val="000000" w:themeColor="text1"/>
          <w:sz w:val="28"/>
          <w:lang w:val="es-ES"/>
        </w:rPr>
        <w:t>egislador de manera razonable</w:t>
      </w:r>
      <w:r w:rsidRPr="00DE7CC4">
        <w:rPr>
          <w:rFonts w:ascii="Times New Roman" w:hAnsi="Times New Roman" w:cs="Times New Roman"/>
          <w:color w:val="000000" w:themeColor="text1"/>
          <w:sz w:val="28"/>
          <w:lang w:val="es-ES"/>
        </w:rPr>
        <w:t>, esto es,</w:t>
      </w:r>
      <w:r w:rsidRPr="00DE7CC4">
        <w:rPr>
          <w:rFonts w:ascii="Times New Roman" w:hAnsi="Times New Roman" w:cs="Times New Roman"/>
          <w:color w:val="000000" w:themeColor="text1"/>
          <w:sz w:val="28"/>
          <w:lang w:val="es-ES"/>
        </w:rPr>
        <w:t xml:space="preserve"> respetuosa de los mandatos que imponen la protección de las personas en situación de vulnerabilidad y que, para los efectos de la norma, no están en la posibilidad de satisfacer la carga impuesta. Aunado a ello, y teniendo en cuenta que el incumplimiento </w:t>
      </w:r>
      <w:r w:rsidRPr="00DE7CC4">
        <w:rPr>
          <w:rFonts w:ascii="Times New Roman" w:hAnsi="Times New Roman" w:cs="Times New Roman"/>
          <w:color w:val="000000" w:themeColor="text1"/>
          <w:sz w:val="28"/>
          <w:lang w:val="es-ES"/>
        </w:rPr>
        <w:t>del retiro de los vehículos comprometidos en los accidentes con consecuencias exclusivamente materiales motiva la imposición de un comparendo, es preciso señalar que en toda esta actuación el agente de tránsito no debe obstaculizar el levantamiento del rec</w:t>
      </w:r>
      <w:r w:rsidRPr="00DE7CC4">
        <w:rPr>
          <w:rFonts w:ascii="Times New Roman" w:hAnsi="Times New Roman" w:cs="Times New Roman"/>
          <w:color w:val="000000" w:themeColor="text1"/>
          <w:sz w:val="28"/>
          <w:lang w:val="es-ES"/>
        </w:rPr>
        <w:t>audo probatorio o impedir que aquél se realice,</w:t>
      </w:r>
      <w:r w:rsidRPr="00DE7CC4">
        <w:rPr>
          <w:rFonts w:ascii="Times New Roman" w:hAnsi="Times New Roman" w:cs="Times New Roman"/>
          <w:color w:val="000000" w:themeColor="text1"/>
          <w:sz w:val="28"/>
          <w:lang w:val="es-ES"/>
        </w:rPr>
        <w:t xml:space="preserve"> sino, por el contrario, cumpli</w:t>
      </w:r>
      <w:r w:rsidRPr="00DE7CC4">
        <w:rPr>
          <w:rFonts w:ascii="Times New Roman" w:hAnsi="Times New Roman" w:cs="Times New Roman"/>
          <w:color w:val="000000" w:themeColor="text1"/>
          <w:sz w:val="28"/>
          <w:lang w:val="es-ES"/>
        </w:rPr>
        <w:t xml:space="preserve">r </w:t>
      </w:r>
      <w:r w:rsidRPr="00DE7CC4">
        <w:rPr>
          <w:rFonts w:ascii="Times New Roman" w:hAnsi="Times New Roman" w:cs="Times New Roman"/>
          <w:color w:val="000000" w:themeColor="text1"/>
          <w:sz w:val="28"/>
          <w:lang w:val="es-ES"/>
        </w:rPr>
        <w:t xml:space="preserve">su obligación de </w:t>
      </w:r>
      <w:r w:rsidRPr="00DE7CC4">
        <w:rPr>
          <w:rFonts w:ascii="Times New Roman" w:hAnsi="Times New Roman" w:cs="Times New Roman"/>
          <w:i/>
          <w:iCs/>
          <w:color w:val="000000" w:themeColor="text1"/>
          <w:sz w:val="28"/>
          <w:lang w:val="es-ES"/>
        </w:rPr>
        <w:t xml:space="preserve">orientar </w:t>
      </w:r>
      <w:r w:rsidRPr="00DE7CC4">
        <w:rPr>
          <w:rFonts w:ascii="Times New Roman" w:hAnsi="Times New Roman" w:cs="Times New Roman"/>
          <w:color w:val="000000" w:themeColor="text1"/>
          <w:sz w:val="28"/>
          <w:lang w:val="es-ES"/>
        </w:rPr>
        <w:t>a los agentes viales y prestar asesoría en los casos en los que así se requiera. Así,</w:t>
      </w:r>
      <w:r w:rsidRPr="00DE7CC4">
        <w:rPr>
          <w:rFonts w:ascii="Times New Roman" w:hAnsi="Times New Roman" w:cs="Times New Roman"/>
          <w:color w:val="000000" w:themeColor="text1"/>
          <w:sz w:val="28"/>
          <w:lang w:val="es-ES"/>
        </w:rPr>
        <w:t xml:space="preserve"> el mismo Ministerio de Transporte en la </w:t>
      </w:r>
      <w:r w:rsidRPr="00DE7CC4">
        <w:rPr>
          <w:rFonts w:ascii="Times New Roman" w:hAnsi="Times New Roman" w:cs="Times New Roman"/>
          <w:color w:val="000000" w:themeColor="text1"/>
          <w:sz w:val="28"/>
        </w:rPr>
        <w:t xml:space="preserve">Circular </w:t>
      </w:r>
      <w:r w:rsidRPr="00DE7CC4">
        <w:rPr>
          <w:rFonts w:ascii="Times New Roman" w:hAnsi="Times New Roman" w:cs="Times New Roman"/>
          <w:color w:val="000000" w:themeColor="text1"/>
          <w:sz w:val="28"/>
        </w:rPr>
        <w:t>e</w:t>
      </w:r>
      <w:r w:rsidRPr="00DE7CC4">
        <w:rPr>
          <w:rFonts w:ascii="Times New Roman" w:hAnsi="Times New Roman" w:cs="Times New Roman"/>
          <w:color w:val="000000" w:themeColor="text1"/>
          <w:sz w:val="28"/>
        </w:rPr>
        <w:t xml:space="preserve">xterna </w:t>
      </w:r>
      <w:r w:rsidRPr="00DE7CC4">
        <w:rPr>
          <w:rFonts w:ascii="Times New Roman" w:hAnsi="Times New Roman" w:cs="Times New Roman"/>
          <w:color w:val="000000" w:themeColor="text1"/>
          <w:sz w:val="28"/>
        </w:rPr>
        <w:t>n</w:t>
      </w:r>
      <w:r w:rsidRPr="00DE7CC4">
        <w:rPr>
          <w:rFonts w:ascii="Times New Roman" w:hAnsi="Times New Roman" w:cs="Times New Roman"/>
          <w:color w:val="000000" w:themeColor="text1"/>
          <w:sz w:val="28"/>
        </w:rPr>
        <w:t>.</w:t>
      </w:r>
      <w:r w:rsidRPr="00DE7CC4">
        <w:rPr>
          <w:rFonts w:ascii="Times New Roman" w:hAnsi="Times New Roman" w:cs="Times New Roman"/>
          <w:color w:val="000000" w:themeColor="text1"/>
          <w:sz w:val="28"/>
        </w:rPr>
        <w:t>º</w:t>
      </w:r>
      <w:r w:rsidRPr="00DE7CC4">
        <w:rPr>
          <w:rFonts w:ascii="Times New Roman" w:hAnsi="Times New Roman" w:cs="Times New Roman"/>
          <w:color w:val="000000" w:themeColor="text1"/>
          <w:sz w:val="28"/>
        </w:rPr>
        <w:t xml:space="preserve"> 202</w:t>
      </w:r>
      <w:r w:rsidRPr="00DE7CC4">
        <w:rPr>
          <w:rFonts w:ascii="Times New Roman" w:hAnsi="Times New Roman" w:cs="Times New Roman"/>
          <w:color w:val="000000" w:themeColor="text1"/>
          <w:sz w:val="28"/>
        </w:rPr>
        <w:t>24000000057 del 29 de septiembre de 2022</w:t>
      </w:r>
      <w:r w:rsidRPr="00DE7CC4">
        <w:rPr>
          <w:rFonts w:ascii="Times New Roman" w:hAnsi="Times New Roman" w:cs="Times New Roman"/>
          <w:color w:val="000000" w:themeColor="text1"/>
          <w:sz w:val="28"/>
        </w:rPr>
        <w:t>, indicó lo siguiente:</w:t>
      </w:r>
    </w:p>
    <w:p w:rsidR="00916F55" w:rsidRPr="00DE7CC4" w:rsidRDefault="00DE7CC4" w:rsidP="00F32ED8">
      <w:pPr>
        <w:pStyle w:val="Prrafodelista"/>
        <w:tabs>
          <w:tab w:val="left" w:pos="284"/>
        </w:tabs>
        <w:ind w:left="0" w:right="49"/>
        <w:jc w:val="both"/>
        <w:rPr>
          <w:rFonts w:ascii="Times New Roman" w:hAnsi="Times New Roman" w:cs="Times New Roman"/>
          <w:color w:val="000000" w:themeColor="text1"/>
          <w:sz w:val="28"/>
        </w:rPr>
      </w:pPr>
    </w:p>
    <w:p w:rsidR="00916F55" w:rsidRPr="00DE7CC4" w:rsidRDefault="00DE7CC4" w:rsidP="00916F55">
      <w:pPr>
        <w:pStyle w:val="Prrafodelista"/>
        <w:tabs>
          <w:tab w:val="left" w:pos="284"/>
        </w:tabs>
        <w:ind w:left="567" w:right="333"/>
        <w:jc w:val="both"/>
        <w:rPr>
          <w:rFonts w:ascii="Times New Roman" w:hAnsi="Times New Roman" w:cs="Times New Roman"/>
          <w:color w:val="000000" w:themeColor="text1"/>
          <w:sz w:val="28"/>
        </w:rPr>
      </w:pPr>
      <w:r w:rsidRPr="00DE7CC4">
        <w:rPr>
          <w:rFonts w:ascii="Times New Roman" w:hAnsi="Times New Roman" w:cs="Times New Roman"/>
          <w:color w:val="000000" w:themeColor="text1"/>
          <w:sz w:val="28"/>
        </w:rPr>
        <w:t>“</w:t>
      </w:r>
      <w:r w:rsidRPr="00DE7CC4">
        <w:rPr>
          <w:rFonts w:ascii="Times New Roman" w:hAnsi="Times New Roman" w:cs="Times New Roman"/>
          <w:sz w:val="28"/>
        </w:rPr>
        <w:t>En los accidentes de tránsito (siniestros viales) donde solo se presenten daños materiales, las autoridades de tránsito en todos los casos permitirá el tiempo necesario para el recaudo del ma</w:t>
      </w:r>
      <w:r w:rsidRPr="00DE7CC4">
        <w:rPr>
          <w:rFonts w:ascii="Times New Roman" w:hAnsi="Times New Roman" w:cs="Times New Roman"/>
          <w:sz w:val="28"/>
        </w:rPr>
        <w:t>terial probatorio por parte de los interesados”</w:t>
      </w:r>
      <w:r w:rsidRPr="00DE7CC4">
        <w:rPr>
          <w:rFonts w:ascii="Times New Roman" w:hAnsi="Times New Roman" w:cs="Times New Roman"/>
          <w:sz w:val="28"/>
        </w:rPr>
        <w:t>.</w:t>
      </w:r>
    </w:p>
    <w:p w:rsidR="00DD101F" w:rsidRPr="00DE7CC4" w:rsidRDefault="00DE7CC4" w:rsidP="00F32ED8">
      <w:pPr>
        <w:pStyle w:val="Prrafodelista"/>
        <w:tabs>
          <w:tab w:val="left" w:pos="284"/>
        </w:tabs>
        <w:ind w:left="0" w:right="49"/>
        <w:jc w:val="both"/>
        <w:rPr>
          <w:rFonts w:ascii="Times New Roman" w:hAnsi="Times New Roman" w:cs="Times New Roman"/>
          <w:color w:val="000000" w:themeColor="text1"/>
          <w:sz w:val="28"/>
          <w:lang w:val="es-ES"/>
        </w:rPr>
      </w:pPr>
    </w:p>
    <w:p w:rsidR="00AE6B46" w:rsidRPr="00DE7CC4" w:rsidRDefault="00DE7CC4" w:rsidP="00AE6B46">
      <w:pPr>
        <w:pStyle w:val="Prrafodelista"/>
        <w:tabs>
          <w:tab w:val="left" w:pos="284"/>
        </w:tabs>
        <w:ind w:left="0" w:right="49"/>
        <w:jc w:val="both"/>
        <w:rPr>
          <w:rFonts w:ascii="Times New Roman" w:hAnsi="Times New Roman" w:cs="Times New Roman"/>
          <w:color w:val="000000" w:themeColor="text1"/>
          <w:sz w:val="28"/>
          <w:lang w:val="es-ES"/>
        </w:rPr>
      </w:pPr>
      <w:r w:rsidRPr="00DE7CC4">
        <w:rPr>
          <w:rFonts w:ascii="Times New Roman" w:hAnsi="Times New Roman" w:cs="Times New Roman"/>
          <w:color w:val="000000" w:themeColor="text1"/>
          <w:sz w:val="28"/>
          <w:lang w:val="es-ES"/>
        </w:rPr>
        <w:t>160</w:t>
      </w:r>
      <w:r w:rsidRPr="00DE7CC4">
        <w:rPr>
          <w:rFonts w:ascii="Times New Roman" w:hAnsi="Times New Roman" w:cs="Times New Roman"/>
          <w:color w:val="000000" w:themeColor="text1"/>
          <w:sz w:val="28"/>
          <w:lang w:val="es-ES"/>
        </w:rPr>
        <w:t>. Respecto al segundo aspecto, es</w:t>
      </w:r>
      <w:r w:rsidRPr="00DE7CC4">
        <w:rPr>
          <w:rFonts w:ascii="Times New Roman" w:hAnsi="Times New Roman" w:cs="Times New Roman"/>
          <w:color w:val="000000" w:themeColor="text1"/>
          <w:sz w:val="28"/>
          <w:lang w:val="es-ES"/>
        </w:rPr>
        <w:t xml:space="preserve">to es, </w:t>
      </w:r>
      <w:r w:rsidRPr="00DE7CC4">
        <w:rPr>
          <w:rFonts w:ascii="Times New Roman" w:hAnsi="Times New Roman" w:cs="Times New Roman"/>
          <w:color w:val="000000" w:themeColor="text1"/>
          <w:sz w:val="28"/>
          <w:lang w:val="es-ES"/>
        </w:rPr>
        <w:t>al componente pedagógico necesario para que los agentes en las vías satisfagan sus deberes y, en particular para que quienes conducen tengan claridad sobre el alca</w:t>
      </w:r>
      <w:r w:rsidRPr="00DE7CC4">
        <w:rPr>
          <w:rFonts w:ascii="Times New Roman" w:hAnsi="Times New Roman" w:cs="Times New Roman"/>
          <w:color w:val="000000" w:themeColor="text1"/>
          <w:sz w:val="28"/>
          <w:lang w:val="es-ES"/>
        </w:rPr>
        <w:t xml:space="preserve">nce de sus obligaciones y cargas, es </w:t>
      </w:r>
      <w:r w:rsidRPr="00DE7CC4">
        <w:rPr>
          <w:rFonts w:ascii="Times New Roman" w:hAnsi="Times New Roman" w:cs="Times New Roman"/>
          <w:color w:val="000000" w:themeColor="text1"/>
          <w:sz w:val="28"/>
          <w:lang w:val="es-ES"/>
        </w:rPr>
        <w:t xml:space="preserve">necesario </w:t>
      </w:r>
      <w:r w:rsidRPr="00DE7CC4">
        <w:rPr>
          <w:rFonts w:ascii="Times New Roman" w:hAnsi="Times New Roman" w:cs="Times New Roman"/>
          <w:color w:val="000000" w:themeColor="text1"/>
          <w:sz w:val="28"/>
          <w:lang w:val="es-ES"/>
        </w:rPr>
        <w:t xml:space="preserve">que las autoridades con competencia promuevan campañas en esta dirección e, incluso, que se valore la posibilidad de que para la obtención y renovación de licencias de conducción se brinde información y capacitación sobre la materia. En esta dirección, de </w:t>
      </w:r>
      <w:r w:rsidRPr="00DE7CC4">
        <w:rPr>
          <w:rFonts w:ascii="Times New Roman" w:hAnsi="Times New Roman" w:cs="Times New Roman"/>
          <w:color w:val="000000" w:themeColor="text1"/>
          <w:sz w:val="28"/>
          <w:lang w:val="es-ES"/>
        </w:rPr>
        <w:t>conformidad con lo sostenido por la jurisprudencia constitucional, la promoción de la seguridad y la protección de los agentes viales constituyen los principios fundamentales de la regulación del tránsito terrestre. En este contexto, la modificación de una</w:t>
      </w:r>
      <w:r w:rsidRPr="00DE7CC4">
        <w:rPr>
          <w:rFonts w:ascii="Times New Roman" w:hAnsi="Times New Roman" w:cs="Times New Roman"/>
          <w:color w:val="000000" w:themeColor="text1"/>
          <w:sz w:val="28"/>
          <w:lang w:val="es-ES"/>
        </w:rPr>
        <w:t xml:space="preserve"> regulación que deja atrás la intervención de una autoridad pública necesariamente debe pasar por procesos de pedagogía, que permita que las finalidades de la medida se satisfagan plenamente</w:t>
      </w:r>
      <w:r w:rsidRPr="00DE7CC4">
        <w:rPr>
          <w:rFonts w:ascii="Times New Roman" w:hAnsi="Times New Roman" w:cs="Times New Roman"/>
          <w:color w:val="000000" w:themeColor="text1"/>
          <w:sz w:val="28"/>
          <w:lang w:val="es-ES"/>
        </w:rPr>
        <w:t xml:space="preserve">. </w:t>
      </w:r>
    </w:p>
    <w:p w:rsidR="00AE6B46" w:rsidRPr="00DE7CC4" w:rsidRDefault="00DE7CC4" w:rsidP="00AE6B46">
      <w:pPr>
        <w:pStyle w:val="Prrafodelista"/>
        <w:tabs>
          <w:tab w:val="left" w:pos="284"/>
        </w:tabs>
        <w:ind w:left="0" w:right="49"/>
        <w:jc w:val="both"/>
        <w:rPr>
          <w:rFonts w:ascii="Times New Roman" w:hAnsi="Times New Roman" w:cs="Times New Roman"/>
          <w:color w:val="000000" w:themeColor="text1"/>
          <w:sz w:val="28"/>
          <w:lang w:val="es-ES"/>
        </w:rPr>
      </w:pPr>
    </w:p>
    <w:p w:rsidR="00AE6B46" w:rsidRPr="00DE7CC4" w:rsidRDefault="00DE7CC4" w:rsidP="00AE6B46">
      <w:pPr>
        <w:pStyle w:val="Prrafodelista"/>
        <w:tabs>
          <w:tab w:val="left" w:pos="284"/>
        </w:tabs>
        <w:ind w:left="0" w:right="49"/>
        <w:jc w:val="both"/>
        <w:rPr>
          <w:rFonts w:ascii="Times New Roman" w:hAnsi="Times New Roman" w:cs="Times New Roman"/>
          <w:color w:val="000000" w:themeColor="text1"/>
          <w:sz w:val="28"/>
          <w:lang w:val="es-ES"/>
        </w:rPr>
      </w:pPr>
      <w:r w:rsidRPr="00DE7CC4">
        <w:rPr>
          <w:rFonts w:ascii="Times New Roman" w:hAnsi="Times New Roman" w:cs="Times New Roman"/>
          <w:color w:val="000000" w:themeColor="text1"/>
          <w:sz w:val="28"/>
          <w:lang w:val="es-ES"/>
        </w:rPr>
        <w:t>161</w:t>
      </w:r>
      <w:r w:rsidRPr="00DE7CC4">
        <w:rPr>
          <w:rFonts w:ascii="Times New Roman" w:hAnsi="Times New Roman" w:cs="Times New Roman"/>
          <w:color w:val="000000" w:themeColor="text1"/>
          <w:sz w:val="28"/>
          <w:lang w:val="es-ES"/>
        </w:rPr>
        <w:t xml:space="preserve">. </w:t>
      </w:r>
      <w:r w:rsidRPr="00DE7CC4">
        <w:rPr>
          <w:rFonts w:ascii="Times New Roman" w:hAnsi="Times New Roman" w:cs="Times New Roman"/>
          <w:color w:val="000000" w:themeColor="text1"/>
          <w:sz w:val="28"/>
          <w:lang w:val="es-ES"/>
        </w:rPr>
        <w:t xml:space="preserve">El artículo 7 de la Ley 769 de 2002 establece que “[l]as </w:t>
      </w:r>
      <w:r w:rsidRPr="00DE7CC4">
        <w:rPr>
          <w:rFonts w:ascii="Times New Roman" w:hAnsi="Times New Roman" w:cs="Times New Roman"/>
          <w:color w:val="000000" w:themeColor="text1"/>
          <w:sz w:val="28"/>
          <w:lang w:val="es-ES"/>
        </w:rPr>
        <w:t>autoridades de tránsito velarán por la seguridad de las personas y las cosas en la vía pública y privadas abiertas al público. Sus funciones serán de carácter regulatorio y sancionatorio y sus acciones deben ser orientadas a la prevención y asistencia técn</w:t>
      </w:r>
      <w:r w:rsidRPr="00DE7CC4">
        <w:rPr>
          <w:rFonts w:ascii="Times New Roman" w:hAnsi="Times New Roman" w:cs="Times New Roman"/>
          <w:color w:val="000000" w:themeColor="text1"/>
          <w:sz w:val="28"/>
          <w:lang w:val="es-ES"/>
        </w:rPr>
        <w:t>ica y humana a los usuarios de las vías</w:t>
      </w:r>
      <w:r w:rsidRPr="00DE7CC4">
        <w:rPr>
          <w:rFonts w:ascii="Times New Roman" w:hAnsi="Times New Roman" w:cs="Times New Roman"/>
          <w:i/>
          <w:iCs/>
          <w:color w:val="000000" w:themeColor="text1"/>
          <w:sz w:val="28"/>
          <w:lang w:val="es-ES"/>
        </w:rPr>
        <w:t>”</w:t>
      </w:r>
      <w:r w:rsidRPr="00DE7CC4">
        <w:rPr>
          <w:rFonts w:ascii="Times New Roman" w:hAnsi="Times New Roman" w:cs="Times New Roman"/>
          <w:color w:val="000000" w:themeColor="text1"/>
          <w:sz w:val="28"/>
          <w:lang w:val="es-ES"/>
        </w:rPr>
        <w:t xml:space="preserve">, por su parte, el Decreto 1430 de 2022, que aprueba el “Plan Nacional de Seguridad Vial 2022-2031”, indica entre </w:t>
      </w:r>
      <w:r w:rsidRPr="00DE7CC4">
        <w:rPr>
          <w:rFonts w:ascii="Times New Roman" w:hAnsi="Times New Roman" w:cs="Times New Roman"/>
          <w:color w:val="000000" w:themeColor="text1"/>
          <w:sz w:val="28"/>
          <w:lang w:val="es-ES"/>
        </w:rPr>
        <w:t>sus áreas de acción “incentivar los comportamientos seguros por parte de los actores viales” y “consol</w:t>
      </w:r>
      <w:r w:rsidRPr="00DE7CC4">
        <w:rPr>
          <w:rFonts w:ascii="Times New Roman" w:hAnsi="Times New Roman" w:cs="Times New Roman"/>
          <w:color w:val="000000" w:themeColor="text1"/>
          <w:sz w:val="28"/>
          <w:lang w:val="es-ES"/>
        </w:rPr>
        <w:t>idar el cumplimiento de las normas de tránsito que propendan por la seguridad vial como estrategia fundamental para la protección de la vida”, normas todas estas que reconocen la necesidad de avanzar en el afianzamiento de prácticas que permitan satisfacer</w:t>
      </w:r>
      <w:r w:rsidRPr="00DE7CC4">
        <w:rPr>
          <w:rFonts w:ascii="Times New Roman" w:hAnsi="Times New Roman" w:cs="Times New Roman"/>
          <w:color w:val="000000" w:themeColor="text1"/>
          <w:sz w:val="28"/>
          <w:lang w:val="es-ES"/>
        </w:rPr>
        <w:t xml:space="preserve"> los mandatos que al interés general y a la protección de derechos fundamentales tales como la vida e integridad y la locomoción subyacen. </w:t>
      </w:r>
    </w:p>
    <w:p w:rsidR="00070C1B" w:rsidRPr="00DE7CC4" w:rsidRDefault="00DE7CC4" w:rsidP="00AE6B46">
      <w:pPr>
        <w:pStyle w:val="Prrafodelista"/>
        <w:tabs>
          <w:tab w:val="left" w:pos="284"/>
        </w:tabs>
        <w:ind w:left="0" w:right="49"/>
        <w:jc w:val="both"/>
        <w:rPr>
          <w:rFonts w:ascii="Times New Roman" w:hAnsi="Times New Roman" w:cs="Times New Roman"/>
          <w:color w:val="000000" w:themeColor="text1"/>
          <w:sz w:val="28"/>
          <w:lang w:val="es-ES"/>
        </w:rPr>
      </w:pPr>
    </w:p>
    <w:p w:rsidR="00070C1B" w:rsidRPr="00DE7CC4" w:rsidRDefault="00DE7CC4" w:rsidP="00AE6B46">
      <w:pPr>
        <w:pStyle w:val="Prrafodelista"/>
        <w:tabs>
          <w:tab w:val="left" w:pos="284"/>
        </w:tabs>
        <w:ind w:left="0" w:right="49"/>
        <w:jc w:val="both"/>
        <w:rPr>
          <w:rFonts w:ascii="Times New Roman" w:hAnsi="Times New Roman" w:cs="Times New Roman"/>
          <w:color w:val="000000" w:themeColor="text1"/>
          <w:sz w:val="28"/>
          <w:lang w:val="es-ES"/>
        </w:rPr>
      </w:pPr>
      <w:r w:rsidRPr="00DE7CC4">
        <w:rPr>
          <w:rFonts w:ascii="Times New Roman" w:hAnsi="Times New Roman" w:cs="Times New Roman"/>
          <w:color w:val="000000" w:themeColor="text1"/>
          <w:sz w:val="28"/>
          <w:lang w:val="es-ES"/>
        </w:rPr>
        <w:t>162</w:t>
      </w:r>
      <w:r w:rsidRPr="00DE7CC4">
        <w:rPr>
          <w:rFonts w:ascii="Times New Roman" w:hAnsi="Times New Roman" w:cs="Times New Roman"/>
          <w:color w:val="000000" w:themeColor="text1"/>
          <w:sz w:val="28"/>
          <w:lang w:val="es-ES"/>
        </w:rPr>
        <w:t>. Ahora bien, de conformidad con lo dispuesto en el artículo 3 de la Ley 769 de 2002 son autoridad de tránsito e</w:t>
      </w:r>
      <w:r w:rsidRPr="00DE7CC4">
        <w:rPr>
          <w:rFonts w:ascii="Times New Roman" w:hAnsi="Times New Roman" w:cs="Times New Roman"/>
          <w:color w:val="000000" w:themeColor="text1"/>
          <w:sz w:val="28"/>
          <w:lang w:val="es-ES"/>
        </w:rPr>
        <w:t xml:space="preserve">l Ministerio de Transporte, los gobernadores y alcaldes, los organismos de tránsito de carácter territorial, </w:t>
      </w:r>
      <w:r w:rsidRPr="00DE7CC4">
        <w:rPr>
          <w:rFonts w:ascii="Times New Roman" w:hAnsi="Times New Roman" w:cs="Times New Roman"/>
          <w:color w:val="000000" w:themeColor="text1"/>
          <w:sz w:val="28"/>
          <w:lang w:val="es-ES"/>
        </w:rPr>
        <w:t xml:space="preserve">y </w:t>
      </w:r>
      <w:r w:rsidRPr="00DE7CC4">
        <w:rPr>
          <w:rFonts w:ascii="Times New Roman" w:hAnsi="Times New Roman" w:cs="Times New Roman"/>
          <w:color w:val="000000" w:themeColor="text1"/>
          <w:sz w:val="28"/>
          <w:lang w:val="es-ES"/>
        </w:rPr>
        <w:t>la Policía Nacional a través de su dirección de tránsito y transporte, entre otros. Son estas autoridades, en el marco de sus competencias y en a</w:t>
      </w:r>
      <w:r w:rsidRPr="00DE7CC4">
        <w:rPr>
          <w:rFonts w:ascii="Times New Roman" w:hAnsi="Times New Roman" w:cs="Times New Roman"/>
          <w:color w:val="000000" w:themeColor="text1"/>
          <w:sz w:val="28"/>
          <w:lang w:val="es-ES"/>
        </w:rPr>
        <w:t>tención a los principios aplicables, las que deben contribuir a que las personas que conduzcan estén adecuada y suficientemente informadas sobre sus deberes en las vías, en particular y en lo que respecta a esta decisión, respecto a sus derechos y cargas p</w:t>
      </w:r>
      <w:r w:rsidRPr="00DE7CC4">
        <w:rPr>
          <w:rFonts w:ascii="Times New Roman" w:hAnsi="Times New Roman" w:cs="Times New Roman"/>
          <w:color w:val="000000" w:themeColor="text1"/>
          <w:sz w:val="28"/>
          <w:lang w:val="es-ES"/>
        </w:rPr>
        <w:t xml:space="preserve">robatorias cuando se presentan choques “solo latas”. </w:t>
      </w:r>
    </w:p>
    <w:p w:rsidR="00070C1B" w:rsidRPr="00DE7CC4" w:rsidRDefault="00DE7CC4" w:rsidP="00D1652A">
      <w:pPr>
        <w:pStyle w:val="Prrafodelista"/>
        <w:tabs>
          <w:tab w:val="left" w:pos="284"/>
        </w:tabs>
        <w:ind w:left="0" w:right="49"/>
        <w:jc w:val="both"/>
        <w:rPr>
          <w:rFonts w:ascii="Times New Roman" w:hAnsi="Times New Roman" w:cs="Times New Roman"/>
          <w:color w:val="000000" w:themeColor="text1"/>
          <w:sz w:val="28"/>
          <w:lang w:val="es-ES"/>
        </w:rPr>
      </w:pPr>
    </w:p>
    <w:p w:rsidR="00F32ED8" w:rsidRPr="00DE7CC4" w:rsidRDefault="00DE7CC4" w:rsidP="00D1652A">
      <w:pPr>
        <w:ind w:right="49"/>
        <w:jc w:val="both"/>
        <w:rPr>
          <w:rFonts w:ascii="Times New Roman" w:hAnsi="Times New Roman" w:cs="Times New Roman"/>
          <w:color w:val="000000" w:themeColor="text1"/>
          <w:sz w:val="28"/>
        </w:rPr>
      </w:pPr>
      <w:r w:rsidRPr="00DE7CC4">
        <w:rPr>
          <w:rFonts w:ascii="Times New Roman" w:hAnsi="Times New Roman" w:cs="Times New Roman"/>
          <w:color w:val="000000" w:themeColor="text1"/>
          <w:sz w:val="28"/>
        </w:rPr>
        <w:t>163</w:t>
      </w:r>
      <w:r w:rsidRPr="00DE7CC4">
        <w:rPr>
          <w:rFonts w:ascii="Times New Roman" w:hAnsi="Times New Roman" w:cs="Times New Roman"/>
          <w:color w:val="000000" w:themeColor="text1"/>
          <w:sz w:val="28"/>
        </w:rPr>
        <w:t>. En esta dirección, se concluye</w:t>
      </w:r>
      <w:r w:rsidRPr="00DE7CC4">
        <w:rPr>
          <w:rFonts w:ascii="Times New Roman" w:hAnsi="Times New Roman" w:cs="Times New Roman"/>
          <w:color w:val="000000" w:themeColor="text1"/>
          <w:sz w:val="28"/>
        </w:rPr>
        <w:t xml:space="preserve"> que</w:t>
      </w:r>
      <w:r w:rsidRPr="00DE7CC4">
        <w:rPr>
          <w:rFonts w:ascii="Times New Roman" w:hAnsi="Times New Roman" w:cs="Times New Roman"/>
          <w:color w:val="000000" w:themeColor="text1"/>
          <w:sz w:val="28"/>
        </w:rPr>
        <w:t xml:space="preserve"> asuntos </w:t>
      </w:r>
      <w:r w:rsidRPr="00DE7CC4">
        <w:rPr>
          <w:rFonts w:ascii="Times New Roman" w:hAnsi="Times New Roman" w:cs="Times New Roman"/>
          <w:color w:val="000000" w:themeColor="text1"/>
          <w:sz w:val="28"/>
        </w:rPr>
        <w:t>tales como</w:t>
      </w:r>
      <w:r w:rsidRPr="00DE7CC4">
        <w:rPr>
          <w:rFonts w:ascii="Times New Roman" w:hAnsi="Times New Roman" w:cs="Times New Roman"/>
          <w:color w:val="000000" w:themeColor="text1"/>
          <w:sz w:val="28"/>
        </w:rPr>
        <w:t xml:space="preserve"> (i) </w:t>
      </w:r>
      <w:r w:rsidRPr="00DE7CC4">
        <w:rPr>
          <w:rFonts w:ascii="Times New Roman" w:hAnsi="Times New Roman" w:cs="Times New Roman"/>
          <w:color w:val="000000" w:themeColor="text1"/>
          <w:sz w:val="28"/>
        </w:rPr>
        <w:t xml:space="preserve">capacitaciones al momento de obtener o renovar la licencia </w:t>
      </w:r>
      <w:r w:rsidRPr="00DE7CC4">
        <w:rPr>
          <w:rFonts w:ascii="Times New Roman" w:hAnsi="Times New Roman" w:cs="Times New Roman"/>
          <w:color w:val="000000" w:themeColor="text1"/>
          <w:sz w:val="28"/>
        </w:rPr>
        <w:t xml:space="preserve">de conducción </w:t>
      </w:r>
      <w:r w:rsidRPr="00DE7CC4">
        <w:rPr>
          <w:rFonts w:ascii="Times New Roman" w:hAnsi="Times New Roman" w:cs="Times New Roman"/>
          <w:color w:val="000000" w:themeColor="text1"/>
          <w:sz w:val="28"/>
        </w:rPr>
        <w:t>sobre las cargas probatorias que deben asumir las personas que co</w:t>
      </w:r>
      <w:r w:rsidRPr="00DE7CC4">
        <w:rPr>
          <w:rFonts w:ascii="Times New Roman" w:hAnsi="Times New Roman" w:cs="Times New Roman"/>
          <w:color w:val="000000" w:themeColor="text1"/>
          <w:sz w:val="28"/>
        </w:rPr>
        <w:t>nducen por virtud del artículo 16 analizado</w:t>
      </w:r>
      <w:r w:rsidRPr="00DE7CC4">
        <w:rPr>
          <w:rFonts w:ascii="Times New Roman" w:hAnsi="Times New Roman" w:cs="Times New Roman"/>
          <w:color w:val="000000" w:themeColor="text1"/>
          <w:sz w:val="28"/>
        </w:rPr>
        <w:t>;</w:t>
      </w:r>
      <w:r w:rsidRPr="00DE7CC4">
        <w:rPr>
          <w:rFonts w:ascii="Times New Roman" w:hAnsi="Times New Roman" w:cs="Times New Roman"/>
          <w:color w:val="000000" w:themeColor="text1"/>
          <w:sz w:val="28"/>
        </w:rPr>
        <w:t xml:space="preserve"> (ii) campañas ciudadanas que permitan la construcción y consolidación de prácticas acordes con los deberes ciudadanos</w:t>
      </w:r>
      <w:r w:rsidRPr="00DE7CC4">
        <w:rPr>
          <w:rFonts w:ascii="Times New Roman" w:hAnsi="Times New Roman" w:cs="Times New Roman"/>
          <w:color w:val="000000" w:themeColor="text1"/>
          <w:sz w:val="28"/>
        </w:rPr>
        <w:t>;</w:t>
      </w:r>
      <w:r w:rsidRPr="00DE7CC4">
        <w:rPr>
          <w:rFonts w:ascii="Times New Roman" w:hAnsi="Times New Roman" w:cs="Times New Roman"/>
          <w:color w:val="000000" w:themeColor="text1"/>
          <w:sz w:val="28"/>
        </w:rPr>
        <w:t xml:space="preserve"> y (iii) campañas que permitan dar cuenta de las herramientas técnicas y tecnológicas, así como de los requerimientos probatorios necesarios para adelantar reclamaciones futuras en garantía del derecho de propiedad, son aquellos que deben considerarse para</w:t>
      </w:r>
      <w:r w:rsidRPr="00DE7CC4">
        <w:rPr>
          <w:rFonts w:ascii="Times New Roman" w:hAnsi="Times New Roman" w:cs="Times New Roman"/>
          <w:color w:val="000000" w:themeColor="text1"/>
          <w:sz w:val="28"/>
        </w:rPr>
        <w:t xml:space="preserve"> promover en esta materia la seguridad vial y la garantía de los derechos que involucrados. </w:t>
      </w:r>
    </w:p>
    <w:p w:rsidR="00070C1B" w:rsidRPr="00DE7CC4" w:rsidRDefault="00DE7CC4" w:rsidP="00F32ED8">
      <w:pPr>
        <w:ind w:right="-234"/>
        <w:jc w:val="both"/>
        <w:rPr>
          <w:rFonts w:ascii="Times New Roman" w:hAnsi="Times New Roman" w:cs="Times New Roman"/>
          <w:color w:val="000000" w:themeColor="text1"/>
          <w:sz w:val="28"/>
        </w:rPr>
      </w:pPr>
    </w:p>
    <w:p w:rsidR="00F32ED8" w:rsidRPr="00DE7CC4" w:rsidRDefault="00DE7CC4" w:rsidP="00F32ED8">
      <w:pPr>
        <w:ind w:right="49"/>
        <w:jc w:val="both"/>
        <w:rPr>
          <w:rFonts w:ascii="Times New Roman" w:hAnsi="Times New Roman" w:cs="Times New Roman"/>
          <w:color w:val="000000" w:themeColor="text1"/>
          <w:sz w:val="28"/>
        </w:rPr>
      </w:pPr>
      <w:r w:rsidRPr="00DE7CC4">
        <w:rPr>
          <w:rFonts w:ascii="Times New Roman" w:hAnsi="Times New Roman" w:cs="Times New Roman"/>
          <w:color w:val="000000" w:themeColor="text1"/>
          <w:sz w:val="28"/>
        </w:rPr>
        <w:t xml:space="preserve">En virtud de lo expuesto, la Sala Plena de la Corte Constitucional, en ejercicio de sus atribuciones constitucionales y legales, </w:t>
      </w:r>
    </w:p>
    <w:p w:rsidR="00391EF8" w:rsidRPr="00DE7CC4" w:rsidRDefault="00DE7CC4" w:rsidP="00F32ED8">
      <w:pPr>
        <w:pStyle w:val="Textoindependiente3"/>
        <w:spacing w:after="0"/>
        <w:ind w:right="49"/>
        <w:rPr>
          <w:rFonts w:ascii="Times New Roman" w:hAnsi="Times New Roman" w:cs="Times New Roman"/>
          <w:b/>
          <w:color w:val="000000" w:themeColor="text1"/>
          <w:sz w:val="28"/>
          <w:szCs w:val="24"/>
        </w:rPr>
      </w:pPr>
    </w:p>
    <w:p w:rsidR="00391EF8" w:rsidRPr="00DE7CC4" w:rsidRDefault="00DE7CC4" w:rsidP="00F32ED8">
      <w:pPr>
        <w:pStyle w:val="Textoindependiente3"/>
        <w:spacing w:after="0"/>
        <w:ind w:right="49"/>
        <w:rPr>
          <w:rFonts w:ascii="Times New Roman" w:hAnsi="Times New Roman" w:cs="Times New Roman"/>
          <w:b/>
          <w:color w:val="000000" w:themeColor="text1"/>
          <w:sz w:val="28"/>
          <w:szCs w:val="24"/>
        </w:rPr>
      </w:pPr>
    </w:p>
    <w:p w:rsidR="00F32ED8" w:rsidRPr="00DE7CC4" w:rsidRDefault="00DE7CC4" w:rsidP="00F32ED8">
      <w:pPr>
        <w:pStyle w:val="Textoindependiente3"/>
        <w:spacing w:after="0"/>
        <w:ind w:right="49"/>
        <w:jc w:val="center"/>
        <w:rPr>
          <w:rFonts w:ascii="Times New Roman" w:hAnsi="Times New Roman" w:cs="Times New Roman"/>
          <w:b/>
          <w:color w:val="000000" w:themeColor="text1"/>
          <w:sz w:val="28"/>
          <w:szCs w:val="24"/>
        </w:rPr>
      </w:pPr>
      <w:r w:rsidRPr="00DE7CC4">
        <w:rPr>
          <w:rFonts w:ascii="Times New Roman" w:hAnsi="Times New Roman" w:cs="Times New Roman"/>
          <w:b/>
          <w:color w:val="000000" w:themeColor="text1"/>
          <w:sz w:val="28"/>
          <w:szCs w:val="24"/>
        </w:rPr>
        <w:t>RESUELVE</w:t>
      </w:r>
    </w:p>
    <w:p w:rsidR="00F32ED8" w:rsidRPr="00DE7CC4" w:rsidRDefault="00DE7CC4" w:rsidP="00F32ED8">
      <w:pPr>
        <w:pStyle w:val="Textoindependiente3"/>
        <w:spacing w:after="0"/>
        <w:ind w:right="49"/>
        <w:rPr>
          <w:rFonts w:ascii="Times New Roman" w:hAnsi="Times New Roman" w:cs="Times New Roman"/>
          <w:b/>
          <w:color w:val="000000" w:themeColor="text1"/>
          <w:sz w:val="28"/>
          <w:szCs w:val="24"/>
        </w:rPr>
      </w:pPr>
    </w:p>
    <w:p w:rsidR="0007317D" w:rsidRPr="00DE7CC4" w:rsidRDefault="00DE7CC4" w:rsidP="008C28CE">
      <w:pPr>
        <w:jc w:val="both"/>
        <w:rPr>
          <w:rFonts w:ascii="Times New Roman" w:hAnsi="Times New Roman" w:cs="Times New Roman"/>
          <w:color w:val="000000" w:themeColor="text1"/>
          <w:sz w:val="28"/>
          <w:bdr w:val="none" w:sz="0" w:space="0" w:color="auto" w:frame="1"/>
          <w:lang w:eastAsia="es-ES"/>
        </w:rPr>
      </w:pPr>
      <w:r w:rsidRPr="00DE7CC4">
        <w:rPr>
          <w:rFonts w:ascii="Times New Roman" w:hAnsi="Times New Roman" w:cs="Times New Roman"/>
          <w:b/>
          <w:bCs/>
          <w:sz w:val="28"/>
          <w:lang w:val="es-ES_tradnl"/>
        </w:rPr>
        <w:t xml:space="preserve">Único. </w:t>
      </w:r>
      <w:r w:rsidRPr="00DE7CC4">
        <w:rPr>
          <w:rFonts w:ascii="Times New Roman" w:hAnsi="Times New Roman" w:cs="Times New Roman"/>
          <w:bCs/>
          <w:color w:val="000000" w:themeColor="text1"/>
          <w:sz w:val="28"/>
        </w:rPr>
        <w:t xml:space="preserve">Declarar la </w:t>
      </w:r>
      <w:r w:rsidRPr="00DE7CC4">
        <w:rPr>
          <w:rFonts w:ascii="Times New Roman" w:hAnsi="Times New Roman" w:cs="Times New Roman"/>
          <w:b/>
          <w:color w:val="000000" w:themeColor="text1"/>
          <w:sz w:val="28"/>
        </w:rPr>
        <w:t>exequibilidad</w:t>
      </w:r>
      <w:r w:rsidRPr="00DE7CC4">
        <w:rPr>
          <w:rFonts w:ascii="Times New Roman" w:hAnsi="Times New Roman" w:cs="Times New Roman"/>
          <w:bCs/>
          <w:color w:val="000000" w:themeColor="text1"/>
          <w:sz w:val="28"/>
        </w:rPr>
        <w:t>, por el cargo analizado,</w:t>
      </w:r>
      <w:r w:rsidRPr="00DE7CC4">
        <w:rPr>
          <w:rFonts w:ascii="Times New Roman" w:hAnsi="Times New Roman" w:cs="Times New Roman"/>
          <w:b/>
          <w:i/>
          <w:iCs/>
          <w:color w:val="000000" w:themeColor="text1"/>
          <w:sz w:val="28"/>
        </w:rPr>
        <w:t xml:space="preserve"> </w:t>
      </w:r>
      <w:r w:rsidRPr="00DE7CC4">
        <w:rPr>
          <w:rFonts w:ascii="Times New Roman" w:hAnsi="Times New Roman" w:cs="Times New Roman"/>
          <w:bCs/>
          <w:color w:val="000000" w:themeColor="text1"/>
          <w:sz w:val="28"/>
        </w:rPr>
        <w:t>del artículo 16 de la Ley 2251 de 2022, que subroga el artículo 143 de la Ley 769 de 2002 o Código Nacional de Tránsito Terrestre</w:t>
      </w:r>
      <w:r w:rsidRPr="00DE7CC4">
        <w:rPr>
          <w:rFonts w:ascii="Times New Roman" w:hAnsi="Times New Roman" w:cs="Times New Roman"/>
          <w:color w:val="000000" w:themeColor="text1"/>
          <w:sz w:val="28"/>
          <w:bdr w:val="none" w:sz="0" w:space="0" w:color="auto" w:frame="1"/>
          <w:lang w:eastAsia="es-ES"/>
        </w:rPr>
        <w:t>.</w:t>
      </w:r>
    </w:p>
    <w:p w:rsidR="00DE5E30" w:rsidRPr="00DE7CC4" w:rsidRDefault="00DE7CC4" w:rsidP="008C28CE">
      <w:pPr>
        <w:jc w:val="both"/>
        <w:rPr>
          <w:rFonts w:ascii="Times New Roman" w:hAnsi="Times New Roman" w:cs="Times New Roman"/>
          <w:color w:val="000000" w:themeColor="text1"/>
          <w:sz w:val="28"/>
          <w:lang w:val="es-ES"/>
        </w:rPr>
      </w:pPr>
    </w:p>
    <w:p w:rsidR="00DE5E30" w:rsidRPr="00DE7CC4" w:rsidRDefault="00DE7CC4" w:rsidP="008C28CE">
      <w:pPr>
        <w:jc w:val="both"/>
        <w:rPr>
          <w:rFonts w:ascii="Times New Roman" w:hAnsi="Times New Roman" w:cs="Times New Roman"/>
          <w:color w:val="000000" w:themeColor="text1"/>
          <w:sz w:val="28"/>
          <w:lang w:val="es-ES"/>
        </w:rPr>
      </w:pPr>
    </w:p>
    <w:p w:rsidR="00DE5E30" w:rsidRPr="00DE7CC4" w:rsidRDefault="00DE7CC4" w:rsidP="00DE5E30">
      <w:pPr>
        <w:jc w:val="center"/>
        <w:rPr>
          <w:rFonts w:ascii="Times New Roman" w:hAnsi="Times New Roman" w:cs="Times New Roman"/>
          <w:color w:val="000000" w:themeColor="text1"/>
          <w:sz w:val="28"/>
          <w:lang w:val="es-ES"/>
        </w:rPr>
      </w:pPr>
      <w:r w:rsidRPr="00DE7CC4">
        <w:rPr>
          <w:rFonts w:ascii="Times New Roman" w:hAnsi="Times New Roman" w:cs="Times New Roman"/>
          <w:color w:val="000000" w:themeColor="text1"/>
          <w:sz w:val="28"/>
          <w:lang w:val="es-ES"/>
        </w:rPr>
        <w:t>DIANA FAJARDO RIVERA</w:t>
      </w:r>
    </w:p>
    <w:p w:rsidR="00DE5E30" w:rsidRPr="00DE7CC4" w:rsidRDefault="00DE7CC4" w:rsidP="00DE5E30">
      <w:pPr>
        <w:jc w:val="center"/>
        <w:rPr>
          <w:rFonts w:ascii="Times New Roman" w:hAnsi="Times New Roman" w:cs="Times New Roman"/>
          <w:color w:val="000000" w:themeColor="text1"/>
          <w:sz w:val="28"/>
          <w:lang w:val="es-ES"/>
        </w:rPr>
      </w:pPr>
      <w:r w:rsidRPr="00DE7CC4">
        <w:rPr>
          <w:rFonts w:ascii="Times New Roman" w:hAnsi="Times New Roman" w:cs="Times New Roman"/>
          <w:color w:val="000000" w:themeColor="text1"/>
          <w:sz w:val="28"/>
          <w:lang w:val="es-ES"/>
        </w:rPr>
        <w:t>Presidenta</w:t>
      </w:r>
    </w:p>
    <w:p w:rsidR="00DE5E30" w:rsidRPr="00DE7CC4" w:rsidRDefault="00DE7CC4" w:rsidP="00DE5E30">
      <w:pPr>
        <w:jc w:val="center"/>
        <w:rPr>
          <w:rFonts w:ascii="Times New Roman" w:hAnsi="Times New Roman" w:cs="Times New Roman"/>
          <w:color w:val="000000" w:themeColor="text1"/>
          <w:sz w:val="28"/>
          <w:lang w:val="es-ES"/>
        </w:rPr>
      </w:pPr>
    </w:p>
    <w:p w:rsidR="00DE5E30" w:rsidRPr="00DE7CC4" w:rsidRDefault="00DE7CC4" w:rsidP="00DE5E30">
      <w:pPr>
        <w:jc w:val="center"/>
        <w:rPr>
          <w:rFonts w:ascii="Times New Roman" w:hAnsi="Times New Roman" w:cs="Times New Roman"/>
          <w:color w:val="000000" w:themeColor="text1"/>
          <w:sz w:val="28"/>
          <w:lang w:val="es-ES"/>
        </w:rPr>
      </w:pPr>
    </w:p>
    <w:p w:rsidR="00DE5E30" w:rsidRPr="00DE7CC4" w:rsidRDefault="00DE7CC4" w:rsidP="00DE5E30">
      <w:pPr>
        <w:jc w:val="center"/>
        <w:rPr>
          <w:rFonts w:ascii="Times New Roman" w:hAnsi="Times New Roman" w:cs="Times New Roman"/>
          <w:color w:val="000000" w:themeColor="text1"/>
          <w:sz w:val="28"/>
          <w:lang w:val="es-ES"/>
        </w:rPr>
      </w:pPr>
    </w:p>
    <w:p w:rsidR="00DE5E30" w:rsidRPr="00DE7CC4" w:rsidRDefault="00DE7CC4" w:rsidP="00DE5E30">
      <w:pPr>
        <w:jc w:val="center"/>
        <w:rPr>
          <w:rFonts w:ascii="Times New Roman" w:hAnsi="Times New Roman" w:cs="Times New Roman"/>
          <w:color w:val="000000" w:themeColor="text1"/>
          <w:sz w:val="28"/>
          <w:lang w:val="es-ES"/>
        </w:rPr>
      </w:pPr>
      <w:r w:rsidRPr="00DE7CC4">
        <w:rPr>
          <w:rFonts w:ascii="Times New Roman" w:hAnsi="Times New Roman" w:cs="Times New Roman"/>
          <w:color w:val="000000" w:themeColor="text1"/>
          <w:sz w:val="28"/>
          <w:lang w:val="es-ES"/>
        </w:rPr>
        <w:t>NATALIA ÁNGEL CABO</w:t>
      </w:r>
    </w:p>
    <w:p w:rsidR="00DE5E30" w:rsidRPr="00DE7CC4" w:rsidRDefault="00DE7CC4" w:rsidP="00DE5E30">
      <w:pPr>
        <w:jc w:val="center"/>
        <w:rPr>
          <w:rFonts w:ascii="Times New Roman" w:hAnsi="Times New Roman" w:cs="Times New Roman"/>
          <w:color w:val="000000" w:themeColor="text1"/>
          <w:sz w:val="28"/>
          <w:lang w:val="es-ES"/>
        </w:rPr>
      </w:pPr>
      <w:r w:rsidRPr="00DE7CC4">
        <w:rPr>
          <w:rFonts w:ascii="Times New Roman" w:hAnsi="Times New Roman" w:cs="Times New Roman"/>
          <w:color w:val="000000" w:themeColor="text1"/>
          <w:sz w:val="28"/>
          <w:lang w:val="es-ES"/>
        </w:rPr>
        <w:t>Magistrada</w:t>
      </w:r>
    </w:p>
    <w:p w:rsidR="00DE5E30" w:rsidRPr="00DE7CC4" w:rsidRDefault="00DE7CC4" w:rsidP="00DE5E30">
      <w:pPr>
        <w:jc w:val="center"/>
        <w:rPr>
          <w:rFonts w:ascii="Times New Roman" w:hAnsi="Times New Roman" w:cs="Times New Roman"/>
          <w:color w:val="000000" w:themeColor="text1"/>
          <w:sz w:val="28"/>
          <w:lang w:val="es-ES"/>
        </w:rPr>
      </w:pPr>
      <w:r w:rsidRPr="00DE7CC4">
        <w:rPr>
          <w:rFonts w:ascii="Times New Roman" w:hAnsi="Times New Roman" w:cs="Times New Roman"/>
          <w:color w:val="000000" w:themeColor="text1"/>
          <w:sz w:val="28"/>
          <w:lang w:val="es-ES"/>
        </w:rPr>
        <w:t xml:space="preserve">Con impedimento </w:t>
      </w:r>
      <w:r w:rsidRPr="00DE7CC4">
        <w:rPr>
          <w:rFonts w:ascii="Times New Roman" w:hAnsi="Times New Roman" w:cs="Times New Roman"/>
          <w:color w:val="000000" w:themeColor="text1"/>
          <w:sz w:val="28"/>
          <w:lang w:val="es-ES"/>
        </w:rPr>
        <w:t>aceptado</w:t>
      </w:r>
    </w:p>
    <w:p w:rsidR="00DE5E30" w:rsidRPr="00DE7CC4" w:rsidRDefault="00DE7CC4" w:rsidP="00DE5E30">
      <w:pPr>
        <w:jc w:val="center"/>
        <w:rPr>
          <w:rFonts w:ascii="Times New Roman" w:hAnsi="Times New Roman" w:cs="Times New Roman"/>
          <w:color w:val="000000" w:themeColor="text1"/>
          <w:sz w:val="28"/>
          <w:lang w:val="es-ES"/>
        </w:rPr>
      </w:pPr>
    </w:p>
    <w:p w:rsidR="00DE5E30" w:rsidRPr="00DE7CC4" w:rsidRDefault="00DE7CC4" w:rsidP="00DE5E30">
      <w:pPr>
        <w:jc w:val="center"/>
        <w:rPr>
          <w:rFonts w:ascii="Times New Roman" w:hAnsi="Times New Roman" w:cs="Times New Roman"/>
          <w:color w:val="000000" w:themeColor="text1"/>
          <w:sz w:val="28"/>
          <w:lang w:val="es-ES"/>
        </w:rPr>
      </w:pPr>
    </w:p>
    <w:p w:rsidR="00DE5E30" w:rsidRPr="00DE7CC4" w:rsidRDefault="00DE7CC4" w:rsidP="00DE5E30">
      <w:pPr>
        <w:jc w:val="center"/>
        <w:rPr>
          <w:rFonts w:ascii="Times New Roman" w:hAnsi="Times New Roman" w:cs="Times New Roman"/>
          <w:color w:val="000000" w:themeColor="text1"/>
          <w:sz w:val="28"/>
          <w:lang w:val="es-ES"/>
        </w:rPr>
      </w:pPr>
    </w:p>
    <w:p w:rsidR="00DE5E30" w:rsidRPr="00DE7CC4" w:rsidRDefault="00DE7CC4" w:rsidP="00DE5E30">
      <w:pPr>
        <w:jc w:val="center"/>
        <w:rPr>
          <w:rFonts w:ascii="Times New Roman" w:hAnsi="Times New Roman" w:cs="Times New Roman"/>
          <w:color w:val="000000" w:themeColor="text1"/>
          <w:sz w:val="28"/>
          <w:lang w:val="es-ES"/>
        </w:rPr>
      </w:pPr>
      <w:r w:rsidRPr="00DE7CC4">
        <w:rPr>
          <w:rFonts w:ascii="Times New Roman" w:hAnsi="Times New Roman" w:cs="Times New Roman"/>
          <w:color w:val="000000" w:themeColor="text1"/>
          <w:sz w:val="28"/>
          <w:lang w:val="es-ES"/>
        </w:rPr>
        <w:t>JUAN CARLOS CORTÉS GONZÁLEZ</w:t>
      </w:r>
    </w:p>
    <w:p w:rsidR="00DE5E30" w:rsidRPr="00DE7CC4" w:rsidRDefault="00DE7CC4" w:rsidP="00DE5E30">
      <w:pPr>
        <w:jc w:val="center"/>
        <w:rPr>
          <w:rFonts w:ascii="Times New Roman" w:hAnsi="Times New Roman" w:cs="Times New Roman"/>
          <w:color w:val="000000" w:themeColor="text1"/>
          <w:sz w:val="28"/>
          <w:lang w:val="es-ES"/>
        </w:rPr>
      </w:pPr>
      <w:r w:rsidRPr="00DE7CC4">
        <w:rPr>
          <w:rFonts w:ascii="Times New Roman" w:hAnsi="Times New Roman" w:cs="Times New Roman"/>
          <w:color w:val="000000" w:themeColor="text1"/>
          <w:sz w:val="28"/>
          <w:lang w:val="es-ES"/>
        </w:rPr>
        <w:t>Magistrado</w:t>
      </w:r>
    </w:p>
    <w:p w:rsidR="00DE5E30" w:rsidRPr="00DE7CC4" w:rsidRDefault="00DE7CC4" w:rsidP="00DE5E30">
      <w:pPr>
        <w:jc w:val="center"/>
        <w:rPr>
          <w:rFonts w:ascii="Times New Roman" w:hAnsi="Times New Roman" w:cs="Times New Roman"/>
          <w:color w:val="000000" w:themeColor="text1"/>
          <w:sz w:val="28"/>
          <w:lang w:val="es-ES"/>
        </w:rPr>
      </w:pPr>
    </w:p>
    <w:p w:rsidR="00DE5E30" w:rsidRPr="00DE7CC4" w:rsidRDefault="00DE7CC4" w:rsidP="00DE5E30">
      <w:pPr>
        <w:jc w:val="center"/>
        <w:rPr>
          <w:rFonts w:ascii="Times New Roman" w:hAnsi="Times New Roman" w:cs="Times New Roman"/>
          <w:color w:val="000000" w:themeColor="text1"/>
          <w:sz w:val="28"/>
          <w:lang w:val="es-ES"/>
        </w:rPr>
      </w:pPr>
    </w:p>
    <w:p w:rsidR="00DE5E30" w:rsidRPr="00DE7CC4" w:rsidRDefault="00DE7CC4" w:rsidP="00DE5E30">
      <w:pPr>
        <w:jc w:val="center"/>
        <w:rPr>
          <w:rFonts w:ascii="Times New Roman" w:hAnsi="Times New Roman" w:cs="Times New Roman"/>
          <w:color w:val="000000" w:themeColor="text1"/>
          <w:sz w:val="28"/>
          <w:lang w:val="es-ES"/>
        </w:rPr>
      </w:pPr>
    </w:p>
    <w:p w:rsidR="00DE5E30" w:rsidRPr="00DE7CC4" w:rsidRDefault="00DE7CC4" w:rsidP="00DE5E30">
      <w:pPr>
        <w:jc w:val="center"/>
        <w:rPr>
          <w:rFonts w:ascii="Times New Roman" w:hAnsi="Times New Roman" w:cs="Times New Roman"/>
          <w:color w:val="000000" w:themeColor="text1"/>
          <w:sz w:val="28"/>
          <w:lang w:val="es-ES"/>
        </w:rPr>
      </w:pPr>
      <w:r w:rsidRPr="00DE7CC4">
        <w:rPr>
          <w:rFonts w:ascii="Times New Roman" w:hAnsi="Times New Roman" w:cs="Times New Roman"/>
          <w:color w:val="000000" w:themeColor="text1"/>
          <w:sz w:val="28"/>
          <w:lang w:val="es-ES"/>
        </w:rPr>
        <w:t>VLADIMIR FERNÁNDEZ ANDRADE</w:t>
      </w:r>
    </w:p>
    <w:p w:rsidR="00DE5E30" w:rsidRPr="00DE7CC4" w:rsidRDefault="00DE7CC4" w:rsidP="00DE5E30">
      <w:pPr>
        <w:jc w:val="center"/>
        <w:rPr>
          <w:rFonts w:ascii="Times New Roman" w:hAnsi="Times New Roman" w:cs="Times New Roman"/>
          <w:color w:val="000000" w:themeColor="text1"/>
          <w:sz w:val="28"/>
          <w:lang w:val="es-ES"/>
        </w:rPr>
      </w:pPr>
      <w:r w:rsidRPr="00DE7CC4">
        <w:rPr>
          <w:rFonts w:ascii="Times New Roman" w:hAnsi="Times New Roman" w:cs="Times New Roman"/>
          <w:color w:val="000000" w:themeColor="text1"/>
          <w:sz w:val="28"/>
          <w:lang w:val="es-ES"/>
        </w:rPr>
        <w:t>Magistrado</w:t>
      </w:r>
    </w:p>
    <w:p w:rsidR="00DE5E30" w:rsidRPr="00DE7CC4" w:rsidRDefault="00DE7CC4" w:rsidP="00DE5E30">
      <w:pPr>
        <w:jc w:val="center"/>
        <w:rPr>
          <w:rFonts w:ascii="Times New Roman" w:hAnsi="Times New Roman" w:cs="Times New Roman"/>
          <w:color w:val="000000" w:themeColor="text1"/>
          <w:sz w:val="28"/>
          <w:lang w:val="es-ES"/>
        </w:rPr>
      </w:pPr>
    </w:p>
    <w:p w:rsidR="00DE5E30" w:rsidRPr="00DE7CC4" w:rsidRDefault="00DE7CC4" w:rsidP="00DE5E30">
      <w:pPr>
        <w:jc w:val="center"/>
        <w:rPr>
          <w:rFonts w:ascii="Times New Roman" w:hAnsi="Times New Roman" w:cs="Times New Roman"/>
          <w:color w:val="000000" w:themeColor="text1"/>
          <w:sz w:val="28"/>
          <w:lang w:val="es-ES"/>
        </w:rPr>
      </w:pPr>
    </w:p>
    <w:p w:rsidR="00DE5E30" w:rsidRPr="00DE7CC4" w:rsidRDefault="00DE7CC4" w:rsidP="00DE5E30">
      <w:pPr>
        <w:jc w:val="center"/>
        <w:rPr>
          <w:rFonts w:ascii="Times New Roman" w:hAnsi="Times New Roman" w:cs="Times New Roman"/>
          <w:color w:val="000000" w:themeColor="text1"/>
          <w:sz w:val="28"/>
          <w:lang w:val="es-ES"/>
        </w:rPr>
      </w:pPr>
    </w:p>
    <w:p w:rsidR="00DE5E30" w:rsidRPr="00DE7CC4" w:rsidRDefault="00DE7CC4" w:rsidP="00DE5E30">
      <w:pPr>
        <w:jc w:val="center"/>
        <w:rPr>
          <w:rFonts w:ascii="Times New Roman" w:hAnsi="Times New Roman" w:cs="Times New Roman"/>
          <w:color w:val="000000" w:themeColor="text1"/>
          <w:sz w:val="28"/>
          <w:lang w:val="es-ES"/>
        </w:rPr>
      </w:pPr>
      <w:r w:rsidRPr="00DE7CC4">
        <w:rPr>
          <w:rFonts w:ascii="Times New Roman" w:hAnsi="Times New Roman" w:cs="Times New Roman"/>
          <w:color w:val="000000" w:themeColor="text1"/>
          <w:sz w:val="28"/>
          <w:lang w:val="es-ES"/>
        </w:rPr>
        <w:t xml:space="preserve">JORGE ENRIQUE IBÁÑEZ NAJAR </w:t>
      </w:r>
    </w:p>
    <w:p w:rsidR="00DE5E30" w:rsidRPr="00DE7CC4" w:rsidRDefault="00DE7CC4" w:rsidP="00DE5E30">
      <w:pPr>
        <w:jc w:val="center"/>
        <w:rPr>
          <w:rFonts w:ascii="Times New Roman" w:hAnsi="Times New Roman" w:cs="Times New Roman"/>
          <w:color w:val="000000" w:themeColor="text1"/>
          <w:sz w:val="28"/>
          <w:lang w:val="es-ES"/>
        </w:rPr>
      </w:pPr>
      <w:r w:rsidRPr="00DE7CC4">
        <w:rPr>
          <w:rFonts w:ascii="Times New Roman" w:hAnsi="Times New Roman" w:cs="Times New Roman"/>
          <w:color w:val="000000" w:themeColor="text1"/>
          <w:sz w:val="28"/>
          <w:lang w:val="es-ES"/>
        </w:rPr>
        <w:t>Magistrado</w:t>
      </w:r>
    </w:p>
    <w:p w:rsidR="00DE5E30" w:rsidRPr="00DE7CC4" w:rsidRDefault="00DE7CC4" w:rsidP="00DE5E30">
      <w:pPr>
        <w:jc w:val="center"/>
        <w:rPr>
          <w:rFonts w:ascii="Times New Roman" w:hAnsi="Times New Roman" w:cs="Times New Roman"/>
          <w:color w:val="000000" w:themeColor="text1"/>
          <w:sz w:val="28"/>
          <w:lang w:val="es-ES"/>
        </w:rPr>
      </w:pPr>
    </w:p>
    <w:p w:rsidR="00DE5E30" w:rsidRPr="00DE7CC4" w:rsidRDefault="00DE7CC4" w:rsidP="00DE5E30">
      <w:pPr>
        <w:jc w:val="center"/>
        <w:rPr>
          <w:rFonts w:ascii="Times New Roman" w:hAnsi="Times New Roman" w:cs="Times New Roman"/>
          <w:color w:val="000000" w:themeColor="text1"/>
          <w:sz w:val="28"/>
          <w:lang w:val="es-ES"/>
        </w:rPr>
      </w:pPr>
    </w:p>
    <w:p w:rsidR="00DE5E30" w:rsidRPr="00DE7CC4" w:rsidRDefault="00DE7CC4" w:rsidP="00DE5E30">
      <w:pPr>
        <w:jc w:val="center"/>
        <w:rPr>
          <w:rFonts w:ascii="Times New Roman" w:hAnsi="Times New Roman" w:cs="Times New Roman"/>
          <w:color w:val="000000" w:themeColor="text1"/>
          <w:sz w:val="28"/>
          <w:lang w:val="es-ES"/>
        </w:rPr>
      </w:pPr>
    </w:p>
    <w:p w:rsidR="00DE5E30" w:rsidRPr="00DE7CC4" w:rsidRDefault="00DE7CC4" w:rsidP="00DE5E30">
      <w:pPr>
        <w:jc w:val="center"/>
        <w:rPr>
          <w:rFonts w:ascii="Times New Roman" w:hAnsi="Times New Roman" w:cs="Times New Roman"/>
          <w:color w:val="000000" w:themeColor="text1"/>
          <w:sz w:val="28"/>
          <w:lang w:val="es-ES"/>
        </w:rPr>
      </w:pPr>
      <w:r w:rsidRPr="00DE7CC4">
        <w:rPr>
          <w:rFonts w:ascii="Times New Roman" w:hAnsi="Times New Roman" w:cs="Times New Roman"/>
          <w:color w:val="000000" w:themeColor="text1"/>
          <w:sz w:val="28"/>
          <w:lang w:val="es-ES"/>
        </w:rPr>
        <w:t>ANTONIO JOSÉ LIZARAZO OCAMPO</w:t>
      </w:r>
    </w:p>
    <w:p w:rsidR="00DE5E30" w:rsidRPr="00DE7CC4" w:rsidRDefault="00DE7CC4" w:rsidP="00DE5E30">
      <w:pPr>
        <w:jc w:val="center"/>
        <w:rPr>
          <w:rFonts w:ascii="Times New Roman" w:hAnsi="Times New Roman" w:cs="Times New Roman"/>
          <w:color w:val="000000" w:themeColor="text1"/>
          <w:sz w:val="28"/>
          <w:lang w:val="es-ES"/>
        </w:rPr>
      </w:pPr>
      <w:r w:rsidRPr="00DE7CC4">
        <w:rPr>
          <w:rFonts w:ascii="Times New Roman" w:hAnsi="Times New Roman" w:cs="Times New Roman"/>
          <w:color w:val="000000" w:themeColor="text1"/>
          <w:sz w:val="28"/>
          <w:lang w:val="es-ES"/>
        </w:rPr>
        <w:t>Magistrado</w:t>
      </w:r>
    </w:p>
    <w:p w:rsidR="00DE5E30" w:rsidRPr="00DE7CC4" w:rsidRDefault="00DE7CC4" w:rsidP="00DE5E30">
      <w:pPr>
        <w:jc w:val="center"/>
        <w:rPr>
          <w:rFonts w:ascii="Times New Roman" w:hAnsi="Times New Roman" w:cs="Times New Roman"/>
          <w:color w:val="000000" w:themeColor="text1"/>
          <w:sz w:val="28"/>
          <w:lang w:val="es-ES"/>
        </w:rPr>
      </w:pPr>
    </w:p>
    <w:p w:rsidR="00DE5E30" w:rsidRPr="00DE7CC4" w:rsidRDefault="00DE7CC4" w:rsidP="00DE5E30">
      <w:pPr>
        <w:jc w:val="center"/>
        <w:rPr>
          <w:rFonts w:ascii="Times New Roman" w:hAnsi="Times New Roman" w:cs="Times New Roman"/>
          <w:color w:val="000000" w:themeColor="text1"/>
          <w:sz w:val="28"/>
          <w:lang w:val="es-ES"/>
        </w:rPr>
      </w:pPr>
    </w:p>
    <w:p w:rsidR="00DE5E30" w:rsidRPr="00DE7CC4" w:rsidRDefault="00DE7CC4" w:rsidP="00DE5E30">
      <w:pPr>
        <w:jc w:val="center"/>
        <w:rPr>
          <w:rFonts w:ascii="Times New Roman" w:hAnsi="Times New Roman" w:cs="Times New Roman"/>
          <w:color w:val="000000" w:themeColor="text1"/>
          <w:sz w:val="28"/>
          <w:lang w:val="es-ES"/>
        </w:rPr>
      </w:pPr>
    </w:p>
    <w:p w:rsidR="00DE5E30" w:rsidRPr="00DE7CC4" w:rsidRDefault="00DE7CC4" w:rsidP="00DE5E30">
      <w:pPr>
        <w:jc w:val="center"/>
        <w:rPr>
          <w:rFonts w:ascii="Times New Roman" w:hAnsi="Times New Roman" w:cs="Times New Roman"/>
          <w:color w:val="000000" w:themeColor="text1"/>
          <w:sz w:val="28"/>
          <w:lang w:val="es-ES"/>
        </w:rPr>
      </w:pPr>
      <w:r w:rsidRPr="00DE7CC4">
        <w:rPr>
          <w:rFonts w:ascii="Times New Roman" w:hAnsi="Times New Roman" w:cs="Times New Roman"/>
          <w:color w:val="000000" w:themeColor="text1"/>
          <w:sz w:val="28"/>
          <w:lang w:val="es-ES"/>
        </w:rPr>
        <w:t>PAOLA ANDREA MENESES MOSQUERA</w:t>
      </w:r>
    </w:p>
    <w:p w:rsidR="00DE5E30" w:rsidRPr="00DE7CC4" w:rsidRDefault="00DE7CC4" w:rsidP="00DE5E30">
      <w:pPr>
        <w:jc w:val="center"/>
        <w:rPr>
          <w:rFonts w:ascii="Times New Roman" w:hAnsi="Times New Roman" w:cs="Times New Roman"/>
          <w:color w:val="000000" w:themeColor="text1"/>
          <w:sz w:val="28"/>
          <w:lang w:val="es-ES"/>
        </w:rPr>
      </w:pPr>
      <w:r w:rsidRPr="00DE7CC4">
        <w:rPr>
          <w:rFonts w:ascii="Times New Roman" w:hAnsi="Times New Roman" w:cs="Times New Roman"/>
          <w:color w:val="000000" w:themeColor="text1"/>
          <w:sz w:val="28"/>
          <w:lang w:val="es-ES"/>
        </w:rPr>
        <w:t>Magistrada</w:t>
      </w:r>
    </w:p>
    <w:p w:rsidR="00DE5E30" w:rsidRPr="00DE7CC4" w:rsidRDefault="00DE7CC4" w:rsidP="00DE5E30">
      <w:pPr>
        <w:jc w:val="center"/>
        <w:rPr>
          <w:rFonts w:ascii="Times New Roman" w:hAnsi="Times New Roman" w:cs="Times New Roman"/>
          <w:color w:val="000000" w:themeColor="text1"/>
          <w:sz w:val="28"/>
          <w:lang w:val="es-ES"/>
        </w:rPr>
      </w:pPr>
    </w:p>
    <w:p w:rsidR="00DE5E30" w:rsidRPr="00DE7CC4" w:rsidRDefault="00DE7CC4" w:rsidP="00DE5E30">
      <w:pPr>
        <w:jc w:val="center"/>
        <w:rPr>
          <w:rFonts w:ascii="Times New Roman" w:hAnsi="Times New Roman" w:cs="Times New Roman"/>
          <w:color w:val="000000" w:themeColor="text1"/>
          <w:sz w:val="28"/>
          <w:lang w:val="es-ES"/>
        </w:rPr>
      </w:pPr>
    </w:p>
    <w:p w:rsidR="00DE5E30" w:rsidRPr="00DE7CC4" w:rsidRDefault="00DE7CC4" w:rsidP="00DE5E30">
      <w:pPr>
        <w:jc w:val="center"/>
        <w:rPr>
          <w:rFonts w:ascii="Times New Roman" w:hAnsi="Times New Roman" w:cs="Times New Roman"/>
          <w:color w:val="000000" w:themeColor="text1"/>
          <w:sz w:val="28"/>
          <w:lang w:val="es-ES"/>
        </w:rPr>
      </w:pPr>
    </w:p>
    <w:p w:rsidR="00DE5E30" w:rsidRPr="00DE7CC4" w:rsidRDefault="00DE7CC4" w:rsidP="00DE5E30">
      <w:pPr>
        <w:jc w:val="center"/>
        <w:rPr>
          <w:rFonts w:ascii="Times New Roman" w:hAnsi="Times New Roman" w:cs="Times New Roman"/>
          <w:color w:val="000000" w:themeColor="text1"/>
          <w:sz w:val="28"/>
          <w:lang w:val="es-ES"/>
        </w:rPr>
      </w:pPr>
      <w:r w:rsidRPr="00DE7CC4">
        <w:rPr>
          <w:rFonts w:ascii="Times New Roman" w:hAnsi="Times New Roman" w:cs="Times New Roman"/>
          <w:color w:val="000000" w:themeColor="text1"/>
          <w:sz w:val="28"/>
          <w:lang w:val="es-ES"/>
        </w:rPr>
        <w:t>CRISTINA PARDO SCHLESINGER</w:t>
      </w:r>
    </w:p>
    <w:p w:rsidR="00DE5E30" w:rsidRPr="00DE7CC4" w:rsidRDefault="00DE7CC4" w:rsidP="00DE5E30">
      <w:pPr>
        <w:jc w:val="center"/>
        <w:rPr>
          <w:rFonts w:ascii="Times New Roman" w:hAnsi="Times New Roman" w:cs="Times New Roman"/>
          <w:color w:val="000000" w:themeColor="text1"/>
          <w:sz w:val="28"/>
          <w:lang w:val="es-ES"/>
        </w:rPr>
      </w:pPr>
      <w:r w:rsidRPr="00DE7CC4">
        <w:rPr>
          <w:rFonts w:ascii="Times New Roman" w:hAnsi="Times New Roman" w:cs="Times New Roman"/>
          <w:color w:val="000000" w:themeColor="text1"/>
          <w:sz w:val="28"/>
          <w:lang w:val="es-ES"/>
        </w:rPr>
        <w:t>Magistrada</w:t>
      </w:r>
    </w:p>
    <w:p w:rsidR="00DE5E30" w:rsidRPr="00DE7CC4" w:rsidRDefault="00DE7CC4" w:rsidP="00DE5E30">
      <w:pPr>
        <w:jc w:val="center"/>
        <w:rPr>
          <w:rFonts w:ascii="Times New Roman" w:hAnsi="Times New Roman" w:cs="Times New Roman"/>
          <w:color w:val="000000" w:themeColor="text1"/>
          <w:sz w:val="28"/>
          <w:lang w:val="es-ES"/>
        </w:rPr>
      </w:pPr>
    </w:p>
    <w:p w:rsidR="00DE5E30" w:rsidRPr="00DE7CC4" w:rsidRDefault="00DE7CC4" w:rsidP="00DE5E30">
      <w:pPr>
        <w:jc w:val="center"/>
        <w:rPr>
          <w:rFonts w:ascii="Times New Roman" w:hAnsi="Times New Roman" w:cs="Times New Roman"/>
          <w:color w:val="000000" w:themeColor="text1"/>
          <w:sz w:val="28"/>
          <w:lang w:val="es-ES"/>
        </w:rPr>
      </w:pPr>
    </w:p>
    <w:p w:rsidR="00DE5E30" w:rsidRPr="00DE7CC4" w:rsidRDefault="00DE7CC4" w:rsidP="00DE5E30">
      <w:pPr>
        <w:jc w:val="center"/>
        <w:rPr>
          <w:rFonts w:ascii="Times New Roman" w:hAnsi="Times New Roman" w:cs="Times New Roman"/>
          <w:color w:val="000000" w:themeColor="text1"/>
          <w:sz w:val="28"/>
          <w:lang w:val="es-ES"/>
        </w:rPr>
      </w:pPr>
    </w:p>
    <w:p w:rsidR="00DE5E30" w:rsidRPr="00DE7CC4" w:rsidRDefault="00DE7CC4" w:rsidP="00DE5E30">
      <w:pPr>
        <w:jc w:val="center"/>
        <w:rPr>
          <w:rFonts w:ascii="Times New Roman" w:hAnsi="Times New Roman" w:cs="Times New Roman"/>
          <w:color w:val="000000" w:themeColor="text1"/>
          <w:sz w:val="28"/>
          <w:lang w:val="es-ES"/>
        </w:rPr>
      </w:pPr>
      <w:r w:rsidRPr="00DE7CC4">
        <w:rPr>
          <w:rFonts w:ascii="Times New Roman" w:hAnsi="Times New Roman" w:cs="Times New Roman"/>
          <w:color w:val="000000" w:themeColor="text1"/>
          <w:sz w:val="28"/>
          <w:lang w:val="es-ES"/>
        </w:rPr>
        <w:t>JOSE FERNANDO REYES CUARTAS</w:t>
      </w:r>
    </w:p>
    <w:p w:rsidR="00DE5E30" w:rsidRPr="00DE7CC4" w:rsidRDefault="00DE7CC4" w:rsidP="00DE5E30">
      <w:pPr>
        <w:jc w:val="center"/>
        <w:rPr>
          <w:rFonts w:ascii="Times New Roman" w:hAnsi="Times New Roman" w:cs="Times New Roman"/>
          <w:color w:val="000000" w:themeColor="text1"/>
          <w:sz w:val="28"/>
          <w:lang w:val="es-ES"/>
        </w:rPr>
      </w:pPr>
      <w:r w:rsidRPr="00DE7CC4">
        <w:rPr>
          <w:rFonts w:ascii="Times New Roman" w:hAnsi="Times New Roman" w:cs="Times New Roman"/>
          <w:color w:val="000000" w:themeColor="text1"/>
          <w:sz w:val="28"/>
          <w:lang w:val="es-ES"/>
        </w:rPr>
        <w:t>Magistrado</w:t>
      </w:r>
    </w:p>
    <w:p w:rsidR="00DE5E30" w:rsidRPr="00DE7CC4" w:rsidRDefault="00DE7CC4" w:rsidP="00DE5E30">
      <w:pPr>
        <w:jc w:val="center"/>
        <w:rPr>
          <w:rFonts w:ascii="Times New Roman" w:hAnsi="Times New Roman" w:cs="Times New Roman"/>
          <w:color w:val="000000" w:themeColor="text1"/>
          <w:sz w:val="28"/>
          <w:lang w:val="es-ES"/>
        </w:rPr>
      </w:pPr>
    </w:p>
    <w:p w:rsidR="00DE5E30" w:rsidRPr="00DE7CC4" w:rsidRDefault="00DE7CC4" w:rsidP="00DE5E30">
      <w:pPr>
        <w:jc w:val="center"/>
        <w:rPr>
          <w:rFonts w:ascii="Times New Roman" w:hAnsi="Times New Roman" w:cs="Times New Roman"/>
          <w:color w:val="000000" w:themeColor="text1"/>
          <w:sz w:val="28"/>
          <w:lang w:val="es-ES"/>
        </w:rPr>
      </w:pPr>
    </w:p>
    <w:p w:rsidR="00DE5E30" w:rsidRPr="00DE7CC4" w:rsidRDefault="00DE7CC4" w:rsidP="00DE5E30">
      <w:pPr>
        <w:jc w:val="center"/>
        <w:rPr>
          <w:rFonts w:ascii="Times New Roman" w:hAnsi="Times New Roman" w:cs="Times New Roman"/>
          <w:color w:val="000000" w:themeColor="text1"/>
          <w:sz w:val="28"/>
          <w:lang w:val="es-ES"/>
        </w:rPr>
      </w:pPr>
    </w:p>
    <w:p w:rsidR="00DE5E30" w:rsidRPr="00DE7CC4" w:rsidRDefault="00DE7CC4" w:rsidP="00DE5E30">
      <w:pPr>
        <w:jc w:val="center"/>
        <w:rPr>
          <w:rFonts w:ascii="Times New Roman" w:hAnsi="Times New Roman" w:cs="Times New Roman"/>
          <w:color w:val="000000" w:themeColor="text1"/>
          <w:sz w:val="28"/>
          <w:lang w:val="es-ES"/>
        </w:rPr>
      </w:pPr>
      <w:r w:rsidRPr="00DE7CC4">
        <w:rPr>
          <w:rFonts w:ascii="Times New Roman" w:hAnsi="Times New Roman" w:cs="Times New Roman"/>
          <w:color w:val="000000" w:themeColor="text1"/>
          <w:sz w:val="28"/>
          <w:lang w:val="es-ES"/>
        </w:rPr>
        <w:t>ANDREA LILIANA ROMERO LOPEZ</w:t>
      </w:r>
    </w:p>
    <w:p w:rsidR="00DE5E30" w:rsidRPr="00DE7CC4" w:rsidRDefault="00DE7CC4" w:rsidP="00DE5E30">
      <w:pPr>
        <w:jc w:val="center"/>
        <w:rPr>
          <w:rFonts w:ascii="Times New Roman" w:hAnsi="Times New Roman" w:cs="Times New Roman"/>
          <w:color w:val="000000" w:themeColor="text1"/>
          <w:sz w:val="28"/>
          <w:lang w:val="es-ES"/>
        </w:rPr>
      </w:pPr>
      <w:r w:rsidRPr="00DE7CC4">
        <w:rPr>
          <w:rFonts w:ascii="Times New Roman" w:hAnsi="Times New Roman" w:cs="Times New Roman"/>
          <w:color w:val="000000" w:themeColor="text1"/>
          <w:sz w:val="28"/>
          <w:lang w:val="es-ES"/>
        </w:rPr>
        <w:t>Secretaria General</w:t>
      </w:r>
    </w:p>
    <w:p w:rsidR="00DE5E30" w:rsidRPr="00DE7CC4" w:rsidRDefault="00DE7CC4" w:rsidP="00DE5E30">
      <w:pPr>
        <w:jc w:val="center"/>
        <w:rPr>
          <w:rFonts w:ascii="Times New Roman" w:hAnsi="Times New Roman" w:cs="Times New Roman"/>
          <w:color w:val="000000" w:themeColor="text1"/>
          <w:sz w:val="28"/>
          <w:lang w:val="es-ES"/>
        </w:rPr>
      </w:pPr>
    </w:p>
    <w:p w:rsidR="00DE5E30" w:rsidRPr="00DE7CC4" w:rsidRDefault="00DE7CC4" w:rsidP="00DE5E30">
      <w:pPr>
        <w:jc w:val="center"/>
        <w:rPr>
          <w:rFonts w:ascii="Times New Roman" w:hAnsi="Times New Roman" w:cs="Times New Roman"/>
          <w:color w:val="000000" w:themeColor="text1"/>
          <w:sz w:val="28"/>
          <w:lang w:val="es-ES"/>
        </w:rPr>
      </w:pPr>
    </w:p>
    <w:p w:rsidR="00DE5E30" w:rsidRPr="00DE7CC4" w:rsidRDefault="00DE7CC4" w:rsidP="00DE5E30">
      <w:pPr>
        <w:jc w:val="center"/>
        <w:rPr>
          <w:rFonts w:ascii="Times New Roman" w:hAnsi="Times New Roman" w:cs="Times New Roman"/>
          <w:color w:val="000000" w:themeColor="text1"/>
          <w:sz w:val="28"/>
          <w:lang w:val="es-ES"/>
        </w:rPr>
      </w:pPr>
    </w:p>
    <w:p w:rsidR="00DE5E30" w:rsidRPr="00DE7CC4" w:rsidRDefault="00DE7CC4" w:rsidP="00DE5E30">
      <w:pPr>
        <w:jc w:val="center"/>
        <w:rPr>
          <w:rFonts w:ascii="Times New Roman" w:hAnsi="Times New Roman" w:cs="Times New Roman"/>
          <w:color w:val="000000" w:themeColor="text1"/>
          <w:sz w:val="28"/>
          <w:lang w:val="es-ES"/>
        </w:rPr>
      </w:pPr>
    </w:p>
    <w:p w:rsidR="00DE5E30" w:rsidRPr="00DE7CC4" w:rsidRDefault="00DE7CC4" w:rsidP="00DE5E30">
      <w:pPr>
        <w:jc w:val="center"/>
        <w:rPr>
          <w:rFonts w:ascii="Times New Roman" w:hAnsi="Times New Roman" w:cs="Times New Roman"/>
          <w:color w:val="000000" w:themeColor="text1"/>
          <w:sz w:val="28"/>
          <w:lang w:val="es-ES"/>
        </w:rPr>
      </w:pPr>
    </w:p>
    <w:p w:rsidR="00DE5E30" w:rsidRPr="00DE7CC4" w:rsidRDefault="00DE7CC4" w:rsidP="00DE5E30">
      <w:pPr>
        <w:jc w:val="center"/>
        <w:rPr>
          <w:rFonts w:ascii="Times New Roman" w:hAnsi="Times New Roman" w:cs="Times New Roman"/>
          <w:color w:val="000000" w:themeColor="text1"/>
          <w:sz w:val="28"/>
          <w:lang w:val="es-ES"/>
        </w:rPr>
      </w:pPr>
    </w:p>
    <w:sectPr w:rsidR="00DE5E30" w:rsidRPr="00DE7CC4">
      <w:pgSz w:w="12240" w:h="15840"/>
      <w:pgMar w:top="1417" w:right="1701" w:bottom="1417" w:left="1701"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DE7CC4">
      <w:pPr>
        <w:spacing w:after="0" w:line="240" w:lineRule="auto"/>
      </w:pPr>
      <w:r>
        <w:separator/>
      </w:r>
    </w:p>
  </w:endnote>
  <w:endnote w:type="continuationSeparator" w:id="0">
    <w:p w:rsidR="00000000" w:rsidRDefault="00DE7C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Open Sans">
    <w:altName w:val="Tahoma"/>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Work Sans">
    <w:altName w:val="Times New Roman"/>
    <w:charset w:val="00"/>
    <w:family w:val="auto"/>
    <w:pitch w:val="variable"/>
    <w:sig w:usb0="A00000FF" w:usb1="5000E07B" w:usb2="00000000" w:usb3="00000000" w:csb0="00000193"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DE7CC4">
      <w:pPr>
        <w:spacing w:after="0" w:line="240" w:lineRule="auto"/>
      </w:pPr>
      <w:r>
        <w:separator/>
      </w:r>
    </w:p>
  </w:footnote>
  <w:footnote w:type="continuationSeparator" w:id="0">
    <w:p w:rsidR="00000000" w:rsidRDefault="00DE7CC4">
      <w:pPr>
        <w:spacing w:after="0" w:line="240" w:lineRule="auto"/>
      </w:pPr>
      <w:r>
        <w:continuationSeparator/>
      </w:r>
    </w:p>
  </w:footnote>
  <w:footnote w:id="1">
    <w:p w:rsidR="00F32ED8" w:rsidRPr="003548DF" w:rsidRDefault="00DE7CC4" w:rsidP="00F32ED8">
      <w:pPr>
        <w:pStyle w:val="Textonotapie"/>
        <w:ind w:right="49"/>
        <w:jc w:val="both"/>
        <w:rPr>
          <w:rFonts w:ascii="Times New Roman" w:hAnsi="Times New Roman"/>
          <w:color w:val="000000" w:themeColor="text1"/>
          <w:sz w:val="18"/>
          <w:szCs w:val="18"/>
        </w:rPr>
      </w:pPr>
      <w:r w:rsidRPr="003548DF">
        <w:rPr>
          <w:rStyle w:val="Refdenotaalpie"/>
          <w:rFonts w:ascii="Times New Roman" w:hAnsi="Times New Roman"/>
          <w:color w:val="000000" w:themeColor="text1"/>
          <w:sz w:val="18"/>
          <w:szCs w:val="18"/>
        </w:rPr>
        <w:footnoteRef/>
      </w:r>
      <w:r w:rsidRPr="003548DF">
        <w:rPr>
          <w:rFonts w:ascii="Times New Roman" w:hAnsi="Times New Roman"/>
          <w:color w:val="000000" w:themeColor="text1"/>
          <w:sz w:val="18"/>
          <w:szCs w:val="18"/>
        </w:rPr>
        <w:t xml:space="preserve"> </w:t>
      </w:r>
      <w:hyperlink r:id="rId1" w:history="1">
        <w:r w:rsidRPr="003548DF">
          <w:rPr>
            <w:rStyle w:val="Hipervnculo"/>
            <w:rFonts w:ascii="Times New Roman" w:hAnsi="Times New Roman"/>
            <w:color w:val="000000" w:themeColor="text1"/>
            <w:sz w:val="18"/>
            <w:szCs w:val="18"/>
          </w:rPr>
          <w:t>https://www.corteconstitucional.gov.co/secretaria/archivo.php?id=56154</w:t>
        </w:r>
      </w:hyperlink>
      <w:r w:rsidRPr="003548DF">
        <w:rPr>
          <w:rFonts w:ascii="Times New Roman" w:hAnsi="Times New Roman"/>
          <w:color w:val="000000" w:themeColor="text1"/>
          <w:sz w:val="18"/>
          <w:szCs w:val="18"/>
        </w:rPr>
        <w:t>.</w:t>
      </w:r>
    </w:p>
  </w:footnote>
  <w:footnote w:id="2">
    <w:p w:rsidR="00F32ED8" w:rsidRPr="003548DF" w:rsidRDefault="00DE7CC4" w:rsidP="00F32ED8">
      <w:pPr>
        <w:pStyle w:val="Textonotapie"/>
        <w:ind w:right="49"/>
        <w:rPr>
          <w:rFonts w:ascii="Times New Roman" w:hAnsi="Times New Roman"/>
          <w:color w:val="000000" w:themeColor="text1"/>
          <w:sz w:val="18"/>
          <w:szCs w:val="18"/>
        </w:rPr>
      </w:pPr>
      <w:r w:rsidRPr="003548DF">
        <w:rPr>
          <w:rStyle w:val="Refdenotaalpie"/>
          <w:rFonts w:ascii="Times New Roman" w:hAnsi="Times New Roman"/>
          <w:color w:val="000000" w:themeColor="text1"/>
          <w:sz w:val="18"/>
          <w:szCs w:val="18"/>
        </w:rPr>
        <w:footnoteRef/>
      </w:r>
      <w:r w:rsidRPr="003548DF">
        <w:rPr>
          <w:rFonts w:ascii="Times New Roman" w:hAnsi="Times New Roman"/>
          <w:color w:val="000000" w:themeColor="text1"/>
          <w:sz w:val="18"/>
          <w:szCs w:val="18"/>
        </w:rPr>
        <w:t xml:space="preserve"> </w:t>
      </w:r>
      <w:hyperlink r:id="rId2" w:history="1">
        <w:r w:rsidRPr="003548DF">
          <w:rPr>
            <w:rStyle w:val="Hipervnculo"/>
            <w:rFonts w:ascii="Times New Roman" w:hAnsi="Times New Roman"/>
            <w:color w:val="000000" w:themeColor="text1"/>
            <w:sz w:val="18"/>
            <w:szCs w:val="18"/>
          </w:rPr>
          <w:t>https://www.corteconstitucional.gov.co/secretaria/archivo.php?id=57706</w:t>
        </w:r>
      </w:hyperlink>
      <w:r w:rsidRPr="003548DF">
        <w:rPr>
          <w:rFonts w:ascii="Times New Roman" w:hAnsi="Times New Roman"/>
          <w:color w:val="000000" w:themeColor="text1"/>
          <w:sz w:val="18"/>
          <w:szCs w:val="18"/>
        </w:rPr>
        <w:t xml:space="preserve">. </w:t>
      </w:r>
    </w:p>
  </w:footnote>
  <w:footnote w:id="3">
    <w:p w:rsidR="00F32ED8" w:rsidRPr="003548DF" w:rsidRDefault="00DE7CC4" w:rsidP="00F32ED8">
      <w:pPr>
        <w:pStyle w:val="Textonotapie"/>
        <w:ind w:right="49"/>
        <w:rPr>
          <w:rFonts w:ascii="Times New Roman" w:hAnsi="Times New Roman"/>
          <w:color w:val="000000" w:themeColor="text1"/>
          <w:sz w:val="18"/>
          <w:szCs w:val="18"/>
        </w:rPr>
      </w:pPr>
      <w:r w:rsidRPr="003548DF">
        <w:rPr>
          <w:rStyle w:val="Refdenotaalpie"/>
          <w:rFonts w:ascii="Times New Roman" w:hAnsi="Times New Roman"/>
          <w:color w:val="000000" w:themeColor="text1"/>
          <w:sz w:val="18"/>
          <w:szCs w:val="18"/>
        </w:rPr>
        <w:footnoteRef/>
      </w:r>
      <w:r w:rsidRPr="003548DF">
        <w:rPr>
          <w:rFonts w:ascii="Times New Roman" w:hAnsi="Times New Roman"/>
          <w:color w:val="000000" w:themeColor="text1"/>
          <w:sz w:val="18"/>
          <w:szCs w:val="18"/>
        </w:rPr>
        <w:t xml:space="preserve"> </w:t>
      </w:r>
      <w:hyperlink r:id="rId3" w:history="1">
        <w:r w:rsidRPr="003548DF">
          <w:rPr>
            <w:rStyle w:val="Hipervnculo"/>
            <w:rFonts w:ascii="Times New Roman" w:hAnsi="Times New Roman"/>
            <w:color w:val="000000" w:themeColor="text1"/>
            <w:sz w:val="18"/>
            <w:szCs w:val="18"/>
          </w:rPr>
          <w:t>https://www.corteconstitucional.gov.co/secretaria/archivo.php?id=57890</w:t>
        </w:r>
      </w:hyperlink>
      <w:r w:rsidRPr="003548DF">
        <w:rPr>
          <w:rFonts w:ascii="Times New Roman" w:hAnsi="Times New Roman"/>
          <w:color w:val="000000" w:themeColor="text1"/>
          <w:sz w:val="18"/>
          <w:szCs w:val="18"/>
        </w:rPr>
        <w:t xml:space="preserve">. </w:t>
      </w:r>
    </w:p>
  </w:footnote>
  <w:footnote w:id="4">
    <w:p w:rsidR="00F32ED8" w:rsidRPr="003548DF" w:rsidRDefault="00DE7CC4" w:rsidP="00F32ED8">
      <w:pPr>
        <w:ind w:right="49"/>
        <w:jc w:val="both"/>
        <w:rPr>
          <w:color w:val="000000" w:themeColor="text1"/>
          <w:sz w:val="18"/>
          <w:szCs w:val="18"/>
        </w:rPr>
      </w:pPr>
      <w:r w:rsidRPr="003548DF">
        <w:rPr>
          <w:rStyle w:val="Refdenotaalpie"/>
          <w:color w:val="000000" w:themeColor="text1"/>
          <w:sz w:val="18"/>
          <w:szCs w:val="18"/>
        </w:rPr>
        <w:footnoteRef/>
      </w:r>
      <w:r w:rsidRPr="003548DF">
        <w:rPr>
          <w:color w:val="000000" w:themeColor="text1"/>
          <w:sz w:val="18"/>
          <w:szCs w:val="18"/>
        </w:rPr>
        <w:t xml:space="preserve"> La Sala Plena de la Corte Constitucional destaca que contra el artículo 16 de la Ley 2251 de 202</w:t>
      </w:r>
      <w:r w:rsidRPr="003548DF">
        <w:rPr>
          <w:color w:val="000000" w:themeColor="text1"/>
          <w:sz w:val="18"/>
          <w:szCs w:val="18"/>
        </w:rPr>
        <w:t>2 se han interpuesto varias demandas de inconstitucionalidad, las cuales, en su mayoría, han sido rechazadas por no satisfacer los requisitos argumentativos requeridos para considerar su aptitud sustantiva. Radicados: D-14936. M.P. Cristina Pardo Schlesing</w:t>
      </w:r>
      <w:r w:rsidRPr="003548DF">
        <w:rPr>
          <w:color w:val="000000" w:themeColor="text1"/>
          <w:sz w:val="18"/>
          <w:szCs w:val="18"/>
        </w:rPr>
        <w:t xml:space="preserve">er; D-15054 (AC), M.P. José Fernando Reyes; D-15030AC. M.P. José Fernando Reyes Cuartas; D-15014. M.P. Antonio José Lizarazo Ocampo, y D-14998. M.P. Hernán Correa Cardozo. </w:t>
      </w:r>
    </w:p>
  </w:footnote>
  <w:footnote w:id="5">
    <w:p w:rsidR="00F32ED8" w:rsidRPr="003548DF" w:rsidRDefault="00DE7CC4" w:rsidP="00F32ED8">
      <w:pPr>
        <w:pStyle w:val="Textonotapie"/>
        <w:ind w:right="49"/>
        <w:jc w:val="both"/>
        <w:rPr>
          <w:rFonts w:ascii="Times New Roman" w:hAnsi="Times New Roman"/>
          <w:color w:val="000000" w:themeColor="text1"/>
          <w:sz w:val="18"/>
          <w:szCs w:val="18"/>
        </w:rPr>
      </w:pPr>
      <w:r w:rsidRPr="003548DF">
        <w:rPr>
          <w:rStyle w:val="Refdenotaalpie"/>
          <w:rFonts w:ascii="Times New Roman" w:hAnsi="Times New Roman"/>
          <w:color w:val="000000" w:themeColor="text1"/>
          <w:sz w:val="18"/>
          <w:szCs w:val="18"/>
        </w:rPr>
        <w:footnoteRef/>
      </w:r>
      <w:r w:rsidRPr="003548DF">
        <w:rPr>
          <w:rFonts w:ascii="Times New Roman" w:hAnsi="Times New Roman"/>
          <w:color w:val="000000" w:themeColor="text1"/>
          <w:sz w:val="18"/>
          <w:szCs w:val="18"/>
        </w:rPr>
        <w:t xml:space="preserve"> Respecto a este cargo, en el Auto del 23 de junio de 2023 se indicó que no compre</w:t>
      </w:r>
      <w:r w:rsidRPr="003548DF">
        <w:rPr>
          <w:rFonts w:ascii="Times New Roman" w:hAnsi="Times New Roman"/>
          <w:color w:val="000000" w:themeColor="text1"/>
          <w:sz w:val="18"/>
          <w:szCs w:val="18"/>
        </w:rPr>
        <w:t>ndía el artículo 88 como parámetro de control dado que, como se aceptó por los demandantes en su escrito de corrección, regula una materia diferente, esto es, la acción popular.</w:t>
      </w:r>
    </w:p>
  </w:footnote>
  <w:footnote w:id="6">
    <w:p w:rsidR="00F32ED8" w:rsidRPr="003548DF" w:rsidRDefault="00DE7CC4" w:rsidP="00F32ED8">
      <w:pPr>
        <w:pStyle w:val="Textonotapie"/>
        <w:ind w:right="49"/>
        <w:jc w:val="both"/>
        <w:rPr>
          <w:rFonts w:ascii="Times New Roman" w:hAnsi="Times New Roman"/>
          <w:color w:val="000000" w:themeColor="text1"/>
          <w:sz w:val="18"/>
          <w:szCs w:val="18"/>
        </w:rPr>
      </w:pPr>
      <w:r w:rsidRPr="003548DF">
        <w:rPr>
          <w:rStyle w:val="Refdenotaalpie"/>
          <w:rFonts w:ascii="Times New Roman" w:hAnsi="Times New Roman"/>
          <w:color w:val="000000" w:themeColor="text1"/>
          <w:sz w:val="18"/>
          <w:szCs w:val="18"/>
        </w:rPr>
        <w:footnoteRef/>
      </w:r>
      <w:r w:rsidRPr="003548DF">
        <w:rPr>
          <w:rFonts w:ascii="Times New Roman" w:hAnsi="Times New Roman"/>
          <w:color w:val="000000" w:themeColor="text1"/>
          <w:sz w:val="18"/>
          <w:szCs w:val="18"/>
        </w:rPr>
        <w:t xml:space="preserve"> Para efectos de controvertir esta decisión, el Auto concedió recurso de súpl</w:t>
      </w:r>
      <w:r w:rsidRPr="003548DF">
        <w:rPr>
          <w:rFonts w:ascii="Times New Roman" w:hAnsi="Times New Roman"/>
          <w:color w:val="000000" w:themeColor="text1"/>
          <w:sz w:val="18"/>
          <w:szCs w:val="18"/>
        </w:rPr>
        <w:t xml:space="preserve">ica; sin embargo, no fue ejercido por los interesados. </w:t>
      </w:r>
    </w:p>
  </w:footnote>
  <w:footnote w:id="7">
    <w:p w:rsidR="00F32ED8" w:rsidRPr="003548DF" w:rsidRDefault="00DE7CC4" w:rsidP="00F32ED8">
      <w:pPr>
        <w:pStyle w:val="Textonotapie"/>
        <w:ind w:right="49"/>
        <w:jc w:val="both"/>
        <w:rPr>
          <w:rFonts w:ascii="Times New Roman" w:hAnsi="Times New Roman"/>
          <w:color w:val="000000" w:themeColor="text1"/>
          <w:sz w:val="18"/>
          <w:szCs w:val="18"/>
        </w:rPr>
      </w:pPr>
      <w:r w:rsidRPr="003548DF">
        <w:rPr>
          <w:rStyle w:val="Refdenotaalpie"/>
          <w:rFonts w:ascii="Times New Roman" w:hAnsi="Times New Roman"/>
          <w:color w:val="000000" w:themeColor="text1"/>
          <w:sz w:val="18"/>
          <w:szCs w:val="18"/>
        </w:rPr>
        <w:footnoteRef/>
      </w:r>
      <w:r w:rsidRPr="003548DF">
        <w:rPr>
          <w:rFonts w:ascii="Times New Roman" w:hAnsi="Times New Roman"/>
          <w:color w:val="000000" w:themeColor="text1"/>
          <w:sz w:val="18"/>
          <w:szCs w:val="18"/>
        </w:rPr>
        <w:t xml:space="preserve"> Atendiendo lo dispuesto en el artículo 244 de la Constitución y para los efectos indicados en el artículo 11 del Decreto ley 2067 de 1991.</w:t>
      </w:r>
    </w:p>
  </w:footnote>
  <w:footnote w:id="8">
    <w:p w:rsidR="00F32ED8" w:rsidRPr="003548DF" w:rsidRDefault="00DE7CC4" w:rsidP="00F32ED8">
      <w:pPr>
        <w:pStyle w:val="Textonotapie"/>
        <w:ind w:right="49"/>
        <w:jc w:val="both"/>
        <w:rPr>
          <w:rFonts w:ascii="Times New Roman" w:hAnsi="Times New Roman"/>
          <w:color w:val="000000" w:themeColor="text1"/>
          <w:sz w:val="18"/>
          <w:szCs w:val="18"/>
        </w:rPr>
      </w:pPr>
      <w:r w:rsidRPr="003548DF">
        <w:rPr>
          <w:rStyle w:val="Refdenotaalpie"/>
          <w:rFonts w:ascii="Times New Roman" w:hAnsi="Times New Roman"/>
          <w:color w:val="000000" w:themeColor="text1"/>
          <w:sz w:val="18"/>
          <w:szCs w:val="18"/>
        </w:rPr>
        <w:footnoteRef/>
      </w:r>
      <w:r w:rsidRPr="003548DF">
        <w:rPr>
          <w:rFonts w:ascii="Times New Roman" w:hAnsi="Times New Roman"/>
          <w:color w:val="000000" w:themeColor="text1"/>
          <w:sz w:val="18"/>
          <w:szCs w:val="18"/>
        </w:rPr>
        <w:t xml:space="preserve"> Siguiendo lo previsto en los artículos 242.2 y 278.5 de l</w:t>
      </w:r>
      <w:r w:rsidRPr="003548DF">
        <w:rPr>
          <w:rFonts w:ascii="Times New Roman" w:hAnsi="Times New Roman"/>
          <w:color w:val="000000" w:themeColor="text1"/>
          <w:sz w:val="18"/>
          <w:szCs w:val="18"/>
        </w:rPr>
        <w:t>a Constitución.</w:t>
      </w:r>
    </w:p>
  </w:footnote>
  <w:footnote w:id="9">
    <w:p w:rsidR="00F32ED8" w:rsidRPr="003548DF" w:rsidRDefault="00DE7CC4" w:rsidP="00F32ED8">
      <w:pPr>
        <w:pStyle w:val="Textonotapie"/>
        <w:ind w:right="49"/>
        <w:jc w:val="both"/>
        <w:rPr>
          <w:rFonts w:ascii="Times New Roman" w:hAnsi="Times New Roman"/>
          <w:color w:val="000000" w:themeColor="text1"/>
          <w:sz w:val="18"/>
          <w:szCs w:val="18"/>
        </w:rPr>
      </w:pPr>
      <w:r w:rsidRPr="003548DF">
        <w:rPr>
          <w:rStyle w:val="Refdenotaalpie"/>
          <w:rFonts w:ascii="Times New Roman" w:hAnsi="Times New Roman"/>
          <w:color w:val="000000" w:themeColor="text1"/>
          <w:sz w:val="18"/>
          <w:szCs w:val="18"/>
        </w:rPr>
        <w:footnoteRef/>
      </w:r>
      <w:r w:rsidRPr="003548DF">
        <w:rPr>
          <w:rFonts w:ascii="Times New Roman" w:hAnsi="Times New Roman"/>
          <w:color w:val="000000" w:themeColor="text1"/>
          <w:sz w:val="18"/>
          <w:szCs w:val="18"/>
        </w:rPr>
        <w:t xml:space="preserve"> Conforme a lo previsto en el artículo 7 del Decreto 2067 de 1991.</w:t>
      </w:r>
    </w:p>
  </w:footnote>
  <w:footnote w:id="10">
    <w:p w:rsidR="00F32ED8" w:rsidRPr="003548DF" w:rsidRDefault="00DE7CC4" w:rsidP="00F32ED8">
      <w:pPr>
        <w:pStyle w:val="Textonotapie"/>
        <w:ind w:right="49"/>
        <w:jc w:val="both"/>
        <w:rPr>
          <w:rFonts w:ascii="Times New Roman" w:hAnsi="Times New Roman"/>
          <w:color w:val="000000" w:themeColor="text1"/>
          <w:sz w:val="18"/>
          <w:szCs w:val="18"/>
          <w:lang w:val="es-ES_tradnl"/>
        </w:rPr>
      </w:pPr>
      <w:r w:rsidRPr="003548DF">
        <w:rPr>
          <w:rStyle w:val="Refdenotaalpie"/>
          <w:rFonts w:ascii="Times New Roman" w:hAnsi="Times New Roman"/>
          <w:color w:val="000000" w:themeColor="text1"/>
          <w:sz w:val="18"/>
          <w:szCs w:val="18"/>
        </w:rPr>
        <w:footnoteRef/>
      </w:r>
      <w:r w:rsidRPr="003548DF">
        <w:rPr>
          <w:rFonts w:ascii="Times New Roman" w:hAnsi="Times New Roman"/>
          <w:color w:val="000000" w:themeColor="text1"/>
          <w:sz w:val="18"/>
          <w:szCs w:val="18"/>
        </w:rPr>
        <w:t xml:space="preserve"> </w:t>
      </w:r>
      <w:r w:rsidRPr="003548DF">
        <w:rPr>
          <w:rFonts w:ascii="Times New Roman" w:hAnsi="Times New Roman"/>
          <w:color w:val="000000" w:themeColor="text1"/>
          <w:sz w:val="18"/>
          <w:szCs w:val="18"/>
          <w:lang w:val="es-ES_tradnl"/>
        </w:rPr>
        <w:t xml:space="preserve">La Sala Plena no identificará más los cargos bajo la numeración presentada por los demandantes, sino que seguirá el orden consecutivo: de primero a cuarto. </w:t>
      </w:r>
    </w:p>
  </w:footnote>
  <w:footnote w:id="11">
    <w:p w:rsidR="00F32ED8" w:rsidRPr="003548DF" w:rsidRDefault="00DE7CC4" w:rsidP="00F32ED8">
      <w:pPr>
        <w:pStyle w:val="Textonotapie"/>
        <w:ind w:right="49"/>
        <w:rPr>
          <w:rFonts w:ascii="Times New Roman" w:hAnsi="Times New Roman"/>
          <w:color w:val="000000" w:themeColor="text1"/>
          <w:sz w:val="18"/>
          <w:szCs w:val="18"/>
        </w:rPr>
      </w:pPr>
      <w:r w:rsidRPr="003548DF">
        <w:rPr>
          <w:rStyle w:val="Refdenotaalpie"/>
          <w:rFonts w:ascii="Times New Roman" w:hAnsi="Times New Roman"/>
          <w:color w:val="000000" w:themeColor="text1"/>
          <w:sz w:val="18"/>
          <w:szCs w:val="18"/>
        </w:rPr>
        <w:footnoteRef/>
      </w:r>
      <w:r w:rsidRPr="003548DF">
        <w:rPr>
          <w:rFonts w:ascii="Times New Roman" w:hAnsi="Times New Roman"/>
          <w:color w:val="000000" w:themeColor="text1"/>
          <w:sz w:val="18"/>
          <w:szCs w:val="18"/>
        </w:rPr>
        <w:t xml:space="preserve"> Corrección </w:t>
      </w:r>
      <w:r w:rsidRPr="003548DF">
        <w:rPr>
          <w:rFonts w:ascii="Times New Roman" w:hAnsi="Times New Roman"/>
          <w:color w:val="000000" w:themeColor="text1"/>
          <w:sz w:val="18"/>
          <w:szCs w:val="18"/>
        </w:rPr>
        <w:t>de la demanda, p. 3.</w:t>
      </w:r>
    </w:p>
  </w:footnote>
  <w:footnote w:id="12">
    <w:p w:rsidR="00F32ED8" w:rsidRPr="003548DF" w:rsidRDefault="00DE7CC4" w:rsidP="00F32ED8">
      <w:pPr>
        <w:pStyle w:val="Textonotapie"/>
        <w:ind w:right="49"/>
        <w:jc w:val="both"/>
        <w:rPr>
          <w:rFonts w:ascii="Times New Roman" w:hAnsi="Times New Roman"/>
          <w:color w:val="000000" w:themeColor="text1"/>
          <w:sz w:val="18"/>
          <w:szCs w:val="18"/>
          <w:lang w:val="es-ES_tradnl"/>
        </w:rPr>
      </w:pPr>
      <w:r w:rsidRPr="003548DF">
        <w:rPr>
          <w:rStyle w:val="Refdenotaalpie"/>
          <w:rFonts w:ascii="Times New Roman" w:hAnsi="Times New Roman"/>
          <w:color w:val="000000" w:themeColor="text1"/>
          <w:sz w:val="18"/>
          <w:szCs w:val="18"/>
        </w:rPr>
        <w:footnoteRef/>
      </w:r>
      <w:r w:rsidRPr="003548DF">
        <w:rPr>
          <w:rFonts w:ascii="Times New Roman" w:hAnsi="Times New Roman"/>
          <w:color w:val="000000" w:themeColor="text1"/>
          <w:sz w:val="18"/>
          <w:szCs w:val="18"/>
        </w:rPr>
        <w:t xml:space="preserve"> </w:t>
      </w:r>
      <w:r w:rsidRPr="003548DF">
        <w:rPr>
          <w:rFonts w:ascii="Times New Roman" w:hAnsi="Times New Roman"/>
          <w:color w:val="000000" w:themeColor="text1"/>
          <w:sz w:val="18"/>
          <w:szCs w:val="18"/>
          <w:lang w:val="es-ES_tradnl"/>
        </w:rPr>
        <w:t xml:space="preserve">Con lo cual, indican los demandantes, se altera “la disposición natural de las piezas del accidente tal como quedaron como resultado de la colisión. Ello impide en primer lugar reconocer las distancias, posición relativa, etc., ordenadas como consecuencia </w:t>
      </w:r>
      <w:r w:rsidRPr="003548DF">
        <w:rPr>
          <w:rFonts w:ascii="Times New Roman" w:hAnsi="Times New Roman"/>
          <w:color w:val="000000" w:themeColor="text1"/>
          <w:sz w:val="18"/>
          <w:szCs w:val="18"/>
          <w:lang w:val="es-ES_tradnl"/>
        </w:rPr>
        <w:t xml:space="preserve">de las fuerzas sinéticas (sic) que actuaron en la colisión de los vehículos, dificultando la identificación de los responsables”. </w:t>
      </w:r>
      <w:r w:rsidRPr="003548DF">
        <w:rPr>
          <w:rFonts w:ascii="Times New Roman" w:hAnsi="Times New Roman"/>
          <w:i/>
          <w:iCs/>
          <w:color w:val="000000" w:themeColor="text1"/>
          <w:sz w:val="18"/>
          <w:szCs w:val="18"/>
          <w:lang w:val="es-ES_tradnl"/>
        </w:rPr>
        <w:t>Ibidem</w:t>
      </w:r>
      <w:r w:rsidRPr="003548DF">
        <w:rPr>
          <w:rFonts w:ascii="Times New Roman" w:hAnsi="Times New Roman"/>
          <w:color w:val="000000" w:themeColor="text1"/>
          <w:sz w:val="18"/>
          <w:szCs w:val="18"/>
          <w:lang w:val="es-ES_tradnl"/>
        </w:rPr>
        <w:t xml:space="preserve">, p. 3. </w:t>
      </w:r>
    </w:p>
  </w:footnote>
  <w:footnote w:id="13">
    <w:p w:rsidR="00F32ED8" w:rsidRPr="003548DF" w:rsidRDefault="00DE7CC4" w:rsidP="00F32ED8">
      <w:pPr>
        <w:pStyle w:val="Textonotapie"/>
        <w:ind w:right="49"/>
        <w:rPr>
          <w:rFonts w:ascii="Times New Roman" w:hAnsi="Times New Roman"/>
          <w:color w:val="000000" w:themeColor="text1"/>
          <w:sz w:val="18"/>
          <w:szCs w:val="18"/>
        </w:rPr>
      </w:pPr>
      <w:r w:rsidRPr="003548DF">
        <w:rPr>
          <w:rStyle w:val="Refdenotaalpie"/>
          <w:rFonts w:ascii="Times New Roman" w:hAnsi="Times New Roman"/>
          <w:color w:val="000000" w:themeColor="text1"/>
          <w:sz w:val="18"/>
          <w:szCs w:val="18"/>
        </w:rPr>
        <w:footnoteRef/>
      </w:r>
      <w:r w:rsidRPr="003548DF">
        <w:rPr>
          <w:rFonts w:ascii="Times New Roman" w:hAnsi="Times New Roman"/>
          <w:color w:val="000000" w:themeColor="text1"/>
          <w:sz w:val="18"/>
          <w:szCs w:val="18"/>
        </w:rPr>
        <w:t xml:space="preserve"> </w:t>
      </w:r>
      <w:r w:rsidRPr="003548DF">
        <w:rPr>
          <w:rFonts w:ascii="Times New Roman" w:hAnsi="Times New Roman"/>
          <w:i/>
          <w:iCs/>
          <w:color w:val="000000" w:themeColor="text1"/>
          <w:sz w:val="18"/>
          <w:szCs w:val="18"/>
        </w:rPr>
        <w:t>Ibidem,</w:t>
      </w:r>
      <w:r w:rsidRPr="003548DF">
        <w:rPr>
          <w:rFonts w:ascii="Times New Roman" w:hAnsi="Times New Roman"/>
          <w:color w:val="000000" w:themeColor="text1"/>
          <w:sz w:val="18"/>
          <w:szCs w:val="18"/>
        </w:rPr>
        <w:t xml:space="preserve"> p. 4.</w:t>
      </w:r>
    </w:p>
  </w:footnote>
  <w:footnote w:id="14">
    <w:p w:rsidR="00F32ED8" w:rsidRPr="003548DF" w:rsidRDefault="00DE7CC4" w:rsidP="00F32ED8">
      <w:pPr>
        <w:pStyle w:val="Textonotapie"/>
        <w:ind w:right="49"/>
        <w:jc w:val="both"/>
        <w:rPr>
          <w:rFonts w:ascii="Times New Roman" w:hAnsi="Times New Roman"/>
          <w:color w:val="000000" w:themeColor="text1"/>
          <w:sz w:val="18"/>
          <w:szCs w:val="18"/>
          <w:lang w:val="es-ES_tradnl"/>
        </w:rPr>
      </w:pPr>
      <w:r w:rsidRPr="003548DF">
        <w:rPr>
          <w:rStyle w:val="Refdenotaalpie"/>
          <w:rFonts w:ascii="Times New Roman" w:hAnsi="Times New Roman"/>
          <w:color w:val="000000" w:themeColor="text1"/>
          <w:sz w:val="18"/>
          <w:szCs w:val="18"/>
        </w:rPr>
        <w:footnoteRef/>
      </w:r>
      <w:r w:rsidRPr="003548DF">
        <w:rPr>
          <w:rFonts w:ascii="Times New Roman" w:hAnsi="Times New Roman"/>
          <w:color w:val="000000" w:themeColor="text1"/>
          <w:sz w:val="18"/>
          <w:szCs w:val="18"/>
        </w:rPr>
        <w:t xml:space="preserve"> </w:t>
      </w:r>
      <w:r w:rsidRPr="003548DF">
        <w:rPr>
          <w:rFonts w:ascii="Times New Roman" w:hAnsi="Times New Roman"/>
          <w:color w:val="000000" w:themeColor="text1"/>
          <w:sz w:val="18"/>
          <w:szCs w:val="18"/>
          <w:lang w:val="es-ES_tradnl"/>
        </w:rPr>
        <w:t>“Al impedir la presencia del agente de tránsito en el lugar de los hechos, haya o no interés conciliatorio, el legislador ha privado al ciudadano de la protección que el Estado le otorgaba a través suyo, contrariando con ello el artículo 2º de la Carta, ad</w:t>
      </w:r>
      <w:r w:rsidRPr="003548DF">
        <w:rPr>
          <w:rFonts w:ascii="Times New Roman" w:hAnsi="Times New Roman"/>
          <w:color w:val="000000" w:themeColor="text1"/>
          <w:sz w:val="18"/>
          <w:szCs w:val="18"/>
          <w:lang w:val="es-ES_tradnl"/>
        </w:rPr>
        <w:t>emás de que ha trasladado en la misma víctima y victimario la carga de realizar una labor probatoria que requiere de una mínima experticia para la cual este no ha sido preparado y, lo que es peor, para la cual no existe norma legal que lo obligue”. Demanda</w:t>
      </w:r>
      <w:r w:rsidRPr="003548DF">
        <w:rPr>
          <w:rFonts w:ascii="Times New Roman" w:hAnsi="Times New Roman"/>
          <w:color w:val="000000" w:themeColor="text1"/>
          <w:sz w:val="18"/>
          <w:szCs w:val="18"/>
          <w:lang w:val="es-ES_tradnl"/>
        </w:rPr>
        <w:t xml:space="preserve">, p. 10. </w:t>
      </w:r>
    </w:p>
  </w:footnote>
  <w:footnote w:id="15">
    <w:p w:rsidR="00F32ED8" w:rsidRPr="003548DF" w:rsidRDefault="00DE7CC4" w:rsidP="00F32ED8">
      <w:pPr>
        <w:pStyle w:val="Textonotapie"/>
        <w:ind w:right="49"/>
        <w:rPr>
          <w:rFonts w:ascii="Times New Roman" w:hAnsi="Times New Roman"/>
          <w:color w:val="000000" w:themeColor="text1"/>
          <w:sz w:val="18"/>
          <w:szCs w:val="18"/>
          <w:lang w:val="es-ES_tradnl"/>
        </w:rPr>
      </w:pPr>
      <w:r w:rsidRPr="003548DF">
        <w:rPr>
          <w:rStyle w:val="Refdenotaalpie"/>
          <w:rFonts w:ascii="Times New Roman" w:hAnsi="Times New Roman"/>
          <w:color w:val="000000" w:themeColor="text1"/>
          <w:sz w:val="18"/>
          <w:szCs w:val="18"/>
        </w:rPr>
        <w:footnoteRef/>
      </w:r>
      <w:r w:rsidRPr="003548DF">
        <w:rPr>
          <w:rFonts w:ascii="Times New Roman" w:hAnsi="Times New Roman"/>
          <w:color w:val="000000" w:themeColor="text1"/>
          <w:sz w:val="18"/>
          <w:szCs w:val="18"/>
        </w:rPr>
        <w:t xml:space="preserve"> </w:t>
      </w:r>
      <w:r w:rsidRPr="003548DF">
        <w:rPr>
          <w:rFonts w:ascii="Times New Roman" w:hAnsi="Times New Roman"/>
          <w:color w:val="000000" w:themeColor="text1"/>
          <w:sz w:val="18"/>
          <w:szCs w:val="18"/>
          <w:lang w:val="es-ES_tradnl"/>
        </w:rPr>
        <w:t>Demanda, p. 9.</w:t>
      </w:r>
    </w:p>
  </w:footnote>
  <w:footnote w:id="16">
    <w:p w:rsidR="00F32ED8" w:rsidRPr="003548DF" w:rsidRDefault="00DE7CC4" w:rsidP="00F32ED8">
      <w:pPr>
        <w:pStyle w:val="Textonotapie"/>
        <w:ind w:right="49"/>
        <w:rPr>
          <w:rFonts w:ascii="Times New Roman" w:hAnsi="Times New Roman"/>
          <w:color w:val="000000" w:themeColor="text1"/>
          <w:sz w:val="18"/>
          <w:szCs w:val="18"/>
        </w:rPr>
      </w:pPr>
      <w:r w:rsidRPr="003548DF">
        <w:rPr>
          <w:rStyle w:val="Refdenotaalpie"/>
          <w:rFonts w:ascii="Times New Roman" w:hAnsi="Times New Roman"/>
          <w:color w:val="000000" w:themeColor="text1"/>
          <w:sz w:val="18"/>
          <w:szCs w:val="18"/>
        </w:rPr>
        <w:footnoteRef/>
      </w:r>
      <w:r w:rsidRPr="003548DF">
        <w:rPr>
          <w:rFonts w:ascii="Times New Roman" w:hAnsi="Times New Roman"/>
          <w:color w:val="000000" w:themeColor="text1"/>
          <w:sz w:val="18"/>
          <w:szCs w:val="18"/>
        </w:rPr>
        <w:t xml:space="preserve"> Corrección de la demanda, p. 11.</w:t>
      </w:r>
    </w:p>
  </w:footnote>
  <w:footnote w:id="17">
    <w:p w:rsidR="00A34DD7" w:rsidRPr="00DA6368" w:rsidRDefault="00DE7CC4">
      <w:pPr>
        <w:pStyle w:val="Textonotapie"/>
        <w:rPr>
          <w:rFonts w:ascii="Times New Roman" w:hAnsi="Times New Roman"/>
          <w:color w:val="000000" w:themeColor="text1"/>
          <w:sz w:val="18"/>
          <w:szCs w:val="18"/>
        </w:rPr>
      </w:pPr>
      <w:r w:rsidRPr="00DA6368">
        <w:rPr>
          <w:rStyle w:val="Refdenotaalpie"/>
          <w:rFonts w:ascii="Times New Roman" w:hAnsi="Times New Roman"/>
          <w:color w:val="000000" w:themeColor="text1"/>
          <w:sz w:val="18"/>
          <w:szCs w:val="18"/>
        </w:rPr>
        <w:footnoteRef/>
      </w:r>
      <w:r w:rsidRPr="00DA6368">
        <w:rPr>
          <w:rFonts w:ascii="Times New Roman" w:hAnsi="Times New Roman"/>
          <w:color w:val="000000" w:themeColor="text1"/>
          <w:sz w:val="18"/>
          <w:szCs w:val="18"/>
        </w:rPr>
        <w:t xml:space="preserve"> Demanda, p. 32.</w:t>
      </w:r>
    </w:p>
  </w:footnote>
  <w:footnote w:id="18">
    <w:p w:rsidR="00F32ED8" w:rsidRPr="003548DF" w:rsidRDefault="00DE7CC4" w:rsidP="00F32ED8">
      <w:pPr>
        <w:pStyle w:val="Textonotapie"/>
        <w:ind w:right="49"/>
        <w:jc w:val="both"/>
        <w:rPr>
          <w:rFonts w:ascii="Times New Roman" w:hAnsi="Times New Roman"/>
          <w:color w:val="000000" w:themeColor="text1"/>
          <w:sz w:val="18"/>
          <w:szCs w:val="18"/>
          <w:lang w:val="es-ES_tradnl"/>
        </w:rPr>
      </w:pPr>
      <w:r w:rsidRPr="003548DF">
        <w:rPr>
          <w:rStyle w:val="Refdenotaalpie"/>
          <w:rFonts w:ascii="Times New Roman" w:hAnsi="Times New Roman"/>
          <w:color w:val="000000" w:themeColor="text1"/>
          <w:sz w:val="18"/>
          <w:szCs w:val="18"/>
        </w:rPr>
        <w:footnoteRef/>
      </w:r>
      <w:r w:rsidRPr="003548DF">
        <w:rPr>
          <w:rFonts w:ascii="Times New Roman" w:hAnsi="Times New Roman"/>
          <w:color w:val="000000" w:themeColor="text1"/>
          <w:sz w:val="18"/>
          <w:szCs w:val="18"/>
        </w:rPr>
        <w:t xml:space="preserve"> </w:t>
      </w:r>
      <w:r w:rsidRPr="003548DF">
        <w:rPr>
          <w:rFonts w:ascii="Times New Roman" w:hAnsi="Times New Roman"/>
          <w:color w:val="000000" w:themeColor="text1"/>
          <w:sz w:val="18"/>
          <w:szCs w:val="18"/>
          <w:lang w:val="es-ES_tradnl"/>
        </w:rPr>
        <w:t>“Ciertamente, la falta de informe oficial del accidente genera serios y numerosos problemas en la reclamación indemnizatoria, porque la prueba recaudada por el ciudadano no e</w:t>
      </w:r>
      <w:r w:rsidRPr="003548DF">
        <w:rPr>
          <w:rFonts w:ascii="Times New Roman" w:hAnsi="Times New Roman"/>
          <w:color w:val="000000" w:themeColor="text1"/>
          <w:sz w:val="18"/>
          <w:szCs w:val="18"/>
          <w:lang w:val="es-ES_tradnl"/>
        </w:rPr>
        <w:t>s oficial, y siempre generará dudas por la obvia parcialidad, pero, además, no tendría nada que ofrecer -porque los ciudadanos no hemos sido capacitados para ello- las garantías técnicas y jurídicas necesarias para adelantar una óptima reclamación. Las com</w:t>
      </w:r>
      <w:r w:rsidRPr="003548DF">
        <w:rPr>
          <w:rFonts w:ascii="Times New Roman" w:hAnsi="Times New Roman"/>
          <w:color w:val="000000" w:themeColor="text1"/>
          <w:sz w:val="18"/>
          <w:szCs w:val="18"/>
          <w:lang w:val="es-ES_tradnl"/>
        </w:rPr>
        <w:t>pañías de seguros podrían rechazar la reclamación si el accidente no ha sido correctamente documentado, al tiempo que los ciudadanos que no cuentan con seguro de daños no tendrían garantizada la calidad de la prueba para entablar una demanda por responsabi</w:t>
      </w:r>
      <w:r w:rsidRPr="003548DF">
        <w:rPr>
          <w:rFonts w:ascii="Times New Roman" w:hAnsi="Times New Roman"/>
          <w:color w:val="000000" w:themeColor="text1"/>
          <w:sz w:val="18"/>
          <w:szCs w:val="18"/>
          <w:lang w:val="es-ES_tradnl"/>
        </w:rPr>
        <w:t xml:space="preserve">lidad civil extracontractual”. </w:t>
      </w:r>
      <w:r w:rsidRPr="00DA6368">
        <w:rPr>
          <w:rFonts w:ascii="Times New Roman" w:hAnsi="Times New Roman"/>
          <w:i/>
          <w:iCs/>
          <w:color w:val="000000" w:themeColor="text1"/>
          <w:sz w:val="18"/>
          <w:szCs w:val="18"/>
          <w:lang w:val="es-ES_tradnl"/>
        </w:rPr>
        <w:t>Ibidem</w:t>
      </w:r>
      <w:r w:rsidRPr="003548DF">
        <w:rPr>
          <w:rFonts w:ascii="Times New Roman" w:hAnsi="Times New Roman"/>
          <w:color w:val="000000" w:themeColor="text1"/>
          <w:sz w:val="18"/>
          <w:szCs w:val="18"/>
          <w:lang w:val="es-ES_tradnl"/>
        </w:rPr>
        <w:t>.</w:t>
      </w:r>
    </w:p>
  </w:footnote>
  <w:footnote w:id="19">
    <w:p w:rsidR="00A34DD7" w:rsidRPr="00DA6368" w:rsidRDefault="00DE7CC4">
      <w:pPr>
        <w:pStyle w:val="Textonotapie"/>
        <w:rPr>
          <w:rFonts w:ascii="Times New Roman" w:hAnsi="Times New Roman"/>
          <w:color w:val="000000" w:themeColor="text1"/>
          <w:sz w:val="18"/>
          <w:szCs w:val="18"/>
        </w:rPr>
      </w:pPr>
      <w:r w:rsidRPr="00DA6368">
        <w:rPr>
          <w:rStyle w:val="Refdenotaalpie"/>
          <w:rFonts w:ascii="Times New Roman" w:hAnsi="Times New Roman"/>
          <w:color w:val="000000" w:themeColor="text1"/>
          <w:sz w:val="18"/>
          <w:szCs w:val="18"/>
        </w:rPr>
        <w:footnoteRef/>
      </w:r>
      <w:r w:rsidRPr="00DA6368">
        <w:rPr>
          <w:rFonts w:ascii="Times New Roman" w:hAnsi="Times New Roman"/>
          <w:color w:val="000000" w:themeColor="text1"/>
          <w:sz w:val="18"/>
          <w:szCs w:val="18"/>
        </w:rPr>
        <w:t xml:space="preserve"> </w:t>
      </w:r>
      <w:r w:rsidRPr="00DA6368">
        <w:rPr>
          <w:rFonts w:ascii="Times New Roman" w:hAnsi="Times New Roman"/>
          <w:i/>
          <w:iCs/>
          <w:color w:val="000000" w:themeColor="text1"/>
          <w:sz w:val="18"/>
          <w:szCs w:val="18"/>
        </w:rPr>
        <w:t>Ibidem</w:t>
      </w:r>
      <w:r w:rsidRPr="00DA6368">
        <w:rPr>
          <w:rFonts w:ascii="Times New Roman" w:hAnsi="Times New Roman"/>
          <w:color w:val="000000" w:themeColor="text1"/>
          <w:sz w:val="18"/>
          <w:szCs w:val="18"/>
        </w:rPr>
        <w:t>.</w:t>
      </w:r>
    </w:p>
  </w:footnote>
  <w:footnote w:id="20">
    <w:p w:rsidR="00F32ED8" w:rsidRPr="003548DF" w:rsidRDefault="00DE7CC4" w:rsidP="00F32ED8">
      <w:pPr>
        <w:pStyle w:val="Textonotapie"/>
        <w:ind w:right="49"/>
        <w:rPr>
          <w:rFonts w:ascii="Times New Roman" w:hAnsi="Times New Roman"/>
          <w:color w:val="000000" w:themeColor="text1"/>
          <w:sz w:val="18"/>
          <w:szCs w:val="18"/>
          <w:lang w:val="es-ES_tradnl"/>
        </w:rPr>
      </w:pPr>
      <w:r w:rsidRPr="003548DF">
        <w:rPr>
          <w:rStyle w:val="Refdenotaalpie"/>
          <w:rFonts w:ascii="Times New Roman" w:hAnsi="Times New Roman"/>
          <w:color w:val="000000" w:themeColor="text1"/>
          <w:sz w:val="18"/>
          <w:szCs w:val="18"/>
        </w:rPr>
        <w:footnoteRef/>
      </w:r>
      <w:r w:rsidRPr="003548DF">
        <w:rPr>
          <w:rFonts w:ascii="Times New Roman" w:hAnsi="Times New Roman"/>
          <w:color w:val="000000" w:themeColor="text1"/>
          <w:sz w:val="18"/>
          <w:szCs w:val="18"/>
        </w:rPr>
        <w:t xml:space="preserve"> </w:t>
      </w:r>
      <w:r w:rsidRPr="003548DF">
        <w:rPr>
          <w:rFonts w:ascii="Times New Roman" w:hAnsi="Times New Roman"/>
          <w:color w:val="000000" w:themeColor="text1"/>
          <w:sz w:val="18"/>
          <w:szCs w:val="18"/>
          <w:lang w:val="es-ES_tradnl"/>
        </w:rPr>
        <w:t>M.P. Alfredo Beltrán Sierra.</w:t>
      </w:r>
    </w:p>
  </w:footnote>
  <w:footnote w:id="21">
    <w:p w:rsidR="00F32ED8" w:rsidRPr="003548DF" w:rsidRDefault="00DE7CC4" w:rsidP="00F32ED8">
      <w:pPr>
        <w:pStyle w:val="Textonotapie"/>
        <w:ind w:right="49"/>
        <w:jc w:val="both"/>
        <w:rPr>
          <w:rFonts w:ascii="Times New Roman" w:hAnsi="Times New Roman"/>
          <w:color w:val="000000" w:themeColor="text1"/>
          <w:sz w:val="18"/>
          <w:szCs w:val="18"/>
        </w:rPr>
      </w:pPr>
      <w:r w:rsidRPr="003548DF">
        <w:rPr>
          <w:rStyle w:val="Refdenotaalpie"/>
          <w:rFonts w:ascii="Times New Roman" w:hAnsi="Times New Roman"/>
          <w:color w:val="000000" w:themeColor="text1"/>
          <w:sz w:val="18"/>
          <w:szCs w:val="18"/>
        </w:rPr>
        <w:footnoteRef/>
      </w:r>
      <w:r w:rsidRPr="003548DF">
        <w:rPr>
          <w:rFonts w:ascii="Times New Roman" w:hAnsi="Times New Roman"/>
          <w:color w:val="000000" w:themeColor="text1"/>
          <w:sz w:val="18"/>
          <w:szCs w:val="18"/>
        </w:rPr>
        <w:t xml:space="preserve"> </w:t>
      </w:r>
      <w:r w:rsidRPr="003548DF">
        <w:rPr>
          <w:rFonts w:ascii="Times New Roman" w:hAnsi="Times New Roman"/>
          <w:i/>
          <w:iCs/>
          <w:color w:val="000000" w:themeColor="text1"/>
          <w:sz w:val="18"/>
          <w:szCs w:val="18"/>
        </w:rPr>
        <w:t>Ibidem</w:t>
      </w:r>
      <w:r w:rsidRPr="003548DF">
        <w:rPr>
          <w:rFonts w:ascii="Times New Roman" w:hAnsi="Times New Roman"/>
          <w:color w:val="000000" w:themeColor="text1"/>
          <w:sz w:val="18"/>
          <w:szCs w:val="18"/>
        </w:rPr>
        <w:t>, p. 30.</w:t>
      </w:r>
    </w:p>
  </w:footnote>
  <w:footnote w:id="22">
    <w:p w:rsidR="00F32ED8" w:rsidRPr="003548DF" w:rsidRDefault="00DE7CC4" w:rsidP="00F32ED8">
      <w:pPr>
        <w:pStyle w:val="Textonotapie"/>
        <w:ind w:right="49"/>
        <w:rPr>
          <w:rFonts w:ascii="Times New Roman" w:hAnsi="Times New Roman"/>
          <w:color w:val="000000" w:themeColor="text1"/>
          <w:sz w:val="18"/>
          <w:szCs w:val="18"/>
        </w:rPr>
      </w:pPr>
      <w:r w:rsidRPr="003548DF">
        <w:rPr>
          <w:rStyle w:val="Refdenotaalpie"/>
          <w:rFonts w:ascii="Times New Roman" w:hAnsi="Times New Roman"/>
          <w:color w:val="000000" w:themeColor="text1"/>
          <w:sz w:val="18"/>
          <w:szCs w:val="18"/>
        </w:rPr>
        <w:footnoteRef/>
      </w:r>
      <w:r w:rsidRPr="003548DF">
        <w:rPr>
          <w:rFonts w:ascii="Times New Roman" w:hAnsi="Times New Roman"/>
          <w:i/>
          <w:iCs/>
          <w:color w:val="000000" w:themeColor="text1"/>
          <w:sz w:val="18"/>
          <w:szCs w:val="18"/>
        </w:rPr>
        <w:t xml:space="preserve"> Ibidem</w:t>
      </w:r>
      <w:r w:rsidRPr="003548DF">
        <w:rPr>
          <w:rFonts w:ascii="Times New Roman" w:hAnsi="Times New Roman"/>
          <w:color w:val="000000" w:themeColor="text1"/>
          <w:sz w:val="18"/>
          <w:szCs w:val="18"/>
        </w:rPr>
        <w:t>, p. 39.</w:t>
      </w:r>
    </w:p>
  </w:footnote>
  <w:footnote w:id="23">
    <w:p w:rsidR="00F32ED8" w:rsidRPr="003548DF" w:rsidRDefault="00DE7CC4" w:rsidP="00F32ED8">
      <w:pPr>
        <w:pStyle w:val="Textonotapie"/>
        <w:ind w:right="49"/>
        <w:rPr>
          <w:rFonts w:ascii="Times New Roman" w:hAnsi="Times New Roman"/>
          <w:color w:val="000000" w:themeColor="text1"/>
          <w:sz w:val="18"/>
          <w:szCs w:val="18"/>
        </w:rPr>
      </w:pPr>
      <w:r w:rsidRPr="003548DF">
        <w:rPr>
          <w:rStyle w:val="Refdenotaalpie"/>
          <w:rFonts w:ascii="Times New Roman" w:hAnsi="Times New Roman"/>
          <w:color w:val="000000" w:themeColor="text1"/>
          <w:sz w:val="18"/>
          <w:szCs w:val="18"/>
        </w:rPr>
        <w:footnoteRef/>
      </w:r>
      <w:r w:rsidRPr="003548DF">
        <w:rPr>
          <w:rFonts w:ascii="Times New Roman" w:hAnsi="Times New Roman"/>
          <w:color w:val="000000" w:themeColor="text1"/>
          <w:sz w:val="18"/>
          <w:szCs w:val="18"/>
        </w:rPr>
        <w:t xml:space="preserve"> Corrección de la demanda, p. 13.</w:t>
      </w:r>
    </w:p>
  </w:footnote>
  <w:footnote w:id="24">
    <w:p w:rsidR="00F32ED8" w:rsidRPr="003548DF" w:rsidRDefault="00DE7CC4" w:rsidP="00F32ED8">
      <w:pPr>
        <w:pStyle w:val="Textonotapie"/>
        <w:ind w:right="49"/>
        <w:rPr>
          <w:rFonts w:ascii="Times New Roman" w:hAnsi="Times New Roman"/>
          <w:color w:val="000000" w:themeColor="text1"/>
          <w:sz w:val="18"/>
          <w:szCs w:val="18"/>
        </w:rPr>
      </w:pPr>
      <w:r w:rsidRPr="003548DF">
        <w:rPr>
          <w:rStyle w:val="Refdenotaalpie"/>
          <w:rFonts w:ascii="Times New Roman" w:hAnsi="Times New Roman"/>
          <w:color w:val="000000" w:themeColor="text1"/>
          <w:sz w:val="18"/>
          <w:szCs w:val="18"/>
        </w:rPr>
        <w:footnoteRef/>
      </w:r>
      <w:r w:rsidRPr="003548DF">
        <w:rPr>
          <w:rFonts w:ascii="Times New Roman" w:hAnsi="Times New Roman"/>
          <w:color w:val="000000" w:themeColor="text1"/>
          <w:sz w:val="18"/>
          <w:szCs w:val="18"/>
        </w:rPr>
        <w:t xml:space="preserve"> Corrección de la demanda, p. 12. </w:t>
      </w:r>
    </w:p>
  </w:footnote>
  <w:footnote w:id="25">
    <w:p w:rsidR="00F32ED8" w:rsidRPr="003548DF" w:rsidRDefault="00DE7CC4" w:rsidP="00F32ED8">
      <w:pPr>
        <w:pStyle w:val="Textonotapie"/>
        <w:ind w:right="49"/>
        <w:rPr>
          <w:rFonts w:ascii="Times New Roman" w:hAnsi="Times New Roman"/>
          <w:color w:val="000000" w:themeColor="text1"/>
          <w:sz w:val="18"/>
          <w:szCs w:val="18"/>
        </w:rPr>
      </w:pPr>
      <w:r w:rsidRPr="003548DF">
        <w:rPr>
          <w:rStyle w:val="Refdenotaalpie"/>
          <w:rFonts w:ascii="Times New Roman" w:hAnsi="Times New Roman"/>
          <w:color w:val="000000" w:themeColor="text1"/>
          <w:sz w:val="18"/>
          <w:szCs w:val="18"/>
        </w:rPr>
        <w:footnoteRef/>
      </w:r>
      <w:r w:rsidRPr="003548DF">
        <w:rPr>
          <w:rFonts w:ascii="Times New Roman" w:hAnsi="Times New Roman"/>
          <w:color w:val="000000" w:themeColor="text1"/>
          <w:sz w:val="18"/>
          <w:szCs w:val="18"/>
        </w:rPr>
        <w:t xml:space="preserve"> </w:t>
      </w:r>
      <w:hyperlink r:id="rId4" w:history="1">
        <w:r w:rsidRPr="003548DF">
          <w:rPr>
            <w:rStyle w:val="Hipervnculo"/>
            <w:rFonts w:ascii="Times New Roman" w:hAnsi="Times New Roman"/>
            <w:color w:val="000000" w:themeColor="text1"/>
            <w:sz w:val="18"/>
            <w:szCs w:val="18"/>
          </w:rPr>
          <w:t>https://www.corteconstitucional.gov.co/secretaria/archivo.php?id=63835</w:t>
        </w:r>
      </w:hyperlink>
      <w:r w:rsidRPr="003548DF">
        <w:rPr>
          <w:rFonts w:ascii="Times New Roman" w:hAnsi="Times New Roman"/>
          <w:color w:val="000000" w:themeColor="text1"/>
          <w:sz w:val="18"/>
          <w:szCs w:val="18"/>
        </w:rPr>
        <w:t xml:space="preserve">. </w:t>
      </w:r>
    </w:p>
  </w:footnote>
  <w:footnote w:id="26">
    <w:p w:rsidR="00F32ED8" w:rsidRPr="003548DF" w:rsidRDefault="00DE7CC4" w:rsidP="00F32ED8">
      <w:pPr>
        <w:pStyle w:val="Textonotapie"/>
        <w:ind w:right="49"/>
        <w:rPr>
          <w:rFonts w:ascii="Times New Roman" w:hAnsi="Times New Roman"/>
          <w:color w:val="000000" w:themeColor="text1"/>
          <w:sz w:val="18"/>
          <w:szCs w:val="18"/>
        </w:rPr>
      </w:pPr>
      <w:r w:rsidRPr="003548DF">
        <w:rPr>
          <w:rStyle w:val="Refdenotaalpie"/>
          <w:rFonts w:ascii="Times New Roman" w:hAnsi="Times New Roman"/>
          <w:color w:val="000000" w:themeColor="text1"/>
          <w:sz w:val="18"/>
          <w:szCs w:val="18"/>
        </w:rPr>
        <w:footnoteRef/>
      </w:r>
      <w:r w:rsidRPr="003548DF">
        <w:rPr>
          <w:rFonts w:ascii="Times New Roman" w:hAnsi="Times New Roman"/>
          <w:color w:val="000000" w:themeColor="text1"/>
          <w:sz w:val="18"/>
          <w:szCs w:val="18"/>
        </w:rPr>
        <w:t xml:space="preserve"> </w:t>
      </w:r>
      <w:hyperlink r:id="rId5" w:history="1">
        <w:r w:rsidRPr="003548DF">
          <w:rPr>
            <w:rStyle w:val="Hipervnculo"/>
            <w:rFonts w:ascii="Times New Roman" w:hAnsi="Times New Roman"/>
            <w:color w:val="000000" w:themeColor="text1"/>
            <w:sz w:val="18"/>
            <w:szCs w:val="18"/>
          </w:rPr>
          <w:t>https://w</w:t>
        </w:r>
        <w:r w:rsidRPr="003548DF">
          <w:rPr>
            <w:rStyle w:val="Hipervnculo"/>
            <w:rFonts w:ascii="Times New Roman" w:hAnsi="Times New Roman"/>
            <w:color w:val="000000" w:themeColor="text1"/>
            <w:sz w:val="18"/>
            <w:szCs w:val="18"/>
          </w:rPr>
          <w:t>ww.corteconstitucional.gov.co/secretaria/archivo.php?id=64159</w:t>
        </w:r>
      </w:hyperlink>
      <w:r w:rsidRPr="003548DF">
        <w:rPr>
          <w:rFonts w:ascii="Times New Roman" w:hAnsi="Times New Roman"/>
          <w:color w:val="000000" w:themeColor="text1"/>
          <w:sz w:val="18"/>
          <w:szCs w:val="18"/>
        </w:rPr>
        <w:t xml:space="preserve">. </w:t>
      </w:r>
    </w:p>
  </w:footnote>
  <w:footnote w:id="27">
    <w:p w:rsidR="00F32ED8" w:rsidRPr="003548DF" w:rsidRDefault="00DE7CC4" w:rsidP="00F32ED8">
      <w:pPr>
        <w:pStyle w:val="Textonotapie"/>
        <w:ind w:right="49"/>
        <w:rPr>
          <w:rFonts w:ascii="Times New Roman" w:hAnsi="Times New Roman"/>
          <w:color w:val="000000" w:themeColor="text1"/>
          <w:sz w:val="18"/>
          <w:szCs w:val="18"/>
        </w:rPr>
      </w:pPr>
      <w:r w:rsidRPr="003548DF">
        <w:rPr>
          <w:rStyle w:val="Refdenotaalpie"/>
          <w:rFonts w:ascii="Times New Roman" w:hAnsi="Times New Roman"/>
          <w:color w:val="000000" w:themeColor="text1"/>
          <w:sz w:val="18"/>
          <w:szCs w:val="18"/>
        </w:rPr>
        <w:footnoteRef/>
      </w:r>
      <w:r w:rsidRPr="003548DF">
        <w:rPr>
          <w:rFonts w:ascii="Times New Roman" w:hAnsi="Times New Roman"/>
          <w:color w:val="000000" w:themeColor="text1"/>
          <w:sz w:val="18"/>
          <w:szCs w:val="18"/>
        </w:rPr>
        <w:t xml:space="preserve"> </w:t>
      </w:r>
      <w:hyperlink r:id="rId6" w:history="1">
        <w:r w:rsidRPr="003548DF">
          <w:rPr>
            <w:rStyle w:val="Hipervnculo"/>
            <w:rFonts w:ascii="Times New Roman" w:hAnsi="Times New Roman"/>
            <w:color w:val="000000" w:themeColor="text1"/>
            <w:sz w:val="18"/>
            <w:szCs w:val="18"/>
          </w:rPr>
          <w:t>https://www.corteconstitucional.gov.co/secretaria/archivo.php?id=63713</w:t>
        </w:r>
      </w:hyperlink>
      <w:r w:rsidRPr="003548DF">
        <w:rPr>
          <w:rFonts w:ascii="Times New Roman" w:hAnsi="Times New Roman"/>
          <w:color w:val="000000" w:themeColor="text1"/>
          <w:sz w:val="18"/>
          <w:szCs w:val="18"/>
        </w:rPr>
        <w:t>.</w:t>
      </w:r>
    </w:p>
  </w:footnote>
  <w:footnote w:id="28">
    <w:p w:rsidR="00F32ED8" w:rsidRPr="003548DF" w:rsidRDefault="00DE7CC4" w:rsidP="00F32ED8">
      <w:pPr>
        <w:pStyle w:val="Textonotapie"/>
        <w:ind w:right="49"/>
        <w:rPr>
          <w:rFonts w:ascii="Times New Roman" w:hAnsi="Times New Roman"/>
          <w:color w:val="000000" w:themeColor="text1"/>
          <w:sz w:val="18"/>
          <w:szCs w:val="18"/>
        </w:rPr>
      </w:pPr>
      <w:r w:rsidRPr="003548DF">
        <w:rPr>
          <w:rStyle w:val="Refdenotaalpie"/>
          <w:rFonts w:ascii="Times New Roman" w:hAnsi="Times New Roman"/>
          <w:color w:val="000000" w:themeColor="text1"/>
          <w:sz w:val="18"/>
          <w:szCs w:val="18"/>
        </w:rPr>
        <w:footnoteRef/>
      </w:r>
      <w:r w:rsidRPr="003548DF">
        <w:rPr>
          <w:rFonts w:ascii="Times New Roman" w:hAnsi="Times New Roman"/>
          <w:color w:val="000000" w:themeColor="text1"/>
          <w:sz w:val="18"/>
          <w:szCs w:val="18"/>
        </w:rPr>
        <w:t xml:space="preserve"> </w:t>
      </w:r>
      <w:hyperlink r:id="rId7" w:history="1">
        <w:r w:rsidRPr="003548DF">
          <w:rPr>
            <w:rStyle w:val="Hipervnculo"/>
            <w:rFonts w:ascii="Times New Roman" w:hAnsi="Times New Roman"/>
            <w:color w:val="000000" w:themeColor="text1"/>
            <w:sz w:val="18"/>
            <w:szCs w:val="18"/>
          </w:rPr>
          <w:t>https://www.corteconstitucional.gov.co/secretaria/archivo.php?id=63974</w:t>
        </w:r>
      </w:hyperlink>
      <w:r w:rsidRPr="003548DF">
        <w:rPr>
          <w:rFonts w:ascii="Times New Roman" w:hAnsi="Times New Roman"/>
          <w:color w:val="000000" w:themeColor="text1"/>
          <w:sz w:val="18"/>
          <w:szCs w:val="18"/>
        </w:rPr>
        <w:t xml:space="preserve">. </w:t>
      </w:r>
    </w:p>
  </w:footnote>
  <w:footnote w:id="29">
    <w:p w:rsidR="00F32ED8" w:rsidRPr="003548DF" w:rsidRDefault="00DE7CC4" w:rsidP="00F32ED8">
      <w:pPr>
        <w:pStyle w:val="Textonotapie"/>
        <w:ind w:right="49"/>
        <w:rPr>
          <w:rFonts w:ascii="Times New Roman" w:hAnsi="Times New Roman"/>
          <w:color w:val="000000" w:themeColor="text1"/>
          <w:sz w:val="18"/>
          <w:szCs w:val="18"/>
        </w:rPr>
      </w:pPr>
      <w:r w:rsidRPr="003548DF">
        <w:rPr>
          <w:rStyle w:val="Refdenotaalpie"/>
          <w:rFonts w:ascii="Times New Roman" w:hAnsi="Times New Roman"/>
          <w:color w:val="000000" w:themeColor="text1"/>
          <w:sz w:val="18"/>
          <w:szCs w:val="18"/>
        </w:rPr>
        <w:footnoteRef/>
      </w:r>
      <w:r w:rsidRPr="003548DF">
        <w:rPr>
          <w:rFonts w:ascii="Times New Roman" w:hAnsi="Times New Roman"/>
          <w:color w:val="000000" w:themeColor="text1"/>
          <w:sz w:val="18"/>
          <w:szCs w:val="18"/>
        </w:rPr>
        <w:t xml:space="preserve"> </w:t>
      </w:r>
      <w:hyperlink r:id="rId8" w:history="1">
        <w:r w:rsidRPr="003548DF">
          <w:rPr>
            <w:rStyle w:val="Hipervnculo"/>
            <w:rFonts w:ascii="Times New Roman" w:hAnsi="Times New Roman"/>
            <w:color w:val="000000" w:themeColor="text1"/>
            <w:sz w:val="18"/>
            <w:szCs w:val="18"/>
          </w:rPr>
          <w:t>https://www.corteconstitucional.gov.</w:t>
        </w:r>
        <w:r w:rsidRPr="003548DF">
          <w:rPr>
            <w:rStyle w:val="Hipervnculo"/>
            <w:rFonts w:ascii="Times New Roman" w:hAnsi="Times New Roman"/>
            <w:color w:val="000000" w:themeColor="text1"/>
            <w:sz w:val="18"/>
            <w:szCs w:val="18"/>
          </w:rPr>
          <w:t>co/secretaria/archivo.php?id=62120</w:t>
        </w:r>
      </w:hyperlink>
      <w:r w:rsidRPr="003548DF">
        <w:rPr>
          <w:rFonts w:ascii="Times New Roman" w:hAnsi="Times New Roman"/>
          <w:color w:val="000000" w:themeColor="text1"/>
          <w:sz w:val="18"/>
          <w:szCs w:val="18"/>
        </w:rPr>
        <w:t xml:space="preserve">. </w:t>
      </w:r>
    </w:p>
  </w:footnote>
  <w:footnote w:id="30">
    <w:p w:rsidR="00F32ED8" w:rsidRPr="003548DF" w:rsidRDefault="00DE7CC4" w:rsidP="00F32ED8">
      <w:pPr>
        <w:pStyle w:val="Textonotapie"/>
        <w:ind w:right="49"/>
        <w:rPr>
          <w:rFonts w:ascii="Times New Roman" w:hAnsi="Times New Roman"/>
          <w:color w:val="000000" w:themeColor="text1"/>
          <w:sz w:val="18"/>
          <w:szCs w:val="18"/>
        </w:rPr>
      </w:pPr>
      <w:r w:rsidRPr="003548DF">
        <w:rPr>
          <w:rStyle w:val="Refdenotaalpie"/>
          <w:rFonts w:ascii="Times New Roman" w:hAnsi="Times New Roman"/>
          <w:color w:val="000000" w:themeColor="text1"/>
          <w:sz w:val="18"/>
          <w:szCs w:val="18"/>
        </w:rPr>
        <w:footnoteRef/>
      </w:r>
      <w:r w:rsidRPr="003548DF">
        <w:rPr>
          <w:rFonts w:ascii="Times New Roman" w:hAnsi="Times New Roman"/>
          <w:color w:val="000000" w:themeColor="text1"/>
          <w:sz w:val="18"/>
          <w:szCs w:val="18"/>
        </w:rPr>
        <w:t xml:space="preserve"> </w:t>
      </w:r>
      <w:hyperlink r:id="rId9" w:history="1">
        <w:r w:rsidRPr="003548DF">
          <w:rPr>
            <w:rStyle w:val="Hipervnculo"/>
            <w:rFonts w:ascii="Times New Roman" w:hAnsi="Times New Roman"/>
            <w:color w:val="000000" w:themeColor="text1"/>
            <w:sz w:val="18"/>
            <w:szCs w:val="18"/>
          </w:rPr>
          <w:t>https://www.corteconstitucional.gov.co/secretaria/archivo.php?id=63826</w:t>
        </w:r>
      </w:hyperlink>
      <w:r w:rsidRPr="003548DF">
        <w:rPr>
          <w:rFonts w:ascii="Times New Roman" w:hAnsi="Times New Roman"/>
          <w:color w:val="000000" w:themeColor="text1"/>
          <w:sz w:val="18"/>
          <w:szCs w:val="18"/>
        </w:rPr>
        <w:t xml:space="preserve">. </w:t>
      </w:r>
    </w:p>
  </w:footnote>
  <w:footnote w:id="31">
    <w:p w:rsidR="00F32ED8" w:rsidRPr="003548DF" w:rsidRDefault="00DE7CC4" w:rsidP="00F32ED8">
      <w:pPr>
        <w:pStyle w:val="Textonotapie"/>
        <w:ind w:right="49"/>
        <w:rPr>
          <w:rFonts w:ascii="Times New Roman" w:hAnsi="Times New Roman"/>
          <w:color w:val="000000" w:themeColor="text1"/>
          <w:sz w:val="18"/>
          <w:szCs w:val="18"/>
          <w:lang w:val="es-ES_tradnl"/>
        </w:rPr>
      </w:pPr>
      <w:r w:rsidRPr="003548DF">
        <w:rPr>
          <w:rStyle w:val="Refdenotaalpie"/>
          <w:rFonts w:ascii="Times New Roman" w:hAnsi="Times New Roman"/>
          <w:color w:val="000000" w:themeColor="text1"/>
          <w:sz w:val="18"/>
          <w:szCs w:val="18"/>
        </w:rPr>
        <w:footnoteRef/>
      </w:r>
      <w:r w:rsidRPr="003548DF">
        <w:rPr>
          <w:rFonts w:ascii="Times New Roman" w:hAnsi="Times New Roman"/>
          <w:color w:val="000000" w:themeColor="text1"/>
          <w:sz w:val="18"/>
          <w:szCs w:val="18"/>
        </w:rPr>
        <w:t xml:space="preserve"> </w:t>
      </w:r>
      <w:hyperlink r:id="rId10" w:history="1">
        <w:r w:rsidRPr="003548DF">
          <w:rPr>
            <w:rStyle w:val="Hipervnculo"/>
            <w:rFonts w:ascii="Times New Roman" w:hAnsi="Times New Roman"/>
            <w:color w:val="000000" w:themeColor="text1"/>
            <w:sz w:val="18"/>
            <w:szCs w:val="18"/>
          </w:rPr>
          <w:t>https://www.corteconstitucional.gov.co/secretaria/archivo.php?id=64163</w:t>
        </w:r>
      </w:hyperlink>
      <w:r w:rsidRPr="003548DF">
        <w:rPr>
          <w:rFonts w:ascii="Times New Roman" w:hAnsi="Times New Roman"/>
          <w:color w:val="000000" w:themeColor="text1"/>
          <w:sz w:val="18"/>
          <w:szCs w:val="18"/>
        </w:rPr>
        <w:t xml:space="preserve">. </w:t>
      </w:r>
    </w:p>
  </w:footnote>
  <w:footnote w:id="32">
    <w:p w:rsidR="00F32ED8" w:rsidRPr="003548DF" w:rsidRDefault="00DE7CC4" w:rsidP="00F32ED8">
      <w:pPr>
        <w:pStyle w:val="Textonotapie"/>
        <w:ind w:right="49"/>
        <w:rPr>
          <w:rFonts w:ascii="Times New Roman" w:hAnsi="Times New Roman"/>
          <w:color w:val="000000" w:themeColor="text1"/>
          <w:sz w:val="18"/>
          <w:szCs w:val="18"/>
        </w:rPr>
      </w:pPr>
      <w:r w:rsidRPr="003548DF">
        <w:rPr>
          <w:rStyle w:val="Refdenotaalpie"/>
          <w:rFonts w:ascii="Times New Roman" w:hAnsi="Times New Roman"/>
          <w:color w:val="000000" w:themeColor="text1"/>
          <w:sz w:val="18"/>
          <w:szCs w:val="18"/>
        </w:rPr>
        <w:footnoteRef/>
      </w:r>
      <w:r w:rsidRPr="003548DF">
        <w:rPr>
          <w:rFonts w:ascii="Times New Roman" w:hAnsi="Times New Roman"/>
          <w:color w:val="000000" w:themeColor="text1"/>
          <w:sz w:val="18"/>
          <w:szCs w:val="18"/>
        </w:rPr>
        <w:t xml:space="preserve"> </w:t>
      </w:r>
      <w:hyperlink r:id="rId11" w:history="1">
        <w:r w:rsidRPr="003548DF">
          <w:rPr>
            <w:rStyle w:val="Hipervnculo"/>
            <w:rFonts w:ascii="Times New Roman" w:hAnsi="Times New Roman"/>
            <w:color w:val="000000" w:themeColor="text1"/>
            <w:sz w:val="18"/>
            <w:szCs w:val="18"/>
          </w:rPr>
          <w:t>https://www.corteconstitucional.gov.co/secretaria/archivo.php?id=66051</w:t>
        </w:r>
      </w:hyperlink>
      <w:r w:rsidRPr="003548DF">
        <w:rPr>
          <w:rFonts w:ascii="Times New Roman" w:hAnsi="Times New Roman"/>
          <w:color w:val="000000" w:themeColor="text1"/>
          <w:sz w:val="18"/>
          <w:szCs w:val="18"/>
        </w:rPr>
        <w:t xml:space="preserve">. </w:t>
      </w:r>
    </w:p>
  </w:footnote>
  <w:footnote w:id="33">
    <w:p w:rsidR="00F32ED8" w:rsidRPr="003548DF" w:rsidRDefault="00DE7CC4" w:rsidP="00F32ED8">
      <w:pPr>
        <w:pStyle w:val="Textonotapie"/>
        <w:ind w:right="49"/>
        <w:rPr>
          <w:rFonts w:ascii="Times New Roman" w:hAnsi="Times New Roman"/>
          <w:color w:val="000000" w:themeColor="text1"/>
          <w:sz w:val="18"/>
          <w:szCs w:val="18"/>
          <w:lang w:val="es-ES_tradnl"/>
        </w:rPr>
      </w:pPr>
      <w:r w:rsidRPr="003548DF">
        <w:rPr>
          <w:rStyle w:val="Refdenotaalpie"/>
          <w:rFonts w:ascii="Times New Roman" w:hAnsi="Times New Roman"/>
          <w:color w:val="000000" w:themeColor="text1"/>
          <w:sz w:val="18"/>
          <w:szCs w:val="18"/>
        </w:rPr>
        <w:footnoteRef/>
      </w:r>
      <w:r w:rsidRPr="003548DF">
        <w:rPr>
          <w:rFonts w:ascii="Times New Roman" w:hAnsi="Times New Roman"/>
          <w:color w:val="000000" w:themeColor="text1"/>
          <w:sz w:val="18"/>
          <w:szCs w:val="18"/>
        </w:rPr>
        <w:t xml:space="preserve"> </w:t>
      </w:r>
      <w:hyperlink r:id="rId12" w:history="1">
        <w:r w:rsidRPr="003548DF">
          <w:rPr>
            <w:rStyle w:val="Hipervnculo"/>
            <w:rFonts w:ascii="Times New Roman" w:hAnsi="Times New Roman"/>
            <w:color w:val="000000" w:themeColor="text1"/>
            <w:sz w:val="18"/>
            <w:szCs w:val="18"/>
          </w:rPr>
          <w:t>https://www.corteconstitucional.gov.co/secretaria/archivo.php?id=64271</w:t>
        </w:r>
      </w:hyperlink>
      <w:r w:rsidRPr="003548DF">
        <w:rPr>
          <w:rFonts w:ascii="Times New Roman" w:hAnsi="Times New Roman"/>
          <w:color w:val="000000" w:themeColor="text1"/>
          <w:sz w:val="18"/>
          <w:szCs w:val="18"/>
        </w:rPr>
        <w:t xml:space="preserve">. </w:t>
      </w:r>
    </w:p>
  </w:footnote>
  <w:footnote w:id="34">
    <w:p w:rsidR="00F32ED8" w:rsidRPr="003548DF" w:rsidRDefault="00DE7CC4" w:rsidP="00F32ED8">
      <w:pPr>
        <w:pStyle w:val="Textonotapie"/>
        <w:ind w:right="49"/>
        <w:rPr>
          <w:rFonts w:ascii="Times New Roman" w:hAnsi="Times New Roman"/>
          <w:color w:val="000000" w:themeColor="text1"/>
          <w:sz w:val="18"/>
          <w:szCs w:val="18"/>
          <w:lang w:val="es-ES_tradnl"/>
        </w:rPr>
      </w:pPr>
      <w:r w:rsidRPr="003548DF">
        <w:rPr>
          <w:rStyle w:val="Refdenotaalpie"/>
          <w:rFonts w:ascii="Times New Roman" w:hAnsi="Times New Roman"/>
          <w:color w:val="000000" w:themeColor="text1"/>
          <w:sz w:val="18"/>
          <w:szCs w:val="18"/>
        </w:rPr>
        <w:footnoteRef/>
      </w:r>
      <w:r w:rsidRPr="003548DF">
        <w:rPr>
          <w:rFonts w:ascii="Times New Roman" w:hAnsi="Times New Roman"/>
          <w:color w:val="000000" w:themeColor="text1"/>
          <w:sz w:val="18"/>
          <w:szCs w:val="18"/>
        </w:rPr>
        <w:t xml:space="preserve"> </w:t>
      </w:r>
      <w:r w:rsidRPr="003548DF">
        <w:rPr>
          <w:rFonts w:ascii="Times New Roman" w:hAnsi="Times New Roman"/>
          <w:color w:val="000000" w:themeColor="text1"/>
          <w:sz w:val="18"/>
          <w:szCs w:val="18"/>
          <w:lang w:val="es-ES_tradnl"/>
        </w:rPr>
        <w:t>Abogado Hernán Darí</w:t>
      </w:r>
      <w:r w:rsidRPr="003548DF">
        <w:rPr>
          <w:rFonts w:ascii="Times New Roman" w:hAnsi="Times New Roman"/>
          <w:color w:val="000000" w:themeColor="text1"/>
          <w:sz w:val="18"/>
          <w:szCs w:val="18"/>
          <w:lang w:val="es-ES_tradnl"/>
        </w:rPr>
        <w:t xml:space="preserve">o Santamaría Peña. </w:t>
      </w:r>
    </w:p>
  </w:footnote>
  <w:footnote w:id="35">
    <w:p w:rsidR="00F32ED8" w:rsidRPr="003548DF" w:rsidRDefault="00DE7CC4" w:rsidP="00F32ED8">
      <w:pPr>
        <w:pStyle w:val="Textonotapie"/>
        <w:ind w:right="49"/>
        <w:rPr>
          <w:rFonts w:ascii="Times New Roman" w:hAnsi="Times New Roman"/>
          <w:color w:val="000000" w:themeColor="text1"/>
          <w:sz w:val="18"/>
          <w:szCs w:val="18"/>
          <w:lang w:val="es-ES_tradnl"/>
        </w:rPr>
      </w:pPr>
      <w:r w:rsidRPr="003548DF">
        <w:rPr>
          <w:rStyle w:val="Refdenotaalpie"/>
          <w:rFonts w:ascii="Times New Roman" w:hAnsi="Times New Roman"/>
          <w:color w:val="000000" w:themeColor="text1"/>
          <w:sz w:val="18"/>
          <w:szCs w:val="18"/>
        </w:rPr>
        <w:footnoteRef/>
      </w:r>
      <w:r w:rsidRPr="003548DF">
        <w:rPr>
          <w:rFonts w:ascii="Times New Roman" w:hAnsi="Times New Roman"/>
          <w:color w:val="000000" w:themeColor="text1"/>
          <w:sz w:val="18"/>
          <w:szCs w:val="18"/>
        </w:rPr>
        <w:t xml:space="preserve"> </w:t>
      </w:r>
      <w:r w:rsidRPr="003548DF">
        <w:rPr>
          <w:rFonts w:ascii="Times New Roman" w:hAnsi="Times New Roman"/>
          <w:color w:val="000000" w:themeColor="text1"/>
          <w:sz w:val="18"/>
          <w:szCs w:val="18"/>
          <w:lang w:val="es-ES_tradnl"/>
        </w:rPr>
        <w:t xml:space="preserve">M.P. Gabriel Eduardo Mendoza Martelo. </w:t>
      </w:r>
    </w:p>
  </w:footnote>
  <w:footnote w:id="36">
    <w:p w:rsidR="00F32ED8" w:rsidRPr="003548DF" w:rsidRDefault="00DE7CC4" w:rsidP="00F32ED8">
      <w:pPr>
        <w:pStyle w:val="Textonotapie"/>
        <w:ind w:right="49"/>
        <w:rPr>
          <w:rFonts w:ascii="Times New Roman" w:hAnsi="Times New Roman"/>
          <w:color w:val="000000" w:themeColor="text1"/>
          <w:sz w:val="18"/>
          <w:szCs w:val="18"/>
          <w:lang w:val="es-ES_tradnl"/>
        </w:rPr>
      </w:pPr>
      <w:r w:rsidRPr="003548DF">
        <w:rPr>
          <w:rStyle w:val="Refdenotaalpie"/>
          <w:rFonts w:ascii="Times New Roman" w:hAnsi="Times New Roman"/>
          <w:color w:val="000000" w:themeColor="text1"/>
          <w:sz w:val="18"/>
          <w:szCs w:val="18"/>
        </w:rPr>
        <w:footnoteRef/>
      </w:r>
      <w:r w:rsidRPr="003548DF">
        <w:rPr>
          <w:rFonts w:ascii="Times New Roman" w:hAnsi="Times New Roman"/>
          <w:color w:val="000000" w:themeColor="text1"/>
          <w:sz w:val="18"/>
          <w:szCs w:val="18"/>
        </w:rPr>
        <w:t xml:space="preserve"> </w:t>
      </w:r>
      <w:r w:rsidRPr="003548DF">
        <w:rPr>
          <w:rFonts w:ascii="Times New Roman" w:hAnsi="Times New Roman"/>
          <w:color w:val="000000" w:themeColor="text1"/>
          <w:sz w:val="18"/>
          <w:szCs w:val="18"/>
          <w:lang w:val="es-ES_tradnl"/>
        </w:rPr>
        <w:t xml:space="preserve">Intervención, p. 12. </w:t>
      </w:r>
    </w:p>
  </w:footnote>
  <w:footnote w:id="37">
    <w:p w:rsidR="00F32ED8" w:rsidRPr="003548DF" w:rsidRDefault="00DE7CC4" w:rsidP="00F32ED8">
      <w:pPr>
        <w:pStyle w:val="Textonotapie"/>
        <w:ind w:right="49"/>
        <w:rPr>
          <w:rFonts w:ascii="Times New Roman" w:hAnsi="Times New Roman"/>
          <w:color w:val="000000" w:themeColor="text1"/>
          <w:sz w:val="18"/>
          <w:szCs w:val="18"/>
          <w:lang w:val="es-ES_tradnl"/>
        </w:rPr>
      </w:pPr>
      <w:r w:rsidRPr="003548DF">
        <w:rPr>
          <w:rStyle w:val="Refdenotaalpie"/>
          <w:rFonts w:ascii="Times New Roman" w:hAnsi="Times New Roman"/>
          <w:color w:val="000000" w:themeColor="text1"/>
          <w:sz w:val="18"/>
          <w:szCs w:val="18"/>
        </w:rPr>
        <w:footnoteRef/>
      </w:r>
      <w:r w:rsidRPr="003548DF">
        <w:rPr>
          <w:rFonts w:ascii="Times New Roman" w:hAnsi="Times New Roman"/>
          <w:color w:val="000000" w:themeColor="text1"/>
          <w:sz w:val="18"/>
          <w:szCs w:val="18"/>
        </w:rPr>
        <w:t xml:space="preserve"> </w:t>
      </w:r>
      <w:r w:rsidRPr="003548DF">
        <w:rPr>
          <w:rFonts w:ascii="Times New Roman" w:hAnsi="Times New Roman"/>
          <w:i/>
          <w:iCs/>
          <w:color w:val="000000" w:themeColor="text1"/>
          <w:sz w:val="18"/>
          <w:szCs w:val="18"/>
        </w:rPr>
        <w:t>Ibidem</w:t>
      </w:r>
      <w:r w:rsidRPr="003548DF">
        <w:rPr>
          <w:rFonts w:ascii="Times New Roman" w:hAnsi="Times New Roman"/>
          <w:color w:val="000000" w:themeColor="text1"/>
          <w:sz w:val="18"/>
          <w:szCs w:val="18"/>
        </w:rPr>
        <w:t xml:space="preserve">, p. 13. </w:t>
      </w:r>
    </w:p>
  </w:footnote>
  <w:footnote w:id="38">
    <w:p w:rsidR="00F32ED8" w:rsidRPr="003548DF" w:rsidRDefault="00DE7CC4" w:rsidP="00F32ED8">
      <w:pPr>
        <w:pStyle w:val="Textonotapie"/>
        <w:ind w:right="49"/>
        <w:rPr>
          <w:rFonts w:ascii="Times New Roman" w:hAnsi="Times New Roman"/>
          <w:color w:val="000000" w:themeColor="text1"/>
          <w:sz w:val="18"/>
          <w:szCs w:val="18"/>
          <w:lang w:val="es-ES_tradnl"/>
        </w:rPr>
      </w:pPr>
      <w:r w:rsidRPr="003548DF">
        <w:rPr>
          <w:rStyle w:val="Refdenotaalpie"/>
          <w:rFonts w:ascii="Times New Roman" w:hAnsi="Times New Roman"/>
          <w:color w:val="000000" w:themeColor="text1"/>
          <w:sz w:val="18"/>
          <w:szCs w:val="18"/>
        </w:rPr>
        <w:footnoteRef/>
      </w:r>
      <w:r w:rsidRPr="003548DF">
        <w:rPr>
          <w:rFonts w:ascii="Times New Roman" w:hAnsi="Times New Roman"/>
          <w:color w:val="000000" w:themeColor="text1"/>
          <w:sz w:val="18"/>
          <w:szCs w:val="18"/>
        </w:rPr>
        <w:t xml:space="preserve"> </w:t>
      </w:r>
      <w:r w:rsidRPr="003548DF">
        <w:rPr>
          <w:rFonts w:ascii="Times New Roman" w:hAnsi="Times New Roman"/>
          <w:i/>
          <w:iCs/>
          <w:color w:val="000000" w:themeColor="text1"/>
          <w:sz w:val="18"/>
          <w:szCs w:val="18"/>
        </w:rPr>
        <w:t>Ibidem</w:t>
      </w:r>
      <w:r>
        <w:rPr>
          <w:rFonts w:ascii="Times New Roman" w:hAnsi="Times New Roman"/>
          <w:color w:val="000000" w:themeColor="text1"/>
          <w:sz w:val="18"/>
          <w:szCs w:val="18"/>
        </w:rPr>
        <w:t>.</w:t>
      </w:r>
    </w:p>
  </w:footnote>
  <w:footnote w:id="39">
    <w:p w:rsidR="00F32ED8" w:rsidRPr="003548DF" w:rsidRDefault="00DE7CC4" w:rsidP="00F32ED8">
      <w:pPr>
        <w:pStyle w:val="Textonotapie"/>
        <w:ind w:right="49"/>
        <w:rPr>
          <w:rFonts w:ascii="Times New Roman" w:hAnsi="Times New Roman"/>
          <w:color w:val="000000" w:themeColor="text1"/>
          <w:sz w:val="18"/>
          <w:szCs w:val="18"/>
        </w:rPr>
      </w:pPr>
      <w:r w:rsidRPr="003548DF">
        <w:rPr>
          <w:rStyle w:val="Refdenotaalpie"/>
          <w:rFonts w:ascii="Times New Roman" w:hAnsi="Times New Roman"/>
          <w:color w:val="000000" w:themeColor="text1"/>
          <w:sz w:val="18"/>
          <w:szCs w:val="18"/>
        </w:rPr>
        <w:footnoteRef/>
      </w:r>
      <w:r w:rsidRPr="003548DF">
        <w:rPr>
          <w:rFonts w:ascii="Times New Roman" w:hAnsi="Times New Roman"/>
          <w:color w:val="000000" w:themeColor="text1"/>
          <w:sz w:val="18"/>
          <w:szCs w:val="18"/>
        </w:rPr>
        <w:t xml:space="preserve"> Ciudadano Gilberto Toro Giraldo. </w:t>
      </w:r>
    </w:p>
  </w:footnote>
  <w:footnote w:id="40">
    <w:p w:rsidR="00F32ED8" w:rsidRPr="003548DF" w:rsidRDefault="00DE7CC4" w:rsidP="00F32ED8">
      <w:pPr>
        <w:pStyle w:val="Textonotapie"/>
        <w:ind w:right="49"/>
        <w:jc w:val="both"/>
        <w:rPr>
          <w:rFonts w:ascii="Times New Roman" w:hAnsi="Times New Roman"/>
          <w:color w:val="000000" w:themeColor="text1"/>
          <w:sz w:val="18"/>
          <w:szCs w:val="18"/>
        </w:rPr>
      </w:pPr>
      <w:r w:rsidRPr="003548DF">
        <w:rPr>
          <w:rStyle w:val="Refdenotaalpie"/>
          <w:rFonts w:ascii="Times New Roman" w:hAnsi="Times New Roman"/>
          <w:color w:val="000000" w:themeColor="text1"/>
          <w:sz w:val="18"/>
          <w:szCs w:val="18"/>
        </w:rPr>
        <w:footnoteRef/>
      </w:r>
      <w:r w:rsidRPr="003548DF">
        <w:rPr>
          <w:rFonts w:ascii="Times New Roman" w:hAnsi="Times New Roman"/>
          <w:color w:val="000000" w:themeColor="text1"/>
          <w:sz w:val="18"/>
          <w:szCs w:val="18"/>
        </w:rPr>
        <w:t xml:space="preserve"> Al respecto, indicó: </w:t>
      </w:r>
      <w:r w:rsidRPr="003548DF">
        <w:rPr>
          <w:rFonts w:ascii="Times New Roman" w:hAnsi="Times New Roman"/>
          <w:i/>
          <w:iCs/>
          <w:color w:val="000000" w:themeColor="text1"/>
          <w:sz w:val="18"/>
          <w:szCs w:val="18"/>
        </w:rPr>
        <w:t>“uno se plantea la situación de una persona que al salir de su casa se encuentra con</w:t>
      </w:r>
      <w:r w:rsidRPr="003548DF">
        <w:rPr>
          <w:rFonts w:ascii="Times New Roman" w:hAnsi="Times New Roman"/>
          <w:i/>
          <w:iCs/>
          <w:color w:val="000000" w:themeColor="text1"/>
          <w:sz w:val="18"/>
          <w:szCs w:val="18"/>
        </w:rPr>
        <w:t xml:space="preserve"> que uno de sus vecinos ha corrido la cerca invadiendo su terreno, mientras que el hijo de ese u otro vecino por andar jugando con un balón le ha roto los vidrios de un ventanal, además de que ha causado abolladuras en el automóvil que se dispone a abordar</w:t>
      </w:r>
      <w:r w:rsidRPr="003548DF">
        <w:rPr>
          <w:rFonts w:ascii="Times New Roman" w:hAnsi="Times New Roman"/>
          <w:i/>
          <w:iCs/>
          <w:color w:val="000000" w:themeColor="text1"/>
          <w:sz w:val="18"/>
          <w:szCs w:val="18"/>
        </w:rPr>
        <w:t xml:space="preserve"> y a poner en marcha para dirigirse a su trabajo, trayecto en el cual colisiona con otro automotor sin que se produzca lesión personal alguna.” Ibidem</w:t>
      </w:r>
      <w:r w:rsidRPr="003548DF">
        <w:rPr>
          <w:rFonts w:ascii="Times New Roman" w:hAnsi="Times New Roman"/>
          <w:color w:val="000000" w:themeColor="text1"/>
          <w:sz w:val="18"/>
          <w:szCs w:val="18"/>
        </w:rPr>
        <w:t xml:space="preserve">, p.1. </w:t>
      </w:r>
    </w:p>
  </w:footnote>
  <w:footnote w:id="41">
    <w:p w:rsidR="00F32ED8" w:rsidRPr="003548DF" w:rsidRDefault="00DE7CC4" w:rsidP="00F32ED8">
      <w:pPr>
        <w:pStyle w:val="Textonotapie"/>
        <w:ind w:right="49"/>
        <w:rPr>
          <w:rFonts w:ascii="Times New Roman" w:hAnsi="Times New Roman"/>
          <w:color w:val="000000" w:themeColor="text1"/>
          <w:sz w:val="18"/>
          <w:szCs w:val="18"/>
        </w:rPr>
      </w:pPr>
      <w:r w:rsidRPr="003548DF">
        <w:rPr>
          <w:rStyle w:val="Refdenotaalpie"/>
          <w:rFonts w:ascii="Times New Roman" w:hAnsi="Times New Roman"/>
          <w:color w:val="000000" w:themeColor="text1"/>
          <w:sz w:val="18"/>
          <w:szCs w:val="18"/>
        </w:rPr>
        <w:footnoteRef/>
      </w:r>
      <w:r w:rsidRPr="003548DF">
        <w:rPr>
          <w:rFonts w:ascii="Times New Roman" w:hAnsi="Times New Roman"/>
          <w:color w:val="000000" w:themeColor="text1"/>
          <w:sz w:val="18"/>
          <w:szCs w:val="18"/>
        </w:rPr>
        <w:t xml:space="preserve"> </w:t>
      </w:r>
      <w:r w:rsidRPr="003548DF">
        <w:rPr>
          <w:rFonts w:ascii="Times New Roman" w:hAnsi="Times New Roman"/>
          <w:i/>
          <w:iCs/>
          <w:color w:val="000000" w:themeColor="text1"/>
          <w:sz w:val="18"/>
          <w:szCs w:val="18"/>
        </w:rPr>
        <w:t xml:space="preserve">Ibidem, </w:t>
      </w:r>
      <w:r w:rsidRPr="003548DF">
        <w:rPr>
          <w:rFonts w:ascii="Times New Roman" w:hAnsi="Times New Roman"/>
          <w:color w:val="000000" w:themeColor="text1"/>
          <w:sz w:val="18"/>
          <w:szCs w:val="18"/>
        </w:rPr>
        <w:t>pp. 2 y 3.</w:t>
      </w:r>
    </w:p>
  </w:footnote>
  <w:footnote w:id="42">
    <w:p w:rsidR="00F32ED8" w:rsidRPr="003548DF" w:rsidRDefault="00DE7CC4" w:rsidP="00F32ED8">
      <w:pPr>
        <w:pStyle w:val="Textonotapie"/>
        <w:ind w:right="49"/>
        <w:rPr>
          <w:rFonts w:ascii="Times New Roman" w:hAnsi="Times New Roman"/>
          <w:color w:val="000000" w:themeColor="text1"/>
          <w:sz w:val="18"/>
          <w:szCs w:val="18"/>
        </w:rPr>
      </w:pPr>
      <w:r w:rsidRPr="003548DF">
        <w:rPr>
          <w:rStyle w:val="Refdenotaalpie"/>
          <w:rFonts w:ascii="Times New Roman" w:hAnsi="Times New Roman"/>
          <w:color w:val="000000" w:themeColor="text1"/>
          <w:sz w:val="18"/>
          <w:szCs w:val="18"/>
        </w:rPr>
        <w:footnoteRef/>
      </w:r>
      <w:r w:rsidRPr="003548DF">
        <w:rPr>
          <w:rFonts w:ascii="Times New Roman" w:hAnsi="Times New Roman"/>
          <w:color w:val="000000" w:themeColor="text1"/>
          <w:sz w:val="18"/>
          <w:szCs w:val="18"/>
        </w:rPr>
        <w:t xml:space="preserve"> </w:t>
      </w:r>
      <w:r w:rsidRPr="003548DF">
        <w:rPr>
          <w:rFonts w:ascii="Times New Roman" w:hAnsi="Times New Roman"/>
          <w:i/>
          <w:iCs/>
          <w:color w:val="000000" w:themeColor="text1"/>
          <w:sz w:val="18"/>
          <w:szCs w:val="18"/>
        </w:rPr>
        <w:t xml:space="preserve">Ibidem, </w:t>
      </w:r>
      <w:r w:rsidRPr="003548DF">
        <w:rPr>
          <w:rFonts w:ascii="Times New Roman" w:hAnsi="Times New Roman"/>
          <w:color w:val="000000" w:themeColor="text1"/>
          <w:sz w:val="18"/>
          <w:szCs w:val="18"/>
        </w:rPr>
        <w:t>p. 2.</w:t>
      </w:r>
    </w:p>
  </w:footnote>
  <w:footnote w:id="43">
    <w:p w:rsidR="00F32ED8" w:rsidRPr="003548DF" w:rsidRDefault="00DE7CC4" w:rsidP="00F32ED8">
      <w:pPr>
        <w:pStyle w:val="Textonotapie"/>
        <w:ind w:right="49"/>
        <w:rPr>
          <w:rFonts w:ascii="Times New Roman" w:hAnsi="Times New Roman"/>
          <w:color w:val="000000" w:themeColor="text1"/>
          <w:sz w:val="18"/>
          <w:szCs w:val="18"/>
        </w:rPr>
      </w:pPr>
      <w:r w:rsidRPr="003548DF">
        <w:rPr>
          <w:rStyle w:val="Refdenotaalpie"/>
          <w:rFonts w:ascii="Times New Roman" w:hAnsi="Times New Roman"/>
          <w:color w:val="000000" w:themeColor="text1"/>
          <w:sz w:val="18"/>
          <w:szCs w:val="18"/>
        </w:rPr>
        <w:footnoteRef/>
      </w:r>
      <w:r w:rsidRPr="003548DF">
        <w:rPr>
          <w:rFonts w:ascii="Times New Roman" w:hAnsi="Times New Roman"/>
          <w:color w:val="000000" w:themeColor="text1"/>
          <w:sz w:val="18"/>
          <w:szCs w:val="18"/>
        </w:rPr>
        <w:t xml:space="preserve"> Intervención, p. 1. </w:t>
      </w:r>
    </w:p>
  </w:footnote>
  <w:footnote w:id="44">
    <w:p w:rsidR="00F32ED8" w:rsidRPr="003548DF" w:rsidRDefault="00DE7CC4" w:rsidP="00F32ED8">
      <w:pPr>
        <w:pStyle w:val="Textonotapie"/>
        <w:ind w:right="49"/>
        <w:jc w:val="both"/>
        <w:rPr>
          <w:rFonts w:ascii="Times New Roman" w:hAnsi="Times New Roman"/>
          <w:color w:val="000000" w:themeColor="text1"/>
          <w:sz w:val="18"/>
          <w:szCs w:val="18"/>
        </w:rPr>
      </w:pPr>
      <w:r w:rsidRPr="003548DF">
        <w:rPr>
          <w:rStyle w:val="Refdenotaalpie"/>
          <w:rFonts w:ascii="Times New Roman" w:hAnsi="Times New Roman"/>
          <w:color w:val="000000" w:themeColor="text1"/>
          <w:sz w:val="18"/>
          <w:szCs w:val="18"/>
        </w:rPr>
        <w:footnoteRef/>
      </w:r>
      <w:r w:rsidRPr="003548DF">
        <w:rPr>
          <w:rFonts w:ascii="Times New Roman" w:hAnsi="Times New Roman"/>
          <w:color w:val="000000" w:themeColor="text1"/>
          <w:sz w:val="18"/>
          <w:szCs w:val="18"/>
        </w:rPr>
        <w:t xml:space="preserve"> Los estudiantes Sergio Elías Daza Tr</w:t>
      </w:r>
      <w:r w:rsidRPr="003548DF">
        <w:rPr>
          <w:rFonts w:ascii="Times New Roman" w:hAnsi="Times New Roman"/>
          <w:color w:val="000000" w:themeColor="text1"/>
          <w:sz w:val="18"/>
          <w:szCs w:val="18"/>
        </w:rPr>
        <w:t>ujillo, Anthony David Lugo Navarro y María Ximena Acosta Sánchez.</w:t>
      </w:r>
    </w:p>
  </w:footnote>
  <w:footnote w:id="45">
    <w:p w:rsidR="00F32ED8" w:rsidRPr="003548DF" w:rsidRDefault="00DE7CC4" w:rsidP="00F32ED8">
      <w:pPr>
        <w:pStyle w:val="Textonotapie"/>
        <w:ind w:right="49"/>
        <w:rPr>
          <w:rFonts w:ascii="Times New Roman" w:hAnsi="Times New Roman"/>
          <w:color w:val="000000" w:themeColor="text1"/>
          <w:sz w:val="18"/>
          <w:szCs w:val="18"/>
        </w:rPr>
      </w:pPr>
      <w:r w:rsidRPr="003548DF">
        <w:rPr>
          <w:rStyle w:val="Refdenotaalpie"/>
          <w:rFonts w:ascii="Times New Roman" w:hAnsi="Times New Roman"/>
          <w:color w:val="000000" w:themeColor="text1"/>
          <w:sz w:val="18"/>
          <w:szCs w:val="18"/>
        </w:rPr>
        <w:footnoteRef/>
      </w:r>
      <w:r w:rsidRPr="003548DF">
        <w:rPr>
          <w:rFonts w:ascii="Times New Roman" w:hAnsi="Times New Roman"/>
          <w:color w:val="000000" w:themeColor="text1"/>
          <w:sz w:val="18"/>
          <w:szCs w:val="18"/>
        </w:rPr>
        <w:t xml:space="preserve"> Intervención, p. 7.</w:t>
      </w:r>
    </w:p>
  </w:footnote>
  <w:footnote w:id="46">
    <w:p w:rsidR="00F32ED8" w:rsidRPr="003548DF" w:rsidRDefault="00DE7CC4" w:rsidP="00F32ED8">
      <w:pPr>
        <w:pStyle w:val="Textonotapie"/>
        <w:ind w:right="49"/>
        <w:jc w:val="both"/>
        <w:rPr>
          <w:rFonts w:ascii="Times New Roman" w:hAnsi="Times New Roman"/>
          <w:color w:val="000000" w:themeColor="text1"/>
          <w:sz w:val="18"/>
          <w:szCs w:val="18"/>
        </w:rPr>
      </w:pPr>
      <w:r w:rsidRPr="003548DF">
        <w:rPr>
          <w:rStyle w:val="Refdenotaalpie"/>
          <w:rFonts w:ascii="Times New Roman" w:hAnsi="Times New Roman"/>
          <w:color w:val="000000" w:themeColor="text1"/>
          <w:sz w:val="18"/>
          <w:szCs w:val="18"/>
        </w:rPr>
        <w:footnoteRef/>
      </w:r>
      <w:r w:rsidRPr="003548DF">
        <w:rPr>
          <w:rFonts w:ascii="Times New Roman" w:hAnsi="Times New Roman"/>
          <w:color w:val="000000" w:themeColor="text1"/>
          <w:sz w:val="18"/>
          <w:szCs w:val="18"/>
        </w:rPr>
        <w:t xml:space="preserve"> Sobre este principio, los intervinientes mencionaron el artículo 26 de la Convención Americana sobre Derechos Humanos y 2 del Pacto Internacional de Derechos Económic</w:t>
      </w:r>
      <w:r w:rsidRPr="003548DF">
        <w:rPr>
          <w:rFonts w:ascii="Times New Roman" w:hAnsi="Times New Roman"/>
          <w:color w:val="000000" w:themeColor="text1"/>
          <w:sz w:val="18"/>
          <w:szCs w:val="18"/>
        </w:rPr>
        <w:t xml:space="preserve">os, Sociales y Culturales, y las sentencias C-428 de 2009 y C-228 de 2011, la primera de ellas referida al principio de proporcionalidad. </w:t>
      </w:r>
    </w:p>
  </w:footnote>
  <w:footnote w:id="47">
    <w:p w:rsidR="00F32ED8" w:rsidRPr="003548DF" w:rsidRDefault="00DE7CC4" w:rsidP="00F32ED8">
      <w:pPr>
        <w:pStyle w:val="Textonotapie"/>
        <w:ind w:right="49"/>
        <w:jc w:val="both"/>
        <w:rPr>
          <w:rFonts w:ascii="Times New Roman" w:hAnsi="Times New Roman"/>
          <w:color w:val="000000" w:themeColor="text1"/>
          <w:sz w:val="18"/>
          <w:szCs w:val="18"/>
        </w:rPr>
      </w:pPr>
      <w:r w:rsidRPr="003548DF">
        <w:rPr>
          <w:rStyle w:val="Refdenotaalpie"/>
          <w:rFonts w:ascii="Times New Roman" w:hAnsi="Times New Roman"/>
          <w:color w:val="000000" w:themeColor="text1"/>
          <w:sz w:val="18"/>
          <w:szCs w:val="18"/>
        </w:rPr>
        <w:footnoteRef/>
      </w:r>
      <w:r w:rsidRPr="003548DF">
        <w:rPr>
          <w:rFonts w:ascii="Times New Roman" w:hAnsi="Times New Roman"/>
          <w:color w:val="000000" w:themeColor="text1"/>
          <w:sz w:val="18"/>
          <w:szCs w:val="18"/>
        </w:rPr>
        <w:t xml:space="preserve"> </w:t>
      </w:r>
      <w:r w:rsidRPr="003548DF">
        <w:rPr>
          <w:rFonts w:ascii="Times New Roman" w:hAnsi="Times New Roman"/>
          <w:i/>
          <w:iCs/>
          <w:color w:val="000000" w:themeColor="text1"/>
          <w:sz w:val="18"/>
          <w:szCs w:val="18"/>
        </w:rPr>
        <w:t>Ibidem,</w:t>
      </w:r>
      <w:r w:rsidRPr="003548DF">
        <w:rPr>
          <w:rFonts w:ascii="Times New Roman" w:hAnsi="Times New Roman"/>
          <w:color w:val="000000" w:themeColor="text1"/>
          <w:sz w:val="18"/>
          <w:szCs w:val="18"/>
        </w:rPr>
        <w:t xml:space="preserve"> p. 5.</w:t>
      </w:r>
    </w:p>
  </w:footnote>
  <w:footnote w:id="48">
    <w:p w:rsidR="00F32ED8" w:rsidRPr="003548DF" w:rsidRDefault="00DE7CC4" w:rsidP="00F32ED8">
      <w:pPr>
        <w:pStyle w:val="Textonotapie"/>
        <w:ind w:right="49"/>
        <w:rPr>
          <w:rFonts w:ascii="Times New Roman" w:hAnsi="Times New Roman"/>
          <w:color w:val="000000" w:themeColor="text1"/>
          <w:sz w:val="18"/>
          <w:szCs w:val="18"/>
        </w:rPr>
      </w:pPr>
      <w:r w:rsidRPr="003548DF">
        <w:rPr>
          <w:rStyle w:val="Refdenotaalpie"/>
          <w:rFonts w:ascii="Times New Roman" w:hAnsi="Times New Roman"/>
          <w:color w:val="000000" w:themeColor="text1"/>
          <w:sz w:val="18"/>
          <w:szCs w:val="18"/>
        </w:rPr>
        <w:footnoteRef/>
      </w:r>
      <w:r w:rsidRPr="003548DF">
        <w:rPr>
          <w:rFonts w:ascii="Times New Roman" w:hAnsi="Times New Roman"/>
          <w:color w:val="000000" w:themeColor="text1"/>
          <w:sz w:val="18"/>
          <w:szCs w:val="18"/>
        </w:rPr>
        <w:t xml:space="preserve"> La abogada Saray Chajin Gori. </w:t>
      </w:r>
    </w:p>
  </w:footnote>
  <w:footnote w:id="49">
    <w:p w:rsidR="00F32ED8" w:rsidRPr="003548DF" w:rsidRDefault="00DE7CC4" w:rsidP="00F32ED8">
      <w:pPr>
        <w:pStyle w:val="Textonotapie"/>
        <w:ind w:right="49"/>
        <w:jc w:val="both"/>
        <w:rPr>
          <w:rFonts w:ascii="Times New Roman" w:hAnsi="Times New Roman"/>
          <w:color w:val="000000" w:themeColor="text1"/>
          <w:sz w:val="18"/>
          <w:szCs w:val="18"/>
        </w:rPr>
      </w:pPr>
      <w:r w:rsidRPr="003548DF">
        <w:rPr>
          <w:rStyle w:val="Refdenotaalpie"/>
          <w:rFonts w:ascii="Times New Roman" w:hAnsi="Times New Roman"/>
          <w:color w:val="000000" w:themeColor="text1"/>
          <w:sz w:val="18"/>
          <w:szCs w:val="18"/>
        </w:rPr>
        <w:footnoteRef/>
      </w:r>
      <w:r w:rsidRPr="003548DF">
        <w:rPr>
          <w:rFonts w:ascii="Times New Roman" w:hAnsi="Times New Roman"/>
          <w:color w:val="000000" w:themeColor="text1"/>
          <w:sz w:val="18"/>
          <w:szCs w:val="18"/>
        </w:rPr>
        <w:t xml:space="preserve"> Sentencia del 27 de agosto de 2008, Corte Suprema de Justicia - Sa</w:t>
      </w:r>
      <w:r w:rsidRPr="003548DF">
        <w:rPr>
          <w:rFonts w:ascii="Times New Roman" w:hAnsi="Times New Roman"/>
          <w:color w:val="000000" w:themeColor="text1"/>
          <w:sz w:val="18"/>
          <w:szCs w:val="18"/>
        </w:rPr>
        <w:t>la de Casación Civil - expediente 1101-3103-022-1997-14171-01. MP. William Namén.</w:t>
      </w:r>
    </w:p>
  </w:footnote>
  <w:footnote w:id="50">
    <w:p w:rsidR="00F32ED8" w:rsidRPr="003548DF" w:rsidRDefault="00DE7CC4" w:rsidP="00F32ED8">
      <w:pPr>
        <w:pStyle w:val="Textonotapie"/>
        <w:ind w:right="49"/>
        <w:rPr>
          <w:rFonts w:ascii="Times New Roman" w:hAnsi="Times New Roman"/>
          <w:color w:val="000000" w:themeColor="text1"/>
          <w:sz w:val="18"/>
          <w:szCs w:val="18"/>
        </w:rPr>
      </w:pPr>
      <w:r w:rsidRPr="003548DF">
        <w:rPr>
          <w:rStyle w:val="Refdenotaalpie"/>
          <w:rFonts w:ascii="Times New Roman" w:hAnsi="Times New Roman"/>
          <w:color w:val="000000" w:themeColor="text1"/>
          <w:sz w:val="18"/>
          <w:szCs w:val="18"/>
        </w:rPr>
        <w:footnoteRef/>
      </w:r>
      <w:r w:rsidRPr="003548DF">
        <w:rPr>
          <w:rFonts w:ascii="Times New Roman" w:hAnsi="Times New Roman"/>
          <w:color w:val="000000" w:themeColor="text1"/>
          <w:sz w:val="18"/>
          <w:szCs w:val="18"/>
        </w:rPr>
        <w:t xml:space="preserve"> Sentencia T-901 de 2013. M.P. María Victoria Calle Correa.</w:t>
      </w:r>
    </w:p>
  </w:footnote>
  <w:footnote w:id="51">
    <w:p w:rsidR="00F32ED8" w:rsidRPr="003548DF" w:rsidRDefault="00DE7CC4" w:rsidP="00F32ED8">
      <w:pPr>
        <w:pStyle w:val="Textonotapie"/>
        <w:ind w:right="49"/>
        <w:rPr>
          <w:rFonts w:ascii="Times New Roman" w:hAnsi="Times New Roman"/>
          <w:color w:val="000000" w:themeColor="text1"/>
          <w:sz w:val="18"/>
          <w:szCs w:val="18"/>
          <w:lang w:val="es-ES_tradnl"/>
        </w:rPr>
      </w:pPr>
      <w:r w:rsidRPr="003548DF">
        <w:rPr>
          <w:rStyle w:val="Refdenotaalpie"/>
          <w:rFonts w:ascii="Times New Roman" w:hAnsi="Times New Roman"/>
          <w:color w:val="000000" w:themeColor="text1"/>
          <w:sz w:val="18"/>
          <w:szCs w:val="18"/>
        </w:rPr>
        <w:footnoteRef/>
      </w:r>
      <w:r w:rsidRPr="003548DF">
        <w:rPr>
          <w:rFonts w:ascii="Times New Roman" w:hAnsi="Times New Roman"/>
          <w:color w:val="000000" w:themeColor="text1"/>
          <w:sz w:val="18"/>
          <w:szCs w:val="18"/>
        </w:rPr>
        <w:t xml:space="preserve"> </w:t>
      </w:r>
      <w:hyperlink r:id="rId13" w:history="1">
        <w:r w:rsidRPr="003548DF">
          <w:rPr>
            <w:rStyle w:val="Hipervnculo"/>
            <w:rFonts w:ascii="Times New Roman" w:hAnsi="Times New Roman"/>
            <w:color w:val="000000" w:themeColor="text1"/>
            <w:sz w:val="18"/>
            <w:szCs w:val="18"/>
          </w:rPr>
          <w:t>https://www.corteconstit</w:t>
        </w:r>
        <w:r w:rsidRPr="003548DF">
          <w:rPr>
            <w:rStyle w:val="Hipervnculo"/>
            <w:rFonts w:ascii="Times New Roman" w:hAnsi="Times New Roman"/>
            <w:color w:val="000000" w:themeColor="text1"/>
            <w:sz w:val="18"/>
            <w:szCs w:val="18"/>
          </w:rPr>
          <w:t>ucional.gov.co/secretaria/archivo.php?id=66610</w:t>
        </w:r>
      </w:hyperlink>
      <w:r w:rsidRPr="003548DF">
        <w:rPr>
          <w:rFonts w:ascii="Times New Roman" w:hAnsi="Times New Roman"/>
          <w:color w:val="000000" w:themeColor="text1"/>
          <w:sz w:val="18"/>
          <w:szCs w:val="18"/>
        </w:rPr>
        <w:t xml:space="preserve">. </w:t>
      </w:r>
    </w:p>
  </w:footnote>
  <w:footnote w:id="52">
    <w:p w:rsidR="00F32ED8" w:rsidRPr="003548DF" w:rsidRDefault="00DE7CC4" w:rsidP="00F32ED8">
      <w:pPr>
        <w:pStyle w:val="Textonotapie"/>
        <w:ind w:right="49"/>
        <w:rPr>
          <w:rFonts w:ascii="Times New Roman" w:hAnsi="Times New Roman"/>
          <w:color w:val="000000" w:themeColor="text1"/>
          <w:sz w:val="18"/>
          <w:szCs w:val="18"/>
          <w:lang w:val="es-ES_tradnl"/>
        </w:rPr>
      </w:pPr>
      <w:r w:rsidRPr="003548DF">
        <w:rPr>
          <w:rStyle w:val="Refdenotaalpie"/>
          <w:rFonts w:ascii="Times New Roman" w:hAnsi="Times New Roman"/>
          <w:color w:val="000000" w:themeColor="text1"/>
          <w:sz w:val="18"/>
          <w:szCs w:val="18"/>
        </w:rPr>
        <w:footnoteRef/>
      </w:r>
      <w:r w:rsidRPr="003548DF">
        <w:rPr>
          <w:rFonts w:ascii="Times New Roman" w:hAnsi="Times New Roman"/>
          <w:color w:val="000000" w:themeColor="text1"/>
          <w:sz w:val="18"/>
          <w:szCs w:val="18"/>
        </w:rPr>
        <w:t xml:space="preserve"> </w:t>
      </w:r>
      <w:r w:rsidRPr="003548DF">
        <w:rPr>
          <w:rFonts w:ascii="Times New Roman" w:hAnsi="Times New Roman"/>
          <w:i/>
          <w:iCs/>
          <w:color w:val="000000" w:themeColor="text1"/>
          <w:sz w:val="18"/>
          <w:szCs w:val="18"/>
          <w:lang w:val="es-ES_tradnl"/>
        </w:rPr>
        <w:t>Ibidem</w:t>
      </w:r>
      <w:r w:rsidRPr="003548DF">
        <w:rPr>
          <w:rFonts w:ascii="Times New Roman" w:hAnsi="Times New Roman"/>
          <w:color w:val="000000" w:themeColor="text1"/>
          <w:sz w:val="18"/>
          <w:szCs w:val="18"/>
          <w:lang w:val="es-ES_tradnl"/>
        </w:rPr>
        <w:t>, pp. 2 y 3.</w:t>
      </w:r>
    </w:p>
  </w:footnote>
  <w:footnote w:id="53">
    <w:p w:rsidR="00F32ED8" w:rsidRPr="003548DF" w:rsidRDefault="00DE7CC4" w:rsidP="00F32ED8">
      <w:pPr>
        <w:pStyle w:val="Textonotapie"/>
        <w:ind w:right="49"/>
        <w:rPr>
          <w:rFonts w:ascii="Times New Roman" w:hAnsi="Times New Roman"/>
          <w:color w:val="000000" w:themeColor="text1"/>
          <w:sz w:val="18"/>
          <w:szCs w:val="18"/>
          <w:lang w:val="es-ES_tradnl"/>
        </w:rPr>
      </w:pPr>
      <w:r w:rsidRPr="003548DF">
        <w:rPr>
          <w:rStyle w:val="Refdenotaalpie"/>
          <w:rFonts w:ascii="Times New Roman" w:hAnsi="Times New Roman"/>
          <w:color w:val="000000" w:themeColor="text1"/>
          <w:sz w:val="18"/>
          <w:szCs w:val="18"/>
        </w:rPr>
        <w:footnoteRef/>
      </w:r>
      <w:r w:rsidRPr="003548DF">
        <w:rPr>
          <w:rFonts w:ascii="Times New Roman" w:hAnsi="Times New Roman"/>
          <w:color w:val="000000" w:themeColor="text1"/>
          <w:sz w:val="18"/>
          <w:szCs w:val="18"/>
        </w:rPr>
        <w:t xml:space="preserve"> </w:t>
      </w:r>
      <w:r w:rsidRPr="003548DF">
        <w:rPr>
          <w:rFonts w:ascii="Times New Roman" w:hAnsi="Times New Roman"/>
          <w:color w:val="000000" w:themeColor="text1"/>
          <w:sz w:val="18"/>
          <w:szCs w:val="18"/>
          <w:lang w:val="es-ES_tradnl"/>
        </w:rPr>
        <w:t>Cita para el efecto la Sentencia C-429 de 2003. M.P. Clara Inés Vargas Hernández.</w:t>
      </w:r>
    </w:p>
  </w:footnote>
  <w:footnote w:id="54">
    <w:p w:rsidR="00F32ED8" w:rsidRPr="003548DF" w:rsidRDefault="00DE7CC4" w:rsidP="00F32ED8">
      <w:pPr>
        <w:pStyle w:val="Textonotapie"/>
        <w:ind w:right="49"/>
        <w:rPr>
          <w:rFonts w:ascii="Times New Roman" w:hAnsi="Times New Roman"/>
          <w:color w:val="000000" w:themeColor="text1"/>
          <w:sz w:val="18"/>
          <w:szCs w:val="18"/>
          <w:lang w:val="es-ES_tradnl"/>
        </w:rPr>
      </w:pPr>
      <w:r w:rsidRPr="003548DF">
        <w:rPr>
          <w:rStyle w:val="Refdenotaalpie"/>
          <w:rFonts w:ascii="Times New Roman" w:hAnsi="Times New Roman"/>
          <w:color w:val="000000" w:themeColor="text1"/>
          <w:sz w:val="18"/>
          <w:szCs w:val="18"/>
        </w:rPr>
        <w:footnoteRef/>
      </w:r>
      <w:r w:rsidRPr="003548DF">
        <w:rPr>
          <w:rFonts w:ascii="Times New Roman" w:hAnsi="Times New Roman"/>
          <w:color w:val="000000" w:themeColor="text1"/>
          <w:sz w:val="18"/>
          <w:szCs w:val="18"/>
        </w:rPr>
        <w:t xml:space="preserve"> </w:t>
      </w:r>
      <w:r w:rsidRPr="003548DF">
        <w:rPr>
          <w:rFonts w:ascii="Times New Roman" w:hAnsi="Times New Roman"/>
          <w:color w:val="000000" w:themeColor="text1"/>
          <w:sz w:val="18"/>
          <w:szCs w:val="18"/>
          <w:lang w:val="es-ES_tradnl"/>
        </w:rPr>
        <w:t>Concepto, p. 4.</w:t>
      </w:r>
    </w:p>
  </w:footnote>
  <w:footnote w:id="55">
    <w:p w:rsidR="00F32ED8" w:rsidRPr="003548DF" w:rsidRDefault="00DE7CC4" w:rsidP="00F32ED8">
      <w:pPr>
        <w:pStyle w:val="Textonotapie"/>
        <w:ind w:right="49"/>
        <w:rPr>
          <w:rFonts w:ascii="Times New Roman" w:hAnsi="Times New Roman"/>
          <w:iCs/>
          <w:color w:val="000000" w:themeColor="text1"/>
          <w:sz w:val="18"/>
          <w:szCs w:val="18"/>
          <w:lang w:val="es-ES_tradnl"/>
        </w:rPr>
      </w:pPr>
      <w:r w:rsidRPr="003548DF">
        <w:rPr>
          <w:rStyle w:val="Refdenotaalpie"/>
          <w:rFonts w:ascii="Times New Roman" w:hAnsi="Times New Roman"/>
          <w:color w:val="000000" w:themeColor="text1"/>
          <w:sz w:val="18"/>
          <w:szCs w:val="18"/>
        </w:rPr>
        <w:footnoteRef/>
      </w:r>
      <w:r w:rsidRPr="003548DF">
        <w:rPr>
          <w:rFonts w:ascii="Times New Roman" w:hAnsi="Times New Roman"/>
          <w:color w:val="000000" w:themeColor="text1"/>
          <w:sz w:val="18"/>
          <w:szCs w:val="18"/>
        </w:rPr>
        <w:t xml:space="preserve"> </w:t>
      </w:r>
      <w:r w:rsidRPr="003548DF">
        <w:rPr>
          <w:rFonts w:ascii="Times New Roman" w:hAnsi="Times New Roman"/>
          <w:i/>
          <w:color w:val="000000" w:themeColor="text1"/>
          <w:sz w:val="18"/>
          <w:szCs w:val="18"/>
        </w:rPr>
        <w:t>Ibidem</w:t>
      </w:r>
      <w:r w:rsidRPr="003548DF">
        <w:rPr>
          <w:rFonts w:ascii="Times New Roman" w:hAnsi="Times New Roman"/>
          <w:iCs/>
          <w:color w:val="000000" w:themeColor="text1"/>
          <w:sz w:val="18"/>
          <w:szCs w:val="18"/>
        </w:rPr>
        <w:t>.</w:t>
      </w:r>
    </w:p>
  </w:footnote>
  <w:footnote w:id="56">
    <w:p w:rsidR="00F32ED8" w:rsidRPr="003548DF" w:rsidRDefault="00DE7CC4" w:rsidP="00F32ED8">
      <w:pPr>
        <w:pStyle w:val="Textonotapie"/>
        <w:jc w:val="both"/>
        <w:rPr>
          <w:rFonts w:ascii="Times New Roman" w:hAnsi="Times New Roman"/>
          <w:color w:val="000000" w:themeColor="text1"/>
          <w:sz w:val="18"/>
          <w:szCs w:val="18"/>
        </w:rPr>
      </w:pPr>
      <w:r w:rsidRPr="003548DF">
        <w:rPr>
          <w:rStyle w:val="Refdenotaalpie"/>
          <w:rFonts w:ascii="Times New Roman" w:hAnsi="Times New Roman"/>
          <w:color w:val="000000" w:themeColor="text1"/>
          <w:sz w:val="18"/>
          <w:szCs w:val="18"/>
        </w:rPr>
        <w:footnoteRef/>
      </w:r>
      <w:r w:rsidRPr="003548DF">
        <w:rPr>
          <w:rFonts w:ascii="Times New Roman" w:hAnsi="Times New Roman"/>
          <w:color w:val="000000" w:themeColor="text1"/>
          <w:sz w:val="18"/>
          <w:szCs w:val="18"/>
        </w:rPr>
        <w:t xml:space="preserve"> Esta metodología no es extraña a la Sala Plena. Verificar, por ejemplo, la reciente Sentencia C-362 de 2023 (M.P. Diana Fajardo Rivera) en la que, para efectos de establecer la aptitud de la demanda fue necesario previamente indicar el alcance de la dispo</w:t>
      </w:r>
      <w:r w:rsidRPr="003548DF">
        <w:rPr>
          <w:rFonts w:ascii="Times New Roman" w:hAnsi="Times New Roman"/>
          <w:color w:val="000000" w:themeColor="text1"/>
          <w:sz w:val="18"/>
          <w:szCs w:val="18"/>
        </w:rPr>
        <w:t>sición cuestionada. En el mismo sentido ver la Sentencia C-356 de 2019. M.P. Diana Fajardo Rivera.</w:t>
      </w:r>
    </w:p>
  </w:footnote>
  <w:footnote w:id="57">
    <w:p w:rsidR="00F32ED8" w:rsidRPr="003548DF" w:rsidRDefault="00DE7CC4" w:rsidP="00F32ED8">
      <w:pPr>
        <w:pStyle w:val="Textonotapie"/>
        <w:jc w:val="both"/>
        <w:rPr>
          <w:rFonts w:ascii="Times New Roman" w:hAnsi="Times New Roman"/>
          <w:color w:val="000000" w:themeColor="text1"/>
          <w:sz w:val="18"/>
          <w:szCs w:val="18"/>
        </w:rPr>
      </w:pPr>
      <w:r w:rsidRPr="003548DF">
        <w:rPr>
          <w:rStyle w:val="Refdenotaalpie"/>
          <w:rFonts w:ascii="Times New Roman" w:hAnsi="Times New Roman"/>
          <w:color w:val="000000" w:themeColor="text1"/>
          <w:sz w:val="18"/>
          <w:szCs w:val="18"/>
        </w:rPr>
        <w:footnoteRef/>
      </w:r>
      <w:r w:rsidRPr="003548DF">
        <w:rPr>
          <w:rFonts w:ascii="Times New Roman" w:hAnsi="Times New Roman"/>
          <w:color w:val="000000" w:themeColor="text1"/>
          <w:sz w:val="18"/>
          <w:szCs w:val="18"/>
        </w:rPr>
        <w:t xml:space="preserve"> “</w:t>
      </w:r>
      <w:r w:rsidRPr="003548DF">
        <w:rPr>
          <w:rFonts w:ascii="Times New Roman" w:hAnsi="Times New Roman"/>
          <w:color w:val="000000" w:themeColor="text1"/>
          <w:sz w:val="18"/>
          <w:szCs w:val="18"/>
          <w:shd w:val="clear" w:color="auto" w:fill="FFFFFF"/>
        </w:rPr>
        <w:t>La </w:t>
      </w:r>
      <w:r w:rsidRPr="003548DF">
        <w:rPr>
          <w:rStyle w:val="elema1"/>
          <w:rFonts w:ascii="Times New Roman" w:hAnsi="Times New Roman"/>
          <w:color w:val="000000" w:themeColor="text1"/>
          <w:sz w:val="18"/>
          <w:szCs w:val="18"/>
        </w:rPr>
        <w:t xml:space="preserve">subrogación es entendida como el acto de sustituir una norma por otra. No se trata de una derogación simple, como quiera que antes que abolir o anular </w:t>
      </w:r>
      <w:r w:rsidRPr="003548DF">
        <w:rPr>
          <w:rStyle w:val="elema1"/>
          <w:rFonts w:ascii="Times New Roman" w:hAnsi="Times New Roman"/>
          <w:color w:val="000000" w:themeColor="text1"/>
          <w:sz w:val="18"/>
          <w:szCs w:val="18"/>
        </w:rPr>
        <w:t>una disposición del sistema normativo establecido, lo que hace es poner un texto normativo en lugar de otro. Como resultado de la subrogación, las normas jurídicas preexistentes y afectadas con la medida pueden en parte ser derogadas, modificadas y en part</w:t>
      </w:r>
      <w:r w:rsidRPr="003548DF">
        <w:rPr>
          <w:rStyle w:val="elema1"/>
          <w:rFonts w:ascii="Times New Roman" w:hAnsi="Times New Roman"/>
          <w:color w:val="000000" w:themeColor="text1"/>
          <w:sz w:val="18"/>
          <w:szCs w:val="18"/>
        </w:rPr>
        <w:t>e sustituidas por otras nuevas; pero también la subrogación puede incluir la reproducción de apartes normativos provenientes del texto legal que se subroga</w:t>
      </w:r>
      <w:r w:rsidRPr="003548DF">
        <w:rPr>
          <w:rStyle w:val="elema1"/>
          <w:rFonts w:ascii="Times New Roman" w:hAnsi="Times New Roman"/>
          <w:color w:val="000000" w:themeColor="text1"/>
          <w:sz w:val="18"/>
          <w:szCs w:val="18"/>
          <w:shd w:val="clear" w:color="auto" w:fill="FFFFFF"/>
        </w:rPr>
        <w:t xml:space="preserve">”. Sentencia C-502 de 2012. M.P. Adriana María Guillén Arango. </w:t>
      </w:r>
    </w:p>
  </w:footnote>
  <w:footnote w:id="58">
    <w:p w:rsidR="00F32ED8" w:rsidRPr="003548DF" w:rsidRDefault="00DE7CC4" w:rsidP="00F32ED8">
      <w:pPr>
        <w:pStyle w:val="NormalWeb"/>
        <w:jc w:val="both"/>
        <w:rPr>
          <w:rFonts w:ascii="Open Sans" w:hAnsi="Open Sans" w:cs="Open Sans"/>
          <w:color w:val="000000" w:themeColor="text1"/>
          <w:sz w:val="18"/>
          <w:szCs w:val="18"/>
        </w:rPr>
      </w:pPr>
      <w:r w:rsidRPr="003548DF">
        <w:rPr>
          <w:rStyle w:val="Refdenotaalpie"/>
          <w:color w:val="000000" w:themeColor="text1"/>
          <w:sz w:val="18"/>
          <w:szCs w:val="18"/>
        </w:rPr>
        <w:footnoteRef/>
      </w:r>
      <w:r w:rsidRPr="003548DF">
        <w:rPr>
          <w:color w:val="000000" w:themeColor="text1"/>
          <w:sz w:val="18"/>
          <w:szCs w:val="18"/>
        </w:rPr>
        <w:t xml:space="preserve"> “ARTÍCULO 143. En caso de daños materiales en los que sólo resulten afectados vehículos, inmuebles, cosas o animales y no se produzcan lesiones personales, será obligación de los conductores detenerse y presentar a la autoridad presente en el lugar de los</w:t>
      </w:r>
      <w:r w:rsidRPr="003548DF">
        <w:rPr>
          <w:color w:val="000000" w:themeColor="text1"/>
          <w:sz w:val="18"/>
          <w:szCs w:val="18"/>
        </w:rPr>
        <w:t xml:space="preserve"> hechos, el documento de identificación, la licencia de conducción, la licencia de tránsito, la información sobre su domicilio, residencia y números telefónicos y sobre los seguros a que se refiere esta ley.</w:t>
      </w:r>
      <w:r>
        <w:rPr>
          <w:color w:val="000000" w:themeColor="text1"/>
          <w:sz w:val="18"/>
          <w:szCs w:val="18"/>
        </w:rPr>
        <w:t xml:space="preserve"> // </w:t>
      </w:r>
      <w:r w:rsidRPr="003548DF">
        <w:rPr>
          <w:color w:val="000000" w:themeColor="text1"/>
          <w:sz w:val="18"/>
          <w:szCs w:val="18"/>
        </w:rPr>
        <w:t>Los conductores y demás implicados podrán con</w:t>
      </w:r>
      <w:r w:rsidRPr="003548DF">
        <w:rPr>
          <w:color w:val="000000" w:themeColor="text1"/>
          <w:sz w:val="18"/>
          <w:szCs w:val="18"/>
        </w:rPr>
        <w:t xml:space="preserve">ciliar sus intereses en los centros de conciliación legalmente constituidos y acudir a las compañías aseguradoras, previa extensión de un acta que suscribirán las partes y la autoridad de tránsito que presencie la conciliación, la cual tiene la calidad de </w:t>
      </w:r>
      <w:r w:rsidRPr="003548DF">
        <w:rPr>
          <w:color w:val="000000" w:themeColor="text1"/>
          <w:sz w:val="18"/>
          <w:szCs w:val="18"/>
        </w:rPr>
        <w:t>cosa juzgada, y prestará mérito ejecutivo.</w:t>
      </w:r>
      <w:r>
        <w:rPr>
          <w:color w:val="000000" w:themeColor="text1"/>
          <w:sz w:val="18"/>
          <w:szCs w:val="18"/>
        </w:rPr>
        <w:t xml:space="preserve"> // </w:t>
      </w:r>
      <w:r w:rsidRPr="003548DF">
        <w:rPr>
          <w:color w:val="000000" w:themeColor="text1"/>
          <w:sz w:val="18"/>
          <w:szCs w:val="18"/>
        </w:rPr>
        <w:t>En todo caso, se hará el retiro inmediato de los vehículos colisionados y de todo elemento que pueda interrumpir el tránsito”</w:t>
      </w:r>
      <w:r>
        <w:rPr>
          <w:color w:val="000000" w:themeColor="text1"/>
          <w:sz w:val="18"/>
          <w:szCs w:val="18"/>
        </w:rPr>
        <w:t>.</w:t>
      </w:r>
    </w:p>
  </w:footnote>
  <w:footnote w:id="59">
    <w:p w:rsidR="00B811E1" w:rsidRPr="00DA6368" w:rsidRDefault="00DE7CC4">
      <w:pPr>
        <w:pStyle w:val="Textonotapie"/>
        <w:rPr>
          <w:rFonts w:ascii="Times New Roman" w:hAnsi="Times New Roman"/>
          <w:color w:val="000000" w:themeColor="text1"/>
          <w:sz w:val="18"/>
          <w:szCs w:val="18"/>
        </w:rPr>
      </w:pPr>
      <w:r w:rsidRPr="00DA6368">
        <w:rPr>
          <w:rStyle w:val="Refdenotaalpie"/>
          <w:rFonts w:ascii="Times New Roman" w:hAnsi="Times New Roman"/>
          <w:color w:val="000000" w:themeColor="text1"/>
          <w:sz w:val="18"/>
          <w:szCs w:val="18"/>
        </w:rPr>
        <w:footnoteRef/>
      </w:r>
      <w:r w:rsidRPr="00DA6368">
        <w:rPr>
          <w:rFonts w:ascii="Times New Roman" w:hAnsi="Times New Roman"/>
          <w:color w:val="000000" w:themeColor="text1"/>
          <w:sz w:val="18"/>
          <w:szCs w:val="18"/>
        </w:rPr>
        <w:t xml:space="preserve"> Pero, como se verá, no para los accidentes a los que se les ha denominado “solo l</w:t>
      </w:r>
      <w:r w:rsidRPr="00DA6368">
        <w:rPr>
          <w:rFonts w:ascii="Times New Roman" w:hAnsi="Times New Roman"/>
          <w:color w:val="000000" w:themeColor="text1"/>
          <w:sz w:val="18"/>
          <w:szCs w:val="18"/>
        </w:rPr>
        <w:t>atas”.</w:t>
      </w:r>
    </w:p>
  </w:footnote>
  <w:footnote w:id="60">
    <w:p w:rsidR="00F32ED8" w:rsidRPr="003548DF" w:rsidRDefault="00DE7CC4" w:rsidP="00F32ED8">
      <w:pPr>
        <w:pStyle w:val="Textonotapie"/>
        <w:jc w:val="both"/>
        <w:rPr>
          <w:rFonts w:ascii="Times New Roman" w:hAnsi="Times New Roman"/>
          <w:color w:val="000000" w:themeColor="text1"/>
          <w:sz w:val="18"/>
          <w:szCs w:val="18"/>
        </w:rPr>
      </w:pPr>
      <w:r w:rsidRPr="003548DF">
        <w:rPr>
          <w:rStyle w:val="Refdenotaalpie"/>
          <w:rFonts w:ascii="Times New Roman" w:hAnsi="Times New Roman"/>
          <w:color w:val="000000" w:themeColor="text1"/>
          <w:sz w:val="18"/>
          <w:szCs w:val="18"/>
        </w:rPr>
        <w:footnoteRef/>
      </w:r>
      <w:r w:rsidRPr="003548DF">
        <w:rPr>
          <w:rFonts w:ascii="Times New Roman" w:hAnsi="Times New Roman"/>
          <w:color w:val="000000" w:themeColor="text1"/>
          <w:sz w:val="18"/>
          <w:szCs w:val="18"/>
        </w:rPr>
        <w:t xml:space="preserve"> El artículo 2 de la Ley 769 de 2002 define este documento en los siguientes términos: “Plano descriptivo de los pormenores de un accidente de tránsito donde resulten daños a personas, vehículos, inmuebles, muebles o animales, levantado en el sitio</w:t>
      </w:r>
      <w:r w:rsidRPr="003548DF">
        <w:rPr>
          <w:rFonts w:ascii="Times New Roman" w:hAnsi="Times New Roman"/>
          <w:color w:val="000000" w:themeColor="text1"/>
          <w:sz w:val="18"/>
          <w:szCs w:val="18"/>
        </w:rPr>
        <w:t xml:space="preserve"> de los hechos por el agente, la policía de tránsito o por la autoridad competente”.</w:t>
      </w:r>
    </w:p>
  </w:footnote>
  <w:footnote w:id="61">
    <w:p w:rsidR="00F32ED8" w:rsidRPr="003548DF" w:rsidRDefault="00DE7CC4" w:rsidP="00F32ED8">
      <w:pPr>
        <w:pStyle w:val="Textonotapie"/>
        <w:jc w:val="both"/>
        <w:rPr>
          <w:rFonts w:ascii="Times New Roman" w:hAnsi="Times New Roman"/>
          <w:color w:val="000000" w:themeColor="text1"/>
          <w:sz w:val="18"/>
          <w:szCs w:val="18"/>
        </w:rPr>
      </w:pPr>
      <w:r w:rsidRPr="003548DF">
        <w:rPr>
          <w:rStyle w:val="Refdenotaalpie"/>
          <w:rFonts w:ascii="Times New Roman" w:hAnsi="Times New Roman"/>
          <w:color w:val="000000" w:themeColor="text1"/>
          <w:sz w:val="18"/>
          <w:szCs w:val="18"/>
        </w:rPr>
        <w:footnoteRef/>
      </w:r>
      <w:r w:rsidRPr="003548DF">
        <w:rPr>
          <w:rFonts w:ascii="Times New Roman" w:hAnsi="Times New Roman"/>
          <w:color w:val="000000" w:themeColor="text1"/>
          <w:sz w:val="18"/>
          <w:szCs w:val="18"/>
        </w:rPr>
        <w:t xml:space="preserve"> “Por la cual se establecen medidas para promover la adquisición, renovación y no evasión del Seguro Obligatorio de Accidentes de Tránsito (SOAT), se modifica la Ley 769 </w:t>
      </w:r>
      <w:r w:rsidRPr="003548DF">
        <w:rPr>
          <w:rFonts w:ascii="Times New Roman" w:hAnsi="Times New Roman"/>
          <w:color w:val="000000" w:themeColor="text1"/>
          <w:sz w:val="18"/>
          <w:szCs w:val="18"/>
        </w:rPr>
        <w:t>de 2002 y se dictan otras disposiciones”.</w:t>
      </w:r>
    </w:p>
  </w:footnote>
  <w:footnote w:id="62">
    <w:p w:rsidR="00F32ED8" w:rsidRPr="003548DF" w:rsidRDefault="00DE7CC4" w:rsidP="00F32ED8">
      <w:pPr>
        <w:pStyle w:val="Textonotapie"/>
        <w:jc w:val="both"/>
        <w:rPr>
          <w:color w:val="000000" w:themeColor="text1"/>
        </w:rPr>
      </w:pPr>
      <w:r w:rsidRPr="003548DF">
        <w:rPr>
          <w:rStyle w:val="Refdenotaalpie"/>
          <w:rFonts w:ascii="Times New Roman" w:hAnsi="Times New Roman"/>
          <w:color w:val="000000" w:themeColor="text1"/>
          <w:sz w:val="18"/>
          <w:szCs w:val="18"/>
        </w:rPr>
        <w:footnoteRef/>
      </w:r>
      <w:r w:rsidRPr="003548DF">
        <w:rPr>
          <w:rFonts w:ascii="Times New Roman" w:hAnsi="Times New Roman"/>
          <w:color w:val="000000" w:themeColor="text1"/>
          <w:sz w:val="18"/>
          <w:szCs w:val="18"/>
        </w:rPr>
        <w:t xml:space="preserve"> </w:t>
      </w:r>
      <w:bookmarkStart w:id="11" w:name="24"/>
      <w:r w:rsidRPr="003548DF">
        <w:rPr>
          <w:rFonts w:ascii="Times New Roman" w:hAnsi="Times New Roman"/>
          <w:color w:val="000000" w:themeColor="text1"/>
          <w:sz w:val="18"/>
          <w:szCs w:val="18"/>
        </w:rPr>
        <w:t>“</w:t>
      </w:r>
      <w:r w:rsidRPr="003548DF">
        <w:rPr>
          <w:rFonts w:ascii="Times New Roman" w:hAnsi="Times New Roman"/>
          <w:b/>
          <w:bCs/>
          <w:color w:val="000000" w:themeColor="text1"/>
          <w:sz w:val="18"/>
          <w:szCs w:val="18"/>
        </w:rPr>
        <w:t>ARTÍCULO 24. VIGENCIA.</w:t>
      </w:r>
      <w:bookmarkEnd w:id="11"/>
      <w:r w:rsidRPr="003548DF">
        <w:rPr>
          <w:rFonts w:ascii="Times New Roman" w:hAnsi="Times New Roman"/>
          <w:color w:val="000000" w:themeColor="text1"/>
          <w:sz w:val="18"/>
          <w:szCs w:val="18"/>
        </w:rPr>
        <w:t> La presente ley rige a partir de su promulgación y deroga las disposiciones que le sean contrarias, en especial el artículo 143A de la Ley 769 de 2002 adicionado por el artículo </w:t>
      </w:r>
      <w:hyperlink r:id="rId14" w:anchor="12" w:history="1">
        <w:r w:rsidRPr="003548DF">
          <w:rPr>
            <w:rStyle w:val="Hipervnculo"/>
            <w:rFonts w:ascii="Times New Roman" w:hAnsi="Times New Roman"/>
            <w:color w:val="000000" w:themeColor="text1"/>
            <w:sz w:val="18"/>
            <w:szCs w:val="18"/>
          </w:rPr>
          <w:t>12</w:t>
        </w:r>
      </w:hyperlink>
      <w:r w:rsidRPr="003548DF">
        <w:rPr>
          <w:rFonts w:ascii="Times New Roman" w:hAnsi="Times New Roman"/>
          <w:color w:val="000000" w:themeColor="text1"/>
          <w:sz w:val="18"/>
          <w:szCs w:val="18"/>
        </w:rPr>
        <w:t> de la Ley 2161 de 2021”.</w:t>
      </w:r>
    </w:p>
  </w:footnote>
  <w:footnote w:id="63">
    <w:p w:rsidR="00F32ED8" w:rsidRPr="003548DF" w:rsidRDefault="00DE7CC4" w:rsidP="00F32ED8">
      <w:pPr>
        <w:pStyle w:val="Textonotapie"/>
        <w:ind w:right="49"/>
        <w:jc w:val="both"/>
        <w:rPr>
          <w:rFonts w:ascii="Times New Roman" w:hAnsi="Times New Roman"/>
          <w:color w:val="000000" w:themeColor="text1"/>
          <w:sz w:val="18"/>
          <w:szCs w:val="18"/>
          <w:lang w:val="es-ES_tradnl"/>
        </w:rPr>
      </w:pPr>
      <w:r w:rsidRPr="003548DF">
        <w:rPr>
          <w:rStyle w:val="Refdenotaalpie"/>
          <w:rFonts w:ascii="Times New Roman" w:hAnsi="Times New Roman"/>
          <w:color w:val="000000" w:themeColor="text1"/>
          <w:sz w:val="18"/>
          <w:szCs w:val="18"/>
        </w:rPr>
        <w:footnoteRef/>
      </w:r>
      <w:r w:rsidRPr="003548DF">
        <w:rPr>
          <w:rFonts w:ascii="Times New Roman" w:hAnsi="Times New Roman"/>
          <w:color w:val="000000" w:themeColor="text1"/>
          <w:sz w:val="18"/>
          <w:szCs w:val="18"/>
        </w:rPr>
        <w:t xml:space="preserve"> </w:t>
      </w:r>
      <w:r w:rsidRPr="003548DF">
        <w:rPr>
          <w:rFonts w:ascii="Times New Roman" w:hAnsi="Times New Roman"/>
          <w:color w:val="000000" w:themeColor="text1"/>
          <w:sz w:val="18"/>
          <w:szCs w:val="18"/>
          <w:lang w:val="es-ES_tradnl"/>
        </w:rPr>
        <w:t>De conformidad con el artículo citado, “[l]a piedra angular de este enfoque es son las carreteras y las bermas seguras, las velocidades</w:t>
      </w:r>
      <w:r w:rsidRPr="003548DF">
        <w:rPr>
          <w:rFonts w:ascii="Times New Roman" w:hAnsi="Times New Roman"/>
          <w:color w:val="000000" w:themeColor="text1"/>
          <w:sz w:val="18"/>
          <w:szCs w:val="18"/>
          <w:lang w:val="es-ES_tradnl"/>
        </w:rPr>
        <w:t xml:space="preserve"> seguras, los vehículos seguros, los usuarios de carreteras seguros, todo lo cual se deberá abordar con miras a poner fin a los accidentes mortales y reducir el número de lesiones graves”.</w:t>
      </w:r>
    </w:p>
  </w:footnote>
  <w:footnote w:id="64">
    <w:p w:rsidR="00F32ED8" w:rsidRPr="003548DF" w:rsidRDefault="00DE7CC4" w:rsidP="00F32ED8">
      <w:pPr>
        <w:pStyle w:val="Textonotapie"/>
        <w:ind w:right="49"/>
        <w:jc w:val="both"/>
        <w:rPr>
          <w:rFonts w:ascii="Times New Roman" w:hAnsi="Times New Roman"/>
          <w:color w:val="000000" w:themeColor="text1"/>
          <w:sz w:val="18"/>
          <w:szCs w:val="18"/>
          <w:lang w:val="es-ES_tradnl"/>
        </w:rPr>
      </w:pPr>
      <w:r w:rsidRPr="003548DF">
        <w:rPr>
          <w:rStyle w:val="Refdenotaalpie"/>
          <w:rFonts w:ascii="Times New Roman" w:hAnsi="Times New Roman"/>
          <w:color w:val="000000" w:themeColor="text1"/>
          <w:sz w:val="18"/>
          <w:szCs w:val="18"/>
        </w:rPr>
        <w:footnoteRef/>
      </w:r>
      <w:r w:rsidRPr="003548DF">
        <w:rPr>
          <w:rFonts w:ascii="Times New Roman" w:hAnsi="Times New Roman"/>
          <w:color w:val="000000" w:themeColor="text1"/>
          <w:sz w:val="18"/>
          <w:szCs w:val="18"/>
        </w:rPr>
        <w:t xml:space="preserve"> </w:t>
      </w:r>
      <w:r w:rsidRPr="003548DF">
        <w:rPr>
          <w:rFonts w:ascii="Times New Roman" w:hAnsi="Times New Roman"/>
          <w:color w:val="000000" w:themeColor="text1"/>
          <w:sz w:val="18"/>
          <w:szCs w:val="18"/>
          <w:lang w:val="es-ES_tradnl"/>
        </w:rPr>
        <w:t xml:space="preserve">Gaceta </w:t>
      </w:r>
      <w:r>
        <w:rPr>
          <w:rFonts w:ascii="Times New Roman" w:hAnsi="Times New Roman"/>
          <w:color w:val="000000" w:themeColor="text1"/>
          <w:sz w:val="18"/>
          <w:szCs w:val="18"/>
          <w:lang w:val="es-ES_tradnl"/>
        </w:rPr>
        <w:t>n.</w:t>
      </w:r>
      <w:r w:rsidRPr="003548DF">
        <w:rPr>
          <w:rFonts w:ascii="Times New Roman" w:hAnsi="Times New Roman"/>
          <w:color w:val="000000" w:themeColor="text1"/>
          <w:sz w:val="18"/>
          <w:szCs w:val="18"/>
          <w:lang w:val="es-ES_tradnl"/>
        </w:rPr>
        <w:t xml:space="preserve">° 405 del 4 de mayo de 2022. Contiene la tercera ponencia del trámite legislativo, fase relevante para el estudio de este asunto. </w:t>
      </w:r>
    </w:p>
  </w:footnote>
  <w:footnote w:id="65">
    <w:p w:rsidR="00F32ED8" w:rsidRPr="003548DF" w:rsidRDefault="00DE7CC4" w:rsidP="00F32ED8">
      <w:pPr>
        <w:pStyle w:val="Textonotapie"/>
        <w:ind w:right="49"/>
        <w:jc w:val="both"/>
        <w:rPr>
          <w:rFonts w:ascii="Times New Roman" w:hAnsi="Times New Roman"/>
          <w:color w:val="000000" w:themeColor="text1"/>
          <w:sz w:val="18"/>
          <w:szCs w:val="18"/>
          <w:lang w:val="es-ES_tradnl"/>
        </w:rPr>
      </w:pPr>
      <w:r w:rsidRPr="003548DF">
        <w:rPr>
          <w:rStyle w:val="Refdenotaalpie"/>
          <w:rFonts w:ascii="Times New Roman" w:hAnsi="Times New Roman"/>
          <w:color w:val="000000" w:themeColor="text1"/>
          <w:sz w:val="18"/>
          <w:szCs w:val="18"/>
        </w:rPr>
        <w:footnoteRef/>
      </w:r>
      <w:r w:rsidRPr="003548DF">
        <w:rPr>
          <w:rFonts w:ascii="Times New Roman" w:hAnsi="Times New Roman"/>
          <w:color w:val="000000" w:themeColor="text1"/>
          <w:sz w:val="18"/>
          <w:szCs w:val="18"/>
        </w:rPr>
        <w:t xml:space="preserve"> </w:t>
      </w:r>
      <w:r w:rsidRPr="003548DF">
        <w:rPr>
          <w:rFonts w:ascii="Times New Roman" w:hAnsi="Times New Roman"/>
          <w:color w:val="000000" w:themeColor="text1"/>
          <w:sz w:val="18"/>
          <w:szCs w:val="18"/>
          <w:lang w:val="es-ES_tradnl"/>
        </w:rPr>
        <w:t xml:space="preserve">Aproximadamente 1,34 millones de vidas se pierden anualmente. </w:t>
      </w:r>
      <w:r w:rsidRPr="003548DF">
        <w:rPr>
          <w:rFonts w:ascii="Times New Roman" w:hAnsi="Times New Roman"/>
          <w:i/>
          <w:iCs/>
          <w:color w:val="000000" w:themeColor="text1"/>
          <w:sz w:val="18"/>
          <w:szCs w:val="18"/>
          <w:lang w:val="es-ES_tradnl"/>
        </w:rPr>
        <w:t>Ibidem,</w:t>
      </w:r>
      <w:r w:rsidRPr="003548DF">
        <w:rPr>
          <w:rFonts w:ascii="Times New Roman" w:hAnsi="Times New Roman"/>
          <w:color w:val="000000" w:themeColor="text1"/>
          <w:sz w:val="18"/>
          <w:szCs w:val="18"/>
          <w:lang w:val="es-ES_tradnl"/>
        </w:rPr>
        <w:t xml:space="preserve"> p. 3. Tomado de:</w:t>
      </w:r>
      <w:r w:rsidRPr="003548DF">
        <w:rPr>
          <w:rFonts w:ascii="Times New Roman" w:hAnsi="Times New Roman"/>
          <w:color w:val="000000" w:themeColor="text1"/>
          <w:sz w:val="18"/>
          <w:szCs w:val="18"/>
        </w:rPr>
        <w:t xml:space="preserve"> OMS, Accidentes de Tránsito. Diciemb</w:t>
      </w:r>
      <w:r w:rsidRPr="003548DF">
        <w:rPr>
          <w:rFonts w:ascii="Times New Roman" w:hAnsi="Times New Roman"/>
          <w:color w:val="000000" w:themeColor="text1"/>
          <w:sz w:val="18"/>
          <w:szCs w:val="18"/>
        </w:rPr>
        <w:t>re 7 de 2018. Documento electrónico disponible en: https://www.who.int/es/news-room/fact-sheets/detail/road-traffic-injuries</w:t>
      </w:r>
      <w:r>
        <w:rPr>
          <w:rFonts w:ascii="Times New Roman" w:hAnsi="Times New Roman"/>
          <w:color w:val="000000" w:themeColor="text1"/>
          <w:sz w:val="18"/>
          <w:szCs w:val="18"/>
        </w:rPr>
        <w:t>.</w:t>
      </w:r>
    </w:p>
  </w:footnote>
  <w:footnote w:id="66">
    <w:p w:rsidR="00F32ED8" w:rsidRPr="003548DF" w:rsidRDefault="00DE7CC4" w:rsidP="00F32ED8">
      <w:pPr>
        <w:pStyle w:val="Textonotapie"/>
        <w:ind w:right="49"/>
        <w:jc w:val="both"/>
        <w:rPr>
          <w:rFonts w:ascii="Times New Roman" w:hAnsi="Times New Roman"/>
          <w:i/>
          <w:iCs/>
          <w:color w:val="000000" w:themeColor="text1"/>
          <w:sz w:val="18"/>
          <w:szCs w:val="18"/>
          <w:lang w:val="es-ES_tradnl"/>
        </w:rPr>
      </w:pPr>
      <w:r w:rsidRPr="003548DF">
        <w:rPr>
          <w:rStyle w:val="Refdenotaalpie"/>
          <w:rFonts w:ascii="Times New Roman" w:hAnsi="Times New Roman"/>
          <w:color w:val="000000" w:themeColor="text1"/>
          <w:sz w:val="18"/>
          <w:szCs w:val="18"/>
        </w:rPr>
        <w:footnoteRef/>
      </w:r>
      <w:r w:rsidRPr="003548DF">
        <w:rPr>
          <w:rFonts w:ascii="Times New Roman" w:hAnsi="Times New Roman"/>
          <w:color w:val="000000" w:themeColor="text1"/>
          <w:sz w:val="18"/>
          <w:szCs w:val="18"/>
        </w:rPr>
        <w:t xml:space="preserve"> Entre 20 y 50 millones de personas se ven afectadas. </w:t>
      </w:r>
      <w:r w:rsidRPr="003548DF">
        <w:rPr>
          <w:rFonts w:ascii="Times New Roman" w:hAnsi="Times New Roman"/>
          <w:i/>
          <w:iCs/>
          <w:color w:val="000000" w:themeColor="text1"/>
          <w:sz w:val="18"/>
          <w:szCs w:val="18"/>
        </w:rPr>
        <w:t>Ibidem.</w:t>
      </w:r>
    </w:p>
  </w:footnote>
  <w:footnote w:id="67">
    <w:p w:rsidR="00F32ED8" w:rsidRPr="003548DF" w:rsidRDefault="00DE7CC4" w:rsidP="00F32ED8">
      <w:pPr>
        <w:pStyle w:val="Textonotapie"/>
        <w:ind w:right="49"/>
        <w:jc w:val="both"/>
        <w:rPr>
          <w:rFonts w:ascii="Times New Roman" w:hAnsi="Times New Roman"/>
          <w:i/>
          <w:iCs/>
          <w:color w:val="000000" w:themeColor="text1"/>
          <w:sz w:val="18"/>
          <w:szCs w:val="18"/>
          <w:lang w:val="es-ES_tradnl"/>
        </w:rPr>
      </w:pPr>
      <w:r w:rsidRPr="003548DF">
        <w:rPr>
          <w:rStyle w:val="Refdenotaalpie"/>
          <w:rFonts w:ascii="Times New Roman" w:hAnsi="Times New Roman"/>
          <w:color w:val="000000" w:themeColor="text1"/>
          <w:sz w:val="18"/>
          <w:szCs w:val="18"/>
        </w:rPr>
        <w:footnoteRef/>
      </w:r>
      <w:r w:rsidRPr="003548DF">
        <w:rPr>
          <w:rFonts w:ascii="Times New Roman" w:hAnsi="Times New Roman"/>
          <w:color w:val="000000" w:themeColor="text1"/>
          <w:sz w:val="18"/>
          <w:szCs w:val="18"/>
        </w:rPr>
        <w:t xml:space="preserve"> </w:t>
      </w:r>
      <w:r w:rsidRPr="003548DF">
        <w:rPr>
          <w:rFonts w:ascii="Times New Roman" w:hAnsi="Times New Roman"/>
          <w:color w:val="000000" w:themeColor="text1"/>
          <w:sz w:val="18"/>
          <w:szCs w:val="18"/>
          <w:lang w:val="es-ES_tradnl"/>
        </w:rPr>
        <w:t xml:space="preserve">El 3% del PIB, como consecuencia de costos de tratamiento y pérdida de productividad de quienes se ven afectados por la accidentalidad. </w:t>
      </w:r>
      <w:r w:rsidRPr="003548DF">
        <w:rPr>
          <w:rFonts w:ascii="Times New Roman" w:hAnsi="Times New Roman"/>
          <w:i/>
          <w:iCs/>
          <w:color w:val="000000" w:themeColor="text1"/>
          <w:sz w:val="18"/>
          <w:szCs w:val="18"/>
          <w:lang w:val="es-ES_tradnl"/>
        </w:rPr>
        <w:t>Ibidem.</w:t>
      </w:r>
    </w:p>
  </w:footnote>
  <w:footnote w:id="68">
    <w:p w:rsidR="00F32ED8" w:rsidRPr="003548DF" w:rsidRDefault="00DE7CC4" w:rsidP="00F32ED8">
      <w:pPr>
        <w:pStyle w:val="Textonotapie"/>
        <w:ind w:right="49"/>
        <w:jc w:val="both"/>
        <w:rPr>
          <w:rFonts w:ascii="Times New Roman" w:hAnsi="Times New Roman"/>
          <w:i/>
          <w:iCs/>
          <w:color w:val="000000" w:themeColor="text1"/>
          <w:sz w:val="18"/>
          <w:szCs w:val="18"/>
          <w:lang w:val="es-ES_tradnl"/>
        </w:rPr>
      </w:pPr>
      <w:r w:rsidRPr="003548DF">
        <w:rPr>
          <w:rStyle w:val="Refdenotaalpie"/>
          <w:rFonts w:ascii="Times New Roman" w:hAnsi="Times New Roman"/>
          <w:color w:val="000000" w:themeColor="text1"/>
          <w:sz w:val="18"/>
          <w:szCs w:val="18"/>
        </w:rPr>
        <w:footnoteRef/>
      </w:r>
      <w:r w:rsidRPr="003548DF">
        <w:rPr>
          <w:rFonts w:ascii="Times New Roman" w:hAnsi="Times New Roman"/>
          <w:color w:val="000000" w:themeColor="text1"/>
          <w:sz w:val="18"/>
          <w:szCs w:val="18"/>
        </w:rPr>
        <w:t xml:space="preserve"> </w:t>
      </w:r>
      <w:r w:rsidRPr="003548DF">
        <w:rPr>
          <w:rFonts w:ascii="Times New Roman" w:hAnsi="Times New Roman"/>
          <w:color w:val="000000" w:themeColor="text1"/>
          <w:sz w:val="18"/>
          <w:szCs w:val="18"/>
          <w:lang w:val="es-ES_tradnl"/>
        </w:rPr>
        <w:t>Con excepción del año 2020, en atención a la atipicidad de las circunstancias que atravesó el mundo entero. “E</w:t>
      </w:r>
      <w:r w:rsidRPr="003548DF">
        <w:rPr>
          <w:rFonts w:ascii="Times New Roman" w:hAnsi="Times New Roman"/>
          <w:color w:val="000000" w:themeColor="text1"/>
          <w:sz w:val="18"/>
          <w:szCs w:val="18"/>
          <w:lang w:val="es-ES_tradnl"/>
        </w:rPr>
        <w:t xml:space="preserve">n el 2019 de acuerdo con los datos procesados por el Observatorio Nacional de Seguridad Vial, los siniestros viales en Colombia dejaron 6.826 personas fallecidas y 36.812 lesionadas. En 2019 murió una persona por siniestros viales cada 77 minutos.” </w:t>
      </w:r>
      <w:r w:rsidRPr="003548DF">
        <w:rPr>
          <w:rFonts w:ascii="Times New Roman" w:hAnsi="Times New Roman"/>
          <w:i/>
          <w:iCs/>
          <w:color w:val="000000" w:themeColor="text1"/>
          <w:sz w:val="18"/>
          <w:szCs w:val="18"/>
          <w:lang w:val="es-ES_tradnl"/>
        </w:rPr>
        <w:t>Ibidem.</w:t>
      </w:r>
    </w:p>
  </w:footnote>
  <w:footnote w:id="69">
    <w:p w:rsidR="00F32ED8" w:rsidRPr="003548DF" w:rsidRDefault="00DE7CC4" w:rsidP="00F32ED8">
      <w:pPr>
        <w:pStyle w:val="Textonotapie"/>
        <w:ind w:right="49"/>
        <w:jc w:val="both"/>
        <w:rPr>
          <w:rFonts w:ascii="Times New Roman" w:hAnsi="Times New Roman"/>
          <w:i/>
          <w:iCs/>
          <w:color w:val="000000" w:themeColor="text1"/>
          <w:sz w:val="18"/>
          <w:szCs w:val="18"/>
        </w:rPr>
      </w:pPr>
      <w:r w:rsidRPr="003548DF">
        <w:rPr>
          <w:rStyle w:val="Refdenotaalpie"/>
          <w:rFonts w:ascii="Times New Roman" w:hAnsi="Times New Roman"/>
          <w:color w:val="000000" w:themeColor="text1"/>
          <w:sz w:val="18"/>
          <w:szCs w:val="18"/>
        </w:rPr>
        <w:footnoteRef/>
      </w:r>
      <w:r w:rsidRPr="003548DF">
        <w:rPr>
          <w:rFonts w:ascii="Times New Roman" w:hAnsi="Times New Roman"/>
          <w:color w:val="000000" w:themeColor="text1"/>
          <w:sz w:val="18"/>
          <w:szCs w:val="18"/>
        </w:rPr>
        <w:t xml:space="preserve"> En esta oportunidad se precisó: “Por estas razones, es necesario modificar el artículo 143 de la Ley 769 de 2002, en el sentido de que en todo accidente de tránsito en que se generen sólo daños materiales los implicados e interesados deben retirar inmed</w:t>
      </w:r>
      <w:r w:rsidRPr="003548DF">
        <w:rPr>
          <w:rFonts w:ascii="Times New Roman" w:hAnsi="Times New Roman"/>
          <w:color w:val="000000" w:themeColor="text1"/>
          <w:sz w:val="18"/>
          <w:szCs w:val="18"/>
        </w:rPr>
        <w:t>iatamente los vehículos para no obstruir el tráfico y que no será necesaria la expedición del informe de accidente de tránsito, ni la presencia de autoridad de tránsito en la respectiva audiencia de conciliación, con el fin de mejorar la movilidad en las c</w:t>
      </w:r>
      <w:r w:rsidRPr="003548DF">
        <w:rPr>
          <w:rFonts w:ascii="Times New Roman" w:hAnsi="Times New Roman"/>
          <w:color w:val="000000" w:themeColor="text1"/>
          <w:sz w:val="18"/>
          <w:szCs w:val="18"/>
        </w:rPr>
        <w:t>iudades, amén de que se trata de un asunto netamente civil. Igualmente, es necesario derogar el artículo 143 A de la Ley 769 de 2002 adicionado por el artículo 12 de la Ley 2161 de 2021, que ha suscitado la errada interpretación de que sólo existe este deb</w:t>
      </w:r>
      <w:r w:rsidRPr="003548DF">
        <w:rPr>
          <w:rFonts w:ascii="Times New Roman" w:hAnsi="Times New Roman"/>
          <w:color w:val="000000" w:themeColor="text1"/>
          <w:sz w:val="18"/>
          <w:szCs w:val="18"/>
        </w:rPr>
        <w:t xml:space="preserve">er si todos los vehículos están asegurados”. </w:t>
      </w:r>
      <w:r w:rsidRPr="003548DF">
        <w:rPr>
          <w:rFonts w:ascii="Times New Roman" w:hAnsi="Times New Roman"/>
          <w:i/>
          <w:iCs/>
          <w:color w:val="000000" w:themeColor="text1"/>
          <w:sz w:val="18"/>
          <w:szCs w:val="18"/>
        </w:rPr>
        <w:t>Ibidem.</w:t>
      </w:r>
    </w:p>
  </w:footnote>
  <w:footnote w:id="70">
    <w:p w:rsidR="00F32ED8" w:rsidRPr="003548DF" w:rsidRDefault="00DE7CC4" w:rsidP="00F32ED8">
      <w:pPr>
        <w:pStyle w:val="Textonotapie"/>
        <w:ind w:right="49"/>
        <w:rPr>
          <w:rFonts w:ascii="Times New Roman" w:hAnsi="Times New Roman"/>
          <w:color w:val="000000" w:themeColor="text1"/>
          <w:sz w:val="18"/>
          <w:szCs w:val="18"/>
          <w:lang w:val="es-ES_tradnl"/>
        </w:rPr>
      </w:pPr>
      <w:r w:rsidRPr="003548DF">
        <w:rPr>
          <w:rStyle w:val="Refdenotaalpie"/>
          <w:rFonts w:ascii="Times New Roman" w:hAnsi="Times New Roman"/>
          <w:color w:val="000000" w:themeColor="text1"/>
          <w:sz w:val="18"/>
          <w:szCs w:val="18"/>
        </w:rPr>
        <w:footnoteRef/>
      </w:r>
      <w:r w:rsidRPr="003548DF">
        <w:rPr>
          <w:rFonts w:ascii="Times New Roman" w:hAnsi="Times New Roman"/>
          <w:color w:val="000000" w:themeColor="text1"/>
          <w:sz w:val="18"/>
          <w:szCs w:val="18"/>
        </w:rPr>
        <w:t xml:space="preserve"> </w:t>
      </w:r>
      <w:r w:rsidRPr="003548DF">
        <w:rPr>
          <w:rFonts w:ascii="Times New Roman" w:hAnsi="Times New Roman"/>
          <w:color w:val="000000" w:themeColor="text1"/>
          <w:sz w:val="18"/>
          <w:szCs w:val="18"/>
          <w:lang w:val="es-ES_tradnl"/>
        </w:rPr>
        <w:t xml:space="preserve">La ponencia para conciliación se publicó en la Gaceta No. 613 del 2 de junio de 2022. </w:t>
      </w:r>
    </w:p>
  </w:footnote>
  <w:footnote w:id="71">
    <w:p w:rsidR="00F32ED8" w:rsidRPr="003548DF" w:rsidRDefault="00DE7CC4" w:rsidP="00F32ED8">
      <w:pPr>
        <w:pStyle w:val="Textonotapie"/>
        <w:ind w:right="49"/>
        <w:jc w:val="both"/>
        <w:rPr>
          <w:rFonts w:ascii="Times New Roman" w:hAnsi="Times New Roman"/>
          <w:color w:val="000000" w:themeColor="text1"/>
          <w:sz w:val="18"/>
          <w:szCs w:val="18"/>
          <w:lang w:val="es-ES_tradnl"/>
        </w:rPr>
      </w:pPr>
      <w:r w:rsidRPr="003548DF">
        <w:rPr>
          <w:rStyle w:val="Refdenotaalpie"/>
          <w:rFonts w:ascii="Times New Roman" w:hAnsi="Times New Roman"/>
          <w:color w:val="000000" w:themeColor="text1"/>
          <w:sz w:val="18"/>
          <w:szCs w:val="18"/>
        </w:rPr>
        <w:footnoteRef/>
      </w:r>
      <w:r w:rsidRPr="003548DF">
        <w:rPr>
          <w:rFonts w:ascii="Times New Roman" w:hAnsi="Times New Roman"/>
          <w:color w:val="000000" w:themeColor="text1"/>
          <w:sz w:val="18"/>
          <w:szCs w:val="18"/>
        </w:rPr>
        <w:t xml:space="preserve"> </w:t>
      </w:r>
      <w:r w:rsidRPr="003548DF">
        <w:rPr>
          <w:rFonts w:ascii="Times New Roman" w:hAnsi="Times New Roman"/>
          <w:color w:val="000000" w:themeColor="text1"/>
          <w:sz w:val="18"/>
          <w:szCs w:val="18"/>
          <w:lang w:val="es-ES_tradnl"/>
        </w:rPr>
        <w:t xml:space="preserve">El tercer debate, en la comisión sexta constitucional de la Cámara de Representantes, se llevó a cabo en la sesión del 5 de mayo de 2022. </w:t>
      </w:r>
      <w:hyperlink r:id="rId15" w:history="1">
        <w:r w:rsidRPr="003548DF">
          <w:rPr>
            <w:rStyle w:val="Hipervnculo"/>
            <w:rFonts w:ascii="Times New Roman" w:hAnsi="Times New Roman"/>
            <w:color w:val="000000" w:themeColor="text1"/>
            <w:sz w:val="18"/>
            <w:szCs w:val="18"/>
            <w:lang w:val="es-ES_tradnl"/>
          </w:rPr>
          <w:t>https://www.youtube.com/watch?v=vwz7GbK_8A4</w:t>
        </w:r>
      </w:hyperlink>
      <w:r w:rsidRPr="003548DF">
        <w:rPr>
          <w:rFonts w:ascii="Times New Roman" w:hAnsi="Times New Roman"/>
          <w:color w:val="000000" w:themeColor="text1"/>
          <w:sz w:val="18"/>
          <w:szCs w:val="18"/>
          <w:lang w:val="es-ES_tradnl"/>
        </w:rPr>
        <w:t xml:space="preserve">. </w:t>
      </w:r>
    </w:p>
  </w:footnote>
  <w:footnote w:id="72">
    <w:p w:rsidR="00F32ED8" w:rsidRPr="003548DF" w:rsidRDefault="00DE7CC4" w:rsidP="00F32ED8">
      <w:pPr>
        <w:pStyle w:val="Textonotapie"/>
        <w:ind w:right="49"/>
        <w:jc w:val="both"/>
        <w:rPr>
          <w:rFonts w:ascii="Times New Roman" w:hAnsi="Times New Roman"/>
          <w:color w:val="000000" w:themeColor="text1"/>
          <w:sz w:val="18"/>
          <w:szCs w:val="18"/>
          <w:lang w:val="es-ES_tradnl"/>
        </w:rPr>
      </w:pPr>
      <w:r w:rsidRPr="003548DF">
        <w:rPr>
          <w:rStyle w:val="Refdenotaalpie"/>
          <w:rFonts w:ascii="Times New Roman" w:hAnsi="Times New Roman"/>
          <w:color w:val="000000" w:themeColor="text1"/>
          <w:sz w:val="18"/>
          <w:szCs w:val="18"/>
        </w:rPr>
        <w:footnoteRef/>
      </w:r>
      <w:r w:rsidRPr="003548DF">
        <w:rPr>
          <w:rFonts w:ascii="Times New Roman" w:hAnsi="Times New Roman"/>
          <w:color w:val="000000" w:themeColor="text1"/>
          <w:sz w:val="18"/>
          <w:szCs w:val="18"/>
        </w:rPr>
        <w:t xml:space="preserve"> </w:t>
      </w:r>
      <w:r w:rsidRPr="003548DF">
        <w:rPr>
          <w:rFonts w:ascii="Times New Roman" w:hAnsi="Times New Roman"/>
          <w:color w:val="000000" w:themeColor="text1"/>
          <w:sz w:val="18"/>
          <w:szCs w:val="18"/>
          <w:lang w:val="es-ES_tradnl"/>
        </w:rPr>
        <w:t xml:space="preserve">El cuarto </w:t>
      </w:r>
      <w:r w:rsidRPr="003548DF">
        <w:rPr>
          <w:rFonts w:ascii="Times New Roman" w:hAnsi="Times New Roman"/>
          <w:color w:val="000000" w:themeColor="text1"/>
          <w:sz w:val="18"/>
          <w:szCs w:val="18"/>
          <w:lang w:val="es-ES_tradnl"/>
        </w:rPr>
        <w:t xml:space="preserve">debate, en la plenaria de la Cámara de Representantes, se llevó a cabo en la sesión del 18 de mayo de 2022. </w:t>
      </w:r>
      <w:hyperlink r:id="rId16" w:history="1">
        <w:r w:rsidRPr="003548DF">
          <w:rPr>
            <w:rStyle w:val="Hipervnculo"/>
            <w:rFonts w:ascii="Times New Roman" w:hAnsi="Times New Roman"/>
            <w:color w:val="000000" w:themeColor="text1"/>
            <w:sz w:val="18"/>
            <w:szCs w:val="18"/>
            <w:lang w:val="es-ES_tradnl"/>
          </w:rPr>
          <w:t>https://www.youtube.com/watch?v=b0mWR7-C0gg&amp;t=11325s</w:t>
        </w:r>
      </w:hyperlink>
      <w:r w:rsidRPr="003548DF">
        <w:rPr>
          <w:rFonts w:ascii="Times New Roman" w:hAnsi="Times New Roman"/>
          <w:color w:val="000000" w:themeColor="text1"/>
          <w:sz w:val="18"/>
          <w:szCs w:val="18"/>
          <w:lang w:val="es-ES_tradnl"/>
        </w:rPr>
        <w:t xml:space="preserve">. </w:t>
      </w:r>
    </w:p>
  </w:footnote>
  <w:footnote w:id="73">
    <w:p w:rsidR="00F32ED8" w:rsidRPr="003548DF" w:rsidRDefault="00DE7CC4" w:rsidP="00F32ED8">
      <w:pPr>
        <w:pStyle w:val="Textonotapie"/>
        <w:ind w:right="49"/>
        <w:jc w:val="both"/>
        <w:rPr>
          <w:rFonts w:ascii="Times New Roman" w:hAnsi="Times New Roman"/>
          <w:color w:val="000000" w:themeColor="text1"/>
          <w:sz w:val="18"/>
          <w:szCs w:val="18"/>
          <w:lang w:val="es-ES_tradnl"/>
        </w:rPr>
      </w:pPr>
      <w:r w:rsidRPr="003548DF">
        <w:rPr>
          <w:rStyle w:val="Refdenotaalpie"/>
          <w:rFonts w:ascii="Times New Roman" w:hAnsi="Times New Roman"/>
          <w:color w:val="000000" w:themeColor="text1"/>
          <w:sz w:val="18"/>
          <w:szCs w:val="18"/>
        </w:rPr>
        <w:footnoteRef/>
      </w:r>
      <w:r w:rsidRPr="003548DF">
        <w:rPr>
          <w:rFonts w:ascii="Times New Roman" w:hAnsi="Times New Roman"/>
          <w:color w:val="000000" w:themeColor="text1"/>
          <w:sz w:val="18"/>
          <w:szCs w:val="18"/>
        </w:rPr>
        <w:t xml:space="preserve"> </w:t>
      </w:r>
      <w:r w:rsidRPr="003548DF">
        <w:rPr>
          <w:rFonts w:ascii="Times New Roman" w:hAnsi="Times New Roman"/>
          <w:color w:val="000000" w:themeColor="text1"/>
          <w:sz w:val="18"/>
          <w:szCs w:val="18"/>
          <w:lang w:val="es-ES_tradnl"/>
        </w:rPr>
        <w:t>Gaceta del Congreso No</w:t>
      </w:r>
      <w:r w:rsidRPr="003548DF">
        <w:rPr>
          <w:rFonts w:ascii="Times New Roman" w:hAnsi="Times New Roman"/>
          <w:color w:val="000000" w:themeColor="text1"/>
          <w:sz w:val="18"/>
          <w:szCs w:val="18"/>
          <w:lang w:val="es-ES_tradnl"/>
        </w:rPr>
        <w:t xml:space="preserve">. 405 del 4 de mayo de 2022, p. 12. </w:t>
      </w:r>
    </w:p>
  </w:footnote>
  <w:footnote w:id="74">
    <w:p w:rsidR="00F32ED8" w:rsidRPr="003548DF" w:rsidRDefault="00DE7CC4" w:rsidP="00F32ED8">
      <w:pPr>
        <w:pStyle w:val="Textonotapie"/>
        <w:ind w:right="49"/>
        <w:rPr>
          <w:rFonts w:ascii="Times New Roman" w:hAnsi="Times New Roman"/>
          <w:color w:val="000000" w:themeColor="text1"/>
          <w:sz w:val="18"/>
          <w:szCs w:val="18"/>
          <w:lang w:val="es-ES_tradnl"/>
        </w:rPr>
      </w:pPr>
      <w:r w:rsidRPr="003548DF">
        <w:rPr>
          <w:rStyle w:val="Refdenotaalpie"/>
          <w:rFonts w:ascii="Times New Roman" w:hAnsi="Times New Roman"/>
          <w:color w:val="000000" w:themeColor="text1"/>
          <w:sz w:val="18"/>
          <w:szCs w:val="18"/>
        </w:rPr>
        <w:footnoteRef/>
      </w:r>
      <w:r w:rsidRPr="003548DF">
        <w:rPr>
          <w:rFonts w:ascii="Times New Roman" w:hAnsi="Times New Roman"/>
          <w:color w:val="000000" w:themeColor="text1"/>
          <w:sz w:val="18"/>
          <w:szCs w:val="18"/>
        </w:rPr>
        <w:t xml:space="preserve"> </w:t>
      </w:r>
      <w:r w:rsidRPr="003548DF">
        <w:rPr>
          <w:rFonts w:ascii="Times New Roman" w:hAnsi="Times New Roman"/>
          <w:color w:val="000000" w:themeColor="text1"/>
          <w:sz w:val="18"/>
          <w:szCs w:val="18"/>
          <w:lang w:val="es-ES_tradnl"/>
        </w:rPr>
        <w:t>Gaceta 613 del 2 de junio de 2022, p. 27.</w:t>
      </w:r>
    </w:p>
  </w:footnote>
  <w:footnote w:id="75">
    <w:p w:rsidR="00F32ED8" w:rsidRPr="003548DF" w:rsidRDefault="00DE7CC4" w:rsidP="00F32ED8">
      <w:pPr>
        <w:pStyle w:val="Textonotapie"/>
        <w:ind w:right="49"/>
        <w:jc w:val="both"/>
        <w:rPr>
          <w:rFonts w:ascii="Times New Roman" w:hAnsi="Times New Roman"/>
          <w:color w:val="000000" w:themeColor="text1"/>
          <w:sz w:val="18"/>
          <w:szCs w:val="18"/>
          <w:lang w:val="es-ES_tradnl"/>
        </w:rPr>
      </w:pPr>
      <w:r w:rsidRPr="003548DF">
        <w:rPr>
          <w:rStyle w:val="Refdenotaalpie"/>
          <w:rFonts w:ascii="Times New Roman" w:hAnsi="Times New Roman"/>
          <w:color w:val="000000" w:themeColor="text1"/>
          <w:sz w:val="18"/>
          <w:szCs w:val="18"/>
        </w:rPr>
        <w:footnoteRef/>
      </w:r>
      <w:r w:rsidRPr="003548DF">
        <w:rPr>
          <w:rFonts w:ascii="Times New Roman" w:hAnsi="Times New Roman"/>
          <w:color w:val="000000" w:themeColor="text1"/>
          <w:sz w:val="18"/>
          <w:szCs w:val="18"/>
        </w:rPr>
        <w:t xml:space="preserve"> </w:t>
      </w:r>
      <w:r w:rsidRPr="003548DF">
        <w:rPr>
          <w:rFonts w:ascii="Times New Roman" w:hAnsi="Times New Roman"/>
          <w:color w:val="000000" w:themeColor="text1"/>
          <w:sz w:val="18"/>
          <w:szCs w:val="18"/>
          <w:lang w:val="es-ES_tradnl"/>
        </w:rPr>
        <w:t xml:space="preserve">Este aseguramiento, por supuesto, no hace referencia al SOAT -que se </w:t>
      </w:r>
      <w:r w:rsidRPr="003548DF">
        <w:rPr>
          <w:rFonts w:ascii="Times New Roman" w:hAnsi="Times New Roman"/>
          <w:color w:val="000000" w:themeColor="text1"/>
          <w:sz w:val="18"/>
          <w:szCs w:val="18"/>
          <w:lang w:val="es-ES_tradnl"/>
        </w:rPr>
        <w:t xml:space="preserve">aplica </w:t>
      </w:r>
      <w:r w:rsidRPr="003548DF">
        <w:rPr>
          <w:rFonts w:ascii="Times New Roman" w:hAnsi="Times New Roman"/>
          <w:color w:val="000000" w:themeColor="text1"/>
          <w:sz w:val="18"/>
          <w:szCs w:val="18"/>
          <w:lang w:val="es-ES_tradnl"/>
        </w:rPr>
        <w:t xml:space="preserve">en los casos en los que resultan afectadas personas-. </w:t>
      </w:r>
    </w:p>
  </w:footnote>
  <w:footnote w:id="76">
    <w:p w:rsidR="00F32ED8" w:rsidRPr="003548DF" w:rsidRDefault="00DE7CC4" w:rsidP="00F32ED8">
      <w:pPr>
        <w:pStyle w:val="Textonotapie"/>
        <w:ind w:right="49"/>
        <w:rPr>
          <w:rFonts w:ascii="Times New Roman" w:hAnsi="Times New Roman"/>
          <w:color w:val="000000" w:themeColor="text1"/>
          <w:sz w:val="18"/>
          <w:szCs w:val="18"/>
          <w:lang w:val="es-ES_tradnl"/>
        </w:rPr>
      </w:pPr>
      <w:r w:rsidRPr="003548DF">
        <w:rPr>
          <w:rStyle w:val="Refdenotaalpie"/>
          <w:rFonts w:ascii="Times New Roman" w:hAnsi="Times New Roman"/>
          <w:color w:val="000000" w:themeColor="text1"/>
          <w:sz w:val="18"/>
          <w:szCs w:val="18"/>
        </w:rPr>
        <w:footnoteRef/>
      </w:r>
      <w:r w:rsidRPr="003548DF">
        <w:rPr>
          <w:rFonts w:ascii="Times New Roman" w:hAnsi="Times New Roman"/>
          <w:color w:val="000000" w:themeColor="text1"/>
          <w:sz w:val="18"/>
          <w:szCs w:val="18"/>
        </w:rPr>
        <w:t xml:space="preserve"> </w:t>
      </w:r>
      <w:r w:rsidRPr="003548DF">
        <w:rPr>
          <w:rFonts w:ascii="Times New Roman" w:hAnsi="Times New Roman"/>
          <w:color w:val="000000" w:themeColor="text1"/>
          <w:sz w:val="18"/>
          <w:szCs w:val="18"/>
          <w:lang w:val="es-ES_tradnl"/>
        </w:rPr>
        <w:t>M.P. Jorge Enrique Ibáñez Najar. SV. Jos</w:t>
      </w:r>
      <w:r w:rsidRPr="003548DF">
        <w:rPr>
          <w:rFonts w:ascii="Times New Roman" w:hAnsi="Times New Roman"/>
          <w:color w:val="000000" w:themeColor="text1"/>
          <w:sz w:val="18"/>
          <w:szCs w:val="18"/>
          <w:lang w:val="es-ES_tradnl"/>
        </w:rPr>
        <w:t>é Fernando Reyes Cuartas. AV. Alejandro Linares Cantillo.</w:t>
      </w:r>
    </w:p>
  </w:footnote>
  <w:footnote w:id="77">
    <w:p w:rsidR="00F32ED8" w:rsidRPr="003548DF" w:rsidRDefault="00DE7CC4" w:rsidP="00F32ED8">
      <w:pPr>
        <w:pStyle w:val="Textonotapie"/>
        <w:ind w:right="49"/>
        <w:rPr>
          <w:rFonts w:ascii="Times New Roman" w:hAnsi="Times New Roman"/>
          <w:color w:val="000000" w:themeColor="text1"/>
          <w:sz w:val="18"/>
          <w:szCs w:val="18"/>
        </w:rPr>
      </w:pPr>
      <w:r w:rsidRPr="003548DF">
        <w:rPr>
          <w:rStyle w:val="Refdenotaalpie"/>
          <w:rFonts w:ascii="Times New Roman" w:hAnsi="Times New Roman"/>
          <w:color w:val="000000" w:themeColor="text1"/>
          <w:sz w:val="18"/>
          <w:szCs w:val="18"/>
        </w:rPr>
        <w:footnoteRef/>
      </w:r>
      <w:r w:rsidRPr="003548DF">
        <w:rPr>
          <w:rFonts w:ascii="Times New Roman" w:hAnsi="Times New Roman"/>
          <w:color w:val="000000" w:themeColor="text1"/>
          <w:sz w:val="18"/>
          <w:szCs w:val="18"/>
        </w:rPr>
        <w:t xml:space="preserve"> Gaceta 1260 de 2021, pág. 9.</w:t>
      </w:r>
    </w:p>
  </w:footnote>
  <w:footnote w:id="78">
    <w:p w:rsidR="00F32ED8" w:rsidRPr="003548DF" w:rsidRDefault="00DE7CC4" w:rsidP="00F32ED8">
      <w:pPr>
        <w:pStyle w:val="Textonotapie"/>
        <w:ind w:right="49"/>
        <w:jc w:val="both"/>
        <w:rPr>
          <w:rFonts w:ascii="Times New Roman" w:hAnsi="Times New Roman"/>
          <w:color w:val="000000" w:themeColor="text1"/>
          <w:sz w:val="18"/>
          <w:szCs w:val="18"/>
          <w:lang w:val="es-ES_tradnl"/>
        </w:rPr>
      </w:pPr>
      <w:r w:rsidRPr="003548DF">
        <w:rPr>
          <w:rStyle w:val="Refdenotaalpie"/>
          <w:rFonts w:ascii="Times New Roman" w:hAnsi="Times New Roman"/>
          <w:color w:val="000000" w:themeColor="text1"/>
          <w:sz w:val="18"/>
          <w:szCs w:val="18"/>
        </w:rPr>
        <w:footnoteRef/>
      </w:r>
      <w:r w:rsidRPr="003548DF">
        <w:rPr>
          <w:rFonts w:ascii="Times New Roman" w:hAnsi="Times New Roman"/>
          <w:color w:val="000000" w:themeColor="text1"/>
          <w:sz w:val="18"/>
          <w:szCs w:val="18"/>
        </w:rPr>
        <w:t xml:space="preserve"> Que se llevó a cabo los días 28 y 29 de septiembre de 2021. </w:t>
      </w:r>
      <w:hyperlink r:id="rId17" w:history="1">
        <w:r w:rsidRPr="003548DF">
          <w:rPr>
            <w:rStyle w:val="Hipervnculo"/>
            <w:rFonts w:ascii="Times New Roman" w:hAnsi="Times New Roman"/>
            <w:color w:val="000000" w:themeColor="text1"/>
            <w:sz w:val="18"/>
            <w:szCs w:val="18"/>
          </w:rPr>
          <w:t>https://www.youtube.com/watch?v=x6sNO7VNZN4</w:t>
        </w:r>
      </w:hyperlink>
      <w:r w:rsidRPr="003548DF">
        <w:rPr>
          <w:rFonts w:ascii="Times New Roman" w:hAnsi="Times New Roman"/>
          <w:color w:val="000000" w:themeColor="text1"/>
          <w:sz w:val="18"/>
          <w:szCs w:val="18"/>
        </w:rPr>
        <w:t xml:space="preserve"> y </w:t>
      </w:r>
      <w:hyperlink r:id="rId18" w:history="1">
        <w:r w:rsidRPr="003548DF">
          <w:rPr>
            <w:rStyle w:val="Hipervnculo"/>
            <w:rFonts w:ascii="Times New Roman" w:hAnsi="Times New Roman"/>
            <w:color w:val="000000" w:themeColor="text1"/>
            <w:sz w:val="18"/>
            <w:szCs w:val="18"/>
          </w:rPr>
          <w:t>https://www.youtube.com/watch?v=nHXrnjWSGjM</w:t>
        </w:r>
      </w:hyperlink>
      <w:r w:rsidRPr="003548DF">
        <w:rPr>
          <w:rFonts w:ascii="Times New Roman" w:hAnsi="Times New Roman"/>
          <w:color w:val="000000" w:themeColor="text1"/>
          <w:sz w:val="18"/>
          <w:szCs w:val="18"/>
        </w:rPr>
        <w:t xml:space="preserve">. La ponencia fue publicada en la Gaceta 1260 de 20 de septiembre de 2021. </w:t>
      </w:r>
    </w:p>
  </w:footnote>
  <w:footnote w:id="79">
    <w:p w:rsidR="00F32ED8" w:rsidRPr="003548DF" w:rsidRDefault="00DE7CC4" w:rsidP="00F32ED8">
      <w:pPr>
        <w:pStyle w:val="Textonotapie"/>
        <w:ind w:right="49"/>
        <w:jc w:val="both"/>
        <w:rPr>
          <w:rFonts w:ascii="Times New Roman" w:hAnsi="Times New Roman"/>
          <w:color w:val="000000" w:themeColor="text1"/>
          <w:sz w:val="18"/>
          <w:szCs w:val="18"/>
          <w:lang w:val="es-ES_tradnl"/>
        </w:rPr>
      </w:pPr>
      <w:r w:rsidRPr="003548DF">
        <w:rPr>
          <w:rStyle w:val="Refdenotaalpie"/>
          <w:rFonts w:ascii="Times New Roman" w:hAnsi="Times New Roman"/>
          <w:color w:val="000000" w:themeColor="text1"/>
          <w:sz w:val="18"/>
          <w:szCs w:val="18"/>
        </w:rPr>
        <w:footnoteRef/>
      </w:r>
      <w:r w:rsidRPr="003548DF">
        <w:rPr>
          <w:rFonts w:ascii="Times New Roman" w:hAnsi="Times New Roman"/>
          <w:color w:val="000000" w:themeColor="text1"/>
          <w:sz w:val="18"/>
          <w:szCs w:val="18"/>
        </w:rPr>
        <w:t xml:space="preserve"> </w:t>
      </w:r>
      <w:r w:rsidRPr="003548DF">
        <w:rPr>
          <w:rFonts w:ascii="Times New Roman" w:hAnsi="Times New Roman"/>
          <w:color w:val="000000" w:themeColor="text1"/>
          <w:sz w:val="18"/>
          <w:szCs w:val="18"/>
          <w:lang w:val="es-ES_tradnl"/>
        </w:rPr>
        <w:t>Sobre esta distinción, ver lo expuesto recientemente en la Sentencia C-3</w:t>
      </w:r>
      <w:r w:rsidRPr="003548DF">
        <w:rPr>
          <w:rFonts w:ascii="Times New Roman" w:hAnsi="Times New Roman"/>
          <w:color w:val="000000" w:themeColor="text1"/>
          <w:sz w:val="18"/>
          <w:szCs w:val="18"/>
          <w:lang w:val="es-ES_tradnl"/>
        </w:rPr>
        <w:t>21 de 2022. M.P. Jorge Enrique Ibáñez Najar. SV. José Fernando Reyes Cuartas. AV. Alejandro Linares Cantillo.</w:t>
      </w:r>
    </w:p>
  </w:footnote>
  <w:footnote w:id="80">
    <w:p w:rsidR="00F32ED8" w:rsidRPr="003548DF" w:rsidRDefault="00DE7CC4" w:rsidP="00F32ED8">
      <w:pPr>
        <w:pStyle w:val="Sinespaciado"/>
        <w:ind w:right="49"/>
        <w:jc w:val="both"/>
        <w:rPr>
          <w:rStyle w:val="Hipervnculo"/>
          <w:color w:val="000000" w:themeColor="text1"/>
          <w:sz w:val="18"/>
          <w:szCs w:val="18"/>
        </w:rPr>
      </w:pPr>
      <w:r w:rsidRPr="003548DF">
        <w:rPr>
          <w:rStyle w:val="Refdenotaalpie"/>
          <w:color w:val="000000" w:themeColor="text1"/>
          <w:sz w:val="18"/>
          <w:szCs w:val="18"/>
        </w:rPr>
        <w:footnoteRef/>
      </w:r>
      <w:r w:rsidRPr="003548DF">
        <w:rPr>
          <w:color w:val="000000" w:themeColor="text1"/>
          <w:sz w:val="18"/>
          <w:szCs w:val="18"/>
        </w:rPr>
        <w:t xml:space="preserve"> A nivel internacional, el aseguramiento es parte fundamental del régimen de atención de accidentes viales. </w:t>
      </w:r>
      <w:r w:rsidRPr="003548DF">
        <w:rPr>
          <w:color w:val="000000" w:themeColor="text1"/>
          <w:sz w:val="18"/>
          <w:szCs w:val="18"/>
          <w:lang w:val="es-MX"/>
        </w:rPr>
        <w:t>Los 30 países del Espacio Económico E</w:t>
      </w:r>
      <w:r w:rsidRPr="003548DF">
        <w:rPr>
          <w:color w:val="000000" w:themeColor="text1"/>
          <w:sz w:val="18"/>
          <w:szCs w:val="18"/>
          <w:lang w:val="es-MX"/>
        </w:rPr>
        <w:t xml:space="preserve">uropeo hacen parte del sistema de </w:t>
      </w:r>
      <w:r w:rsidRPr="003548DF">
        <w:rPr>
          <w:i/>
          <w:iCs/>
          <w:color w:val="000000" w:themeColor="text1"/>
          <w:sz w:val="18"/>
          <w:szCs w:val="18"/>
          <w:lang w:val="es-MX"/>
        </w:rPr>
        <w:t>carta verde</w:t>
      </w:r>
      <w:r w:rsidRPr="003548DF">
        <w:rPr>
          <w:color w:val="000000" w:themeColor="text1"/>
          <w:sz w:val="18"/>
          <w:szCs w:val="18"/>
          <w:lang w:val="es-MX"/>
        </w:rPr>
        <w:t>, que le da validez internacional a los seguros para automóviles expedidos por sus miembros (</w:t>
      </w:r>
      <w:r w:rsidRPr="003548DF">
        <w:rPr>
          <w:color w:val="000000" w:themeColor="text1"/>
          <w:sz w:val="18"/>
          <w:szCs w:val="18"/>
        </w:rPr>
        <w:t xml:space="preserve">Motor Insurance’s Bureau. </w:t>
      </w:r>
      <w:r w:rsidRPr="003548DF">
        <w:rPr>
          <w:i/>
          <w:iCs/>
          <w:color w:val="000000" w:themeColor="text1"/>
          <w:sz w:val="18"/>
          <w:szCs w:val="18"/>
          <w:lang w:val="en-US"/>
        </w:rPr>
        <w:t>Green Card System Explained.</w:t>
      </w:r>
      <w:r w:rsidRPr="003548DF">
        <w:rPr>
          <w:color w:val="000000" w:themeColor="text1"/>
          <w:sz w:val="18"/>
          <w:szCs w:val="18"/>
          <w:lang w:val="en-US"/>
        </w:rPr>
        <w:t xml:space="preserve"> </w:t>
      </w:r>
      <w:r w:rsidRPr="00C6022C">
        <w:rPr>
          <w:color w:val="000000" w:themeColor="text1"/>
          <w:sz w:val="18"/>
          <w:szCs w:val="18"/>
          <w:lang w:val="en-US"/>
        </w:rPr>
        <w:t xml:space="preserve">Disponible en: </w:t>
      </w:r>
      <w:hyperlink r:id="rId19" w:history="1">
        <w:r w:rsidRPr="00C6022C">
          <w:rPr>
            <w:rStyle w:val="Hipervnculo"/>
            <w:color w:val="000000" w:themeColor="text1"/>
            <w:sz w:val="18"/>
            <w:szCs w:val="18"/>
            <w:lang w:val="en-US"/>
          </w:rPr>
          <w:t>https://www.mib.org.uk/making-a-claim/accidents-in-the-uk-involving-a-foreign-registered-vehicle/green-card-system-ex</w:t>
        </w:r>
        <w:r w:rsidRPr="00C6022C">
          <w:rPr>
            <w:rStyle w:val="Hipervnculo"/>
            <w:color w:val="000000" w:themeColor="text1"/>
            <w:sz w:val="18"/>
            <w:szCs w:val="18"/>
            <w:lang w:val="en-US"/>
          </w:rPr>
          <w:t>plained</w:t>
        </w:r>
      </w:hyperlink>
      <w:r w:rsidRPr="00C6022C">
        <w:rPr>
          <w:color w:val="000000" w:themeColor="text1"/>
          <w:sz w:val="18"/>
          <w:szCs w:val="18"/>
          <w:lang w:val="en-US"/>
        </w:rPr>
        <w:t xml:space="preserve">). </w:t>
      </w:r>
      <w:r w:rsidRPr="003548DF">
        <w:rPr>
          <w:color w:val="000000" w:themeColor="text1"/>
          <w:sz w:val="18"/>
          <w:szCs w:val="18"/>
          <w:lang w:val="es-MX"/>
        </w:rPr>
        <w:t xml:space="preserve">Su propósito es facilitar la movilidad terrestre a través de fronteras internacionales, y que las víctimas de accidentes que involucren vehículos extranjeros no estén en situación de desventaja. El sistema de </w:t>
      </w:r>
      <w:r w:rsidRPr="003548DF">
        <w:rPr>
          <w:i/>
          <w:iCs/>
          <w:color w:val="000000" w:themeColor="text1"/>
          <w:sz w:val="18"/>
          <w:szCs w:val="18"/>
          <w:lang w:val="es-MX"/>
        </w:rPr>
        <w:t>carta verde</w:t>
      </w:r>
      <w:r w:rsidRPr="003548DF">
        <w:rPr>
          <w:color w:val="000000" w:themeColor="text1"/>
          <w:sz w:val="18"/>
          <w:szCs w:val="18"/>
          <w:lang w:val="es-MX"/>
        </w:rPr>
        <w:t xml:space="preserve"> es coordinado por el Cons</w:t>
      </w:r>
      <w:r w:rsidRPr="003548DF">
        <w:rPr>
          <w:color w:val="000000" w:themeColor="text1"/>
          <w:sz w:val="18"/>
          <w:szCs w:val="18"/>
          <w:lang w:val="es-MX"/>
        </w:rPr>
        <w:t>ejo de Oficinas Nacionales (</w:t>
      </w:r>
      <w:r w:rsidRPr="003548DF">
        <w:rPr>
          <w:i/>
          <w:iCs/>
          <w:color w:val="000000" w:themeColor="text1"/>
          <w:sz w:val="18"/>
          <w:szCs w:val="18"/>
          <w:lang w:val="es-MX"/>
        </w:rPr>
        <w:t>Council of Bureaux</w:t>
      </w:r>
      <w:r w:rsidRPr="003548DF">
        <w:rPr>
          <w:color w:val="000000" w:themeColor="text1"/>
          <w:sz w:val="18"/>
          <w:szCs w:val="18"/>
          <w:lang w:val="es-MX"/>
        </w:rPr>
        <w:t>), una organización internacional con sede en Londres (</w:t>
      </w:r>
      <w:r w:rsidRPr="003548DF">
        <w:rPr>
          <w:color w:val="000000" w:themeColor="text1"/>
          <w:sz w:val="18"/>
          <w:szCs w:val="18"/>
        </w:rPr>
        <w:t xml:space="preserve">Council of Bureaux. </w:t>
      </w:r>
      <w:r w:rsidRPr="003548DF">
        <w:rPr>
          <w:i/>
          <w:iCs/>
          <w:color w:val="000000" w:themeColor="text1"/>
          <w:sz w:val="18"/>
          <w:szCs w:val="18"/>
        </w:rPr>
        <w:t>About COB</w:t>
      </w:r>
      <w:r w:rsidRPr="003548DF">
        <w:rPr>
          <w:color w:val="000000" w:themeColor="text1"/>
          <w:sz w:val="18"/>
          <w:szCs w:val="18"/>
        </w:rPr>
        <w:t xml:space="preserve">. Disponible en: </w:t>
      </w:r>
      <w:hyperlink r:id="rId20" w:history="1">
        <w:r w:rsidRPr="003548DF">
          <w:rPr>
            <w:rStyle w:val="Hipervnculo"/>
            <w:color w:val="000000" w:themeColor="text1"/>
            <w:sz w:val="18"/>
            <w:szCs w:val="18"/>
          </w:rPr>
          <w:t>https://www.cobx.org/article/4132/about-cob</w:t>
        </w:r>
      </w:hyperlink>
      <w:r w:rsidRPr="003548DF">
        <w:rPr>
          <w:rStyle w:val="Hipervnculo"/>
          <w:color w:val="000000" w:themeColor="text1"/>
          <w:sz w:val="18"/>
          <w:szCs w:val="18"/>
        </w:rPr>
        <w:t xml:space="preserve">). </w:t>
      </w:r>
    </w:p>
    <w:p w:rsidR="00F32ED8" w:rsidRPr="003548DF" w:rsidRDefault="00DE7CC4" w:rsidP="00F32ED8">
      <w:pPr>
        <w:pStyle w:val="Sinespaciado"/>
        <w:ind w:right="49"/>
        <w:jc w:val="both"/>
        <w:rPr>
          <w:color w:val="000000" w:themeColor="text1"/>
          <w:sz w:val="18"/>
          <w:szCs w:val="18"/>
          <w:lang w:val="es-MX"/>
        </w:rPr>
      </w:pPr>
      <w:r w:rsidRPr="003548DF">
        <w:rPr>
          <w:color w:val="000000" w:themeColor="text1"/>
          <w:sz w:val="18"/>
          <w:szCs w:val="18"/>
          <w:lang w:val="es-MX"/>
        </w:rPr>
        <w:t>Lo</w:t>
      </w:r>
      <w:r w:rsidRPr="003548DF">
        <w:rPr>
          <w:color w:val="000000" w:themeColor="text1"/>
          <w:sz w:val="18"/>
          <w:szCs w:val="18"/>
          <w:lang w:val="es-MX"/>
        </w:rPr>
        <w:t>s organismos supranacionales europeos también han expedido normas que persiguen aquellos propósitos desde por lo menos hace cinco décadas, con la expedición de la Directiva 72/166/CEE del Consejo de las Comunidades Europeas</w:t>
      </w:r>
      <w:r w:rsidRPr="003548DF">
        <w:rPr>
          <w:color w:val="000000" w:themeColor="text1"/>
          <w:sz w:val="18"/>
          <w:szCs w:val="18"/>
        </w:rPr>
        <w:t xml:space="preserve"> (Disponible en: </w:t>
      </w:r>
      <w:hyperlink r:id="rId21" w:history="1">
        <w:r w:rsidRPr="003548DF">
          <w:rPr>
            <w:rStyle w:val="Hipervnculo"/>
            <w:color w:val="000000" w:themeColor="text1"/>
            <w:sz w:val="18"/>
            <w:szCs w:val="18"/>
          </w:rPr>
          <w:t>https://eur-lex.europa.eu/legal-content/ES/TXT/?uri=CELEX:31972L0166</w:t>
        </w:r>
      </w:hyperlink>
      <w:r w:rsidRPr="003548DF">
        <w:rPr>
          <w:rStyle w:val="Hipervnculo"/>
          <w:color w:val="000000" w:themeColor="text1"/>
          <w:sz w:val="18"/>
          <w:szCs w:val="18"/>
        </w:rPr>
        <w:t>)</w:t>
      </w:r>
      <w:r w:rsidRPr="003548DF">
        <w:rPr>
          <w:color w:val="000000" w:themeColor="text1"/>
          <w:sz w:val="18"/>
          <w:szCs w:val="18"/>
          <w:lang w:val="es-MX"/>
        </w:rPr>
        <w:t>. Dicha norma busca la armonización de las legislaciones de sus Estados miembros en materia de seguros de responsabili</w:t>
      </w:r>
      <w:r w:rsidRPr="003548DF">
        <w:rPr>
          <w:color w:val="000000" w:themeColor="text1"/>
          <w:sz w:val="18"/>
          <w:szCs w:val="18"/>
          <w:lang w:val="es-MX"/>
        </w:rPr>
        <w:t xml:space="preserve">dad civil para vehículos automóviles y las vías para hacerlos efectivos. Hoy en día dichos asuntos están regulados por la Directiva 2009/103/CE del Parlamento Europeo y del Consejo de la Unión Europea (Disponible en: </w:t>
      </w:r>
      <w:hyperlink r:id="rId22" w:history="1">
        <w:r w:rsidRPr="003548DF">
          <w:rPr>
            <w:rStyle w:val="Hipervnculo"/>
            <w:color w:val="000000" w:themeColor="text1"/>
            <w:sz w:val="18"/>
            <w:szCs w:val="18"/>
            <w:lang w:val="es-MX"/>
          </w:rPr>
          <w:t>https://eur-lex.europa.eu/legal-content/ES/TXT/?uri=CELEX:32009L0103</w:t>
        </w:r>
      </w:hyperlink>
      <w:r w:rsidRPr="003548DF">
        <w:rPr>
          <w:color w:val="000000" w:themeColor="text1"/>
          <w:sz w:val="18"/>
          <w:szCs w:val="18"/>
          <w:lang w:val="es-MX"/>
        </w:rPr>
        <w:t>), donde se establece, entre otros, (i) la obligación de contar con un seguro de responsabilidad civil pa</w:t>
      </w:r>
      <w:r w:rsidRPr="003548DF">
        <w:rPr>
          <w:color w:val="000000" w:themeColor="text1"/>
          <w:sz w:val="18"/>
          <w:szCs w:val="18"/>
          <w:lang w:val="es-MX"/>
        </w:rPr>
        <w:t xml:space="preserve">ra todos los vehículos automóviles de la Unión Europea, (ii) la exigencia de una liquidación rápida de reclamaciones derivadas de siniestros en un país distinto al de residencia en dicha comunidad, y (iii) la posibilidad de solicitar una declaración sobre </w:t>
      </w:r>
      <w:r w:rsidRPr="003548DF">
        <w:rPr>
          <w:color w:val="000000" w:themeColor="text1"/>
          <w:sz w:val="18"/>
          <w:szCs w:val="18"/>
          <w:lang w:val="es-MX"/>
        </w:rPr>
        <w:t>la existencia de siniestros, con el propósito de permitir la reclamación correspondiente.</w:t>
      </w:r>
      <w:r w:rsidRPr="003548DF">
        <w:rPr>
          <w:color w:val="000000" w:themeColor="text1"/>
          <w:sz w:val="18"/>
          <w:szCs w:val="18"/>
        </w:rPr>
        <w:t xml:space="preserve"> </w:t>
      </w:r>
    </w:p>
    <w:p w:rsidR="00F32ED8" w:rsidRPr="003548DF" w:rsidRDefault="00DE7CC4" w:rsidP="00F32ED8">
      <w:pPr>
        <w:pStyle w:val="Sinespaciado"/>
        <w:ind w:right="49"/>
        <w:jc w:val="both"/>
        <w:rPr>
          <w:color w:val="000000" w:themeColor="text1"/>
          <w:sz w:val="18"/>
          <w:szCs w:val="18"/>
          <w:lang w:val="es-MX"/>
        </w:rPr>
      </w:pPr>
      <w:r w:rsidRPr="003548DF">
        <w:rPr>
          <w:color w:val="000000" w:themeColor="text1"/>
          <w:sz w:val="18"/>
          <w:szCs w:val="18"/>
          <w:lang w:val="es-MX"/>
        </w:rPr>
        <w:t>Con base en aquellas normas supranacionales, los países de la Unión Europea adoptaron un formulario estandarizado para las reclamaciones de seguros por accidentes au</w:t>
      </w:r>
      <w:r w:rsidRPr="003548DF">
        <w:rPr>
          <w:color w:val="000000" w:themeColor="text1"/>
          <w:sz w:val="18"/>
          <w:szCs w:val="18"/>
          <w:lang w:val="es-MX"/>
        </w:rPr>
        <w:t>tomovilísticos en los que solamente hay daños materiales: el Parte Europeo de Accidente. Es un documento en el que las personas involucradas en un accidente proporcionan los datos mínimos requeridos para tramitar la indemnización ante las aseguradoras, sin</w:t>
      </w:r>
      <w:r w:rsidRPr="003548DF">
        <w:rPr>
          <w:color w:val="000000" w:themeColor="text1"/>
          <w:sz w:val="18"/>
          <w:szCs w:val="18"/>
          <w:lang w:val="es-MX"/>
        </w:rPr>
        <w:t xml:space="preserve"> la intervención de las autoridades. Puede ir acompañado de distintos elementos de prueba, como el registro fotográfico de lo ocurrido, dictámenes de peritos o testimonios. Este sistema se ha reflejado en la normativa interna de </w:t>
      </w:r>
      <w:r w:rsidRPr="003548DF">
        <w:rPr>
          <w:i/>
          <w:iCs/>
          <w:color w:val="000000" w:themeColor="text1"/>
          <w:sz w:val="18"/>
          <w:szCs w:val="18"/>
          <w:lang w:val="es-MX"/>
        </w:rPr>
        <w:t>algunos</w:t>
      </w:r>
      <w:r w:rsidRPr="003548DF">
        <w:rPr>
          <w:color w:val="000000" w:themeColor="text1"/>
          <w:sz w:val="18"/>
          <w:szCs w:val="18"/>
          <w:lang w:val="es-MX"/>
        </w:rPr>
        <w:t xml:space="preserve"> de sus miembros. </w:t>
      </w:r>
    </w:p>
    <w:p w:rsidR="00F32ED8" w:rsidRPr="003548DF" w:rsidRDefault="00DE7CC4" w:rsidP="00F32ED8">
      <w:pPr>
        <w:pStyle w:val="Sinespaciado"/>
        <w:ind w:right="49"/>
        <w:jc w:val="both"/>
        <w:rPr>
          <w:color w:val="000000" w:themeColor="text1"/>
          <w:sz w:val="18"/>
          <w:szCs w:val="18"/>
          <w:lang w:val="es-MX"/>
        </w:rPr>
      </w:pPr>
      <w:r w:rsidRPr="003548DF">
        <w:rPr>
          <w:color w:val="000000" w:themeColor="text1"/>
          <w:sz w:val="18"/>
          <w:szCs w:val="18"/>
          <w:lang w:val="es-MX"/>
        </w:rPr>
        <w:t>P</w:t>
      </w:r>
      <w:r w:rsidRPr="003548DF">
        <w:rPr>
          <w:color w:val="000000" w:themeColor="text1"/>
          <w:sz w:val="18"/>
          <w:szCs w:val="18"/>
          <w:lang w:val="es-MX"/>
        </w:rPr>
        <w:t xml:space="preserve">or ejemplo, en España, las autoridades solamente intervienen en los accidentes automovilísticos en los que hay lesiones o muertos. En tales eventos, la Policía está obligada a elaborar un documento denominado </w:t>
      </w:r>
      <w:r w:rsidRPr="003548DF">
        <w:rPr>
          <w:i/>
          <w:iCs/>
          <w:color w:val="000000" w:themeColor="text1"/>
          <w:sz w:val="18"/>
          <w:szCs w:val="18"/>
          <w:lang w:val="es-MX"/>
        </w:rPr>
        <w:t>atestado</w:t>
      </w:r>
      <w:r w:rsidRPr="003548DF">
        <w:rPr>
          <w:color w:val="000000" w:themeColor="text1"/>
          <w:sz w:val="18"/>
          <w:szCs w:val="18"/>
          <w:lang w:val="es-MX"/>
        </w:rPr>
        <w:t>, en el que se describen los detalles d</w:t>
      </w:r>
      <w:r w:rsidRPr="003548DF">
        <w:rPr>
          <w:color w:val="000000" w:themeColor="text1"/>
          <w:sz w:val="18"/>
          <w:szCs w:val="18"/>
          <w:lang w:val="es-MX"/>
        </w:rPr>
        <w:t xml:space="preserve">e un accidente de tránsito, de acuerdo con el artículo 85.1 del </w:t>
      </w:r>
      <w:r w:rsidRPr="003548DF">
        <w:rPr>
          <w:color w:val="000000" w:themeColor="text1"/>
          <w:sz w:val="18"/>
          <w:szCs w:val="18"/>
        </w:rPr>
        <w:t>Real Decreto Legislativo 6/2015.</w:t>
      </w:r>
      <w:r w:rsidRPr="003548DF">
        <w:rPr>
          <w:color w:val="000000" w:themeColor="text1"/>
          <w:sz w:val="18"/>
          <w:szCs w:val="18"/>
          <w:lang w:val="es-MX"/>
        </w:rPr>
        <w:t xml:space="preserve"> Cuando únicamente hay daños materiales, el Real Decreto Legislativo 8/2004 permite que se celebren convenios de indemnización directa mediante la Declaración A</w:t>
      </w:r>
      <w:r w:rsidRPr="003548DF">
        <w:rPr>
          <w:color w:val="000000" w:themeColor="text1"/>
          <w:sz w:val="18"/>
          <w:szCs w:val="18"/>
          <w:lang w:val="es-MX"/>
        </w:rPr>
        <w:t>mistosa de Accidente, en la que se incluyen los datos mínimos requeridos para el cobro de la póliza ante las aseguradoras (Arts. 8 y 14). Es un documento equivalente al Parte Europeo de Accidente, cuyo propósito es agilizar los trámites y facilitar la movi</w:t>
      </w:r>
      <w:r w:rsidRPr="003548DF">
        <w:rPr>
          <w:color w:val="000000" w:themeColor="text1"/>
          <w:sz w:val="18"/>
          <w:szCs w:val="18"/>
          <w:lang w:val="es-MX"/>
        </w:rPr>
        <w:t>lidad. Si alguno de los involucrados se niega a firmar la Declaración Amistosa de Accidente, se puede solicitar la intervención de las autoridades, y demostrar la existencia del siniestro con distintos elementos de prueba.</w:t>
      </w:r>
    </w:p>
  </w:footnote>
  <w:footnote w:id="81">
    <w:p w:rsidR="00F32ED8" w:rsidRPr="003548DF" w:rsidRDefault="00DE7CC4" w:rsidP="00F32ED8">
      <w:pPr>
        <w:pStyle w:val="Textonotapie"/>
        <w:ind w:right="49"/>
        <w:jc w:val="both"/>
        <w:rPr>
          <w:rFonts w:ascii="Times New Roman" w:hAnsi="Times New Roman"/>
          <w:color w:val="000000" w:themeColor="text1"/>
          <w:sz w:val="18"/>
          <w:szCs w:val="18"/>
          <w:lang w:val="es-ES_tradnl"/>
        </w:rPr>
      </w:pPr>
      <w:r w:rsidRPr="003548DF">
        <w:rPr>
          <w:rStyle w:val="Refdenotaalpie"/>
          <w:rFonts w:ascii="Times New Roman" w:hAnsi="Times New Roman"/>
          <w:color w:val="000000" w:themeColor="text1"/>
          <w:sz w:val="18"/>
          <w:szCs w:val="18"/>
        </w:rPr>
        <w:footnoteRef/>
      </w:r>
      <w:r w:rsidRPr="003548DF">
        <w:rPr>
          <w:rFonts w:ascii="Times New Roman" w:hAnsi="Times New Roman"/>
          <w:color w:val="000000" w:themeColor="text1"/>
          <w:sz w:val="18"/>
          <w:szCs w:val="18"/>
        </w:rPr>
        <w:t xml:space="preserve"> </w:t>
      </w:r>
      <w:r w:rsidRPr="003548DF">
        <w:rPr>
          <w:rFonts w:ascii="Times New Roman" w:hAnsi="Times New Roman"/>
          <w:color w:val="000000" w:themeColor="text1"/>
          <w:sz w:val="18"/>
          <w:szCs w:val="18"/>
          <w:lang w:val="es-ES_tradnl"/>
        </w:rPr>
        <w:t>En esta misma línea -del asegur</w:t>
      </w:r>
      <w:r w:rsidRPr="003548DF">
        <w:rPr>
          <w:rFonts w:ascii="Times New Roman" w:hAnsi="Times New Roman"/>
          <w:color w:val="000000" w:themeColor="text1"/>
          <w:sz w:val="18"/>
          <w:szCs w:val="18"/>
          <w:lang w:val="es-ES_tradnl"/>
        </w:rPr>
        <w:t xml:space="preserve">amiento- se encontraba la medida prevista en el artículo 6 de la Ley 2283 de 2023, que adicionaba un parágrafo al artículo 52 de la Ley 769 de 2002, declarada inexequible por la Corte Constitucional en la Sentencia C-470 de 2023. M.P. Jorge Enrique Ibáñez </w:t>
      </w:r>
      <w:r w:rsidRPr="003548DF">
        <w:rPr>
          <w:rFonts w:ascii="Times New Roman" w:hAnsi="Times New Roman"/>
          <w:color w:val="000000" w:themeColor="text1"/>
          <w:sz w:val="18"/>
          <w:szCs w:val="18"/>
          <w:lang w:val="es-ES_tradnl"/>
        </w:rPr>
        <w:t>Najar. SV. Diana Fajardo Rivera.</w:t>
      </w:r>
    </w:p>
  </w:footnote>
  <w:footnote w:id="82">
    <w:p w:rsidR="00F32ED8" w:rsidRPr="003548DF" w:rsidRDefault="00DE7CC4" w:rsidP="00F32ED8">
      <w:pPr>
        <w:pStyle w:val="Textonotapie"/>
        <w:jc w:val="both"/>
        <w:rPr>
          <w:rFonts w:ascii="Times New Roman" w:hAnsi="Times New Roman"/>
          <w:color w:val="000000" w:themeColor="text1"/>
          <w:sz w:val="18"/>
          <w:szCs w:val="18"/>
          <w:lang w:val="es-ES_tradnl"/>
        </w:rPr>
      </w:pPr>
      <w:r w:rsidRPr="003548DF">
        <w:rPr>
          <w:rStyle w:val="Refdenotaalpie"/>
          <w:rFonts w:ascii="Times New Roman" w:hAnsi="Times New Roman"/>
          <w:color w:val="000000" w:themeColor="text1"/>
          <w:sz w:val="18"/>
          <w:szCs w:val="18"/>
        </w:rPr>
        <w:footnoteRef/>
      </w:r>
      <w:r w:rsidRPr="003548DF">
        <w:rPr>
          <w:rFonts w:ascii="Times New Roman" w:hAnsi="Times New Roman"/>
          <w:color w:val="000000" w:themeColor="text1"/>
          <w:sz w:val="18"/>
          <w:szCs w:val="18"/>
        </w:rPr>
        <w:t xml:space="preserve"> </w:t>
      </w:r>
      <w:r w:rsidRPr="003548DF">
        <w:rPr>
          <w:rFonts w:ascii="Times New Roman" w:hAnsi="Times New Roman"/>
          <w:color w:val="000000" w:themeColor="text1"/>
          <w:sz w:val="18"/>
          <w:szCs w:val="18"/>
          <w:lang w:val="es-ES_tradnl"/>
        </w:rPr>
        <w:t xml:space="preserve">Como se ha mencionado, el riesgo cubierto por el SOAT no es el daño causado a cosas sino a personas. Art. 192 del Estatuto Orgánico del Sistema Financiero, concordante con el artículo 42 del Código Nacional de Tránsito. </w:t>
      </w:r>
    </w:p>
  </w:footnote>
  <w:footnote w:id="83">
    <w:p w:rsidR="00F32ED8" w:rsidRPr="003548DF" w:rsidRDefault="00DE7CC4" w:rsidP="00F32ED8">
      <w:pPr>
        <w:pStyle w:val="Textonotapie"/>
        <w:jc w:val="both"/>
        <w:rPr>
          <w:rFonts w:ascii="Times New Roman" w:hAnsi="Times New Roman"/>
          <w:color w:val="000000" w:themeColor="text1"/>
          <w:sz w:val="18"/>
          <w:szCs w:val="18"/>
        </w:rPr>
      </w:pPr>
      <w:r w:rsidRPr="003548DF">
        <w:rPr>
          <w:rStyle w:val="Refdenotaalpie"/>
          <w:rFonts w:ascii="Times New Roman" w:hAnsi="Times New Roman"/>
          <w:color w:val="000000" w:themeColor="text1"/>
          <w:sz w:val="18"/>
          <w:szCs w:val="18"/>
        </w:rPr>
        <w:footnoteRef/>
      </w:r>
      <w:r w:rsidRPr="003548DF">
        <w:rPr>
          <w:rFonts w:ascii="Times New Roman" w:hAnsi="Times New Roman"/>
          <w:color w:val="000000" w:themeColor="text1"/>
          <w:sz w:val="18"/>
          <w:szCs w:val="18"/>
        </w:rPr>
        <w:t xml:space="preserve"> Recuerda la Sala nuevamente la variación que en esta materia se dio con la entrada en vigencia del artículo 12 de la Ley 2161 de 2021, que adicionó el artículo 143A de la Ley 769 de 2002, pues desde ese momento ya no se requería la presencia de la autori</w:t>
      </w:r>
      <w:r w:rsidRPr="003548DF">
        <w:rPr>
          <w:rFonts w:ascii="Times New Roman" w:hAnsi="Times New Roman"/>
          <w:color w:val="000000" w:themeColor="text1"/>
          <w:sz w:val="18"/>
          <w:szCs w:val="18"/>
        </w:rPr>
        <w:t>dad de tránsito para suscribir el informe policial en el evento de que el accidente involucrara vehículos asegurados por dicho riesgo.</w:t>
      </w:r>
    </w:p>
  </w:footnote>
  <w:footnote w:id="84">
    <w:p w:rsidR="00F32ED8" w:rsidRPr="003548DF" w:rsidRDefault="00DE7CC4" w:rsidP="00F32ED8">
      <w:pPr>
        <w:pStyle w:val="Textonotapie"/>
        <w:jc w:val="both"/>
        <w:rPr>
          <w:rFonts w:ascii="Times New Roman" w:hAnsi="Times New Roman"/>
          <w:color w:val="000000" w:themeColor="text1"/>
          <w:sz w:val="18"/>
          <w:szCs w:val="18"/>
          <w:lang w:val="es-ES_tradnl"/>
        </w:rPr>
      </w:pPr>
      <w:r w:rsidRPr="003548DF">
        <w:rPr>
          <w:rStyle w:val="Refdenotaalpie"/>
          <w:rFonts w:ascii="Times New Roman" w:hAnsi="Times New Roman"/>
          <w:color w:val="000000" w:themeColor="text1"/>
          <w:sz w:val="18"/>
          <w:szCs w:val="18"/>
        </w:rPr>
        <w:footnoteRef/>
      </w:r>
      <w:r w:rsidRPr="003548DF">
        <w:rPr>
          <w:rFonts w:ascii="Times New Roman" w:hAnsi="Times New Roman"/>
          <w:color w:val="000000" w:themeColor="text1"/>
          <w:sz w:val="18"/>
          <w:szCs w:val="18"/>
        </w:rPr>
        <w:t xml:space="preserve"> </w:t>
      </w:r>
      <w:r w:rsidRPr="003548DF">
        <w:rPr>
          <w:rFonts w:ascii="Times New Roman" w:hAnsi="Times New Roman"/>
          <w:color w:val="000000" w:themeColor="text1"/>
          <w:sz w:val="18"/>
          <w:szCs w:val="18"/>
          <w:lang w:val="es-ES_tradnl"/>
        </w:rPr>
        <w:t>Precisa la Sala que el informe policial incluye datos de personas que pueden rendir un testimonio, pero técnicamente no</w:t>
      </w:r>
      <w:r w:rsidRPr="003548DF">
        <w:rPr>
          <w:rFonts w:ascii="Times New Roman" w:hAnsi="Times New Roman"/>
          <w:color w:val="000000" w:themeColor="text1"/>
          <w:sz w:val="18"/>
          <w:szCs w:val="18"/>
          <w:lang w:val="es-ES_tradnl"/>
        </w:rPr>
        <w:t xml:space="preserve"> recaudaban pruebas testimoniales para efectos posteriores.</w:t>
      </w:r>
    </w:p>
  </w:footnote>
  <w:footnote w:id="85">
    <w:p w:rsidR="00F32ED8" w:rsidRPr="003548DF" w:rsidRDefault="00DE7CC4" w:rsidP="00F32ED8">
      <w:pPr>
        <w:pStyle w:val="Textonotapie"/>
        <w:jc w:val="both"/>
        <w:rPr>
          <w:rFonts w:ascii="Times New Roman" w:hAnsi="Times New Roman"/>
          <w:color w:val="000000" w:themeColor="text1"/>
          <w:sz w:val="18"/>
          <w:szCs w:val="18"/>
          <w:lang w:val="es-ES_tradnl"/>
        </w:rPr>
      </w:pPr>
      <w:r w:rsidRPr="003548DF">
        <w:rPr>
          <w:rStyle w:val="Refdenotaalpie"/>
          <w:rFonts w:ascii="Times New Roman" w:hAnsi="Times New Roman"/>
          <w:color w:val="000000" w:themeColor="text1"/>
          <w:sz w:val="18"/>
          <w:szCs w:val="18"/>
        </w:rPr>
        <w:footnoteRef/>
      </w:r>
      <w:r w:rsidRPr="003548DF">
        <w:rPr>
          <w:rFonts w:ascii="Times New Roman" w:hAnsi="Times New Roman"/>
          <w:color w:val="000000" w:themeColor="text1"/>
          <w:sz w:val="18"/>
          <w:szCs w:val="18"/>
        </w:rPr>
        <w:t xml:space="preserve"> Sentencia T-475 de 2018. M.P. Alberto Rojas Ríos. SPV. Carlos Bernal Pulido.</w:t>
      </w:r>
    </w:p>
  </w:footnote>
  <w:footnote w:id="86">
    <w:p w:rsidR="00F32ED8" w:rsidRPr="003548DF" w:rsidRDefault="00DE7CC4" w:rsidP="00F32ED8">
      <w:pPr>
        <w:pStyle w:val="Textonotapie"/>
        <w:jc w:val="both"/>
        <w:rPr>
          <w:color w:val="000000" w:themeColor="text1"/>
        </w:rPr>
      </w:pPr>
      <w:r w:rsidRPr="003548DF">
        <w:rPr>
          <w:rStyle w:val="Refdenotaalpie"/>
          <w:rFonts w:ascii="Times New Roman" w:hAnsi="Times New Roman"/>
          <w:color w:val="000000" w:themeColor="text1"/>
          <w:sz w:val="18"/>
          <w:szCs w:val="18"/>
        </w:rPr>
        <w:footnoteRef/>
      </w:r>
      <w:r w:rsidRPr="003548DF">
        <w:rPr>
          <w:rFonts w:ascii="Times New Roman" w:hAnsi="Times New Roman"/>
          <w:color w:val="000000" w:themeColor="text1"/>
          <w:sz w:val="18"/>
          <w:szCs w:val="18"/>
        </w:rPr>
        <w:t xml:space="preserve"> También debe advertirse que el Ministerio de Transporte reguló la forma de diligenciamiento. Ver, por ejemplo, la Resolución No. 0011268 del 6 de diciembre de 2012. </w:t>
      </w:r>
    </w:p>
  </w:footnote>
  <w:footnote w:id="87">
    <w:p w:rsidR="00F32ED8" w:rsidRPr="003548DF" w:rsidRDefault="00DE7CC4" w:rsidP="00F32ED8">
      <w:pPr>
        <w:pStyle w:val="Textonotapie"/>
        <w:jc w:val="both"/>
        <w:rPr>
          <w:rFonts w:ascii="Times New Roman" w:hAnsi="Times New Roman"/>
          <w:color w:val="000000" w:themeColor="text1"/>
          <w:sz w:val="18"/>
          <w:szCs w:val="18"/>
          <w:lang w:val="es-ES_tradnl"/>
        </w:rPr>
      </w:pPr>
      <w:r w:rsidRPr="003548DF">
        <w:rPr>
          <w:rStyle w:val="Refdenotaalpie"/>
          <w:rFonts w:ascii="Times New Roman" w:hAnsi="Times New Roman"/>
          <w:color w:val="000000" w:themeColor="text1"/>
          <w:sz w:val="18"/>
          <w:szCs w:val="18"/>
        </w:rPr>
        <w:footnoteRef/>
      </w:r>
      <w:r w:rsidRPr="003548DF">
        <w:rPr>
          <w:rFonts w:ascii="Times New Roman" w:hAnsi="Times New Roman"/>
          <w:color w:val="000000" w:themeColor="text1"/>
          <w:sz w:val="18"/>
          <w:szCs w:val="18"/>
        </w:rPr>
        <w:t xml:space="preserve"> </w:t>
      </w:r>
      <w:r w:rsidRPr="003548DF">
        <w:rPr>
          <w:rFonts w:ascii="Times New Roman" w:hAnsi="Times New Roman"/>
          <w:color w:val="000000" w:themeColor="text1"/>
          <w:sz w:val="18"/>
          <w:szCs w:val="18"/>
          <w:lang w:val="es-ES_tradnl"/>
        </w:rPr>
        <w:t xml:space="preserve">En la Sentencia de la Sala de Casación Civil de la Corte Suprema de Justicia del 23 de </w:t>
      </w:r>
      <w:r w:rsidRPr="003548DF">
        <w:rPr>
          <w:rFonts w:ascii="Times New Roman" w:hAnsi="Times New Roman"/>
          <w:color w:val="000000" w:themeColor="text1"/>
          <w:sz w:val="18"/>
          <w:szCs w:val="18"/>
          <w:lang w:val="es-ES_tradnl"/>
        </w:rPr>
        <w:t>junio de 2015, radicado 70215-31-89-001-2008-00156-01, se indicó que (i) la valoración probatoria -para el caso fundada en el anterior CPC-, debía atender al sistema de apreciación racional, lo cual tampoco impedía que (ii) el informe policial fuera el úni</w:t>
      </w:r>
      <w:r w:rsidRPr="003548DF">
        <w:rPr>
          <w:rFonts w:ascii="Times New Roman" w:hAnsi="Times New Roman"/>
          <w:color w:val="000000" w:themeColor="text1"/>
          <w:sz w:val="18"/>
          <w:szCs w:val="18"/>
          <w:lang w:val="es-ES_tradnl"/>
        </w:rPr>
        <w:t>co -si este contaba con la fuerza demostrativa del caso- en el que se podía soportar una decisión: “</w:t>
      </w:r>
      <w:r w:rsidRPr="003548DF">
        <w:rPr>
          <w:rFonts w:ascii="Times New Roman" w:hAnsi="Times New Roman"/>
          <w:iCs/>
          <w:color w:val="000000" w:themeColor="text1"/>
          <w:sz w:val="18"/>
          <w:szCs w:val="18"/>
          <w:lang w:val="es-CO"/>
        </w:rPr>
        <w:t xml:space="preserve">el precepto invocado [artículo 2 de la Ley 769 de 2002] no contempla una restricción al valor probatorio que pueda surgir del </w:t>
      </w:r>
      <w:r w:rsidRPr="003548DF">
        <w:rPr>
          <w:rFonts w:ascii="Times New Roman" w:hAnsi="Times New Roman"/>
          <w:i/>
          <w:iCs/>
          <w:color w:val="000000" w:themeColor="text1"/>
          <w:sz w:val="18"/>
          <w:szCs w:val="18"/>
          <w:lang w:val="es-CO"/>
        </w:rPr>
        <w:t>“croquis”</w:t>
      </w:r>
      <w:r w:rsidRPr="003548DF">
        <w:rPr>
          <w:rFonts w:ascii="Times New Roman" w:hAnsi="Times New Roman"/>
          <w:iCs/>
          <w:color w:val="000000" w:themeColor="text1"/>
          <w:sz w:val="18"/>
          <w:szCs w:val="18"/>
          <w:lang w:val="es-CO"/>
        </w:rPr>
        <w:t xml:space="preserve"> o del </w:t>
      </w:r>
      <w:r w:rsidRPr="003548DF">
        <w:rPr>
          <w:rFonts w:ascii="Times New Roman" w:hAnsi="Times New Roman"/>
          <w:i/>
          <w:iCs/>
          <w:color w:val="000000" w:themeColor="text1"/>
          <w:sz w:val="18"/>
          <w:szCs w:val="18"/>
          <w:lang w:val="es-CO"/>
        </w:rPr>
        <w:t>“informe de tr</w:t>
      </w:r>
      <w:r w:rsidRPr="003548DF">
        <w:rPr>
          <w:rFonts w:ascii="Times New Roman" w:hAnsi="Times New Roman"/>
          <w:i/>
          <w:iCs/>
          <w:color w:val="000000" w:themeColor="text1"/>
          <w:sz w:val="18"/>
          <w:szCs w:val="18"/>
          <w:lang w:val="es-CO"/>
        </w:rPr>
        <w:t>ánsito”</w:t>
      </w:r>
      <w:r w:rsidRPr="003548DF">
        <w:rPr>
          <w:rFonts w:ascii="Times New Roman" w:hAnsi="Times New Roman"/>
          <w:iCs/>
          <w:color w:val="000000" w:themeColor="text1"/>
          <w:sz w:val="18"/>
          <w:szCs w:val="18"/>
          <w:lang w:val="es-CO"/>
        </w:rPr>
        <w:t>, y menos fija una tarifa legal que imponga que para la acreditación de los hechos que envuelven un accidente de tránsito se requiera, amén de ese instrumento, otro adicional”.</w:t>
      </w:r>
      <w:r w:rsidRPr="003548DF">
        <w:rPr>
          <w:rFonts w:ascii="Times New Roman" w:hAnsi="Times New Roman"/>
          <w:color w:val="000000" w:themeColor="text1"/>
          <w:sz w:val="18"/>
          <w:szCs w:val="18"/>
          <w:lang w:val="es-ES_tradnl"/>
        </w:rPr>
        <w:t xml:space="preserve">  </w:t>
      </w:r>
    </w:p>
    <w:p w:rsidR="00F32ED8" w:rsidRPr="003548DF" w:rsidRDefault="00DE7CC4" w:rsidP="00F32ED8">
      <w:pPr>
        <w:pStyle w:val="Textonotapie"/>
        <w:jc w:val="both"/>
        <w:rPr>
          <w:rFonts w:ascii="Times New Roman" w:hAnsi="Times New Roman"/>
          <w:color w:val="000000" w:themeColor="text1"/>
          <w:sz w:val="18"/>
          <w:szCs w:val="18"/>
        </w:rPr>
      </w:pPr>
      <w:r w:rsidRPr="003548DF">
        <w:rPr>
          <w:rFonts w:ascii="Times New Roman" w:hAnsi="Times New Roman"/>
          <w:color w:val="000000" w:themeColor="text1"/>
          <w:sz w:val="18"/>
          <w:szCs w:val="18"/>
          <w:lang w:val="es-ES_tradnl"/>
        </w:rPr>
        <w:t>En la sentencia de la Subsección A - Sección Tercera del Consejo de Es</w:t>
      </w:r>
      <w:r w:rsidRPr="003548DF">
        <w:rPr>
          <w:rFonts w:ascii="Times New Roman" w:hAnsi="Times New Roman"/>
          <w:color w:val="000000" w:themeColor="text1"/>
          <w:sz w:val="18"/>
          <w:szCs w:val="18"/>
          <w:lang w:val="es-ES_tradnl"/>
        </w:rPr>
        <w:t>tado, del 17 de junio de 2022, en el marco de un proceso de reparación directa se indicó que “</w:t>
      </w:r>
      <w:r w:rsidRPr="003548DF">
        <w:rPr>
          <w:rFonts w:ascii="Times New Roman" w:hAnsi="Times New Roman"/>
          <w:color w:val="000000" w:themeColor="text1"/>
          <w:sz w:val="18"/>
          <w:szCs w:val="18"/>
        </w:rPr>
        <w:t>62. En el presente asunto, la Sala analizará la existencia del nexo causal, con base en el informe de tránsito rendido por el agente Hoover Pacheco y los hechos p</w:t>
      </w:r>
      <w:r w:rsidRPr="003548DF">
        <w:rPr>
          <w:rFonts w:ascii="Times New Roman" w:hAnsi="Times New Roman"/>
          <w:color w:val="000000" w:themeColor="text1"/>
          <w:sz w:val="18"/>
          <w:szCs w:val="18"/>
        </w:rPr>
        <w:t xml:space="preserve">robados que permiten realizar una imputación del referido daño en contra de la Policía Nacional, a saber (…)”, lo cual evidencia también un análisis probatorio fundado en todos los elementos de juicio. </w:t>
      </w:r>
    </w:p>
    <w:p w:rsidR="00F32ED8" w:rsidRPr="003548DF" w:rsidRDefault="00DE7CC4" w:rsidP="00F32ED8">
      <w:pPr>
        <w:ind w:right="-92"/>
        <w:jc w:val="both"/>
        <w:rPr>
          <w:rFonts w:eastAsia="Arial"/>
          <w:color w:val="000000" w:themeColor="text1"/>
          <w:sz w:val="18"/>
          <w:szCs w:val="18"/>
        </w:rPr>
      </w:pPr>
      <w:r w:rsidRPr="003548DF">
        <w:rPr>
          <w:color w:val="000000" w:themeColor="text1"/>
          <w:sz w:val="18"/>
          <w:szCs w:val="18"/>
        </w:rPr>
        <w:t xml:space="preserve">Por su parte, en la sentencia de tutela proferida en </w:t>
      </w:r>
      <w:r w:rsidRPr="003548DF">
        <w:rPr>
          <w:color w:val="000000" w:themeColor="text1"/>
          <w:sz w:val="18"/>
          <w:szCs w:val="18"/>
        </w:rPr>
        <w:t>impugnación por la Sección Cuarta del Consejo de Estado, radicado 2020-03112-01, del 12 de</w:t>
      </w:r>
      <w:r>
        <w:rPr>
          <w:color w:val="000000" w:themeColor="text1"/>
          <w:sz w:val="18"/>
          <w:szCs w:val="18"/>
        </w:rPr>
        <w:t xml:space="preserve"> noviembre de 2020, se indicó: </w:t>
      </w:r>
      <w:r w:rsidRPr="003548DF">
        <w:rPr>
          <w:color w:val="000000" w:themeColor="text1"/>
          <w:sz w:val="18"/>
          <w:szCs w:val="18"/>
        </w:rPr>
        <w:t>“[</w:t>
      </w:r>
      <w:r w:rsidRPr="003548DF">
        <w:rPr>
          <w:rFonts w:eastAsia="Arial"/>
          <w:color w:val="000000" w:themeColor="text1"/>
          <w:sz w:val="18"/>
          <w:szCs w:val="18"/>
        </w:rPr>
        <w:t>d]e lo anterior se evidencia la dificultad de establecer una regla rígida frente al valor probatorio de los informes policiales de accidente de tránsito, pues ello implicaría adoptar una tarifa legal que restringiría la libertad del juez de la causa en rel</w:t>
      </w:r>
      <w:r w:rsidRPr="003548DF">
        <w:rPr>
          <w:rFonts w:eastAsia="Arial"/>
          <w:color w:val="000000" w:themeColor="text1"/>
          <w:sz w:val="18"/>
          <w:szCs w:val="18"/>
        </w:rPr>
        <w:t xml:space="preserve">ación con la apreciación razonable de los medios de prueba. Es dable recordar que en atención a los artículos 165 y 176 del CGP, Colombia adoptó un sistema de libre valoración de la prueba y que es responsabilidad del juez de la causa establecer el mérito </w:t>
      </w:r>
      <w:r w:rsidRPr="003548DF">
        <w:rPr>
          <w:rFonts w:eastAsia="Arial"/>
          <w:color w:val="000000" w:themeColor="text1"/>
          <w:sz w:val="18"/>
          <w:szCs w:val="18"/>
        </w:rPr>
        <w:t xml:space="preserve">que le asigna a cada medio de prueba con un criterio razonable orientado por las reglas de la ciencia, la lógica y la experiencia”. </w:t>
      </w:r>
    </w:p>
  </w:footnote>
  <w:footnote w:id="88">
    <w:p w:rsidR="00F32ED8" w:rsidRPr="003548DF" w:rsidRDefault="00DE7CC4" w:rsidP="00F32ED8">
      <w:pPr>
        <w:pStyle w:val="Textonotapie"/>
        <w:rPr>
          <w:rFonts w:ascii="Times New Roman" w:hAnsi="Times New Roman"/>
          <w:color w:val="000000" w:themeColor="text1"/>
          <w:sz w:val="18"/>
          <w:szCs w:val="18"/>
          <w:lang w:val="es-ES_tradnl"/>
        </w:rPr>
      </w:pPr>
      <w:r w:rsidRPr="003548DF">
        <w:rPr>
          <w:rStyle w:val="Refdenotaalpie"/>
          <w:rFonts w:ascii="Times New Roman" w:hAnsi="Times New Roman"/>
          <w:color w:val="000000" w:themeColor="text1"/>
          <w:sz w:val="18"/>
          <w:szCs w:val="18"/>
        </w:rPr>
        <w:footnoteRef/>
      </w:r>
      <w:r w:rsidRPr="003548DF">
        <w:rPr>
          <w:rFonts w:ascii="Times New Roman" w:hAnsi="Times New Roman"/>
          <w:color w:val="000000" w:themeColor="text1"/>
          <w:sz w:val="18"/>
          <w:szCs w:val="18"/>
        </w:rPr>
        <w:t xml:space="preserve"> </w:t>
      </w:r>
      <w:r w:rsidRPr="003548DF">
        <w:rPr>
          <w:rFonts w:ascii="Times New Roman" w:hAnsi="Times New Roman"/>
          <w:color w:val="000000" w:themeColor="text1"/>
          <w:sz w:val="18"/>
          <w:szCs w:val="18"/>
          <w:lang w:val="es-ES_tradnl"/>
        </w:rPr>
        <w:t>Sentencia C-429 de 2003. M.P. Clara Inés Vargas Hernández.</w:t>
      </w:r>
    </w:p>
  </w:footnote>
  <w:footnote w:id="89">
    <w:p w:rsidR="00F32ED8" w:rsidRPr="003548DF" w:rsidRDefault="00DE7CC4" w:rsidP="00F32ED8">
      <w:pPr>
        <w:pStyle w:val="Textonotapie"/>
        <w:jc w:val="both"/>
        <w:rPr>
          <w:rFonts w:ascii="Times New Roman" w:hAnsi="Times New Roman"/>
          <w:color w:val="000000" w:themeColor="text1"/>
          <w:sz w:val="18"/>
          <w:szCs w:val="18"/>
          <w:lang w:val="es-ES_tradnl"/>
        </w:rPr>
      </w:pPr>
      <w:r w:rsidRPr="003548DF">
        <w:rPr>
          <w:rStyle w:val="Refdenotaalpie"/>
          <w:rFonts w:ascii="Times New Roman" w:hAnsi="Times New Roman"/>
          <w:color w:val="000000" w:themeColor="text1"/>
          <w:sz w:val="18"/>
          <w:szCs w:val="18"/>
        </w:rPr>
        <w:footnoteRef/>
      </w:r>
      <w:r w:rsidRPr="003548DF">
        <w:rPr>
          <w:rFonts w:ascii="Times New Roman" w:hAnsi="Times New Roman"/>
          <w:color w:val="000000" w:themeColor="text1"/>
          <w:sz w:val="18"/>
          <w:szCs w:val="18"/>
        </w:rPr>
        <w:t xml:space="preserve"> </w:t>
      </w:r>
      <w:r>
        <w:rPr>
          <w:rFonts w:ascii="Times New Roman" w:hAnsi="Times New Roman"/>
          <w:color w:val="000000" w:themeColor="text1"/>
          <w:sz w:val="18"/>
          <w:szCs w:val="18"/>
        </w:rPr>
        <w:t>“</w:t>
      </w:r>
      <w:r w:rsidRPr="003548DF">
        <w:rPr>
          <w:rFonts w:ascii="Times New Roman" w:hAnsi="Times New Roman"/>
          <w:color w:val="000000" w:themeColor="text1"/>
          <w:sz w:val="18"/>
          <w:szCs w:val="18"/>
          <w:lang w:val="es-ES_tradnl"/>
        </w:rPr>
        <w:t>Por medio de la cual se define y reglamenta el acceso y uso</w:t>
      </w:r>
      <w:r w:rsidRPr="003548DF">
        <w:rPr>
          <w:rFonts w:ascii="Times New Roman" w:hAnsi="Times New Roman"/>
          <w:color w:val="000000" w:themeColor="text1"/>
          <w:sz w:val="18"/>
          <w:szCs w:val="18"/>
          <w:lang w:val="es-ES_tradnl"/>
        </w:rPr>
        <w:t xml:space="preserve"> de los mensajes de datos, del comercio electrónico y de las firmas digitales, y se establecen las entidades de certificación y se dictan otras disposiciones”.</w:t>
      </w:r>
    </w:p>
  </w:footnote>
  <w:footnote w:id="90">
    <w:p w:rsidR="00F32ED8" w:rsidRPr="003548DF" w:rsidRDefault="00DE7CC4" w:rsidP="00F32ED8">
      <w:pPr>
        <w:ind w:right="49"/>
        <w:jc w:val="both"/>
        <w:rPr>
          <w:color w:val="000000" w:themeColor="text1"/>
          <w:sz w:val="18"/>
          <w:szCs w:val="18"/>
        </w:rPr>
      </w:pPr>
      <w:r w:rsidRPr="003548DF">
        <w:rPr>
          <w:rStyle w:val="Refdenotaalpie"/>
          <w:rFonts w:eastAsiaTheme="majorEastAsia"/>
          <w:color w:val="000000" w:themeColor="text1"/>
          <w:sz w:val="18"/>
          <w:szCs w:val="18"/>
        </w:rPr>
        <w:footnoteRef/>
      </w:r>
      <w:r w:rsidRPr="003548DF">
        <w:rPr>
          <w:color w:val="000000" w:themeColor="text1"/>
          <w:sz w:val="18"/>
          <w:szCs w:val="18"/>
        </w:rPr>
        <w:t xml:space="preserve"> Ver entre otras, las sentencias C-1095 de 2001. M.P. Jaime Córdoba Triviño; C-1143 de 2001. M.</w:t>
      </w:r>
      <w:r w:rsidRPr="003548DF">
        <w:rPr>
          <w:color w:val="000000" w:themeColor="text1"/>
          <w:sz w:val="18"/>
          <w:szCs w:val="18"/>
        </w:rPr>
        <w:t>P. Clara Inés Vargas Hernández; C-041 de 2002. M.P. Marco Gerardo Monroy Cabra; C-405 de 2009. M.P. Luis Ernesto Vargas Silva; C-128 de 2011. M.P. Juan Carlos Henao Pérez; C-673 de 2015. M.P. Luis Ernesto Vargas Silva; C-658 de 2016. M.P. María Victoria Ca</w:t>
      </w:r>
      <w:r w:rsidRPr="003548DF">
        <w:rPr>
          <w:color w:val="000000" w:themeColor="text1"/>
          <w:sz w:val="18"/>
          <w:szCs w:val="18"/>
        </w:rPr>
        <w:t>lle Correa; C-148 de 2018. M.P. Diana Fajardo Rivera, y C-538 de 2019. M.P. Diana Fajardo Rivera.</w:t>
      </w:r>
    </w:p>
  </w:footnote>
  <w:footnote w:id="91">
    <w:p w:rsidR="00F32ED8" w:rsidRPr="003548DF" w:rsidRDefault="00DE7CC4" w:rsidP="00F32ED8">
      <w:pPr>
        <w:pStyle w:val="Textonotapie"/>
        <w:ind w:right="49"/>
        <w:jc w:val="both"/>
        <w:rPr>
          <w:rFonts w:ascii="Times New Roman" w:hAnsi="Times New Roman"/>
          <w:color w:val="000000" w:themeColor="text1"/>
          <w:sz w:val="18"/>
          <w:szCs w:val="18"/>
        </w:rPr>
      </w:pPr>
      <w:r w:rsidRPr="003548DF">
        <w:rPr>
          <w:rStyle w:val="Refdenotaalpie"/>
          <w:rFonts w:ascii="Times New Roman" w:eastAsiaTheme="majorEastAsia" w:hAnsi="Times New Roman"/>
          <w:color w:val="000000" w:themeColor="text1"/>
          <w:sz w:val="18"/>
          <w:szCs w:val="18"/>
        </w:rPr>
        <w:footnoteRef/>
      </w:r>
      <w:r w:rsidRPr="003548DF">
        <w:rPr>
          <w:rFonts w:ascii="Times New Roman" w:hAnsi="Times New Roman"/>
          <w:color w:val="000000" w:themeColor="text1"/>
          <w:sz w:val="18"/>
          <w:szCs w:val="18"/>
        </w:rPr>
        <w:t xml:space="preserve"> Concretando los mandatos previstos en los artículos 1, 2 y 3 de la Constitución. Ahora bien, el artículo 40.6 expresamente prevé como derecho político la in</w:t>
      </w:r>
      <w:r w:rsidRPr="003548DF">
        <w:rPr>
          <w:rFonts w:ascii="Times New Roman" w:hAnsi="Times New Roman"/>
          <w:color w:val="000000" w:themeColor="text1"/>
          <w:sz w:val="18"/>
          <w:szCs w:val="18"/>
        </w:rPr>
        <w:t xml:space="preserve">terposición de acciones públicas en defensa de la Constitución. </w:t>
      </w:r>
    </w:p>
  </w:footnote>
  <w:footnote w:id="92">
    <w:p w:rsidR="00F32ED8" w:rsidRPr="003548DF" w:rsidRDefault="00DE7CC4" w:rsidP="00F32ED8">
      <w:pPr>
        <w:pStyle w:val="Textonotapie"/>
        <w:ind w:right="49"/>
        <w:jc w:val="both"/>
        <w:rPr>
          <w:rFonts w:ascii="Times New Roman" w:hAnsi="Times New Roman"/>
          <w:color w:val="000000" w:themeColor="text1"/>
          <w:sz w:val="18"/>
          <w:szCs w:val="18"/>
        </w:rPr>
      </w:pPr>
      <w:r w:rsidRPr="003548DF">
        <w:rPr>
          <w:rStyle w:val="Refdenotaalpie"/>
          <w:rFonts w:ascii="Times New Roman" w:eastAsiaTheme="majorEastAsia" w:hAnsi="Times New Roman"/>
          <w:color w:val="000000" w:themeColor="text1"/>
          <w:sz w:val="18"/>
          <w:szCs w:val="18"/>
        </w:rPr>
        <w:footnoteRef/>
      </w:r>
      <w:r w:rsidRPr="003548DF">
        <w:rPr>
          <w:rFonts w:ascii="Times New Roman" w:hAnsi="Times New Roman"/>
          <w:color w:val="000000" w:themeColor="text1"/>
          <w:sz w:val="18"/>
          <w:szCs w:val="18"/>
        </w:rPr>
        <w:t xml:space="preserve"> Artículos 114 y 150 de la Constitución.</w:t>
      </w:r>
    </w:p>
  </w:footnote>
  <w:footnote w:id="93">
    <w:p w:rsidR="00F32ED8" w:rsidRPr="003548DF" w:rsidRDefault="00DE7CC4" w:rsidP="00F32ED8">
      <w:pPr>
        <w:pStyle w:val="Textonotapie"/>
        <w:ind w:right="49"/>
        <w:jc w:val="both"/>
        <w:rPr>
          <w:rFonts w:ascii="Times New Roman" w:hAnsi="Times New Roman"/>
          <w:color w:val="000000" w:themeColor="text1"/>
          <w:sz w:val="18"/>
          <w:szCs w:val="18"/>
        </w:rPr>
      </w:pPr>
      <w:r w:rsidRPr="003548DF">
        <w:rPr>
          <w:rStyle w:val="Refdenotaalpie"/>
          <w:rFonts w:ascii="Times New Roman" w:eastAsiaTheme="majorEastAsia" w:hAnsi="Times New Roman"/>
          <w:color w:val="000000" w:themeColor="text1"/>
          <w:sz w:val="18"/>
          <w:szCs w:val="18"/>
        </w:rPr>
        <w:footnoteRef/>
      </w:r>
      <w:r w:rsidRPr="003548DF">
        <w:rPr>
          <w:rFonts w:ascii="Times New Roman" w:hAnsi="Times New Roman"/>
          <w:color w:val="000000" w:themeColor="text1"/>
          <w:sz w:val="18"/>
          <w:szCs w:val="18"/>
        </w:rPr>
        <w:t xml:space="preserve"> Sentencia C-304 de 2013. M.P. Gabriel Eduardo Mendoza Martelo.</w:t>
      </w:r>
    </w:p>
  </w:footnote>
  <w:footnote w:id="94">
    <w:p w:rsidR="00F32ED8" w:rsidRPr="003548DF" w:rsidRDefault="00DE7CC4" w:rsidP="00F32ED8">
      <w:pPr>
        <w:pStyle w:val="Textonotapie"/>
        <w:ind w:right="49"/>
        <w:jc w:val="both"/>
        <w:rPr>
          <w:rFonts w:ascii="Times New Roman" w:hAnsi="Times New Roman"/>
          <w:color w:val="000000" w:themeColor="text1"/>
          <w:sz w:val="18"/>
          <w:szCs w:val="18"/>
        </w:rPr>
      </w:pPr>
      <w:r w:rsidRPr="003548DF">
        <w:rPr>
          <w:rStyle w:val="Refdenotaalpie"/>
          <w:rFonts w:ascii="Times New Roman" w:eastAsiaTheme="majorEastAsia" w:hAnsi="Times New Roman"/>
          <w:color w:val="000000" w:themeColor="text1"/>
          <w:sz w:val="18"/>
          <w:szCs w:val="18"/>
        </w:rPr>
        <w:footnoteRef/>
      </w:r>
      <w:r w:rsidRPr="003548DF">
        <w:rPr>
          <w:rFonts w:ascii="Times New Roman" w:hAnsi="Times New Roman"/>
          <w:color w:val="000000" w:themeColor="text1"/>
          <w:sz w:val="18"/>
          <w:szCs w:val="18"/>
        </w:rPr>
        <w:t xml:space="preserve"> Ver, entre otras, las sentencias C-980 de 2005. M.P. Rodrigo Escobar Gil y C-501 d</w:t>
      </w:r>
      <w:r w:rsidRPr="003548DF">
        <w:rPr>
          <w:rFonts w:ascii="Times New Roman" w:hAnsi="Times New Roman"/>
          <w:color w:val="000000" w:themeColor="text1"/>
          <w:sz w:val="18"/>
          <w:szCs w:val="18"/>
        </w:rPr>
        <w:t>e 2014. M.P. Luis Guillermo Guerrero Pérez.</w:t>
      </w:r>
    </w:p>
  </w:footnote>
  <w:footnote w:id="95">
    <w:p w:rsidR="00F32ED8" w:rsidRPr="003548DF" w:rsidRDefault="00DE7CC4" w:rsidP="00F32ED8">
      <w:pPr>
        <w:pStyle w:val="Textonotapie"/>
        <w:ind w:right="49"/>
        <w:jc w:val="both"/>
        <w:rPr>
          <w:rFonts w:ascii="Times New Roman" w:hAnsi="Times New Roman"/>
          <w:color w:val="000000" w:themeColor="text1"/>
          <w:sz w:val="18"/>
          <w:szCs w:val="18"/>
        </w:rPr>
      </w:pPr>
      <w:r w:rsidRPr="003548DF">
        <w:rPr>
          <w:rStyle w:val="Refdenotaalpie"/>
          <w:rFonts w:ascii="Times New Roman" w:eastAsiaTheme="majorEastAsia" w:hAnsi="Times New Roman"/>
          <w:color w:val="000000" w:themeColor="text1"/>
          <w:sz w:val="18"/>
          <w:szCs w:val="18"/>
        </w:rPr>
        <w:footnoteRef/>
      </w:r>
      <w:r w:rsidRPr="003548DF">
        <w:rPr>
          <w:rFonts w:ascii="Times New Roman" w:hAnsi="Times New Roman"/>
          <w:color w:val="000000" w:themeColor="text1"/>
          <w:sz w:val="18"/>
          <w:szCs w:val="18"/>
        </w:rPr>
        <w:t xml:space="preserve"> Consultar, entre otras, las </w:t>
      </w:r>
      <w:r w:rsidRPr="003548DF">
        <w:rPr>
          <w:rFonts w:ascii="Times New Roman" w:hAnsi="Times New Roman"/>
          <w:color w:val="000000" w:themeColor="text1"/>
          <w:sz w:val="18"/>
          <w:szCs w:val="18"/>
          <w:lang w:val="es-MX"/>
        </w:rPr>
        <w:t>sentencias C-236 de 1997. M.P. Antonio Barrera Carbonell; C-447 de 1997. M.P. Alejandro Martínez Caballero; C-426 de 2002. M.P. Rodrigo Escobar Gil y C-170 de 2004. M.P. Rodrigo Esco</w:t>
      </w:r>
      <w:r w:rsidRPr="003548DF">
        <w:rPr>
          <w:rFonts w:ascii="Times New Roman" w:hAnsi="Times New Roman"/>
          <w:color w:val="000000" w:themeColor="text1"/>
          <w:sz w:val="18"/>
          <w:szCs w:val="18"/>
          <w:lang w:val="es-MX"/>
        </w:rPr>
        <w:t>bar Gil.</w:t>
      </w:r>
    </w:p>
  </w:footnote>
  <w:footnote w:id="96">
    <w:p w:rsidR="00F32ED8" w:rsidRPr="003548DF" w:rsidRDefault="00DE7CC4" w:rsidP="00F32ED8">
      <w:pPr>
        <w:pStyle w:val="Textonotapie"/>
        <w:ind w:right="49"/>
        <w:jc w:val="both"/>
        <w:rPr>
          <w:rFonts w:ascii="Times New Roman" w:hAnsi="Times New Roman"/>
          <w:color w:val="000000" w:themeColor="text1"/>
          <w:sz w:val="18"/>
          <w:szCs w:val="18"/>
        </w:rPr>
      </w:pPr>
      <w:r w:rsidRPr="003548DF">
        <w:rPr>
          <w:rStyle w:val="Refdenotaalpie"/>
          <w:rFonts w:ascii="Times New Roman" w:eastAsiaTheme="majorEastAsia" w:hAnsi="Times New Roman"/>
          <w:color w:val="000000" w:themeColor="text1"/>
          <w:sz w:val="18"/>
          <w:szCs w:val="18"/>
        </w:rPr>
        <w:footnoteRef/>
      </w:r>
      <w:r w:rsidRPr="003548DF">
        <w:rPr>
          <w:rFonts w:ascii="Times New Roman" w:hAnsi="Times New Roman"/>
          <w:color w:val="000000" w:themeColor="text1"/>
          <w:sz w:val="18"/>
          <w:szCs w:val="18"/>
        </w:rPr>
        <w:t xml:space="preserve"> En la sentencia C-1052 de 2001 (M.P. Manuel José Cepeda Espinosa), al sistematizar los lineamientos fijados por la jurisprudencia, la Corte definió las circunstancias a partir de las cuales un cargo se entiende debidamente estructurado. De ahí que el cita</w:t>
      </w:r>
      <w:r w:rsidRPr="003548DF">
        <w:rPr>
          <w:rFonts w:ascii="Times New Roman" w:hAnsi="Times New Roman"/>
          <w:color w:val="000000" w:themeColor="text1"/>
          <w:sz w:val="18"/>
          <w:szCs w:val="18"/>
        </w:rPr>
        <w:t>do fallo sea objeto de reiteración por la Corte en innumerables pronunciamientos.</w:t>
      </w:r>
    </w:p>
  </w:footnote>
  <w:footnote w:id="97">
    <w:p w:rsidR="00F32ED8" w:rsidRPr="003548DF" w:rsidRDefault="00DE7CC4" w:rsidP="00F32ED8">
      <w:pPr>
        <w:pStyle w:val="Textonotapie"/>
        <w:ind w:right="49"/>
        <w:jc w:val="both"/>
        <w:rPr>
          <w:rFonts w:ascii="Times New Roman" w:hAnsi="Times New Roman"/>
          <w:color w:val="000000" w:themeColor="text1"/>
          <w:sz w:val="18"/>
          <w:szCs w:val="18"/>
        </w:rPr>
      </w:pPr>
      <w:r w:rsidRPr="003548DF">
        <w:rPr>
          <w:rStyle w:val="Refdenotaalpie"/>
          <w:rFonts w:ascii="Times New Roman" w:eastAsiaTheme="majorEastAsia" w:hAnsi="Times New Roman"/>
          <w:color w:val="000000" w:themeColor="text1"/>
          <w:sz w:val="18"/>
          <w:szCs w:val="18"/>
        </w:rPr>
        <w:footnoteRef/>
      </w:r>
      <w:r w:rsidRPr="003548DF">
        <w:rPr>
          <w:rFonts w:ascii="Times New Roman" w:hAnsi="Times New Roman"/>
          <w:color w:val="000000" w:themeColor="text1"/>
          <w:sz w:val="18"/>
          <w:szCs w:val="18"/>
        </w:rPr>
        <w:t xml:space="preserve"> Ver, entre otras, la Sentencia C-353 de 1998. M.P. Antonio Barrera Carbonell.</w:t>
      </w:r>
    </w:p>
  </w:footnote>
  <w:footnote w:id="98">
    <w:p w:rsidR="00F32ED8" w:rsidRPr="003548DF" w:rsidRDefault="00DE7CC4" w:rsidP="00F32ED8">
      <w:pPr>
        <w:pStyle w:val="Textonotapie"/>
        <w:ind w:right="49"/>
        <w:jc w:val="both"/>
        <w:rPr>
          <w:rFonts w:ascii="Times New Roman" w:hAnsi="Times New Roman"/>
          <w:color w:val="000000" w:themeColor="text1"/>
          <w:sz w:val="18"/>
          <w:szCs w:val="18"/>
        </w:rPr>
      </w:pPr>
      <w:r w:rsidRPr="003548DF">
        <w:rPr>
          <w:rStyle w:val="Refdenotaalpie"/>
          <w:rFonts w:ascii="Times New Roman" w:eastAsiaTheme="majorEastAsia" w:hAnsi="Times New Roman"/>
          <w:color w:val="000000" w:themeColor="text1"/>
          <w:sz w:val="18"/>
          <w:szCs w:val="18"/>
        </w:rPr>
        <w:footnoteRef/>
      </w:r>
      <w:r w:rsidRPr="003548DF">
        <w:rPr>
          <w:rFonts w:ascii="Times New Roman" w:hAnsi="Times New Roman"/>
          <w:color w:val="000000" w:themeColor="text1"/>
          <w:sz w:val="18"/>
          <w:szCs w:val="18"/>
        </w:rPr>
        <w:t xml:space="preserve"> Consultar, entre otras, la Sentencia C-357 de 1997. M.P. José Gregorio Hernández Galindo.</w:t>
      </w:r>
    </w:p>
  </w:footnote>
  <w:footnote w:id="99">
    <w:p w:rsidR="00F32ED8" w:rsidRPr="003548DF" w:rsidRDefault="00DE7CC4" w:rsidP="00F32ED8">
      <w:pPr>
        <w:ind w:right="49"/>
        <w:jc w:val="both"/>
        <w:rPr>
          <w:color w:val="000000" w:themeColor="text1"/>
          <w:sz w:val="18"/>
          <w:szCs w:val="18"/>
        </w:rPr>
      </w:pPr>
      <w:r w:rsidRPr="003548DF">
        <w:rPr>
          <w:rStyle w:val="Refdenotaalpie"/>
          <w:rFonts w:eastAsiaTheme="majorEastAsia"/>
          <w:color w:val="000000" w:themeColor="text1"/>
          <w:sz w:val="18"/>
          <w:szCs w:val="18"/>
        </w:rPr>
        <w:footnoteRef/>
      </w:r>
      <w:r w:rsidRPr="003548DF">
        <w:rPr>
          <w:color w:val="000000" w:themeColor="text1"/>
          <w:sz w:val="18"/>
          <w:szCs w:val="18"/>
        </w:rPr>
        <w:t xml:space="preserve"> </w:t>
      </w:r>
      <w:r w:rsidRPr="003548DF">
        <w:rPr>
          <w:color w:val="000000" w:themeColor="text1"/>
          <w:sz w:val="18"/>
          <w:szCs w:val="18"/>
        </w:rPr>
        <w:t>En la Sentencia C-894 de 2009 (M.P. Gabriel Eduardo Mendoza Martelo), se afirmó que: “</w:t>
      </w:r>
      <w:r w:rsidRPr="003548DF">
        <w:rPr>
          <w:color w:val="000000" w:themeColor="text1"/>
          <w:sz w:val="18"/>
          <w:szCs w:val="18"/>
          <w:bdr w:val="none" w:sz="0" w:space="0" w:color="auto" w:frame="1"/>
        </w:rPr>
        <w:t xml:space="preserve">la propia jurisprudencia ha dejado claro, que la Corte se encuentra habilitada para adelantar un nuevo estudio de procedibilidad de la demanda en la Sentencia, cuando de </w:t>
      </w:r>
      <w:r w:rsidRPr="003548DF">
        <w:rPr>
          <w:color w:val="000000" w:themeColor="text1"/>
          <w:sz w:val="18"/>
          <w:szCs w:val="18"/>
          <w:bdr w:val="none" w:sz="0" w:space="0" w:color="auto" w:frame="1"/>
        </w:rPr>
        <w:t>la valoración de los elementos fácticos allegados al proceso, se infiere una inobservancia de los requisitos mínimos de procedibilidad en la acusación, que a su vez no permite delimitar el ámbito de competencia de la Corte para pronunciarse. Se ha explicad</w:t>
      </w:r>
      <w:r w:rsidRPr="003548DF">
        <w:rPr>
          <w:color w:val="000000" w:themeColor="text1"/>
          <w:sz w:val="18"/>
          <w:szCs w:val="18"/>
          <w:bdr w:val="none" w:sz="0" w:space="0" w:color="auto" w:frame="1"/>
        </w:rPr>
        <w:t>o al respecto, que en esa instancia procesal, el análisis resulta de mayor relevancia, si se tiene en cuenta que para ese momento, ´además del contenido de la demanda, la Corte cuenta con la opinión expresada por los distintos intervinientes y con el conce</w:t>
      </w:r>
      <w:r w:rsidRPr="003548DF">
        <w:rPr>
          <w:color w:val="000000" w:themeColor="text1"/>
          <w:sz w:val="18"/>
          <w:szCs w:val="18"/>
          <w:bdr w:val="none" w:sz="0" w:space="0" w:color="auto" w:frame="1"/>
        </w:rPr>
        <w:t>pto del Ministerio Público, quienes de acuerdo con el régimen legal aplicable al proceso de inconstitucionalidad, [sólo] participan en el juicio con posterioridad al auto admisorio´”.</w:t>
      </w:r>
      <w:r w:rsidRPr="003548DF">
        <w:rPr>
          <w:color w:val="000000" w:themeColor="text1"/>
          <w:sz w:val="18"/>
          <w:szCs w:val="18"/>
        </w:rPr>
        <w:t xml:space="preserve"> En el mismo sentido, ver la Sentencia C-116 de 2021. M.P. José Fernando </w:t>
      </w:r>
      <w:r w:rsidRPr="003548DF">
        <w:rPr>
          <w:color w:val="000000" w:themeColor="text1"/>
          <w:sz w:val="18"/>
          <w:szCs w:val="18"/>
        </w:rPr>
        <w:t>Reyes Cuartas. SPV. Diana Fajardo Rivera. SPV y AV. Jorge Enrique Ibáñez Najar. SPV y AV. Alejandro Linares Cantillo. SPV. Paola Andrea Meneses Mosquera. SPV. Gloria Stella Ortiz Delgado. SPV. Alberto Rojas Ríos, y C-188 de 2020. M.P. Antonio José Lizarazo</w:t>
      </w:r>
      <w:r w:rsidRPr="003548DF">
        <w:rPr>
          <w:color w:val="000000" w:themeColor="text1"/>
          <w:sz w:val="18"/>
          <w:szCs w:val="18"/>
        </w:rPr>
        <w:t xml:space="preserve"> Ocampo. AV. Carlos Bernal Pulido. AV. Luis Guillermo Guerrero Pérez. AV. Antonio José Lizarazo Ocampo. AV. Cristina Pardo Schlesinger. SV. Alberto Rojas Ríos. SV. Alejandro Linares Cantillo. SV. José Fernando Reyes Cuartas.</w:t>
      </w:r>
    </w:p>
  </w:footnote>
  <w:footnote w:id="100">
    <w:p w:rsidR="00F32ED8" w:rsidRPr="003548DF" w:rsidRDefault="00DE7CC4" w:rsidP="00F32ED8">
      <w:pPr>
        <w:pStyle w:val="Textonotapie"/>
        <w:ind w:right="49"/>
        <w:rPr>
          <w:rFonts w:ascii="Times New Roman" w:hAnsi="Times New Roman"/>
          <w:color w:val="000000" w:themeColor="text1"/>
          <w:sz w:val="18"/>
          <w:szCs w:val="18"/>
        </w:rPr>
      </w:pPr>
      <w:r w:rsidRPr="003548DF">
        <w:rPr>
          <w:rStyle w:val="Refdenotaalpie"/>
          <w:rFonts w:ascii="Times New Roman" w:hAnsi="Times New Roman"/>
          <w:color w:val="000000" w:themeColor="text1"/>
          <w:sz w:val="18"/>
          <w:szCs w:val="18"/>
        </w:rPr>
        <w:footnoteRef/>
      </w:r>
      <w:r w:rsidRPr="003548DF">
        <w:rPr>
          <w:rFonts w:ascii="Times New Roman" w:hAnsi="Times New Roman"/>
          <w:color w:val="000000" w:themeColor="text1"/>
          <w:sz w:val="18"/>
          <w:szCs w:val="18"/>
        </w:rPr>
        <w:t xml:space="preserve"> M.P. Jorge Enrique Ibáñez Naj</w:t>
      </w:r>
      <w:r w:rsidRPr="003548DF">
        <w:rPr>
          <w:rFonts w:ascii="Times New Roman" w:hAnsi="Times New Roman"/>
          <w:color w:val="000000" w:themeColor="text1"/>
          <w:sz w:val="18"/>
          <w:szCs w:val="18"/>
        </w:rPr>
        <w:t>ar. Reiterada en la Sentencia C-009 de 2023, pie de página 36, entre otras.</w:t>
      </w:r>
    </w:p>
  </w:footnote>
  <w:footnote w:id="101">
    <w:p w:rsidR="00F32ED8" w:rsidRPr="003548DF" w:rsidRDefault="00DE7CC4" w:rsidP="00F32ED8">
      <w:pPr>
        <w:pStyle w:val="Textonotapie"/>
        <w:ind w:right="49"/>
        <w:rPr>
          <w:rFonts w:ascii="Times New Roman" w:hAnsi="Times New Roman"/>
          <w:color w:val="000000" w:themeColor="text1"/>
          <w:sz w:val="18"/>
          <w:szCs w:val="18"/>
          <w:lang w:val="es-ES_tradnl"/>
        </w:rPr>
      </w:pPr>
      <w:r w:rsidRPr="003548DF">
        <w:rPr>
          <w:rStyle w:val="Refdenotaalpie"/>
          <w:rFonts w:ascii="Times New Roman" w:hAnsi="Times New Roman"/>
          <w:color w:val="000000" w:themeColor="text1"/>
          <w:sz w:val="18"/>
          <w:szCs w:val="18"/>
        </w:rPr>
        <w:footnoteRef/>
      </w:r>
      <w:r w:rsidRPr="003548DF">
        <w:rPr>
          <w:rFonts w:ascii="Times New Roman" w:hAnsi="Times New Roman"/>
          <w:color w:val="000000" w:themeColor="text1"/>
          <w:sz w:val="18"/>
          <w:szCs w:val="18"/>
        </w:rPr>
        <w:t xml:space="preserve"> M.P. José Fernando Reyes Cuartas.</w:t>
      </w:r>
    </w:p>
  </w:footnote>
  <w:footnote w:id="102">
    <w:p w:rsidR="00F32ED8" w:rsidRPr="003548DF" w:rsidRDefault="00DE7CC4" w:rsidP="00F32ED8">
      <w:pPr>
        <w:pStyle w:val="Textonotapie"/>
        <w:ind w:right="49"/>
        <w:rPr>
          <w:rFonts w:ascii="Times New Roman" w:hAnsi="Times New Roman"/>
          <w:color w:val="000000" w:themeColor="text1"/>
          <w:sz w:val="18"/>
          <w:szCs w:val="18"/>
          <w:lang w:val="es-ES_tradnl"/>
        </w:rPr>
      </w:pPr>
      <w:r w:rsidRPr="003548DF">
        <w:rPr>
          <w:rStyle w:val="Refdenotaalpie"/>
          <w:rFonts w:ascii="Times New Roman" w:hAnsi="Times New Roman"/>
          <w:color w:val="000000" w:themeColor="text1"/>
          <w:sz w:val="18"/>
          <w:szCs w:val="18"/>
        </w:rPr>
        <w:footnoteRef/>
      </w:r>
      <w:r w:rsidRPr="003548DF">
        <w:rPr>
          <w:rFonts w:ascii="Times New Roman" w:hAnsi="Times New Roman"/>
          <w:color w:val="000000" w:themeColor="text1"/>
          <w:sz w:val="18"/>
          <w:szCs w:val="18"/>
        </w:rPr>
        <w:t xml:space="preserve"> </w:t>
      </w:r>
      <w:r w:rsidRPr="003548DF">
        <w:rPr>
          <w:rFonts w:ascii="Times New Roman" w:hAnsi="Times New Roman"/>
          <w:color w:val="000000" w:themeColor="text1"/>
          <w:sz w:val="18"/>
          <w:szCs w:val="18"/>
          <w:lang w:val="es-ES_tradnl"/>
        </w:rPr>
        <w:t xml:space="preserve">Corrección de la demanda, p.11.  </w:t>
      </w:r>
    </w:p>
  </w:footnote>
  <w:footnote w:id="103">
    <w:p w:rsidR="00F32ED8" w:rsidRPr="003548DF" w:rsidRDefault="00DE7CC4" w:rsidP="00F32ED8">
      <w:pPr>
        <w:pStyle w:val="Textonotapie"/>
        <w:ind w:right="49"/>
        <w:rPr>
          <w:rFonts w:ascii="Times New Roman" w:hAnsi="Times New Roman"/>
          <w:color w:val="000000" w:themeColor="text1"/>
          <w:sz w:val="18"/>
          <w:szCs w:val="18"/>
          <w:lang w:val="es-ES_tradnl"/>
        </w:rPr>
      </w:pPr>
      <w:r w:rsidRPr="003548DF">
        <w:rPr>
          <w:rStyle w:val="Refdenotaalpie"/>
          <w:rFonts w:ascii="Times New Roman" w:hAnsi="Times New Roman"/>
          <w:color w:val="000000" w:themeColor="text1"/>
          <w:sz w:val="18"/>
          <w:szCs w:val="18"/>
        </w:rPr>
        <w:footnoteRef/>
      </w:r>
      <w:r w:rsidRPr="003548DF">
        <w:rPr>
          <w:rFonts w:ascii="Times New Roman" w:hAnsi="Times New Roman"/>
          <w:i/>
          <w:iCs/>
          <w:color w:val="000000" w:themeColor="text1"/>
          <w:sz w:val="18"/>
          <w:szCs w:val="18"/>
        </w:rPr>
        <w:t xml:space="preserve"> </w:t>
      </w:r>
      <w:r w:rsidRPr="003548DF">
        <w:rPr>
          <w:rFonts w:ascii="Times New Roman" w:hAnsi="Times New Roman"/>
          <w:i/>
          <w:iCs/>
          <w:color w:val="000000" w:themeColor="text1"/>
          <w:sz w:val="18"/>
          <w:szCs w:val="18"/>
          <w:lang w:val="es-ES_tradnl"/>
        </w:rPr>
        <w:t>Ibidem</w:t>
      </w:r>
      <w:r w:rsidRPr="003548DF">
        <w:rPr>
          <w:rFonts w:ascii="Times New Roman" w:hAnsi="Times New Roman"/>
          <w:color w:val="000000" w:themeColor="text1"/>
          <w:sz w:val="18"/>
          <w:szCs w:val="18"/>
          <w:lang w:val="es-ES_tradnl"/>
        </w:rPr>
        <w:t xml:space="preserve">. </w:t>
      </w:r>
    </w:p>
  </w:footnote>
  <w:footnote w:id="104">
    <w:p w:rsidR="00F32ED8" w:rsidRPr="003548DF" w:rsidRDefault="00DE7CC4" w:rsidP="00F32ED8">
      <w:pPr>
        <w:pStyle w:val="Textonotapie"/>
        <w:ind w:right="49"/>
        <w:jc w:val="both"/>
        <w:rPr>
          <w:rFonts w:ascii="Times New Roman" w:hAnsi="Times New Roman"/>
          <w:color w:val="000000" w:themeColor="text1"/>
          <w:sz w:val="18"/>
          <w:szCs w:val="18"/>
        </w:rPr>
      </w:pPr>
      <w:r w:rsidRPr="003548DF">
        <w:rPr>
          <w:rStyle w:val="Refdenotaalpie"/>
          <w:rFonts w:ascii="Times New Roman" w:hAnsi="Times New Roman"/>
          <w:color w:val="000000" w:themeColor="text1"/>
          <w:sz w:val="18"/>
          <w:szCs w:val="18"/>
        </w:rPr>
        <w:footnoteRef/>
      </w:r>
      <w:r w:rsidRPr="003548DF">
        <w:rPr>
          <w:rFonts w:ascii="Times New Roman" w:hAnsi="Times New Roman"/>
          <w:color w:val="000000" w:themeColor="text1"/>
          <w:sz w:val="18"/>
          <w:szCs w:val="18"/>
        </w:rPr>
        <w:t xml:space="preserve"> La Federación Colombiana de Municipios - Fedemunicipios (que se manifestó a favor de la exequibilidad de la disposición); Paul Esteban Hernández y otra, y Viviana Patricia Gómez Galeano y otra (que allegaron intervenciones acompañando la petición de inexe</w:t>
      </w:r>
      <w:r w:rsidRPr="003548DF">
        <w:rPr>
          <w:rFonts w:ascii="Times New Roman" w:hAnsi="Times New Roman"/>
          <w:color w:val="000000" w:themeColor="text1"/>
          <w:sz w:val="18"/>
          <w:szCs w:val="18"/>
        </w:rPr>
        <w:t>quibilidad) no realizaron un pronunciamiento explícito o particular sobre este cargo.</w:t>
      </w:r>
    </w:p>
  </w:footnote>
  <w:footnote w:id="105">
    <w:p w:rsidR="00F32ED8" w:rsidRPr="003548DF" w:rsidRDefault="00DE7CC4" w:rsidP="00F32ED8">
      <w:pPr>
        <w:pStyle w:val="Textonotapie"/>
        <w:ind w:right="49"/>
        <w:jc w:val="both"/>
        <w:rPr>
          <w:rFonts w:ascii="Times New Roman" w:hAnsi="Times New Roman"/>
          <w:color w:val="000000" w:themeColor="text1"/>
          <w:sz w:val="18"/>
          <w:szCs w:val="18"/>
        </w:rPr>
      </w:pPr>
      <w:r w:rsidRPr="003548DF">
        <w:rPr>
          <w:rStyle w:val="Refdenotaalpie"/>
          <w:rFonts w:ascii="Times New Roman" w:hAnsi="Times New Roman"/>
          <w:color w:val="000000" w:themeColor="text1"/>
          <w:sz w:val="18"/>
          <w:szCs w:val="18"/>
        </w:rPr>
        <w:footnoteRef/>
      </w:r>
      <w:r w:rsidRPr="003548DF">
        <w:rPr>
          <w:rFonts w:ascii="Times New Roman" w:hAnsi="Times New Roman"/>
          <w:color w:val="000000" w:themeColor="text1"/>
          <w:sz w:val="18"/>
          <w:szCs w:val="18"/>
        </w:rPr>
        <w:t xml:space="preserve"> </w:t>
      </w:r>
      <w:r w:rsidRPr="003548DF">
        <w:rPr>
          <w:rFonts w:ascii="Times New Roman" w:hAnsi="Times New Roman"/>
          <w:i/>
          <w:iCs/>
          <w:color w:val="000000" w:themeColor="text1"/>
          <w:sz w:val="18"/>
          <w:szCs w:val="18"/>
        </w:rPr>
        <w:t>Ibidem,</w:t>
      </w:r>
      <w:r w:rsidRPr="003548DF">
        <w:rPr>
          <w:rFonts w:ascii="Times New Roman" w:hAnsi="Times New Roman"/>
          <w:color w:val="000000" w:themeColor="text1"/>
          <w:sz w:val="18"/>
          <w:szCs w:val="18"/>
        </w:rPr>
        <w:t xml:space="preserve"> p. 5.</w:t>
      </w:r>
    </w:p>
  </w:footnote>
  <w:footnote w:id="106">
    <w:p w:rsidR="00F32ED8" w:rsidRPr="003548DF" w:rsidRDefault="00DE7CC4" w:rsidP="00F32ED8">
      <w:pPr>
        <w:pStyle w:val="Textonotapie"/>
        <w:ind w:right="49"/>
        <w:jc w:val="both"/>
        <w:rPr>
          <w:rFonts w:ascii="Times New Roman" w:hAnsi="Times New Roman"/>
          <w:color w:val="000000" w:themeColor="text1"/>
          <w:sz w:val="18"/>
          <w:szCs w:val="18"/>
        </w:rPr>
      </w:pPr>
      <w:r w:rsidRPr="003548DF">
        <w:rPr>
          <w:rStyle w:val="Refdenotaalpie"/>
          <w:rFonts w:ascii="Times New Roman" w:hAnsi="Times New Roman"/>
          <w:color w:val="000000" w:themeColor="text1"/>
          <w:sz w:val="18"/>
          <w:szCs w:val="18"/>
        </w:rPr>
        <w:footnoteRef/>
      </w:r>
      <w:r w:rsidRPr="003548DF">
        <w:rPr>
          <w:rFonts w:ascii="Times New Roman" w:hAnsi="Times New Roman"/>
          <w:color w:val="000000" w:themeColor="text1"/>
          <w:sz w:val="18"/>
          <w:szCs w:val="18"/>
        </w:rPr>
        <w:t xml:space="preserve"> Ver, por ejemplo, las sentencias C-251 de 1997. M.P. Alejandro Martínez Caballero y, más recientemente, C-271 de 2021. M.P. José Fernando Reyes Cuartas.</w:t>
      </w:r>
    </w:p>
  </w:footnote>
  <w:footnote w:id="107">
    <w:p w:rsidR="00F32ED8" w:rsidRPr="003548DF" w:rsidRDefault="00DE7CC4" w:rsidP="00F32ED8">
      <w:pPr>
        <w:pStyle w:val="Textonotapie"/>
        <w:ind w:right="49"/>
        <w:jc w:val="both"/>
        <w:rPr>
          <w:rFonts w:ascii="Times New Roman" w:hAnsi="Times New Roman"/>
          <w:i/>
          <w:iCs/>
          <w:color w:val="000000" w:themeColor="text1"/>
          <w:sz w:val="18"/>
          <w:szCs w:val="18"/>
          <w:lang w:val="es-ES_tradnl"/>
        </w:rPr>
      </w:pPr>
      <w:r w:rsidRPr="003548DF">
        <w:rPr>
          <w:rStyle w:val="Refdenotaalpie"/>
          <w:rFonts w:ascii="Times New Roman" w:hAnsi="Times New Roman"/>
          <w:color w:val="000000" w:themeColor="text1"/>
          <w:sz w:val="18"/>
          <w:szCs w:val="18"/>
        </w:rPr>
        <w:footnoteRef/>
      </w:r>
      <w:r w:rsidRPr="003548DF">
        <w:rPr>
          <w:rFonts w:ascii="Times New Roman" w:hAnsi="Times New Roman"/>
          <w:color w:val="000000" w:themeColor="text1"/>
          <w:sz w:val="18"/>
          <w:szCs w:val="18"/>
        </w:rPr>
        <w:t xml:space="preserve"> </w:t>
      </w:r>
      <w:r w:rsidRPr="003548DF">
        <w:rPr>
          <w:rFonts w:ascii="Times New Roman" w:hAnsi="Times New Roman"/>
          <w:color w:val="000000" w:themeColor="text1"/>
          <w:sz w:val="18"/>
          <w:szCs w:val="18"/>
          <w:lang w:val="es-ES_tradnl"/>
        </w:rPr>
        <w:t xml:space="preserve">De conformidad con lo sostenido en la Sentencia SU-074 de 2020 (M.P. Gloria Stella Ortiz Delgado. SV. Luis Guillermo Guerrero Pérez. SV. Cristina Pardo Schlesinger. AV. Alejandro Linares Cantillo): </w:t>
      </w:r>
      <w:r w:rsidRPr="003548DF">
        <w:rPr>
          <w:rFonts w:ascii="Times New Roman" w:hAnsi="Times New Roman"/>
          <w:i/>
          <w:iCs/>
          <w:color w:val="000000" w:themeColor="text1"/>
          <w:sz w:val="18"/>
          <w:szCs w:val="18"/>
          <w:lang w:val="es-ES_tradnl"/>
        </w:rPr>
        <w:t>“</w:t>
      </w:r>
      <w:r w:rsidRPr="003548DF">
        <w:rPr>
          <w:rFonts w:ascii="Times New Roman" w:hAnsi="Times New Roman"/>
          <w:i/>
          <w:iCs/>
          <w:color w:val="000000" w:themeColor="text1"/>
          <w:sz w:val="18"/>
          <w:szCs w:val="18"/>
          <w:shd w:val="clear" w:color="auto" w:fill="FFFFFF"/>
        </w:rPr>
        <w:t>[e]l ámbito de aplicación del principio de progresivid</w:t>
      </w:r>
      <w:r w:rsidRPr="003548DF">
        <w:rPr>
          <w:rFonts w:ascii="Times New Roman" w:hAnsi="Times New Roman"/>
          <w:i/>
          <w:iCs/>
          <w:color w:val="000000" w:themeColor="text1"/>
          <w:sz w:val="18"/>
          <w:szCs w:val="18"/>
          <w:shd w:val="clear" w:color="auto" w:fill="FFFFFF"/>
        </w:rPr>
        <w:t>ad corresponde a aquellas obligaciones diferentes de las que han sido definidas como de aplicación inmediata”.</w:t>
      </w:r>
    </w:p>
  </w:footnote>
  <w:footnote w:id="108">
    <w:p w:rsidR="00F32ED8" w:rsidRPr="003548DF" w:rsidRDefault="00DE7CC4" w:rsidP="00F32ED8">
      <w:pPr>
        <w:pStyle w:val="Textonotapie"/>
        <w:ind w:right="49"/>
        <w:jc w:val="both"/>
        <w:rPr>
          <w:rFonts w:ascii="Times New Roman" w:hAnsi="Times New Roman"/>
          <w:color w:val="000000" w:themeColor="text1"/>
          <w:sz w:val="18"/>
          <w:szCs w:val="18"/>
          <w:lang w:val="es-ES_tradnl"/>
        </w:rPr>
      </w:pPr>
      <w:r w:rsidRPr="003548DF">
        <w:rPr>
          <w:rStyle w:val="Refdenotaalpie"/>
          <w:rFonts w:ascii="Times New Roman" w:hAnsi="Times New Roman"/>
          <w:color w:val="000000" w:themeColor="text1"/>
          <w:sz w:val="18"/>
          <w:szCs w:val="18"/>
        </w:rPr>
        <w:footnoteRef/>
      </w:r>
      <w:r w:rsidRPr="003548DF">
        <w:rPr>
          <w:rFonts w:ascii="Times New Roman" w:hAnsi="Times New Roman"/>
          <w:color w:val="000000" w:themeColor="text1"/>
          <w:sz w:val="18"/>
          <w:szCs w:val="18"/>
        </w:rPr>
        <w:t xml:space="preserve"> </w:t>
      </w:r>
      <w:r w:rsidRPr="003548DF">
        <w:rPr>
          <w:rFonts w:ascii="Times New Roman" w:hAnsi="Times New Roman"/>
          <w:color w:val="000000" w:themeColor="text1"/>
          <w:sz w:val="18"/>
          <w:szCs w:val="18"/>
          <w:lang w:val="es-ES_tradnl"/>
        </w:rPr>
        <w:t>Sobre este giro ver, entre otras, las sentencias T-760 de 2008. M.P. Manuel José Cepeda y T-595 de 2002. M.P. Manuel José Cepeda.</w:t>
      </w:r>
    </w:p>
  </w:footnote>
  <w:footnote w:id="109">
    <w:p w:rsidR="00F32ED8" w:rsidRPr="003548DF" w:rsidRDefault="00DE7CC4" w:rsidP="00F32ED8">
      <w:pPr>
        <w:pStyle w:val="Textonotapie"/>
        <w:ind w:right="49"/>
        <w:jc w:val="both"/>
        <w:rPr>
          <w:rFonts w:ascii="Times New Roman" w:hAnsi="Times New Roman"/>
          <w:color w:val="000000" w:themeColor="text1"/>
          <w:sz w:val="18"/>
          <w:szCs w:val="18"/>
          <w:lang w:val="es-ES_tradnl"/>
        </w:rPr>
      </w:pPr>
      <w:r w:rsidRPr="003548DF">
        <w:rPr>
          <w:rStyle w:val="Refdenotaalpie"/>
          <w:rFonts w:ascii="Times New Roman" w:hAnsi="Times New Roman"/>
          <w:color w:val="000000" w:themeColor="text1"/>
          <w:sz w:val="18"/>
          <w:szCs w:val="18"/>
        </w:rPr>
        <w:footnoteRef/>
      </w:r>
      <w:r w:rsidRPr="003548DF">
        <w:rPr>
          <w:rFonts w:ascii="Times New Roman" w:hAnsi="Times New Roman"/>
          <w:color w:val="000000" w:themeColor="text1"/>
          <w:sz w:val="18"/>
          <w:szCs w:val="18"/>
        </w:rPr>
        <w:t xml:space="preserve"> </w:t>
      </w:r>
      <w:r w:rsidRPr="003548DF">
        <w:rPr>
          <w:rFonts w:ascii="Times New Roman" w:hAnsi="Times New Roman"/>
          <w:color w:val="000000" w:themeColor="text1"/>
          <w:sz w:val="18"/>
          <w:szCs w:val="18"/>
          <w:lang w:val="es-ES_tradnl"/>
        </w:rPr>
        <w:t>En la Sente</w:t>
      </w:r>
      <w:r w:rsidRPr="003548DF">
        <w:rPr>
          <w:rFonts w:ascii="Times New Roman" w:hAnsi="Times New Roman"/>
          <w:color w:val="000000" w:themeColor="text1"/>
          <w:sz w:val="18"/>
          <w:szCs w:val="18"/>
          <w:lang w:val="es-ES_tradnl"/>
        </w:rPr>
        <w:t>ncia C-333 de 2023 (M.P. José Antonio Lizarazo Ocampo) se indicó que “[e]ste Tribunal ha determinado que las diferencias que existen entre el principio de progresividad y la regla de no regresión ´implican técnicas diferentes de control de constitucionalid</w:t>
      </w:r>
      <w:r w:rsidRPr="003548DF">
        <w:rPr>
          <w:rFonts w:ascii="Times New Roman" w:hAnsi="Times New Roman"/>
          <w:color w:val="000000" w:themeColor="text1"/>
          <w:sz w:val="18"/>
          <w:szCs w:val="18"/>
          <w:lang w:val="es-ES_tradnl"/>
        </w:rPr>
        <w:t>ad del respeto del uno o de la otra´”.</w:t>
      </w:r>
    </w:p>
  </w:footnote>
  <w:footnote w:id="110">
    <w:p w:rsidR="00F32ED8" w:rsidRPr="003548DF" w:rsidRDefault="00DE7CC4" w:rsidP="00F32ED8">
      <w:pPr>
        <w:pStyle w:val="Textonotapie"/>
        <w:ind w:right="49"/>
        <w:rPr>
          <w:rFonts w:ascii="Times New Roman" w:hAnsi="Times New Roman"/>
          <w:color w:val="000000" w:themeColor="text1"/>
          <w:sz w:val="18"/>
          <w:szCs w:val="18"/>
          <w:lang w:val="es-ES_tradnl"/>
        </w:rPr>
      </w:pPr>
      <w:r w:rsidRPr="003548DF">
        <w:rPr>
          <w:rStyle w:val="Refdenotaalpie"/>
          <w:rFonts w:ascii="Times New Roman" w:hAnsi="Times New Roman"/>
          <w:color w:val="000000" w:themeColor="text1"/>
          <w:sz w:val="18"/>
          <w:szCs w:val="18"/>
        </w:rPr>
        <w:footnoteRef/>
      </w:r>
      <w:r w:rsidRPr="003548DF">
        <w:rPr>
          <w:rFonts w:ascii="Times New Roman" w:hAnsi="Times New Roman"/>
          <w:color w:val="000000" w:themeColor="text1"/>
          <w:sz w:val="18"/>
          <w:szCs w:val="18"/>
        </w:rPr>
        <w:t xml:space="preserve"> </w:t>
      </w:r>
      <w:r w:rsidRPr="003548DF">
        <w:rPr>
          <w:rFonts w:ascii="Times New Roman" w:hAnsi="Times New Roman"/>
          <w:color w:val="000000" w:themeColor="text1"/>
          <w:sz w:val="18"/>
          <w:szCs w:val="18"/>
          <w:lang w:val="es-ES_tradnl"/>
        </w:rPr>
        <w:t xml:space="preserve">Sentencia C-271 de 2021. M.P. José Fernando Reyes Cuartas. </w:t>
      </w:r>
    </w:p>
  </w:footnote>
  <w:footnote w:id="111">
    <w:p w:rsidR="00F32ED8" w:rsidRPr="003548DF" w:rsidRDefault="00DE7CC4" w:rsidP="00F32ED8">
      <w:pPr>
        <w:pStyle w:val="Textonotapie"/>
        <w:ind w:right="49"/>
        <w:jc w:val="both"/>
        <w:rPr>
          <w:rFonts w:ascii="Times New Roman" w:hAnsi="Times New Roman"/>
          <w:color w:val="000000" w:themeColor="text1"/>
          <w:sz w:val="18"/>
          <w:szCs w:val="18"/>
          <w:lang w:val="es-ES_tradnl"/>
        </w:rPr>
      </w:pPr>
      <w:r w:rsidRPr="003548DF">
        <w:rPr>
          <w:rStyle w:val="Refdenotaalpie"/>
          <w:rFonts w:ascii="Times New Roman" w:hAnsi="Times New Roman"/>
          <w:color w:val="000000" w:themeColor="text1"/>
          <w:sz w:val="18"/>
          <w:szCs w:val="18"/>
        </w:rPr>
        <w:footnoteRef/>
      </w:r>
      <w:r w:rsidRPr="003548DF">
        <w:rPr>
          <w:rFonts w:ascii="Times New Roman" w:hAnsi="Times New Roman"/>
          <w:color w:val="000000" w:themeColor="text1"/>
          <w:sz w:val="18"/>
          <w:szCs w:val="18"/>
        </w:rPr>
        <w:t xml:space="preserve"> </w:t>
      </w:r>
      <w:r w:rsidRPr="003548DF">
        <w:rPr>
          <w:rFonts w:ascii="Times New Roman" w:hAnsi="Times New Roman"/>
          <w:color w:val="000000" w:themeColor="text1"/>
          <w:sz w:val="18"/>
          <w:szCs w:val="18"/>
          <w:lang w:val="es-ES_tradnl"/>
        </w:rPr>
        <w:t>En principio, la intensidad de este estudio es estricta. Ver lo dicho, por ejemplo, en la Sentencia C-323 de 2023. M.P. José Antonio Lizarazo Ocampo.</w:t>
      </w:r>
    </w:p>
  </w:footnote>
  <w:footnote w:id="112">
    <w:p w:rsidR="00F32ED8" w:rsidRPr="003548DF" w:rsidRDefault="00DE7CC4" w:rsidP="00F32ED8">
      <w:pPr>
        <w:pStyle w:val="Textonotapie"/>
        <w:ind w:right="49"/>
        <w:rPr>
          <w:rFonts w:ascii="Times New Roman" w:hAnsi="Times New Roman"/>
          <w:color w:val="000000" w:themeColor="text1"/>
          <w:sz w:val="18"/>
          <w:szCs w:val="18"/>
          <w:lang w:val="es-ES_tradnl"/>
        </w:rPr>
      </w:pPr>
      <w:r w:rsidRPr="003548DF">
        <w:rPr>
          <w:rStyle w:val="Refdenotaalpie"/>
          <w:rFonts w:ascii="Times New Roman" w:hAnsi="Times New Roman"/>
          <w:color w:val="000000" w:themeColor="text1"/>
          <w:sz w:val="18"/>
          <w:szCs w:val="18"/>
        </w:rPr>
        <w:footnoteRef/>
      </w:r>
      <w:r w:rsidRPr="003548DF">
        <w:rPr>
          <w:rFonts w:ascii="Times New Roman" w:hAnsi="Times New Roman"/>
          <w:color w:val="000000" w:themeColor="text1"/>
          <w:sz w:val="18"/>
          <w:szCs w:val="18"/>
        </w:rPr>
        <w:t xml:space="preserve"> </w:t>
      </w:r>
      <w:r w:rsidRPr="003548DF">
        <w:rPr>
          <w:rFonts w:ascii="Times New Roman" w:hAnsi="Times New Roman"/>
          <w:color w:val="000000" w:themeColor="text1"/>
          <w:sz w:val="18"/>
          <w:szCs w:val="18"/>
          <w:lang w:val="es-ES_tradnl"/>
        </w:rPr>
        <w:t xml:space="preserve">Escrito de demanda, p. 31. </w:t>
      </w:r>
    </w:p>
  </w:footnote>
  <w:footnote w:id="113">
    <w:p w:rsidR="00F32ED8" w:rsidRPr="003548DF" w:rsidRDefault="00DE7CC4" w:rsidP="00F32ED8">
      <w:pPr>
        <w:pStyle w:val="Textonotapie"/>
        <w:ind w:right="49"/>
        <w:rPr>
          <w:rFonts w:ascii="Times New Roman" w:hAnsi="Times New Roman"/>
          <w:color w:val="000000" w:themeColor="text1"/>
          <w:sz w:val="18"/>
          <w:szCs w:val="18"/>
        </w:rPr>
      </w:pPr>
      <w:r w:rsidRPr="003548DF">
        <w:rPr>
          <w:rStyle w:val="Refdenotaalpie"/>
          <w:rFonts w:ascii="Times New Roman" w:hAnsi="Times New Roman"/>
          <w:color w:val="000000" w:themeColor="text1"/>
          <w:sz w:val="18"/>
          <w:szCs w:val="18"/>
        </w:rPr>
        <w:footnoteRef/>
      </w:r>
      <w:r w:rsidRPr="003548DF">
        <w:rPr>
          <w:rFonts w:ascii="Times New Roman" w:hAnsi="Times New Roman"/>
          <w:color w:val="000000" w:themeColor="text1"/>
          <w:sz w:val="18"/>
          <w:szCs w:val="18"/>
        </w:rPr>
        <w:t xml:space="preserve"> </w:t>
      </w:r>
      <w:r w:rsidRPr="003548DF">
        <w:rPr>
          <w:rFonts w:ascii="Times New Roman" w:hAnsi="Times New Roman"/>
          <w:i/>
          <w:iCs/>
          <w:color w:val="000000" w:themeColor="text1"/>
          <w:sz w:val="18"/>
          <w:szCs w:val="18"/>
        </w:rPr>
        <w:t>Ibidem</w:t>
      </w:r>
      <w:r w:rsidRPr="003548DF">
        <w:rPr>
          <w:rFonts w:ascii="Times New Roman" w:hAnsi="Times New Roman"/>
          <w:color w:val="000000" w:themeColor="text1"/>
          <w:sz w:val="18"/>
          <w:szCs w:val="18"/>
        </w:rPr>
        <w:t>.</w:t>
      </w:r>
    </w:p>
  </w:footnote>
  <w:footnote w:id="114">
    <w:p w:rsidR="00F32ED8" w:rsidRPr="003548DF" w:rsidRDefault="00DE7CC4" w:rsidP="00F32ED8">
      <w:pPr>
        <w:pStyle w:val="Textonotapie"/>
        <w:ind w:right="49"/>
        <w:rPr>
          <w:rFonts w:ascii="Times New Roman" w:hAnsi="Times New Roman"/>
          <w:color w:val="000000" w:themeColor="text1"/>
          <w:sz w:val="18"/>
          <w:szCs w:val="18"/>
        </w:rPr>
      </w:pPr>
      <w:r w:rsidRPr="003548DF">
        <w:rPr>
          <w:rStyle w:val="Refdenotaalpie"/>
          <w:rFonts w:ascii="Times New Roman" w:hAnsi="Times New Roman"/>
          <w:color w:val="000000" w:themeColor="text1"/>
          <w:sz w:val="18"/>
          <w:szCs w:val="18"/>
        </w:rPr>
        <w:footnoteRef/>
      </w:r>
      <w:r w:rsidRPr="003548DF">
        <w:rPr>
          <w:rFonts w:ascii="Times New Roman" w:hAnsi="Times New Roman"/>
          <w:color w:val="000000" w:themeColor="text1"/>
          <w:sz w:val="18"/>
          <w:szCs w:val="18"/>
        </w:rPr>
        <w:t xml:space="preserve"> </w:t>
      </w:r>
      <w:r w:rsidRPr="003548DF">
        <w:rPr>
          <w:rFonts w:ascii="Times New Roman" w:hAnsi="Times New Roman"/>
          <w:i/>
          <w:iCs/>
          <w:color w:val="000000" w:themeColor="text1"/>
          <w:sz w:val="18"/>
          <w:szCs w:val="18"/>
          <w:bdr w:val="none" w:sz="0" w:space="0" w:color="auto" w:frame="1"/>
          <w:lang w:val="es-ES_tradnl" w:eastAsia="es-ES"/>
        </w:rPr>
        <w:t>Ibidem</w:t>
      </w:r>
      <w:r w:rsidRPr="003548DF">
        <w:rPr>
          <w:rFonts w:ascii="Times New Roman" w:hAnsi="Times New Roman"/>
          <w:color w:val="000000" w:themeColor="text1"/>
          <w:sz w:val="18"/>
          <w:szCs w:val="18"/>
          <w:bdr w:val="none" w:sz="0" w:space="0" w:color="auto" w:frame="1"/>
          <w:lang w:val="es-ES_tradnl" w:eastAsia="es-ES"/>
        </w:rPr>
        <w:t>, p. 32.</w:t>
      </w:r>
    </w:p>
  </w:footnote>
  <w:footnote w:id="115">
    <w:p w:rsidR="00F32ED8" w:rsidRPr="003548DF" w:rsidRDefault="00DE7CC4" w:rsidP="00F32ED8">
      <w:pPr>
        <w:pStyle w:val="Textonotapie"/>
        <w:ind w:right="49"/>
        <w:rPr>
          <w:rFonts w:ascii="Times New Roman" w:hAnsi="Times New Roman"/>
          <w:color w:val="000000" w:themeColor="text1"/>
          <w:sz w:val="18"/>
          <w:szCs w:val="18"/>
        </w:rPr>
      </w:pPr>
      <w:r w:rsidRPr="003548DF">
        <w:rPr>
          <w:rStyle w:val="Refdenotaalpie"/>
          <w:rFonts w:ascii="Times New Roman" w:hAnsi="Times New Roman"/>
          <w:color w:val="000000" w:themeColor="text1"/>
          <w:sz w:val="18"/>
          <w:szCs w:val="18"/>
        </w:rPr>
        <w:footnoteRef/>
      </w:r>
      <w:r w:rsidRPr="003548DF">
        <w:rPr>
          <w:rFonts w:ascii="Times New Roman" w:hAnsi="Times New Roman"/>
          <w:color w:val="000000" w:themeColor="text1"/>
          <w:sz w:val="18"/>
          <w:szCs w:val="18"/>
        </w:rPr>
        <w:t xml:space="preserve"> M.P. Clara Inés Vargas Hernández.</w:t>
      </w:r>
    </w:p>
  </w:footnote>
  <w:footnote w:id="116">
    <w:p w:rsidR="00F32ED8" w:rsidRPr="003548DF" w:rsidRDefault="00DE7CC4" w:rsidP="00F32ED8">
      <w:pPr>
        <w:pStyle w:val="Textonotapie"/>
        <w:ind w:right="49"/>
        <w:rPr>
          <w:rFonts w:ascii="Times New Roman" w:hAnsi="Times New Roman"/>
          <w:color w:val="000000" w:themeColor="text1"/>
          <w:sz w:val="18"/>
          <w:szCs w:val="18"/>
          <w:lang w:val="es-ES_tradnl"/>
        </w:rPr>
      </w:pPr>
      <w:r w:rsidRPr="003548DF">
        <w:rPr>
          <w:rStyle w:val="Refdenotaalpie"/>
          <w:rFonts w:ascii="Times New Roman" w:hAnsi="Times New Roman"/>
          <w:color w:val="000000" w:themeColor="text1"/>
          <w:sz w:val="18"/>
          <w:szCs w:val="18"/>
        </w:rPr>
        <w:footnoteRef/>
      </w:r>
      <w:r w:rsidRPr="003548DF">
        <w:rPr>
          <w:rFonts w:ascii="Times New Roman" w:hAnsi="Times New Roman"/>
          <w:color w:val="000000" w:themeColor="text1"/>
          <w:sz w:val="18"/>
          <w:szCs w:val="18"/>
        </w:rPr>
        <w:t xml:space="preserve"> “</w:t>
      </w:r>
      <w:r w:rsidRPr="003548DF">
        <w:rPr>
          <w:rFonts w:ascii="Times New Roman" w:hAnsi="Times New Roman"/>
          <w:color w:val="000000" w:themeColor="text1"/>
          <w:sz w:val="18"/>
          <w:szCs w:val="18"/>
          <w:lang w:val="es-ES_tradnl"/>
        </w:rPr>
        <w:t>Por la cual se establecen medidas para promover la adquisición, renovación y no evasión del Seguro Obligatorio de Accidentes de Tránsito (SOAT), se modifica la Le</w:t>
      </w:r>
      <w:r w:rsidRPr="003548DF">
        <w:rPr>
          <w:rFonts w:ascii="Times New Roman" w:hAnsi="Times New Roman"/>
          <w:color w:val="000000" w:themeColor="text1"/>
          <w:sz w:val="18"/>
          <w:szCs w:val="18"/>
          <w:lang w:val="es-ES_tradnl"/>
        </w:rPr>
        <w:t>y 769 de 2002 y se dictan otras disposiciones”.</w:t>
      </w:r>
    </w:p>
  </w:footnote>
  <w:footnote w:id="117">
    <w:p w:rsidR="00F32ED8" w:rsidRPr="003548DF" w:rsidRDefault="00DE7CC4" w:rsidP="00F32ED8">
      <w:pPr>
        <w:pStyle w:val="Textonotapie"/>
        <w:ind w:right="49"/>
        <w:jc w:val="both"/>
        <w:rPr>
          <w:rFonts w:ascii="Times New Roman" w:hAnsi="Times New Roman"/>
          <w:color w:val="000000" w:themeColor="text1"/>
          <w:sz w:val="18"/>
          <w:szCs w:val="18"/>
          <w:lang w:val="es-ES_tradnl"/>
        </w:rPr>
      </w:pPr>
      <w:r w:rsidRPr="003548DF">
        <w:rPr>
          <w:rStyle w:val="Refdenotaalpie"/>
          <w:rFonts w:ascii="Times New Roman" w:hAnsi="Times New Roman"/>
          <w:color w:val="000000" w:themeColor="text1"/>
          <w:sz w:val="18"/>
          <w:szCs w:val="18"/>
        </w:rPr>
        <w:footnoteRef/>
      </w:r>
      <w:r w:rsidRPr="003548DF">
        <w:rPr>
          <w:rFonts w:ascii="Times New Roman" w:hAnsi="Times New Roman"/>
          <w:color w:val="000000" w:themeColor="text1"/>
          <w:sz w:val="18"/>
          <w:szCs w:val="18"/>
        </w:rPr>
        <w:t xml:space="preserve"> </w:t>
      </w:r>
      <w:r w:rsidRPr="003548DF">
        <w:rPr>
          <w:rFonts w:ascii="Times New Roman" w:hAnsi="Times New Roman"/>
          <w:color w:val="000000" w:themeColor="text1"/>
          <w:sz w:val="18"/>
          <w:szCs w:val="18"/>
          <w:lang w:val="es-ES_tradnl"/>
        </w:rPr>
        <w:t xml:space="preserve">Gaceta del Congreso </w:t>
      </w:r>
      <w:r>
        <w:rPr>
          <w:rFonts w:ascii="Times New Roman" w:hAnsi="Times New Roman"/>
          <w:color w:val="000000" w:themeColor="text1"/>
          <w:sz w:val="18"/>
          <w:szCs w:val="18"/>
          <w:lang w:val="es-ES_tradnl"/>
        </w:rPr>
        <w:t>n</w:t>
      </w:r>
      <w:r w:rsidRPr="003548DF">
        <w:rPr>
          <w:rFonts w:ascii="Times New Roman" w:hAnsi="Times New Roman"/>
          <w:color w:val="000000" w:themeColor="text1"/>
          <w:sz w:val="18"/>
          <w:szCs w:val="18"/>
          <w:lang w:val="es-ES_tradnl"/>
        </w:rPr>
        <w:t>.</w:t>
      </w:r>
      <w:r>
        <w:rPr>
          <w:rFonts w:ascii="Times New Roman" w:hAnsi="Times New Roman"/>
          <w:color w:val="000000" w:themeColor="text1"/>
          <w:sz w:val="18"/>
          <w:szCs w:val="18"/>
          <w:lang w:val="es-ES_tradnl"/>
        </w:rPr>
        <w:t>º</w:t>
      </w:r>
      <w:r w:rsidRPr="003548DF">
        <w:rPr>
          <w:rFonts w:ascii="Times New Roman" w:hAnsi="Times New Roman"/>
          <w:color w:val="000000" w:themeColor="text1"/>
          <w:sz w:val="18"/>
          <w:szCs w:val="18"/>
          <w:lang w:val="es-ES_tradnl"/>
        </w:rPr>
        <w:t xml:space="preserve"> 405 del 4 de mayo de 2022, p. 12. </w:t>
      </w:r>
    </w:p>
  </w:footnote>
  <w:footnote w:id="118">
    <w:p w:rsidR="00F32ED8" w:rsidRPr="003548DF" w:rsidRDefault="00DE7CC4" w:rsidP="00F32ED8">
      <w:pPr>
        <w:pStyle w:val="Textonotapie"/>
        <w:ind w:right="49"/>
        <w:jc w:val="both"/>
        <w:rPr>
          <w:rFonts w:ascii="Times New Roman" w:hAnsi="Times New Roman"/>
          <w:color w:val="000000" w:themeColor="text1"/>
          <w:sz w:val="18"/>
          <w:szCs w:val="18"/>
          <w:lang w:val="es-ES_tradnl"/>
        </w:rPr>
      </w:pPr>
      <w:r w:rsidRPr="003548DF">
        <w:rPr>
          <w:rStyle w:val="Refdenotaalpie"/>
          <w:rFonts w:ascii="Times New Roman" w:hAnsi="Times New Roman"/>
          <w:color w:val="000000" w:themeColor="text1"/>
          <w:sz w:val="18"/>
          <w:szCs w:val="18"/>
        </w:rPr>
        <w:footnoteRef/>
      </w:r>
      <w:r w:rsidRPr="003548DF">
        <w:rPr>
          <w:rFonts w:ascii="Times New Roman" w:hAnsi="Times New Roman"/>
          <w:color w:val="000000" w:themeColor="text1"/>
          <w:sz w:val="18"/>
          <w:szCs w:val="18"/>
        </w:rPr>
        <w:t xml:space="preserve"> </w:t>
      </w:r>
      <w:r w:rsidRPr="003548DF">
        <w:rPr>
          <w:rFonts w:ascii="Times New Roman" w:hAnsi="Times New Roman"/>
          <w:color w:val="000000" w:themeColor="text1"/>
          <w:sz w:val="18"/>
          <w:szCs w:val="18"/>
          <w:lang w:val="es-ES_tradnl"/>
        </w:rPr>
        <w:t xml:space="preserve">No se cita el inciso 2, pues este mandato no es pertinente para el caso que ahora analiza la Sala. En este sentido, como se indicó en la </w:t>
      </w:r>
      <w:r w:rsidRPr="003548DF">
        <w:rPr>
          <w:rFonts w:ascii="Times New Roman" w:hAnsi="Times New Roman"/>
          <w:color w:val="000000" w:themeColor="text1"/>
          <w:sz w:val="18"/>
          <w:szCs w:val="18"/>
          <w:lang w:val="es-ES_tradnl"/>
        </w:rPr>
        <w:t>Sentencia C-392 de 2012 (M.P. Nilson Pinilla Pinilla), tal enunciado se refiere a la “necesidad de procurar la democratización de la propiedad accionaria que, estando radicada en cabeza del Estado, éste decida transferir a terceros”</w:t>
      </w:r>
      <w:r>
        <w:rPr>
          <w:rFonts w:ascii="Times New Roman" w:hAnsi="Times New Roman"/>
          <w:color w:val="000000" w:themeColor="text1"/>
          <w:sz w:val="18"/>
          <w:szCs w:val="18"/>
          <w:lang w:val="es-ES_tradnl"/>
        </w:rPr>
        <w:t>.</w:t>
      </w:r>
    </w:p>
  </w:footnote>
  <w:footnote w:id="119">
    <w:p w:rsidR="00F32ED8" w:rsidRPr="003548DF" w:rsidRDefault="00DE7CC4" w:rsidP="00F414F3">
      <w:pPr>
        <w:pStyle w:val="Textonotapie"/>
        <w:ind w:right="49"/>
        <w:jc w:val="both"/>
        <w:rPr>
          <w:rFonts w:ascii="Times New Roman" w:hAnsi="Times New Roman"/>
          <w:color w:val="000000" w:themeColor="text1"/>
          <w:sz w:val="18"/>
          <w:szCs w:val="18"/>
          <w:lang w:val="es-ES_tradnl"/>
        </w:rPr>
      </w:pPr>
      <w:r w:rsidRPr="003548DF">
        <w:rPr>
          <w:rStyle w:val="Refdenotaalpie"/>
          <w:rFonts w:ascii="Times New Roman" w:hAnsi="Times New Roman"/>
          <w:color w:val="000000" w:themeColor="text1"/>
          <w:sz w:val="18"/>
          <w:szCs w:val="18"/>
        </w:rPr>
        <w:footnoteRef/>
      </w:r>
      <w:r w:rsidRPr="003548DF">
        <w:rPr>
          <w:rFonts w:ascii="Times New Roman" w:hAnsi="Times New Roman"/>
          <w:color w:val="000000" w:themeColor="text1"/>
          <w:sz w:val="18"/>
          <w:szCs w:val="18"/>
        </w:rPr>
        <w:t xml:space="preserve"> </w:t>
      </w:r>
      <w:r w:rsidRPr="003548DF">
        <w:rPr>
          <w:rFonts w:ascii="Times New Roman" w:hAnsi="Times New Roman"/>
          <w:color w:val="000000" w:themeColor="text1"/>
          <w:sz w:val="18"/>
          <w:szCs w:val="18"/>
          <w:lang w:val="es-ES_tradnl"/>
        </w:rPr>
        <w:t>Corrección de la dem</w:t>
      </w:r>
      <w:r w:rsidRPr="003548DF">
        <w:rPr>
          <w:rFonts w:ascii="Times New Roman" w:hAnsi="Times New Roman"/>
          <w:color w:val="000000" w:themeColor="text1"/>
          <w:sz w:val="18"/>
          <w:szCs w:val="18"/>
          <w:lang w:val="es-ES_tradnl"/>
        </w:rPr>
        <w:t xml:space="preserve">anda, p. 11. </w:t>
      </w:r>
    </w:p>
  </w:footnote>
  <w:footnote w:id="120">
    <w:p w:rsidR="00B8305E" w:rsidRPr="003548DF" w:rsidRDefault="00DE7CC4" w:rsidP="00F414F3">
      <w:pPr>
        <w:pStyle w:val="Textonotapie"/>
        <w:jc w:val="both"/>
        <w:rPr>
          <w:rFonts w:ascii="Times New Roman" w:hAnsi="Times New Roman"/>
          <w:color w:val="000000" w:themeColor="text1"/>
          <w:sz w:val="18"/>
          <w:szCs w:val="18"/>
          <w:lang w:val="es-ES_tradnl"/>
        </w:rPr>
      </w:pPr>
      <w:r w:rsidRPr="00DD719E">
        <w:rPr>
          <w:rStyle w:val="Refdenotaalpie"/>
          <w:rFonts w:ascii="Times New Roman" w:hAnsi="Times New Roman"/>
          <w:color w:val="000000" w:themeColor="text1"/>
          <w:sz w:val="18"/>
          <w:szCs w:val="18"/>
        </w:rPr>
        <w:footnoteRef/>
      </w:r>
      <w:r w:rsidRPr="00DD719E">
        <w:rPr>
          <w:rFonts w:ascii="Times New Roman" w:hAnsi="Times New Roman"/>
          <w:color w:val="000000" w:themeColor="text1"/>
          <w:sz w:val="18"/>
          <w:szCs w:val="18"/>
        </w:rPr>
        <w:t xml:space="preserve"> </w:t>
      </w:r>
      <w:r w:rsidRPr="00DD719E">
        <w:rPr>
          <w:rFonts w:ascii="Times New Roman" w:hAnsi="Times New Roman"/>
          <w:color w:val="000000" w:themeColor="text1"/>
          <w:sz w:val="18"/>
          <w:szCs w:val="18"/>
          <w:lang w:val="es-ES_tradnl"/>
        </w:rPr>
        <w:t>Sobre este aspecto, los accionantes insistieron en su escrito de demanda que el artículo 60 superior contiene una cláusula programática</w:t>
      </w:r>
      <w:r w:rsidRPr="00DD719E">
        <w:rPr>
          <w:rFonts w:ascii="Times New Roman" w:hAnsi="Times New Roman"/>
          <w:color w:val="000000" w:themeColor="text1"/>
          <w:sz w:val="18"/>
          <w:szCs w:val="18"/>
          <w:lang w:val="es-ES_tradnl"/>
        </w:rPr>
        <w:t xml:space="preserve"> </w:t>
      </w:r>
      <w:r w:rsidRPr="00DD719E">
        <w:rPr>
          <w:rFonts w:ascii="Times New Roman" w:hAnsi="Times New Roman"/>
          <w:color w:val="000000" w:themeColor="text1"/>
          <w:sz w:val="18"/>
          <w:szCs w:val="18"/>
          <w:lang w:val="es-ES_tradnl"/>
        </w:rPr>
        <w:t>–</w:t>
      </w:r>
      <w:r w:rsidRPr="00DD719E">
        <w:rPr>
          <w:rFonts w:ascii="Times New Roman" w:hAnsi="Times New Roman"/>
          <w:color w:val="000000" w:themeColor="text1"/>
          <w:sz w:val="18"/>
          <w:szCs w:val="18"/>
          <w:lang w:val="es-ES_tradnl"/>
        </w:rPr>
        <w:t>citaron para el efecto lo sostenido en las sentencias C-885 de 2007 y C-392 de 1996</w:t>
      </w:r>
      <w:r w:rsidRPr="00DD719E">
        <w:rPr>
          <w:rFonts w:ascii="Times New Roman" w:hAnsi="Times New Roman"/>
          <w:color w:val="000000" w:themeColor="text1"/>
          <w:sz w:val="18"/>
          <w:szCs w:val="18"/>
          <w:lang w:val="es-ES_tradnl"/>
        </w:rPr>
        <w:t>–</w:t>
      </w:r>
      <w:r w:rsidRPr="00DD719E">
        <w:rPr>
          <w:rFonts w:ascii="Times New Roman" w:hAnsi="Times New Roman"/>
          <w:color w:val="000000" w:themeColor="text1"/>
          <w:sz w:val="18"/>
          <w:szCs w:val="18"/>
          <w:lang w:val="es-ES_tradnl"/>
        </w:rPr>
        <w:t xml:space="preserve">. </w:t>
      </w:r>
      <w:r w:rsidRPr="00DD719E">
        <w:rPr>
          <w:rFonts w:ascii="Times New Roman" w:hAnsi="Times New Roman"/>
          <w:color w:val="000000" w:themeColor="text1"/>
          <w:sz w:val="18"/>
          <w:szCs w:val="18"/>
          <w:lang w:val="es-ES_tradnl"/>
        </w:rPr>
        <w:t xml:space="preserve">Al </w:t>
      </w:r>
      <w:r w:rsidRPr="00DD719E">
        <w:rPr>
          <w:rFonts w:ascii="Times New Roman" w:hAnsi="Times New Roman"/>
          <w:i/>
          <w:iCs/>
          <w:color w:val="000000" w:themeColor="text1"/>
          <w:sz w:val="18"/>
          <w:szCs w:val="18"/>
          <w:lang w:val="es-ES_tradnl"/>
        </w:rPr>
        <w:t>acceso</w:t>
      </w:r>
      <w:r w:rsidRPr="00DD719E">
        <w:rPr>
          <w:rFonts w:ascii="Times New Roman" w:hAnsi="Times New Roman"/>
          <w:color w:val="000000" w:themeColor="text1"/>
          <w:sz w:val="18"/>
          <w:szCs w:val="18"/>
          <w:lang w:val="es-ES_tradnl"/>
        </w:rPr>
        <w:t xml:space="preserve"> comprendido en tal sentido</w:t>
      </w:r>
      <w:r w:rsidRPr="00DD719E">
        <w:rPr>
          <w:rFonts w:ascii="Times New Roman" w:hAnsi="Times New Roman"/>
          <w:color w:val="000000" w:themeColor="text1"/>
          <w:sz w:val="18"/>
          <w:szCs w:val="18"/>
          <w:lang w:val="es-ES_tradnl"/>
        </w:rPr>
        <w:t>, sin embargo, no está involucrad</w:t>
      </w:r>
      <w:r w:rsidRPr="00DD719E">
        <w:rPr>
          <w:rFonts w:ascii="Times New Roman" w:hAnsi="Times New Roman"/>
          <w:color w:val="000000" w:themeColor="text1"/>
          <w:sz w:val="18"/>
          <w:szCs w:val="18"/>
          <w:lang w:val="es-ES_tradnl"/>
        </w:rPr>
        <w:t>a</w:t>
      </w:r>
      <w:r w:rsidRPr="00DD719E">
        <w:rPr>
          <w:rFonts w:ascii="Times New Roman" w:hAnsi="Times New Roman"/>
          <w:color w:val="000000" w:themeColor="text1"/>
          <w:sz w:val="18"/>
          <w:szCs w:val="18"/>
          <w:lang w:val="es-ES_tradnl"/>
        </w:rPr>
        <w:t xml:space="preserve"> la disposición que analiza la Corte Constitucional en la demanda que atiende</w:t>
      </w:r>
      <w:r w:rsidRPr="00DD719E">
        <w:rPr>
          <w:rFonts w:ascii="Times New Roman" w:hAnsi="Times New Roman"/>
          <w:color w:val="000000" w:themeColor="text1"/>
          <w:sz w:val="18"/>
          <w:szCs w:val="18"/>
          <w:lang w:val="es-ES_tradnl"/>
        </w:rPr>
        <w:t xml:space="preserve"> o, por lo menos, así no se logra justificar por los accionantes.</w:t>
      </w:r>
    </w:p>
  </w:footnote>
  <w:footnote w:id="121">
    <w:p w:rsidR="00F32ED8" w:rsidRPr="003548DF" w:rsidRDefault="00DE7CC4" w:rsidP="00EA4873">
      <w:pPr>
        <w:pStyle w:val="Textonotapie"/>
        <w:ind w:right="49"/>
        <w:jc w:val="both"/>
        <w:rPr>
          <w:rFonts w:ascii="Times New Roman" w:hAnsi="Times New Roman"/>
          <w:color w:val="000000" w:themeColor="text1"/>
          <w:sz w:val="18"/>
          <w:szCs w:val="18"/>
          <w:lang w:val="es-ES_tradnl"/>
        </w:rPr>
      </w:pPr>
      <w:r w:rsidRPr="003548DF">
        <w:rPr>
          <w:rStyle w:val="Refdenotaalpie"/>
          <w:rFonts w:ascii="Times New Roman" w:hAnsi="Times New Roman"/>
          <w:color w:val="000000" w:themeColor="text1"/>
          <w:sz w:val="18"/>
          <w:szCs w:val="18"/>
        </w:rPr>
        <w:footnoteRef/>
      </w:r>
      <w:r w:rsidRPr="003548DF">
        <w:rPr>
          <w:rFonts w:ascii="Times New Roman" w:hAnsi="Times New Roman"/>
          <w:color w:val="000000" w:themeColor="text1"/>
          <w:sz w:val="18"/>
          <w:szCs w:val="18"/>
        </w:rPr>
        <w:t xml:space="preserve"> Escrito de demanda, p. 31.</w:t>
      </w:r>
    </w:p>
  </w:footnote>
  <w:footnote w:id="122">
    <w:p w:rsidR="00F32ED8" w:rsidRPr="003548DF" w:rsidRDefault="00DE7CC4" w:rsidP="00F32ED8">
      <w:pPr>
        <w:pStyle w:val="Textonotapie"/>
        <w:ind w:right="49"/>
        <w:jc w:val="both"/>
        <w:rPr>
          <w:rFonts w:ascii="Times New Roman" w:hAnsi="Times New Roman"/>
          <w:color w:val="000000" w:themeColor="text1"/>
          <w:sz w:val="18"/>
          <w:szCs w:val="18"/>
        </w:rPr>
      </w:pPr>
      <w:r w:rsidRPr="003548DF">
        <w:rPr>
          <w:rStyle w:val="Refdenotaalpie"/>
          <w:rFonts w:ascii="Times New Roman" w:hAnsi="Times New Roman"/>
          <w:color w:val="000000" w:themeColor="text1"/>
          <w:sz w:val="18"/>
          <w:szCs w:val="18"/>
        </w:rPr>
        <w:footnoteRef/>
      </w:r>
      <w:r w:rsidRPr="003548DF">
        <w:rPr>
          <w:rFonts w:ascii="Times New Roman" w:hAnsi="Times New Roman"/>
          <w:color w:val="000000" w:themeColor="text1"/>
          <w:sz w:val="18"/>
          <w:szCs w:val="18"/>
        </w:rPr>
        <w:t xml:space="preserve"> Por razones de impert</w:t>
      </w:r>
      <w:r w:rsidRPr="003548DF">
        <w:rPr>
          <w:rFonts w:ascii="Times New Roman" w:hAnsi="Times New Roman"/>
          <w:color w:val="000000" w:themeColor="text1"/>
          <w:sz w:val="18"/>
          <w:szCs w:val="18"/>
        </w:rPr>
        <w:t>inencia, fundamentalmente, la Sentencia C-333 de 2023 (M.P. Antonio José Lizarazo Ocampo) adoptó una decisión inhibitoria frente a un cargo por presunto desconocimiento de la prohibición de no retroceso.</w:t>
      </w:r>
    </w:p>
  </w:footnote>
  <w:footnote w:id="123">
    <w:p w:rsidR="00F32ED8" w:rsidRPr="003548DF" w:rsidRDefault="00DE7CC4" w:rsidP="00F32ED8">
      <w:pPr>
        <w:pStyle w:val="Textonotapie"/>
        <w:ind w:right="49"/>
        <w:jc w:val="both"/>
        <w:rPr>
          <w:rFonts w:ascii="Times New Roman" w:hAnsi="Times New Roman"/>
          <w:color w:val="000000" w:themeColor="text1"/>
          <w:sz w:val="18"/>
          <w:szCs w:val="18"/>
          <w:lang w:val="es-ES_tradnl"/>
        </w:rPr>
      </w:pPr>
      <w:r w:rsidRPr="003548DF">
        <w:rPr>
          <w:rStyle w:val="Refdenotaalpie"/>
          <w:rFonts w:ascii="Times New Roman" w:hAnsi="Times New Roman"/>
          <w:color w:val="000000" w:themeColor="text1"/>
          <w:sz w:val="18"/>
          <w:szCs w:val="18"/>
        </w:rPr>
        <w:footnoteRef/>
      </w:r>
      <w:r w:rsidRPr="003548DF">
        <w:rPr>
          <w:rFonts w:ascii="Times New Roman" w:hAnsi="Times New Roman"/>
          <w:color w:val="000000" w:themeColor="text1"/>
          <w:sz w:val="18"/>
          <w:szCs w:val="18"/>
        </w:rPr>
        <w:t xml:space="preserve"> </w:t>
      </w:r>
      <w:r w:rsidRPr="003548DF">
        <w:rPr>
          <w:rFonts w:ascii="Times New Roman" w:hAnsi="Times New Roman"/>
          <w:color w:val="000000" w:themeColor="text1"/>
          <w:sz w:val="18"/>
          <w:szCs w:val="18"/>
          <w:lang w:val="es-ES_tradnl"/>
        </w:rPr>
        <w:t xml:space="preserve">Escrito de corrección, p. 12. </w:t>
      </w:r>
    </w:p>
  </w:footnote>
  <w:footnote w:id="124">
    <w:p w:rsidR="00F32ED8" w:rsidRPr="003548DF" w:rsidRDefault="00DE7CC4" w:rsidP="00F32ED8">
      <w:pPr>
        <w:pStyle w:val="Textonotapie"/>
        <w:ind w:right="49"/>
        <w:rPr>
          <w:rFonts w:ascii="Times New Roman" w:hAnsi="Times New Roman"/>
          <w:color w:val="000000" w:themeColor="text1"/>
          <w:sz w:val="18"/>
          <w:szCs w:val="18"/>
          <w:lang w:val="es-ES_tradnl"/>
        </w:rPr>
      </w:pPr>
      <w:r w:rsidRPr="003548DF">
        <w:rPr>
          <w:rStyle w:val="Refdenotaalpie"/>
          <w:rFonts w:ascii="Times New Roman" w:hAnsi="Times New Roman"/>
          <w:color w:val="000000" w:themeColor="text1"/>
          <w:sz w:val="18"/>
          <w:szCs w:val="18"/>
        </w:rPr>
        <w:footnoteRef/>
      </w:r>
      <w:r w:rsidRPr="003548DF">
        <w:rPr>
          <w:rFonts w:ascii="Times New Roman" w:hAnsi="Times New Roman"/>
          <w:color w:val="000000" w:themeColor="text1"/>
          <w:sz w:val="18"/>
          <w:szCs w:val="18"/>
        </w:rPr>
        <w:t xml:space="preserve"> </w:t>
      </w:r>
      <w:r w:rsidRPr="003548DF">
        <w:rPr>
          <w:rFonts w:ascii="Times New Roman" w:hAnsi="Times New Roman"/>
          <w:i/>
          <w:iCs/>
          <w:color w:val="000000" w:themeColor="text1"/>
          <w:sz w:val="18"/>
          <w:szCs w:val="18"/>
          <w:lang w:val="es-ES_tradnl"/>
        </w:rPr>
        <w:t>Ibidem,</w:t>
      </w:r>
      <w:r w:rsidRPr="003548DF">
        <w:rPr>
          <w:rFonts w:ascii="Times New Roman" w:hAnsi="Times New Roman"/>
          <w:color w:val="000000" w:themeColor="text1"/>
          <w:sz w:val="18"/>
          <w:szCs w:val="18"/>
          <w:lang w:val="es-ES_tradnl"/>
        </w:rPr>
        <w:t xml:space="preserve"> p. 14.</w:t>
      </w:r>
    </w:p>
  </w:footnote>
  <w:footnote w:id="125">
    <w:p w:rsidR="00F32ED8" w:rsidRPr="003548DF" w:rsidRDefault="00DE7CC4" w:rsidP="00F32ED8">
      <w:pPr>
        <w:pStyle w:val="Textonotapie"/>
        <w:ind w:right="49"/>
        <w:jc w:val="both"/>
        <w:rPr>
          <w:rFonts w:ascii="Times New Roman" w:hAnsi="Times New Roman"/>
          <w:color w:val="000000" w:themeColor="text1"/>
          <w:sz w:val="18"/>
          <w:szCs w:val="18"/>
          <w:lang w:val="es-ES_tradnl"/>
        </w:rPr>
      </w:pPr>
      <w:r w:rsidRPr="003548DF">
        <w:rPr>
          <w:rStyle w:val="Refdenotaalpie"/>
          <w:rFonts w:ascii="Times New Roman" w:hAnsi="Times New Roman"/>
          <w:color w:val="000000" w:themeColor="text1"/>
          <w:sz w:val="18"/>
          <w:szCs w:val="18"/>
        </w:rPr>
        <w:footnoteRef/>
      </w:r>
      <w:r w:rsidRPr="003548DF">
        <w:rPr>
          <w:rFonts w:ascii="Times New Roman" w:hAnsi="Times New Roman"/>
          <w:color w:val="000000" w:themeColor="text1"/>
          <w:sz w:val="18"/>
          <w:szCs w:val="18"/>
        </w:rPr>
        <w:t xml:space="preserve"> </w:t>
      </w:r>
      <w:r w:rsidRPr="003548DF">
        <w:rPr>
          <w:rFonts w:ascii="Times New Roman" w:hAnsi="Times New Roman"/>
          <w:color w:val="000000" w:themeColor="text1"/>
          <w:sz w:val="18"/>
          <w:szCs w:val="18"/>
          <w:lang w:val="es-ES_tradnl"/>
        </w:rPr>
        <w:t xml:space="preserve">Artículo 2, sobre definiciones. </w:t>
      </w:r>
    </w:p>
  </w:footnote>
  <w:footnote w:id="126">
    <w:p w:rsidR="00F32ED8" w:rsidRPr="003548DF" w:rsidRDefault="00DE7CC4" w:rsidP="00F32ED8">
      <w:pPr>
        <w:pStyle w:val="Textonotapie"/>
        <w:ind w:right="49"/>
        <w:jc w:val="both"/>
        <w:rPr>
          <w:rFonts w:ascii="Times New Roman" w:hAnsi="Times New Roman"/>
          <w:color w:val="000000" w:themeColor="text1"/>
          <w:sz w:val="18"/>
          <w:szCs w:val="18"/>
        </w:rPr>
      </w:pPr>
      <w:r w:rsidRPr="003548DF">
        <w:rPr>
          <w:rStyle w:val="Refdenotaalpie"/>
          <w:rFonts w:ascii="Times New Roman" w:hAnsi="Times New Roman"/>
          <w:color w:val="000000" w:themeColor="text1"/>
          <w:sz w:val="18"/>
          <w:szCs w:val="18"/>
        </w:rPr>
        <w:footnoteRef/>
      </w:r>
      <w:r w:rsidRPr="003548DF">
        <w:rPr>
          <w:rFonts w:ascii="Times New Roman" w:hAnsi="Times New Roman"/>
          <w:color w:val="000000" w:themeColor="text1"/>
          <w:sz w:val="18"/>
          <w:szCs w:val="18"/>
        </w:rPr>
        <w:t xml:space="preserve"> De conformidad con lo establecido en el artículo 2 de la Ley 1310 de 2009, agente de tránsito y transporte es “[t]odo empleado público o contratista, que tiene como funciones u obligaciones, regular la circulación vehicul</w:t>
      </w:r>
      <w:r w:rsidRPr="003548DF">
        <w:rPr>
          <w:rFonts w:ascii="Times New Roman" w:hAnsi="Times New Roman"/>
          <w:color w:val="000000" w:themeColor="text1"/>
          <w:sz w:val="18"/>
          <w:szCs w:val="18"/>
        </w:rPr>
        <w:t>ar y peatonal, vigilar, controlar e intervenir en el cumplimiento de las normas de tránsito y transporte en cada uno de los entes territoriales, sin perjuicio de lo dispuesto en la Ley 1310 de 2009, respecto de la carrera administrativa”.</w:t>
      </w:r>
    </w:p>
  </w:footnote>
  <w:footnote w:id="127">
    <w:p w:rsidR="00F32ED8" w:rsidRPr="003548DF" w:rsidRDefault="00DE7CC4" w:rsidP="00F32ED8">
      <w:pPr>
        <w:pStyle w:val="Textonotapie"/>
        <w:jc w:val="both"/>
        <w:rPr>
          <w:rFonts w:ascii="Times New Roman" w:hAnsi="Times New Roman"/>
          <w:color w:val="000000" w:themeColor="text1"/>
          <w:sz w:val="18"/>
          <w:szCs w:val="18"/>
        </w:rPr>
      </w:pPr>
      <w:r w:rsidRPr="003548DF">
        <w:rPr>
          <w:rStyle w:val="Refdenotaalpie"/>
          <w:rFonts w:ascii="Times New Roman" w:hAnsi="Times New Roman"/>
          <w:color w:val="000000" w:themeColor="text1"/>
          <w:sz w:val="18"/>
          <w:szCs w:val="18"/>
        </w:rPr>
        <w:footnoteRef/>
      </w:r>
      <w:r w:rsidRPr="003548DF">
        <w:rPr>
          <w:rFonts w:ascii="Times New Roman" w:hAnsi="Times New Roman"/>
          <w:color w:val="000000" w:themeColor="text1"/>
          <w:sz w:val="18"/>
          <w:szCs w:val="18"/>
        </w:rPr>
        <w:t xml:space="preserve"> Nótese que, incluso en eventos de presunta embriaguez, los vehículos no deben ser retirados, por lo cual, en esas oportunidades la autoridad de tránsito debe concurrir al lugar y en ese contexto la orden de comparendo, con miras a una sanción previa garan</w:t>
      </w:r>
      <w:r w:rsidRPr="003548DF">
        <w:rPr>
          <w:rFonts w:ascii="Times New Roman" w:hAnsi="Times New Roman"/>
          <w:color w:val="000000" w:themeColor="text1"/>
          <w:sz w:val="18"/>
          <w:szCs w:val="18"/>
        </w:rPr>
        <w:t xml:space="preserve">tía del debido proceso, debe realizarse.  </w:t>
      </w:r>
    </w:p>
  </w:footnote>
  <w:footnote w:id="128">
    <w:p w:rsidR="00F32ED8" w:rsidRPr="003548DF" w:rsidRDefault="00DE7CC4" w:rsidP="00F32ED8">
      <w:pPr>
        <w:pStyle w:val="Textonotapie"/>
        <w:ind w:right="49"/>
        <w:jc w:val="both"/>
        <w:rPr>
          <w:rFonts w:ascii="Times New Roman" w:hAnsi="Times New Roman"/>
          <w:color w:val="000000" w:themeColor="text1"/>
          <w:sz w:val="18"/>
          <w:szCs w:val="18"/>
          <w:lang w:val="es-ES_tradnl"/>
        </w:rPr>
      </w:pPr>
      <w:r w:rsidRPr="003548DF">
        <w:rPr>
          <w:rStyle w:val="Refdenotaalpie"/>
          <w:rFonts w:ascii="Times New Roman" w:hAnsi="Times New Roman"/>
          <w:color w:val="000000" w:themeColor="text1"/>
          <w:sz w:val="18"/>
          <w:szCs w:val="18"/>
        </w:rPr>
        <w:footnoteRef/>
      </w:r>
      <w:r w:rsidRPr="003548DF">
        <w:rPr>
          <w:rFonts w:ascii="Times New Roman" w:hAnsi="Times New Roman"/>
          <w:color w:val="000000" w:themeColor="text1"/>
          <w:sz w:val="18"/>
          <w:szCs w:val="18"/>
        </w:rPr>
        <w:t xml:space="preserve"> </w:t>
      </w:r>
      <w:r w:rsidRPr="003548DF">
        <w:rPr>
          <w:rFonts w:ascii="Times New Roman" w:hAnsi="Times New Roman"/>
          <w:color w:val="000000" w:themeColor="text1"/>
          <w:sz w:val="18"/>
          <w:szCs w:val="18"/>
          <w:lang w:val="es-ES_tradnl"/>
        </w:rPr>
        <w:t xml:space="preserve">Previa garantía del derecho al debido proceso, aspecto sobre el cual esta Corporación ha realizado varios pronunciamientos. Ver, por ejemplo, las sentencias C-089 de 2011. M.P. Luis Ernesto Vargas Silva y C-038 </w:t>
      </w:r>
      <w:r w:rsidRPr="003548DF">
        <w:rPr>
          <w:rFonts w:ascii="Times New Roman" w:hAnsi="Times New Roman"/>
          <w:color w:val="000000" w:themeColor="text1"/>
          <w:sz w:val="18"/>
          <w:szCs w:val="18"/>
          <w:lang w:val="es-ES_tradnl"/>
        </w:rPr>
        <w:t>de 2020. M.P. Alejandro Linares Cantillo. Más recientemente, la Sentencia C-321 de 2022. M.P. Jorge Enrique Ibáñez Najar. SV. José Fernando Reyes Cuartas. AV. Antonio José Lizarazo Ocampo.</w:t>
      </w:r>
    </w:p>
  </w:footnote>
  <w:footnote w:id="129">
    <w:p w:rsidR="00F32ED8" w:rsidRPr="003548DF" w:rsidRDefault="00DE7CC4" w:rsidP="00F32ED8">
      <w:pPr>
        <w:pStyle w:val="Textonotapie"/>
        <w:ind w:right="49"/>
        <w:jc w:val="both"/>
        <w:rPr>
          <w:rFonts w:ascii="Times New Roman" w:hAnsi="Times New Roman"/>
          <w:color w:val="000000" w:themeColor="text1"/>
          <w:sz w:val="18"/>
          <w:szCs w:val="18"/>
          <w:lang w:val="es-ES_tradnl"/>
        </w:rPr>
      </w:pPr>
      <w:r w:rsidRPr="003548DF">
        <w:rPr>
          <w:rStyle w:val="Refdenotaalpie"/>
          <w:rFonts w:ascii="Times New Roman" w:hAnsi="Times New Roman"/>
          <w:color w:val="000000" w:themeColor="text1"/>
          <w:sz w:val="18"/>
          <w:szCs w:val="18"/>
        </w:rPr>
        <w:footnoteRef/>
      </w:r>
      <w:r w:rsidRPr="003548DF">
        <w:rPr>
          <w:rFonts w:ascii="Times New Roman" w:hAnsi="Times New Roman"/>
          <w:color w:val="000000" w:themeColor="text1"/>
          <w:sz w:val="18"/>
          <w:szCs w:val="18"/>
        </w:rPr>
        <w:t xml:space="preserve"> </w:t>
      </w:r>
      <w:r w:rsidRPr="003548DF">
        <w:rPr>
          <w:rFonts w:ascii="Times New Roman" w:hAnsi="Times New Roman"/>
          <w:color w:val="000000" w:themeColor="text1"/>
          <w:sz w:val="18"/>
          <w:szCs w:val="18"/>
          <w:lang w:val="es-ES_tradnl"/>
        </w:rPr>
        <w:t>Ver, por ejemplo -y sin que esto constituya evaluación preliminar</w:t>
      </w:r>
      <w:r w:rsidRPr="003548DF">
        <w:rPr>
          <w:rFonts w:ascii="Times New Roman" w:hAnsi="Times New Roman"/>
          <w:color w:val="000000" w:themeColor="text1"/>
          <w:sz w:val="18"/>
          <w:szCs w:val="18"/>
          <w:lang w:val="es-ES_tradnl"/>
        </w:rPr>
        <w:t xml:space="preserve"> alguna sobre tales enunciados normativos-, los artículos 178, 180 y 181 de la Ley 1194 de 2023, Plan Nacional de Desarrollo 2022-2026.</w:t>
      </w:r>
    </w:p>
  </w:footnote>
  <w:footnote w:id="130">
    <w:p w:rsidR="00A8413B" w:rsidRPr="00DA6368" w:rsidRDefault="00DE7CC4">
      <w:pPr>
        <w:pStyle w:val="Textonotapie"/>
        <w:rPr>
          <w:rFonts w:ascii="Times New Roman" w:hAnsi="Times New Roman"/>
          <w:color w:val="000000" w:themeColor="text1"/>
          <w:sz w:val="18"/>
          <w:szCs w:val="18"/>
        </w:rPr>
      </w:pPr>
      <w:r w:rsidRPr="00DA6368">
        <w:rPr>
          <w:rStyle w:val="Refdenotaalpie"/>
          <w:rFonts w:ascii="Times New Roman" w:hAnsi="Times New Roman"/>
          <w:color w:val="000000" w:themeColor="text1"/>
          <w:sz w:val="18"/>
          <w:szCs w:val="18"/>
        </w:rPr>
        <w:footnoteRef/>
      </w:r>
      <w:r w:rsidRPr="00DA6368">
        <w:rPr>
          <w:rFonts w:ascii="Times New Roman" w:hAnsi="Times New Roman"/>
          <w:color w:val="000000" w:themeColor="text1"/>
          <w:sz w:val="18"/>
          <w:szCs w:val="18"/>
        </w:rPr>
        <w:t xml:space="preserve"> Escrito de corrección, p. 12.</w:t>
      </w:r>
    </w:p>
  </w:footnote>
  <w:footnote w:id="131">
    <w:p w:rsidR="00F32ED8" w:rsidRPr="003548DF" w:rsidRDefault="00DE7CC4" w:rsidP="00F32ED8">
      <w:pPr>
        <w:pStyle w:val="Textonotapie"/>
        <w:ind w:right="49"/>
        <w:rPr>
          <w:rFonts w:ascii="Times New Roman" w:hAnsi="Times New Roman"/>
          <w:color w:val="000000" w:themeColor="text1"/>
          <w:sz w:val="18"/>
          <w:szCs w:val="18"/>
          <w:lang w:val="es-ES_tradnl"/>
        </w:rPr>
      </w:pPr>
      <w:r w:rsidRPr="003548DF">
        <w:rPr>
          <w:rStyle w:val="Refdenotaalpie"/>
          <w:rFonts w:ascii="Times New Roman" w:hAnsi="Times New Roman"/>
          <w:color w:val="000000" w:themeColor="text1"/>
          <w:sz w:val="18"/>
          <w:szCs w:val="18"/>
        </w:rPr>
        <w:footnoteRef/>
      </w:r>
      <w:r w:rsidRPr="003548DF">
        <w:rPr>
          <w:rFonts w:ascii="Times New Roman" w:hAnsi="Times New Roman"/>
          <w:color w:val="000000" w:themeColor="text1"/>
          <w:sz w:val="18"/>
          <w:szCs w:val="18"/>
        </w:rPr>
        <w:t xml:space="preserve"> </w:t>
      </w:r>
      <w:r w:rsidRPr="003548DF">
        <w:rPr>
          <w:rFonts w:ascii="Times New Roman" w:hAnsi="Times New Roman"/>
          <w:color w:val="000000" w:themeColor="text1"/>
          <w:sz w:val="18"/>
          <w:szCs w:val="18"/>
          <w:lang w:val="es-ES_tradnl"/>
        </w:rPr>
        <w:t xml:space="preserve">M.P. Jorge Enrique Ibáñez Najar. </w:t>
      </w:r>
    </w:p>
  </w:footnote>
  <w:footnote w:id="132">
    <w:p w:rsidR="00F32ED8" w:rsidRPr="003548DF" w:rsidRDefault="00DE7CC4" w:rsidP="00F32ED8">
      <w:pPr>
        <w:pStyle w:val="Textonotapie"/>
        <w:ind w:right="49"/>
        <w:jc w:val="both"/>
        <w:rPr>
          <w:rFonts w:ascii="Times New Roman" w:hAnsi="Times New Roman"/>
          <w:color w:val="000000" w:themeColor="text1"/>
          <w:sz w:val="18"/>
          <w:szCs w:val="18"/>
        </w:rPr>
      </w:pPr>
      <w:r w:rsidRPr="003548DF">
        <w:rPr>
          <w:rStyle w:val="Refdenotaalpie"/>
          <w:rFonts w:ascii="Times New Roman" w:hAnsi="Times New Roman"/>
          <w:color w:val="000000" w:themeColor="text1"/>
          <w:sz w:val="18"/>
          <w:szCs w:val="18"/>
        </w:rPr>
        <w:footnoteRef/>
      </w:r>
      <w:r w:rsidRPr="003548DF">
        <w:rPr>
          <w:rFonts w:ascii="Times New Roman" w:hAnsi="Times New Roman"/>
          <w:color w:val="000000" w:themeColor="text1"/>
          <w:sz w:val="18"/>
          <w:szCs w:val="18"/>
        </w:rPr>
        <w:t xml:space="preserve"> Sentencia C-1172 de 2004. M.P. Clara Inés Vargas H</w:t>
      </w:r>
      <w:r w:rsidRPr="003548DF">
        <w:rPr>
          <w:rFonts w:ascii="Times New Roman" w:hAnsi="Times New Roman"/>
          <w:color w:val="000000" w:themeColor="text1"/>
          <w:sz w:val="18"/>
          <w:szCs w:val="18"/>
        </w:rPr>
        <w:t xml:space="preserve">ernández. </w:t>
      </w:r>
    </w:p>
  </w:footnote>
  <w:footnote w:id="133">
    <w:p w:rsidR="00F32ED8" w:rsidRPr="003548DF" w:rsidRDefault="00DE7CC4" w:rsidP="00F32ED8">
      <w:pPr>
        <w:pStyle w:val="Textonotapie"/>
        <w:ind w:right="49"/>
        <w:jc w:val="both"/>
        <w:rPr>
          <w:rFonts w:ascii="Times New Roman" w:hAnsi="Times New Roman"/>
          <w:color w:val="000000" w:themeColor="text1"/>
          <w:sz w:val="18"/>
          <w:szCs w:val="18"/>
        </w:rPr>
      </w:pPr>
      <w:r w:rsidRPr="003548DF">
        <w:rPr>
          <w:rStyle w:val="Refdenotaalpie"/>
          <w:rFonts w:ascii="Times New Roman" w:hAnsi="Times New Roman"/>
          <w:color w:val="000000" w:themeColor="text1"/>
          <w:sz w:val="18"/>
          <w:szCs w:val="18"/>
        </w:rPr>
        <w:footnoteRef/>
      </w:r>
      <w:r w:rsidRPr="003548DF">
        <w:rPr>
          <w:rFonts w:ascii="Times New Roman" w:hAnsi="Times New Roman"/>
          <w:color w:val="000000" w:themeColor="text1"/>
          <w:sz w:val="18"/>
          <w:szCs w:val="18"/>
        </w:rPr>
        <w:t xml:space="preserve"> Sentencia C-006 de 1993. M.P. Eduardo Cifuentes Muñoz.</w:t>
      </w:r>
    </w:p>
  </w:footnote>
  <w:footnote w:id="134">
    <w:p w:rsidR="00F32ED8" w:rsidRPr="003548DF" w:rsidRDefault="00DE7CC4" w:rsidP="00F32ED8">
      <w:pPr>
        <w:pStyle w:val="Textonotapie"/>
        <w:ind w:right="49"/>
        <w:jc w:val="both"/>
        <w:rPr>
          <w:rFonts w:ascii="Times New Roman" w:hAnsi="Times New Roman"/>
          <w:color w:val="000000" w:themeColor="text1"/>
          <w:sz w:val="18"/>
          <w:szCs w:val="18"/>
        </w:rPr>
      </w:pPr>
      <w:r w:rsidRPr="003548DF">
        <w:rPr>
          <w:rStyle w:val="Refdenotaalpie"/>
          <w:rFonts w:ascii="Times New Roman" w:hAnsi="Times New Roman"/>
          <w:color w:val="000000" w:themeColor="text1"/>
          <w:sz w:val="18"/>
          <w:szCs w:val="18"/>
        </w:rPr>
        <w:footnoteRef/>
      </w:r>
      <w:r w:rsidRPr="003548DF">
        <w:rPr>
          <w:rFonts w:ascii="Times New Roman" w:hAnsi="Times New Roman"/>
          <w:color w:val="000000" w:themeColor="text1"/>
          <w:sz w:val="18"/>
          <w:szCs w:val="18"/>
        </w:rPr>
        <w:t xml:space="preserve"> La Corte ha referido el contenido del artículo 58 de la Constitución indicando: “</w:t>
      </w:r>
      <w:r w:rsidRPr="003548DF">
        <w:rPr>
          <w:rFonts w:ascii="Times New Roman" w:hAnsi="Times New Roman"/>
          <w:color w:val="000000" w:themeColor="text1"/>
          <w:sz w:val="18"/>
          <w:szCs w:val="18"/>
          <w:shd w:val="clear" w:color="auto" w:fill="FFFFFF"/>
        </w:rPr>
        <w:t>El artículo 58 de la Constitución Política de Colombia consagra, de acuerdo a la jurisprudencia constituc</w:t>
      </w:r>
      <w:r w:rsidRPr="003548DF">
        <w:rPr>
          <w:rFonts w:ascii="Times New Roman" w:hAnsi="Times New Roman"/>
          <w:color w:val="000000" w:themeColor="text1"/>
          <w:sz w:val="18"/>
          <w:szCs w:val="18"/>
          <w:shd w:val="clear" w:color="auto" w:fill="FFFFFF"/>
        </w:rPr>
        <w:t xml:space="preserve">ional, seis principios, a saber: a) la garantía de la propiedad privada y los demás derechos adquiridos conforme a las leyes civiles; b) la protección y promoción de formas asociativas y solidarias de la propiedad; c) el reconocimiento del </w:t>
      </w:r>
      <w:r w:rsidRPr="00DA6368">
        <w:rPr>
          <w:rFonts w:ascii="Times New Roman" w:hAnsi="Times New Roman"/>
          <w:color w:val="000000" w:themeColor="text1"/>
          <w:sz w:val="18"/>
          <w:szCs w:val="18"/>
          <w:shd w:val="clear" w:color="auto" w:fill="FFFFFF"/>
        </w:rPr>
        <w:t xml:space="preserve">carácter </w:t>
      </w:r>
      <w:r w:rsidRPr="00DA6368">
        <w:rPr>
          <w:rFonts w:ascii="Times New Roman" w:hAnsi="Times New Roman"/>
          <w:color w:val="000000" w:themeColor="text1"/>
          <w:sz w:val="18"/>
          <w:szCs w:val="18"/>
          <w:shd w:val="clear" w:color="auto" w:fill="FFFFFF"/>
        </w:rPr>
        <w:t>limitable de la propiedad;</w:t>
      </w:r>
      <w:r w:rsidRPr="003548DF">
        <w:rPr>
          <w:rFonts w:ascii="Times New Roman" w:hAnsi="Times New Roman"/>
          <w:color w:val="000000" w:themeColor="text1"/>
          <w:sz w:val="18"/>
          <w:szCs w:val="18"/>
          <w:shd w:val="clear" w:color="auto" w:fill="FFFFFF"/>
        </w:rPr>
        <w:t xml:space="preserve"> d) las condiciones de prevalencia del interés público o social sobre el interés privado; e) el señalamiento de su función social y ecológica y; f) las modalidades y los requisitos de la expropiación”.</w:t>
      </w:r>
      <w:r w:rsidRPr="003548DF">
        <w:rPr>
          <w:rFonts w:ascii="Times New Roman" w:hAnsi="Times New Roman"/>
          <w:color w:val="000000" w:themeColor="text1"/>
          <w:sz w:val="18"/>
          <w:szCs w:val="18"/>
        </w:rPr>
        <w:t xml:space="preserve">  </w:t>
      </w:r>
    </w:p>
  </w:footnote>
  <w:footnote w:id="135">
    <w:p w:rsidR="00F32ED8" w:rsidRPr="003548DF" w:rsidRDefault="00DE7CC4" w:rsidP="00F32ED8">
      <w:pPr>
        <w:pStyle w:val="Textonotapie"/>
        <w:ind w:right="49"/>
        <w:jc w:val="both"/>
        <w:rPr>
          <w:rFonts w:ascii="Times New Roman" w:hAnsi="Times New Roman"/>
          <w:color w:val="000000" w:themeColor="text1"/>
          <w:sz w:val="18"/>
          <w:szCs w:val="18"/>
        </w:rPr>
      </w:pPr>
      <w:r w:rsidRPr="003548DF">
        <w:rPr>
          <w:rStyle w:val="Refdenotaalpie"/>
          <w:rFonts w:ascii="Times New Roman" w:hAnsi="Times New Roman"/>
          <w:color w:val="000000" w:themeColor="text1"/>
          <w:sz w:val="18"/>
          <w:szCs w:val="18"/>
        </w:rPr>
        <w:footnoteRef/>
      </w:r>
      <w:r w:rsidRPr="003548DF">
        <w:rPr>
          <w:rFonts w:ascii="Times New Roman" w:hAnsi="Times New Roman"/>
          <w:color w:val="000000" w:themeColor="text1"/>
          <w:sz w:val="18"/>
          <w:szCs w:val="18"/>
        </w:rPr>
        <w:t xml:space="preserve"> Sentencia C-278 de 2014.</w:t>
      </w:r>
      <w:r w:rsidRPr="003548DF">
        <w:rPr>
          <w:rFonts w:ascii="Times New Roman" w:hAnsi="Times New Roman"/>
          <w:color w:val="000000" w:themeColor="text1"/>
          <w:sz w:val="18"/>
          <w:szCs w:val="18"/>
        </w:rPr>
        <w:t xml:space="preserve"> M.P. Mauricio González Cuervo.</w:t>
      </w:r>
    </w:p>
  </w:footnote>
  <w:footnote w:id="136">
    <w:p w:rsidR="00F32ED8" w:rsidRPr="003548DF" w:rsidRDefault="00DE7CC4" w:rsidP="00F32ED8">
      <w:pPr>
        <w:shd w:val="clear" w:color="auto" w:fill="FFFFFF"/>
        <w:ind w:right="49"/>
        <w:jc w:val="both"/>
        <w:rPr>
          <w:color w:val="000000" w:themeColor="text1"/>
          <w:sz w:val="18"/>
          <w:szCs w:val="18"/>
        </w:rPr>
      </w:pPr>
      <w:r w:rsidRPr="003548DF">
        <w:rPr>
          <w:rStyle w:val="Refdenotaalpie"/>
          <w:color w:val="000000" w:themeColor="text1"/>
          <w:sz w:val="18"/>
          <w:szCs w:val="18"/>
        </w:rPr>
        <w:footnoteRef/>
      </w:r>
      <w:r w:rsidRPr="003548DF">
        <w:rPr>
          <w:color w:val="000000" w:themeColor="text1"/>
          <w:sz w:val="18"/>
          <w:szCs w:val="18"/>
        </w:rPr>
        <w:t xml:space="preserve"> </w:t>
      </w:r>
      <w:r w:rsidRPr="003548DF">
        <w:rPr>
          <w:color w:val="000000" w:themeColor="text1"/>
          <w:sz w:val="18"/>
          <w:szCs w:val="18"/>
          <w:lang w:val="es-ES"/>
        </w:rPr>
        <w:t>En la Sentencia C-595 de 1999 (M.P. Carlos Gaviria Díaz) se refirió a la naturaleza de esta definición. Indicó: “</w:t>
      </w:r>
      <w:r w:rsidRPr="003548DF">
        <w:rPr>
          <w:color w:val="000000" w:themeColor="text1"/>
          <w:sz w:val="18"/>
          <w:szCs w:val="18"/>
        </w:rPr>
        <w:t>No hay duda de que en él, el legislador civil ha consignado una definición de lo que ha de entenderse por el </w:t>
      </w:r>
      <w:r w:rsidRPr="003548DF">
        <w:rPr>
          <w:i/>
          <w:iCs/>
          <w:color w:val="000000" w:themeColor="text1"/>
          <w:sz w:val="18"/>
          <w:szCs w:val="18"/>
        </w:rPr>
        <w:t>derecho real del dominio o propiedad</w:t>
      </w:r>
      <w:r w:rsidRPr="003548DF">
        <w:rPr>
          <w:color w:val="000000" w:themeColor="text1"/>
          <w:sz w:val="18"/>
          <w:szCs w:val="18"/>
        </w:rPr>
        <w:t>.  Cabe, entonces, indagar por la función que las normas definitorias cumplen en un ordenamiento jurídico. // Cuando el legislador define, hace lo que, en el análisis lingüístico, se conoce como un uso estipulativo de la</w:t>
      </w:r>
      <w:r w:rsidRPr="003548DF">
        <w:rPr>
          <w:color w:val="000000" w:themeColor="text1"/>
          <w:sz w:val="18"/>
          <w:szCs w:val="18"/>
        </w:rPr>
        <w:t xml:space="preserve"> palabra; es decir, </w:t>
      </w:r>
      <w:r w:rsidRPr="003548DF">
        <w:rPr>
          <w:i/>
          <w:iCs/>
          <w:color w:val="000000" w:themeColor="text1"/>
          <w:sz w:val="18"/>
          <w:szCs w:val="18"/>
        </w:rPr>
        <w:t>prescribe</w:t>
      </w:r>
      <w:r w:rsidRPr="003548DF">
        <w:rPr>
          <w:color w:val="000000" w:themeColor="text1"/>
          <w:sz w:val="18"/>
          <w:szCs w:val="18"/>
        </w:rPr>
        <w:t> lo que dentro de una comunidad ha de entenderse cuando se emplea el término definido.  En ese sentido, formula una directiva acerca de lo que en un determinado contexto (el sistema jurídico, en este caso), hay que tener como e</w:t>
      </w:r>
      <w:r w:rsidRPr="003548DF">
        <w:rPr>
          <w:color w:val="000000" w:themeColor="text1"/>
          <w:sz w:val="18"/>
          <w:szCs w:val="18"/>
        </w:rPr>
        <w:t>l significado correspondiente a un concepto, independientemente de que el mismo, desde otra perspectiva extrasistemática, pueda significar otra cosa.  No informa lo que algo es, en su esencia, sino manda que, para determinados propósitos, sea tenido por ta</w:t>
      </w:r>
      <w:r w:rsidRPr="003548DF">
        <w:rPr>
          <w:color w:val="000000" w:themeColor="text1"/>
          <w:sz w:val="18"/>
          <w:szCs w:val="18"/>
        </w:rPr>
        <w:t>l.  A diferencia de lo que hace el jurista, cuya tarea sí consiste en </w:t>
      </w:r>
      <w:r w:rsidRPr="003548DF">
        <w:rPr>
          <w:i/>
          <w:iCs/>
          <w:color w:val="000000" w:themeColor="text1"/>
          <w:sz w:val="18"/>
          <w:szCs w:val="18"/>
        </w:rPr>
        <w:t>informar</w:t>
      </w:r>
      <w:r w:rsidRPr="003548DF">
        <w:rPr>
          <w:color w:val="000000" w:themeColor="text1"/>
          <w:sz w:val="18"/>
          <w:szCs w:val="18"/>
        </w:rPr>
        <w:t> acerca del significado que a un término le ha asignado quien tiene competencia para hacerlo”.</w:t>
      </w:r>
    </w:p>
  </w:footnote>
  <w:footnote w:id="137">
    <w:p w:rsidR="00F32ED8" w:rsidRPr="003548DF" w:rsidRDefault="00DE7CC4" w:rsidP="00F32ED8">
      <w:pPr>
        <w:pStyle w:val="Textonotapie"/>
        <w:ind w:right="49"/>
        <w:jc w:val="both"/>
        <w:rPr>
          <w:rFonts w:ascii="Times New Roman" w:hAnsi="Times New Roman"/>
          <w:color w:val="000000" w:themeColor="text1"/>
          <w:sz w:val="18"/>
          <w:szCs w:val="18"/>
        </w:rPr>
      </w:pPr>
      <w:r w:rsidRPr="003548DF">
        <w:rPr>
          <w:rStyle w:val="Refdenotaalpie"/>
          <w:rFonts w:ascii="Times New Roman" w:hAnsi="Times New Roman"/>
          <w:color w:val="000000" w:themeColor="text1"/>
          <w:sz w:val="18"/>
          <w:szCs w:val="18"/>
        </w:rPr>
        <w:footnoteRef/>
      </w:r>
      <w:r w:rsidRPr="003548DF">
        <w:rPr>
          <w:rFonts w:ascii="Times New Roman" w:hAnsi="Times New Roman"/>
          <w:color w:val="000000" w:themeColor="text1"/>
          <w:sz w:val="18"/>
          <w:szCs w:val="18"/>
        </w:rPr>
        <w:t xml:space="preserve"> Sentencia C-278 de 2014. M.P. Mauricio González Cuervo. En esa dirección la Sente</w:t>
      </w:r>
      <w:r w:rsidRPr="003548DF">
        <w:rPr>
          <w:rFonts w:ascii="Times New Roman" w:hAnsi="Times New Roman"/>
          <w:color w:val="000000" w:themeColor="text1"/>
          <w:sz w:val="18"/>
          <w:szCs w:val="18"/>
        </w:rPr>
        <w:t>ncia C-410 de 2015 (M.P. Alberto Rojas Ríos) indicó: “</w:t>
      </w:r>
      <w:r w:rsidRPr="003548DF">
        <w:rPr>
          <w:rFonts w:ascii="Times New Roman" w:hAnsi="Times New Roman"/>
          <w:color w:val="000000" w:themeColor="text1"/>
          <w:sz w:val="18"/>
          <w:szCs w:val="18"/>
          <w:shd w:val="clear" w:color="auto" w:fill="FFFFFF"/>
        </w:rPr>
        <w:t>En conclusión, frente al concepto de propiedad privada, esta Corporación ha establecido que se trata de un derecho subjetivo que se tiene sobre una cosa corporal o incorporal, que faculta a su titular p</w:t>
      </w:r>
      <w:r w:rsidRPr="003548DF">
        <w:rPr>
          <w:rFonts w:ascii="Times New Roman" w:hAnsi="Times New Roman"/>
          <w:color w:val="000000" w:themeColor="text1"/>
          <w:sz w:val="18"/>
          <w:szCs w:val="18"/>
          <w:shd w:val="clear" w:color="auto" w:fill="FFFFFF"/>
        </w:rPr>
        <w:t xml:space="preserve">ara usar, gozar, explotar y disponer de ella, siempre y cuando se respeten sus inherentes funciones sociales y ecológicas, encaminadas al cumplimiento de deberes constitucionales estrechamente vinculados con la noción de Estado Social de Derecho, como son </w:t>
      </w:r>
      <w:r w:rsidRPr="003548DF">
        <w:rPr>
          <w:rFonts w:ascii="Times New Roman" w:hAnsi="Times New Roman"/>
          <w:color w:val="000000" w:themeColor="text1"/>
          <w:sz w:val="18"/>
          <w:szCs w:val="18"/>
          <w:shd w:val="clear" w:color="auto" w:fill="FFFFFF"/>
        </w:rPr>
        <w:t>la protección al medio ambiente, la salvaguarda de los derechos ajenos, la promoción de la justicia y la equidad y el interés general  prevalente. Así, ha entendido la Corte, que es necesario que el ordenamiento jurídico adopte límites al derecho a la prop</w:t>
      </w:r>
      <w:r w:rsidRPr="003548DF">
        <w:rPr>
          <w:rFonts w:ascii="Times New Roman" w:hAnsi="Times New Roman"/>
          <w:color w:val="000000" w:themeColor="text1"/>
          <w:sz w:val="18"/>
          <w:szCs w:val="18"/>
          <w:shd w:val="clear" w:color="auto" w:fill="FFFFFF"/>
        </w:rPr>
        <w:t>iedad privada, que permitan la consolidación de los derechos del propietario con las necesidades de la colectividad, enmarcadas en la consecución de las citadas funciones que encuentran su fundamento en la Carta (artículos 1, 2, 58, 59 y 95 nums. 1 y 8)”.</w:t>
      </w:r>
    </w:p>
  </w:footnote>
  <w:footnote w:id="138">
    <w:p w:rsidR="00F32ED8" w:rsidRPr="003548DF" w:rsidRDefault="00DE7CC4" w:rsidP="00F32ED8">
      <w:pPr>
        <w:pStyle w:val="Textonotapie"/>
        <w:ind w:right="49"/>
        <w:jc w:val="both"/>
        <w:rPr>
          <w:rFonts w:ascii="Times New Roman" w:hAnsi="Times New Roman"/>
          <w:color w:val="000000" w:themeColor="text1"/>
          <w:sz w:val="18"/>
          <w:szCs w:val="18"/>
        </w:rPr>
      </w:pPr>
      <w:r w:rsidRPr="003548DF">
        <w:rPr>
          <w:rStyle w:val="Refdenotaalpie"/>
          <w:rFonts w:ascii="Times New Roman" w:hAnsi="Times New Roman"/>
          <w:color w:val="000000" w:themeColor="text1"/>
          <w:sz w:val="18"/>
          <w:szCs w:val="18"/>
        </w:rPr>
        <w:footnoteRef/>
      </w:r>
      <w:r w:rsidRPr="003548DF">
        <w:rPr>
          <w:rFonts w:ascii="Times New Roman" w:hAnsi="Times New Roman"/>
          <w:color w:val="000000" w:themeColor="text1"/>
          <w:sz w:val="18"/>
          <w:szCs w:val="18"/>
        </w:rPr>
        <w:t xml:space="preserve"> Sentencia C-864 de 2004. M.P. Jaime Araújo Rentería. Sobre el alcance del derecho de propiedad y su relación con tales atributos puede consultarse, además y entre otras, la Sentencia C-750 de 2015. M.P. Alberto Rojas Ríos.</w:t>
      </w:r>
    </w:p>
  </w:footnote>
  <w:footnote w:id="139">
    <w:p w:rsidR="00F32ED8" w:rsidRPr="003548DF" w:rsidRDefault="00DE7CC4" w:rsidP="00F32ED8">
      <w:pPr>
        <w:pStyle w:val="Textonotapie"/>
        <w:ind w:right="49"/>
        <w:jc w:val="both"/>
        <w:rPr>
          <w:rFonts w:ascii="Times New Roman" w:hAnsi="Times New Roman"/>
          <w:color w:val="000000" w:themeColor="text1"/>
          <w:sz w:val="18"/>
          <w:szCs w:val="18"/>
        </w:rPr>
      </w:pPr>
      <w:r w:rsidRPr="003548DF">
        <w:rPr>
          <w:rStyle w:val="Refdenotaalpie"/>
          <w:rFonts w:ascii="Times New Roman" w:hAnsi="Times New Roman"/>
          <w:color w:val="000000" w:themeColor="text1"/>
          <w:sz w:val="18"/>
          <w:szCs w:val="18"/>
        </w:rPr>
        <w:footnoteRef/>
      </w:r>
      <w:r w:rsidRPr="003548DF">
        <w:rPr>
          <w:rFonts w:ascii="Times New Roman" w:hAnsi="Times New Roman"/>
          <w:color w:val="000000" w:themeColor="text1"/>
          <w:sz w:val="18"/>
          <w:szCs w:val="18"/>
        </w:rPr>
        <w:t xml:space="preserve"> Sentencia C-189 de 2006. M.P.</w:t>
      </w:r>
      <w:r w:rsidRPr="003548DF">
        <w:rPr>
          <w:rFonts w:ascii="Times New Roman" w:hAnsi="Times New Roman"/>
          <w:color w:val="000000" w:themeColor="text1"/>
          <w:sz w:val="18"/>
          <w:szCs w:val="18"/>
        </w:rPr>
        <w:t xml:space="preserve"> Rodrigo Escobar Gil.</w:t>
      </w:r>
    </w:p>
  </w:footnote>
  <w:footnote w:id="140">
    <w:p w:rsidR="00F32ED8" w:rsidRPr="003548DF" w:rsidRDefault="00DE7CC4" w:rsidP="00F32ED8">
      <w:pPr>
        <w:pStyle w:val="Textonotapie"/>
        <w:ind w:right="49"/>
        <w:jc w:val="both"/>
        <w:rPr>
          <w:rFonts w:ascii="Times New Roman" w:hAnsi="Times New Roman"/>
          <w:color w:val="000000" w:themeColor="text1"/>
          <w:sz w:val="18"/>
          <w:szCs w:val="18"/>
        </w:rPr>
      </w:pPr>
      <w:r w:rsidRPr="003548DF">
        <w:rPr>
          <w:rStyle w:val="Refdenotaalpie"/>
          <w:rFonts w:ascii="Times New Roman" w:hAnsi="Times New Roman"/>
          <w:color w:val="000000" w:themeColor="text1"/>
          <w:sz w:val="18"/>
          <w:szCs w:val="18"/>
        </w:rPr>
        <w:footnoteRef/>
      </w:r>
      <w:r w:rsidRPr="003548DF">
        <w:rPr>
          <w:rFonts w:ascii="Times New Roman" w:hAnsi="Times New Roman"/>
          <w:color w:val="000000" w:themeColor="text1"/>
          <w:sz w:val="18"/>
          <w:szCs w:val="18"/>
        </w:rPr>
        <w:t xml:space="preserve"> </w:t>
      </w:r>
      <w:r w:rsidRPr="003548DF">
        <w:rPr>
          <w:rFonts w:ascii="Times New Roman" w:hAnsi="Times New Roman"/>
          <w:i/>
          <w:iCs/>
          <w:color w:val="000000" w:themeColor="text1"/>
          <w:sz w:val="18"/>
          <w:szCs w:val="18"/>
        </w:rPr>
        <w:t>Ibidem</w:t>
      </w:r>
      <w:r w:rsidRPr="003548DF">
        <w:rPr>
          <w:rFonts w:ascii="Times New Roman" w:hAnsi="Times New Roman"/>
          <w:color w:val="000000" w:themeColor="text1"/>
          <w:sz w:val="18"/>
          <w:szCs w:val="18"/>
        </w:rPr>
        <w:t>.</w:t>
      </w:r>
    </w:p>
  </w:footnote>
  <w:footnote w:id="141">
    <w:p w:rsidR="00F32ED8" w:rsidRPr="003548DF" w:rsidRDefault="00DE7CC4" w:rsidP="00F32ED8">
      <w:pPr>
        <w:pStyle w:val="Textonotapie"/>
        <w:ind w:right="49"/>
        <w:jc w:val="both"/>
        <w:rPr>
          <w:rFonts w:ascii="Times New Roman" w:hAnsi="Times New Roman"/>
          <w:color w:val="000000" w:themeColor="text1"/>
          <w:sz w:val="18"/>
          <w:szCs w:val="18"/>
        </w:rPr>
      </w:pPr>
      <w:r w:rsidRPr="003548DF">
        <w:rPr>
          <w:rStyle w:val="Refdenotaalpie"/>
          <w:rFonts w:ascii="Times New Roman" w:hAnsi="Times New Roman"/>
          <w:color w:val="000000" w:themeColor="text1"/>
          <w:sz w:val="18"/>
          <w:szCs w:val="18"/>
        </w:rPr>
        <w:footnoteRef/>
      </w:r>
      <w:r w:rsidRPr="003548DF">
        <w:rPr>
          <w:rFonts w:ascii="Times New Roman" w:hAnsi="Times New Roman"/>
          <w:color w:val="000000" w:themeColor="text1"/>
          <w:sz w:val="18"/>
          <w:szCs w:val="18"/>
        </w:rPr>
        <w:t xml:space="preserve"> </w:t>
      </w:r>
      <w:r w:rsidRPr="003548DF">
        <w:rPr>
          <w:rFonts w:ascii="Times New Roman" w:hAnsi="Times New Roman"/>
          <w:i/>
          <w:iCs/>
          <w:color w:val="000000" w:themeColor="text1"/>
          <w:sz w:val="18"/>
          <w:szCs w:val="18"/>
        </w:rPr>
        <w:t>Ibidem</w:t>
      </w:r>
      <w:r w:rsidRPr="003548DF">
        <w:rPr>
          <w:rFonts w:ascii="Times New Roman" w:hAnsi="Times New Roman"/>
          <w:color w:val="000000" w:themeColor="text1"/>
          <w:sz w:val="18"/>
          <w:szCs w:val="18"/>
        </w:rPr>
        <w:t>.</w:t>
      </w:r>
    </w:p>
  </w:footnote>
  <w:footnote w:id="142">
    <w:p w:rsidR="00F32ED8" w:rsidRPr="003548DF" w:rsidRDefault="00DE7CC4" w:rsidP="00F32ED8">
      <w:pPr>
        <w:pStyle w:val="Textonotapie"/>
        <w:ind w:right="49"/>
        <w:jc w:val="both"/>
        <w:rPr>
          <w:rFonts w:ascii="Times New Roman" w:hAnsi="Times New Roman"/>
          <w:color w:val="000000" w:themeColor="text1"/>
          <w:sz w:val="18"/>
          <w:szCs w:val="18"/>
        </w:rPr>
      </w:pPr>
      <w:r w:rsidRPr="003548DF">
        <w:rPr>
          <w:rStyle w:val="Refdenotaalpie"/>
          <w:rFonts w:ascii="Times New Roman" w:hAnsi="Times New Roman"/>
          <w:color w:val="000000" w:themeColor="text1"/>
          <w:sz w:val="18"/>
          <w:szCs w:val="18"/>
        </w:rPr>
        <w:footnoteRef/>
      </w:r>
      <w:r w:rsidRPr="003548DF">
        <w:rPr>
          <w:rFonts w:ascii="Times New Roman" w:hAnsi="Times New Roman"/>
          <w:color w:val="000000" w:themeColor="text1"/>
          <w:sz w:val="18"/>
          <w:szCs w:val="18"/>
        </w:rPr>
        <w:t xml:space="preserve"> </w:t>
      </w:r>
      <w:r w:rsidRPr="003548DF">
        <w:rPr>
          <w:rFonts w:ascii="Times New Roman" w:hAnsi="Times New Roman"/>
          <w:i/>
          <w:iCs/>
          <w:color w:val="000000" w:themeColor="text1"/>
          <w:sz w:val="18"/>
          <w:szCs w:val="18"/>
        </w:rPr>
        <w:t>Ibidem</w:t>
      </w:r>
      <w:r w:rsidRPr="003548DF">
        <w:rPr>
          <w:rFonts w:ascii="Times New Roman" w:hAnsi="Times New Roman"/>
          <w:color w:val="000000" w:themeColor="text1"/>
          <w:sz w:val="18"/>
          <w:szCs w:val="18"/>
        </w:rPr>
        <w:t>.</w:t>
      </w:r>
    </w:p>
  </w:footnote>
  <w:footnote w:id="143">
    <w:p w:rsidR="00F32ED8" w:rsidRPr="003548DF" w:rsidRDefault="00DE7CC4" w:rsidP="00F32ED8">
      <w:pPr>
        <w:pStyle w:val="Textonotapie"/>
        <w:ind w:right="49"/>
        <w:jc w:val="both"/>
        <w:rPr>
          <w:rFonts w:ascii="Times New Roman" w:hAnsi="Times New Roman"/>
          <w:color w:val="000000" w:themeColor="text1"/>
          <w:sz w:val="18"/>
          <w:szCs w:val="18"/>
        </w:rPr>
      </w:pPr>
      <w:r w:rsidRPr="003548DF">
        <w:rPr>
          <w:rStyle w:val="Refdenotaalpie"/>
          <w:rFonts w:ascii="Times New Roman" w:hAnsi="Times New Roman"/>
          <w:color w:val="000000" w:themeColor="text1"/>
          <w:sz w:val="18"/>
          <w:szCs w:val="18"/>
        </w:rPr>
        <w:footnoteRef/>
      </w:r>
      <w:r w:rsidRPr="003548DF">
        <w:rPr>
          <w:rFonts w:ascii="Times New Roman" w:hAnsi="Times New Roman"/>
          <w:color w:val="000000" w:themeColor="text1"/>
          <w:sz w:val="18"/>
          <w:szCs w:val="18"/>
        </w:rPr>
        <w:t xml:space="preserve"> </w:t>
      </w:r>
      <w:r w:rsidRPr="003548DF">
        <w:rPr>
          <w:rFonts w:ascii="Times New Roman" w:hAnsi="Times New Roman"/>
          <w:i/>
          <w:iCs/>
          <w:color w:val="000000" w:themeColor="text1"/>
          <w:sz w:val="18"/>
          <w:szCs w:val="18"/>
        </w:rPr>
        <w:t>Ibidem</w:t>
      </w:r>
      <w:r w:rsidRPr="003548DF">
        <w:rPr>
          <w:rFonts w:ascii="Times New Roman" w:hAnsi="Times New Roman"/>
          <w:color w:val="000000" w:themeColor="text1"/>
          <w:sz w:val="18"/>
          <w:szCs w:val="18"/>
        </w:rPr>
        <w:t>.</w:t>
      </w:r>
    </w:p>
  </w:footnote>
  <w:footnote w:id="144">
    <w:p w:rsidR="00F32ED8" w:rsidRPr="003548DF" w:rsidRDefault="00DE7CC4" w:rsidP="00F32ED8">
      <w:pPr>
        <w:pStyle w:val="Textonotapie"/>
        <w:ind w:right="49"/>
        <w:jc w:val="both"/>
        <w:rPr>
          <w:rFonts w:ascii="Times New Roman" w:hAnsi="Times New Roman"/>
          <w:color w:val="000000" w:themeColor="text1"/>
          <w:sz w:val="18"/>
          <w:szCs w:val="18"/>
        </w:rPr>
      </w:pPr>
      <w:r w:rsidRPr="003548DF">
        <w:rPr>
          <w:rStyle w:val="Refdenotaalpie"/>
          <w:rFonts w:ascii="Times New Roman" w:hAnsi="Times New Roman"/>
          <w:color w:val="000000" w:themeColor="text1"/>
          <w:sz w:val="18"/>
          <w:szCs w:val="18"/>
        </w:rPr>
        <w:footnoteRef/>
      </w:r>
      <w:r w:rsidRPr="003548DF">
        <w:rPr>
          <w:rFonts w:ascii="Times New Roman" w:hAnsi="Times New Roman"/>
          <w:color w:val="000000" w:themeColor="text1"/>
          <w:sz w:val="18"/>
          <w:szCs w:val="18"/>
        </w:rPr>
        <w:t xml:space="preserve"> Sentencia C-750 de 2015. M.P. Alberto Rojas Ríos.</w:t>
      </w:r>
    </w:p>
  </w:footnote>
  <w:footnote w:id="145">
    <w:p w:rsidR="00F32ED8" w:rsidRPr="003548DF" w:rsidRDefault="00DE7CC4" w:rsidP="00F32ED8">
      <w:pPr>
        <w:pStyle w:val="Textonotapie"/>
        <w:ind w:right="49"/>
        <w:jc w:val="both"/>
        <w:rPr>
          <w:rFonts w:ascii="Times New Roman" w:hAnsi="Times New Roman"/>
          <w:color w:val="000000" w:themeColor="text1"/>
          <w:sz w:val="18"/>
          <w:szCs w:val="18"/>
        </w:rPr>
      </w:pPr>
      <w:r w:rsidRPr="003548DF">
        <w:rPr>
          <w:rStyle w:val="Refdenotaalpie"/>
          <w:rFonts w:ascii="Times New Roman" w:hAnsi="Times New Roman"/>
          <w:color w:val="000000" w:themeColor="text1"/>
          <w:sz w:val="18"/>
          <w:szCs w:val="18"/>
        </w:rPr>
        <w:footnoteRef/>
      </w:r>
      <w:r w:rsidRPr="003548DF">
        <w:rPr>
          <w:rFonts w:ascii="Times New Roman" w:hAnsi="Times New Roman"/>
          <w:color w:val="000000" w:themeColor="text1"/>
          <w:sz w:val="18"/>
          <w:szCs w:val="18"/>
        </w:rPr>
        <w:t xml:space="preserve"> </w:t>
      </w:r>
      <w:r w:rsidRPr="003548DF">
        <w:rPr>
          <w:rFonts w:ascii="Times New Roman" w:hAnsi="Times New Roman"/>
          <w:i/>
          <w:iCs/>
          <w:color w:val="000000" w:themeColor="text1"/>
          <w:sz w:val="18"/>
          <w:szCs w:val="18"/>
        </w:rPr>
        <w:t>Ibidem.</w:t>
      </w:r>
      <w:r w:rsidRPr="003548DF">
        <w:rPr>
          <w:rFonts w:ascii="Times New Roman" w:hAnsi="Times New Roman"/>
          <w:color w:val="000000" w:themeColor="text1"/>
          <w:sz w:val="18"/>
          <w:szCs w:val="18"/>
        </w:rPr>
        <w:t xml:space="preserve"> </w:t>
      </w:r>
    </w:p>
  </w:footnote>
  <w:footnote w:id="146">
    <w:p w:rsidR="00F32ED8" w:rsidRPr="003548DF" w:rsidRDefault="00DE7CC4" w:rsidP="00F32ED8">
      <w:pPr>
        <w:shd w:val="clear" w:color="auto" w:fill="FFFFFF"/>
        <w:ind w:right="49"/>
        <w:jc w:val="both"/>
        <w:rPr>
          <w:color w:val="000000" w:themeColor="text1"/>
          <w:sz w:val="18"/>
          <w:szCs w:val="18"/>
        </w:rPr>
      </w:pPr>
      <w:r w:rsidRPr="003548DF">
        <w:rPr>
          <w:rStyle w:val="Refdenotaalpie"/>
          <w:color w:val="000000" w:themeColor="text1"/>
          <w:sz w:val="18"/>
          <w:szCs w:val="18"/>
        </w:rPr>
        <w:footnoteRef/>
      </w:r>
      <w:r w:rsidRPr="003548DF">
        <w:rPr>
          <w:color w:val="000000" w:themeColor="text1"/>
          <w:sz w:val="18"/>
          <w:szCs w:val="18"/>
        </w:rPr>
        <w:t xml:space="preserve"> </w:t>
      </w:r>
      <w:r w:rsidRPr="003548DF">
        <w:rPr>
          <w:i/>
          <w:color w:val="000000" w:themeColor="text1"/>
          <w:sz w:val="18"/>
          <w:szCs w:val="18"/>
          <w:lang w:val="es-ES"/>
        </w:rPr>
        <w:t>Ibidem.</w:t>
      </w:r>
      <w:r w:rsidRPr="003548DF">
        <w:rPr>
          <w:color w:val="000000" w:themeColor="text1"/>
          <w:sz w:val="18"/>
          <w:szCs w:val="18"/>
          <w:lang w:val="es-ES"/>
        </w:rPr>
        <w:t xml:space="preserve"> Destacando la evolución de la idea de propiedad y sus límites resulta especialmente importante la sentencia C-595 de 1999 que declaró la inconstitucionalidad del adverbio “arbitrariamente” empleado en la definición del derecho de dominio contenida en el a</w:t>
      </w:r>
      <w:r w:rsidRPr="003548DF">
        <w:rPr>
          <w:color w:val="000000" w:themeColor="text1"/>
          <w:sz w:val="18"/>
          <w:szCs w:val="18"/>
          <w:lang w:val="es-ES"/>
        </w:rPr>
        <w:t>rtículo 669 del Código Civil. Refiriéndose a los límites del derecho y, en particular aludiendo las restricciones del derecho de disposición, indicó la sentencia C-189 de 2006: “</w:t>
      </w:r>
      <w:r w:rsidRPr="003548DF">
        <w:rPr>
          <w:color w:val="000000" w:themeColor="text1"/>
          <w:sz w:val="18"/>
          <w:szCs w:val="18"/>
        </w:rPr>
        <w:t xml:space="preserve">En cuanto se refiere al atributo de la libre disposición o enajenación de los </w:t>
      </w:r>
      <w:r w:rsidRPr="003548DF">
        <w:rPr>
          <w:color w:val="000000" w:themeColor="text1"/>
          <w:sz w:val="18"/>
          <w:szCs w:val="18"/>
        </w:rPr>
        <w:t>bienes (</w:t>
      </w:r>
      <w:r w:rsidRPr="003548DF">
        <w:rPr>
          <w:i/>
          <w:iCs/>
          <w:color w:val="000000" w:themeColor="text1"/>
          <w:sz w:val="18"/>
          <w:szCs w:val="18"/>
        </w:rPr>
        <w:t>ius abutendi</w:t>
      </w:r>
      <w:r w:rsidRPr="003548DF">
        <w:rPr>
          <w:color w:val="000000" w:themeColor="text1"/>
          <w:sz w:val="18"/>
          <w:szCs w:val="18"/>
        </w:rPr>
        <w:t>), independientemente de que ya no exista en la actual Carta Política, una cláusula como la prevista en el artículo 37 de la Constitución de 1886 que establecía: </w:t>
      </w:r>
      <w:r w:rsidRPr="003548DF">
        <w:rPr>
          <w:i/>
          <w:iCs/>
          <w:color w:val="000000" w:themeColor="text1"/>
          <w:sz w:val="18"/>
          <w:szCs w:val="18"/>
        </w:rPr>
        <w:t>“No habrá en Colombia bienes raíces que </w:t>
      </w:r>
      <w:r w:rsidRPr="003548DF">
        <w:rPr>
          <w:i/>
          <w:iCs/>
          <w:color w:val="000000" w:themeColor="text1"/>
          <w:sz w:val="18"/>
          <w:szCs w:val="18"/>
          <w:u w:val="single"/>
        </w:rPr>
        <w:t>no sean de libre enajenación</w:t>
      </w:r>
      <w:r w:rsidRPr="003548DF">
        <w:rPr>
          <w:i/>
          <w:iCs/>
          <w:color w:val="000000" w:themeColor="text1"/>
          <w:sz w:val="18"/>
          <w:szCs w:val="18"/>
        </w:rPr>
        <w:t> ni ob</w:t>
      </w:r>
      <w:r w:rsidRPr="003548DF">
        <w:rPr>
          <w:i/>
          <w:iCs/>
          <w:color w:val="000000" w:themeColor="text1"/>
          <w:sz w:val="18"/>
          <w:szCs w:val="18"/>
        </w:rPr>
        <w:t>ligaciones irredimibles”</w:t>
      </w:r>
      <w:r w:rsidRPr="003548DF">
        <w:rPr>
          <w:color w:val="000000" w:themeColor="text1"/>
          <w:sz w:val="18"/>
          <w:szCs w:val="18"/>
        </w:rPr>
        <w:t xml:space="preserve"> (…); lo cierto es que como lo ha reconocido esta Corporación, la regla general es que dicha atribución al constituir una de las expresiones inherentes al ejercicio del derecho a la propiedad privada, no puede ser objeto de restricc</w:t>
      </w:r>
      <w:r w:rsidRPr="003548DF">
        <w:rPr>
          <w:color w:val="000000" w:themeColor="text1"/>
          <w:sz w:val="18"/>
          <w:szCs w:val="18"/>
        </w:rPr>
        <w:t>iones irrazonables o desproporcionadas, que se traduzcan en el desconocimiento del interés legítimo que le asiste al propietario de obtener una utilidad económica sobre los mismos, tal y como se deduce de la protección de su núcleo esencial, en los término</w:t>
      </w:r>
      <w:r w:rsidRPr="003548DF">
        <w:rPr>
          <w:color w:val="000000" w:themeColor="text1"/>
          <w:sz w:val="18"/>
          <w:szCs w:val="18"/>
        </w:rPr>
        <w:t xml:space="preserve">s jurisprudenciales previamente expuestos. // </w:t>
      </w:r>
      <w:r w:rsidRPr="003548DF">
        <w:rPr>
          <w:color w:val="000000" w:themeColor="text1"/>
          <w:sz w:val="18"/>
          <w:szCs w:val="18"/>
          <w:lang w:val="es-MX"/>
        </w:rPr>
        <w:t>Por ello, esta Corporación ha admitido que no se desconoce el citado núcleo esencial cuando se imponen por el legislador </w:t>
      </w:r>
      <w:r w:rsidRPr="003548DF">
        <w:rPr>
          <w:color w:val="000000" w:themeColor="text1"/>
          <w:sz w:val="18"/>
          <w:szCs w:val="18"/>
        </w:rPr>
        <w:t>prohibiciones temporales de enajenación sobre </w:t>
      </w:r>
      <w:r w:rsidRPr="003548DF">
        <w:rPr>
          <w:color w:val="000000" w:themeColor="text1"/>
          <w:sz w:val="18"/>
          <w:szCs w:val="18"/>
          <w:lang w:val="es-MX"/>
        </w:rPr>
        <w:t>algunos</w:t>
      </w:r>
      <w:r w:rsidRPr="003548DF">
        <w:rPr>
          <w:color w:val="000000" w:themeColor="text1"/>
          <w:sz w:val="18"/>
          <w:szCs w:val="18"/>
        </w:rPr>
        <w:t> bienes</w:t>
      </w:r>
      <w:r w:rsidRPr="003548DF">
        <w:rPr>
          <w:color w:val="000000" w:themeColor="text1"/>
          <w:sz w:val="18"/>
          <w:szCs w:val="18"/>
          <w:lang w:val="es-MX"/>
        </w:rPr>
        <w:t xml:space="preserve">, o en ciertos casos, </w:t>
      </w:r>
      <w:r w:rsidRPr="003548DF">
        <w:rPr>
          <w:color w:val="000000" w:themeColor="text1"/>
          <w:sz w:val="18"/>
          <w:szCs w:val="18"/>
          <w:lang w:val="es-MX"/>
        </w:rPr>
        <w:t>limitaciones intemporales </w:t>
      </w:r>
      <w:r w:rsidRPr="003548DF">
        <w:rPr>
          <w:color w:val="000000" w:themeColor="text1"/>
          <w:sz w:val="18"/>
          <w:szCs w:val="18"/>
        </w:rPr>
        <w:t>o por extensos períodos de tiempo</w:t>
      </w:r>
      <w:r w:rsidRPr="003548DF">
        <w:rPr>
          <w:color w:val="000000" w:themeColor="text1"/>
          <w:sz w:val="18"/>
          <w:szCs w:val="18"/>
          <w:lang w:val="es-MX"/>
        </w:rPr>
        <w:t>, siempre y cuando se acredite que las mismas, además de preservar un interés superior orientado a realizar los fines del Estado Social de Derecho, mantienen incólume los atributos de goce, uso y e</w:t>
      </w:r>
      <w:r w:rsidRPr="003548DF">
        <w:rPr>
          <w:color w:val="000000" w:themeColor="text1"/>
          <w:sz w:val="18"/>
          <w:szCs w:val="18"/>
          <w:lang w:val="es-MX"/>
        </w:rPr>
        <w:t>xplotación </w:t>
      </w:r>
      <w:r w:rsidRPr="003548DF">
        <w:rPr>
          <w:color w:val="000000" w:themeColor="text1"/>
          <w:sz w:val="18"/>
          <w:szCs w:val="18"/>
        </w:rPr>
        <w:t>que le permitan a su titular -de acuerdo con las limitaciones previstas en el ordenamiento jurídico- obtener algún tipo de utilidad económica que justifique la presencia de un interés privado en la propiedad”. </w:t>
      </w:r>
    </w:p>
  </w:footnote>
  <w:footnote w:id="147">
    <w:p w:rsidR="00F32ED8" w:rsidRPr="003548DF" w:rsidRDefault="00DE7CC4" w:rsidP="00F32ED8">
      <w:pPr>
        <w:pStyle w:val="Textonotapie"/>
        <w:ind w:right="49"/>
        <w:jc w:val="both"/>
        <w:rPr>
          <w:rFonts w:ascii="Times New Roman" w:hAnsi="Times New Roman"/>
          <w:color w:val="000000" w:themeColor="text1"/>
          <w:sz w:val="18"/>
          <w:szCs w:val="18"/>
        </w:rPr>
      </w:pPr>
      <w:r w:rsidRPr="003548DF">
        <w:rPr>
          <w:rStyle w:val="Refdenotaalpie"/>
          <w:rFonts w:ascii="Times New Roman" w:hAnsi="Times New Roman"/>
          <w:color w:val="000000" w:themeColor="text1"/>
          <w:sz w:val="18"/>
          <w:szCs w:val="18"/>
        </w:rPr>
        <w:footnoteRef/>
      </w:r>
      <w:r w:rsidRPr="003548DF">
        <w:rPr>
          <w:rFonts w:ascii="Times New Roman" w:hAnsi="Times New Roman"/>
          <w:color w:val="000000" w:themeColor="text1"/>
          <w:sz w:val="18"/>
          <w:szCs w:val="18"/>
        </w:rPr>
        <w:t xml:space="preserve"> Sentencia C-750 de 2015. M.P. Al</w:t>
      </w:r>
      <w:r w:rsidRPr="003548DF">
        <w:rPr>
          <w:rFonts w:ascii="Times New Roman" w:hAnsi="Times New Roman"/>
          <w:color w:val="000000" w:themeColor="text1"/>
          <w:sz w:val="18"/>
          <w:szCs w:val="18"/>
        </w:rPr>
        <w:t>berto Rojas Ríos.</w:t>
      </w:r>
    </w:p>
  </w:footnote>
  <w:footnote w:id="148">
    <w:p w:rsidR="00F32ED8" w:rsidRPr="003548DF" w:rsidRDefault="00DE7CC4" w:rsidP="00F32ED8">
      <w:pPr>
        <w:shd w:val="clear" w:color="auto" w:fill="FFFFFF"/>
        <w:ind w:right="49"/>
        <w:jc w:val="both"/>
        <w:rPr>
          <w:color w:val="000000" w:themeColor="text1"/>
          <w:sz w:val="18"/>
          <w:szCs w:val="18"/>
        </w:rPr>
      </w:pPr>
      <w:r w:rsidRPr="003548DF">
        <w:rPr>
          <w:rStyle w:val="Refdenotaalpie"/>
          <w:color w:val="000000" w:themeColor="text1"/>
          <w:sz w:val="18"/>
          <w:szCs w:val="18"/>
        </w:rPr>
        <w:footnoteRef/>
      </w:r>
      <w:r w:rsidRPr="003548DF">
        <w:rPr>
          <w:color w:val="000000" w:themeColor="text1"/>
          <w:sz w:val="18"/>
          <w:szCs w:val="18"/>
        </w:rPr>
        <w:t xml:space="preserve"> </w:t>
      </w:r>
      <w:r w:rsidRPr="003548DF">
        <w:rPr>
          <w:i/>
          <w:iCs/>
          <w:color w:val="000000" w:themeColor="text1"/>
          <w:sz w:val="18"/>
          <w:szCs w:val="18"/>
          <w:lang w:val="es-ES"/>
        </w:rPr>
        <w:t>Ibidem</w:t>
      </w:r>
      <w:r w:rsidRPr="003548DF">
        <w:rPr>
          <w:color w:val="000000" w:themeColor="text1"/>
          <w:sz w:val="18"/>
          <w:szCs w:val="18"/>
          <w:lang w:val="es-ES"/>
        </w:rPr>
        <w:t>. La sentencia C-192 de 2016 (M.P. Gabriel Eduardo Mendoza Martelo) indicó en este sentido: “</w:t>
      </w:r>
      <w:r w:rsidRPr="003548DF">
        <w:rPr>
          <w:color w:val="000000" w:themeColor="text1"/>
          <w:sz w:val="18"/>
          <w:szCs w:val="18"/>
        </w:rPr>
        <w:t>La configuración constitucional del derecho de propiedad pone de presente que se trata de un derecho que tiene variadas formas de manifes</w:t>
      </w:r>
      <w:r w:rsidRPr="003548DF">
        <w:rPr>
          <w:color w:val="000000" w:themeColor="text1"/>
          <w:sz w:val="18"/>
          <w:szCs w:val="18"/>
        </w:rPr>
        <w:t>tarse pero que, en todo caso, es restringible. En síntesis, el ordenamiento jurídico puede prever diferentes instrumentos para configurarlo: (i)   delimitando las formas de su ejercicio y, por ello, las facultades que ampara, (ii)estableciendo límites a di</w:t>
      </w:r>
      <w:r w:rsidRPr="003548DF">
        <w:rPr>
          <w:color w:val="000000" w:themeColor="text1"/>
          <w:sz w:val="18"/>
          <w:szCs w:val="18"/>
        </w:rPr>
        <w:t>chas posiciones, (iii) imponiéndole en algunos casos gravámenes y, en eventos extraordinarios; (iv)    privando a su titular, del derecho de propiedad mediante la expropiación. Estas intervenciones dan lugar, en cada caso, a la definición de las diferentes</w:t>
      </w:r>
      <w:r w:rsidRPr="003548DF">
        <w:rPr>
          <w:color w:val="000000" w:themeColor="text1"/>
          <w:sz w:val="18"/>
          <w:szCs w:val="18"/>
        </w:rPr>
        <w:t xml:space="preserve"> posiciones jurídicas del propietario o titular del derecho (…)”. Sobre los límites del derecho de propiedad pueden consultar también, entre otras, la sentencias C-669 de 2002. M.P. Álvaro Tafur Galvis y C-119 de 2006. M.P. Jaime Araujo Rentería.    </w:t>
      </w:r>
    </w:p>
  </w:footnote>
  <w:footnote w:id="149">
    <w:p w:rsidR="00F32ED8" w:rsidRPr="003548DF" w:rsidRDefault="00DE7CC4" w:rsidP="00F32ED8">
      <w:pPr>
        <w:pStyle w:val="Textonotapie"/>
        <w:ind w:right="49"/>
        <w:jc w:val="both"/>
        <w:rPr>
          <w:rFonts w:ascii="Times New Roman" w:hAnsi="Times New Roman"/>
          <w:color w:val="000000" w:themeColor="text1"/>
          <w:sz w:val="18"/>
          <w:szCs w:val="18"/>
        </w:rPr>
      </w:pPr>
      <w:r w:rsidRPr="003548DF">
        <w:rPr>
          <w:rStyle w:val="Refdenotaalpie"/>
          <w:rFonts w:ascii="Times New Roman" w:hAnsi="Times New Roman"/>
          <w:color w:val="000000" w:themeColor="text1"/>
          <w:sz w:val="18"/>
          <w:szCs w:val="18"/>
        </w:rPr>
        <w:footnoteRef/>
      </w:r>
      <w:r w:rsidRPr="003548DF">
        <w:rPr>
          <w:rFonts w:ascii="Times New Roman" w:hAnsi="Times New Roman"/>
          <w:color w:val="000000" w:themeColor="text1"/>
          <w:sz w:val="18"/>
          <w:szCs w:val="18"/>
        </w:rPr>
        <w:t xml:space="preserve"> Sen</w:t>
      </w:r>
      <w:r w:rsidRPr="003548DF">
        <w:rPr>
          <w:rFonts w:ascii="Times New Roman" w:hAnsi="Times New Roman"/>
          <w:color w:val="000000" w:themeColor="text1"/>
          <w:sz w:val="18"/>
          <w:szCs w:val="18"/>
        </w:rPr>
        <w:t>tencia C-189 de 2006. M.P. Rodrigo Escobar Gil. En esa misma dirección se encuentra, por ejemplo, la Sentencia C-204 de 2001. M.P. Alejandro Martínez Caballero.</w:t>
      </w:r>
    </w:p>
  </w:footnote>
  <w:footnote w:id="150">
    <w:p w:rsidR="00F32ED8" w:rsidRPr="003548DF" w:rsidRDefault="00DE7CC4" w:rsidP="00F32ED8">
      <w:pPr>
        <w:pStyle w:val="Textonotapie"/>
        <w:ind w:right="49"/>
        <w:jc w:val="both"/>
        <w:rPr>
          <w:rFonts w:ascii="Times New Roman" w:hAnsi="Times New Roman"/>
          <w:color w:val="000000" w:themeColor="text1"/>
          <w:sz w:val="18"/>
          <w:szCs w:val="18"/>
        </w:rPr>
      </w:pPr>
      <w:r w:rsidRPr="003548DF">
        <w:rPr>
          <w:rStyle w:val="Refdenotaalpie"/>
          <w:rFonts w:ascii="Times New Roman" w:hAnsi="Times New Roman"/>
          <w:color w:val="000000" w:themeColor="text1"/>
          <w:sz w:val="18"/>
          <w:szCs w:val="18"/>
        </w:rPr>
        <w:footnoteRef/>
      </w:r>
      <w:r w:rsidRPr="003548DF">
        <w:rPr>
          <w:rFonts w:ascii="Times New Roman" w:hAnsi="Times New Roman"/>
          <w:color w:val="000000" w:themeColor="text1"/>
          <w:sz w:val="18"/>
          <w:szCs w:val="18"/>
        </w:rPr>
        <w:t xml:space="preserve"> Sobre la extinción de dominio puede consultarse, entre otras, la sentencia C-740 de 2003. M.P. Jaime Córdoba Triviño.</w:t>
      </w:r>
    </w:p>
  </w:footnote>
  <w:footnote w:id="151">
    <w:p w:rsidR="00F32ED8" w:rsidRPr="003548DF" w:rsidRDefault="00DE7CC4" w:rsidP="00F32ED8">
      <w:pPr>
        <w:pStyle w:val="Textonotapie"/>
        <w:ind w:right="49"/>
        <w:jc w:val="both"/>
        <w:rPr>
          <w:rFonts w:ascii="Times New Roman" w:hAnsi="Times New Roman"/>
          <w:color w:val="000000" w:themeColor="text1"/>
          <w:sz w:val="18"/>
          <w:szCs w:val="18"/>
        </w:rPr>
      </w:pPr>
      <w:r w:rsidRPr="003548DF">
        <w:rPr>
          <w:rStyle w:val="Refdenotaalpie"/>
          <w:rFonts w:ascii="Times New Roman" w:hAnsi="Times New Roman"/>
          <w:color w:val="000000" w:themeColor="text1"/>
          <w:sz w:val="18"/>
          <w:szCs w:val="18"/>
        </w:rPr>
        <w:footnoteRef/>
      </w:r>
      <w:r w:rsidRPr="003548DF">
        <w:rPr>
          <w:rFonts w:ascii="Times New Roman" w:hAnsi="Times New Roman"/>
          <w:color w:val="000000" w:themeColor="text1"/>
          <w:sz w:val="18"/>
          <w:szCs w:val="18"/>
        </w:rPr>
        <w:t xml:space="preserve"> Sobre el régimen constitucional de la expropiación se encuentra, entre muchas otras, la sentencia C-750 de 2015. M.P. Alberto Rojas Río</w:t>
      </w:r>
      <w:r w:rsidRPr="003548DF">
        <w:rPr>
          <w:rFonts w:ascii="Times New Roman" w:hAnsi="Times New Roman"/>
          <w:color w:val="000000" w:themeColor="text1"/>
          <w:sz w:val="18"/>
          <w:szCs w:val="18"/>
        </w:rPr>
        <w:t>s.</w:t>
      </w:r>
    </w:p>
  </w:footnote>
  <w:footnote w:id="152">
    <w:p w:rsidR="00F32ED8" w:rsidRPr="003548DF" w:rsidRDefault="00DE7CC4" w:rsidP="00F32ED8">
      <w:pPr>
        <w:pStyle w:val="Textonotapie"/>
        <w:ind w:right="49"/>
        <w:jc w:val="both"/>
        <w:rPr>
          <w:rFonts w:ascii="Times New Roman" w:hAnsi="Times New Roman"/>
          <w:color w:val="000000" w:themeColor="text1"/>
          <w:sz w:val="18"/>
          <w:szCs w:val="18"/>
        </w:rPr>
      </w:pPr>
      <w:r w:rsidRPr="003548DF">
        <w:rPr>
          <w:rStyle w:val="Refdenotaalpie"/>
          <w:rFonts w:ascii="Times New Roman" w:hAnsi="Times New Roman"/>
          <w:color w:val="000000" w:themeColor="text1"/>
          <w:sz w:val="18"/>
          <w:szCs w:val="18"/>
        </w:rPr>
        <w:footnoteRef/>
      </w:r>
      <w:r w:rsidRPr="003548DF">
        <w:rPr>
          <w:rFonts w:ascii="Times New Roman" w:hAnsi="Times New Roman"/>
          <w:color w:val="000000" w:themeColor="text1"/>
          <w:sz w:val="18"/>
          <w:szCs w:val="18"/>
        </w:rPr>
        <w:t xml:space="preserve"> En esa dirección, la Sentencia C-1172 de 2004 (M.P. Clara Inés Vargas Hernández) indicó que: la propiedad “</w:t>
      </w:r>
      <w:r w:rsidRPr="003548DF">
        <w:rPr>
          <w:rFonts w:ascii="Times New Roman" w:hAnsi="Times New Roman"/>
          <w:color w:val="000000" w:themeColor="text1"/>
          <w:sz w:val="18"/>
          <w:szCs w:val="18"/>
          <w:shd w:val="clear" w:color="auto" w:fill="FFFFFF"/>
        </w:rPr>
        <w:t>en su condición de derecho subjetivo es objeto de garantía y protección constitucional, de modo que solamente puede ser materia de restricciones</w:t>
      </w:r>
      <w:r w:rsidRPr="003548DF">
        <w:rPr>
          <w:rFonts w:ascii="Times New Roman" w:hAnsi="Times New Roman"/>
          <w:color w:val="000000" w:themeColor="text1"/>
          <w:sz w:val="18"/>
          <w:szCs w:val="18"/>
          <w:shd w:val="clear" w:color="auto" w:fill="FFFFFF"/>
        </w:rPr>
        <w:t xml:space="preserve"> o limitaciones por las causas y con las finalidades señaladas en la propia Carta Política”.</w:t>
      </w:r>
    </w:p>
  </w:footnote>
  <w:footnote w:id="153">
    <w:p w:rsidR="00F32ED8" w:rsidRPr="003548DF" w:rsidRDefault="00DE7CC4" w:rsidP="00F32ED8">
      <w:pPr>
        <w:pStyle w:val="Textonotapie"/>
        <w:ind w:right="49"/>
        <w:jc w:val="both"/>
        <w:rPr>
          <w:rFonts w:ascii="Times New Roman" w:hAnsi="Times New Roman"/>
          <w:color w:val="000000" w:themeColor="text1"/>
          <w:sz w:val="18"/>
          <w:szCs w:val="18"/>
        </w:rPr>
      </w:pPr>
      <w:r w:rsidRPr="003548DF">
        <w:rPr>
          <w:rStyle w:val="Refdenotaalpie"/>
          <w:rFonts w:ascii="Times New Roman" w:hAnsi="Times New Roman"/>
          <w:color w:val="000000" w:themeColor="text1"/>
          <w:sz w:val="18"/>
          <w:szCs w:val="18"/>
        </w:rPr>
        <w:footnoteRef/>
      </w:r>
      <w:r w:rsidRPr="003548DF">
        <w:rPr>
          <w:rFonts w:ascii="Times New Roman" w:hAnsi="Times New Roman"/>
          <w:color w:val="000000" w:themeColor="text1"/>
          <w:sz w:val="18"/>
          <w:szCs w:val="18"/>
        </w:rPr>
        <w:t xml:space="preserve"> Esta primera dimensión del derecho también puede implicar, en aquellos casos en los que el derecho constitucional de propiedad es directamente exigible en relaci</w:t>
      </w:r>
      <w:r w:rsidRPr="003548DF">
        <w:rPr>
          <w:rFonts w:ascii="Times New Roman" w:hAnsi="Times New Roman"/>
          <w:color w:val="000000" w:themeColor="text1"/>
          <w:sz w:val="18"/>
          <w:szCs w:val="18"/>
        </w:rPr>
        <w:t>ones entre particulares, la prohibición de que en ellas relaciones se afecte las posibilidades del propietario para usar, gozar y disponer jurídicamente de los bienes.</w:t>
      </w:r>
    </w:p>
  </w:footnote>
  <w:footnote w:id="154">
    <w:p w:rsidR="00F32ED8" w:rsidRPr="003548DF" w:rsidRDefault="00DE7CC4" w:rsidP="00F32ED8">
      <w:pPr>
        <w:pStyle w:val="Textonotapie"/>
        <w:ind w:right="49"/>
        <w:jc w:val="both"/>
        <w:rPr>
          <w:rFonts w:ascii="Times New Roman" w:hAnsi="Times New Roman"/>
          <w:color w:val="000000" w:themeColor="text1"/>
          <w:sz w:val="18"/>
          <w:szCs w:val="18"/>
        </w:rPr>
      </w:pPr>
      <w:r w:rsidRPr="003548DF">
        <w:rPr>
          <w:rStyle w:val="Refdenotaalpie"/>
          <w:rFonts w:ascii="Times New Roman" w:hAnsi="Times New Roman"/>
          <w:color w:val="000000" w:themeColor="text1"/>
          <w:sz w:val="18"/>
          <w:szCs w:val="18"/>
        </w:rPr>
        <w:footnoteRef/>
      </w:r>
      <w:r w:rsidRPr="003548DF">
        <w:rPr>
          <w:rFonts w:ascii="Times New Roman" w:hAnsi="Times New Roman"/>
          <w:color w:val="000000" w:themeColor="text1"/>
          <w:sz w:val="18"/>
          <w:szCs w:val="18"/>
        </w:rPr>
        <w:t xml:space="preserve"> Al juzgar la constitucionalidad del artículo 723 del Código Civil la Corte indicó: “</w:t>
      </w:r>
      <w:r w:rsidRPr="003548DF">
        <w:rPr>
          <w:rFonts w:ascii="Times New Roman" w:hAnsi="Times New Roman"/>
          <w:color w:val="000000" w:themeColor="text1"/>
          <w:sz w:val="18"/>
          <w:szCs w:val="18"/>
          <w:shd w:val="clear" w:color="auto" w:fill="FFFFFF"/>
        </w:rPr>
        <w:t>As</w:t>
      </w:r>
      <w:r w:rsidRPr="003548DF">
        <w:rPr>
          <w:rFonts w:ascii="Times New Roman" w:hAnsi="Times New Roman"/>
          <w:color w:val="000000" w:themeColor="text1"/>
          <w:sz w:val="18"/>
          <w:szCs w:val="18"/>
          <w:shd w:val="clear" w:color="auto" w:fill="FFFFFF"/>
        </w:rPr>
        <w:t>í, puede afirmarse que el término de diez años previsto en el artículo 723 del Código Civil para que un bien cambie su naturaleza privada a bien de uso público no es contrario a la garantía del derecho de propiedad consagrada en el artículo 58 de la Consti</w:t>
      </w:r>
      <w:r w:rsidRPr="003548DF">
        <w:rPr>
          <w:rFonts w:ascii="Times New Roman" w:hAnsi="Times New Roman"/>
          <w:color w:val="000000" w:themeColor="text1"/>
          <w:sz w:val="18"/>
          <w:szCs w:val="18"/>
          <w:shd w:val="clear" w:color="auto" w:fill="FFFFFF"/>
        </w:rPr>
        <w:t>tución, porque ha de aceptarse que el Estado puede regular el derecho de dominio, indicando de manera razonable los modos de adquirirla así como los de su extinción, pudiendo establecer la pérdida de la propiedad a consecuencia de un hecho de la naturaleza</w:t>
      </w:r>
      <w:r w:rsidRPr="003548DF">
        <w:rPr>
          <w:rFonts w:ascii="Times New Roman" w:hAnsi="Times New Roman"/>
          <w:color w:val="000000" w:themeColor="text1"/>
          <w:sz w:val="18"/>
          <w:szCs w:val="18"/>
          <w:shd w:val="clear" w:color="auto" w:fill="FFFFFF"/>
        </w:rPr>
        <w:t>, como lo es en este caso la inundación”.</w:t>
      </w:r>
    </w:p>
  </w:footnote>
  <w:footnote w:id="155">
    <w:p w:rsidR="00F32ED8" w:rsidRPr="003548DF" w:rsidRDefault="00DE7CC4" w:rsidP="00F32ED8">
      <w:pPr>
        <w:pStyle w:val="Textonotapie"/>
        <w:ind w:right="49"/>
        <w:jc w:val="both"/>
        <w:rPr>
          <w:rFonts w:ascii="Times New Roman" w:hAnsi="Times New Roman"/>
          <w:color w:val="000000" w:themeColor="text1"/>
          <w:sz w:val="18"/>
          <w:szCs w:val="18"/>
        </w:rPr>
      </w:pPr>
      <w:r w:rsidRPr="003548DF">
        <w:rPr>
          <w:rStyle w:val="Refdenotaalpie"/>
          <w:rFonts w:ascii="Times New Roman" w:hAnsi="Times New Roman"/>
          <w:color w:val="000000" w:themeColor="text1"/>
          <w:sz w:val="18"/>
          <w:szCs w:val="18"/>
        </w:rPr>
        <w:footnoteRef/>
      </w:r>
      <w:r w:rsidRPr="003548DF">
        <w:rPr>
          <w:rFonts w:ascii="Times New Roman" w:hAnsi="Times New Roman"/>
          <w:color w:val="000000" w:themeColor="text1"/>
          <w:sz w:val="18"/>
          <w:szCs w:val="18"/>
        </w:rPr>
        <w:t xml:space="preserve"> A esa dimensión se refirió la Sentencia C-006 de 1993 (M.P. Eduardo Cifuentes Muñoz) en la que la Corte indicó: “</w:t>
      </w:r>
      <w:r w:rsidRPr="003548DF">
        <w:rPr>
          <w:rFonts w:ascii="Times New Roman" w:hAnsi="Times New Roman"/>
          <w:color w:val="000000" w:themeColor="text1"/>
          <w:sz w:val="18"/>
          <w:szCs w:val="18"/>
          <w:shd w:val="clear" w:color="auto" w:fill="FFFFFF"/>
        </w:rPr>
        <w:t xml:space="preserve">La ley -generalmente a través de los diferentes Códigos-, en razón de sus competencias específicas </w:t>
      </w:r>
      <w:r w:rsidRPr="003548DF">
        <w:rPr>
          <w:rFonts w:ascii="Times New Roman" w:hAnsi="Times New Roman"/>
          <w:color w:val="000000" w:themeColor="text1"/>
          <w:sz w:val="18"/>
          <w:szCs w:val="18"/>
          <w:shd w:val="clear" w:color="auto" w:fill="FFFFFF"/>
        </w:rPr>
        <w:t>y generales, ordinariamente se ha ocupado del módulo privado de la propiedad, como que su único cometido no se ha circunscrito a determinar su contenido desde el punto de vista de su función social. En esta órbita el propósito de la regulación es el de fac</w:t>
      </w:r>
      <w:r w:rsidRPr="003548DF">
        <w:rPr>
          <w:rFonts w:ascii="Times New Roman" w:hAnsi="Times New Roman"/>
          <w:color w:val="000000" w:themeColor="text1"/>
          <w:sz w:val="18"/>
          <w:szCs w:val="18"/>
          <w:shd w:val="clear" w:color="auto" w:fill="FFFFFF"/>
        </w:rPr>
        <w:t>ilitar el ejercicio del derecho de propiedad privada y la consecución del máximo beneficio individual; de ahí su acento en la certeza jurídica, indispensable para el despliegue coordinado y simultáneo de las diferentes titularidades. En este orden de ideas</w:t>
      </w:r>
      <w:r w:rsidRPr="003548DF">
        <w:rPr>
          <w:rFonts w:ascii="Times New Roman" w:hAnsi="Times New Roman"/>
          <w:color w:val="000000" w:themeColor="text1"/>
          <w:sz w:val="18"/>
          <w:szCs w:val="18"/>
          <w:shd w:val="clear" w:color="auto" w:fill="FFFFFF"/>
        </w:rPr>
        <w:t>, la ley determina la forma y el modo de adquisición, prueba, ejercicio y extinción del derecho de propiedad y demás derechos patrimoniales. Si bien la ley a este respecto se pone al servicio de las necesidades de coordinación y seguridad jurídica, de mane</w:t>
      </w:r>
      <w:r w:rsidRPr="003548DF">
        <w:rPr>
          <w:rFonts w:ascii="Times New Roman" w:hAnsi="Times New Roman"/>
          <w:color w:val="000000" w:themeColor="text1"/>
          <w:sz w:val="18"/>
          <w:szCs w:val="18"/>
          <w:shd w:val="clear" w:color="auto" w:fill="FFFFFF"/>
        </w:rPr>
        <w:t>ra preponderante, no debe descartarse que algunas exigencias legales en punto de constitución y ejercicio de los derechos respondan igualmente a la connotación de función social que apareja la propiedad”. En una dirección semejante la sentencia T-585 de 20</w:t>
      </w:r>
      <w:r w:rsidRPr="003548DF">
        <w:rPr>
          <w:rFonts w:ascii="Times New Roman" w:hAnsi="Times New Roman"/>
          <w:color w:val="000000" w:themeColor="text1"/>
          <w:sz w:val="18"/>
          <w:szCs w:val="18"/>
          <w:shd w:val="clear" w:color="auto" w:fill="FFFFFF"/>
        </w:rPr>
        <w:t>19 se refirió a las dimensiones objeto de la regulación legislativa al indicar: “Las leyes podrán regular la propiedad privada desde dos grandes perspectivas. La primera consiste en normar los atributos de la propiedad, a saber</w:t>
      </w:r>
      <w:r w:rsidRPr="003548DF">
        <w:rPr>
          <w:rFonts w:ascii="Times New Roman" w:hAnsi="Times New Roman"/>
          <w:color w:val="000000" w:themeColor="text1"/>
          <w:sz w:val="18"/>
          <w:szCs w:val="18"/>
        </w:rPr>
        <w:t xml:space="preserve"> (…)</w:t>
      </w:r>
      <w:r w:rsidRPr="003548DF">
        <w:rPr>
          <w:rFonts w:ascii="Times New Roman" w:hAnsi="Times New Roman"/>
          <w:color w:val="000000" w:themeColor="text1"/>
          <w:sz w:val="18"/>
          <w:szCs w:val="18"/>
          <w:shd w:val="clear" w:color="auto" w:fill="FFFFFF"/>
        </w:rPr>
        <w:t>: a) la facultad que tien</w:t>
      </w:r>
      <w:r w:rsidRPr="003548DF">
        <w:rPr>
          <w:rFonts w:ascii="Times New Roman" w:hAnsi="Times New Roman"/>
          <w:color w:val="000000" w:themeColor="text1"/>
          <w:sz w:val="18"/>
          <w:szCs w:val="18"/>
          <w:shd w:val="clear" w:color="auto" w:fill="FFFFFF"/>
        </w:rPr>
        <w:t>e la persona de servirse de la cosa y de aprovecharse de los servicios que pueda rendir (</w:t>
      </w:r>
      <w:r w:rsidRPr="003548DF">
        <w:rPr>
          <w:rFonts w:ascii="Times New Roman" w:hAnsi="Times New Roman"/>
          <w:i/>
          <w:iCs/>
          <w:color w:val="000000" w:themeColor="text1"/>
          <w:sz w:val="18"/>
          <w:szCs w:val="18"/>
          <w:shd w:val="clear" w:color="auto" w:fill="FFFFFF"/>
        </w:rPr>
        <w:t>ius utendi</w:t>
      </w:r>
      <w:r w:rsidRPr="003548DF">
        <w:rPr>
          <w:rFonts w:ascii="Times New Roman" w:hAnsi="Times New Roman"/>
          <w:color w:val="000000" w:themeColor="text1"/>
          <w:sz w:val="18"/>
          <w:szCs w:val="18"/>
          <w:shd w:val="clear" w:color="auto" w:fill="FFFFFF"/>
        </w:rPr>
        <w:t>); b) la posibilidad que tiene el titular del derecho subjetivo de recoger todos los productos que acceden o se derivan de su explotación (</w:t>
      </w:r>
      <w:r w:rsidRPr="003548DF">
        <w:rPr>
          <w:rFonts w:ascii="Times New Roman" w:hAnsi="Times New Roman"/>
          <w:i/>
          <w:iCs/>
          <w:color w:val="000000" w:themeColor="text1"/>
          <w:sz w:val="18"/>
          <w:szCs w:val="18"/>
          <w:shd w:val="clear" w:color="auto" w:fill="FFFFFF"/>
        </w:rPr>
        <w:t xml:space="preserve">ius fruendi o </w:t>
      </w:r>
      <w:r w:rsidRPr="003548DF">
        <w:rPr>
          <w:rFonts w:ascii="Times New Roman" w:hAnsi="Times New Roman"/>
          <w:i/>
          <w:iCs/>
          <w:color w:val="000000" w:themeColor="text1"/>
          <w:sz w:val="18"/>
          <w:szCs w:val="18"/>
          <w:shd w:val="clear" w:color="auto" w:fill="FFFFFF"/>
        </w:rPr>
        <w:t>fructus</w:t>
      </w:r>
      <w:r w:rsidRPr="003548DF">
        <w:rPr>
          <w:rFonts w:ascii="Times New Roman" w:hAnsi="Times New Roman"/>
          <w:color w:val="000000" w:themeColor="text1"/>
          <w:sz w:val="18"/>
          <w:szCs w:val="18"/>
          <w:shd w:val="clear" w:color="auto" w:fill="FFFFFF"/>
        </w:rPr>
        <w:t>) y; c) el derecho de disposición, que consiste en el reconocimiento de todas aquellas facultades jurídicas que se pueden realizar  por el propietario, tales como la enajenación. La segunda perspectiva consiste en regular los momentos del derecho su</w:t>
      </w:r>
      <w:r w:rsidRPr="003548DF">
        <w:rPr>
          <w:rFonts w:ascii="Times New Roman" w:hAnsi="Times New Roman"/>
          <w:color w:val="000000" w:themeColor="text1"/>
          <w:sz w:val="18"/>
          <w:szCs w:val="18"/>
          <w:shd w:val="clear" w:color="auto" w:fill="FFFFFF"/>
        </w:rPr>
        <w:t>bjetivo, tales como la adquisición de la propiedad, el ejercicio de facultades sobre ésta y sus formas de limitación”.</w:t>
      </w:r>
    </w:p>
  </w:footnote>
  <w:footnote w:id="156">
    <w:p w:rsidR="00F32ED8" w:rsidRPr="003548DF" w:rsidRDefault="00DE7CC4" w:rsidP="00F32ED8">
      <w:pPr>
        <w:pStyle w:val="Textonotapie"/>
        <w:ind w:right="49"/>
        <w:jc w:val="both"/>
        <w:rPr>
          <w:rFonts w:ascii="Times New Roman" w:hAnsi="Times New Roman"/>
          <w:color w:val="000000" w:themeColor="text1"/>
          <w:sz w:val="18"/>
          <w:szCs w:val="18"/>
        </w:rPr>
      </w:pPr>
      <w:r w:rsidRPr="003548DF">
        <w:rPr>
          <w:rStyle w:val="Refdenotaalpie"/>
          <w:rFonts w:ascii="Times New Roman" w:hAnsi="Times New Roman"/>
          <w:color w:val="000000" w:themeColor="text1"/>
          <w:sz w:val="18"/>
          <w:szCs w:val="18"/>
        </w:rPr>
        <w:footnoteRef/>
      </w:r>
      <w:r w:rsidRPr="003548DF">
        <w:rPr>
          <w:rFonts w:ascii="Times New Roman" w:hAnsi="Times New Roman"/>
          <w:color w:val="000000" w:themeColor="text1"/>
          <w:sz w:val="18"/>
          <w:szCs w:val="18"/>
        </w:rPr>
        <w:t xml:space="preserve"> Sentencia C-035 de 2016. M.P. Gloria Stella Ortiz Delgado. Indicó la Corte: “</w:t>
      </w:r>
      <w:r w:rsidRPr="003548DF">
        <w:rPr>
          <w:rFonts w:ascii="Times New Roman" w:eastAsia="Arial Unicode MS" w:hAnsi="Times New Roman"/>
          <w:color w:val="000000" w:themeColor="text1"/>
          <w:sz w:val="18"/>
          <w:szCs w:val="18"/>
          <w:shd w:val="clear" w:color="auto" w:fill="FFFFFF"/>
        </w:rPr>
        <w:t>De esta manera, se advierte que el derecho de dominio se e</w:t>
      </w:r>
      <w:r w:rsidRPr="003548DF">
        <w:rPr>
          <w:rFonts w:ascii="Times New Roman" w:eastAsia="Arial Unicode MS" w:hAnsi="Times New Roman"/>
          <w:color w:val="000000" w:themeColor="text1"/>
          <w:sz w:val="18"/>
          <w:szCs w:val="18"/>
          <w:shd w:val="clear" w:color="auto" w:fill="FFFFFF"/>
        </w:rPr>
        <w:t>ncuentra garantizado en la Constitución Política en su artículo 58 como un derecho pleno, exclusivo, perpetuo, autónomo, irrevocable y de carácter real, que faculta a su titular a ejercer el uso y goce de la cosa, para efectos de obtener una utilidad econó</w:t>
      </w:r>
      <w:r w:rsidRPr="003548DF">
        <w:rPr>
          <w:rFonts w:ascii="Times New Roman" w:eastAsia="Arial Unicode MS" w:hAnsi="Times New Roman"/>
          <w:color w:val="000000" w:themeColor="text1"/>
          <w:sz w:val="18"/>
          <w:szCs w:val="18"/>
          <w:shd w:val="clear" w:color="auto" w:fill="FFFFFF"/>
        </w:rPr>
        <w:t>mica de la misma. No obstante, la Corte Constitucional ha reconocido en múltiples oportunidades que la protección del derecho de propiedad adquiere un carácter reforzado cuando se trata de restitución a víctimas del conflicto”.</w:t>
      </w:r>
    </w:p>
  </w:footnote>
  <w:footnote w:id="157">
    <w:p w:rsidR="00F32ED8" w:rsidRPr="003548DF" w:rsidRDefault="00DE7CC4" w:rsidP="00F32ED8">
      <w:pPr>
        <w:pStyle w:val="Textonotapie"/>
        <w:ind w:right="49"/>
        <w:jc w:val="both"/>
        <w:rPr>
          <w:rFonts w:ascii="Times New Roman" w:hAnsi="Times New Roman"/>
          <w:color w:val="000000" w:themeColor="text1"/>
          <w:sz w:val="18"/>
          <w:szCs w:val="18"/>
        </w:rPr>
      </w:pPr>
      <w:r w:rsidRPr="003548DF">
        <w:rPr>
          <w:rStyle w:val="Refdenotaalpie"/>
          <w:rFonts w:ascii="Times New Roman" w:hAnsi="Times New Roman"/>
          <w:color w:val="000000" w:themeColor="text1"/>
          <w:sz w:val="18"/>
          <w:szCs w:val="18"/>
        </w:rPr>
        <w:footnoteRef/>
      </w:r>
      <w:r w:rsidRPr="003548DF">
        <w:rPr>
          <w:rFonts w:ascii="Times New Roman" w:hAnsi="Times New Roman"/>
          <w:color w:val="000000" w:themeColor="text1"/>
          <w:sz w:val="18"/>
          <w:szCs w:val="18"/>
        </w:rPr>
        <w:t xml:space="preserve"> Sentencia C-006 de 1993. M</w:t>
      </w:r>
      <w:r w:rsidRPr="003548DF">
        <w:rPr>
          <w:rFonts w:ascii="Times New Roman" w:hAnsi="Times New Roman"/>
          <w:color w:val="000000" w:themeColor="text1"/>
          <w:sz w:val="18"/>
          <w:szCs w:val="18"/>
        </w:rPr>
        <w:t xml:space="preserve">.P. Eduardo Cifuentes Muñoz. </w:t>
      </w:r>
    </w:p>
  </w:footnote>
  <w:footnote w:id="158">
    <w:p w:rsidR="00F32ED8" w:rsidRPr="003548DF" w:rsidRDefault="00DE7CC4" w:rsidP="00F32ED8">
      <w:pPr>
        <w:pStyle w:val="Textonotapie"/>
        <w:ind w:right="49"/>
        <w:jc w:val="both"/>
        <w:rPr>
          <w:rFonts w:ascii="Times New Roman" w:hAnsi="Times New Roman"/>
          <w:i/>
          <w:iCs/>
          <w:color w:val="000000" w:themeColor="text1"/>
          <w:sz w:val="18"/>
          <w:szCs w:val="18"/>
        </w:rPr>
      </w:pPr>
      <w:r w:rsidRPr="003548DF">
        <w:rPr>
          <w:rStyle w:val="Refdenotaalpie"/>
          <w:rFonts w:ascii="Times New Roman" w:hAnsi="Times New Roman"/>
          <w:color w:val="000000" w:themeColor="text1"/>
          <w:sz w:val="18"/>
          <w:szCs w:val="18"/>
        </w:rPr>
        <w:footnoteRef/>
      </w:r>
      <w:r w:rsidRPr="003548DF">
        <w:rPr>
          <w:rFonts w:ascii="Times New Roman" w:hAnsi="Times New Roman"/>
          <w:color w:val="000000" w:themeColor="text1"/>
          <w:sz w:val="18"/>
          <w:szCs w:val="18"/>
        </w:rPr>
        <w:t xml:space="preserve"> </w:t>
      </w:r>
      <w:r w:rsidRPr="003548DF">
        <w:rPr>
          <w:rFonts w:ascii="Times New Roman" w:hAnsi="Times New Roman"/>
          <w:i/>
          <w:iCs/>
          <w:color w:val="000000" w:themeColor="text1"/>
          <w:sz w:val="18"/>
          <w:szCs w:val="18"/>
        </w:rPr>
        <w:t>Ibidem.</w:t>
      </w:r>
    </w:p>
  </w:footnote>
  <w:footnote w:id="159">
    <w:p w:rsidR="00F32ED8" w:rsidRPr="003548DF" w:rsidRDefault="00DE7CC4" w:rsidP="00F32ED8">
      <w:pPr>
        <w:pStyle w:val="Textonotapie"/>
        <w:ind w:right="49"/>
        <w:jc w:val="both"/>
        <w:rPr>
          <w:rFonts w:ascii="Times New Roman" w:hAnsi="Times New Roman"/>
          <w:color w:val="000000" w:themeColor="text1"/>
          <w:sz w:val="18"/>
          <w:szCs w:val="18"/>
        </w:rPr>
      </w:pPr>
      <w:r w:rsidRPr="003548DF">
        <w:rPr>
          <w:rStyle w:val="Refdenotaalpie"/>
          <w:rFonts w:ascii="Times New Roman" w:hAnsi="Times New Roman"/>
          <w:color w:val="000000" w:themeColor="text1"/>
          <w:sz w:val="18"/>
          <w:szCs w:val="18"/>
        </w:rPr>
        <w:footnoteRef/>
      </w:r>
      <w:r w:rsidRPr="003548DF">
        <w:rPr>
          <w:rFonts w:ascii="Times New Roman" w:hAnsi="Times New Roman"/>
          <w:color w:val="000000" w:themeColor="text1"/>
          <w:sz w:val="18"/>
          <w:szCs w:val="18"/>
        </w:rPr>
        <w:t xml:space="preserve"> </w:t>
      </w:r>
      <w:r w:rsidRPr="003548DF">
        <w:rPr>
          <w:rFonts w:ascii="Times New Roman" w:hAnsi="Times New Roman"/>
          <w:i/>
          <w:iCs/>
          <w:color w:val="000000" w:themeColor="text1"/>
          <w:sz w:val="18"/>
          <w:szCs w:val="18"/>
        </w:rPr>
        <w:t>Ibidem.</w:t>
      </w:r>
    </w:p>
  </w:footnote>
  <w:footnote w:id="160">
    <w:p w:rsidR="00F32ED8" w:rsidRPr="003548DF" w:rsidRDefault="00DE7CC4" w:rsidP="00F32ED8">
      <w:pPr>
        <w:pStyle w:val="Textonotapie"/>
        <w:ind w:right="49"/>
        <w:jc w:val="both"/>
        <w:rPr>
          <w:rFonts w:ascii="Times New Roman" w:hAnsi="Times New Roman"/>
          <w:color w:val="000000" w:themeColor="text1"/>
          <w:sz w:val="18"/>
          <w:szCs w:val="18"/>
        </w:rPr>
      </w:pPr>
      <w:r w:rsidRPr="003548DF">
        <w:rPr>
          <w:rStyle w:val="Refdenotaalpie"/>
          <w:rFonts w:ascii="Times New Roman" w:hAnsi="Times New Roman"/>
          <w:color w:val="000000" w:themeColor="text1"/>
          <w:sz w:val="18"/>
          <w:szCs w:val="18"/>
        </w:rPr>
        <w:footnoteRef/>
      </w:r>
      <w:r w:rsidRPr="003548DF">
        <w:rPr>
          <w:rFonts w:ascii="Times New Roman" w:hAnsi="Times New Roman"/>
          <w:color w:val="000000" w:themeColor="text1"/>
          <w:sz w:val="18"/>
          <w:szCs w:val="18"/>
        </w:rPr>
        <w:t xml:space="preserve"> </w:t>
      </w:r>
      <w:r w:rsidRPr="003548DF">
        <w:rPr>
          <w:rFonts w:ascii="Times New Roman" w:hAnsi="Times New Roman"/>
          <w:i/>
          <w:iCs/>
          <w:color w:val="000000" w:themeColor="text1"/>
          <w:sz w:val="18"/>
          <w:szCs w:val="18"/>
        </w:rPr>
        <w:t>Ibidem.</w:t>
      </w:r>
    </w:p>
  </w:footnote>
  <w:footnote w:id="161">
    <w:p w:rsidR="00F32ED8" w:rsidRPr="003548DF" w:rsidRDefault="00DE7CC4" w:rsidP="00F32ED8">
      <w:pPr>
        <w:pStyle w:val="Textonotapie"/>
        <w:ind w:right="49"/>
        <w:jc w:val="both"/>
        <w:rPr>
          <w:rFonts w:ascii="Times New Roman" w:hAnsi="Times New Roman"/>
          <w:color w:val="000000" w:themeColor="text1"/>
          <w:sz w:val="18"/>
          <w:szCs w:val="18"/>
        </w:rPr>
      </w:pPr>
      <w:r w:rsidRPr="003548DF">
        <w:rPr>
          <w:rStyle w:val="Refdenotaalpie"/>
          <w:rFonts w:ascii="Times New Roman" w:hAnsi="Times New Roman"/>
          <w:color w:val="000000" w:themeColor="text1"/>
          <w:sz w:val="18"/>
          <w:szCs w:val="18"/>
        </w:rPr>
        <w:footnoteRef/>
      </w:r>
      <w:r w:rsidRPr="003548DF">
        <w:rPr>
          <w:rFonts w:ascii="Times New Roman" w:hAnsi="Times New Roman"/>
          <w:color w:val="000000" w:themeColor="text1"/>
          <w:sz w:val="18"/>
          <w:szCs w:val="18"/>
        </w:rPr>
        <w:t xml:space="preserve"> Sentencia T-427 de 1998. M.P. Alejandro Martínez Caballero.</w:t>
      </w:r>
    </w:p>
  </w:footnote>
  <w:footnote w:id="162">
    <w:p w:rsidR="00F32ED8" w:rsidRPr="003548DF" w:rsidRDefault="00DE7CC4" w:rsidP="00F32ED8">
      <w:pPr>
        <w:pStyle w:val="Textonotapie"/>
        <w:ind w:right="49"/>
        <w:jc w:val="both"/>
        <w:rPr>
          <w:rFonts w:ascii="Times New Roman" w:hAnsi="Times New Roman"/>
          <w:color w:val="000000" w:themeColor="text1"/>
          <w:sz w:val="18"/>
          <w:szCs w:val="18"/>
        </w:rPr>
      </w:pPr>
      <w:r w:rsidRPr="003548DF">
        <w:rPr>
          <w:rStyle w:val="Refdenotaalpie"/>
          <w:rFonts w:ascii="Times New Roman" w:hAnsi="Times New Roman"/>
          <w:color w:val="000000" w:themeColor="text1"/>
          <w:sz w:val="18"/>
          <w:szCs w:val="18"/>
        </w:rPr>
        <w:footnoteRef/>
      </w:r>
      <w:r w:rsidRPr="003548DF">
        <w:rPr>
          <w:rFonts w:ascii="Times New Roman" w:hAnsi="Times New Roman"/>
          <w:color w:val="000000" w:themeColor="text1"/>
          <w:sz w:val="18"/>
          <w:szCs w:val="18"/>
        </w:rPr>
        <w:t xml:space="preserve"> La sentencia T-585 de 2019 (M.P. Alberto Rojas Ríos) señaló: </w:t>
      </w:r>
      <w:r w:rsidRPr="003548DF">
        <w:rPr>
          <w:rFonts w:ascii="Times New Roman" w:hAnsi="Times New Roman"/>
          <w:color w:val="000000" w:themeColor="text1"/>
          <w:sz w:val="18"/>
          <w:szCs w:val="18"/>
          <w:shd w:val="clear" w:color="auto" w:fill="FFFFFF"/>
        </w:rPr>
        <w:t>“Esto implica que el legislador no puede definirlo todo y limitar a lib</w:t>
      </w:r>
      <w:r w:rsidRPr="003548DF">
        <w:rPr>
          <w:rFonts w:ascii="Times New Roman" w:hAnsi="Times New Roman"/>
          <w:color w:val="000000" w:themeColor="text1"/>
          <w:sz w:val="18"/>
          <w:szCs w:val="18"/>
          <w:shd w:val="clear" w:color="auto" w:fill="FFFFFF"/>
        </w:rPr>
        <w:t>re arbitrio las facultades que abarca el derecho subjetivo. En ese sentido, la jurisprudencia constitucional sostiene que el ejercicio del derecho a la propiedad privada no puede ser objeto de restricciones irrazonables o desproporcionadas, que impliquen e</w:t>
      </w:r>
      <w:r w:rsidRPr="003548DF">
        <w:rPr>
          <w:rFonts w:ascii="Times New Roman" w:hAnsi="Times New Roman"/>
          <w:color w:val="000000" w:themeColor="text1"/>
          <w:sz w:val="18"/>
          <w:szCs w:val="18"/>
          <w:shd w:val="clear" w:color="auto" w:fill="FFFFFF"/>
        </w:rPr>
        <w:t>l desconocimiento del interés legítimo que le asiste al propietario de contar con las condiciones mínimas de goce y disposición, así como de obtener una utilidad económica sobre sus bienes”.</w:t>
      </w:r>
    </w:p>
  </w:footnote>
  <w:footnote w:id="163">
    <w:p w:rsidR="00F32ED8" w:rsidRPr="003548DF" w:rsidRDefault="00DE7CC4" w:rsidP="00F32ED8">
      <w:pPr>
        <w:pStyle w:val="Textonotapie"/>
        <w:ind w:right="49"/>
        <w:jc w:val="both"/>
        <w:rPr>
          <w:rFonts w:ascii="Times New Roman" w:hAnsi="Times New Roman"/>
          <w:color w:val="000000" w:themeColor="text1"/>
          <w:sz w:val="18"/>
          <w:szCs w:val="18"/>
        </w:rPr>
      </w:pPr>
      <w:r w:rsidRPr="003548DF">
        <w:rPr>
          <w:rStyle w:val="Refdenotaalpie"/>
          <w:rFonts w:ascii="Times New Roman" w:hAnsi="Times New Roman"/>
          <w:color w:val="000000" w:themeColor="text1"/>
          <w:sz w:val="18"/>
          <w:szCs w:val="18"/>
        </w:rPr>
        <w:footnoteRef/>
      </w:r>
      <w:r w:rsidRPr="003548DF">
        <w:rPr>
          <w:rFonts w:ascii="Times New Roman" w:hAnsi="Times New Roman"/>
          <w:color w:val="000000" w:themeColor="text1"/>
          <w:sz w:val="18"/>
          <w:szCs w:val="18"/>
        </w:rPr>
        <w:t xml:space="preserve"> En la Sentencia C-364 de 2012 (M.P. Luis Ernesto Vargas Silva) </w:t>
      </w:r>
      <w:r w:rsidRPr="003548DF">
        <w:rPr>
          <w:rFonts w:ascii="Times New Roman" w:hAnsi="Times New Roman"/>
          <w:color w:val="000000" w:themeColor="text1"/>
          <w:sz w:val="18"/>
          <w:szCs w:val="18"/>
        </w:rPr>
        <w:t>la Corte estableció, apoyándose además en la jurisprudencia interamericana “</w:t>
      </w:r>
      <w:r w:rsidRPr="003548DF">
        <w:rPr>
          <w:rFonts w:ascii="Times New Roman" w:hAnsi="Times New Roman"/>
          <w:color w:val="000000" w:themeColor="text1"/>
          <w:sz w:val="18"/>
          <w:szCs w:val="18"/>
          <w:shd w:val="clear" w:color="auto" w:fill="FFFFFF"/>
        </w:rPr>
        <w:t>que la garantía constitucional e interamericana al derecho a la propiedad está sujeta a limitaciones que deben ser determinadas por el legislador, pueden provenir de criterios rela</w:t>
      </w:r>
      <w:r w:rsidRPr="003548DF">
        <w:rPr>
          <w:rFonts w:ascii="Times New Roman" w:hAnsi="Times New Roman"/>
          <w:color w:val="000000" w:themeColor="text1"/>
          <w:sz w:val="18"/>
          <w:szCs w:val="18"/>
          <w:shd w:val="clear" w:color="auto" w:fill="FFFFFF"/>
        </w:rPr>
        <w:t>cionados con el interés social, la utilidad pública o la función social o ecológica que cumpla”.</w:t>
      </w:r>
    </w:p>
  </w:footnote>
  <w:footnote w:id="164">
    <w:p w:rsidR="00F32ED8" w:rsidRPr="003548DF" w:rsidRDefault="00DE7CC4" w:rsidP="00F32ED8">
      <w:pPr>
        <w:pStyle w:val="Textonotapie"/>
        <w:ind w:right="49"/>
        <w:jc w:val="both"/>
        <w:rPr>
          <w:rFonts w:ascii="Times New Roman" w:hAnsi="Times New Roman"/>
          <w:color w:val="000000" w:themeColor="text1"/>
          <w:sz w:val="18"/>
          <w:szCs w:val="18"/>
        </w:rPr>
      </w:pPr>
      <w:r w:rsidRPr="003548DF">
        <w:rPr>
          <w:rStyle w:val="Refdenotaalpie"/>
          <w:rFonts w:ascii="Times New Roman" w:hAnsi="Times New Roman"/>
          <w:color w:val="000000" w:themeColor="text1"/>
          <w:sz w:val="18"/>
          <w:szCs w:val="18"/>
        </w:rPr>
        <w:footnoteRef/>
      </w:r>
      <w:r w:rsidRPr="003548DF">
        <w:rPr>
          <w:rFonts w:ascii="Times New Roman" w:hAnsi="Times New Roman"/>
          <w:color w:val="000000" w:themeColor="text1"/>
          <w:sz w:val="18"/>
          <w:szCs w:val="18"/>
        </w:rPr>
        <w:t xml:space="preserve"> Sentencia T-585 de 2019. M.P. Alberto Rojas Ríos.</w:t>
      </w:r>
    </w:p>
  </w:footnote>
  <w:footnote w:id="165">
    <w:p w:rsidR="00F32ED8" w:rsidRPr="003548DF" w:rsidRDefault="00DE7CC4" w:rsidP="00F32ED8">
      <w:pPr>
        <w:pStyle w:val="Textonotapie"/>
        <w:ind w:right="49"/>
        <w:jc w:val="both"/>
        <w:rPr>
          <w:rFonts w:ascii="Times New Roman" w:hAnsi="Times New Roman"/>
          <w:color w:val="000000" w:themeColor="text1"/>
          <w:sz w:val="18"/>
          <w:szCs w:val="18"/>
        </w:rPr>
      </w:pPr>
      <w:r w:rsidRPr="003548DF">
        <w:rPr>
          <w:rStyle w:val="Refdenotaalpie"/>
          <w:rFonts w:ascii="Times New Roman" w:hAnsi="Times New Roman"/>
          <w:color w:val="000000" w:themeColor="text1"/>
          <w:sz w:val="18"/>
          <w:szCs w:val="18"/>
        </w:rPr>
        <w:footnoteRef/>
      </w:r>
      <w:r w:rsidRPr="003548DF">
        <w:rPr>
          <w:rFonts w:ascii="Times New Roman" w:hAnsi="Times New Roman"/>
          <w:color w:val="000000" w:themeColor="text1"/>
          <w:sz w:val="18"/>
          <w:szCs w:val="18"/>
        </w:rPr>
        <w:t xml:space="preserve"> La Sentencia C-750 de 2015 (M.P. Alberto Rojas Ríos) indicó sobre el particular: “</w:t>
      </w:r>
      <w:r w:rsidRPr="003548DF">
        <w:rPr>
          <w:rFonts w:ascii="Times New Roman" w:hAnsi="Times New Roman"/>
          <w:color w:val="000000" w:themeColor="text1"/>
          <w:sz w:val="18"/>
          <w:szCs w:val="18"/>
          <w:shd w:val="clear" w:color="auto" w:fill="FFFFFF"/>
        </w:rPr>
        <w:t xml:space="preserve">Por el contrario, esa </w:t>
      </w:r>
      <w:r w:rsidRPr="003548DF">
        <w:rPr>
          <w:rFonts w:ascii="Times New Roman" w:hAnsi="Times New Roman"/>
          <w:color w:val="000000" w:themeColor="text1"/>
          <w:sz w:val="18"/>
          <w:szCs w:val="18"/>
          <w:shd w:val="clear" w:color="auto" w:fill="FFFFFF"/>
        </w:rPr>
        <w:t xml:space="preserve">consecuencia negativa no ocurrirá en los casos de la enajenación voluntaria o de la expropiación, evento en que en aras del interés social o la utilidad pública un ciudadano pierde su derecho de dominio sobre un bien, carga legítimamente soportable por el </w:t>
      </w:r>
      <w:r w:rsidRPr="003548DF">
        <w:rPr>
          <w:rFonts w:ascii="Times New Roman" w:hAnsi="Times New Roman"/>
          <w:color w:val="000000" w:themeColor="text1"/>
          <w:sz w:val="18"/>
          <w:szCs w:val="18"/>
          <w:shd w:val="clear" w:color="auto" w:fill="FFFFFF"/>
        </w:rPr>
        <w:t xml:space="preserve">afectado, puesto que es un daño jurídico para el privado. Ello no es un obstáculo para que el particular discuta la actuación de las autoridades ante los estrados judiciales, esa posibilidad es una garantía lógica del derecho al acceso a la administración </w:t>
      </w:r>
      <w:r w:rsidRPr="003548DF">
        <w:rPr>
          <w:rFonts w:ascii="Times New Roman" w:hAnsi="Times New Roman"/>
          <w:color w:val="000000" w:themeColor="text1"/>
          <w:sz w:val="18"/>
          <w:szCs w:val="18"/>
          <w:shd w:val="clear" w:color="auto" w:fill="FFFFFF"/>
        </w:rPr>
        <w:t>de justicia</w:t>
      </w:r>
      <w:r w:rsidRPr="003548DF">
        <w:rPr>
          <w:rFonts w:ascii="Times New Roman" w:hAnsi="Times New Roman"/>
          <w:color w:val="000000" w:themeColor="text1"/>
          <w:sz w:val="18"/>
          <w:szCs w:val="18"/>
        </w:rPr>
        <w:t xml:space="preserve"> (…)</w:t>
      </w:r>
      <w:r w:rsidRPr="003548DF">
        <w:rPr>
          <w:rFonts w:ascii="Times New Roman" w:hAnsi="Times New Roman"/>
          <w:color w:val="000000" w:themeColor="text1"/>
          <w:sz w:val="18"/>
          <w:szCs w:val="18"/>
          <w:shd w:val="clear" w:color="auto" w:fill="FFFFFF"/>
        </w:rPr>
        <w:t>. La responsabilidad del Estado no se producirá cuando las autoridades adelanten el proceso de adquisición de un inmueble bajo los estrictos lineamientos de la ley y la Constitución, sujeción que incluye el respeto de los derechos fundamenta</w:t>
      </w:r>
      <w:r w:rsidRPr="003548DF">
        <w:rPr>
          <w:rFonts w:ascii="Times New Roman" w:hAnsi="Times New Roman"/>
          <w:color w:val="000000" w:themeColor="text1"/>
          <w:sz w:val="18"/>
          <w:szCs w:val="18"/>
          <w:shd w:val="clear" w:color="auto" w:fill="FFFFFF"/>
        </w:rPr>
        <w:t>les”.</w:t>
      </w:r>
    </w:p>
  </w:footnote>
  <w:footnote w:id="166">
    <w:p w:rsidR="00F32ED8" w:rsidRPr="003548DF" w:rsidRDefault="00DE7CC4" w:rsidP="00F32ED8">
      <w:pPr>
        <w:pStyle w:val="Textonotapie"/>
        <w:ind w:right="49"/>
        <w:jc w:val="both"/>
        <w:rPr>
          <w:rFonts w:ascii="Times New Roman" w:hAnsi="Times New Roman"/>
          <w:color w:val="000000" w:themeColor="text1"/>
          <w:sz w:val="18"/>
          <w:szCs w:val="18"/>
        </w:rPr>
      </w:pPr>
      <w:r w:rsidRPr="003548DF">
        <w:rPr>
          <w:rStyle w:val="Refdenotaalpie"/>
          <w:rFonts w:ascii="Times New Roman" w:hAnsi="Times New Roman"/>
          <w:color w:val="000000" w:themeColor="text1"/>
          <w:sz w:val="18"/>
          <w:szCs w:val="18"/>
        </w:rPr>
        <w:footnoteRef/>
      </w:r>
      <w:r w:rsidRPr="003548DF">
        <w:rPr>
          <w:rFonts w:ascii="Times New Roman" w:hAnsi="Times New Roman"/>
          <w:color w:val="000000" w:themeColor="text1"/>
          <w:sz w:val="18"/>
          <w:szCs w:val="18"/>
        </w:rPr>
        <w:t xml:space="preserve"> </w:t>
      </w:r>
      <w:r w:rsidRPr="003548DF">
        <w:rPr>
          <w:rFonts w:ascii="Times New Roman" w:hAnsi="Times New Roman"/>
          <w:i/>
          <w:color w:val="000000" w:themeColor="text1"/>
          <w:sz w:val="18"/>
          <w:szCs w:val="18"/>
        </w:rPr>
        <w:t>Ibidem</w:t>
      </w:r>
      <w:r w:rsidRPr="003548DF">
        <w:rPr>
          <w:rFonts w:ascii="Times New Roman" w:hAnsi="Times New Roman"/>
          <w:color w:val="000000" w:themeColor="text1"/>
          <w:sz w:val="18"/>
          <w:szCs w:val="18"/>
        </w:rPr>
        <w:t>: “E</w:t>
      </w:r>
      <w:r w:rsidRPr="003548DF">
        <w:rPr>
          <w:rFonts w:ascii="Times New Roman" w:hAnsi="Times New Roman"/>
          <w:color w:val="000000" w:themeColor="text1"/>
          <w:sz w:val="18"/>
          <w:szCs w:val="18"/>
          <w:shd w:val="clear" w:color="auto" w:fill="FFFFFF"/>
        </w:rPr>
        <w:t>n las hipótesis en que la administración desconoce la prohibición de ocupar bienes por vías de hecho incurre en un daño antijurídico, en la medida en que impone al particular una carga que no está obligada a soportar. Esa situación causar</w:t>
      </w:r>
      <w:r w:rsidRPr="003548DF">
        <w:rPr>
          <w:rFonts w:ascii="Times New Roman" w:hAnsi="Times New Roman"/>
          <w:color w:val="000000" w:themeColor="text1"/>
          <w:sz w:val="18"/>
          <w:szCs w:val="18"/>
          <w:shd w:val="clear" w:color="auto" w:fill="FFFFFF"/>
        </w:rPr>
        <w:t>á la responsabilidad del Estado como resultado de la afectación al derecho de la propiedad, daño que podrá ser subsanado con el pago de una indemnización plena a favor del titular del derecho de propiedad privada a través del medio de control de reparación</w:t>
      </w:r>
      <w:r w:rsidRPr="003548DF">
        <w:rPr>
          <w:rFonts w:ascii="Times New Roman" w:hAnsi="Times New Roman"/>
          <w:color w:val="000000" w:themeColor="text1"/>
          <w:sz w:val="18"/>
          <w:szCs w:val="18"/>
          <w:shd w:val="clear" w:color="auto" w:fill="FFFFFF"/>
        </w:rPr>
        <w:t xml:space="preserve"> directa”.</w:t>
      </w:r>
    </w:p>
  </w:footnote>
  <w:footnote w:id="167">
    <w:p w:rsidR="00F32ED8" w:rsidRPr="003548DF" w:rsidRDefault="00DE7CC4" w:rsidP="00F32ED8">
      <w:pPr>
        <w:pStyle w:val="Textonotapie"/>
        <w:ind w:right="49"/>
        <w:jc w:val="both"/>
        <w:rPr>
          <w:rFonts w:ascii="Times New Roman" w:hAnsi="Times New Roman"/>
          <w:color w:val="000000" w:themeColor="text1"/>
          <w:sz w:val="18"/>
          <w:szCs w:val="18"/>
        </w:rPr>
      </w:pPr>
      <w:r w:rsidRPr="003548DF">
        <w:rPr>
          <w:rStyle w:val="Refdenotaalpie"/>
          <w:rFonts w:ascii="Times New Roman" w:hAnsi="Times New Roman"/>
          <w:color w:val="000000" w:themeColor="text1"/>
          <w:sz w:val="18"/>
          <w:szCs w:val="18"/>
        </w:rPr>
        <w:footnoteRef/>
      </w:r>
      <w:r w:rsidRPr="003548DF">
        <w:rPr>
          <w:rFonts w:ascii="Times New Roman" w:hAnsi="Times New Roman"/>
          <w:color w:val="000000" w:themeColor="text1"/>
          <w:sz w:val="18"/>
          <w:szCs w:val="18"/>
        </w:rPr>
        <w:t xml:space="preserve"> Al respecto ver, entre otras, las sentencias C-093 de 2001. M.P. Alejandro Martínez Caballero; C-673 de 2001. M.P. Manuel José Cepeda Espinosa. AV. Jaime Araújo Rentería. AV. Álvaro Tafur Galvis; C-720 de 2007. M.P. (e) Catalina Botero Marino.</w:t>
      </w:r>
      <w:r w:rsidRPr="003548DF">
        <w:rPr>
          <w:rFonts w:ascii="Times New Roman" w:hAnsi="Times New Roman"/>
          <w:color w:val="000000" w:themeColor="text1"/>
          <w:sz w:val="18"/>
          <w:szCs w:val="18"/>
        </w:rPr>
        <w:t xml:space="preserve"> AV. Catalina Botero Marino; C-115 de 2017. M.P. Alejandro Linares Cantillo. SV. Alberto Rojas Ríos. AV. Alejandro Linares Cantillo; C-234 de 2019. M.P. Diana Fajardo Rivera; y C-345 de 2019. M.P. Gloria Ortiz Delgado. SPV. Antonio José Lizarazo. AV. Aleja</w:t>
      </w:r>
      <w:r w:rsidRPr="003548DF">
        <w:rPr>
          <w:rFonts w:ascii="Times New Roman" w:hAnsi="Times New Roman"/>
          <w:color w:val="000000" w:themeColor="text1"/>
          <w:sz w:val="18"/>
          <w:szCs w:val="18"/>
        </w:rPr>
        <w:t>ndro Linares Cantillo.</w:t>
      </w:r>
    </w:p>
  </w:footnote>
  <w:footnote w:id="168">
    <w:p w:rsidR="00F32ED8" w:rsidRPr="003548DF" w:rsidRDefault="00DE7CC4" w:rsidP="00F32ED8">
      <w:pPr>
        <w:pStyle w:val="Textonotapie"/>
        <w:ind w:right="49"/>
        <w:jc w:val="both"/>
        <w:rPr>
          <w:rFonts w:ascii="Times New Roman" w:hAnsi="Times New Roman"/>
          <w:color w:val="000000" w:themeColor="text1"/>
          <w:sz w:val="18"/>
          <w:szCs w:val="18"/>
        </w:rPr>
      </w:pPr>
      <w:r w:rsidRPr="003548DF">
        <w:rPr>
          <w:rStyle w:val="Refdenotaalpie"/>
          <w:rFonts w:ascii="Times New Roman" w:hAnsi="Times New Roman"/>
          <w:color w:val="000000" w:themeColor="text1"/>
          <w:sz w:val="18"/>
          <w:szCs w:val="18"/>
        </w:rPr>
        <w:footnoteRef/>
      </w:r>
      <w:r w:rsidRPr="003548DF">
        <w:rPr>
          <w:rFonts w:ascii="Times New Roman" w:hAnsi="Times New Roman"/>
          <w:color w:val="000000" w:themeColor="text1"/>
          <w:sz w:val="18"/>
          <w:szCs w:val="18"/>
        </w:rPr>
        <w:t xml:space="preserve"> De su estructura hacen parte tres subprincipios: idoneidad, necesidad y proporcionalidad en sentido estricto.</w:t>
      </w:r>
    </w:p>
  </w:footnote>
  <w:footnote w:id="169">
    <w:p w:rsidR="00F32ED8" w:rsidRPr="003548DF" w:rsidRDefault="00DE7CC4" w:rsidP="00F32ED8">
      <w:pPr>
        <w:pStyle w:val="Textonotapie"/>
        <w:ind w:right="49"/>
        <w:jc w:val="both"/>
        <w:rPr>
          <w:rFonts w:ascii="Times New Roman" w:hAnsi="Times New Roman"/>
          <w:color w:val="000000" w:themeColor="text1"/>
          <w:sz w:val="18"/>
          <w:szCs w:val="18"/>
        </w:rPr>
      </w:pPr>
      <w:r w:rsidRPr="003548DF">
        <w:rPr>
          <w:rStyle w:val="Refdenotaalpie"/>
          <w:rFonts w:ascii="Times New Roman" w:hAnsi="Times New Roman"/>
          <w:color w:val="000000" w:themeColor="text1"/>
          <w:sz w:val="18"/>
          <w:szCs w:val="18"/>
        </w:rPr>
        <w:footnoteRef/>
      </w:r>
      <w:r w:rsidRPr="003548DF">
        <w:rPr>
          <w:rFonts w:ascii="Times New Roman" w:hAnsi="Times New Roman"/>
          <w:color w:val="000000" w:themeColor="text1"/>
          <w:sz w:val="18"/>
          <w:szCs w:val="18"/>
        </w:rPr>
        <w:t xml:space="preserve"> En el que se indaga, en términos generales, por tres aspectos: el fin de la medida, el medio que se emplea y la relació</w:t>
      </w:r>
      <w:r w:rsidRPr="003548DF">
        <w:rPr>
          <w:rFonts w:ascii="Times New Roman" w:hAnsi="Times New Roman"/>
          <w:color w:val="000000" w:themeColor="text1"/>
          <w:sz w:val="18"/>
          <w:szCs w:val="18"/>
        </w:rPr>
        <w:t xml:space="preserve">n medio-fin. Bajo esta metodología, además, se precisan intensidades de valoración dirigidas a establecer un estándar de aquello que debe justificarse en cada uno de los aspectos mencionados. </w:t>
      </w:r>
    </w:p>
  </w:footnote>
  <w:footnote w:id="170">
    <w:p w:rsidR="00F32ED8" w:rsidRPr="003548DF" w:rsidRDefault="00DE7CC4" w:rsidP="00F32ED8">
      <w:pPr>
        <w:pStyle w:val="Textonotapie"/>
        <w:jc w:val="both"/>
        <w:rPr>
          <w:rFonts w:ascii="Times New Roman" w:hAnsi="Times New Roman"/>
          <w:color w:val="000000" w:themeColor="text1"/>
          <w:sz w:val="18"/>
          <w:szCs w:val="18"/>
          <w:lang w:val="es-ES_tradnl"/>
        </w:rPr>
      </w:pPr>
      <w:r w:rsidRPr="003548DF">
        <w:rPr>
          <w:rStyle w:val="Refdenotaalpie"/>
          <w:rFonts w:ascii="Times New Roman" w:hAnsi="Times New Roman"/>
          <w:color w:val="000000" w:themeColor="text1"/>
          <w:sz w:val="18"/>
          <w:szCs w:val="18"/>
        </w:rPr>
        <w:footnoteRef/>
      </w:r>
      <w:r w:rsidRPr="003548DF">
        <w:rPr>
          <w:rFonts w:ascii="Times New Roman" w:hAnsi="Times New Roman"/>
          <w:color w:val="000000" w:themeColor="text1"/>
          <w:sz w:val="18"/>
          <w:szCs w:val="18"/>
        </w:rPr>
        <w:t xml:space="preserve"> </w:t>
      </w:r>
      <w:r w:rsidRPr="003548DF">
        <w:rPr>
          <w:rFonts w:ascii="Times New Roman" w:hAnsi="Times New Roman"/>
          <w:color w:val="000000" w:themeColor="text1"/>
          <w:sz w:val="18"/>
          <w:szCs w:val="18"/>
          <w:lang w:val="es-ES_tradnl"/>
        </w:rPr>
        <w:t>Al amparo de esta intensidad, debe valorarse si la medida obe</w:t>
      </w:r>
      <w:r w:rsidRPr="003548DF">
        <w:rPr>
          <w:rFonts w:ascii="Times New Roman" w:hAnsi="Times New Roman"/>
          <w:color w:val="000000" w:themeColor="text1"/>
          <w:sz w:val="18"/>
          <w:szCs w:val="18"/>
          <w:lang w:val="es-ES_tradnl"/>
        </w:rPr>
        <w:t xml:space="preserve">dece a una finalidad legítima -no prohibida por la Constitución- y si el medio escogido para conseguirla no está prohibido constitucionalmente y, </w:t>
      </w:r>
      <w:r w:rsidRPr="003548DF">
        <w:rPr>
          <w:rFonts w:ascii="Times New Roman" w:hAnsi="Times New Roman"/>
          <w:i/>
          <w:iCs/>
          <w:color w:val="000000" w:themeColor="text1"/>
          <w:sz w:val="18"/>
          <w:szCs w:val="18"/>
          <w:lang w:val="es-ES_tradnl"/>
        </w:rPr>
        <w:t>prima facie</w:t>
      </w:r>
      <w:r w:rsidRPr="003548DF">
        <w:rPr>
          <w:rFonts w:ascii="Times New Roman" w:hAnsi="Times New Roman"/>
          <w:color w:val="000000" w:themeColor="text1"/>
          <w:sz w:val="18"/>
          <w:szCs w:val="18"/>
          <w:lang w:val="es-ES_tradnl"/>
        </w:rPr>
        <w:t>, es idóneo o adecuado para alcanzar la finalidad.</w:t>
      </w:r>
    </w:p>
  </w:footnote>
  <w:footnote w:id="171">
    <w:p w:rsidR="00F32ED8" w:rsidRPr="003548DF" w:rsidRDefault="00DE7CC4" w:rsidP="00F32ED8">
      <w:pPr>
        <w:pStyle w:val="Textonotapie"/>
        <w:jc w:val="both"/>
        <w:rPr>
          <w:rFonts w:ascii="Times New Roman" w:hAnsi="Times New Roman"/>
          <w:color w:val="000000" w:themeColor="text1"/>
          <w:sz w:val="18"/>
          <w:szCs w:val="18"/>
        </w:rPr>
      </w:pPr>
      <w:r w:rsidRPr="003548DF">
        <w:rPr>
          <w:rStyle w:val="Refdenotaalpie"/>
          <w:rFonts w:ascii="Times New Roman" w:hAnsi="Times New Roman"/>
          <w:color w:val="000000" w:themeColor="text1"/>
          <w:sz w:val="18"/>
          <w:szCs w:val="18"/>
        </w:rPr>
        <w:footnoteRef/>
      </w:r>
      <w:r w:rsidRPr="003548DF">
        <w:rPr>
          <w:rFonts w:ascii="Times New Roman" w:hAnsi="Times New Roman"/>
          <w:color w:val="000000" w:themeColor="text1"/>
          <w:sz w:val="18"/>
          <w:szCs w:val="18"/>
        </w:rPr>
        <w:t xml:space="preserve"> La Sentencia C-885 de 2010 (M.P. María Victori</w:t>
      </w:r>
      <w:r w:rsidRPr="003548DF">
        <w:rPr>
          <w:rFonts w:ascii="Times New Roman" w:hAnsi="Times New Roman"/>
          <w:color w:val="000000" w:themeColor="text1"/>
          <w:sz w:val="18"/>
          <w:szCs w:val="18"/>
        </w:rPr>
        <w:t xml:space="preserve">a Calle Correa) indicó que, por el derecho a la locomoción previsto en el artículo 24 superior se ha entendido la “posibilidad de transitar o desplazarse de un lugar a otro dentro del territorio del propio país, especialmente si se trata de las vías y los </w:t>
      </w:r>
      <w:r w:rsidRPr="003548DF">
        <w:rPr>
          <w:rFonts w:ascii="Times New Roman" w:hAnsi="Times New Roman"/>
          <w:color w:val="000000" w:themeColor="text1"/>
          <w:sz w:val="18"/>
          <w:szCs w:val="18"/>
        </w:rPr>
        <w:t xml:space="preserve">espacios públicos”. Reiteró, para el efecto, lo indicado en las sentencias C-518 de 1992. M.P. Alejandro Martínez Caballero, y C-741 de 1999. M.P. Fabio Morón Díaz. </w:t>
      </w:r>
      <w:r w:rsidRPr="003548DF">
        <w:rPr>
          <w:rFonts w:ascii="Times New Roman" w:hAnsi="Times New Roman"/>
          <w:color w:val="000000" w:themeColor="text1"/>
          <w:sz w:val="18"/>
          <w:szCs w:val="18"/>
          <w:shd w:val="clear" w:color="auto" w:fill="FFFFFF"/>
        </w:rPr>
        <w:t>AV. Alfredo Beltrán Sierra, José Gregorio Hernández Galindo y Fabio Morón Díaz.</w:t>
      </w:r>
    </w:p>
  </w:footnote>
  <w:footnote w:id="172">
    <w:p w:rsidR="00F32ED8" w:rsidRPr="003548DF" w:rsidRDefault="00DE7CC4" w:rsidP="00F32ED8">
      <w:pPr>
        <w:pStyle w:val="Textonotapie"/>
        <w:rPr>
          <w:rFonts w:ascii="Times New Roman" w:hAnsi="Times New Roman"/>
          <w:color w:val="000000" w:themeColor="text1"/>
          <w:sz w:val="18"/>
          <w:szCs w:val="18"/>
          <w:lang w:val="es-ES_tradnl"/>
        </w:rPr>
      </w:pPr>
      <w:r w:rsidRPr="003548DF">
        <w:rPr>
          <w:rStyle w:val="Refdenotaalpie"/>
          <w:rFonts w:ascii="Times New Roman" w:hAnsi="Times New Roman"/>
          <w:color w:val="000000" w:themeColor="text1"/>
          <w:sz w:val="18"/>
          <w:szCs w:val="18"/>
        </w:rPr>
        <w:footnoteRef/>
      </w:r>
      <w:r w:rsidRPr="003548DF">
        <w:rPr>
          <w:rFonts w:ascii="Times New Roman" w:hAnsi="Times New Roman"/>
          <w:color w:val="000000" w:themeColor="text1"/>
          <w:sz w:val="18"/>
          <w:szCs w:val="18"/>
        </w:rPr>
        <w:t xml:space="preserve"> </w:t>
      </w:r>
      <w:r w:rsidRPr="003548DF">
        <w:rPr>
          <w:rFonts w:ascii="Times New Roman" w:hAnsi="Times New Roman"/>
          <w:color w:val="000000" w:themeColor="text1"/>
          <w:sz w:val="18"/>
          <w:szCs w:val="18"/>
          <w:lang w:val="es-ES_tradnl"/>
        </w:rPr>
        <w:t>M.P. Maur</w:t>
      </w:r>
      <w:r w:rsidRPr="003548DF">
        <w:rPr>
          <w:rFonts w:ascii="Times New Roman" w:hAnsi="Times New Roman"/>
          <w:color w:val="000000" w:themeColor="text1"/>
          <w:sz w:val="18"/>
          <w:szCs w:val="18"/>
          <w:lang w:val="es-ES_tradnl"/>
        </w:rPr>
        <w:t xml:space="preserve">icio González Cuervo.  </w:t>
      </w:r>
    </w:p>
  </w:footnote>
  <w:footnote w:id="173">
    <w:p w:rsidR="00F32ED8" w:rsidRPr="003548DF" w:rsidRDefault="00DE7CC4" w:rsidP="00F32ED8">
      <w:pPr>
        <w:pStyle w:val="Textonotapie"/>
        <w:jc w:val="both"/>
        <w:rPr>
          <w:rFonts w:ascii="Times New Roman" w:hAnsi="Times New Roman"/>
          <w:color w:val="000000" w:themeColor="text1"/>
          <w:sz w:val="18"/>
          <w:szCs w:val="18"/>
          <w:lang w:val="es-ES_tradnl"/>
        </w:rPr>
      </w:pPr>
      <w:r w:rsidRPr="003548DF">
        <w:rPr>
          <w:rStyle w:val="Refdenotaalpie"/>
          <w:rFonts w:ascii="Times New Roman" w:hAnsi="Times New Roman"/>
          <w:color w:val="000000" w:themeColor="text1"/>
          <w:sz w:val="18"/>
          <w:szCs w:val="18"/>
        </w:rPr>
        <w:footnoteRef/>
      </w:r>
      <w:r w:rsidRPr="003548DF">
        <w:rPr>
          <w:rFonts w:ascii="Times New Roman" w:hAnsi="Times New Roman"/>
          <w:color w:val="000000" w:themeColor="text1"/>
          <w:sz w:val="18"/>
          <w:szCs w:val="18"/>
        </w:rPr>
        <w:t xml:space="preserve"> </w:t>
      </w:r>
      <w:r w:rsidRPr="003548DF">
        <w:rPr>
          <w:rFonts w:ascii="Times New Roman" w:hAnsi="Times New Roman"/>
          <w:color w:val="000000" w:themeColor="text1"/>
          <w:sz w:val="18"/>
          <w:szCs w:val="18"/>
          <w:lang w:val="es-ES_tradnl"/>
        </w:rPr>
        <w:t>M.P. Jorge Enrique Ibáñez Najar. SV. José Fernando Reyes Cuartas. AV. Antonio José Lizarazo Ocampo.</w:t>
      </w:r>
    </w:p>
  </w:footnote>
  <w:footnote w:id="174">
    <w:p w:rsidR="00F32ED8" w:rsidRPr="004E2407" w:rsidRDefault="00DE7CC4" w:rsidP="00F32ED8">
      <w:pPr>
        <w:pStyle w:val="Textonotapie"/>
        <w:jc w:val="both"/>
        <w:rPr>
          <w:rFonts w:ascii="Times New Roman" w:hAnsi="Times New Roman"/>
          <w:color w:val="000000" w:themeColor="text1"/>
          <w:sz w:val="18"/>
          <w:szCs w:val="18"/>
          <w:lang w:val="es-ES_tradnl"/>
        </w:rPr>
      </w:pPr>
      <w:r w:rsidRPr="004E2407">
        <w:rPr>
          <w:rStyle w:val="Refdenotaalpie"/>
          <w:rFonts w:ascii="Times New Roman" w:hAnsi="Times New Roman"/>
          <w:color w:val="000000" w:themeColor="text1"/>
          <w:sz w:val="18"/>
          <w:szCs w:val="18"/>
        </w:rPr>
        <w:footnoteRef/>
      </w:r>
      <w:r w:rsidRPr="004E2407">
        <w:rPr>
          <w:rFonts w:ascii="Times New Roman" w:hAnsi="Times New Roman"/>
          <w:color w:val="000000" w:themeColor="text1"/>
          <w:sz w:val="18"/>
          <w:szCs w:val="18"/>
        </w:rPr>
        <w:t xml:space="preserve"> </w:t>
      </w:r>
      <w:r w:rsidRPr="004E2407">
        <w:rPr>
          <w:rFonts w:ascii="Times New Roman" w:hAnsi="Times New Roman"/>
          <w:color w:val="000000" w:themeColor="text1"/>
          <w:sz w:val="18"/>
          <w:szCs w:val="18"/>
          <w:lang w:val="es-ES_tradnl"/>
        </w:rPr>
        <w:t xml:space="preserve">Ver al respecto, la Sentencia C-089 de 2011. M.P. Luis Ernesto Vargas Silva. </w:t>
      </w:r>
    </w:p>
  </w:footnote>
  <w:footnote w:id="175">
    <w:p w:rsidR="00110A1D" w:rsidRPr="00FC43CA" w:rsidRDefault="00DE7CC4" w:rsidP="00FC43CA">
      <w:pPr>
        <w:pStyle w:val="Textonotapie"/>
        <w:jc w:val="both"/>
        <w:rPr>
          <w:rFonts w:ascii="Times New Roman" w:hAnsi="Times New Roman"/>
          <w:sz w:val="18"/>
          <w:szCs w:val="18"/>
        </w:rPr>
      </w:pPr>
      <w:r w:rsidRPr="004E2407">
        <w:rPr>
          <w:rStyle w:val="Refdenotaalpie"/>
          <w:rFonts w:ascii="Times New Roman" w:hAnsi="Times New Roman"/>
          <w:sz w:val="18"/>
          <w:szCs w:val="18"/>
        </w:rPr>
        <w:footnoteRef/>
      </w:r>
      <w:r w:rsidRPr="004E2407">
        <w:rPr>
          <w:rFonts w:ascii="Times New Roman" w:hAnsi="Times New Roman"/>
          <w:sz w:val="18"/>
          <w:szCs w:val="18"/>
        </w:rPr>
        <w:t xml:space="preserve"> A partir de la distinción conceptual entre </w:t>
      </w:r>
      <w:r w:rsidRPr="004E2407">
        <w:rPr>
          <w:rFonts w:ascii="Times New Roman" w:hAnsi="Times New Roman"/>
          <w:i/>
          <w:iCs/>
          <w:sz w:val="18"/>
          <w:szCs w:val="18"/>
        </w:rPr>
        <w:t>disposición</w:t>
      </w:r>
      <w:r w:rsidRPr="004E2407">
        <w:rPr>
          <w:rFonts w:ascii="Times New Roman" w:hAnsi="Times New Roman"/>
          <w:sz w:val="18"/>
          <w:szCs w:val="18"/>
        </w:rPr>
        <w:t xml:space="preserve"> </w:t>
      </w:r>
      <w:r w:rsidRPr="004E2407">
        <w:rPr>
          <w:rFonts w:ascii="Times New Roman" w:hAnsi="Times New Roman"/>
          <w:sz w:val="18"/>
          <w:szCs w:val="18"/>
        </w:rPr>
        <w:t xml:space="preserve">y </w:t>
      </w:r>
      <w:r w:rsidRPr="004E2407">
        <w:rPr>
          <w:rFonts w:ascii="Times New Roman" w:hAnsi="Times New Roman"/>
          <w:i/>
          <w:iCs/>
          <w:sz w:val="18"/>
          <w:szCs w:val="18"/>
        </w:rPr>
        <w:t>norma</w:t>
      </w:r>
      <w:r w:rsidRPr="004E2407">
        <w:rPr>
          <w:rFonts w:ascii="Times New Roman" w:hAnsi="Times New Roman"/>
          <w:sz w:val="18"/>
          <w:szCs w:val="18"/>
        </w:rPr>
        <w:t xml:space="preserve"> -a la que ha acudido este Tribunal para explicar y justificar diferentes instituciones de su práctica-, al texto utilizado para un enunciado normativo </w:t>
      </w:r>
      <w:r w:rsidRPr="004E2407">
        <w:rPr>
          <w:rFonts w:ascii="Times New Roman" w:hAnsi="Times New Roman"/>
          <w:sz w:val="18"/>
          <w:szCs w:val="18"/>
        </w:rPr>
        <w:t xml:space="preserve">-disposición- </w:t>
      </w:r>
      <w:r w:rsidRPr="004E2407">
        <w:rPr>
          <w:rFonts w:ascii="Times New Roman" w:hAnsi="Times New Roman"/>
          <w:sz w:val="18"/>
          <w:szCs w:val="18"/>
        </w:rPr>
        <w:t>puede asignársele más de un significado -norma-. Si esta asignación plu</w:t>
      </w:r>
      <w:r w:rsidRPr="004E2407">
        <w:rPr>
          <w:rFonts w:ascii="Times New Roman" w:hAnsi="Times New Roman"/>
          <w:sz w:val="18"/>
          <w:szCs w:val="18"/>
        </w:rPr>
        <w:t>ral de sentido es</w:t>
      </w:r>
      <w:r w:rsidRPr="004E2407">
        <w:rPr>
          <w:rFonts w:ascii="Times New Roman" w:hAnsi="Times New Roman"/>
          <w:sz w:val="18"/>
          <w:szCs w:val="18"/>
        </w:rPr>
        <w:t xml:space="preserve"> prima facie</w:t>
      </w:r>
      <w:r w:rsidRPr="004E2407">
        <w:rPr>
          <w:rFonts w:ascii="Times New Roman" w:hAnsi="Times New Roman"/>
          <w:sz w:val="18"/>
          <w:szCs w:val="18"/>
        </w:rPr>
        <w:t xml:space="preserve"> razonable y lleva a considerar que válidamente debe excluirse uno </w:t>
      </w:r>
      <w:r w:rsidRPr="004E2407">
        <w:rPr>
          <w:rFonts w:ascii="Times New Roman" w:hAnsi="Times New Roman"/>
          <w:sz w:val="18"/>
          <w:szCs w:val="18"/>
        </w:rPr>
        <w:t xml:space="preserve">o varios </w:t>
      </w:r>
      <w:r w:rsidRPr="004E2407">
        <w:rPr>
          <w:rFonts w:ascii="Times New Roman" w:hAnsi="Times New Roman"/>
          <w:sz w:val="18"/>
          <w:szCs w:val="18"/>
        </w:rPr>
        <w:t>de aquellos</w:t>
      </w:r>
      <w:r w:rsidRPr="004E2407">
        <w:rPr>
          <w:rFonts w:ascii="Times New Roman" w:hAnsi="Times New Roman"/>
          <w:sz w:val="18"/>
          <w:szCs w:val="18"/>
        </w:rPr>
        <w:t xml:space="preserve"> -</w:t>
      </w:r>
      <w:r w:rsidRPr="004E2407">
        <w:rPr>
          <w:rFonts w:ascii="Times New Roman" w:hAnsi="Times New Roman"/>
          <w:sz w:val="18"/>
          <w:szCs w:val="18"/>
        </w:rPr>
        <w:t>por ser contrario</w:t>
      </w:r>
      <w:r w:rsidRPr="004E2407">
        <w:rPr>
          <w:rFonts w:ascii="Times New Roman" w:hAnsi="Times New Roman"/>
          <w:sz w:val="18"/>
          <w:szCs w:val="18"/>
        </w:rPr>
        <w:t>(s)</w:t>
      </w:r>
      <w:r w:rsidRPr="004E2407">
        <w:rPr>
          <w:rFonts w:ascii="Times New Roman" w:hAnsi="Times New Roman"/>
          <w:sz w:val="18"/>
          <w:szCs w:val="18"/>
        </w:rPr>
        <w:t xml:space="preserve"> a la Constitución</w:t>
      </w:r>
      <w:r w:rsidRPr="004E2407">
        <w:rPr>
          <w:rFonts w:ascii="Times New Roman" w:hAnsi="Times New Roman"/>
          <w:sz w:val="18"/>
          <w:szCs w:val="18"/>
        </w:rPr>
        <w:t>-</w:t>
      </w:r>
      <w:r w:rsidRPr="004E2407">
        <w:rPr>
          <w:rFonts w:ascii="Times New Roman" w:hAnsi="Times New Roman"/>
          <w:sz w:val="18"/>
          <w:szCs w:val="18"/>
        </w:rPr>
        <w:t>, ser</w:t>
      </w:r>
      <w:r w:rsidRPr="004E2407">
        <w:rPr>
          <w:rFonts w:ascii="Times New Roman" w:hAnsi="Times New Roman"/>
          <w:sz w:val="18"/>
          <w:szCs w:val="18"/>
        </w:rPr>
        <w:t>ía</w:t>
      </w:r>
      <w:r w:rsidRPr="004E2407">
        <w:rPr>
          <w:rFonts w:ascii="Times New Roman" w:hAnsi="Times New Roman"/>
          <w:sz w:val="18"/>
          <w:szCs w:val="18"/>
        </w:rPr>
        <w:t xml:space="preserve"> necesario acudir a una decisión condicionada. No obstante</w:t>
      </w:r>
      <w:r w:rsidRPr="004E2407">
        <w:rPr>
          <w:rFonts w:ascii="Times New Roman" w:hAnsi="Times New Roman"/>
          <w:sz w:val="18"/>
          <w:szCs w:val="18"/>
        </w:rPr>
        <w:t xml:space="preserve">, sí, </w:t>
      </w:r>
      <w:r w:rsidRPr="004E2407">
        <w:rPr>
          <w:rFonts w:ascii="Times New Roman" w:hAnsi="Times New Roman"/>
          <w:sz w:val="18"/>
          <w:szCs w:val="18"/>
        </w:rPr>
        <w:t xml:space="preserve">pese a considerarse la existencia de varios sentidos, solamente uno es razonablemente posible, mientras que los demás no lo son por </w:t>
      </w:r>
      <w:r w:rsidRPr="004E2407">
        <w:rPr>
          <w:rFonts w:ascii="Times New Roman" w:hAnsi="Times New Roman"/>
          <w:sz w:val="18"/>
          <w:szCs w:val="18"/>
        </w:rPr>
        <w:t>representar</w:t>
      </w:r>
      <w:r w:rsidRPr="004E2407">
        <w:rPr>
          <w:rFonts w:ascii="Times New Roman" w:hAnsi="Times New Roman"/>
          <w:sz w:val="18"/>
          <w:szCs w:val="18"/>
        </w:rPr>
        <w:t xml:space="preserve"> un alcance evidentemente contrario a la Constitución,</w:t>
      </w:r>
      <w:r w:rsidRPr="004E2407">
        <w:rPr>
          <w:rFonts w:ascii="Times New Roman" w:hAnsi="Times New Roman"/>
          <w:sz w:val="18"/>
          <w:szCs w:val="18"/>
        </w:rPr>
        <w:t xml:space="preserve"> </w:t>
      </w:r>
      <w:r w:rsidRPr="004E2407">
        <w:rPr>
          <w:rFonts w:ascii="Times New Roman" w:hAnsi="Times New Roman"/>
          <w:i/>
          <w:iCs/>
          <w:sz w:val="18"/>
          <w:szCs w:val="18"/>
        </w:rPr>
        <w:t>en esta instancia del análisis</w:t>
      </w:r>
      <w:r w:rsidRPr="004E2407">
        <w:rPr>
          <w:rFonts w:ascii="Times New Roman" w:hAnsi="Times New Roman"/>
          <w:sz w:val="18"/>
          <w:szCs w:val="18"/>
        </w:rPr>
        <w:t xml:space="preserve"> </w:t>
      </w:r>
      <w:r w:rsidRPr="004E2407">
        <w:rPr>
          <w:rFonts w:ascii="Times New Roman" w:hAnsi="Times New Roman"/>
          <w:sz w:val="18"/>
          <w:szCs w:val="18"/>
        </w:rPr>
        <w:t xml:space="preserve">de un cargo apto </w:t>
      </w:r>
      <w:r w:rsidRPr="004E2407">
        <w:rPr>
          <w:rFonts w:ascii="Times New Roman" w:hAnsi="Times New Roman"/>
          <w:sz w:val="18"/>
          <w:szCs w:val="18"/>
        </w:rPr>
        <w:t xml:space="preserve">no </w:t>
      </w:r>
      <w:r w:rsidRPr="004E2407">
        <w:rPr>
          <w:rFonts w:ascii="Times New Roman" w:hAnsi="Times New Roman"/>
          <w:sz w:val="18"/>
          <w:szCs w:val="18"/>
        </w:rPr>
        <w:t>será ne</w:t>
      </w:r>
      <w:r w:rsidRPr="004E2407">
        <w:rPr>
          <w:rFonts w:ascii="Times New Roman" w:hAnsi="Times New Roman"/>
          <w:sz w:val="18"/>
          <w:szCs w:val="18"/>
        </w:rPr>
        <w:t>cesario</w:t>
      </w:r>
      <w:r w:rsidRPr="004E2407">
        <w:rPr>
          <w:rFonts w:ascii="Times New Roman" w:hAnsi="Times New Roman"/>
          <w:sz w:val="18"/>
          <w:szCs w:val="18"/>
        </w:rPr>
        <w:t xml:space="preserve"> una decisión condicionada, sino </w:t>
      </w:r>
      <w:r w:rsidRPr="004E2407">
        <w:rPr>
          <w:rFonts w:ascii="Times New Roman" w:hAnsi="Times New Roman"/>
          <w:sz w:val="18"/>
          <w:szCs w:val="18"/>
        </w:rPr>
        <w:t xml:space="preserve">que es adecuado </w:t>
      </w:r>
      <w:r w:rsidRPr="004E2407">
        <w:rPr>
          <w:rFonts w:ascii="Times New Roman" w:hAnsi="Times New Roman"/>
          <w:sz w:val="18"/>
          <w:szCs w:val="18"/>
        </w:rPr>
        <w:t>justificar como presupuesto de análisis</w:t>
      </w:r>
      <w:r w:rsidRPr="004E2407">
        <w:rPr>
          <w:rFonts w:ascii="Times New Roman" w:hAnsi="Times New Roman"/>
          <w:sz w:val="18"/>
          <w:szCs w:val="18"/>
        </w:rPr>
        <w:t xml:space="preserve"> </w:t>
      </w:r>
      <w:r w:rsidRPr="004E2407">
        <w:rPr>
          <w:rFonts w:ascii="Times New Roman" w:hAnsi="Times New Roman"/>
          <w:sz w:val="18"/>
          <w:szCs w:val="18"/>
        </w:rPr>
        <w:t>cuál es la única norma admisible que puede extraerse de la disposición objeto de escrutinio</w:t>
      </w:r>
      <w:r w:rsidRPr="004E2407">
        <w:rPr>
          <w:rFonts w:ascii="Times New Roman" w:hAnsi="Times New Roman"/>
          <w:sz w:val="18"/>
          <w:szCs w:val="18"/>
        </w:rPr>
        <w:t xml:space="preserve"> y, </w:t>
      </w:r>
      <w:r w:rsidRPr="004E2407">
        <w:rPr>
          <w:rFonts w:ascii="Times New Roman" w:hAnsi="Times New Roman"/>
          <w:sz w:val="18"/>
          <w:szCs w:val="18"/>
        </w:rPr>
        <w:t>con soporte en</w:t>
      </w:r>
      <w:r w:rsidRPr="004E2407">
        <w:rPr>
          <w:rFonts w:ascii="Times New Roman" w:hAnsi="Times New Roman"/>
          <w:sz w:val="18"/>
          <w:szCs w:val="18"/>
        </w:rPr>
        <w:t xml:space="preserve"> ella, continuar con el examen.</w:t>
      </w:r>
    </w:p>
  </w:footnote>
  <w:footnote w:id="176">
    <w:p w:rsidR="00435D50" w:rsidRPr="00A94787" w:rsidRDefault="00DE7CC4" w:rsidP="00494602">
      <w:pPr>
        <w:pStyle w:val="Textonotapie"/>
        <w:jc w:val="both"/>
        <w:rPr>
          <w:rFonts w:ascii="Times New Roman" w:hAnsi="Times New Roman"/>
          <w:color w:val="000000" w:themeColor="text1"/>
          <w:sz w:val="18"/>
          <w:szCs w:val="18"/>
          <w:lang w:val="es-ES_tradnl"/>
        </w:rPr>
      </w:pPr>
      <w:r w:rsidRPr="00A94787">
        <w:rPr>
          <w:rStyle w:val="Refdenotaalpie"/>
          <w:rFonts w:ascii="Times New Roman" w:hAnsi="Times New Roman"/>
          <w:color w:val="000000" w:themeColor="text1"/>
          <w:sz w:val="18"/>
          <w:szCs w:val="18"/>
        </w:rPr>
        <w:footnoteRef/>
      </w:r>
      <w:r w:rsidRPr="00A94787">
        <w:rPr>
          <w:rFonts w:ascii="Times New Roman" w:hAnsi="Times New Roman"/>
          <w:color w:val="000000" w:themeColor="text1"/>
          <w:sz w:val="18"/>
          <w:szCs w:val="18"/>
        </w:rPr>
        <w:t xml:space="preserve"> </w:t>
      </w:r>
      <w:r w:rsidRPr="00A94787">
        <w:rPr>
          <w:rFonts w:ascii="Times New Roman" w:hAnsi="Times New Roman"/>
          <w:color w:val="000000" w:themeColor="text1"/>
          <w:sz w:val="18"/>
          <w:szCs w:val="18"/>
          <w:lang w:val="es-ES_tradnl"/>
        </w:rPr>
        <w:t>Por ejemplo, la C</w:t>
      </w:r>
      <w:r w:rsidRPr="00A94787">
        <w:rPr>
          <w:rFonts w:ascii="Times New Roman" w:hAnsi="Times New Roman"/>
          <w:color w:val="000000" w:themeColor="text1"/>
          <w:sz w:val="18"/>
          <w:szCs w:val="18"/>
          <w:lang w:val="es-ES_tradnl"/>
        </w:rPr>
        <w:t>onvención sobre los derechos de las personas con discapacidad.</w:t>
      </w:r>
    </w:p>
  </w:footnote>
  <w:footnote w:id="177">
    <w:p w:rsidR="00F5151B" w:rsidRPr="006C36E0" w:rsidRDefault="00DE7CC4" w:rsidP="00A94787">
      <w:pPr>
        <w:pStyle w:val="Textonotapie"/>
        <w:jc w:val="both"/>
        <w:rPr>
          <w:rFonts w:ascii="Times New Roman" w:hAnsi="Times New Roman"/>
          <w:color w:val="000000" w:themeColor="text1"/>
          <w:sz w:val="18"/>
          <w:szCs w:val="18"/>
        </w:rPr>
      </w:pPr>
      <w:r w:rsidRPr="006C36E0">
        <w:rPr>
          <w:rStyle w:val="Refdenotaalpie"/>
          <w:rFonts w:ascii="Times New Roman" w:hAnsi="Times New Roman"/>
          <w:color w:val="000000" w:themeColor="text1"/>
          <w:sz w:val="18"/>
          <w:szCs w:val="18"/>
        </w:rPr>
        <w:footnoteRef/>
      </w:r>
      <w:r w:rsidRPr="006C36E0">
        <w:rPr>
          <w:rFonts w:ascii="Times New Roman" w:hAnsi="Times New Roman"/>
          <w:color w:val="000000" w:themeColor="text1"/>
          <w:sz w:val="18"/>
          <w:szCs w:val="18"/>
        </w:rPr>
        <w:t xml:space="preserve"> Sentencia C-804 de 2009. M.P. María Victoria Calle Correa.</w:t>
      </w:r>
    </w:p>
  </w:footnote>
  <w:footnote w:id="178">
    <w:p w:rsidR="00D74DF4" w:rsidRPr="00A94787" w:rsidRDefault="00DE7CC4" w:rsidP="00A94787">
      <w:pPr>
        <w:pStyle w:val="Textonotapie"/>
        <w:jc w:val="both"/>
        <w:rPr>
          <w:rFonts w:ascii="Times New Roman" w:hAnsi="Times New Roman"/>
          <w:color w:val="000000" w:themeColor="text1"/>
          <w:sz w:val="18"/>
          <w:szCs w:val="18"/>
          <w:lang w:val="es-ES_tradnl"/>
        </w:rPr>
      </w:pPr>
      <w:r w:rsidRPr="00A94787">
        <w:rPr>
          <w:rStyle w:val="Refdenotaalpie"/>
          <w:rFonts w:ascii="Times New Roman" w:hAnsi="Times New Roman"/>
          <w:color w:val="000000" w:themeColor="text1"/>
          <w:sz w:val="18"/>
          <w:szCs w:val="18"/>
        </w:rPr>
        <w:footnoteRef/>
      </w:r>
      <w:r w:rsidRPr="00A94787">
        <w:rPr>
          <w:rFonts w:ascii="Times New Roman" w:hAnsi="Times New Roman"/>
          <w:color w:val="000000" w:themeColor="text1"/>
          <w:sz w:val="18"/>
          <w:szCs w:val="18"/>
        </w:rPr>
        <w:t xml:space="preserve"> </w:t>
      </w:r>
      <w:r w:rsidRPr="00A94787">
        <w:rPr>
          <w:rFonts w:ascii="Times New Roman" w:hAnsi="Times New Roman"/>
          <w:color w:val="000000" w:themeColor="text1"/>
          <w:sz w:val="18"/>
          <w:szCs w:val="18"/>
          <w:lang w:val="es-ES_tradnl"/>
        </w:rPr>
        <w:t>Artículo 21 del Código Nacional de Tránsito. Sentencia C-156 de 2004. M.P. Manuel José Cepeda Espinosa.</w:t>
      </w:r>
    </w:p>
  </w:footnote>
  <w:footnote w:id="179">
    <w:p w:rsidR="00494602" w:rsidRPr="00494602" w:rsidRDefault="00DE7CC4" w:rsidP="00A94787">
      <w:pPr>
        <w:pStyle w:val="NormalWeb"/>
        <w:shd w:val="clear" w:color="auto" w:fill="FFFFFF"/>
        <w:jc w:val="both"/>
        <w:rPr>
          <w:rFonts w:ascii="Work Sans" w:hAnsi="Work Sans"/>
          <w:color w:val="4B4B4B"/>
        </w:rPr>
      </w:pPr>
      <w:r w:rsidRPr="00A94787">
        <w:rPr>
          <w:rStyle w:val="Refdenotaalpie"/>
          <w:color w:val="000000" w:themeColor="text1"/>
          <w:sz w:val="18"/>
          <w:szCs w:val="18"/>
        </w:rPr>
        <w:footnoteRef/>
      </w:r>
      <w:r w:rsidRPr="00A94787">
        <w:rPr>
          <w:color w:val="000000" w:themeColor="text1"/>
          <w:sz w:val="18"/>
          <w:szCs w:val="18"/>
        </w:rPr>
        <w:t xml:space="preserve"> De conformidad con lo sostenido por el Ministerio de las Tecnologías y las Comunicaciones, la brecha digital “</w:t>
      </w:r>
      <w:r>
        <w:rPr>
          <w:color w:val="000000" w:themeColor="text1"/>
          <w:sz w:val="18"/>
          <w:szCs w:val="18"/>
        </w:rPr>
        <w:t>[h]</w:t>
      </w:r>
      <w:r w:rsidRPr="00A94787">
        <w:rPr>
          <w:color w:val="000000" w:themeColor="text1"/>
          <w:sz w:val="18"/>
          <w:szCs w:val="18"/>
        </w:rPr>
        <w:t xml:space="preserve">ace referencia a la diferencia socioeconómica entre aquellas comunidades que tienen accesibilidad a las TIC y aquellas que no, y también hace </w:t>
      </w:r>
      <w:r w:rsidRPr="00A94787">
        <w:rPr>
          <w:color w:val="000000" w:themeColor="text1"/>
          <w:sz w:val="18"/>
          <w:szCs w:val="18"/>
        </w:rPr>
        <w:t>referencia a las diferencias que hay entre grupos según su capacidad para utilizar las TIC de forma eficaz, debido a los distintos niveles de alfabetización y capacidad tecnológica.</w:t>
      </w:r>
      <w:r>
        <w:rPr>
          <w:color w:val="000000" w:themeColor="text1"/>
          <w:sz w:val="18"/>
          <w:szCs w:val="18"/>
        </w:rPr>
        <w:t>” La Corte Constitucional ha reconocido su existencia en varias decisiones,</w:t>
      </w:r>
      <w:r>
        <w:rPr>
          <w:color w:val="000000" w:themeColor="text1"/>
          <w:sz w:val="18"/>
          <w:szCs w:val="18"/>
        </w:rPr>
        <w:t xml:space="preserve"> por ejemplo, relacionadas con el derecho a la educación en pandemia (ver, por ejemplo, la Sentencia T-042 de 2023. M.P. Natalia Ángel Cabo) o con el análisis de constitucional de políticas públicas dirigidas a su cierre (ver, por ejemplo, la Sentencia C-1</w:t>
      </w:r>
      <w:r>
        <w:rPr>
          <w:color w:val="000000" w:themeColor="text1"/>
          <w:sz w:val="18"/>
          <w:szCs w:val="18"/>
        </w:rPr>
        <w:t>27 de 2020. M.P. Cristina Pardo Schlesinger).</w:t>
      </w:r>
    </w:p>
  </w:footnote>
  <w:footnote w:id="180">
    <w:p w:rsidR="00F32ED8" w:rsidRPr="003548DF" w:rsidRDefault="00DE7CC4" w:rsidP="00F32ED8">
      <w:pPr>
        <w:pStyle w:val="Textonotapie"/>
        <w:jc w:val="both"/>
        <w:rPr>
          <w:color w:val="000000" w:themeColor="text1"/>
        </w:rPr>
      </w:pPr>
      <w:r w:rsidRPr="003548DF">
        <w:rPr>
          <w:rStyle w:val="Refdenotaalpie"/>
          <w:rFonts w:ascii="Times New Roman" w:hAnsi="Times New Roman"/>
          <w:color w:val="000000" w:themeColor="text1"/>
          <w:sz w:val="18"/>
          <w:szCs w:val="18"/>
        </w:rPr>
        <w:footnoteRef/>
      </w:r>
      <w:r w:rsidRPr="003548DF">
        <w:rPr>
          <w:rFonts w:ascii="Times New Roman" w:hAnsi="Times New Roman"/>
          <w:color w:val="000000" w:themeColor="text1"/>
          <w:sz w:val="18"/>
          <w:szCs w:val="18"/>
        </w:rPr>
        <w:t xml:space="preserve"> Al respecto, “[e]l examen de idoneidad del mandato de prohibición por omisión o insuficiencia puede implicar en algunas constelaciones un fin estatal complejo y/o fines independientes. Cuando el medio es una acción insuficiente o defectuosa el fin estatal</w:t>
      </w:r>
      <w:r w:rsidRPr="003548DF">
        <w:rPr>
          <w:rFonts w:ascii="Times New Roman" w:hAnsi="Times New Roman"/>
          <w:color w:val="000000" w:themeColor="text1"/>
          <w:sz w:val="18"/>
          <w:szCs w:val="18"/>
        </w:rPr>
        <w:t xml:space="preserve"> coincide en todo o en parte con el fin de realización del derecho de prestación”. Ver: “La teoría principialista de los derechos fundamentales”. Editor Jan-R. Sieckmann. En “Sobre la prohibición por acción insuficiente por omisión o defecto y el mandato d</w:t>
      </w:r>
      <w:r w:rsidRPr="003548DF">
        <w:rPr>
          <w:rFonts w:ascii="Times New Roman" w:hAnsi="Times New Roman"/>
          <w:color w:val="000000" w:themeColor="text1"/>
          <w:sz w:val="18"/>
          <w:szCs w:val="18"/>
        </w:rPr>
        <w:t>e proporcionalidad”. Laura Clérigo. Marcial Pons. 2011. P. 178.</w:t>
      </w:r>
    </w:p>
  </w:footnote>
  <w:footnote w:id="181">
    <w:p w:rsidR="00F32ED8" w:rsidRPr="003548DF" w:rsidRDefault="00DE7CC4" w:rsidP="00F32ED8">
      <w:pPr>
        <w:pStyle w:val="Textonotapie"/>
        <w:rPr>
          <w:rFonts w:ascii="Times New Roman" w:hAnsi="Times New Roman"/>
          <w:color w:val="000000" w:themeColor="text1"/>
          <w:sz w:val="18"/>
          <w:szCs w:val="18"/>
          <w:lang w:val="es-ES_tradnl"/>
        </w:rPr>
      </w:pPr>
      <w:r w:rsidRPr="003548DF">
        <w:rPr>
          <w:rStyle w:val="Refdenotaalpie"/>
          <w:rFonts w:ascii="Times New Roman" w:hAnsi="Times New Roman"/>
          <w:color w:val="000000" w:themeColor="text1"/>
          <w:sz w:val="18"/>
          <w:szCs w:val="18"/>
        </w:rPr>
        <w:footnoteRef/>
      </w:r>
      <w:r w:rsidRPr="003548DF">
        <w:rPr>
          <w:rFonts w:ascii="Times New Roman" w:hAnsi="Times New Roman"/>
          <w:color w:val="000000" w:themeColor="text1"/>
          <w:sz w:val="18"/>
          <w:szCs w:val="18"/>
        </w:rPr>
        <w:t xml:space="preserve"> </w:t>
      </w:r>
      <w:r w:rsidRPr="003548DF">
        <w:rPr>
          <w:rFonts w:ascii="Times New Roman" w:hAnsi="Times New Roman"/>
          <w:color w:val="000000" w:themeColor="text1"/>
          <w:sz w:val="18"/>
          <w:szCs w:val="18"/>
          <w:lang w:val="es-ES_tradnl"/>
        </w:rPr>
        <w:t xml:space="preserve">M.P. Clara Inés Vargas Hernández. </w:t>
      </w:r>
    </w:p>
  </w:footnote>
  <w:footnote w:id="182">
    <w:p w:rsidR="00F32ED8" w:rsidRPr="003548DF" w:rsidRDefault="00DE7CC4" w:rsidP="00F32ED8">
      <w:pPr>
        <w:pStyle w:val="Textonotapie"/>
        <w:jc w:val="both"/>
        <w:rPr>
          <w:rFonts w:ascii="Times New Roman" w:hAnsi="Times New Roman"/>
          <w:color w:val="000000" w:themeColor="text1"/>
          <w:sz w:val="18"/>
          <w:szCs w:val="18"/>
          <w:lang w:val="es-ES_tradnl"/>
        </w:rPr>
      </w:pPr>
      <w:r w:rsidRPr="003548DF">
        <w:rPr>
          <w:rStyle w:val="Refdenotaalpie"/>
          <w:rFonts w:ascii="Times New Roman" w:hAnsi="Times New Roman"/>
          <w:color w:val="000000" w:themeColor="text1"/>
          <w:sz w:val="18"/>
          <w:szCs w:val="18"/>
        </w:rPr>
        <w:footnoteRef/>
      </w:r>
      <w:r w:rsidRPr="003548DF">
        <w:rPr>
          <w:rFonts w:ascii="Times New Roman" w:hAnsi="Times New Roman"/>
          <w:color w:val="000000" w:themeColor="text1"/>
          <w:sz w:val="18"/>
          <w:szCs w:val="18"/>
        </w:rPr>
        <w:t xml:space="preserve"> </w:t>
      </w:r>
      <w:r w:rsidRPr="003548DF">
        <w:rPr>
          <w:rFonts w:ascii="Times New Roman" w:hAnsi="Times New Roman"/>
          <w:color w:val="000000" w:themeColor="text1"/>
          <w:sz w:val="18"/>
          <w:szCs w:val="18"/>
          <w:lang w:val="es-ES_tradnl"/>
        </w:rPr>
        <w:t>Esto se precisa porque es evidente que, en el marco de las reclamaciones, procedimientos y/o procesos respectivos, los interesados cuentan con posibilida</w:t>
      </w:r>
      <w:r w:rsidRPr="003548DF">
        <w:rPr>
          <w:rFonts w:ascii="Times New Roman" w:hAnsi="Times New Roman"/>
          <w:color w:val="000000" w:themeColor="text1"/>
          <w:sz w:val="18"/>
          <w:szCs w:val="18"/>
          <w:lang w:val="es-ES_tradnl"/>
        </w:rPr>
        <w:t xml:space="preserve">des probatorias mucho más amplias, como, entre otras, la prueba pericial o, incluso, verificar si institucional o privadamente existen cámaras instaladas en el lugar de los hechos que hubieran podido captar el momento del accidente de tránsito. Todo esto, </w:t>
      </w:r>
      <w:r w:rsidRPr="003548DF">
        <w:rPr>
          <w:rFonts w:ascii="Times New Roman" w:hAnsi="Times New Roman"/>
          <w:color w:val="000000" w:themeColor="text1"/>
          <w:sz w:val="18"/>
          <w:szCs w:val="18"/>
          <w:lang w:val="es-ES_tradnl"/>
        </w:rPr>
        <w:t xml:space="preserve">requiere una actuación posterior y está garantizado por el ordenamiento procesal. </w:t>
      </w:r>
    </w:p>
  </w:footnote>
  <w:footnote w:id="183">
    <w:p w:rsidR="00F32ED8" w:rsidRPr="003548DF" w:rsidRDefault="00DE7CC4" w:rsidP="00F32ED8">
      <w:pPr>
        <w:pStyle w:val="Textonotapie"/>
        <w:jc w:val="both"/>
        <w:rPr>
          <w:rFonts w:ascii="Times New Roman" w:hAnsi="Times New Roman"/>
          <w:color w:val="000000" w:themeColor="text1"/>
          <w:sz w:val="18"/>
          <w:szCs w:val="18"/>
        </w:rPr>
      </w:pPr>
      <w:r w:rsidRPr="003548DF">
        <w:rPr>
          <w:rStyle w:val="Refdenotaalpie"/>
          <w:rFonts w:ascii="Times New Roman" w:hAnsi="Times New Roman"/>
          <w:color w:val="000000" w:themeColor="text1"/>
          <w:sz w:val="18"/>
          <w:szCs w:val="18"/>
        </w:rPr>
        <w:footnoteRef/>
      </w:r>
      <w:r w:rsidRPr="003548DF">
        <w:rPr>
          <w:rFonts w:ascii="Times New Roman" w:hAnsi="Times New Roman"/>
          <w:color w:val="000000" w:themeColor="text1"/>
          <w:sz w:val="18"/>
          <w:szCs w:val="18"/>
        </w:rPr>
        <w:t xml:space="preserve"> Sobre esta carga, incluso el Ministerio Público indicó que era sui generis en el escenario del derecho de daños: </w:t>
      </w:r>
      <w:r>
        <w:rPr>
          <w:rFonts w:ascii="Times New Roman" w:hAnsi="Times New Roman"/>
          <w:color w:val="000000" w:themeColor="text1"/>
          <w:sz w:val="18"/>
          <w:szCs w:val="18"/>
        </w:rPr>
        <w:t>“</w:t>
      </w:r>
      <w:r w:rsidRPr="003548DF">
        <w:rPr>
          <w:rFonts w:ascii="Times New Roman" w:hAnsi="Times New Roman"/>
          <w:color w:val="000000" w:themeColor="text1"/>
          <w:sz w:val="18"/>
          <w:szCs w:val="18"/>
        </w:rPr>
        <w:t>Aunado a lo anterior, la Procuraduría destaca que el info</w:t>
      </w:r>
      <w:r w:rsidRPr="003548DF">
        <w:rPr>
          <w:rFonts w:ascii="Times New Roman" w:hAnsi="Times New Roman"/>
          <w:color w:val="000000" w:themeColor="text1"/>
          <w:sz w:val="18"/>
          <w:szCs w:val="18"/>
        </w:rPr>
        <w:t xml:space="preserve">rme policial en tratándose de accidentes de tránsito en los que únicamente se presentan daños materiales constituía una regla sui generis de intervención oficiosa del Estado en el recaudo probatorio de los litigios de responsabilidad extracontractual, así </w:t>
      </w:r>
      <w:r w:rsidRPr="003548DF">
        <w:rPr>
          <w:rFonts w:ascii="Times New Roman" w:hAnsi="Times New Roman"/>
          <w:color w:val="000000" w:themeColor="text1"/>
          <w:sz w:val="18"/>
          <w:szCs w:val="18"/>
        </w:rPr>
        <w:t>como en los trámites de seguros, la cual no respondía al cumplimiento de algún mandato superior específico. Por consiguiente, la eliminación de dicha estipulación no resulta per se inconstitucional”. Concepto, p. 4.</w:t>
      </w:r>
    </w:p>
  </w:footnote>
  <w:footnote w:id="184">
    <w:p w:rsidR="00F32ED8" w:rsidRPr="003548DF" w:rsidRDefault="00DE7CC4" w:rsidP="00F32ED8">
      <w:pPr>
        <w:pStyle w:val="Textonotapie"/>
        <w:jc w:val="both"/>
        <w:rPr>
          <w:rFonts w:ascii="Times New Roman" w:hAnsi="Times New Roman"/>
          <w:color w:val="000000" w:themeColor="text1"/>
          <w:sz w:val="18"/>
          <w:szCs w:val="18"/>
          <w:lang w:val="es-ES_tradnl"/>
        </w:rPr>
      </w:pPr>
      <w:r w:rsidRPr="003548DF">
        <w:rPr>
          <w:rStyle w:val="Refdenotaalpie"/>
          <w:rFonts w:ascii="Times New Roman" w:hAnsi="Times New Roman"/>
          <w:color w:val="000000" w:themeColor="text1"/>
          <w:sz w:val="18"/>
          <w:szCs w:val="18"/>
        </w:rPr>
        <w:footnoteRef/>
      </w:r>
      <w:r w:rsidRPr="003548DF">
        <w:rPr>
          <w:rFonts w:ascii="Times New Roman" w:hAnsi="Times New Roman"/>
          <w:color w:val="000000" w:themeColor="text1"/>
          <w:sz w:val="18"/>
          <w:szCs w:val="18"/>
        </w:rPr>
        <w:t xml:space="preserve"> </w:t>
      </w:r>
      <w:r w:rsidRPr="003548DF">
        <w:rPr>
          <w:rFonts w:ascii="Times New Roman" w:hAnsi="Times New Roman"/>
          <w:color w:val="000000" w:themeColor="text1"/>
          <w:sz w:val="18"/>
          <w:szCs w:val="18"/>
          <w:lang w:val="es-ES_tradnl"/>
        </w:rPr>
        <w:t>Al respecto, ver la publicación del Ba</w:t>
      </w:r>
      <w:r w:rsidRPr="003548DF">
        <w:rPr>
          <w:rFonts w:ascii="Times New Roman" w:hAnsi="Times New Roman"/>
          <w:color w:val="000000" w:themeColor="text1"/>
          <w:sz w:val="18"/>
          <w:szCs w:val="18"/>
          <w:lang w:val="es-ES_tradnl"/>
        </w:rPr>
        <w:t xml:space="preserve">nco Interamericano de Desarrollo – División de Transporte “Congestión urbana en América Latina y el Caribe: características, costos y mitigación”. Disponible en </w:t>
      </w:r>
      <w:hyperlink r:id="rId23" w:history="1">
        <w:r w:rsidRPr="003548DF">
          <w:rPr>
            <w:rStyle w:val="Hipervnculo"/>
            <w:rFonts w:ascii="Times New Roman" w:hAnsi="Times New Roman"/>
            <w:color w:val="000000" w:themeColor="text1"/>
            <w:sz w:val="18"/>
            <w:szCs w:val="18"/>
            <w:lang w:val="es-ES_tradnl"/>
          </w:rPr>
          <w:t>https://publications.iadb.org/es/congestion-urbana-en-america-latina-y-el-caribe-caracteristicas-costos-y-mitigacion</w:t>
        </w:r>
      </w:hyperlink>
      <w:r w:rsidRPr="003548DF">
        <w:rPr>
          <w:rFonts w:ascii="Times New Roman" w:hAnsi="Times New Roman"/>
          <w:color w:val="000000" w:themeColor="text1"/>
          <w:sz w:val="18"/>
          <w:szCs w:val="18"/>
          <w:lang w:val="es-ES_tradnl"/>
        </w:rPr>
        <w:t xml:space="preserve">.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100"/>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6505C"/>
    <w:rsid w:val="00AD78DD"/>
    <w:rsid w:val="00C6505C"/>
    <w:rsid w:val="00DE7CC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efaultImageDpi w14:val="0"/>
  <w15:docId w15:val="{6601C009-7BD6-4E79-A057-BE93D5E348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F32ED8"/>
    <w:pPr>
      <w:keepNext/>
      <w:shd w:val="clear" w:color="auto" w:fill="FFFFFF"/>
      <w:spacing w:line="288" w:lineRule="atLeast"/>
      <w:jc w:val="center"/>
      <w:textAlignment w:val="baseline"/>
      <w:outlineLvl w:val="0"/>
    </w:pPr>
    <w:rPr>
      <w:b/>
      <w:bCs/>
      <w:sz w:val="28"/>
      <w:szCs w:val="28"/>
      <w:bdr w:val="none" w:sz="0" w:space="0" w:color="auto" w:frame="1"/>
      <w:lang w:eastAsia="es-ES"/>
    </w:rPr>
  </w:style>
  <w:style w:type="paragraph" w:styleId="Ttulo2">
    <w:name w:val="heading 2"/>
    <w:basedOn w:val="Prrafodelista"/>
    <w:next w:val="Normal"/>
    <w:link w:val="Ttulo2Car"/>
    <w:uiPriority w:val="9"/>
    <w:unhideWhenUsed/>
    <w:qFormat/>
    <w:rsid w:val="00F32ED8"/>
    <w:pPr>
      <w:shd w:val="clear" w:color="auto" w:fill="FFFFFF"/>
      <w:ind w:left="0"/>
      <w:textAlignment w:val="baseline"/>
      <w:outlineLvl w:val="1"/>
    </w:pPr>
    <w:rPr>
      <w:b/>
      <w:sz w:val="28"/>
      <w:szCs w:val="28"/>
      <w:bdr w:val="none" w:sz="0" w:space="0" w:color="auto" w:frame="1"/>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32ED8"/>
    <w:rPr>
      <w:rFonts w:ascii="Times New Roman" w:eastAsia="Times New Roman" w:hAnsi="Times New Roman" w:cs="Times New Roman"/>
      <w:b/>
      <w:bCs/>
      <w:kern w:val="0"/>
      <w:sz w:val="28"/>
      <w:szCs w:val="28"/>
      <w:bdr w:val="none" w:sz="0" w:space="0" w:color="auto" w:frame="1"/>
      <w:shd w:val="clear" w:color="auto" w:fill="FFFFFF"/>
      <w:lang w:eastAsia="es-ES"/>
    </w:rPr>
  </w:style>
  <w:style w:type="character" w:customStyle="1" w:styleId="Ttulo2Car">
    <w:name w:val="Título 2 Car"/>
    <w:basedOn w:val="Fuentedeprrafopredeter"/>
    <w:link w:val="Ttulo2"/>
    <w:uiPriority w:val="9"/>
    <w:rsid w:val="00F32ED8"/>
    <w:rPr>
      <w:rFonts w:ascii="Times New Roman" w:eastAsia="Times New Roman" w:hAnsi="Times New Roman" w:cs="Times New Roman"/>
      <w:b/>
      <w:kern w:val="0"/>
      <w:sz w:val="28"/>
      <w:szCs w:val="28"/>
      <w:bdr w:val="none" w:sz="0" w:space="0" w:color="auto" w:frame="1"/>
      <w:shd w:val="clear" w:color="auto" w:fill="FFFFFF"/>
      <w:lang w:eastAsia="es-ES"/>
    </w:rPr>
  </w:style>
  <w:style w:type="paragraph" w:styleId="Prrafodelista">
    <w:name w:val="List Paragraph"/>
    <w:aliases w:val="Footnote,Colorful List - Accent 11,Ha,List Paragraph1,lp1"/>
    <w:basedOn w:val="Normal"/>
    <w:link w:val="PrrafodelistaCar"/>
    <w:uiPriority w:val="34"/>
    <w:qFormat/>
    <w:rsid w:val="00F32ED8"/>
    <w:pPr>
      <w:ind w:left="720"/>
      <w:contextualSpacing/>
    </w:pPr>
  </w:style>
  <w:style w:type="character" w:customStyle="1" w:styleId="PrrafodelistaCar">
    <w:name w:val="Párrafo de lista Car"/>
    <w:aliases w:val="Footnote Car,Colorful List - Accent 11 Car,Ha Car,List Paragraph1 Car,lp1 Car"/>
    <w:link w:val="Prrafodelista"/>
    <w:uiPriority w:val="34"/>
    <w:locked/>
    <w:rsid w:val="00F32ED8"/>
    <w:rPr>
      <w:rFonts w:ascii="Times New Roman" w:eastAsia="Times New Roman" w:hAnsi="Times New Roman" w:cs="Times New Roman"/>
      <w:kern w:val="0"/>
      <w:lang w:eastAsia="es-MX"/>
    </w:rPr>
  </w:style>
  <w:style w:type="character" w:customStyle="1" w:styleId="TextonotapieCar">
    <w:name w:val="Texto nota pie Car"/>
    <w:aliases w:val="Ref. de nota al pie1 Car,referencia nota al pie Car,Appel note de bas de page Car,BVI fnr Car,Footnotes refss Car,Footnote number Car,f Car,Nota a pie Car,Ref Car,de nota al pie Car,Ref. de nota al pie 2 Car,Char Car Car Car Car Car"/>
    <w:basedOn w:val="Fuentedeprrafopredeter"/>
    <w:link w:val="Textonotapie"/>
    <w:uiPriority w:val="99"/>
    <w:qFormat/>
    <w:locked/>
    <w:rsid w:val="00F32ED8"/>
    <w:rPr>
      <w:rFonts w:cs="Times New Roman"/>
      <w:lang w:val="es-ES" w:eastAsia="x-none"/>
    </w:rPr>
  </w:style>
  <w:style w:type="paragraph" w:styleId="Textonotapie">
    <w:name w:val="footnote text"/>
    <w:aliases w:val="Ref. de nota al pie1,referencia nota al pie,Appel note de bas de page,BVI fnr,Footnotes refss,Footnote number,f,Nota a pie,Ref,de nota al pie,Ref. de nota al pie 2,Footnote Text Char1 Car Car Car Car,Char Car Car Car Car,Footnote referenc"/>
    <w:basedOn w:val="Normal"/>
    <w:link w:val="TextonotapieCar"/>
    <w:uiPriority w:val="99"/>
    <w:unhideWhenUsed/>
    <w:qFormat/>
    <w:rsid w:val="00F32ED8"/>
    <w:rPr>
      <w:rFonts w:eastAsiaTheme="minorHAnsi"/>
      <w:kern w:val="2"/>
      <w:lang w:val="es-ES" w:eastAsia="x-none"/>
    </w:rPr>
  </w:style>
  <w:style w:type="character" w:customStyle="1" w:styleId="TextonotapieCar1">
    <w:name w:val="Texto nota pie Car1"/>
    <w:aliases w:val="Footnote Text Char Char Char Char Char Car,Footnote Text Char Char Char Char Car,Footnote reference Car,FA Fu Car,Footnote Text Char Char Char Car,texto de nota al pie Car,Footnote Text Char Car,ft Car"/>
    <w:basedOn w:val="Fuentedeprrafopredeter"/>
    <w:uiPriority w:val="99"/>
    <w:rsid w:val="00F32ED8"/>
    <w:rPr>
      <w:rFonts w:ascii="Times New Roman" w:eastAsia="Times New Roman" w:hAnsi="Times New Roman" w:cs="Times New Roman"/>
      <w:kern w:val="0"/>
      <w:sz w:val="20"/>
      <w:szCs w:val="20"/>
      <w:lang w:eastAsia="es-MX"/>
    </w:rPr>
  </w:style>
  <w:style w:type="character" w:styleId="Refdenotaalpie">
    <w:name w:val="footnote reference"/>
    <w:aliases w:val="de nota al pie1,Texto de nota al pie,Ref1,Nota de pie,Texto nota al pie,Fago Fußnotenzeichen,4_G,16 Point,Superscript 6 Point,Footnote Reference Char3,FC,f1,Texto nota pie Car Car,Footnote Text Char Char Char Char Char Char1 Car,R,F"/>
    <w:basedOn w:val="Fuentedeprrafopredeter"/>
    <w:link w:val="4GChar"/>
    <w:uiPriority w:val="99"/>
    <w:unhideWhenUsed/>
    <w:qFormat/>
    <w:rsid w:val="00F32ED8"/>
    <w:rPr>
      <w:rFonts w:cs="Times New Roman"/>
      <w:vertAlign w:val="superscript"/>
    </w:rPr>
  </w:style>
  <w:style w:type="character" w:styleId="Hipervnculo">
    <w:name w:val="Hyperlink"/>
    <w:basedOn w:val="Fuentedeprrafopredeter"/>
    <w:uiPriority w:val="99"/>
    <w:unhideWhenUsed/>
    <w:rsid w:val="00F32ED8"/>
    <w:rPr>
      <w:rFonts w:cs="Times New Roman"/>
      <w:color w:val="0000FF"/>
      <w:u w:val="single"/>
    </w:r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link w:val="Refdenotaalpie"/>
    <w:uiPriority w:val="99"/>
    <w:rsid w:val="00F32ED8"/>
    <w:pPr>
      <w:jc w:val="both"/>
    </w:pPr>
    <w:rPr>
      <w:rFonts w:eastAsiaTheme="minorHAnsi"/>
      <w:kern w:val="2"/>
      <w:vertAlign w:val="superscript"/>
      <w:lang w:eastAsia="en-US"/>
    </w:rPr>
  </w:style>
  <w:style w:type="paragraph" w:styleId="Encabezado">
    <w:name w:val="header"/>
    <w:basedOn w:val="Normal"/>
    <w:link w:val="EncabezadoCar"/>
    <w:uiPriority w:val="99"/>
    <w:unhideWhenUsed/>
    <w:rsid w:val="00F32ED8"/>
    <w:pPr>
      <w:tabs>
        <w:tab w:val="center" w:pos="4419"/>
        <w:tab w:val="right" w:pos="8838"/>
      </w:tabs>
    </w:pPr>
  </w:style>
  <w:style w:type="character" w:customStyle="1" w:styleId="EncabezadoCar">
    <w:name w:val="Encabezado Car"/>
    <w:basedOn w:val="Fuentedeprrafopredeter"/>
    <w:link w:val="Encabezado"/>
    <w:uiPriority w:val="99"/>
    <w:rsid w:val="00F32ED8"/>
    <w:rPr>
      <w:rFonts w:ascii="Times New Roman" w:eastAsia="Times New Roman" w:hAnsi="Times New Roman" w:cs="Times New Roman"/>
      <w:kern w:val="0"/>
      <w:lang w:eastAsia="es-MX"/>
    </w:rPr>
  </w:style>
  <w:style w:type="paragraph" w:styleId="Piedepgina">
    <w:name w:val="footer"/>
    <w:basedOn w:val="Normal"/>
    <w:link w:val="PiedepginaCar"/>
    <w:uiPriority w:val="99"/>
    <w:unhideWhenUsed/>
    <w:rsid w:val="00F32ED8"/>
    <w:pPr>
      <w:tabs>
        <w:tab w:val="center" w:pos="4419"/>
        <w:tab w:val="right" w:pos="8838"/>
      </w:tabs>
    </w:pPr>
  </w:style>
  <w:style w:type="character" w:customStyle="1" w:styleId="PiedepginaCar">
    <w:name w:val="Pie de página Car"/>
    <w:basedOn w:val="Fuentedeprrafopredeter"/>
    <w:link w:val="Piedepgina"/>
    <w:uiPriority w:val="99"/>
    <w:rsid w:val="00F32ED8"/>
    <w:rPr>
      <w:rFonts w:ascii="Times New Roman" w:eastAsia="Times New Roman" w:hAnsi="Times New Roman" w:cs="Times New Roman"/>
      <w:kern w:val="0"/>
      <w:lang w:eastAsia="es-MX"/>
    </w:rPr>
  </w:style>
  <w:style w:type="paragraph" w:styleId="NormalWeb">
    <w:name w:val="Normal (Web)"/>
    <w:basedOn w:val="Normal"/>
    <w:uiPriority w:val="99"/>
    <w:unhideWhenUsed/>
    <w:rsid w:val="00F32ED8"/>
  </w:style>
  <w:style w:type="character" w:styleId="Nmerodepgina">
    <w:name w:val="page number"/>
    <w:basedOn w:val="Fuentedeprrafopredeter"/>
    <w:uiPriority w:val="99"/>
    <w:semiHidden/>
    <w:unhideWhenUsed/>
    <w:rsid w:val="00F32ED8"/>
  </w:style>
  <w:style w:type="character" w:styleId="Textoennegrita">
    <w:name w:val="Strong"/>
    <w:basedOn w:val="Fuentedeprrafopredeter"/>
    <w:uiPriority w:val="22"/>
    <w:qFormat/>
    <w:rsid w:val="00F32ED8"/>
    <w:rPr>
      <w:b/>
      <w:bCs/>
    </w:rPr>
  </w:style>
  <w:style w:type="paragraph" w:customStyle="1" w:styleId="Piedepagina">
    <w:name w:val="Pie de pagina"/>
    <w:basedOn w:val="Normal"/>
    <w:uiPriority w:val="99"/>
    <w:rsid w:val="00F32ED8"/>
    <w:pPr>
      <w:spacing w:line="240" w:lineRule="exact"/>
    </w:pPr>
    <w:rPr>
      <w:rFonts w:eastAsiaTheme="minorHAnsi"/>
      <w:vertAlign w:val="superscript"/>
      <w:lang w:eastAsia="en-US"/>
    </w:rPr>
  </w:style>
  <w:style w:type="character" w:styleId="Refdecomentario">
    <w:name w:val="annotation reference"/>
    <w:basedOn w:val="Fuentedeprrafopredeter"/>
    <w:uiPriority w:val="99"/>
    <w:semiHidden/>
    <w:unhideWhenUsed/>
    <w:rsid w:val="00F32ED8"/>
    <w:rPr>
      <w:sz w:val="16"/>
      <w:szCs w:val="16"/>
    </w:rPr>
  </w:style>
  <w:style w:type="paragraph" w:styleId="Textocomentario">
    <w:name w:val="annotation text"/>
    <w:basedOn w:val="Normal"/>
    <w:link w:val="TextocomentarioCar"/>
    <w:uiPriority w:val="99"/>
    <w:semiHidden/>
    <w:unhideWhenUsed/>
    <w:rsid w:val="00F32ED8"/>
    <w:rPr>
      <w:sz w:val="20"/>
      <w:szCs w:val="20"/>
    </w:rPr>
  </w:style>
  <w:style w:type="character" w:customStyle="1" w:styleId="TextocomentarioCar">
    <w:name w:val="Texto comentario Car"/>
    <w:basedOn w:val="Fuentedeprrafopredeter"/>
    <w:link w:val="Textocomentario"/>
    <w:uiPriority w:val="99"/>
    <w:semiHidden/>
    <w:rsid w:val="00F32ED8"/>
    <w:rPr>
      <w:rFonts w:ascii="Times New Roman" w:eastAsia="Times New Roman" w:hAnsi="Times New Roman" w:cs="Times New Roman"/>
      <w:kern w:val="0"/>
      <w:sz w:val="20"/>
      <w:szCs w:val="20"/>
      <w:lang w:eastAsia="es-MX"/>
    </w:rPr>
  </w:style>
  <w:style w:type="paragraph" w:styleId="Asuntodelcomentario">
    <w:name w:val="annotation subject"/>
    <w:basedOn w:val="Textocomentario"/>
    <w:next w:val="Textocomentario"/>
    <w:link w:val="AsuntodelcomentarioCar"/>
    <w:uiPriority w:val="99"/>
    <w:semiHidden/>
    <w:unhideWhenUsed/>
    <w:rsid w:val="00F32ED8"/>
    <w:rPr>
      <w:b/>
      <w:bCs/>
    </w:rPr>
  </w:style>
  <w:style w:type="character" w:customStyle="1" w:styleId="AsuntodelcomentarioCar">
    <w:name w:val="Asunto del comentario Car"/>
    <w:basedOn w:val="TextocomentarioCar"/>
    <w:link w:val="Asuntodelcomentario"/>
    <w:uiPriority w:val="99"/>
    <w:semiHidden/>
    <w:rsid w:val="00F32ED8"/>
    <w:rPr>
      <w:rFonts w:ascii="Times New Roman" w:eastAsia="Times New Roman" w:hAnsi="Times New Roman" w:cs="Times New Roman"/>
      <w:b/>
      <w:bCs/>
      <w:kern w:val="0"/>
      <w:sz w:val="20"/>
      <w:szCs w:val="20"/>
      <w:lang w:eastAsia="es-MX"/>
    </w:rPr>
  </w:style>
  <w:style w:type="character" w:customStyle="1" w:styleId="Mencinsinresolver1">
    <w:name w:val="Mención sin resolver1"/>
    <w:basedOn w:val="Fuentedeprrafopredeter"/>
    <w:uiPriority w:val="99"/>
    <w:semiHidden/>
    <w:unhideWhenUsed/>
    <w:rsid w:val="00F32ED8"/>
    <w:rPr>
      <w:color w:val="605E5C"/>
      <w:shd w:val="clear" w:color="auto" w:fill="E1DFDD"/>
    </w:rPr>
  </w:style>
  <w:style w:type="character" w:styleId="Hipervnculovisitado">
    <w:name w:val="FollowedHyperlink"/>
    <w:basedOn w:val="Fuentedeprrafopredeter"/>
    <w:uiPriority w:val="99"/>
    <w:semiHidden/>
    <w:unhideWhenUsed/>
    <w:rsid w:val="00F32ED8"/>
    <w:rPr>
      <w:color w:val="954F72" w:themeColor="followedHyperlink"/>
      <w:u w:val="single"/>
    </w:rPr>
  </w:style>
  <w:style w:type="character" w:customStyle="1" w:styleId="ninguno">
    <w:name w:val="ninguno"/>
    <w:basedOn w:val="Fuentedeprrafopredeter"/>
    <w:rsid w:val="00F32ED8"/>
  </w:style>
  <w:style w:type="character" w:styleId="nfasis">
    <w:name w:val="Emphasis"/>
    <w:basedOn w:val="Fuentedeprrafopredeter"/>
    <w:uiPriority w:val="20"/>
    <w:qFormat/>
    <w:rsid w:val="00F32ED8"/>
    <w:rPr>
      <w:i/>
      <w:iCs/>
    </w:rPr>
  </w:style>
  <w:style w:type="paragraph" w:styleId="Textoindependiente3">
    <w:name w:val="Body Text 3"/>
    <w:basedOn w:val="Normal"/>
    <w:link w:val="Textoindependiente3Car"/>
    <w:uiPriority w:val="99"/>
    <w:unhideWhenUsed/>
    <w:rsid w:val="00F32ED8"/>
    <w:pPr>
      <w:spacing w:after="120"/>
    </w:pPr>
    <w:rPr>
      <w:sz w:val="16"/>
      <w:szCs w:val="16"/>
    </w:rPr>
  </w:style>
  <w:style w:type="character" w:customStyle="1" w:styleId="Textoindependiente3Car">
    <w:name w:val="Texto independiente 3 Car"/>
    <w:basedOn w:val="Fuentedeprrafopredeter"/>
    <w:link w:val="Textoindependiente3"/>
    <w:uiPriority w:val="99"/>
    <w:rsid w:val="00F32ED8"/>
    <w:rPr>
      <w:rFonts w:ascii="Times New Roman" w:eastAsia="Times New Roman" w:hAnsi="Times New Roman" w:cs="Times New Roman"/>
      <w:kern w:val="0"/>
      <w:sz w:val="16"/>
      <w:szCs w:val="16"/>
      <w:lang w:eastAsia="es-MX"/>
    </w:rPr>
  </w:style>
  <w:style w:type="paragraph" w:styleId="Sinespaciado">
    <w:name w:val="No Spacing"/>
    <w:uiPriority w:val="1"/>
    <w:qFormat/>
    <w:rsid w:val="00F32ED8"/>
    <w:rPr>
      <w:rFonts w:ascii="Times New Roman" w:hAnsi="Times New Roman" w:cs="Times New Roman"/>
    </w:rPr>
  </w:style>
  <w:style w:type="paragraph" w:styleId="Revisin">
    <w:name w:val="Revision"/>
    <w:hidden/>
    <w:uiPriority w:val="99"/>
    <w:semiHidden/>
    <w:rsid w:val="00F32ED8"/>
    <w:rPr>
      <w:rFonts w:ascii="Times New Roman" w:eastAsia="Times New Roman" w:hAnsi="Times New Roman" w:cs="Times New Roman"/>
      <w:lang w:eastAsia="es-MX"/>
    </w:rPr>
  </w:style>
  <w:style w:type="character" w:customStyle="1" w:styleId="elema1">
    <w:name w:val="elema1"/>
    <w:basedOn w:val="Fuentedeprrafopredeter"/>
    <w:rsid w:val="00F32ED8"/>
  </w:style>
  <w:style w:type="character" w:customStyle="1" w:styleId="baj">
    <w:name w:val="b_aj"/>
    <w:basedOn w:val="Fuentedeprrafopredeter"/>
    <w:rsid w:val="00F32ED8"/>
  </w:style>
  <w:style w:type="paragraph" w:customStyle="1" w:styleId="sangradetindependiente">
    <w:name w:val="sangradetindependiente"/>
    <w:basedOn w:val="Normal"/>
    <w:rsid w:val="00F32ED8"/>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bin"/><Relationship Id="rId5" Type="http://schemas.openxmlformats.org/officeDocument/2006/relationships/endnotes" Target="endnotes.xml"/><Relationship Id="rId4" Type="http://schemas.openxmlformats.org/officeDocument/2006/relationships/footnotes" Target="footnotes.xml"/></Relationships>
</file>

<file path=word/_rels/footnotes.xml.rels><?xml version="1.0" encoding="UTF-8" standalone="yes"?>
<Relationships xmlns="http://schemas.openxmlformats.org/package/2006/relationships"><Relationship Id="rId8" Type="http://schemas.openxmlformats.org/officeDocument/2006/relationships/hyperlink" Target="https://www.corteconstitucional.gov.co/secretaria/archivo.php?id=62120" TargetMode="External"/><Relationship Id="rId13" Type="http://schemas.openxmlformats.org/officeDocument/2006/relationships/hyperlink" Target="https://www.corteconstitucional.gov.co/secretaria/archivo.php?id=66610" TargetMode="External"/><Relationship Id="rId18" Type="http://schemas.openxmlformats.org/officeDocument/2006/relationships/hyperlink" Target="https://www.youtube.com/watch?v=nHXrnjWSGjM" TargetMode="External"/><Relationship Id="rId3" Type="http://schemas.openxmlformats.org/officeDocument/2006/relationships/hyperlink" Target="https://www.corteconstitucional.gov.co/secretaria/archivo.php?id=57890" TargetMode="External"/><Relationship Id="rId21" Type="http://schemas.openxmlformats.org/officeDocument/2006/relationships/hyperlink" Target="https://eur-lex.europa.eu/legal-content/ES/TXT/?uri=CELEX:31972L0166" TargetMode="External"/><Relationship Id="rId7" Type="http://schemas.openxmlformats.org/officeDocument/2006/relationships/hyperlink" Target="https://www.corteconstitucional.gov.co/secretaria/archivo.php?id=63974" TargetMode="External"/><Relationship Id="rId12" Type="http://schemas.openxmlformats.org/officeDocument/2006/relationships/hyperlink" Target="https://www.corteconstitucional.gov.co/secretaria/archivo.php?id=64271" TargetMode="External"/><Relationship Id="rId17" Type="http://schemas.openxmlformats.org/officeDocument/2006/relationships/hyperlink" Target="https://www.youtube.com/watch?v=x6sNO7VNZN4" TargetMode="External"/><Relationship Id="rId2" Type="http://schemas.openxmlformats.org/officeDocument/2006/relationships/hyperlink" Target="https://www.corteconstitucional.gov.co/secretaria/archivo.php?id=57706" TargetMode="External"/><Relationship Id="rId16" Type="http://schemas.openxmlformats.org/officeDocument/2006/relationships/hyperlink" Target="https://www.youtube.com/watch?v=b0mWR7-C0gg&amp;t=11325s" TargetMode="External"/><Relationship Id="rId20" Type="http://schemas.openxmlformats.org/officeDocument/2006/relationships/hyperlink" Target="https://www.cobx.org/article/4132/about-cob" TargetMode="External"/><Relationship Id="rId1" Type="http://schemas.openxmlformats.org/officeDocument/2006/relationships/hyperlink" Target="https://www.corteconstitucional.gov.co/secretaria/archivo.php?id=56154" TargetMode="External"/><Relationship Id="rId6" Type="http://schemas.openxmlformats.org/officeDocument/2006/relationships/hyperlink" Target="https://www.corteconstitucional.gov.co/secretaria/archivo.php?id=63713" TargetMode="External"/><Relationship Id="rId11" Type="http://schemas.openxmlformats.org/officeDocument/2006/relationships/hyperlink" Target="https://www.corteconstitucional.gov.co/secretaria/archivo.php?id=66051" TargetMode="External"/><Relationship Id="rId5" Type="http://schemas.openxmlformats.org/officeDocument/2006/relationships/hyperlink" Target="https://www.corteconstitucional.gov.co/secretaria/archivo.php?id=64159" TargetMode="External"/><Relationship Id="rId15" Type="http://schemas.openxmlformats.org/officeDocument/2006/relationships/hyperlink" Target="https://www.youtube.com/watch?v=vwz7GbK_8A4" TargetMode="External"/><Relationship Id="rId23" Type="http://schemas.openxmlformats.org/officeDocument/2006/relationships/hyperlink" Target="https://publications.iadb.org/es/congestion-urbana-en-america-latina-y-el-caribe-caracteristicas-costos-y-mitigacion" TargetMode="External"/><Relationship Id="rId10" Type="http://schemas.openxmlformats.org/officeDocument/2006/relationships/hyperlink" Target="https://www.corteconstitucional.gov.co/secretaria/archivo.php?id=64163" TargetMode="External"/><Relationship Id="rId19" Type="http://schemas.openxmlformats.org/officeDocument/2006/relationships/hyperlink" Target="https://www.mib.org.uk/making-a-claim/accidents-in-the-uk-involving-a-foreign-registered-vehicle/green-card-system-explained" TargetMode="External"/><Relationship Id="rId4" Type="http://schemas.openxmlformats.org/officeDocument/2006/relationships/hyperlink" Target="https://www.corteconstitucional.gov.co/secretaria/archivo.php?id=63835" TargetMode="External"/><Relationship Id="rId9" Type="http://schemas.openxmlformats.org/officeDocument/2006/relationships/hyperlink" Target="https://www.corteconstitucional.gov.co/secretaria/archivo.php?id=63826" TargetMode="External"/><Relationship Id="rId14" Type="http://schemas.openxmlformats.org/officeDocument/2006/relationships/hyperlink" Target="http://www.secretariasenado.gov.co/senado/basedoc/ley_2161_2021.html" TargetMode="External"/><Relationship Id="rId22" Type="http://schemas.openxmlformats.org/officeDocument/2006/relationships/hyperlink" Target="https://eur-lex.europa.eu/legal-content/ES/TXT/?uri=CELEX:32009L0103"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27339</Words>
  <Characters>150368</Characters>
  <Application>Microsoft Office Word</Application>
  <DocSecurity>0</DocSecurity>
  <Lines>1253</Lines>
  <Paragraphs>354</Paragraphs>
  <ScaleCrop>false</ScaleCrop>
  <Company/>
  <LinksUpToDate>false</LinksUpToDate>
  <CharactersWithSpaces>177353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UsrIIS</dc:creator>
  <cp:keywords/>
  <dc:description/>
  <cp:lastModifiedBy>UsrIIS</cp:lastModifiedBy>
  <cp:revision>2</cp:revision>
  <dcterms:created xsi:type="dcterms:W3CDTF">2024-05-14T21:01:00Z</dcterms:created>
  <dcterms:modified xsi:type="dcterms:W3CDTF">2024-05-14T21:01:00Z</dcterms:modified>
</cp:coreProperties>
</file>