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7084" w:rsidRPr="00B86EDB" w:rsidRDefault="00560E3D">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B86EDB">
        <w:rPr>
          <w:rFonts w:ascii="Times New Roman" w:hAnsi="Times New Roman" w:cs="Times New Roman"/>
          <w:sz w:val="28"/>
          <w:szCs w:val="24"/>
        </w:rPr>
        <w:t xml:space="preserve"> </w:t>
      </w:r>
    </w:p>
    <w:p w:rsidR="00D17084" w:rsidRPr="00B86EDB" w:rsidRDefault="00D17084">
      <w:pPr>
        <w:widowControl w:val="0"/>
        <w:autoSpaceDE w:val="0"/>
        <w:autoSpaceDN w:val="0"/>
        <w:adjustRightInd w:val="0"/>
        <w:spacing w:after="0" w:line="240" w:lineRule="auto"/>
        <w:rPr>
          <w:rFonts w:ascii="Times New Roman" w:hAnsi="Times New Roman" w:cs="Times New Roman"/>
          <w:sz w:val="28"/>
          <w:szCs w:val="28"/>
        </w:rPr>
      </w:pPr>
    </w:p>
    <w:p w:rsidR="00D17084" w:rsidRPr="00B86EDB" w:rsidRDefault="00560E3D">
      <w:pPr>
        <w:widowControl w:val="0"/>
        <w:autoSpaceDE w:val="0"/>
        <w:autoSpaceDN w:val="0"/>
        <w:adjustRightInd w:val="0"/>
        <w:spacing w:after="0" w:line="240" w:lineRule="auto"/>
        <w:jc w:val="center"/>
        <w:rPr>
          <w:rFonts w:ascii="Times New Roman" w:hAnsi="Times New Roman" w:cs="Times New Roman"/>
          <w:b/>
          <w:bCs/>
          <w:sz w:val="28"/>
          <w:szCs w:val="28"/>
        </w:rPr>
      </w:pPr>
      <w:r w:rsidRPr="00B86EDB">
        <w:rPr>
          <w:rFonts w:ascii="Times New Roman" w:hAnsi="Times New Roman" w:cs="Times New Roman"/>
          <w:b/>
          <w:bCs/>
          <w:sz w:val="28"/>
          <w:szCs w:val="28"/>
        </w:rPr>
        <w:t xml:space="preserve">TEMAS-SUBTEMAS </w:t>
      </w:r>
    </w:p>
    <w:p w:rsidR="00D17084" w:rsidRPr="00B86EDB" w:rsidRDefault="00D17084">
      <w:pPr>
        <w:widowControl w:val="0"/>
        <w:autoSpaceDE w:val="0"/>
        <w:autoSpaceDN w:val="0"/>
        <w:adjustRightInd w:val="0"/>
        <w:spacing w:after="0" w:line="240" w:lineRule="auto"/>
        <w:jc w:val="center"/>
        <w:rPr>
          <w:rFonts w:ascii="Times New Roman" w:hAnsi="Times New Roman" w:cs="Times New Roman"/>
          <w:b/>
          <w:bCs/>
          <w:sz w:val="28"/>
          <w:szCs w:val="28"/>
        </w:rPr>
      </w:pPr>
    </w:p>
    <w:p w:rsidR="00D17084" w:rsidRPr="00B86EDB" w:rsidRDefault="00560E3D">
      <w:pPr>
        <w:widowControl w:val="0"/>
        <w:autoSpaceDE w:val="0"/>
        <w:autoSpaceDN w:val="0"/>
        <w:adjustRightInd w:val="0"/>
        <w:spacing w:after="0" w:line="240" w:lineRule="auto"/>
        <w:jc w:val="center"/>
        <w:rPr>
          <w:rFonts w:ascii="Times New Roman" w:hAnsi="Times New Roman" w:cs="Times New Roman"/>
          <w:sz w:val="28"/>
          <w:szCs w:val="28"/>
        </w:rPr>
      </w:pPr>
      <w:r w:rsidRPr="00B86EDB">
        <w:rPr>
          <w:rFonts w:ascii="Times New Roman" w:hAnsi="Times New Roman" w:cs="Times New Roman"/>
          <w:b/>
          <w:bCs/>
          <w:sz w:val="28"/>
          <w:szCs w:val="28"/>
        </w:rPr>
        <w:t xml:space="preserve">Sentencia C-031/25 </w:t>
      </w:r>
    </w:p>
    <w:p w:rsidR="00D17084" w:rsidRPr="00B86EDB" w:rsidRDefault="00D17084">
      <w:pPr>
        <w:widowControl w:val="0"/>
        <w:autoSpaceDE w:val="0"/>
        <w:autoSpaceDN w:val="0"/>
        <w:adjustRightInd w:val="0"/>
        <w:spacing w:after="0" w:line="240" w:lineRule="auto"/>
        <w:jc w:val="both"/>
        <w:rPr>
          <w:rFonts w:ascii="Times New Roman" w:hAnsi="Times New Roman" w:cs="Times New Roman"/>
          <w:sz w:val="28"/>
          <w:szCs w:val="28"/>
        </w:rPr>
      </w:pPr>
    </w:p>
    <w:p w:rsidR="00D17084" w:rsidRPr="00B86EDB" w:rsidRDefault="00560E3D">
      <w:pPr>
        <w:widowControl w:val="0"/>
        <w:autoSpaceDE w:val="0"/>
        <w:autoSpaceDN w:val="0"/>
        <w:adjustRightInd w:val="0"/>
        <w:spacing w:after="0" w:line="240" w:lineRule="auto"/>
        <w:jc w:val="both"/>
        <w:rPr>
          <w:rFonts w:ascii="Times New Roman" w:hAnsi="Times New Roman" w:cs="Times New Roman"/>
          <w:sz w:val="28"/>
          <w:szCs w:val="28"/>
        </w:rPr>
      </w:pPr>
      <w:r w:rsidRPr="00B86EDB">
        <w:rPr>
          <w:rFonts w:ascii="Times New Roman" w:hAnsi="Times New Roman" w:cs="Times New Roman"/>
          <w:b/>
          <w:bCs/>
          <w:sz w:val="28"/>
          <w:szCs w:val="28"/>
        </w:rPr>
        <w:t>DEMANDA DE INCONSTITUCIONALIDAD CONTRA NORMA TRIBUTARIA</w:t>
      </w:r>
      <w:r w:rsidRPr="00B86EDB">
        <w:rPr>
          <w:rFonts w:ascii="Times New Roman" w:hAnsi="Times New Roman" w:cs="Times New Roman"/>
          <w:sz w:val="28"/>
          <w:szCs w:val="28"/>
        </w:rPr>
        <w:t xml:space="preserve">-Inhibición por ineptitud sustantiva de la demanda </w:t>
      </w:r>
    </w:p>
    <w:p w:rsidR="00D17084" w:rsidRPr="00B86EDB" w:rsidRDefault="00D17084">
      <w:pPr>
        <w:widowControl w:val="0"/>
        <w:autoSpaceDE w:val="0"/>
        <w:autoSpaceDN w:val="0"/>
        <w:adjustRightInd w:val="0"/>
        <w:spacing w:after="0" w:line="240" w:lineRule="auto"/>
        <w:jc w:val="both"/>
        <w:rPr>
          <w:rFonts w:ascii="Times New Roman" w:hAnsi="Times New Roman" w:cs="Times New Roman"/>
          <w:sz w:val="28"/>
          <w:szCs w:val="28"/>
        </w:rPr>
      </w:pPr>
    </w:p>
    <w:p w:rsidR="00D17084" w:rsidRPr="00B86EDB" w:rsidRDefault="00560E3D">
      <w:pPr>
        <w:widowControl w:val="0"/>
        <w:autoSpaceDE w:val="0"/>
        <w:autoSpaceDN w:val="0"/>
        <w:adjustRightInd w:val="0"/>
        <w:spacing w:after="0" w:line="240" w:lineRule="auto"/>
        <w:jc w:val="both"/>
        <w:rPr>
          <w:rFonts w:ascii="Times New Roman" w:hAnsi="Times New Roman" w:cs="Times New Roman"/>
          <w:sz w:val="28"/>
          <w:szCs w:val="28"/>
        </w:rPr>
      </w:pPr>
      <w:r w:rsidRPr="00B86EDB">
        <w:rPr>
          <w:rFonts w:ascii="Times New Roman" w:hAnsi="Times New Roman" w:cs="Times New Roman"/>
          <w:b/>
          <w:bCs/>
          <w:sz w:val="28"/>
          <w:szCs w:val="28"/>
        </w:rPr>
        <w:t>INHIBICION DE LA CORTE CONSTITUCIONAL</w:t>
      </w:r>
      <w:r w:rsidRPr="00B86EDB">
        <w:rPr>
          <w:rFonts w:ascii="Times New Roman" w:hAnsi="Times New Roman" w:cs="Times New Roman"/>
          <w:sz w:val="28"/>
          <w:szCs w:val="28"/>
        </w:rPr>
        <w:t xml:space="preserve">-Incumplimiento de requisitos exigidos en cargo por violación del principio de equidad tributaria </w:t>
      </w:r>
    </w:p>
    <w:p w:rsidR="00D17084" w:rsidRPr="00B86EDB" w:rsidRDefault="00D17084">
      <w:pPr>
        <w:widowControl w:val="0"/>
        <w:autoSpaceDE w:val="0"/>
        <w:autoSpaceDN w:val="0"/>
        <w:adjustRightInd w:val="0"/>
        <w:spacing w:after="0" w:line="240" w:lineRule="auto"/>
        <w:jc w:val="both"/>
        <w:rPr>
          <w:rFonts w:ascii="Times New Roman" w:hAnsi="Times New Roman" w:cs="Times New Roman"/>
          <w:sz w:val="28"/>
          <w:szCs w:val="28"/>
        </w:rPr>
      </w:pPr>
    </w:p>
    <w:p w:rsidR="00D17084" w:rsidRPr="00B86EDB" w:rsidRDefault="00560E3D">
      <w:pPr>
        <w:widowControl w:val="0"/>
        <w:autoSpaceDE w:val="0"/>
        <w:autoSpaceDN w:val="0"/>
        <w:adjustRightInd w:val="0"/>
        <w:spacing w:after="0" w:line="240" w:lineRule="auto"/>
        <w:jc w:val="both"/>
        <w:rPr>
          <w:rFonts w:ascii="Times New Roman" w:hAnsi="Times New Roman" w:cs="Times New Roman"/>
          <w:sz w:val="28"/>
          <w:szCs w:val="28"/>
        </w:rPr>
      </w:pPr>
      <w:r w:rsidRPr="00B86EDB">
        <w:rPr>
          <w:rFonts w:ascii="Times New Roman" w:hAnsi="Times New Roman" w:cs="Times New Roman"/>
          <w:b/>
          <w:bCs/>
          <w:sz w:val="28"/>
          <w:szCs w:val="28"/>
        </w:rPr>
        <w:t>INHIBICION DE LA CORTE CONSTITUCIONAL EN DEMANDA POR OMISION LEGISLATIVA</w:t>
      </w:r>
      <w:r w:rsidRPr="00B86EDB">
        <w:rPr>
          <w:rFonts w:ascii="Times New Roman" w:hAnsi="Times New Roman" w:cs="Times New Roman"/>
          <w:sz w:val="28"/>
          <w:szCs w:val="28"/>
        </w:rPr>
        <w:t xml:space="preserve">-Ineptitud sustantiva por incumplimiento de requisitos de suficiencia y especificidad </w:t>
      </w:r>
    </w:p>
    <w:p w:rsidR="00D17084" w:rsidRPr="00B86EDB" w:rsidRDefault="00D17084">
      <w:pPr>
        <w:widowControl w:val="0"/>
        <w:autoSpaceDE w:val="0"/>
        <w:autoSpaceDN w:val="0"/>
        <w:adjustRightInd w:val="0"/>
        <w:spacing w:after="0" w:line="240" w:lineRule="auto"/>
        <w:jc w:val="both"/>
        <w:rPr>
          <w:rFonts w:ascii="Times New Roman" w:hAnsi="Times New Roman" w:cs="Times New Roman"/>
          <w:sz w:val="28"/>
          <w:szCs w:val="28"/>
        </w:rPr>
      </w:pPr>
    </w:p>
    <w:p w:rsidR="00D17084" w:rsidRPr="00B86EDB" w:rsidRDefault="00560E3D">
      <w:pPr>
        <w:widowControl w:val="0"/>
        <w:autoSpaceDE w:val="0"/>
        <w:autoSpaceDN w:val="0"/>
        <w:adjustRightInd w:val="0"/>
        <w:spacing w:after="0" w:line="240" w:lineRule="auto"/>
        <w:jc w:val="both"/>
        <w:rPr>
          <w:rFonts w:ascii="Times New Roman" w:hAnsi="Times New Roman" w:cs="Times New Roman"/>
          <w:sz w:val="28"/>
          <w:szCs w:val="28"/>
        </w:rPr>
      </w:pPr>
      <w:r w:rsidRPr="00B86EDB">
        <w:rPr>
          <w:rFonts w:ascii="Times New Roman" w:hAnsi="Times New Roman" w:cs="Times New Roman"/>
          <w:b/>
          <w:bCs/>
          <w:sz w:val="28"/>
          <w:szCs w:val="28"/>
        </w:rPr>
        <w:t>DEMANDA DE INCONSTITUCIONALIDAD QUE PRETENDE EL CAMBIO DE PRECEDENTE CONSTITUCIONAL</w:t>
      </w:r>
      <w:r w:rsidRPr="00B86EDB">
        <w:rPr>
          <w:rFonts w:ascii="Times New Roman" w:hAnsi="Times New Roman" w:cs="Times New Roman"/>
          <w:sz w:val="28"/>
          <w:szCs w:val="28"/>
        </w:rPr>
        <w:t>-Requisitos</w:t>
      </w:r>
    </w:p>
    <w:p w:rsidR="00D17084" w:rsidRPr="00B86EDB" w:rsidRDefault="00D17084">
      <w:pPr>
        <w:widowControl w:val="0"/>
        <w:autoSpaceDE w:val="0"/>
        <w:autoSpaceDN w:val="0"/>
        <w:adjustRightInd w:val="0"/>
        <w:spacing w:after="0" w:line="240" w:lineRule="auto"/>
        <w:jc w:val="both"/>
        <w:rPr>
          <w:rFonts w:ascii="Times New Roman" w:hAnsi="Times New Roman" w:cs="Times New Roman"/>
          <w:sz w:val="28"/>
          <w:szCs w:val="28"/>
        </w:rPr>
      </w:pPr>
    </w:p>
    <w:p w:rsidR="00D17084" w:rsidRPr="00B86EDB" w:rsidRDefault="00560E3D">
      <w:pPr>
        <w:widowControl w:val="0"/>
        <w:autoSpaceDE w:val="0"/>
        <w:autoSpaceDN w:val="0"/>
        <w:adjustRightInd w:val="0"/>
        <w:spacing w:after="0" w:line="240" w:lineRule="auto"/>
        <w:jc w:val="both"/>
        <w:rPr>
          <w:rFonts w:ascii="Times New Roman" w:hAnsi="Times New Roman" w:cs="Times New Roman"/>
          <w:sz w:val="28"/>
          <w:szCs w:val="28"/>
        </w:rPr>
      </w:pPr>
      <w:r w:rsidRPr="00B86EDB">
        <w:rPr>
          <w:rFonts w:ascii="Times New Roman" w:hAnsi="Times New Roman" w:cs="Times New Roman"/>
          <w:i/>
          <w:iCs/>
          <w:sz w:val="28"/>
          <w:szCs w:val="28"/>
        </w:rPr>
        <w:t>Cuando un demandante pretende controvertir un precedente consolidado, debe cumplir con una carga argumentativa reforzada, lo que implica: (i) identificar claramente la existencia del precedente vigente y su regla de decisión; (ii) explicar de manera estructurada por qué el precedente debe ser revisado o modificado, sustentando que el criterio alternativo que propone desarrolla de mejor manera los principios constitucionales involucrados; y (iii) demostrar que existen cambios normativos, fácticos o conceptuales sustanciales que justifican la revisión del precedente.</w:t>
      </w:r>
    </w:p>
    <w:p w:rsidR="00D17084" w:rsidRPr="00B86EDB" w:rsidRDefault="00D17084">
      <w:pPr>
        <w:widowControl w:val="0"/>
        <w:autoSpaceDE w:val="0"/>
        <w:autoSpaceDN w:val="0"/>
        <w:adjustRightInd w:val="0"/>
        <w:spacing w:after="0" w:line="240" w:lineRule="auto"/>
        <w:jc w:val="both"/>
        <w:rPr>
          <w:rFonts w:ascii="Times New Roman" w:hAnsi="Times New Roman" w:cs="Times New Roman"/>
          <w:sz w:val="28"/>
          <w:szCs w:val="28"/>
        </w:rPr>
      </w:pPr>
    </w:p>
    <w:p w:rsidR="00D17084" w:rsidRPr="00B86EDB" w:rsidRDefault="00B86EDB">
      <w:pPr>
        <w:widowControl w:val="0"/>
        <w:autoSpaceDE w:val="0"/>
        <w:autoSpaceDN w:val="0"/>
        <w:adjustRightInd w:val="0"/>
        <w:spacing w:after="0" w:line="240" w:lineRule="auto"/>
        <w:jc w:val="both"/>
        <w:rPr>
          <w:rFonts w:ascii="Times New Roman" w:hAnsi="Times New Roman" w:cs="Times New Roman"/>
          <w:sz w:val="28"/>
        </w:rPr>
      </w:pPr>
      <w:r w:rsidRPr="00B86EDB">
        <w:rPr>
          <w:rFonts w:ascii="Times New Roman" w:hAnsi="Times New Roman" w:cs="Times New Roman"/>
          <w:sz w:val="28"/>
          <w:szCs w:val="28"/>
        </w:rPr>
        <w:pict>
          <v:rect id="_x0000_i1025" style="width:0;height:1.5pt" o:hralign="center" o:hrstd="t" o:hr="t" fillcolor="#a0a0a0" stroked="f"/>
        </w:pict>
      </w:r>
    </w:p>
    <w:p w:rsidR="00CC4B60" w:rsidRPr="00B86EDB" w:rsidRDefault="00B86EDB" w:rsidP="002E6B22">
      <w:pPr>
        <w:pStyle w:val="Encabezado"/>
        <w:tabs>
          <w:tab w:val="clear" w:pos="4419"/>
          <w:tab w:val="clear" w:pos="8838"/>
        </w:tabs>
        <w:jc w:val="center"/>
        <w:rPr>
          <w:rFonts w:ascii="Times New Roman" w:hAnsi="Times New Roman" w:cs="Times New Roman"/>
          <w:b/>
          <w:sz w:val="28"/>
          <w:szCs w:val="28"/>
        </w:rPr>
      </w:pPr>
      <w:r w:rsidRPr="00B86EDB">
        <w:rPr>
          <w:rFonts w:ascii="Times New Roman" w:hAnsi="Times New Roman" w:cs="Times New Roman"/>
          <w:b/>
          <w:sz w:val="28"/>
          <w:szCs w:val="28"/>
        </w:rPr>
        <w:t>REPÚBLICA DE COLOMBIA</w:t>
      </w:r>
    </w:p>
    <w:p w:rsidR="00CC4B60" w:rsidRPr="00B86EDB" w:rsidRDefault="00B86EDB" w:rsidP="002E6B22">
      <w:pPr>
        <w:pStyle w:val="Encabezado"/>
        <w:jc w:val="center"/>
        <w:rPr>
          <w:rFonts w:ascii="Times New Roman" w:hAnsi="Times New Roman" w:cs="Times New Roman"/>
          <w:b/>
          <w:sz w:val="28"/>
          <w:szCs w:val="28"/>
        </w:rPr>
      </w:pPr>
      <w:r w:rsidRPr="00B86EDB">
        <w:rPr>
          <w:rFonts w:ascii="Times New Roman" w:hAnsi="Times New Roman" w:cs="Times New Roman"/>
          <w:b/>
          <w:noProof/>
          <w:sz w:val="28"/>
          <w:szCs w:val="28"/>
        </w:rPr>
        <w:drawing>
          <wp:inline distT="0" distB="0" distL="0" distR="0" wp14:anchorId="50C51069" wp14:editId="6344D128">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CC4B60" w:rsidRPr="00B86EDB" w:rsidRDefault="00B86EDB" w:rsidP="002E6B22">
      <w:pPr>
        <w:pStyle w:val="Encabezado"/>
        <w:jc w:val="center"/>
        <w:rPr>
          <w:rFonts w:ascii="Times New Roman" w:hAnsi="Times New Roman" w:cs="Times New Roman"/>
          <w:b/>
          <w:sz w:val="28"/>
          <w:szCs w:val="28"/>
        </w:rPr>
      </w:pPr>
      <w:r w:rsidRPr="00B86EDB">
        <w:rPr>
          <w:rFonts w:ascii="Times New Roman" w:hAnsi="Times New Roman" w:cs="Times New Roman"/>
          <w:b/>
          <w:sz w:val="28"/>
          <w:szCs w:val="28"/>
        </w:rPr>
        <w:t>CORTE CONSTITUCIONAL</w:t>
      </w:r>
    </w:p>
    <w:p w:rsidR="00CC4B60" w:rsidRPr="00B86EDB" w:rsidRDefault="00B86EDB" w:rsidP="009F3F6A">
      <w:pPr>
        <w:jc w:val="center"/>
        <w:rPr>
          <w:rFonts w:ascii="Times New Roman" w:hAnsi="Times New Roman" w:cs="Times New Roman"/>
          <w:b/>
          <w:sz w:val="28"/>
          <w:szCs w:val="28"/>
        </w:rPr>
      </w:pPr>
    </w:p>
    <w:p w:rsidR="00F5627A" w:rsidRPr="00B86EDB" w:rsidRDefault="00B86EDB" w:rsidP="009F3F6A">
      <w:pPr>
        <w:jc w:val="center"/>
        <w:rPr>
          <w:rFonts w:ascii="Times New Roman" w:hAnsi="Times New Roman" w:cs="Times New Roman"/>
          <w:b/>
          <w:sz w:val="28"/>
          <w:szCs w:val="28"/>
        </w:rPr>
      </w:pPr>
      <w:r w:rsidRPr="00B86EDB">
        <w:rPr>
          <w:rFonts w:ascii="Times New Roman" w:hAnsi="Times New Roman" w:cs="Times New Roman"/>
          <w:b/>
          <w:sz w:val="28"/>
          <w:szCs w:val="28"/>
        </w:rPr>
        <w:t xml:space="preserve">SENTENCIA </w:t>
      </w:r>
      <w:r w:rsidRPr="00B86EDB">
        <w:rPr>
          <w:rFonts w:ascii="Times New Roman" w:hAnsi="Times New Roman" w:cs="Times New Roman"/>
          <w:b/>
          <w:sz w:val="28"/>
          <w:szCs w:val="28"/>
        </w:rPr>
        <w:t>C-</w:t>
      </w:r>
      <w:r w:rsidRPr="00B86EDB">
        <w:rPr>
          <w:rFonts w:ascii="Times New Roman" w:hAnsi="Times New Roman" w:cs="Times New Roman"/>
          <w:b/>
          <w:sz w:val="28"/>
          <w:szCs w:val="28"/>
        </w:rPr>
        <w:t>031</w:t>
      </w:r>
      <w:r w:rsidRPr="00B86EDB">
        <w:rPr>
          <w:rFonts w:ascii="Times New Roman" w:hAnsi="Times New Roman" w:cs="Times New Roman"/>
          <w:b/>
          <w:sz w:val="28"/>
          <w:szCs w:val="28"/>
        </w:rPr>
        <w:t xml:space="preserve"> </w:t>
      </w:r>
      <w:r w:rsidRPr="00B86EDB">
        <w:rPr>
          <w:rFonts w:ascii="Times New Roman" w:hAnsi="Times New Roman" w:cs="Times New Roman"/>
          <w:b/>
          <w:sz w:val="28"/>
          <w:szCs w:val="28"/>
        </w:rPr>
        <w:t>DE</w:t>
      </w:r>
      <w:r w:rsidRPr="00B86EDB">
        <w:rPr>
          <w:rFonts w:ascii="Times New Roman" w:hAnsi="Times New Roman" w:cs="Times New Roman"/>
          <w:b/>
          <w:sz w:val="28"/>
          <w:szCs w:val="28"/>
        </w:rPr>
        <w:t xml:space="preserve"> 202</w:t>
      </w:r>
      <w:r w:rsidRPr="00B86EDB">
        <w:rPr>
          <w:rFonts w:ascii="Times New Roman" w:hAnsi="Times New Roman" w:cs="Times New Roman"/>
          <w:b/>
          <w:sz w:val="28"/>
          <w:szCs w:val="28"/>
        </w:rPr>
        <w:t>5</w:t>
      </w:r>
    </w:p>
    <w:p w:rsidR="00703DB6" w:rsidRPr="00B86EDB" w:rsidRDefault="00B86EDB" w:rsidP="009F3F6A">
      <w:pPr>
        <w:jc w:val="center"/>
        <w:rPr>
          <w:rFonts w:ascii="Times New Roman" w:hAnsi="Times New Roman" w:cs="Times New Roman"/>
          <w:b/>
          <w:sz w:val="28"/>
          <w:szCs w:val="28"/>
        </w:rPr>
      </w:pPr>
    </w:p>
    <w:p w:rsidR="00CC1036" w:rsidRPr="00B86EDB" w:rsidRDefault="00B86EDB" w:rsidP="009F3F6A">
      <w:pPr>
        <w:ind w:left="3686"/>
        <w:jc w:val="both"/>
        <w:rPr>
          <w:rFonts w:ascii="Times New Roman" w:hAnsi="Times New Roman" w:cs="Times New Roman"/>
          <w:sz w:val="28"/>
          <w:szCs w:val="28"/>
        </w:rPr>
      </w:pPr>
      <w:r w:rsidRPr="00B86EDB">
        <w:rPr>
          <w:rFonts w:ascii="Times New Roman" w:hAnsi="Times New Roman" w:cs="Times New Roman"/>
          <w:b/>
          <w:sz w:val="28"/>
          <w:szCs w:val="28"/>
        </w:rPr>
        <w:t>Expediente:</w:t>
      </w:r>
      <w:bookmarkStart w:id="1" w:name="_Hlk54189211"/>
      <w:r w:rsidRPr="00B86EDB">
        <w:rPr>
          <w:rFonts w:ascii="Times New Roman" w:hAnsi="Times New Roman" w:cs="Times New Roman"/>
          <w:b/>
          <w:sz w:val="28"/>
          <w:szCs w:val="28"/>
        </w:rPr>
        <w:t xml:space="preserve"> </w:t>
      </w:r>
      <w:bookmarkEnd w:id="1"/>
      <w:r w:rsidRPr="00B86EDB">
        <w:rPr>
          <w:rFonts w:ascii="Times New Roman" w:hAnsi="Times New Roman" w:cs="Times New Roman"/>
          <w:sz w:val="28"/>
          <w:szCs w:val="28"/>
        </w:rPr>
        <w:t>D-15.273 y D-15.275 (acumulados)</w:t>
      </w:r>
    </w:p>
    <w:p w:rsidR="00703DB6" w:rsidRPr="00B86EDB" w:rsidRDefault="00B86EDB" w:rsidP="009F3F6A">
      <w:pPr>
        <w:ind w:left="3686"/>
        <w:jc w:val="both"/>
        <w:rPr>
          <w:rFonts w:ascii="Times New Roman" w:hAnsi="Times New Roman" w:cs="Times New Roman"/>
          <w:sz w:val="28"/>
          <w:szCs w:val="28"/>
        </w:rPr>
      </w:pPr>
    </w:p>
    <w:p w:rsidR="003F7E3A" w:rsidRPr="00B86EDB" w:rsidRDefault="00B86EDB" w:rsidP="009F3F6A">
      <w:pPr>
        <w:pStyle w:val="Style5"/>
        <w:widowControl/>
        <w:spacing w:line="240" w:lineRule="auto"/>
        <w:ind w:left="3686"/>
        <w:rPr>
          <w:rFonts w:ascii="Times New Roman" w:hAnsi="Times New Roman" w:cs="Times New Roman"/>
          <w:i/>
          <w:iCs/>
          <w:sz w:val="28"/>
          <w:szCs w:val="28"/>
          <w:bdr w:val="nil"/>
        </w:rPr>
      </w:pPr>
      <w:r w:rsidRPr="00B86EDB">
        <w:rPr>
          <w:rFonts w:ascii="Times New Roman" w:eastAsia="Times New Roman" w:hAnsi="Times New Roman" w:cs="Times New Roman"/>
          <w:sz w:val="28"/>
          <w:szCs w:val="28"/>
          <w:lang w:eastAsia="es-ES"/>
        </w:rPr>
        <w:t xml:space="preserve">Demanda de inconstitucionalidad </w:t>
      </w:r>
      <w:r w:rsidRPr="00B86EDB">
        <w:rPr>
          <w:rFonts w:ascii="Times New Roman" w:hAnsi="Times New Roman" w:cs="Times New Roman"/>
          <w:sz w:val="28"/>
          <w:szCs w:val="28"/>
          <w:bdr w:val="nil"/>
        </w:rPr>
        <w:t>contra los artículos 35</w:t>
      </w:r>
      <w:r w:rsidRPr="00B86EDB">
        <w:rPr>
          <w:rFonts w:ascii="Times New Roman" w:hAnsi="Times New Roman" w:cs="Times New Roman"/>
          <w:sz w:val="28"/>
          <w:szCs w:val="28"/>
          <w:bdr w:val="nil"/>
        </w:rPr>
        <w:t>.1</w:t>
      </w:r>
      <w:r w:rsidRPr="00B86EDB">
        <w:rPr>
          <w:rFonts w:ascii="Times New Roman" w:hAnsi="Times New Roman" w:cs="Times New Roman"/>
          <w:sz w:val="28"/>
          <w:szCs w:val="28"/>
          <w:bdr w:val="nil"/>
        </w:rPr>
        <w:t xml:space="preserve">, 36, 37, 38 y 39 de la Ley 2277 de 2022 </w:t>
      </w:r>
      <w:r w:rsidRPr="00B86EDB">
        <w:rPr>
          <w:rFonts w:ascii="Times New Roman" w:hAnsi="Times New Roman" w:cs="Times New Roman"/>
          <w:i/>
          <w:iCs/>
          <w:sz w:val="28"/>
          <w:szCs w:val="28"/>
          <w:bdr w:val="nil"/>
        </w:rPr>
        <w:t xml:space="preserve">“Por </w:t>
      </w:r>
      <w:r w:rsidRPr="00B86EDB">
        <w:rPr>
          <w:rFonts w:ascii="Times New Roman" w:hAnsi="Times New Roman" w:cs="Times New Roman"/>
          <w:i/>
          <w:iCs/>
          <w:sz w:val="28"/>
          <w:szCs w:val="28"/>
          <w:bdr w:val="nil"/>
        </w:rPr>
        <w:t>medio de la cual</w:t>
      </w:r>
      <w:r w:rsidRPr="00B86EDB">
        <w:rPr>
          <w:rFonts w:ascii="Times New Roman" w:hAnsi="Times New Roman" w:cs="Times New Roman"/>
          <w:i/>
          <w:iCs/>
          <w:sz w:val="28"/>
          <w:szCs w:val="28"/>
          <w:bdr w:val="nil"/>
        </w:rPr>
        <w:t xml:space="preserve"> se adopta una reforma tributaria para la igualdad y la justicia social y se dictan otras disposiciones”.</w:t>
      </w:r>
    </w:p>
    <w:p w:rsidR="00703DB6" w:rsidRPr="00B86EDB" w:rsidRDefault="00B86EDB" w:rsidP="009F3F6A">
      <w:pPr>
        <w:pStyle w:val="Style5"/>
        <w:widowControl/>
        <w:spacing w:line="240" w:lineRule="auto"/>
        <w:ind w:left="3686"/>
        <w:rPr>
          <w:rFonts w:ascii="Times New Roman" w:hAnsi="Times New Roman" w:cs="Times New Roman"/>
          <w:b/>
          <w:sz w:val="28"/>
          <w:szCs w:val="28"/>
        </w:rPr>
      </w:pPr>
    </w:p>
    <w:p w:rsidR="003F7E3A" w:rsidRPr="00B86EDB" w:rsidRDefault="00B86EDB" w:rsidP="009F3F6A">
      <w:pPr>
        <w:autoSpaceDE w:val="0"/>
        <w:autoSpaceDN w:val="0"/>
        <w:ind w:left="3686"/>
        <w:jc w:val="both"/>
        <w:rPr>
          <w:rFonts w:ascii="Times New Roman" w:hAnsi="Times New Roman" w:cs="Times New Roman"/>
          <w:sz w:val="28"/>
          <w:szCs w:val="28"/>
          <w:bdr w:val="nil"/>
        </w:rPr>
      </w:pPr>
      <w:r w:rsidRPr="00B86EDB">
        <w:rPr>
          <w:rFonts w:ascii="Times New Roman" w:hAnsi="Times New Roman" w:cs="Times New Roman"/>
          <w:b/>
          <w:sz w:val="28"/>
          <w:szCs w:val="28"/>
        </w:rPr>
        <w:t>Demandante</w:t>
      </w:r>
      <w:r w:rsidRPr="00B86EDB">
        <w:rPr>
          <w:rFonts w:ascii="Times New Roman" w:hAnsi="Times New Roman" w:cs="Times New Roman"/>
          <w:b/>
          <w:sz w:val="28"/>
          <w:szCs w:val="28"/>
        </w:rPr>
        <w:t>s</w:t>
      </w:r>
      <w:r w:rsidRPr="00B86EDB">
        <w:rPr>
          <w:rFonts w:ascii="Times New Roman" w:hAnsi="Times New Roman" w:cs="Times New Roman"/>
          <w:b/>
          <w:sz w:val="28"/>
          <w:szCs w:val="28"/>
        </w:rPr>
        <w:t xml:space="preserve">: </w:t>
      </w:r>
      <w:r w:rsidRPr="00B86EDB">
        <w:rPr>
          <w:rFonts w:ascii="Times New Roman" w:hAnsi="Times New Roman" w:cs="Times New Roman"/>
          <w:sz w:val="28"/>
          <w:szCs w:val="28"/>
          <w:bdr w:val="nil"/>
        </w:rPr>
        <w:t>Guillermo Otálora Lozano y Humberto Sierra Porto</w:t>
      </w:r>
    </w:p>
    <w:p w:rsidR="00703DB6" w:rsidRPr="00B86EDB" w:rsidRDefault="00B86EDB" w:rsidP="009F3F6A">
      <w:pPr>
        <w:autoSpaceDE w:val="0"/>
        <w:autoSpaceDN w:val="0"/>
        <w:ind w:left="3686"/>
        <w:jc w:val="both"/>
        <w:rPr>
          <w:rFonts w:ascii="Times New Roman" w:hAnsi="Times New Roman" w:cs="Times New Roman"/>
          <w:sz w:val="28"/>
          <w:szCs w:val="28"/>
        </w:rPr>
      </w:pPr>
    </w:p>
    <w:p w:rsidR="006C52B4" w:rsidRPr="00B86EDB" w:rsidRDefault="00B86EDB" w:rsidP="009F3F6A">
      <w:pPr>
        <w:ind w:left="3686"/>
        <w:jc w:val="both"/>
        <w:rPr>
          <w:rFonts w:ascii="Times New Roman" w:hAnsi="Times New Roman" w:cs="Times New Roman"/>
          <w:sz w:val="28"/>
          <w:szCs w:val="28"/>
        </w:rPr>
      </w:pPr>
      <w:r w:rsidRPr="00B86EDB">
        <w:rPr>
          <w:rFonts w:ascii="Times New Roman" w:hAnsi="Times New Roman" w:cs="Times New Roman"/>
          <w:b/>
          <w:sz w:val="28"/>
          <w:szCs w:val="28"/>
        </w:rPr>
        <w:t xml:space="preserve">Magistrado ponente: </w:t>
      </w:r>
      <w:r w:rsidRPr="00B86EDB">
        <w:rPr>
          <w:rFonts w:ascii="Times New Roman" w:hAnsi="Times New Roman" w:cs="Times New Roman"/>
          <w:sz w:val="28"/>
          <w:szCs w:val="28"/>
        </w:rPr>
        <w:t>Jorge Enrique Ibáñez Najar</w:t>
      </w:r>
    </w:p>
    <w:p w:rsidR="006C52B4" w:rsidRPr="00B86EDB" w:rsidRDefault="00B86EDB" w:rsidP="009F3F6A">
      <w:pPr>
        <w:tabs>
          <w:tab w:val="left" w:pos="8505"/>
        </w:tabs>
        <w:jc w:val="both"/>
        <w:rPr>
          <w:rFonts w:ascii="Times New Roman" w:hAnsi="Times New Roman" w:cs="Times New Roman"/>
          <w:sz w:val="28"/>
          <w:szCs w:val="28"/>
          <w:lang w:eastAsia="es-ES"/>
        </w:rPr>
      </w:pPr>
    </w:p>
    <w:p w:rsidR="00AF33D8" w:rsidRPr="00B86EDB" w:rsidRDefault="00B86EDB" w:rsidP="009F3F6A">
      <w:pPr>
        <w:tabs>
          <w:tab w:val="left" w:pos="8505"/>
        </w:tabs>
        <w:jc w:val="both"/>
        <w:rPr>
          <w:rFonts w:ascii="Times New Roman" w:hAnsi="Times New Roman" w:cs="Times New Roman"/>
          <w:sz w:val="28"/>
          <w:szCs w:val="28"/>
          <w:lang w:eastAsia="es-ES"/>
        </w:rPr>
      </w:pPr>
    </w:p>
    <w:p w:rsidR="008447A5" w:rsidRPr="00B86EDB" w:rsidRDefault="00B86EDB" w:rsidP="009F3F6A">
      <w:pPr>
        <w:tabs>
          <w:tab w:val="left" w:pos="8505"/>
        </w:tabs>
        <w:jc w:val="both"/>
        <w:rPr>
          <w:rFonts w:ascii="Times New Roman" w:hAnsi="Times New Roman" w:cs="Times New Roman"/>
          <w:sz w:val="28"/>
          <w:szCs w:val="28"/>
          <w:lang w:eastAsia="es-ES"/>
        </w:rPr>
      </w:pPr>
      <w:r w:rsidRPr="00B86EDB">
        <w:rPr>
          <w:rFonts w:ascii="Times New Roman" w:hAnsi="Times New Roman" w:cs="Times New Roman"/>
          <w:sz w:val="28"/>
          <w:szCs w:val="28"/>
          <w:lang w:eastAsia="es-ES"/>
        </w:rPr>
        <w:t xml:space="preserve">Bogotá D.C., </w:t>
      </w:r>
      <w:r w:rsidRPr="00B86EDB">
        <w:rPr>
          <w:rFonts w:ascii="Times New Roman" w:hAnsi="Times New Roman" w:cs="Times New Roman"/>
          <w:sz w:val="28"/>
          <w:szCs w:val="28"/>
          <w:lang w:eastAsia="es-ES"/>
        </w:rPr>
        <w:t>cuatro</w:t>
      </w:r>
      <w:r w:rsidRPr="00B86EDB">
        <w:rPr>
          <w:rFonts w:ascii="Times New Roman" w:hAnsi="Times New Roman" w:cs="Times New Roman"/>
          <w:sz w:val="28"/>
          <w:szCs w:val="28"/>
          <w:lang w:eastAsia="es-ES"/>
        </w:rPr>
        <w:t xml:space="preserve"> (</w:t>
      </w:r>
      <w:r w:rsidRPr="00B86EDB">
        <w:rPr>
          <w:rFonts w:ascii="Times New Roman" w:hAnsi="Times New Roman" w:cs="Times New Roman"/>
          <w:sz w:val="28"/>
          <w:szCs w:val="28"/>
          <w:lang w:eastAsia="es-ES"/>
        </w:rPr>
        <w:t>04</w:t>
      </w:r>
      <w:r w:rsidRPr="00B86EDB">
        <w:rPr>
          <w:rFonts w:ascii="Times New Roman" w:hAnsi="Times New Roman" w:cs="Times New Roman"/>
          <w:sz w:val="28"/>
          <w:szCs w:val="28"/>
          <w:lang w:eastAsia="es-ES"/>
        </w:rPr>
        <w:t xml:space="preserve">) de </w:t>
      </w:r>
      <w:r w:rsidRPr="00B86EDB">
        <w:rPr>
          <w:rFonts w:ascii="Times New Roman" w:hAnsi="Times New Roman" w:cs="Times New Roman"/>
          <w:sz w:val="28"/>
          <w:szCs w:val="28"/>
          <w:lang w:eastAsia="es-ES"/>
        </w:rPr>
        <w:t>febrero</w:t>
      </w:r>
      <w:r w:rsidRPr="00B86EDB">
        <w:rPr>
          <w:rFonts w:ascii="Times New Roman" w:hAnsi="Times New Roman" w:cs="Times New Roman"/>
          <w:sz w:val="28"/>
          <w:szCs w:val="28"/>
          <w:lang w:eastAsia="es-ES"/>
        </w:rPr>
        <w:t xml:space="preserve"> de dos mil </w:t>
      </w:r>
      <w:r w:rsidRPr="00B86EDB">
        <w:rPr>
          <w:rFonts w:ascii="Times New Roman" w:hAnsi="Times New Roman" w:cs="Times New Roman"/>
          <w:sz w:val="28"/>
          <w:szCs w:val="28"/>
          <w:lang w:eastAsia="es-ES"/>
        </w:rPr>
        <w:t>veinticinco</w:t>
      </w:r>
      <w:r w:rsidRPr="00B86EDB">
        <w:rPr>
          <w:rFonts w:ascii="Times New Roman" w:hAnsi="Times New Roman" w:cs="Times New Roman"/>
          <w:sz w:val="28"/>
          <w:szCs w:val="28"/>
          <w:lang w:eastAsia="es-ES"/>
        </w:rPr>
        <w:t xml:space="preserve"> </w:t>
      </w:r>
      <w:r w:rsidRPr="00B86EDB">
        <w:rPr>
          <w:rFonts w:ascii="Times New Roman" w:hAnsi="Times New Roman" w:cs="Times New Roman"/>
          <w:sz w:val="28"/>
          <w:szCs w:val="28"/>
          <w:lang w:eastAsia="es-ES"/>
        </w:rPr>
        <w:t>(202</w:t>
      </w:r>
      <w:r w:rsidRPr="00B86EDB">
        <w:rPr>
          <w:rFonts w:ascii="Times New Roman" w:hAnsi="Times New Roman" w:cs="Times New Roman"/>
          <w:sz w:val="28"/>
          <w:szCs w:val="28"/>
          <w:lang w:eastAsia="es-ES"/>
        </w:rPr>
        <w:t>5</w:t>
      </w:r>
      <w:r w:rsidRPr="00B86EDB">
        <w:rPr>
          <w:rFonts w:ascii="Times New Roman" w:hAnsi="Times New Roman" w:cs="Times New Roman"/>
          <w:sz w:val="28"/>
          <w:szCs w:val="28"/>
          <w:lang w:eastAsia="es-ES"/>
        </w:rPr>
        <w:t>)</w:t>
      </w:r>
    </w:p>
    <w:p w:rsidR="0008016E" w:rsidRPr="00B86EDB" w:rsidRDefault="00B86EDB" w:rsidP="009F3F6A">
      <w:pPr>
        <w:rPr>
          <w:rFonts w:ascii="Times New Roman" w:hAnsi="Times New Roman" w:cs="Times New Roman"/>
          <w:sz w:val="28"/>
          <w:szCs w:val="28"/>
        </w:rPr>
      </w:pPr>
    </w:p>
    <w:p w:rsidR="0008016E" w:rsidRPr="00B86EDB" w:rsidRDefault="00B86EDB" w:rsidP="009F3F6A">
      <w:pPr>
        <w:shd w:val="clear" w:color="auto" w:fill="FFFFFF"/>
        <w:jc w:val="both"/>
        <w:rPr>
          <w:rFonts w:ascii="Times New Roman" w:hAnsi="Times New Roman" w:cs="Times New Roman"/>
          <w:sz w:val="28"/>
          <w:szCs w:val="28"/>
        </w:rPr>
      </w:pPr>
      <w:r w:rsidRPr="00B86EDB">
        <w:rPr>
          <w:rFonts w:ascii="Times New Roman" w:hAnsi="Times New Roman" w:cs="Times New Roman"/>
          <w:sz w:val="28"/>
          <w:szCs w:val="28"/>
        </w:rPr>
        <w:t>La Sala Plena de la Corte Constitucional, en ejercicio de sus competencias constitucionales y legales, en especial las previstas por los ar</w:t>
      </w:r>
      <w:r w:rsidRPr="00B86EDB">
        <w:rPr>
          <w:rFonts w:ascii="Times New Roman" w:hAnsi="Times New Roman" w:cs="Times New Roman"/>
          <w:sz w:val="28"/>
          <w:szCs w:val="28"/>
        </w:rPr>
        <w:t>tículos 241 y 242 de la Constitución Política y en el Decreto Ley 2067 de 1991, profiere la siguiente</w:t>
      </w:r>
    </w:p>
    <w:p w:rsidR="0008016E" w:rsidRPr="00B86EDB" w:rsidRDefault="00B86EDB" w:rsidP="009F3F6A">
      <w:pPr>
        <w:shd w:val="clear" w:color="auto" w:fill="FFFFFF"/>
        <w:jc w:val="both"/>
        <w:rPr>
          <w:rFonts w:ascii="Times New Roman" w:hAnsi="Times New Roman" w:cs="Times New Roman"/>
          <w:sz w:val="28"/>
          <w:szCs w:val="28"/>
        </w:rPr>
      </w:pPr>
    </w:p>
    <w:p w:rsidR="008E17C3" w:rsidRPr="00B86EDB" w:rsidRDefault="00B86EDB" w:rsidP="009F3F6A">
      <w:pPr>
        <w:shd w:val="clear" w:color="auto" w:fill="FFFFFF"/>
        <w:jc w:val="both"/>
        <w:rPr>
          <w:rFonts w:ascii="Times New Roman" w:hAnsi="Times New Roman" w:cs="Times New Roman"/>
          <w:sz w:val="28"/>
          <w:szCs w:val="28"/>
        </w:rPr>
      </w:pPr>
    </w:p>
    <w:p w:rsidR="005E6D2A" w:rsidRPr="00B86EDB" w:rsidRDefault="00B86EDB" w:rsidP="009F3F6A">
      <w:pPr>
        <w:shd w:val="clear" w:color="auto" w:fill="FFFFFF"/>
        <w:jc w:val="center"/>
        <w:rPr>
          <w:rFonts w:ascii="Times New Roman" w:hAnsi="Times New Roman" w:cs="Times New Roman"/>
          <w:b/>
          <w:sz w:val="28"/>
          <w:szCs w:val="28"/>
        </w:rPr>
      </w:pPr>
      <w:r w:rsidRPr="00B86EDB">
        <w:rPr>
          <w:rFonts w:ascii="Times New Roman" w:hAnsi="Times New Roman" w:cs="Times New Roman"/>
          <w:b/>
          <w:sz w:val="28"/>
          <w:szCs w:val="28"/>
        </w:rPr>
        <w:t>SENTENCIA</w:t>
      </w:r>
    </w:p>
    <w:p w:rsidR="00B34E4B" w:rsidRPr="00B86EDB" w:rsidRDefault="00B86EDB" w:rsidP="009F3F6A">
      <w:pPr>
        <w:shd w:val="clear" w:color="auto" w:fill="FFFFFF"/>
        <w:rPr>
          <w:rFonts w:ascii="Times New Roman" w:hAnsi="Times New Roman" w:cs="Times New Roman"/>
          <w:b/>
          <w:sz w:val="28"/>
          <w:szCs w:val="28"/>
        </w:rPr>
      </w:pPr>
    </w:p>
    <w:p w:rsidR="00B34E4B" w:rsidRPr="00B86EDB" w:rsidRDefault="00B86EDB" w:rsidP="009F3F6A">
      <w:pPr>
        <w:pStyle w:val="Prrafodelista"/>
        <w:autoSpaceDE w:val="0"/>
        <w:autoSpaceDN w:val="0"/>
        <w:ind w:left="0"/>
        <w:contextualSpacing w:val="0"/>
        <w:jc w:val="both"/>
        <w:rPr>
          <w:rFonts w:ascii="Times New Roman" w:hAnsi="Times New Roman" w:cs="Times New Roman"/>
          <w:b/>
          <w:bCs/>
          <w:sz w:val="28"/>
          <w:szCs w:val="28"/>
        </w:rPr>
      </w:pPr>
      <w:r w:rsidRPr="00B86EDB">
        <w:rPr>
          <w:rFonts w:ascii="Times New Roman" w:hAnsi="Times New Roman" w:cs="Times New Roman"/>
          <w:b/>
          <w:bCs/>
          <w:sz w:val="28"/>
          <w:szCs w:val="28"/>
        </w:rPr>
        <w:t>Síntesis de la decisión</w:t>
      </w:r>
    </w:p>
    <w:p w:rsidR="00B34E4B" w:rsidRPr="00B86EDB" w:rsidRDefault="00B86EDB" w:rsidP="009F3F6A">
      <w:pPr>
        <w:jc w:val="both"/>
        <w:rPr>
          <w:rFonts w:ascii="Times New Roman" w:hAnsi="Times New Roman" w:cs="Times New Roman"/>
          <w:sz w:val="28"/>
          <w:szCs w:val="28"/>
        </w:rPr>
      </w:pPr>
    </w:p>
    <w:p w:rsidR="00B34E4B" w:rsidRPr="00B86EDB" w:rsidRDefault="00B86EDB" w:rsidP="009F3F6A">
      <w:pPr>
        <w:jc w:val="both"/>
        <w:rPr>
          <w:rFonts w:ascii="Times New Roman" w:hAnsi="Times New Roman" w:cs="Times New Roman"/>
          <w:sz w:val="28"/>
          <w:szCs w:val="28"/>
        </w:rPr>
      </w:pPr>
      <w:r w:rsidRPr="00B86EDB">
        <w:rPr>
          <w:rFonts w:ascii="Times New Roman" w:hAnsi="Times New Roman" w:cs="Times New Roman"/>
          <w:sz w:val="28"/>
          <w:szCs w:val="28"/>
        </w:rPr>
        <w:t xml:space="preserve">En esta oportunidad, la Corte Constitucional analizó las demandas presentadas por los ciudadanos Guillermo Otálora </w:t>
      </w:r>
      <w:r w:rsidRPr="00B86EDB">
        <w:rPr>
          <w:rFonts w:ascii="Times New Roman" w:hAnsi="Times New Roman" w:cs="Times New Roman"/>
          <w:sz w:val="28"/>
          <w:szCs w:val="28"/>
        </w:rPr>
        <w:t>Lozano y Humberto Antonio Sierra Porto contra las disposiciones de la Ley 2277 de 2022 que regulan el impuesto al patrimonio. A juicio de los demandantes, el tributo desconoce los principios de equidad y progresividad tributaria, genera un escenario de dob</w:t>
      </w:r>
      <w:r w:rsidRPr="00B86EDB">
        <w:rPr>
          <w:rFonts w:ascii="Times New Roman" w:hAnsi="Times New Roman" w:cs="Times New Roman"/>
          <w:sz w:val="28"/>
          <w:szCs w:val="28"/>
        </w:rPr>
        <w:t>le tributación inconstitucional y configura una carga confiscatoria que afecta desproporcionadamente a los contribuyentes sin liquidez suficiente para asumir la obligación fiscal.</w:t>
      </w:r>
    </w:p>
    <w:p w:rsidR="00B34E4B" w:rsidRPr="00B86EDB" w:rsidRDefault="00B86EDB" w:rsidP="009F3F6A">
      <w:pPr>
        <w:pStyle w:val="Prrafodelista"/>
        <w:ind w:left="0"/>
        <w:contextualSpacing w:val="0"/>
        <w:jc w:val="both"/>
        <w:rPr>
          <w:rFonts w:ascii="Times New Roman" w:hAnsi="Times New Roman" w:cs="Times New Roman"/>
          <w:sz w:val="28"/>
          <w:szCs w:val="28"/>
        </w:rPr>
      </w:pPr>
    </w:p>
    <w:p w:rsidR="00B34E4B" w:rsidRPr="00B86EDB" w:rsidRDefault="00B86EDB" w:rsidP="009F3F6A">
      <w:pPr>
        <w:jc w:val="both"/>
        <w:rPr>
          <w:rFonts w:ascii="Times New Roman" w:hAnsi="Times New Roman" w:cs="Times New Roman"/>
          <w:sz w:val="28"/>
          <w:szCs w:val="28"/>
        </w:rPr>
      </w:pPr>
      <w:r w:rsidRPr="00B86EDB">
        <w:rPr>
          <w:rFonts w:ascii="Times New Roman" w:hAnsi="Times New Roman" w:cs="Times New Roman"/>
          <w:sz w:val="28"/>
          <w:szCs w:val="28"/>
        </w:rPr>
        <w:t>Luego de examinar la aptitud sustantiva de la</w:t>
      </w:r>
      <w:r w:rsidRPr="00B86EDB">
        <w:rPr>
          <w:rFonts w:ascii="Times New Roman" w:hAnsi="Times New Roman" w:cs="Times New Roman"/>
          <w:sz w:val="28"/>
          <w:szCs w:val="28"/>
        </w:rPr>
        <w:t>s</w:t>
      </w:r>
      <w:r w:rsidRPr="00B86EDB">
        <w:rPr>
          <w:rFonts w:ascii="Times New Roman" w:hAnsi="Times New Roman" w:cs="Times New Roman"/>
          <w:sz w:val="28"/>
          <w:szCs w:val="28"/>
        </w:rPr>
        <w:t xml:space="preserve"> demanda</w:t>
      </w:r>
      <w:r w:rsidRPr="00B86EDB">
        <w:rPr>
          <w:rFonts w:ascii="Times New Roman" w:hAnsi="Times New Roman" w:cs="Times New Roman"/>
          <w:sz w:val="28"/>
          <w:szCs w:val="28"/>
        </w:rPr>
        <w:t>s</w:t>
      </w:r>
      <w:r w:rsidRPr="00B86EDB">
        <w:rPr>
          <w:rFonts w:ascii="Times New Roman" w:hAnsi="Times New Roman" w:cs="Times New Roman"/>
          <w:sz w:val="28"/>
          <w:szCs w:val="28"/>
        </w:rPr>
        <w:t xml:space="preserve">, la Corte encontró </w:t>
      </w:r>
      <w:r w:rsidRPr="00B86EDB">
        <w:rPr>
          <w:rFonts w:ascii="Times New Roman" w:hAnsi="Times New Roman" w:cs="Times New Roman"/>
          <w:sz w:val="28"/>
          <w:szCs w:val="28"/>
        </w:rPr>
        <w:t>que los cargos formulados no cumplen con los requisitos de especificidad y suficiencia. En primer lugar, en lo que respecta al cargo por vulneración del principio de equidad horizontal, la Sala advirtió que los demandantes no desarrollaron una argumentació</w:t>
      </w:r>
      <w:r w:rsidRPr="00B86EDB">
        <w:rPr>
          <w:rFonts w:ascii="Times New Roman" w:hAnsi="Times New Roman" w:cs="Times New Roman"/>
          <w:sz w:val="28"/>
          <w:szCs w:val="28"/>
        </w:rPr>
        <w:t>n suficiente para demostrar que la disponibilidad de liquidez constituye un criterio jurídicamente relevante dentro del diseño del impuesto al patrimonio. Si bien identificaron grupos sujetos a comparación, omitieron justificar en qué medida la ausencia de</w:t>
      </w:r>
      <w:r w:rsidRPr="00B86EDB">
        <w:rPr>
          <w:rFonts w:ascii="Times New Roman" w:hAnsi="Times New Roman" w:cs="Times New Roman"/>
          <w:sz w:val="28"/>
          <w:szCs w:val="28"/>
        </w:rPr>
        <w:t xml:space="preserve"> diferenciación en función de la liquidez introduce una discriminación inconstitucional o afecta la capacidad contributiva de manera irrazonable.</w:t>
      </w:r>
    </w:p>
    <w:p w:rsidR="00B34E4B" w:rsidRPr="00B86EDB" w:rsidRDefault="00B86EDB" w:rsidP="009F3F6A">
      <w:pPr>
        <w:jc w:val="both"/>
        <w:rPr>
          <w:rFonts w:ascii="Times New Roman" w:hAnsi="Times New Roman" w:cs="Times New Roman"/>
          <w:sz w:val="28"/>
          <w:szCs w:val="28"/>
        </w:rPr>
      </w:pPr>
    </w:p>
    <w:p w:rsidR="00B34E4B" w:rsidRPr="00B86EDB" w:rsidRDefault="00B86EDB" w:rsidP="009F3F6A">
      <w:pPr>
        <w:jc w:val="both"/>
        <w:rPr>
          <w:rFonts w:ascii="Times New Roman" w:hAnsi="Times New Roman" w:cs="Times New Roman"/>
          <w:sz w:val="28"/>
          <w:szCs w:val="28"/>
        </w:rPr>
      </w:pPr>
      <w:r w:rsidRPr="00B86EDB">
        <w:rPr>
          <w:rFonts w:ascii="Times New Roman" w:hAnsi="Times New Roman" w:cs="Times New Roman"/>
          <w:sz w:val="28"/>
          <w:szCs w:val="28"/>
        </w:rPr>
        <w:t>En relación con el cargo por confiscatoriedad, la Corte observó que la argumentación presentada por los actor</w:t>
      </w:r>
      <w:r w:rsidRPr="00B86EDB">
        <w:rPr>
          <w:rFonts w:ascii="Times New Roman" w:hAnsi="Times New Roman" w:cs="Times New Roman"/>
          <w:sz w:val="28"/>
          <w:szCs w:val="28"/>
        </w:rPr>
        <w:t>es no aportó elementos técnicos que permitan concluir que el impuesto al patrimonio impone una carga fiscal irrazonable o desproporcionada. La proyección de escenarios en los que el tributo podría reducir progresivamente el acervo patrimonial de los contri</w:t>
      </w:r>
      <w:r w:rsidRPr="00B86EDB">
        <w:rPr>
          <w:rFonts w:ascii="Times New Roman" w:hAnsi="Times New Roman" w:cs="Times New Roman"/>
          <w:sz w:val="28"/>
          <w:szCs w:val="28"/>
        </w:rPr>
        <w:t>buyentes no fue acompañada de un análisis estructurado sobre la forma en que el gravamen interactúa con otros impuestos o sobre los mecanismos de ajuste y progresividad previstos en la norma demandada. En ausencia de un estudio riguroso que permita estable</w:t>
      </w:r>
      <w:r w:rsidRPr="00B86EDB">
        <w:rPr>
          <w:rFonts w:ascii="Times New Roman" w:hAnsi="Times New Roman" w:cs="Times New Roman"/>
          <w:sz w:val="28"/>
          <w:szCs w:val="28"/>
        </w:rPr>
        <w:t>cer un impacto generalizado del tributo sobre la capacidad económica de los sujetos pasivos, la Corte concluyó que el cargo carece de suficiencia argumentativa.</w:t>
      </w:r>
    </w:p>
    <w:p w:rsidR="00B34E4B" w:rsidRPr="00B86EDB" w:rsidRDefault="00B86EDB" w:rsidP="009F3F6A">
      <w:pPr>
        <w:jc w:val="both"/>
        <w:rPr>
          <w:rFonts w:ascii="Times New Roman" w:hAnsi="Times New Roman" w:cs="Times New Roman"/>
          <w:sz w:val="28"/>
          <w:szCs w:val="28"/>
        </w:rPr>
      </w:pPr>
    </w:p>
    <w:p w:rsidR="00B34E4B" w:rsidRPr="00B86EDB" w:rsidRDefault="00B86EDB" w:rsidP="009F3F6A">
      <w:pPr>
        <w:jc w:val="both"/>
        <w:rPr>
          <w:rFonts w:ascii="Times New Roman" w:hAnsi="Times New Roman" w:cs="Times New Roman"/>
          <w:sz w:val="28"/>
          <w:szCs w:val="28"/>
        </w:rPr>
      </w:pPr>
      <w:r w:rsidRPr="00B86EDB">
        <w:rPr>
          <w:rFonts w:ascii="Times New Roman" w:hAnsi="Times New Roman" w:cs="Times New Roman"/>
          <w:sz w:val="28"/>
          <w:szCs w:val="28"/>
        </w:rPr>
        <w:t>Por otro lado, respecto del cargo por doble tributación, la Corte encontró que los demandantes</w:t>
      </w:r>
      <w:r w:rsidRPr="00B86EDB">
        <w:rPr>
          <w:rFonts w:ascii="Times New Roman" w:hAnsi="Times New Roman" w:cs="Times New Roman"/>
          <w:sz w:val="28"/>
          <w:szCs w:val="28"/>
        </w:rPr>
        <w:t xml:space="preserve"> no demostraron con claridad en qué medida la coexistencia del impuesto al patrimonio con otros tributos patrimoniales genera una afectación inconstitucional. La jurisprudencia ha sido clara en que la superposición de gravámenes sobre una misma base económ</w:t>
      </w:r>
      <w:r w:rsidRPr="00B86EDB">
        <w:rPr>
          <w:rFonts w:ascii="Times New Roman" w:hAnsi="Times New Roman" w:cs="Times New Roman"/>
          <w:sz w:val="28"/>
          <w:szCs w:val="28"/>
        </w:rPr>
        <w:t>ica no es, por sí sola, violatoria de la Constitución, salvo que se demuestre una carga excesiva que vulnere la capacidad contributiva. En este caso, la falta de un análisis detallado sobre los elementos estructurales de cada tributo y la omisión de un exa</w:t>
      </w:r>
      <w:r w:rsidRPr="00B86EDB">
        <w:rPr>
          <w:rFonts w:ascii="Times New Roman" w:hAnsi="Times New Roman" w:cs="Times New Roman"/>
          <w:sz w:val="28"/>
          <w:szCs w:val="28"/>
        </w:rPr>
        <w:t>men riguroso sobre el impacto acumulado de la carga fiscal impiden que el cargo supere el umbral de suficiencia exigido por la Corte.</w:t>
      </w:r>
    </w:p>
    <w:p w:rsidR="00B34E4B" w:rsidRPr="00B86EDB" w:rsidRDefault="00B86EDB" w:rsidP="009F3F6A">
      <w:pPr>
        <w:jc w:val="both"/>
        <w:rPr>
          <w:rFonts w:ascii="Times New Roman" w:hAnsi="Times New Roman" w:cs="Times New Roman"/>
          <w:sz w:val="28"/>
          <w:szCs w:val="28"/>
        </w:rPr>
      </w:pPr>
    </w:p>
    <w:p w:rsidR="00B34E4B" w:rsidRPr="00B86EDB" w:rsidRDefault="00B86EDB" w:rsidP="009F3F6A">
      <w:pPr>
        <w:jc w:val="both"/>
        <w:rPr>
          <w:rFonts w:ascii="Times New Roman" w:hAnsi="Times New Roman" w:cs="Times New Roman"/>
          <w:sz w:val="28"/>
          <w:szCs w:val="28"/>
        </w:rPr>
      </w:pPr>
      <w:r w:rsidRPr="00B86EDB">
        <w:rPr>
          <w:rFonts w:ascii="Times New Roman" w:hAnsi="Times New Roman" w:cs="Times New Roman"/>
          <w:sz w:val="28"/>
          <w:szCs w:val="28"/>
        </w:rPr>
        <w:t>Finalmente, en lo que respecta a la controversia sobre el precedente constitucional relacionado con la competencia tribut</w:t>
      </w:r>
      <w:r w:rsidRPr="00B86EDB">
        <w:rPr>
          <w:rFonts w:ascii="Times New Roman" w:hAnsi="Times New Roman" w:cs="Times New Roman"/>
          <w:sz w:val="28"/>
          <w:szCs w:val="28"/>
        </w:rPr>
        <w:t>aria de los municipios en materia de impuestos sobre la propiedad inmueble, la Corte encontró que el demandante no cumplió con la carga argumentativa reforzada exigida para solicitar la revisión de un criterio jurisprudencial vigente. Si bien sostuvo que e</w:t>
      </w:r>
      <w:r w:rsidRPr="00B86EDB">
        <w:rPr>
          <w:rFonts w:ascii="Times New Roman" w:hAnsi="Times New Roman" w:cs="Times New Roman"/>
          <w:sz w:val="28"/>
          <w:szCs w:val="28"/>
        </w:rPr>
        <w:t xml:space="preserve">l impuesto al patrimonio tiene un impacto sobre la propiedad inmobiliaria, no presentó razones de peso </w:t>
      </w:r>
      <w:r w:rsidRPr="00B86EDB">
        <w:rPr>
          <w:rFonts w:ascii="Times New Roman" w:hAnsi="Times New Roman" w:cs="Times New Roman"/>
          <w:sz w:val="28"/>
          <w:szCs w:val="28"/>
        </w:rPr>
        <w:t>para</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demostrar</w:t>
      </w:r>
      <w:r w:rsidRPr="00B86EDB">
        <w:rPr>
          <w:rFonts w:ascii="Times New Roman" w:hAnsi="Times New Roman" w:cs="Times New Roman"/>
          <w:sz w:val="28"/>
          <w:szCs w:val="28"/>
        </w:rPr>
        <w:t xml:space="preserve"> la existencia de cambios normativos o fácticos que ameriten un replanteamiento del precedente.</w:t>
      </w:r>
    </w:p>
    <w:p w:rsidR="00B34E4B" w:rsidRPr="00B86EDB" w:rsidRDefault="00B86EDB" w:rsidP="009F3F6A">
      <w:pPr>
        <w:jc w:val="both"/>
        <w:rPr>
          <w:rFonts w:ascii="Times New Roman" w:hAnsi="Times New Roman" w:cs="Times New Roman"/>
          <w:sz w:val="28"/>
          <w:szCs w:val="28"/>
        </w:rPr>
      </w:pPr>
    </w:p>
    <w:p w:rsidR="00B34E4B" w:rsidRPr="00B86EDB" w:rsidRDefault="00B86EDB" w:rsidP="009F3F6A">
      <w:pPr>
        <w:jc w:val="both"/>
        <w:rPr>
          <w:rFonts w:ascii="Times New Roman" w:hAnsi="Times New Roman" w:cs="Times New Roman"/>
          <w:sz w:val="28"/>
          <w:szCs w:val="28"/>
        </w:rPr>
      </w:pPr>
      <w:r w:rsidRPr="00B86EDB">
        <w:rPr>
          <w:rFonts w:ascii="Times New Roman" w:hAnsi="Times New Roman" w:cs="Times New Roman"/>
          <w:sz w:val="28"/>
          <w:szCs w:val="28"/>
        </w:rPr>
        <w:t>En vista de las deficiencias argumentativa</w:t>
      </w:r>
      <w:r w:rsidRPr="00B86EDB">
        <w:rPr>
          <w:rFonts w:ascii="Times New Roman" w:hAnsi="Times New Roman" w:cs="Times New Roman"/>
          <w:sz w:val="28"/>
          <w:szCs w:val="28"/>
        </w:rPr>
        <w:t xml:space="preserve">s identificadas, la Corte concluyó que los cargos formulados en las demandas D-15.273 y D-15.275 no cumplen con los requisitos mínimos exigidos en el artículo 2 del Decreto 2067 de 1991 y en la jurisprudencia constitucional. Al no contar con los elementos </w:t>
      </w:r>
      <w:r w:rsidRPr="00B86EDB">
        <w:rPr>
          <w:rFonts w:ascii="Times New Roman" w:hAnsi="Times New Roman" w:cs="Times New Roman"/>
          <w:sz w:val="28"/>
          <w:szCs w:val="28"/>
        </w:rPr>
        <w:t>necesarios para realizar un examen de fondo sobre la constitucionalidad de las disposiciones demandadas, la Corte profirió una sentencia inhibitoria.</w:t>
      </w:r>
    </w:p>
    <w:p w:rsidR="00702272" w:rsidRPr="00B86EDB" w:rsidRDefault="00B86EDB" w:rsidP="009F3F6A">
      <w:pPr>
        <w:jc w:val="both"/>
        <w:rPr>
          <w:rFonts w:ascii="Times New Roman" w:hAnsi="Times New Roman" w:cs="Times New Roman"/>
          <w:sz w:val="28"/>
          <w:szCs w:val="28"/>
        </w:rPr>
      </w:pPr>
    </w:p>
    <w:p w:rsidR="00702272" w:rsidRPr="00B86EDB" w:rsidRDefault="00B86EDB" w:rsidP="009F3F6A">
      <w:pPr>
        <w:jc w:val="both"/>
        <w:rPr>
          <w:rFonts w:ascii="Times New Roman" w:hAnsi="Times New Roman" w:cs="Times New Roman"/>
          <w:sz w:val="28"/>
          <w:szCs w:val="28"/>
        </w:rPr>
      </w:pPr>
    </w:p>
    <w:p w:rsidR="005E6D2A" w:rsidRPr="00B86EDB" w:rsidRDefault="00B86EDB" w:rsidP="009F3F6A">
      <w:pPr>
        <w:pStyle w:val="Ttulo1"/>
        <w:numPr>
          <w:ilvl w:val="0"/>
          <w:numId w:val="3"/>
        </w:numPr>
        <w:spacing w:before="0"/>
        <w:ind w:left="720"/>
        <w:rPr>
          <w:rFonts w:ascii="Times New Roman" w:hAnsi="Times New Roman" w:cs="Times New Roman"/>
          <w:b/>
          <w:bCs/>
          <w:color w:val="auto"/>
          <w:sz w:val="28"/>
          <w:szCs w:val="28"/>
        </w:rPr>
      </w:pPr>
      <w:r w:rsidRPr="00B86EDB">
        <w:rPr>
          <w:rFonts w:ascii="Times New Roman" w:hAnsi="Times New Roman" w:cs="Times New Roman"/>
          <w:b/>
          <w:bCs/>
          <w:color w:val="auto"/>
          <w:sz w:val="28"/>
          <w:szCs w:val="28"/>
        </w:rPr>
        <w:t>ANTECEDENTES</w:t>
      </w:r>
    </w:p>
    <w:p w:rsidR="005E6D2A" w:rsidRPr="00B86EDB" w:rsidRDefault="00B86EDB" w:rsidP="009F3F6A">
      <w:pPr>
        <w:rPr>
          <w:rFonts w:ascii="Times New Roman" w:hAnsi="Times New Roman" w:cs="Times New Roman"/>
          <w:sz w:val="28"/>
          <w:szCs w:val="28"/>
        </w:rPr>
      </w:pPr>
    </w:p>
    <w:p w:rsidR="005E6D2A"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i/>
          <w:iCs/>
          <w:sz w:val="28"/>
          <w:szCs w:val="28"/>
        </w:rPr>
      </w:pPr>
      <w:bookmarkStart w:id="2" w:name="_Hlk190374565"/>
      <w:r w:rsidRPr="00B86EDB">
        <w:rPr>
          <w:rFonts w:ascii="Times New Roman" w:hAnsi="Times New Roman" w:cs="Times New Roman"/>
          <w:sz w:val="28"/>
          <w:szCs w:val="28"/>
        </w:rPr>
        <w:t xml:space="preserve">El </w:t>
      </w:r>
      <w:r w:rsidRPr="00B86EDB">
        <w:rPr>
          <w:rFonts w:ascii="Times New Roman" w:hAnsi="Times New Roman" w:cs="Times New Roman"/>
          <w:sz w:val="28"/>
          <w:szCs w:val="28"/>
        </w:rPr>
        <w:t xml:space="preserve">ciudadano </w:t>
      </w:r>
      <w:r w:rsidRPr="00B86EDB">
        <w:rPr>
          <w:rFonts w:ascii="Times New Roman" w:hAnsi="Times New Roman" w:cs="Times New Roman"/>
          <w:sz w:val="28"/>
          <w:szCs w:val="28"/>
        </w:rPr>
        <w:t xml:space="preserve">Guillermo Otálora Lozano presentó demanda de inconstitucionalidad contra los </w:t>
      </w:r>
      <w:r w:rsidRPr="00B86EDB">
        <w:rPr>
          <w:rFonts w:ascii="Times New Roman" w:hAnsi="Times New Roman" w:cs="Times New Roman"/>
          <w:sz w:val="28"/>
          <w:szCs w:val="28"/>
        </w:rPr>
        <w:t>artículos 35.1,</w:t>
      </w:r>
      <w:r w:rsidRPr="00B86EDB">
        <w:rPr>
          <w:rStyle w:val="Refdenotaalpie"/>
          <w:rFonts w:ascii="Times New Roman" w:hAnsi="Times New Roman" w:cs="Times New Roman"/>
          <w:sz w:val="28"/>
          <w:szCs w:val="28"/>
        </w:rPr>
        <w:footnoteReference w:id="1"/>
      </w:r>
      <w:r w:rsidRPr="00B86EDB">
        <w:rPr>
          <w:rFonts w:ascii="Times New Roman" w:hAnsi="Times New Roman" w:cs="Times New Roman"/>
          <w:sz w:val="28"/>
          <w:szCs w:val="28"/>
        </w:rPr>
        <w:t xml:space="preserve"> 36, 37, 38 y 39 de la Ley 2277 de 2022 bajo el radicado D-15.273. El ciudadano Otálora Lozano señaló que las disposiciones acusadas violan los artículos 48, 58, 95-9, 317 y 363 de la Constitución Política. Para desarrollar esa posición, el</w:t>
      </w:r>
      <w:r w:rsidRPr="00B86EDB">
        <w:rPr>
          <w:rFonts w:ascii="Times New Roman" w:hAnsi="Times New Roman" w:cs="Times New Roman"/>
          <w:sz w:val="28"/>
          <w:szCs w:val="28"/>
        </w:rPr>
        <w:t xml:space="preserve"> demandante formuló cinco cargos, cada uno sustentado en la supuesta vulneración de alguna de las disposiciones constitucionales señaladas</w:t>
      </w:r>
      <w:r w:rsidRPr="00B86EDB">
        <w:rPr>
          <w:rFonts w:ascii="Times New Roman" w:hAnsi="Times New Roman" w:cs="Times New Roman"/>
          <w:i/>
          <w:iCs/>
          <w:sz w:val="28"/>
          <w:szCs w:val="28"/>
        </w:rPr>
        <w:t>.</w:t>
      </w:r>
    </w:p>
    <w:p w:rsidR="005E6D2A" w:rsidRPr="00B86EDB" w:rsidRDefault="00B86EDB" w:rsidP="009F3F6A">
      <w:pPr>
        <w:pStyle w:val="Prrafodelista"/>
        <w:ind w:left="0"/>
        <w:contextualSpacing w:val="0"/>
        <w:rPr>
          <w:rFonts w:ascii="Times New Roman" w:hAnsi="Times New Roman" w:cs="Times New Roman"/>
          <w:sz w:val="28"/>
          <w:szCs w:val="28"/>
        </w:rPr>
      </w:pPr>
    </w:p>
    <w:p w:rsidR="005E6D2A"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El ciudadano Humberto Sierra Porto presentó demanda de inconstitucionalidad contra los artículos 35.1, 36, 37, 38 y</w:t>
      </w:r>
      <w:r w:rsidRPr="00B86EDB">
        <w:rPr>
          <w:rFonts w:ascii="Times New Roman" w:hAnsi="Times New Roman" w:cs="Times New Roman"/>
          <w:sz w:val="28"/>
          <w:szCs w:val="28"/>
        </w:rPr>
        <w:t xml:space="preserve"> 39 de la Ley 2277 de 2022</w:t>
      </w:r>
      <w:r w:rsidRPr="00B86EDB">
        <w:rPr>
          <w:rFonts w:ascii="Times New Roman" w:hAnsi="Times New Roman" w:cs="Times New Roman"/>
          <w:i/>
          <w:iCs/>
          <w:sz w:val="28"/>
          <w:szCs w:val="28"/>
        </w:rPr>
        <w:t xml:space="preserve"> </w:t>
      </w:r>
      <w:r w:rsidRPr="00B86EDB">
        <w:rPr>
          <w:rFonts w:ascii="Times New Roman" w:hAnsi="Times New Roman" w:cs="Times New Roman"/>
          <w:sz w:val="28"/>
          <w:szCs w:val="28"/>
        </w:rPr>
        <w:t>bajo el radicado D-15.275</w:t>
      </w:r>
      <w:r w:rsidRPr="00B86EDB">
        <w:rPr>
          <w:rFonts w:ascii="Times New Roman" w:hAnsi="Times New Roman" w:cs="Times New Roman"/>
          <w:i/>
          <w:iCs/>
          <w:sz w:val="28"/>
          <w:szCs w:val="28"/>
        </w:rPr>
        <w:t>.</w:t>
      </w:r>
      <w:r w:rsidRPr="00B86EDB">
        <w:rPr>
          <w:rFonts w:ascii="Times New Roman" w:hAnsi="Times New Roman" w:cs="Times New Roman"/>
          <w:sz w:val="28"/>
          <w:szCs w:val="28"/>
        </w:rPr>
        <w:t xml:space="preserve"> Señaló que las disposiciones acusadas violan los artículos 58, 95 y 363 de la Constitución Política. Para desarrollar esa posición, el demandante formuló dos cargos. El primero</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por violación de la proh</w:t>
      </w:r>
      <w:r w:rsidRPr="00B86EDB">
        <w:rPr>
          <w:rFonts w:ascii="Times New Roman" w:hAnsi="Times New Roman" w:cs="Times New Roman"/>
          <w:sz w:val="28"/>
          <w:szCs w:val="28"/>
        </w:rPr>
        <w:t>ibición de confiscatoriedad y</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el segundo</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por desconocimiento de la prohibición de la doble tributación.</w:t>
      </w:r>
    </w:p>
    <w:p w:rsidR="005E6D2A" w:rsidRPr="00B86EDB" w:rsidRDefault="00B86EDB" w:rsidP="009F3F6A">
      <w:pPr>
        <w:pStyle w:val="Prrafodelista"/>
        <w:autoSpaceDE w:val="0"/>
        <w:autoSpaceDN w:val="0"/>
        <w:ind w:left="0"/>
        <w:contextualSpacing w:val="0"/>
        <w:jc w:val="both"/>
        <w:rPr>
          <w:rFonts w:ascii="Times New Roman" w:hAnsi="Times New Roman" w:cs="Times New Roman"/>
          <w:b/>
          <w:bCs/>
          <w:sz w:val="28"/>
          <w:szCs w:val="28"/>
        </w:rPr>
      </w:pPr>
    </w:p>
    <w:p w:rsidR="005E6D2A" w:rsidRPr="00B86EDB" w:rsidRDefault="00B86EDB" w:rsidP="009F3F6A">
      <w:pPr>
        <w:pStyle w:val="Prrafodelista"/>
        <w:numPr>
          <w:ilvl w:val="0"/>
          <w:numId w:val="4"/>
        </w:numPr>
        <w:autoSpaceDE w:val="0"/>
        <w:autoSpaceDN w:val="0"/>
        <w:ind w:left="0" w:right="49" w:firstLine="0"/>
        <w:contextualSpacing w:val="0"/>
        <w:jc w:val="both"/>
        <w:rPr>
          <w:rFonts w:ascii="Times New Roman" w:hAnsi="Times New Roman" w:cs="Times New Roman"/>
          <w:b/>
          <w:bCs/>
          <w:i/>
          <w:iCs/>
          <w:sz w:val="28"/>
          <w:szCs w:val="28"/>
        </w:rPr>
      </w:pPr>
      <w:r w:rsidRPr="00B86EDB">
        <w:rPr>
          <w:rFonts w:ascii="Times New Roman" w:hAnsi="Times New Roman" w:cs="Times New Roman"/>
          <w:sz w:val="28"/>
          <w:szCs w:val="28"/>
        </w:rPr>
        <w:t xml:space="preserve">El 27 de abril de 2023, la Sala Plena repartió el expediente D-15.273 al magistrado ponente y dispuso acumular a este el expediente radicado bajo el </w:t>
      </w:r>
      <w:r w:rsidRPr="00B86EDB">
        <w:rPr>
          <w:rFonts w:ascii="Times New Roman" w:hAnsi="Times New Roman" w:cs="Times New Roman"/>
          <w:sz w:val="28"/>
          <w:szCs w:val="28"/>
        </w:rPr>
        <w:t>numero D-15.275.</w:t>
      </w:r>
    </w:p>
    <w:p w:rsidR="005E6D2A" w:rsidRPr="00B86EDB" w:rsidRDefault="00B86EDB" w:rsidP="009F3F6A">
      <w:pPr>
        <w:pStyle w:val="Prrafodelista"/>
        <w:contextualSpacing w:val="0"/>
        <w:rPr>
          <w:rFonts w:ascii="Times New Roman" w:hAnsi="Times New Roman" w:cs="Times New Roman"/>
          <w:sz w:val="28"/>
          <w:szCs w:val="28"/>
          <w:bdr w:val="none" w:sz="0" w:space="0" w:color="auto" w:frame="1"/>
          <w:shd w:val="clear" w:color="auto" w:fill="FFFFFF"/>
        </w:rPr>
      </w:pPr>
    </w:p>
    <w:p w:rsidR="005E6D2A" w:rsidRPr="00B86EDB" w:rsidRDefault="00B86EDB" w:rsidP="009F3F6A">
      <w:pPr>
        <w:pStyle w:val="Prrafodelista"/>
        <w:numPr>
          <w:ilvl w:val="0"/>
          <w:numId w:val="4"/>
        </w:numPr>
        <w:autoSpaceDE w:val="0"/>
        <w:autoSpaceDN w:val="0"/>
        <w:ind w:left="0" w:right="49" w:firstLine="0"/>
        <w:contextualSpacing w:val="0"/>
        <w:jc w:val="both"/>
        <w:rPr>
          <w:rFonts w:ascii="Times New Roman" w:hAnsi="Times New Roman" w:cs="Times New Roman"/>
          <w:sz w:val="28"/>
          <w:szCs w:val="28"/>
          <w:bdr w:val="none" w:sz="0" w:space="0" w:color="auto" w:frame="1"/>
          <w:shd w:val="clear" w:color="auto" w:fill="FFFFFF"/>
        </w:rPr>
      </w:pPr>
      <w:r w:rsidRPr="00B86EDB">
        <w:rPr>
          <w:rFonts w:ascii="Times New Roman" w:hAnsi="Times New Roman" w:cs="Times New Roman"/>
          <w:sz w:val="28"/>
          <w:szCs w:val="28"/>
          <w:bdr w:val="none" w:sz="0" w:space="0" w:color="auto" w:frame="1"/>
          <w:shd w:val="clear" w:color="auto" w:fill="FFFFFF"/>
        </w:rPr>
        <w:t>Mediante auto del 15 de mayo de 2023, se inadmitió la demanda presentada</w:t>
      </w:r>
      <w:r w:rsidRPr="00B86EDB">
        <w:rPr>
          <w:rFonts w:ascii="Times New Roman" w:hAnsi="Times New Roman" w:cs="Times New Roman"/>
          <w:bCs/>
          <w:sz w:val="28"/>
          <w:szCs w:val="28"/>
        </w:rPr>
        <w:t xml:space="preserve"> dentro del expediente D-15.273</w:t>
      </w:r>
      <w:r w:rsidRPr="00B86EDB">
        <w:rPr>
          <w:rFonts w:ascii="Times New Roman" w:hAnsi="Times New Roman" w:cs="Times New Roman"/>
          <w:sz w:val="28"/>
          <w:szCs w:val="28"/>
          <w:bdr w:val="none" w:sz="0" w:space="0" w:color="auto" w:frame="1"/>
          <w:shd w:val="clear" w:color="auto" w:fill="FFFFFF"/>
        </w:rPr>
        <w:t>. Por su parte, se admitió el primer cargo y se inadmitió el segundo cargo formulado</w:t>
      </w:r>
      <w:r w:rsidRPr="00B86EDB">
        <w:rPr>
          <w:rFonts w:ascii="Times New Roman" w:hAnsi="Times New Roman" w:cs="Times New Roman"/>
          <w:bCs/>
          <w:sz w:val="28"/>
          <w:szCs w:val="28"/>
        </w:rPr>
        <w:t xml:space="preserve"> dentro del expediente D-15.275</w:t>
      </w:r>
      <w:r w:rsidRPr="00B86EDB">
        <w:rPr>
          <w:rFonts w:ascii="Times New Roman" w:hAnsi="Times New Roman" w:cs="Times New Roman"/>
          <w:b/>
          <w:bCs/>
          <w:i/>
          <w:iCs/>
          <w:sz w:val="28"/>
          <w:szCs w:val="28"/>
        </w:rPr>
        <w:t>.</w:t>
      </w:r>
    </w:p>
    <w:p w:rsidR="005E6D2A" w:rsidRPr="00B86EDB" w:rsidRDefault="00B86EDB" w:rsidP="009F3F6A">
      <w:pPr>
        <w:pStyle w:val="Prrafodelista"/>
        <w:autoSpaceDE w:val="0"/>
        <w:autoSpaceDN w:val="0"/>
        <w:ind w:left="0" w:right="49"/>
        <w:contextualSpacing w:val="0"/>
        <w:jc w:val="both"/>
        <w:rPr>
          <w:rFonts w:ascii="Times New Roman" w:hAnsi="Times New Roman" w:cs="Times New Roman"/>
          <w:sz w:val="28"/>
          <w:szCs w:val="28"/>
          <w:bdr w:val="none" w:sz="0" w:space="0" w:color="auto" w:frame="1"/>
          <w:shd w:val="clear" w:color="auto" w:fill="FFFFFF"/>
        </w:rPr>
      </w:pPr>
    </w:p>
    <w:p w:rsidR="005E6D2A" w:rsidRPr="00B86EDB" w:rsidRDefault="00B86EDB" w:rsidP="009F3F6A">
      <w:pPr>
        <w:pStyle w:val="Prrafodelista"/>
        <w:numPr>
          <w:ilvl w:val="0"/>
          <w:numId w:val="4"/>
        </w:numPr>
        <w:autoSpaceDE w:val="0"/>
        <w:autoSpaceDN w:val="0"/>
        <w:ind w:left="0" w:right="49" w:firstLine="0"/>
        <w:contextualSpacing w:val="0"/>
        <w:jc w:val="both"/>
        <w:rPr>
          <w:rFonts w:ascii="Times New Roman" w:hAnsi="Times New Roman" w:cs="Times New Roman"/>
          <w:b/>
          <w:bCs/>
          <w:i/>
          <w:iCs/>
          <w:sz w:val="28"/>
          <w:szCs w:val="28"/>
        </w:rPr>
      </w:pPr>
      <w:r w:rsidRPr="00B86EDB">
        <w:rPr>
          <w:rFonts w:ascii="Times New Roman" w:hAnsi="Times New Roman" w:cs="Times New Roman"/>
          <w:sz w:val="28"/>
          <w:szCs w:val="28"/>
          <w:bdr w:val="none" w:sz="0" w:space="0" w:color="auto" w:frame="1"/>
          <w:shd w:val="clear" w:color="auto" w:fill="FFFFFF"/>
        </w:rPr>
        <w:t>Como fundamento d</w:t>
      </w:r>
      <w:r w:rsidRPr="00B86EDB">
        <w:rPr>
          <w:rFonts w:ascii="Times New Roman" w:hAnsi="Times New Roman" w:cs="Times New Roman"/>
          <w:sz w:val="28"/>
          <w:szCs w:val="28"/>
          <w:bdr w:val="none" w:sz="0" w:space="0" w:color="auto" w:frame="1"/>
          <w:shd w:val="clear" w:color="auto" w:fill="FFFFFF"/>
        </w:rPr>
        <w:t>e la decisión, s</w:t>
      </w:r>
      <w:r w:rsidRPr="00B86EDB">
        <w:rPr>
          <w:rFonts w:ascii="Times New Roman" w:hAnsi="Times New Roman" w:cs="Times New Roman"/>
          <w:bCs/>
          <w:sz w:val="28"/>
          <w:szCs w:val="28"/>
        </w:rPr>
        <w:t xml:space="preserve">e constató que el accionante Guillermo Otálora Lozano, dentro del expediente D-15.273, no demostró su calidad de ciudadano colombiano y que </w:t>
      </w:r>
      <w:r w:rsidRPr="00B86EDB">
        <w:rPr>
          <w:rFonts w:ascii="Times New Roman" w:hAnsi="Times New Roman" w:cs="Times New Roman"/>
          <w:sz w:val="28"/>
          <w:szCs w:val="28"/>
        </w:rPr>
        <w:t xml:space="preserve">las razones por las cuales considera que los artículos 35, 36, 37, 38 y 39 de la Ley 2277 de 2022 vulneran los artículos </w:t>
      </w:r>
      <w:r w:rsidRPr="00B86EDB">
        <w:rPr>
          <w:rFonts w:ascii="Times New Roman" w:eastAsiaTheme="minorHAnsi" w:hAnsi="Times New Roman" w:cs="Times New Roman"/>
          <w:sz w:val="28"/>
          <w:szCs w:val="28"/>
          <w:lang w:eastAsia="en-US"/>
        </w:rPr>
        <w:t>48, 58, 95-9, 317 y 363 de la Constitución Política</w:t>
      </w:r>
      <w:r w:rsidRPr="00B86EDB">
        <w:rPr>
          <w:rFonts w:ascii="Times New Roman" w:hAnsi="Times New Roman" w:cs="Times New Roman"/>
          <w:sz w:val="28"/>
          <w:szCs w:val="28"/>
        </w:rPr>
        <w:t xml:space="preserve"> no satisficieron algunos de los requisitos específicos exigidos por la jurisprudenc</w:t>
      </w:r>
      <w:r w:rsidRPr="00B86EDB">
        <w:rPr>
          <w:rFonts w:ascii="Times New Roman" w:hAnsi="Times New Roman" w:cs="Times New Roman"/>
          <w:sz w:val="28"/>
          <w:szCs w:val="28"/>
        </w:rPr>
        <w:t>ia constitucional</w:t>
      </w:r>
      <w:r w:rsidRPr="00B86EDB">
        <w:rPr>
          <w:rFonts w:ascii="Times New Roman" w:hAnsi="Times New Roman" w:cs="Times New Roman"/>
          <w:sz w:val="28"/>
          <w:szCs w:val="28"/>
        </w:rPr>
        <w:t xml:space="preserve"> para edificar un cargo de inconstitucionalidad</w:t>
      </w:r>
      <w:r w:rsidRPr="00B86EDB">
        <w:rPr>
          <w:rFonts w:ascii="Times New Roman" w:hAnsi="Times New Roman" w:cs="Times New Roman"/>
          <w:sz w:val="28"/>
          <w:szCs w:val="28"/>
        </w:rPr>
        <w:t>.</w:t>
      </w:r>
    </w:p>
    <w:p w:rsidR="005E6D2A" w:rsidRPr="00B86EDB" w:rsidRDefault="00B86EDB" w:rsidP="009F3F6A">
      <w:pPr>
        <w:pStyle w:val="Prrafodelista"/>
        <w:autoSpaceDE w:val="0"/>
        <w:autoSpaceDN w:val="0"/>
        <w:ind w:left="0" w:right="49"/>
        <w:contextualSpacing w:val="0"/>
        <w:jc w:val="both"/>
        <w:rPr>
          <w:rFonts w:ascii="Times New Roman" w:hAnsi="Times New Roman" w:cs="Times New Roman"/>
          <w:b/>
          <w:bCs/>
          <w:i/>
          <w:iCs/>
          <w:sz w:val="28"/>
          <w:szCs w:val="28"/>
        </w:rPr>
      </w:pPr>
    </w:p>
    <w:p w:rsidR="005E6D2A" w:rsidRPr="00B86EDB" w:rsidRDefault="00B86EDB" w:rsidP="009F3F6A">
      <w:pPr>
        <w:pStyle w:val="Prrafodelista"/>
        <w:numPr>
          <w:ilvl w:val="0"/>
          <w:numId w:val="4"/>
        </w:numPr>
        <w:autoSpaceDE w:val="0"/>
        <w:autoSpaceDN w:val="0"/>
        <w:adjustRightInd w:val="0"/>
        <w:ind w:left="0" w:firstLine="0"/>
        <w:contextualSpacing w:val="0"/>
        <w:jc w:val="both"/>
        <w:rPr>
          <w:rFonts w:ascii="Times New Roman" w:hAnsi="Times New Roman" w:cs="Times New Roman"/>
          <w:bCs/>
          <w:sz w:val="28"/>
          <w:szCs w:val="28"/>
        </w:rPr>
      </w:pPr>
      <w:r w:rsidRPr="00B86EDB">
        <w:rPr>
          <w:rFonts w:ascii="Times New Roman" w:hAnsi="Times New Roman" w:cs="Times New Roman"/>
          <w:bCs/>
          <w:sz w:val="28"/>
          <w:szCs w:val="28"/>
        </w:rPr>
        <w:t xml:space="preserve">Por su parte, respecto de la demanda del expediente D-15.275, se verificó que el accionante Sierra Porto cumplió con todos los requisitos formales establecidos del Decreto 2067 de 1991. No </w:t>
      </w:r>
      <w:r w:rsidRPr="00B86EDB">
        <w:rPr>
          <w:rFonts w:ascii="Times New Roman" w:hAnsi="Times New Roman" w:cs="Times New Roman"/>
          <w:bCs/>
          <w:sz w:val="28"/>
          <w:szCs w:val="28"/>
        </w:rPr>
        <w:t xml:space="preserve">obstante, </w:t>
      </w:r>
      <w:r w:rsidRPr="00B86EDB">
        <w:rPr>
          <w:rFonts w:ascii="Times New Roman" w:hAnsi="Times New Roman" w:cs="Times New Roman"/>
          <w:sz w:val="28"/>
          <w:szCs w:val="28"/>
        </w:rPr>
        <w:t xml:space="preserve">el segundo cargo formulado por la presunta vulneración de los artículos </w:t>
      </w:r>
      <w:r w:rsidRPr="00B86EDB">
        <w:rPr>
          <w:rFonts w:ascii="Times New Roman" w:eastAsiaTheme="minorHAnsi" w:hAnsi="Times New Roman" w:cs="Times New Roman"/>
          <w:sz w:val="28"/>
          <w:szCs w:val="28"/>
          <w:lang w:eastAsia="en-US"/>
        </w:rPr>
        <w:t>58, 95 y 363 de la Constitución Política</w:t>
      </w:r>
      <w:r w:rsidRPr="00B86EDB">
        <w:rPr>
          <w:rFonts w:ascii="Times New Roman" w:hAnsi="Times New Roman" w:cs="Times New Roman"/>
          <w:sz w:val="28"/>
          <w:szCs w:val="28"/>
        </w:rPr>
        <w:t xml:space="preserve"> no satisfizo los requisitos de certeza y pertinencia exigidos por la jurisprudencia constitucional para activar la competencia de la </w:t>
      </w:r>
      <w:r w:rsidRPr="00B86EDB">
        <w:rPr>
          <w:rFonts w:ascii="Times New Roman" w:hAnsi="Times New Roman" w:cs="Times New Roman"/>
          <w:sz w:val="28"/>
          <w:szCs w:val="28"/>
        </w:rPr>
        <w:t>Corte para adelantar el control abstracto de constitucionalidad, por lo tanto, fue inadmitido</w:t>
      </w:r>
      <w:r w:rsidRPr="00B86EDB">
        <w:rPr>
          <w:rFonts w:ascii="Times New Roman" w:hAnsi="Times New Roman" w:cs="Times New Roman"/>
          <w:bCs/>
          <w:sz w:val="28"/>
          <w:szCs w:val="28"/>
        </w:rPr>
        <w:t>.</w:t>
      </w:r>
    </w:p>
    <w:p w:rsidR="005E6D2A" w:rsidRPr="00B86EDB" w:rsidRDefault="00B86EDB" w:rsidP="009F3F6A">
      <w:pPr>
        <w:pStyle w:val="Prrafodelista"/>
        <w:contextualSpacing w:val="0"/>
        <w:rPr>
          <w:rFonts w:ascii="Times New Roman" w:hAnsi="Times New Roman" w:cs="Times New Roman"/>
          <w:bCs/>
          <w:sz w:val="28"/>
          <w:szCs w:val="28"/>
        </w:rPr>
      </w:pPr>
    </w:p>
    <w:p w:rsidR="005E6D2A" w:rsidRPr="00B86EDB" w:rsidRDefault="00B86EDB" w:rsidP="009F3F6A">
      <w:pPr>
        <w:pStyle w:val="Prrafodelista"/>
        <w:numPr>
          <w:ilvl w:val="0"/>
          <w:numId w:val="4"/>
        </w:numPr>
        <w:ind w:left="0" w:firstLine="0"/>
        <w:contextualSpacing w:val="0"/>
        <w:jc w:val="both"/>
        <w:rPr>
          <w:rFonts w:ascii="Times New Roman" w:hAnsi="Times New Roman" w:cs="Times New Roman"/>
          <w:b/>
          <w:sz w:val="28"/>
          <w:szCs w:val="28"/>
        </w:rPr>
      </w:pPr>
      <w:r w:rsidRPr="00B86EDB">
        <w:rPr>
          <w:rFonts w:ascii="Times New Roman" w:hAnsi="Times New Roman" w:cs="Times New Roman"/>
          <w:bCs/>
          <w:sz w:val="28"/>
          <w:szCs w:val="28"/>
        </w:rPr>
        <w:t xml:space="preserve">El </w:t>
      </w:r>
      <w:r w:rsidRPr="00B86EDB">
        <w:rPr>
          <w:rFonts w:ascii="Times New Roman" w:hAnsi="Times New Roman" w:cs="Times New Roman"/>
          <w:bCs/>
          <w:sz w:val="28"/>
          <w:szCs w:val="28"/>
        </w:rPr>
        <w:t>a</w:t>
      </w:r>
      <w:r w:rsidRPr="00B86EDB">
        <w:rPr>
          <w:rFonts w:ascii="Times New Roman" w:hAnsi="Times New Roman" w:cs="Times New Roman"/>
          <w:bCs/>
          <w:sz w:val="28"/>
          <w:szCs w:val="28"/>
        </w:rPr>
        <w:t>uto que inadmitió la</w:t>
      </w:r>
      <w:r w:rsidRPr="00B86EDB">
        <w:rPr>
          <w:rFonts w:ascii="Times New Roman" w:hAnsi="Times New Roman" w:cs="Times New Roman"/>
          <w:bCs/>
          <w:sz w:val="28"/>
          <w:szCs w:val="28"/>
        </w:rPr>
        <w:t>s</w:t>
      </w:r>
      <w:r w:rsidRPr="00B86EDB">
        <w:rPr>
          <w:rFonts w:ascii="Times New Roman" w:hAnsi="Times New Roman" w:cs="Times New Roman"/>
          <w:bCs/>
          <w:sz w:val="28"/>
          <w:szCs w:val="28"/>
        </w:rPr>
        <w:t xml:space="preserve"> demanda</w:t>
      </w:r>
      <w:r w:rsidRPr="00B86EDB">
        <w:rPr>
          <w:rFonts w:ascii="Times New Roman" w:hAnsi="Times New Roman" w:cs="Times New Roman"/>
          <w:bCs/>
          <w:sz w:val="28"/>
          <w:szCs w:val="28"/>
        </w:rPr>
        <w:t>s</w:t>
      </w:r>
      <w:r w:rsidRPr="00B86EDB">
        <w:rPr>
          <w:rFonts w:ascii="Times New Roman" w:hAnsi="Times New Roman" w:cs="Times New Roman"/>
          <w:bCs/>
          <w:sz w:val="28"/>
          <w:szCs w:val="28"/>
        </w:rPr>
        <w:t xml:space="preserve"> fue notificado mediante Estado No. 079 del 17 de mayo de 2023, según la constancia emitida por la Secretaría General de la Corte Constitucional que obra en el expediente digital, y concedió un término de </w:t>
      </w:r>
      <w:r w:rsidRPr="00B86EDB">
        <w:rPr>
          <w:rFonts w:ascii="Times New Roman" w:hAnsi="Times New Roman" w:cs="Times New Roman"/>
          <w:sz w:val="28"/>
          <w:szCs w:val="28"/>
        </w:rPr>
        <w:t>tres (3) días hábiles</w:t>
      </w:r>
      <w:r w:rsidRPr="00B86EDB">
        <w:rPr>
          <w:rFonts w:ascii="Times New Roman" w:hAnsi="Times New Roman" w:cs="Times New Roman"/>
          <w:bCs/>
          <w:sz w:val="28"/>
          <w:szCs w:val="28"/>
        </w:rPr>
        <w:t xml:space="preserve"> a los accionantes para subsan</w:t>
      </w:r>
      <w:r w:rsidRPr="00B86EDB">
        <w:rPr>
          <w:rFonts w:ascii="Times New Roman" w:hAnsi="Times New Roman" w:cs="Times New Roman"/>
          <w:bCs/>
          <w:sz w:val="28"/>
          <w:szCs w:val="28"/>
        </w:rPr>
        <w:t>ar las falencias advertidas</w:t>
      </w:r>
      <w:r w:rsidRPr="00B86EDB">
        <w:rPr>
          <w:rFonts w:ascii="Times New Roman" w:hAnsi="Times New Roman" w:cs="Times New Roman"/>
          <w:sz w:val="28"/>
          <w:szCs w:val="28"/>
        </w:rPr>
        <w:t>, so pena de rechazo de los cargos inadmitidos.</w:t>
      </w:r>
    </w:p>
    <w:p w:rsidR="005E6D2A" w:rsidRPr="00B86EDB" w:rsidRDefault="00B86EDB" w:rsidP="009F3F6A">
      <w:pPr>
        <w:pStyle w:val="Prrafodelista"/>
        <w:contextualSpacing w:val="0"/>
        <w:rPr>
          <w:rFonts w:ascii="Times New Roman" w:hAnsi="Times New Roman" w:cs="Times New Roman"/>
          <w:bCs/>
          <w:sz w:val="28"/>
          <w:szCs w:val="28"/>
        </w:rPr>
      </w:pPr>
    </w:p>
    <w:p w:rsidR="005E6D2A" w:rsidRPr="00B86EDB" w:rsidRDefault="00B86EDB" w:rsidP="009F3F6A">
      <w:pPr>
        <w:pStyle w:val="Prrafodelista"/>
        <w:numPr>
          <w:ilvl w:val="0"/>
          <w:numId w:val="4"/>
        </w:numPr>
        <w:ind w:left="0" w:firstLine="0"/>
        <w:contextualSpacing w:val="0"/>
        <w:jc w:val="both"/>
        <w:rPr>
          <w:rFonts w:ascii="Times New Roman" w:hAnsi="Times New Roman" w:cs="Times New Roman"/>
          <w:bCs/>
          <w:sz w:val="28"/>
          <w:szCs w:val="28"/>
        </w:rPr>
      </w:pPr>
      <w:r w:rsidRPr="00B86EDB">
        <w:rPr>
          <w:rFonts w:ascii="Times New Roman" w:hAnsi="Times New Roman" w:cs="Times New Roman"/>
          <w:bCs/>
          <w:sz w:val="28"/>
          <w:szCs w:val="28"/>
        </w:rPr>
        <w:t xml:space="preserve">De conformidad con la información brindada por la Secretaría General de esta </w:t>
      </w:r>
      <w:r w:rsidRPr="00B86EDB">
        <w:rPr>
          <w:rFonts w:ascii="Times New Roman" w:hAnsi="Times New Roman" w:cs="Times New Roman"/>
          <w:bCs/>
          <w:sz w:val="28"/>
          <w:szCs w:val="28"/>
        </w:rPr>
        <w:t>Corte</w:t>
      </w:r>
      <w:r w:rsidRPr="00B86EDB">
        <w:rPr>
          <w:rFonts w:ascii="Times New Roman" w:hAnsi="Times New Roman" w:cs="Times New Roman"/>
          <w:bCs/>
          <w:sz w:val="28"/>
          <w:szCs w:val="28"/>
        </w:rPr>
        <w:t>, en oficio del 24 de mayo de 2023, los demandantes presentaron el escrito de corrección de sus de</w:t>
      </w:r>
      <w:r w:rsidRPr="00B86EDB">
        <w:rPr>
          <w:rFonts w:ascii="Times New Roman" w:hAnsi="Times New Roman" w:cs="Times New Roman"/>
          <w:bCs/>
          <w:sz w:val="28"/>
          <w:szCs w:val="28"/>
        </w:rPr>
        <w:t xml:space="preserve">mandas dentro del término concedido para el efecto, el cual transcurrió los días 18, 19 y 23 de mayo de 2023. En los escritos de corrección de las demandas los ciudadanos presentaron pruebas y argumentos con el fin de superar las deficiencias señaladas en </w:t>
      </w:r>
      <w:r w:rsidRPr="00B86EDB">
        <w:rPr>
          <w:rFonts w:ascii="Times New Roman" w:hAnsi="Times New Roman" w:cs="Times New Roman"/>
          <w:bCs/>
          <w:sz w:val="28"/>
          <w:szCs w:val="28"/>
        </w:rPr>
        <w:t xml:space="preserve">el </w:t>
      </w:r>
      <w:r w:rsidRPr="00B86EDB">
        <w:rPr>
          <w:rFonts w:ascii="Times New Roman" w:hAnsi="Times New Roman" w:cs="Times New Roman"/>
          <w:bCs/>
          <w:sz w:val="28"/>
          <w:szCs w:val="28"/>
        </w:rPr>
        <w:t>a</w:t>
      </w:r>
      <w:r w:rsidRPr="00B86EDB">
        <w:rPr>
          <w:rFonts w:ascii="Times New Roman" w:hAnsi="Times New Roman" w:cs="Times New Roman"/>
          <w:bCs/>
          <w:sz w:val="28"/>
          <w:szCs w:val="28"/>
        </w:rPr>
        <w:t>uto que inadmitió la demanda del expediente D-15.273 y el segundo cargo de la demanda del expediente D-15.275.</w:t>
      </w:r>
    </w:p>
    <w:p w:rsidR="005E6D2A" w:rsidRPr="00B86EDB" w:rsidRDefault="00B86EDB" w:rsidP="009F3F6A">
      <w:pPr>
        <w:pStyle w:val="Prrafodelista"/>
        <w:tabs>
          <w:tab w:val="left" w:pos="0"/>
        </w:tabs>
        <w:ind w:left="0"/>
        <w:contextualSpacing w:val="0"/>
        <w:jc w:val="both"/>
        <w:rPr>
          <w:rFonts w:ascii="Times New Roman" w:hAnsi="Times New Roman" w:cs="Times New Roman"/>
          <w:bCs/>
          <w:sz w:val="28"/>
          <w:szCs w:val="28"/>
        </w:rPr>
      </w:pPr>
    </w:p>
    <w:p w:rsidR="005E6D2A" w:rsidRPr="00B86EDB" w:rsidRDefault="00B86EDB" w:rsidP="009F3F6A">
      <w:pPr>
        <w:pStyle w:val="Prrafodelista"/>
        <w:numPr>
          <w:ilvl w:val="0"/>
          <w:numId w:val="4"/>
        </w:numPr>
        <w:autoSpaceDE w:val="0"/>
        <w:autoSpaceDN w:val="0"/>
        <w:ind w:left="0" w:right="49" w:firstLine="0"/>
        <w:contextualSpacing w:val="0"/>
        <w:jc w:val="both"/>
        <w:rPr>
          <w:rFonts w:ascii="Times New Roman" w:hAnsi="Times New Roman" w:cs="Times New Roman"/>
          <w:b/>
          <w:bCs/>
          <w:i/>
          <w:iCs/>
          <w:sz w:val="28"/>
          <w:szCs w:val="28"/>
        </w:rPr>
      </w:pPr>
      <w:r w:rsidRPr="00B86EDB">
        <w:rPr>
          <w:rFonts w:ascii="Times New Roman" w:hAnsi="Times New Roman" w:cs="Times New Roman"/>
          <w:bCs/>
          <w:sz w:val="28"/>
          <w:szCs w:val="28"/>
        </w:rPr>
        <w:t xml:space="preserve">Luego del análisis de la corrección de las demandas, mediante Auto del 6 de junio de 2023, </w:t>
      </w:r>
      <w:r w:rsidRPr="00B86EDB">
        <w:rPr>
          <w:rFonts w:ascii="Times New Roman" w:hAnsi="Times New Roman" w:cs="Times New Roman"/>
          <w:bCs/>
          <w:sz w:val="28"/>
          <w:szCs w:val="28"/>
        </w:rPr>
        <w:t xml:space="preserve">el Magistrado sustanciador </w:t>
      </w:r>
      <w:r w:rsidRPr="00B86EDB">
        <w:rPr>
          <w:rFonts w:ascii="Times New Roman" w:hAnsi="Times New Roman" w:cs="Times New Roman"/>
          <w:bCs/>
          <w:sz w:val="28"/>
          <w:szCs w:val="28"/>
        </w:rPr>
        <w:t xml:space="preserve"> admitió el segundo</w:t>
      </w:r>
      <w:r w:rsidRPr="00B86EDB">
        <w:rPr>
          <w:rFonts w:ascii="Times New Roman" w:hAnsi="Times New Roman" w:cs="Times New Roman"/>
          <w:bCs/>
          <w:sz w:val="28"/>
          <w:szCs w:val="28"/>
        </w:rPr>
        <w:t xml:space="preserve"> (violación del principio de equidad por desconocer los artículos 95.9 y 363 de la Constitución)</w:t>
      </w:r>
      <w:r w:rsidRPr="00B86EDB">
        <w:rPr>
          <w:rFonts w:ascii="Times New Roman" w:hAnsi="Times New Roman" w:cs="Times New Roman"/>
          <w:bCs/>
          <w:sz w:val="28"/>
          <w:szCs w:val="28"/>
        </w:rPr>
        <w:t>, cuarto</w:t>
      </w:r>
      <w:r w:rsidRPr="00B86EDB">
        <w:rPr>
          <w:rFonts w:ascii="Times New Roman" w:hAnsi="Times New Roman" w:cs="Times New Roman"/>
          <w:bCs/>
          <w:sz w:val="28"/>
          <w:szCs w:val="28"/>
        </w:rPr>
        <w:t xml:space="preserve"> (vulneración del artículo 58 de la Constitución, por desconocer el principio de equidad establecido en los artículos 95-9 y 363 de la Constitución)</w:t>
      </w:r>
      <w:r w:rsidRPr="00B86EDB">
        <w:rPr>
          <w:rFonts w:ascii="Times New Roman" w:hAnsi="Times New Roman" w:cs="Times New Roman"/>
          <w:bCs/>
          <w:sz w:val="28"/>
          <w:szCs w:val="28"/>
        </w:rPr>
        <w:t xml:space="preserve"> </w:t>
      </w:r>
      <w:r w:rsidRPr="00B86EDB">
        <w:rPr>
          <w:rFonts w:ascii="Times New Roman" w:hAnsi="Times New Roman" w:cs="Times New Roman"/>
          <w:sz w:val="28"/>
          <w:szCs w:val="28"/>
        </w:rPr>
        <w:t>y q</w:t>
      </w:r>
      <w:r w:rsidRPr="00B86EDB">
        <w:rPr>
          <w:rFonts w:ascii="Times New Roman" w:hAnsi="Times New Roman" w:cs="Times New Roman"/>
          <w:sz w:val="28"/>
          <w:szCs w:val="28"/>
        </w:rPr>
        <w:t>uinto cargo</w:t>
      </w:r>
      <w:r w:rsidRPr="00B86EDB">
        <w:rPr>
          <w:rFonts w:ascii="Times New Roman" w:hAnsi="Times New Roman" w:cs="Times New Roman"/>
          <w:sz w:val="28"/>
          <w:szCs w:val="28"/>
        </w:rPr>
        <w:t xml:space="preserve"> (vulneración del artículo 317 de la Constitución, por gravar la propiedad inmueble por medio de tributo nacional)</w:t>
      </w:r>
      <w:r w:rsidRPr="00B86EDB">
        <w:rPr>
          <w:rFonts w:ascii="Times New Roman" w:hAnsi="Times New Roman" w:cs="Times New Roman"/>
          <w:sz w:val="28"/>
          <w:szCs w:val="28"/>
        </w:rPr>
        <w:t xml:space="preserve"> del expediente </w:t>
      </w:r>
      <w:r w:rsidRPr="00B86EDB">
        <w:rPr>
          <w:rFonts w:ascii="Times New Roman" w:hAnsi="Times New Roman" w:cs="Times New Roman"/>
          <w:bCs/>
          <w:sz w:val="28"/>
          <w:szCs w:val="28"/>
        </w:rPr>
        <w:t>D-15.273 y rechazó el primer y tercer cargo del mismo expediente. Por su parte, rechazó el segundo cargo del expedi</w:t>
      </w:r>
      <w:r w:rsidRPr="00B86EDB">
        <w:rPr>
          <w:rFonts w:ascii="Times New Roman" w:hAnsi="Times New Roman" w:cs="Times New Roman"/>
          <w:bCs/>
          <w:sz w:val="28"/>
          <w:szCs w:val="28"/>
        </w:rPr>
        <w:t xml:space="preserve">ente D-15.275. En el mismo </w:t>
      </w:r>
      <w:r w:rsidRPr="00B86EDB">
        <w:rPr>
          <w:rFonts w:ascii="Times New Roman" w:hAnsi="Times New Roman" w:cs="Times New Roman"/>
          <w:bCs/>
          <w:sz w:val="28"/>
          <w:szCs w:val="28"/>
        </w:rPr>
        <w:t>a</w:t>
      </w:r>
      <w:r w:rsidRPr="00B86EDB">
        <w:rPr>
          <w:rFonts w:ascii="Times New Roman" w:hAnsi="Times New Roman" w:cs="Times New Roman"/>
          <w:bCs/>
          <w:sz w:val="28"/>
          <w:szCs w:val="28"/>
        </w:rPr>
        <w:t>uto</w:t>
      </w:r>
      <w:r w:rsidRPr="00B86EDB">
        <w:rPr>
          <w:rFonts w:ascii="Times New Roman" w:hAnsi="Times New Roman" w:cs="Times New Roman"/>
          <w:bCs/>
          <w:sz w:val="28"/>
          <w:szCs w:val="28"/>
        </w:rPr>
        <w:t>,</w:t>
      </w:r>
      <w:r w:rsidRPr="00B86EDB">
        <w:rPr>
          <w:rFonts w:ascii="Times New Roman" w:hAnsi="Times New Roman" w:cs="Times New Roman"/>
          <w:bCs/>
          <w:sz w:val="28"/>
          <w:szCs w:val="28"/>
        </w:rPr>
        <w:t xml:space="preserve"> informó a los demandantes que contra dicha decisión procedía el recurso de súplica.</w:t>
      </w:r>
    </w:p>
    <w:p w:rsidR="009166C3" w:rsidRPr="00B86EDB" w:rsidRDefault="00B86EDB" w:rsidP="009F3F6A">
      <w:pPr>
        <w:pStyle w:val="Prrafodelista"/>
        <w:autoSpaceDE w:val="0"/>
        <w:autoSpaceDN w:val="0"/>
        <w:ind w:left="0" w:right="49"/>
        <w:contextualSpacing w:val="0"/>
        <w:jc w:val="both"/>
        <w:rPr>
          <w:rFonts w:ascii="Times New Roman" w:hAnsi="Times New Roman" w:cs="Times New Roman"/>
          <w:b/>
          <w:bCs/>
          <w:i/>
          <w:iCs/>
          <w:sz w:val="28"/>
          <w:szCs w:val="28"/>
        </w:rPr>
      </w:pPr>
    </w:p>
    <w:p w:rsidR="005E6D2A" w:rsidRPr="00B86EDB" w:rsidRDefault="00B86EDB" w:rsidP="009F3F6A">
      <w:pPr>
        <w:pStyle w:val="Prrafodelista"/>
        <w:numPr>
          <w:ilvl w:val="0"/>
          <w:numId w:val="4"/>
        </w:numPr>
        <w:tabs>
          <w:tab w:val="left" w:pos="0"/>
        </w:tabs>
        <w:autoSpaceDE w:val="0"/>
        <w:autoSpaceDN w:val="0"/>
        <w:adjustRightInd w:val="0"/>
        <w:ind w:left="0" w:right="49"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 xml:space="preserve">El 13 de junio de 2023, dentro de la oportunidad legal, el ciudadano Humberto Sierra Porto presentó recurso de súplica en contra del </w:t>
      </w:r>
      <w:r w:rsidRPr="00B86EDB">
        <w:rPr>
          <w:rFonts w:ascii="Times New Roman" w:hAnsi="Times New Roman" w:cs="Times New Roman"/>
          <w:sz w:val="28"/>
          <w:szCs w:val="28"/>
        </w:rPr>
        <w:t>a</w:t>
      </w:r>
      <w:r w:rsidRPr="00B86EDB">
        <w:rPr>
          <w:rFonts w:ascii="Times New Roman" w:hAnsi="Times New Roman" w:cs="Times New Roman"/>
          <w:sz w:val="28"/>
          <w:szCs w:val="28"/>
        </w:rPr>
        <w:t xml:space="preserve">uto </w:t>
      </w:r>
      <w:r w:rsidRPr="00B86EDB">
        <w:rPr>
          <w:rFonts w:ascii="Times New Roman" w:hAnsi="Times New Roman" w:cs="Times New Roman"/>
          <w:sz w:val="28"/>
          <w:szCs w:val="28"/>
        </w:rPr>
        <w:t>de rechazo del 6 de junio de 2023.</w:t>
      </w:r>
    </w:p>
    <w:p w:rsidR="005E6D2A" w:rsidRPr="00B86EDB" w:rsidRDefault="00B86EDB" w:rsidP="009F3F6A">
      <w:pPr>
        <w:pStyle w:val="Prrafodelista"/>
        <w:contextualSpacing w:val="0"/>
        <w:rPr>
          <w:rFonts w:ascii="Times New Roman" w:hAnsi="Times New Roman" w:cs="Times New Roman"/>
          <w:sz w:val="28"/>
          <w:szCs w:val="28"/>
        </w:rPr>
      </w:pPr>
    </w:p>
    <w:p w:rsidR="005E6D2A" w:rsidRPr="00B86EDB" w:rsidRDefault="00B86EDB" w:rsidP="009F3F6A">
      <w:pPr>
        <w:pStyle w:val="Prrafodelista"/>
        <w:numPr>
          <w:ilvl w:val="0"/>
          <w:numId w:val="4"/>
        </w:numPr>
        <w:tabs>
          <w:tab w:val="left" w:pos="0"/>
        </w:tabs>
        <w:autoSpaceDE w:val="0"/>
        <w:autoSpaceDN w:val="0"/>
        <w:adjustRightInd w:val="0"/>
        <w:ind w:left="0" w:right="49"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Mediante el Auto 1524 del 19 de julio de 2023, la Sala Plena de la Corte Constitucional resolvió revocar parcialmente el Auto del 6 de junio de 2023 y admitir el segundo cargo formulado dentro del expediente D-15.275 por</w:t>
      </w:r>
      <w:r w:rsidRPr="00B86EDB">
        <w:rPr>
          <w:rFonts w:ascii="Times New Roman" w:hAnsi="Times New Roman" w:cs="Times New Roman"/>
          <w:sz w:val="28"/>
          <w:szCs w:val="28"/>
        </w:rPr>
        <w:t xml:space="preserve"> el ciudadano Humberto Sierra Porto contra los artículos 35.1, 36, 37, 38 y 39 de la Ley 2277 de 2022, por violación del principio de equidad tributaria con ocasión de la presunta doble tributación que genera.</w:t>
      </w:r>
    </w:p>
    <w:p w:rsidR="005E6D2A" w:rsidRPr="00B86EDB" w:rsidRDefault="00B86EDB" w:rsidP="009F3F6A">
      <w:pPr>
        <w:pStyle w:val="Prrafodelista"/>
        <w:tabs>
          <w:tab w:val="left" w:pos="0"/>
        </w:tabs>
        <w:autoSpaceDE w:val="0"/>
        <w:autoSpaceDN w:val="0"/>
        <w:adjustRightInd w:val="0"/>
        <w:ind w:left="0" w:right="49"/>
        <w:contextualSpacing w:val="0"/>
        <w:jc w:val="both"/>
        <w:rPr>
          <w:rFonts w:ascii="Times New Roman" w:hAnsi="Times New Roman" w:cs="Times New Roman"/>
          <w:sz w:val="28"/>
          <w:szCs w:val="28"/>
        </w:rPr>
      </w:pPr>
    </w:p>
    <w:p w:rsidR="005E6D2A" w:rsidRPr="00B86EDB" w:rsidRDefault="00B86EDB" w:rsidP="009F3F6A">
      <w:pPr>
        <w:pStyle w:val="Prrafodelista"/>
        <w:numPr>
          <w:ilvl w:val="0"/>
          <w:numId w:val="4"/>
        </w:numPr>
        <w:tabs>
          <w:tab w:val="left" w:pos="0"/>
        </w:tabs>
        <w:autoSpaceDE w:val="0"/>
        <w:autoSpaceDN w:val="0"/>
        <w:adjustRightInd w:val="0"/>
        <w:ind w:left="0" w:right="49"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Mediante Auto del 1° de septiembre de 2023, e</w:t>
      </w:r>
      <w:r w:rsidRPr="00B86EDB">
        <w:rPr>
          <w:rFonts w:ascii="Times New Roman" w:hAnsi="Times New Roman" w:cs="Times New Roman"/>
          <w:sz w:val="28"/>
          <w:szCs w:val="28"/>
        </w:rPr>
        <w:t>l Magistrado sustanciador dio cumplimiento al Auto 1524 del 19 de julio de 2023 y ordenó continuar con el trámite.</w:t>
      </w:r>
    </w:p>
    <w:bookmarkEnd w:id="2"/>
    <w:p w:rsidR="005E6D2A" w:rsidRPr="00B86EDB" w:rsidRDefault="00B86EDB" w:rsidP="009F3F6A">
      <w:pPr>
        <w:pStyle w:val="Prrafodelista"/>
        <w:ind w:left="0"/>
        <w:contextualSpacing w:val="0"/>
        <w:jc w:val="both"/>
        <w:rPr>
          <w:rFonts w:ascii="Times New Roman" w:hAnsi="Times New Roman" w:cs="Times New Roman"/>
          <w:sz w:val="28"/>
          <w:szCs w:val="28"/>
        </w:rPr>
      </w:pPr>
    </w:p>
    <w:p w:rsidR="005E6D2A" w:rsidRPr="00B86EDB" w:rsidRDefault="00B86EDB" w:rsidP="009F3F6A">
      <w:pPr>
        <w:pStyle w:val="Prrafodelista"/>
        <w:ind w:left="0"/>
        <w:contextualSpacing w:val="0"/>
        <w:jc w:val="both"/>
        <w:rPr>
          <w:rFonts w:ascii="Times New Roman" w:hAnsi="Times New Roman" w:cs="Times New Roman"/>
          <w:sz w:val="28"/>
          <w:szCs w:val="28"/>
        </w:rPr>
      </w:pPr>
    </w:p>
    <w:p w:rsidR="005E6D2A" w:rsidRPr="00B86EDB" w:rsidRDefault="00B86EDB" w:rsidP="009F3F6A">
      <w:pPr>
        <w:pStyle w:val="Ttulo2"/>
        <w:numPr>
          <w:ilvl w:val="0"/>
          <w:numId w:val="5"/>
        </w:numPr>
        <w:spacing w:before="0"/>
        <w:ind w:left="0" w:hanging="11"/>
        <w:rPr>
          <w:rFonts w:ascii="Times New Roman" w:hAnsi="Times New Roman" w:cs="Times New Roman"/>
          <w:b/>
          <w:bCs/>
          <w:color w:val="auto"/>
          <w:sz w:val="28"/>
          <w:szCs w:val="28"/>
          <w:u w:val="single"/>
        </w:rPr>
      </w:pPr>
      <w:bookmarkStart w:id="3" w:name="_Hlk190376874"/>
      <w:r w:rsidRPr="00B86EDB">
        <w:rPr>
          <w:rFonts w:ascii="Times New Roman" w:hAnsi="Times New Roman" w:cs="Times New Roman"/>
          <w:b/>
          <w:bCs/>
          <w:color w:val="auto"/>
          <w:sz w:val="28"/>
          <w:szCs w:val="28"/>
        </w:rPr>
        <w:t>La</w:t>
      </w:r>
      <w:r w:rsidRPr="00B86EDB">
        <w:rPr>
          <w:rFonts w:ascii="Times New Roman" w:hAnsi="Times New Roman" w:cs="Times New Roman"/>
          <w:b/>
          <w:bCs/>
          <w:color w:val="auto"/>
          <w:sz w:val="28"/>
          <w:szCs w:val="28"/>
        </w:rPr>
        <w:t>s</w:t>
      </w:r>
      <w:r w:rsidRPr="00B86EDB">
        <w:rPr>
          <w:rFonts w:ascii="Times New Roman" w:hAnsi="Times New Roman" w:cs="Times New Roman"/>
          <w:b/>
          <w:bCs/>
          <w:color w:val="auto"/>
          <w:sz w:val="28"/>
          <w:szCs w:val="28"/>
        </w:rPr>
        <w:t xml:space="preserve"> </w:t>
      </w:r>
      <w:r w:rsidRPr="00B86EDB">
        <w:rPr>
          <w:rFonts w:ascii="Times New Roman" w:hAnsi="Times New Roman" w:cs="Times New Roman"/>
          <w:b/>
          <w:bCs/>
          <w:color w:val="auto"/>
          <w:sz w:val="28"/>
          <w:szCs w:val="28"/>
        </w:rPr>
        <w:t xml:space="preserve">disposiciones </w:t>
      </w:r>
      <w:r w:rsidRPr="00B86EDB">
        <w:rPr>
          <w:rFonts w:ascii="Times New Roman" w:hAnsi="Times New Roman" w:cs="Times New Roman"/>
          <w:b/>
          <w:bCs/>
          <w:color w:val="auto"/>
          <w:sz w:val="28"/>
          <w:szCs w:val="28"/>
        </w:rPr>
        <w:t>demandada</w:t>
      </w:r>
      <w:r w:rsidRPr="00B86EDB">
        <w:rPr>
          <w:rFonts w:ascii="Times New Roman" w:hAnsi="Times New Roman" w:cs="Times New Roman"/>
          <w:b/>
          <w:bCs/>
          <w:color w:val="auto"/>
          <w:sz w:val="28"/>
          <w:szCs w:val="28"/>
        </w:rPr>
        <w:t>s</w:t>
      </w:r>
    </w:p>
    <w:p w:rsidR="005E6D2A" w:rsidRPr="00B86EDB" w:rsidRDefault="00B86EDB" w:rsidP="009F3F6A">
      <w:pPr>
        <w:jc w:val="both"/>
        <w:rPr>
          <w:rFonts w:ascii="Times New Roman" w:hAnsi="Times New Roman" w:cs="Times New Roman"/>
          <w:sz w:val="28"/>
          <w:szCs w:val="28"/>
        </w:rPr>
      </w:pPr>
    </w:p>
    <w:p w:rsidR="005E6D2A"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shd w:val="clear" w:color="auto" w:fill="FFFFFF"/>
        </w:rPr>
        <w:t xml:space="preserve"> A continuación, se transcribe el texto de la</w:t>
      </w:r>
      <w:r w:rsidRPr="00B86EDB">
        <w:rPr>
          <w:rFonts w:ascii="Times New Roman" w:hAnsi="Times New Roman" w:cs="Times New Roman"/>
          <w:sz w:val="28"/>
          <w:szCs w:val="28"/>
          <w:shd w:val="clear" w:color="auto" w:fill="FFFFFF"/>
        </w:rPr>
        <w:t>s</w:t>
      </w:r>
      <w:r w:rsidRPr="00B86EDB">
        <w:rPr>
          <w:rFonts w:ascii="Times New Roman" w:hAnsi="Times New Roman" w:cs="Times New Roman"/>
          <w:sz w:val="28"/>
          <w:szCs w:val="28"/>
          <w:shd w:val="clear" w:color="auto" w:fill="FFFFFF"/>
        </w:rPr>
        <w:t xml:space="preserve"> disposici</w:t>
      </w:r>
      <w:r w:rsidRPr="00B86EDB">
        <w:rPr>
          <w:rFonts w:ascii="Times New Roman" w:hAnsi="Times New Roman" w:cs="Times New Roman"/>
          <w:sz w:val="28"/>
          <w:szCs w:val="28"/>
          <w:shd w:val="clear" w:color="auto" w:fill="FFFFFF"/>
        </w:rPr>
        <w:t xml:space="preserve">ones </w:t>
      </w:r>
      <w:r w:rsidRPr="00B86EDB">
        <w:rPr>
          <w:rFonts w:ascii="Times New Roman" w:hAnsi="Times New Roman" w:cs="Times New Roman"/>
          <w:sz w:val="28"/>
          <w:szCs w:val="28"/>
          <w:shd w:val="clear" w:color="auto" w:fill="FFFFFF"/>
        </w:rPr>
        <w:t>demandada</w:t>
      </w:r>
      <w:r w:rsidRPr="00B86EDB">
        <w:rPr>
          <w:rFonts w:ascii="Times New Roman" w:hAnsi="Times New Roman" w:cs="Times New Roman"/>
          <w:sz w:val="28"/>
          <w:szCs w:val="28"/>
          <w:shd w:val="clear" w:color="auto" w:fill="FFFFFF"/>
        </w:rPr>
        <w:t>s</w:t>
      </w:r>
      <w:r w:rsidRPr="00B86EDB">
        <w:rPr>
          <w:rFonts w:ascii="Times New Roman" w:hAnsi="Times New Roman" w:cs="Times New Roman"/>
          <w:sz w:val="28"/>
          <w:szCs w:val="28"/>
          <w:shd w:val="clear" w:color="auto" w:fill="FFFFFF"/>
        </w:rPr>
        <w:t>:</w:t>
      </w:r>
    </w:p>
    <w:p w:rsidR="005E6D2A" w:rsidRPr="00B86EDB" w:rsidRDefault="00B86EDB" w:rsidP="009F3F6A">
      <w:pPr>
        <w:pStyle w:val="centrado"/>
        <w:spacing w:before="0" w:beforeAutospacing="0" w:after="0" w:afterAutospacing="0"/>
        <w:ind w:left="283"/>
        <w:jc w:val="center"/>
        <w:rPr>
          <w:rStyle w:val="baj"/>
          <w:rFonts w:ascii="Times New Roman" w:hAnsi="Times New Roman" w:cs="Times New Roman"/>
          <w:i/>
          <w:iCs/>
          <w:sz w:val="28"/>
          <w:szCs w:val="28"/>
        </w:rPr>
      </w:pPr>
    </w:p>
    <w:p w:rsidR="005E6D2A" w:rsidRPr="00B86EDB" w:rsidRDefault="00B86EDB" w:rsidP="009F3F6A">
      <w:pPr>
        <w:pStyle w:val="Prrafodelista"/>
        <w:autoSpaceDE w:val="0"/>
        <w:autoSpaceDN w:val="0"/>
        <w:ind w:left="0"/>
        <w:contextualSpacing w:val="0"/>
        <w:jc w:val="both"/>
        <w:rPr>
          <w:rFonts w:ascii="Times New Roman" w:hAnsi="Times New Roman" w:cs="Times New Roman"/>
          <w:b/>
          <w:bCs/>
          <w:i/>
          <w:iCs/>
          <w:sz w:val="28"/>
          <w:szCs w:val="28"/>
        </w:rPr>
      </w:pPr>
    </w:p>
    <w:p w:rsidR="005E6D2A" w:rsidRPr="00B86EDB" w:rsidRDefault="00B86EDB" w:rsidP="009F3F6A">
      <w:pPr>
        <w:pStyle w:val="Default"/>
        <w:ind w:left="567" w:right="283"/>
        <w:jc w:val="center"/>
        <w:rPr>
          <w:rFonts w:ascii="Times New Roman" w:hAnsi="Times New Roman" w:cs="Times New Roman"/>
          <w:b/>
          <w:bCs/>
          <w:i/>
          <w:iCs/>
          <w:color w:val="auto"/>
          <w:sz w:val="28"/>
        </w:rPr>
      </w:pPr>
      <w:r w:rsidRPr="00B86EDB">
        <w:rPr>
          <w:rFonts w:ascii="Times New Roman" w:hAnsi="Times New Roman" w:cs="Times New Roman"/>
          <w:b/>
          <w:bCs/>
          <w:i/>
          <w:iCs/>
          <w:color w:val="auto"/>
          <w:sz w:val="28"/>
        </w:rPr>
        <w:t>LEY 2277 DE 2022</w:t>
      </w:r>
    </w:p>
    <w:p w:rsidR="005E6D2A" w:rsidRPr="00B86EDB" w:rsidRDefault="00B86EDB" w:rsidP="009F3F6A">
      <w:pPr>
        <w:pStyle w:val="Default"/>
        <w:ind w:left="567" w:right="283"/>
        <w:jc w:val="center"/>
        <w:rPr>
          <w:rFonts w:ascii="Times New Roman" w:hAnsi="Times New Roman" w:cs="Times New Roman"/>
          <w:i/>
          <w:iCs/>
          <w:color w:val="auto"/>
          <w:sz w:val="28"/>
        </w:rPr>
      </w:pPr>
      <w:r w:rsidRPr="00B86EDB">
        <w:rPr>
          <w:rFonts w:ascii="Times New Roman" w:hAnsi="Times New Roman" w:cs="Times New Roman"/>
          <w:i/>
          <w:iCs/>
          <w:color w:val="auto"/>
          <w:sz w:val="28"/>
        </w:rPr>
        <w:t>(diciembre 13)</w:t>
      </w:r>
    </w:p>
    <w:p w:rsidR="005E6D2A" w:rsidRPr="00B86EDB" w:rsidRDefault="00B86EDB" w:rsidP="009F3F6A">
      <w:pPr>
        <w:pStyle w:val="Default"/>
        <w:ind w:left="567" w:right="283"/>
        <w:jc w:val="center"/>
        <w:rPr>
          <w:rFonts w:ascii="Times New Roman" w:hAnsi="Times New Roman" w:cs="Times New Roman"/>
          <w:i/>
          <w:iCs/>
          <w:color w:val="auto"/>
          <w:sz w:val="28"/>
        </w:rPr>
      </w:pPr>
    </w:p>
    <w:p w:rsidR="005E6D2A" w:rsidRPr="00B86EDB" w:rsidRDefault="00B86EDB" w:rsidP="009F3F6A">
      <w:pPr>
        <w:pStyle w:val="Default"/>
        <w:ind w:left="567" w:right="283"/>
        <w:jc w:val="center"/>
        <w:rPr>
          <w:rFonts w:ascii="Times New Roman" w:hAnsi="Times New Roman" w:cs="Times New Roman"/>
          <w:b/>
          <w:bCs/>
          <w:i/>
          <w:iCs/>
          <w:color w:val="auto"/>
          <w:sz w:val="28"/>
        </w:rPr>
      </w:pPr>
      <w:r w:rsidRPr="00B86EDB">
        <w:rPr>
          <w:rFonts w:ascii="Times New Roman" w:hAnsi="Times New Roman" w:cs="Times New Roman"/>
          <w:b/>
          <w:bCs/>
          <w:i/>
          <w:iCs/>
          <w:color w:val="auto"/>
          <w:sz w:val="28"/>
        </w:rPr>
        <w:t>Por medio de la cual se adopta una reforma tributaria para la igualdad y la justicia social y se dictan otras disposiciones.</w:t>
      </w:r>
    </w:p>
    <w:p w:rsidR="005E6D2A" w:rsidRPr="00B86EDB" w:rsidRDefault="00B86EDB" w:rsidP="009F3F6A">
      <w:pPr>
        <w:pStyle w:val="Default"/>
        <w:ind w:left="567" w:right="283"/>
        <w:jc w:val="center"/>
        <w:rPr>
          <w:rFonts w:ascii="Times New Roman" w:hAnsi="Times New Roman" w:cs="Times New Roman"/>
          <w:i/>
          <w:iCs/>
          <w:color w:val="auto"/>
          <w:sz w:val="28"/>
        </w:rPr>
      </w:pPr>
    </w:p>
    <w:p w:rsidR="005E6D2A" w:rsidRPr="00B86EDB" w:rsidRDefault="00B86EDB" w:rsidP="009F3F6A">
      <w:pPr>
        <w:pStyle w:val="Default"/>
        <w:ind w:left="567" w:right="283"/>
        <w:jc w:val="center"/>
        <w:rPr>
          <w:rFonts w:ascii="Times New Roman" w:hAnsi="Times New Roman" w:cs="Times New Roman"/>
          <w:i/>
          <w:iCs/>
          <w:color w:val="auto"/>
          <w:sz w:val="28"/>
        </w:rPr>
      </w:pPr>
      <w:r w:rsidRPr="00B86EDB">
        <w:rPr>
          <w:rFonts w:ascii="Times New Roman" w:hAnsi="Times New Roman" w:cs="Times New Roman"/>
          <w:i/>
          <w:iCs/>
          <w:color w:val="auto"/>
          <w:sz w:val="28"/>
        </w:rPr>
        <w:t>El Congreso de Colombia</w:t>
      </w:r>
    </w:p>
    <w:p w:rsidR="005E6D2A" w:rsidRPr="00B86EDB" w:rsidRDefault="00B86EDB" w:rsidP="009F3F6A">
      <w:pPr>
        <w:pStyle w:val="Default"/>
        <w:ind w:left="567" w:right="283"/>
        <w:jc w:val="center"/>
        <w:rPr>
          <w:rFonts w:ascii="Times New Roman" w:hAnsi="Times New Roman" w:cs="Times New Roman"/>
          <w:i/>
          <w:iCs/>
          <w:color w:val="auto"/>
          <w:sz w:val="28"/>
        </w:rPr>
      </w:pPr>
    </w:p>
    <w:p w:rsidR="005E6D2A" w:rsidRPr="00B86EDB" w:rsidRDefault="00B86EDB" w:rsidP="009F3F6A">
      <w:pPr>
        <w:pStyle w:val="Default"/>
        <w:ind w:left="567" w:right="283"/>
        <w:jc w:val="center"/>
        <w:rPr>
          <w:rFonts w:ascii="Times New Roman" w:hAnsi="Times New Roman" w:cs="Times New Roman"/>
          <w:b/>
          <w:bCs/>
          <w:i/>
          <w:iCs/>
          <w:color w:val="auto"/>
          <w:sz w:val="28"/>
        </w:rPr>
      </w:pPr>
      <w:r w:rsidRPr="00B86EDB">
        <w:rPr>
          <w:rFonts w:ascii="Times New Roman" w:hAnsi="Times New Roman" w:cs="Times New Roman"/>
          <w:b/>
          <w:bCs/>
          <w:i/>
          <w:iCs/>
          <w:color w:val="auto"/>
          <w:sz w:val="28"/>
        </w:rPr>
        <w:t>DECRETA:</w:t>
      </w:r>
    </w:p>
    <w:p w:rsidR="005E6D2A" w:rsidRPr="00B86EDB" w:rsidRDefault="00B86EDB" w:rsidP="009F3F6A">
      <w:pPr>
        <w:pStyle w:val="Default"/>
        <w:ind w:left="567" w:right="283"/>
        <w:jc w:val="center"/>
        <w:rPr>
          <w:rFonts w:ascii="Times New Roman" w:hAnsi="Times New Roman" w:cs="Times New Roman"/>
          <w:i/>
          <w:iCs/>
          <w:color w:val="auto"/>
          <w:sz w:val="28"/>
        </w:rPr>
      </w:pPr>
    </w:p>
    <w:p w:rsidR="005E6D2A" w:rsidRPr="00B86EDB" w:rsidRDefault="00B86EDB" w:rsidP="009F3F6A">
      <w:pPr>
        <w:pStyle w:val="Default"/>
        <w:ind w:left="567" w:right="283"/>
        <w:jc w:val="center"/>
        <w:rPr>
          <w:rFonts w:ascii="Times New Roman" w:hAnsi="Times New Roman" w:cs="Times New Roman"/>
          <w:i/>
          <w:iCs/>
          <w:color w:val="auto"/>
          <w:sz w:val="28"/>
        </w:rPr>
      </w:pPr>
      <w:r w:rsidRPr="00B86EDB">
        <w:rPr>
          <w:rFonts w:ascii="Times New Roman" w:hAnsi="Times New Roman" w:cs="Times New Roman"/>
          <w:i/>
          <w:iCs/>
          <w:color w:val="auto"/>
          <w:sz w:val="28"/>
        </w:rPr>
        <w:t>[…]</w:t>
      </w:r>
    </w:p>
    <w:p w:rsidR="005E6D2A"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b/>
          <w:bCs/>
          <w:i/>
          <w:iCs/>
          <w:color w:val="auto"/>
          <w:sz w:val="28"/>
        </w:rPr>
        <w:t>ARTÍCULO 35</w:t>
      </w:r>
      <w:r w:rsidRPr="00B86EDB">
        <w:rPr>
          <w:rFonts w:ascii="Times New Roman" w:hAnsi="Times New Roman" w:cs="Times New Roman"/>
          <w:i/>
          <w:iCs/>
          <w:color w:val="auto"/>
          <w:sz w:val="28"/>
        </w:rPr>
        <w:t xml:space="preserve">. Adiciónese el artículo 292-3 al Estatuto Tributario, así: </w:t>
      </w:r>
    </w:p>
    <w:p w:rsidR="005E6D2A"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b/>
          <w:bCs/>
          <w:i/>
          <w:iCs/>
          <w:color w:val="auto"/>
          <w:sz w:val="28"/>
        </w:rPr>
        <w:t xml:space="preserve">ARTÍCULO 292-3. IMPUESTO AL PATRIMONIO - SUJETOS PASIVOS. </w:t>
      </w:r>
      <w:r w:rsidRPr="00B86EDB">
        <w:rPr>
          <w:rFonts w:ascii="Times New Roman" w:hAnsi="Times New Roman" w:cs="Times New Roman"/>
          <w:i/>
          <w:iCs/>
          <w:color w:val="auto"/>
          <w:sz w:val="28"/>
        </w:rPr>
        <w:t xml:space="preserve">Créase un impuesto denominado impuesto al patrimonio. Están sometidos al impuesto: </w:t>
      </w:r>
    </w:p>
    <w:p w:rsidR="005E6D2A"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Default"/>
        <w:numPr>
          <w:ilvl w:val="0"/>
          <w:numId w:val="6"/>
        </w:numPr>
        <w:ind w:left="567" w:right="283" w:firstLine="0"/>
        <w:jc w:val="both"/>
        <w:rPr>
          <w:rFonts w:ascii="Times New Roman" w:hAnsi="Times New Roman" w:cs="Times New Roman"/>
          <w:i/>
          <w:iCs/>
          <w:color w:val="auto"/>
          <w:sz w:val="28"/>
        </w:rPr>
      </w:pPr>
      <w:r w:rsidRPr="00B86EDB">
        <w:rPr>
          <w:rFonts w:ascii="Times New Roman" w:hAnsi="Times New Roman" w:cs="Times New Roman"/>
          <w:i/>
          <w:iCs/>
          <w:color w:val="auto"/>
          <w:sz w:val="28"/>
        </w:rPr>
        <w:t>Las personas naturales y las sucesiones ilíquidas, contribuyentes del impuesto sobre la renta y complementarios o</w:t>
      </w:r>
      <w:r w:rsidRPr="00B86EDB">
        <w:rPr>
          <w:rFonts w:ascii="Times New Roman" w:hAnsi="Times New Roman" w:cs="Times New Roman"/>
          <w:i/>
          <w:iCs/>
          <w:color w:val="auto"/>
          <w:sz w:val="28"/>
        </w:rPr>
        <w:t xml:space="preserve"> de regímenes sustitutivos del impuesto sobre la renta. </w:t>
      </w:r>
    </w:p>
    <w:p w:rsidR="005E6D2A"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Default"/>
        <w:numPr>
          <w:ilvl w:val="0"/>
          <w:numId w:val="6"/>
        </w:numPr>
        <w:ind w:left="567" w:right="283" w:firstLine="0"/>
        <w:jc w:val="both"/>
        <w:rPr>
          <w:rFonts w:ascii="Times New Roman" w:hAnsi="Times New Roman" w:cs="Times New Roman"/>
          <w:i/>
          <w:iCs/>
          <w:color w:val="auto"/>
          <w:sz w:val="28"/>
        </w:rPr>
      </w:pPr>
      <w:r w:rsidRPr="00B86EDB">
        <w:rPr>
          <w:rFonts w:ascii="Times New Roman" w:hAnsi="Times New Roman" w:cs="Times New Roman"/>
          <w:i/>
          <w:iCs/>
          <w:color w:val="auto"/>
          <w:sz w:val="28"/>
        </w:rPr>
        <w:t>Las personas naturales, nacionales o extranjeras, que no tengan residencia en el país, respecto de su patrimonio poseído directamente en el país, salvo las excepciones previstas en los tratados inte</w:t>
      </w:r>
      <w:r w:rsidRPr="00B86EDB">
        <w:rPr>
          <w:rFonts w:ascii="Times New Roman" w:hAnsi="Times New Roman" w:cs="Times New Roman"/>
          <w:i/>
          <w:iCs/>
          <w:color w:val="auto"/>
          <w:sz w:val="28"/>
        </w:rPr>
        <w:t>rnacionales y en el derecho interno.</w:t>
      </w:r>
    </w:p>
    <w:p w:rsidR="005E6D2A" w:rsidRPr="00B86EDB" w:rsidRDefault="00B86EDB" w:rsidP="009F3F6A">
      <w:pPr>
        <w:pStyle w:val="Prrafodelista"/>
        <w:ind w:left="567" w:right="283"/>
        <w:contextualSpacing w:val="0"/>
        <w:rPr>
          <w:rFonts w:ascii="Times New Roman" w:hAnsi="Times New Roman" w:cs="Times New Roman"/>
          <w:i/>
          <w:iCs/>
          <w:sz w:val="28"/>
        </w:rPr>
      </w:pPr>
    </w:p>
    <w:p w:rsidR="005E6D2A" w:rsidRPr="00B86EDB" w:rsidRDefault="00B86EDB" w:rsidP="009F3F6A">
      <w:pPr>
        <w:pStyle w:val="Default"/>
        <w:numPr>
          <w:ilvl w:val="0"/>
          <w:numId w:val="6"/>
        </w:numPr>
        <w:ind w:left="567" w:right="283" w:firstLine="0"/>
        <w:jc w:val="both"/>
        <w:rPr>
          <w:rFonts w:ascii="Times New Roman" w:hAnsi="Times New Roman" w:cs="Times New Roman"/>
          <w:i/>
          <w:iCs/>
          <w:color w:val="auto"/>
          <w:sz w:val="28"/>
        </w:rPr>
      </w:pPr>
      <w:r w:rsidRPr="00B86EDB">
        <w:rPr>
          <w:rFonts w:ascii="Times New Roman" w:hAnsi="Times New Roman" w:cs="Times New Roman"/>
          <w:i/>
          <w:iCs/>
          <w:color w:val="auto"/>
          <w:sz w:val="28"/>
        </w:rPr>
        <w:t>Las personas naturales, nacionales o extranjeras, que no tengan residencia en el país, respecto de su patrimonio poseído indirectamente a través de establecimientos permanentes, en el país, salvo las excepciones previs</w:t>
      </w:r>
      <w:r w:rsidRPr="00B86EDB">
        <w:rPr>
          <w:rFonts w:ascii="Times New Roman" w:hAnsi="Times New Roman" w:cs="Times New Roman"/>
          <w:i/>
          <w:iCs/>
          <w:color w:val="auto"/>
          <w:sz w:val="28"/>
        </w:rPr>
        <w:t xml:space="preserve">tas en los tratados internacionales y en el derecho interno. </w:t>
      </w:r>
    </w:p>
    <w:p w:rsidR="005E6D2A" w:rsidRPr="00B86EDB" w:rsidRDefault="00B86EDB" w:rsidP="009F3F6A">
      <w:pPr>
        <w:pStyle w:val="Prrafodelista"/>
        <w:ind w:left="567" w:right="283"/>
        <w:contextualSpacing w:val="0"/>
        <w:rPr>
          <w:rFonts w:ascii="Times New Roman" w:hAnsi="Times New Roman" w:cs="Times New Roman"/>
          <w:i/>
          <w:iCs/>
          <w:sz w:val="28"/>
        </w:rPr>
      </w:pPr>
    </w:p>
    <w:p w:rsidR="005E6D2A" w:rsidRPr="00B86EDB" w:rsidRDefault="00B86EDB" w:rsidP="009F3F6A">
      <w:pPr>
        <w:pStyle w:val="Prrafodelista"/>
        <w:numPr>
          <w:ilvl w:val="0"/>
          <w:numId w:val="6"/>
        </w:numPr>
        <w:ind w:left="567" w:right="283" w:firstLine="0"/>
        <w:contextualSpacing w:val="0"/>
        <w:jc w:val="both"/>
        <w:rPr>
          <w:rFonts w:ascii="Times New Roman" w:hAnsi="Times New Roman" w:cs="Times New Roman"/>
          <w:i/>
          <w:iCs/>
          <w:sz w:val="28"/>
        </w:rPr>
      </w:pPr>
      <w:r w:rsidRPr="00B86EDB">
        <w:rPr>
          <w:rFonts w:ascii="Times New Roman" w:hAnsi="Times New Roman" w:cs="Times New Roman"/>
          <w:i/>
          <w:iCs/>
          <w:sz w:val="28"/>
        </w:rPr>
        <w:t>Las sucesiones ilíquidas de causantes sin residencia en el país al momento de su muerte respecto de su patrimonio poseído en el país.</w:t>
      </w:r>
    </w:p>
    <w:p w:rsidR="005E6D2A" w:rsidRPr="00B86EDB" w:rsidRDefault="00B86EDB" w:rsidP="009F3F6A">
      <w:pPr>
        <w:pStyle w:val="Prrafodelista"/>
        <w:ind w:left="567" w:right="283"/>
        <w:contextualSpacing w:val="0"/>
        <w:rPr>
          <w:rFonts w:ascii="Times New Roman" w:hAnsi="Times New Roman" w:cs="Times New Roman"/>
          <w:i/>
          <w:iCs/>
          <w:sz w:val="28"/>
        </w:rPr>
      </w:pPr>
    </w:p>
    <w:p w:rsidR="005E6D2A" w:rsidRPr="00B86EDB" w:rsidRDefault="00B86EDB" w:rsidP="009F3F6A">
      <w:pPr>
        <w:pStyle w:val="Default"/>
        <w:numPr>
          <w:ilvl w:val="0"/>
          <w:numId w:val="6"/>
        </w:numPr>
        <w:ind w:left="567" w:right="283" w:firstLine="0"/>
        <w:jc w:val="both"/>
        <w:rPr>
          <w:rFonts w:ascii="Times New Roman" w:hAnsi="Times New Roman" w:cs="Times New Roman"/>
          <w:i/>
          <w:iCs/>
          <w:color w:val="auto"/>
          <w:sz w:val="28"/>
        </w:rPr>
      </w:pPr>
      <w:r w:rsidRPr="00B86EDB">
        <w:rPr>
          <w:rFonts w:ascii="Times New Roman" w:hAnsi="Times New Roman" w:cs="Times New Roman"/>
          <w:i/>
          <w:iCs/>
          <w:color w:val="auto"/>
          <w:sz w:val="28"/>
        </w:rPr>
        <w:t>Las sociedades o entidades extranjeras que no sean declarantes del impuesto sobre la renta en el país, y que posean bienes ubicados en Colombia diferentes a acciones, cuentas por cobrar y/o inversiones de portafolio de conformidad con el artículo 2.17.2.2.</w:t>
      </w:r>
      <w:r w:rsidRPr="00B86EDB">
        <w:rPr>
          <w:rFonts w:ascii="Times New Roman" w:hAnsi="Times New Roman" w:cs="Times New Roman"/>
          <w:i/>
          <w:iCs/>
          <w:color w:val="auto"/>
          <w:sz w:val="28"/>
        </w:rPr>
        <w:t>1.2 del Decreto 1068 de 2015 y el 18-1 de este Estatuto, como inmuebles, yates, botes, lanchas, obras de arte, aeronaves o derechos mineros o petroleros. No serán sujetos pasivos del impuesto al patrimonio las sociedades o entidades extranjeras, que no sea</w:t>
      </w:r>
      <w:r w:rsidRPr="00B86EDB">
        <w:rPr>
          <w:rFonts w:ascii="Times New Roman" w:hAnsi="Times New Roman" w:cs="Times New Roman"/>
          <w:i/>
          <w:iCs/>
          <w:color w:val="auto"/>
          <w:sz w:val="28"/>
        </w:rPr>
        <w:t xml:space="preserve">n declarantes del impuesto sobre la renta en el país, y que suscriban contratos de arrendamiento financiero con entidades o personas que sean residentes en Colombia. </w:t>
      </w:r>
    </w:p>
    <w:p w:rsidR="005E6D2A"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b/>
          <w:bCs/>
          <w:i/>
          <w:iCs/>
          <w:color w:val="auto"/>
          <w:sz w:val="28"/>
        </w:rPr>
        <w:t xml:space="preserve">PARÁGRAFO 1. </w:t>
      </w:r>
      <w:r w:rsidRPr="00B86EDB">
        <w:rPr>
          <w:rFonts w:ascii="Times New Roman" w:hAnsi="Times New Roman" w:cs="Times New Roman"/>
          <w:i/>
          <w:iCs/>
          <w:color w:val="auto"/>
          <w:sz w:val="28"/>
        </w:rPr>
        <w:t xml:space="preserve">Para que apliquen las exclusiones consagradas en el numeral 5 del presente </w:t>
      </w:r>
      <w:r w:rsidRPr="00B86EDB">
        <w:rPr>
          <w:rFonts w:ascii="Times New Roman" w:hAnsi="Times New Roman" w:cs="Times New Roman"/>
          <w:i/>
          <w:iCs/>
          <w:color w:val="auto"/>
          <w:sz w:val="28"/>
        </w:rPr>
        <w:t xml:space="preserve">artículo, las acciones, cuentas por cobrar, inversiones de portafolio y contratos de arrendamiento financiero deben cumplir en debida forma con las obligaciones previstas en el régimen cambiario vigente en Colombia. </w:t>
      </w:r>
    </w:p>
    <w:p w:rsidR="005E6D2A"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Prrafodelista"/>
        <w:ind w:left="567" w:right="283"/>
        <w:contextualSpacing w:val="0"/>
        <w:jc w:val="both"/>
        <w:rPr>
          <w:rFonts w:ascii="Times New Roman" w:hAnsi="Times New Roman" w:cs="Times New Roman"/>
          <w:i/>
          <w:iCs/>
          <w:sz w:val="28"/>
        </w:rPr>
      </w:pPr>
      <w:r w:rsidRPr="00B86EDB">
        <w:rPr>
          <w:rFonts w:ascii="Times New Roman" w:hAnsi="Times New Roman" w:cs="Times New Roman"/>
          <w:b/>
          <w:bCs/>
          <w:i/>
          <w:iCs/>
          <w:sz w:val="28"/>
        </w:rPr>
        <w:t>PARÁGRAFO 2</w:t>
      </w:r>
      <w:r w:rsidRPr="00B86EDB">
        <w:rPr>
          <w:rFonts w:ascii="Times New Roman" w:hAnsi="Times New Roman" w:cs="Times New Roman"/>
          <w:i/>
          <w:iCs/>
          <w:sz w:val="28"/>
        </w:rPr>
        <w:t xml:space="preserve">. Para el caso de los </w:t>
      </w:r>
      <w:r w:rsidRPr="00B86EDB">
        <w:rPr>
          <w:rFonts w:ascii="Times New Roman" w:hAnsi="Times New Roman" w:cs="Times New Roman"/>
          <w:i/>
          <w:iCs/>
          <w:sz w:val="28"/>
        </w:rPr>
        <w:t>contribuyentes del impuesto al patrimonio señalados en el numeral 3 del presente artículo, el deber formal de declarar estará en cabeza del establecimiento permanente.</w:t>
      </w:r>
    </w:p>
    <w:p w:rsidR="005E6D2A" w:rsidRPr="00B86EDB" w:rsidRDefault="00B86EDB" w:rsidP="009F3F6A">
      <w:pPr>
        <w:pStyle w:val="Prrafodelista"/>
        <w:ind w:left="567" w:right="283"/>
        <w:contextualSpacing w:val="0"/>
        <w:jc w:val="both"/>
        <w:rPr>
          <w:rFonts w:ascii="Times New Roman" w:hAnsi="Times New Roman" w:cs="Times New Roman"/>
          <w:i/>
          <w:iCs/>
          <w:sz w:val="28"/>
        </w:rPr>
      </w:pP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b/>
          <w:bCs/>
          <w:i/>
          <w:iCs/>
          <w:color w:val="auto"/>
          <w:sz w:val="28"/>
        </w:rPr>
        <w:t>ARTÍCULO 36</w:t>
      </w:r>
      <w:r w:rsidRPr="00B86EDB">
        <w:rPr>
          <w:rFonts w:ascii="Times New Roman" w:hAnsi="Times New Roman" w:cs="Times New Roman"/>
          <w:i/>
          <w:iCs/>
          <w:color w:val="auto"/>
          <w:sz w:val="28"/>
        </w:rPr>
        <w:t xml:space="preserve">. Adiciónese el artículo 294-3 al Estatuto Tributario, así: </w:t>
      </w:r>
    </w:p>
    <w:p w:rsidR="005E6D2A"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b/>
          <w:bCs/>
          <w:i/>
          <w:iCs/>
          <w:color w:val="auto"/>
          <w:sz w:val="28"/>
        </w:rPr>
        <w:t>ARTÍCULO 294-3</w:t>
      </w:r>
      <w:r w:rsidRPr="00B86EDB">
        <w:rPr>
          <w:rFonts w:ascii="Times New Roman" w:hAnsi="Times New Roman" w:cs="Times New Roman"/>
          <w:b/>
          <w:bCs/>
          <w:i/>
          <w:iCs/>
          <w:color w:val="auto"/>
          <w:sz w:val="28"/>
        </w:rPr>
        <w:t xml:space="preserve">. HECHO GENERADOR. </w:t>
      </w:r>
      <w:r w:rsidRPr="00B86EDB">
        <w:rPr>
          <w:rFonts w:ascii="Times New Roman" w:hAnsi="Times New Roman" w:cs="Times New Roman"/>
          <w:i/>
          <w:iCs/>
          <w:color w:val="auto"/>
          <w:sz w:val="28"/>
        </w:rPr>
        <w:t>El impuesto al patrimonio se genera por la posesión del mismo al primero (1</w:t>
      </w:r>
      <w:r w:rsidRPr="00B86EDB">
        <w:rPr>
          <w:rFonts w:ascii="Times New Roman" w:hAnsi="Times New Roman" w:cs="Times New Roman"/>
          <w:i/>
          <w:iCs/>
          <w:color w:val="auto"/>
          <w:sz w:val="28"/>
          <w:vertAlign w:val="superscript"/>
        </w:rPr>
        <w:t>0</w:t>
      </w:r>
      <w:r w:rsidRPr="00B86EDB">
        <w:rPr>
          <w:rFonts w:ascii="Times New Roman" w:hAnsi="Times New Roman" w:cs="Times New Roman"/>
          <w:i/>
          <w:iCs/>
          <w:color w:val="auto"/>
          <w:sz w:val="28"/>
        </w:rPr>
        <w:t>) de enero de cada año, cuyo valor sea igual o superior a setenta y dos mil (72.000) UVT. Para efectos de este gravamen, el concepto de patrimonio es equivalente</w:t>
      </w:r>
      <w:r w:rsidRPr="00B86EDB">
        <w:rPr>
          <w:rFonts w:ascii="Times New Roman" w:hAnsi="Times New Roman" w:cs="Times New Roman"/>
          <w:i/>
          <w:iCs/>
          <w:color w:val="auto"/>
          <w:sz w:val="28"/>
        </w:rPr>
        <w:t xml:space="preserve"> al patrimonio líquido, calculado tomando el total del patrimonio bruto del contribuyente poseído en la misma fecha menos las deudas a cargo del contribuyente vigentes en esa fecha. </w:t>
      </w:r>
    </w:p>
    <w:p w:rsidR="005E6D2A"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b/>
          <w:bCs/>
          <w:i/>
          <w:iCs/>
          <w:color w:val="auto"/>
          <w:sz w:val="28"/>
        </w:rPr>
        <w:t xml:space="preserve">ARTÍCULO 37. </w:t>
      </w:r>
      <w:r w:rsidRPr="00B86EDB">
        <w:rPr>
          <w:rFonts w:ascii="Times New Roman" w:hAnsi="Times New Roman" w:cs="Times New Roman"/>
          <w:i/>
          <w:iCs/>
          <w:color w:val="auto"/>
          <w:sz w:val="28"/>
        </w:rPr>
        <w:t xml:space="preserve">Adiciónese el artículo 295-3 al Estatuto Tributario, así: </w:t>
      </w:r>
    </w:p>
    <w:p w:rsidR="005E6D2A"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b/>
          <w:bCs/>
          <w:i/>
          <w:iCs/>
          <w:color w:val="auto"/>
          <w:sz w:val="28"/>
        </w:rPr>
        <w:t>ARTÍCULO 295-3. BASE GRAVABLE</w:t>
      </w:r>
      <w:r w:rsidRPr="00B86EDB">
        <w:rPr>
          <w:rFonts w:ascii="Times New Roman" w:hAnsi="Times New Roman" w:cs="Times New Roman"/>
          <w:i/>
          <w:iCs/>
          <w:color w:val="auto"/>
          <w:sz w:val="28"/>
        </w:rPr>
        <w:t xml:space="preserve">. La base gravable del impuesto al patrimonio es el valor del patrimonio bruto del sujeto pasivo poseído a primero (1°) de enero de cada año menos las deudas a cargo del mismo vigentes en esa misma fecha, determinado conforme </w:t>
      </w:r>
      <w:r w:rsidRPr="00B86EDB">
        <w:rPr>
          <w:rFonts w:ascii="Times New Roman" w:hAnsi="Times New Roman" w:cs="Times New Roman"/>
          <w:i/>
          <w:iCs/>
          <w:color w:val="auto"/>
          <w:sz w:val="28"/>
        </w:rPr>
        <w:t xml:space="preserve">a lo previsto en el Título II del Libro I de este Estatuto, sin perjuicio de las reglas especiales señaladas en este artículo. </w:t>
      </w:r>
    </w:p>
    <w:p w:rsidR="005E6D2A"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i/>
          <w:iCs/>
          <w:color w:val="auto"/>
          <w:sz w:val="28"/>
        </w:rPr>
        <w:t>En el caso de las personas naturales, se excluyen las primeras doce mil (12.000) UVT del valor patrimonial de su casa o apartam</w:t>
      </w:r>
      <w:r w:rsidRPr="00B86EDB">
        <w:rPr>
          <w:rFonts w:ascii="Times New Roman" w:hAnsi="Times New Roman" w:cs="Times New Roman"/>
          <w:i/>
          <w:iCs/>
          <w:color w:val="auto"/>
          <w:sz w:val="28"/>
        </w:rPr>
        <w:t xml:space="preserve">ento de habitación. Esta exclusión aplica únicamente respecto a la casa o apartamento en donde efectivamente viva la persona natural la mayor parte del tiempo, por lo que no quedan cobijados por esta exclusión los inmuebles de recreo, segundas viviendas u </w:t>
      </w:r>
      <w:r w:rsidRPr="00B86EDB">
        <w:rPr>
          <w:rFonts w:ascii="Times New Roman" w:hAnsi="Times New Roman" w:cs="Times New Roman"/>
          <w:i/>
          <w:iCs/>
          <w:color w:val="auto"/>
          <w:sz w:val="28"/>
        </w:rPr>
        <w:t xml:space="preserve">otro inmueble que no cumpla con la condición de ser el lugar en donde habita la persona natural. </w:t>
      </w:r>
    </w:p>
    <w:p w:rsidR="005E6D2A"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b/>
          <w:bCs/>
          <w:i/>
          <w:iCs/>
          <w:color w:val="auto"/>
          <w:sz w:val="28"/>
        </w:rPr>
        <w:t>PARÁGRAFO 1</w:t>
      </w:r>
      <w:r w:rsidRPr="00B86EDB">
        <w:rPr>
          <w:rFonts w:ascii="Times New Roman" w:hAnsi="Times New Roman" w:cs="Times New Roman"/>
          <w:i/>
          <w:iCs/>
          <w:color w:val="auto"/>
          <w:sz w:val="28"/>
        </w:rPr>
        <w:t>. El valor patrimonial que se puede excluir de la base gravable del impuesto al patrimonio se determinará de conformidad con lo previsto en el Tit</w:t>
      </w:r>
      <w:r w:rsidRPr="00B86EDB">
        <w:rPr>
          <w:rFonts w:ascii="Times New Roman" w:hAnsi="Times New Roman" w:cs="Times New Roman"/>
          <w:i/>
          <w:iCs/>
          <w:color w:val="auto"/>
          <w:sz w:val="28"/>
        </w:rPr>
        <w:t>ulo II del Libro I de este Estatuto. El valor patrimonial neto del bien que se excluye de la base gravable, es el que se obtenga de multiplicar el valor patrimonial del bien por el porcentaje que resulte de dividir el patrimonio líquido por el patrimonio b</w:t>
      </w:r>
      <w:r w:rsidRPr="00B86EDB">
        <w:rPr>
          <w:rFonts w:ascii="Times New Roman" w:hAnsi="Times New Roman" w:cs="Times New Roman"/>
          <w:i/>
          <w:iCs/>
          <w:color w:val="auto"/>
          <w:sz w:val="28"/>
        </w:rPr>
        <w:t>ruto a primero (</w:t>
      </w:r>
      <w:r w:rsidRPr="00B86EDB">
        <w:rPr>
          <w:rFonts w:ascii="Times New Roman" w:hAnsi="Times New Roman" w:cs="Times New Roman"/>
          <w:i/>
          <w:iCs/>
          <w:color w:val="auto"/>
          <w:sz w:val="28"/>
        </w:rPr>
        <w:t>1°</w:t>
      </w:r>
      <w:r w:rsidRPr="00B86EDB">
        <w:rPr>
          <w:rFonts w:ascii="Times New Roman" w:hAnsi="Times New Roman" w:cs="Times New Roman"/>
          <w:i/>
          <w:iCs/>
          <w:color w:val="auto"/>
          <w:sz w:val="28"/>
        </w:rPr>
        <w:t xml:space="preserve">) de enero de cada año. </w:t>
      </w:r>
    </w:p>
    <w:p w:rsidR="005E6D2A"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b/>
          <w:bCs/>
          <w:i/>
          <w:iCs/>
          <w:color w:val="auto"/>
          <w:sz w:val="28"/>
        </w:rPr>
        <w:t xml:space="preserve">PARÁGRAFO 2. </w:t>
      </w:r>
      <w:r w:rsidRPr="00B86EDB">
        <w:rPr>
          <w:rFonts w:ascii="Times New Roman" w:hAnsi="Times New Roman" w:cs="Times New Roman"/>
          <w:i/>
          <w:iCs/>
          <w:color w:val="auto"/>
          <w:sz w:val="28"/>
        </w:rPr>
        <w:t>En el caso de las personas naturales sin residencia en el país que tengan un establecimiento permanente en Colombia, la base gravable corresponderá al patrimonio atribuido al establecimiento permanen</w:t>
      </w:r>
      <w:r w:rsidRPr="00B86EDB">
        <w:rPr>
          <w:rFonts w:ascii="Times New Roman" w:hAnsi="Times New Roman" w:cs="Times New Roman"/>
          <w:i/>
          <w:iCs/>
          <w:color w:val="auto"/>
          <w:sz w:val="28"/>
        </w:rPr>
        <w:t xml:space="preserve">te de conformidad con lo establecido en el artículo 20-2 del Estatuto Tributario. </w:t>
      </w:r>
    </w:p>
    <w:p w:rsidR="005E6D2A"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Prrafodelista"/>
        <w:ind w:left="567" w:right="283"/>
        <w:contextualSpacing w:val="0"/>
        <w:jc w:val="both"/>
        <w:rPr>
          <w:rFonts w:ascii="Times New Roman" w:hAnsi="Times New Roman" w:cs="Times New Roman"/>
          <w:i/>
          <w:iCs/>
          <w:sz w:val="28"/>
        </w:rPr>
      </w:pPr>
      <w:r w:rsidRPr="00B86EDB">
        <w:rPr>
          <w:rFonts w:ascii="Times New Roman" w:hAnsi="Times New Roman" w:cs="Times New Roman"/>
          <w:i/>
          <w:iCs/>
          <w:sz w:val="28"/>
        </w:rPr>
        <w:t>Para efectos de la determinación de los activos, pasivos, capital, ingresos, costos y gastos que se tienen en cuenta al establecer el patrimonio atribuible a un establecimi</w:t>
      </w:r>
      <w:r w:rsidRPr="00B86EDB">
        <w:rPr>
          <w:rFonts w:ascii="Times New Roman" w:hAnsi="Times New Roman" w:cs="Times New Roman"/>
          <w:i/>
          <w:iCs/>
          <w:sz w:val="28"/>
        </w:rPr>
        <w:t>ento permanente durante un año o periodo gravable, se deberá elaborar un estudio, de acuerdo con el Principio de Plena Competencia, en el cual se tengan en cuenta las funciones desarrolladas, activos utilizados, el personal involucrado y los riesgos asumid</w:t>
      </w:r>
      <w:r w:rsidRPr="00B86EDB">
        <w:rPr>
          <w:rFonts w:ascii="Times New Roman" w:hAnsi="Times New Roman" w:cs="Times New Roman"/>
          <w:i/>
          <w:iCs/>
          <w:sz w:val="28"/>
        </w:rPr>
        <w:t>os por la empresa a través del establecimiento permanente y de las otras partes de la empresa de la que el establecimiento permanente forma parte.</w:t>
      </w:r>
    </w:p>
    <w:p w:rsidR="005E6D2A" w:rsidRPr="00B86EDB" w:rsidRDefault="00B86EDB" w:rsidP="009F3F6A">
      <w:pPr>
        <w:pStyle w:val="Prrafodelista"/>
        <w:ind w:left="567" w:right="283"/>
        <w:contextualSpacing w:val="0"/>
        <w:jc w:val="both"/>
        <w:rPr>
          <w:rStyle w:val="FontStyle19"/>
          <w:i/>
          <w:iCs/>
          <w:sz w:val="28"/>
          <w:szCs w:val="24"/>
        </w:rPr>
      </w:pP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b/>
          <w:bCs/>
          <w:i/>
          <w:iCs/>
          <w:color w:val="auto"/>
          <w:sz w:val="28"/>
        </w:rPr>
        <w:t xml:space="preserve">PARÁGRAFO 3. </w:t>
      </w:r>
      <w:r w:rsidRPr="00B86EDB">
        <w:rPr>
          <w:rFonts w:ascii="Times New Roman" w:hAnsi="Times New Roman" w:cs="Times New Roman"/>
          <w:i/>
          <w:iCs/>
          <w:color w:val="auto"/>
          <w:sz w:val="28"/>
        </w:rPr>
        <w:t xml:space="preserve">Para determinar la base gravable del impuesto al patrimonio, se seguirán las siguientes reglas: </w:t>
      </w:r>
    </w:p>
    <w:p w:rsidR="005E6D2A"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Default"/>
        <w:numPr>
          <w:ilvl w:val="0"/>
          <w:numId w:val="7"/>
        </w:numPr>
        <w:ind w:left="567" w:right="283" w:firstLine="0"/>
        <w:jc w:val="both"/>
        <w:rPr>
          <w:rFonts w:ascii="Times New Roman" w:hAnsi="Times New Roman" w:cs="Times New Roman"/>
          <w:i/>
          <w:iCs/>
          <w:color w:val="auto"/>
          <w:sz w:val="28"/>
        </w:rPr>
      </w:pPr>
      <w:r w:rsidRPr="00B86EDB">
        <w:rPr>
          <w:rFonts w:ascii="Times New Roman" w:hAnsi="Times New Roman" w:cs="Times New Roman"/>
          <w:i/>
          <w:iCs/>
          <w:color w:val="auto"/>
          <w:sz w:val="28"/>
        </w:rPr>
        <w:t>El valor de las acciones o cuotas de interés social de sociedades o entidades nacionales que no coticen en la Bolsa de Valores de Colombia o una de reconocida</w:t>
      </w:r>
      <w:r w:rsidRPr="00B86EDB">
        <w:rPr>
          <w:rFonts w:ascii="Times New Roman" w:hAnsi="Times New Roman" w:cs="Times New Roman"/>
          <w:i/>
          <w:iCs/>
          <w:color w:val="auto"/>
          <w:sz w:val="28"/>
        </w:rPr>
        <w:t xml:space="preserve"> idoneidad internacional según lo determine la Unidad Administrativa Especial Dirección de Impuestos y Aduanas Nacionales - DIAN, corresponde al costo fiscal determinado conforme a lo previsto en el Titulo II del Libro I de este Estatuto, actualizado anual</w:t>
      </w:r>
      <w:r w:rsidRPr="00B86EDB">
        <w:rPr>
          <w:rFonts w:ascii="Times New Roman" w:hAnsi="Times New Roman" w:cs="Times New Roman"/>
          <w:i/>
          <w:iCs/>
          <w:color w:val="auto"/>
          <w:sz w:val="28"/>
        </w:rPr>
        <w:t xml:space="preserve">mente en los términos del artículo 73 del Estatuto Tributario para las acciones o cuotas de interés social, a partir de su adquisición. Las acciones o cuotas de interés social adquiridas antes del primero (1°) de enero de 2006, se entenderán adquiridas en </w:t>
      </w:r>
      <w:r w:rsidRPr="00B86EDB">
        <w:rPr>
          <w:rFonts w:ascii="Times New Roman" w:hAnsi="Times New Roman" w:cs="Times New Roman"/>
          <w:i/>
          <w:iCs/>
          <w:color w:val="auto"/>
          <w:sz w:val="28"/>
        </w:rPr>
        <w:t xml:space="preserve">el año 2006. </w:t>
      </w:r>
    </w:p>
    <w:p w:rsidR="00916653"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i/>
          <w:iCs/>
          <w:color w:val="auto"/>
          <w:sz w:val="28"/>
        </w:rPr>
        <w:t xml:space="preserve">Si el valor calculado conforme a la anterior regla es mayor al valor intrínseco de las acciones, se tomará este último. </w:t>
      </w:r>
    </w:p>
    <w:p w:rsidR="005E6D2A"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i/>
          <w:iCs/>
          <w:color w:val="auto"/>
          <w:sz w:val="28"/>
        </w:rPr>
        <w:t xml:space="preserve">El valor intrínseco se calculará dividiendo el patrimonio contable a primero (1°) de enero de cada año, entre las acciones o cuotas de interés social en circulación. </w:t>
      </w:r>
    </w:p>
    <w:p w:rsidR="005E6D2A"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Default"/>
        <w:numPr>
          <w:ilvl w:val="0"/>
          <w:numId w:val="7"/>
        </w:numPr>
        <w:ind w:left="567" w:right="283" w:firstLine="0"/>
        <w:jc w:val="both"/>
        <w:rPr>
          <w:rFonts w:ascii="Times New Roman" w:hAnsi="Times New Roman" w:cs="Times New Roman"/>
          <w:i/>
          <w:iCs/>
          <w:color w:val="auto"/>
          <w:sz w:val="28"/>
        </w:rPr>
      </w:pPr>
      <w:r w:rsidRPr="00B86EDB">
        <w:rPr>
          <w:rFonts w:ascii="Times New Roman" w:hAnsi="Times New Roman" w:cs="Times New Roman"/>
          <w:i/>
          <w:iCs/>
          <w:color w:val="auto"/>
          <w:sz w:val="28"/>
        </w:rPr>
        <w:t>En el caso de las acciones o cuotas de interés social de sociedades o entidades nacional</w:t>
      </w:r>
      <w:r w:rsidRPr="00B86EDB">
        <w:rPr>
          <w:rFonts w:ascii="Times New Roman" w:hAnsi="Times New Roman" w:cs="Times New Roman"/>
          <w:i/>
          <w:iCs/>
          <w:color w:val="auto"/>
          <w:sz w:val="28"/>
        </w:rPr>
        <w:t>es que coticen en la Bolsa de Valores de Colombia o una de reconocida idoneidad internacional según lo determine la U.A.E. Dirección de Impuestos y Aduanas Nacionales -DIAN, el valor corresponderá al valor promedio de cotización del mercado del año o fracc</w:t>
      </w:r>
      <w:r w:rsidRPr="00B86EDB">
        <w:rPr>
          <w:rFonts w:ascii="Times New Roman" w:hAnsi="Times New Roman" w:cs="Times New Roman"/>
          <w:i/>
          <w:iCs/>
          <w:color w:val="auto"/>
          <w:sz w:val="28"/>
        </w:rPr>
        <w:t xml:space="preserve">ión de año, inmediatamente anterior a la fecha de causación del impuesto. </w:t>
      </w:r>
    </w:p>
    <w:p w:rsidR="005E6D2A" w:rsidRPr="00B86EDB" w:rsidRDefault="00B86EDB" w:rsidP="009F3F6A">
      <w:pPr>
        <w:pStyle w:val="Prrafodelista"/>
        <w:ind w:left="567" w:right="283"/>
        <w:contextualSpacing w:val="0"/>
        <w:jc w:val="both"/>
        <w:rPr>
          <w:rFonts w:ascii="Times New Roman" w:hAnsi="Times New Roman" w:cs="Times New Roman"/>
          <w:i/>
          <w:iCs/>
          <w:sz w:val="28"/>
        </w:rPr>
      </w:pPr>
    </w:p>
    <w:p w:rsidR="005E6D2A" w:rsidRPr="00B86EDB" w:rsidRDefault="00B86EDB" w:rsidP="009F3F6A">
      <w:pPr>
        <w:pStyle w:val="Prrafodelista"/>
        <w:ind w:left="567" w:right="283"/>
        <w:contextualSpacing w:val="0"/>
        <w:jc w:val="both"/>
        <w:rPr>
          <w:rFonts w:ascii="Times New Roman" w:hAnsi="Times New Roman" w:cs="Times New Roman"/>
          <w:i/>
          <w:iCs/>
          <w:sz w:val="28"/>
        </w:rPr>
      </w:pPr>
      <w:r w:rsidRPr="00B86EDB">
        <w:rPr>
          <w:rFonts w:ascii="Times New Roman" w:hAnsi="Times New Roman" w:cs="Times New Roman"/>
          <w:i/>
          <w:iCs/>
          <w:sz w:val="28"/>
        </w:rPr>
        <w:t>El tratamiento previsto en los numerales 1 y 2 será aplicable para determinar el costo fiscal a declarar de los derechos en vehículos de inversión tales como fiducias mercantiles o</w:t>
      </w:r>
      <w:r w:rsidRPr="00B86EDB">
        <w:rPr>
          <w:rFonts w:ascii="Times New Roman" w:hAnsi="Times New Roman" w:cs="Times New Roman"/>
          <w:i/>
          <w:iCs/>
          <w:sz w:val="28"/>
        </w:rPr>
        <w:t xml:space="preserve"> fondos de inversión colectiva cuyos activos correspondan a acciones o cuotas de interés social de sociedades o entidades nacionales, de acuerdo con el artículo 271-1 del Estatuto Tributario, en lo que no sea contrario a estos numerales.</w:t>
      </w:r>
    </w:p>
    <w:p w:rsidR="005E6D2A"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Default"/>
        <w:numPr>
          <w:ilvl w:val="0"/>
          <w:numId w:val="7"/>
        </w:numPr>
        <w:ind w:left="567" w:right="283" w:firstLine="0"/>
        <w:jc w:val="both"/>
        <w:rPr>
          <w:rFonts w:ascii="Times New Roman" w:hAnsi="Times New Roman" w:cs="Times New Roman"/>
          <w:i/>
          <w:iCs/>
          <w:color w:val="auto"/>
          <w:sz w:val="28"/>
        </w:rPr>
      </w:pPr>
      <w:r w:rsidRPr="00B86EDB">
        <w:rPr>
          <w:rFonts w:ascii="Times New Roman" w:hAnsi="Times New Roman" w:cs="Times New Roman"/>
          <w:i/>
          <w:iCs/>
          <w:color w:val="auto"/>
          <w:sz w:val="28"/>
        </w:rPr>
        <w:t>Las participacion</w:t>
      </w:r>
      <w:r w:rsidRPr="00B86EDB">
        <w:rPr>
          <w:rFonts w:ascii="Times New Roman" w:hAnsi="Times New Roman" w:cs="Times New Roman"/>
          <w:i/>
          <w:iCs/>
          <w:color w:val="auto"/>
          <w:sz w:val="28"/>
        </w:rPr>
        <w:t>es en fundaciones de interés privado, trusts, seguro con componente de ahorro material, fondos de inversión o cualquier otro negocio fiduciario en el exterior, se asimilarán a derechos fiduciarios y en este caso se aplicará lo dispuesto en los artículos 27</w:t>
      </w:r>
      <w:r w:rsidRPr="00B86EDB">
        <w:rPr>
          <w:rFonts w:ascii="Times New Roman" w:hAnsi="Times New Roman" w:cs="Times New Roman"/>
          <w:i/>
          <w:iCs/>
          <w:color w:val="auto"/>
          <w:sz w:val="28"/>
        </w:rPr>
        <w:t xml:space="preserve">1-1 y 288 del Estatuto Tributario. </w:t>
      </w:r>
    </w:p>
    <w:p w:rsidR="005E6D2A"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i/>
          <w:iCs/>
          <w:color w:val="auto"/>
          <w:sz w:val="28"/>
        </w:rPr>
        <w:t>Para estos efectos, cuando los beneficiarios estén condicionados o no tengan control o disposición de los activos subyacentes, el declarante del impuesto al patrimonio será el fundador, constituyente u originario del pa</w:t>
      </w:r>
      <w:r w:rsidRPr="00B86EDB">
        <w:rPr>
          <w:rFonts w:ascii="Times New Roman" w:hAnsi="Times New Roman" w:cs="Times New Roman"/>
          <w:i/>
          <w:iCs/>
          <w:color w:val="auto"/>
          <w:sz w:val="28"/>
        </w:rPr>
        <w:t>trimonio transferido a la fundación de interés privado, trust, seguro con componente de ahorro material, fondo de inversión o cualquier otro negocio fiduciario. Lo anterior sin consideración de la calidad de discrecional, revocable o irrevocable y sin cons</w:t>
      </w:r>
      <w:r w:rsidRPr="00B86EDB">
        <w:rPr>
          <w:rFonts w:ascii="Times New Roman" w:hAnsi="Times New Roman" w:cs="Times New Roman"/>
          <w:i/>
          <w:iCs/>
          <w:color w:val="auto"/>
          <w:sz w:val="28"/>
        </w:rPr>
        <w:t>ideración de las facultades del protector, asesor de inversiones, comité de inversiones o poderes irrevocables otorgados a favor del fiduciario o de un tercero. En caso del fallecimiento del fundador, constituyente u originario, la sucesión ilíquida será e</w:t>
      </w:r>
      <w:r w:rsidRPr="00B86EDB">
        <w:rPr>
          <w:rFonts w:ascii="Times New Roman" w:hAnsi="Times New Roman" w:cs="Times New Roman"/>
          <w:i/>
          <w:iCs/>
          <w:color w:val="auto"/>
          <w:sz w:val="28"/>
        </w:rPr>
        <w:t>l declarante de dichos activos, hasta el momento en que los beneficiarios reciban los activos, para lo cual las sociedades intermedias creadas para estos propósitos no serán reconocidas para fines fiscales. En caso de que el fundador, constituyente u origi</w:t>
      </w:r>
      <w:r w:rsidRPr="00B86EDB">
        <w:rPr>
          <w:rFonts w:ascii="Times New Roman" w:hAnsi="Times New Roman" w:cs="Times New Roman"/>
          <w:i/>
          <w:iCs/>
          <w:color w:val="auto"/>
          <w:sz w:val="28"/>
        </w:rPr>
        <w:t>nario no pueda ser determinado o la sucesión ya haya sido liquidada, los declarantes serán los beneficiarios directos o indirectos de los activos, aun si su beneficio está sometido a condiciones o plazos o no tengan control o disposición de los activos, co</w:t>
      </w:r>
      <w:r w:rsidRPr="00B86EDB">
        <w:rPr>
          <w:rFonts w:ascii="Times New Roman" w:hAnsi="Times New Roman" w:cs="Times New Roman"/>
          <w:i/>
          <w:iCs/>
          <w:color w:val="auto"/>
          <w:sz w:val="28"/>
        </w:rPr>
        <w:t xml:space="preserve">n independencia de que no gocen de la propiedad o posesión del bien. </w:t>
      </w:r>
    </w:p>
    <w:p w:rsidR="005E6D2A" w:rsidRPr="00B86EDB" w:rsidRDefault="00B86EDB" w:rsidP="009F3F6A">
      <w:pPr>
        <w:pStyle w:val="Prrafodelista"/>
        <w:ind w:left="567" w:right="283"/>
        <w:contextualSpacing w:val="0"/>
        <w:jc w:val="both"/>
        <w:rPr>
          <w:rFonts w:ascii="Times New Roman" w:hAnsi="Times New Roman" w:cs="Times New Roman"/>
          <w:i/>
          <w:iCs/>
          <w:sz w:val="28"/>
        </w:rPr>
      </w:pPr>
    </w:p>
    <w:p w:rsidR="005E6D2A" w:rsidRPr="00B86EDB" w:rsidRDefault="00B86EDB" w:rsidP="009F3F6A">
      <w:pPr>
        <w:pStyle w:val="Prrafodelista"/>
        <w:ind w:left="567" w:right="283"/>
        <w:contextualSpacing w:val="0"/>
        <w:jc w:val="both"/>
        <w:rPr>
          <w:rFonts w:ascii="Times New Roman" w:hAnsi="Times New Roman" w:cs="Times New Roman"/>
          <w:i/>
          <w:iCs/>
          <w:sz w:val="28"/>
        </w:rPr>
      </w:pPr>
      <w:r w:rsidRPr="00B86EDB">
        <w:rPr>
          <w:rFonts w:ascii="Times New Roman" w:hAnsi="Times New Roman" w:cs="Times New Roman"/>
          <w:i/>
          <w:iCs/>
          <w:sz w:val="28"/>
        </w:rPr>
        <w:t>Lo previsto en este parágrafo para la determinación de la base gravable, solo tiene efectos en el impuesto al patrimonio y no podrá ser aplicado a otros impuestos.</w:t>
      </w:r>
    </w:p>
    <w:p w:rsidR="005E6D2A" w:rsidRPr="00B86EDB" w:rsidRDefault="00B86EDB" w:rsidP="009F3F6A">
      <w:pPr>
        <w:pStyle w:val="Prrafodelista"/>
        <w:ind w:left="567" w:right="283"/>
        <w:contextualSpacing w:val="0"/>
        <w:jc w:val="both"/>
        <w:rPr>
          <w:rFonts w:ascii="Times New Roman" w:hAnsi="Times New Roman" w:cs="Times New Roman"/>
          <w:i/>
          <w:iCs/>
          <w:sz w:val="28"/>
        </w:rPr>
      </w:pP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b/>
          <w:bCs/>
          <w:i/>
          <w:iCs/>
          <w:color w:val="auto"/>
          <w:sz w:val="28"/>
        </w:rPr>
        <w:t xml:space="preserve">PARÁGRAFO 4. </w:t>
      </w:r>
      <w:r w:rsidRPr="00B86EDB">
        <w:rPr>
          <w:rFonts w:ascii="Times New Roman" w:hAnsi="Times New Roman" w:cs="Times New Roman"/>
          <w:i/>
          <w:iCs/>
          <w:color w:val="auto"/>
          <w:sz w:val="28"/>
        </w:rPr>
        <w:t>No se a</w:t>
      </w:r>
      <w:r w:rsidRPr="00B86EDB">
        <w:rPr>
          <w:rFonts w:ascii="Times New Roman" w:hAnsi="Times New Roman" w:cs="Times New Roman"/>
          <w:i/>
          <w:iCs/>
          <w:color w:val="auto"/>
          <w:sz w:val="28"/>
        </w:rPr>
        <w:t>plicará lo dispuesto en el parágrafo 3 del presente artículo, cuando se trate de acciones o cuotas de interés social de sociedades o entidades nacionales que no coticen en la Bolsa de Valores de Colombia o una de reconocida idoneidad internacional según lo</w:t>
      </w:r>
      <w:r w:rsidRPr="00B86EDB">
        <w:rPr>
          <w:rFonts w:ascii="Times New Roman" w:hAnsi="Times New Roman" w:cs="Times New Roman"/>
          <w:i/>
          <w:iCs/>
          <w:color w:val="auto"/>
          <w:sz w:val="28"/>
        </w:rPr>
        <w:t xml:space="preserve"> determine la U.A.E. Dirección de Impuestos y Aduanas Nacionales -DIAN, que cumplan la totalidad de los siguientes requisitos. En estos casos, el valor de las acciones o cuotas de interés social será al costo fiscal:</w:t>
      </w: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i/>
          <w:iCs/>
          <w:color w:val="auto"/>
          <w:sz w:val="28"/>
        </w:rPr>
        <w:t xml:space="preserve"> </w:t>
      </w:r>
    </w:p>
    <w:p w:rsidR="005E6D2A" w:rsidRPr="00B86EDB" w:rsidRDefault="00B86EDB" w:rsidP="009F3F6A">
      <w:pPr>
        <w:pStyle w:val="Default"/>
        <w:numPr>
          <w:ilvl w:val="0"/>
          <w:numId w:val="8"/>
        </w:numPr>
        <w:ind w:left="567" w:right="283" w:firstLine="0"/>
        <w:jc w:val="both"/>
        <w:rPr>
          <w:rFonts w:ascii="Times New Roman" w:hAnsi="Times New Roman" w:cs="Times New Roman"/>
          <w:i/>
          <w:iCs/>
          <w:color w:val="auto"/>
          <w:sz w:val="28"/>
        </w:rPr>
      </w:pPr>
      <w:r w:rsidRPr="00B86EDB">
        <w:rPr>
          <w:rFonts w:ascii="Times New Roman" w:hAnsi="Times New Roman" w:cs="Times New Roman"/>
          <w:i/>
          <w:iCs/>
          <w:color w:val="auto"/>
          <w:sz w:val="28"/>
        </w:rPr>
        <w:t>Que la sociedad sea una sociedad emer</w:t>
      </w:r>
      <w:r w:rsidRPr="00B86EDB">
        <w:rPr>
          <w:rFonts w:ascii="Times New Roman" w:hAnsi="Times New Roman" w:cs="Times New Roman"/>
          <w:i/>
          <w:iCs/>
          <w:color w:val="auto"/>
          <w:sz w:val="28"/>
        </w:rPr>
        <w:t>gente innovadora, es decir, que su constitución no sea mayor a cuatro (4) años y que su propósito sea el desarrollo de un negocio innovador y escalable e involucre dentro de su actividad económica principal el uso intensivo de tecnologías digitales o la ej</w:t>
      </w:r>
      <w:r w:rsidRPr="00B86EDB">
        <w:rPr>
          <w:rFonts w:ascii="Times New Roman" w:hAnsi="Times New Roman" w:cs="Times New Roman"/>
          <w:i/>
          <w:iCs/>
          <w:color w:val="auto"/>
          <w:sz w:val="28"/>
        </w:rPr>
        <w:t xml:space="preserve">ecución de programas de I+D+i, con concepto favorable del Ministerio de Comercio, Industria y Turismo o del Ministerio de Ciencia, Tecnología e Innovación, según el caso; </w:t>
      </w:r>
    </w:p>
    <w:p w:rsidR="005E6D2A"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Default"/>
        <w:numPr>
          <w:ilvl w:val="0"/>
          <w:numId w:val="8"/>
        </w:numPr>
        <w:ind w:left="567" w:right="283" w:firstLine="0"/>
        <w:jc w:val="both"/>
        <w:rPr>
          <w:rFonts w:ascii="Times New Roman" w:hAnsi="Times New Roman" w:cs="Times New Roman"/>
          <w:i/>
          <w:iCs/>
          <w:color w:val="auto"/>
          <w:sz w:val="28"/>
        </w:rPr>
      </w:pPr>
      <w:r w:rsidRPr="00B86EDB">
        <w:rPr>
          <w:rFonts w:ascii="Times New Roman" w:hAnsi="Times New Roman" w:cs="Times New Roman"/>
          <w:i/>
          <w:iCs/>
          <w:color w:val="auto"/>
          <w:sz w:val="28"/>
        </w:rPr>
        <w:t xml:space="preserve">Que la sociedad haya recibido al menos ciento cinco mil (105.000) UVT de inversión </w:t>
      </w:r>
      <w:r w:rsidRPr="00B86EDB">
        <w:rPr>
          <w:rFonts w:ascii="Times New Roman" w:hAnsi="Times New Roman" w:cs="Times New Roman"/>
          <w:i/>
          <w:iCs/>
          <w:color w:val="auto"/>
          <w:sz w:val="28"/>
        </w:rPr>
        <w:t xml:space="preserve">en el capital durante el año gravable en curso o en los cuatro (4) años gravables inmediatamente anteriores, a cambio de al menos el cinco por ciento (5%) de la participación en el capital de la sociedad; </w:t>
      </w:r>
    </w:p>
    <w:p w:rsidR="005E6D2A" w:rsidRPr="00B86EDB" w:rsidRDefault="00B86EDB" w:rsidP="009F3F6A">
      <w:pPr>
        <w:pStyle w:val="Prrafodelista"/>
        <w:ind w:left="567" w:right="283"/>
        <w:contextualSpacing w:val="0"/>
        <w:rPr>
          <w:rFonts w:ascii="Times New Roman" w:hAnsi="Times New Roman" w:cs="Times New Roman"/>
          <w:i/>
          <w:iCs/>
          <w:sz w:val="28"/>
        </w:rPr>
      </w:pPr>
    </w:p>
    <w:p w:rsidR="005E6D2A" w:rsidRPr="00B86EDB" w:rsidRDefault="00B86EDB" w:rsidP="009F3F6A">
      <w:pPr>
        <w:pStyle w:val="Prrafodelista"/>
        <w:numPr>
          <w:ilvl w:val="0"/>
          <w:numId w:val="8"/>
        </w:numPr>
        <w:ind w:left="567" w:right="283" w:firstLine="0"/>
        <w:contextualSpacing w:val="0"/>
        <w:jc w:val="both"/>
        <w:rPr>
          <w:rFonts w:ascii="Times New Roman" w:hAnsi="Times New Roman" w:cs="Times New Roman"/>
          <w:i/>
          <w:iCs/>
          <w:sz w:val="28"/>
        </w:rPr>
      </w:pPr>
      <w:r w:rsidRPr="00B86EDB">
        <w:rPr>
          <w:rFonts w:ascii="Times New Roman" w:hAnsi="Times New Roman" w:cs="Times New Roman"/>
          <w:i/>
          <w:iCs/>
          <w:sz w:val="28"/>
        </w:rPr>
        <w:t xml:space="preserve">Que la sociedad no haya tenido renta líquida </w:t>
      </w:r>
      <w:r w:rsidRPr="00B86EDB">
        <w:rPr>
          <w:rFonts w:ascii="Times New Roman" w:hAnsi="Times New Roman" w:cs="Times New Roman"/>
          <w:i/>
          <w:iCs/>
          <w:sz w:val="28"/>
        </w:rPr>
        <w:t>gravable a treinta y uno (31) de diciembre del año gravable inmediatamente anterior;</w:t>
      </w:r>
    </w:p>
    <w:p w:rsidR="005E6D2A" w:rsidRPr="00B86EDB" w:rsidRDefault="00B86EDB" w:rsidP="009F3F6A">
      <w:pPr>
        <w:pStyle w:val="Prrafodelista"/>
        <w:ind w:left="567" w:right="283"/>
        <w:contextualSpacing w:val="0"/>
        <w:rPr>
          <w:rFonts w:ascii="Times New Roman" w:hAnsi="Times New Roman" w:cs="Times New Roman"/>
          <w:i/>
          <w:iCs/>
          <w:sz w:val="28"/>
        </w:rPr>
      </w:pPr>
    </w:p>
    <w:p w:rsidR="005E6D2A" w:rsidRPr="00B86EDB" w:rsidRDefault="00B86EDB" w:rsidP="009F3F6A">
      <w:pPr>
        <w:pStyle w:val="Default"/>
        <w:numPr>
          <w:ilvl w:val="0"/>
          <w:numId w:val="8"/>
        </w:numPr>
        <w:ind w:left="567" w:right="283" w:firstLine="0"/>
        <w:jc w:val="both"/>
        <w:rPr>
          <w:rFonts w:ascii="Times New Roman" w:hAnsi="Times New Roman" w:cs="Times New Roman"/>
          <w:i/>
          <w:iCs/>
          <w:color w:val="auto"/>
          <w:sz w:val="28"/>
        </w:rPr>
      </w:pPr>
      <w:r w:rsidRPr="00B86EDB">
        <w:rPr>
          <w:rFonts w:ascii="Times New Roman" w:hAnsi="Times New Roman" w:cs="Times New Roman"/>
          <w:i/>
          <w:iCs/>
          <w:color w:val="auto"/>
          <w:sz w:val="28"/>
        </w:rPr>
        <w:t>Que el costo fiscal de las acciones de uno o varios de los accionistas no fundadores o iniciales de la sociedad sea por lo menos tres (3) veces su valor intrínseco con ba</w:t>
      </w:r>
      <w:r w:rsidRPr="00B86EDB">
        <w:rPr>
          <w:rFonts w:ascii="Times New Roman" w:hAnsi="Times New Roman" w:cs="Times New Roman"/>
          <w:i/>
          <w:iCs/>
          <w:color w:val="auto"/>
          <w:sz w:val="28"/>
        </w:rPr>
        <w:t xml:space="preserve">se en el patrimonio líquido de la sociedad a treinta y uno (31) de diciembre del año gravable inmediatamente anterior. </w:t>
      </w:r>
    </w:p>
    <w:p w:rsidR="005E6D2A" w:rsidRPr="00B86EDB" w:rsidRDefault="00B86EDB" w:rsidP="009F3F6A">
      <w:pPr>
        <w:pStyle w:val="Prrafodelista"/>
        <w:ind w:left="567" w:right="283"/>
        <w:contextualSpacing w:val="0"/>
        <w:rPr>
          <w:rFonts w:ascii="Times New Roman" w:hAnsi="Times New Roman" w:cs="Times New Roman"/>
          <w:i/>
          <w:iCs/>
          <w:sz w:val="28"/>
        </w:rPr>
      </w:pP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i/>
          <w:iCs/>
          <w:color w:val="auto"/>
          <w:sz w:val="28"/>
        </w:rPr>
        <w:t>El anterior tratamiento durará por un término de cuatro (4) años desde el momento de recibir la inversión, con el cumplimiento de todos</w:t>
      </w:r>
      <w:r w:rsidRPr="00B86EDB">
        <w:rPr>
          <w:rFonts w:ascii="Times New Roman" w:hAnsi="Times New Roman" w:cs="Times New Roman"/>
          <w:i/>
          <w:iCs/>
          <w:color w:val="auto"/>
          <w:sz w:val="28"/>
        </w:rPr>
        <w:t xml:space="preserve"> los requisitos en mención.</w:t>
      </w:r>
    </w:p>
    <w:p w:rsidR="005E6D2A"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b/>
          <w:bCs/>
          <w:i/>
          <w:iCs/>
          <w:color w:val="auto"/>
          <w:sz w:val="28"/>
        </w:rPr>
        <w:t xml:space="preserve">ARTÍCULO 38. </w:t>
      </w:r>
      <w:r w:rsidRPr="00B86EDB">
        <w:rPr>
          <w:rFonts w:ascii="Times New Roman" w:hAnsi="Times New Roman" w:cs="Times New Roman"/>
          <w:i/>
          <w:iCs/>
          <w:color w:val="auto"/>
          <w:sz w:val="28"/>
        </w:rPr>
        <w:t xml:space="preserve">Adiciónese el artículo 296-3 al Estatuto Tributario, así: </w:t>
      </w:r>
    </w:p>
    <w:p w:rsidR="005E6D2A" w:rsidRPr="00B86EDB" w:rsidRDefault="00B86EDB" w:rsidP="009F3F6A">
      <w:pPr>
        <w:pStyle w:val="Default"/>
        <w:ind w:left="567" w:right="283"/>
        <w:jc w:val="both"/>
        <w:rPr>
          <w:rFonts w:ascii="Times New Roman" w:hAnsi="Times New Roman" w:cs="Times New Roman"/>
          <w:i/>
          <w:iCs/>
          <w:color w:val="auto"/>
          <w:sz w:val="28"/>
        </w:rPr>
      </w:pPr>
    </w:p>
    <w:p w:rsidR="005E6D2A" w:rsidRPr="00B86EDB" w:rsidRDefault="00B86EDB" w:rsidP="009F3F6A">
      <w:pPr>
        <w:pStyle w:val="Prrafodelista"/>
        <w:ind w:left="567" w:right="283"/>
        <w:contextualSpacing w:val="0"/>
        <w:jc w:val="both"/>
        <w:rPr>
          <w:rFonts w:ascii="Times New Roman" w:hAnsi="Times New Roman" w:cs="Times New Roman"/>
          <w:i/>
          <w:iCs/>
          <w:sz w:val="28"/>
        </w:rPr>
      </w:pPr>
      <w:r w:rsidRPr="00B86EDB">
        <w:rPr>
          <w:rFonts w:ascii="Times New Roman" w:hAnsi="Times New Roman" w:cs="Times New Roman"/>
          <w:b/>
          <w:bCs/>
          <w:i/>
          <w:iCs/>
          <w:sz w:val="28"/>
        </w:rPr>
        <w:t xml:space="preserve">ARTÍCULO 296-3. TARIFA. </w:t>
      </w:r>
      <w:r w:rsidRPr="00B86EDB">
        <w:rPr>
          <w:rFonts w:ascii="Times New Roman" w:hAnsi="Times New Roman" w:cs="Times New Roman"/>
          <w:i/>
          <w:iCs/>
          <w:sz w:val="28"/>
        </w:rPr>
        <w:t xml:space="preserve">El impuesto al patrimonio se determinará de acuerdo con la siguiente tabla: </w:t>
      </w:r>
    </w:p>
    <w:p w:rsidR="005E6D2A" w:rsidRPr="00B86EDB" w:rsidRDefault="00B86EDB" w:rsidP="009F3F6A">
      <w:pPr>
        <w:pStyle w:val="Prrafodelista"/>
        <w:ind w:left="567" w:right="283"/>
        <w:contextualSpacing w:val="0"/>
        <w:jc w:val="both"/>
        <w:rPr>
          <w:rFonts w:ascii="Times New Roman" w:hAnsi="Times New Roman" w:cs="Times New Roman"/>
          <w:i/>
          <w:iCs/>
          <w:sz w:val="28"/>
        </w:rPr>
      </w:pPr>
    </w:p>
    <w:tbl>
      <w:tblPr>
        <w:tblW w:w="8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609"/>
        <w:gridCol w:w="1800"/>
        <w:gridCol w:w="3780"/>
      </w:tblGrid>
      <w:tr w:rsidR="00DE26EA" w:rsidRPr="00B86EDB" w:rsidTr="003F7F7E">
        <w:trPr>
          <w:trHeight w:val="193"/>
          <w:jc w:val="center"/>
        </w:trPr>
        <w:tc>
          <w:tcPr>
            <w:tcW w:w="2880" w:type="dxa"/>
            <w:gridSpan w:val="2"/>
            <w:vAlign w:val="center"/>
          </w:tcPr>
          <w:p w:rsidR="005E6D2A" w:rsidRPr="00B86EDB" w:rsidRDefault="00B86EDB" w:rsidP="009F3F6A">
            <w:pPr>
              <w:pStyle w:val="Default"/>
              <w:ind w:left="567" w:right="283"/>
              <w:jc w:val="center"/>
              <w:rPr>
                <w:rFonts w:ascii="Times New Roman" w:hAnsi="Times New Roman" w:cs="Times New Roman"/>
                <w:b/>
                <w:bCs/>
                <w:i/>
                <w:iCs/>
                <w:color w:val="auto"/>
                <w:sz w:val="28"/>
              </w:rPr>
            </w:pPr>
            <w:r w:rsidRPr="00B86EDB">
              <w:rPr>
                <w:rFonts w:ascii="Times New Roman" w:hAnsi="Times New Roman" w:cs="Times New Roman"/>
                <w:b/>
                <w:bCs/>
                <w:i/>
                <w:iCs/>
                <w:color w:val="auto"/>
                <w:sz w:val="28"/>
              </w:rPr>
              <w:t>Rangos UVT</w:t>
            </w:r>
          </w:p>
        </w:tc>
        <w:tc>
          <w:tcPr>
            <w:tcW w:w="1800" w:type="dxa"/>
            <w:vMerge w:val="restart"/>
            <w:vAlign w:val="center"/>
          </w:tcPr>
          <w:p w:rsidR="005E6D2A" w:rsidRPr="00B86EDB" w:rsidRDefault="00B86EDB" w:rsidP="009F3F6A">
            <w:pPr>
              <w:pStyle w:val="Default"/>
              <w:ind w:right="81"/>
              <w:jc w:val="center"/>
              <w:rPr>
                <w:rFonts w:ascii="Times New Roman" w:hAnsi="Times New Roman" w:cs="Times New Roman"/>
                <w:b/>
                <w:bCs/>
                <w:i/>
                <w:iCs/>
                <w:color w:val="auto"/>
                <w:sz w:val="28"/>
              </w:rPr>
            </w:pPr>
            <w:r w:rsidRPr="00B86EDB">
              <w:rPr>
                <w:rFonts w:ascii="Times New Roman" w:hAnsi="Times New Roman" w:cs="Times New Roman"/>
                <w:b/>
                <w:bCs/>
                <w:i/>
                <w:iCs/>
                <w:color w:val="auto"/>
                <w:sz w:val="28"/>
              </w:rPr>
              <w:t>Tarifa marginal</w:t>
            </w:r>
          </w:p>
        </w:tc>
        <w:tc>
          <w:tcPr>
            <w:tcW w:w="3780" w:type="dxa"/>
            <w:vMerge w:val="restart"/>
            <w:vAlign w:val="center"/>
          </w:tcPr>
          <w:p w:rsidR="005E6D2A" w:rsidRPr="00B86EDB" w:rsidRDefault="00B86EDB" w:rsidP="009F3F6A">
            <w:pPr>
              <w:pStyle w:val="Default"/>
              <w:ind w:right="81"/>
              <w:jc w:val="center"/>
              <w:rPr>
                <w:rFonts w:ascii="Times New Roman" w:hAnsi="Times New Roman" w:cs="Times New Roman"/>
                <w:b/>
                <w:bCs/>
                <w:i/>
                <w:iCs/>
                <w:color w:val="auto"/>
                <w:sz w:val="28"/>
              </w:rPr>
            </w:pPr>
            <w:r w:rsidRPr="00B86EDB">
              <w:rPr>
                <w:rFonts w:ascii="Times New Roman" w:hAnsi="Times New Roman" w:cs="Times New Roman"/>
                <w:b/>
                <w:bCs/>
                <w:i/>
                <w:iCs/>
                <w:color w:val="auto"/>
                <w:sz w:val="28"/>
              </w:rPr>
              <w:t>Impuesto</w:t>
            </w:r>
          </w:p>
        </w:tc>
      </w:tr>
      <w:tr w:rsidR="00DE26EA" w:rsidRPr="00B86EDB" w:rsidTr="00702272">
        <w:trPr>
          <w:trHeight w:val="193"/>
          <w:jc w:val="center"/>
        </w:trPr>
        <w:tc>
          <w:tcPr>
            <w:tcW w:w="1271" w:type="dxa"/>
            <w:vAlign w:val="center"/>
          </w:tcPr>
          <w:p w:rsidR="005E6D2A" w:rsidRPr="00B86EDB" w:rsidRDefault="00B86EDB" w:rsidP="009F3F6A">
            <w:pPr>
              <w:pStyle w:val="Default"/>
              <w:ind w:left="-120"/>
              <w:jc w:val="center"/>
              <w:rPr>
                <w:rFonts w:ascii="Times New Roman" w:hAnsi="Times New Roman" w:cs="Times New Roman"/>
                <w:b/>
                <w:bCs/>
                <w:i/>
                <w:iCs/>
                <w:color w:val="auto"/>
                <w:sz w:val="28"/>
              </w:rPr>
            </w:pPr>
            <w:r w:rsidRPr="00B86EDB">
              <w:rPr>
                <w:rFonts w:ascii="Times New Roman" w:hAnsi="Times New Roman" w:cs="Times New Roman"/>
                <w:b/>
                <w:bCs/>
                <w:i/>
                <w:iCs/>
                <w:color w:val="auto"/>
                <w:sz w:val="28"/>
              </w:rPr>
              <w:t>Desde</w:t>
            </w:r>
          </w:p>
        </w:tc>
        <w:tc>
          <w:tcPr>
            <w:tcW w:w="1609" w:type="dxa"/>
            <w:vAlign w:val="center"/>
          </w:tcPr>
          <w:p w:rsidR="005E6D2A" w:rsidRPr="00B86EDB" w:rsidRDefault="00B86EDB" w:rsidP="009F3F6A">
            <w:pPr>
              <w:pStyle w:val="Default"/>
              <w:jc w:val="center"/>
              <w:rPr>
                <w:rFonts w:ascii="Times New Roman" w:hAnsi="Times New Roman" w:cs="Times New Roman"/>
                <w:b/>
                <w:bCs/>
                <w:i/>
                <w:iCs/>
                <w:color w:val="auto"/>
                <w:sz w:val="28"/>
              </w:rPr>
            </w:pPr>
            <w:r w:rsidRPr="00B86EDB">
              <w:rPr>
                <w:rFonts w:ascii="Times New Roman" w:hAnsi="Times New Roman" w:cs="Times New Roman"/>
                <w:b/>
                <w:bCs/>
                <w:i/>
                <w:iCs/>
                <w:color w:val="auto"/>
                <w:sz w:val="28"/>
              </w:rPr>
              <w:t>Hasta</w:t>
            </w:r>
          </w:p>
        </w:tc>
        <w:tc>
          <w:tcPr>
            <w:tcW w:w="1800" w:type="dxa"/>
            <w:vMerge/>
          </w:tcPr>
          <w:p w:rsidR="005E6D2A" w:rsidRPr="00B86EDB" w:rsidRDefault="00B86EDB" w:rsidP="009F3F6A">
            <w:pPr>
              <w:pStyle w:val="Default"/>
              <w:ind w:right="81"/>
              <w:jc w:val="both"/>
              <w:rPr>
                <w:rFonts w:ascii="Times New Roman" w:hAnsi="Times New Roman" w:cs="Times New Roman"/>
                <w:b/>
                <w:bCs/>
                <w:i/>
                <w:iCs/>
                <w:color w:val="auto"/>
                <w:sz w:val="28"/>
              </w:rPr>
            </w:pPr>
          </w:p>
        </w:tc>
        <w:tc>
          <w:tcPr>
            <w:tcW w:w="3780" w:type="dxa"/>
            <w:vMerge/>
          </w:tcPr>
          <w:p w:rsidR="005E6D2A" w:rsidRPr="00B86EDB" w:rsidRDefault="00B86EDB" w:rsidP="009F3F6A">
            <w:pPr>
              <w:pStyle w:val="Default"/>
              <w:ind w:right="81"/>
              <w:jc w:val="both"/>
              <w:rPr>
                <w:rFonts w:ascii="Times New Roman" w:hAnsi="Times New Roman" w:cs="Times New Roman"/>
                <w:b/>
                <w:bCs/>
                <w:i/>
                <w:iCs/>
                <w:color w:val="auto"/>
                <w:sz w:val="28"/>
              </w:rPr>
            </w:pPr>
          </w:p>
        </w:tc>
      </w:tr>
      <w:tr w:rsidR="00DE26EA" w:rsidRPr="00B86EDB" w:rsidTr="00702272">
        <w:trPr>
          <w:trHeight w:val="110"/>
          <w:jc w:val="center"/>
        </w:trPr>
        <w:tc>
          <w:tcPr>
            <w:tcW w:w="1271" w:type="dxa"/>
          </w:tcPr>
          <w:p w:rsidR="005E6D2A" w:rsidRPr="00B86EDB" w:rsidRDefault="00B86EDB" w:rsidP="009F3F6A">
            <w:pPr>
              <w:pStyle w:val="Default"/>
              <w:ind w:left="-120"/>
              <w:jc w:val="center"/>
              <w:rPr>
                <w:rFonts w:ascii="Times New Roman" w:hAnsi="Times New Roman" w:cs="Times New Roman"/>
                <w:i/>
                <w:iCs/>
                <w:color w:val="auto"/>
                <w:sz w:val="28"/>
              </w:rPr>
            </w:pPr>
            <w:r w:rsidRPr="00B86EDB">
              <w:rPr>
                <w:rFonts w:ascii="Times New Roman" w:hAnsi="Times New Roman" w:cs="Times New Roman"/>
                <w:i/>
                <w:iCs/>
                <w:color w:val="auto"/>
                <w:sz w:val="28"/>
              </w:rPr>
              <w:t xml:space="preserve">&gt; </w:t>
            </w:r>
            <w:r w:rsidRPr="00B86EDB">
              <w:rPr>
                <w:rFonts w:ascii="Times New Roman" w:hAnsi="Times New Roman" w:cs="Times New Roman"/>
                <w:i/>
                <w:iCs/>
                <w:color w:val="auto"/>
                <w:sz w:val="28"/>
              </w:rPr>
              <w:t>0</w:t>
            </w:r>
          </w:p>
        </w:tc>
        <w:tc>
          <w:tcPr>
            <w:tcW w:w="1609" w:type="dxa"/>
          </w:tcPr>
          <w:p w:rsidR="005E6D2A" w:rsidRPr="00B86EDB" w:rsidRDefault="00B86EDB" w:rsidP="009F3F6A">
            <w:pPr>
              <w:pStyle w:val="Default"/>
              <w:jc w:val="center"/>
              <w:rPr>
                <w:rFonts w:ascii="Times New Roman" w:hAnsi="Times New Roman" w:cs="Times New Roman"/>
                <w:i/>
                <w:iCs/>
                <w:color w:val="auto"/>
                <w:sz w:val="28"/>
              </w:rPr>
            </w:pPr>
            <w:r w:rsidRPr="00B86EDB">
              <w:rPr>
                <w:rFonts w:ascii="Times New Roman" w:hAnsi="Times New Roman" w:cs="Times New Roman"/>
                <w:i/>
                <w:iCs/>
                <w:color w:val="auto"/>
                <w:sz w:val="28"/>
              </w:rPr>
              <w:t>72.000</w:t>
            </w:r>
          </w:p>
        </w:tc>
        <w:tc>
          <w:tcPr>
            <w:tcW w:w="1800" w:type="dxa"/>
          </w:tcPr>
          <w:p w:rsidR="005E6D2A" w:rsidRPr="00B86EDB" w:rsidRDefault="00B86EDB" w:rsidP="009F3F6A">
            <w:pPr>
              <w:pStyle w:val="Default"/>
              <w:ind w:right="81"/>
              <w:jc w:val="center"/>
              <w:rPr>
                <w:rFonts w:ascii="Times New Roman" w:hAnsi="Times New Roman" w:cs="Times New Roman"/>
                <w:i/>
                <w:iCs/>
                <w:color w:val="auto"/>
                <w:sz w:val="28"/>
              </w:rPr>
            </w:pPr>
            <w:r w:rsidRPr="00B86EDB">
              <w:rPr>
                <w:rFonts w:ascii="Times New Roman" w:hAnsi="Times New Roman" w:cs="Times New Roman"/>
                <w:i/>
                <w:iCs/>
                <w:color w:val="auto"/>
                <w:sz w:val="28"/>
              </w:rPr>
              <w:t xml:space="preserve">0,0% </w:t>
            </w:r>
          </w:p>
        </w:tc>
        <w:tc>
          <w:tcPr>
            <w:tcW w:w="3780" w:type="dxa"/>
          </w:tcPr>
          <w:p w:rsidR="005E6D2A" w:rsidRPr="00B86EDB" w:rsidRDefault="00B86EDB" w:rsidP="009F3F6A">
            <w:pPr>
              <w:pStyle w:val="Default"/>
              <w:ind w:right="81"/>
              <w:jc w:val="center"/>
              <w:rPr>
                <w:rFonts w:ascii="Times New Roman" w:hAnsi="Times New Roman" w:cs="Times New Roman"/>
                <w:i/>
                <w:iCs/>
                <w:color w:val="auto"/>
                <w:sz w:val="28"/>
              </w:rPr>
            </w:pPr>
            <w:r w:rsidRPr="00B86EDB">
              <w:rPr>
                <w:rFonts w:ascii="Times New Roman" w:hAnsi="Times New Roman" w:cs="Times New Roman"/>
                <w:i/>
                <w:iCs/>
                <w:color w:val="auto"/>
                <w:sz w:val="28"/>
              </w:rPr>
              <w:t>0</w:t>
            </w:r>
          </w:p>
        </w:tc>
      </w:tr>
      <w:tr w:rsidR="00DE26EA" w:rsidRPr="00B86EDB" w:rsidTr="00702272">
        <w:trPr>
          <w:trHeight w:val="254"/>
          <w:jc w:val="center"/>
        </w:trPr>
        <w:tc>
          <w:tcPr>
            <w:tcW w:w="1271" w:type="dxa"/>
          </w:tcPr>
          <w:p w:rsidR="005E6D2A" w:rsidRPr="00B86EDB" w:rsidRDefault="00B86EDB" w:rsidP="009F3F6A">
            <w:pPr>
              <w:pStyle w:val="Default"/>
              <w:ind w:left="-120"/>
              <w:jc w:val="center"/>
              <w:rPr>
                <w:rFonts w:ascii="Times New Roman" w:hAnsi="Times New Roman" w:cs="Times New Roman"/>
                <w:i/>
                <w:iCs/>
                <w:color w:val="auto"/>
                <w:sz w:val="28"/>
              </w:rPr>
            </w:pPr>
            <w:r w:rsidRPr="00B86EDB">
              <w:rPr>
                <w:rFonts w:ascii="Times New Roman" w:hAnsi="Times New Roman" w:cs="Times New Roman"/>
                <w:i/>
                <w:iCs/>
                <w:color w:val="auto"/>
                <w:sz w:val="28"/>
              </w:rPr>
              <w:t>&gt; 72.000</w:t>
            </w:r>
          </w:p>
        </w:tc>
        <w:tc>
          <w:tcPr>
            <w:tcW w:w="1609" w:type="dxa"/>
          </w:tcPr>
          <w:p w:rsidR="005E6D2A" w:rsidRPr="00B86EDB" w:rsidRDefault="00B86EDB" w:rsidP="009F3F6A">
            <w:pPr>
              <w:pStyle w:val="Default"/>
              <w:jc w:val="center"/>
              <w:rPr>
                <w:rFonts w:ascii="Times New Roman" w:hAnsi="Times New Roman" w:cs="Times New Roman"/>
                <w:i/>
                <w:iCs/>
                <w:color w:val="auto"/>
                <w:sz w:val="28"/>
              </w:rPr>
            </w:pPr>
            <w:r w:rsidRPr="00B86EDB">
              <w:rPr>
                <w:rFonts w:ascii="Times New Roman" w:hAnsi="Times New Roman" w:cs="Times New Roman"/>
                <w:i/>
                <w:iCs/>
                <w:color w:val="auto"/>
                <w:sz w:val="28"/>
              </w:rPr>
              <w:t>122.000</w:t>
            </w:r>
          </w:p>
        </w:tc>
        <w:tc>
          <w:tcPr>
            <w:tcW w:w="1800" w:type="dxa"/>
          </w:tcPr>
          <w:p w:rsidR="005E6D2A" w:rsidRPr="00B86EDB" w:rsidRDefault="00B86EDB" w:rsidP="009F3F6A">
            <w:pPr>
              <w:pStyle w:val="Default"/>
              <w:ind w:right="81"/>
              <w:jc w:val="center"/>
              <w:rPr>
                <w:rFonts w:ascii="Times New Roman" w:hAnsi="Times New Roman" w:cs="Times New Roman"/>
                <w:i/>
                <w:iCs/>
                <w:color w:val="auto"/>
                <w:sz w:val="28"/>
              </w:rPr>
            </w:pPr>
            <w:r w:rsidRPr="00B86EDB">
              <w:rPr>
                <w:rFonts w:ascii="Times New Roman" w:hAnsi="Times New Roman" w:cs="Times New Roman"/>
                <w:i/>
                <w:iCs/>
                <w:color w:val="auto"/>
                <w:sz w:val="28"/>
              </w:rPr>
              <w:t>0,5%</w:t>
            </w:r>
          </w:p>
        </w:tc>
        <w:tc>
          <w:tcPr>
            <w:tcW w:w="3780" w:type="dxa"/>
          </w:tcPr>
          <w:p w:rsidR="005E6D2A" w:rsidRPr="00B86EDB" w:rsidRDefault="00B86EDB" w:rsidP="009F3F6A">
            <w:pPr>
              <w:pStyle w:val="Default"/>
              <w:ind w:right="81"/>
              <w:jc w:val="both"/>
              <w:rPr>
                <w:rFonts w:ascii="Times New Roman" w:hAnsi="Times New Roman" w:cs="Times New Roman"/>
                <w:i/>
                <w:iCs/>
                <w:color w:val="auto"/>
                <w:sz w:val="28"/>
              </w:rPr>
            </w:pPr>
            <w:r w:rsidRPr="00B86EDB">
              <w:rPr>
                <w:rFonts w:ascii="Times New Roman" w:hAnsi="Times New Roman" w:cs="Times New Roman"/>
                <w:i/>
                <w:iCs/>
                <w:color w:val="auto"/>
                <w:sz w:val="28"/>
              </w:rPr>
              <w:t xml:space="preserve">(Base Gravable en UVT menos </w:t>
            </w:r>
          </w:p>
          <w:p w:rsidR="005E6D2A" w:rsidRPr="00B86EDB" w:rsidRDefault="00B86EDB" w:rsidP="009F3F6A">
            <w:pPr>
              <w:pStyle w:val="Default"/>
              <w:ind w:right="81"/>
              <w:jc w:val="both"/>
              <w:rPr>
                <w:rFonts w:ascii="Times New Roman" w:hAnsi="Times New Roman" w:cs="Times New Roman"/>
                <w:i/>
                <w:iCs/>
                <w:color w:val="auto"/>
                <w:sz w:val="28"/>
              </w:rPr>
            </w:pPr>
            <w:r w:rsidRPr="00B86EDB">
              <w:rPr>
                <w:rFonts w:ascii="Times New Roman" w:hAnsi="Times New Roman" w:cs="Times New Roman"/>
                <w:i/>
                <w:iCs/>
                <w:color w:val="auto"/>
                <w:sz w:val="28"/>
              </w:rPr>
              <w:t>72.000 UVT)</w:t>
            </w:r>
            <w:r w:rsidRPr="00B86EDB">
              <w:rPr>
                <w:rFonts w:ascii="Times New Roman" w:hAnsi="Times New Roman" w:cs="Times New Roman"/>
                <w:i/>
                <w:iCs/>
                <w:color w:val="auto"/>
                <w:sz w:val="28"/>
              </w:rPr>
              <w:t xml:space="preserve"> x</w:t>
            </w:r>
            <w:r w:rsidRPr="00B86EDB">
              <w:rPr>
                <w:rFonts w:ascii="Times New Roman" w:hAnsi="Times New Roman" w:cs="Times New Roman"/>
                <w:i/>
                <w:iCs/>
                <w:color w:val="auto"/>
                <w:sz w:val="28"/>
              </w:rPr>
              <w:t xml:space="preserve"> 0,5% </w:t>
            </w:r>
          </w:p>
        </w:tc>
      </w:tr>
      <w:tr w:rsidR="00DE26EA" w:rsidRPr="00B86EDB" w:rsidTr="00702272">
        <w:trPr>
          <w:trHeight w:val="255"/>
          <w:jc w:val="center"/>
        </w:trPr>
        <w:tc>
          <w:tcPr>
            <w:tcW w:w="1271" w:type="dxa"/>
          </w:tcPr>
          <w:p w:rsidR="005E6D2A" w:rsidRPr="00B86EDB" w:rsidRDefault="00B86EDB" w:rsidP="009F3F6A">
            <w:pPr>
              <w:pStyle w:val="Default"/>
              <w:ind w:left="-120"/>
              <w:jc w:val="center"/>
              <w:rPr>
                <w:rFonts w:ascii="Times New Roman" w:hAnsi="Times New Roman" w:cs="Times New Roman"/>
                <w:i/>
                <w:iCs/>
                <w:color w:val="auto"/>
                <w:sz w:val="28"/>
              </w:rPr>
            </w:pPr>
            <w:r w:rsidRPr="00B86EDB">
              <w:rPr>
                <w:rFonts w:ascii="Times New Roman" w:hAnsi="Times New Roman" w:cs="Times New Roman"/>
                <w:i/>
                <w:iCs/>
                <w:color w:val="auto"/>
                <w:sz w:val="28"/>
              </w:rPr>
              <w:t>&gt; 122.000</w:t>
            </w:r>
          </w:p>
        </w:tc>
        <w:tc>
          <w:tcPr>
            <w:tcW w:w="1609" w:type="dxa"/>
          </w:tcPr>
          <w:p w:rsidR="005E6D2A" w:rsidRPr="00B86EDB" w:rsidRDefault="00B86EDB" w:rsidP="009F3F6A">
            <w:pPr>
              <w:pStyle w:val="Default"/>
              <w:jc w:val="center"/>
              <w:rPr>
                <w:rFonts w:ascii="Times New Roman" w:hAnsi="Times New Roman" w:cs="Times New Roman"/>
                <w:i/>
                <w:iCs/>
                <w:color w:val="auto"/>
                <w:sz w:val="28"/>
              </w:rPr>
            </w:pPr>
            <w:r w:rsidRPr="00B86EDB">
              <w:rPr>
                <w:rFonts w:ascii="Times New Roman" w:hAnsi="Times New Roman" w:cs="Times New Roman"/>
                <w:i/>
                <w:iCs/>
                <w:color w:val="auto"/>
                <w:sz w:val="28"/>
              </w:rPr>
              <w:t>239.000</w:t>
            </w:r>
          </w:p>
        </w:tc>
        <w:tc>
          <w:tcPr>
            <w:tcW w:w="1800" w:type="dxa"/>
          </w:tcPr>
          <w:p w:rsidR="005E6D2A" w:rsidRPr="00B86EDB" w:rsidRDefault="00B86EDB" w:rsidP="009F3F6A">
            <w:pPr>
              <w:pStyle w:val="Default"/>
              <w:ind w:right="81"/>
              <w:jc w:val="center"/>
              <w:rPr>
                <w:rFonts w:ascii="Times New Roman" w:hAnsi="Times New Roman" w:cs="Times New Roman"/>
                <w:i/>
                <w:iCs/>
                <w:color w:val="auto"/>
                <w:sz w:val="28"/>
              </w:rPr>
            </w:pPr>
            <w:r w:rsidRPr="00B86EDB">
              <w:rPr>
                <w:rFonts w:ascii="Times New Roman" w:hAnsi="Times New Roman" w:cs="Times New Roman"/>
                <w:i/>
                <w:iCs/>
                <w:color w:val="auto"/>
                <w:sz w:val="28"/>
              </w:rPr>
              <w:t>1,0%</w:t>
            </w:r>
          </w:p>
        </w:tc>
        <w:tc>
          <w:tcPr>
            <w:tcW w:w="3780" w:type="dxa"/>
          </w:tcPr>
          <w:p w:rsidR="005E6D2A" w:rsidRPr="00B86EDB" w:rsidRDefault="00B86EDB" w:rsidP="009F3F6A">
            <w:pPr>
              <w:pStyle w:val="Default"/>
              <w:ind w:right="81"/>
              <w:jc w:val="both"/>
              <w:rPr>
                <w:rFonts w:ascii="Times New Roman" w:hAnsi="Times New Roman" w:cs="Times New Roman"/>
                <w:i/>
                <w:iCs/>
                <w:color w:val="auto"/>
                <w:sz w:val="28"/>
              </w:rPr>
            </w:pPr>
            <w:r w:rsidRPr="00B86EDB">
              <w:rPr>
                <w:rFonts w:ascii="Times New Roman" w:hAnsi="Times New Roman" w:cs="Times New Roman"/>
                <w:i/>
                <w:iCs/>
                <w:color w:val="auto"/>
                <w:sz w:val="28"/>
              </w:rPr>
              <w:t xml:space="preserve">(Base Gravable en UVT menos </w:t>
            </w:r>
          </w:p>
          <w:p w:rsidR="005E6D2A" w:rsidRPr="00B86EDB" w:rsidRDefault="00B86EDB" w:rsidP="009F3F6A">
            <w:pPr>
              <w:pStyle w:val="Default"/>
              <w:ind w:right="81"/>
              <w:jc w:val="both"/>
              <w:rPr>
                <w:rFonts w:ascii="Times New Roman" w:hAnsi="Times New Roman" w:cs="Times New Roman"/>
                <w:i/>
                <w:iCs/>
                <w:color w:val="auto"/>
                <w:sz w:val="28"/>
              </w:rPr>
            </w:pPr>
            <w:r w:rsidRPr="00B86EDB">
              <w:rPr>
                <w:rFonts w:ascii="Times New Roman" w:hAnsi="Times New Roman" w:cs="Times New Roman"/>
                <w:i/>
                <w:iCs/>
                <w:color w:val="auto"/>
                <w:sz w:val="28"/>
              </w:rPr>
              <w:t>122.000 UVT)</w:t>
            </w:r>
            <w:r w:rsidRPr="00B86EDB">
              <w:rPr>
                <w:rFonts w:ascii="Times New Roman" w:hAnsi="Times New Roman" w:cs="Times New Roman"/>
                <w:i/>
                <w:iCs/>
                <w:color w:val="auto"/>
                <w:sz w:val="28"/>
              </w:rPr>
              <w:t xml:space="preserve"> </w:t>
            </w:r>
            <w:r w:rsidRPr="00B86EDB">
              <w:rPr>
                <w:rFonts w:ascii="Times New Roman" w:hAnsi="Times New Roman" w:cs="Times New Roman"/>
                <w:i/>
                <w:iCs/>
                <w:color w:val="auto"/>
                <w:sz w:val="28"/>
              </w:rPr>
              <w:t xml:space="preserve">x 1,0% + 250 UVT </w:t>
            </w:r>
          </w:p>
        </w:tc>
      </w:tr>
      <w:tr w:rsidR="005E6D2A" w:rsidRPr="00B86EDB" w:rsidTr="00702272">
        <w:trPr>
          <w:trHeight w:val="254"/>
          <w:jc w:val="center"/>
        </w:trPr>
        <w:tc>
          <w:tcPr>
            <w:tcW w:w="1271" w:type="dxa"/>
          </w:tcPr>
          <w:p w:rsidR="005E6D2A" w:rsidRPr="00B86EDB" w:rsidRDefault="00B86EDB" w:rsidP="009F3F6A">
            <w:pPr>
              <w:pStyle w:val="Default"/>
              <w:ind w:left="-120"/>
              <w:jc w:val="center"/>
              <w:rPr>
                <w:rFonts w:ascii="Times New Roman" w:hAnsi="Times New Roman" w:cs="Times New Roman"/>
                <w:i/>
                <w:iCs/>
                <w:color w:val="auto"/>
                <w:sz w:val="28"/>
              </w:rPr>
            </w:pPr>
            <w:r w:rsidRPr="00B86EDB">
              <w:rPr>
                <w:rFonts w:ascii="Times New Roman" w:hAnsi="Times New Roman" w:cs="Times New Roman"/>
                <w:i/>
                <w:iCs/>
                <w:color w:val="auto"/>
                <w:sz w:val="28"/>
              </w:rPr>
              <w:t>&gt; 239.000</w:t>
            </w:r>
          </w:p>
        </w:tc>
        <w:tc>
          <w:tcPr>
            <w:tcW w:w="1609" w:type="dxa"/>
          </w:tcPr>
          <w:p w:rsidR="005E6D2A" w:rsidRPr="00B86EDB" w:rsidRDefault="00B86EDB" w:rsidP="009F3F6A">
            <w:pPr>
              <w:pStyle w:val="Default"/>
              <w:jc w:val="center"/>
              <w:rPr>
                <w:rFonts w:ascii="Times New Roman" w:hAnsi="Times New Roman" w:cs="Times New Roman"/>
                <w:i/>
                <w:iCs/>
                <w:color w:val="auto"/>
                <w:sz w:val="28"/>
              </w:rPr>
            </w:pPr>
            <w:r w:rsidRPr="00B86EDB">
              <w:rPr>
                <w:rFonts w:ascii="Times New Roman" w:hAnsi="Times New Roman" w:cs="Times New Roman"/>
                <w:i/>
                <w:iCs/>
                <w:color w:val="auto"/>
                <w:sz w:val="28"/>
              </w:rPr>
              <w:t>En adelante</w:t>
            </w:r>
          </w:p>
        </w:tc>
        <w:tc>
          <w:tcPr>
            <w:tcW w:w="1800" w:type="dxa"/>
          </w:tcPr>
          <w:p w:rsidR="005E6D2A" w:rsidRPr="00B86EDB" w:rsidRDefault="00B86EDB" w:rsidP="009F3F6A">
            <w:pPr>
              <w:pStyle w:val="Default"/>
              <w:ind w:right="81"/>
              <w:jc w:val="center"/>
              <w:rPr>
                <w:rFonts w:ascii="Times New Roman" w:hAnsi="Times New Roman" w:cs="Times New Roman"/>
                <w:i/>
                <w:iCs/>
                <w:color w:val="auto"/>
                <w:sz w:val="28"/>
              </w:rPr>
            </w:pPr>
            <w:r w:rsidRPr="00B86EDB">
              <w:rPr>
                <w:rFonts w:ascii="Times New Roman" w:hAnsi="Times New Roman" w:cs="Times New Roman"/>
                <w:i/>
                <w:iCs/>
                <w:color w:val="auto"/>
                <w:sz w:val="28"/>
              </w:rPr>
              <w:t>1,5%·</w:t>
            </w:r>
          </w:p>
        </w:tc>
        <w:tc>
          <w:tcPr>
            <w:tcW w:w="3780" w:type="dxa"/>
          </w:tcPr>
          <w:p w:rsidR="005E6D2A" w:rsidRPr="00B86EDB" w:rsidRDefault="00B86EDB" w:rsidP="009F3F6A">
            <w:pPr>
              <w:pStyle w:val="Default"/>
              <w:ind w:right="81"/>
              <w:jc w:val="both"/>
              <w:rPr>
                <w:rFonts w:ascii="Times New Roman" w:hAnsi="Times New Roman" w:cs="Times New Roman"/>
                <w:i/>
                <w:iCs/>
                <w:color w:val="auto"/>
                <w:sz w:val="28"/>
              </w:rPr>
            </w:pPr>
            <w:r w:rsidRPr="00B86EDB">
              <w:rPr>
                <w:rFonts w:ascii="Times New Roman" w:hAnsi="Times New Roman" w:cs="Times New Roman"/>
                <w:i/>
                <w:iCs/>
                <w:color w:val="auto"/>
                <w:sz w:val="28"/>
              </w:rPr>
              <w:t xml:space="preserve">(Base Gravable en UVT menos </w:t>
            </w:r>
          </w:p>
          <w:p w:rsidR="005E6D2A" w:rsidRPr="00B86EDB" w:rsidRDefault="00B86EDB" w:rsidP="009F3F6A">
            <w:pPr>
              <w:pStyle w:val="Default"/>
              <w:ind w:right="81"/>
              <w:jc w:val="both"/>
              <w:rPr>
                <w:rFonts w:ascii="Times New Roman" w:hAnsi="Times New Roman" w:cs="Times New Roman"/>
                <w:i/>
                <w:iCs/>
                <w:color w:val="auto"/>
                <w:sz w:val="28"/>
              </w:rPr>
            </w:pPr>
            <w:r w:rsidRPr="00B86EDB">
              <w:rPr>
                <w:rFonts w:ascii="Times New Roman" w:hAnsi="Times New Roman" w:cs="Times New Roman"/>
                <w:i/>
                <w:iCs/>
                <w:color w:val="auto"/>
                <w:sz w:val="28"/>
              </w:rPr>
              <w:t>239.000 UVT)</w:t>
            </w:r>
            <w:r w:rsidRPr="00B86EDB">
              <w:rPr>
                <w:rFonts w:ascii="Times New Roman" w:hAnsi="Times New Roman" w:cs="Times New Roman"/>
                <w:i/>
                <w:iCs/>
                <w:color w:val="auto"/>
                <w:sz w:val="28"/>
              </w:rPr>
              <w:t xml:space="preserve"> </w:t>
            </w:r>
            <w:r w:rsidRPr="00B86EDB">
              <w:rPr>
                <w:rFonts w:ascii="Times New Roman" w:hAnsi="Times New Roman" w:cs="Times New Roman"/>
                <w:i/>
                <w:iCs/>
                <w:color w:val="auto"/>
                <w:sz w:val="28"/>
              </w:rPr>
              <w:t xml:space="preserve">x 1,5% + 1.420 UVT </w:t>
            </w:r>
          </w:p>
        </w:tc>
      </w:tr>
    </w:tbl>
    <w:p w:rsidR="005E6D2A" w:rsidRPr="00B86EDB" w:rsidRDefault="00B86EDB" w:rsidP="009F3F6A">
      <w:pPr>
        <w:pStyle w:val="Default"/>
        <w:ind w:left="567" w:right="283"/>
        <w:jc w:val="both"/>
        <w:rPr>
          <w:rFonts w:ascii="Times New Roman" w:hAnsi="Times New Roman" w:cs="Times New Roman"/>
          <w:b/>
          <w:bCs/>
          <w:i/>
          <w:iCs/>
          <w:color w:val="auto"/>
          <w:sz w:val="28"/>
        </w:rPr>
      </w:pP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b/>
          <w:bCs/>
          <w:i/>
          <w:iCs/>
          <w:color w:val="auto"/>
          <w:sz w:val="28"/>
        </w:rPr>
        <w:t xml:space="preserve">PARÁGRAFO. </w:t>
      </w:r>
      <w:r w:rsidRPr="00B86EDB">
        <w:rPr>
          <w:rFonts w:ascii="Times New Roman" w:hAnsi="Times New Roman" w:cs="Times New Roman"/>
          <w:i/>
          <w:iCs/>
          <w:color w:val="auto"/>
          <w:sz w:val="28"/>
        </w:rPr>
        <w:t xml:space="preserve">La tarifa del uno coma cinco por ciento (1,5%) sólo aplicará de manera temporal durante los años 2023, 2024, 2025 y 2026. A partir del año 2027, aplicará la siguiente tabla: </w:t>
      </w:r>
    </w:p>
    <w:p w:rsidR="005E6D2A" w:rsidRPr="00B86EDB" w:rsidRDefault="00B86EDB" w:rsidP="009F3F6A">
      <w:pPr>
        <w:pStyle w:val="Default"/>
        <w:ind w:right="283"/>
        <w:jc w:val="both"/>
        <w:rPr>
          <w:rFonts w:ascii="Times New Roman" w:hAnsi="Times New Roman" w:cs="Times New Roman"/>
          <w:i/>
          <w:iCs/>
          <w:color w:val="auto"/>
          <w:sz w:val="28"/>
        </w:rPr>
      </w:pP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i/>
          <w:iCs/>
          <w:noProof/>
          <w:color w:val="auto"/>
          <w:sz w:val="28"/>
        </w:rPr>
        <w:drawing>
          <wp:inline distT="0" distB="0" distL="0" distR="0" wp14:anchorId="070B7B67" wp14:editId="5E89CC33">
            <wp:extent cx="4838700" cy="13081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949461" name="Imagen 591949461"/>
                    <pic:cNvPicPr/>
                  </pic:nvPicPr>
                  <pic:blipFill>
                    <a:blip r:embed="rId8">
                      <a:extLst>
                        <a:ext uri="{28A0092B-C50C-407E-A947-70E740481C1C}">
                          <a14:useLocalDpi xmlns:a14="http://schemas.microsoft.com/office/drawing/2010/main" val="0"/>
                        </a:ext>
                      </a:extLst>
                    </a:blip>
                    <a:stretch>
                      <a:fillRect/>
                    </a:stretch>
                  </pic:blipFill>
                  <pic:spPr>
                    <a:xfrm>
                      <a:off x="0" y="0"/>
                      <a:ext cx="4838700" cy="1308100"/>
                    </a:xfrm>
                    <a:prstGeom prst="rect">
                      <a:avLst/>
                    </a:prstGeom>
                  </pic:spPr>
                </pic:pic>
              </a:graphicData>
            </a:graphic>
          </wp:inline>
        </w:drawing>
      </w:r>
    </w:p>
    <w:p w:rsidR="005E6D2A" w:rsidRPr="00B86EDB" w:rsidRDefault="00B86EDB" w:rsidP="009F3F6A">
      <w:pPr>
        <w:pStyle w:val="Default"/>
        <w:ind w:left="567" w:right="283"/>
        <w:jc w:val="both"/>
        <w:rPr>
          <w:rFonts w:ascii="Times New Roman" w:hAnsi="Times New Roman" w:cs="Times New Roman"/>
          <w:b/>
          <w:bCs/>
          <w:i/>
          <w:iCs/>
          <w:color w:val="auto"/>
          <w:sz w:val="28"/>
        </w:rPr>
      </w:pP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b/>
          <w:bCs/>
          <w:i/>
          <w:iCs/>
          <w:color w:val="auto"/>
          <w:sz w:val="28"/>
        </w:rPr>
        <w:t>ARTÍCULO 39</w:t>
      </w:r>
      <w:r w:rsidRPr="00B86EDB">
        <w:rPr>
          <w:rFonts w:ascii="Times New Roman" w:hAnsi="Times New Roman" w:cs="Times New Roman"/>
          <w:i/>
          <w:iCs/>
          <w:color w:val="auto"/>
          <w:sz w:val="28"/>
        </w:rPr>
        <w:t xml:space="preserve">. Adiciónese el artículo 297-3 al Estatuto Tributario, así: </w:t>
      </w:r>
    </w:p>
    <w:p w:rsidR="005E6D2A" w:rsidRPr="00B86EDB" w:rsidRDefault="00B86EDB" w:rsidP="009F3F6A">
      <w:pPr>
        <w:pStyle w:val="Default"/>
        <w:ind w:left="567" w:right="283"/>
        <w:jc w:val="both"/>
        <w:rPr>
          <w:rFonts w:ascii="Times New Roman" w:hAnsi="Times New Roman" w:cs="Times New Roman"/>
          <w:i/>
          <w:iCs/>
          <w:color w:val="auto"/>
          <w:sz w:val="28"/>
        </w:rPr>
      </w:pPr>
      <w:r w:rsidRPr="00B86EDB">
        <w:rPr>
          <w:rFonts w:ascii="Times New Roman" w:hAnsi="Times New Roman" w:cs="Times New Roman"/>
          <w:i/>
          <w:iCs/>
          <w:color w:val="auto"/>
          <w:sz w:val="28"/>
        </w:rPr>
        <w:t xml:space="preserve"> </w:t>
      </w:r>
    </w:p>
    <w:p w:rsidR="005E6D2A" w:rsidRPr="00B86EDB" w:rsidRDefault="00B86EDB" w:rsidP="009F3F6A">
      <w:pPr>
        <w:pStyle w:val="Prrafodelista"/>
        <w:ind w:left="567" w:right="283"/>
        <w:contextualSpacing w:val="0"/>
        <w:jc w:val="both"/>
        <w:rPr>
          <w:rFonts w:ascii="Times New Roman" w:hAnsi="Times New Roman" w:cs="Times New Roman"/>
          <w:i/>
          <w:iCs/>
          <w:sz w:val="28"/>
        </w:rPr>
      </w:pPr>
      <w:r w:rsidRPr="00B86EDB">
        <w:rPr>
          <w:rFonts w:ascii="Times New Roman" w:hAnsi="Times New Roman" w:cs="Times New Roman"/>
          <w:b/>
          <w:bCs/>
          <w:i/>
          <w:iCs/>
          <w:sz w:val="28"/>
        </w:rPr>
        <w:t xml:space="preserve">ARTÍCULO 297-3. CAUSACIÓN. </w:t>
      </w:r>
      <w:r w:rsidRPr="00B86EDB">
        <w:rPr>
          <w:rFonts w:ascii="Times New Roman" w:hAnsi="Times New Roman" w:cs="Times New Roman"/>
          <w:i/>
          <w:iCs/>
          <w:sz w:val="28"/>
        </w:rPr>
        <w:t>La obligación legal del impuesto al patrimonio se causa el primero (1</w:t>
      </w:r>
      <w:r w:rsidRPr="00B86EDB">
        <w:rPr>
          <w:rFonts w:ascii="Times New Roman" w:hAnsi="Times New Roman" w:cs="Times New Roman"/>
          <w:i/>
          <w:iCs/>
          <w:sz w:val="28"/>
          <w:vertAlign w:val="superscript"/>
        </w:rPr>
        <w:t>0</w:t>
      </w:r>
      <w:r w:rsidRPr="00B86EDB">
        <w:rPr>
          <w:rFonts w:ascii="Times New Roman" w:hAnsi="Times New Roman" w:cs="Times New Roman"/>
          <w:i/>
          <w:iCs/>
          <w:sz w:val="28"/>
        </w:rPr>
        <w:t>) de enero de cada año.”</w:t>
      </w:r>
    </w:p>
    <w:bookmarkEnd w:id="3"/>
    <w:p w:rsidR="005E6D2A" w:rsidRPr="00B86EDB" w:rsidRDefault="00B86EDB" w:rsidP="009F3F6A">
      <w:pPr>
        <w:pStyle w:val="centrado"/>
        <w:spacing w:before="0" w:beforeAutospacing="0" w:after="0" w:afterAutospacing="0"/>
        <w:jc w:val="both"/>
        <w:rPr>
          <w:rFonts w:ascii="Times New Roman" w:hAnsi="Times New Roman" w:cs="Times New Roman"/>
          <w:sz w:val="28"/>
        </w:rPr>
      </w:pPr>
    </w:p>
    <w:p w:rsidR="005E6D2A" w:rsidRPr="00B86EDB" w:rsidRDefault="00B86EDB" w:rsidP="009F3F6A">
      <w:pPr>
        <w:pStyle w:val="centrado"/>
        <w:spacing w:before="0" w:beforeAutospacing="0" w:after="0" w:afterAutospacing="0"/>
        <w:jc w:val="both"/>
        <w:rPr>
          <w:rFonts w:ascii="Times New Roman" w:hAnsi="Times New Roman" w:cs="Times New Roman"/>
          <w:sz w:val="28"/>
          <w:szCs w:val="28"/>
        </w:rPr>
      </w:pPr>
    </w:p>
    <w:p w:rsidR="005E6D2A" w:rsidRPr="00B86EDB" w:rsidRDefault="00B86EDB" w:rsidP="009F3F6A">
      <w:pPr>
        <w:pStyle w:val="Ttulo2"/>
        <w:numPr>
          <w:ilvl w:val="0"/>
          <w:numId w:val="5"/>
        </w:numPr>
        <w:spacing w:before="0"/>
        <w:ind w:left="142" w:firstLine="0"/>
        <w:jc w:val="both"/>
        <w:rPr>
          <w:rFonts w:ascii="Times New Roman" w:hAnsi="Times New Roman" w:cs="Times New Roman"/>
          <w:b/>
          <w:bCs/>
          <w:color w:val="auto"/>
          <w:sz w:val="28"/>
          <w:szCs w:val="28"/>
        </w:rPr>
      </w:pPr>
      <w:bookmarkStart w:id="4" w:name="_Hlk190376919"/>
      <w:r w:rsidRPr="00B86EDB">
        <w:rPr>
          <w:rFonts w:ascii="Times New Roman" w:hAnsi="Times New Roman" w:cs="Times New Roman"/>
          <w:b/>
          <w:bCs/>
          <w:color w:val="auto"/>
          <w:sz w:val="28"/>
          <w:szCs w:val="28"/>
        </w:rPr>
        <w:t xml:space="preserve"> Cargos admitidos</w:t>
      </w:r>
    </w:p>
    <w:p w:rsidR="005E6D2A" w:rsidRPr="00B86EDB" w:rsidRDefault="00B86EDB" w:rsidP="009F3F6A">
      <w:pPr>
        <w:rPr>
          <w:rFonts w:ascii="Times New Roman" w:hAnsi="Times New Roman" w:cs="Times New Roman"/>
          <w:sz w:val="28"/>
          <w:szCs w:val="28"/>
        </w:rPr>
      </w:pPr>
    </w:p>
    <w:p w:rsidR="005E6D2A" w:rsidRPr="00B86EDB" w:rsidRDefault="00B86EDB" w:rsidP="009F3F6A">
      <w:pPr>
        <w:pStyle w:val="Prrafodelista"/>
        <w:numPr>
          <w:ilvl w:val="0"/>
          <w:numId w:val="9"/>
        </w:numPr>
        <w:contextualSpacing w:val="0"/>
        <w:jc w:val="both"/>
        <w:rPr>
          <w:rFonts w:ascii="Times New Roman" w:hAnsi="Times New Roman" w:cs="Times New Roman"/>
          <w:b/>
          <w:bCs/>
          <w:sz w:val="28"/>
          <w:szCs w:val="28"/>
        </w:rPr>
      </w:pPr>
      <w:r w:rsidRPr="00B86EDB">
        <w:rPr>
          <w:rStyle w:val="FontStyle19"/>
          <w:b/>
          <w:bCs/>
          <w:sz w:val="28"/>
          <w:szCs w:val="28"/>
        </w:rPr>
        <w:t xml:space="preserve">Expediente D-15.273 </w:t>
      </w:r>
    </w:p>
    <w:p w:rsidR="005E6D2A" w:rsidRPr="00B86EDB" w:rsidRDefault="00B86EDB" w:rsidP="009F3F6A">
      <w:pPr>
        <w:pStyle w:val="Prrafodelista"/>
        <w:ind w:left="0"/>
        <w:contextualSpacing w:val="0"/>
        <w:jc w:val="both"/>
        <w:rPr>
          <w:rFonts w:ascii="Times New Roman" w:hAnsi="Times New Roman" w:cs="Times New Roman"/>
          <w:sz w:val="28"/>
          <w:szCs w:val="28"/>
        </w:rPr>
      </w:pPr>
    </w:p>
    <w:p w:rsidR="00261AB2" w:rsidRPr="00B86EDB" w:rsidRDefault="00B86EDB" w:rsidP="009F3F6A">
      <w:pPr>
        <w:pStyle w:val="Prrafodelista"/>
        <w:numPr>
          <w:ilvl w:val="0"/>
          <w:numId w:val="4"/>
        </w:numPr>
        <w:ind w:left="0"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 xml:space="preserve">La demanda se dirige contra </w:t>
      </w:r>
      <w:r w:rsidRPr="00B86EDB">
        <w:rPr>
          <w:rFonts w:ascii="Times New Roman" w:hAnsi="Times New Roman" w:cs="Times New Roman"/>
          <w:sz w:val="28"/>
          <w:szCs w:val="28"/>
        </w:rPr>
        <w:t>el impuesto al patrimonio regulado en los artículos 35.1, 3</w:t>
      </w:r>
      <w:r w:rsidRPr="00B86EDB">
        <w:rPr>
          <w:rFonts w:ascii="Times New Roman" w:hAnsi="Times New Roman" w:cs="Times New Roman"/>
          <w:sz w:val="28"/>
          <w:szCs w:val="28"/>
        </w:rPr>
        <w:t>6</w:t>
      </w:r>
      <w:r w:rsidRPr="00B86EDB">
        <w:rPr>
          <w:rFonts w:ascii="Times New Roman" w:hAnsi="Times New Roman" w:cs="Times New Roman"/>
          <w:sz w:val="28"/>
          <w:szCs w:val="28"/>
        </w:rPr>
        <w:t>, 37, 38 y 39 de la Ley 2277 de 2022 que, a diferencia de sus antecesores, tiene la característica de ser permanente. Esto, a juicio del demandante, tiene efectos en la constitucionalidad del trib</w:t>
      </w:r>
      <w:r w:rsidRPr="00B86EDB">
        <w:rPr>
          <w:rFonts w:ascii="Times New Roman" w:hAnsi="Times New Roman" w:cs="Times New Roman"/>
          <w:sz w:val="28"/>
          <w:szCs w:val="28"/>
        </w:rPr>
        <w:t>uto, pues</w:t>
      </w:r>
      <w:r w:rsidRPr="00B86EDB">
        <w:rPr>
          <w:rFonts w:ascii="Times New Roman" w:hAnsi="Times New Roman" w:cs="Times New Roman"/>
          <w:i/>
          <w:iCs/>
          <w:sz w:val="28"/>
          <w:szCs w:val="28"/>
        </w:rPr>
        <w:t xml:space="preserve"> </w:t>
      </w:r>
    </w:p>
    <w:p w:rsidR="00261AB2" w:rsidRPr="00B86EDB" w:rsidRDefault="00B86EDB" w:rsidP="009F3F6A">
      <w:pPr>
        <w:pStyle w:val="Prrafodelista"/>
        <w:ind w:left="0"/>
        <w:contextualSpacing w:val="0"/>
        <w:jc w:val="both"/>
        <w:rPr>
          <w:rFonts w:ascii="Times New Roman" w:hAnsi="Times New Roman" w:cs="Times New Roman"/>
          <w:i/>
          <w:iCs/>
          <w:sz w:val="28"/>
          <w:szCs w:val="28"/>
        </w:rPr>
      </w:pPr>
    </w:p>
    <w:p w:rsidR="005E6D2A" w:rsidRPr="00B86EDB" w:rsidRDefault="00B86EDB" w:rsidP="009F3F6A">
      <w:pPr>
        <w:pStyle w:val="Prrafodelista"/>
        <w:ind w:left="284" w:right="284"/>
        <w:contextualSpacing w:val="0"/>
        <w:jc w:val="both"/>
        <w:rPr>
          <w:rFonts w:ascii="Times New Roman" w:hAnsi="Times New Roman" w:cs="Times New Roman"/>
          <w:sz w:val="28"/>
        </w:rPr>
      </w:pPr>
      <w:r w:rsidRPr="00B86EDB">
        <w:rPr>
          <w:rFonts w:ascii="Times New Roman" w:hAnsi="Times New Roman" w:cs="Times New Roman"/>
          <w:sz w:val="28"/>
        </w:rPr>
        <w:t>“supone una obligación de todos los sujetos pasivos de entregar una porción de su patrimonio que será mayor año a año, hasta superar el 50% y luego hasta agotarse puesto que además de ser ilimitado en el tiempo también es ilimitado en la porció</w:t>
      </w:r>
      <w:r w:rsidRPr="00B86EDB">
        <w:rPr>
          <w:rFonts w:ascii="Times New Roman" w:hAnsi="Times New Roman" w:cs="Times New Roman"/>
          <w:sz w:val="28"/>
        </w:rPr>
        <w:t>n de patrimonio que será objeto de apropiación por el Estado. Solo se evita el vaciamiento del patrimonio si el impuesto es pagado por el contribuyente con la renta o la ganancia ocasional, lo cual es una sobretasa enorme a un hecho generador diferente</w:t>
      </w:r>
      <w:r w:rsidRPr="00B86EDB">
        <w:rPr>
          <w:rFonts w:ascii="Times New Roman" w:hAnsi="Times New Roman" w:cs="Times New Roman"/>
          <w:sz w:val="28"/>
        </w:rPr>
        <w:t>.</w:t>
      </w:r>
      <w:r w:rsidRPr="00B86EDB">
        <w:rPr>
          <w:rFonts w:ascii="Times New Roman" w:hAnsi="Times New Roman" w:cs="Times New Roman"/>
          <w:sz w:val="28"/>
        </w:rPr>
        <w:t>”</w:t>
      </w:r>
      <w:r w:rsidRPr="00B86EDB">
        <w:rPr>
          <w:rFonts w:ascii="Times New Roman" w:hAnsi="Times New Roman" w:cs="Times New Roman"/>
          <w:sz w:val="28"/>
        </w:rPr>
        <w:t xml:space="preserve"> </w:t>
      </w:r>
      <w:r w:rsidRPr="00B86EDB">
        <w:rPr>
          <w:rStyle w:val="Refdenotaalpie"/>
          <w:rFonts w:ascii="Times New Roman" w:hAnsi="Times New Roman" w:cs="Times New Roman"/>
          <w:sz w:val="28"/>
        </w:rPr>
        <w:footnoteReference w:id="2"/>
      </w:r>
    </w:p>
    <w:p w:rsidR="005E6D2A" w:rsidRPr="00B86EDB" w:rsidRDefault="00B86EDB" w:rsidP="009F3F6A">
      <w:pPr>
        <w:jc w:val="both"/>
        <w:rPr>
          <w:rFonts w:ascii="Times New Roman" w:hAnsi="Times New Roman" w:cs="Times New Roman"/>
          <w:i/>
          <w:iCs/>
          <w:sz w:val="28"/>
          <w:szCs w:val="28"/>
        </w:rPr>
      </w:pPr>
    </w:p>
    <w:p w:rsidR="005E6D2A" w:rsidRPr="00B86EDB" w:rsidRDefault="00B86EDB" w:rsidP="009F3F6A">
      <w:pPr>
        <w:jc w:val="both"/>
        <w:rPr>
          <w:rFonts w:ascii="Times New Roman" w:hAnsi="Times New Roman" w:cs="Times New Roman"/>
          <w:b/>
          <w:bCs/>
          <w:i/>
          <w:iCs/>
          <w:sz w:val="28"/>
          <w:szCs w:val="28"/>
        </w:rPr>
      </w:pPr>
      <w:r w:rsidRPr="00B86EDB">
        <w:rPr>
          <w:rFonts w:ascii="Times New Roman" w:hAnsi="Times New Roman" w:cs="Times New Roman"/>
          <w:b/>
          <w:i/>
          <w:sz w:val="28"/>
          <w:szCs w:val="28"/>
        </w:rPr>
        <w:t>Segundo cargo</w:t>
      </w:r>
      <w:r w:rsidRPr="00B86EDB">
        <w:rPr>
          <w:rFonts w:ascii="Times New Roman" w:hAnsi="Times New Roman" w:cs="Times New Roman"/>
          <w:b/>
          <w:i/>
          <w:sz w:val="28"/>
          <w:szCs w:val="28"/>
        </w:rPr>
        <w:t>.</w:t>
      </w:r>
      <w:r w:rsidRPr="00B86EDB">
        <w:rPr>
          <w:rFonts w:ascii="Times New Roman" w:hAnsi="Times New Roman" w:cs="Times New Roman"/>
          <w:b/>
          <w:i/>
          <w:sz w:val="28"/>
          <w:szCs w:val="28"/>
        </w:rPr>
        <w:t xml:space="preserve"> Violación de </w:t>
      </w:r>
      <w:r w:rsidRPr="00B86EDB">
        <w:rPr>
          <w:rFonts w:ascii="Times New Roman" w:hAnsi="Times New Roman" w:cs="Times New Roman"/>
          <w:b/>
          <w:bCs/>
          <w:i/>
          <w:iCs/>
          <w:sz w:val="28"/>
          <w:szCs w:val="28"/>
        </w:rPr>
        <w:t xml:space="preserve">los principios de equidad horizontal y el derecho a la igualdad previstos en los artículos 13, 95-9 y 363 de la Constitución política porque el impuesto al patrimonio no prevé un trato diferenciado a los contribuyentes que no </w:t>
      </w:r>
      <w:r w:rsidRPr="00B86EDB">
        <w:rPr>
          <w:rFonts w:ascii="Times New Roman" w:hAnsi="Times New Roman" w:cs="Times New Roman"/>
          <w:b/>
          <w:bCs/>
          <w:i/>
          <w:iCs/>
          <w:sz w:val="28"/>
          <w:szCs w:val="28"/>
        </w:rPr>
        <w:t>cuentan con la liquidez para pagar el tributo</w:t>
      </w:r>
    </w:p>
    <w:p w:rsidR="005E6D2A" w:rsidRPr="00B86EDB" w:rsidRDefault="00B86EDB" w:rsidP="009F3F6A">
      <w:pPr>
        <w:pStyle w:val="Prrafodelista"/>
        <w:ind w:left="0"/>
        <w:contextualSpacing w:val="0"/>
        <w:jc w:val="both"/>
        <w:rPr>
          <w:rFonts w:ascii="Times New Roman" w:hAnsi="Times New Roman" w:cs="Times New Roman"/>
          <w:i/>
          <w:iCs/>
          <w:sz w:val="28"/>
          <w:szCs w:val="28"/>
        </w:rPr>
      </w:pPr>
    </w:p>
    <w:p w:rsidR="005E6D2A" w:rsidRPr="00B86EDB" w:rsidRDefault="00B86EDB" w:rsidP="009F3F6A">
      <w:pPr>
        <w:pStyle w:val="Prrafodelista"/>
        <w:numPr>
          <w:ilvl w:val="0"/>
          <w:numId w:val="4"/>
        </w:numPr>
        <w:ind w:left="0"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El accionante argumentó que el impuesto al patrimonio de la Ley 2277 de 2022 vulnera el principio de igualdad y equidad horizontal porque trata de igual forma a sujetos que no son comparables. Al respecto, pro</w:t>
      </w:r>
      <w:r w:rsidRPr="00B86EDB">
        <w:rPr>
          <w:rFonts w:ascii="Times New Roman" w:hAnsi="Times New Roman" w:cs="Times New Roman"/>
          <w:sz w:val="28"/>
          <w:szCs w:val="28"/>
        </w:rPr>
        <w:t>puso un juicio de igualdad y advirtió que los dos grupos de sujetos a comparar son</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por un lado, las “personas naturales contribuyentes y sucesiones ilíquidas del impuesto sobre la renta, que tienen la liquidez suficiente para pagar anualmente el impuesto </w:t>
      </w:r>
      <w:r w:rsidRPr="00B86EDB">
        <w:rPr>
          <w:rFonts w:ascii="Times New Roman" w:hAnsi="Times New Roman" w:cs="Times New Roman"/>
          <w:sz w:val="28"/>
          <w:szCs w:val="28"/>
        </w:rPr>
        <w:t>al patrimonio sin la necesidad de vender bienes inmuebles u otros bienes difícilmente liquidables</w:t>
      </w:r>
      <w:r w:rsidRPr="00B86EDB">
        <w:rPr>
          <w:rFonts w:ascii="Times New Roman" w:hAnsi="Times New Roman" w:cs="Times New Roman"/>
          <w:sz w:val="28"/>
          <w:szCs w:val="28"/>
        </w:rPr>
        <w:t>.</w:t>
      </w:r>
      <w:r w:rsidRPr="00B86EDB">
        <w:rPr>
          <w:rFonts w:ascii="Times New Roman" w:hAnsi="Times New Roman" w:cs="Times New Roman"/>
          <w:sz w:val="28"/>
          <w:szCs w:val="28"/>
        </w:rPr>
        <w:t>”</w:t>
      </w:r>
      <w:r w:rsidRPr="00B86EDB">
        <w:rPr>
          <w:rStyle w:val="Refdenotaalpie"/>
          <w:rFonts w:ascii="Times New Roman" w:hAnsi="Times New Roman" w:cs="Times New Roman"/>
          <w:sz w:val="28"/>
          <w:szCs w:val="28"/>
        </w:rPr>
        <w:footnoteReference w:id="3"/>
      </w:r>
      <w:r w:rsidRPr="00B86EDB">
        <w:rPr>
          <w:rFonts w:ascii="Times New Roman" w:hAnsi="Times New Roman" w:cs="Times New Roman"/>
          <w:sz w:val="28"/>
          <w:szCs w:val="28"/>
        </w:rPr>
        <w:t xml:space="preserve"> Y por el otro, las “personas naturales y sucesiones ilíquidas contribuyentes del impuesto sobre la renta, que no tienen la liquidez suficiente para pagar a</w:t>
      </w:r>
      <w:r w:rsidRPr="00B86EDB">
        <w:rPr>
          <w:rFonts w:ascii="Times New Roman" w:hAnsi="Times New Roman" w:cs="Times New Roman"/>
          <w:sz w:val="28"/>
          <w:szCs w:val="28"/>
        </w:rPr>
        <w:t>nualmente el impuesto al patrimonio, debido a que su patrimonio se compone principalmente de bienes inmuebles u otros bienes difícilmente liquidables</w:t>
      </w:r>
      <w:r w:rsidRPr="00B86EDB">
        <w:rPr>
          <w:rFonts w:ascii="Times New Roman" w:hAnsi="Times New Roman" w:cs="Times New Roman"/>
          <w:sz w:val="28"/>
          <w:szCs w:val="28"/>
        </w:rPr>
        <w:t>.</w:t>
      </w:r>
      <w:r w:rsidRPr="00B86EDB">
        <w:rPr>
          <w:rFonts w:ascii="Times New Roman" w:hAnsi="Times New Roman" w:cs="Times New Roman"/>
          <w:sz w:val="28"/>
          <w:szCs w:val="28"/>
        </w:rPr>
        <w:t>”</w:t>
      </w:r>
    </w:p>
    <w:p w:rsidR="005E6D2A" w:rsidRPr="00B86EDB" w:rsidRDefault="00B86EDB" w:rsidP="009F3F6A">
      <w:pPr>
        <w:pStyle w:val="Prrafodelista"/>
        <w:ind w:left="0"/>
        <w:contextualSpacing w:val="0"/>
        <w:jc w:val="both"/>
        <w:rPr>
          <w:rFonts w:ascii="Times New Roman" w:hAnsi="Times New Roman" w:cs="Times New Roman"/>
          <w:i/>
          <w:iCs/>
          <w:sz w:val="28"/>
          <w:szCs w:val="28"/>
        </w:rPr>
      </w:pPr>
    </w:p>
    <w:p w:rsidR="005E6D2A" w:rsidRPr="00B86EDB" w:rsidRDefault="00B86EDB" w:rsidP="009F3F6A">
      <w:pPr>
        <w:pStyle w:val="Prrafodelista"/>
        <w:numPr>
          <w:ilvl w:val="0"/>
          <w:numId w:val="4"/>
        </w:numPr>
        <w:ind w:left="0"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Aseguró que la liquidez es un factor de comparación relevante a efectos del juicio de igualdad porque d</w:t>
      </w:r>
      <w:r w:rsidRPr="00B86EDB">
        <w:rPr>
          <w:rFonts w:ascii="Times New Roman" w:hAnsi="Times New Roman" w:cs="Times New Roman"/>
          <w:sz w:val="28"/>
          <w:szCs w:val="28"/>
        </w:rPr>
        <w:t>etermina la capacidad de pago efectiva del contribuyente, pues de esta depende si se puede pagar el impuesto sin afectar el patrimonio. Así, señaló que las normas acusadas prevén un hecho generador, base gravable, tarifa, causación igual para los dos grupo</w:t>
      </w:r>
      <w:r w:rsidRPr="00B86EDB">
        <w:rPr>
          <w:rFonts w:ascii="Times New Roman" w:hAnsi="Times New Roman" w:cs="Times New Roman"/>
          <w:sz w:val="28"/>
          <w:szCs w:val="28"/>
        </w:rPr>
        <w:t>s de sujetos</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L</w:t>
      </w:r>
      <w:r w:rsidRPr="00B86EDB">
        <w:rPr>
          <w:rFonts w:ascii="Times New Roman" w:hAnsi="Times New Roman" w:cs="Times New Roman"/>
          <w:sz w:val="28"/>
          <w:szCs w:val="28"/>
        </w:rPr>
        <w:t xml:space="preserve">o cual se traduce en un trato igual a contribuyentes que no lo son. Adujo que la intensidad del juicio en esta ocasión debe ser intermedio, pues </w:t>
      </w:r>
      <w:r w:rsidRPr="00B86EDB">
        <w:rPr>
          <w:rFonts w:ascii="Times New Roman" w:hAnsi="Times New Roman" w:cs="Times New Roman"/>
          <w:sz w:val="28"/>
          <w:szCs w:val="28"/>
        </w:rPr>
        <w:t>a pesar de tratarse de</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una </w:t>
      </w:r>
      <w:r w:rsidRPr="00B86EDB">
        <w:rPr>
          <w:rFonts w:ascii="Times New Roman" w:hAnsi="Times New Roman" w:cs="Times New Roman"/>
          <w:sz w:val="28"/>
          <w:szCs w:val="28"/>
        </w:rPr>
        <w:t xml:space="preserve">materia que debería regirse por una intensidad leve, </w:t>
      </w:r>
      <w:r w:rsidRPr="00B86EDB">
        <w:rPr>
          <w:rFonts w:ascii="Times New Roman" w:hAnsi="Times New Roman" w:cs="Times New Roman"/>
          <w:sz w:val="28"/>
          <w:szCs w:val="28"/>
        </w:rPr>
        <w:t xml:space="preserve">la norma </w:t>
      </w:r>
      <w:r w:rsidRPr="00B86EDB">
        <w:rPr>
          <w:rFonts w:ascii="Times New Roman" w:hAnsi="Times New Roman" w:cs="Times New Roman"/>
          <w:sz w:val="28"/>
          <w:szCs w:val="28"/>
        </w:rPr>
        <w:t>puede a</w:t>
      </w:r>
      <w:r w:rsidRPr="00B86EDB">
        <w:rPr>
          <w:rFonts w:ascii="Times New Roman" w:hAnsi="Times New Roman" w:cs="Times New Roman"/>
          <w:sz w:val="28"/>
          <w:szCs w:val="28"/>
        </w:rPr>
        <w:t>fectar el derecho constitucional no fundamental a la propiedad, ya que las personas sin liquidez deben disponer de sus activos para pagar el gravamen</w:t>
      </w:r>
      <w:r w:rsidRPr="00B86EDB">
        <w:rPr>
          <w:rFonts w:ascii="Times New Roman" w:hAnsi="Times New Roman" w:cs="Times New Roman"/>
          <w:sz w:val="28"/>
          <w:szCs w:val="28"/>
        </w:rPr>
        <w:t>, motivo por el cual debe intensificarse el nivel del test</w:t>
      </w:r>
      <w:r w:rsidRPr="00B86EDB">
        <w:rPr>
          <w:rFonts w:ascii="Times New Roman" w:hAnsi="Times New Roman" w:cs="Times New Roman"/>
          <w:sz w:val="28"/>
          <w:szCs w:val="28"/>
        </w:rPr>
        <w:t>.</w:t>
      </w:r>
      <w:r w:rsidRPr="00B86EDB">
        <w:rPr>
          <w:rFonts w:ascii="Times New Roman" w:hAnsi="Times New Roman" w:cs="Times New Roman"/>
          <w:i/>
          <w:iCs/>
          <w:sz w:val="28"/>
          <w:szCs w:val="28"/>
        </w:rPr>
        <w:t xml:space="preserve"> </w:t>
      </w:r>
    </w:p>
    <w:p w:rsidR="005E6D2A" w:rsidRPr="00B86EDB" w:rsidRDefault="00B86EDB" w:rsidP="009F3F6A">
      <w:pPr>
        <w:pStyle w:val="Prrafodelista"/>
        <w:contextualSpacing w:val="0"/>
        <w:rPr>
          <w:rFonts w:ascii="Times New Roman" w:hAnsi="Times New Roman" w:cs="Times New Roman"/>
          <w:i/>
          <w:iCs/>
          <w:sz w:val="28"/>
          <w:szCs w:val="28"/>
        </w:rPr>
      </w:pPr>
    </w:p>
    <w:p w:rsidR="005E6D2A" w:rsidRPr="00B86EDB" w:rsidRDefault="00B86EDB" w:rsidP="009F3F6A">
      <w:pPr>
        <w:pStyle w:val="Prrafodelista"/>
        <w:numPr>
          <w:ilvl w:val="0"/>
          <w:numId w:val="4"/>
        </w:numPr>
        <w:ind w:left="0"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El demandante concluyó que las normas no supe</w:t>
      </w:r>
      <w:r w:rsidRPr="00B86EDB">
        <w:rPr>
          <w:rFonts w:ascii="Times New Roman" w:hAnsi="Times New Roman" w:cs="Times New Roman"/>
          <w:sz w:val="28"/>
          <w:szCs w:val="28"/>
        </w:rPr>
        <w:t xml:space="preserve">ran </w:t>
      </w:r>
      <w:r w:rsidRPr="00B86EDB">
        <w:rPr>
          <w:rFonts w:ascii="Times New Roman" w:hAnsi="Times New Roman" w:cs="Times New Roman"/>
          <w:sz w:val="28"/>
          <w:szCs w:val="28"/>
        </w:rPr>
        <w:t>el juicio de constitucionalidad a través de la aplicación de un test de igualdad de intensidad intermedio</w:t>
      </w:r>
      <w:r w:rsidRPr="00B86EDB">
        <w:rPr>
          <w:rFonts w:ascii="Times New Roman" w:hAnsi="Times New Roman" w:cs="Times New Roman"/>
          <w:sz w:val="28"/>
          <w:szCs w:val="28"/>
        </w:rPr>
        <w:t xml:space="preserve">. </w:t>
      </w:r>
      <w:r w:rsidRPr="00B86EDB">
        <w:rPr>
          <w:rFonts w:ascii="Times New Roman" w:hAnsi="Times New Roman" w:cs="Times New Roman"/>
          <w:i/>
          <w:iCs/>
          <w:sz w:val="28"/>
          <w:szCs w:val="28"/>
        </w:rPr>
        <w:t>Primero</w:t>
      </w:r>
      <w:r w:rsidRPr="00B86EDB">
        <w:rPr>
          <w:rFonts w:ascii="Times New Roman" w:hAnsi="Times New Roman" w:cs="Times New Roman"/>
          <w:sz w:val="28"/>
          <w:szCs w:val="28"/>
        </w:rPr>
        <w:t>, identificó tres finalidades, de las cuales las dos primeras son constitucionalmente importantes, mientras que la tercera está prohibida</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por cuanto afecta el derecho de propiedad</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A</w:t>
      </w:r>
      <w:r w:rsidRPr="00B86EDB">
        <w:rPr>
          <w:rFonts w:ascii="Times New Roman" w:hAnsi="Times New Roman" w:cs="Times New Roman"/>
          <w:sz w:val="28"/>
          <w:szCs w:val="28"/>
        </w:rPr>
        <w:t xml:space="preserve"> saber: (i) aumentar el recaudo de la nación, (ii) gravar a las personas con capitales altos [e], (iii</w:t>
      </w:r>
      <w:r w:rsidRPr="00B86EDB">
        <w:rPr>
          <w:rFonts w:ascii="Times New Roman" w:hAnsi="Times New Roman" w:cs="Times New Roman"/>
          <w:sz w:val="28"/>
          <w:szCs w:val="28"/>
        </w:rPr>
        <w:t xml:space="preserve">) impulsar a los contribuyentes a obtener activos productivos. Sobre la última, señaló que “el impedimento para invertir en los activos que escoja el titular, por medio de una norma tributaria que busca forzarlo a invertir solo en activos </w:t>
      </w:r>
      <w:r w:rsidRPr="00B86EDB">
        <w:rPr>
          <w:rFonts w:ascii="Times New Roman" w:hAnsi="Times New Roman" w:cs="Times New Roman"/>
          <w:sz w:val="28"/>
          <w:szCs w:val="28"/>
        </w:rPr>
        <w:t>‘</w:t>
      </w:r>
      <w:r w:rsidRPr="00B86EDB">
        <w:rPr>
          <w:rFonts w:ascii="Times New Roman" w:hAnsi="Times New Roman" w:cs="Times New Roman"/>
          <w:sz w:val="28"/>
          <w:szCs w:val="28"/>
        </w:rPr>
        <w:t>productivos</w:t>
      </w:r>
      <w:r w:rsidRPr="00B86EDB">
        <w:rPr>
          <w:rFonts w:ascii="Times New Roman" w:hAnsi="Times New Roman" w:cs="Times New Roman"/>
          <w:sz w:val="28"/>
          <w:szCs w:val="28"/>
        </w:rPr>
        <w:t>’</w:t>
      </w:r>
      <w:r w:rsidRPr="00B86EDB">
        <w:rPr>
          <w:rFonts w:ascii="Times New Roman" w:hAnsi="Times New Roman" w:cs="Times New Roman"/>
          <w:sz w:val="28"/>
          <w:szCs w:val="28"/>
        </w:rPr>
        <w:t>, im</w:t>
      </w:r>
      <w:r w:rsidRPr="00B86EDB">
        <w:rPr>
          <w:rFonts w:ascii="Times New Roman" w:hAnsi="Times New Roman" w:cs="Times New Roman"/>
          <w:sz w:val="28"/>
          <w:szCs w:val="28"/>
        </w:rPr>
        <w:t xml:space="preserve">pide </w:t>
      </w:r>
      <w:r w:rsidRPr="00B86EDB">
        <w:rPr>
          <w:rFonts w:ascii="Times New Roman" w:hAnsi="Times New Roman" w:cs="Times New Roman"/>
          <w:sz w:val="28"/>
          <w:szCs w:val="28"/>
        </w:rPr>
        <w:t>‘</w:t>
      </w:r>
      <w:r w:rsidRPr="00B86EDB">
        <w:rPr>
          <w:rFonts w:ascii="Times New Roman" w:hAnsi="Times New Roman" w:cs="Times New Roman"/>
          <w:sz w:val="28"/>
          <w:szCs w:val="28"/>
        </w:rPr>
        <w:t>disponer</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libremente de la propiedad</w:t>
      </w:r>
      <w:r w:rsidRPr="00B86EDB">
        <w:rPr>
          <w:rFonts w:ascii="Times New Roman" w:hAnsi="Times New Roman" w:cs="Times New Roman"/>
          <w:sz w:val="28"/>
          <w:szCs w:val="28"/>
        </w:rPr>
        <w:t>.</w:t>
      </w:r>
      <w:r w:rsidRPr="00B86EDB">
        <w:rPr>
          <w:rFonts w:ascii="Times New Roman" w:hAnsi="Times New Roman" w:cs="Times New Roman"/>
          <w:sz w:val="28"/>
          <w:szCs w:val="28"/>
        </w:rPr>
        <w:t>”</w:t>
      </w:r>
      <w:r w:rsidRPr="00B86EDB">
        <w:rPr>
          <w:rStyle w:val="Refdenotaalpie"/>
          <w:rFonts w:ascii="Times New Roman" w:hAnsi="Times New Roman" w:cs="Times New Roman"/>
          <w:sz w:val="28"/>
          <w:szCs w:val="28"/>
        </w:rPr>
        <w:footnoteReference w:id="4"/>
      </w:r>
    </w:p>
    <w:p w:rsidR="005E6D2A" w:rsidRPr="00B86EDB" w:rsidRDefault="00B86EDB" w:rsidP="009F3F6A">
      <w:pPr>
        <w:pStyle w:val="Prrafodelista"/>
        <w:contextualSpacing w:val="0"/>
        <w:rPr>
          <w:rFonts w:ascii="Times New Roman" w:hAnsi="Times New Roman" w:cs="Times New Roman"/>
          <w:i/>
          <w:iCs/>
          <w:sz w:val="28"/>
          <w:szCs w:val="28"/>
        </w:rPr>
      </w:pPr>
    </w:p>
    <w:p w:rsidR="005E6D2A"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i/>
          <w:iCs/>
          <w:sz w:val="28"/>
          <w:szCs w:val="28"/>
        </w:rPr>
        <w:t>Segundo</w:t>
      </w:r>
      <w:r w:rsidRPr="00B86EDB">
        <w:rPr>
          <w:rFonts w:ascii="Times New Roman" w:hAnsi="Times New Roman" w:cs="Times New Roman"/>
          <w:sz w:val="28"/>
          <w:szCs w:val="28"/>
        </w:rPr>
        <w:t>, el demandante sostuvo que</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si en gracia de discusión se continua con el examen respecto de las finalidades primera y segunda, el medio no es efectivamente conducente porque gravar a las personas sin l</w:t>
      </w:r>
      <w:r w:rsidRPr="00B86EDB">
        <w:rPr>
          <w:rFonts w:ascii="Times New Roman" w:hAnsi="Times New Roman" w:cs="Times New Roman"/>
          <w:sz w:val="28"/>
          <w:szCs w:val="28"/>
        </w:rPr>
        <w:t>iquidez no aumenta el recaudo, precisamente porque al no tener los medios para cumplir con la obligación tributaria van a tener que vender sus activos, lo que a su turno disminuye progresivamente la base gravable sobre la cual se calcula el gravamen. Afirm</w:t>
      </w:r>
      <w:r w:rsidRPr="00B86EDB">
        <w:rPr>
          <w:rFonts w:ascii="Times New Roman" w:hAnsi="Times New Roman" w:cs="Times New Roman"/>
          <w:sz w:val="28"/>
          <w:szCs w:val="28"/>
        </w:rPr>
        <w:t xml:space="preserve">ó que la medida no tiene en cuenta la rentabilidad de los activos, pues los sujetos con liquidez y sin liquidez tributan de la misma manera. Por último, adujo que la medida es desproporcionada por cuanto por una expectativa de recaudo se afecta </w:t>
      </w:r>
      <w:r w:rsidRPr="00B86EDB">
        <w:rPr>
          <w:rFonts w:ascii="Times New Roman" w:hAnsi="Times New Roman" w:cs="Times New Roman"/>
          <w:i/>
          <w:iCs/>
          <w:sz w:val="28"/>
          <w:szCs w:val="28"/>
        </w:rPr>
        <w:t>grave e irr</w:t>
      </w:r>
      <w:r w:rsidRPr="00B86EDB">
        <w:rPr>
          <w:rFonts w:ascii="Times New Roman" w:hAnsi="Times New Roman" w:cs="Times New Roman"/>
          <w:i/>
          <w:iCs/>
          <w:sz w:val="28"/>
          <w:szCs w:val="28"/>
        </w:rPr>
        <w:t xml:space="preserve">emediablemente </w:t>
      </w:r>
      <w:r w:rsidRPr="00B86EDB">
        <w:rPr>
          <w:rFonts w:ascii="Times New Roman" w:hAnsi="Times New Roman" w:cs="Times New Roman"/>
          <w:sz w:val="28"/>
          <w:szCs w:val="28"/>
        </w:rPr>
        <w:t>el patrimonio del contribuyente con activos no rentables, que tiene que venderlos o endeudarse.</w:t>
      </w:r>
    </w:p>
    <w:p w:rsidR="005E6D2A" w:rsidRPr="00B86EDB" w:rsidRDefault="00B86EDB" w:rsidP="009F3F6A">
      <w:pPr>
        <w:pStyle w:val="Prrafodelista"/>
        <w:ind w:left="0"/>
        <w:contextualSpacing w:val="0"/>
        <w:jc w:val="both"/>
        <w:rPr>
          <w:rFonts w:ascii="Times New Roman" w:hAnsi="Times New Roman" w:cs="Times New Roman"/>
          <w:sz w:val="28"/>
          <w:szCs w:val="28"/>
        </w:rPr>
      </w:pPr>
    </w:p>
    <w:p w:rsidR="005E6D2A" w:rsidRPr="00B86EDB" w:rsidRDefault="00B86EDB" w:rsidP="009F3F6A">
      <w:pPr>
        <w:pStyle w:val="Prrafodelista"/>
        <w:ind w:left="0"/>
        <w:contextualSpacing w:val="0"/>
        <w:jc w:val="both"/>
        <w:rPr>
          <w:rFonts w:ascii="Times New Roman" w:hAnsi="Times New Roman" w:cs="Times New Roman"/>
          <w:sz w:val="28"/>
          <w:szCs w:val="28"/>
        </w:rPr>
      </w:pPr>
    </w:p>
    <w:p w:rsidR="005E6D2A" w:rsidRPr="00B86EDB" w:rsidRDefault="00B86EDB" w:rsidP="009F3F6A">
      <w:pPr>
        <w:autoSpaceDE w:val="0"/>
        <w:autoSpaceDN w:val="0"/>
        <w:ind w:right="49"/>
        <w:jc w:val="both"/>
        <w:rPr>
          <w:rFonts w:ascii="Times New Roman" w:hAnsi="Times New Roman" w:cs="Times New Roman"/>
          <w:b/>
          <w:bCs/>
          <w:i/>
          <w:iCs/>
          <w:sz w:val="28"/>
          <w:szCs w:val="28"/>
        </w:rPr>
      </w:pPr>
      <w:bookmarkStart w:id="5" w:name="_Hlk190380384"/>
      <w:r w:rsidRPr="00B86EDB">
        <w:rPr>
          <w:rFonts w:ascii="Times New Roman" w:hAnsi="Times New Roman" w:cs="Times New Roman"/>
          <w:b/>
          <w:bCs/>
          <w:i/>
          <w:iCs/>
          <w:sz w:val="28"/>
          <w:szCs w:val="28"/>
        </w:rPr>
        <w:t>Cuarto cargo</w:t>
      </w:r>
      <w:r w:rsidRPr="00B86EDB">
        <w:rPr>
          <w:rFonts w:ascii="Times New Roman" w:hAnsi="Times New Roman" w:cs="Times New Roman"/>
          <w:b/>
          <w:bCs/>
          <w:i/>
          <w:iCs/>
          <w:sz w:val="28"/>
          <w:szCs w:val="28"/>
        </w:rPr>
        <w:t>.</w:t>
      </w:r>
      <w:r w:rsidRPr="00B86EDB">
        <w:rPr>
          <w:rFonts w:ascii="Times New Roman" w:hAnsi="Times New Roman" w:cs="Times New Roman"/>
          <w:b/>
          <w:bCs/>
          <w:i/>
          <w:iCs/>
          <w:sz w:val="28"/>
          <w:szCs w:val="28"/>
        </w:rPr>
        <w:t xml:space="preserve"> Vulneración de los principios de equidad, proporcionalidad y de la protección de la propiedad privada de los artículos</w:t>
      </w:r>
      <w:r w:rsidRPr="00B86EDB">
        <w:rPr>
          <w:rFonts w:ascii="Times New Roman" w:hAnsi="Times New Roman" w:cs="Times New Roman"/>
          <w:b/>
          <w:bCs/>
          <w:i/>
          <w:iCs/>
          <w:sz w:val="28"/>
          <w:szCs w:val="28"/>
        </w:rPr>
        <w:t xml:space="preserve"> 58,</w:t>
      </w:r>
      <w:r w:rsidRPr="00B86EDB">
        <w:rPr>
          <w:rFonts w:ascii="Times New Roman" w:hAnsi="Times New Roman" w:cs="Times New Roman"/>
          <w:b/>
          <w:bCs/>
          <w:i/>
          <w:iCs/>
          <w:sz w:val="28"/>
          <w:szCs w:val="28"/>
        </w:rPr>
        <w:t xml:space="preserve"> 95-9</w:t>
      </w:r>
      <w:r w:rsidRPr="00B86EDB">
        <w:rPr>
          <w:rFonts w:ascii="Times New Roman" w:hAnsi="Times New Roman" w:cs="Times New Roman"/>
          <w:b/>
          <w:bCs/>
          <w:i/>
          <w:iCs/>
          <w:sz w:val="28"/>
          <w:szCs w:val="28"/>
        </w:rPr>
        <w:t xml:space="preserve"> y</w:t>
      </w:r>
      <w:r w:rsidRPr="00B86EDB">
        <w:rPr>
          <w:rFonts w:ascii="Times New Roman" w:hAnsi="Times New Roman" w:cs="Times New Roman"/>
          <w:b/>
          <w:bCs/>
          <w:i/>
          <w:iCs/>
          <w:sz w:val="28"/>
          <w:szCs w:val="28"/>
        </w:rPr>
        <w:t xml:space="preserve"> 363 de la Constitución Política porque el impuesto al patrimonio es confiscatorio</w:t>
      </w:r>
    </w:p>
    <w:p w:rsidR="005E6D2A" w:rsidRPr="00B86EDB" w:rsidRDefault="00B86EDB" w:rsidP="009F3F6A">
      <w:pPr>
        <w:autoSpaceDE w:val="0"/>
        <w:autoSpaceDN w:val="0"/>
        <w:ind w:right="49"/>
        <w:jc w:val="both"/>
        <w:rPr>
          <w:rFonts w:ascii="Times New Roman" w:hAnsi="Times New Roman" w:cs="Times New Roman"/>
          <w:b/>
          <w:bCs/>
          <w:i/>
          <w:iCs/>
          <w:sz w:val="28"/>
          <w:szCs w:val="28"/>
        </w:rPr>
      </w:pPr>
    </w:p>
    <w:p w:rsidR="005E6D2A" w:rsidRPr="00B86EDB" w:rsidRDefault="00B86EDB" w:rsidP="009F3F6A">
      <w:pPr>
        <w:pStyle w:val="Prrafodelista"/>
        <w:numPr>
          <w:ilvl w:val="0"/>
          <w:numId w:val="4"/>
        </w:numPr>
        <w:autoSpaceDE w:val="0"/>
        <w:autoSpaceDN w:val="0"/>
        <w:ind w:left="0" w:right="49"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 xml:space="preserve">El demandante señaló que el impuesto al patrimonio establecido por la Ley 2277 de 2022 tiene efectos confiscatorios porque </w:t>
      </w:r>
      <w:r w:rsidRPr="00B86EDB">
        <w:rPr>
          <w:rFonts w:ascii="Times New Roman" w:hAnsi="Times New Roman" w:cs="Times New Roman"/>
          <w:i/>
          <w:iCs/>
          <w:sz w:val="28"/>
          <w:szCs w:val="28"/>
        </w:rPr>
        <w:t>i)</w:t>
      </w:r>
      <w:r w:rsidRPr="00B86EDB">
        <w:rPr>
          <w:rFonts w:ascii="Times New Roman" w:hAnsi="Times New Roman" w:cs="Times New Roman"/>
          <w:sz w:val="28"/>
          <w:szCs w:val="28"/>
        </w:rPr>
        <w:t xml:space="preserve"> al ser permanente, recurrente e ilimitado grav</w:t>
      </w:r>
      <w:r w:rsidRPr="00B86EDB">
        <w:rPr>
          <w:rFonts w:ascii="Times New Roman" w:hAnsi="Times New Roman" w:cs="Times New Roman"/>
          <w:sz w:val="28"/>
          <w:szCs w:val="28"/>
        </w:rPr>
        <w:t xml:space="preserve">a el patrimonio año tras año hasta agotarlo, pues no contempla límites temporales y </w:t>
      </w:r>
      <w:r w:rsidRPr="00B86EDB">
        <w:rPr>
          <w:rFonts w:ascii="Times New Roman" w:hAnsi="Times New Roman" w:cs="Times New Roman"/>
          <w:sz w:val="28"/>
          <w:szCs w:val="28"/>
        </w:rPr>
        <w:t>en</w:t>
      </w:r>
      <w:r w:rsidRPr="00B86EDB">
        <w:rPr>
          <w:rFonts w:ascii="Times New Roman" w:hAnsi="Times New Roman" w:cs="Times New Roman"/>
          <w:sz w:val="28"/>
          <w:szCs w:val="28"/>
        </w:rPr>
        <w:t xml:space="preserve"> la porción que debe ser entregada al Estado y, </w:t>
      </w:r>
      <w:r w:rsidRPr="00B86EDB">
        <w:rPr>
          <w:rFonts w:ascii="Times New Roman" w:hAnsi="Times New Roman" w:cs="Times New Roman"/>
          <w:i/>
          <w:iCs/>
          <w:sz w:val="28"/>
          <w:szCs w:val="28"/>
        </w:rPr>
        <w:t>ii)</w:t>
      </w:r>
      <w:r w:rsidRPr="00B86EDB">
        <w:rPr>
          <w:rFonts w:ascii="Times New Roman" w:hAnsi="Times New Roman" w:cs="Times New Roman"/>
          <w:sz w:val="28"/>
          <w:szCs w:val="28"/>
        </w:rPr>
        <w:t xml:space="preserve"> la tarifa no contempla previsiones para situaciones en que la inflación pueda impactar el crecimiento del capital. Afirmó que las mencionadas características generan escenarios en los que la actividad del particular se destina exclusivamente al pago del i</w:t>
      </w:r>
      <w:r w:rsidRPr="00B86EDB">
        <w:rPr>
          <w:rFonts w:ascii="Times New Roman" w:hAnsi="Times New Roman" w:cs="Times New Roman"/>
          <w:sz w:val="28"/>
          <w:szCs w:val="28"/>
        </w:rPr>
        <w:t xml:space="preserve">mpuesto, por lo que no hay ganancia. O, en el caso </w:t>
      </w:r>
      <w:r w:rsidRPr="00B86EDB">
        <w:rPr>
          <w:rFonts w:ascii="Times New Roman" w:hAnsi="Times New Roman" w:cs="Times New Roman"/>
          <w:sz w:val="28"/>
          <w:szCs w:val="28"/>
        </w:rPr>
        <w:t xml:space="preserve">de </w:t>
      </w:r>
      <w:r w:rsidRPr="00B86EDB">
        <w:rPr>
          <w:rFonts w:ascii="Times New Roman" w:hAnsi="Times New Roman" w:cs="Times New Roman"/>
          <w:sz w:val="28"/>
          <w:szCs w:val="28"/>
        </w:rPr>
        <w:t xml:space="preserve">sujetos con patrimonios conformados única o principalmente por bienes inmuebles, </w:t>
      </w:r>
      <w:r w:rsidRPr="00B86EDB">
        <w:rPr>
          <w:rFonts w:ascii="Times New Roman" w:hAnsi="Times New Roman" w:cs="Times New Roman"/>
          <w:sz w:val="28"/>
          <w:szCs w:val="28"/>
        </w:rPr>
        <w:t xml:space="preserve">terminan siendo </w:t>
      </w:r>
      <w:r w:rsidRPr="00B86EDB">
        <w:rPr>
          <w:rFonts w:ascii="Times New Roman" w:hAnsi="Times New Roman" w:cs="Times New Roman"/>
          <w:sz w:val="28"/>
          <w:szCs w:val="28"/>
        </w:rPr>
        <w:t>obligados a liquidar sus activos para asumir la carga del tributo</w:t>
      </w:r>
      <w:r w:rsidRPr="00B86EDB">
        <w:rPr>
          <w:rFonts w:ascii="Times New Roman" w:hAnsi="Times New Roman" w:cs="Times New Roman"/>
          <w:sz w:val="28"/>
          <w:szCs w:val="28"/>
        </w:rPr>
        <w:t>, l</w:t>
      </w:r>
      <w:r w:rsidRPr="00B86EDB">
        <w:rPr>
          <w:rFonts w:ascii="Times New Roman" w:hAnsi="Times New Roman" w:cs="Times New Roman"/>
          <w:sz w:val="28"/>
          <w:szCs w:val="28"/>
        </w:rPr>
        <w:t xml:space="preserve">o cual restringe </w:t>
      </w:r>
      <w:r w:rsidRPr="00B86EDB">
        <w:rPr>
          <w:rFonts w:ascii="Times New Roman" w:hAnsi="Times New Roman" w:cs="Times New Roman"/>
          <w:sz w:val="28"/>
          <w:szCs w:val="28"/>
        </w:rPr>
        <w:t xml:space="preserve">su </w:t>
      </w:r>
      <w:r w:rsidRPr="00B86EDB">
        <w:rPr>
          <w:rFonts w:ascii="Times New Roman" w:hAnsi="Times New Roman" w:cs="Times New Roman"/>
          <w:sz w:val="28"/>
          <w:szCs w:val="28"/>
        </w:rPr>
        <w:t>capacidad de deci</w:t>
      </w:r>
      <w:r w:rsidRPr="00B86EDB">
        <w:rPr>
          <w:rFonts w:ascii="Times New Roman" w:hAnsi="Times New Roman" w:cs="Times New Roman"/>
          <w:sz w:val="28"/>
          <w:szCs w:val="28"/>
        </w:rPr>
        <w:t>sión acerca de cómo disponer de su propiedad lo que</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a su turno, </w:t>
      </w:r>
      <w:r w:rsidRPr="00B86EDB">
        <w:rPr>
          <w:rFonts w:ascii="Times New Roman" w:hAnsi="Times New Roman" w:cs="Times New Roman"/>
          <w:sz w:val="28"/>
          <w:szCs w:val="28"/>
        </w:rPr>
        <w:t xml:space="preserve">vulnera el </w:t>
      </w:r>
      <w:r w:rsidRPr="00B86EDB">
        <w:rPr>
          <w:rFonts w:ascii="Times New Roman" w:hAnsi="Times New Roman" w:cs="Times New Roman"/>
          <w:sz w:val="28"/>
          <w:szCs w:val="28"/>
        </w:rPr>
        <w:t>artículo 58 constitucional.</w:t>
      </w:r>
    </w:p>
    <w:p w:rsidR="005E6D2A" w:rsidRPr="00B86EDB" w:rsidRDefault="00B86EDB" w:rsidP="009F3F6A">
      <w:pPr>
        <w:pStyle w:val="Prrafodelista"/>
        <w:autoSpaceDE w:val="0"/>
        <w:autoSpaceDN w:val="0"/>
        <w:ind w:left="0" w:right="49"/>
        <w:contextualSpacing w:val="0"/>
        <w:jc w:val="both"/>
        <w:rPr>
          <w:rFonts w:ascii="Times New Roman" w:hAnsi="Times New Roman" w:cs="Times New Roman"/>
          <w:sz w:val="28"/>
          <w:szCs w:val="28"/>
        </w:rPr>
      </w:pPr>
    </w:p>
    <w:p w:rsidR="009B1456" w:rsidRPr="00B86EDB" w:rsidRDefault="00B86EDB" w:rsidP="009F3F6A">
      <w:pPr>
        <w:pStyle w:val="Prrafodelista"/>
        <w:numPr>
          <w:ilvl w:val="0"/>
          <w:numId w:val="4"/>
        </w:numPr>
        <w:autoSpaceDE w:val="0"/>
        <w:autoSpaceDN w:val="0"/>
        <w:ind w:left="0" w:right="49"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 xml:space="preserve">Concretamente, el accionante señaló que un impuesto al patrimonio no es </w:t>
      </w:r>
      <w:r w:rsidRPr="00B86EDB">
        <w:rPr>
          <w:rFonts w:ascii="Times New Roman" w:hAnsi="Times New Roman" w:cs="Times New Roman"/>
          <w:i/>
          <w:iCs/>
          <w:sz w:val="28"/>
          <w:szCs w:val="28"/>
        </w:rPr>
        <w:t>per s</w:t>
      </w:r>
      <w:r w:rsidRPr="00B86EDB">
        <w:rPr>
          <w:rFonts w:ascii="Times New Roman" w:hAnsi="Times New Roman" w:cs="Times New Roman"/>
          <w:i/>
          <w:iCs/>
          <w:sz w:val="28"/>
          <w:szCs w:val="28"/>
        </w:rPr>
        <w:t>e</w:t>
      </w:r>
      <w:r w:rsidRPr="00B86EDB">
        <w:rPr>
          <w:rFonts w:ascii="Times New Roman" w:hAnsi="Times New Roman" w:cs="Times New Roman"/>
          <w:sz w:val="28"/>
          <w:szCs w:val="28"/>
        </w:rPr>
        <w:t xml:space="preserve"> inconstitucional, pero </w:t>
      </w:r>
      <w:r w:rsidRPr="00B86EDB">
        <w:rPr>
          <w:rFonts w:ascii="Times New Roman" w:hAnsi="Times New Roman" w:cs="Times New Roman"/>
          <w:sz w:val="28"/>
          <w:szCs w:val="28"/>
        </w:rPr>
        <w:t xml:space="preserve">que </w:t>
      </w:r>
      <w:r w:rsidRPr="00B86EDB">
        <w:rPr>
          <w:rFonts w:ascii="Times New Roman" w:hAnsi="Times New Roman" w:cs="Times New Roman"/>
          <w:sz w:val="28"/>
          <w:szCs w:val="28"/>
        </w:rPr>
        <w:t>el regulado en las normas acusadas debe ser d</w:t>
      </w:r>
      <w:r w:rsidRPr="00B86EDB">
        <w:rPr>
          <w:rFonts w:ascii="Times New Roman" w:hAnsi="Times New Roman" w:cs="Times New Roman"/>
          <w:sz w:val="28"/>
          <w:szCs w:val="28"/>
        </w:rPr>
        <w:t>eclarado inexequible porque es</w:t>
      </w:r>
      <w:r w:rsidRPr="00B86EDB">
        <w:rPr>
          <w:rFonts w:ascii="Times New Roman" w:hAnsi="Times New Roman" w:cs="Times New Roman"/>
          <w:i/>
          <w:iCs/>
          <w:sz w:val="28"/>
          <w:szCs w:val="28"/>
        </w:rPr>
        <w:t xml:space="preserve"> </w:t>
      </w:r>
    </w:p>
    <w:p w:rsidR="009B1456" w:rsidRPr="00B86EDB" w:rsidRDefault="00B86EDB" w:rsidP="009F3F6A">
      <w:pPr>
        <w:pStyle w:val="Prrafodelista"/>
        <w:contextualSpacing w:val="0"/>
        <w:rPr>
          <w:rFonts w:ascii="Times New Roman" w:hAnsi="Times New Roman" w:cs="Times New Roman"/>
          <w:i/>
          <w:iCs/>
          <w:sz w:val="28"/>
          <w:szCs w:val="28"/>
        </w:rPr>
      </w:pPr>
    </w:p>
    <w:p w:rsidR="005E6D2A" w:rsidRPr="00B86EDB" w:rsidRDefault="00B86EDB" w:rsidP="009F3F6A">
      <w:pPr>
        <w:pStyle w:val="Prrafodelista"/>
        <w:autoSpaceDE w:val="0"/>
        <w:autoSpaceDN w:val="0"/>
        <w:ind w:left="284" w:right="284"/>
        <w:contextualSpacing w:val="0"/>
        <w:jc w:val="both"/>
        <w:rPr>
          <w:rFonts w:ascii="Times New Roman" w:hAnsi="Times New Roman" w:cs="Times New Roman"/>
          <w:sz w:val="28"/>
        </w:rPr>
      </w:pPr>
      <w:r w:rsidRPr="00B86EDB">
        <w:rPr>
          <w:rFonts w:ascii="Times New Roman" w:hAnsi="Times New Roman" w:cs="Times New Roman"/>
          <w:sz w:val="28"/>
        </w:rPr>
        <w:t>“(i) permanente, de manera que cada año se deberá obtener el ingreso suficiente o renunciar a una parte del patrimonio acumulado para pagar el impuesto, (ii) no excluye los bienes inmuebles, de forma tal que los propietario</w:t>
      </w:r>
      <w:r w:rsidRPr="00B86EDB">
        <w:rPr>
          <w:rFonts w:ascii="Times New Roman" w:hAnsi="Times New Roman" w:cs="Times New Roman"/>
          <w:sz w:val="28"/>
        </w:rPr>
        <w:t>s de bienes inmuebles deben vender esos bienes o asegurar unos arrendamientos irrealmente permanentes e irrealmente altos para pagar el impuesto, (iii) no contiene garantías contra la confiscación, como podrían ser tarifas diferenciales para personas con a</w:t>
      </w:r>
      <w:r w:rsidRPr="00B86EDB">
        <w:rPr>
          <w:rFonts w:ascii="Times New Roman" w:hAnsi="Times New Roman" w:cs="Times New Roman"/>
          <w:sz w:val="28"/>
        </w:rPr>
        <w:t>ltos patrimonios pero bajos ingresos, o techos de tributación efectiva para las personas naturales y (iv) carece de límites en cuanto a la porción del patrimonio que deberá́ ser entregado al Estado con lo cual esta puede llegar a ser superior al 50% en tér</w:t>
      </w:r>
      <w:r w:rsidRPr="00B86EDB">
        <w:rPr>
          <w:rFonts w:ascii="Times New Roman" w:hAnsi="Times New Roman" w:cs="Times New Roman"/>
          <w:sz w:val="28"/>
        </w:rPr>
        <w:t>minos reales</w:t>
      </w:r>
      <w:r w:rsidRPr="00B86EDB">
        <w:rPr>
          <w:rFonts w:ascii="Times New Roman" w:hAnsi="Times New Roman" w:cs="Times New Roman"/>
          <w:sz w:val="28"/>
        </w:rPr>
        <w:t>.</w:t>
      </w:r>
      <w:r w:rsidRPr="00B86EDB">
        <w:rPr>
          <w:rFonts w:ascii="Times New Roman" w:hAnsi="Times New Roman" w:cs="Times New Roman"/>
          <w:sz w:val="28"/>
        </w:rPr>
        <w:t>”</w:t>
      </w:r>
      <w:r w:rsidRPr="00B86EDB">
        <w:rPr>
          <w:rStyle w:val="Refdenotaalpie"/>
          <w:rFonts w:ascii="Times New Roman" w:hAnsi="Times New Roman" w:cs="Times New Roman"/>
          <w:sz w:val="28"/>
        </w:rPr>
        <w:footnoteReference w:id="5"/>
      </w:r>
      <w:r w:rsidRPr="00B86EDB">
        <w:rPr>
          <w:rFonts w:ascii="Times New Roman" w:hAnsi="Times New Roman" w:cs="Times New Roman"/>
          <w:sz w:val="28"/>
        </w:rPr>
        <w:t xml:space="preserve"> </w:t>
      </w:r>
    </w:p>
    <w:p w:rsidR="005E6D2A" w:rsidRPr="00B86EDB" w:rsidRDefault="00B86EDB" w:rsidP="009F3F6A">
      <w:pPr>
        <w:pStyle w:val="Prrafodelista"/>
        <w:contextualSpacing w:val="0"/>
        <w:rPr>
          <w:rFonts w:ascii="Times New Roman" w:hAnsi="Times New Roman" w:cs="Times New Roman"/>
          <w:sz w:val="28"/>
          <w:szCs w:val="28"/>
        </w:rPr>
      </w:pPr>
    </w:p>
    <w:p w:rsidR="005E6D2A" w:rsidRPr="00B86EDB" w:rsidRDefault="00B86EDB" w:rsidP="009F3F6A">
      <w:pPr>
        <w:pStyle w:val="Prrafodelista"/>
        <w:numPr>
          <w:ilvl w:val="0"/>
          <w:numId w:val="4"/>
        </w:numPr>
        <w:autoSpaceDE w:val="0"/>
        <w:autoSpaceDN w:val="0"/>
        <w:ind w:left="0" w:right="49"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Finalmente, el accionante indicó que</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de conformidad con sus cálculos, un contribuyente que deba tributar el impuesto al patrimonio en el 2023 en un rango de tarifa del 1,5% “entregará el 30% de su patrimonio en 28 años y el 50% de su pa</w:t>
      </w:r>
      <w:r w:rsidRPr="00B86EDB">
        <w:rPr>
          <w:rFonts w:ascii="Times New Roman" w:hAnsi="Times New Roman" w:cs="Times New Roman"/>
          <w:sz w:val="28"/>
          <w:szCs w:val="28"/>
        </w:rPr>
        <w:t>trimonio en 49 años</w:t>
      </w:r>
      <w:r w:rsidRPr="00B86EDB">
        <w:rPr>
          <w:rFonts w:ascii="Times New Roman" w:hAnsi="Times New Roman" w:cs="Times New Roman"/>
          <w:sz w:val="28"/>
          <w:szCs w:val="28"/>
        </w:rPr>
        <w:t>.</w:t>
      </w:r>
      <w:r w:rsidRPr="00B86EDB">
        <w:rPr>
          <w:rFonts w:ascii="Times New Roman" w:hAnsi="Times New Roman" w:cs="Times New Roman"/>
          <w:sz w:val="28"/>
          <w:szCs w:val="28"/>
        </w:rPr>
        <w:t>”</w:t>
      </w:r>
      <w:r w:rsidRPr="00B86EDB">
        <w:rPr>
          <w:rStyle w:val="Refdenotaalpie"/>
          <w:rFonts w:ascii="Times New Roman" w:hAnsi="Times New Roman" w:cs="Times New Roman"/>
          <w:sz w:val="28"/>
          <w:szCs w:val="28"/>
        </w:rPr>
        <w:footnoteReference w:id="6"/>
      </w:r>
    </w:p>
    <w:bookmarkEnd w:id="5"/>
    <w:p w:rsidR="005E6D2A" w:rsidRPr="00B86EDB" w:rsidRDefault="00B86EDB" w:rsidP="009F3F6A">
      <w:pPr>
        <w:autoSpaceDE w:val="0"/>
        <w:autoSpaceDN w:val="0"/>
        <w:ind w:right="49"/>
        <w:jc w:val="both"/>
        <w:rPr>
          <w:rFonts w:ascii="Times New Roman" w:hAnsi="Times New Roman" w:cs="Times New Roman"/>
          <w:sz w:val="28"/>
          <w:szCs w:val="28"/>
        </w:rPr>
      </w:pPr>
    </w:p>
    <w:p w:rsidR="005E6D2A" w:rsidRPr="00B86EDB" w:rsidRDefault="00B86EDB" w:rsidP="009F3F6A">
      <w:pPr>
        <w:autoSpaceDE w:val="0"/>
        <w:autoSpaceDN w:val="0"/>
        <w:ind w:right="49"/>
        <w:jc w:val="both"/>
        <w:rPr>
          <w:rFonts w:ascii="Times New Roman" w:hAnsi="Times New Roman" w:cs="Times New Roman"/>
          <w:b/>
          <w:bCs/>
          <w:i/>
          <w:iCs/>
          <w:sz w:val="28"/>
          <w:szCs w:val="28"/>
        </w:rPr>
      </w:pPr>
      <w:bookmarkStart w:id="6" w:name="_Hlk190382565"/>
      <w:r w:rsidRPr="00B86EDB">
        <w:rPr>
          <w:rFonts w:ascii="Times New Roman" w:hAnsi="Times New Roman" w:cs="Times New Roman"/>
          <w:b/>
          <w:bCs/>
          <w:i/>
          <w:iCs/>
          <w:sz w:val="28"/>
          <w:szCs w:val="28"/>
        </w:rPr>
        <w:t>Quinto cargo</w:t>
      </w:r>
      <w:r w:rsidRPr="00B86EDB">
        <w:rPr>
          <w:rFonts w:ascii="Times New Roman" w:hAnsi="Times New Roman" w:cs="Times New Roman"/>
          <w:b/>
          <w:bCs/>
          <w:i/>
          <w:iCs/>
          <w:sz w:val="28"/>
          <w:szCs w:val="28"/>
        </w:rPr>
        <w:t>.</w:t>
      </w:r>
      <w:r w:rsidRPr="00B86EDB">
        <w:rPr>
          <w:rFonts w:ascii="Times New Roman" w:hAnsi="Times New Roman" w:cs="Times New Roman"/>
          <w:sz w:val="28"/>
          <w:szCs w:val="28"/>
        </w:rPr>
        <w:t xml:space="preserve"> </w:t>
      </w:r>
      <w:r w:rsidRPr="00B86EDB">
        <w:rPr>
          <w:rFonts w:ascii="Times New Roman" w:hAnsi="Times New Roman" w:cs="Times New Roman"/>
          <w:b/>
          <w:bCs/>
          <w:i/>
          <w:iCs/>
          <w:sz w:val="28"/>
          <w:szCs w:val="28"/>
        </w:rPr>
        <w:t>Vulneración del artículo 317 de la Constitución Política po</w:t>
      </w:r>
      <w:r w:rsidRPr="00B86EDB">
        <w:rPr>
          <w:rFonts w:ascii="Times New Roman" w:hAnsi="Times New Roman" w:cs="Times New Roman"/>
          <w:b/>
          <w:bCs/>
          <w:i/>
          <w:iCs/>
          <w:sz w:val="28"/>
          <w:szCs w:val="28"/>
        </w:rPr>
        <w:t>r</w:t>
      </w:r>
      <w:r w:rsidRPr="00B86EDB">
        <w:rPr>
          <w:rFonts w:ascii="Times New Roman" w:hAnsi="Times New Roman" w:cs="Times New Roman"/>
          <w:b/>
          <w:bCs/>
          <w:i/>
          <w:iCs/>
          <w:sz w:val="28"/>
          <w:szCs w:val="28"/>
        </w:rPr>
        <w:t xml:space="preserve">que el impuesto al patrimonio es de carácter nacional y grava la propiedad inmueble </w:t>
      </w:r>
    </w:p>
    <w:p w:rsidR="005E6D2A" w:rsidRPr="00B86EDB" w:rsidRDefault="00B86EDB" w:rsidP="009F3F6A">
      <w:pPr>
        <w:autoSpaceDE w:val="0"/>
        <w:autoSpaceDN w:val="0"/>
        <w:ind w:right="49"/>
        <w:jc w:val="both"/>
        <w:rPr>
          <w:rFonts w:ascii="Times New Roman" w:hAnsi="Times New Roman" w:cs="Times New Roman"/>
          <w:b/>
          <w:bCs/>
          <w:i/>
          <w:iCs/>
          <w:sz w:val="28"/>
          <w:szCs w:val="28"/>
        </w:rPr>
      </w:pPr>
    </w:p>
    <w:p w:rsidR="005E6D2A" w:rsidRPr="00B86EDB" w:rsidRDefault="00B86EDB" w:rsidP="009F3F6A">
      <w:pPr>
        <w:pStyle w:val="Prrafodelista"/>
        <w:numPr>
          <w:ilvl w:val="0"/>
          <w:numId w:val="4"/>
        </w:numPr>
        <w:autoSpaceDE w:val="0"/>
        <w:autoSpaceDN w:val="0"/>
        <w:ind w:left="0" w:right="49"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 xml:space="preserve">El demandante inició su exposición con una reconstrucción del precedente jurisprudencial relativo al alcance del artículo 317 de la Constitución Política. Concluyó que las sentencias C-876 de 2002 y C-990 de 2004 no son </w:t>
      </w:r>
      <w:r w:rsidRPr="00B86EDB">
        <w:rPr>
          <w:rFonts w:ascii="Times New Roman" w:hAnsi="Times New Roman" w:cs="Times New Roman"/>
          <w:i/>
          <w:iCs/>
          <w:sz w:val="28"/>
          <w:szCs w:val="28"/>
        </w:rPr>
        <w:t xml:space="preserve">pertinentes </w:t>
      </w:r>
      <w:r w:rsidRPr="00B86EDB">
        <w:rPr>
          <w:rFonts w:ascii="Times New Roman" w:hAnsi="Times New Roman" w:cs="Times New Roman"/>
          <w:sz w:val="28"/>
          <w:szCs w:val="28"/>
        </w:rPr>
        <w:t>para estudiar la constit</w:t>
      </w:r>
      <w:r w:rsidRPr="00B86EDB">
        <w:rPr>
          <w:rFonts w:ascii="Times New Roman" w:hAnsi="Times New Roman" w:cs="Times New Roman"/>
          <w:sz w:val="28"/>
          <w:szCs w:val="28"/>
        </w:rPr>
        <w:t xml:space="preserve">ucionalidad del impuesto al patrimonio previsto en la Ley 2277 de 2022, habida cuenta que en esta oportunidad se trata de un tributo nacional de carácter permanente que afecta </w:t>
      </w:r>
      <w:r w:rsidRPr="00B86EDB">
        <w:rPr>
          <w:rFonts w:ascii="Times New Roman" w:hAnsi="Times New Roman" w:cs="Times New Roman"/>
          <w:i/>
          <w:iCs/>
          <w:sz w:val="28"/>
          <w:szCs w:val="28"/>
        </w:rPr>
        <w:t xml:space="preserve">directa </w:t>
      </w:r>
      <w:r w:rsidRPr="00B86EDB">
        <w:rPr>
          <w:rFonts w:ascii="Times New Roman" w:hAnsi="Times New Roman" w:cs="Times New Roman"/>
          <w:sz w:val="28"/>
          <w:szCs w:val="28"/>
        </w:rPr>
        <w:t xml:space="preserve">y </w:t>
      </w:r>
      <w:r w:rsidRPr="00B86EDB">
        <w:rPr>
          <w:rFonts w:ascii="Times New Roman" w:hAnsi="Times New Roman" w:cs="Times New Roman"/>
          <w:i/>
          <w:iCs/>
          <w:sz w:val="28"/>
          <w:szCs w:val="28"/>
        </w:rPr>
        <w:t xml:space="preserve">específicamente </w:t>
      </w:r>
      <w:r w:rsidRPr="00B86EDB">
        <w:rPr>
          <w:rFonts w:ascii="Times New Roman" w:hAnsi="Times New Roman" w:cs="Times New Roman"/>
          <w:sz w:val="28"/>
          <w:szCs w:val="28"/>
        </w:rPr>
        <w:t>la propiedad inmueble. Esto, por tres razones</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primero</w:t>
      </w:r>
      <w:r w:rsidRPr="00B86EDB">
        <w:rPr>
          <w:rFonts w:ascii="Times New Roman" w:hAnsi="Times New Roman" w:cs="Times New Roman"/>
          <w:sz w:val="28"/>
          <w:szCs w:val="28"/>
        </w:rPr>
        <w:t>, el hecho generador y la base gravable remiten a reglas del Estatuto Tributario que se refieren a la propiedad inmueble</w:t>
      </w:r>
      <w:r w:rsidRPr="00B86EDB">
        <w:rPr>
          <w:rFonts w:ascii="Times New Roman" w:hAnsi="Times New Roman" w:cs="Times New Roman"/>
          <w:sz w:val="28"/>
          <w:szCs w:val="28"/>
        </w:rPr>
        <w:t>; s</w:t>
      </w:r>
      <w:r w:rsidRPr="00B86EDB">
        <w:rPr>
          <w:rFonts w:ascii="Times New Roman" w:hAnsi="Times New Roman" w:cs="Times New Roman"/>
          <w:sz w:val="28"/>
          <w:szCs w:val="28"/>
        </w:rPr>
        <w:t>egundo, el gravamen al establecer una exclusión expresa para los inmuebles de habitación, reconoce que sí recae sobre este tipo de ac</w:t>
      </w:r>
      <w:r w:rsidRPr="00B86EDB">
        <w:rPr>
          <w:rFonts w:ascii="Times New Roman" w:hAnsi="Times New Roman" w:cs="Times New Roman"/>
          <w:sz w:val="28"/>
          <w:szCs w:val="28"/>
        </w:rPr>
        <w:t>tivos</w:t>
      </w:r>
      <w:r w:rsidRPr="00B86EDB">
        <w:rPr>
          <w:rFonts w:ascii="Times New Roman" w:hAnsi="Times New Roman" w:cs="Times New Roman"/>
          <w:sz w:val="28"/>
          <w:szCs w:val="28"/>
        </w:rPr>
        <w:t>; y, t</w:t>
      </w:r>
      <w:r w:rsidRPr="00B86EDB">
        <w:rPr>
          <w:rFonts w:ascii="Times New Roman" w:hAnsi="Times New Roman" w:cs="Times New Roman"/>
          <w:sz w:val="28"/>
          <w:szCs w:val="28"/>
        </w:rPr>
        <w:t>ercero, al ser permanente obliga a los propietarios de inmuebles a generar rentas o endeudarse para poder pagar el gravamen.</w:t>
      </w:r>
    </w:p>
    <w:p w:rsidR="005E6D2A" w:rsidRPr="00B86EDB" w:rsidRDefault="00B86EDB" w:rsidP="009F3F6A">
      <w:pPr>
        <w:pStyle w:val="Prrafodelista"/>
        <w:autoSpaceDE w:val="0"/>
        <w:autoSpaceDN w:val="0"/>
        <w:ind w:left="0" w:right="49"/>
        <w:contextualSpacing w:val="0"/>
        <w:jc w:val="both"/>
        <w:rPr>
          <w:rFonts w:ascii="Times New Roman" w:hAnsi="Times New Roman" w:cs="Times New Roman"/>
          <w:sz w:val="28"/>
          <w:szCs w:val="28"/>
        </w:rPr>
      </w:pPr>
    </w:p>
    <w:p w:rsidR="005E6D2A" w:rsidRPr="00B86EDB" w:rsidRDefault="00B86EDB" w:rsidP="009F3F6A">
      <w:pPr>
        <w:pStyle w:val="Prrafodelista"/>
        <w:numPr>
          <w:ilvl w:val="0"/>
          <w:numId w:val="4"/>
        </w:numPr>
        <w:autoSpaceDE w:val="0"/>
        <w:autoSpaceDN w:val="0"/>
        <w:ind w:left="0" w:right="49"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 xml:space="preserve">El accionante consideró que </w:t>
      </w:r>
      <w:r w:rsidRPr="00B86EDB">
        <w:rPr>
          <w:rFonts w:ascii="Times New Roman" w:hAnsi="Times New Roman" w:cs="Times New Roman"/>
          <w:sz w:val="28"/>
          <w:szCs w:val="28"/>
        </w:rPr>
        <w:t>el impuesto permanente desconoce</w:t>
      </w:r>
      <w:r w:rsidRPr="00B86EDB">
        <w:rPr>
          <w:rFonts w:ascii="Times New Roman" w:hAnsi="Times New Roman" w:cs="Times New Roman"/>
          <w:sz w:val="28"/>
          <w:szCs w:val="28"/>
        </w:rPr>
        <w:t xml:space="preserve"> la reserva</w:t>
      </w:r>
      <w:r w:rsidRPr="00B86EDB">
        <w:rPr>
          <w:rFonts w:ascii="Times New Roman" w:hAnsi="Times New Roman" w:cs="Times New Roman"/>
          <w:sz w:val="28"/>
          <w:szCs w:val="28"/>
        </w:rPr>
        <w:t xml:space="preserve"> competencial</w:t>
      </w:r>
      <w:r w:rsidRPr="00B86EDB">
        <w:rPr>
          <w:rFonts w:ascii="Times New Roman" w:hAnsi="Times New Roman" w:cs="Times New Roman"/>
          <w:sz w:val="28"/>
          <w:szCs w:val="28"/>
        </w:rPr>
        <w:t xml:space="preserve"> del artículo 317 de la Constitució</w:t>
      </w:r>
      <w:r w:rsidRPr="00B86EDB">
        <w:rPr>
          <w:rFonts w:ascii="Times New Roman" w:hAnsi="Times New Roman" w:cs="Times New Roman"/>
          <w:sz w:val="28"/>
          <w:szCs w:val="28"/>
        </w:rPr>
        <w:t>n Política</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la cual</w:t>
      </w:r>
      <w:r w:rsidRPr="00B86EDB">
        <w:rPr>
          <w:rFonts w:ascii="Times New Roman" w:hAnsi="Times New Roman" w:cs="Times New Roman"/>
          <w:sz w:val="28"/>
          <w:szCs w:val="28"/>
        </w:rPr>
        <w:t xml:space="preserve"> no es exclusiva del impuesto predial</w:t>
      </w:r>
      <w:r w:rsidRPr="00B86EDB">
        <w:rPr>
          <w:rFonts w:ascii="Times New Roman" w:hAnsi="Times New Roman" w:cs="Times New Roman"/>
          <w:sz w:val="28"/>
          <w:szCs w:val="28"/>
        </w:rPr>
        <w:t>. Ello, toda vez que</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aquella</w:t>
      </w:r>
      <w:r w:rsidRPr="00B86EDB">
        <w:rPr>
          <w:rFonts w:ascii="Times New Roman" w:hAnsi="Times New Roman" w:cs="Times New Roman"/>
          <w:sz w:val="28"/>
          <w:szCs w:val="28"/>
        </w:rPr>
        <w:t xml:space="preserve"> se puede predicar de otros tributos</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como el impuesto al patrimonio</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de conformidad con la Sentencia C-517 de 2007. </w:t>
      </w:r>
      <w:r w:rsidRPr="00B86EDB">
        <w:rPr>
          <w:rFonts w:ascii="Times New Roman" w:hAnsi="Times New Roman" w:cs="Times New Roman"/>
          <w:sz w:val="28"/>
          <w:szCs w:val="28"/>
        </w:rPr>
        <w:t>Adicionalmente</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el actor adujo que la forma en que está</w:t>
      </w:r>
      <w:r w:rsidRPr="00B86EDB">
        <w:rPr>
          <w:rFonts w:ascii="Times New Roman" w:hAnsi="Times New Roman" w:cs="Times New Roman"/>
          <w:sz w:val="28"/>
          <w:szCs w:val="28"/>
        </w:rPr>
        <w:t xml:space="preserve"> previsto el impuesto al patrimonio en las normas demandas no respeta </w:t>
      </w:r>
      <w:r w:rsidRPr="00B86EDB">
        <w:rPr>
          <w:rFonts w:ascii="Times New Roman" w:hAnsi="Times New Roman" w:cs="Times New Roman"/>
          <w:sz w:val="28"/>
          <w:szCs w:val="28"/>
        </w:rPr>
        <w:t xml:space="preserve">la finalidad de este artículo </w:t>
      </w:r>
      <w:r w:rsidRPr="00B86EDB">
        <w:rPr>
          <w:rFonts w:ascii="Times New Roman" w:hAnsi="Times New Roman" w:cs="Times New Roman"/>
          <w:sz w:val="28"/>
          <w:szCs w:val="28"/>
        </w:rPr>
        <w:t xml:space="preserve">que no es otra sino </w:t>
      </w:r>
      <w:r w:rsidRPr="00B86EDB">
        <w:rPr>
          <w:rFonts w:ascii="Times New Roman" w:hAnsi="Times New Roman" w:cs="Times New Roman"/>
          <w:sz w:val="28"/>
          <w:szCs w:val="28"/>
        </w:rPr>
        <w:t>proteger la autonomía fiscal de los municipios. Particularmente porque el gravamen “efectivamente recae sobre la propiedad inmueble, cua</w:t>
      </w:r>
      <w:r w:rsidRPr="00B86EDB">
        <w:rPr>
          <w:rFonts w:ascii="Times New Roman" w:hAnsi="Times New Roman" w:cs="Times New Roman"/>
          <w:sz w:val="28"/>
          <w:szCs w:val="28"/>
        </w:rPr>
        <w:t>ndo dentro del patrimonio líquido objeto de gravamen está incluida la propiedad inmueble”</w:t>
      </w:r>
      <w:r w:rsidRPr="00B86EDB">
        <w:rPr>
          <w:rStyle w:val="Refdenotaalpie"/>
          <w:rFonts w:ascii="Times New Roman" w:hAnsi="Times New Roman" w:cs="Times New Roman"/>
          <w:sz w:val="28"/>
          <w:szCs w:val="28"/>
        </w:rPr>
        <w:footnoteReference w:id="7"/>
      </w:r>
      <w:r w:rsidRPr="00B86EDB">
        <w:rPr>
          <w:rFonts w:ascii="Times New Roman" w:hAnsi="Times New Roman" w:cs="Times New Roman"/>
          <w:sz w:val="28"/>
          <w:szCs w:val="28"/>
        </w:rPr>
        <w:t xml:space="preserve"> y puede generar un posible impacto en los mercados inmobiliarios, en la medida que se pueden disminuir los precios de la propiedad inmueble al obligar a los sujetos sin liquidez a vender este tipo de activos.</w:t>
      </w:r>
    </w:p>
    <w:p w:rsidR="005E6D2A" w:rsidRPr="00B86EDB" w:rsidRDefault="00B86EDB" w:rsidP="009F3F6A">
      <w:pPr>
        <w:pStyle w:val="Prrafodelista"/>
        <w:autoSpaceDE w:val="0"/>
        <w:autoSpaceDN w:val="0"/>
        <w:ind w:left="0" w:right="49"/>
        <w:contextualSpacing w:val="0"/>
        <w:jc w:val="both"/>
        <w:rPr>
          <w:rFonts w:ascii="Times New Roman" w:hAnsi="Times New Roman" w:cs="Times New Roman"/>
          <w:sz w:val="28"/>
          <w:szCs w:val="28"/>
        </w:rPr>
      </w:pPr>
    </w:p>
    <w:p w:rsidR="009B1456" w:rsidRPr="00B86EDB" w:rsidRDefault="00B86EDB" w:rsidP="009F3F6A">
      <w:pPr>
        <w:pStyle w:val="Prrafodelista"/>
        <w:numPr>
          <w:ilvl w:val="0"/>
          <w:numId w:val="4"/>
        </w:numPr>
        <w:autoSpaceDE w:val="0"/>
        <w:autoSpaceDN w:val="0"/>
        <w:ind w:left="0" w:right="49"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 xml:space="preserve"> Finalmente</w:t>
      </w:r>
      <w:r w:rsidRPr="00B86EDB">
        <w:rPr>
          <w:rFonts w:ascii="Times New Roman" w:hAnsi="Times New Roman" w:cs="Times New Roman"/>
          <w:sz w:val="28"/>
          <w:szCs w:val="28"/>
        </w:rPr>
        <w:t>, y en caso de que la Corte no acceda a declarar la inexequibilidad integral solicitada, pido</w:t>
      </w:r>
      <w:r w:rsidRPr="00B86EDB">
        <w:rPr>
          <w:rFonts w:ascii="Times New Roman" w:hAnsi="Times New Roman" w:cs="Times New Roman"/>
          <w:sz w:val="28"/>
          <w:szCs w:val="28"/>
        </w:rPr>
        <w:t xml:space="preserve"> subsidiariamente</w:t>
      </w:r>
      <w:r w:rsidRPr="00B86EDB">
        <w:rPr>
          <w:rFonts w:ascii="Times New Roman" w:hAnsi="Times New Roman" w:cs="Times New Roman"/>
          <w:sz w:val="28"/>
          <w:szCs w:val="28"/>
        </w:rPr>
        <w:t xml:space="preserve"> que se profiera una orden que excluya la propiedad inmueble de la base gravable. La solicitud subsidiaria consiste en </w:t>
      </w:r>
    </w:p>
    <w:p w:rsidR="009B1456" w:rsidRPr="00B86EDB" w:rsidRDefault="00B86EDB" w:rsidP="009F3F6A">
      <w:pPr>
        <w:pStyle w:val="Prrafodelista"/>
        <w:contextualSpacing w:val="0"/>
        <w:rPr>
          <w:rFonts w:ascii="Times New Roman" w:hAnsi="Times New Roman" w:cs="Times New Roman"/>
          <w:sz w:val="28"/>
          <w:szCs w:val="28"/>
        </w:rPr>
      </w:pPr>
    </w:p>
    <w:p w:rsidR="005E6D2A" w:rsidRPr="00B86EDB" w:rsidRDefault="00B86EDB" w:rsidP="009F3F6A">
      <w:pPr>
        <w:pStyle w:val="Prrafodelista"/>
        <w:autoSpaceDE w:val="0"/>
        <w:autoSpaceDN w:val="0"/>
        <w:ind w:left="284" w:right="284"/>
        <w:contextualSpacing w:val="0"/>
        <w:jc w:val="both"/>
        <w:rPr>
          <w:rFonts w:ascii="Times New Roman" w:hAnsi="Times New Roman" w:cs="Times New Roman"/>
          <w:sz w:val="28"/>
        </w:rPr>
      </w:pPr>
      <w:r w:rsidRPr="00B86EDB">
        <w:rPr>
          <w:rFonts w:ascii="Times New Roman" w:hAnsi="Times New Roman" w:cs="Times New Roman"/>
          <w:sz w:val="28"/>
        </w:rPr>
        <w:t>“la declaratoria de la ex</w:t>
      </w:r>
      <w:r w:rsidRPr="00B86EDB">
        <w:rPr>
          <w:rFonts w:ascii="Times New Roman" w:hAnsi="Times New Roman" w:cs="Times New Roman"/>
          <w:sz w:val="28"/>
        </w:rPr>
        <w:t>equibilidad condicionada de los artículos 36 y 37, en el sentido de que (a) el hecho generador previsto en el artículo 36 es la posesión de patrimonio al 1 de enero de cada año cuyo valor sea igual o superior a setenta y dos mil (72.000) UVT, excluyendo lo</w:t>
      </w:r>
      <w:r w:rsidRPr="00B86EDB">
        <w:rPr>
          <w:rFonts w:ascii="Times New Roman" w:hAnsi="Times New Roman" w:cs="Times New Roman"/>
          <w:sz w:val="28"/>
        </w:rPr>
        <w:t>s bienes inmuebles y (b) la base gravable prevista en el artículo 37 es el valor del patrimonio bruto del sujeto pasivo poseído a 1 de enero de cada año, sin incluir la propiedad de bienes inmuebles, y menos las deudas a cargo del mismo vigentes a la fecha</w:t>
      </w:r>
      <w:r w:rsidRPr="00B86EDB">
        <w:rPr>
          <w:rFonts w:ascii="Times New Roman" w:hAnsi="Times New Roman" w:cs="Times New Roman"/>
          <w:sz w:val="28"/>
        </w:rPr>
        <w:t>; y (ii) la declaratoria de inexequibilidad del inciso segundo y el parágrafo primero del artículo 37, ya que este se dirige exclusivamente a regular la depuración de la base gravable en atención a que esta incluye los inmuebles de habitación</w:t>
      </w:r>
      <w:r w:rsidRPr="00B86EDB">
        <w:rPr>
          <w:rFonts w:ascii="Times New Roman" w:hAnsi="Times New Roman" w:cs="Times New Roman"/>
          <w:sz w:val="28"/>
        </w:rPr>
        <w:t>.”</w:t>
      </w:r>
      <w:r w:rsidRPr="00B86EDB">
        <w:rPr>
          <w:rStyle w:val="Refdenotaalpie"/>
          <w:rFonts w:ascii="Times New Roman" w:hAnsi="Times New Roman" w:cs="Times New Roman"/>
          <w:sz w:val="28"/>
        </w:rPr>
        <w:footnoteReference w:id="8"/>
      </w:r>
    </w:p>
    <w:bookmarkEnd w:id="4"/>
    <w:bookmarkEnd w:id="6"/>
    <w:p w:rsidR="005E6D2A" w:rsidRPr="00B86EDB" w:rsidRDefault="00B86EDB" w:rsidP="009F3F6A">
      <w:pPr>
        <w:pStyle w:val="Prrafodelista"/>
        <w:autoSpaceDE w:val="0"/>
        <w:autoSpaceDN w:val="0"/>
        <w:ind w:left="0" w:right="49"/>
        <w:contextualSpacing w:val="0"/>
        <w:jc w:val="both"/>
        <w:rPr>
          <w:rStyle w:val="FontStyle19"/>
          <w:b/>
          <w:bCs/>
          <w:sz w:val="28"/>
          <w:szCs w:val="28"/>
        </w:rPr>
      </w:pPr>
    </w:p>
    <w:p w:rsidR="005E6D2A" w:rsidRPr="00B86EDB" w:rsidRDefault="00B86EDB" w:rsidP="009F3F6A">
      <w:pPr>
        <w:pStyle w:val="Prrafodelista"/>
        <w:autoSpaceDE w:val="0"/>
        <w:autoSpaceDN w:val="0"/>
        <w:ind w:left="0" w:right="49"/>
        <w:contextualSpacing w:val="0"/>
        <w:jc w:val="both"/>
        <w:rPr>
          <w:rStyle w:val="FontStyle19"/>
          <w:b/>
          <w:bCs/>
          <w:sz w:val="28"/>
          <w:szCs w:val="28"/>
        </w:rPr>
      </w:pPr>
    </w:p>
    <w:p w:rsidR="005E6D2A" w:rsidRPr="00B86EDB" w:rsidRDefault="00B86EDB" w:rsidP="009F3F6A">
      <w:pPr>
        <w:pStyle w:val="Prrafodelista"/>
        <w:numPr>
          <w:ilvl w:val="0"/>
          <w:numId w:val="9"/>
        </w:numPr>
        <w:autoSpaceDE w:val="0"/>
        <w:autoSpaceDN w:val="0"/>
        <w:ind w:right="49"/>
        <w:contextualSpacing w:val="0"/>
        <w:jc w:val="both"/>
        <w:rPr>
          <w:rStyle w:val="FontStyle19"/>
          <w:i/>
          <w:iCs/>
          <w:sz w:val="28"/>
          <w:szCs w:val="28"/>
        </w:rPr>
      </w:pPr>
      <w:bookmarkStart w:id="7" w:name="_Hlk190376931"/>
      <w:r w:rsidRPr="00B86EDB">
        <w:rPr>
          <w:rStyle w:val="FontStyle19"/>
          <w:b/>
          <w:bCs/>
          <w:sz w:val="28"/>
          <w:szCs w:val="28"/>
        </w:rPr>
        <w:t>Expedien</w:t>
      </w:r>
      <w:r w:rsidRPr="00B86EDB">
        <w:rPr>
          <w:rStyle w:val="FontStyle19"/>
          <w:b/>
          <w:bCs/>
          <w:sz w:val="28"/>
          <w:szCs w:val="28"/>
        </w:rPr>
        <w:t xml:space="preserve">te D-15.275 </w:t>
      </w:r>
    </w:p>
    <w:p w:rsidR="005E6D2A" w:rsidRPr="00B86EDB" w:rsidRDefault="00B86EDB" w:rsidP="009F3F6A">
      <w:pPr>
        <w:pStyle w:val="Prrafodelista"/>
        <w:contextualSpacing w:val="0"/>
        <w:rPr>
          <w:rFonts w:ascii="Times New Roman" w:eastAsiaTheme="minorHAnsi" w:hAnsi="Times New Roman" w:cs="Times New Roman"/>
          <w:sz w:val="28"/>
        </w:rPr>
      </w:pPr>
    </w:p>
    <w:p w:rsidR="005E6D2A" w:rsidRPr="00B86EDB" w:rsidRDefault="00B86EDB" w:rsidP="009F3F6A">
      <w:pPr>
        <w:pStyle w:val="Prrafodelista"/>
        <w:numPr>
          <w:ilvl w:val="0"/>
          <w:numId w:val="4"/>
        </w:numPr>
        <w:autoSpaceDE w:val="0"/>
        <w:autoSpaceDN w:val="0"/>
        <w:ind w:left="0" w:right="49" w:firstLine="0"/>
        <w:contextualSpacing w:val="0"/>
        <w:jc w:val="both"/>
        <w:rPr>
          <w:rFonts w:ascii="Times New Roman" w:eastAsiaTheme="minorHAnsi" w:hAnsi="Times New Roman" w:cs="Times New Roman"/>
          <w:sz w:val="28"/>
          <w:szCs w:val="28"/>
          <w:lang w:eastAsia="en-US"/>
        </w:rPr>
      </w:pPr>
      <w:r w:rsidRPr="00B86EDB">
        <w:rPr>
          <w:rFonts w:ascii="Times New Roman" w:eastAsiaTheme="minorHAnsi" w:hAnsi="Times New Roman" w:cs="Times New Roman"/>
          <w:sz w:val="28"/>
          <w:szCs w:val="28"/>
        </w:rPr>
        <w:t xml:space="preserve">El accionante recalcó que la demanda se dirige contra el impuesto al patrimonio de la Ley 2277 de 2023 que tiene una </w:t>
      </w:r>
      <w:r w:rsidRPr="00B86EDB">
        <w:rPr>
          <w:rFonts w:ascii="Times New Roman" w:eastAsiaTheme="minorHAnsi" w:hAnsi="Times New Roman" w:cs="Times New Roman"/>
          <w:i/>
          <w:iCs/>
          <w:sz w:val="28"/>
          <w:szCs w:val="28"/>
        </w:rPr>
        <w:t>condición diferencial</w:t>
      </w:r>
      <w:r w:rsidRPr="00B86EDB">
        <w:rPr>
          <w:rFonts w:ascii="Times New Roman" w:eastAsiaTheme="minorHAnsi" w:hAnsi="Times New Roman" w:cs="Times New Roman"/>
          <w:sz w:val="28"/>
          <w:szCs w:val="28"/>
        </w:rPr>
        <w:t>:</w:t>
      </w:r>
      <w:r w:rsidRPr="00B86EDB">
        <w:rPr>
          <w:rFonts w:ascii="Times New Roman" w:eastAsiaTheme="minorHAnsi" w:hAnsi="Times New Roman" w:cs="Times New Roman"/>
          <w:i/>
          <w:iCs/>
          <w:sz w:val="28"/>
          <w:szCs w:val="28"/>
        </w:rPr>
        <w:t xml:space="preserve"> </w:t>
      </w:r>
      <w:r w:rsidRPr="00B86EDB">
        <w:rPr>
          <w:rFonts w:ascii="Times New Roman" w:eastAsiaTheme="minorHAnsi" w:hAnsi="Times New Roman" w:cs="Times New Roman"/>
          <w:sz w:val="28"/>
          <w:szCs w:val="28"/>
        </w:rPr>
        <w:t>es permanente. Luego de hacer un recuento de la jurisprudencia constitucional sobre el tema, señal</w:t>
      </w:r>
      <w:r w:rsidRPr="00B86EDB">
        <w:rPr>
          <w:rFonts w:ascii="Times New Roman" w:eastAsiaTheme="minorHAnsi" w:hAnsi="Times New Roman" w:cs="Times New Roman"/>
          <w:sz w:val="28"/>
          <w:szCs w:val="28"/>
        </w:rPr>
        <w:t>ó</w:t>
      </w:r>
      <w:r w:rsidRPr="00B86EDB">
        <w:rPr>
          <w:rFonts w:ascii="Times New Roman" w:eastAsiaTheme="minorHAnsi" w:hAnsi="Times New Roman" w:cs="Times New Roman"/>
          <w:sz w:val="28"/>
          <w:szCs w:val="28"/>
        </w:rPr>
        <w:t xml:space="preserve"> qu</w:t>
      </w:r>
      <w:r w:rsidRPr="00B86EDB">
        <w:rPr>
          <w:rFonts w:ascii="Times New Roman" w:eastAsiaTheme="minorHAnsi" w:hAnsi="Times New Roman" w:cs="Times New Roman"/>
          <w:sz w:val="28"/>
          <w:szCs w:val="28"/>
        </w:rPr>
        <w:t xml:space="preserve">e la Sala Plena no se ha pronunciado sobre los efectos confiscatorios y la doble tributación generados por este gravamen no temporal. En consecuencia, no se presenta el fenómeno de la cosa juzgada. </w:t>
      </w:r>
    </w:p>
    <w:p w:rsidR="005E6D2A" w:rsidRPr="00B86EDB" w:rsidRDefault="00B86EDB" w:rsidP="009F3F6A">
      <w:pPr>
        <w:pStyle w:val="Prrafodelista"/>
        <w:autoSpaceDE w:val="0"/>
        <w:autoSpaceDN w:val="0"/>
        <w:adjustRightInd w:val="0"/>
        <w:ind w:left="0"/>
        <w:contextualSpacing w:val="0"/>
        <w:jc w:val="both"/>
        <w:rPr>
          <w:rFonts w:ascii="Times New Roman" w:eastAsiaTheme="minorHAnsi" w:hAnsi="Times New Roman" w:cs="Times New Roman"/>
          <w:b/>
          <w:bCs/>
          <w:i/>
          <w:iCs/>
          <w:sz w:val="28"/>
          <w:szCs w:val="28"/>
          <w:lang w:eastAsia="en-US"/>
        </w:rPr>
      </w:pPr>
      <w:r w:rsidRPr="00B86EDB">
        <w:rPr>
          <w:rFonts w:ascii="Times New Roman" w:eastAsiaTheme="minorHAnsi" w:hAnsi="Times New Roman" w:cs="Times New Roman"/>
          <w:sz w:val="28"/>
          <w:szCs w:val="28"/>
          <w:lang w:eastAsia="en-US"/>
        </w:rPr>
        <w:t xml:space="preserve"> </w:t>
      </w:r>
    </w:p>
    <w:p w:rsidR="00F20A2E" w:rsidRPr="00B86EDB" w:rsidRDefault="00B86EDB" w:rsidP="009F3F6A">
      <w:pPr>
        <w:pStyle w:val="Prrafodelista"/>
        <w:autoSpaceDE w:val="0"/>
        <w:autoSpaceDN w:val="0"/>
        <w:adjustRightInd w:val="0"/>
        <w:ind w:left="0"/>
        <w:contextualSpacing w:val="0"/>
        <w:jc w:val="both"/>
        <w:rPr>
          <w:rFonts w:ascii="Times New Roman" w:eastAsiaTheme="minorHAnsi" w:hAnsi="Times New Roman" w:cs="Times New Roman"/>
          <w:b/>
          <w:bCs/>
          <w:i/>
          <w:iCs/>
          <w:sz w:val="28"/>
          <w:szCs w:val="28"/>
          <w:lang w:eastAsia="en-US"/>
        </w:rPr>
      </w:pPr>
    </w:p>
    <w:p w:rsidR="005E6D2A" w:rsidRPr="00B86EDB" w:rsidRDefault="00B86EDB" w:rsidP="009F3F6A">
      <w:pPr>
        <w:pStyle w:val="Prrafodelista"/>
        <w:autoSpaceDE w:val="0"/>
        <w:autoSpaceDN w:val="0"/>
        <w:adjustRightInd w:val="0"/>
        <w:ind w:left="0"/>
        <w:contextualSpacing w:val="0"/>
        <w:jc w:val="both"/>
        <w:rPr>
          <w:rFonts w:ascii="Times New Roman" w:hAnsi="Times New Roman" w:cs="Times New Roman"/>
          <w:b/>
          <w:bCs/>
          <w:i/>
          <w:iCs/>
          <w:sz w:val="28"/>
          <w:szCs w:val="28"/>
        </w:rPr>
      </w:pPr>
      <w:bookmarkStart w:id="8" w:name="_Hlk190384300"/>
      <w:r w:rsidRPr="00B86EDB">
        <w:rPr>
          <w:rFonts w:ascii="Times New Roman" w:eastAsiaTheme="minorHAnsi" w:hAnsi="Times New Roman" w:cs="Times New Roman"/>
          <w:b/>
          <w:bCs/>
          <w:i/>
          <w:iCs/>
          <w:sz w:val="28"/>
          <w:szCs w:val="28"/>
          <w:lang w:eastAsia="en-US"/>
        </w:rPr>
        <w:t>Primer cargo</w:t>
      </w:r>
      <w:r w:rsidRPr="00B86EDB">
        <w:rPr>
          <w:rFonts w:ascii="Times New Roman" w:eastAsiaTheme="minorHAnsi" w:hAnsi="Times New Roman" w:cs="Times New Roman"/>
          <w:b/>
          <w:bCs/>
          <w:i/>
          <w:iCs/>
          <w:sz w:val="28"/>
          <w:szCs w:val="28"/>
          <w:lang w:eastAsia="en-US"/>
        </w:rPr>
        <w:t>.</w:t>
      </w:r>
      <w:r w:rsidRPr="00B86EDB">
        <w:rPr>
          <w:rFonts w:ascii="Times New Roman" w:eastAsiaTheme="minorHAnsi" w:hAnsi="Times New Roman" w:cs="Times New Roman"/>
          <w:b/>
          <w:bCs/>
          <w:i/>
          <w:iCs/>
          <w:sz w:val="28"/>
          <w:szCs w:val="28"/>
          <w:lang w:eastAsia="en-US"/>
        </w:rPr>
        <w:t xml:space="preserve"> </w:t>
      </w:r>
      <w:r w:rsidRPr="00B86EDB">
        <w:rPr>
          <w:rFonts w:ascii="Times New Roman" w:hAnsi="Times New Roman" w:cs="Times New Roman"/>
          <w:b/>
          <w:bCs/>
          <w:i/>
          <w:iCs/>
          <w:sz w:val="28"/>
          <w:szCs w:val="28"/>
        </w:rPr>
        <w:t>Vulneración de los principios de equidad</w:t>
      </w:r>
      <w:r w:rsidRPr="00B86EDB">
        <w:rPr>
          <w:rFonts w:ascii="Times New Roman" w:hAnsi="Times New Roman" w:cs="Times New Roman"/>
          <w:b/>
          <w:bCs/>
          <w:i/>
          <w:iCs/>
          <w:sz w:val="28"/>
          <w:szCs w:val="28"/>
        </w:rPr>
        <w:t xml:space="preserve"> y justicia tributaria y del derecho a la propiedad de los artículos</w:t>
      </w:r>
      <w:r w:rsidRPr="00B86EDB">
        <w:rPr>
          <w:rFonts w:ascii="Times New Roman" w:hAnsi="Times New Roman" w:cs="Times New Roman"/>
          <w:b/>
          <w:bCs/>
          <w:i/>
          <w:iCs/>
          <w:sz w:val="28"/>
          <w:szCs w:val="28"/>
        </w:rPr>
        <w:t xml:space="preserve"> 58,</w:t>
      </w:r>
      <w:r w:rsidRPr="00B86EDB">
        <w:rPr>
          <w:rFonts w:ascii="Times New Roman" w:hAnsi="Times New Roman" w:cs="Times New Roman"/>
          <w:b/>
          <w:bCs/>
          <w:i/>
          <w:iCs/>
          <w:sz w:val="28"/>
          <w:szCs w:val="28"/>
        </w:rPr>
        <w:t xml:space="preserve"> 95-9</w:t>
      </w:r>
      <w:r w:rsidRPr="00B86EDB">
        <w:rPr>
          <w:rFonts w:ascii="Times New Roman" w:hAnsi="Times New Roman" w:cs="Times New Roman"/>
          <w:b/>
          <w:bCs/>
          <w:i/>
          <w:iCs/>
          <w:sz w:val="28"/>
          <w:szCs w:val="28"/>
        </w:rPr>
        <w:t xml:space="preserve"> y</w:t>
      </w:r>
      <w:r w:rsidRPr="00B86EDB">
        <w:rPr>
          <w:rFonts w:ascii="Times New Roman" w:hAnsi="Times New Roman" w:cs="Times New Roman"/>
          <w:b/>
          <w:bCs/>
          <w:i/>
          <w:iCs/>
          <w:sz w:val="28"/>
          <w:szCs w:val="28"/>
        </w:rPr>
        <w:t xml:space="preserve"> 363 de la Constitución Política porque el impuesto al patrimonio tiene efecto confiscatorio</w:t>
      </w:r>
    </w:p>
    <w:p w:rsidR="005E6D2A" w:rsidRPr="00B86EDB" w:rsidRDefault="00B86EDB" w:rsidP="009F3F6A">
      <w:pPr>
        <w:pStyle w:val="Prrafodelista"/>
        <w:autoSpaceDE w:val="0"/>
        <w:autoSpaceDN w:val="0"/>
        <w:adjustRightInd w:val="0"/>
        <w:ind w:left="0"/>
        <w:contextualSpacing w:val="0"/>
        <w:jc w:val="both"/>
        <w:rPr>
          <w:rFonts w:ascii="Times New Roman" w:eastAsiaTheme="minorHAnsi" w:hAnsi="Times New Roman" w:cs="Times New Roman"/>
          <w:i/>
          <w:iCs/>
          <w:sz w:val="28"/>
          <w:szCs w:val="28"/>
          <w:lang w:eastAsia="en-US"/>
        </w:rPr>
      </w:pPr>
    </w:p>
    <w:p w:rsidR="005E6D2A" w:rsidRPr="00B86EDB" w:rsidRDefault="00B86EDB" w:rsidP="009F3F6A">
      <w:pPr>
        <w:pStyle w:val="Prrafodelista"/>
        <w:numPr>
          <w:ilvl w:val="0"/>
          <w:numId w:val="4"/>
        </w:numPr>
        <w:autoSpaceDE w:val="0"/>
        <w:autoSpaceDN w:val="0"/>
        <w:adjustRightInd w:val="0"/>
        <w:ind w:left="0" w:firstLine="0"/>
        <w:contextualSpacing w:val="0"/>
        <w:jc w:val="both"/>
        <w:rPr>
          <w:rFonts w:ascii="Times New Roman" w:eastAsiaTheme="minorHAnsi" w:hAnsi="Times New Roman" w:cs="Times New Roman"/>
          <w:i/>
          <w:iCs/>
          <w:sz w:val="28"/>
          <w:szCs w:val="28"/>
          <w:lang w:eastAsia="en-US"/>
        </w:rPr>
      </w:pPr>
      <w:r w:rsidRPr="00B86EDB">
        <w:rPr>
          <w:rFonts w:ascii="Times New Roman" w:eastAsiaTheme="minorHAnsi" w:hAnsi="Times New Roman" w:cs="Times New Roman"/>
          <w:sz w:val="28"/>
          <w:szCs w:val="28"/>
          <w:lang w:eastAsia="en-US"/>
        </w:rPr>
        <w:t xml:space="preserve">El actor considera que el impuesto al patrimonio regulado en las normas demandadas </w:t>
      </w:r>
      <w:r w:rsidRPr="00B86EDB">
        <w:rPr>
          <w:rFonts w:ascii="Times New Roman" w:eastAsiaTheme="minorHAnsi" w:hAnsi="Times New Roman" w:cs="Times New Roman"/>
          <w:sz w:val="28"/>
          <w:szCs w:val="28"/>
          <w:lang w:eastAsia="en-US"/>
        </w:rPr>
        <w:t>es confiscatorio y</w:t>
      </w:r>
      <w:r w:rsidRPr="00B86EDB">
        <w:rPr>
          <w:rFonts w:ascii="Times New Roman" w:eastAsiaTheme="minorHAnsi" w:hAnsi="Times New Roman" w:cs="Times New Roman"/>
          <w:sz w:val="28"/>
          <w:szCs w:val="28"/>
          <w:lang w:eastAsia="en-US"/>
        </w:rPr>
        <w:t>,</w:t>
      </w:r>
      <w:r w:rsidRPr="00B86EDB">
        <w:rPr>
          <w:rFonts w:ascii="Times New Roman" w:eastAsiaTheme="minorHAnsi" w:hAnsi="Times New Roman" w:cs="Times New Roman"/>
          <w:sz w:val="28"/>
          <w:szCs w:val="28"/>
          <w:lang w:eastAsia="en-US"/>
        </w:rPr>
        <w:t xml:space="preserve"> en consecuencia</w:t>
      </w:r>
      <w:r w:rsidRPr="00B86EDB">
        <w:rPr>
          <w:rFonts w:ascii="Times New Roman" w:eastAsiaTheme="minorHAnsi" w:hAnsi="Times New Roman" w:cs="Times New Roman"/>
          <w:sz w:val="28"/>
          <w:szCs w:val="28"/>
          <w:lang w:eastAsia="en-US"/>
        </w:rPr>
        <w:t>,</w:t>
      </w:r>
      <w:r w:rsidRPr="00B86EDB">
        <w:rPr>
          <w:rFonts w:ascii="Times New Roman" w:eastAsiaTheme="minorHAnsi" w:hAnsi="Times New Roman" w:cs="Times New Roman"/>
          <w:sz w:val="28"/>
          <w:szCs w:val="28"/>
          <w:lang w:eastAsia="en-US"/>
        </w:rPr>
        <w:t xml:space="preserve"> es contrario a los principios de equidad y justicia tributaria. Lo anterior, en la medida que impone una </w:t>
      </w:r>
      <w:r w:rsidRPr="00B86EDB">
        <w:rPr>
          <w:rFonts w:ascii="Times New Roman" w:eastAsiaTheme="minorHAnsi" w:hAnsi="Times New Roman" w:cs="Times New Roman"/>
          <w:i/>
          <w:iCs/>
          <w:sz w:val="28"/>
          <w:szCs w:val="28"/>
          <w:lang w:eastAsia="en-US"/>
        </w:rPr>
        <w:t xml:space="preserve">carga excesiva </w:t>
      </w:r>
      <w:r w:rsidRPr="00B86EDB">
        <w:rPr>
          <w:rFonts w:ascii="Times New Roman" w:eastAsiaTheme="minorHAnsi" w:hAnsi="Times New Roman" w:cs="Times New Roman"/>
          <w:sz w:val="28"/>
          <w:szCs w:val="28"/>
          <w:lang w:eastAsia="en-US"/>
        </w:rPr>
        <w:t>a los contribuyentes que</w:t>
      </w:r>
      <w:r w:rsidRPr="00B86EDB">
        <w:rPr>
          <w:rFonts w:ascii="Times New Roman" w:eastAsiaTheme="minorHAnsi" w:hAnsi="Times New Roman" w:cs="Times New Roman"/>
          <w:sz w:val="28"/>
          <w:szCs w:val="28"/>
          <w:lang w:eastAsia="en-US"/>
        </w:rPr>
        <w:t>,</w:t>
      </w:r>
      <w:r w:rsidRPr="00B86EDB">
        <w:rPr>
          <w:rFonts w:ascii="Times New Roman" w:eastAsiaTheme="minorHAnsi" w:hAnsi="Times New Roman" w:cs="Times New Roman"/>
          <w:sz w:val="28"/>
          <w:szCs w:val="28"/>
          <w:lang w:eastAsia="en-US"/>
        </w:rPr>
        <w:t xml:space="preserve"> en el largo plazo</w:t>
      </w:r>
      <w:r w:rsidRPr="00B86EDB">
        <w:rPr>
          <w:rFonts w:ascii="Times New Roman" w:eastAsiaTheme="minorHAnsi" w:hAnsi="Times New Roman" w:cs="Times New Roman"/>
          <w:sz w:val="28"/>
          <w:szCs w:val="28"/>
          <w:lang w:eastAsia="en-US"/>
        </w:rPr>
        <w:t>,</w:t>
      </w:r>
      <w:r w:rsidRPr="00B86EDB">
        <w:rPr>
          <w:rFonts w:ascii="Times New Roman" w:eastAsiaTheme="minorHAnsi" w:hAnsi="Times New Roman" w:cs="Times New Roman"/>
          <w:sz w:val="28"/>
          <w:szCs w:val="28"/>
          <w:lang w:eastAsia="en-US"/>
        </w:rPr>
        <w:t xml:space="preserve"> se traduce en un </w:t>
      </w:r>
      <w:r w:rsidRPr="00B86EDB">
        <w:rPr>
          <w:rFonts w:ascii="Times New Roman" w:eastAsiaTheme="minorHAnsi" w:hAnsi="Times New Roman" w:cs="Times New Roman"/>
          <w:i/>
          <w:iCs/>
          <w:sz w:val="28"/>
          <w:szCs w:val="28"/>
          <w:lang w:eastAsia="en-US"/>
        </w:rPr>
        <w:t>apoderamiento de los bienes sobre los</w:t>
      </w:r>
      <w:r w:rsidRPr="00B86EDB">
        <w:rPr>
          <w:rFonts w:ascii="Times New Roman" w:eastAsiaTheme="minorHAnsi" w:hAnsi="Times New Roman" w:cs="Times New Roman"/>
          <w:i/>
          <w:iCs/>
          <w:sz w:val="28"/>
          <w:szCs w:val="28"/>
          <w:lang w:eastAsia="en-US"/>
        </w:rPr>
        <w:t xml:space="preserve"> cuales el sujeto ejerce legalmente su derecho de propiedad</w:t>
      </w:r>
      <w:r w:rsidRPr="00B86EDB">
        <w:rPr>
          <w:rFonts w:ascii="Times New Roman" w:eastAsiaTheme="minorHAnsi" w:hAnsi="Times New Roman" w:cs="Times New Roman"/>
          <w:i/>
          <w:iCs/>
          <w:sz w:val="28"/>
          <w:szCs w:val="28"/>
          <w:lang w:eastAsia="en-US"/>
        </w:rPr>
        <w:t xml:space="preserve"> </w:t>
      </w:r>
      <w:r w:rsidRPr="00B86EDB">
        <w:rPr>
          <w:rFonts w:ascii="Times New Roman" w:eastAsiaTheme="minorHAnsi" w:hAnsi="Times New Roman" w:cs="Times New Roman"/>
          <w:sz w:val="28"/>
          <w:szCs w:val="28"/>
          <w:lang w:eastAsia="en-US"/>
        </w:rPr>
        <w:t>p</w:t>
      </w:r>
      <w:r w:rsidRPr="00B86EDB">
        <w:rPr>
          <w:rFonts w:ascii="Times New Roman" w:eastAsiaTheme="minorHAnsi" w:hAnsi="Times New Roman" w:cs="Times New Roman"/>
          <w:sz w:val="28"/>
          <w:szCs w:val="28"/>
          <w:lang w:eastAsia="en-US"/>
        </w:rPr>
        <w:t>ues</w:t>
      </w:r>
      <w:r w:rsidRPr="00B86EDB">
        <w:rPr>
          <w:rFonts w:ascii="Times New Roman" w:eastAsiaTheme="minorHAnsi" w:hAnsi="Times New Roman" w:cs="Times New Roman"/>
          <w:sz w:val="28"/>
          <w:szCs w:val="28"/>
          <w:lang w:eastAsia="en-US"/>
        </w:rPr>
        <w:t>,</w:t>
      </w:r>
      <w:r w:rsidRPr="00B86EDB">
        <w:rPr>
          <w:rFonts w:ascii="Times New Roman" w:eastAsiaTheme="minorHAnsi" w:hAnsi="Times New Roman" w:cs="Times New Roman"/>
          <w:sz w:val="28"/>
          <w:szCs w:val="28"/>
          <w:lang w:eastAsia="en-US"/>
        </w:rPr>
        <w:t xml:space="preserve"> según los cálculos del accionante</w:t>
      </w:r>
      <w:r w:rsidRPr="00B86EDB">
        <w:rPr>
          <w:rFonts w:ascii="Times New Roman" w:eastAsiaTheme="minorHAnsi" w:hAnsi="Times New Roman" w:cs="Times New Roman"/>
          <w:sz w:val="28"/>
          <w:szCs w:val="28"/>
          <w:lang w:eastAsia="en-US"/>
        </w:rPr>
        <w:t>,</w:t>
      </w:r>
      <w:r w:rsidRPr="00B86EDB">
        <w:rPr>
          <w:rFonts w:ascii="Times New Roman" w:eastAsiaTheme="minorHAnsi" w:hAnsi="Times New Roman" w:cs="Times New Roman"/>
          <w:sz w:val="28"/>
          <w:szCs w:val="28"/>
          <w:lang w:eastAsia="en-US"/>
        </w:rPr>
        <w:t xml:space="preserve"> en </w:t>
      </w:r>
      <w:r w:rsidRPr="00B86EDB">
        <w:rPr>
          <w:rFonts w:ascii="Times New Roman" w:hAnsi="Times New Roman" w:cs="Times New Roman"/>
          <w:sz w:val="28"/>
          <w:szCs w:val="28"/>
        </w:rPr>
        <w:t xml:space="preserve">20 años las personas naturales contribuyentes de este gravamen habrán entregado más de la mitad de su patrimonio al Estado. </w:t>
      </w:r>
    </w:p>
    <w:p w:rsidR="005E6D2A" w:rsidRPr="00B86EDB" w:rsidRDefault="00B86EDB" w:rsidP="009F3F6A">
      <w:pPr>
        <w:pStyle w:val="Prrafodelista"/>
        <w:autoSpaceDE w:val="0"/>
        <w:autoSpaceDN w:val="0"/>
        <w:adjustRightInd w:val="0"/>
        <w:ind w:left="0"/>
        <w:contextualSpacing w:val="0"/>
        <w:jc w:val="both"/>
        <w:rPr>
          <w:rFonts w:ascii="Times New Roman" w:eastAsiaTheme="minorHAnsi" w:hAnsi="Times New Roman" w:cs="Times New Roman"/>
          <w:i/>
          <w:iCs/>
          <w:sz w:val="28"/>
          <w:szCs w:val="28"/>
          <w:lang w:eastAsia="en-US"/>
        </w:rPr>
      </w:pPr>
    </w:p>
    <w:p w:rsidR="000A315E" w:rsidRPr="00B86EDB" w:rsidRDefault="00B86EDB" w:rsidP="009F3F6A">
      <w:pPr>
        <w:pStyle w:val="Prrafodelista"/>
        <w:numPr>
          <w:ilvl w:val="0"/>
          <w:numId w:val="4"/>
        </w:numPr>
        <w:autoSpaceDE w:val="0"/>
        <w:autoSpaceDN w:val="0"/>
        <w:adjustRightInd w:val="0"/>
        <w:ind w:left="0" w:firstLine="0"/>
        <w:contextualSpacing w:val="0"/>
        <w:jc w:val="both"/>
        <w:rPr>
          <w:rFonts w:ascii="Times New Roman" w:eastAsiaTheme="minorHAnsi" w:hAnsi="Times New Roman" w:cs="Times New Roman"/>
          <w:sz w:val="28"/>
          <w:szCs w:val="28"/>
          <w:lang w:eastAsia="en-US"/>
        </w:rPr>
      </w:pPr>
      <w:r w:rsidRPr="00B86EDB">
        <w:rPr>
          <w:rFonts w:ascii="Times New Roman" w:eastAsiaTheme="minorHAnsi" w:hAnsi="Times New Roman" w:cs="Times New Roman"/>
          <w:sz w:val="28"/>
          <w:szCs w:val="28"/>
          <w:lang w:eastAsia="en-US"/>
        </w:rPr>
        <w:t xml:space="preserve">El demandante sostuvo que </w:t>
      </w:r>
      <w:r w:rsidRPr="00B86EDB">
        <w:rPr>
          <w:rFonts w:ascii="Times New Roman" w:eastAsiaTheme="minorHAnsi" w:hAnsi="Times New Roman" w:cs="Times New Roman"/>
          <w:sz w:val="28"/>
          <w:szCs w:val="28"/>
          <w:lang w:eastAsia="en-US"/>
        </w:rPr>
        <w:t>el mencionado efecto confiscatorio se presenta cuando no se consideran los siguientes factores “i) la utilidad generada por los activos que pertenecen a este o su falta de crecimiento; ii) los demás impuestos que gravan este mismo hecho generador; y iii) [</w:t>
      </w:r>
      <w:r w:rsidRPr="00B86EDB">
        <w:rPr>
          <w:rFonts w:ascii="Times New Roman" w:eastAsiaTheme="minorHAnsi" w:hAnsi="Times New Roman" w:cs="Times New Roman"/>
          <w:sz w:val="28"/>
          <w:szCs w:val="28"/>
          <w:lang w:eastAsia="en-US"/>
        </w:rPr>
        <w:t>que el impuesto] tiene un carácter permanente</w:t>
      </w:r>
      <w:r w:rsidRPr="00B86EDB">
        <w:rPr>
          <w:rFonts w:ascii="Times New Roman" w:eastAsiaTheme="minorHAnsi" w:hAnsi="Times New Roman" w:cs="Times New Roman"/>
          <w:sz w:val="28"/>
          <w:szCs w:val="28"/>
          <w:lang w:eastAsia="en-US"/>
        </w:rPr>
        <w:t>.</w:t>
      </w:r>
      <w:r w:rsidRPr="00B86EDB">
        <w:rPr>
          <w:rFonts w:ascii="Times New Roman" w:eastAsiaTheme="minorHAnsi" w:hAnsi="Times New Roman" w:cs="Times New Roman"/>
          <w:sz w:val="28"/>
          <w:szCs w:val="28"/>
          <w:lang w:eastAsia="en-US"/>
        </w:rPr>
        <w:t>”</w:t>
      </w:r>
      <w:r w:rsidRPr="00B86EDB">
        <w:rPr>
          <w:rStyle w:val="Refdenotaalpie"/>
          <w:rFonts w:ascii="Times New Roman" w:eastAsiaTheme="minorHAnsi" w:hAnsi="Times New Roman" w:cs="Times New Roman"/>
          <w:sz w:val="28"/>
          <w:szCs w:val="28"/>
          <w:lang w:eastAsia="en-US"/>
        </w:rPr>
        <w:footnoteReference w:id="9"/>
      </w:r>
      <w:r w:rsidRPr="00B86EDB">
        <w:rPr>
          <w:rFonts w:ascii="Times New Roman" w:eastAsiaTheme="minorHAnsi" w:hAnsi="Times New Roman" w:cs="Times New Roman"/>
          <w:sz w:val="28"/>
          <w:szCs w:val="28"/>
          <w:lang w:eastAsia="en-US"/>
        </w:rPr>
        <w:t xml:space="preserve"> </w:t>
      </w:r>
      <w:r w:rsidRPr="00B86EDB">
        <w:rPr>
          <w:rFonts w:ascii="Times New Roman" w:eastAsiaTheme="minorHAnsi" w:hAnsi="Times New Roman" w:cs="Times New Roman"/>
          <w:sz w:val="28"/>
          <w:szCs w:val="28"/>
          <w:lang w:eastAsia="en-US"/>
        </w:rPr>
        <w:t>Concretamente, argumentó que el legislador tenía la obligación de prever que hay bienes que no generan rentabilidad y de valorar factores macroeconómicos que muestran que es difícil que un patrimonio aumente</w:t>
      </w:r>
      <w:r w:rsidRPr="00B86EDB">
        <w:rPr>
          <w:rFonts w:ascii="Times New Roman" w:eastAsiaTheme="minorHAnsi" w:hAnsi="Times New Roman" w:cs="Times New Roman"/>
          <w:sz w:val="28"/>
          <w:szCs w:val="28"/>
          <w:lang w:eastAsia="en-US"/>
        </w:rPr>
        <w:t xml:space="preserve"> por encima de la inflación. </w:t>
      </w:r>
    </w:p>
    <w:p w:rsidR="000A315E" w:rsidRPr="00B86EDB" w:rsidRDefault="00B86EDB" w:rsidP="009F3F6A">
      <w:pPr>
        <w:pStyle w:val="Prrafodelista"/>
        <w:contextualSpacing w:val="0"/>
        <w:rPr>
          <w:rFonts w:ascii="Times New Roman" w:eastAsiaTheme="minorHAnsi" w:hAnsi="Times New Roman" w:cs="Times New Roman"/>
          <w:sz w:val="28"/>
          <w:szCs w:val="28"/>
          <w:lang w:eastAsia="en-US"/>
        </w:rPr>
      </w:pPr>
    </w:p>
    <w:p w:rsidR="005E6D2A" w:rsidRPr="00B86EDB" w:rsidRDefault="00B86EDB" w:rsidP="009F3F6A">
      <w:pPr>
        <w:pStyle w:val="Prrafodelista"/>
        <w:numPr>
          <w:ilvl w:val="0"/>
          <w:numId w:val="4"/>
        </w:numPr>
        <w:autoSpaceDE w:val="0"/>
        <w:autoSpaceDN w:val="0"/>
        <w:adjustRightInd w:val="0"/>
        <w:ind w:left="0" w:firstLine="0"/>
        <w:contextualSpacing w:val="0"/>
        <w:jc w:val="both"/>
        <w:rPr>
          <w:rFonts w:ascii="Times New Roman" w:eastAsiaTheme="minorHAnsi" w:hAnsi="Times New Roman" w:cs="Times New Roman"/>
          <w:sz w:val="28"/>
          <w:szCs w:val="28"/>
          <w:lang w:eastAsia="en-US"/>
        </w:rPr>
      </w:pPr>
      <w:r w:rsidRPr="00B86EDB">
        <w:rPr>
          <w:rFonts w:ascii="Times New Roman" w:eastAsiaTheme="minorHAnsi" w:hAnsi="Times New Roman" w:cs="Times New Roman"/>
          <w:sz w:val="28"/>
          <w:szCs w:val="28"/>
          <w:lang w:eastAsia="en-US"/>
        </w:rPr>
        <w:t>En este sentido, el impuesto al patrimonio al no tener un límite temporal y haber estado vigente en los últimos 20 años, genera un desequilibrio porque se cobra en cada periodo fiscal independientemente de la liquidez del con</w:t>
      </w:r>
      <w:r w:rsidRPr="00B86EDB">
        <w:rPr>
          <w:rFonts w:ascii="Times New Roman" w:eastAsiaTheme="minorHAnsi" w:hAnsi="Times New Roman" w:cs="Times New Roman"/>
          <w:sz w:val="28"/>
          <w:szCs w:val="28"/>
          <w:lang w:eastAsia="en-US"/>
        </w:rPr>
        <w:t>tribuyente</w:t>
      </w:r>
      <w:r w:rsidRPr="00B86EDB">
        <w:rPr>
          <w:rFonts w:ascii="Times New Roman" w:eastAsiaTheme="minorHAnsi" w:hAnsi="Times New Roman" w:cs="Times New Roman"/>
          <w:sz w:val="28"/>
          <w:szCs w:val="28"/>
          <w:lang w:eastAsia="en-US"/>
        </w:rPr>
        <w:t>;</w:t>
      </w:r>
      <w:r w:rsidRPr="00B86EDB">
        <w:rPr>
          <w:rFonts w:ascii="Times New Roman" w:eastAsiaTheme="minorHAnsi" w:hAnsi="Times New Roman" w:cs="Times New Roman"/>
          <w:sz w:val="28"/>
          <w:szCs w:val="28"/>
          <w:lang w:eastAsia="en-US"/>
        </w:rPr>
        <w:t xml:space="preserve"> por lo tanto, </w:t>
      </w:r>
      <w:r w:rsidRPr="00B86EDB">
        <w:rPr>
          <w:rFonts w:ascii="Times New Roman" w:hAnsi="Times New Roman" w:cs="Times New Roman"/>
          <w:sz w:val="28"/>
          <w:szCs w:val="28"/>
        </w:rPr>
        <w:t>“la masa de bienes que lo conforman se reduce de manera sustancial o incluso puede desaparecer”</w:t>
      </w:r>
      <w:r w:rsidRPr="00B86EDB">
        <w:rPr>
          <w:rFonts w:ascii="Times New Roman" w:eastAsiaTheme="minorHAnsi" w:hAnsi="Times New Roman" w:cs="Times New Roman"/>
          <w:sz w:val="28"/>
          <w:szCs w:val="28"/>
          <w:lang w:eastAsia="en-US"/>
        </w:rPr>
        <w:t xml:space="preserve">. </w:t>
      </w:r>
      <w:r w:rsidRPr="00B86EDB">
        <w:rPr>
          <w:rStyle w:val="Refdenotaalpie"/>
          <w:rFonts w:ascii="Times New Roman" w:eastAsiaTheme="minorHAnsi" w:hAnsi="Times New Roman" w:cs="Times New Roman"/>
          <w:sz w:val="28"/>
          <w:szCs w:val="28"/>
          <w:lang w:eastAsia="en-US"/>
        </w:rPr>
        <w:footnoteReference w:id="10"/>
      </w:r>
      <w:r w:rsidRPr="00B86EDB">
        <w:rPr>
          <w:rFonts w:ascii="Times New Roman" w:eastAsiaTheme="minorHAnsi" w:hAnsi="Times New Roman" w:cs="Times New Roman"/>
          <w:sz w:val="28"/>
          <w:szCs w:val="28"/>
          <w:lang w:eastAsia="en-US"/>
        </w:rPr>
        <w:t xml:space="preserve"> </w:t>
      </w:r>
      <w:r w:rsidRPr="00B86EDB">
        <w:rPr>
          <w:rFonts w:ascii="Times New Roman" w:eastAsiaTheme="minorHAnsi" w:hAnsi="Times New Roman" w:cs="Times New Roman"/>
          <w:sz w:val="28"/>
          <w:szCs w:val="28"/>
          <w:lang w:eastAsia="en-US"/>
        </w:rPr>
        <w:t xml:space="preserve">Asimismo, mencionó que el impuesto sobre la renta recae sobre la misma realidad material, lo cual genera una doble tributación y una carga impositiva excesiva. Adujo que las mencionadas falencias analizadas en conjunto generan una tributación excesiva, en </w:t>
      </w:r>
      <w:r w:rsidRPr="00B86EDB">
        <w:rPr>
          <w:rFonts w:ascii="Times New Roman" w:eastAsiaTheme="minorHAnsi" w:hAnsi="Times New Roman" w:cs="Times New Roman"/>
          <w:sz w:val="28"/>
          <w:szCs w:val="28"/>
          <w:lang w:eastAsia="en-US"/>
        </w:rPr>
        <w:t xml:space="preserve">la medida que el impuesto al patrimonio se torna en una </w:t>
      </w:r>
      <w:r w:rsidRPr="00B86EDB">
        <w:rPr>
          <w:rFonts w:ascii="Times New Roman" w:eastAsiaTheme="minorHAnsi" w:hAnsi="Times New Roman" w:cs="Times New Roman"/>
          <w:i/>
          <w:iCs/>
          <w:sz w:val="28"/>
          <w:szCs w:val="28"/>
          <w:lang w:eastAsia="en-US"/>
        </w:rPr>
        <w:t xml:space="preserve">confiscación en cuotas anuales </w:t>
      </w:r>
      <w:r w:rsidRPr="00B86EDB">
        <w:rPr>
          <w:rFonts w:ascii="Times New Roman" w:eastAsiaTheme="minorHAnsi" w:hAnsi="Times New Roman" w:cs="Times New Roman"/>
          <w:sz w:val="28"/>
          <w:szCs w:val="28"/>
          <w:lang w:eastAsia="en-US"/>
        </w:rPr>
        <w:t>que afecta el derecho a la propiedad, no responde a la capacidad contributiva de los sujetos y afecta el ahorro y la inversión.</w:t>
      </w:r>
      <w:r w:rsidRPr="00B86EDB">
        <w:rPr>
          <w:rStyle w:val="Refdenotaalpie"/>
          <w:rFonts w:ascii="Times New Roman" w:eastAsiaTheme="minorHAnsi" w:hAnsi="Times New Roman" w:cs="Times New Roman"/>
          <w:sz w:val="28"/>
          <w:szCs w:val="28"/>
          <w:lang w:eastAsia="en-US"/>
        </w:rPr>
        <w:footnoteReference w:id="11"/>
      </w:r>
    </w:p>
    <w:p w:rsidR="005E6D2A" w:rsidRPr="00B86EDB" w:rsidRDefault="00B86EDB" w:rsidP="009F3F6A">
      <w:pPr>
        <w:pStyle w:val="Prrafodelista"/>
        <w:autoSpaceDE w:val="0"/>
        <w:autoSpaceDN w:val="0"/>
        <w:adjustRightInd w:val="0"/>
        <w:ind w:left="0"/>
        <w:contextualSpacing w:val="0"/>
        <w:jc w:val="both"/>
        <w:rPr>
          <w:rFonts w:ascii="Times New Roman" w:eastAsiaTheme="minorHAnsi" w:hAnsi="Times New Roman" w:cs="Times New Roman"/>
          <w:sz w:val="28"/>
          <w:szCs w:val="28"/>
          <w:lang w:eastAsia="en-US"/>
        </w:rPr>
      </w:pPr>
    </w:p>
    <w:p w:rsidR="006B1A81" w:rsidRPr="00B86EDB" w:rsidRDefault="00B86EDB" w:rsidP="009F3F6A">
      <w:pPr>
        <w:pStyle w:val="Prrafodelista"/>
        <w:numPr>
          <w:ilvl w:val="0"/>
          <w:numId w:val="4"/>
        </w:numPr>
        <w:autoSpaceDE w:val="0"/>
        <w:autoSpaceDN w:val="0"/>
        <w:adjustRightInd w:val="0"/>
        <w:ind w:left="0" w:firstLine="0"/>
        <w:contextualSpacing w:val="0"/>
        <w:jc w:val="both"/>
        <w:rPr>
          <w:rFonts w:ascii="Times New Roman" w:eastAsiaTheme="minorHAnsi" w:hAnsi="Times New Roman" w:cs="Times New Roman"/>
          <w:sz w:val="28"/>
          <w:szCs w:val="28"/>
          <w:lang w:eastAsia="en-US"/>
        </w:rPr>
      </w:pPr>
      <w:r w:rsidRPr="00B86EDB">
        <w:rPr>
          <w:rFonts w:ascii="Times New Roman" w:eastAsiaTheme="minorHAnsi" w:hAnsi="Times New Roman" w:cs="Times New Roman"/>
          <w:sz w:val="28"/>
          <w:szCs w:val="28"/>
          <w:lang w:eastAsia="en-US"/>
        </w:rPr>
        <w:t>Finalmente, el accionante trajo a colac</w:t>
      </w:r>
      <w:r w:rsidRPr="00B86EDB">
        <w:rPr>
          <w:rFonts w:ascii="Times New Roman" w:eastAsiaTheme="minorHAnsi" w:hAnsi="Times New Roman" w:cs="Times New Roman"/>
          <w:sz w:val="28"/>
          <w:szCs w:val="28"/>
          <w:lang w:eastAsia="en-US"/>
        </w:rPr>
        <w:t xml:space="preserve">ión un ejemplo del cual concluyó que </w:t>
      </w:r>
    </w:p>
    <w:p w:rsidR="006B1A81" w:rsidRPr="00B86EDB" w:rsidRDefault="00B86EDB" w:rsidP="009F3F6A">
      <w:pPr>
        <w:pStyle w:val="Prrafodelista"/>
        <w:contextualSpacing w:val="0"/>
        <w:rPr>
          <w:rFonts w:ascii="Times New Roman" w:eastAsiaTheme="minorHAnsi" w:hAnsi="Times New Roman" w:cs="Times New Roman"/>
          <w:i/>
          <w:iCs/>
          <w:sz w:val="28"/>
          <w:szCs w:val="28"/>
          <w:lang w:eastAsia="en-US"/>
        </w:rPr>
      </w:pPr>
    </w:p>
    <w:p w:rsidR="005E6D2A" w:rsidRPr="00B86EDB" w:rsidRDefault="00B86EDB" w:rsidP="009F3F6A">
      <w:pPr>
        <w:pStyle w:val="Prrafodelista"/>
        <w:autoSpaceDE w:val="0"/>
        <w:autoSpaceDN w:val="0"/>
        <w:adjustRightInd w:val="0"/>
        <w:ind w:left="284" w:right="284"/>
        <w:contextualSpacing w:val="0"/>
        <w:jc w:val="both"/>
        <w:rPr>
          <w:rFonts w:ascii="Times New Roman" w:eastAsiaTheme="minorHAnsi" w:hAnsi="Times New Roman" w:cs="Times New Roman"/>
          <w:sz w:val="28"/>
          <w:lang w:eastAsia="en-US"/>
        </w:rPr>
      </w:pPr>
      <w:r w:rsidRPr="00B86EDB">
        <w:rPr>
          <w:rFonts w:ascii="Times New Roman" w:eastAsiaTheme="minorHAnsi" w:hAnsi="Times New Roman" w:cs="Times New Roman"/>
          <w:sz w:val="28"/>
          <w:lang w:eastAsia="en-US"/>
        </w:rPr>
        <w:t>“considerando la falta de rentabilidad de ciertos bienes y las múltiples cargas de tributación a la que son sometidas las personas naturales, el patrimonio se reduce entre un 50% y un 80% en un periodo de entre 20 y 4</w:t>
      </w:r>
      <w:r w:rsidRPr="00B86EDB">
        <w:rPr>
          <w:rFonts w:ascii="Times New Roman" w:eastAsiaTheme="minorHAnsi" w:hAnsi="Times New Roman" w:cs="Times New Roman"/>
          <w:sz w:val="28"/>
          <w:lang w:eastAsia="en-US"/>
        </w:rPr>
        <w:t xml:space="preserve">0 años de aplicación del impuesto al patrimonio. Este es el caso de miles de colombianos, no solo beneficiarios de pensión de sobreviviente, mujeres, niños o ancianos; sino personas en situación de discapacidad o personas declaradas incapaces que viven de </w:t>
      </w:r>
      <w:r w:rsidRPr="00B86EDB">
        <w:rPr>
          <w:rFonts w:ascii="Times New Roman" w:eastAsiaTheme="minorHAnsi" w:hAnsi="Times New Roman" w:cs="Times New Roman"/>
          <w:sz w:val="28"/>
          <w:lang w:eastAsia="en-US"/>
        </w:rPr>
        <w:t>rentas. También es el caso de pensionados, que aunque no dejarán de generar ingresos desde los 50 años, sino desde los 57 o 60, en todo caso al cabo de 20 años verían reducido su patrimonio en un 50%</w:t>
      </w:r>
      <w:r w:rsidRPr="00B86EDB">
        <w:rPr>
          <w:rFonts w:ascii="Times New Roman" w:eastAsiaTheme="minorHAnsi" w:hAnsi="Times New Roman" w:cs="Times New Roman"/>
          <w:sz w:val="28"/>
          <w:lang w:eastAsia="en-US"/>
        </w:rPr>
        <w:t>.</w:t>
      </w:r>
      <w:r w:rsidRPr="00B86EDB">
        <w:rPr>
          <w:rFonts w:ascii="Times New Roman" w:eastAsiaTheme="minorHAnsi" w:hAnsi="Times New Roman" w:cs="Times New Roman"/>
          <w:sz w:val="28"/>
          <w:lang w:eastAsia="en-US"/>
        </w:rPr>
        <w:t>”</w:t>
      </w:r>
      <w:r w:rsidRPr="00B86EDB">
        <w:rPr>
          <w:rStyle w:val="Refdenotaalpie"/>
          <w:rFonts w:ascii="Times New Roman" w:eastAsiaTheme="minorHAnsi" w:hAnsi="Times New Roman" w:cs="Times New Roman"/>
          <w:sz w:val="28"/>
          <w:lang w:eastAsia="en-US"/>
        </w:rPr>
        <w:footnoteReference w:id="12"/>
      </w:r>
    </w:p>
    <w:bookmarkEnd w:id="8"/>
    <w:p w:rsidR="005E6D2A" w:rsidRPr="00B86EDB" w:rsidRDefault="00B86EDB" w:rsidP="009F3F6A">
      <w:pPr>
        <w:pStyle w:val="Prrafodelista"/>
        <w:contextualSpacing w:val="0"/>
        <w:rPr>
          <w:rFonts w:ascii="Times New Roman" w:eastAsiaTheme="minorHAnsi" w:hAnsi="Times New Roman" w:cs="Times New Roman"/>
          <w:i/>
          <w:iCs/>
          <w:sz w:val="28"/>
          <w:szCs w:val="28"/>
          <w:lang w:eastAsia="en-US"/>
        </w:rPr>
      </w:pPr>
    </w:p>
    <w:p w:rsidR="00F20A2E" w:rsidRPr="00B86EDB" w:rsidRDefault="00B86EDB" w:rsidP="009F3F6A">
      <w:pPr>
        <w:numPr>
          <w:ilvl w:val="0"/>
          <w:numId w:val="10"/>
        </w:numPr>
        <w:autoSpaceDE w:val="0"/>
        <w:autoSpaceDN w:val="0"/>
        <w:adjustRightInd w:val="0"/>
        <w:jc w:val="both"/>
        <w:rPr>
          <w:rFonts w:ascii="Times New Roman" w:hAnsi="Times New Roman" w:cs="Times New Roman"/>
          <w:b/>
          <w:bCs/>
          <w:i/>
          <w:iCs/>
          <w:sz w:val="28"/>
          <w:szCs w:val="28"/>
        </w:rPr>
      </w:pPr>
    </w:p>
    <w:p w:rsidR="005E6D2A" w:rsidRPr="00B86EDB" w:rsidRDefault="00B86EDB" w:rsidP="009F3F6A">
      <w:pPr>
        <w:numPr>
          <w:ilvl w:val="0"/>
          <w:numId w:val="10"/>
        </w:numPr>
        <w:autoSpaceDE w:val="0"/>
        <w:autoSpaceDN w:val="0"/>
        <w:adjustRightInd w:val="0"/>
        <w:jc w:val="both"/>
        <w:rPr>
          <w:rFonts w:ascii="Times New Roman" w:hAnsi="Times New Roman" w:cs="Times New Roman"/>
          <w:b/>
          <w:bCs/>
          <w:i/>
          <w:iCs/>
          <w:sz w:val="28"/>
          <w:szCs w:val="28"/>
        </w:rPr>
      </w:pPr>
      <w:bookmarkStart w:id="9" w:name="_Hlk190386737"/>
      <w:r w:rsidRPr="00B86EDB">
        <w:rPr>
          <w:rFonts w:ascii="Times New Roman" w:hAnsi="Times New Roman" w:cs="Times New Roman"/>
          <w:b/>
          <w:i/>
          <w:sz w:val="28"/>
          <w:szCs w:val="28"/>
          <w:lang w:eastAsia="es-ES"/>
        </w:rPr>
        <w:t>Segundo cargo</w:t>
      </w:r>
      <w:r w:rsidRPr="00B86EDB">
        <w:rPr>
          <w:rFonts w:ascii="Times New Roman" w:hAnsi="Times New Roman" w:cs="Times New Roman"/>
          <w:b/>
          <w:i/>
          <w:sz w:val="28"/>
          <w:szCs w:val="28"/>
          <w:lang w:eastAsia="es-ES"/>
        </w:rPr>
        <w:t>.</w:t>
      </w:r>
      <w:r w:rsidRPr="00B86EDB">
        <w:rPr>
          <w:rFonts w:ascii="Times New Roman" w:hAnsi="Times New Roman" w:cs="Times New Roman"/>
          <w:b/>
          <w:i/>
          <w:sz w:val="28"/>
          <w:szCs w:val="28"/>
          <w:lang w:eastAsia="es-ES"/>
        </w:rPr>
        <w:t xml:space="preserve"> </w:t>
      </w:r>
      <w:r w:rsidRPr="00B86EDB">
        <w:rPr>
          <w:rFonts w:ascii="Times New Roman" w:hAnsi="Times New Roman" w:cs="Times New Roman"/>
          <w:b/>
          <w:bCs/>
          <w:i/>
          <w:iCs/>
          <w:sz w:val="28"/>
          <w:szCs w:val="28"/>
        </w:rPr>
        <w:t xml:space="preserve">Vulneración de los principios de </w:t>
      </w:r>
      <w:r w:rsidRPr="00B86EDB">
        <w:rPr>
          <w:rFonts w:ascii="Times New Roman" w:hAnsi="Times New Roman" w:cs="Times New Roman"/>
          <w:b/>
          <w:bCs/>
          <w:i/>
          <w:iCs/>
          <w:sz w:val="28"/>
          <w:szCs w:val="28"/>
        </w:rPr>
        <w:t>equidad y progresividad tributaria de los artículos 95-9 y 363 de la Constitución Política porque el impuesto al patrimonio genera escenarios de doble tributación</w:t>
      </w:r>
    </w:p>
    <w:p w:rsidR="005E6D2A" w:rsidRPr="00B86EDB" w:rsidRDefault="00B86EDB" w:rsidP="009F3F6A">
      <w:pPr>
        <w:autoSpaceDE w:val="0"/>
        <w:autoSpaceDN w:val="0"/>
        <w:ind w:right="49"/>
        <w:jc w:val="both"/>
        <w:rPr>
          <w:rFonts w:ascii="Times New Roman" w:hAnsi="Times New Roman" w:cs="Times New Roman"/>
          <w:b/>
          <w:bCs/>
          <w:i/>
          <w:iCs/>
          <w:sz w:val="28"/>
          <w:szCs w:val="28"/>
        </w:rPr>
      </w:pPr>
    </w:p>
    <w:p w:rsidR="006B1A81" w:rsidRPr="00B86EDB" w:rsidRDefault="00B86EDB" w:rsidP="009F3F6A">
      <w:pPr>
        <w:pStyle w:val="Prrafodelista"/>
        <w:numPr>
          <w:ilvl w:val="0"/>
          <w:numId w:val="4"/>
        </w:numPr>
        <w:autoSpaceDE w:val="0"/>
        <w:autoSpaceDN w:val="0"/>
        <w:ind w:left="0" w:right="49"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El actor explica que la doble tributación se encuentra proscrita en nuestro sistema tributar</w:t>
      </w:r>
      <w:r w:rsidRPr="00B86EDB">
        <w:rPr>
          <w:rFonts w:ascii="Times New Roman" w:hAnsi="Times New Roman" w:cs="Times New Roman"/>
          <w:sz w:val="28"/>
          <w:szCs w:val="28"/>
        </w:rPr>
        <w:t>io. Para soportar esta afirmación explicó que el Consejo de Estado ha señalado que esta prohibición se deriva de los principios de equidad y progresividad del artículo 363 de la Constitución Política, en la medida que el contribuyente únicamente está oblig</w:t>
      </w:r>
      <w:r w:rsidRPr="00B86EDB">
        <w:rPr>
          <w:rFonts w:ascii="Times New Roman" w:hAnsi="Times New Roman" w:cs="Times New Roman"/>
          <w:sz w:val="28"/>
          <w:szCs w:val="28"/>
        </w:rPr>
        <w:t>ado a pagar lo que está en capacidad de asumir de conformidad con el valor de los activos que conforman su patrimonio. Por lo tanto, el legislador debe valorar la realidad material de la carga tributaria global de los contribuyentes. En este sentido, afirm</w:t>
      </w:r>
      <w:r w:rsidRPr="00B86EDB">
        <w:rPr>
          <w:rFonts w:ascii="Times New Roman" w:hAnsi="Times New Roman" w:cs="Times New Roman"/>
          <w:sz w:val="28"/>
          <w:szCs w:val="28"/>
        </w:rPr>
        <w:t xml:space="preserve">ó que el tributo demandado es contrario a la prohibición de doble tributación porque grava el patrimonio, el cual se compone de inmuebles, activos, rentas entre otros que a su turno tributan a través del impuesto al predial, renta y ganancia ocasional. En </w:t>
      </w:r>
      <w:r w:rsidRPr="00B86EDB">
        <w:rPr>
          <w:rFonts w:ascii="Times New Roman" w:hAnsi="Times New Roman" w:cs="Times New Roman"/>
          <w:sz w:val="28"/>
          <w:szCs w:val="28"/>
        </w:rPr>
        <w:t xml:space="preserve">consecuencia, un mismo hecho (patrimonio vs activos que lo componen) estaría sujeto a imposición a través de varios gravámenes. Concretamente, el demandante afirmo que </w:t>
      </w:r>
    </w:p>
    <w:p w:rsidR="006B1A81" w:rsidRPr="00B86EDB" w:rsidRDefault="00B86EDB" w:rsidP="009F3F6A">
      <w:pPr>
        <w:pStyle w:val="Prrafodelista"/>
        <w:autoSpaceDE w:val="0"/>
        <w:autoSpaceDN w:val="0"/>
        <w:ind w:left="0" w:right="49"/>
        <w:contextualSpacing w:val="0"/>
        <w:jc w:val="both"/>
        <w:rPr>
          <w:rFonts w:ascii="Times New Roman" w:hAnsi="Times New Roman" w:cs="Times New Roman"/>
          <w:sz w:val="28"/>
          <w:szCs w:val="28"/>
        </w:rPr>
      </w:pPr>
    </w:p>
    <w:p w:rsidR="005E6D2A" w:rsidRPr="00B86EDB" w:rsidRDefault="00B86EDB" w:rsidP="009F3F6A">
      <w:pPr>
        <w:pStyle w:val="Prrafodelista"/>
        <w:autoSpaceDE w:val="0"/>
        <w:autoSpaceDN w:val="0"/>
        <w:ind w:left="284" w:right="284"/>
        <w:contextualSpacing w:val="0"/>
        <w:jc w:val="both"/>
        <w:rPr>
          <w:rFonts w:ascii="Times New Roman" w:hAnsi="Times New Roman" w:cs="Times New Roman"/>
          <w:sz w:val="28"/>
        </w:rPr>
      </w:pPr>
      <w:r w:rsidRPr="00B86EDB">
        <w:rPr>
          <w:rFonts w:ascii="Times New Roman" w:hAnsi="Times New Roman" w:cs="Times New Roman"/>
          <w:sz w:val="28"/>
        </w:rPr>
        <w:t>“el cobro permanente del impuesto al patrimonio de personas naturales, aunado al cobro</w:t>
      </w:r>
      <w:r w:rsidRPr="00B86EDB">
        <w:rPr>
          <w:rFonts w:ascii="Times New Roman" w:hAnsi="Times New Roman" w:cs="Times New Roman"/>
          <w:sz w:val="28"/>
        </w:rPr>
        <w:t xml:space="preserve"> de los impuestos de renta, predial y ganancia ocasional, gravan dos veces un mismo hecho y con ello imponen el cobro de una carga a favor del Estado que no tiene correlación con la capacidad contributiva del contribuyente. Efectivamente, considerando que </w:t>
      </w:r>
      <w:r w:rsidRPr="00B86EDB">
        <w:rPr>
          <w:rFonts w:ascii="Times New Roman" w:hAnsi="Times New Roman" w:cs="Times New Roman"/>
          <w:sz w:val="28"/>
        </w:rPr>
        <w:t>el concepto de capacidad económica hace referencia a la realidad económica del contribuyente, que como dice la Corte se identifica a partir de su renta y patrimonio, es claro que el valor real de uno y de otro se ve afectado por el pago de impuestos</w:t>
      </w:r>
      <w:r w:rsidRPr="00B86EDB">
        <w:rPr>
          <w:rFonts w:ascii="Times New Roman" w:hAnsi="Times New Roman" w:cs="Times New Roman"/>
          <w:sz w:val="28"/>
        </w:rPr>
        <w:t>.</w:t>
      </w:r>
      <w:r w:rsidRPr="00B86EDB">
        <w:rPr>
          <w:rFonts w:ascii="Times New Roman" w:hAnsi="Times New Roman" w:cs="Times New Roman"/>
          <w:sz w:val="28"/>
        </w:rPr>
        <w:t>”</w:t>
      </w:r>
      <w:r w:rsidRPr="00B86EDB">
        <w:rPr>
          <w:rStyle w:val="Refdenotaalpie"/>
          <w:rFonts w:ascii="Times New Roman" w:hAnsi="Times New Roman" w:cs="Times New Roman"/>
          <w:sz w:val="28"/>
        </w:rPr>
        <w:footnoteReference w:id="13"/>
      </w:r>
    </w:p>
    <w:p w:rsidR="005E6D2A" w:rsidRPr="00B86EDB" w:rsidRDefault="00B86EDB" w:rsidP="009F3F6A">
      <w:pPr>
        <w:pStyle w:val="Prrafodelista"/>
        <w:autoSpaceDE w:val="0"/>
        <w:autoSpaceDN w:val="0"/>
        <w:ind w:left="0" w:right="49"/>
        <w:contextualSpacing w:val="0"/>
        <w:jc w:val="both"/>
        <w:rPr>
          <w:rFonts w:ascii="Times New Roman" w:hAnsi="Times New Roman" w:cs="Times New Roman"/>
          <w:sz w:val="28"/>
          <w:szCs w:val="28"/>
        </w:rPr>
      </w:pPr>
    </w:p>
    <w:p w:rsidR="00214D34" w:rsidRPr="00B86EDB" w:rsidRDefault="00B86EDB" w:rsidP="009F3F6A">
      <w:pPr>
        <w:pStyle w:val="Prrafodelista"/>
        <w:numPr>
          <w:ilvl w:val="0"/>
          <w:numId w:val="4"/>
        </w:numPr>
        <w:autoSpaceDE w:val="0"/>
        <w:autoSpaceDN w:val="0"/>
        <w:ind w:left="0" w:right="49"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Po</w:t>
      </w:r>
      <w:r w:rsidRPr="00B86EDB">
        <w:rPr>
          <w:rFonts w:ascii="Times New Roman" w:hAnsi="Times New Roman" w:cs="Times New Roman"/>
          <w:sz w:val="28"/>
          <w:szCs w:val="28"/>
        </w:rPr>
        <w:t xml:space="preserve">r su parte, el actor argumentó que se debe modificar el precedente establecido en las </w:t>
      </w:r>
      <w:r w:rsidRPr="00B86EDB">
        <w:rPr>
          <w:rFonts w:ascii="Times New Roman" w:hAnsi="Times New Roman" w:cs="Times New Roman"/>
          <w:sz w:val="28"/>
          <w:szCs w:val="28"/>
        </w:rPr>
        <w:t>S</w:t>
      </w:r>
      <w:r w:rsidRPr="00B86EDB">
        <w:rPr>
          <w:rFonts w:ascii="Times New Roman" w:hAnsi="Times New Roman" w:cs="Times New Roman"/>
          <w:sz w:val="28"/>
          <w:szCs w:val="28"/>
        </w:rPr>
        <w:t xml:space="preserve">entencias C-039 de 2021 y C-876 de 2002, en </w:t>
      </w:r>
      <w:r w:rsidRPr="00B86EDB">
        <w:rPr>
          <w:rFonts w:ascii="Times New Roman" w:hAnsi="Times New Roman" w:cs="Times New Roman"/>
          <w:sz w:val="28"/>
          <w:szCs w:val="28"/>
        </w:rPr>
        <w:t>l</w:t>
      </w:r>
      <w:r w:rsidRPr="00B86EDB">
        <w:rPr>
          <w:rFonts w:ascii="Times New Roman" w:hAnsi="Times New Roman" w:cs="Times New Roman"/>
          <w:sz w:val="28"/>
          <w:szCs w:val="28"/>
        </w:rPr>
        <w:t>a</w:t>
      </w:r>
      <w:r w:rsidRPr="00B86EDB">
        <w:rPr>
          <w:rFonts w:ascii="Times New Roman" w:hAnsi="Times New Roman" w:cs="Times New Roman"/>
          <w:sz w:val="28"/>
          <w:szCs w:val="28"/>
        </w:rPr>
        <w:t xml:space="preserve">s cuales </w:t>
      </w:r>
      <w:r w:rsidRPr="00B86EDB">
        <w:rPr>
          <w:rFonts w:ascii="Times New Roman" w:hAnsi="Times New Roman" w:cs="Times New Roman"/>
          <w:sz w:val="28"/>
          <w:szCs w:val="28"/>
        </w:rPr>
        <w:t xml:space="preserve">la Sala Plena indicó que el impuesto al patrimonio no grava los mismos hechos del impuesto de renta y predial. En </w:t>
      </w:r>
      <w:r w:rsidRPr="00B86EDB">
        <w:rPr>
          <w:rFonts w:ascii="Times New Roman" w:hAnsi="Times New Roman" w:cs="Times New Roman"/>
          <w:sz w:val="28"/>
          <w:szCs w:val="28"/>
        </w:rPr>
        <w:t>la medida que es “meramente artificial, pues en realidad ambos se constituyen como una carga sobre la misma realidad económica y como consecuencia es claro que la existencia de ambos desconoce el principio de doble tributación</w:t>
      </w:r>
      <w:r w:rsidRPr="00B86EDB">
        <w:rPr>
          <w:rFonts w:ascii="Times New Roman" w:hAnsi="Times New Roman" w:cs="Times New Roman"/>
          <w:sz w:val="28"/>
          <w:szCs w:val="28"/>
        </w:rPr>
        <w:t>.</w:t>
      </w:r>
      <w:r w:rsidRPr="00B86EDB">
        <w:rPr>
          <w:rFonts w:ascii="Times New Roman" w:hAnsi="Times New Roman" w:cs="Times New Roman"/>
          <w:sz w:val="28"/>
          <w:szCs w:val="28"/>
        </w:rPr>
        <w:t>”</w:t>
      </w:r>
    </w:p>
    <w:p w:rsidR="00214D34" w:rsidRPr="00B86EDB" w:rsidRDefault="00B86EDB" w:rsidP="009F3F6A">
      <w:pPr>
        <w:pStyle w:val="Prrafodelista"/>
        <w:autoSpaceDE w:val="0"/>
        <w:autoSpaceDN w:val="0"/>
        <w:ind w:left="0" w:right="49"/>
        <w:contextualSpacing w:val="0"/>
        <w:jc w:val="both"/>
        <w:rPr>
          <w:rFonts w:ascii="Times New Roman" w:hAnsi="Times New Roman" w:cs="Times New Roman"/>
          <w:sz w:val="28"/>
          <w:szCs w:val="28"/>
        </w:rPr>
      </w:pPr>
    </w:p>
    <w:p w:rsidR="005E6D2A" w:rsidRPr="00B86EDB" w:rsidRDefault="00B86EDB" w:rsidP="009F3F6A">
      <w:pPr>
        <w:pStyle w:val="Prrafodelista"/>
        <w:numPr>
          <w:ilvl w:val="0"/>
          <w:numId w:val="4"/>
        </w:numPr>
        <w:autoSpaceDE w:val="0"/>
        <w:autoSpaceDN w:val="0"/>
        <w:ind w:left="0" w:right="49"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A juicio del accionante, e</w:t>
      </w:r>
      <w:r w:rsidRPr="00B86EDB">
        <w:rPr>
          <w:rFonts w:ascii="Times New Roman" w:hAnsi="Times New Roman" w:cs="Times New Roman"/>
          <w:sz w:val="28"/>
          <w:szCs w:val="28"/>
        </w:rPr>
        <w:t>sta interpretación es concordante con los principios de equidad tributaria, seguridad jurídica, confianza legítima e igualdad</w:t>
      </w:r>
      <w:r w:rsidRPr="00B86EDB">
        <w:rPr>
          <w:rFonts w:ascii="Times New Roman" w:hAnsi="Times New Roman" w:cs="Times New Roman"/>
          <w:sz w:val="28"/>
          <w:szCs w:val="28"/>
        </w:rPr>
        <w:t>, p</w:t>
      </w:r>
      <w:r w:rsidRPr="00B86EDB">
        <w:rPr>
          <w:rFonts w:ascii="Times New Roman" w:hAnsi="Times New Roman" w:cs="Times New Roman"/>
          <w:sz w:val="28"/>
          <w:szCs w:val="28"/>
        </w:rPr>
        <w:t xml:space="preserve">ues, la Corte ha advertido que la capacidad contributiva se debe evaluar desde una perspectiva real y no meramente teórica, por </w:t>
      </w:r>
      <w:r w:rsidRPr="00B86EDB">
        <w:rPr>
          <w:rFonts w:ascii="Times New Roman" w:hAnsi="Times New Roman" w:cs="Times New Roman"/>
          <w:sz w:val="28"/>
          <w:szCs w:val="28"/>
        </w:rPr>
        <w:t xml:space="preserve">lo que si se sigue la posición de las </w:t>
      </w:r>
      <w:r w:rsidRPr="00B86EDB">
        <w:rPr>
          <w:rFonts w:ascii="Times New Roman" w:hAnsi="Times New Roman" w:cs="Times New Roman"/>
          <w:sz w:val="28"/>
          <w:szCs w:val="28"/>
        </w:rPr>
        <w:t>S</w:t>
      </w:r>
      <w:r w:rsidRPr="00B86EDB">
        <w:rPr>
          <w:rFonts w:ascii="Times New Roman" w:hAnsi="Times New Roman" w:cs="Times New Roman"/>
          <w:sz w:val="28"/>
          <w:szCs w:val="28"/>
        </w:rPr>
        <w:t xml:space="preserve">entencias del 2021 y 2002 se estaría partiendo de una valoración abstracta y desactualizada de la capacidad contributiva que contraría el alcance determinado por la Sala Plena en las </w:t>
      </w:r>
      <w:r w:rsidRPr="00B86EDB">
        <w:rPr>
          <w:rFonts w:ascii="Times New Roman" w:hAnsi="Times New Roman" w:cs="Times New Roman"/>
          <w:sz w:val="28"/>
          <w:szCs w:val="28"/>
        </w:rPr>
        <w:t>S</w:t>
      </w:r>
      <w:r w:rsidRPr="00B86EDB">
        <w:rPr>
          <w:rFonts w:ascii="Times New Roman" w:hAnsi="Times New Roman" w:cs="Times New Roman"/>
          <w:sz w:val="28"/>
          <w:szCs w:val="28"/>
        </w:rPr>
        <w:t xml:space="preserve">entencias C-1231 de 2006 y C-587 </w:t>
      </w:r>
      <w:r w:rsidRPr="00B86EDB">
        <w:rPr>
          <w:rFonts w:ascii="Times New Roman" w:hAnsi="Times New Roman" w:cs="Times New Roman"/>
          <w:sz w:val="28"/>
          <w:szCs w:val="28"/>
        </w:rPr>
        <w:t>de 2014.</w:t>
      </w:r>
    </w:p>
    <w:bookmarkEnd w:id="7"/>
    <w:p w:rsidR="00B22508" w:rsidRPr="00B86EDB" w:rsidRDefault="00B86EDB" w:rsidP="009F3F6A">
      <w:pPr>
        <w:pStyle w:val="Prrafodelista"/>
        <w:contextualSpacing w:val="0"/>
        <w:rPr>
          <w:rFonts w:ascii="Times New Roman" w:hAnsi="Times New Roman" w:cs="Times New Roman"/>
          <w:sz w:val="28"/>
          <w:szCs w:val="28"/>
        </w:rPr>
      </w:pPr>
    </w:p>
    <w:bookmarkEnd w:id="9"/>
    <w:p w:rsidR="00E97799" w:rsidRPr="00B86EDB" w:rsidRDefault="00B86EDB" w:rsidP="009F3F6A">
      <w:pPr>
        <w:pStyle w:val="Prrafodelista"/>
        <w:contextualSpacing w:val="0"/>
        <w:rPr>
          <w:rFonts w:ascii="Times New Roman" w:hAnsi="Times New Roman" w:cs="Times New Roman"/>
          <w:sz w:val="28"/>
          <w:szCs w:val="28"/>
        </w:rPr>
      </w:pPr>
    </w:p>
    <w:p w:rsidR="00B22508" w:rsidRPr="00B86EDB" w:rsidRDefault="00B86EDB" w:rsidP="009F3F6A">
      <w:pPr>
        <w:pStyle w:val="Ttulo2"/>
        <w:numPr>
          <w:ilvl w:val="0"/>
          <w:numId w:val="5"/>
        </w:numPr>
        <w:spacing w:before="0"/>
        <w:ind w:left="142" w:firstLine="0"/>
        <w:jc w:val="both"/>
        <w:rPr>
          <w:rFonts w:ascii="Times New Roman" w:hAnsi="Times New Roman" w:cs="Times New Roman"/>
          <w:b/>
          <w:bCs/>
          <w:color w:val="auto"/>
          <w:sz w:val="28"/>
          <w:szCs w:val="28"/>
        </w:rPr>
      </w:pPr>
      <w:r w:rsidRPr="00B86EDB">
        <w:rPr>
          <w:rFonts w:ascii="Times New Roman" w:hAnsi="Times New Roman" w:cs="Times New Roman"/>
          <w:b/>
          <w:bCs/>
          <w:color w:val="auto"/>
          <w:sz w:val="28"/>
          <w:szCs w:val="28"/>
        </w:rPr>
        <w:t xml:space="preserve">Intervenciones oficiales </w:t>
      </w:r>
    </w:p>
    <w:p w:rsidR="00B22508" w:rsidRPr="00B86EDB" w:rsidRDefault="00B86EDB" w:rsidP="009F3F6A">
      <w:pPr>
        <w:pStyle w:val="Prrafodelista"/>
        <w:contextualSpacing w:val="0"/>
        <w:rPr>
          <w:rFonts w:ascii="Times New Roman" w:hAnsi="Times New Roman" w:cs="Times New Roman"/>
          <w:sz w:val="28"/>
          <w:szCs w:val="28"/>
        </w:rPr>
      </w:pPr>
    </w:p>
    <w:p w:rsidR="00D83A9B" w:rsidRPr="00B86EDB" w:rsidRDefault="00B86EDB" w:rsidP="009F3F6A">
      <w:pPr>
        <w:pStyle w:val="Prrafodelista"/>
        <w:numPr>
          <w:ilvl w:val="0"/>
          <w:numId w:val="4"/>
        </w:numPr>
        <w:tabs>
          <w:tab w:val="left" w:pos="90"/>
        </w:tabs>
        <w:ind w:left="0"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 xml:space="preserve">Según fue indicado por la Secretaría General de esta Corte, el proceso fue fijado en lista por un término de </w:t>
      </w:r>
      <w:r w:rsidRPr="00B86EDB">
        <w:rPr>
          <w:rFonts w:ascii="Times New Roman" w:hAnsi="Times New Roman" w:cs="Times New Roman"/>
          <w:sz w:val="28"/>
          <w:szCs w:val="28"/>
        </w:rPr>
        <w:t xml:space="preserve">10 </w:t>
      </w:r>
      <w:r w:rsidRPr="00B86EDB">
        <w:rPr>
          <w:rFonts w:ascii="Times New Roman" w:hAnsi="Times New Roman" w:cs="Times New Roman"/>
          <w:sz w:val="28"/>
          <w:szCs w:val="28"/>
        </w:rPr>
        <w:t xml:space="preserve">días a partir del 5 de </w:t>
      </w:r>
      <w:r w:rsidRPr="00B86EDB">
        <w:rPr>
          <w:rFonts w:ascii="Times New Roman" w:hAnsi="Times New Roman" w:cs="Times New Roman"/>
          <w:sz w:val="28"/>
          <w:szCs w:val="28"/>
        </w:rPr>
        <w:t>octubre</w:t>
      </w:r>
      <w:r w:rsidRPr="00B86EDB">
        <w:rPr>
          <w:rFonts w:ascii="Times New Roman" w:hAnsi="Times New Roman" w:cs="Times New Roman"/>
          <w:sz w:val="28"/>
          <w:szCs w:val="28"/>
        </w:rPr>
        <w:t xml:space="preserve"> de 2023. Vencido </w:t>
      </w:r>
      <w:r w:rsidRPr="00B86EDB">
        <w:rPr>
          <w:rFonts w:ascii="Times New Roman" w:hAnsi="Times New Roman" w:cs="Times New Roman"/>
          <w:sz w:val="28"/>
          <w:szCs w:val="28"/>
        </w:rPr>
        <w:t>este término</w:t>
      </w:r>
      <w:r w:rsidRPr="00B86EDB">
        <w:rPr>
          <w:rFonts w:ascii="Times New Roman" w:hAnsi="Times New Roman" w:cs="Times New Roman"/>
          <w:sz w:val="28"/>
          <w:szCs w:val="28"/>
        </w:rPr>
        <w:t>, se recibieron tres intervenciones oficiales</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a saber</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del Ministerio de Hacienda y Crédito Público, del Departamento Administrativo de la </w:t>
      </w:r>
      <w:r w:rsidRPr="00B86EDB">
        <w:rPr>
          <w:rFonts w:ascii="Times New Roman" w:hAnsi="Times New Roman" w:cs="Times New Roman"/>
          <w:sz w:val="28"/>
          <w:szCs w:val="28"/>
        </w:rPr>
        <w:t>Presidencia de la República</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w:t>
      </w:r>
      <w:r w:rsidRPr="00B86EDB">
        <w:rPr>
          <w:rFonts w:ascii="Times New Roman" w:hAnsi="Times New Roman" w:cs="Times New Roman"/>
          <w:sz w:val="28"/>
          <w:szCs w:val="28"/>
        </w:rPr>
        <w:t>DAPRE-</w:t>
      </w:r>
      <w:r w:rsidRPr="00B86EDB">
        <w:rPr>
          <w:rFonts w:ascii="Times New Roman" w:hAnsi="Times New Roman" w:cs="Times New Roman"/>
          <w:sz w:val="28"/>
          <w:szCs w:val="28"/>
        </w:rPr>
        <w:t xml:space="preserve"> y</w:t>
      </w:r>
      <w:r w:rsidRPr="00B86EDB">
        <w:rPr>
          <w:rFonts w:ascii="Times New Roman" w:hAnsi="Times New Roman" w:cs="Times New Roman"/>
          <w:sz w:val="28"/>
          <w:szCs w:val="28"/>
        </w:rPr>
        <w:t xml:space="preserve"> de la Dirección de Impuestos y Aduanas Nacionales </w:t>
      </w:r>
      <w:r w:rsidRPr="00B86EDB">
        <w:rPr>
          <w:rFonts w:ascii="Times New Roman" w:hAnsi="Times New Roman" w:cs="Times New Roman"/>
          <w:sz w:val="28"/>
          <w:szCs w:val="28"/>
        </w:rPr>
        <w:t>-</w:t>
      </w:r>
      <w:r w:rsidRPr="00B86EDB">
        <w:rPr>
          <w:rFonts w:ascii="Times New Roman" w:hAnsi="Times New Roman" w:cs="Times New Roman"/>
          <w:sz w:val="28"/>
          <w:szCs w:val="28"/>
        </w:rPr>
        <w:t>DIAN</w:t>
      </w:r>
      <w:r w:rsidRPr="00B86EDB">
        <w:rPr>
          <w:rFonts w:ascii="Times New Roman" w:hAnsi="Times New Roman" w:cs="Times New Roman"/>
          <w:sz w:val="28"/>
          <w:szCs w:val="28"/>
        </w:rPr>
        <w:t>-</w:t>
      </w:r>
      <w:r w:rsidRPr="00B86EDB">
        <w:rPr>
          <w:rFonts w:ascii="Times New Roman" w:hAnsi="Times New Roman" w:cs="Times New Roman"/>
          <w:sz w:val="28"/>
          <w:szCs w:val="28"/>
        </w:rPr>
        <w:t>.</w:t>
      </w:r>
      <w:r w:rsidRPr="00B86EDB">
        <w:rPr>
          <w:rStyle w:val="Refdenotaalpie"/>
          <w:rFonts w:ascii="Times New Roman" w:hAnsi="Times New Roman" w:cs="Times New Roman"/>
          <w:sz w:val="28"/>
          <w:szCs w:val="28"/>
        </w:rPr>
        <w:footnoteReference w:id="14"/>
      </w:r>
    </w:p>
    <w:p w:rsidR="00974DFA" w:rsidRPr="00B86EDB" w:rsidRDefault="00B86EDB" w:rsidP="009F3F6A">
      <w:pPr>
        <w:pStyle w:val="Prrafodelista"/>
        <w:tabs>
          <w:tab w:val="left" w:pos="90"/>
        </w:tabs>
        <w:ind w:left="0"/>
        <w:contextualSpacing w:val="0"/>
        <w:jc w:val="both"/>
        <w:rPr>
          <w:rFonts w:ascii="Times New Roman" w:hAnsi="Times New Roman" w:cs="Times New Roman"/>
          <w:sz w:val="28"/>
          <w:szCs w:val="28"/>
        </w:rPr>
      </w:pPr>
    </w:p>
    <w:p w:rsidR="003F7F7E" w:rsidRPr="00B86EDB" w:rsidRDefault="00B86EDB" w:rsidP="009F3F6A">
      <w:pPr>
        <w:pStyle w:val="Prrafodelista"/>
        <w:numPr>
          <w:ilvl w:val="0"/>
          <w:numId w:val="4"/>
        </w:numPr>
        <w:tabs>
          <w:tab w:val="left" w:pos="90"/>
        </w:tabs>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 xml:space="preserve">Las intervenciones oficiales propusieron razones comunes para </w:t>
      </w:r>
      <w:r w:rsidRPr="00B86EDB">
        <w:rPr>
          <w:rFonts w:ascii="Times New Roman" w:hAnsi="Times New Roman" w:cs="Times New Roman"/>
          <w:sz w:val="28"/>
          <w:szCs w:val="28"/>
        </w:rPr>
        <w:t>defender la constitucionalidad de las disposiciones acusadas. A continuación, se resumen los principales argumentos expuestos:</w:t>
      </w:r>
    </w:p>
    <w:p w:rsidR="003F7F7E" w:rsidRPr="00B86EDB" w:rsidRDefault="00B86EDB" w:rsidP="009F3F6A">
      <w:pPr>
        <w:pStyle w:val="Prrafodelista"/>
        <w:contextualSpacing w:val="0"/>
        <w:rPr>
          <w:rFonts w:ascii="Times New Roman" w:hAnsi="Times New Roman" w:cs="Times New Roman"/>
          <w:sz w:val="28"/>
          <w:szCs w:val="28"/>
        </w:rPr>
      </w:pPr>
    </w:p>
    <w:p w:rsidR="00AC4095" w:rsidRPr="00B86EDB" w:rsidRDefault="00B86EDB" w:rsidP="009F3F6A">
      <w:pPr>
        <w:pStyle w:val="Prrafodelista"/>
        <w:contextualSpacing w:val="0"/>
        <w:rPr>
          <w:rFonts w:ascii="Times New Roman" w:hAnsi="Times New Roman" w:cs="Times New Roman"/>
          <w:sz w:val="28"/>
          <w:szCs w:val="28"/>
        </w:rPr>
      </w:pPr>
    </w:p>
    <w:p w:rsidR="003F7F7E" w:rsidRPr="00B86EDB" w:rsidRDefault="00B86EDB" w:rsidP="009F3F6A">
      <w:pPr>
        <w:pStyle w:val="Prrafodelista"/>
        <w:numPr>
          <w:ilvl w:val="0"/>
          <w:numId w:val="11"/>
        </w:numPr>
        <w:tabs>
          <w:tab w:val="left" w:pos="90"/>
        </w:tabs>
        <w:contextualSpacing w:val="0"/>
        <w:jc w:val="both"/>
        <w:rPr>
          <w:rFonts w:ascii="Times New Roman" w:hAnsi="Times New Roman" w:cs="Times New Roman"/>
          <w:b/>
          <w:bCs/>
          <w:i/>
          <w:iCs/>
          <w:sz w:val="28"/>
          <w:szCs w:val="28"/>
        </w:rPr>
      </w:pPr>
      <w:r w:rsidRPr="00B86EDB">
        <w:rPr>
          <w:rFonts w:ascii="Times New Roman" w:hAnsi="Times New Roman" w:cs="Times New Roman"/>
          <w:b/>
          <w:bCs/>
          <w:i/>
          <w:iCs/>
          <w:sz w:val="28"/>
          <w:szCs w:val="28"/>
        </w:rPr>
        <w:t>Sobre la cosa juzgada respecto al artículo 317 de la Constitución Política</w:t>
      </w:r>
    </w:p>
    <w:p w:rsidR="003F7F7E" w:rsidRPr="00B86EDB" w:rsidRDefault="00B86EDB" w:rsidP="009F3F6A">
      <w:pPr>
        <w:pStyle w:val="Prrafodelista"/>
        <w:contextualSpacing w:val="0"/>
        <w:rPr>
          <w:rFonts w:ascii="Times New Roman" w:hAnsi="Times New Roman" w:cs="Times New Roman"/>
          <w:sz w:val="28"/>
          <w:szCs w:val="28"/>
        </w:rPr>
      </w:pPr>
    </w:p>
    <w:p w:rsidR="003F7F7E"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b/>
          <w:bCs/>
          <w:sz w:val="28"/>
          <w:szCs w:val="28"/>
        </w:rPr>
      </w:pPr>
      <w:r w:rsidRPr="00B86EDB">
        <w:rPr>
          <w:rFonts w:ascii="Times New Roman" w:hAnsi="Times New Roman" w:cs="Times New Roman"/>
          <w:sz w:val="28"/>
          <w:szCs w:val="28"/>
        </w:rPr>
        <w:t xml:space="preserve">Las </w:t>
      </w:r>
      <w:r w:rsidRPr="00B86EDB">
        <w:rPr>
          <w:rFonts w:ascii="Times New Roman" w:hAnsi="Times New Roman" w:cs="Times New Roman"/>
          <w:sz w:val="28"/>
          <w:szCs w:val="28"/>
        </w:rPr>
        <w:t xml:space="preserve">tres </w:t>
      </w:r>
      <w:r w:rsidRPr="00B86EDB">
        <w:rPr>
          <w:rFonts w:ascii="Times New Roman" w:hAnsi="Times New Roman" w:cs="Times New Roman"/>
          <w:sz w:val="28"/>
          <w:szCs w:val="28"/>
        </w:rPr>
        <w:t xml:space="preserve">entidades solicitaron a la Corte Constitucional estarse a lo resuelto en las </w:t>
      </w:r>
      <w:r w:rsidRPr="00B86EDB">
        <w:rPr>
          <w:rFonts w:ascii="Times New Roman" w:hAnsi="Times New Roman" w:cs="Times New Roman"/>
          <w:sz w:val="28"/>
          <w:szCs w:val="28"/>
        </w:rPr>
        <w:t>S</w:t>
      </w:r>
      <w:r w:rsidRPr="00B86EDB">
        <w:rPr>
          <w:rFonts w:ascii="Times New Roman" w:hAnsi="Times New Roman" w:cs="Times New Roman"/>
          <w:sz w:val="28"/>
          <w:szCs w:val="28"/>
        </w:rPr>
        <w:t>entencias C-876 de 2002 y C-990 de 2004 respecto del reproche a la vulneración del artículo 317 de la Constitución Política. Afirmaron que en estas providencias la Corte Constitu</w:t>
      </w:r>
      <w:r w:rsidRPr="00B86EDB">
        <w:rPr>
          <w:rFonts w:ascii="Times New Roman" w:hAnsi="Times New Roman" w:cs="Times New Roman"/>
          <w:sz w:val="28"/>
          <w:szCs w:val="28"/>
        </w:rPr>
        <w:t xml:space="preserve">cional definió que la inclusión de la propiedad inmueble en la base gravable del impuesto al patrimonio no desconoce el artículo 317 de la Constitución. </w:t>
      </w:r>
    </w:p>
    <w:p w:rsidR="003F7F7E" w:rsidRPr="00B86EDB" w:rsidRDefault="00B86EDB" w:rsidP="009F3F6A">
      <w:pPr>
        <w:pStyle w:val="Prrafodelista"/>
        <w:widowControl w:val="0"/>
        <w:tabs>
          <w:tab w:val="left" w:pos="90"/>
          <w:tab w:val="left" w:pos="567"/>
          <w:tab w:val="left" w:pos="709"/>
        </w:tabs>
        <w:ind w:left="0"/>
        <w:contextualSpacing w:val="0"/>
        <w:jc w:val="both"/>
        <w:rPr>
          <w:rFonts w:ascii="Times New Roman" w:hAnsi="Times New Roman" w:cs="Times New Roman"/>
          <w:b/>
          <w:bCs/>
          <w:sz w:val="28"/>
          <w:szCs w:val="28"/>
        </w:rPr>
      </w:pPr>
      <w:r w:rsidRPr="00B86EDB">
        <w:rPr>
          <w:rFonts w:ascii="Times New Roman" w:hAnsi="Times New Roman" w:cs="Times New Roman"/>
          <w:sz w:val="28"/>
          <w:szCs w:val="28"/>
        </w:rPr>
        <w:t xml:space="preserve"> </w:t>
      </w:r>
    </w:p>
    <w:p w:rsidR="003F7F7E"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b/>
          <w:bCs/>
          <w:sz w:val="28"/>
          <w:szCs w:val="28"/>
        </w:rPr>
      </w:pPr>
      <w:r w:rsidRPr="00B86EDB">
        <w:rPr>
          <w:rFonts w:ascii="Times New Roman" w:hAnsi="Times New Roman" w:cs="Times New Roman"/>
          <w:sz w:val="28"/>
          <w:szCs w:val="28"/>
        </w:rPr>
        <w:t>En particular, el Ministerio de Hacienda y Crédito Público resaltó que entre este caso y los decidid</w:t>
      </w:r>
      <w:r w:rsidRPr="00B86EDB">
        <w:rPr>
          <w:rFonts w:ascii="Times New Roman" w:hAnsi="Times New Roman" w:cs="Times New Roman"/>
          <w:sz w:val="28"/>
          <w:szCs w:val="28"/>
        </w:rPr>
        <w:t xml:space="preserve">os en las </w:t>
      </w:r>
      <w:r w:rsidRPr="00B86EDB">
        <w:rPr>
          <w:rFonts w:ascii="Times New Roman" w:hAnsi="Times New Roman" w:cs="Times New Roman"/>
          <w:sz w:val="28"/>
          <w:szCs w:val="28"/>
        </w:rPr>
        <w:t>S</w:t>
      </w:r>
      <w:r w:rsidRPr="00B86EDB">
        <w:rPr>
          <w:rFonts w:ascii="Times New Roman" w:hAnsi="Times New Roman" w:cs="Times New Roman"/>
          <w:sz w:val="28"/>
          <w:szCs w:val="28"/>
        </w:rPr>
        <w:t xml:space="preserve">entencias C-876 de 2002 y C-990 de 2004 existe identidad de objeto, cargo y parámetro de control. </w:t>
      </w:r>
      <w:r w:rsidRPr="00B86EDB">
        <w:rPr>
          <w:rFonts w:ascii="Times New Roman" w:hAnsi="Times New Roman" w:cs="Times New Roman"/>
          <w:i/>
          <w:iCs/>
          <w:sz w:val="28"/>
          <w:szCs w:val="28"/>
        </w:rPr>
        <w:t xml:space="preserve">Identidad de objeto, </w:t>
      </w:r>
      <w:r w:rsidRPr="00B86EDB">
        <w:rPr>
          <w:rFonts w:ascii="Times New Roman" w:hAnsi="Times New Roman" w:cs="Times New Roman"/>
          <w:sz w:val="28"/>
          <w:szCs w:val="28"/>
        </w:rPr>
        <w:t xml:space="preserve">por cuanto las normas demandadas tienen un contenido normativo sustancial equivalente. En esos casos se estudiaron normas que </w:t>
      </w:r>
      <w:r w:rsidRPr="00B86EDB">
        <w:rPr>
          <w:rFonts w:ascii="Times New Roman" w:hAnsi="Times New Roman" w:cs="Times New Roman"/>
          <w:sz w:val="28"/>
          <w:szCs w:val="28"/>
        </w:rPr>
        <w:t xml:space="preserve">incluían la propiedad inmueble en la base gravable del impuesto al patrimonio al igual que las disposiciones </w:t>
      </w:r>
      <w:r w:rsidRPr="00B86EDB">
        <w:rPr>
          <w:rFonts w:ascii="Times New Roman" w:hAnsi="Times New Roman" w:cs="Times New Roman"/>
          <w:i/>
          <w:iCs/>
          <w:sz w:val="28"/>
          <w:szCs w:val="28"/>
        </w:rPr>
        <w:t>sub examine</w:t>
      </w:r>
      <w:r w:rsidRPr="00B86EDB">
        <w:rPr>
          <w:rFonts w:ascii="Times New Roman" w:hAnsi="Times New Roman" w:cs="Times New Roman"/>
          <w:sz w:val="28"/>
          <w:szCs w:val="28"/>
        </w:rPr>
        <w:t xml:space="preserve">. </w:t>
      </w:r>
      <w:r w:rsidRPr="00B86EDB">
        <w:rPr>
          <w:rFonts w:ascii="Times New Roman" w:hAnsi="Times New Roman" w:cs="Times New Roman"/>
          <w:i/>
          <w:iCs/>
          <w:sz w:val="28"/>
          <w:szCs w:val="28"/>
        </w:rPr>
        <w:t>Identidad del cargo</w:t>
      </w:r>
      <w:r w:rsidRPr="00B86EDB">
        <w:rPr>
          <w:rFonts w:ascii="Times New Roman" w:hAnsi="Times New Roman" w:cs="Times New Roman"/>
          <w:sz w:val="28"/>
          <w:szCs w:val="28"/>
        </w:rPr>
        <w:t xml:space="preserve">, en razón a que en todos los casos se acusaba la violación del artículo 317 de la Constitución Política. </w:t>
      </w:r>
      <w:r w:rsidRPr="00B86EDB">
        <w:rPr>
          <w:rFonts w:ascii="Times New Roman" w:hAnsi="Times New Roman" w:cs="Times New Roman"/>
          <w:i/>
          <w:iCs/>
          <w:sz w:val="28"/>
          <w:szCs w:val="28"/>
        </w:rPr>
        <w:t>Identidad</w:t>
      </w:r>
      <w:r w:rsidRPr="00B86EDB">
        <w:rPr>
          <w:rFonts w:ascii="Times New Roman" w:hAnsi="Times New Roman" w:cs="Times New Roman"/>
          <w:i/>
          <w:iCs/>
          <w:sz w:val="28"/>
          <w:szCs w:val="28"/>
        </w:rPr>
        <w:t xml:space="preserve"> del parámetro de control</w:t>
      </w:r>
      <w:r w:rsidRPr="00B86EDB">
        <w:rPr>
          <w:rFonts w:ascii="Times New Roman" w:hAnsi="Times New Roman" w:cs="Times New Roman"/>
          <w:sz w:val="28"/>
          <w:szCs w:val="28"/>
        </w:rPr>
        <w:t>, puesto que el artículo 317 no ha sido modificado y su interpretación no ha variado. En particular, la jurisprudencia ha sido pacífica al señalar que la prohibición del artículo 317 solamente se refiere a los casos en que se prete</w:t>
      </w:r>
      <w:r w:rsidRPr="00B86EDB">
        <w:rPr>
          <w:rFonts w:ascii="Times New Roman" w:hAnsi="Times New Roman" w:cs="Times New Roman"/>
          <w:sz w:val="28"/>
          <w:szCs w:val="28"/>
        </w:rPr>
        <w:t xml:space="preserve">nda, por entidades diferentes a los municipios, establecer tributos que recaigan de manera directa y específica sobre el bien inmueble. </w:t>
      </w:r>
    </w:p>
    <w:p w:rsidR="000279F6" w:rsidRPr="00B86EDB" w:rsidRDefault="00B86EDB" w:rsidP="009F3F6A">
      <w:pPr>
        <w:widowControl w:val="0"/>
        <w:tabs>
          <w:tab w:val="left" w:pos="90"/>
          <w:tab w:val="left" w:pos="567"/>
          <w:tab w:val="left" w:pos="709"/>
        </w:tabs>
        <w:jc w:val="both"/>
        <w:rPr>
          <w:rFonts w:ascii="Times New Roman" w:hAnsi="Times New Roman" w:cs="Times New Roman"/>
          <w:b/>
          <w:bCs/>
          <w:sz w:val="28"/>
          <w:szCs w:val="28"/>
        </w:rPr>
      </w:pPr>
    </w:p>
    <w:p w:rsidR="00F20A2E" w:rsidRPr="00B86EDB" w:rsidRDefault="00B86EDB" w:rsidP="009F3F6A">
      <w:pPr>
        <w:jc w:val="both"/>
        <w:rPr>
          <w:rFonts w:ascii="Times New Roman" w:hAnsi="Times New Roman" w:cs="Times New Roman"/>
          <w:b/>
          <w:bCs/>
          <w:i/>
          <w:iCs/>
          <w:sz w:val="28"/>
          <w:szCs w:val="28"/>
        </w:rPr>
      </w:pPr>
    </w:p>
    <w:p w:rsidR="00E56893" w:rsidRPr="00B86EDB" w:rsidRDefault="00B86EDB" w:rsidP="009F3F6A">
      <w:pPr>
        <w:pStyle w:val="Prrafodelista"/>
        <w:numPr>
          <w:ilvl w:val="0"/>
          <w:numId w:val="11"/>
        </w:numPr>
        <w:contextualSpacing w:val="0"/>
        <w:jc w:val="both"/>
        <w:rPr>
          <w:rFonts w:ascii="Times New Roman" w:hAnsi="Times New Roman" w:cs="Times New Roman"/>
          <w:b/>
          <w:bCs/>
          <w:i/>
          <w:iCs/>
          <w:sz w:val="28"/>
          <w:szCs w:val="28"/>
        </w:rPr>
      </w:pPr>
      <w:r w:rsidRPr="00B86EDB">
        <w:rPr>
          <w:rFonts w:ascii="Times New Roman" w:hAnsi="Times New Roman" w:cs="Times New Roman"/>
          <w:b/>
          <w:bCs/>
          <w:i/>
          <w:iCs/>
          <w:sz w:val="28"/>
          <w:szCs w:val="28"/>
        </w:rPr>
        <w:t>Sobre el cargo por violación a</w:t>
      </w:r>
      <w:r w:rsidRPr="00B86EDB">
        <w:rPr>
          <w:rFonts w:ascii="Times New Roman" w:hAnsi="Times New Roman" w:cs="Times New Roman"/>
          <w:b/>
          <w:bCs/>
          <w:i/>
          <w:iCs/>
          <w:sz w:val="28"/>
          <w:szCs w:val="28"/>
        </w:rPr>
        <w:t xml:space="preserve"> los principios de equidad horizontal </w:t>
      </w:r>
      <w:r w:rsidRPr="00B86EDB">
        <w:rPr>
          <w:rFonts w:ascii="Times New Roman" w:hAnsi="Times New Roman" w:cs="Times New Roman"/>
          <w:b/>
          <w:bCs/>
          <w:i/>
          <w:iCs/>
          <w:sz w:val="28"/>
          <w:szCs w:val="28"/>
        </w:rPr>
        <w:t xml:space="preserve">e igualdad por no </w:t>
      </w:r>
      <w:r w:rsidRPr="00B86EDB">
        <w:rPr>
          <w:rFonts w:ascii="Times New Roman" w:hAnsi="Times New Roman" w:cs="Times New Roman"/>
          <w:b/>
          <w:bCs/>
          <w:i/>
          <w:iCs/>
          <w:sz w:val="28"/>
          <w:szCs w:val="28"/>
        </w:rPr>
        <w:t>consagrar un trato diferenciado</w:t>
      </w:r>
      <w:r w:rsidRPr="00B86EDB">
        <w:rPr>
          <w:rFonts w:ascii="Times New Roman" w:hAnsi="Times New Roman" w:cs="Times New Roman"/>
          <w:b/>
          <w:bCs/>
          <w:i/>
          <w:iCs/>
          <w:sz w:val="28"/>
          <w:szCs w:val="28"/>
        </w:rPr>
        <w:t xml:space="preserve"> a</w:t>
      </w:r>
      <w:r w:rsidRPr="00B86EDB">
        <w:rPr>
          <w:rFonts w:ascii="Times New Roman" w:hAnsi="Times New Roman" w:cs="Times New Roman"/>
          <w:b/>
          <w:bCs/>
          <w:i/>
          <w:iCs/>
          <w:sz w:val="28"/>
          <w:szCs w:val="28"/>
        </w:rPr>
        <w:t xml:space="preserve"> </w:t>
      </w:r>
      <w:r w:rsidRPr="00B86EDB">
        <w:rPr>
          <w:rFonts w:ascii="Times New Roman" w:hAnsi="Times New Roman" w:cs="Times New Roman"/>
          <w:b/>
          <w:bCs/>
          <w:i/>
          <w:iCs/>
          <w:sz w:val="28"/>
          <w:szCs w:val="28"/>
        </w:rPr>
        <w:t xml:space="preserve">los sujetos pasivos personas naturales y </w:t>
      </w:r>
      <w:r w:rsidRPr="00B86EDB">
        <w:rPr>
          <w:rFonts w:ascii="Times New Roman" w:hAnsi="Times New Roman" w:cs="Times New Roman"/>
          <w:b/>
          <w:bCs/>
          <w:i/>
          <w:iCs/>
          <w:sz w:val="28"/>
          <w:szCs w:val="28"/>
        </w:rPr>
        <w:t xml:space="preserve">sucesiones ilíquidas contribuyentes del impuesto sobre la renta </w:t>
      </w:r>
      <w:r w:rsidRPr="00B86EDB">
        <w:rPr>
          <w:rFonts w:ascii="Times New Roman" w:hAnsi="Times New Roman" w:cs="Times New Roman"/>
          <w:b/>
          <w:bCs/>
          <w:i/>
          <w:iCs/>
          <w:sz w:val="28"/>
          <w:szCs w:val="28"/>
        </w:rPr>
        <w:t>que no tienen</w:t>
      </w:r>
      <w:r w:rsidRPr="00B86EDB">
        <w:rPr>
          <w:rFonts w:ascii="Times New Roman" w:hAnsi="Times New Roman" w:cs="Times New Roman"/>
          <w:b/>
          <w:bCs/>
          <w:i/>
          <w:iCs/>
          <w:sz w:val="28"/>
          <w:szCs w:val="28"/>
        </w:rPr>
        <w:t xml:space="preserve"> liquidez </w:t>
      </w:r>
      <w:r w:rsidRPr="00B86EDB">
        <w:rPr>
          <w:rFonts w:ascii="Times New Roman" w:hAnsi="Times New Roman" w:cs="Times New Roman"/>
          <w:b/>
          <w:bCs/>
          <w:i/>
          <w:iCs/>
          <w:sz w:val="28"/>
          <w:szCs w:val="28"/>
        </w:rPr>
        <w:t xml:space="preserve">(Artículos 13, 95-9 y 363 de la </w:t>
      </w:r>
      <w:r w:rsidRPr="00B86EDB">
        <w:rPr>
          <w:rFonts w:ascii="Times New Roman" w:hAnsi="Times New Roman" w:cs="Times New Roman"/>
          <w:b/>
          <w:bCs/>
          <w:i/>
          <w:iCs/>
          <w:sz w:val="28"/>
          <w:szCs w:val="28"/>
        </w:rPr>
        <w:t>Constitución</w:t>
      </w:r>
      <w:r w:rsidRPr="00B86EDB">
        <w:rPr>
          <w:rFonts w:ascii="Times New Roman" w:hAnsi="Times New Roman" w:cs="Times New Roman"/>
          <w:b/>
          <w:bCs/>
          <w:i/>
          <w:iCs/>
          <w:sz w:val="28"/>
          <w:szCs w:val="28"/>
        </w:rPr>
        <w:t xml:space="preserve"> Política)</w:t>
      </w:r>
    </w:p>
    <w:p w:rsidR="000279F6" w:rsidRPr="00B86EDB" w:rsidRDefault="00B86EDB" w:rsidP="009F3F6A">
      <w:pPr>
        <w:widowControl w:val="0"/>
        <w:tabs>
          <w:tab w:val="left" w:pos="90"/>
          <w:tab w:val="left" w:pos="567"/>
          <w:tab w:val="left" w:pos="709"/>
        </w:tabs>
        <w:jc w:val="both"/>
        <w:rPr>
          <w:rFonts w:ascii="Times New Roman" w:hAnsi="Times New Roman" w:cs="Times New Roman"/>
          <w:b/>
          <w:bCs/>
          <w:sz w:val="28"/>
          <w:szCs w:val="28"/>
        </w:rPr>
      </w:pPr>
    </w:p>
    <w:p w:rsidR="0053484F"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Previo a la formulación de las razones puntuales de defensa de cada c</w:t>
      </w:r>
      <w:r w:rsidRPr="00B86EDB">
        <w:rPr>
          <w:rFonts w:ascii="Times New Roman" w:hAnsi="Times New Roman" w:cs="Times New Roman"/>
          <w:sz w:val="28"/>
          <w:szCs w:val="28"/>
        </w:rPr>
        <w:t xml:space="preserve">argo, las </w:t>
      </w:r>
      <w:r w:rsidRPr="00B86EDB">
        <w:rPr>
          <w:rFonts w:ascii="Times New Roman" w:hAnsi="Times New Roman" w:cs="Times New Roman"/>
          <w:sz w:val="28"/>
          <w:szCs w:val="28"/>
        </w:rPr>
        <w:t xml:space="preserve">tres </w:t>
      </w:r>
      <w:r w:rsidRPr="00B86EDB">
        <w:rPr>
          <w:rFonts w:ascii="Times New Roman" w:hAnsi="Times New Roman" w:cs="Times New Roman"/>
          <w:sz w:val="28"/>
          <w:szCs w:val="28"/>
        </w:rPr>
        <w:t xml:space="preserve">entidades oficiales resaltaron </w:t>
      </w:r>
      <w:r w:rsidRPr="00B86EDB">
        <w:rPr>
          <w:rFonts w:ascii="Times New Roman" w:hAnsi="Times New Roman" w:cs="Times New Roman"/>
          <w:sz w:val="28"/>
          <w:szCs w:val="28"/>
        </w:rPr>
        <w:t xml:space="preserve">que la Ley 2277 de 2022 </w:t>
      </w:r>
      <w:r w:rsidRPr="00B86EDB">
        <w:rPr>
          <w:rFonts w:ascii="Times New Roman" w:hAnsi="Times New Roman" w:cs="Times New Roman"/>
          <w:sz w:val="28"/>
          <w:szCs w:val="28"/>
        </w:rPr>
        <w:t>fortalece la equidad del sistema tributario</w:t>
      </w:r>
      <w:r w:rsidRPr="00B86EDB">
        <w:rPr>
          <w:rFonts w:ascii="Times New Roman" w:hAnsi="Times New Roman" w:cs="Times New Roman"/>
          <w:sz w:val="28"/>
          <w:szCs w:val="28"/>
        </w:rPr>
        <w:t xml:space="preserve"> y </w:t>
      </w:r>
      <w:r w:rsidRPr="00B86EDB">
        <w:rPr>
          <w:rFonts w:ascii="Times New Roman" w:hAnsi="Times New Roman" w:cs="Times New Roman"/>
          <w:sz w:val="28"/>
          <w:szCs w:val="28"/>
        </w:rPr>
        <w:t xml:space="preserve">permite la consecución de mayores fuentes de ingresos </w:t>
      </w:r>
      <w:r w:rsidRPr="00B86EDB">
        <w:rPr>
          <w:rFonts w:ascii="Times New Roman" w:hAnsi="Times New Roman" w:cs="Times New Roman"/>
          <w:sz w:val="28"/>
          <w:szCs w:val="28"/>
        </w:rPr>
        <w:t>para el gasto social</w:t>
      </w:r>
      <w:r w:rsidRPr="00B86EDB">
        <w:rPr>
          <w:rFonts w:ascii="Times New Roman" w:hAnsi="Times New Roman" w:cs="Times New Roman"/>
          <w:sz w:val="28"/>
          <w:szCs w:val="28"/>
        </w:rPr>
        <w:t>.</w:t>
      </w:r>
      <w:r w:rsidRPr="00B86EDB">
        <w:rPr>
          <w:rStyle w:val="Refdenotaalpie"/>
          <w:rFonts w:ascii="Times New Roman" w:hAnsi="Times New Roman" w:cs="Times New Roman"/>
          <w:sz w:val="28"/>
          <w:szCs w:val="28"/>
        </w:rPr>
        <w:footnoteReference w:id="15"/>
      </w:r>
      <w:r w:rsidRPr="00B86EDB">
        <w:rPr>
          <w:rFonts w:ascii="Times New Roman" w:hAnsi="Times New Roman" w:cs="Times New Roman"/>
          <w:sz w:val="28"/>
          <w:szCs w:val="28"/>
        </w:rPr>
        <w:t xml:space="preserve"> En particular, </w:t>
      </w:r>
      <w:r w:rsidRPr="00B86EDB">
        <w:rPr>
          <w:rFonts w:ascii="Times New Roman" w:hAnsi="Times New Roman" w:cs="Times New Roman"/>
          <w:sz w:val="28"/>
          <w:szCs w:val="28"/>
        </w:rPr>
        <w:t xml:space="preserve">señalaron </w:t>
      </w:r>
      <w:r w:rsidRPr="00B86EDB">
        <w:rPr>
          <w:rFonts w:ascii="Times New Roman" w:hAnsi="Times New Roman" w:cs="Times New Roman"/>
          <w:sz w:val="28"/>
          <w:szCs w:val="28"/>
        </w:rPr>
        <w:t xml:space="preserve">que el impuesto al patrimonio </w:t>
      </w:r>
      <w:r w:rsidRPr="00B86EDB">
        <w:rPr>
          <w:rFonts w:ascii="Times New Roman" w:hAnsi="Times New Roman" w:cs="Times New Roman"/>
          <w:sz w:val="28"/>
          <w:szCs w:val="28"/>
        </w:rPr>
        <w:t>“</w:t>
      </w:r>
      <w:r w:rsidRPr="00B86EDB">
        <w:rPr>
          <w:rFonts w:ascii="Times New Roman" w:hAnsi="Times New Roman" w:cs="Times New Roman"/>
          <w:sz w:val="28"/>
          <w:szCs w:val="28"/>
        </w:rPr>
        <w:t>propende por la equidad del sistema tributario buscando que las personas que disponen de capitales elevados paguen una suma adicional, como producto de la rentabilidad que pueden obtener a partir de sus activos</w:t>
      </w:r>
      <w:r w:rsidRPr="00B86EDB">
        <w:rPr>
          <w:rFonts w:ascii="Times New Roman" w:hAnsi="Times New Roman" w:cs="Times New Roman"/>
          <w:sz w:val="28"/>
          <w:szCs w:val="28"/>
        </w:rPr>
        <w:t>.</w:t>
      </w:r>
      <w:r w:rsidRPr="00B86EDB">
        <w:rPr>
          <w:rFonts w:ascii="Times New Roman" w:hAnsi="Times New Roman" w:cs="Times New Roman"/>
          <w:sz w:val="28"/>
          <w:szCs w:val="28"/>
        </w:rPr>
        <w:t>”</w:t>
      </w:r>
      <w:r w:rsidRPr="00B86EDB">
        <w:rPr>
          <w:rStyle w:val="Refdenotaalpie"/>
          <w:rFonts w:ascii="Times New Roman" w:hAnsi="Times New Roman" w:cs="Times New Roman"/>
          <w:sz w:val="28"/>
          <w:szCs w:val="28"/>
        </w:rPr>
        <w:footnoteReference w:id="16"/>
      </w:r>
    </w:p>
    <w:p w:rsidR="00F20A2E" w:rsidRPr="00B86EDB" w:rsidRDefault="00B86EDB" w:rsidP="009F3F6A">
      <w:pPr>
        <w:pStyle w:val="Prrafodelista"/>
        <w:widowControl w:val="0"/>
        <w:tabs>
          <w:tab w:val="left" w:pos="90"/>
          <w:tab w:val="left" w:pos="567"/>
          <w:tab w:val="left" w:pos="709"/>
        </w:tabs>
        <w:ind w:left="0"/>
        <w:contextualSpacing w:val="0"/>
        <w:jc w:val="both"/>
        <w:rPr>
          <w:rFonts w:ascii="Times New Roman" w:hAnsi="Times New Roman" w:cs="Times New Roman"/>
          <w:b/>
          <w:bCs/>
          <w:i/>
          <w:iCs/>
          <w:sz w:val="28"/>
          <w:szCs w:val="28"/>
        </w:rPr>
      </w:pPr>
    </w:p>
    <w:p w:rsidR="00A372A4"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b/>
          <w:bCs/>
          <w:i/>
          <w:iCs/>
          <w:sz w:val="28"/>
          <w:szCs w:val="28"/>
        </w:rPr>
      </w:pPr>
      <w:r w:rsidRPr="00B86EDB">
        <w:rPr>
          <w:rFonts w:ascii="Times New Roman" w:hAnsi="Times New Roman" w:cs="Times New Roman"/>
          <w:sz w:val="28"/>
          <w:szCs w:val="28"/>
        </w:rPr>
        <w:t>El Ministerio de Hacienda y Crédito Públi</w:t>
      </w:r>
      <w:r w:rsidRPr="00B86EDB">
        <w:rPr>
          <w:rFonts w:ascii="Times New Roman" w:hAnsi="Times New Roman" w:cs="Times New Roman"/>
          <w:sz w:val="28"/>
          <w:szCs w:val="28"/>
        </w:rPr>
        <w:t xml:space="preserve">co </w:t>
      </w:r>
      <w:r w:rsidRPr="00B86EDB">
        <w:rPr>
          <w:rFonts w:ascii="Times New Roman" w:hAnsi="Times New Roman" w:cs="Times New Roman"/>
          <w:sz w:val="28"/>
          <w:szCs w:val="28"/>
        </w:rPr>
        <w:t>resalt</w:t>
      </w:r>
      <w:r w:rsidRPr="00B86EDB">
        <w:rPr>
          <w:rFonts w:ascii="Times New Roman" w:hAnsi="Times New Roman" w:cs="Times New Roman"/>
          <w:sz w:val="28"/>
          <w:szCs w:val="28"/>
        </w:rPr>
        <w:t>ó</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que el sistema tributario se rige</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por </w:t>
      </w:r>
      <w:r w:rsidRPr="00B86EDB">
        <w:rPr>
          <w:rFonts w:ascii="Times New Roman" w:hAnsi="Times New Roman" w:cs="Times New Roman"/>
          <w:sz w:val="28"/>
          <w:szCs w:val="28"/>
        </w:rPr>
        <w:t xml:space="preserve">el </w:t>
      </w:r>
      <w:r w:rsidRPr="00B86EDB">
        <w:rPr>
          <w:rFonts w:ascii="Times New Roman" w:hAnsi="Times New Roman" w:cs="Times New Roman"/>
          <w:sz w:val="28"/>
          <w:szCs w:val="28"/>
        </w:rPr>
        <w:t>principio autónomo de capacidad contributiva</w:t>
      </w:r>
      <w:r w:rsidRPr="00B86EDB">
        <w:rPr>
          <w:rFonts w:ascii="Times New Roman" w:hAnsi="Times New Roman" w:cs="Times New Roman"/>
          <w:sz w:val="28"/>
          <w:szCs w:val="28"/>
        </w:rPr>
        <w:t xml:space="preserve">, según </w:t>
      </w:r>
      <w:r w:rsidRPr="00B86EDB">
        <w:rPr>
          <w:rFonts w:ascii="Times New Roman" w:hAnsi="Times New Roman" w:cs="Times New Roman"/>
          <w:sz w:val="28"/>
          <w:szCs w:val="28"/>
        </w:rPr>
        <w:t>el cual el legislador debe consultar</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en la medida de lo posible</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que los destinatarios cuentan con las condiciones económicas para pagar</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los</w:t>
      </w:r>
      <w:r w:rsidRPr="00B86EDB">
        <w:rPr>
          <w:rFonts w:ascii="Times New Roman" w:hAnsi="Times New Roman" w:cs="Times New Roman"/>
          <w:sz w:val="28"/>
          <w:szCs w:val="28"/>
        </w:rPr>
        <w:t xml:space="preserve"> tributos</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E</w:t>
      </w:r>
      <w:r w:rsidRPr="00B86EDB">
        <w:rPr>
          <w:rFonts w:ascii="Times New Roman" w:hAnsi="Times New Roman" w:cs="Times New Roman"/>
          <w:sz w:val="28"/>
          <w:szCs w:val="28"/>
        </w:rPr>
        <w:t xml:space="preserve">xplicó </w:t>
      </w:r>
      <w:r w:rsidRPr="00B86EDB">
        <w:rPr>
          <w:rFonts w:ascii="Times New Roman" w:hAnsi="Times New Roman" w:cs="Times New Roman"/>
          <w:sz w:val="28"/>
          <w:szCs w:val="28"/>
        </w:rPr>
        <w:t xml:space="preserve">que el impuesto al patrimonio sí tiene en </w:t>
      </w:r>
      <w:r w:rsidRPr="00B86EDB">
        <w:rPr>
          <w:rFonts w:ascii="Times New Roman" w:hAnsi="Times New Roman" w:cs="Times New Roman"/>
          <w:sz w:val="28"/>
          <w:szCs w:val="28"/>
        </w:rPr>
        <w:t>cuenta</w:t>
      </w:r>
      <w:r w:rsidRPr="00B86EDB">
        <w:rPr>
          <w:rFonts w:ascii="Times New Roman" w:hAnsi="Times New Roman" w:cs="Times New Roman"/>
          <w:sz w:val="28"/>
          <w:szCs w:val="28"/>
        </w:rPr>
        <w:t xml:space="preserve"> la liquidez de los sujetos pasivos, pues el umbral de las 72.000 </w:t>
      </w:r>
      <w:r w:rsidRPr="00B86EDB">
        <w:rPr>
          <w:rFonts w:ascii="Times New Roman" w:hAnsi="Times New Roman" w:cs="Times New Roman"/>
          <w:sz w:val="28"/>
          <w:szCs w:val="28"/>
        </w:rPr>
        <w:t xml:space="preserve">Unidades de Valor Tributaria - </w:t>
      </w:r>
      <w:r w:rsidRPr="00B86EDB">
        <w:rPr>
          <w:rFonts w:ascii="Times New Roman" w:hAnsi="Times New Roman" w:cs="Times New Roman"/>
          <w:sz w:val="28"/>
          <w:szCs w:val="28"/>
        </w:rPr>
        <w:t xml:space="preserve">UVT permite entender que una persona con ese nivel de riqueza cuenta con fondos suficientes para pagar </w:t>
      </w:r>
      <w:r w:rsidRPr="00B86EDB">
        <w:rPr>
          <w:rFonts w:ascii="Times New Roman" w:hAnsi="Times New Roman" w:cs="Times New Roman"/>
          <w:sz w:val="28"/>
          <w:szCs w:val="28"/>
        </w:rPr>
        <w:t>este tributo</w:t>
      </w:r>
      <w:r w:rsidRPr="00B86EDB">
        <w:rPr>
          <w:rFonts w:ascii="Times New Roman" w:hAnsi="Times New Roman" w:cs="Times New Roman"/>
          <w:sz w:val="28"/>
          <w:szCs w:val="28"/>
        </w:rPr>
        <w:t xml:space="preserve">. Insistió en que el impuesto </w:t>
      </w:r>
      <w:r w:rsidRPr="00B86EDB">
        <w:rPr>
          <w:rFonts w:ascii="Times New Roman" w:hAnsi="Times New Roman" w:cs="Times New Roman"/>
          <w:sz w:val="28"/>
          <w:szCs w:val="28"/>
        </w:rPr>
        <w:t xml:space="preserve">se calcula </w:t>
      </w:r>
      <w:r w:rsidRPr="00B86EDB">
        <w:rPr>
          <w:rFonts w:ascii="Times New Roman" w:hAnsi="Times New Roman" w:cs="Times New Roman"/>
          <w:sz w:val="28"/>
          <w:szCs w:val="28"/>
        </w:rPr>
        <w:t>sobre</w:t>
      </w:r>
      <w:r w:rsidRPr="00B86EDB">
        <w:rPr>
          <w:rFonts w:ascii="Times New Roman" w:hAnsi="Times New Roman" w:cs="Times New Roman"/>
          <w:sz w:val="28"/>
          <w:szCs w:val="28"/>
        </w:rPr>
        <w:t xml:space="preserve"> un valor neto</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y permite detraer las primeras 12.000 </w:t>
      </w:r>
      <w:r w:rsidRPr="00B86EDB">
        <w:rPr>
          <w:rFonts w:ascii="Times New Roman" w:hAnsi="Times New Roman" w:cs="Times New Roman"/>
          <w:sz w:val="28"/>
          <w:szCs w:val="28"/>
        </w:rPr>
        <w:t>Unidades de Valor Tributaria -</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UVT </w:t>
      </w:r>
      <w:r w:rsidRPr="00B86EDB">
        <w:rPr>
          <w:rFonts w:ascii="Times New Roman" w:hAnsi="Times New Roman" w:cs="Times New Roman"/>
          <w:sz w:val="28"/>
          <w:szCs w:val="28"/>
        </w:rPr>
        <w:t>correspondientes a la propiedad de un inmueble de</w:t>
      </w:r>
      <w:r w:rsidRPr="00B86EDB">
        <w:rPr>
          <w:rFonts w:ascii="Times New Roman" w:hAnsi="Times New Roman" w:cs="Times New Roman"/>
          <w:sz w:val="28"/>
          <w:szCs w:val="28"/>
        </w:rPr>
        <w:t xml:space="preserve"> habitación, lo </w:t>
      </w:r>
      <w:r w:rsidRPr="00B86EDB">
        <w:rPr>
          <w:rFonts w:ascii="Times New Roman" w:hAnsi="Times New Roman" w:cs="Times New Roman"/>
          <w:sz w:val="28"/>
          <w:szCs w:val="28"/>
        </w:rPr>
        <w:t>que hace posible identificar el provecho econ</w:t>
      </w:r>
      <w:r w:rsidRPr="00B86EDB">
        <w:rPr>
          <w:rFonts w:ascii="Times New Roman" w:hAnsi="Times New Roman" w:cs="Times New Roman"/>
          <w:sz w:val="28"/>
          <w:szCs w:val="28"/>
        </w:rPr>
        <w:t>ómico</w:t>
      </w:r>
      <w:r w:rsidRPr="00B86EDB">
        <w:rPr>
          <w:rFonts w:ascii="Times New Roman" w:hAnsi="Times New Roman" w:cs="Times New Roman"/>
          <w:sz w:val="28"/>
          <w:szCs w:val="28"/>
        </w:rPr>
        <w:t xml:space="preserve"> y garantizar la subsistencia. </w:t>
      </w:r>
      <w:r w:rsidRPr="00B86EDB">
        <w:rPr>
          <w:rFonts w:ascii="Times New Roman" w:hAnsi="Times New Roman" w:cs="Times New Roman"/>
          <w:sz w:val="28"/>
          <w:szCs w:val="28"/>
        </w:rPr>
        <w:t xml:space="preserve">Indicó que </w:t>
      </w:r>
      <w:r w:rsidRPr="00B86EDB">
        <w:rPr>
          <w:rFonts w:ascii="Times New Roman" w:hAnsi="Times New Roman" w:cs="Times New Roman"/>
          <w:i/>
          <w:iCs/>
          <w:sz w:val="28"/>
          <w:szCs w:val="28"/>
        </w:rPr>
        <w:t>“</w:t>
      </w:r>
      <w:r w:rsidRPr="00B86EDB">
        <w:rPr>
          <w:rFonts w:ascii="Times New Roman" w:hAnsi="Times New Roman" w:cs="Times New Roman"/>
          <w:i/>
          <w:iCs/>
          <w:sz w:val="28"/>
          <w:szCs w:val="28"/>
        </w:rPr>
        <w:t>no le asiste razón al demandante cuando señala que el impuesto al patrimonio no distingue a los contribuyentes que no cuentan con la liquidez para pagar el impuesto, pues el tributo grava a un reducido número</w:t>
      </w:r>
      <w:r w:rsidRPr="00B86EDB">
        <w:rPr>
          <w:rFonts w:ascii="Times New Roman" w:hAnsi="Times New Roman" w:cs="Times New Roman"/>
          <w:i/>
          <w:iCs/>
          <w:sz w:val="28"/>
          <w:szCs w:val="28"/>
        </w:rPr>
        <w:t xml:space="preserve"> de personas naturales que tiene una relación de ingresos y patrimonio altos, lo cual le otorga al sistema mayor progresividad</w:t>
      </w:r>
      <w:r w:rsidRPr="00B86EDB">
        <w:rPr>
          <w:rFonts w:ascii="Times New Roman" w:hAnsi="Times New Roman" w:cs="Times New Roman"/>
          <w:i/>
          <w:iCs/>
          <w:sz w:val="28"/>
          <w:szCs w:val="28"/>
        </w:rPr>
        <w:t>.</w:t>
      </w:r>
      <w:r w:rsidRPr="00B86EDB">
        <w:rPr>
          <w:rFonts w:ascii="Times New Roman" w:hAnsi="Times New Roman" w:cs="Times New Roman"/>
          <w:i/>
          <w:iCs/>
          <w:sz w:val="28"/>
          <w:szCs w:val="28"/>
        </w:rPr>
        <w:t>”</w:t>
      </w:r>
      <w:r w:rsidRPr="00B86EDB">
        <w:rPr>
          <w:rStyle w:val="Refdenotaalpie"/>
          <w:rFonts w:ascii="Times New Roman" w:hAnsi="Times New Roman" w:cs="Times New Roman"/>
          <w:i/>
          <w:iCs/>
          <w:sz w:val="28"/>
          <w:szCs w:val="28"/>
        </w:rPr>
        <w:footnoteReference w:id="17"/>
      </w:r>
    </w:p>
    <w:p w:rsidR="008E5220" w:rsidRPr="00B86EDB" w:rsidRDefault="00B86EDB" w:rsidP="009F3F6A">
      <w:pPr>
        <w:pStyle w:val="Prrafodelista"/>
        <w:contextualSpacing w:val="0"/>
        <w:rPr>
          <w:rFonts w:ascii="Times New Roman" w:hAnsi="Times New Roman" w:cs="Times New Roman"/>
          <w:b/>
          <w:bCs/>
          <w:i/>
          <w:iCs/>
          <w:sz w:val="28"/>
          <w:szCs w:val="28"/>
        </w:rPr>
      </w:pPr>
    </w:p>
    <w:p w:rsidR="002B6B29"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b/>
          <w:bCs/>
          <w:i/>
          <w:iCs/>
          <w:sz w:val="28"/>
          <w:szCs w:val="28"/>
        </w:rPr>
      </w:pPr>
      <w:r w:rsidRPr="00B86EDB">
        <w:rPr>
          <w:rFonts w:ascii="Times New Roman" w:hAnsi="Times New Roman" w:cs="Times New Roman"/>
          <w:sz w:val="28"/>
          <w:szCs w:val="28"/>
        </w:rPr>
        <w:t xml:space="preserve">En particular, el apoderado del Ministerio de Hacienda y Crédito Público indicó que </w:t>
      </w:r>
    </w:p>
    <w:p w:rsidR="002B6B29" w:rsidRPr="00B86EDB" w:rsidRDefault="00B86EDB" w:rsidP="009F3F6A">
      <w:pPr>
        <w:pStyle w:val="Prrafodelista"/>
        <w:contextualSpacing w:val="0"/>
        <w:rPr>
          <w:rFonts w:ascii="Times New Roman" w:hAnsi="Times New Roman" w:cs="Times New Roman"/>
          <w:sz w:val="28"/>
          <w:szCs w:val="28"/>
        </w:rPr>
      </w:pPr>
    </w:p>
    <w:p w:rsidR="008E5220" w:rsidRPr="00B86EDB" w:rsidRDefault="00B86EDB" w:rsidP="009F3F6A">
      <w:pPr>
        <w:pStyle w:val="Prrafodelista"/>
        <w:widowControl w:val="0"/>
        <w:tabs>
          <w:tab w:val="left" w:pos="90"/>
          <w:tab w:val="left" w:pos="567"/>
          <w:tab w:val="left" w:pos="709"/>
        </w:tabs>
        <w:ind w:left="284" w:right="227"/>
        <w:contextualSpacing w:val="0"/>
        <w:jc w:val="both"/>
        <w:rPr>
          <w:rFonts w:ascii="Times New Roman" w:hAnsi="Times New Roman" w:cs="Times New Roman"/>
          <w:b/>
          <w:bCs/>
          <w:sz w:val="28"/>
        </w:rPr>
      </w:pPr>
      <w:r w:rsidRPr="00B86EDB">
        <w:rPr>
          <w:rFonts w:ascii="Times New Roman" w:hAnsi="Times New Roman" w:cs="Times New Roman"/>
          <w:sz w:val="28"/>
        </w:rPr>
        <w:t>“</w:t>
      </w:r>
      <w:r w:rsidRPr="00B86EDB">
        <w:rPr>
          <w:rFonts w:ascii="Times New Roman" w:hAnsi="Times New Roman" w:cs="Times New Roman"/>
          <w:sz w:val="28"/>
        </w:rPr>
        <w:t xml:space="preserve">la coexistencia de varias figuras </w:t>
      </w:r>
      <w:r w:rsidRPr="00B86EDB">
        <w:rPr>
          <w:rFonts w:ascii="Times New Roman" w:hAnsi="Times New Roman" w:cs="Times New Roman"/>
          <w:sz w:val="28"/>
        </w:rPr>
        <w:t>impositivas no significa que sea contraria a la Carta, pues bien puede ocurrir en la práctica que un sujeto cuente con suficientes medios económicos como para concurrir al pago de dos impuestos idénticos, sin que esa situación genere detrimento a su dignid</w:t>
      </w:r>
      <w:r w:rsidRPr="00B86EDB">
        <w:rPr>
          <w:rFonts w:ascii="Times New Roman" w:hAnsi="Times New Roman" w:cs="Times New Roman"/>
          <w:sz w:val="28"/>
        </w:rPr>
        <w:t>ad. Esto es, precisamente, lo que sucedería si el propietario de un inmueble sometido al impuesto predial unificado resultare ser sujeto pasivo del impuesto al patrimonio. Lo anterior, dado que el umbral para resultar gravado por este último tributo es tan</w:t>
      </w:r>
      <w:r w:rsidRPr="00B86EDB">
        <w:rPr>
          <w:rFonts w:ascii="Times New Roman" w:hAnsi="Times New Roman" w:cs="Times New Roman"/>
          <w:sz w:val="28"/>
        </w:rPr>
        <w:t xml:space="preserve"> alto ($3.053.664.000, para el 2023) que sería difícil concebir un caso en el cual, pese a la posesión de semejante nivel de riqueza, el contribuyente carezca de la capacidad para pagar ambos impuestos</w:t>
      </w:r>
      <w:r w:rsidRPr="00B86EDB">
        <w:rPr>
          <w:rFonts w:ascii="Times New Roman" w:hAnsi="Times New Roman" w:cs="Times New Roman"/>
          <w:sz w:val="28"/>
        </w:rPr>
        <w:t>”.</w:t>
      </w:r>
      <w:r w:rsidRPr="00B86EDB">
        <w:rPr>
          <w:rStyle w:val="Refdenotaalpie"/>
          <w:rFonts w:ascii="Times New Roman" w:hAnsi="Times New Roman" w:cs="Times New Roman"/>
          <w:sz w:val="28"/>
        </w:rPr>
        <w:footnoteReference w:id="18"/>
      </w:r>
    </w:p>
    <w:p w:rsidR="00B1383E" w:rsidRPr="00B86EDB" w:rsidRDefault="00B86EDB" w:rsidP="009F3F6A">
      <w:pPr>
        <w:pStyle w:val="Prrafodelista"/>
        <w:widowControl w:val="0"/>
        <w:tabs>
          <w:tab w:val="left" w:pos="90"/>
          <w:tab w:val="left" w:pos="567"/>
          <w:tab w:val="left" w:pos="709"/>
        </w:tabs>
        <w:ind w:left="0"/>
        <w:contextualSpacing w:val="0"/>
        <w:jc w:val="both"/>
        <w:rPr>
          <w:rFonts w:ascii="Times New Roman" w:hAnsi="Times New Roman" w:cs="Times New Roman"/>
          <w:b/>
          <w:bCs/>
          <w:i/>
          <w:iCs/>
          <w:sz w:val="28"/>
          <w:szCs w:val="28"/>
        </w:rPr>
      </w:pPr>
    </w:p>
    <w:p w:rsidR="00E27F61"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b/>
          <w:bCs/>
          <w:i/>
          <w:iCs/>
          <w:sz w:val="28"/>
          <w:szCs w:val="28"/>
        </w:rPr>
      </w:pPr>
      <w:r w:rsidRPr="00B86EDB">
        <w:rPr>
          <w:rFonts w:ascii="Times New Roman" w:hAnsi="Times New Roman" w:cs="Times New Roman"/>
          <w:sz w:val="28"/>
          <w:szCs w:val="28"/>
        </w:rPr>
        <w:t xml:space="preserve">El DAPRE y la </w:t>
      </w:r>
      <w:r w:rsidRPr="00B86EDB">
        <w:rPr>
          <w:rFonts w:ascii="Times New Roman" w:hAnsi="Times New Roman" w:cs="Times New Roman"/>
          <w:sz w:val="28"/>
          <w:szCs w:val="28"/>
        </w:rPr>
        <w:t>DIAN</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señalaron a la Corte que la sol</w:t>
      </w:r>
      <w:r w:rsidRPr="00B86EDB">
        <w:rPr>
          <w:rFonts w:ascii="Times New Roman" w:hAnsi="Times New Roman" w:cs="Times New Roman"/>
          <w:sz w:val="28"/>
          <w:szCs w:val="28"/>
        </w:rPr>
        <w:t xml:space="preserve">ución de este cargo exige la aplicación de un </w:t>
      </w:r>
      <w:r w:rsidRPr="00B86EDB">
        <w:rPr>
          <w:rFonts w:ascii="Times New Roman" w:hAnsi="Times New Roman" w:cs="Times New Roman"/>
          <w:sz w:val="28"/>
          <w:szCs w:val="28"/>
        </w:rPr>
        <w:t xml:space="preserve">test de igualdad </w:t>
      </w:r>
      <w:r w:rsidRPr="00B86EDB">
        <w:rPr>
          <w:rFonts w:ascii="Times New Roman" w:hAnsi="Times New Roman" w:cs="Times New Roman"/>
          <w:sz w:val="28"/>
          <w:szCs w:val="28"/>
        </w:rPr>
        <w:t xml:space="preserve">de intensidad </w:t>
      </w:r>
      <w:r w:rsidRPr="00B86EDB">
        <w:rPr>
          <w:rFonts w:ascii="Times New Roman" w:hAnsi="Times New Roman" w:cs="Times New Roman"/>
          <w:sz w:val="28"/>
          <w:szCs w:val="28"/>
        </w:rPr>
        <w:t>leve</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Concluyeron que las normas acusadas superan el test en tanto </w:t>
      </w:r>
      <w:r w:rsidRPr="00B86EDB">
        <w:rPr>
          <w:rFonts w:ascii="Times New Roman" w:hAnsi="Times New Roman" w:cs="Times New Roman"/>
          <w:sz w:val="28"/>
          <w:szCs w:val="28"/>
        </w:rPr>
        <w:t>la</w:t>
      </w:r>
      <w:r w:rsidRPr="00B86EDB">
        <w:rPr>
          <w:rFonts w:ascii="Times New Roman" w:hAnsi="Times New Roman" w:cs="Times New Roman"/>
          <w:sz w:val="28"/>
          <w:szCs w:val="28"/>
        </w:rPr>
        <w:t>s</w:t>
      </w:r>
      <w:r w:rsidRPr="00B86EDB">
        <w:rPr>
          <w:rFonts w:ascii="Times New Roman" w:hAnsi="Times New Roman" w:cs="Times New Roman"/>
          <w:sz w:val="28"/>
          <w:szCs w:val="28"/>
        </w:rPr>
        <w:t xml:space="preserve"> finalidad</w:t>
      </w:r>
      <w:r w:rsidRPr="00B86EDB">
        <w:rPr>
          <w:rFonts w:ascii="Times New Roman" w:hAnsi="Times New Roman" w:cs="Times New Roman"/>
          <w:sz w:val="28"/>
          <w:szCs w:val="28"/>
        </w:rPr>
        <w:t>es</w:t>
      </w:r>
      <w:r w:rsidRPr="00B86EDB">
        <w:rPr>
          <w:rFonts w:ascii="Times New Roman" w:hAnsi="Times New Roman" w:cs="Times New Roman"/>
          <w:sz w:val="28"/>
          <w:szCs w:val="28"/>
        </w:rPr>
        <w:t xml:space="preserve"> que persigue la norma</w:t>
      </w:r>
      <w:r w:rsidRPr="00B86EDB">
        <w:rPr>
          <w:rFonts w:ascii="Times New Roman" w:hAnsi="Times New Roman" w:cs="Times New Roman"/>
          <w:i/>
          <w:sz w:val="28"/>
          <w:szCs w:val="28"/>
        </w:rPr>
        <w:t xml:space="preserve"> </w:t>
      </w:r>
      <w:r w:rsidRPr="00B86EDB">
        <w:rPr>
          <w:rFonts w:ascii="Times New Roman" w:hAnsi="Times New Roman" w:cs="Times New Roman"/>
          <w:sz w:val="28"/>
          <w:szCs w:val="28"/>
        </w:rPr>
        <w:t>no se encuentran prohibidas</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las cuales,</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de conformidad con la exposición </w:t>
      </w:r>
      <w:r w:rsidRPr="00B86EDB">
        <w:rPr>
          <w:rFonts w:ascii="Times New Roman" w:hAnsi="Times New Roman" w:cs="Times New Roman"/>
          <w:sz w:val="28"/>
          <w:szCs w:val="28"/>
        </w:rPr>
        <w:t>de motivos</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son:</w:t>
      </w:r>
      <w:r w:rsidRPr="00B86EDB">
        <w:rPr>
          <w:rFonts w:ascii="Times New Roman" w:hAnsi="Times New Roman" w:cs="Times New Roman"/>
          <w:sz w:val="28"/>
          <w:szCs w:val="28"/>
        </w:rPr>
        <w:t xml:space="preserve"> la</w:t>
      </w:r>
      <w:r w:rsidRPr="00B86EDB">
        <w:rPr>
          <w:rFonts w:ascii="Times New Roman" w:hAnsi="Times New Roman" w:cs="Times New Roman"/>
          <w:sz w:val="28"/>
          <w:szCs w:val="28"/>
        </w:rPr>
        <w:t xml:space="preserve"> “consecución de recursos para contribuir a la igualdad y la justicia social”</w:t>
      </w:r>
      <w:r w:rsidRPr="00B86EDB">
        <w:rPr>
          <w:rFonts w:ascii="Times New Roman" w:hAnsi="Times New Roman" w:cs="Times New Roman"/>
          <w:sz w:val="28"/>
          <w:szCs w:val="28"/>
        </w:rPr>
        <w:t xml:space="preserve"> y “la financiación del fortalecimiento del sistema de protección social”</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Afirmaron que e</w:t>
      </w:r>
      <w:r w:rsidRPr="00B86EDB">
        <w:rPr>
          <w:rFonts w:ascii="Times New Roman" w:hAnsi="Times New Roman" w:cs="Times New Roman"/>
          <w:sz w:val="28"/>
          <w:szCs w:val="28"/>
        </w:rPr>
        <w:t xml:space="preserve">l impuesto al patrimonio es idóneo para alcanzar </w:t>
      </w:r>
      <w:r w:rsidRPr="00B86EDB">
        <w:rPr>
          <w:rFonts w:ascii="Times New Roman" w:hAnsi="Times New Roman" w:cs="Times New Roman"/>
          <w:sz w:val="28"/>
          <w:szCs w:val="28"/>
        </w:rPr>
        <w:t xml:space="preserve">esas </w:t>
      </w:r>
      <w:r w:rsidRPr="00B86EDB">
        <w:rPr>
          <w:rFonts w:ascii="Times New Roman" w:hAnsi="Times New Roman" w:cs="Times New Roman"/>
          <w:sz w:val="28"/>
          <w:szCs w:val="28"/>
        </w:rPr>
        <w:t>finalidades porq</w:t>
      </w:r>
      <w:r w:rsidRPr="00B86EDB">
        <w:rPr>
          <w:rFonts w:ascii="Times New Roman" w:hAnsi="Times New Roman" w:cs="Times New Roman"/>
          <w:sz w:val="28"/>
          <w:szCs w:val="28"/>
        </w:rPr>
        <w:t xml:space="preserve">ue </w:t>
      </w:r>
      <w:r w:rsidRPr="00B86EDB">
        <w:rPr>
          <w:rFonts w:ascii="Times New Roman" w:hAnsi="Times New Roman" w:cs="Times New Roman"/>
          <w:sz w:val="28"/>
          <w:szCs w:val="28"/>
        </w:rPr>
        <w:t>fija una tarifa progresiva de 0</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a</w:t>
      </w:r>
      <w:r w:rsidRPr="00B86EDB">
        <w:rPr>
          <w:rFonts w:ascii="Times New Roman" w:hAnsi="Times New Roman" w:cs="Times New Roman"/>
          <w:sz w:val="28"/>
          <w:szCs w:val="28"/>
        </w:rPr>
        <w:t>l</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1.5 %</w:t>
      </w:r>
      <w:r w:rsidRPr="00B86EDB">
        <w:rPr>
          <w:rFonts w:ascii="Times New Roman" w:hAnsi="Times New Roman" w:cs="Times New Roman"/>
          <w:sz w:val="28"/>
          <w:szCs w:val="28"/>
        </w:rPr>
        <w:t xml:space="preserve"> para sujetos que anualmente ostentan un patrimonio líquido de 72.000</w:t>
      </w:r>
      <w:r w:rsidRPr="00B86EDB">
        <w:rPr>
          <w:rFonts w:ascii="Times New Roman" w:hAnsi="Times New Roman" w:cs="Times New Roman"/>
          <w:sz w:val="28"/>
          <w:szCs w:val="28"/>
        </w:rPr>
        <w:t xml:space="preserve"> Unidades de Valor Tributaria -</w:t>
      </w:r>
      <w:r w:rsidRPr="00B86EDB">
        <w:rPr>
          <w:rFonts w:ascii="Times New Roman" w:hAnsi="Times New Roman" w:cs="Times New Roman"/>
          <w:sz w:val="28"/>
          <w:szCs w:val="28"/>
        </w:rPr>
        <w:t xml:space="preserve"> UVT en adelante</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A</w:t>
      </w:r>
      <w:r w:rsidRPr="00B86EDB">
        <w:rPr>
          <w:rFonts w:ascii="Times New Roman" w:hAnsi="Times New Roman" w:cs="Times New Roman"/>
          <w:sz w:val="28"/>
          <w:szCs w:val="28"/>
        </w:rPr>
        <w:t xml:space="preserve">demás </w:t>
      </w:r>
      <w:r w:rsidRPr="00B86EDB">
        <w:rPr>
          <w:rFonts w:ascii="Times New Roman" w:hAnsi="Times New Roman" w:cs="Times New Roman"/>
          <w:sz w:val="28"/>
          <w:szCs w:val="28"/>
        </w:rPr>
        <w:t>“el porcentaje real que representa el impuesto pagado sobre el total del patrimonio sol</w:t>
      </w:r>
      <w:r w:rsidRPr="00B86EDB">
        <w:rPr>
          <w:rFonts w:ascii="Times New Roman" w:hAnsi="Times New Roman" w:cs="Times New Roman"/>
          <w:sz w:val="28"/>
          <w:szCs w:val="28"/>
        </w:rPr>
        <w:t>o asciende al 5%”</w:t>
      </w:r>
      <w:r w:rsidRPr="00B86EDB">
        <w:rPr>
          <w:rFonts w:ascii="Times New Roman" w:hAnsi="Times New Roman" w:cs="Times New Roman"/>
          <w:sz w:val="28"/>
          <w:szCs w:val="28"/>
        </w:rPr>
        <w:t xml:space="preserve">. Adicionalmente, sostuvieron que no es cierto que </w:t>
      </w:r>
      <w:r w:rsidRPr="00B86EDB">
        <w:rPr>
          <w:rFonts w:ascii="Times New Roman" w:hAnsi="Times New Roman" w:cs="Times New Roman"/>
          <w:sz w:val="28"/>
          <w:szCs w:val="28"/>
        </w:rPr>
        <w:t xml:space="preserve">en un periodo de 28 años el contribuyente deba entregar al </w:t>
      </w:r>
      <w:r w:rsidRPr="00B86EDB">
        <w:rPr>
          <w:rFonts w:ascii="Times New Roman" w:hAnsi="Times New Roman" w:cs="Times New Roman"/>
          <w:sz w:val="28"/>
          <w:szCs w:val="28"/>
        </w:rPr>
        <w:t>E</w:t>
      </w:r>
      <w:r w:rsidRPr="00B86EDB">
        <w:rPr>
          <w:rFonts w:ascii="Times New Roman" w:hAnsi="Times New Roman" w:cs="Times New Roman"/>
          <w:sz w:val="28"/>
          <w:szCs w:val="28"/>
        </w:rPr>
        <w:t>stado el 30% de su patrimonio y a los 49 años el 50%.</w:t>
      </w:r>
    </w:p>
    <w:p w:rsidR="00FE09E5" w:rsidRPr="00B86EDB" w:rsidRDefault="00B86EDB" w:rsidP="009F3F6A">
      <w:pPr>
        <w:pStyle w:val="Prrafodelista"/>
        <w:widowControl w:val="0"/>
        <w:tabs>
          <w:tab w:val="left" w:pos="90"/>
          <w:tab w:val="left" w:pos="567"/>
          <w:tab w:val="left" w:pos="709"/>
        </w:tabs>
        <w:ind w:left="0"/>
        <w:contextualSpacing w:val="0"/>
        <w:jc w:val="both"/>
        <w:rPr>
          <w:rFonts w:ascii="Times New Roman" w:hAnsi="Times New Roman" w:cs="Times New Roman"/>
          <w:b/>
          <w:bCs/>
          <w:i/>
          <w:iCs/>
          <w:sz w:val="28"/>
          <w:szCs w:val="28"/>
        </w:rPr>
      </w:pPr>
    </w:p>
    <w:p w:rsidR="00F20A2E" w:rsidRPr="00B86EDB" w:rsidRDefault="00B86EDB" w:rsidP="009F3F6A">
      <w:pPr>
        <w:rPr>
          <w:rFonts w:ascii="Times New Roman" w:hAnsi="Times New Roman" w:cs="Times New Roman"/>
          <w:b/>
          <w:bCs/>
          <w:i/>
          <w:iCs/>
          <w:sz w:val="28"/>
          <w:szCs w:val="28"/>
        </w:rPr>
      </w:pPr>
    </w:p>
    <w:p w:rsidR="00C03A8A" w:rsidRPr="00B86EDB" w:rsidRDefault="00B86EDB" w:rsidP="009F3F6A">
      <w:pPr>
        <w:pStyle w:val="Prrafodelista"/>
        <w:numPr>
          <w:ilvl w:val="0"/>
          <w:numId w:val="11"/>
        </w:numPr>
        <w:contextualSpacing w:val="0"/>
        <w:rPr>
          <w:rFonts w:ascii="Times New Roman" w:hAnsi="Times New Roman" w:cs="Times New Roman"/>
          <w:b/>
          <w:bCs/>
          <w:i/>
          <w:iCs/>
          <w:sz w:val="28"/>
          <w:szCs w:val="28"/>
        </w:rPr>
      </w:pPr>
      <w:r w:rsidRPr="00B86EDB">
        <w:rPr>
          <w:rFonts w:ascii="Times New Roman" w:hAnsi="Times New Roman" w:cs="Times New Roman"/>
          <w:b/>
          <w:bCs/>
          <w:i/>
          <w:iCs/>
          <w:sz w:val="28"/>
          <w:szCs w:val="28"/>
        </w:rPr>
        <w:t>Sobre los cargos por vulneración de los principios de equidad y justicia</w:t>
      </w:r>
      <w:r w:rsidRPr="00B86EDB">
        <w:rPr>
          <w:rFonts w:ascii="Times New Roman" w:hAnsi="Times New Roman" w:cs="Times New Roman"/>
          <w:b/>
          <w:bCs/>
          <w:i/>
          <w:iCs/>
          <w:sz w:val="28"/>
          <w:szCs w:val="28"/>
        </w:rPr>
        <w:t xml:space="preserve"> tributaria y el derecho de propiedad por tener un efecto confiscatorio y generar doble tributación (Artículos 58, 95-9 y 363 de la Constitución Política)</w:t>
      </w:r>
    </w:p>
    <w:p w:rsidR="00F20A2E" w:rsidRPr="00B86EDB" w:rsidRDefault="00B86EDB" w:rsidP="009F3F6A">
      <w:pPr>
        <w:rPr>
          <w:rFonts w:ascii="Times New Roman" w:hAnsi="Times New Roman" w:cs="Times New Roman"/>
          <w:b/>
          <w:bCs/>
          <w:i/>
          <w:iCs/>
          <w:sz w:val="28"/>
          <w:szCs w:val="28"/>
        </w:rPr>
      </w:pPr>
    </w:p>
    <w:p w:rsidR="00AA0CCC"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b/>
          <w:bCs/>
          <w:i/>
          <w:iCs/>
          <w:sz w:val="28"/>
          <w:szCs w:val="28"/>
        </w:rPr>
      </w:pPr>
      <w:r w:rsidRPr="00B86EDB">
        <w:rPr>
          <w:rFonts w:ascii="Times New Roman" w:hAnsi="Times New Roman" w:cs="Times New Roman"/>
          <w:sz w:val="28"/>
          <w:szCs w:val="28"/>
        </w:rPr>
        <w:t>Las entidades</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insistieron en</w:t>
      </w:r>
      <w:r w:rsidRPr="00B86EDB">
        <w:rPr>
          <w:rFonts w:ascii="Times New Roman" w:hAnsi="Times New Roman" w:cs="Times New Roman"/>
          <w:sz w:val="28"/>
          <w:szCs w:val="28"/>
        </w:rPr>
        <w:t xml:space="preserve"> que la Ley 2277 de 2022 tiene como finalidad aumentar el recaudo para a</w:t>
      </w:r>
      <w:r w:rsidRPr="00B86EDB">
        <w:rPr>
          <w:rFonts w:ascii="Times New Roman" w:hAnsi="Times New Roman" w:cs="Times New Roman"/>
          <w:sz w:val="28"/>
          <w:szCs w:val="28"/>
        </w:rPr>
        <w:t>umentar el gasto público social y disminuir la brecha de desigualdad en nuestro país</w:t>
      </w:r>
      <w:r w:rsidRPr="00B86EDB">
        <w:rPr>
          <w:rFonts w:ascii="Times New Roman" w:hAnsi="Times New Roman" w:cs="Times New Roman"/>
          <w:sz w:val="28"/>
          <w:szCs w:val="28"/>
        </w:rPr>
        <w:t>, para lo cual es necesario un sistema tributario más eficiente, simple y con mayor equidad</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En este sentido, </w:t>
      </w:r>
      <w:r w:rsidRPr="00B86EDB">
        <w:rPr>
          <w:rFonts w:ascii="Times New Roman" w:hAnsi="Times New Roman" w:cs="Times New Roman"/>
          <w:sz w:val="28"/>
          <w:szCs w:val="28"/>
        </w:rPr>
        <w:t xml:space="preserve">el DAPRE y </w:t>
      </w:r>
      <w:r w:rsidRPr="00B86EDB">
        <w:rPr>
          <w:rFonts w:ascii="Times New Roman" w:hAnsi="Times New Roman" w:cs="Times New Roman"/>
          <w:sz w:val="28"/>
          <w:szCs w:val="28"/>
        </w:rPr>
        <w:t xml:space="preserve">la DIAN </w:t>
      </w:r>
      <w:r w:rsidRPr="00B86EDB">
        <w:rPr>
          <w:rFonts w:ascii="Times New Roman" w:hAnsi="Times New Roman" w:cs="Times New Roman"/>
          <w:sz w:val="28"/>
          <w:szCs w:val="28"/>
        </w:rPr>
        <w:t>advirtieron</w:t>
      </w:r>
      <w:r w:rsidRPr="00B86EDB">
        <w:rPr>
          <w:rFonts w:ascii="Times New Roman" w:hAnsi="Times New Roman" w:cs="Times New Roman"/>
          <w:sz w:val="28"/>
          <w:szCs w:val="28"/>
        </w:rPr>
        <w:t xml:space="preserve"> que</w:t>
      </w:r>
      <w:r w:rsidRPr="00B86EDB">
        <w:rPr>
          <w:rFonts w:ascii="Times New Roman" w:hAnsi="Times New Roman" w:cs="Times New Roman"/>
          <w:sz w:val="28"/>
          <w:szCs w:val="28"/>
        </w:rPr>
        <w:t xml:space="preserve"> el impuesto al patrimonio </w:t>
      </w:r>
      <w:r w:rsidRPr="00B86EDB">
        <w:rPr>
          <w:rFonts w:ascii="Times New Roman" w:hAnsi="Times New Roman" w:cs="Times New Roman"/>
          <w:sz w:val="28"/>
          <w:szCs w:val="28"/>
        </w:rPr>
        <w:t>juega un papel fundamental</w:t>
      </w:r>
      <w:r w:rsidRPr="00B86EDB">
        <w:rPr>
          <w:rFonts w:ascii="Times New Roman" w:hAnsi="Times New Roman" w:cs="Times New Roman"/>
          <w:sz w:val="28"/>
          <w:szCs w:val="28"/>
        </w:rPr>
        <w:t xml:space="preserve"> para alcanzar esta finalidad,</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en la medida que incluye un tratamiento</w:t>
      </w:r>
      <w:r w:rsidRPr="00B86EDB">
        <w:rPr>
          <w:rFonts w:ascii="Times New Roman" w:hAnsi="Times New Roman" w:cs="Times New Roman"/>
          <w:sz w:val="28"/>
          <w:szCs w:val="28"/>
        </w:rPr>
        <w:t xml:space="preserve"> má</w:t>
      </w:r>
      <w:r w:rsidRPr="00B86EDB">
        <w:rPr>
          <w:rFonts w:ascii="Times New Roman" w:hAnsi="Times New Roman" w:cs="Times New Roman"/>
          <w:sz w:val="28"/>
          <w:szCs w:val="28"/>
        </w:rPr>
        <w:t>s equitativo entre los distinto</w:t>
      </w:r>
      <w:r w:rsidRPr="00B86EDB">
        <w:rPr>
          <w:rFonts w:ascii="Times New Roman" w:hAnsi="Times New Roman" w:cs="Times New Roman"/>
          <w:sz w:val="28"/>
          <w:szCs w:val="28"/>
        </w:rPr>
        <w:t xml:space="preserve">s tipos de renta líquidas y grava a la población </w:t>
      </w:r>
      <w:r w:rsidRPr="00B86EDB">
        <w:rPr>
          <w:rFonts w:ascii="Times New Roman" w:hAnsi="Times New Roman" w:cs="Times New Roman"/>
          <w:sz w:val="28"/>
          <w:szCs w:val="28"/>
        </w:rPr>
        <w:t>más</w:t>
      </w:r>
      <w:r w:rsidRPr="00B86EDB">
        <w:rPr>
          <w:rFonts w:ascii="Times New Roman" w:hAnsi="Times New Roman" w:cs="Times New Roman"/>
          <w:sz w:val="28"/>
          <w:szCs w:val="28"/>
        </w:rPr>
        <w:t xml:space="preserve"> privilegiada.</w:t>
      </w:r>
      <w:r w:rsidRPr="00B86EDB">
        <w:rPr>
          <w:rStyle w:val="Refdenotaalpie"/>
          <w:rFonts w:ascii="Times New Roman" w:hAnsi="Times New Roman" w:cs="Times New Roman"/>
          <w:sz w:val="28"/>
          <w:szCs w:val="28"/>
        </w:rPr>
        <w:footnoteReference w:id="19"/>
      </w:r>
      <w:r w:rsidRPr="00B86EDB">
        <w:rPr>
          <w:rFonts w:ascii="Times New Roman" w:hAnsi="Times New Roman" w:cs="Times New Roman"/>
          <w:sz w:val="28"/>
          <w:szCs w:val="28"/>
        </w:rPr>
        <w:t xml:space="preserve"> </w:t>
      </w:r>
    </w:p>
    <w:p w:rsidR="005D62A4" w:rsidRPr="00B86EDB" w:rsidRDefault="00B86EDB" w:rsidP="009F3F6A">
      <w:pPr>
        <w:pStyle w:val="Prrafodelista"/>
        <w:widowControl w:val="0"/>
        <w:tabs>
          <w:tab w:val="left" w:pos="90"/>
          <w:tab w:val="left" w:pos="567"/>
          <w:tab w:val="left" w:pos="709"/>
        </w:tabs>
        <w:ind w:left="0"/>
        <w:contextualSpacing w:val="0"/>
        <w:jc w:val="both"/>
        <w:rPr>
          <w:rFonts w:ascii="Times New Roman" w:hAnsi="Times New Roman" w:cs="Times New Roman"/>
          <w:b/>
          <w:bCs/>
          <w:i/>
          <w:iCs/>
          <w:sz w:val="28"/>
          <w:szCs w:val="28"/>
        </w:rPr>
      </w:pPr>
    </w:p>
    <w:p w:rsidR="00593D5A"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El DAPRE y l</w:t>
      </w:r>
      <w:r w:rsidRPr="00B86EDB">
        <w:rPr>
          <w:rFonts w:ascii="Times New Roman" w:hAnsi="Times New Roman" w:cs="Times New Roman"/>
          <w:sz w:val="28"/>
          <w:szCs w:val="28"/>
        </w:rPr>
        <w:t>a DIAN</w:t>
      </w:r>
      <w:r w:rsidRPr="00B86EDB">
        <w:rPr>
          <w:rFonts w:ascii="Times New Roman" w:hAnsi="Times New Roman" w:cs="Times New Roman"/>
          <w:sz w:val="28"/>
          <w:szCs w:val="28"/>
        </w:rPr>
        <w:t xml:space="preserve"> explicaron</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que</w:t>
      </w:r>
      <w:r w:rsidRPr="00B86EDB">
        <w:rPr>
          <w:rFonts w:ascii="Times New Roman" w:hAnsi="Times New Roman" w:cs="Times New Roman"/>
          <w:sz w:val="28"/>
          <w:szCs w:val="28"/>
        </w:rPr>
        <w:t xml:space="preserve"> la prohibición de impu</w:t>
      </w:r>
      <w:r w:rsidRPr="00B86EDB">
        <w:rPr>
          <w:rFonts w:ascii="Times New Roman" w:hAnsi="Times New Roman" w:cs="Times New Roman"/>
          <w:sz w:val="28"/>
          <w:szCs w:val="28"/>
        </w:rPr>
        <w:t xml:space="preserve">estos confiscatorios </w:t>
      </w:r>
      <w:r w:rsidRPr="00B86EDB">
        <w:rPr>
          <w:rFonts w:ascii="Times New Roman" w:hAnsi="Times New Roman" w:cs="Times New Roman"/>
          <w:sz w:val="28"/>
          <w:szCs w:val="28"/>
        </w:rPr>
        <w:t xml:space="preserve">se fundamenta en </w:t>
      </w:r>
      <w:r w:rsidRPr="00B86EDB">
        <w:rPr>
          <w:rFonts w:ascii="Times New Roman" w:hAnsi="Times New Roman" w:cs="Times New Roman"/>
          <w:sz w:val="28"/>
          <w:szCs w:val="28"/>
        </w:rPr>
        <w:t xml:space="preserve">los artículos 58, 95-9 y 363 de la Constitución Política y no </w:t>
      </w:r>
      <w:r w:rsidRPr="00B86EDB">
        <w:rPr>
          <w:rFonts w:ascii="Times New Roman" w:hAnsi="Times New Roman" w:cs="Times New Roman"/>
          <w:sz w:val="28"/>
          <w:szCs w:val="28"/>
        </w:rPr>
        <w:t xml:space="preserve">en </w:t>
      </w:r>
      <w:r w:rsidRPr="00B86EDB">
        <w:rPr>
          <w:rFonts w:ascii="Times New Roman" w:hAnsi="Times New Roman" w:cs="Times New Roman"/>
          <w:sz w:val="28"/>
          <w:szCs w:val="28"/>
        </w:rPr>
        <w:t xml:space="preserve">el artículo 34, como </w:t>
      </w:r>
      <w:r w:rsidRPr="00B86EDB">
        <w:rPr>
          <w:rFonts w:ascii="Times New Roman" w:hAnsi="Times New Roman" w:cs="Times New Roman"/>
          <w:sz w:val="28"/>
          <w:szCs w:val="28"/>
        </w:rPr>
        <w:t xml:space="preserve">erradamente </w:t>
      </w:r>
      <w:r w:rsidRPr="00B86EDB">
        <w:rPr>
          <w:rFonts w:ascii="Times New Roman" w:hAnsi="Times New Roman" w:cs="Times New Roman"/>
          <w:sz w:val="28"/>
          <w:szCs w:val="28"/>
        </w:rPr>
        <w:t>lo señala el accionante.</w:t>
      </w:r>
      <w:r w:rsidRPr="00B86EDB">
        <w:rPr>
          <w:rStyle w:val="Refdenotaalpie"/>
          <w:rFonts w:ascii="Times New Roman" w:hAnsi="Times New Roman" w:cs="Times New Roman"/>
          <w:sz w:val="28"/>
          <w:szCs w:val="28"/>
        </w:rPr>
        <w:footnoteReference w:id="20"/>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A juicio de estas dos entidades</w:t>
      </w:r>
      <w:r w:rsidRPr="00B86EDB">
        <w:rPr>
          <w:rFonts w:ascii="Times New Roman" w:hAnsi="Times New Roman" w:cs="Times New Roman"/>
          <w:sz w:val="28"/>
          <w:szCs w:val="28"/>
        </w:rPr>
        <w:t xml:space="preserve">, la diferencia es relevante </w:t>
      </w:r>
      <w:r w:rsidRPr="00B86EDB">
        <w:rPr>
          <w:rFonts w:ascii="Times New Roman" w:hAnsi="Times New Roman" w:cs="Times New Roman"/>
          <w:sz w:val="28"/>
          <w:szCs w:val="28"/>
        </w:rPr>
        <w:t xml:space="preserve">por </w:t>
      </w:r>
      <w:r w:rsidRPr="00B86EDB">
        <w:rPr>
          <w:rFonts w:ascii="Times New Roman" w:hAnsi="Times New Roman" w:cs="Times New Roman"/>
          <w:sz w:val="28"/>
          <w:szCs w:val="28"/>
        </w:rPr>
        <w:t xml:space="preserve">cuanto el precedente constitucional ha distinguido claramente el poder punitivo del poder impositivo que ostenta el Estado. </w:t>
      </w:r>
      <w:r w:rsidRPr="00B86EDB">
        <w:rPr>
          <w:rFonts w:ascii="Times New Roman" w:hAnsi="Times New Roman" w:cs="Times New Roman"/>
          <w:sz w:val="28"/>
          <w:szCs w:val="28"/>
        </w:rPr>
        <w:t>S</w:t>
      </w:r>
      <w:r w:rsidRPr="00B86EDB">
        <w:rPr>
          <w:rFonts w:ascii="Times New Roman" w:hAnsi="Times New Roman" w:cs="Times New Roman"/>
          <w:sz w:val="28"/>
          <w:szCs w:val="28"/>
        </w:rPr>
        <w:t>eñal</w:t>
      </w:r>
      <w:r w:rsidRPr="00B86EDB">
        <w:rPr>
          <w:rFonts w:ascii="Times New Roman" w:hAnsi="Times New Roman" w:cs="Times New Roman"/>
          <w:sz w:val="28"/>
          <w:szCs w:val="28"/>
        </w:rPr>
        <w:t>aron</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que la confiscatoriedad es un límite </w:t>
      </w:r>
      <w:r w:rsidRPr="00B86EDB">
        <w:rPr>
          <w:rFonts w:ascii="Times New Roman" w:hAnsi="Times New Roman" w:cs="Times New Roman"/>
          <w:sz w:val="28"/>
          <w:szCs w:val="28"/>
        </w:rPr>
        <w:t>a</w:t>
      </w:r>
      <w:r w:rsidRPr="00B86EDB">
        <w:rPr>
          <w:rFonts w:ascii="Times New Roman" w:hAnsi="Times New Roman" w:cs="Times New Roman"/>
          <w:sz w:val="28"/>
          <w:szCs w:val="28"/>
        </w:rPr>
        <w:t>l amplio margen de configuración del legislador</w:t>
      </w:r>
      <w:r w:rsidRPr="00B86EDB">
        <w:rPr>
          <w:rFonts w:ascii="Times New Roman" w:hAnsi="Times New Roman" w:cs="Times New Roman"/>
          <w:sz w:val="28"/>
          <w:szCs w:val="28"/>
        </w:rPr>
        <w:t>, del que no se</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sigue la</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prohibición </w:t>
      </w:r>
      <w:r w:rsidRPr="00B86EDB">
        <w:rPr>
          <w:rFonts w:ascii="Times New Roman" w:hAnsi="Times New Roman" w:cs="Times New Roman"/>
          <w:sz w:val="28"/>
          <w:szCs w:val="28"/>
        </w:rPr>
        <w:t>de</w:t>
      </w:r>
      <w:r w:rsidRPr="00B86EDB">
        <w:rPr>
          <w:rFonts w:ascii="Times New Roman" w:hAnsi="Times New Roman" w:cs="Times New Roman"/>
          <w:sz w:val="28"/>
          <w:szCs w:val="28"/>
        </w:rPr>
        <w:t xml:space="preserve"> establecer un impuesto sobre el patrimonio </w:t>
      </w:r>
      <w:r w:rsidRPr="00B86EDB">
        <w:rPr>
          <w:rFonts w:ascii="Times New Roman" w:hAnsi="Times New Roman" w:cs="Times New Roman"/>
          <w:sz w:val="28"/>
          <w:szCs w:val="28"/>
        </w:rPr>
        <w:t xml:space="preserve">permanente y </w:t>
      </w:r>
      <w:r w:rsidRPr="00B86EDB">
        <w:rPr>
          <w:rFonts w:ascii="Times New Roman" w:hAnsi="Times New Roman" w:cs="Times New Roman"/>
          <w:sz w:val="28"/>
          <w:szCs w:val="28"/>
        </w:rPr>
        <w:t xml:space="preserve">específico </w:t>
      </w:r>
      <w:r w:rsidRPr="00B86EDB">
        <w:rPr>
          <w:rFonts w:ascii="Times New Roman" w:hAnsi="Times New Roman" w:cs="Times New Roman"/>
          <w:sz w:val="28"/>
          <w:szCs w:val="28"/>
        </w:rPr>
        <w:t>a</w:t>
      </w:r>
      <w:r w:rsidRPr="00B86EDB">
        <w:rPr>
          <w:rFonts w:ascii="Times New Roman" w:hAnsi="Times New Roman" w:cs="Times New Roman"/>
          <w:sz w:val="28"/>
          <w:szCs w:val="28"/>
        </w:rPr>
        <w:t xml:space="preserve"> la población que </w:t>
      </w:r>
      <w:r w:rsidRPr="00B86EDB">
        <w:rPr>
          <w:rFonts w:ascii="Times New Roman" w:hAnsi="Times New Roman" w:cs="Times New Roman"/>
          <w:sz w:val="28"/>
          <w:szCs w:val="28"/>
        </w:rPr>
        <w:t>cuenta con</w:t>
      </w:r>
      <w:r w:rsidRPr="00B86EDB">
        <w:rPr>
          <w:rFonts w:ascii="Times New Roman" w:hAnsi="Times New Roman" w:cs="Times New Roman"/>
          <w:sz w:val="28"/>
          <w:szCs w:val="28"/>
        </w:rPr>
        <w:t xml:space="preserve"> mayor</w:t>
      </w:r>
      <w:r w:rsidRPr="00B86EDB">
        <w:rPr>
          <w:rFonts w:ascii="Times New Roman" w:hAnsi="Times New Roman" w:cs="Times New Roman"/>
          <w:sz w:val="28"/>
          <w:szCs w:val="28"/>
        </w:rPr>
        <w:t xml:space="preserve"> capacidad contributiva. </w:t>
      </w:r>
      <w:r w:rsidRPr="00B86EDB">
        <w:rPr>
          <w:rFonts w:ascii="Times New Roman" w:hAnsi="Times New Roman" w:cs="Times New Roman"/>
          <w:sz w:val="28"/>
          <w:szCs w:val="28"/>
        </w:rPr>
        <w:t>A</w:t>
      </w:r>
      <w:r w:rsidRPr="00B86EDB">
        <w:rPr>
          <w:rFonts w:ascii="Times New Roman" w:hAnsi="Times New Roman" w:cs="Times New Roman"/>
          <w:sz w:val="28"/>
          <w:szCs w:val="28"/>
        </w:rPr>
        <w:t>firm</w:t>
      </w:r>
      <w:r w:rsidRPr="00B86EDB">
        <w:rPr>
          <w:rFonts w:ascii="Times New Roman" w:hAnsi="Times New Roman" w:cs="Times New Roman"/>
          <w:sz w:val="28"/>
          <w:szCs w:val="28"/>
        </w:rPr>
        <w:t>aron</w:t>
      </w:r>
      <w:r w:rsidRPr="00B86EDB">
        <w:rPr>
          <w:rFonts w:ascii="Times New Roman" w:hAnsi="Times New Roman" w:cs="Times New Roman"/>
          <w:sz w:val="28"/>
          <w:szCs w:val="28"/>
        </w:rPr>
        <w:t xml:space="preserve"> que el demandante </w:t>
      </w:r>
      <w:r w:rsidRPr="00B86EDB">
        <w:rPr>
          <w:rFonts w:ascii="Times New Roman" w:hAnsi="Times New Roman" w:cs="Times New Roman"/>
          <w:sz w:val="28"/>
          <w:szCs w:val="28"/>
        </w:rPr>
        <w:t>parte de</w:t>
      </w:r>
      <w:r w:rsidRPr="00B86EDB">
        <w:rPr>
          <w:rFonts w:ascii="Times New Roman" w:hAnsi="Times New Roman" w:cs="Times New Roman"/>
          <w:sz w:val="28"/>
          <w:szCs w:val="28"/>
        </w:rPr>
        <w:t xml:space="preserve"> aseveraciones generales y no analiza los pormenores de los elementos del tributo objeto d</w:t>
      </w:r>
      <w:r w:rsidRPr="00B86EDB">
        <w:rPr>
          <w:rFonts w:ascii="Times New Roman" w:hAnsi="Times New Roman" w:cs="Times New Roman"/>
          <w:sz w:val="28"/>
          <w:szCs w:val="28"/>
        </w:rPr>
        <w:t xml:space="preserve">e estudio que lo hacen acorde </w:t>
      </w:r>
      <w:r w:rsidRPr="00B86EDB">
        <w:rPr>
          <w:rFonts w:ascii="Times New Roman" w:hAnsi="Times New Roman" w:cs="Times New Roman"/>
          <w:sz w:val="28"/>
          <w:szCs w:val="28"/>
        </w:rPr>
        <w:t xml:space="preserve">con </w:t>
      </w:r>
      <w:r w:rsidRPr="00B86EDB">
        <w:rPr>
          <w:rFonts w:ascii="Times New Roman" w:hAnsi="Times New Roman" w:cs="Times New Roman"/>
          <w:sz w:val="28"/>
          <w:szCs w:val="28"/>
        </w:rPr>
        <w:t xml:space="preserve">los principios </w:t>
      </w:r>
      <w:r w:rsidRPr="00B86EDB">
        <w:rPr>
          <w:rFonts w:ascii="Times New Roman" w:hAnsi="Times New Roman" w:cs="Times New Roman"/>
          <w:sz w:val="28"/>
          <w:szCs w:val="28"/>
        </w:rPr>
        <w:t xml:space="preserve">consagrados en </w:t>
      </w:r>
      <w:r w:rsidRPr="00B86EDB">
        <w:rPr>
          <w:rFonts w:ascii="Times New Roman" w:hAnsi="Times New Roman" w:cs="Times New Roman"/>
          <w:sz w:val="28"/>
          <w:szCs w:val="28"/>
        </w:rPr>
        <w:t xml:space="preserve">el artículo 363 de la Constitución Política. </w:t>
      </w:r>
    </w:p>
    <w:p w:rsidR="007E7255" w:rsidRPr="00B86EDB" w:rsidRDefault="00B86EDB" w:rsidP="009F3F6A">
      <w:pPr>
        <w:pStyle w:val="Prrafodelista"/>
        <w:widowControl w:val="0"/>
        <w:tabs>
          <w:tab w:val="left" w:pos="90"/>
          <w:tab w:val="left" w:pos="567"/>
          <w:tab w:val="left" w:pos="709"/>
        </w:tabs>
        <w:ind w:left="0"/>
        <w:contextualSpacing w:val="0"/>
        <w:jc w:val="both"/>
        <w:rPr>
          <w:rFonts w:ascii="Times New Roman" w:hAnsi="Times New Roman" w:cs="Times New Roman"/>
          <w:sz w:val="28"/>
          <w:szCs w:val="28"/>
        </w:rPr>
      </w:pPr>
    </w:p>
    <w:p w:rsidR="00F917DB"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b/>
          <w:bCs/>
          <w:i/>
          <w:iCs/>
          <w:sz w:val="28"/>
          <w:szCs w:val="28"/>
        </w:rPr>
      </w:pPr>
      <w:r w:rsidRPr="00B86EDB">
        <w:rPr>
          <w:rFonts w:ascii="Times New Roman" w:hAnsi="Times New Roman" w:cs="Times New Roman"/>
          <w:sz w:val="28"/>
          <w:szCs w:val="28"/>
        </w:rPr>
        <w:t>En particular</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las </w:t>
      </w:r>
      <w:r w:rsidRPr="00B86EDB">
        <w:rPr>
          <w:rFonts w:ascii="Times New Roman" w:hAnsi="Times New Roman" w:cs="Times New Roman"/>
          <w:sz w:val="28"/>
          <w:szCs w:val="28"/>
        </w:rPr>
        <w:t xml:space="preserve">citadas </w:t>
      </w:r>
      <w:r w:rsidRPr="00B86EDB">
        <w:rPr>
          <w:rFonts w:ascii="Times New Roman" w:hAnsi="Times New Roman" w:cs="Times New Roman"/>
          <w:sz w:val="28"/>
          <w:szCs w:val="28"/>
        </w:rPr>
        <w:t>entidades</w:t>
      </w:r>
      <w:r w:rsidRPr="00B86EDB">
        <w:rPr>
          <w:rFonts w:ascii="Times New Roman" w:hAnsi="Times New Roman" w:cs="Times New Roman"/>
          <w:sz w:val="28"/>
          <w:szCs w:val="28"/>
        </w:rPr>
        <w:t xml:space="preserve"> indic</w:t>
      </w:r>
      <w:r w:rsidRPr="00B86EDB">
        <w:rPr>
          <w:rFonts w:ascii="Times New Roman" w:hAnsi="Times New Roman" w:cs="Times New Roman"/>
          <w:sz w:val="28"/>
          <w:szCs w:val="28"/>
        </w:rPr>
        <w:t>aron</w:t>
      </w:r>
      <w:r w:rsidRPr="00B86EDB">
        <w:rPr>
          <w:rFonts w:ascii="Times New Roman" w:hAnsi="Times New Roman" w:cs="Times New Roman"/>
          <w:sz w:val="28"/>
          <w:szCs w:val="28"/>
        </w:rPr>
        <w:t xml:space="preserve"> que</w:t>
      </w:r>
      <w:r w:rsidRPr="00B86EDB">
        <w:rPr>
          <w:rFonts w:ascii="Times New Roman" w:hAnsi="Times New Roman" w:cs="Times New Roman"/>
          <w:sz w:val="28"/>
          <w:szCs w:val="28"/>
        </w:rPr>
        <w:t xml:space="preserve">, en el marco de su amplia configuración </w:t>
      </w:r>
      <w:r w:rsidRPr="00B86EDB">
        <w:rPr>
          <w:rFonts w:ascii="Times New Roman" w:hAnsi="Times New Roman" w:cs="Times New Roman"/>
          <w:sz w:val="28"/>
          <w:szCs w:val="28"/>
        </w:rPr>
        <w:t xml:space="preserve">normativa </w:t>
      </w:r>
      <w:r w:rsidRPr="00B86EDB">
        <w:rPr>
          <w:rFonts w:ascii="Times New Roman" w:hAnsi="Times New Roman" w:cs="Times New Roman"/>
          <w:sz w:val="28"/>
          <w:szCs w:val="28"/>
        </w:rPr>
        <w:t>en materia impositiva,</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el legislador fijó un impuesto al patrimonio que no es confiscatorio porque </w:t>
      </w:r>
      <w:r w:rsidRPr="00B86EDB">
        <w:rPr>
          <w:rFonts w:ascii="Times New Roman" w:hAnsi="Times New Roman" w:cs="Times New Roman"/>
          <w:sz w:val="28"/>
          <w:szCs w:val="28"/>
        </w:rPr>
        <w:t>aplica para sujetos con un patrimonio por encima de las 72.000 UVT</w:t>
      </w:r>
      <w:r w:rsidRPr="00B86EDB">
        <w:rPr>
          <w:rFonts w:ascii="Times New Roman" w:hAnsi="Times New Roman" w:cs="Times New Roman"/>
          <w:sz w:val="28"/>
          <w:szCs w:val="28"/>
        </w:rPr>
        <w:t>, l</w:t>
      </w:r>
      <w:r w:rsidRPr="00B86EDB">
        <w:rPr>
          <w:rFonts w:ascii="Times New Roman" w:hAnsi="Times New Roman" w:cs="Times New Roman"/>
          <w:sz w:val="28"/>
          <w:szCs w:val="28"/>
        </w:rPr>
        <w:t>os cuales pueden excluir las primeras 12.000 UVT del inmueble de habitación</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y</w:t>
      </w:r>
      <w:r w:rsidRPr="00B86EDB">
        <w:rPr>
          <w:rFonts w:ascii="Times New Roman" w:hAnsi="Times New Roman" w:cs="Times New Roman"/>
          <w:sz w:val="28"/>
          <w:szCs w:val="28"/>
        </w:rPr>
        <w:t xml:space="preserve"> aplicar una</w:t>
      </w:r>
      <w:r w:rsidRPr="00B86EDB">
        <w:rPr>
          <w:rFonts w:ascii="Times New Roman" w:hAnsi="Times New Roman" w:cs="Times New Roman"/>
          <w:sz w:val="28"/>
          <w:szCs w:val="28"/>
        </w:rPr>
        <w:t xml:space="preserve"> tarifa</w:t>
      </w:r>
      <w:r w:rsidRPr="00B86EDB">
        <w:rPr>
          <w:rFonts w:ascii="Times New Roman" w:hAnsi="Times New Roman" w:cs="Times New Roman"/>
          <w:sz w:val="28"/>
          <w:szCs w:val="28"/>
        </w:rPr>
        <w:t xml:space="preserve"> que</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oscila</w:t>
      </w:r>
      <w:r w:rsidRPr="00B86EDB">
        <w:rPr>
          <w:rFonts w:ascii="Times New Roman" w:hAnsi="Times New Roman" w:cs="Times New Roman"/>
          <w:sz w:val="28"/>
          <w:szCs w:val="28"/>
        </w:rPr>
        <w:t xml:space="preserve"> ent</w:t>
      </w:r>
      <w:r w:rsidRPr="00B86EDB">
        <w:rPr>
          <w:rFonts w:ascii="Times New Roman" w:hAnsi="Times New Roman" w:cs="Times New Roman"/>
          <w:sz w:val="28"/>
          <w:szCs w:val="28"/>
        </w:rPr>
        <w:t xml:space="preserve">re 0,5 % y el 1,5 %. Así, </w:t>
      </w:r>
      <w:r w:rsidRPr="00B86EDB">
        <w:rPr>
          <w:rFonts w:ascii="Times New Roman" w:hAnsi="Times New Roman" w:cs="Times New Roman"/>
          <w:sz w:val="28"/>
          <w:szCs w:val="28"/>
        </w:rPr>
        <w:t>estaría gravando a los</w:t>
      </w:r>
      <w:r w:rsidRPr="00B86EDB">
        <w:rPr>
          <w:rFonts w:ascii="Times New Roman" w:hAnsi="Times New Roman" w:cs="Times New Roman"/>
          <w:sz w:val="28"/>
          <w:szCs w:val="28"/>
        </w:rPr>
        <w:t xml:space="preserve"> contribuyentes con </w:t>
      </w:r>
      <w:r w:rsidRPr="00B86EDB">
        <w:rPr>
          <w:rFonts w:ascii="Times New Roman" w:hAnsi="Times New Roman" w:cs="Times New Roman"/>
          <w:sz w:val="28"/>
          <w:szCs w:val="28"/>
        </w:rPr>
        <w:t>mayor capacidad contributiva</w:t>
      </w:r>
      <w:r w:rsidRPr="00B86EDB">
        <w:rPr>
          <w:rFonts w:ascii="Times New Roman" w:hAnsi="Times New Roman" w:cs="Times New Roman"/>
          <w:sz w:val="28"/>
          <w:szCs w:val="28"/>
        </w:rPr>
        <w:t xml:space="preserve">, pues </w:t>
      </w:r>
      <w:r w:rsidRPr="00B86EDB">
        <w:rPr>
          <w:rFonts w:ascii="Times New Roman" w:hAnsi="Times New Roman" w:cs="Times New Roman"/>
          <w:sz w:val="28"/>
          <w:szCs w:val="28"/>
        </w:rPr>
        <w:t xml:space="preserve">las personas con </w:t>
      </w:r>
      <w:r w:rsidRPr="00B86EDB">
        <w:rPr>
          <w:rFonts w:ascii="Times New Roman" w:hAnsi="Times New Roman" w:cs="Times New Roman"/>
          <w:sz w:val="28"/>
          <w:szCs w:val="28"/>
        </w:rPr>
        <w:t>mayores ingresos acumulan patrimonio que les generan renta</w:t>
      </w:r>
      <w:r w:rsidRPr="00B86EDB">
        <w:rPr>
          <w:rFonts w:ascii="Times New Roman" w:hAnsi="Times New Roman" w:cs="Times New Roman"/>
          <w:sz w:val="28"/>
          <w:szCs w:val="28"/>
        </w:rPr>
        <w:t xml:space="preserve">. Esto </w:t>
      </w:r>
      <w:r w:rsidRPr="00B86EDB">
        <w:rPr>
          <w:rFonts w:ascii="Times New Roman" w:hAnsi="Times New Roman" w:cs="Times New Roman"/>
          <w:sz w:val="28"/>
          <w:szCs w:val="28"/>
        </w:rPr>
        <w:t xml:space="preserve">cumple con los imperativos de la función social de la propiedad que </w:t>
      </w:r>
      <w:r w:rsidRPr="00B86EDB">
        <w:rPr>
          <w:rFonts w:ascii="Times New Roman" w:hAnsi="Times New Roman" w:cs="Times New Roman"/>
          <w:sz w:val="28"/>
          <w:szCs w:val="28"/>
        </w:rPr>
        <w:t>consagra el artículo 58 de la Constitución Política, el deber de solidaridad</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la redistribución de la riqueza</w:t>
      </w:r>
      <w:r w:rsidRPr="00B86EDB">
        <w:rPr>
          <w:rFonts w:ascii="Times New Roman" w:hAnsi="Times New Roman" w:cs="Times New Roman"/>
          <w:sz w:val="28"/>
          <w:szCs w:val="28"/>
        </w:rPr>
        <w:t xml:space="preserve"> y la equidad horizontal</w:t>
      </w:r>
      <w:r w:rsidRPr="00B86EDB">
        <w:rPr>
          <w:rFonts w:ascii="Times New Roman" w:hAnsi="Times New Roman" w:cs="Times New Roman"/>
          <w:sz w:val="28"/>
          <w:szCs w:val="28"/>
        </w:rPr>
        <w:t>.</w:t>
      </w:r>
      <w:r w:rsidRPr="00B86EDB">
        <w:rPr>
          <w:rStyle w:val="Refdenotaalpie"/>
          <w:rFonts w:ascii="Times New Roman" w:hAnsi="Times New Roman" w:cs="Times New Roman"/>
          <w:sz w:val="28"/>
          <w:szCs w:val="28"/>
        </w:rPr>
        <w:footnoteReference w:id="21"/>
      </w:r>
      <w:r w:rsidRPr="00B86EDB">
        <w:rPr>
          <w:rFonts w:ascii="Times New Roman" w:hAnsi="Times New Roman" w:cs="Times New Roman"/>
          <w:sz w:val="28"/>
          <w:szCs w:val="28"/>
        </w:rPr>
        <w:t xml:space="preserve"> Particularmente, </w:t>
      </w:r>
      <w:r w:rsidRPr="00B86EDB">
        <w:rPr>
          <w:rFonts w:ascii="Times New Roman" w:hAnsi="Times New Roman" w:cs="Times New Roman"/>
          <w:sz w:val="28"/>
          <w:szCs w:val="28"/>
        </w:rPr>
        <w:t xml:space="preserve">bajo el entendido que la propiedad inmueble es </w:t>
      </w:r>
      <w:r w:rsidRPr="00B86EDB">
        <w:rPr>
          <w:rFonts w:ascii="Times New Roman" w:hAnsi="Times New Roman" w:cs="Times New Roman"/>
          <w:sz w:val="28"/>
          <w:szCs w:val="28"/>
        </w:rPr>
        <w:t>acaparad</w:t>
      </w:r>
      <w:r w:rsidRPr="00B86EDB">
        <w:rPr>
          <w:rFonts w:ascii="Times New Roman" w:hAnsi="Times New Roman" w:cs="Times New Roman"/>
          <w:sz w:val="28"/>
          <w:szCs w:val="28"/>
        </w:rPr>
        <w:t>a</w:t>
      </w:r>
      <w:r w:rsidRPr="00B86EDB">
        <w:rPr>
          <w:rFonts w:ascii="Times New Roman" w:hAnsi="Times New Roman" w:cs="Times New Roman"/>
          <w:sz w:val="28"/>
          <w:szCs w:val="28"/>
        </w:rPr>
        <w:t xml:space="preserve"> por los sectores más privilegiados de la socie</w:t>
      </w:r>
      <w:r w:rsidRPr="00B86EDB">
        <w:rPr>
          <w:rFonts w:ascii="Times New Roman" w:hAnsi="Times New Roman" w:cs="Times New Roman"/>
          <w:sz w:val="28"/>
          <w:szCs w:val="28"/>
        </w:rPr>
        <w:t xml:space="preserve">dad y </w:t>
      </w:r>
      <w:r w:rsidRPr="00B86EDB">
        <w:rPr>
          <w:rFonts w:ascii="Times New Roman" w:hAnsi="Times New Roman" w:cs="Times New Roman"/>
          <w:sz w:val="28"/>
          <w:szCs w:val="28"/>
        </w:rPr>
        <w:t xml:space="preserve">se relaciona con la dignidad humana y los índices de pobreza y desigualdad. </w:t>
      </w:r>
    </w:p>
    <w:p w:rsidR="007E7255" w:rsidRPr="00B86EDB" w:rsidRDefault="00B86EDB" w:rsidP="009F3F6A">
      <w:pPr>
        <w:pStyle w:val="Prrafodelista"/>
        <w:contextualSpacing w:val="0"/>
        <w:rPr>
          <w:rFonts w:ascii="Times New Roman" w:hAnsi="Times New Roman" w:cs="Times New Roman"/>
          <w:b/>
          <w:bCs/>
          <w:i/>
          <w:iCs/>
          <w:sz w:val="28"/>
          <w:szCs w:val="28"/>
        </w:rPr>
      </w:pPr>
    </w:p>
    <w:p w:rsidR="007E7255"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b/>
          <w:bCs/>
          <w:i/>
          <w:iCs/>
          <w:sz w:val="28"/>
          <w:szCs w:val="28"/>
        </w:rPr>
      </w:pPr>
      <w:r w:rsidRPr="00B86EDB">
        <w:rPr>
          <w:rFonts w:ascii="Times New Roman" w:hAnsi="Times New Roman" w:cs="Times New Roman"/>
          <w:sz w:val="28"/>
          <w:szCs w:val="28"/>
        </w:rPr>
        <w:t xml:space="preserve">El DAPRE y la DIAN </w:t>
      </w:r>
      <w:r w:rsidRPr="00B86EDB">
        <w:rPr>
          <w:rFonts w:ascii="Times New Roman" w:hAnsi="Times New Roman" w:cs="Times New Roman"/>
          <w:sz w:val="28"/>
          <w:szCs w:val="28"/>
        </w:rPr>
        <w:t xml:space="preserve">señalaron </w:t>
      </w:r>
      <w:r w:rsidRPr="00B86EDB">
        <w:rPr>
          <w:rFonts w:ascii="Times New Roman" w:hAnsi="Times New Roman" w:cs="Times New Roman"/>
          <w:sz w:val="28"/>
          <w:szCs w:val="28"/>
        </w:rPr>
        <w:t>que la demostración de los efectos confiscatorios de un gravamen tributario exige explicar cómo el impuesto excede las posibilidades económicas</w:t>
      </w:r>
      <w:r w:rsidRPr="00B86EDB">
        <w:rPr>
          <w:rFonts w:ascii="Times New Roman" w:hAnsi="Times New Roman" w:cs="Times New Roman"/>
          <w:sz w:val="28"/>
          <w:szCs w:val="28"/>
        </w:rPr>
        <w:t xml:space="preserve"> de los contribuyentes. En su opinión, en este caso no se demuestra tal efecto, pues</w:t>
      </w:r>
      <w:r w:rsidRPr="00B86EDB">
        <w:rPr>
          <w:rFonts w:ascii="Times New Roman" w:hAnsi="Times New Roman" w:cs="Times New Roman"/>
          <w:sz w:val="28"/>
          <w:szCs w:val="28"/>
        </w:rPr>
        <w:t>to que</w:t>
      </w:r>
      <w:r w:rsidRPr="00B86EDB">
        <w:rPr>
          <w:rFonts w:ascii="Times New Roman" w:hAnsi="Times New Roman" w:cs="Times New Roman"/>
          <w:sz w:val="28"/>
          <w:szCs w:val="28"/>
        </w:rPr>
        <w:t xml:space="preserve"> e</w:t>
      </w:r>
      <w:r w:rsidRPr="00B86EDB">
        <w:rPr>
          <w:rFonts w:ascii="Times New Roman" w:hAnsi="Times New Roman" w:cs="Times New Roman"/>
          <w:sz w:val="28"/>
          <w:szCs w:val="28"/>
        </w:rPr>
        <w:t>l ejemplo que trae</w:t>
      </w:r>
      <w:r w:rsidRPr="00B86EDB">
        <w:rPr>
          <w:rFonts w:ascii="Times New Roman" w:hAnsi="Times New Roman" w:cs="Times New Roman"/>
          <w:sz w:val="28"/>
          <w:szCs w:val="28"/>
        </w:rPr>
        <w:t>n los actores</w:t>
      </w:r>
      <w:r w:rsidRPr="00B86EDB">
        <w:rPr>
          <w:rFonts w:ascii="Times New Roman" w:hAnsi="Times New Roman" w:cs="Times New Roman"/>
          <w:sz w:val="28"/>
          <w:szCs w:val="28"/>
        </w:rPr>
        <w:t xml:space="preserve"> en la demanda</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se fundamenta en variables que no tienen respaldo, por lo que son inciertas y no muestran que con el paso del tiempo e</w:t>
      </w:r>
      <w:r w:rsidRPr="00B86EDB">
        <w:rPr>
          <w:rFonts w:ascii="Times New Roman" w:hAnsi="Times New Roman" w:cs="Times New Roman"/>
          <w:sz w:val="28"/>
          <w:szCs w:val="28"/>
        </w:rPr>
        <w:t>l impuesto se torne confiscatorio.</w:t>
      </w:r>
      <w:r w:rsidRPr="00B86EDB">
        <w:rPr>
          <w:rStyle w:val="Refdenotaalpie"/>
          <w:rFonts w:ascii="Times New Roman" w:hAnsi="Times New Roman" w:cs="Times New Roman"/>
          <w:sz w:val="28"/>
          <w:szCs w:val="28"/>
        </w:rPr>
        <w:footnoteReference w:id="22"/>
      </w:r>
      <w:r w:rsidRPr="00B86EDB">
        <w:rPr>
          <w:rFonts w:ascii="Times New Roman" w:hAnsi="Times New Roman" w:cs="Times New Roman"/>
          <w:sz w:val="28"/>
          <w:szCs w:val="28"/>
        </w:rPr>
        <w:t xml:space="preserve">Además, tanto </w:t>
      </w:r>
      <w:r w:rsidRPr="00B86EDB">
        <w:rPr>
          <w:rFonts w:ascii="Times New Roman" w:hAnsi="Times New Roman" w:cs="Times New Roman"/>
          <w:sz w:val="28"/>
          <w:szCs w:val="28"/>
        </w:rPr>
        <w:t xml:space="preserve">el DAPRE como </w:t>
      </w:r>
      <w:r w:rsidRPr="00B86EDB">
        <w:rPr>
          <w:rFonts w:ascii="Times New Roman" w:hAnsi="Times New Roman" w:cs="Times New Roman"/>
          <w:sz w:val="28"/>
          <w:szCs w:val="28"/>
        </w:rPr>
        <w:t>la DIAN adujeron que las hipótesis desarrolladas por</w:t>
      </w:r>
      <w:r w:rsidRPr="00B86EDB">
        <w:rPr>
          <w:rFonts w:ascii="Times New Roman" w:hAnsi="Times New Roman" w:cs="Times New Roman"/>
          <w:sz w:val="28"/>
          <w:szCs w:val="28"/>
        </w:rPr>
        <w:t xml:space="preserve"> los demandantes</w:t>
      </w:r>
      <w:r w:rsidRPr="00B86EDB">
        <w:rPr>
          <w:rFonts w:ascii="Times New Roman" w:hAnsi="Times New Roman" w:cs="Times New Roman"/>
          <w:sz w:val="28"/>
          <w:szCs w:val="28"/>
        </w:rPr>
        <w:t xml:space="preserve"> aplicaría</w:t>
      </w:r>
      <w:r w:rsidRPr="00B86EDB">
        <w:rPr>
          <w:rFonts w:ascii="Times New Roman" w:hAnsi="Times New Roman" w:cs="Times New Roman"/>
          <w:sz w:val="28"/>
          <w:szCs w:val="28"/>
        </w:rPr>
        <w:t>n</w:t>
      </w:r>
      <w:r w:rsidRPr="00B86EDB">
        <w:rPr>
          <w:rFonts w:ascii="Times New Roman" w:hAnsi="Times New Roman" w:cs="Times New Roman"/>
          <w:sz w:val="28"/>
          <w:szCs w:val="28"/>
        </w:rPr>
        <w:t xml:space="preserve"> para casos extremos y particulares, lo cual desborda el control constitucional de carácter abstracto que ejerce la Sala Plena. </w:t>
      </w:r>
    </w:p>
    <w:p w:rsidR="004A27BC" w:rsidRPr="00B86EDB" w:rsidRDefault="00B86EDB" w:rsidP="009F3F6A">
      <w:pPr>
        <w:pStyle w:val="Prrafodelista"/>
        <w:contextualSpacing w:val="0"/>
        <w:rPr>
          <w:rFonts w:ascii="Times New Roman" w:hAnsi="Times New Roman" w:cs="Times New Roman"/>
          <w:b/>
          <w:bCs/>
          <w:i/>
          <w:iCs/>
          <w:sz w:val="28"/>
          <w:szCs w:val="28"/>
        </w:rPr>
      </w:pPr>
    </w:p>
    <w:p w:rsidR="004A27BC"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b/>
          <w:bCs/>
          <w:i/>
          <w:iCs/>
          <w:sz w:val="28"/>
          <w:szCs w:val="28"/>
        </w:rPr>
      </w:pPr>
      <w:r w:rsidRPr="00B86EDB">
        <w:rPr>
          <w:rFonts w:ascii="Times New Roman" w:hAnsi="Times New Roman" w:cs="Times New Roman"/>
          <w:sz w:val="28"/>
          <w:szCs w:val="28"/>
        </w:rPr>
        <w:t>L</w:t>
      </w:r>
      <w:r w:rsidRPr="00B86EDB">
        <w:rPr>
          <w:rFonts w:ascii="Times New Roman" w:hAnsi="Times New Roman" w:cs="Times New Roman"/>
          <w:sz w:val="28"/>
          <w:szCs w:val="28"/>
        </w:rPr>
        <w:t xml:space="preserve">a DIAN propuso cálculos alternativos a los formulados por los accionantes para demostrar </w:t>
      </w:r>
      <w:r w:rsidRPr="00B86EDB">
        <w:rPr>
          <w:rFonts w:ascii="Times New Roman" w:hAnsi="Times New Roman" w:cs="Times New Roman"/>
          <w:sz w:val="28"/>
          <w:szCs w:val="28"/>
        </w:rPr>
        <w:t>que con el paso del tiempo el patrim</w:t>
      </w:r>
      <w:r w:rsidRPr="00B86EDB">
        <w:rPr>
          <w:rFonts w:ascii="Times New Roman" w:hAnsi="Times New Roman" w:cs="Times New Roman"/>
          <w:sz w:val="28"/>
          <w:szCs w:val="28"/>
        </w:rPr>
        <w:t>onio del sujeto pasivo no experimenta un decrecimiento y</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por lo tanto</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una confiscación como consecuencia de la permanencia del impuesto al patrimonio. Así</w:t>
      </w:r>
      <w:r w:rsidRPr="00B86EDB">
        <w:rPr>
          <w:rFonts w:ascii="Times New Roman" w:hAnsi="Times New Roman" w:cs="Times New Roman"/>
          <w:sz w:val="28"/>
          <w:szCs w:val="28"/>
        </w:rPr>
        <w:t xml:space="preserve">, señaló que </w:t>
      </w:r>
      <w:r w:rsidRPr="00B86EDB">
        <w:rPr>
          <w:rFonts w:ascii="Times New Roman" w:hAnsi="Times New Roman" w:cs="Times New Roman"/>
          <w:sz w:val="28"/>
          <w:szCs w:val="28"/>
        </w:rPr>
        <w:t>el</w:t>
      </w:r>
      <w:r w:rsidRPr="00B86EDB">
        <w:rPr>
          <w:rFonts w:ascii="Times New Roman" w:hAnsi="Times New Roman" w:cs="Times New Roman"/>
          <w:sz w:val="28"/>
          <w:szCs w:val="28"/>
        </w:rPr>
        <w:t xml:space="preserve"> ejercicio</w:t>
      </w:r>
      <w:r w:rsidRPr="00B86EDB">
        <w:rPr>
          <w:rFonts w:ascii="Times New Roman" w:hAnsi="Times New Roman" w:cs="Times New Roman"/>
          <w:sz w:val="28"/>
          <w:szCs w:val="28"/>
        </w:rPr>
        <w:t xml:space="preserve"> económico</w:t>
      </w:r>
      <w:r w:rsidRPr="00B86EDB">
        <w:rPr>
          <w:rFonts w:ascii="Times New Roman" w:hAnsi="Times New Roman" w:cs="Times New Roman"/>
          <w:sz w:val="28"/>
          <w:szCs w:val="28"/>
        </w:rPr>
        <w:t xml:space="preserve"> propuesto en la demanda elev</w:t>
      </w:r>
      <w:r w:rsidRPr="00B86EDB">
        <w:rPr>
          <w:rFonts w:ascii="Times New Roman" w:hAnsi="Times New Roman" w:cs="Times New Roman"/>
          <w:sz w:val="28"/>
          <w:szCs w:val="28"/>
        </w:rPr>
        <w:t>ó</w:t>
      </w:r>
      <w:r w:rsidRPr="00B86EDB">
        <w:rPr>
          <w:rFonts w:ascii="Times New Roman" w:hAnsi="Times New Roman" w:cs="Times New Roman"/>
          <w:sz w:val="28"/>
          <w:szCs w:val="28"/>
        </w:rPr>
        <w:t xml:space="preserve"> de forma desproporcionada el porce</w:t>
      </w:r>
      <w:r w:rsidRPr="00B86EDB">
        <w:rPr>
          <w:rFonts w:ascii="Times New Roman" w:hAnsi="Times New Roman" w:cs="Times New Roman"/>
          <w:sz w:val="28"/>
          <w:szCs w:val="28"/>
        </w:rPr>
        <w:t xml:space="preserve">ntaje estimado de gastos corrientes </w:t>
      </w:r>
      <w:r w:rsidRPr="00B86EDB">
        <w:rPr>
          <w:rFonts w:ascii="Times New Roman" w:hAnsi="Times New Roman" w:cs="Times New Roman"/>
          <w:sz w:val="28"/>
          <w:szCs w:val="28"/>
        </w:rPr>
        <w:t>y omitió depurar la base gravable del impuesto al patrimonio para calcular la tarifa aplicable al caso propuesto como ejemplo de confiscación</w:t>
      </w:r>
      <w:r w:rsidRPr="00B86EDB">
        <w:rPr>
          <w:rFonts w:ascii="Times New Roman" w:hAnsi="Times New Roman" w:cs="Times New Roman"/>
          <w:sz w:val="28"/>
          <w:szCs w:val="28"/>
        </w:rPr>
        <w:t>.</w:t>
      </w:r>
      <w:r w:rsidRPr="00B86EDB">
        <w:rPr>
          <w:rStyle w:val="Refdenotaalpie"/>
          <w:rFonts w:ascii="Times New Roman" w:hAnsi="Times New Roman" w:cs="Times New Roman"/>
          <w:sz w:val="28"/>
          <w:szCs w:val="28"/>
        </w:rPr>
        <w:footnoteReference w:id="23"/>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Además, indicó que el demandante estimó de forma incorrecta los datos estadí</w:t>
      </w:r>
      <w:r w:rsidRPr="00B86EDB">
        <w:rPr>
          <w:rFonts w:ascii="Times New Roman" w:hAnsi="Times New Roman" w:cs="Times New Roman"/>
          <w:sz w:val="28"/>
          <w:szCs w:val="28"/>
        </w:rPr>
        <w:t>sticos sobre los cuales construyó sus cálculos, en particular</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los correspondientes al incremento del valor de la vivienda, el incremento esperado del salario y la inflación. Para demostrarlo, comparó los cálculos de la demanda con algunas estimaciones que</w:t>
      </w:r>
      <w:r w:rsidRPr="00B86EDB">
        <w:rPr>
          <w:rFonts w:ascii="Times New Roman" w:hAnsi="Times New Roman" w:cs="Times New Roman"/>
          <w:sz w:val="28"/>
          <w:szCs w:val="28"/>
        </w:rPr>
        <w:t xml:space="preserve"> tienen como fuente </w:t>
      </w:r>
      <w:r w:rsidRPr="00B86EDB">
        <w:rPr>
          <w:rFonts w:ascii="Times New Roman" w:hAnsi="Times New Roman" w:cs="Times New Roman"/>
          <w:sz w:val="28"/>
          <w:szCs w:val="28"/>
        </w:rPr>
        <w:t xml:space="preserve">de </w:t>
      </w:r>
      <w:r w:rsidRPr="00B86EDB">
        <w:rPr>
          <w:rFonts w:ascii="Times New Roman" w:hAnsi="Times New Roman" w:cs="Times New Roman"/>
          <w:sz w:val="28"/>
          <w:szCs w:val="28"/>
        </w:rPr>
        <w:t>información el DANE.</w:t>
      </w:r>
    </w:p>
    <w:p w:rsidR="0045227E" w:rsidRPr="00B86EDB" w:rsidRDefault="00B86EDB" w:rsidP="009F3F6A">
      <w:pPr>
        <w:pStyle w:val="Prrafodelista"/>
        <w:contextualSpacing w:val="0"/>
        <w:rPr>
          <w:rFonts w:ascii="Times New Roman" w:hAnsi="Times New Roman" w:cs="Times New Roman"/>
          <w:b/>
          <w:bCs/>
          <w:i/>
          <w:iCs/>
          <w:sz w:val="28"/>
          <w:szCs w:val="28"/>
        </w:rPr>
      </w:pPr>
    </w:p>
    <w:p w:rsidR="002B6E82"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b/>
          <w:bCs/>
          <w:i/>
          <w:iCs/>
          <w:sz w:val="28"/>
          <w:szCs w:val="28"/>
        </w:rPr>
      </w:pPr>
      <w:r w:rsidRPr="00B86EDB">
        <w:rPr>
          <w:rFonts w:ascii="Times New Roman" w:hAnsi="Times New Roman" w:cs="Times New Roman"/>
          <w:sz w:val="28"/>
          <w:szCs w:val="28"/>
        </w:rPr>
        <w:t>El Ministerio</w:t>
      </w:r>
      <w:r w:rsidRPr="00B86EDB">
        <w:rPr>
          <w:rFonts w:ascii="Times New Roman" w:hAnsi="Times New Roman" w:cs="Times New Roman"/>
          <w:sz w:val="28"/>
          <w:szCs w:val="28"/>
        </w:rPr>
        <w:t xml:space="preserve"> de Hacienda y Crédito Público añadió </w:t>
      </w:r>
      <w:r w:rsidRPr="00B86EDB">
        <w:rPr>
          <w:rFonts w:ascii="Times New Roman" w:hAnsi="Times New Roman" w:cs="Times New Roman"/>
          <w:sz w:val="28"/>
          <w:szCs w:val="28"/>
        </w:rPr>
        <w:t>que</w:t>
      </w:r>
      <w:r w:rsidRPr="00B86EDB">
        <w:rPr>
          <w:rFonts w:ascii="Times New Roman" w:hAnsi="Times New Roman" w:cs="Times New Roman"/>
          <w:sz w:val="28"/>
          <w:szCs w:val="28"/>
        </w:rPr>
        <w:t>, tal y como se menciona en la exposición de motivos de</w:t>
      </w:r>
      <w:r w:rsidRPr="00B86EDB">
        <w:rPr>
          <w:rFonts w:ascii="Times New Roman" w:hAnsi="Times New Roman" w:cs="Times New Roman"/>
          <w:sz w:val="28"/>
          <w:szCs w:val="28"/>
        </w:rPr>
        <w:t xml:space="preserve">l proyecto que luego de aprobado y sancionado se convirtió en la </w:t>
      </w:r>
      <w:r w:rsidRPr="00B86EDB">
        <w:rPr>
          <w:rFonts w:ascii="Times New Roman" w:hAnsi="Times New Roman" w:cs="Times New Roman"/>
          <w:sz w:val="28"/>
          <w:szCs w:val="28"/>
        </w:rPr>
        <w:t>L</w:t>
      </w:r>
      <w:r w:rsidRPr="00B86EDB">
        <w:rPr>
          <w:rFonts w:ascii="Times New Roman" w:hAnsi="Times New Roman" w:cs="Times New Roman"/>
          <w:sz w:val="28"/>
          <w:szCs w:val="28"/>
        </w:rPr>
        <w:t>e</w:t>
      </w:r>
      <w:r w:rsidRPr="00B86EDB">
        <w:rPr>
          <w:rFonts w:ascii="Times New Roman" w:hAnsi="Times New Roman" w:cs="Times New Roman"/>
          <w:sz w:val="28"/>
          <w:szCs w:val="28"/>
        </w:rPr>
        <w:t>y 2277 de 2022,</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el impuesto al </w:t>
      </w:r>
      <w:r w:rsidRPr="00B86EDB">
        <w:rPr>
          <w:rFonts w:ascii="Times New Roman" w:hAnsi="Times New Roman" w:cs="Times New Roman"/>
          <w:sz w:val="28"/>
          <w:szCs w:val="28"/>
        </w:rPr>
        <w:t>patrimonio complementa el impuest</w:t>
      </w:r>
      <w:r w:rsidRPr="00B86EDB">
        <w:rPr>
          <w:rFonts w:ascii="Times New Roman" w:hAnsi="Times New Roman" w:cs="Times New Roman"/>
          <w:sz w:val="28"/>
          <w:szCs w:val="28"/>
        </w:rPr>
        <w:t>o sobre la renta</w:t>
      </w:r>
      <w:r w:rsidRPr="00B86EDB">
        <w:rPr>
          <w:rFonts w:ascii="Times New Roman" w:hAnsi="Times New Roman" w:cs="Times New Roman"/>
          <w:sz w:val="28"/>
          <w:szCs w:val="28"/>
        </w:rPr>
        <w:t xml:space="preserve"> y añade </w:t>
      </w:r>
      <w:r w:rsidRPr="00B86EDB">
        <w:rPr>
          <w:rFonts w:ascii="Times New Roman" w:hAnsi="Times New Roman" w:cs="Times New Roman"/>
          <w:sz w:val="28"/>
          <w:szCs w:val="28"/>
        </w:rPr>
        <w:t>progresividad</w:t>
      </w:r>
      <w:r w:rsidRPr="00B86EDB">
        <w:rPr>
          <w:rFonts w:ascii="Times New Roman" w:hAnsi="Times New Roman" w:cs="Times New Roman"/>
          <w:sz w:val="28"/>
          <w:szCs w:val="28"/>
        </w:rPr>
        <w:t xml:space="preserve"> al sistema tributario</w:t>
      </w:r>
      <w:r w:rsidRPr="00B86EDB">
        <w:rPr>
          <w:rFonts w:ascii="Times New Roman" w:hAnsi="Times New Roman" w:cs="Times New Roman"/>
          <w:sz w:val="28"/>
          <w:szCs w:val="28"/>
        </w:rPr>
        <w:t xml:space="preserve">. Específicamente, </w:t>
      </w:r>
      <w:r w:rsidRPr="00B86EDB">
        <w:rPr>
          <w:rFonts w:ascii="Times New Roman" w:hAnsi="Times New Roman" w:cs="Times New Roman"/>
          <w:sz w:val="28"/>
          <w:szCs w:val="28"/>
        </w:rPr>
        <w:t xml:space="preserve">porque corrige </w:t>
      </w:r>
      <w:r w:rsidRPr="00B86EDB">
        <w:rPr>
          <w:rFonts w:ascii="Times New Roman" w:hAnsi="Times New Roman" w:cs="Times New Roman"/>
          <w:sz w:val="28"/>
          <w:szCs w:val="28"/>
        </w:rPr>
        <w:t xml:space="preserve">el </w:t>
      </w:r>
      <w:r w:rsidRPr="00B86EDB">
        <w:rPr>
          <w:rFonts w:ascii="Times New Roman" w:hAnsi="Times New Roman" w:cs="Times New Roman"/>
          <w:sz w:val="28"/>
          <w:szCs w:val="28"/>
        </w:rPr>
        <w:t xml:space="preserve">exceso de exenciones </w:t>
      </w:r>
      <w:r w:rsidRPr="00B86EDB">
        <w:rPr>
          <w:rFonts w:ascii="Times New Roman" w:hAnsi="Times New Roman" w:cs="Times New Roman"/>
          <w:sz w:val="28"/>
          <w:szCs w:val="28"/>
        </w:rPr>
        <w:t>y</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deducciones</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y </w:t>
      </w:r>
      <w:r w:rsidRPr="00B86EDB">
        <w:rPr>
          <w:rFonts w:ascii="Times New Roman" w:hAnsi="Times New Roman" w:cs="Times New Roman"/>
          <w:sz w:val="28"/>
          <w:szCs w:val="28"/>
        </w:rPr>
        <w:t xml:space="preserve">mitiga el impacto de </w:t>
      </w:r>
      <w:r w:rsidRPr="00B86EDB">
        <w:rPr>
          <w:rFonts w:ascii="Times New Roman" w:hAnsi="Times New Roman" w:cs="Times New Roman"/>
          <w:sz w:val="28"/>
          <w:szCs w:val="28"/>
        </w:rPr>
        <w:t>la elusión</w:t>
      </w:r>
      <w:r w:rsidRPr="00B86EDB">
        <w:rPr>
          <w:rFonts w:ascii="Times New Roman" w:hAnsi="Times New Roman" w:cs="Times New Roman"/>
          <w:sz w:val="28"/>
          <w:szCs w:val="28"/>
        </w:rPr>
        <w:t xml:space="preserve">, en la medida que individualiza todos los elementos </w:t>
      </w:r>
      <w:r w:rsidRPr="00B86EDB">
        <w:rPr>
          <w:rFonts w:ascii="Times New Roman" w:hAnsi="Times New Roman" w:cs="Times New Roman"/>
          <w:sz w:val="28"/>
          <w:szCs w:val="28"/>
        </w:rPr>
        <w:t>patr</w:t>
      </w:r>
      <w:r w:rsidRPr="00B86EDB">
        <w:rPr>
          <w:rFonts w:ascii="Times New Roman" w:hAnsi="Times New Roman" w:cs="Times New Roman"/>
          <w:sz w:val="28"/>
          <w:szCs w:val="28"/>
        </w:rPr>
        <w:t>imoniales</w:t>
      </w:r>
      <w:r w:rsidRPr="00B86EDB">
        <w:rPr>
          <w:rFonts w:ascii="Times New Roman" w:hAnsi="Times New Roman" w:cs="Times New Roman"/>
          <w:sz w:val="28"/>
          <w:szCs w:val="28"/>
        </w:rPr>
        <w:t xml:space="preserve"> del contribuyente y determina con mayor precisión las fuentes de los créditos </w:t>
      </w:r>
      <w:r w:rsidRPr="00B86EDB">
        <w:rPr>
          <w:rFonts w:ascii="Times New Roman" w:hAnsi="Times New Roman" w:cs="Times New Roman"/>
          <w:sz w:val="28"/>
          <w:szCs w:val="28"/>
        </w:rPr>
        <w:t>de manera que resulten sometidas a tributación aquellas manifestaciones de capacidad económica que escaparon al gravamen sobre la renta.</w:t>
      </w:r>
    </w:p>
    <w:p w:rsidR="00F12D52" w:rsidRPr="00B86EDB" w:rsidRDefault="00B86EDB" w:rsidP="009F3F6A">
      <w:pPr>
        <w:pStyle w:val="Prrafodelista"/>
        <w:contextualSpacing w:val="0"/>
        <w:rPr>
          <w:rFonts w:ascii="Times New Roman" w:hAnsi="Times New Roman" w:cs="Times New Roman"/>
          <w:b/>
          <w:bCs/>
          <w:i/>
          <w:iCs/>
          <w:sz w:val="28"/>
          <w:szCs w:val="28"/>
        </w:rPr>
      </w:pPr>
    </w:p>
    <w:p w:rsidR="006F023D"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 xml:space="preserve">Las </w:t>
      </w:r>
      <w:r w:rsidRPr="00B86EDB">
        <w:rPr>
          <w:rFonts w:ascii="Times New Roman" w:hAnsi="Times New Roman" w:cs="Times New Roman"/>
          <w:sz w:val="28"/>
          <w:szCs w:val="28"/>
        </w:rPr>
        <w:t xml:space="preserve">citadas </w:t>
      </w:r>
      <w:r w:rsidRPr="00B86EDB">
        <w:rPr>
          <w:rFonts w:ascii="Times New Roman" w:hAnsi="Times New Roman" w:cs="Times New Roman"/>
          <w:sz w:val="28"/>
          <w:szCs w:val="28"/>
        </w:rPr>
        <w:t>entidades</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indic</w:t>
      </w:r>
      <w:r w:rsidRPr="00B86EDB">
        <w:rPr>
          <w:rFonts w:ascii="Times New Roman" w:hAnsi="Times New Roman" w:cs="Times New Roman"/>
          <w:sz w:val="28"/>
          <w:szCs w:val="28"/>
        </w:rPr>
        <w:t>aron</w:t>
      </w:r>
      <w:r w:rsidRPr="00B86EDB">
        <w:rPr>
          <w:rFonts w:ascii="Times New Roman" w:hAnsi="Times New Roman" w:cs="Times New Roman"/>
          <w:sz w:val="28"/>
          <w:szCs w:val="28"/>
        </w:rPr>
        <w:t xml:space="preserve"> que la doble tributación </w:t>
      </w:r>
      <w:r w:rsidRPr="00B86EDB">
        <w:rPr>
          <w:rFonts w:ascii="Times New Roman" w:hAnsi="Times New Roman" w:cs="Times New Roman"/>
          <w:sz w:val="28"/>
          <w:szCs w:val="28"/>
        </w:rPr>
        <w:t xml:space="preserve">no se presenta </w:t>
      </w:r>
      <w:r w:rsidRPr="00B86EDB">
        <w:rPr>
          <w:rFonts w:ascii="Times New Roman" w:hAnsi="Times New Roman" w:cs="Times New Roman"/>
          <w:sz w:val="28"/>
          <w:szCs w:val="28"/>
        </w:rPr>
        <w:t xml:space="preserve">cuando se impone al tiempo el </w:t>
      </w:r>
      <w:r w:rsidRPr="00B86EDB">
        <w:rPr>
          <w:rFonts w:ascii="Times New Roman" w:hAnsi="Times New Roman" w:cs="Times New Roman"/>
          <w:sz w:val="28"/>
          <w:szCs w:val="28"/>
        </w:rPr>
        <w:t>impuesto al patrimonio</w:t>
      </w:r>
      <w:r w:rsidRPr="00B86EDB">
        <w:rPr>
          <w:rFonts w:ascii="Times New Roman" w:hAnsi="Times New Roman" w:cs="Times New Roman"/>
          <w:sz w:val="28"/>
          <w:szCs w:val="28"/>
        </w:rPr>
        <w:t xml:space="preserve">, el de </w:t>
      </w:r>
      <w:r w:rsidRPr="00B86EDB">
        <w:rPr>
          <w:rFonts w:ascii="Times New Roman" w:hAnsi="Times New Roman" w:cs="Times New Roman"/>
          <w:sz w:val="28"/>
          <w:szCs w:val="28"/>
        </w:rPr>
        <w:t xml:space="preserve">renta y </w:t>
      </w:r>
      <w:r w:rsidRPr="00B86EDB">
        <w:rPr>
          <w:rFonts w:ascii="Times New Roman" w:hAnsi="Times New Roman" w:cs="Times New Roman"/>
          <w:sz w:val="28"/>
          <w:szCs w:val="28"/>
        </w:rPr>
        <w:t>e</w:t>
      </w:r>
      <w:r w:rsidRPr="00B86EDB">
        <w:rPr>
          <w:rFonts w:ascii="Times New Roman" w:hAnsi="Times New Roman" w:cs="Times New Roman"/>
          <w:sz w:val="28"/>
          <w:szCs w:val="28"/>
        </w:rPr>
        <w:t>l predial, pues</w:t>
      </w:r>
      <w:r w:rsidRPr="00B86EDB">
        <w:rPr>
          <w:rFonts w:ascii="Times New Roman" w:hAnsi="Times New Roman" w:cs="Times New Roman"/>
          <w:sz w:val="28"/>
          <w:szCs w:val="28"/>
        </w:rPr>
        <w:t xml:space="preserve"> cada uno de estos tributos</w:t>
      </w:r>
      <w:r w:rsidRPr="00B86EDB">
        <w:rPr>
          <w:rFonts w:ascii="Times New Roman" w:hAnsi="Times New Roman" w:cs="Times New Roman"/>
          <w:sz w:val="28"/>
          <w:szCs w:val="28"/>
        </w:rPr>
        <w:t xml:space="preserve"> tienen hechos imponibles diferentes</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Así</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la propiedad inmueble no se incluye en </w:t>
      </w:r>
      <w:r w:rsidRPr="00B86EDB">
        <w:rPr>
          <w:rFonts w:ascii="Times New Roman" w:hAnsi="Times New Roman" w:cs="Times New Roman"/>
          <w:sz w:val="28"/>
          <w:szCs w:val="28"/>
        </w:rPr>
        <w:t>el hecho generador</w:t>
      </w:r>
      <w:r w:rsidRPr="00B86EDB">
        <w:rPr>
          <w:rFonts w:ascii="Times New Roman" w:hAnsi="Times New Roman" w:cs="Times New Roman"/>
          <w:sz w:val="28"/>
          <w:szCs w:val="28"/>
        </w:rPr>
        <w:t xml:space="preserve"> del primer tributo de </w:t>
      </w:r>
      <w:r w:rsidRPr="00B86EDB">
        <w:rPr>
          <w:rFonts w:ascii="Times New Roman" w:hAnsi="Times New Roman" w:cs="Times New Roman"/>
          <w:sz w:val="28"/>
          <w:szCs w:val="28"/>
        </w:rPr>
        <w:t>manera</w:t>
      </w:r>
      <w:r w:rsidRPr="00B86EDB">
        <w:rPr>
          <w:rFonts w:ascii="Times New Roman" w:hAnsi="Times New Roman" w:cs="Times New Roman"/>
          <w:sz w:val="28"/>
          <w:szCs w:val="28"/>
        </w:rPr>
        <w:t xml:space="preserve"> direct</w:t>
      </w:r>
      <w:r w:rsidRPr="00B86EDB">
        <w:rPr>
          <w:rFonts w:ascii="Times New Roman" w:hAnsi="Times New Roman" w:cs="Times New Roman"/>
          <w:sz w:val="28"/>
          <w:szCs w:val="28"/>
        </w:rPr>
        <w:t>a, puesto</w:t>
      </w:r>
      <w:r w:rsidRPr="00B86EDB">
        <w:rPr>
          <w:rFonts w:ascii="Times New Roman" w:hAnsi="Times New Roman" w:cs="Times New Roman"/>
          <w:sz w:val="28"/>
          <w:szCs w:val="28"/>
        </w:rPr>
        <w:t xml:space="preserve"> que </w:t>
      </w:r>
      <w:r w:rsidRPr="00B86EDB">
        <w:rPr>
          <w:rFonts w:ascii="Times New Roman" w:hAnsi="Times New Roman" w:cs="Times New Roman"/>
          <w:sz w:val="28"/>
          <w:szCs w:val="28"/>
        </w:rPr>
        <w:t xml:space="preserve">el impuesto al patrimonio </w:t>
      </w:r>
      <w:r w:rsidRPr="00B86EDB">
        <w:rPr>
          <w:rFonts w:ascii="Times New Roman" w:hAnsi="Times New Roman" w:cs="Times New Roman"/>
          <w:sz w:val="28"/>
          <w:szCs w:val="28"/>
        </w:rPr>
        <w:t>es de carácter personal</w:t>
      </w:r>
      <w:r w:rsidRPr="00B86EDB">
        <w:rPr>
          <w:rFonts w:ascii="Times New Roman" w:hAnsi="Times New Roman" w:cs="Times New Roman"/>
          <w:sz w:val="28"/>
          <w:szCs w:val="28"/>
        </w:rPr>
        <w:t>, y</w:t>
      </w:r>
      <w:r w:rsidRPr="00B86EDB">
        <w:rPr>
          <w:rFonts w:ascii="Times New Roman" w:hAnsi="Times New Roman" w:cs="Times New Roman"/>
          <w:sz w:val="28"/>
          <w:szCs w:val="28"/>
        </w:rPr>
        <w:t xml:space="preserve"> parte del patrimonio </w:t>
      </w:r>
      <w:r w:rsidRPr="00B86EDB">
        <w:rPr>
          <w:rFonts w:ascii="Times New Roman" w:hAnsi="Times New Roman" w:cs="Times New Roman"/>
          <w:sz w:val="28"/>
          <w:szCs w:val="28"/>
        </w:rPr>
        <w:t>neto</w:t>
      </w:r>
      <w:r w:rsidRPr="00B86EDB">
        <w:rPr>
          <w:rFonts w:ascii="Times New Roman" w:hAnsi="Times New Roman" w:cs="Times New Roman"/>
          <w:sz w:val="28"/>
          <w:szCs w:val="28"/>
        </w:rPr>
        <w:t xml:space="preserve"> como una universalidad poseíd</w:t>
      </w:r>
      <w:r w:rsidRPr="00B86EDB">
        <w:rPr>
          <w:rFonts w:ascii="Times New Roman" w:hAnsi="Times New Roman" w:cs="Times New Roman"/>
          <w:sz w:val="28"/>
          <w:szCs w:val="28"/>
        </w:rPr>
        <w:t>a</w:t>
      </w:r>
      <w:r w:rsidRPr="00B86EDB">
        <w:rPr>
          <w:rFonts w:ascii="Times New Roman" w:hAnsi="Times New Roman" w:cs="Times New Roman"/>
          <w:sz w:val="28"/>
          <w:szCs w:val="28"/>
        </w:rPr>
        <w:t xml:space="preserve"> por un sujeto y no sobre la propiedad inmueble</w:t>
      </w:r>
      <w:r w:rsidRPr="00B86EDB">
        <w:rPr>
          <w:rFonts w:ascii="Times New Roman" w:hAnsi="Times New Roman" w:cs="Times New Roman"/>
          <w:sz w:val="28"/>
          <w:szCs w:val="28"/>
        </w:rPr>
        <w:t xml:space="preserve">. Prueba </w:t>
      </w:r>
      <w:r w:rsidRPr="00B86EDB">
        <w:rPr>
          <w:rFonts w:ascii="Times New Roman" w:hAnsi="Times New Roman" w:cs="Times New Roman"/>
          <w:sz w:val="28"/>
          <w:szCs w:val="28"/>
        </w:rPr>
        <w:t>de e</w:t>
      </w:r>
      <w:r w:rsidRPr="00B86EDB">
        <w:rPr>
          <w:rFonts w:ascii="Times New Roman" w:hAnsi="Times New Roman" w:cs="Times New Roman"/>
          <w:sz w:val="28"/>
          <w:szCs w:val="28"/>
        </w:rPr>
        <w:t>ll</w:t>
      </w:r>
      <w:r w:rsidRPr="00B86EDB">
        <w:rPr>
          <w:rFonts w:ascii="Times New Roman" w:hAnsi="Times New Roman" w:cs="Times New Roman"/>
          <w:sz w:val="28"/>
          <w:szCs w:val="28"/>
        </w:rPr>
        <w:t>o</w:t>
      </w:r>
      <w:r w:rsidRPr="00B86EDB">
        <w:rPr>
          <w:rFonts w:ascii="Times New Roman" w:hAnsi="Times New Roman" w:cs="Times New Roman"/>
          <w:sz w:val="28"/>
          <w:szCs w:val="28"/>
        </w:rPr>
        <w:t xml:space="preserve"> es</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la exclusión de las primeras 12.000 UVT del </w:t>
      </w:r>
      <w:r w:rsidRPr="00B86EDB">
        <w:rPr>
          <w:rFonts w:ascii="Times New Roman" w:hAnsi="Times New Roman" w:cs="Times New Roman"/>
          <w:sz w:val="28"/>
          <w:szCs w:val="28"/>
        </w:rPr>
        <w:t>in</w:t>
      </w:r>
      <w:r w:rsidRPr="00B86EDB">
        <w:rPr>
          <w:rFonts w:ascii="Times New Roman" w:hAnsi="Times New Roman" w:cs="Times New Roman"/>
          <w:sz w:val="28"/>
          <w:szCs w:val="28"/>
        </w:rPr>
        <w:t xml:space="preserve">mueble de habitación. Además, </w:t>
      </w:r>
      <w:r w:rsidRPr="00B86EDB">
        <w:rPr>
          <w:rFonts w:ascii="Times New Roman" w:hAnsi="Times New Roman" w:cs="Times New Roman"/>
          <w:sz w:val="28"/>
          <w:szCs w:val="28"/>
        </w:rPr>
        <w:t xml:space="preserve">el impuesto al patrimonio incentiva </w:t>
      </w:r>
      <w:r w:rsidRPr="00B86EDB">
        <w:rPr>
          <w:rFonts w:ascii="Times New Roman" w:hAnsi="Times New Roman" w:cs="Times New Roman"/>
          <w:sz w:val="28"/>
          <w:szCs w:val="28"/>
        </w:rPr>
        <w:t>que los activos sean aprovechados económicamente, por lo tanto, se le pueden restar las deudas</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Por su parte,</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argumentó que</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en el caso del segu</w:t>
      </w:r>
      <w:r w:rsidRPr="00B86EDB">
        <w:rPr>
          <w:rFonts w:ascii="Times New Roman" w:hAnsi="Times New Roman" w:cs="Times New Roman"/>
          <w:sz w:val="28"/>
          <w:szCs w:val="28"/>
        </w:rPr>
        <w:t>ndo</w:t>
      </w:r>
      <w:r w:rsidRPr="00B86EDB">
        <w:rPr>
          <w:rFonts w:ascii="Times New Roman" w:hAnsi="Times New Roman" w:cs="Times New Roman"/>
          <w:sz w:val="28"/>
          <w:szCs w:val="28"/>
        </w:rPr>
        <w:t xml:space="preserve"> tributo</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se grava la renta, es decir, una utilidad que se obtiene luego de un proceso de depuración</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D</w:t>
      </w:r>
      <w:r w:rsidRPr="00B86EDB">
        <w:rPr>
          <w:rFonts w:ascii="Times New Roman" w:hAnsi="Times New Roman" w:cs="Times New Roman"/>
          <w:sz w:val="28"/>
          <w:szCs w:val="28"/>
        </w:rPr>
        <w:t xml:space="preserve">iferente es que la propiedad inmueble se utilice </w:t>
      </w:r>
      <w:r w:rsidRPr="00B86EDB">
        <w:rPr>
          <w:rFonts w:ascii="Times New Roman" w:hAnsi="Times New Roman" w:cs="Times New Roman"/>
          <w:sz w:val="28"/>
          <w:szCs w:val="28"/>
        </w:rPr>
        <w:t>como un parámetro o referente</w:t>
      </w:r>
      <w:r w:rsidRPr="00B86EDB">
        <w:rPr>
          <w:rFonts w:ascii="Times New Roman" w:hAnsi="Times New Roman" w:cs="Times New Roman"/>
          <w:sz w:val="28"/>
          <w:szCs w:val="28"/>
        </w:rPr>
        <w:t>.</w:t>
      </w:r>
    </w:p>
    <w:p w:rsidR="00801D32" w:rsidRPr="00B86EDB" w:rsidRDefault="00B86EDB" w:rsidP="009F3F6A">
      <w:pPr>
        <w:pStyle w:val="Prrafodelista"/>
        <w:contextualSpacing w:val="0"/>
        <w:rPr>
          <w:rFonts w:ascii="Times New Roman" w:hAnsi="Times New Roman" w:cs="Times New Roman"/>
          <w:sz w:val="28"/>
          <w:szCs w:val="28"/>
        </w:rPr>
      </w:pPr>
    </w:p>
    <w:p w:rsidR="00DB2FC5"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El DAPRE y l</w:t>
      </w:r>
      <w:r w:rsidRPr="00B86EDB">
        <w:rPr>
          <w:rFonts w:ascii="Times New Roman" w:hAnsi="Times New Roman" w:cs="Times New Roman"/>
          <w:sz w:val="28"/>
          <w:szCs w:val="28"/>
        </w:rPr>
        <w:t>a DIAN aduj</w:t>
      </w:r>
      <w:r w:rsidRPr="00B86EDB">
        <w:rPr>
          <w:rFonts w:ascii="Times New Roman" w:hAnsi="Times New Roman" w:cs="Times New Roman"/>
          <w:sz w:val="28"/>
          <w:szCs w:val="28"/>
        </w:rPr>
        <w:t>eron</w:t>
      </w:r>
      <w:r w:rsidRPr="00B86EDB">
        <w:rPr>
          <w:rFonts w:ascii="Times New Roman" w:hAnsi="Times New Roman" w:cs="Times New Roman"/>
          <w:sz w:val="28"/>
          <w:szCs w:val="28"/>
        </w:rPr>
        <w:t xml:space="preserve"> que</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en todo caso, </w:t>
      </w:r>
      <w:r w:rsidRPr="00B86EDB">
        <w:rPr>
          <w:rFonts w:ascii="Times New Roman" w:hAnsi="Times New Roman" w:cs="Times New Roman"/>
          <w:sz w:val="28"/>
          <w:szCs w:val="28"/>
        </w:rPr>
        <w:t xml:space="preserve">la imposición de varios gravámenes como el de renta, patrimonio y predial sólo vulnera la Constitución Política si supera la capacidad de pago de los contribuyentes. </w:t>
      </w:r>
    </w:p>
    <w:p w:rsidR="00DB2FC5" w:rsidRPr="00B86EDB" w:rsidRDefault="00B86EDB" w:rsidP="009F3F6A">
      <w:pPr>
        <w:widowControl w:val="0"/>
        <w:tabs>
          <w:tab w:val="left" w:pos="90"/>
          <w:tab w:val="left" w:pos="567"/>
          <w:tab w:val="left" w:pos="709"/>
        </w:tabs>
        <w:jc w:val="both"/>
        <w:rPr>
          <w:rFonts w:ascii="Times New Roman" w:hAnsi="Times New Roman" w:cs="Times New Roman"/>
          <w:sz w:val="28"/>
          <w:szCs w:val="28"/>
        </w:rPr>
      </w:pPr>
    </w:p>
    <w:p w:rsidR="003A2EF4" w:rsidRPr="00B86EDB" w:rsidRDefault="00B86EDB" w:rsidP="009F3F6A">
      <w:pPr>
        <w:widowControl w:val="0"/>
        <w:tabs>
          <w:tab w:val="left" w:pos="90"/>
          <w:tab w:val="left" w:pos="567"/>
          <w:tab w:val="left" w:pos="709"/>
        </w:tabs>
        <w:jc w:val="both"/>
        <w:rPr>
          <w:rFonts w:ascii="Times New Roman" w:hAnsi="Times New Roman" w:cs="Times New Roman"/>
          <w:sz w:val="28"/>
          <w:szCs w:val="28"/>
        </w:rPr>
      </w:pPr>
    </w:p>
    <w:p w:rsidR="00900220" w:rsidRPr="00B86EDB" w:rsidRDefault="00B86EDB" w:rsidP="009F3F6A">
      <w:pPr>
        <w:pStyle w:val="Ttulo3"/>
        <w:numPr>
          <w:ilvl w:val="0"/>
          <w:numId w:val="11"/>
        </w:numPr>
        <w:spacing w:before="0"/>
        <w:jc w:val="both"/>
        <w:rPr>
          <w:rFonts w:ascii="Times New Roman" w:hAnsi="Times New Roman" w:cs="Times New Roman"/>
          <w:b/>
          <w:bCs/>
          <w:i/>
          <w:iCs/>
          <w:color w:val="auto"/>
          <w:sz w:val="28"/>
          <w:szCs w:val="28"/>
        </w:rPr>
      </w:pPr>
      <w:r w:rsidRPr="00B86EDB">
        <w:rPr>
          <w:rFonts w:ascii="Times New Roman" w:hAnsi="Times New Roman" w:cs="Times New Roman"/>
          <w:b/>
          <w:bCs/>
          <w:i/>
          <w:iCs/>
          <w:color w:val="auto"/>
          <w:sz w:val="28"/>
          <w:szCs w:val="28"/>
        </w:rPr>
        <w:t>Sobre el cargo por violación del artículo 317 de la Constitución Política, por gravar l</w:t>
      </w:r>
      <w:r w:rsidRPr="00B86EDB">
        <w:rPr>
          <w:rFonts w:ascii="Times New Roman" w:hAnsi="Times New Roman" w:cs="Times New Roman"/>
          <w:b/>
          <w:bCs/>
          <w:i/>
          <w:iCs/>
          <w:color w:val="auto"/>
          <w:sz w:val="28"/>
          <w:szCs w:val="28"/>
        </w:rPr>
        <w:t>a propiedad inmueble por medio de un tributo nacional</w:t>
      </w:r>
      <w:r w:rsidRPr="00B86EDB">
        <w:rPr>
          <w:rFonts w:ascii="Times New Roman" w:hAnsi="Times New Roman" w:cs="Times New Roman"/>
          <w:b/>
          <w:bCs/>
          <w:i/>
          <w:iCs/>
          <w:color w:val="auto"/>
          <w:sz w:val="28"/>
          <w:szCs w:val="28"/>
        </w:rPr>
        <w:t xml:space="preserve"> </w:t>
      </w:r>
    </w:p>
    <w:p w:rsidR="00900220" w:rsidRPr="00B86EDB" w:rsidRDefault="00B86EDB" w:rsidP="009F3F6A">
      <w:pPr>
        <w:rPr>
          <w:rFonts w:ascii="Times New Roman" w:hAnsi="Times New Roman" w:cs="Times New Roman"/>
          <w:sz w:val="28"/>
          <w:szCs w:val="28"/>
        </w:rPr>
      </w:pPr>
    </w:p>
    <w:p w:rsidR="00900220"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b/>
          <w:bCs/>
          <w:sz w:val="28"/>
          <w:szCs w:val="28"/>
        </w:rPr>
      </w:pPr>
      <w:r w:rsidRPr="00B86EDB">
        <w:rPr>
          <w:rFonts w:ascii="Times New Roman" w:hAnsi="Times New Roman" w:cs="Times New Roman"/>
          <w:sz w:val="28"/>
          <w:szCs w:val="28"/>
        </w:rPr>
        <w:t>El</w:t>
      </w:r>
      <w:r w:rsidRPr="00B86EDB">
        <w:rPr>
          <w:rFonts w:ascii="Times New Roman" w:hAnsi="Times New Roman" w:cs="Times New Roman"/>
          <w:sz w:val="28"/>
          <w:szCs w:val="28"/>
        </w:rPr>
        <w:t xml:space="preserve"> apoderado del</w:t>
      </w:r>
      <w:r w:rsidRPr="00B86EDB">
        <w:rPr>
          <w:rFonts w:ascii="Times New Roman" w:hAnsi="Times New Roman" w:cs="Times New Roman"/>
          <w:sz w:val="28"/>
          <w:szCs w:val="28"/>
        </w:rPr>
        <w:t xml:space="preserve"> Ministerio de Hacienda </w:t>
      </w:r>
      <w:r w:rsidRPr="00B86EDB">
        <w:rPr>
          <w:rFonts w:ascii="Times New Roman" w:hAnsi="Times New Roman" w:cs="Times New Roman"/>
          <w:sz w:val="28"/>
          <w:szCs w:val="28"/>
        </w:rPr>
        <w:t xml:space="preserve">y Crédito Público </w:t>
      </w:r>
      <w:r w:rsidRPr="00B86EDB">
        <w:rPr>
          <w:rFonts w:ascii="Times New Roman" w:hAnsi="Times New Roman" w:cs="Times New Roman"/>
          <w:sz w:val="28"/>
          <w:szCs w:val="28"/>
        </w:rPr>
        <w:t>manifestó</w:t>
      </w:r>
      <w:r w:rsidRPr="00B86EDB">
        <w:rPr>
          <w:rFonts w:ascii="Times New Roman" w:hAnsi="Times New Roman" w:cs="Times New Roman"/>
          <w:sz w:val="28"/>
          <w:szCs w:val="28"/>
        </w:rPr>
        <w:t xml:space="preserve"> que la finalidad del artículo </w:t>
      </w:r>
      <w:r w:rsidRPr="00B86EDB">
        <w:rPr>
          <w:rFonts w:ascii="Times New Roman" w:hAnsi="Times New Roman" w:cs="Times New Roman"/>
          <w:sz w:val="28"/>
          <w:szCs w:val="28"/>
        </w:rPr>
        <w:t xml:space="preserve">317 de la Constitución Política es </w:t>
      </w:r>
      <w:r w:rsidRPr="00B86EDB">
        <w:rPr>
          <w:rFonts w:ascii="Times New Roman" w:hAnsi="Times New Roman" w:cs="Times New Roman"/>
          <w:sz w:val="28"/>
          <w:szCs w:val="28"/>
        </w:rPr>
        <w:t>dotar a los municipios</w:t>
      </w:r>
      <w:r w:rsidRPr="00B86EDB">
        <w:rPr>
          <w:rFonts w:ascii="Times New Roman" w:hAnsi="Times New Roman" w:cs="Times New Roman"/>
          <w:sz w:val="28"/>
          <w:szCs w:val="28"/>
        </w:rPr>
        <w:t xml:space="preserve"> de</w:t>
      </w:r>
      <w:r w:rsidRPr="00B86EDB">
        <w:rPr>
          <w:rFonts w:ascii="Times New Roman" w:hAnsi="Times New Roman" w:cs="Times New Roman"/>
          <w:sz w:val="28"/>
          <w:szCs w:val="28"/>
        </w:rPr>
        <w:t xml:space="preserve"> recursos para desarrollar las competencias a su carg</w:t>
      </w:r>
      <w:r w:rsidRPr="00B86EDB">
        <w:rPr>
          <w:rFonts w:ascii="Times New Roman" w:hAnsi="Times New Roman" w:cs="Times New Roman"/>
          <w:sz w:val="28"/>
          <w:szCs w:val="28"/>
        </w:rPr>
        <w:t>o. E</w:t>
      </w:r>
      <w:r w:rsidRPr="00B86EDB">
        <w:rPr>
          <w:rFonts w:ascii="Times New Roman" w:hAnsi="Times New Roman" w:cs="Times New Roman"/>
          <w:sz w:val="28"/>
          <w:szCs w:val="28"/>
        </w:rPr>
        <w:t>n</w:t>
      </w:r>
      <w:r w:rsidRPr="00B86EDB">
        <w:rPr>
          <w:rFonts w:ascii="Times New Roman" w:hAnsi="Times New Roman" w:cs="Times New Roman"/>
          <w:sz w:val="28"/>
          <w:szCs w:val="28"/>
        </w:rPr>
        <w:t xml:space="preserve"> este sentido, el alcance de esta disposición constitucional se agota al impedir </w:t>
      </w:r>
      <w:r w:rsidRPr="00B86EDB">
        <w:rPr>
          <w:rFonts w:ascii="Times New Roman" w:hAnsi="Times New Roman" w:cs="Times New Roman"/>
          <w:sz w:val="28"/>
          <w:szCs w:val="28"/>
        </w:rPr>
        <w:t>tributos nacionales con un aspecto material que incluya la propiedad inmueble</w:t>
      </w:r>
      <w:r w:rsidRPr="00B86EDB">
        <w:rPr>
          <w:rFonts w:ascii="Times New Roman" w:hAnsi="Times New Roman" w:cs="Times New Roman"/>
          <w:sz w:val="28"/>
          <w:szCs w:val="28"/>
        </w:rPr>
        <w:t>.</w:t>
      </w:r>
    </w:p>
    <w:p w:rsidR="00734AF7" w:rsidRPr="00B86EDB" w:rsidRDefault="00B86EDB" w:rsidP="009F3F6A">
      <w:pPr>
        <w:pStyle w:val="Prrafodelista"/>
        <w:widowControl w:val="0"/>
        <w:tabs>
          <w:tab w:val="left" w:pos="90"/>
          <w:tab w:val="left" w:pos="567"/>
          <w:tab w:val="left" w:pos="709"/>
        </w:tabs>
        <w:ind w:left="0"/>
        <w:contextualSpacing w:val="0"/>
        <w:jc w:val="both"/>
        <w:rPr>
          <w:rFonts w:ascii="Times New Roman" w:hAnsi="Times New Roman" w:cs="Times New Roman"/>
          <w:b/>
          <w:bCs/>
          <w:sz w:val="28"/>
          <w:szCs w:val="28"/>
        </w:rPr>
      </w:pPr>
    </w:p>
    <w:p w:rsidR="00734AF7"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A</w:t>
      </w:r>
      <w:r w:rsidRPr="00B86EDB">
        <w:rPr>
          <w:rFonts w:ascii="Times New Roman" w:hAnsi="Times New Roman" w:cs="Times New Roman"/>
          <w:sz w:val="28"/>
          <w:szCs w:val="28"/>
        </w:rPr>
        <w:t xml:space="preserve">dvirtió que </w:t>
      </w:r>
      <w:r w:rsidRPr="00B86EDB">
        <w:rPr>
          <w:rFonts w:ascii="Times New Roman" w:hAnsi="Times New Roman" w:cs="Times New Roman"/>
          <w:sz w:val="28"/>
          <w:szCs w:val="28"/>
        </w:rPr>
        <w:t>fue voluntad de</w:t>
      </w:r>
      <w:r w:rsidRPr="00B86EDB">
        <w:rPr>
          <w:rFonts w:ascii="Times New Roman" w:hAnsi="Times New Roman" w:cs="Times New Roman"/>
          <w:sz w:val="28"/>
          <w:szCs w:val="28"/>
        </w:rPr>
        <w:t xml:space="preserve"> la Asamb</w:t>
      </w:r>
      <w:r w:rsidRPr="00B86EDB">
        <w:rPr>
          <w:rFonts w:ascii="Times New Roman" w:hAnsi="Times New Roman" w:cs="Times New Roman"/>
          <w:sz w:val="28"/>
          <w:szCs w:val="28"/>
        </w:rPr>
        <w:t>lea Nacional Constituyente</w:t>
      </w:r>
      <w:r w:rsidRPr="00B86EDB">
        <w:rPr>
          <w:rFonts w:ascii="Times New Roman" w:hAnsi="Times New Roman" w:cs="Times New Roman"/>
          <w:sz w:val="28"/>
          <w:szCs w:val="28"/>
        </w:rPr>
        <w:t xml:space="preserve"> equilibrar</w:t>
      </w:r>
      <w:r w:rsidRPr="00B86EDB">
        <w:rPr>
          <w:rFonts w:ascii="Times New Roman" w:hAnsi="Times New Roman" w:cs="Times New Roman"/>
          <w:sz w:val="28"/>
          <w:szCs w:val="28"/>
        </w:rPr>
        <w:t xml:space="preserve"> las competencias de los municipios y de la </w:t>
      </w:r>
      <w:r w:rsidRPr="00B86EDB">
        <w:rPr>
          <w:rFonts w:ascii="Times New Roman" w:hAnsi="Times New Roman" w:cs="Times New Roman"/>
          <w:sz w:val="28"/>
          <w:szCs w:val="28"/>
        </w:rPr>
        <w:t>N</w:t>
      </w:r>
      <w:r w:rsidRPr="00B86EDB">
        <w:rPr>
          <w:rFonts w:ascii="Times New Roman" w:hAnsi="Times New Roman" w:cs="Times New Roman"/>
          <w:sz w:val="28"/>
          <w:szCs w:val="28"/>
        </w:rPr>
        <w:t xml:space="preserve">ación </w:t>
      </w:r>
      <w:r w:rsidRPr="00B86EDB">
        <w:rPr>
          <w:rFonts w:ascii="Times New Roman" w:hAnsi="Times New Roman" w:cs="Times New Roman"/>
          <w:sz w:val="28"/>
          <w:szCs w:val="28"/>
        </w:rPr>
        <w:t>para proteger</w:t>
      </w:r>
      <w:r w:rsidRPr="00B86EDB">
        <w:rPr>
          <w:rFonts w:ascii="Times New Roman" w:hAnsi="Times New Roman" w:cs="Times New Roman"/>
          <w:sz w:val="28"/>
          <w:szCs w:val="28"/>
        </w:rPr>
        <w:t xml:space="preserve"> la </w:t>
      </w:r>
      <w:r w:rsidRPr="00B86EDB">
        <w:rPr>
          <w:rFonts w:ascii="Times New Roman" w:hAnsi="Times New Roman" w:cs="Times New Roman"/>
          <w:sz w:val="28"/>
          <w:szCs w:val="28"/>
        </w:rPr>
        <w:t>autonomía</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territorial</w:t>
      </w:r>
      <w:r w:rsidRPr="00B86EDB">
        <w:rPr>
          <w:rFonts w:ascii="Times New Roman" w:hAnsi="Times New Roman" w:cs="Times New Roman"/>
          <w:sz w:val="28"/>
          <w:szCs w:val="28"/>
        </w:rPr>
        <w:t xml:space="preserve"> y la unidad </w:t>
      </w:r>
      <w:r w:rsidRPr="00B86EDB">
        <w:rPr>
          <w:rFonts w:ascii="Times New Roman" w:hAnsi="Times New Roman" w:cs="Times New Roman"/>
          <w:sz w:val="28"/>
          <w:szCs w:val="28"/>
        </w:rPr>
        <w:t>n</w:t>
      </w:r>
      <w:r w:rsidRPr="00B86EDB">
        <w:rPr>
          <w:rFonts w:ascii="Times New Roman" w:hAnsi="Times New Roman" w:cs="Times New Roman"/>
          <w:sz w:val="28"/>
          <w:szCs w:val="28"/>
        </w:rPr>
        <w:t>acional</w:t>
      </w:r>
      <w:r w:rsidRPr="00B86EDB">
        <w:rPr>
          <w:rFonts w:ascii="Times New Roman" w:hAnsi="Times New Roman" w:cs="Times New Roman"/>
          <w:sz w:val="28"/>
          <w:szCs w:val="28"/>
        </w:rPr>
        <w:t>. En esta medida</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se </w:t>
      </w:r>
      <w:r w:rsidRPr="00B86EDB">
        <w:rPr>
          <w:rFonts w:ascii="Times New Roman" w:hAnsi="Times New Roman" w:cs="Times New Roman"/>
          <w:sz w:val="28"/>
          <w:szCs w:val="28"/>
        </w:rPr>
        <w:t>otorgó</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a los municipios la competencia de gravar la propiedad inmueble como </w:t>
      </w:r>
      <w:r w:rsidRPr="00B86EDB">
        <w:rPr>
          <w:rFonts w:ascii="Times New Roman" w:hAnsi="Times New Roman" w:cs="Times New Roman"/>
          <w:sz w:val="28"/>
          <w:szCs w:val="28"/>
        </w:rPr>
        <w:t xml:space="preserve">fuente de </w:t>
      </w:r>
      <w:r w:rsidRPr="00B86EDB">
        <w:rPr>
          <w:rFonts w:ascii="Times New Roman" w:hAnsi="Times New Roman" w:cs="Times New Roman"/>
          <w:sz w:val="28"/>
          <w:szCs w:val="28"/>
        </w:rPr>
        <w:t>ingreso constante y segur</w:t>
      </w:r>
      <w:r w:rsidRPr="00B86EDB">
        <w:rPr>
          <w:rFonts w:ascii="Times New Roman" w:hAnsi="Times New Roman" w:cs="Times New Roman"/>
          <w:sz w:val="28"/>
          <w:szCs w:val="28"/>
        </w:rPr>
        <w:t>a</w:t>
      </w:r>
      <w:r w:rsidRPr="00B86EDB">
        <w:rPr>
          <w:rFonts w:ascii="Times New Roman" w:hAnsi="Times New Roman" w:cs="Times New Roman"/>
          <w:sz w:val="28"/>
          <w:szCs w:val="28"/>
        </w:rPr>
        <w:t>, la cual</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se ejerce a través del impuesto predial. </w:t>
      </w:r>
      <w:r w:rsidRPr="00B86EDB">
        <w:rPr>
          <w:rFonts w:ascii="Times New Roman" w:hAnsi="Times New Roman" w:cs="Times New Roman"/>
          <w:sz w:val="28"/>
          <w:szCs w:val="28"/>
        </w:rPr>
        <w:t>Afirmó que</w:t>
      </w:r>
      <w:r w:rsidRPr="00B86EDB">
        <w:rPr>
          <w:rFonts w:ascii="Times New Roman" w:hAnsi="Times New Roman" w:cs="Times New Roman"/>
          <w:sz w:val="28"/>
          <w:szCs w:val="28"/>
        </w:rPr>
        <w:t xml:space="preserve"> la reserva contemplada en este artículo se predica exclusivamente frente a es</w:t>
      </w:r>
      <w:r w:rsidRPr="00B86EDB">
        <w:rPr>
          <w:rFonts w:ascii="Times New Roman" w:hAnsi="Times New Roman" w:cs="Times New Roman"/>
          <w:sz w:val="28"/>
          <w:szCs w:val="28"/>
        </w:rPr>
        <w:t>e tributo</w:t>
      </w:r>
      <w:r w:rsidRPr="00B86EDB">
        <w:rPr>
          <w:rFonts w:ascii="Times New Roman" w:hAnsi="Times New Roman" w:cs="Times New Roman"/>
          <w:sz w:val="28"/>
          <w:szCs w:val="28"/>
        </w:rPr>
        <w:t xml:space="preserve"> (predial)</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y</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no </w:t>
      </w:r>
      <w:r w:rsidRPr="00B86EDB">
        <w:rPr>
          <w:rFonts w:ascii="Times New Roman" w:hAnsi="Times New Roman" w:cs="Times New Roman"/>
          <w:sz w:val="28"/>
          <w:szCs w:val="28"/>
        </w:rPr>
        <w:t>contempla</w:t>
      </w:r>
      <w:r w:rsidRPr="00B86EDB">
        <w:rPr>
          <w:rFonts w:ascii="Times New Roman" w:hAnsi="Times New Roman" w:cs="Times New Roman"/>
          <w:sz w:val="28"/>
          <w:szCs w:val="28"/>
        </w:rPr>
        <w:t xml:space="preserve"> un alcance irrestricto que</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prohíba</w:t>
      </w:r>
      <w:r w:rsidRPr="00B86EDB">
        <w:rPr>
          <w:rFonts w:ascii="Times New Roman" w:hAnsi="Times New Roman" w:cs="Times New Roman"/>
          <w:sz w:val="28"/>
          <w:szCs w:val="28"/>
        </w:rPr>
        <w:t xml:space="preserve"> incluir bienes inmue</w:t>
      </w:r>
      <w:r w:rsidRPr="00B86EDB">
        <w:rPr>
          <w:rFonts w:ascii="Times New Roman" w:hAnsi="Times New Roman" w:cs="Times New Roman"/>
          <w:sz w:val="28"/>
          <w:szCs w:val="28"/>
        </w:rPr>
        <w:t xml:space="preserve">bles dentro de la base gravable de un impuesto global sobre el patrimonio. </w:t>
      </w:r>
    </w:p>
    <w:p w:rsidR="0002443F" w:rsidRPr="00B86EDB" w:rsidRDefault="00B86EDB" w:rsidP="009F3F6A">
      <w:pPr>
        <w:pStyle w:val="Prrafodelista"/>
        <w:contextualSpacing w:val="0"/>
        <w:rPr>
          <w:rFonts w:ascii="Times New Roman" w:hAnsi="Times New Roman" w:cs="Times New Roman"/>
          <w:sz w:val="28"/>
          <w:szCs w:val="28"/>
        </w:rPr>
      </w:pPr>
    </w:p>
    <w:p w:rsidR="000C7450"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 xml:space="preserve">El </w:t>
      </w:r>
      <w:r w:rsidRPr="00B86EDB">
        <w:rPr>
          <w:rFonts w:ascii="Times New Roman" w:hAnsi="Times New Roman" w:cs="Times New Roman"/>
          <w:sz w:val="28"/>
          <w:szCs w:val="28"/>
        </w:rPr>
        <w:t xml:space="preserve">apoderado del </w:t>
      </w:r>
      <w:r w:rsidRPr="00B86EDB">
        <w:rPr>
          <w:rFonts w:ascii="Times New Roman" w:hAnsi="Times New Roman" w:cs="Times New Roman"/>
          <w:sz w:val="28"/>
          <w:szCs w:val="28"/>
        </w:rPr>
        <w:t xml:space="preserve">Ministerio </w:t>
      </w:r>
      <w:r w:rsidRPr="00B86EDB">
        <w:rPr>
          <w:rFonts w:ascii="Times New Roman" w:hAnsi="Times New Roman" w:cs="Times New Roman"/>
          <w:sz w:val="28"/>
          <w:szCs w:val="28"/>
        </w:rPr>
        <w:t xml:space="preserve">afirmó que el artículo 338 de la Constitución Política elevó a rango constitucional la diferenciación que </w:t>
      </w:r>
      <w:r w:rsidRPr="00B86EDB">
        <w:rPr>
          <w:rFonts w:ascii="Times New Roman" w:hAnsi="Times New Roman" w:cs="Times New Roman"/>
          <w:sz w:val="28"/>
          <w:szCs w:val="28"/>
        </w:rPr>
        <w:t xml:space="preserve">existe </w:t>
      </w:r>
      <w:r w:rsidRPr="00B86EDB">
        <w:rPr>
          <w:rFonts w:ascii="Times New Roman" w:hAnsi="Times New Roman" w:cs="Times New Roman"/>
          <w:sz w:val="28"/>
          <w:szCs w:val="28"/>
        </w:rPr>
        <w:t xml:space="preserve">en la doctrina entre el </w:t>
      </w:r>
      <w:r w:rsidRPr="00B86EDB">
        <w:rPr>
          <w:rFonts w:ascii="Times New Roman" w:hAnsi="Times New Roman" w:cs="Times New Roman"/>
          <w:i/>
          <w:iCs/>
          <w:sz w:val="28"/>
          <w:szCs w:val="28"/>
        </w:rPr>
        <w:t>“objeto”</w:t>
      </w:r>
      <w:r w:rsidRPr="00B86EDB">
        <w:rPr>
          <w:rFonts w:ascii="Times New Roman" w:hAnsi="Times New Roman" w:cs="Times New Roman"/>
          <w:sz w:val="28"/>
          <w:szCs w:val="28"/>
        </w:rPr>
        <w:t xml:space="preserve"> o la </w:t>
      </w:r>
      <w:r w:rsidRPr="00B86EDB">
        <w:rPr>
          <w:rFonts w:ascii="Times New Roman" w:hAnsi="Times New Roman" w:cs="Times New Roman"/>
          <w:i/>
          <w:iCs/>
          <w:sz w:val="28"/>
          <w:szCs w:val="28"/>
        </w:rPr>
        <w:t>“materia”</w:t>
      </w:r>
      <w:r w:rsidRPr="00B86EDB">
        <w:rPr>
          <w:rFonts w:ascii="Times New Roman" w:hAnsi="Times New Roman" w:cs="Times New Roman"/>
          <w:sz w:val="28"/>
          <w:szCs w:val="28"/>
        </w:rPr>
        <w:t xml:space="preserve"> del tributo y el hecho concreto sobre el cual este recae </w:t>
      </w:r>
      <w:r w:rsidRPr="00B86EDB">
        <w:rPr>
          <w:rFonts w:ascii="Times New Roman" w:hAnsi="Times New Roman" w:cs="Times New Roman"/>
          <w:i/>
          <w:iCs/>
          <w:sz w:val="28"/>
          <w:szCs w:val="28"/>
        </w:rPr>
        <w:t>(“hecho imponible”</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Señaló </w:t>
      </w:r>
      <w:r w:rsidRPr="00B86EDB">
        <w:rPr>
          <w:rFonts w:ascii="Times New Roman" w:hAnsi="Times New Roman" w:cs="Times New Roman"/>
          <w:sz w:val="28"/>
          <w:szCs w:val="28"/>
        </w:rPr>
        <w:t>que la materia imponible es el elemento de la realidad seleccionado por el legislador para establecer el tributo. Por lo tanto, es anterior a la aparición del tr</w:t>
      </w:r>
      <w:r w:rsidRPr="00B86EDB">
        <w:rPr>
          <w:rFonts w:ascii="Times New Roman" w:hAnsi="Times New Roman" w:cs="Times New Roman"/>
          <w:sz w:val="28"/>
          <w:szCs w:val="28"/>
        </w:rPr>
        <w:t xml:space="preserve">ibuto, revela la capacidad contributiva del sujeto y, es utilizada por el legislador para configurar el hecho imponible. </w:t>
      </w:r>
    </w:p>
    <w:p w:rsidR="000C7450" w:rsidRPr="00B86EDB" w:rsidRDefault="00B86EDB" w:rsidP="009F3F6A">
      <w:pPr>
        <w:pStyle w:val="Prrafodelista"/>
        <w:contextualSpacing w:val="0"/>
        <w:rPr>
          <w:rFonts w:ascii="Times New Roman" w:hAnsi="Times New Roman" w:cs="Times New Roman"/>
          <w:sz w:val="28"/>
          <w:szCs w:val="28"/>
        </w:rPr>
      </w:pPr>
    </w:p>
    <w:p w:rsidR="005262EC"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A su turno, el hecho generador es una creación normativa, para la que se toma un objeto de la realidad y a partir de él se describe u</w:t>
      </w:r>
      <w:r w:rsidRPr="00B86EDB">
        <w:rPr>
          <w:rFonts w:ascii="Times New Roman" w:hAnsi="Times New Roman" w:cs="Times New Roman"/>
          <w:sz w:val="28"/>
          <w:szCs w:val="28"/>
        </w:rPr>
        <w:t xml:space="preserve">na situación cuya materialización determina el nacimiento de la obligación tributaria. Dicho de otro modo, todo hecho imponible supone la existencia de una materia imponible que ha sido seleccionada y descrita de forma detallada por el legislador para dar </w:t>
      </w:r>
      <w:r w:rsidRPr="00B86EDB">
        <w:rPr>
          <w:rFonts w:ascii="Times New Roman" w:hAnsi="Times New Roman" w:cs="Times New Roman"/>
          <w:sz w:val="28"/>
          <w:szCs w:val="28"/>
        </w:rPr>
        <w:t>nacimiento a la obligación tributaria.</w:t>
      </w:r>
      <w:r w:rsidRPr="00B86EDB">
        <w:rPr>
          <w:rFonts w:ascii="Times New Roman" w:hAnsi="Times New Roman" w:cs="Times New Roman"/>
          <w:sz w:val="28"/>
          <w:szCs w:val="28"/>
        </w:rPr>
        <w:t xml:space="preserve"> El hecho imponible se compone de un elemento subjetivo y uno objetivo. El elemento objetivo del hecho imponible será aquella situación de hecho, </w:t>
      </w:r>
      <w:r w:rsidRPr="00B86EDB">
        <w:rPr>
          <w:rFonts w:ascii="Times New Roman" w:hAnsi="Times New Roman" w:cs="Times New Roman"/>
          <w:sz w:val="28"/>
          <w:szCs w:val="28"/>
        </w:rPr>
        <w:t>“</w:t>
      </w:r>
      <w:r w:rsidRPr="00B86EDB">
        <w:rPr>
          <w:rFonts w:ascii="Times New Roman" w:hAnsi="Times New Roman" w:cs="Times New Roman"/>
          <w:sz w:val="28"/>
          <w:szCs w:val="28"/>
        </w:rPr>
        <w:t>o el acontecimiento material cuya realización da lugar a la causación d</w:t>
      </w:r>
      <w:r w:rsidRPr="00B86EDB">
        <w:rPr>
          <w:rFonts w:ascii="Times New Roman" w:hAnsi="Times New Roman" w:cs="Times New Roman"/>
          <w:sz w:val="28"/>
          <w:szCs w:val="28"/>
        </w:rPr>
        <w:t>el gravamen, es decir, el hecho, acto, negocio jurídico, que expresa en términos específicos la manifestación de riqueza que se quiere gravar</w:t>
      </w:r>
      <w:r w:rsidRPr="00B86EDB">
        <w:rPr>
          <w:rFonts w:ascii="Times New Roman" w:hAnsi="Times New Roman" w:cs="Times New Roman"/>
          <w:sz w:val="28"/>
          <w:szCs w:val="28"/>
        </w:rPr>
        <w:t>”</w:t>
      </w:r>
      <w:r w:rsidRPr="00B86EDB">
        <w:rPr>
          <w:rFonts w:ascii="Times New Roman" w:hAnsi="Times New Roman" w:cs="Times New Roman"/>
          <w:sz w:val="28"/>
          <w:szCs w:val="28"/>
        </w:rPr>
        <w:t>.</w:t>
      </w:r>
    </w:p>
    <w:p w:rsidR="005262EC" w:rsidRPr="00B86EDB" w:rsidRDefault="00B86EDB" w:rsidP="009F3F6A">
      <w:pPr>
        <w:pStyle w:val="Prrafodelista"/>
        <w:contextualSpacing w:val="0"/>
        <w:rPr>
          <w:rFonts w:ascii="Times New Roman" w:hAnsi="Times New Roman" w:cs="Times New Roman"/>
          <w:sz w:val="28"/>
          <w:szCs w:val="28"/>
        </w:rPr>
      </w:pPr>
    </w:p>
    <w:p w:rsidR="00C604B6"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Con fundamento en la categorización anterior</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el apoderado del Ministerio</w:t>
      </w:r>
      <w:r w:rsidRPr="00B86EDB">
        <w:rPr>
          <w:rFonts w:ascii="Times New Roman" w:hAnsi="Times New Roman" w:cs="Times New Roman"/>
          <w:sz w:val="28"/>
          <w:szCs w:val="28"/>
        </w:rPr>
        <w:t xml:space="preserve"> argument</w:t>
      </w:r>
      <w:r w:rsidRPr="00B86EDB">
        <w:rPr>
          <w:rFonts w:ascii="Times New Roman" w:hAnsi="Times New Roman" w:cs="Times New Roman"/>
          <w:sz w:val="28"/>
          <w:szCs w:val="28"/>
        </w:rPr>
        <w:t>ó</w:t>
      </w:r>
      <w:r w:rsidRPr="00B86EDB">
        <w:rPr>
          <w:rFonts w:ascii="Times New Roman" w:hAnsi="Times New Roman" w:cs="Times New Roman"/>
          <w:sz w:val="28"/>
          <w:szCs w:val="28"/>
        </w:rPr>
        <w:t xml:space="preserve"> que en realidad el artículo</w:t>
      </w:r>
      <w:r w:rsidRPr="00B86EDB">
        <w:rPr>
          <w:rFonts w:ascii="Times New Roman" w:hAnsi="Times New Roman" w:cs="Times New Roman"/>
          <w:sz w:val="28"/>
          <w:szCs w:val="28"/>
        </w:rPr>
        <w:t xml:space="preserve"> 317 </w:t>
      </w:r>
      <w:r w:rsidRPr="00B86EDB">
        <w:rPr>
          <w:rFonts w:ascii="Times New Roman" w:hAnsi="Times New Roman" w:cs="Times New Roman"/>
          <w:sz w:val="28"/>
          <w:szCs w:val="28"/>
        </w:rPr>
        <w:t xml:space="preserve">no prohíbe que la propiedad inmueble, en tanto </w:t>
      </w:r>
      <w:r w:rsidRPr="00B86EDB">
        <w:rPr>
          <w:rFonts w:ascii="Times New Roman" w:hAnsi="Times New Roman" w:cs="Times New Roman"/>
          <w:i/>
          <w:iCs/>
          <w:sz w:val="28"/>
          <w:szCs w:val="28"/>
        </w:rPr>
        <w:t xml:space="preserve">materia imponible, </w:t>
      </w:r>
      <w:r w:rsidRPr="00B86EDB">
        <w:rPr>
          <w:rFonts w:ascii="Times New Roman" w:hAnsi="Times New Roman" w:cs="Times New Roman"/>
          <w:sz w:val="28"/>
          <w:szCs w:val="28"/>
        </w:rPr>
        <w:t>sea considerada por el legislador para establecer un tributo del orden nacional. Lo que pre</w:t>
      </w:r>
      <w:r w:rsidRPr="00B86EDB">
        <w:rPr>
          <w:rFonts w:ascii="Times New Roman" w:hAnsi="Times New Roman" w:cs="Times New Roman"/>
          <w:sz w:val="28"/>
          <w:szCs w:val="28"/>
        </w:rPr>
        <w:t>vé</w:t>
      </w:r>
      <w:r w:rsidRPr="00B86EDB">
        <w:rPr>
          <w:rFonts w:ascii="Times New Roman" w:hAnsi="Times New Roman" w:cs="Times New Roman"/>
          <w:sz w:val="28"/>
          <w:szCs w:val="28"/>
        </w:rPr>
        <w:t xml:space="preserve"> el artículo 317 es que la propiedad inmobiliaria sea el </w:t>
      </w:r>
      <w:r w:rsidRPr="00B86EDB">
        <w:rPr>
          <w:rFonts w:ascii="Times New Roman" w:hAnsi="Times New Roman" w:cs="Times New Roman"/>
          <w:i/>
          <w:iCs/>
          <w:sz w:val="28"/>
          <w:szCs w:val="28"/>
        </w:rPr>
        <w:t xml:space="preserve">aspecto material del elemento </w:t>
      </w:r>
      <w:r w:rsidRPr="00B86EDB">
        <w:rPr>
          <w:rFonts w:ascii="Times New Roman" w:hAnsi="Times New Roman" w:cs="Times New Roman"/>
          <w:i/>
          <w:iCs/>
          <w:sz w:val="28"/>
          <w:szCs w:val="28"/>
        </w:rPr>
        <w:t>objetivo del hecho imponible</w:t>
      </w:r>
      <w:r w:rsidRPr="00B86EDB">
        <w:rPr>
          <w:rFonts w:ascii="Times New Roman" w:hAnsi="Times New Roman" w:cs="Times New Roman"/>
          <w:i/>
          <w:iCs/>
          <w:sz w:val="28"/>
          <w:szCs w:val="28"/>
        </w:rPr>
        <w:t xml:space="preserve"> </w:t>
      </w:r>
      <w:r w:rsidRPr="00B86EDB">
        <w:rPr>
          <w:rFonts w:ascii="Times New Roman" w:hAnsi="Times New Roman" w:cs="Times New Roman"/>
          <w:sz w:val="28"/>
          <w:szCs w:val="28"/>
        </w:rPr>
        <w:t xml:space="preserve">de cualquier otro impuesto de carácter nacional. </w:t>
      </w:r>
      <w:r w:rsidRPr="00B86EDB">
        <w:rPr>
          <w:rFonts w:ascii="Times New Roman" w:hAnsi="Times New Roman" w:cs="Times New Roman"/>
          <w:sz w:val="28"/>
          <w:szCs w:val="28"/>
        </w:rPr>
        <w:t>E</w:t>
      </w:r>
      <w:r w:rsidRPr="00B86EDB">
        <w:rPr>
          <w:rFonts w:ascii="Times New Roman" w:hAnsi="Times New Roman" w:cs="Times New Roman"/>
          <w:sz w:val="28"/>
          <w:szCs w:val="28"/>
        </w:rPr>
        <w:t xml:space="preserve">l impuesto al patrimonio no </w:t>
      </w:r>
      <w:r w:rsidRPr="00B86EDB">
        <w:rPr>
          <w:rFonts w:ascii="Times New Roman" w:hAnsi="Times New Roman" w:cs="Times New Roman"/>
          <w:sz w:val="28"/>
          <w:szCs w:val="28"/>
        </w:rPr>
        <w:t>contempla como aspecto material de su hecho imponible la propiedad inmueble. Esto, porque</w:t>
      </w:r>
      <w:r w:rsidRPr="00B86EDB">
        <w:rPr>
          <w:rFonts w:ascii="Times New Roman" w:hAnsi="Times New Roman" w:cs="Times New Roman"/>
          <w:sz w:val="28"/>
          <w:szCs w:val="28"/>
        </w:rPr>
        <w:t xml:space="preserve"> no puede existir un tributo que grave al tiempo la propieda</w:t>
      </w:r>
      <w:r w:rsidRPr="00B86EDB">
        <w:rPr>
          <w:rFonts w:ascii="Times New Roman" w:hAnsi="Times New Roman" w:cs="Times New Roman"/>
          <w:sz w:val="28"/>
          <w:szCs w:val="28"/>
        </w:rPr>
        <w:t>d inmueble y el patrimonio de acuerdo con la clasificación doctrinaria y jurisprudencial de los impuestos en reales y personales.</w:t>
      </w:r>
      <w:r w:rsidRPr="00B86EDB">
        <w:rPr>
          <w:rStyle w:val="Refdenotaalpie"/>
          <w:rFonts w:ascii="Times New Roman" w:hAnsi="Times New Roman" w:cs="Times New Roman"/>
          <w:sz w:val="28"/>
          <w:szCs w:val="28"/>
        </w:rPr>
        <w:footnoteReference w:id="24"/>
      </w:r>
      <w:r w:rsidRPr="00B86EDB">
        <w:rPr>
          <w:rFonts w:ascii="Times New Roman" w:hAnsi="Times New Roman" w:cs="Times New Roman"/>
          <w:sz w:val="28"/>
          <w:szCs w:val="28"/>
        </w:rPr>
        <w:t xml:space="preserve"> </w:t>
      </w:r>
    </w:p>
    <w:p w:rsidR="00C604B6" w:rsidRPr="00B86EDB" w:rsidRDefault="00B86EDB" w:rsidP="009F3F6A">
      <w:pPr>
        <w:pStyle w:val="Prrafodelista"/>
        <w:contextualSpacing w:val="0"/>
        <w:rPr>
          <w:rFonts w:ascii="Times New Roman" w:hAnsi="Times New Roman" w:cs="Times New Roman"/>
          <w:sz w:val="28"/>
          <w:szCs w:val="28"/>
        </w:rPr>
      </w:pPr>
    </w:p>
    <w:p w:rsidR="000C7450" w:rsidRPr="00B86EDB" w:rsidRDefault="00B86EDB" w:rsidP="009F3F6A">
      <w:pPr>
        <w:pStyle w:val="Prrafodelista"/>
        <w:widowControl w:val="0"/>
        <w:numPr>
          <w:ilvl w:val="0"/>
          <w:numId w:val="4"/>
        </w:numPr>
        <w:tabs>
          <w:tab w:val="left" w:pos="90"/>
          <w:tab w:val="left" w:pos="567"/>
          <w:tab w:val="left" w:pos="709"/>
          <w:tab w:val="left" w:pos="4820"/>
        </w:tabs>
        <w:ind w:left="0"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 xml:space="preserve">Por su parte, </w:t>
      </w:r>
      <w:r w:rsidRPr="00B86EDB">
        <w:rPr>
          <w:rFonts w:ascii="Times New Roman" w:hAnsi="Times New Roman" w:cs="Times New Roman"/>
          <w:sz w:val="28"/>
          <w:szCs w:val="28"/>
        </w:rPr>
        <w:t>el</w:t>
      </w:r>
      <w:r w:rsidRPr="00B86EDB">
        <w:rPr>
          <w:rFonts w:ascii="Times New Roman" w:hAnsi="Times New Roman" w:cs="Times New Roman"/>
          <w:sz w:val="28"/>
          <w:szCs w:val="28"/>
        </w:rPr>
        <w:t xml:space="preserve"> DAPRE</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y la DIAN </w:t>
      </w:r>
      <w:r w:rsidRPr="00B86EDB">
        <w:rPr>
          <w:rFonts w:ascii="Times New Roman" w:hAnsi="Times New Roman" w:cs="Times New Roman"/>
          <w:sz w:val="28"/>
          <w:szCs w:val="28"/>
        </w:rPr>
        <w:t xml:space="preserve">advirtieron </w:t>
      </w:r>
      <w:r w:rsidRPr="00B86EDB">
        <w:rPr>
          <w:rFonts w:ascii="Times New Roman" w:hAnsi="Times New Roman" w:cs="Times New Roman"/>
          <w:sz w:val="28"/>
          <w:szCs w:val="28"/>
        </w:rPr>
        <w:t xml:space="preserve">que las </w:t>
      </w:r>
      <w:r w:rsidRPr="00B86EDB">
        <w:rPr>
          <w:rFonts w:ascii="Times New Roman" w:hAnsi="Times New Roman" w:cs="Times New Roman"/>
          <w:sz w:val="28"/>
          <w:szCs w:val="28"/>
        </w:rPr>
        <w:t xml:space="preserve">consideraciones </w:t>
      </w:r>
      <w:r w:rsidRPr="00B86EDB">
        <w:rPr>
          <w:rFonts w:ascii="Times New Roman" w:hAnsi="Times New Roman" w:cs="Times New Roman"/>
          <w:sz w:val="28"/>
          <w:szCs w:val="28"/>
        </w:rPr>
        <w:t xml:space="preserve">hechas por la Corte en </w:t>
      </w:r>
      <w:r w:rsidRPr="00B86EDB">
        <w:rPr>
          <w:rFonts w:ascii="Times New Roman" w:hAnsi="Times New Roman" w:cs="Times New Roman"/>
          <w:sz w:val="28"/>
          <w:szCs w:val="28"/>
        </w:rPr>
        <w:t xml:space="preserve">las </w:t>
      </w:r>
      <w:r w:rsidRPr="00B86EDB">
        <w:rPr>
          <w:rFonts w:ascii="Times New Roman" w:hAnsi="Times New Roman" w:cs="Times New Roman"/>
          <w:sz w:val="28"/>
          <w:szCs w:val="28"/>
        </w:rPr>
        <w:t>S</w:t>
      </w:r>
      <w:r w:rsidRPr="00B86EDB">
        <w:rPr>
          <w:rFonts w:ascii="Times New Roman" w:hAnsi="Times New Roman" w:cs="Times New Roman"/>
          <w:sz w:val="28"/>
          <w:szCs w:val="28"/>
        </w:rPr>
        <w:t xml:space="preserve">entencias </w:t>
      </w:r>
      <w:r w:rsidRPr="00B86EDB">
        <w:rPr>
          <w:rFonts w:ascii="Times New Roman" w:hAnsi="Times New Roman" w:cs="Times New Roman"/>
          <w:sz w:val="28"/>
          <w:szCs w:val="28"/>
        </w:rPr>
        <w:t xml:space="preserve">C-876 de 2002 y </w:t>
      </w:r>
      <w:r w:rsidRPr="00B86EDB">
        <w:rPr>
          <w:rFonts w:ascii="Times New Roman" w:hAnsi="Times New Roman" w:cs="Times New Roman"/>
          <w:sz w:val="28"/>
          <w:szCs w:val="28"/>
        </w:rPr>
        <w:t>C-990 de 2004</w:t>
      </w:r>
      <w:r w:rsidRPr="00B86EDB">
        <w:rPr>
          <w:rFonts w:ascii="Times New Roman" w:hAnsi="Times New Roman" w:cs="Times New Roman"/>
          <w:sz w:val="28"/>
          <w:szCs w:val="28"/>
        </w:rPr>
        <w:t xml:space="preserve"> aplica</w:t>
      </w:r>
      <w:r w:rsidRPr="00B86EDB">
        <w:rPr>
          <w:rFonts w:ascii="Times New Roman" w:hAnsi="Times New Roman" w:cs="Times New Roman"/>
          <w:sz w:val="28"/>
          <w:szCs w:val="28"/>
        </w:rPr>
        <w:t>n</w:t>
      </w:r>
      <w:r w:rsidRPr="00B86EDB">
        <w:rPr>
          <w:rFonts w:ascii="Times New Roman" w:hAnsi="Times New Roman" w:cs="Times New Roman"/>
          <w:sz w:val="28"/>
          <w:szCs w:val="28"/>
        </w:rPr>
        <w:t xml:space="preserve"> a</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las </w:t>
      </w:r>
      <w:r w:rsidRPr="00B86EDB">
        <w:rPr>
          <w:rFonts w:ascii="Times New Roman" w:hAnsi="Times New Roman" w:cs="Times New Roman"/>
          <w:sz w:val="28"/>
          <w:szCs w:val="28"/>
        </w:rPr>
        <w:t>disposiciones</w:t>
      </w:r>
      <w:r w:rsidRPr="00B86EDB">
        <w:rPr>
          <w:rFonts w:ascii="Times New Roman" w:hAnsi="Times New Roman" w:cs="Times New Roman"/>
          <w:sz w:val="28"/>
          <w:szCs w:val="28"/>
        </w:rPr>
        <w:t xml:space="preserve"> acusadas</w:t>
      </w:r>
      <w:r w:rsidRPr="00B86EDB">
        <w:rPr>
          <w:rFonts w:ascii="Times New Roman" w:hAnsi="Times New Roman" w:cs="Times New Roman"/>
          <w:sz w:val="28"/>
          <w:szCs w:val="28"/>
        </w:rPr>
        <w:t>. Así</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concluy</w:t>
      </w:r>
      <w:r w:rsidRPr="00B86EDB">
        <w:rPr>
          <w:rFonts w:ascii="Times New Roman" w:hAnsi="Times New Roman" w:cs="Times New Roman"/>
          <w:sz w:val="28"/>
          <w:szCs w:val="28"/>
        </w:rPr>
        <w:t>eron</w:t>
      </w:r>
      <w:r w:rsidRPr="00B86EDB">
        <w:rPr>
          <w:rFonts w:ascii="Times New Roman" w:hAnsi="Times New Roman" w:cs="Times New Roman"/>
          <w:sz w:val="28"/>
          <w:szCs w:val="28"/>
        </w:rPr>
        <w:t xml:space="preserve"> que </w:t>
      </w:r>
    </w:p>
    <w:p w:rsidR="000C7450" w:rsidRPr="00B86EDB" w:rsidRDefault="00B86EDB" w:rsidP="009F3F6A">
      <w:pPr>
        <w:pStyle w:val="Prrafodelista"/>
        <w:contextualSpacing w:val="0"/>
        <w:rPr>
          <w:rFonts w:ascii="Times New Roman" w:hAnsi="Times New Roman" w:cs="Times New Roman"/>
          <w:sz w:val="28"/>
          <w:szCs w:val="28"/>
        </w:rPr>
      </w:pPr>
    </w:p>
    <w:p w:rsidR="000C7450" w:rsidRPr="00B86EDB" w:rsidRDefault="00B86EDB" w:rsidP="009F3F6A">
      <w:pPr>
        <w:pStyle w:val="Prrafodelista"/>
        <w:widowControl w:val="0"/>
        <w:tabs>
          <w:tab w:val="left" w:pos="90"/>
          <w:tab w:val="left" w:pos="567"/>
          <w:tab w:val="left" w:pos="709"/>
          <w:tab w:val="left" w:pos="4820"/>
        </w:tabs>
        <w:ind w:left="284" w:right="284"/>
        <w:contextualSpacing w:val="0"/>
        <w:jc w:val="both"/>
        <w:rPr>
          <w:rFonts w:ascii="Times New Roman" w:hAnsi="Times New Roman" w:cs="Times New Roman"/>
          <w:i/>
          <w:iCs/>
          <w:sz w:val="28"/>
        </w:rPr>
      </w:pPr>
      <w:r w:rsidRPr="00B86EDB">
        <w:rPr>
          <w:rFonts w:ascii="Times New Roman" w:hAnsi="Times New Roman" w:cs="Times New Roman"/>
          <w:sz w:val="28"/>
        </w:rPr>
        <w:t>“[a]</w:t>
      </w:r>
      <w:r w:rsidRPr="00B86EDB">
        <w:rPr>
          <w:rFonts w:ascii="Times New Roman" w:hAnsi="Times New Roman" w:cs="Times New Roman"/>
          <w:sz w:val="28"/>
        </w:rPr>
        <w:t xml:space="preserve">l ser el patrimonio una universalidad </w:t>
      </w:r>
      <w:r w:rsidRPr="00B86EDB">
        <w:rPr>
          <w:rFonts w:ascii="Times New Roman" w:hAnsi="Times New Roman" w:cs="Times New Roman"/>
          <w:sz w:val="28"/>
        </w:rPr>
        <w:t>jurídica</w:t>
      </w:r>
      <w:r w:rsidRPr="00B86EDB">
        <w:rPr>
          <w:rFonts w:ascii="Times New Roman" w:hAnsi="Times New Roman" w:cs="Times New Roman"/>
          <w:sz w:val="28"/>
        </w:rPr>
        <w:t xml:space="preserve"> perfectamente diferenciable de los bienes que la componen, como lo </w:t>
      </w:r>
      <w:r w:rsidRPr="00B86EDB">
        <w:rPr>
          <w:rFonts w:ascii="Times New Roman" w:hAnsi="Times New Roman" w:cs="Times New Roman"/>
          <w:sz w:val="28"/>
        </w:rPr>
        <w:t>señaló</w:t>
      </w:r>
      <w:r w:rsidRPr="00B86EDB">
        <w:rPr>
          <w:rFonts w:ascii="Times New Roman" w:hAnsi="Times New Roman" w:cs="Times New Roman"/>
          <w:sz w:val="28"/>
        </w:rPr>
        <w:t xml:space="preserve"> la Corte Constitucional, y siendo el hecho generador del</w:t>
      </w:r>
      <w:r w:rsidRPr="00B86EDB">
        <w:rPr>
          <w:rFonts w:ascii="Times New Roman" w:hAnsi="Times New Roman" w:cs="Times New Roman"/>
          <w:sz w:val="28"/>
        </w:rPr>
        <w:t xml:space="preserve"> impuesto que se analiza el patrimonio </w:t>
      </w:r>
      <w:r w:rsidRPr="00B86EDB">
        <w:rPr>
          <w:rFonts w:ascii="Times New Roman" w:hAnsi="Times New Roman" w:cs="Times New Roman"/>
          <w:sz w:val="28"/>
        </w:rPr>
        <w:t>líquido</w:t>
      </w:r>
      <w:r w:rsidRPr="00B86EDB">
        <w:rPr>
          <w:rFonts w:ascii="Times New Roman" w:hAnsi="Times New Roman" w:cs="Times New Roman"/>
          <w:sz w:val="28"/>
        </w:rPr>
        <w:t xml:space="preserve"> que posean los sujetos pasivos al primero de enero de cada </w:t>
      </w:r>
      <w:r w:rsidRPr="00B86EDB">
        <w:rPr>
          <w:rFonts w:ascii="Times New Roman" w:hAnsi="Times New Roman" w:cs="Times New Roman"/>
          <w:sz w:val="28"/>
        </w:rPr>
        <w:t>año</w:t>
      </w:r>
      <w:r w:rsidRPr="00B86EDB">
        <w:rPr>
          <w:rFonts w:ascii="Times New Roman" w:hAnsi="Times New Roman" w:cs="Times New Roman"/>
          <w:sz w:val="28"/>
        </w:rPr>
        <w:t xml:space="preserve"> gravable, determinado conforme lo previsto en el </w:t>
      </w:r>
      <w:r w:rsidRPr="00B86EDB">
        <w:rPr>
          <w:rFonts w:ascii="Times New Roman" w:hAnsi="Times New Roman" w:cs="Times New Roman"/>
          <w:sz w:val="28"/>
        </w:rPr>
        <w:t>Título</w:t>
      </w:r>
      <w:r w:rsidRPr="00B86EDB">
        <w:rPr>
          <w:rFonts w:ascii="Times New Roman" w:hAnsi="Times New Roman" w:cs="Times New Roman"/>
          <w:sz w:val="28"/>
        </w:rPr>
        <w:t xml:space="preserve"> II del Libro I del Estatuto Tributario, y no los bienes inmuebles que puedan eventualmente</w:t>
      </w:r>
      <w:r w:rsidRPr="00B86EDB">
        <w:rPr>
          <w:rFonts w:ascii="Times New Roman" w:hAnsi="Times New Roman" w:cs="Times New Roman"/>
          <w:sz w:val="28"/>
        </w:rPr>
        <w:t xml:space="preserve"> haber sido tomados en cuenta por el contribuyente como componentes</w:t>
      </w:r>
      <w:r w:rsidRPr="00B86EDB">
        <w:rPr>
          <w:rFonts w:ascii="Times New Roman" w:hAnsi="Times New Roman" w:cs="Times New Roman"/>
          <w:sz w:val="28"/>
        </w:rPr>
        <w:t xml:space="preserve"> </w:t>
      </w:r>
      <w:r w:rsidRPr="00B86EDB">
        <w:rPr>
          <w:rFonts w:ascii="Times New Roman" w:hAnsi="Times New Roman" w:cs="Times New Roman"/>
          <w:sz w:val="28"/>
        </w:rPr>
        <w:t>en su patrimonio bruto, no cabe afirmar que la base</w:t>
      </w:r>
      <w:r w:rsidRPr="00B86EDB">
        <w:rPr>
          <w:rFonts w:ascii="Times New Roman" w:hAnsi="Times New Roman" w:cs="Times New Roman"/>
          <w:i/>
          <w:iCs/>
          <w:sz w:val="28"/>
        </w:rPr>
        <w:t xml:space="preserve"> </w:t>
      </w:r>
      <w:r w:rsidRPr="00B86EDB">
        <w:rPr>
          <w:rFonts w:ascii="Times New Roman" w:hAnsi="Times New Roman" w:cs="Times New Roman"/>
          <w:sz w:val="28"/>
        </w:rPr>
        <w:t xml:space="preserve">gravable </w:t>
      </w:r>
      <w:r w:rsidRPr="00B86EDB">
        <w:rPr>
          <w:rFonts w:ascii="Times New Roman" w:hAnsi="Times New Roman" w:cs="Times New Roman"/>
          <w:sz w:val="28"/>
        </w:rPr>
        <w:t>señalada</w:t>
      </w:r>
      <w:r w:rsidRPr="00B86EDB">
        <w:rPr>
          <w:rFonts w:ascii="Times New Roman" w:hAnsi="Times New Roman" w:cs="Times New Roman"/>
          <w:sz w:val="28"/>
        </w:rPr>
        <w:t xml:space="preserve"> en el </w:t>
      </w:r>
      <w:r w:rsidRPr="00B86EDB">
        <w:rPr>
          <w:rFonts w:ascii="Times New Roman" w:hAnsi="Times New Roman" w:cs="Times New Roman"/>
          <w:sz w:val="28"/>
        </w:rPr>
        <w:t>artículo</w:t>
      </w:r>
      <w:r w:rsidRPr="00B86EDB">
        <w:rPr>
          <w:rFonts w:ascii="Times New Roman" w:hAnsi="Times New Roman" w:cs="Times New Roman"/>
          <w:sz w:val="28"/>
        </w:rPr>
        <w:t xml:space="preserve"> 37 de la Ley 2277 de 2022, recaiga directamente sobre la propiedad inmueble y por tanto se vulnere el articulo 317 superior</w:t>
      </w:r>
      <w:r w:rsidRPr="00B86EDB">
        <w:rPr>
          <w:rFonts w:ascii="Times New Roman" w:hAnsi="Times New Roman" w:cs="Times New Roman"/>
          <w:sz w:val="28"/>
        </w:rPr>
        <w:t>.</w:t>
      </w:r>
      <w:r w:rsidRPr="00B86EDB">
        <w:rPr>
          <w:rFonts w:ascii="Times New Roman" w:hAnsi="Times New Roman" w:cs="Times New Roman"/>
          <w:sz w:val="28"/>
        </w:rPr>
        <w:t>”</w:t>
      </w:r>
      <w:r w:rsidRPr="00B86EDB">
        <w:rPr>
          <w:rFonts w:ascii="Times New Roman" w:hAnsi="Times New Roman" w:cs="Times New Roman"/>
          <w:i/>
          <w:iCs/>
          <w:sz w:val="28"/>
        </w:rPr>
        <w:t xml:space="preserve"> </w:t>
      </w:r>
    </w:p>
    <w:p w:rsidR="000C7450" w:rsidRPr="00B86EDB" w:rsidRDefault="00B86EDB" w:rsidP="009F3F6A">
      <w:pPr>
        <w:pStyle w:val="Prrafodelista"/>
        <w:contextualSpacing w:val="0"/>
        <w:rPr>
          <w:rFonts w:ascii="Times New Roman" w:hAnsi="Times New Roman" w:cs="Times New Roman"/>
          <w:sz w:val="28"/>
          <w:szCs w:val="28"/>
        </w:rPr>
      </w:pPr>
    </w:p>
    <w:p w:rsidR="00AC0BA6" w:rsidRPr="00B86EDB" w:rsidRDefault="00B86EDB" w:rsidP="009F3F6A">
      <w:pPr>
        <w:pStyle w:val="Prrafodelista"/>
        <w:widowControl w:val="0"/>
        <w:numPr>
          <w:ilvl w:val="0"/>
          <w:numId w:val="4"/>
        </w:numPr>
        <w:tabs>
          <w:tab w:val="left" w:pos="90"/>
          <w:tab w:val="left" w:pos="567"/>
          <w:tab w:val="left" w:pos="709"/>
          <w:tab w:val="left" w:pos="4820"/>
        </w:tabs>
        <w:ind w:left="0"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 xml:space="preserve">Adicionalmente, </w:t>
      </w:r>
      <w:r w:rsidRPr="00B86EDB">
        <w:rPr>
          <w:rFonts w:ascii="Times New Roman" w:hAnsi="Times New Roman" w:cs="Times New Roman"/>
          <w:sz w:val="28"/>
          <w:szCs w:val="28"/>
        </w:rPr>
        <w:t>argumentaron</w:t>
      </w:r>
      <w:r w:rsidRPr="00B86EDB">
        <w:rPr>
          <w:rFonts w:ascii="Times New Roman" w:hAnsi="Times New Roman" w:cs="Times New Roman"/>
          <w:sz w:val="28"/>
          <w:szCs w:val="28"/>
        </w:rPr>
        <w:t xml:space="preserve"> que </w:t>
      </w:r>
      <w:r w:rsidRPr="00B86EDB">
        <w:rPr>
          <w:rFonts w:ascii="Times New Roman" w:hAnsi="Times New Roman" w:cs="Times New Roman"/>
          <w:sz w:val="28"/>
          <w:szCs w:val="28"/>
        </w:rPr>
        <w:t>se puede excluir de su base gravable las primeras 12.000 UVT</w:t>
      </w:r>
      <w:r w:rsidRPr="00B86EDB">
        <w:rPr>
          <w:rFonts w:ascii="Times New Roman" w:hAnsi="Times New Roman" w:cs="Times New Roman"/>
          <w:sz w:val="28"/>
          <w:szCs w:val="28"/>
        </w:rPr>
        <w:t xml:space="preserve"> del valor patrimonial del inmuebl</w:t>
      </w:r>
      <w:r w:rsidRPr="00B86EDB">
        <w:rPr>
          <w:rFonts w:ascii="Times New Roman" w:hAnsi="Times New Roman" w:cs="Times New Roman"/>
          <w:sz w:val="28"/>
          <w:szCs w:val="28"/>
        </w:rPr>
        <w:t>e de habitaci</w:t>
      </w:r>
      <w:r w:rsidRPr="00B86EDB">
        <w:rPr>
          <w:rFonts w:ascii="Times New Roman" w:hAnsi="Times New Roman" w:cs="Times New Roman"/>
          <w:sz w:val="28"/>
          <w:szCs w:val="28"/>
        </w:rPr>
        <w:t>ón, por lo que se grava el patrimonio de</w:t>
      </w:r>
      <w:r w:rsidRPr="00B86EDB">
        <w:rPr>
          <w:rFonts w:ascii="Times New Roman" w:hAnsi="Times New Roman" w:cs="Times New Roman"/>
          <w:sz w:val="28"/>
          <w:szCs w:val="28"/>
        </w:rPr>
        <w:t xml:space="preserve"> la persona. </w:t>
      </w:r>
    </w:p>
    <w:p w:rsidR="00974CA4" w:rsidRPr="00B86EDB" w:rsidRDefault="00B86EDB" w:rsidP="009F3F6A">
      <w:pPr>
        <w:pStyle w:val="Prrafodelista"/>
        <w:contextualSpacing w:val="0"/>
        <w:rPr>
          <w:rFonts w:ascii="Times New Roman" w:hAnsi="Times New Roman" w:cs="Times New Roman"/>
          <w:sz w:val="28"/>
          <w:szCs w:val="28"/>
        </w:rPr>
      </w:pPr>
    </w:p>
    <w:p w:rsidR="005A3CBE"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El Ministerio de Hacienda y la DIAN explicaron</w:t>
      </w:r>
      <w:r w:rsidRPr="00B86EDB">
        <w:rPr>
          <w:rFonts w:ascii="Times New Roman" w:hAnsi="Times New Roman" w:cs="Times New Roman"/>
          <w:sz w:val="28"/>
          <w:szCs w:val="28"/>
        </w:rPr>
        <w:t xml:space="preserve"> que, </w:t>
      </w:r>
      <w:r w:rsidRPr="00B86EDB">
        <w:rPr>
          <w:rFonts w:ascii="Times New Roman" w:hAnsi="Times New Roman" w:cs="Times New Roman"/>
          <w:sz w:val="28"/>
          <w:szCs w:val="28"/>
        </w:rPr>
        <w:t>el impuesto al patrimonio es de naturaleza real porque</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si bien el artículo 36 de la</w:t>
      </w:r>
      <w:r w:rsidRPr="00B86EDB">
        <w:rPr>
          <w:rFonts w:ascii="Times New Roman" w:hAnsi="Times New Roman" w:cs="Times New Roman"/>
          <w:sz w:val="28"/>
          <w:szCs w:val="28"/>
        </w:rPr>
        <w:t xml:space="preserve"> Ley</w:t>
      </w:r>
      <w:r w:rsidRPr="00B86EDB">
        <w:rPr>
          <w:rFonts w:ascii="Times New Roman" w:hAnsi="Times New Roman" w:cs="Times New Roman"/>
          <w:sz w:val="28"/>
          <w:szCs w:val="28"/>
        </w:rPr>
        <w:t xml:space="preserve"> 227</w:t>
      </w:r>
      <w:r w:rsidRPr="00B86EDB">
        <w:rPr>
          <w:rFonts w:ascii="Times New Roman" w:hAnsi="Times New Roman" w:cs="Times New Roman"/>
          <w:sz w:val="28"/>
          <w:szCs w:val="28"/>
        </w:rPr>
        <w:t>7</w:t>
      </w:r>
      <w:r w:rsidRPr="00B86EDB">
        <w:rPr>
          <w:rFonts w:ascii="Times New Roman" w:hAnsi="Times New Roman" w:cs="Times New Roman"/>
          <w:sz w:val="28"/>
          <w:szCs w:val="28"/>
        </w:rPr>
        <w:t xml:space="preserve"> de 2022 define que se genera por la posesión de un patrimonio líquido y dentro de este último se debe incluir la propiedad inmobiliaria, lo cierto es que la posesión es definida como el aprovechamiento económico</w:t>
      </w:r>
      <w:r w:rsidRPr="00B86EDB">
        <w:rPr>
          <w:rFonts w:ascii="Times New Roman" w:hAnsi="Times New Roman" w:cs="Times New Roman"/>
          <w:sz w:val="28"/>
          <w:szCs w:val="28"/>
        </w:rPr>
        <w:t>. Por lo tanto, no es suficiente con la mera</w:t>
      </w:r>
      <w:r w:rsidRPr="00B86EDB">
        <w:rPr>
          <w:rFonts w:ascii="Times New Roman" w:hAnsi="Times New Roman" w:cs="Times New Roman"/>
          <w:sz w:val="28"/>
          <w:szCs w:val="28"/>
        </w:rPr>
        <w:t xml:space="preserve"> propiedad sobre un activo, lo </w:t>
      </w:r>
      <w:r w:rsidRPr="00B86EDB">
        <w:rPr>
          <w:rFonts w:ascii="Times New Roman" w:hAnsi="Times New Roman" w:cs="Times New Roman"/>
          <w:sz w:val="28"/>
          <w:szCs w:val="28"/>
        </w:rPr>
        <w:t>relevante</w:t>
      </w:r>
      <w:r w:rsidRPr="00B86EDB">
        <w:rPr>
          <w:rFonts w:ascii="Times New Roman" w:hAnsi="Times New Roman" w:cs="Times New Roman"/>
          <w:sz w:val="28"/>
          <w:szCs w:val="28"/>
        </w:rPr>
        <w:t xml:space="preserve"> es ese aprovechamiento económico.</w:t>
      </w:r>
    </w:p>
    <w:p w:rsidR="005A3CBE" w:rsidRPr="00B86EDB" w:rsidRDefault="00B86EDB" w:rsidP="009F3F6A">
      <w:pPr>
        <w:pStyle w:val="Prrafodelista"/>
        <w:contextualSpacing w:val="0"/>
        <w:rPr>
          <w:rFonts w:ascii="Times New Roman" w:hAnsi="Times New Roman" w:cs="Times New Roman"/>
          <w:sz w:val="28"/>
          <w:szCs w:val="28"/>
        </w:rPr>
      </w:pPr>
    </w:p>
    <w:p w:rsidR="00894092"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Agregó que</w:t>
      </w:r>
      <w:r w:rsidRPr="00B86EDB">
        <w:rPr>
          <w:rFonts w:ascii="Times New Roman" w:hAnsi="Times New Roman" w:cs="Times New Roman"/>
          <w:sz w:val="28"/>
          <w:szCs w:val="28"/>
        </w:rPr>
        <w:t xml:space="preserve"> los entes territoriales se benefician por impuestos nacionales como </w:t>
      </w:r>
      <w:r w:rsidRPr="00B86EDB">
        <w:rPr>
          <w:rFonts w:ascii="Times New Roman" w:hAnsi="Times New Roman" w:cs="Times New Roman"/>
          <w:sz w:val="28"/>
          <w:szCs w:val="28"/>
        </w:rPr>
        <w:t>el de</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patrimonio</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a través del Sistema General de Participaciones, que para los años gravables 2010 a </w:t>
      </w:r>
      <w:r w:rsidRPr="00B86EDB">
        <w:rPr>
          <w:rFonts w:ascii="Times New Roman" w:hAnsi="Times New Roman" w:cs="Times New Roman"/>
          <w:sz w:val="28"/>
          <w:szCs w:val="28"/>
        </w:rPr>
        <w:t xml:space="preserve">2020 </w:t>
      </w:r>
      <w:r w:rsidRPr="00B86EDB">
        <w:rPr>
          <w:rFonts w:ascii="Times New Roman" w:hAnsi="Times New Roman" w:cs="Times New Roman"/>
          <w:sz w:val="28"/>
          <w:szCs w:val="28"/>
        </w:rPr>
        <w:t xml:space="preserve">representó el 15.4 </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y 14.02</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 del Presupuesto General de la Nación.</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Según las cifras del Departamento Nacional de Planeación entre el 2000 y 2015 aproximadamente el 45 % de los ingresos de los municipios provienen de esta fuente.</w:t>
      </w:r>
      <w:r w:rsidRPr="00B86EDB">
        <w:rPr>
          <w:rFonts w:ascii="Times New Roman" w:hAnsi="Times New Roman" w:cs="Times New Roman"/>
          <w:i/>
          <w:iCs/>
          <w:sz w:val="28"/>
          <w:szCs w:val="28"/>
        </w:rPr>
        <w:t> </w:t>
      </w:r>
    </w:p>
    <w:p w:rsidR="00B4349D" w:rsidRPr="00B86EDB" w:rsidRDefault="00B86EDB" w:rsidP="009F3F6A">
      <w:pPr>
        <w:pStyle w:val="Prrafodelista"/>
        <w:widowControl w:val="0"/>
        <w:tabs>
          <w:tab w:val="left" w:pos="90"/>
          <w:tab w:val="left" w:pos="567"/>
          <w:tab w:val="left" w:pos="709"/>
        </w:tabs>
        <w:ind w:left="0"/>
        <w:contextualSpacing w:val="0"/>
        <w:jc w:val="both"/>
        <w:rPr>
          <w:rFonts w:ascii="Times New Roman" w:hAnsi="Times New Roman" w:cs="Times New Roman"/>
          <w:i/>
          <w:iCs/>
          <w:sz w:val="28"/>
          <w:szCs w:val="28"/>
        </w:rPr>
      </w:pPr>
    </w:p>
    <w:p w:rsidR="00234295" w:rsidRPr="00B86EDB" w:rsidRDefault="00B86EDB" w:rsidP="009F3F6A">
      <w:pPr>
        <w:pStyle w:val="Prrafodelista"/>
        <w:widowControl w:val="0"/>
        <w:tabs>
          <w:tab w:val="left" w:pos="90"/>
          <w:tab w:val="left" w:pos="567"/>
          <w:tab w:val="left" w:pos="709"/>
        </w:tabs>
        <w:ind w:left="0"/>
        <w:contextualSpacing w:val="0"/>
        <w:jc w:val="both"/>
        <w:rPr>
          <w:rFonts w:ascii="Times New Roman" w:hAnsi="Times New Roman" w:cs="Times New Roman"/>
          <w:i/>
          <w:iCs/>
          <w:sz w:val="28"/>
          <w:szCs w:val="28"/>
        </w:rPr>
      </w:pPr>
    </w:p>
    <w:p w:rsidR="00B4349D" w:rsidRPr="00B86EDB" w:rsidRDefault="00B86EDB" w:rsidP="009F3F6A">
      <w:pPr>
        <w:pStyle w:val="Ttulo2"/>
        <w:numPr>
          <w:ilvl w:val="0"/>
          <w:numId w:val="5"/>
        </w:numPr>
        <w:spacing w:before="0"/>
        <w:ind w:left="142" w:firstLine="0"/>
        <w:jc w:val="both"/>
        <w:rPr>
          <w:rFonts w:ascii="Times New Roman" w:hAnsi="Times New Roman" w:cs="Times New Roman"/>
          <w:b/>
          <w:bCs/>
          <w:color w:val="auto"/>
          <w:sz w:val="28"/>
          <w:szCs w:val="28"/>
        </w:rPr>
      </w:pPr>
      <w:r w:rsidRPr="00B86EDB">
        <w:rPr>
          <w:rFonts w:ascii="Times New Roman" w:hAnsi="Times New Roman" w:cs="Times New Roman"/>
          <w:b/>
          <w:bCs/>
          <w:color w:val="auto"/>
          <w:sz w:val="28"/>
          <w:szCs w:val="28"/>
        </w:rPr>
        <w:t xml:space="preserve">Concepto de </w:t>
      </w:r>
      <w:r w:rsidRPr="00B86EDB">
        <w:rPr>
          <w:rFonts w:ascii="Times New Roman" w:hAnsi="Times New Roman" w:cs="Times New Roman"/>
          <w:b/>
          <w:bCs/>
          <w:color w:val="auto"/>
          <w:sz w:val="28"/>
          <w:szCs w:val="28"/>
        </w:rPr>
        <w:t>expertos invitados</w:t>
      </w:r>
    </w:p>
    <w:p w:rsidR="00B4349D" w:rsidRPr="00B86EDB" w:rsidRDefault="00B86EDB" w:rsidP="009F3F6A">
      <w:pPr>
        <w:pStyle w:val="Prrafodelista"/>
        <w:contextualSpacing w:val="0"/>
        <w:rPr>
          <w:rFonts w:ascii="Times New Roman" w:hAnsi="Times New Roman" w:cs="Times New Roman"/>
          <w:i/>
          <w:iCs/>
          <w:sz w:val="28"/>
          <w:szCs w:val="28"/>
        </w:rPr>
      </w:pPr>
    </w:p>
    <w:p w:rsidR="00365DFF"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S</w:t>
      </w:r>
      <w:r w:rsidRPr="00B86EDB">
        <w:rPr>
          <w:rFonts w:ascii="Times New Roman" w:hAnsi="Times New Roman" w:cs="Times New Roman"/>
          <w:sz w:val="28"/>
          <w:szCs w:val="28"/>
        </w:rPr>
        <w:t xml:space="preserve">e </w:t>
      </w:r>
      <w:r w:rsidRPr="00B86EDB">
        <w:rPr>
          <w:rFonts w:ascii="Times New Roman" w:hAnsi="Times New Roman" w:cs="Times New Roman"/>
          <w:sz w:val="28"/>
          <w:szCs w:val="28"/>
        </w:rPr>
        <w:t>recibi</w:t>
      </w:r>
      <w:r w:rsidRPr="00B86EDB">
        <w:rPr>
          <w:rFonts w:ascii="Times New Roman" w:hAnsi="Times New Roman" w:cs="Times New Roman"/>
          <w:sz w:val="28"/>
          <w:szCs w:val="28"/>
        </w:rPr>
        <w:t xml:space="preserve">eron </w:t>
      </w:r>
      <w:r w:rsidRPr="00B86EDB">
        <w:rPr>
          <w:rFonts w:ascii="Times New Roman" w:hAnsi="Times New Roman" w:cs="Times New Roman"/>
          <w:sz w:val="28"/>
          <w:szCs w:val="28"/>
        </w:rPr>
        <w:t>tres</w:t>
      </w:r>
      <w:r w:rsidRPr="00B86EDB">
        <w:rPr>
          <w:rFonts w:ascii="Times New Roman" w:hAnsi="Times New Roman" w:cs="Times New Roman"/>
          <w:iCs/>
          <w:sz w:val="28"/>
          <w:szCs w:val="28"/>
        </w:rPr>
        <w:t xml:space="preserve"> conceptos de </w:t>
      </w:r>
      <w:r w:rsidRPr="00B86EDB">
        <w:rPr>
          <w:rFonts w:ascii="Times New Roman" w:hAnsi="Times New Roman" w:cs="Times New Roman"/>
          <w:iCs/>
          <w:sz w:val="28"/>
          <w:szCs w:val="28"/>
        </w:rPr>
        <w:t xml:space="preserve">los siguientes </w:t>
      </w:r>
      <w:r w:rsidRPr="00B86EDB">
        <w:rPr>
          <w:rFonts w:ascii="Times New Roman" w:hAnsi="Times New Roman" w:cs="Times New Roman"/>
          <w:iCs/>
          <w:sz w:val="28"/>
          <w:szCs w:val="28"/>
        </w:rPr>
        <w:t>expertos</w:t>
      </w:r>
      <w:r w:rsidRPr="00B86EDB">
        <w:rPr>
          <w:rFonts w:ascii="Times New Roman" w:hAnsi="Times New Roman" w:cs="Times New Roman"/>
          <w:iCs/>
          <w:sz w:val="28"/>
          <w:szCs w:val="28"/>
        </w:rPr>
        <w:t>:</w:t>
      </w:r>
      <w:r w:rsidRPr="00B86EDB">
        <w:rPr>
          <w:rFonts w:ascii="Times New Roman" w:hAnsi="Times New Roman" w:cs="Times New Roman"/>
          <w:iCs/>
          <w:sz w:val="28"/>
          <w:szCs w:val="28"/>
        </w:rPr>
        <w:t xml:space="preserve"> </w:t>
      </w:r>
      <w:r w:rsidRPr="00B86EDB">
        <w:rPr>
          <w:rFonts w:ascii="Times New Roman" w:hAnsi="Times New Roman" w:cs="Times New Roman"/>
          <w:iCs/>
          <w:sz w:val="28"/>
          <w:szCs w:val="28"/>
        </w:rPr>
        <w:t xml:space="preserve">Instituto Colombiano de Derecho Tributario </w:t>
      </w:r>
      <w:r w:rsidRPr="00B86EDB">
        <w:rPr>
          <w:rFonts w:ascii="Times New Roman" w:hAnsi="Times New Roman" w:cs="Times New Roman"/>
          <w:iCs/>
          <w:sz w:val="28"/>
          <w:szCs w:val="28"/>
        </w:rPr>
        <w:t>(</w:t>
      </w:r>
      <w:r w:rsidRPr="00B86EDB">
        <w:rPr>
          <w:rFonts w:ascii="Times New Roman" w:hAnsi="Times New Roman" w:cs="Times New Roman"/>
          <w:iCs/>
          <w:sz w:val="28"/>
          <w:szCs w:val="28"/>
        </w:rPr>
        <w:t>ICDT</w:t>
      </w:r>
      <w:r w:rsidRPr="00B86EDB">
        <w:rPr>
          <w:rFonts w:ascii="Times New Roman" w:hAnsi="Times New Roman" w:cs="Times New Roman"/>
          <w:iCs/>
          <w:sz w:val="28"/>
          <w:szCs w:val="28"/>
        </w:rPr>
        <w:t>)</w:t>
      </w:r>
      <w:r w:rsidRPr="00B86EDB">
        <w:rPr>
          <w:rFonts w:ascii="Times New Roman" w:hAnsi="Times New Roman" w:cs="Times New Roman"/>
          <w:iCs/>
          <w:sz w:val="28"/>
          <w:szCs w:val="28"/>
        </w:rPr>
        <w:t xml:space="preserve">, </w:t>
      </w:r>
      <w:r w:rsidRPr="00B86EDB">
        <w:rPr>
          <w:rFonts w:ascii="Times New Roman" w:hAnsi="Times New Roman" w:cs="Times New Roman"/>
          <w:iCs/>
          <w:sz w:val="28"/>
          <w:szCs w:val="28"/>
        </w:rPr>
        <w:t xml:space="preserve">Centro Externadista de Estudios Fiscales (CEEF) del </w:t>
      </w:r>
      <w:r w:rsidRPr="00B86EDB">
        <w:rPr>
          <w:rFonts w:ascii="Times New Roman" w:hAnsi="Times New Roman" w:cs="Times New Roman"/>
          <w:iCs/>
          <w:sz w:val="28"/>
          <w:szCs w:val="28"/>
        </w:rPr>
        <w:t xml:space="preserve">Departamento de Derecho Fiscal de la Universidad Externado de Colombia y la </w:t>
      </w:r>
      <w:r w:rsidRPr="00B86EDB">
        <w:rPr>
          <w:rFonts w:ascii="Times New Roman" w:hAnsi="Times New Roman" w:cs="Times New Roman"/>
          <w:iCs/>
          <w:sz w:val="28"/>
          <w:szCs w:val="28"/>
        </w:rPr>
        <w:t>Asociación Nacional de</w:t>
      </w:r>
      <w:r w:rsidRPr="00B86EDB">
        <w:rPr>
          <w:rFonts w:ascii="Times New Roman" w:hAnsi="Times New Roman" w:cs="Times New Roman"/>
          <w:iCs/>
          <w:sz w:val="28"/>
          <w:szCs w:val="28"/>
        </w:rPr>
        <w:t>l</w:t>
      </w:r>
      <w:r w:rsidRPr="00B86EDB">
        <w:rPr>
          <w:rFonts w:ascii="Times New Roman" w:hAnsi="Times New Roman" w:cs="Times New Roman"/>
          <w:iCs/>
          <w:sz w:val="28"/>
          <w:szCs w:val="28"/>
        </w:rPr>
        <w:t xml:space="preserve"> Empresario</w:t>
      </w:r>
      <w:r w:rsidRPr="00B86EDB">
        <w:rPr>
          <w:rFonts w:ascii="Times New Roman" w:hAnsi="Times New Roman" w:cs="Times New Roman"/>
          <w:iCs/>
          <w:sz w:val="28"/>
          <w:szCs w:val="28"/>
        </w:rPr>
        <w:t xml:space="preserve"> </w:t>
      </w:r>
      <w:r w:rsidRPr="00B86EDB">
        <w:rPr>
          <w:rFonts w:ascii="Times New Roman" w:hAnsi="Times New Roman" w:cs="Times New Roman"/>
          <w:iCs/>
          <w:sz w:val="28"/>
          <w:szCs w:val="28"/>
        </w:rPr>
        <w:t>(</w:t>
      </w:r>
      <w:r w:rsidRPr="00B86EDB">
        <w:rPr>
          <w:rFonts w:ascii="Times New Roman" w:hAnsi="Times New Roman" w:cs="Times New Roman"/>
          <w:iCs/>
          <w:sz w:val="28"/>
          <w:szCs w:val="28"/>
        </w:rPr>
        <w:t>ANDI</w:t>
      </w:r>
      <w:r w:rsidRPr="00B86EDB">
        <w:rPr>
          <w:rFonts w:ascii="Times New Roman" w:hAnsi="Times New Roman" w:cs="Times New Roman"/>
          <w:iCs/>
          <w:sz w:val="28"/>
          <w:szCs w:val="28"/>
        </w:rPr>
        <w:t>).</w:t>
      </w:r>
    </w:p>
    <w:p w:rsidR="006537B9" w:rsidRPr="00B86EDB" w:rsidRDefault="00B86EDB" w:rsidP="009F3F6A">
      <w:pPr>
        <w:widowControl w:val="0"/>
        <w:tabs>
          <w:tab w:val="left" w:pos="90"/>
          <w:tab w:val="left" w:pos="567"/>
          <w:tab w:val="left" w:pos="709"/>
        </w:tabs>
        <w:jc w:val="both"/>
        <w:rPr>
          <w:rFonts w:ascii="Times New Roman" w:hAnsi="Times New Roman" w:cs="Times New Roman"/>
          <w:i/>
          <w:iCs/>
          <w:sz w:val="28"/>
          <w:szCs w:val="28"/>
        </w:rPr>
      </w:pPr>
    </w:p>
    <w:p w:rsidR="004E2047"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 xml:space="preserve">A continuación, se </w:t>
      </w:r>
      <w:r w:rsidRPr="00B86EDB">
        <w:rPr>
          <w:rFonts w:ascii="Times New Roman" w:hAnsi="Times New Roman" w:cs="Times New Roman"/>
          <w:sz w:val="28"/>
          <w:szCs w:val="28"/>
        </w:rPr>
        <w:t>agrupar</w:t>
      </w:r>
      <w:r w:rsidRPr="00B86EDB">
        <w:rPr>
          <w:rFonts w:ascii="Times New Roman" w:hAnsi="Times New Roman" w:cs="Times New Roman"/>
          <w:sz w:val="28"/>
          <w:szCs w:val="28"/>
        </w:rPr>
        <w:t>á</w:t>
      </w:r>
      <w:r w:rsidRPr="00B86EDB">
        <w:rPr>
          <w:rFonts w:ascii="Times New Roman" w:hAnsi="Times New Roman" w:cs="Times New Roman"/>
          <w:sz w:val="28"/>
          <w:szCs w:val="28"/>
        </w:rPr>
        <w:t xml:space="preserve">n y </w:t>
      </w:r>
      <w:r w:rsidRPr="00B86EDB">
        <w:rPr>
          <w:rFonts w:ascii="Times New Roman" w:hAnsi="Times New Roman" w:cs="Times New Roman"/>
          <w:sz w:val="28"/>
          <w:szCs w:val="28"/>
        </w:rPr>
        <w:t>resumirán</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los principales argumentos expuestos</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por e</w:t>
      </w:r>
      <w:r w:rsidRPr="00B86EDB">
        <w:rPr>
          <w:rFonts w:ascii="Times New Roman" w:hAnsi="Times New Roman" w:cs="Times New Roman"/>
          <w:sz w:val="28"/>
          <w:szCs w:val="28"/>
        </w:rPr>
        <w:t>l</w:t>
      </w:r>
      <w:r w:rsidRPr="00B86EDB">
        <w:rPr>
          <w:rFonts w:ascii="Times New Roman" w:hAnsi="Times New Roman" w:cs="Times New Roman"/>
          <w:sz w:val="28"/>
          <w:szCs w:val="28"/>
        </w:rPr>
        <w:t xml:space="preserve"> ICDT y la ANDI</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que comparten </w:t>
      </w:r>
      <w:r w:rsidRPr="00B86EDB">
        <w:rPr>
          <w:rFonts w:ascii="Times New Roman" w:hAnsi="Times New Roman" w:cs="Times New Roman"/>
          <w:sz w:val="28"/>
          <w:szCs w:val="28"/>
        </w:rPr>
        <w:t xml:space="preserve">razones para defender la inconstitucionalidad de la norma. </w:t>
      </w:r>
      <w:r w:rsidRPr="00B86EDB">
        <w:rPr>
          <w:rFonts w:ascii="Times New Roman" w:hAnsi="Times New Roman" w:cs="Times New Roman"/>
          <w:sz w:val="28"/>
          <w:szCs w:val="28"/>
        </w:rPr>
        <w:t>Por su parte, la motivación de la Univ</w:t>
      </w:r>
      <w:r w:rsidRPr="00B86EDB">
        <w:rPr>
          <w:rFonts w:ascii="Times New Roman" w:hAnsi="Times New Roman" w:cs="Times New Roman"/>
          <w:sz w:val="28"/>
          <w:szCs w:val="28"/>
        </w:rPr>
        <w:t xml:space="preserve">ersidad Externado </w:t>
      </w:r>
      <w:r w:rsidRPr="00B86EDB">
        <w:rPr>
          <w:rFonts w:ascii="Times New Roman" w:hAnsi="Times New Roman" w:cs="Times New Roman"/>
          <w:sz w:val="28"/>
          <w:szCs w:val="28"/>
        </w:rPr>
        <w:t xml:space="preserve">se mencionará de manera independiente en cada cargo en la medida que </w:t>
      </w:r>
      <w:r w:rsidRPr="00B86EDB">
        <w:rPr>
          <w:rFonts w:ascii="Times New Roman" w:hAnsi="Times New Roman" w:cs="Times New Roman"/>
          <w:sz w:val="28"/>
          <w:szCs w:val="28"/>
        </w:rPr>
        <w:t>propone la declaratoria de exequibilidad</w:t>
      </w:r>
      <w:r w:rsidRPr="00B86EDB">
        <w:rPr>
          <w:rFonts w:ascii="Times New Roman" w:hAnsi="Times New Roman" w:cs="Times New Roman"/>
          <w:sz w:val="28"/>
          <w:szCs w:val="28"/>
        </w:rPr>
        <w:t xml:space="preserve"> de las disposiciones acusadas</w:t>
      </w:r>
      <w:r w:rsidRPr="00B86EDB">
        <w:rPr>
          <w:rFonts w:ascii="Times New Roman" w:hAnsi="Times New Roman" w:cs="Times New Roman"/>
          <w:sz w:val="28"/>
          <w:szCs w:val="28"/>
        </w:rPr>
        <w:t>.</w:t>
      </w:r>
    </w:p>
    <w:p w:rsidR="004E2047" w:rsidRPr="00B86EDB" w:rsidRDefault="00B86EDB" w:rsidP="009F3F6A">
      <w:pPr>
        <w:pStyle w:val="Prrafodelista"/>
        <w:contextualSpacing w:val="0"/>
        <w:rPr>
          <w:rFonts w:ascii="Times New Roman" w:hAnsi="Times New Roman" w:cs="Times New Roman"/>
          <w:i/>
          <w:iCs/>
          <w:sz w:val="28"/>
          <w:szCs w:val="28"/>
        </w:rPr>
      </w:pPr>
    </w:p>
    <w:p w:rsidR="0056195F" w:rsidRPr="00B86EDB" w:rsidRDefault="00B86EDB" w:rsidP="009F3F6A">
      <w:pPr>
        <w:rPr>
          <w:rFonts w:ascii="Times New Roman" w:hAnsi="Times New Roman" w:cs="Times New Roman"/>
          <w:b/>
          <w:bCs/>
          <w:i/>
          <w:iCs/>
          <w:sz w:val="28"/>
          <w:szCs w:val="28"/>
        </w:rPr>
      </w:pPr>
    </w:p>
    <w:p w:rsidR="007A2FA1" w:rsidRPr="00B86EDB" w:rsidRDefault="00B86EDB" w:rsidP="009F3F6A">
      <w:pPr>
        <w:pStyle w:val="Prrafodelista"/>
        <w:numPr>
          <w:ilvl w:val="0"/>
          <w:numId w:val="12"/>
        </w:numPr>
        <w:contextualSpacing w:val="0"/>
        <w:jc w:val="both"/>
        <w:rPr>
          <w:rFonts w:ascii="Times New Roman" w:hAnsi="Times New Roman" w:cs="Times New Roman"/>
          <w:b/>
          <w:bCs/>
          <w:i/>
          <w:iCs/>
          <w:sz w:val="28"/>
          <w:szCs w:val="28"/>
        </w:rPr>
      </w:pPr>
      <w:r w:rsidRPr="00B86EDB">
        <w:rPr>
          <w:rFonts w:ascii="Times New Roman" w:hAnsi="Times New Roman" w:cs="Times New Roman"/>
          <w:b/>
          <w:bCs/>
          <w:i/>
          <w:iCs/>
          <w:sz w:val="28"/>
          <w:szCs w:val="28"/>
        </w:rPr>
        <w:t xml:space="preserve">Sobre los cargos por vulneración de los principios de equidad y justicia tributaria y el </w:t>
      </w:r>
      <w:r w:rsidRPr="00B86EDB">
        <w:rPr>
          <w:rFonts w:ascii="Times New Roman" w:hAnsi="Times New Roman" w:cs="Times New Roman"/>
          <w:b/>
          <w:bCs/>
          <w:i/>
          <w:iCs/>
          <w:sz w:val="28"/>
          <w:szCs w:val="28"/>
        </w:rPr>
        <w:t>derecho de propiedad por tener un efecto confiscatorio y generar escenarios de doble tributación (Artículos 58, 95-9 y 363 de la Constitución Política)</w:t>
      </w:r>
    </w:p>
    <w:p w:rsidR="000503B0" w:rsidRPr="00B86EDB" w:rsidRDefault="00B86EDB" w:rsidP="009F3F6A">
      <w:pPr>
        <w:pStyle w:val="Prrafodelista"/>
        <w:widowControl w:val="0"/>
        <w:tabs>
          <w:tab w:val="left" w:pos="90"/>
          <w:tab w:val="left" w:pos="567"/>
          <w:tab w:val="left" w:pos="709"/>
        </w:tabs>
        <w:ind w:left="0"/>
        <w:contextualSpacing w:val="0"/>
        <w:jc w:val="both"/>
        <w:rPr>
          <w:rFonts w:ascii="Times New Roman" w:hAnsi="Times New Roman" w:cs="Times New Roman"/>
          <w:i/>
          <w:iCs/>
          <w:sz w:val="28"/>
          <w:szCs w:val="28"/>
        </w:rPr>
      </w:pPr>
    </w:p>
    <w:p w:rsidR="009C38F3"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 xml:space="preserve">El ICDT señaló </w:t>
      </w:r>
      <w:r w:rsidRPr="00B86EDB">
        <w:rPr>
          <w:rFonts w:ascii="Times New Roman" w:hAnsi="Times New Roman" w:cs="Times New Roman"/>
          <w:sz w:val="28"/>
          <w:szCs w:val="28"/>
        </w:rPr>
        <w:t xml:space="preserve">que la capacidad contributiva se traduce en </w:t>
      </w:r>
      <w:r w:rsidRPr="00B86EDB">
        <w:rPr>
          <w:rFonts w:ascii="Times New Roman" w:hAnsi="Times New Roman" w:cs="Times New Roman"/>
          <w:i/>
          <w:iCs/>
          <w:sz w:val="28"/>
          <w:szCs w:val="28"/>
        </w:rPr>
        <w:t>“la necesidad de separar con justicia la por</w:t>
      </w:r>
      <w:r w:rsidRPr="00B86EDB">
        <w:rPr>
          <w:rFonts w:ascii="Times New Roman" w:hAnsi="Times New Roman" w:cs="Times New Roman"/>
          <w:i/>
          <w:iCs/>
          <w:sz w:val="28"/>
          <w:szCs w:val="28"/>
        </w:rPr>
        <w:t>ción necesaria para la supervivencia del asociado, de la parte sujeta a ser utilizada como mecanismo de financiación de las cargas públicas</w:t>
      </w:r>
      <w:r w:rsidRPr="00B86EDB">
        <w:rPr>
          <w:rFonts w:ascii="Times New Roman" w:hAnsi="Times New Roman" w:cs="Times New Roman"/>
          <w:i/>
          <w:iCs/>
          <w:sz w:val="28"/>
          <w:szCs w:val="28"/>
        </w:rPr>
        <w:t>”</w:t>
      </w:r>
      <w:r w:rsidRPr="00B86EDB">
        <w:rPr>
          <w:rFonts w:ascii="Times New Roman" w:hAnsi="Times New Roman" w:cs="Times New Roman"/>
          <w:sz w:val="28"/>
          <w:szCs w:val="28"/>
        </w:rPr>
        <w:t>.</w:t>
      </w:r>
      <w:r w:rsidRPr="00B86EDB">
        <w:rPr>
          <w:rFonts w:ascii="Times New Roman" w:hAnsi="Times New Roman" w:cs="Times New Roman"/>
          <w:i/>
          <w:iCs/>
          <w:sz w:val="28"/>
          <w:szCs w:val="28"/>
        </w:rPr>
        <w:t xml:space="preserve"> </w:t>
      </w:r>
      <w:r w:rsidRPr="00B86EDB">
        <w:rPr>
          <w:rFonts w:ascii="Times New Roman" w:hAnsi="Times New Roman" w:cs="Times New Roman"/>
          <w:sz w:val="28"/>
          <w:szCs w:val="28"/>
        </w:rPr>
        <w:t xml:space="preserve">En este sentido, </w:t>
      </w:r>
      <w:r w:rsidRPr="00B86EDB">
        <w:rPr>
          <w:rFonts w:ascii="Times New Roman" w:hAnsi="Times New Roman" w:cs="Times New Roman"/>
          <w:sz w:val="28"/>
          <w:szCs w:val="28"/>
        </w:rPr>
        <w:t>manifestó</w:t>
      </w:r>
      <w:r w:rsidRPr="00B86EDB">
        <w:rPr>
          <w:rFonts w:ascii="Times New Roman" w:hAnsi="Times New Roman" w:cs="Times New Roman"/>
          <w:sz w:val="28"/>
          <w:szCs w:val="28"/>
        </w:rPr>
        <w:t xml:space="preserve"> que este principio </w:t>
      </w:r>
      <w:r w:rsidRPr="00B86EDB">
        <w:rPr>
          <w:rFonts w:ascii="Times New Roman" w:hAnsi="Times New Roman" w:cs="Times New Roman"/>
          <w:sz w:val="28"/>
          <w:szCs w:val="28"/>
        </w:rPr>
        <w:t xml:space="preserve">es uno solo, por lo que se debe valorar de manera conjunta tanto en </w:t>
      </w:r>
      <w:r w:rsidRPr="00B86EDB">
        <w:rPr>
          <w:rFonts w:ascii="Times New Roman" w:hAnsi="Times New Roman" w:cs="Times New Roman"/>
          <w:sz w:val="28"/>
          <w:szCs w:val="28"/>
        </w:rPr>
        <w:t xml:space="preserve">impuestos nacionales como subnacionales. Explicó que el </w:t>
      </w:r>
      <w:r w:rsidRPr="00B86EDB">
        <w:rPr>
          <w:rFonts w:ascii="Times New Roman" w:hAnsi="Times New Roman" w:cs="Times New Roman"/>
          <w:sz w:val="28"/>
          <w:szCs w:val="28"/>
        </w:rPr>
        <w:t>tributo</w:t>
      </w:r>
      <w:r w:rsidRPr="00B86EDB">
        <w:rPr>
          <w:rFonts w:ascii="Times New Roman" w:hAnsi="Times New Roman" w:cs="Times New Roman"/>
          <w:sz w:val="28"/>
          <w:szCs w:val="28"/>
        </w:rPr>
        <w:t xml:space="preserve"> regulado en las normas acusadas</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al </w:t>
      </w:r>
      <w:r w:rsidRPr="00B86EDB">
        <w:rPr>
          <w:rFonts w:ascii="Times New Roman" w:hAnsi="Times New Roman" w:cs="Times New Roman"/>
          <w:sz w:val="28"/>
          <w:szCs w:val="28"/>
        </w:rPr>
        <w:t>fijar</w:t>
      </w:r>
      <w:r w:rsidRPr="00B86EDB">
        <w:rPr>
          <w:rFonts w:ascii="Times New Roman" w:hAnsi="Times New Roman" w:cs="Times New Roman"/>
          <w:sz w:val="28"/>
          <w:szCs w:val="28"/>
        </w:rPr>
        <w:t xml:space="preserve"> un impuesto permanente,</w:t>
      </w:r>
      <w:r w:rsidRPr="00B86EDB">
        <w:rPr>
          <w:rFonts w:ascii="Times New Roman" w:hAnsi="Times New Roman" w:cs="Times New Roman"/>
          <w:sz w:val="28"/>
          <w:szCs w:val="28"/>
        </w:rPr>
        <w:t xml:space="preserve"> recurrente e ilimitado</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introduce un </w:t>
      </w:r>
      <w:r w:rsidRPr="00B86EDB">
        <w:rPr>
          <w:rFonts w:ascii="Times New Roman" w:hAnsi="Times New Roman" w:cs="Times New Roman"/>
          <w:sz w:val="28"/>
          <w:szCs w:val="28"/>
        </w:rPr>
        <w:t>gravamen</w:t>
      </w:r>
      <w:r w:rsidRPr="00B86EDB">
        <w:rPr>
          <w:rFonts w:ascii="Times New Roman" w:hAnsi="Times New Roman" w:cs="Times New Roman"/>
          <w:sz w:val="28"/>
          <w:szCs w:val="28"/>
        </w:rPr>
        <w:t xml:space="preserve"> </w:t>
      </w:r>
      <w:r w:rsidRPr="00B86EDB">
        <w:rPr>
          <w:rFonts w:ascii="Times New Roman" w:hAnsi="Times New Roman" w:cs="Times New Roman"/>
          <w:i/>
          <w:iCs/>
          <w:sz w:val="28"/>
          <w:szCs w:val="28"/>
        </w:rPr>
        <w:t>al</w:t>
      </w:r>
      <w:r w:rsidRPr="00B86EDB">
        <w:rPr>
          <w:rFonts w:ascii="Times New Roman" w:hAnsi="Times New Roman" w:cs="Times New Roman"/>
          <w:sz w:val="28"/>
          <w:szCs w:val="28"/>
        </w:rPr>
        <w:t xml:space="preserve"> patrimonio y no </w:t>
      </w:r>
      <w:r w:rsidRPr="00B86EDB">
        <w:rPr>
          <w:rFonts w:ascii="Times New Roman" w:hAnsi="Times New Roman" w:cs="Times New Roman"/>
          <w:i/>
          <w:iCs/>
          <w:sz w:val="28"/>
          <w:szCs w:val="28"/>
        </w:rPr>
        <w:t>sobre</w:t>
      </w:r>
      <w:r w:rsidRPr="00B86EDB">
        <w:rPr>
          <w:rFonts w:ascii="Times New Roman" w:hAnsi="Times New Roman" w:cs="Times New Roman"/>
          <w:sz w:val="28"/>
          <w:szCs w:val="28"/>
        </w:rPr>
        <w:t xml:space="preserve"> el patrimonio, lo que se traduce en </w:t>
      </w:r>
      <w:r w:rsidRPr="00B86EDB">
        <w:rPr>
          <w:rFonts w:ascii="Times New Roman" w:hAnsi="Times New Roman" w:cs="Times New Roman"/>
          <w:i/>
          <w:iCs/>
          <w:sz w:val="28"/>
          <w:szCs w:val="28"/>
        </w:rPr>
        <w:t>“</w:t>
      </w:r>
      <w:r w:rsidRPr="00B86EDB">
        <w:rPr>
          <w:rFonts w:ascii="Times New Roman" w:hAnsi="Times New Roman" w:cs="Times New Roman"/>
          <w:sz w:val="28"/>
          <w:szCs w:val="28"/>
        </w:rPr>
        <w:t xml:space="preserve">que busca es </w:t>
      </w:r>
      <w:r w:rsidRPr="00B86EDB">
        <w:rPr>
          <w:rFonts w:ascii="Times New Roman" w:hAnsi="Times New Roman" w:cs="Times New Roman"/>
          <w:sz w:val="28"/>
          <w:szCs w:val="28"/>
        </w:rPr>
        <w:t>cercenar parte del patrimonio del deudor tributario. Disminuirlo y agotarlo sin importar qué y cuánto puede producir o rentar</w:t>
      </w:r>
      <w:r w:rsidRPr="00B86EDB">
        <w:rPr>
          <w:rFonts w:ascii="Times New Roman" w:hAnsi="Times New Roman" w:cs="Times New Roman"/>
          <w:sz w:val="28"/>
          <w:szCs w:val="28"/>
        </w:rPr>
        <w:t>.</w:t>
      </w:r>
      <w:r w:rsidRPr="00B86EDB">
        <w:rPr>
          <w:rFonts w:ascii="Times New Roman" w:hAnsi="Times New Roman" w:cs="Times New Roman"/>
          <w:sz w:val="28"/>
          <w:szCs w:val="28"/>
        </w:rPr>
        <w:t>”</w:t>
      </w:r>
      <w:r w:rsidRPr="00B86EDB">
        <w:rPr>
          <w:rStyle w:val="Refdenotaalpie"/>
          <w:rFonts w:ascii="Times New Roman" w:hAnsi="Times New Roman" w:cs="Times New Roman"/>
          <w:sz w:val="28"/>
          <w:szCs w:val="28"/>
        </w:rPr>
        <w:footnoteReference w:id="25"/>
      </w:r>
    </w:p>
    <w:p w:rsidR="009C38F3" w:rsidRPr="00B86EDB" w:rsidRDefault="00B86EDB" w:rsidP="009F3F6A">
      <w:pPr>
        <w:pStyle w:val="Prrafodelista"/>
        <w:widowControl w:val="0"/>
        <w:tabs>
          <w:tab w:val="left" w:pos="90"/>
          <w:tab w:val="left" w:pos="567"/>
          <w:tab w:val="left" w:pos="709"/>
        </w:tabs>
        <w:ind w:left="0"/>
        <w:contextualSpacing w:val="0"/>
        <w:jc w:val="both"/>
        <w:rPr>
          <w:rFonts w:ascii="Times New Roman" w:hAnsi="Times New Roman" w:cs="Times New Roman"/>
          <w:i/>
          <w:iCs/>
          <w:sz w:val="28"/>
          <w:szCs w:val="28"/>
        </w:rPr>
      </w:pPr>
    </w:p>
    <w:p w:rsidR="009C38F3"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i/>
          <w:iCs/>
          <w:sz w:val="28"/>
          <w:szCs w:val="28"/>
        </w:rPr>
      </w:pPr>
      <w:r w:rsidRPr="00B86EDB">
        <w:rPr>
          <w:rFonts w:ascii="Times New Roman" w:hAnsi="Times New Roman" w:cs="Times New Roman"/>
          <w:i/>
          <w:iCs/>
          <w:sz w:val="28"/>
          <w:szCs w:val="28"/>
        </w:rPr>
        <w:t xml:space="preserve"> </w:t>
      </w:r>
      <w:r w:rsidRPr="00B86EDB">
        <w:rPr>
          <w:rFonts w:ascii="Times New Roman" w:hAnsi="Times New Roman" w:cs="Times New Roman"/>
          <w:sz w:val="28"/>
          <w:szCs w:val="28"/>
        </w:rPr>
        <w:t>El ICDT</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argumen</w:t>
      </w:r>
      <w:r w:rsidRPr="00B86EDB">
        <w:rPr>
          <w:rFonts w:ascii="Times New Roman" w:hAnsi="Times New Roman" w:cs="Times New Roman"/>
          <w:sz w:val="28"/>
          <w:szCs w:val="28"/>
        </w:rPr>
        <w:t>t</w:t>
      </w:r>
      <w:r w:rsidRPr="00B86EDB">
        <w:rPr>
          <w:rFonts w:ascii="Times New Roman" w:hAnsi="Times New Roman" w:cs="Times New Roman"/>
          <w:sz w:val="28"/>
          <w:szCs w:val="28"/>
        </w:rPr>
        <w:t>ó</w:t>
      </w:r>
      <w:r w:rsidRPr="00B86EDB">
        <w:rPr>
          <w:rFonts w:ascii="Times New Roman" w:hAnsi="Times New Roman" w:cs="Times New Roman"/>
          <w:sz w:val="28"/>
          <w:szCs w:val="28"/>
        </w:rPr>
        <w:t xml:space="preserve"> que, en virtud de los principios de capacidad contributiva, progresividad y equidad</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el legislador puede es</w:t>
      </w:r>
      <w:r w:rsidRPr="00B86EDB">
        <w:rPr>
          <w:rFonts w:ascii="Times New Roman" w:hAnsi="Times New Roman" w:cs="Times New Roman"/>
          <w:sz w:val="28"/>
          <w:szCs w:val="28"/>
        </w:rPr>
        <w:t xml:space="preserve">tablecer un impuesto sobre el patrimonio que contemple si en efecto se capitalizan los activos o no. Asimismo, </w:t>
      </w:r>
      <w:r w:rsidRPr="00B86EDB">
        <w:rPr>
          <w:rFonts w:ascii="Times New Roman" w:hAnsi="Times New Roman" w:cs="Times New Roman"/>
          <w:sz w:val="28"/>
          <w:szCs w:val="28"/>
        </w:rPr>
        <w:t>tanto el</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ICDT como la ANDI </w:t>
      </w:r>
      <w:r w:rsidRPr="00B86EDB">
        <w:rPr>
          <w:rFonts w:ascii="Times New Roman" w:hAnsi="Times New Roman" w:cs="Times New Roman"/>
          <w:sz w:val="28"/>
          <w:szCs w:val="28"/>
        </w:rPr>
        <w:t>asegur</w:t>
      </w:r>
      <w:r w:rsidRPr="00B86EDB">
        <w:rPr>
          <w:rFonts w:ascii="Times New Roman" w:hAnsi="Times New Roman" w:cs="Times New Roman"/>
          <w:sz w:val="28"/>
          <w:szCs w:val="28"/>
        </w:rPr>
        <w:t>aron</w:t>
      </w:r>
      <w:r w:rsidRPr="00B86EDB">
        <w:rPr>
          <w:rFonts w:ascii="Times New Roman" w:hAnsi="Times New Roman" w:cs="Times New Roman"/>
          <w:sz w:val="28"/>
          <w:szCs w:val="28"/>
        </w:rPr>
        <w:t xml:space="preserve"> que la capacidad contributiva se debe evaluar frente a la carg</w:t>
      </w:r>
      <w:r w:rsidRPr="00B86EDB">
        <w:rPr>
          <w:rFonts w:ascii="Times New Roman" w:hAnsi="Times New Roman" w:cs="Times New Roman"/>
          <w:sz w:val="28"/>
          <w:szCs w:val="28"/>
        </w:rPr>
        <w:t xml:space="preserve">a </w:t>
      </w:r>
      <w:r w:rsidRPr="00B86EDB">
        <w:rPr>
          <w:rFonts w:ascii="Times New Roman" w:hAnsi="Times New Roman" w:cs="Times New Roman"/>
          <w:sz w:val="28"/>
          <w:szCs w:val="28"/>
        </w:rPr>
        <w:t>impositiva global</w:t>
      </w:r>
      <w:r w:rsidRPr="00B86EDB">
        <w:rPr>
          <w:rFonts w:ascii="Times New Roman" w:hAnsi="Times New Roman" w:cs="Times New Roman"/>
          <w:sz w:val="28"/>
          <w:szCs w:val="28"/>
        </w:rPr>
        <w:t xml:space="preserve"> total de los sujetos, por lo que se debería tener en cuenta el impuesto de renta, gan</w:t>
      </w:r>
      <w:r w:rsidRPr="00B86EDB">
        <w:rPr>
          <w:rFonts w:ascii="Times New Roman" w:hAnsi="Times New Roman" w:cs="Times New Roman"/>
          <w:sz w:val="28"/>
          <w:szCs w:val="28"/>
        </w:rPr>
        <w:t>an</w:t>
      </w:r>
      <w:r w:rsidRPr="00B86EDB">
        <w:rPr>
          <w:rFonts w:ascii="Times New Roman" w:hAnsi="Times New Roman" w:cs="Times New Roman"/>
          <w:sz w:val="28"/>
          <w:szCs w:val="28"/>
        </w:rPr>
        <w:t>cias ocasionales y patrimonio</w:t>
      </w:r>
      <w:r w:rsidRPr="00B86EDB">
        <w:rPr>
          <w:rFonts w:ascii="Times New Roman" w:hAnsi="Times New Roman" w:cs="Times New Roman"/>
          <w:sz w:val="28"/>
          <w:szCs w:val="28"/>
        </w:rPr>
        <w:t xml:space="preserve"> y</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en general, </w:t>
      </w:r>
      <w:r w:rsidRPr="00B86EDB">
        <w:rPr>
          <w:rFonts w:ascii="Times New Roman" w:hAnsi="Times New Roman" w:cs="Times New Roman"/>
          <w:sz w:val="28"/>
          <w:szCs w:val="28"/>
        </w:rPr>
        <w:t>todos los tributos que un contribuyente debe pagar</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En este sentido, el </w:t>
      </w:r>
      <w:r w:rsidRPr="00B86EDB">
        <w:rPr>
          <w:rFonts w:ascii="Times New Roman" w:hAnsi="Times New Roman" w:cs="Times New Roman"/>
          <w:sz w:val="28"/>
          <w:szCs w:val="28"/>
        </w:rPr>
        <w:t>impuesto al patrimonio</w:t>
      </w:r>
      <w:r w:rsidRPr="00B86EDB">
        <w:rPr>
          <w:rFonts w:ascii="Times New Roman" w:hAnsi="Times New Roman" w:cs="Times New Roman"/>
          <w:sz w:val="28"/>
          <w:szCs w:val="28"/>
        </w:rPr>
        <w:t xml:space="preserve"> es confiscatorio porque</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por</w:t>
      </w:r>
      <w:r w:rsidRPr="00B86EDB">
        <w:rPr>
          <w:rFonts w:ascii="Times New Roman" w:hAnsi="Times New Roman" w:cs="Times New Roman"/>
          <w:sz w:val="28"/>
          <w:szCs w:val="28"/>
        </w:rPr>
        <w:t xml:space="preserve"> el</w:t>
      </w:r>
      <w:r w:rsidRPr="00B86EDB">
        <w:rPr>
          <w:rFonts w:ascii="Times New Roman" w:hAnsi="Times New Roman" w:cs="Times New Roman"/>
          <w:sz w:val="28"/>
          <w:szCs w:val="28"/>
        </w:rPr>
        <w:t xml:space="preserve"> exceso de gravámenes, </w:t>
      </w:r>
      <w:r w:rsidRPr="00B86EDB">
        <w:rPr>
          <w:rFonts w:ascii="Times New Roman" w:hAnsi="Times New Roman" w:cs="Times New Roman"/>
          <w:sz w:val="28"/>
          <w:szCs w:val="28"/>
        </w:rPr>
        <w:t>las personas propietarias de activos que no generan renta</w:t>
      </w:r>
      <w:r w:rsidRPr="00B86EDB">
        <w:rPr>
          <w:rFonts w:ascii="Times New Roman" w:hAnsi="Times New Roman" w:cs="Times New Roman"/>
          <w:sz w:val="28"/>
          <w:szCs w:val="28"/>
        </w:rPr>
        <w:t xml:space="preserve"> real</w:t>
      </w:r>
      <w:r w:rsidRPr="00B86EDB">
        <w:rPr>
          <w:rFonts w:ascii="Times New Roman" w:hAnsi="Times New Roman" w:cs="Times New Roman"/>
          <w:sz w:val="28"/>
          <w:szCs w:val="28"/>
        </w:rPr>
        <w:t xml:space="preserve"> o que en determinados periodos de tiempo</w:t>
      </w:r>
      <w:r w:rsidRPr="00B86EDB">
        <w:rPr>
          <w:rFonts w:ascii="Times New Roman" w:hAnsi="Times New Roman" w:cs="Times New Roman"/>
          <w:sz w:val="28"/>
          <w:szCs w:val="28"/>
        </w:rPr>
        <w:t xml:space="preserve"> por condiciones del mercado no producen rendimientos</w:t>
      </w:r>
      <w:r w:rsidRPr="00B86EDB">
        <w:rPr>
          <w:rFonts w:ascii="Times New Roman" w:hAnsi="Times New Roman" w:cs="Times New Roman"/>
          <w:sz w:val="28"/>
          <w:szCs w:val="28"/>
        </w:rPr>
        <w:t>, tienen que vender</w:t>
      </w:r>
      <w:r w:rsidRPr="00B86EDB">
        <w:rPr>
          <w:rFonts w:ascii="Times New Roman" w:hAnsi="Times New Roman" w:cs="Times New Roman"/>
          <w:sz w:val="28"/>
          <w:szCs w:val="28"/>
        </w:rPr>
        <w:t>los</w:t>
      </w:r>
      <w:r w:rsidRPr="00B86EDB">
        <w:rPr>
          <w:rFonts w:ascii="Times New Roman" w:hAnsi="Times New Roman" w:cs="Times New Roman"/>
          <w:sz w:val="28"/>
          <w:szCs w:val="28"/>
        </w:rPr>
        <w:t xml:space="preserve"> para poder pagar el impuesto</w:t>
      </w:r>
      <w:r w:rsidRPr="00B86EDB">
        <w:rPr>
          <w:rFonts w:ascii="Times New Roman" w:hAnsi="Times New Roman" w:cs="Times New Roman"/>
          <w:sz w:val="28"/>
          <w:szCs w:val="28"/>
        </w:rPr>
        <w:t xml:space="preserve"> o adquirir créditos</w:t>
      </w:r>
      <w:r w:rsidRPr="00B86EDB">
        <w:rPr>
          <w:rFonts w:ascii="Times New Roman" w:hAnsi="Times New Roman" w:cs="Times New Roman"/>
          <w:sz w:val="28"/>
          <w:szCs w:val="28"/>
        </w:rPr>
        <w:t>, e</w:t>
      </w:r>
      <w:r w:rsidRPr="00B86EDB">
        <w:rPr>
          <w:rFonts w:ascii="Times New Roman" w:hAnsi="Times New Roman" w:cs="Times New Roman"/>
          <w:sz w:val="28"/>
          <w:szCs w:val="28"/>
        </w:rPr>
        <w:t xml:space="preserve">sto, a largo plazo implica la reducción de su patrimonio, </w:t>
      </w:r>
      <w:r w:rsidRPr="00B86EDB">
        <w:rPr>
          <w:rFonts w:ascii="Times New Roman" w:hAnsi="Times New Roman" w:cs="Times New Roman"/>
          <w:sz w:val="28"/>
          <w:szCs w:val="28"/>
        </w:rPr>
        <w:t>a tal punto, que</w:t>
      </w:r>
      <w:r w:rsidRPr="00B86EDB">
        <w:rPr>
          <w:rFonts w:ascii="Times New Roman" w:hAnsi="Times New Roman" w:cs="Times New Roman"/>
          <w:sz w:val="28"/>
          <w:szCs w:val="28"/>
        </w:rPr>
        <w:t xml:space="preserve"> en un momento determinado dejara</w:t>
      </w:r>
      <w:r w:rsidRPr="00B86EDB">
        <w:rPr>
          <w:rFonts w:ascii="Times New Roman" w:hAnsi="Times New Roman" w:cs="Times New Roman"/>
          <w:sz w:val="28"/>
          <w:szCs w:val="28"/>
        </w:rPr>
        <w:t>n</w:t>
      </w:r>
      <w:r w:rsidRPr="00B86EDB">
        <w:rPr>
          <w:rFonts w:ascii="Times New Roman" w:hAnsi="Times New Roman" w:cs="Times New Roman"/>
          <w:sz w:val="28"/>
          <w:szCs w:val="28"/>
        </w:rPr>
        <w:t xml:space="preserve"> de ser sujeto</w:t>
      </w:r>
      <w:r w:rsidRPr="00B86EDB">
        <w:rPr>
          <w:rFonts w:ascii="Times New Roman" w:hAnsi="Times New Roman" w:cs="Times New Roman"/>
          <w:sz w:val="28"/>
          <w:szCs w:val="28"/>
        </w:rPr>
        <w:t>s</w:t>
      </w:r>
      <w:r w:rsidRPr="00B86EDB">
        <w:rPr>
          <w:rFonts w:ascii="Times New Roman" w:hAnsi="Times New Roman" w:cs="Times New Roman"/>
          <w:sz w:val="28"/>
          <w:szCs w:val="28"/>
        </w:rPr>
        <w:t xml:space="preserve"> pasivo</w:t>
      </w:r>
      <w:r w:rsidRPr="00B86EDB">
        <w:rPr>
          <w:rFonts w:ascii="Times New Roman" w:hAnsi="Times New Roman" w:cs="Times New Roman"/>
          <w:sz w:val="28"/>
          <w:szCs w:val="28"/>
        </w:rPr>
        <w:t>s</w:t>
      </w:r>
      <w:r w:rsidRPr="00B86EDB">
        <w:rPr>
          <w:rFonts w:ascii="Times New Roman" w:hAnsi="Times New Roman" w:cs="Times New Roman"/>
          <w:sz w:val="28"/>
          <w:szCs w:val="28"/>
        </w:rPr>
        <w:t xml:space="preserve">. Por lo tanto, podría entenderse que se está </w:t>
      </w:r>
      <w:r w:rsidRPr="00B86EDB">
        <w:rPr>
          <w:rFonts w:ascii="Times New Roman" w:hAnsi="Times New Roman" w:cs="Times New Roman"/>
          <w:sz w:val="28"/>
          <w:szCs w:val="28"/>
        </w:rPr>
        <w:t>desincentivando</w:t>
      </w:r>
      <w:r w:rsidRPr="00B86EDB">
        <w:rPr>
          <w:rFonts w:ascii="Times New Roman" w:hAnsi="Times New Roman" w:cs="Times New Roman"/>
          <w:sz w:val="28"/>
          <w:szCs w:val="28"/>
        </w:rPr>
        <w:t xml:space="preserve"> el ahorro y la inversión, pues se estaría castigando por este medio a los activos improductivos.</w:t>
      </w:r>
      <w:r w:rsidRPr="00B86EDB">
        <w:rPr>
          <w:rStyle w:val="Refdenotaalpie"/>
          <w:rFonts w:ascii="Times New Roman" w:hAnsi="Times New Roman" w:cs="Times New Roman"/>
          <w:sz w:val="28"/>
          <w:szCs w:val="28"/>
        </w:rPr>
        <w:footnoteReference w:id="26"/>
      </w:r>
    </w:p>
    <w:p w:rsidR="00EC4027" w:rsidRPr="00B86EDB" w:rsidRDefault="00B86EDB" w:rsidP="009F3F6A">
      <w:pPr>
        <w:pStyle w:val="Prrafodelista"/>
        <w:contextualSpacing w:val="0"/>
        <w:rPr>
          <w:rFonts w:ascii="Times New Roman" w:hAnsi="Times New Roman" w:cs="Times New Roman"/>
          <w:i/>
          <w:iCs/>
          <w:sz w:val="28"/>
          <w:szCs w:val="28"/>
        </w:rPr>
      </w:pPr>
    </w:p>
    <w:p w:rsidR="00EC4027"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 xml:space="preserve">La ANDI </w:t>
      </w:r>
      <w:r w:rsidRPr="00B86EDB">
        <w:rPr>
          <w:rFonts w:ascii="Times New Roman" w:hAnsi="Times New Roman" w:cs="Times New Roman"/>
          <w:sz w:val="28"/>
          <w:szCs w:val="28"/>
        </w:rPr>
        <w:t xml:space="preserve">señaló </w:t>
      </w:r>
      <w:r w:rsidRPr="00B86EDB">
        <w:rPr>
          <w:rFonts w:ascii="Times New Roman" w:hAnsi="Times New Roman" w:cs="Times New Roman"/>
          <w:sz w:val="28"/>
          <w:szCs w:val="28"/>
        </w:rPr>
        <w:t>que un impuesto al patrimonio temporal puede ser una forma de corregir desigualdades</w:t>
      </w:r>
      <w:r w:rsidRPr="00B86EDB">
        <w:rPr>
          <w:rFonts w:ascii="Times New Roman" w:hAnsi="Times New Roman" w:cs="Times New Roman"/>
          <w:sz w:val="28"/>
          <w:szCs w:val="28"/>
        </w:rPr>
        <w:t xml:space="preserve"> y aumentar el recaudo eficientemente.</w:t>
      </w:r>
      <w:r w:rsidRPr="00B86EDB">
        <w:rPr>
          <w:rFonts w:ascii="Times New Roman" w:hAnsi="Times New Roman" w:cs="Times New Roman"/>
          <w:sz w:val="28"/>
          <w:szCs w:val="28"/>
        </w:rPr>
        <w:t xml:space="preserve"> Además, </w:t>
      </w:r>
      <w:r w:rsidRPr="00B86EDB">
        <w:rPr>
          <w:rFonts w:ascii="Times New Roman" w:hAnsi="Times New Roman" w:cs="Times New Roman"/>
          <w:sz w:val="28"/>
          <w:szCs w:val="28"/>
        </w:rPr>
        <w:t xml:space="preserve">dijo que </w:t>
      </w:r>
      <w:r w:rsidRPr="00B86EDB">
        <w:rPr>
          <w:rFonts w:ascii="Times New Roman" w:hAnsi="Times New Roman" w:cs="Times New Roman"/>
          <w:sz w:val="28"/>
          <w:szCs w:val="28"/>
        </w:rPr>
        <w:t>e</w:t>
      </w:r>
      <w:r w:rsidRPr="00B86EDB">
        <w:rPr>
          <w:rFonts w:ascii="Times New Roman" w:hAnsi="Times New Roman" w:cs="Times New Roman"/>
          <w:sz w:val="28"/>
          <w:szCs w:val="28"/>
        </w:rPr>
        <w:t>l contribuyente</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al conocer anticipadamente </w:t>
      </w:r>
      <w:r w:rsidRPr="00B86EDB">
        <w:rPr>
          <w:rFonts w:ascii="Times New Roman" w:hAnsi="Times New Roman" w:cs="Times New Roman"/>
          <w:sz w:val="28"/>
          <w:szCs w:val="28"/>
        </w:rPr>
        <w:t xml:space="preserve">el término de vigencia de la norma que fija </w:t>
      </w:r>
      <w:r w:rsidRPr="00B86EDB">
        <w:rPr>
          <w:rFonts w:ascii="Times New Roman" w:hAnsi="Times New Roman" w:cs="Times New Roman"/>
          <w:sz w:val="28"/>
          <w:szCs w:val="28"/>
        </w:rPr>
        <w:t>el gravamen</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puede</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anticipar cómo pagar</w:t>
      </w:r>
      <w:r w:rsidRPr="00B86EDB">
        <w:rPr>
          <w:rFonts w:ascii="Times New Roman" w:hAnsi="Times New Roman" w:cs="Times New Roman"/>
          <w:sz w:val="28"/>
          <w:szCs w:val="28"/>
        </w:rPr>
        <w:t>lo</w:t>
      </w:r>
      <w:r w:rsidRPr="00B86EDB">
        <w:rPr>
          <w:rFonts w:ascii="Times New Roman" w:hAnsi="Times New Roman" w:cs="Times New Roman"/>
          <w:sz w:val="28"/>
          <w:szCs w:val="28"/>
        </w:rPr>
        <w:t xml:space="preserve"> sin</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afectar su liquidez. </w:t>
      </w:r>
      <w:r w:rsidRPr="00B86EDB">
        <w:rPr>
          <w:rFonts w:ascii="Times New Roman" w:hAnsi="Times New Roman" w:cs="Times New Roman"/>
          <w:sz w:val="28"/>
          <w:szCs w:val="28"/>
        </w:rPr>
        <w:t>S</w:t>
      </w:r>
      <w:r w:rsidRPr="00B86EDB">
        <w:rPr>
          <w:rFonts w:ascii="Times New Roman" w:hAnsi="Times New Roman" w:cs="Times New Roman"/>
          <w:sz w:val="28"/>
          <w:szCs w:val="28"/>
        </w:rPr>
        <w:t xml:space="preserve">in embargo, </w:t>
      </w:r>
      <w:r w:rsidRPr="00B86EDB">
        <w:rPr>
          <w:rFonts w:ascii="Times New Roman" w:hAnsi="Times New Roman" w:cs="Times New Roman"/>
          <w:sz w:val="28"/>
          <w:szCs w:val="28"/>
        </w:rPr>
        <w:t xml:space="preserve">señaló que </w:t>
      </w:r>
      <w:r w:rsidRPr="00B86EDB">
        <w:rPr>
          <w:rFonts w:ascii="Times New Roman" w:hAnsi="Times New Roman" w:cs="Times New Roman"/>
          <w:sz w:val="28"/>
          <w:szCs w:val="28"/>
        </w:rPr>
        <w:t>uno permanente puede afectar el ahorro, la inversión, las decisiones de consu</w:t>
      </w:r>
      <w:r w:rsidRPr="00B86EDB">
        <w:rPr>
          <w:rFonts w:ascii="Times New Roman" w:hAnsi="Times New Roman" w:cs="Times New Roman"/>
          <w:sz w:val="28"/>
          <w:szCs w:val="28"/>
        </w:rPr>
        <w:t>mo, la planeación</w:t>
      </w:r>
      <w:r w:rsidRPr="00B86EDB">
        <w:rPr>
          <w:rFonts w:ascii="Times New Roman" w:hAnsi="Times New Roman" w:cs="Times New Roman"/>
          <w:sz w:val="28"/>
          <w:szCs w:val="28"/>
        </w:rPr>
        <w:t xml:space="preserve"> y hasta la </w:t>
      </w:r>
      <w:r w:rsidRPr="00B86EDB">
        <w:rPr>
          <w:rFonts w:ascii="Times New Roman" w:hAnsi="Times New Roman" w:cs="Times New Roman"/>
          <w:sz w:val="28"/>
          <w:szCs w:val="28"/>
        </w:rPr>
        <w:t>evasión y fuga de capitales</w:t>
      </w:r>
      <w:r w:rsidRPr="00B86EDB">
        <w:rPr>
          <w:rFonts w:ascii="Times New Roman" w:hAnsi="Times New Roman" w:cs="Times New Roman"/>
          <w:sz w:val="28"/>
          <w:szCs w:val="28"/>
        </w:rPr>
        <w:t>, m</w:t>
      </w:r>
      <w:r w:rsidRPr="00B86EDB">
        <w:rPr>
          <w:rFonts w:ascii="Times New Roman" w:hAnsi="Times New Roman" w:cs="Times New Roman"/>
          <w:sz w:val="28"/>
          <w:szCs w:val="28"/>
        </w:rPr>
        <w:t>otivo por el cual, para mantener la equidad</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se debe evitar situaciones de iliquidez</w:t>
      </w:r>
      <w:r w:rsidRPr="00B86EDB">
        <w:rPr>
          <w:rFonts w:ascii="Times New Roman" w:hAnsi="Times New Roman" w:cs="Times New Roman"/>
          <w:sz w:val="28"/>
          <w:szCs w:val="28"/>
        </w:rPr>
        <w:t xml:space="preserve"> y analizar la capacidad contributiva de los sujetos pasivos de cara a la totalidad del sistema tributario</w:t>
      </w:r>
      <w:r w:rsidRPr="00B86EDB">
        <w:rPr>
          <w:rFonts w:ascii="Times New Roman" w:hAnsi="Times New Roman" w:cs="Times New Roman"/>
          <w:sz w:val="28"/>
          <w:szCs w:val="28"/>
        </w:rPr>
        <w:t>, por l</w:t>
      </w:r>
      <w:r w:rsidRPr="00B86EDB">
        <w:rPr>
          <w:rFonts w:ascii="Times New Roman" w:hAnsi="Times New Roman" w:cs="Times New Roman"/>
          <w:sz w:val="28"/>
          <w:szCs w:val="28"/>
        </w:rPr>
        <w:t>o que se debería</w:t>
      </w:r>
      <w:r w:rsidRPr="00B86EDB">
        <w:rPr>
          <w:rFonts w:ascii="Times New Roman" w:hAnsi="Times New Roman" w:cs="Times New Roman"/>
          <w:sz w:val="28"/>
          <w:szCs w:val="28"/>
        </w:rPr>
        <w:t>n</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prever mecanismos de protección a la liquidez</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como </w:t>
      </w:r>
      <w:r w:rsidRPr="00B86EDB">
        <w:rPr>
          <w:rFonts w:ascii="Times New Roman" w:hAnsi="Times New Roman" w:cs="Times New Roman"/>
          <w:sz w:val="28"/>
          <w:szCs w:val="28"/>
        </w:rPr>
        <w:t>limitar</w:t>
      </w:r>
      <w:r w:rsidRPr="00B86EDB">
        <w:rPr>
          <w:rFonts w:ascii="Times New Roman" w:hAnsi="Times New Roman" w:cs="Times New Roman"/>
          <w:sz w:val="28"/>
          <w:szCs w:val="28"/>
        </w:rPr>
        <w:t xml:space="preserve"> en porcentaje</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la carga tributaria global de los contribuyentes</w:t>
      </w:r>
      <w:r w:rsidRPr="00B86EDB">
        <w:rPr>
          <w:rFonts w:ascii="Times New Roman" w:hAnsi="Times New Roman" w:cs="Times New Roman"/>
          <w:sz w:val="28"/>
          <w:szCs w:val="28"/>
        </w:rPr>
        <w:t xml:space="preserve"> y los descuentos de otros impuestos pagados</w:t>
      </w:r>
      <w:r w:rsidRPr="00B86EDB">
        <w:rPr>
          <w:rFonts w:ascii="Times New Roman" w:hAnsi="Times New Roman" w:cs="Times New Roman"/>
          <w:sz w:val="28"/>
          <w:szCs w:val="28"/>
        </w:rPr>
        <w:t xml:space="preserve"> que gravan el patrimonio</w:t>
      </w:r>
      <w:r w:rsidRPr="00B86EDB">
        <w:rPr>
          <w:rFonts w:ascii="Times New Roman" w:hAnsi="Times New Roman" w:cs="Times New Roman"/>
          <w:sz w:val="28"/>
          <w:szCs w:val="28"/>
        </w:rPr>
        <w:t>.</w:t>
      </w:r>
      <w:r w:rsidRPr="00B86EDB">
        <w:rPr>
          <w:rStyle w:val="Refdenotaalpie"/>
          <w:rFonts w:ascii="Times New Roman" w:hAnsi="Times New Roman" w:cs="Times New Roman"/>
          <w:sz w:val="28"/>
          <w:szCs w:val="28"/>
        </w:rPr>
        <w:footnoteReference w:id="27"/>
      </w:r>
      <w:r w:rsidRPr="00B86EDB">
        <w:rPr>
          <w:rFonts w:ascii="Times New Roman" w:hAnsi="Times New Roman" w:cs="Times New Roman"/>
          <w:sz w:val="28"/>
          <w:szCs w:val="28"/>
        </w:rPr>
        <w:t xml:space="preserve"> </w:t>
      </w:r>
    </w:p>
    <w:p w:rsidR="006F3F6E" w:rsidRPr="00B86EDB" w:rsidRDefault="00B86EDB" w:rsidP="009F3F6A">
      <w:pPr>
        <w:pStyle w:val="Prrafodelista"/>
        <w:contextualSpacing w:val="0"/>
        <w:rPr>
          <w:rFonts w:ascii="Times New Roman" w:hAnsi="Times New Roman" w:cs="Times New Roman"/>
          <w:i/>
          <w:iCs/>
          <w:sz w:val="28"/>
          <w:szCs w:val="28"/>
        </w:rPr>
      </w:pPr>
    </w:p>
    <w:p w:rsidR="00A36C34"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 xml:space="preserve">En </w:t>
      </w:r>
      <w:r w:rsidRPr="00B86EDB">
        <w:rPr>
          <w:rFonts w:ascii="Times New Roman" w:hAnsi="Times New Roman" w:cs="Times New Roman"/>
          <w:sz w:val="28"/>
          <w:szCs w:val="28"/>
        </w:rPr>
        <w:t>suma</w:t>
      </w:r>
      <w:r w:rsidRPr="00B86EDB">
        <w:rPr>
          <w:rFonts w:ascii="Times New Roman" w:hAnsi="Times New Roman" w:cs="Times New Roman"/>
          <w:sz w:val="28"/>
          <w:szCs w:val="28"/>
        </w:rPr>
        <w:t xml:space="preserve">, la ANDI explicó que </w:t>
      </w:r>
      <w:r w:rsidRPr="00B86EDB">
        <w:rPr>
          <w:rFonts w:ascii="Times New Roman" w:hAnsi="Times New Roman" w:cs="Times New Roman"/>
          <w:sz w:val="28"/>
          <w:szCs w:val="28"/>
        </w:rPr>
        <w:t xml:space="preserve">las normas acusadas </w:t>
      </w:r>
    </w:p>
    <w:p w:rsidR="00A36C34" w:rsidRPr="00B86EDB" w:rsidRDefault="00B86EDB" w:rsidP="009F3F6A">
      <w:pPr>
        <w:pStyle w:val="Prrafodelista"/>
        <w:contextualSpacing w:val="0"/>
        <w:rPr>
          <w:rFonts w:ascii="Times New Roman" w:hAnsi="Times New Roman" w:cs="Times New Roman"/>
          <w:i/>
          <w:iCs/>
          <w:sz w:val="28"/>
          <w:szCs w:val="28"/>
        </w:rPr>
      </w:pPr>
    </w:p>
    <w:p w:rsidR="006F3F6E" w:rsidRPr="00B86EDB" w:rsidRDefault="00B86EDB" w:rsidP="009F3F6A">
      <w:pPr>
        <w:pStyle w:val="Prrafodelista"/>
        <w:widowControl w:val="0"/>
        <w:tabs>
          <w:tab w:val="left" w:pos="90"/>
          <w:tab w:val="left" w:pos="567"/>
          <w:tab w:val="left" w:pos="709"/>
        </w:tabs>
        <w:ind w:left="284" w:right="284"/>
        <w:contextualSpacing w:val="0"/>
        <w:jc w:val="both"/>
        <w:rPr>
          <w:rFonts w:ascii="Times New Roman" w:hAnsi="Times New Roman" w:cs="Times New Roman"/>
          <w:sz w:val="28"/>
        </w:rPr>
      </w:pPr>
      <w:r w:rsidRPr="00B86EDB">
        <w:rPr>
          <w:rFonts w:ascii="Times New Roman" w:hAnsi="Times New Roman" w:cs="Times New Roman"/>
          <w:sz w:val="28"/>
        </w:rPr>
        <w:t>“</w:t>
      </w:r>
      <w:r w:rsidRPr="00B86EDB">
        <w:rPr>
          <w:rFonts w:ascii="Times New Roman" w:hAnsi="Times New Roman" w:cs="Times New Roman"/>
          <w:sz w:val="28"/>
        </w:rPr>
        <w:t>en tanto grava</w:t>
      </w:r>
      <w:r w:rsidRPr="00B86EDB">
        <w:rPr>
          <w:rFonts w:ascii="Times New Roman" w:hAnsi="Times New Roman" w:cs="Times New Roman"/>
          <w:sz w:val="28"/>
        </w:rPr>
        <w:t>[n]</w:t>
      </w:r>
      <w:r w:rsidRPr="00B86EDB">
        <w:rPr>
          <w:rFonts w:ascii="Times New Roman" w:hAnsi="Times New Roman" w:cs="Times New Roman"/>
          <w:sz w:val="28"/>
        </w:rPr>
        <w:t xml:space="preserve"> de forma permanente el patrimonio ahorrado por una persona; y en tanto para determinar la base gravable no se tiene en cuenta la capacidad contributiva del sujeto pasivo; el impuesto al patrimonio, tal y como quedó</w:t>
      </w:r>
      <w:r w:rsidRPr="00B86EDB">
        <w:rPr>
          <w:rFonts w:ascii="Times New Roman" w:hAnsi="Times New Roman" w:cs="Times New Roman"/>
          <w:sz w:val="28"/>
        </w:rPr>
        <w:t xml:space="preserve"> establecido por los </w:t>
      </w:r>
      <w:r w:rsidRPr="00B86EDB">
        <w:rPr>
          <w:rFonts w:ascii="Times New Roman" w:hAnsi="Times New Roman" w:cs="Times New Roman"/>
          <w:sz w:val="28"/>
        </w:rPr>
        <w:t>artículos</w:t>
      </w:r>
      <w:r w:rsidRPr="00B86EDB">
        <w:rPr>
          <w:rFonts w:ascii="Times New Roman" w:hAnsi="Times New Roman" w:cs="Times New Roman"/>
          <w:sz w:val="28"/>
        </w:rPr>
        <w:t xml:space="preserve"> cuya constitucionalidad se cuestiona, puede llegar a confiscar poco a poco todo ahorro patrimonial que exceda de 72.000 UVT, con lo que en la </w:t>
      </w:r>
      <w:r w:rsidRPr="00B86EDB">
        <w:rPr>
          <w:rFonts w:ascii="Times New Roman" w:hAnsi="Times New Roman" w:cs="Times New Roman"/>
          <w:sz w:val="28"/>
        </w:rPr>
        <w:t>práctica</w:t>
      </w:r>
      <w:r w:rsidRPr="00B86EDB">
        <w:rPr>
          <w:rFonts w:ascii="Times New Roman" w:hAnsi="Times New Roman" w:cs="Times New Roman"/>
          <w:sz w:val="28"/>
        </w:rPr>
        <w:t xml:space="preserve"> se </w:t>
      </w:r>
      <w:r w:rsidRPr="00B86EDB">
        <w:rPr>
          <w:rFonts w:ascii="Times New Roman" w:hAnsi="Times New Roman" w:cs="Times New Roman"/>
          <w:sz w:val="28"/>
        </w:rPr>
        <w:t>estaría</w:t>
      </w:r>
      <w:r w:rsidRPr="00B86EDB">
        <w:rPr>
          <w:rFonts w:ascii="Times New Roman" w:hAnsi="Times New Roman" w:cs="Times New Roman"/>
          <w:sz w:val="28"/>
        </w:rPr>
        <w:t xml:space="preserve"> autorizando al Estado para poner un </w:t>
      </w:r>
      <w:r w:rsidRPr="00B86EDB">
        <w:rPr>
          <w:rFonts w:ascii="Times New Roman" w:hAnsi="Times New Roman" w:cs="Times New Roman"/>
          <w:sz w:val="28"/>
        </w:rPr>
        <w:t>‘</w:t>
      </w:r>
      <w:r w:rsidRPr="00B86EDB">
        <w:rPr>
          <w:rFonts w:ascii="Times New Roman" w:hAnsi="Times New Roman" w:cs="Times New Roman"/>
          <w:sz w:val="28"/>
        </w:rPr>
        <w:t>techo</w:t>
      </w:r>
      <w:r w:rsidRPr="00B86EDB">
        <w:rPr>
          <w:rFonts w:ascii="Times New Roman" w:hAnsi="Times New Roman" w:cs="Times New Roman"/>
          <w:sz w:val="28"/>
        </w:rPr>
        <w:t>’</w:t>
      </w:r>
      <w:r w:rsidRPr="00B86EDB">
        <w:rPr>
          <w:rFonts w:ascii="Times New Roman" w:hAnsi="Times New Roman" w:cs="Times New Roman"/>
          <w:sz w:val="28"/>
        </w:rPr>
        <w:t xml:space="preserve"> al patrimonio prote</w:t>
      </w:r>
      <w:r w:rsidRPr="00B86EDB">
        <w:rPr>
          <w:rFonts w:ascii="Times New Roman" w:hAnsi="Times New Roman" w:cs="Times New Roman"/>
          <w:sz w:val="28"/>
        </w:rPr>
        <w:t xml:space="preserve">gido, pues aquellos ahorros que </w:t>
      </w:r>
      <w:r w:rsidRPr="00B86EDB">
        <w:rPr>
          <w:rFonts w:ascii="Times New Roman" w:hAnsi="Times New Roman" w:cs="Times New Roman"/>
          <w:sz w:val="28"/>
        </w:rPr>
        <w:t>estén</w:t>
      </w:r>
      <w:r w:rsidRPr="00B86EDB">
        <w:rPr>
          <w:rFonts w:ascii="Times New Roman" w:hAnsi="Times New Roman" w:cs="Times New Roman"/>
          <w:sz w:val="28"/>
        </w:rPr>
        <w:t xml:space="preserve"> por encima de dicho umbral pueden ser objeto de </w:t>
      </w:r>
      <w:r w:rsidRPr="00B86EDB">
        <w:rPr>
          <w:rFonts w:ascii="Times New Roman" w:hAnsi="Times New Roman" w:cs="Times New Roman"/>
          <w:sz w:val="28"/>
        </w:rPr>
        <w:t>imposición</w:t>
      </w:r>
      <w:r w:rsidRPr="00B86EDB">
        <w:rPr>
          <w:rFonts w:ascii="Times New Roman" w:hAnsi="Times New Roman" w:cs="Times New Roman"/>
          <w:sz w:val="28"/>
        </w:rPr>
        <w:t xml:space="preserve"> una, y otra, y muchas veces, i) sin los </w:t>
      </w:r>
      <w:r w:rsidRPr="00B86EDB">
        <w:rPr>
          <w:rFonts w:ascii="Times New Roman" w:hAnsi="Times New Roman" w:cs="Times New Roman"/>
          <w:sz w:val="28"/>
        </w:rPr>
        <w:t>límites</w:t>
      </w:r>
      <w:r w:rsidRPr="00B86EDB">
        <w:rPr>
          <w:rFonts w:ascii="Times New Roman" w:hAnsi="Times New Roman" w:cs="Times New Roman"/>
          <w:sz w:val="28"/>
        </w:rPr>
        <w:t xml:space="preserve"> derivados de la capacidad contributiva, y ii) sin la </w:t>
      </w:r>
      <w:r w:rsidRPr="00B86EDB">
        <w:rPr>
          <w:rFonts w:ascii="Times New Roman" w:hAnsi="Times New Roman" w:cs="Times New Roman"/>
          <w:sz w:val="28"/>
        </w:rPr>
        <w:t>justificación</w:t>
      </w:r>
      <w:r w:rsidRPr="00B86EDB">
        <w:rPr>
          <w:rFonts w:ascii="Times New Roman" w:hAnsi="Times New Roman" w:cs="Times New Roman"/>
          <w:sz w:val="28"/>
        </w:rPr>
        <w:t xml:space="preserve"> de una necesidad extraordinaria -pues, se reitera, se trata de un impuesto permanente</w:t>
      </w:r>
      <w:r w:rsidRPr="00B86EDB">
        <w:rPr>
          <w:rFonts w:ascii="Times New Roman" w:hAnsi="Times New Roman" w:cs="Times New Roman"/>
          <w:sz w:val="28"/>
        </w:rPr>
        <w:t>.</w:t>
      </w:r>
      <w:r w:rsidRPr="00B86EDB">
        <w:rPr>
          <w:rFonts w:ascii="Times New Roman" w:hAnsi="Times New Roman" w:cs="Times New Roman"/>
          <w:sz w:val="28"/>
        </w:rPr>
        <w:t>”</w:t>
      </w:r>
    </w:p>
    <w:p w:rsidR="00EF59EA" w:rsidRPr="00B86EDB" w:rsidRDefault="00B86EDB" w:rsidP="009F3F6A">
      <w:pPr>
        <w:pStyle w:val="Prrafodelista"/>
        <w:contextualSpacing w:val="0"/>
        <w:rPr>
          <w:rFonts w:ascii="Times New Roman" w:hAnsi="Times New Roman" w:cs="Times New Roman"/>
          <w:i/>
          <w:iCs/>
          <w:sz w:val="28"/>
          <w:szCs w:val="28"/>
        </w:rPr>
      </w:pPr>
    </w:p>
    <w:p w:rsidR="004F0388"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Por su parte, l</w:t>
      </w:r>
      <w:r w:rsidRPr="00B86EDB">
        <w:rPr>
          <w:rFonts w:ascii="Times New Roman" w:hAnsi="Times New Roman" w:cs="Times New Roman"/>
          <w:sz w:val="28"/>
          <w:szCs w:val="28"/>
        </w:rPr>
        <w:t xml:space="preserve">a Universidad Externado de Colombia </w:t>
      </w:r>
      <w:r w:rsidRPr="00B86EDB">
        <w:rPr>
          <w:rFonts w:ascii="Times New Roman" w:hAnsi="Times New Roman" w:cs="Times New Roman"/>
          <w:sz w:val="28"/>
          <w:szCs w:val="28"/>
        </w:rPr>
        <w:t>señal</w:t>
      </w:r>
      <w:r w:rsidRPr="00B86EDB">
        <w:rPr>
          <w:rFonts w:ascii="Times New Roman" w:hAnsi="Times New Roman" w:cs="Times New Roman"/>
          <w:sz w:val="28"/>
          <w:szCs w:val="28"/>
        </w:rPr>
        <w:t>ó que en virtud de</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l</w:t>
      </w:r>
      <w:r w:rsidRPr="00B86EDB">
        <w:rPr>
          <w:rFonts w:ascii="Times New Roman" w:hAnsi="Times New Roman" w:cs="Times New Roman"/>
          <w:sz w:val="28"/>
          <w:szCs w:val="28"/>
        </w:rPr>
        <w:t xml:space="preserve">o dispuesto en el </w:t>
      </w:r>
      <w:r w:rsidRPr="00B86EDB">
        <w:rPr>
          <w:rFonts w:ascii="Times New Roman" w:hAnsi="Times New Roman" w:cs="Times New Roman"/>
          <w:sz w:val="28"/>
          <w:szCs w:val="28"/>
        </w:rPr>
        <w:t>artículo 58 de la Constitución Política</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la propiedad tiene una función social de la cual se desprenden unas cargas que los propietarios deben cumplir a</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favor del interés general. </w:t>
      </w:r>
      <w:r w:rsidRPr="00B86EDB">
        <w:rPr>
          <w:rFonts w:ascii="Times New Roman" w:hAnsi="Times New Roman" w:cs="Times New Roman"/>
          <w:sz w:val="28"/>
          <w:szCs w:val="28"/>
        </w:rPr>
        <w:t xml:space="preserve">Por lo tanto, </w:t>
      </w:r>
      <w:r w:rsidRPr="00B86EDB">
        <w:rPr>
          <w:rFonts w:ascii="Times New Roman" w:hAnsi="Times New Roman" w:cs="Times New Roman"/>
          <w:sz w:val="28"/>
          <w:szCs w:val="28"/>
        </w:rPr>
        <w:t xml:space="preserve">aseguró que </w:t>
      </w:r>
      <w:r w:rsidRPr="00B86EDB">
        <w:rPr>
          <w:rFonts w:ascii="Times New Roman" w:hAnsi="Times New Roman" w:cs="Times New Roman"/>
          <w:sz w:val="28"/>
          <w:szCs w:val="28"/>
        </w:rPr>
        <w:t xml:space="preserve">del </w:t>
      </w:r>
      <w:r w:rsidRPr="00B86EDB">
        <w:rPr>
          <w:rFonts w:ascii="Times New Roman" w:hAnsi="Times New Roman" w:cs="Times New Roman"/>
          <w:sz w:val="28"/>
          <w:szCs w:val="28"/>
        </w:rPr>
        <w:t>principio</w:t>
      </w:r>
      <w:r w:rsidRPr="00B86EDB">
        <w:rPr>
          <w:rFonts w:ascii="Times New Roman" w:hAnsi="Times New Roman" w:cs="Times New Roman"/>
          <w:sz w:val="28"/>
          <w:szCs w:val="28"/>
        </w:rPr>
        <w:t xml:space="preserve"> de equidad </w:t>
      </w:r>
      <w:r w:rsidRPr="00B86EDB">
        <w:rPr>
          <w:rFonts w:ascii="Times New Roman" w:hAnsi="Times New Roman" w:cs="Times New Roman"/>
          <w:sz w:val="28"/>
          <w:szCs w:val="28"/>
        </w:rPr>
        <w:t xml:space="preserve">horizontal </w:t>
      </w:r>
      <w:r w:rsidRPr="00B86EDB">
        <w:rPr>
          <w:rFonts w:ascii="Times New Roman" w:hAnsi="Times New Roman" w:cs="Times New Roman"/>
          <w:sz w:val="28"/>
          <w:szCs w:val="28"/>
        </w:rPr>
        <w:t xml:space="preserve">tributaria no se desprende </w:t>
      </w:r>
      <w:r w:rsidRPr="00B86EDB">
        <w:rPr>
          <w:rFonts w:ascii="Times New Roman" w:hAnsi="Times New Roman" w:cs="Times New Roman"/>
          <w:sz w:val="28"/>
          <w:szCs w:val="28"/>
        </w:rPr>
        <w:t xml:space="preserve">una valoración de la </w:t>
      </w:r>
      <w:r w:rsidRPr="00B86EDB">
        <w:rPr>
          <w:rFonts w:ascii="Times New Roman" w:hAnsi="Times New Roman" w:cs="Times New Roman"/>
          <w:sz w:val="28"/>
          <w:szCs w:val="28"/>
        </w:rPr>
        <w:t>liquid</w:t>
      </w:r>
      <w:r w:rsidRPr="00B86EDB">
        <w:rPr>
          <w:rFonts w:ascii="Times New Roman" w:hAnsi="Times New Roman" w:cs="Times New Roman"/>
          <w:sz w:val="28"/>
          <w:szCs w:val="28"/>
        </w:rPr>
        <w:t>ez</w:t>
      </w:r>
      <w:r w:rsidRPr="00B86EDB">
        <w:rPr>
          <w:rFonts w:ascii="Times New Roman" w:hAnsi="Times New Roman" w:cs="Times New Roman"/>
          <w:sz w:val="28"/>
          <w:szCs w:val="28"/>
        </w:rPr>
        <w:t xml:space="preserve"> del contribuyente, sino </w:t>
      </w:r>
      <w:r w:rsidRPr="00B86EDB">
        <w:rPr>
          <w:rFonts w:ascii="Times New Roman" w:hAnsi="Times New Roman" w:cs="Times New Roman"/>
          <w:sz w:val="28"/>
          <w:szCs w:val="28"/>
        </w:rPr>
        <w:t>igual carga</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tributaria en relación con la función social del patrimonio poseído</w:t>
      </w:r>
      <w:r w:rsidRPr="00B86EDB">
        <w:rPr>
          <w:rFonts w:ascii="Times New Roman" w:hAnsi="Times New Roman" w:cs="Times New Roman"/>
          <w:sz w:val="28"/>
          <w:szCs w:val="28"/>
        </w:rPr>
        <w:t xml:space="preserve">, en la medida que el impuesto al patrimonio es de carácter directo. </w:t>
      </w:r>
    </w:p>
    <w:p w:rsidR="008A22CA" w:rsidRPr="00B86EDB" w:rsidRDefault="00B86EDB" w:rsidP="009F3F6A">
      <w:pPr>
        <w:pStyle w:val="Prrafodelista"/>
        <w:contextualSpacing w:val="0"/>
        <w:rPr>
          <w:rFonts w:ascii="Times New Roman" w:hAnsi="Times New Roman" w:cs="Times New Roman"/>
          <w:sz w:val="28"/>
          <w:szCs w:val="28"/>
        </w:rPr>
      </w:pPr>
    </w:p>
    <w:p w:rsidR="000C7F19"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 xml:space="preserve">La </w:t>
      </w:r>
      <w:r w:rsidRPr="00B86EDB">
        <w:rPr>
          <w:rFonts w:ascii="Times New Roman" w:hAnsi="Times New Roman" w:cs="Times New Roman"/>
          <w:sz w:val="28"/>
          <w:szCs w:val="28"/>
        </w:rPr>
        <w:t xml:space="preserve">citada </w:t>
      </w:r>
      <w:r w:rsidRPr="00B86EDB">
        <w:rPr>
          <w:rFonts w:ascii="Times New Roman" w:hAnsi="Times New Roman" w:cs="Times New Roman"/>
          <w:sz w:val="28"/>
          <w:szCs w:val="28"/>
        </w:rPr>
        <w:t>Universidad aseguró que los argumentos de</w:t>
      </w:r>
      <w:r w:rsidRPr="00B86EDB">
        <w:rPr>
          <w:rFonts w:ascii="Times New Roman" w:hAnsi="Times New Roman" w:cs="Times New Roman"/>
          <w:sz w:val="28"/>
          <w:szCs w:val="28"/>
        </w:rPr>
        <w:t xml:space="preserve"> los</w:t>
      </w:r>
      <w:r w:rsidRPr="00B86EDB">
        <w:rPr>
          <w:rFonts w:ascii="Times New Roman" w:hAnsi="Times New Roman" w:cs="Times New Roman"/>
          <w:sz w:val="28"/>
          <w:szCs w:val="28"/>
        </w:rPr>
        <w:t xml:space="preserve"> accionante</w:t>
      </w:r>
      <w:r w:rsidRPr="00B86EDB">
        <w:rPr>
          <w:rFonts w:ascii="Times New Roman" w:hAnsi="Times New Roman" w:cs="Times New Roman"/>
          <w:sz w:val="28"/>
          <w:szCs w:val="28"/>
        </w:rPr>
        <w:t>s</w:t>
      </w:r>
      <w:r w:rsidRPr="00B86EDB">
        <w:rPr>
          <w:rFonts w:ascii="Times New Roman" w:hAnsi="Times New Roman" w:cs="Times New Roman"/>
          <w:sz w:val="28"/>
          <w:szCs w:val="28"/>
        </w:rPr>
        <w:t xml:space="preserve"> sobre el efecto confiscatorio del impuesto al patrimonio desconocen la presunción de rendimientos del patrimonio avalada por la Corte Constitucional en la Sentencia C-238 de 1997</w:t>
      </w:r>
      <w:r w:rsidRPr="00B86EDB">
        <w:rPr>
          <w:rFonts w:ascii="Times New Roman" w:hAnsi="Times New Roman" w:cs="Times New Roman"/>
          <w:sz w:val="28"/>
          <w:szCs w:val="28"/>
        </w:rPr>
        <w:t>. E</w:t>
      </w:r>
      <w:r w:rsidRPr="00B86EDB">
        <w:rPr>
          <w:rFonts w:ascii="Times New Roman" w:hAnsi="Times New Roman" w:cs="Times New Roman"/>
          <w:sz w:val="28"/>
          <w:szCs w:val="28"/>
        </w:rPr>
        <w:t>n</w:t>
      </w:r>
      <w:r w:rsidRPr="00B86EDB">
        <w:rPr>
          <w:rFonts w:ascii="Times New Roman" w:hAnsi="Times New Roman" w:cs="Times New Roman"/>
          <w:sz w:val="28"/>
          <w:szCs w:val="28"/>
        </w:rPr>
        <w:t xml:space="preserve"> este sentido, concluyó que</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w:t>
      </w:r>
    </w:p>
    <w:p w:rsidR="000C7F19" w:rsidRPr="00B86EDB" w:rsidRDefault="00B86EDB" w:rsidP="009F3F6A">
      <w:pPr>
        <w:pStyle w:val="Prrafodelista"/>
        <w:contextualSpacing w:val="0"/>
        <w:rPr>
          <w:rFonts w:ascii="Times New Roman" w:hAnsi="Times New Roman" w:cs="Times New Roman"/>
          <w:sz w:val="28"/>
          <w:szCs w:val="28"/>
        </w:rPr>
      </w:pPr>
    </w:p>
    <w:p w:rsidR="001253F2" w:rsidRPr="00B86EDB" w:rsidRDefault="00B86EDB" w:rsidP="009F3F6A">
      <w:pPr>
        <w:pStyle w:val="Prrafodelista"/>
        <w:widowControl w:val="0"/>
        <w:tabs>
          <w:tab w:val="left" w:pos="90"/>
          <w:tab w:val="left" w:pos="567"/>
          <w:tab w:val="left" w:pos="709"/>
        </w:tabs>
        <w:ind w:left="284" w:right="284"/>
        <w:contextualSpacing w:val="0"/>
        <w:jc w:val="both"/>
        <w:rPr>
          <w:rFonts w:ascii="Times New Roman" w:hAnsi="Times New Roman" w:cs="Times New Roman"/>
          <w:sz w:val="28"/>
        </w:rPr>
      </w:pPr>
      <w:r w:rsidRPr="00B86EDB">
        <w:rPr>
          <w:rFonts w:ascii="Times New Roman" w:hAnsi="Times New Roman" w:cs="Times New Roman"/>
          <w:sz w:val="28"/>
        </w:rPr>
        <w:t>“frente al impuesto al patrimonio es proce</w:t>
      </w:r>
      <w:r w:rsidRPr="00B86EDB">
        <w:rPr>
          <w:rFonts w:ascii="Times New Roman" w:hAnsi="Times New Roman" w:cs="Times New Roman"/>
          <w:sz w:val="28"/>
        </w:rPr>
        <w:t xml:space="preserve">dente </w:t>
      </w:r>
      <w:r w:rsidRPr="00B86EDB">
        <w:rPr>
          <w:rFonts w:ascii="Times New Roman" w:hAnsi="Times New Roman" w:cs="Times New Roman"/>
          <w:sz w:val="28"/>
        </w:rPr>
        <w:t>señalar</w:t>
      </w:r>
      <w:r w:rsidRPr="00B86EDB">
        <w:rPr>
          <w:rFonts w:ascii="Times New Roman" w:hAnsi="Times New Roman" w:cs="Times New Roman"/>
          <w:sz w:val="28"/>
        </w:rPr>
        <w:t xml:space="preserve"> el </w:t>
      </w:r>
      <w:r w:rsidRPr="00B86EDB">
        <w:rPr>
          <w:rFonts w:ascii="Times New Roman" w:hAnsi="Times New Roman" w:cs="Times New Roman"/>
          <w:sz w:val="28"/>
        </w:rPr>
        <w:t>carácter</w:t>
      </w:r>
      <w:r w:rsidRPr="00B86EDB">
        <w:rPr>
          <w:rFonts w:ascii="Times New Roman" w:hAnsi="Times New Roman" w:cs="Times New Roman"/>
          <w:sz w:val="28"/>
        </w:rPr>
        <w:t xml:space="preserve"> permanente contenido en la reforma tributaria de 2022 no es confiscatorio, puesto que, existe un </w:t>
      </w:r>
      <w:r w:rsidRPr="00B86EDB">
        <w:rPr>
          <w:rFonts w:ascii="Times New Roman" w:hAnsi="Times New Roman" w:cs="Times New Roman"/>
          <w:sz w:val="28"/>
        </w:rPr>
        <w:t>mínimo</w:t>
      </w:r>
      <w:r w:rsidRPr="00B86EDB">
        <w:rPr>
          <w:rFonts w:ascii="Times New Roman" w:hAnsi="Times New Roman" w:cs="Times New Roman"/>
          <w:sz w:val="28"/>
        </w:rPr>
        <w:t xml:space="preserve"> exento y no se genera una </w:t>
      </w:r>
      <w:r w:rsidRPr="00B86EDB">
        <w:rPr>
          <w:rFonts w:ascii="Times New Roman" w:hAnsi="Times New Roman" w:cs="Times New Roman"/>
          <w:sz w:val="28"/>
        </w:rPr>
        <w:t>expropiación</w:t>
      </w:r>
      <w:r w:rsidRPr="00B86EDB">
        <w:rPr>
          <w:rFonts w:ascii="Times New Roman" w:hAnsi="Times New Roman" w:cs="Times New Roman"/>
          <w:sz w:val="28"/>
        </w:rPr>
        <w:t xml:space="preserve"> de facto en favor del Estado, sino que por el contrario se protege un patrimonio bastan</w:t>
      </w:r>
      <w:r w:rsidRPr="00B86EDB">
        <w:rPr>
          <w:rFonts w:ascii="Times New Roman" w:hAnsi="Times New Roman" w:cs="Times New Roman"/>
          <w:sz w:val="28"/>
        </w:rPr>
        <w:t xml:space="preserve">te amplio en favor del contribuyente, </w:t>
      </w:r>
      <w:r w:rsidRPr="00B86EDB">
        <w:rPr>
          <w:rFonts w:ascii="Times New Roman" w:hAnsi="Times New Roman" w:cs="Times New Roman"/>
          <w:sz w:val="28"/>
        </w:rPr>
        <w:t>además</w:t>
      </w:r>
      <w:r w:rsidRPr="00B86EDB">
        <w:rPr>
          <w:rFonts w:ascii="Times New Roman" w:hAnsi="Times New Roman" w:cs="Times New Roman"/>
          <w:sz w:val="28"/>
        </w:rPr>
        <w:t xml:space="preserve"> en cuanto a la tarifa aplicable el valor es progresivo desde el 0,5 al 1,5% sobre el excedente del valor mencionado, por lo cual tampoco es justificable mencionar que el patrimonio del sujeto pasivo de la </w:t>
      </w:r>
      <w:r w:rsidRPr="00B86EDB">
        <w:rPr>
          <w:rFonts w:ascii="Times New Roman" w:hAnsi="Times New Roman" w:cs="Times New Roman"/>
          <w:sz w:val="28"/>
        </w:rPr>
        <w:t>obliga</w:t>
      </w:r>
      <w:r w:rsidRPr="00B86EDB">
        <w:rPr>
          <w:rFonts w:ascii="Times New Roman" w:hAnsi="Times New Roman" w:cs="Times New Roman"/>
          <w:sz w:val="28"/>
        </w:rPr>
        <w:t>ción</w:t>
      </w:r>
      <w:r w:rsidRPr="00B86EDB">
        <w:rPr>
          <w:rFonts w:ascii="Times New Roman" w:hAnsi="Times New Roman" w:cs="Times New Roman"/>
          <w:sz w:val="28"/>
        </w:rPr>
        <w:t xml:space="preserve"> </w:t>
      </w:r>
      <w:r w:rsidRPr="00B86EDB">
        <w:rPr>
          <w:rFonts w:ascii="Times New Roman" w:hAnsi="Times New Roman" w:cs="Times New Roman"/>
          <w:sz w:val="28"/>
        </w:rPr>
        <w:t>estaría</w:t>
      </w:r>
      <w:r w:rsidRPr="00B86EDB">
        <w:rPr>
          <w:rFonts w:ascii="Times New Roman" w:hAnsi="Times New Roman" w:cs="Times New Roman"/>
          <w:sz w:val="28"/>
        </w:rPr>
        <w:t xml:space="preserve"> destinado exclusivamente al pago del gravamen</w:t>
      </w:r>
      <w:r w:rsidRPr="00B86EDB">
        <w:rPr>
          <w:rFonts w:ascii="Times New Roman" w:hAnsi="Times New Roman" w:cs="Times New Roman"/>
          <w:sz w:val="28"/>
        </w:rPr>
        <w:t>.</w:t>
      </w:r>
      <w:r w:rsidRPr="00B86EDB">
        <w:rPr>
          <w:rFonts w:ascii="Times New Roman" w:hAnsi="Times New Roman" w:cs="Times New Roman"/>
          <w:sz w:val="28"/>
        </w:rPr>
        <w:t xml:space="preserve">” </w:t>
      </w:r>
    </w:p>
    <w:p w:rsidR="001253F2" w:rsidRPr="00B86EDB" w:rsidRDefault="00B86EDB" w:rsidP="009F3F6A">
      <w:pPr>
        <w:pStyle w:val="Prrafodelista"/>
        <w:contextualSpacing w:val="0"/>
        <w:rPr>
          <w:rFonts w:ascii="Times New Roman" w:hAnsi="Times New Roman" w:cs="Times New Roman"/>
          <w:sz w:val="28"/>
          <w:szCs w:val="28"/>
        </w:rPr>
      </w:pPr>
    </w:p>
    <w:p w:rsidR="00F36BAC" w:rsidRPr="00B86EDB" w:rsidRDefault="00B86EDB" w:rsidP="009F3F6A">
      <w:pPr>
        <w:pStyle w:val="Prrafodelista"/>
        <w:contextualSpacing w:val="0"/>
        <w:rPr>
          <w:rFonts w:ascii="Times New Roman" w:hAnsi="Times New Roman" w:cs="Times New Roman"/>
          <w:sz w:val="28"/>
          <w:szCs w:val="28"/>
        </w:rPr>
      </w:pPr>
    </w:p>
    <w:p w:rsidR="00043631" w:rsidRPr="00B86EDB" w:rsidRDefault="00B86EDB" w:rsidP="009F3F6A">
      <w:pPr>
        <w:pStyle w:val="Ttulo3"/>
        <w:numPr>
          <w:ilvl w:val="0"/>
          <w:numId w:val="12"/>
        </w:numPr>
        <w:spacing w:before="0"/>
        <w:jc w:val="both"/>
        <w:rPr>
          <w:rFonts w:ascii="Times New Roman" w:hAnsi="Times New Roman" w:cs="Times New Roman"/>
          <w:b/>
          <w:bCs/>
          <w:i/>
          <w:iCs/>
          <w:color w:val="auto"/>
          <w:sz w:val="28"/>
          <w:szCs w:val="28"/>
        </w:rPr>
      </w:pPr>
      <w:r w:rsidRPr="00B86EDB">
        <w:rPr>
          <w:rFonts w:ascii="Times New Roman" w:hAnsi="Times New Roman" w:cs="Times New Roman"/>
          <w:b/>
          <w:bCs/>
          <w:i/>
          <w:iCs/>
          <w:color w:val="auto"/>
          <w:sz w:val="28"/>
          <w:szCs w:val="28"/>
        </w:rPr>
        <w:t>Sobre el cargo por violación del artículo 317 de la Constitución Política, por gravar la propiedad inmueble por medio de un tributo nacional</w:t>
      </w:r>
      <w:r w:rsidRPr="00B86EDB">
        <w:rPr>
          <w:rFonts w:ascii="Times New Roman" w:hAnsi="Times New Roman" w:cs="Times New Roman"/>
          <w:b/>
          <w:bCs/>
          <w:i/>
          <w:iCs/>
          <w:color w:val="auto"/>
          <w:sz w:val="28"/>
          <w:szCs w:val="28"/>
        </w:rPr>
        <w:t xml:space="preserve"> </w:t>
      </w:r>
    </w:p>
    <w:p w:rsidR="00043631" w:rsidRPr="00B86EDB" w:rsidRDefault="00B86EDB" w:rsidP="009F3F6A">
      <w:pPr>
        <w:pStyle w:val="Prrafodelista"/>
        <w:widowControl w:val="0"/>
        <w:tabs>
          <w:tab w:val="left" w:pos="90"/>
          <w:tab w:val="left" w:pos="567"/>
          <w:tab w:val="left" w:pos="709"/>
        </w:tabs>
        <w:ind w:left="0"/>
        <w:contextualSpacing w:val="0"/>
        <w:jc w:val="both"/>
        <w:rPr>
          <w:rFonts w:ascii="Times New Roman" w:hAnsi="Times New Roman" w:cs="Times New Roman"/>
          <w:i/>
          <w:iCs/>
          <w:sz w:val="28"/>
          <w:szCs w:val="28"/>
        </w:rPr>
      </w:pPr>
    </w:p>
    <w:p w:rsidR="00810ACC"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El ICDT</w:t>
      </w:r>
      <w:r w:rsidRPr="00B86EDB">
        <w:rPr>
          <w:rFonts w:ascii="Times New Roman" w:hAnsi="Times New Roman" w:cs="Times New Roman"/>
          <w:sz w:val="28"/>
          <w:szCs w:val="28"/>
        </w:rPr>
        <w:t xml:space="preserve"> reiteró la postura que </w:t>
      </w:r>
      <w:r w:rsidRPr="00B86EDB">
        <w:rPr>
          <w:rFonts w:ascii="Times New Roman" w:hAnsi="Times New Roman" w:cs="Times New Roman"/>
          <w:sz w:val="28"/>
          <w:szCs w:val="28"/>
        </w:rPr>
        <w:t>sentó a través del</w:t>
      </w:r>
      <w:r w:rsidRPr="00B86EDB">
        <w:rPr>
          <w:rFonts w:ascii="Times New Roman" w:hAnsi="Times New Roman" w:cs="Times New Roman"/>
          <w:sz w:val="28"/>
          <w:szCs w:val="28"/>
        </w:rPr>
        <w:t xml:space="preserve"> concepto del 13 de abril de 2023 en el expediente D-15.115. En est</w:t>
      </w:r>
      <w:r w:rsidRPr="00B86EDB">
        <w:rPr>
          <w:rFonts w:ascii="Times New Roman" w:hAnsi="Times New Roman" w:cs="Times New Roman"/>
          <w:sz w:val="28"/>
          <w:szCs w:val="28"/>
        </w:rPr>
        <w:t>e</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argumentó que el artículo 317 de la Constitución Política debe interpretarse de forma restrictiva, pues atendiendo al modelo de descentralización </w:t>
      </w:r>
      <w:r w:rsidRPr="00B86EDB">
        <w:rPr>
          <w:rFonts w:ascii="Times New Roman" w:hAnsi="Times New Roman" w:cs="Times New Roman"/>
          <w:sz w:val="28"/>
          <w:szCs w:val="28"/>
        </w:rPr>
        <w:t>económica</w:t>
      </w:r>
      <w:r w:rsidRPr="00B86EDB">
        <w:rPr>
          <w:rFonts w:ascii="Times New Roman" w:hAnsi="Times New Roman" w:cs="Times New Roman"/>
          <w:sz w:val="28"/>
          <w:szCs w:val="28"/>
        </w:rPr>
        <w:t xml:space="preserve"> y </w:t>
      </w:r>
      <w:r w:rsidRPr="00B86EDB">
        <w:rPr>
          <w:rFonts w:ascii="Times New Roman" w:hAnsi="Times New Roman" w:cs="Times New Roman"/>
          <w:sz w:val="28"/>
          <w:szCs w:val="28"/>
        </w:rPr>
        <w:t>administrativa</w:t>
      </w:r>
      <w:r w:rsidRPr="00B86EDB">
        <w:rPr>
          <w:rFonts w:ascii="Times New Roman" w:hAnsi="Times New Roman" w:cs="Times New Roman"/>
          <w:sz w:val="28"/>
          <w:szCs w:val="28"/>
        </w:rPr>
        <w:t xml:space="preserve">, la intención </w:t>
      </w:r>
      <w:r w:rsidRPr="00B86EDB">
        <w:rPr>
          <w:rFonts w:ascii="Times New Roman" w:hAnsi="Times New Roman" w:cs="Times New Roman"/>
          <w:sz w:val="28"/>
          <w:szCs w:val="28"/>
        </w:rPr>
        <w:t xml:space="preserve">del constituyente primario es que solo los municipios </w:t>
      </w:r>
      <w:r w:rsidRPr="00B86EDB">
        <w:rPr>
          <w:rFonts w:ascii="Times New Roman" w:hAnsi="Times New Roman" w:cs="Times New Roman"/>
          <w:sz w:val="28"/>
          <w:szCs w:val="28"/>
        </w:rPr>
        <w:t>tiene</w:t>
      </w:r>
      <w:r w:rsidRPr="00B86EDB">
        <w:rPr>
          <w:rFonts w:ascii="Times New Roman" w:hAnsi="Times New Roman" w:cs="Times New Roman"/>
          <w:sz w:val="28"/>
          <w:szCs w:val="28"/>
        </w:rPr>
        <w:t>n autorización</w:t>
      </w:r>
      <w:r w:rsidRPr="00B86EDB">
        <w:rPr>
          <w:rFonts w:ascii="Times New Roman" w:hAnsi="Times New Roman" w:cs="Times New Roman"/>
          <w:sz w:val="28"/>
          <w:szCs w:val="28"/>
        </w:rPr>
        <w:t xml:space="preserve"> para establecer gravámenes que recaigan sobre la propiedad </w:t>
      </w:r>
      <w:r w:rsidRPr="00B86EDB">
        <w:rPr>
          <w:rFonts w:ascii="Times New Roman" w:hAnsi="Times New Roman" w:cs="Times New Roman"/>
          <w:sz w:val="28"/>
          <w:szCs w:val="28"/>
        </w:rPr>
        <w:t>inmueble</w:t>
      </w:r>
      <w:r w:rsidRPr="00B86EDB">
        <w:rPr>
          <w:rFonts w:ascii="Times New Roman" w:hAnsi="Times New Roman" w:cs="Times New Roman"/>
          <w:sz w:val="28"/>
          <w:szCs w:val="28"/>
        </w:rPr>
        <w:t xml:space="preserve">, salvo </w:t>
      </w:r>
      <w:r w:rsidRPr="00B86EDB">
        <w:rPr>
          <w:rFonts w:ascii="Times New Roman" w:hAnsi="Times New Roman" w:cs="Times New Roman"/>
          <w:sz w:val="28"/>
          <w:szCs w:val="28"/>
        </w:rPr>
        <w:t>la</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contribución</w:t>
      </w:r>
      <w:r w:rsidRPr="00B86EDB">
        <w:rPr>
          <w:rFonts w:ascii="Times New Roman" w:hAnsi="Times New Roman" w:cs="Times New Roman"/>
          <w:sz w:val="28"/>
          <w:szCs w:val="28"/>
        </w:rPr>
        <w:t xml:space="preserve"> por valorización. </w:t>
      </w:r>
      <w:r w:rsidRPr="00B86EDB">
        <w:rPr>
          <w:rFonts w:ascii="Times New Roman" w:hAnsi="Times New Roman" w:cs="Times New Roman"/>
          <w:sz w:val="28"/>
          <w:szCs w:val="28"/>
        </w:rPr>
        <w:t>Afirmó que el</w:t>
      </w:r>
      <w:r w:rsidRPr="00B86EDB">
        <w:rPr>
          <w:rFonts w:ascii="Times New Roman" w:hAnsi="Times New Roman" w:cs="Times New Roman"/>
          <w:sz w:val="28"/>
          <w:szCs w:val="28"/>
        </w:rPr>
        <w:t xml:space="preserve"> impuesto al patrimonio</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es violatorio de esta reserva porque</w:t>
      </w:r>
      <w:r w:rsidRPr="00B86EDB">
        <w:rPr>
          <w:rFonts w:ascii="Times New Roman" w:hAnsi="Times New Roman" w:cs="Times New Roman"/>
          <w:sz w:val="28"/>
          <w:szCs w:val="28"/>
        </w:rPr>
        <w:t xml:space="preserve"> dentro de la base gravable </w:t>
      </w:r>
      <w:r w:rsidRPr="00B86EDB">
        <w:rPr>
          <w:rFonts w:ascii="Times New Roman" w:hAnsi="Times New Roman" w:cs="Times New Roman"/>
          <w:sz w:val="28"/>
          <w:szCs w:val="28"/>
        </w:rPr>
        <w:t>se incluye este tipo de activos</w:t>
      </w:r>
      <w:r w:rsidRPr="00B86EDB">
        <w:rPr>
          <w:rFonts w:ascii="Times New Roman" w:hAnsi="Times New Roman" w:cs="Times New Roman"/>
          <w:sz w:val="28"/>
          <w:szCs w:val="28"/>
        </w:rPr>
        <w:t>, con lo cual se estaría gravando de manera directa los inmuebles</w:t>
      </w:r>
      <w:r w:rsidRPr="00B86EDB">
        <w:rPr>
          <w:rFonts w:ascii="Times New Roman" w:hAnsi="Times New Roman" w:cs="Times New Roman"/>
          <w:sz w:val="28"/>
          <w:szCs w:val="28"/>
        </w:rPr>
        <w:t xml:space="preserve"> como componente diferenciable del patrimonio</w:t>
      </w:r>
      <w:r w:rsidRPr="00B86EDB">
        <w:rPr>
          <w:rFonts w:ascii="Times New Roman" w:hAnsi="Times New Roman" w:cs="Times New Roman"/>
          <w:sz w:val="28"/>
          <w:szCs w:val="28"/>
        </w:rPr>
        <w:t xml:space="preserve"> con un tributo nacional. </w:t>
      </w:r>
      <w:r w:rsidRPr="00B86EDB">
        <w:rPr>
          <w:rFonts w:ascii="Times New Roman" w:hAnsi="Times New Roman" w:cs="Times New Roman"/>
          <w:sz w:val="28"/>
          <w:szCs w:val="28"/>
        </w:rPr>
        <w:t xml:space="preserve">Por último, </w:t>
      </w:r>
      <w:r w:rsidRPr="00B86EDB">
        <w:rPr>
          <w:rFonts w:ascii="Times New Roman" w:hAnsi="Times New Roman" w:cs="Times New Roman"/>
          <w:sz w:val="28"/>
          <w:szCs w:val="28"/>
        </w:rPr>
        <w:t xml:space="preserve">señaló </w:t>
      </w:r>
      <w:r w:rsidRPr="00B86EDB">
        <w:rPr>
          <w:rFonts w:ascii="Times New Roman" w:hAnsi="Times New Roman" w:cs="Times New Roman"/>
          <w:sz w:val="28"/>
          <w:szCs w:val="28"/>
        </w:rPr>
        <w:t xml:space="preserve">que apoya lo consignado en el salvamento de voto </w:t>
      </w:r>
      <w:r w:rsidRPr="00B86EDB">
        <w:rPr>
          <w:rFonts w:ascii="Times New Roman" w:hAnsi="Times New Roman" w:cs="Times New Roman"/>
          <w:sz w:val="28"/>
          <w:szCs w:val="28"/>
        </w:rPr>
        <w:t>a la decisión contenida en la S</w:t>
      </w:r>
      <w:r w:rsidRPr="00B86EDB">
        <w:rPr>
          <w:rFonts w:ascii="Times New Roman" w:hAnsi="Times New Roman" w:cs="Times New Roman"/>
          <w:sz w:val="28"/>
          <w:szCs w:val="28"/>
        </w:rPr>
        <w:t xml:space="preserve">entencia C-257 de 2022 del </w:t>
      </w:r>
      <w:r w:rsidRPr="00B86EDB">
        <w:rPr>
          <w:rFonts w:ascii="Times New Roman" w:hAnsi="Times New Roman" w:cs="Times New Roman"/>
          <w:sz w:val="28"/>
          <w:szCs w:val="28"/>
        </w:rPr>
        <w:t xml:space="preserve">entonces </w:t>
      </w:r>
      <w:r w:rsidRPr="00B86EDB">
        <w:rPr>
          <w:rFonts w:ascii="Times New Roman" w:hAnsi="Times New Roman" w:cs="Times New Roman"/>
          <w:sz w:val="28"/>
          <w:szCs w:val="28"/>
        </w:rPr>
        <w:t>Magistrado Alejandro Linares</w:t>
      </w:r>
      <w:r w:rsidRPr="00B86EDB">
        <w:rPr>
          <w:rFonts w:ascii="Times New Roman" w:hAnsi="Times New Roman" w:cs="Times New Roman"/>
          <w:sz w:val="28"/>
          <w:szCs w:val="28"/>
        </w:rPr>
        <w:t xml:space="preserve"> Cantillo</w:t>
      </w:r>
      <w:r w:rsidRPr="00B86EDB">
        <w:rPr>
          <w:rFonts w:ascii="Times New Roman" w:hAnsi="Times New Roman" w:cs="Times New Roman"/>
          <w:sz w:val="28"/>
          <w:szCs w:val="28"/>
        </w:rPr>
        <w:t>.</w:t>
      </w:r>
    </w:p>
    <w:p w:rsidR="001C750F" w:rsidRPr="00B86EDB" w:rsidRDefault="00B86EDB" w:rsidP="009F3F6A">
      <w:pPr>
        <w:pStyle w:val="Prrafodelista"/>
        <w:widowControl w:val="0"/>
        <w:tabs>
          <w:tab w:val="left" w:pos="90"/>
          <w:tab w:val="left" w:pos="567"/>
          <w:tab w:val="left" w:pos="709"/>
        </w:tabs>
        <w:ind w:left="0"/>
        <w:contextualSpacing w:val="0"/>
        <w:jc w:val="both"/>
        <w:rPr>
          <w:rFonts w:ascii="Times New Roman" w:hAnsi="Times New Roman" w:cs="Times New Roman"/>
          <w:i/>
          <w:iCs/>
          <w:sz w:val="28"/>
          <w:szCs w:val="28"/>
        </w:rPr>
      </w:pPr>
    </w:p>
    <w:p w:rsidR="000C7F19" w:rsidRPr="00B86EDB" w:rsidRDefault="00B86EDB" w:rsidP="009F3F6A">
      <w:pPr>
        <w:pStyle w:val="Prrafodelista"/>
        <w:widowControl w:val="0"/>
        <w:numPr>
          <w:ilvl w:val="0"/>
          <w:numId w:val="4"/>
        </w:numPr>
        <w:tabs>
          <w:tab w:val="left" w:pos="90"/>
          <w:tab w:val="left" w:pos="567"/>
          <w:tab w:val="left" w:pos="709"/>
        </w:tabs>
        <w:ind w:left="0" w:firstLine="0"/>
        <w:contextualSpacing w:val="0"/>
        <w:jc w:val="both"/>
        <w:rPr>
          <w:rFonts w:ascii="Times New Roman" w:hAnsi="Times New Roman" w:cs="Times New Roman"/>
          <w:i/>
          <w:iCs/>
          <w:sz w:val="28"/>
          <w:szCs w:val="28"/>
        </w:rPr>
      </w:pPr>
      <w:r w:rsidRPr="00B86EDB">
        <w:rPr>
          <w:rFonts w:ascii="Times New Roman" w:hAnsi="Times New Roman" w:cs="Times New Roman"/>
          <w:sz w:val="28"/>
          <w:szCs w:val="28"/>
        </w:rPr>
        <w:t xml:space="preserve">La </w:t>
      </w:r>
      <w:r w:rsidRPr="00B86EDB">
        <w:rPr>
          <w:rFonts w:ascii="Times New Roman" w:hAnsi="Times New Roman" w:cs="Times New Roman"/>
          <w:sz w:val="28"/>
          <w:szCs w:val="28"/>
        </w:rPr>
        <w:t>U</w:t>
      </w:r>
      <w:r w:rsidRPr="00B86EDB">
        <w:rPr>
          <w:rFonts w:ascii="Times New Roman" w:hAnsi="Times New Roman" w:cs="Times New Roman"/>
          <w:sz w:val="28"/>
          <w:szCs w:val="28"/>
        </w:rPr>
        <w:t xml:space="preserve">niversidad </w:t>
      </w:r>
      <w:r w:rsidRPr="00B86EDB">
        <w:rPr>
          <w:rFonts w:ascii="Times New Roman" w:hAnsi="Times New Roman" w:cs="Times New Roman"/>
          <w:sz w:val="28"/>
          <w:szCs w:val="28"/>
        </w:rPr>
        <w:t>E</w:t>
      </w:r>
      <w:r w:rsidRPr="00B86EDB">
        <w:rPr>
          <w:rFonts w:ascii="Times New Roman" w:hAnsi="Times New Roman" w:cs="Times New Roman"/>
          <w:sz w:val="28"/>
          <w:szCs w:val="28"/>
        </w:rPr>
        <w:t xml:space="preserve">xternado de Colombia </w:t>
      </w:r>
      <w:r w:rsidRPr="00B86EDB">
        <w:rPr>
          <w:rFonts w:ascii="Times New Roman" w:hAnsi="Times New Roman" w:cs="Times New Roman"/>
          <w:sz w:val="28"/>
          <w:szCs w:val="28"/>
        </w:rPr>
        <w:t xml:space="preserve">reiteró </w:t>
      </w:r>
      <w:r w:rsidRPr="00B86EDB">
        <w:rPr>
          <w:rFonts w:ascii="Times New Roman" w:hAnsi="Times New Roman" w:cs="Times New Roman"/>
          <w:sz w:val="28"/>
          <w:szCs w:val="28"/>
        </w:rPr>
        <w:t xml:space="preserve">la postura que sentó en </w:t>
      </w:r>
      <w:r w:rsidRPr="00B86EDB">
        <w:rPr>
          <w:rFonts w:ascii="Times New Roman" w:hAnsi="Times New Roman" w:cs="Times New Roman"/>
          <w:sz w:val="28"/>
          <w:szCs w:val="28"/>
        </w:rPr>
        <w:t>los</w:t>
      </w:r>
      <w:r w:rsidRPr="00B86EDB">
        <w:rPr>
          <w:rFonts w:ascii="Times New Roman" w:hAnsi="Times New Roman" w:cs="Times New Roman"/>
          <w:sz w:val="28"/>
          <w:szCs w:val="28"/>
        </w:rPr>
        <w:t xml:space="preserve"> concepto</w:t>
      </w:r>
      <w:r w:rsidRPr="00B86EDB">
        <w:rPr>
          <w:rFonts w:ascii="Times New Roman" w:hAnsi="Times New Roman" w:cs="Times New Roman"/>
          <w:sz w:val="28"/>
          <w:szCs w:val="28"/>
        </w:rPr>
        <w:t>s</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que presentó en e</w:t>
      </w:r>
      <w:r w:rsidRPr="00B86EDB">
        <w:rPr>
          <w:rFonts w:ascii="Times New Roman" w:hAnsi="Times New Roman" w:cs="Times New Roman"/>
          <w:sz w:val="28"/>
          <w:szCs w:val="28"/>
        </w:rPr>
        <w:t>l marco de</w:t>
      </w:r>
      <w:r w:rsidRPr="00B86EDB">
        <w:rPr>
          <w:rFonts w:ascii="Times New Roman" w:hAnsi="Times New Roman" w:cs="Times New Roman"/>
          <w:sz w:val="28"/>
          <w:szCs w:val="28"/>
        </w:rPr>
        <w:t xml:space="preserve"> los </w:t>
      </w:r>
      <w:r w:rsidRPr="00B86EDB">
        <w:rPr>
          <w:rFonts w:ascii="Times New Roman" w:hAnsi="Times New Roman" w:cs="Times New Roman"/>
          <w:sz w:val="28"/>
          <w:szCs w:val="28"/>
        </w:rPr>
        <w:t>Expediente</w:t>
      </w:r>
      <w:r w:rsidRPr="00B86EDB">
        <w:rPr>
          <w:rFonts w:ascii="Times New Roman" w:hAnsi="Times New Roman" w:cs="Times New Roman"/>
          <w:sz w:val="28"/>
          <w:szCs w:val="28"/>
        </w:rPr>
        <w:t>s</w:t>
      </w:r>
      <w:r w:rsidRPr="00B86EDB">
        <w:rPr>
          <w:rFonts w:ascii="Times New Roman" w:hAnsi="Times New Roman" w:cs="Times New Roman"/>
          <w:sz w:val="28"/>
          <w:szCs w:val="28"/>
        </w:rPr>
        <w:t xml:space="preserve"> D-14.465</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y D-15.115</w:t>
      </w:r>
      <w:r w:rsidRPr="00B86EDB">
        <w:rPr>
          <w:rFonts w:ascii="Times New Roman" w:hAnsi="Times New Roman" w:cs="Times New Roman"/>
          <w:sz w:val="28"/>
          <w:szCs w:val="28"/>
        </w:rPr>
        <w:t>. Al respecto, señaló que</w:t>
      </w:r>
      <w:r w:rsidRPr="00B86EDB">
        <w:rPr>
          <w:rFonts w:ascii="Times New Roman" w:hAnsi="Times New Roman" w:cs="Times New Roman"/>
          <w:sz w:val="28"/>
          <w:szCs w:val="28"/>
        </w:rPr>
        <w:t xml:space="preserve"> </w:t>
      </w:r>
    </w:p>
    <w:p w:rsidR="000C7F19" w:rsidRPr="00B86EDB" w:rsidRDefault="00B86EDB" w:rsidP="009F3F6A">
      <w:pPr>
        <w:pStyle w:val="Prrafodelista"/>
        <w:contextualSpacing w:val="0"/>
        <w:rPr>
          <w:rFonts w:ascii="Times New Roman" w:hAnsi="Times New Roman" w:cs="Times New Roman"/>
          <w:sz w:val="28"/>
          <w:szCs w:val="28"/>
        </w:rPr>
      </w:pPr>
    </w:p>
    <w:p w:rsidR="00131529" w:rsidRPr="00B86EDB" w:rsidRDefault="00B86EDB" w:rsidP="009F3F6A">
      <w:pPr>
        <w:pStyle w:val="Prrafodelista"/>
        <w:widowControl w:val="0"/>
        <w:tabs>
          <w:tab w:val="left" w:pos="90"/>
          <w:tab w:val="left" w:pos="567"/>
          <w:tab w:val="left" w:pos="709"/>
        </w:tabs>
        <w:ind w:left="284" w:right="284"/>
        <w:contextualSpacing w:val="0"/>
        <w:jc w:val="both"/>
        <w:rPr>
          <w:rFonts w:ascii="Times New Roman" w:hAnsi="Times New Roman" w:cs="Times New Roman"/>
          <w:sz w:val="28"/>
        </w:rPr>
      </w:pPr>
      <w:r w:rsidRPr="00B86EDB">
        <w:rPr>
          <w:rFonts w:ascii="Times New Roman" w:hAnsi="Times New Roman" w:cs="Times New Roman"/>
          <w:sz w:val="28"/>
        </w:rPr>
        <w:t xml:space="preserve">“el artículo 317 citado ya impone unas limitaciones sobre el alcance directo de la prohibición, en cuanto a la contribución por valorización por parte de otras entidades y la </w:t>
      </w:r>
      <w:r w:rsidRPr="00B86EDB">
        <w:rPr>
          <w:rFonts w:ascii="Times New Roman" w:hAnsi="Times New Roman" w:cs="Times New Roman"/>
          <w:sz w:val="28"/>
        </w:rPr>
        <w:t>destinación de parte de su recaudo a conservación ambiental. Además, la protección pretendida por la norma se materializa de una manera sistemática mediante la limitación respecto de las leyes de conceder exenciones, ni tratamientos preferenciales, ni efec</w:t>
      </w:r>
      <w:r w:rsidRPr="00B86EDB">
        <w:rPr>
          <w:rFonts w:ascii="Times New Roman" w:hAnsi="Times New Roman" w:cs="Times New Roman"/>
          <w:sz w:val="28"/>
        </w:rPr>
        <w:t>tuar recortes en relación con el impuesto predial. Por lo anterior se explica que, si bien en principio existe una autonomía territorial de los municipios para gravar la propiedad inmueble, esto no está en contravía de principios constitucionales del siste</w:t>
      </w:r>
      <w:r w:rsidRPr="00B86EDB">
        <w:rPr>
          <w:rFonts w:ascii="Times New Roman" w:hAnsi="Times New Roman" w:cs="Times New Roman"/>
          <w:sz w:val="28"/>
        </w:rPr>
        <w:t>ma tributario como lo es la reserva de ley y el concepto de república unitaria</w:t>
      </w:r>
      <w:r w:rsidRPr="00B86EDB">
        <w:rPr>
          <w:rFonts w:ascii="Times New Roman" w:hAnsi="Times New Roman" w:cs="Times New Roman"/>
          <w:sz w:val="28"/>
        </w:rPr>
        <w:t>.</w:t>
      </w:r>
      <w:r w:rsidRPr="00B86EDB">
        <w:rPr>
          <w:rFonts w:ascii="Times New Roman" w:hAnsi="Times New Roman" w:cs="Times New Roman"/>
          <w:sz w:val="28"/>
        </w:rPr>
        <w:t>”</w:t>
      </w:r>
    </w:p>
    <w:p w:rsidR="00131529" w:rsidRPr="00B86EDB" w:rsidRDefault="00B86EDB" w:rsidP="009F3F6A">
      <w:pPr>
        <w:pStyle w:val="Prrafodelista"/>
        <w:widowControl w:val="0"/>
        <w:tabs>
          <w:tab w:val="left" w:pos="90"/>
          <w:tab w:val="left" w:pos="567"/>
          <w:tab w:val="left" w:pos="709"/>
        </w:tabs>
        <w:ind w:left="0"/>
        <w:contextualSpacing w:val="0"/>
        <w:jc w:val="both"/>
        <w:rPr>
          <w:rFonts w:ascii="Times New Roman" w:hAnsi="Times New Roman" w:cs="Times New Roman"/>
          <w:i/>
          <w:iCs/>
          <w:sz w:val="28"/>
          <w:szCs w:val="28"/>
        </w:rPr>
      </w:pPr>
    </w:p>
    <w:p w:rsidR="00131529" w:rsidRPr="00B86EDB" w:rsidRDefault="00B86EDB" w:rsidP="009F3F6A">
      <w:pPr>
        <w:pStyle w:val="Prrafodelista"/>
        <w:widowControl w:val="0"/>
        <w:tabs>
          <w:tab w:val="left" w:pos="90"/>
          <w:tab w:val="left" w:pos="567"/>
          <w:tab w:val="left" w:pos="709"/>
        </w:tabs>
        <w:ind w:left="0"/>
        <w:contextualSpacing w:val="0"/>
        <w:jc w:val="both"/>
        <w:rPr>
          <w:rFonts w:ascii="Times New Roman" w:hAnsi="Times New Roman" w:cs="Times New Roman"/>
          <w:i/>
          <w:iCs/>
          <w:sz w:val="28"/>
          <w:szCs w:val="28"/>
        </w:rPr>
      </w:pPr>
    </w:p>
    <w:p w:rsidR="0052238C" w:rsidRPr="00B86EDB" w:rsidRDefault="00B86EDB" w:rsidP="009F3F6A">
      <w:pPr>
        <w:pStyle w:val="Ttulo2"/>
        <w:numPr>
          <w:ilvl w:val="0"/>
          <w:numId w:val="5"/>
        </w:numPr>
        <w:spacing w:before="0"/>
        <w:ind w:left="142" w:firstLine="0"/>
        <w:jc w:val="both"/>
        <w:rPr>
          <w:rFonts w:ascii="Times New Roman" w:hAnsi="Times New Roman" w:cs="Times New Roman"/>
          <w:b/>
          <w:bCs/>
          <w:color w:val="auto"/>
          <w:sz w:val="28"/>
          <w:szCs w:val="28"/>
        </w:rPr>
      </w:pPr>
      <w:r w:rsidRPr="00B86EDB">
        <w:rPr>
          <w:rFonts w:ascii="Times New Roman" w:hAnsi="Times New Roman" w:cs="Times New Roman"/>
          <w:b/>
          <w:bCs/>
          <w:color w:val="auto"/>
          <w:sz w:val="28"/>
          <w:szCs w:val="28"/>
        </w:rPr>
        <w:t>Intervenciones ciudadanas</w:t>
      </w:r>
    </w:p>
    <w:p w:rsidR="0052238C" w:rsidRPr="00B86EDB" w:rsidRDefault="00B86EDB" w:rsidP="009F3F6A">
      <w:pPr>
        <w:jc w:val="both"/>
        <w:rPr>
          <w:rFonts w:ascii="Times New Roman" w:hAnsi="Times New Roman" w:cs="Times New Roman"/>
          <w:sz w:val="28"/>
          <w:szCs w:val="28"/>
        </w:rPr>
      </w:pPr>
    </w:p>
    <w:p w:rsidR="00EE5738"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 xml:space="preserve">La Corte Constitucional </w:t>
      </w:r>
      <w:r w:rsidRPr="00B86EDB">
        <w:rPr>
          <w:rFonts w:ascii="Times New Roman" w:hAnsi="Times New Roman" w:cs="Times New Roman"/>
          <w:sz w:val="28"/>
          <w:szCs w:val="28"/>
        </w:rPr>
        <w:t xml:space="preserve">recibió </w:t>
      </w:r>
      <w:r w:rsidRPr="00B86EDB">
        <w:rPr>
          <w:rFonts w:ascii="Times New Roman" w:hAnsi="Times New Roman" w:cs="Times New Roman"/>
          <w:sz w:val="28"/>
          <w:szCs w:val="28"/>
        </w:rPr>
        <w:t>tres</w:t>
      </w:r>
      <w:r w:rsidRPr="00B86EDB">
        <w:rPr>
          <w:rFonts w:ascii="Times New Roman" w:hAnsi="Times New Roman" w:cs="Times New Roman"/>
          <w:sz w:val="28"/>
          <w:szCs w:val="28"/>
        </w:rPr>
        <w:t xml:space="preserve"> intervenciones </w:t>
      </w:r>
      <w:r w:rsidRPr="00B86EDB">
        <w:rPr>
          <w:rFonts w:ascii="Times New Roman" w:hAnsi="Times New Roman" w:cs="Times New Roman"/>
          <w:sz w:val="28"/>
          <w:szCs w:val="28"/>
        </w:rPr>
        <w:t xml:space="preserve">de </w:t>
      </w:r>
      <w:r w:rsidRPr="00B86EDB">
        <w:rPr>
          <w:rFonts w:ascii="Times New Roman" w:hAnsi="Times New Roman" w:cs="Times New Roman"/>
          <w:sz w:val="28"/>
          <w:szCs w:val="28"/>
        </w:rPr>
        <w:t xml:space="preserve">las y </w:t>
      </w:r>
      <w:r w:rsidRPr="00B86EDB">
        <w:rPr>
          <w:rFonts w:ascii="Times New Roman" w:hAnsi="Times New Roman" w:cs="Times New Roman"/>
          <w:sz w:val="28"/>
          <w:szCs w:val="28"/>
        </w:rPr>
        <w:t xml:space="preserve">los ciudadanos </w:t>
      </w:r>
      <w:r w:rsidRPr="00B86EDB">
        <w:rPr>
          <w:rFonts w:ascii="Times New Roman" w:hAnsi="Times New Roman" w:cs="Times New Roman"/>
          <w:sz w:val="28"/>
          <w:szCs w:val="28"/>
        </w:rPr>
        <w:t>Mariana Durán Muñoz,</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Luisa Fernanda Bula Vergara</w:t>
      </w:r>
      <w:r w:rsidRPr="00B86EDB">
        <w:rPr>
          <w:rFonts w:ascii="Times New Roman" w:hAnsi="Times New Roman" w:cs="Times New Roman"/>
          <w:sz w:val="28"/>
          <w:szCs w:val="28"/>
        </w:rPr>
        <w:t xml:space="preserve"> y Harold Eduardo Sua</w:t>
      </w:r>
      <w:r w:rsidRPr="00B86EDB">
        <w:rPr>
          <w:rFonts w:ascii="Times New Roman" w:hAnsi="Times New Roman" w:cs="Times New Roman"/>
          <w:sz w:val="28"/>
          <w:szCs w:val="28"/>
        </w:rPr>
        <w:t xml:space="preserve"> Montaña.</w:t>
      </w:r>
      <w:r w:rsidRPr="00B86EDB">
        <w:rPr>
          <w:rFonts w:ascii="Times New Roman" w:hAnsi="Times New Roman" w:cs="Times New Roman"/>
          <w:sz w:val="28"/>
          <w:szCs w:val="28"/>
        </w:rPr>
        <w:t xml:space="preserve"> Debido a que las dos primeras </w:t>
      </w:r>
      <w:r w:rsidRPr="00B86EDB">
        <w:rPr>
          <w:rFonts w:ascii="Times New Roman" w:hAnsi="Times New Roman" w:cs="Times New Roman"/>
          <w:sz w:val="28"/>
          <w:szCs w:val="28"/>
        </w:rPr>
        <w:t>ciudada</w:t>
      </w:r>
      <w:r w:rsidRPr="00B86EDB">
        <w:rPr>
          <w:rFonts w:ascii="Times New Roman" w:hAnsi="Times New Roman" w:cs="Times New Roman"/>
          <w:sz w:val="28"/>
          <w:szCs w:val="28"/>
        </w:rPr>
        <w:t xml:space="preserve">nas </w:t>
      </w:r>
      <w:r w:rsidRPr="00B86EDB">
        <w:rPr>
          <w:rFonts w:ascii="Times New Roman" w:hAnsi="Times New Roman" w:cs="Times New Roman"/>
          <w:sz w:val="28"/>
          <w:szCs w:val="28"/>
        </w:rPr>
        <w:t xml:space="preserve">comparten </w:t>
      </w:r>
      <w:r w:rsidRPr="00B86EDB">
        <w:rPr>
          <w:rFonts w:ascii="Times New Roman" w:hAnsi="Times New Roman" w:cs="Times New Roman"/>
          <w:sz w:val="28"/>
          <w:szCs w:val="28"/>
        </w:rPr>
        <w:t>sus</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argumentos para solicitar la inexequibilidad, se resumirán de manera conjunta. El tercero </w:t>
      </w:r>
      <w:r w:rsidRPr="00B86EDB">
        <w:rPr>
          <w:rFonts w:ascii="Times New Roman" w:hAnsi="Times New Roman" w:cs="Times New Roman"/>
          <w:sz w:val="28"/>
          <w:szCs w:val="28"/>
        </w:rPr>
        <w:t xml:space="preserve">solicita a la Sala Plena inhibirse, por lo que </w:t>
      </w:r>
      <w:r w:rsidRPr="00B86EDB">
        <w:rPr>
          <w:rFonts w:ascii="Times New Roman" w:hAnsi="Times New Roman" w:cs="Times New Roman"/>
          <w:sz w:val="28"/>
          <w:szCs w:val="28"/>
        </w:rPr>
        <w:t>sus razones serán</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expuestas</w:t>
      </w:r>
      <w:r w:rsidRPr="00B86EDB">
        <w:rPr>
          <w:rFonts w:ascii="Times New Roman" w:hAnsi="Times New Roman" w:cs="Times New Roman"/>
          <w:sz w:val="28"/>
          <w:szCs w:val="28"/>
        </w:rPr>
        <w:t xml:space="preserve"> de manera </w:t>
      </w:r>
      <w:r w:rsidRPr="00B86EDB">
        <w:rPr>
          <w:rFonts w:ascii="Times New Roman" w:hAnsi="Times New Roman" w:cs="Times New Roman"/>
          <w:sz w:val="28"/>
          <w:szCs w:val="28"/>
        </w:rPr>
        <w:t>independiente</w:t>
      </w:r>
      <w:r w:rsidRPr="00B86EDB">
        <w:rPr>
          <w:rFonts w:ascii="Times New Roman" w:hAnsi="Times New Roman" w:cs="Times New Roman"/>
          <w:sz w:val="28"/>
          <w:szCs w:val="28"/>
        </w:rPr>
        <w:t>.</w:t>
      </w:r>
    </w:p>
    <w:p w:rsidR="00EE5738" w:rsidRPr="00B86EDB" w:rsidRDefault="00B86EDB" w:rsidP="009F3F6A">
      <w:pPr>
        <w:pStyle w:val="Prrafodelista"/>
        <w:ind w:left="0"/>
        <w:contextualSpacing w:val="0"/>
        <w:jc w:val="both"/>
        <w:rPr>
          <w:rFonts w:ascii="Times New Roman" w:hAnsi="Times New Roman" w:cs="Times New Roman"/>
          <w:sz w:val="28"/>
          <w:szCs w:val="28"/>
        </w:rPr>
      </w:pPr>
    </w:p>
    <w:p w:rsidR="00B77C62" w:rsidRPr="00B86EDB" w:rsidRDefault="00B86EDB" w:rsidP="009F3F6A">
      <w:pPr>
        <w:pStyle w:val="Prrafodelista"/>
        <w:numPr>
          <w:ilvl w:val="0"/>
          <w:numId w:val="4"/>
        </w:numPr>
        <w:tabs>
          <w:tab w:val="left" w:pos="90"/>
        </w:tabs>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Las ciudadanas</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Durán Muñoz y Bula Vergara </w:t>
      </w:r>
      <w:r w:rsidRPr="00B86EDB">
        <w:rPr>
          <w:rFonts w:ascii="Times New Roman" w:hAnsi="Times New Roman" w:cs="Times New Roman"/>
          <w:sz w:val="28"/>
          <w:szCs w:val="28"/>
        </w:rPr>
        <w:t xml:space="preserve">adujeron que </w:t>
      </w:r>
      <w:r w:rsidRPr="00B86EDB">
        <w:rPr>
          <w:rFonts w:ascii="Times New Roman" w:hAnsi="Times New Roman" w:cs="Times New Roman"/>
          <w:sz w:val="28"/>
          <w:szCs w:val="28"/>
        </w:rPr>
        <w:t>el impuesto al patrimonio tiene por finalidad gravar a los sujetos con mayor capacidad contributiva</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por lo tanto, es una medida positiva </w:t>
      </w:r>
      <w:r w:rsidRPr="00B86EDB">
        <w:rPr>
          <w:rFonts w:ascii="Times New Roman" w:hAnsi="Times New Roman" w:cs="Times New Roman"/>
          <w:sz w:val="28"/>
          <w:szCs w:val="28"/>
        </w:rPr>
        <w:t>en el contexto colombiano</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en tanto y en cuanto </w:t>
      </w:r>
      <w:r w:rsidRPr="00B86EDB">
        <w:rPr>
          <w:rFonts w:ascii="Times New Roman" w:hAnsi="Times New Roman" w:cs="Times New Roman"/>
          <w:sz w:val="28"/>
          <w:szCs w:val="28"/>
        </w:rPr>
        <w:t xml:space="preserve">se respeten </w:t>
      </w:r>
      <w:r w:rsidRPr="00B86EDB">
        <w:rPr>
          <w:rFonts w:ascii="Times New Roman" w:hAnsi="Times New Roman" w:cs="Times New Roman"/>
          <w:sz w:val="28"/>
          <w:szCs w:val="28"/>
        </w:rPr>
        <w:t xml:space="preserve">los principios constitucionales </w:t>
      </w:r>
      <w:r w:rsidRPr="00B86EDB">
        <w:rPr>
          <w:rFonts w:ascii="Times New Roman" w:hAnsi="Times New Roman" w:cs="Times New Roman"/>
          <w:sz w:val="28"/>
          <w:szCs w:val="28"/>
        </w:rPr>
        <w:t>y se dirijan a satisfacer necesidades</w:t>
      </w:r>
      <w:r w:rsidRPr="00B86EDB">
        <w:rPr>
          <w:rFonts w:ascii="Times New Roman" w:hAnsi="Times New Roman" w:cs="Times New Roman"/>
          <w:sz w:val="28"/>
          <w:szCs w:val="28"/>
        </w:rPr>
        <w:t xml:space="preserve"> básicas</w:t>
      </w:r>
      <w:r w:rsidRPr="00B86EDB">
        <w:rPr>
          <w:rFonts w:ascii="Times New Roman" w:hAnsi="Times New Roman" w:cs="Times New Roman"/>
          <w:sz w:val="28"/>
          <w:szCs w:val="28"/>
        </w:rPr>
        <w:t xml:space="preserve"> de las poblaciones más </w:t>
      </w:r>
      <w:r w:rsidRPr="00B86EDB">
        <w:rPr>
          <w:rFonts w:ascii="Times New Roman" w:hAnsi="Times New Roman" w:cs="Times New Roman"/>
          <w:sz w:val="28"/>
          <w:szCs w:val="28"/>
        </w:rPr>
        <w:t>vulnerables</w:t>
      </w:r>
      <w:r w:rsidRPr="00B86EDB">
        <w:rPr>
          <w:rFonts w:ascii="Times New Roman" w:hAnsi="Times New Roman" w:cs="Times New Roman"/>
          <w:sz w:val="28"/>
          <w:szCs w:val="28"/>
        </w:rPr>
        <w:t xml:space="preserve"> y,</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señalaron </w:t>
      </w:r>
      <w:r w:rsidRPr="00B86EDB">
        <w:rPr>
          <w:rFonts w:ascii="Times New Roman" w:hAnsi="Times New Roman" w:cs="Times New Roman"/>
          <w:sz w:val="28"/>
          <w:szCs w:val="28"/>
        </w:rPr>
        <w:t xml:space="preserve">que comparten la postura del demandante en lo que se refiere al efecto acumulativo y permanente del </w:t>
      </w:r>
      <w:r w:rsidRPr="00B86EDB">
        <w:rPr>
          <w:rFonts w:ascii="Times New Roman" w:hAnsi="Times New Roman" w:cs="Times New Roman"/>
          <w:sz w:val="28"/>
          <w:szCs w:val="28"/>
        </w:rPr>
        <w:t>tributo demandado, que se refl</w:t>
      </w:r>
      <w:r w:rsidRPr="00B86EDB">
        <w:rPr>
          <w:rFonts w:ascii="Times New Roman" w:hAnsi="Times New Roman" w:cs="Times New Roman"/>
          <w:sz w:val="28"/>
          <w:szCs w:val="28"/>
        </w:rPr>
        <w:t xml:space="preserve">eja en escenarios de </w:t>
      </w:r>
      <w:r w:rsidRPr="00B86EDB">
        <w:rPr>
          <w:rFonts w:ascii="Times New Roman" w:hAnsi="Times New Roman" w:cs="Times New Roman"/>
          <w:sz w:val="28"/>
          <w:szCs w:val="28"/>
        </w:rPr>
        <w:t>doble tributación</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prohibida </w:t>
      </w:r>
      <w:r w:rsidRPr="00B86EDB">
        <w:rPr>
          <w:rFonts w:ascii="Times New Roman" w:hAnsi="Times New Roman" w:cs="Times New Roman"/>
          <w:sz w:val="28"/>
          <w:szCs w:val="28"/>
        </w:rPr>
        <w:t>por l</w:t>
      </w:r>
      <w:r w:rsidRPr="00B86EDB">
        <w:rPr>
          <w:rFonts w:ascii="Times New Roman" w:hAnsi="Times New Roman" w:cs="Times New Roman"/>
          <w:sz w:val="28"/>
          <w:szCs w:val="28"/>
        </w:rPr>
        <w:t>a Constitución Política sin excepción alguna</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w:t>
      </w:r>
    </w:p>
    <w:p w:rsidR="00B77C62" w:rsidRPr="00B86EDB" w:rsidRDefault="00B86EDB" w:rsidP="009F3F6A">
      <w:pPr>
        <w:pStyle w:val="Prrafodelista"/>
        <w:contextualSpacing w:val="0"/>
        <w:rPr>
          <w:rFonts w:ascii="Times New Roman" w:hAnsi="Times New Roman" w:cs="Times New Roman"/>
          <w:sz w:val="28"/>
          <w:szCs w:val="28"/>
        </w:rPr>
      </w:pPr>
    </w:p>
    <w:p w:rsidR="008C4239" w:rsidRPr="00B86EDB" w:rsidRDefault="00B86EDB" w:rsidP="009F3F6A">
      <w:pPr>
        <w:pStyle w:val="Prrafodelista"/>
        <w:numPr>
          <w:ilvl w:val="0"/>
          <w:numId w:val="4"/>
        </w:numPr>
        <w:tabs>
          <w:tab w:val="left" w:pos="90"/>
        </w:tabs>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Concretamente,</w:t>
      </w:r>
      <w:r w:rsidRPr="00B86EDB">
        <w:rPr>
          <w:rFonts w:ascii="Times New Roman" w:hAnsi="Times New Roman" w:cs="Times New Roman"/>
          <w:sz w:val="28"/>
          <w:szCs w:val="28"/>
        </w:rPr>
        <w:t xml:space="preserve"> afirma</w:t>
      </w:r>
      <w:r w:rsidRPr="00B86EDB">
        <w:rPr>
          <w:rFonts w:ascii="Times New Roman" w:hAnsi="Times New Roman" w:cs="Times New Roman"/>
          <w:sz w:val="28"/>
          <w:szCs w:val="28"/>
        </w:rPr>
        <w:t>ron</w:t>
      </w:r>
      <w:r w:rsidRPr="00B86EDB">
        <w:rPr>
          <w:rFonts w:ascii="Times New Roman" w:hAnsi="Times New Roman" w:cs="Times New Roman"/>
          <w:sz w:val="28"/>
          <w:szCs w:val="28"/>
        </w:rPr>
        <w:t xml:space="preserve"> que la doble tributación se presenta cuando el patrimonio pued</w:t>
      </w:r>
      <w:r w:rsidRPr="00B86EDB">
        <w:rPr>
          <w:rFonts w:ascii="Times New Roman" w:hAnsi="Times New Roman" w:cs="Times New Roman"/>
          <w:sz w:val="28"/>
          <w:szCs w:val="28"/>
        </w:rPr>
        <w:t xml:space="preserve">e </w:t>
      </w:r>
      <w:r w:rsidRPr="00B86EDB">
        <w:rPr>
          <w:rFonts w:ascii="Times New Roman" w:hAnsi="Times New Roman" w:cs="Times New Roman"/>
          <w:sz w:val="28"/>
          <w:szCs w:val="28"/>
        </w:rPr>
        <w:t xml:space="preserve">haber sido gravado sucesivamente desde </w:t>
      </w:r>
      <w:r w:rsidRPr="00B86EDB">
        <w:rPr>
          <w:rFonts w:ascii="Times New Roman" w:hAnsi="Times New Roman" w:cs="Times New Roman"/>
          <w:sz w:val="28"/>
          <w:szCs w:val="28"/>
        </w:rPr>
        <w:t>2002 al 2021, y</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a partir d</w:t>
      </w:r>
      <w:r w:rsidRPr="00B86EDB">
        <w:rPr>
          <w:rFonts w:ascii="Times New Roman" w:hAnsi="Times New Roman" w:cs="Times New Roman"/>
          <w:sz w:val="28"/>
          <w:szCs w:val="28"/>
        </w:rPr>
        <w:t xml:space="preserve">el 2023 </w:t>
      </w:r>
      <w:r w:rsidRPr="00B86EDB">
        <w:rPr>
          <w:rFonts w:ascii="Times New Roman" w:hAnsi="Times New Roman" w:cs="Times New Roman"/>
          <w:sz w:val="28"/>
          <w:szCs w:val="28"/>
        </w:rPr>
        <w:t>con el impuesto al patrimonio o a la riqueza</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Por lo tanto, el </w:t>
      </w:r>
      <w:r w:rsidRPr="00B86EDB">
        <w:rPr>
          <w:rFonts w:ascii="Times New Roman" w:hAnsi="Times New Roman" w:cs="Times New Roman"/>
          <w:sz w:val="28"/>
          <w:szCs w:val="28"/>
        </w:rPr>
        <w:t>tributo acusado</w:t>
      </w:r>
      <w:r w:rsidRPr="00B86EDB">
        <w:rPr>
          <w:rFonts w:ascii="Times New Roman" w:hAnsi="Times New Roman" w:cs="Times New Roman"/>
          <w:sz w:val="28"/>
          <w:szCs w:val="28"/>
        </w:rPr>
        <w:t xml:space="preserve"> recae sobre un mismo hecho generador, lo cual,</w:t>
      </w:r>
      <w:r w:rsidRPr="00B86EDB">
        <w:rPr>
          <w:rFonts w:ascii="Times New Roman" w:hAnsi="Times New Roman" w:cs="Times New Roman"/>
          <w:sz w:val="28"/>
          <w:szCs w:val="28"/>
        </w:rPr>
        <w:t xml:space="preserve"> constituye</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una carga excesiva y desproporcionada que ignora la capacidad de pago de los contribuyentes</w:t>
      </w:r>
      <w:r w:rsidRPr="00B86EDB">
        <w:rPr>
          <w:rFonts w:ascii="Times New Roman" w:hAnsi="Times New Roman" w:cs="Times New Roman"/>
          <w:sz w:val="28"/>
          <w:szCs w:val="28"/>
        </w:rPr>
        <w:t xml:space="preserve"> al</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grava</w:t>
      </w:r>
      <w:r w:rsidRPr="00B86EDB">
        <w:rPr>
          <w:rFonts w:ascii="Times New Roman" w:hAnsi="Times New Roman" w:cs="Times New Roman"/>
          <w:sz w:val="28"/>
          <w:szCs w:val="28"/>
        </w:rPr>
        <w:t>r</w:t>
      </w:r>
      <w:r w:rsidRPr="00B86EDB">
        <w:rPr>
          <w:rFonts w:ascii="Times New Roman" w:hAnsi="Times New Roman" w:cs="Times New Roman"/>
          <w:sz w:val="28"/>
          <w:szCs w:val="28"/>
        </w:rPr>
        <w:t xml:space="preserve"> año a año la totalidad de los activos hasta agotarlos. </w:t>
      </w:r>
      <w:r w:rsidRPr="00B86EDB">
        <w:rPr>
          <w:rFonts w:ascii="Times New Roman" w:hAnsi="Times New Roman" w:cs="Times New Roman"/>
          <w:sz w:val="28"/>
          <w:szCs w:val="28"/>
        </w:rPr>
        <w:t xml:space="preserve">Asimismo, </w:t>
      </w:r>
      <w:r w:rsidRPr="00B86EDB">
        <w:rPr>
          <w:rFonts w:ascii="Times New Roman" w:hAnsi="Times New Roman" w:cs="Times New Roman"/>
          <w:sz w:val="28"/>
          <w:szCs w:val="28"/>
        </w:rPr>
        <w:t>afirmaron</w:t>
      </w:r>
      <w:r w:rsidRPr="00B86EDB">
        <w:rPr>
          <w:rFonts w:ascii="Times New Roman" w:hAnsi="Times New Roman" w:cs="Times New Roman"/>
          <w:sz w:val="28"/>
          <w:szCs w:val="28"/>
        </w:rPr>
        <w:t xml:space="preserve"> que otros gravámenes sobre la renta,</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las ganancias ocasionales, el</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predial y los vehículos producen el mismo efecto. </w:t>
      </w:r>
    </w:p>
    <w:p w:rsidR="008C48B3" w:rsidRPr="00B86EDB" w:rsidRDefault="00B86EDB" w:rsidP="009F3F6A">
      <w:pPr>
        <w:pStyle w:val="Prrafodelista"/>
        <w:contextualSpacing w:val="0"/>
        <w:rPr>
          <w:rFonts w:ascii="Times New Roman" w:hAnsi="Times New Roman" w:cs="Times New Roman"/>
          <w:sz w:val="28"/>
          <w:szCs w:val="28"/>
        </w:rPr>
      </w:pPr>
    </w:p>
    <w:p w:rsidR="006C6FA3" w:rsidRPr="00B86EDB" w:rsidRDefault="00B86EDB" w:rsidP="009F3F6A">
      <w:pPr>
        <w:pStyle w:val="Prrafodelista"/>
        <w:numPr>
          <w:ilvl w:val="0"/>
          <w:numId w:val="4"/>
        </w:numPr>
        <w:tabs>
          <w:tab w:val="left" w:pos="90"/>
        </w:tabs>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La ciudadana L</w:t>
      </w:r>
      <w:r w:rsidRPr="00B86EDB">
        <w:rPr>
          <w:rFonts w:ascii="Times New Roman" w:hAnsi="Times New Roman" w:cs="Times New Roman"/>
          <w:sz w:val="28"/>
          <w:szCs w:val="28"/>
        </w:rPr>
        <w:t xml:space="preserve">uisa Fernanda </w:t>
      </w:r>
      <w:r w:rsidRPr="00B86EDB">
        <w:rPr>
          <w:rFonts w:ascii="Times New Roman" w:hAnsi="Times New Roman" w:cs="Times New Roman"/>
          <w:sz w:val="28"/>
          <w:szCs w:val="28"/>
        </w:rPr>
        <w:t xml:space="preserve">Bula </w:t>
      </w:r>
      <w:r w:rsidRPr="00B86EDB">
        <w:rPr>
          <w:rFonts w:ascii="Times New Roman" w:hAnsi="Times New Roman" w:cs="Times New Roman"/>
          <w:sz w:val="28"/>
          <w:szCs w:val="28"/>
        </w:rPr>
        <w:t>afirmó que las disposiciones</w:t>
      </w:r>
      <w:r w:rsidRPr="00B86EDB">
        <w:rPr>
          <w:rFonts w:ascii="Times New Roman" w:hAnsi="Times New Roman" w:cs="Times New Roman"/>
          <w:sz w:val="28"/>
          <w:szCs w:val="28"/>
        </w:rPr>
        <w:t xml:space="preserve"> acusadas </w:t>
      </w:r>
    </w:p>
    <w:p w:rsidR="006C6FA3" w:rsidRPr="00B86EDB" w:rsidRDefault="00B86EDB" w:rsidP="009F3F6A">
      <w:pPr>
        <w:pStyle w:val="Prrafodelista"/>
        <w:contextualSpacing w:val="0"/>
        <w:rPr>
          <w:rFonts w:ascii="Times New Roman" w:hAnsi="Times New Roman" w:cs="Times New Roman"/>
          <w:i/>
          <w:iCs/>
          <w:sz w:val="28"/>
          <w:szCs w:val="28"/>
        </w:rPr>
      </w:pPr>
    </w:p>
    <w:p w:rsidR="00E736BF" w:rsidRPr="00B86EDB" w:rsidRDefault="00B86EDB" w:rsidP="009F3F6A">
      <w:pPr>
        <w:pStyle w:val="Prrafodelista"/>
        <w:tabs>
          <w:tab w:val="left" w:pos="90"/>
        </w:tabs>
        <w:ind w:left="284" w:right="284"/>
        <w:contextualSpacing w:val="0"/>
        <w:jc w:val="both"/>
        <w:rPr>
          <w:rFonts w:ascii="Times New Roman" w:hAnsi="Times New Roman" w:cs="Times New Roman"/>
          <w:sz w:val="28"/>
        </w:rPr>
      </w:pPr>
      <w:r w:rsidRPr="00B86EDB">
        <w:rPr>
          <w:rFonts w:ascii="Times New Roman" w:hAnsi="Times New Roman" w:cs="Times New Roman"/>
          <w:sz w:val="28"/>
        </w:rPr>
        <w:t>“presentan una vulneración al principio de equidad tributaria, los derechos adquiridos de los pensionados, el derecho a la propiedad y la competencia exclusiva de los municipios para gravar la propiedad inmueble, siendo sus características espe</w:t>
      </w:r>
      <w:r w:rsidRPr="00B86EDB">
        <w:rPr>
          <w:rFonts w:ascii="Times New Roman" w:hAnsi="Times New Roman" w:cs="Times New Roman"/>
          <w:sz w:val="28"/>
        </w:rPr>
        <w:t>cíficas como explica la demanda intervenida, que incluye dentro de la base gravable la propiedad inmueble de manera permanente, no responde a la capacidad de pago de los sujetos gravables, debido a que no prevé medidas para manejar los problemas de liquide</w:t>
      </w:r>
      <w:r w:rsidRPr="00B86EDB">
        <w:rPr>
          <w:rFonts w:ascii="Times New Roman" w:hAnsi="Times New Roman" w:cs="Times New Roman"/>
          <w:sz w:val="28"/>
        </w:rPr>
        <w:t xml:space="preserve">z que pueden tener las personas con propiedad y sin ingresos suficientes, o las personas de la tercera edad que dependen de una propiedad indivisible para generar sus ingresos; no establece un límite a la porción del patrimonio que deberá ser entregada al </w:t>
      </w:r>
      <w:r w:rsidRPr="00B86EDB">
        <w:rPr>
          <w:rFonts w:ascii="Times New Roman" w:hAnsi="Times New Roman" w:cs="Times New Roman"/>
          <w:sz w:val="28"/>
        </w:rPr>
        <w:t>Estado a lo largo de los años, y permite gravar varias veces el mismo objeto</w:t>
      </w:r>
      <w:r w:rsidRPr="00B86EDB">
        <w:rPr>
          <w:rFonts w:ascii="Times New Roman" w:hAnsi="Times New Roman" w:cs="Times New Roman"/>
          <w:sz w:val="28"/>
        </w:rPr>
        <w:t>.</w:t>
      </w:r>
      <w:r w:rsidRPr="00B86EDB">
        <w:rPr>
          <w:rFonts w:ascii="Times New Roman" w:hAnsi="Times New Roman" w:cs="Times New Roman"/>
          <w:sz w:val="28"/>
        </w:rPr>
        <w:t xml:space="preserve">” </w:t>
      </w:r>
    </w:p>
    <w:p w:rsidR="00A2275D" w:rsidRPr="00B86EDB" w:rsidRDefault="00B86EDB" w:rsidP="009F3F6A">
      <w:pPr>
        <w:pStyle w:val="Prrafodelista"/>
        <w:ind w:left="284" w:right="284"/>
        <w:contextualSpacing w:val="0"/>
        <w:rPr>
          <w:rFonts w:ascii="Times New Roman" w:hAnsi="Times New Roman" w:cs="Times New Roman"/>
          <w:sz w:val="28"/>
        </w:rPr>
      </w:pPr>
    </w:p>
    <w:p w:rsidR="004D4E61" w:rsidRPr="00B86EDB" w:rsidRDefault="00B86EDB" w:rsidP="009F3F6A">
      <w:pPr>
        <w:pStyle w:val="Prrafodelista"/>
        <w:numPr>
          <w:ilvl w:val="0"/>
          <w:numId w:val="4"/>
        </w:numPr>
        <w:tabs>
          <w:tab w:val="left" w:pos="90"/>
        </w:tabs>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Por su parte, e</w:t>
      </w:r>
      <w:r w:rsidRPr="00B86EDB">
        <w:rPr>
          <w:rFonts w:ascii="Times New Roman" w:hAnsi="Times New Roman" w:cs="Times New Roman"/>
          <w:sz w:val="28"/>
          <w:szCs w:val="28"/>
        </w:rPr>
        <w:t xml:space="preserve">l </w:t>
      </w:r>
      <w:r w:rsidRPr="00B86EDB">
        <w:rPr>
          <w:rFonts w:ascii="Times New Roman" w:hAnsi="Times New Roman" w:cs="Times New Roman"/>
          <w:sz w:val="28"/>
          <w:szCs w:val="28"/>
        </w:rPr>
        <w:t>c</w:t>
      </w:r>
      <w:r w:rsidRPr="00B86EDB">
        <w:rPr>
          <w:rFonts w:ascii="Times New Roman" w:hAnsi="Times New Roman" w:cs="Times New Roman"/>
          <w:sz w:val="28"/>
          <w:szCs w:val="28"/>
        </w:rPr>
        <w:t>iudadano Harol</w:t>
      </w:r>
      <w:r w:rsidRPr="00B86EDB">
        <w:rPr>
          <w:rFonts w:ascii="Times New Roman" w:hAnsi="Times New Roman" w:cs="Times New Roman"/>
          <w:sz w:val="28"/>
          <w:szCs w:val="28"/>
        </w:rPr>
        <w:t xml:space="preserve">d Eduardo Sua solicitó a </w:t>
      </w:r>
      <w:r w:rsidRPr="00B86EDB">
        <w:rPr>
          <w:rFonts w:ascii="Times New Roman" w:hAnsi="Times New Roman" w:cs="Times New Roman"/>
          <w:sz w:val="28"/>
          <w:szCs w:val="28"/>
        </w:rPr>
        <w:t>l</w:t>
      </w:r>
      <w:r w:rsidRPr="00B86EDB">
        <w:rPr>
          <w:rFonts w:ascii="Times New Roman" w:hAnsi="Times New Roman" w:cs="Times New Roman"/>
          <w:sz w:val="28"/>
          <w:szCs w:val="28"/>
        </w:rPr>
        <w:t xml:space="preserve">a Corte inhibirse. Indicó que </w:t>
      </w:r>
      <w:r w:rsidRPr="00B86EDB">
        <w:rPr>
          <w:rFonts w:ascii="Times New Roman" w:hAnsi="Times New Roman" w:cs="Times New Roman"/>
          <w:sz w:val="28"/>
          <w:szCs w:val="28"/>
        </w:rPr>
        <w:t>la duración temporal de</w:t>
      </w:r>
      <w:r w:rsidRPr="00B86EDB">
        <w:rPr>
          <w:rFonts w:ascii="Times New Roman" w:hAnsi="Times New Roman" w:cs="Times New Roman"/>
          <w:sz w:val="28"/>
          <w:szCs w:val="28"/>
        </w:rPr>
        <w:t>l</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impuesto </w:t>
      </w:r>
      <w:r w:rsidRPr="00B86EDB">
        <w:rPr>
          <w:rFonts w:ascii="Times New Roman" w:hAnsi="Times New Roman" w:cs="Times New Roman"/>
          <w:sz w:val="28"/>
          <w:szCs w:val="28"/>
        </w:rPr>
        <w:t>al</w:t>
      </w:r>
      <w:r w:rsidRPr="00B86EDB">
        <w:rPr>
          <w:rFonts w:ascii="Times New Roman" w:hAnsi="Times New Roman" w:cs="Times New Roman"/>
          <w:sz w:val="28"/>
          <w:szCs w:val="28"/>
        </w:rPr>
        <w:t xml:space="preserve"> patrimonio</w:t>
      </w:r>
      <w:r w:rsidRPr="00B86EDB">
        <w:rPr>
          <w:rFonts w:ascii="Times New Roman" w:hAnsi="Times New Roman" w:cs="Times New Roman"/>
          <w:sz w:val="28"/>
          <w:szCs w:val="28"/>
        </w:rPr>
        <w:t xml:space="preserve"> no es un criterio determinante para evaluar su compatibilidad con los principios de equidad y progresividad tributaria.</w:t>
      </w:r>
      <w:r w:rsidRPr="00B86EDB">
        <w:rPr>
          <w:rFonts w:ascii="Times New Roman" w:hAnsi="Times New Roman" w:cs="Times New Roman"/>
          <w:sz w:val="28"/>
          <w:szCs w:val="28"/>
        </w:rPr>
        <w:t xml:space="preserve"> S</w:t>
      </w:r>
      <w:r w:rsidRPr="00B86EDB">
        <w:rPr>
          <w:rFonts w:ascii="Times New Roman" w:hAnsi="Times New Roman" w:cs="Times New Roman"/>
          <w:sz w:val="28"/>
          <w:szCs w:val="28"/>
        </w:rPr>
        <w:t>eñal</w:t>
      </w:r>
      <w:r w:rsidRPr="00B86EDB">
        <w:rPr>
          <w:rFonts w:ascii="Times New Roman" w:hAnsi="Times New Roman" w:cs="Times New Roman"/>
          <w:sz w:val="28"/>
          <w:szCs w:val="28"/>
        </w:rPr>
        <w:t>ó</w:t>
      </w:r>
      <w:r w:rsidRPr="00B86EDB">
        <w:rPr>
          <w:rFonts w:ascii="Times New Roman" w:hAnsi="Times New Roman" w:cs="Times New Roman"/>
          <w:sz w:val="28"/>
          <w:szCs w:val="28"/>
        </w:rPr>
        <w:t xml:space="preserve"> que </w:t>
      </w:r>
      <w:r w:rsidRPr="00B86EDB">
        <w:rPr>
          <w:rFonts w:ascii="Times New Roman" w:hAnsi="Times New Roman" w:cs="Times New Roman"/>
          <w:sz w:val="28"/>
          <w:szCs w:val="28"/>
        </w:rPr>
        <w:t>la Corte debe ponderar</w:t>
      </w:r>
      <w:r w:rsidRPr="00B86EDB">
        <w:rPr>
          <w:rFonts w:ascii="Times New Roman" w:hAnsi="Times New Roman" w:cs="Times New Roman"/>
          <w:sz w:val="28"/>
          <w:szCs w:val="28"/>
        </w:rPr>
        <w:t xml:space="preserve"> los principios y fines constitucionales en el contexto socioeconómico y jurídico existente en el mome</w:t>
      </w:r>
      <w:r w:rsidRPr="00B86EDB">
        <w:rPr>
          <w:rFonts w:ascii="Times New Roman" w:hAnsi="Times New Roman" w:cs="Times New Roman"/>
          <w:sz w:val="28"/>
          <w:szCs w:val="28"/>
        </w:rPr>
        <w:t>nto de la toma de decisión.</w:t>
      </w:r>
      <w:r w:rsidRPr="00B86EDB">
        <w:rPr>
          <w:rFonts w:ascii="Times New Roman" w:hAnsi="Times New Roman" w:cs="Times New Roman"/>
          <w:sz w:val="28"/>
          <w:szCs w:val="28"/>
        </w:rPr>
        <w:t xml:space="preserve"> Finalmente </w:t>
      </w:r>
      <w:r w:rsidRPr="00B86EDB">
        <w:rPr>
          <w:rFonts w:ascii="Times New Roman" w:hAnsi="Times New Roman" w:cs="Times New Roman"/>
          <w:sz w:val="28"/>
          <w:szCs w:val="28"/>
        </w:rPr>
        <w:t>indicó</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que la doble tributación no torna inexequible una norma de acuerdo con los artículos 13 y 95-9 de la Constitución Política.</w:t>
      </w:r>
    </w:p>
    <w:p w:rsidR="004D4E61" w:rsidRPr="00B86EDB" w:rsidRDefault="00B86EDB" w:rsidP="009F3F6A">
      <w:pPr>
        <w:pStyle w:val="Prrafodelista"/>
        <w:tabs>
          <w:tab w:val="left" w:pos="90"/>
        </w:tabs>
        <w:ind w:left="0"/>
        <w:contextualSpacing w:val="0"/>
        <w:jc w:val="both"/>
        <w:rPr>
          <w:rFonts w:ascii="Times New Roman" w:hAnsi="Times New Roman" w:cs="Times New Roman"/>
          <w:sz w:val="28"/>
          <w:szCs w:val="28"/>
        </w:rPr>
      </w:pPr>
    </w:p>
    <w:p w:rsidR="00CB3CDE" w:rsidRPr="00B86EDB" w:rsidRDefault="00B86EDB" w:rsidP="009F3F6A">
      <w:pPr>
        <w:pStyle w:val="Prrafodelista"/>
        <w:tabs>
          <w:tab w:val="left" w:pos="90"/>
        </w:tabs>
        <w:ind w:left="0"/>
        <w:contextualSpacing w:val="0"/>
        <w:jc w:val="both"/>
        <w:rPr>
          <w:rFonts w:ascii="Times New Roman" w:hAnsi="Times New Roman" w:cs="Times New Roman"/>
          <w:sz w:val="28"/>
          <w:szCs w:val="28"/>
        </w:rPr>
      </w:pPr>
    </w:p>
    <w:p w:rsidR="00176B01" w:rsidRPr="00B86EDB" w:rsidRDefault="00B86EDB" w:rsidP="009F3F6A">
      <w:pPr>
        <w:pStyle w:val="Ttulo2"/>
        <w:numPr>
          <w:ilvl w:val="0"/>
          <w:numId w:val="5"/>
        </w:numPr>
        <w:spacing w:before="0"/>
        <w:ind w:left="142" w:firstLine="0"/>
        <w:jc w:val="both"/>
        <w:rPr>
          <w:rFonts w:ascii="Times New Roman" w:hAnsi="Times New Roman" w:cs="Times New Roman"/>
          <w:b/>
          <w:bCs/>
          <w:color w:val="auto"/>
          <w:sz w:val="28"/>
          <w:szCs w:val="28"/>
        </w:rPr>
      </w:pPr>
      <w:r w:rsidRPr="00B86EDB">
        <w:rPr>
          <w:rFonts w:ascii="Times New Roman" w:hAnsi="Times New Roman" w:cs="Times New Roman"/>
          <w:b/>
          <w:bCs/>
          <w:color w:val="auto"/>
          <w:sz w:val="28"/>
          <w:szCs w:val="28"/>
        </w:rPr>
        <w:t>Concepto de la Procuradora General de la Nación</w:t>
      </w:r>
    </w:p>
    <w:p w:rsidR="00457F95" w:rsidRPr="00B86EDB" w:rsidRDefault="00B86EDB" w:rsidP="009F3F6A">
      <w:pPr>
        <w:pStyle w:val="Prrafodelista"/>
        <w:ind w:left="0"/>
        <w:contextualSpacing w:val="0"/>
        <w:jc w:val="both"/>
        <w:rPr>
          <w:rFonts w:ascii="Times New Roman" w:hAnsi="Times New Roman" w:cs="Times New Roman"/>
          <w:sz w:val="28"/>
          <w:szCs w:val="28"/>
        </w:rPr>
      </w:pPr>
    </w:p>
    <w:p w:rsidR="00CB3CDE"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La</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entonces </w:t>
      </w:r>
      <w:r w:rsidRPr="00B86EDB">
        <w:rPr>
          <w:rFonts w:ascii="Times New Roman" w:hAnsi="Times New Roman" w:cs="Times New Roman"/>
          <w:sz w:val="28"/>
          <w:szCs w:val="28"/>
        </w:rPr>
        <w:t xml:space="preserve">Procuradora General de </w:t>
      </w:r>
      <w:r w:rsidRPr="00B86EDB">
        <w:rPr>
          <w:rFonts w:ascii="Times New Roman" w:hAnsi="Times New Roman" w:cs="Times New Roman"/>
          <w:sz w:val="28"/>
          <w:szCs w:val="28"/>
        </w:rPr>
        <w:t>la Nación, en concepto número 7.2</w:t>
      </w:r>
      <w:r w:rsidRPr="00B86EDB">
        <w:rPr>
          <w:rFonts w:ascii="Times New Roman" w:hAnsi="Times New Roman" w:cs="Times New Roman"/>
          <w:sz w:val="28"/>
          <w:szCs w:val="28"/>
        </w:rPr>
        <w:t>84</w:t>
      </w:r>
      <w:r w:rsidRPr="00B86EDB">
        <w:rPr>
          <w:rFonts w:ascii="Times New Roman" w:hAnsi="Times New Roman" w:cs="Times New Roman"/>
          <w:sz w:val="28"/>
          <w:szCs w:val="28"/>
        </w:rPr>
        <w:t xml:space="preserve"> del </w:t>
      </w:r>
      <w:r w:rsidRPr="00B86EDB">
        <w:rPr>
          <w:rFonts w:ascii="Times New Roman" w:hAnsi="Times New Roman" w:cs="Times New Roman"/>
          <w:sz w:val="28"/>
          <w:szCs w:val="28"/>
        </w:rPr>
        <w:t>27</w:t>
      </w:r>
      <w:r w:rsidRPr="00B86EDB">
        <w:rPr>
          <w:rFonts w:ascii="Times New Roman" w:hAnsi="Times New Roman" w:cs="Times New Roman"/>
          <w:sz w:val="28"/>
          <w:szCs w:val="28"/>
        </w:rPr>
        <w:t xml:space="preserve"> de </w:t>
      </w:r>
      <w:r w:rsidRPr="00B86EDB">
        <w:rPr>
          <w:rFonts w:ascii="Times New Roman" w:hAnsi="Times New Roman" w:cs="Times New Roman"/>
          <w:sz w:val="28"/>
          <w:szCs w:val="28"/>
        </w:rPr>
        <w:t>octubre</w:t>
      </w:r>
      <w:r w:rsidRPr="00B86EDB">
        <w:rPr>
          <w:rFonts w:ascii="Times New Roman" w:hAnsi="Times New Roman" w:cs="Times New Roman"/>
          <w:sz w:val="28"/>
          <w:szCs w:val="28"/>
        </w:rPr>
        <w:t xml:space="preserve"> de 2023, solicitó a la Corte declarar la </w:t>
      </w:r>
      <w:r w:rsidRPr="00B86EDB">
        <w:rPr>
          <w:rFonts w:ascii="Times New Roman" w:hAnsi="Times New Roman" w:cs="Times New Roman"/>
          <w:sz w:val="28"/>
          <w:szCs w:val="28"/>
        </w:rPr>
        <w:t>inexequibilidad</w:t>
      </w:r>
      <w:r w:rsidRPr="00B86EDB">
        <w:rPr>
          <w:rFonts w:ascii="Times New Roman" w:hAnsi="Times New Roman" w:cs="Times New Roman"/>
          <w:sz w:val="28"/>
          <w:szCs w:val="28"/>
        </w:rPr>
        <w:t xml:space="preserve"> de la</w:t>
      </w:r>
      <w:r w:rsidRPr="00B86EDB">
        <w:rPr>
          <w:rFonts w:ascii="Times New Roman" w:hAnsi="Times New Roman" w:cs="Times New Roman"/>
          <w:sz w:val="28"/>
          <w:szCs w:val="28"/>
        </w:rPr>
        <w:t>s</w:t>
      </w:r>
      <w:r w:rsidRPr="00B86EDB">
        <w:rPr>
          <w:rFonts w:ascii="Times New Roman" w:hAnsi="Times New Roman" w:cs="Times New Roman"/>
          <w:sz w:val="28"/>
          <w:szCs w:val="28"/>
        </w:rPr>
        <w:t xml:space="preserve"> norma</w:t>
      </w:r>
      <w:r w:rsidRPr="00B86EDB">
        <w:rPr>
          <w:rFonts w:ascii="Times New Roman" w:hAnsi="Times New Roman" w:cs="Times New Roman"/>
          <w:sz w:val="28"/>
          <w:szCs w:val="28"/>
        </w:rPr>
        <w:t>s</w:t>
      </w:r>
      <w:r w:rsidRPr="00B86EDB">
        <w:rPr>
          <w:rFonts w:ascii="Times New Roman" w:hAnsi="Times New Roman" w:cs="Times New Roman"/>
          <w:sz w:val="28"/>
          <w:szCs w:val="28"/>
        </w:rPr>
        <w:t xml:space="preserve"> acusada</w:t>
      </w:r>
      <w:r w:rsidRPr="00B86EDB">
        <w:rPr>
          <w:rFonts w:ascii="Times New Roman" w:hAnsi="Times New Roman" w:cs="Times New Roman"/>
          <w:sz w:val="28"/>
          <w:szCs w:val="28"/>
        </w:rPr>
        <w:t>s</w:t>
      </w:r>
      <w:r w:rsidRPr="00B86EDB">
        <w:rPr>
          <w:rFonts w:ascii="Times New Roman" w:hAnsi="Times New Roman" w:cs="Times New Roman"/>
          <w:sz w:val="28"/>
          <w:szCs w:val="28"/>
        </w:rPr>
        <w:t>. Explicó</w:t>
      </w:r>
      <w:r w:rsidRPr="00B86EDB">
        <w:rPr>
          <w:rFonts w:ascii="Times New Roman" w:hAnsi="Times New Roman" w:cs="Times New Roman"/>
          <w:sz w:val="28"/>
          <w:szCs w:val="28"/>
        </w:rPr>
        <w:t xml:space="preserve"> que</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de conformidad con la Constitución Política y la jurisprudencia del Consejo de Estado, el </w:t>
      </w:r>
      <w:r w:rsidRPr="00B86EDB">
        <w:rPr>
          <w:rFonts w:ascii="Times New Roman" w:hAnsi="Times New Roman" w:cs="Times New Roman"/>
          <w:sz w:val="28"/>
          <w:szCs w:val="28"/>
        </w:rPr>
        <w:t xml:space="preserve">legislador </w:t>
      </w:r>
      <w:r w:rsidRPr="00B86EDB">
        <w:rPr>
          <w:rFonts w:ascii="Times New Roman" w:hAnsi="Times New Roman" w:cs="Times New Roman"/>
          <w:sz w:val="28"/>
          <w:szCs w:val="28"/>
        </w:rPr>
        <w:t xml:space="preserve">cuenta con un amplio margen de configuración </w:t>
      </w:r>
      <w:r w:rsidRPr="00B86EDB">
        <w:rPr>
          <w:rFonts w:ascii="Times New Roman" w:hAnsi="Times New Roman" w:cs="Times New Roman"/>
          <w:sz w:val="28"/>
          <w:szCs w:val="28"/>
        </w:rPr>
        <w:t xml:space="preserve">normativa </w:t>
      </w:r>
      <w:r w:rsidRPr="00B86EDB">
        <w:rPr>
          <w:rFonts w:ascii="Times New Roman" w:hAnsi="Times New Roman" w:cs="Times New Roman"/>
          <w:sz w:val="28"/>
          <w:szCs w:val="28"/>
        </w:rPr>
        <w:t>en materia tributaria</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pero limitado por</w:t>
      </w:r>
      <w:r w:rsidRPr="00B86EDB">
        <w:rPr>
          <w:rFonts w:ascii="Times New Roman" w:hAnsi="Times New Roman" w:cs="Times New Roman"/>
          <w:sz w:val="28"/>
          <w:szCs w:val="28"/>
        </w:rPr>
        <w:t xml:space="preserve"> los principios constitucionales, entre e</w:t>
      </w:r>
      <w:r w:rsidRPr="00B86EDB">
        <w:rPr>
          <w:rFonts w:ascii="Times New Roman" w:hAnsi="Times New Roman" w:cs="Times New Roman"/>
          <w:sz w:val="28"/>
          <w:szCs w:val="28"/>
        </w:rPr>
        <w:t>llos</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el de </w:t>
      </w:r>
      <w:r w:rsidRPr="00B86EDB">
        <w:rPr>
          <w:rFonts w:ascii="Times New Roman" w:hAnsi="Times New Roman" w:cs="Times New Roman"/>
          <w:sz w:val="28"/>
          <w:szCs w:val="28"/>
        </w:rPr>
        <w:t>capacidad contributiva.</w:t>
      </w:r>
      <w:r w:rsidRPr="00B86EDB">
        <w:rPr>
          <w:rFonts w:ascii="Times New Roman" w:hAnsi="Times New Roman" w:cs="Times New Roman"/>
          <w:sz w:val="28"/>
          <w:szCs w:val="28"/>
        </w:rPr>
        <w:t xml:space="preserve"> Indicó que las normas acusadas no superan un test leve de razonabilidad</w:t>
      </w:r>
      <w:r w:rsidRPr="00B86EDB">
        <w:rPr>
          <w:rFonts w:ascii="Times New Roman" w:hAnsi="Times New Roman" w:cs="Times New Roman"/>
          <w:sz w:val="28"/>
          <w:szCs w:val="28"/>
        </w:rPr>
        <w:t>.</w:t>
      </w:r>
    </w:p>
    <w:p w:rsidR="00CB3CDE" w:rsidRPr="00B86EDB" w:rsidRDefault="00B86EDB" w:rsidP="009F3F6A">
      <w:pPr>
        <w:pStyle w:val="Prrafodelista"/>
        <w:ind w:left="0"/>
        <w:contextualSpacing w:val="0"/>
        <w:jc w:val="both"/>
        <w:rPr>
          <w:rFonts w:ascii="Times New Roman" w:hAnsi="Times New Roman" w:cs="Times New Roman"/>
          <w:sz w:val="28"/>
          <w:szCs w:val="28"/>
        </w:rPr>
      </w:pPr>
    </w:p>
    <w:p w:rsidR="0051377D"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La Procur</w:t>
      </w:r>
      <w:r w:rsidRPr="00B86EDB">
        <w:rPr>
          <w:rFonts w:ascii="Times New Roman" w:hAnsi="Times New Roman" w:cs="Times New Roman"/>
          <w:sz w:val="28"/>
          <w:szCs w:val="28"/>
        </w:rPr>
        <w:t>adora adujo que</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si bien </w:t>
      </w:r>
      <w:r w:rsidRPr="00B86EDB">
        <w:rPr>
          <w:rFonts w:ascii="Times New Roman" w:hAnsi="Times New Roman" w:cs="Times New Roman"/>
          <w:sz w:val="28"/>
          <w:szCs w:val="28"/>
        </w:rPr>
        <w:t xml:space="preserve">la finalidad </w:t>
      </w:r>
      <w:r w:rsidRPr="00B86EDB">
        <w:rPr>
          <w:rFonts w:ascii="Times New Roman" w:hAnsi="Times New Roman" w:cs="Times New Roman"/>
          <w:sz w:val="28"/>
          <w:szCs w:val="28"/>
        </w:rPr>
        <w:t xml:space="preserve">de las normas acusadas </w:t>
      </w:r>
      <w:r w:rsidRPr="00B86EDB">
        <w:rPr>
          <w:rFonts w:ascii="Times New Roman" w:hAnsi="Times New Roman" w:cs="Times New Roman"/>
          <w:sz w:val="28"/>
          <w:szCs w:val="28"/>
        </w:rPr>
        <w:t>es el recaudo y</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ello e</w:t>
      </w:r>
      <w:r w:rsidRPr="00B86EDB">
        <w:rPr>
          <w:rFonts w:ascii="Times New Roman" w:hAnsi="Times New Roman" w:cs="Times New Roman"/>
          <w:sz w:val="28"/>
          <w:szCs w:val="28"/>
        </w:rPr>
        <w:t xml:space="preserve">s </w:t>
      </w:r>
      <w:r w:rsidRPr="00B86EDB">
        <w:rPr>
          <w:rFonts w:ascii="Times New Roman" w:hAnsi="Times New Roman" w:cs="Times New Roman"/>
          <w:sz w:val="28"/>
          <w:szCs w:val="28"/>
        </w:rPr>
        <w:t>legítim</w:t>
      </w:r>
      <w:r w:rsidRPr="00B86EDB">
        <w:rPr>
          <w:rFonts w:ascii="Times New Roman" w:hAnsi="Times New Roman" w:cs="Times New Roman"/>
          <w:sz w:val="28"/>
          <w:szCs w:val="28"/>
        </w:rPr>
        <w:t>o</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lo cierto es que </w:t>
      </w:r>
      <w:r w:rsidRPr="00B86EDB">
        <w:rPr>
          <w:rFonts w:ascii="Times New Roman" w:hAnsi="Times New Roman" w:cs="Times New Roman"/>
          <w:sz w:val="28"/>
          <w:szCs w:val="28"/>
        </w:rPr>
        <w:t xml:space="preserve">la medida no es idónea </w:t>
      </w:r>
      <w:r w:rsidRPr="00B86EDB">
        <w:rPr>
          <w:rFonts w:ascii="Times New Roman" w:hAnsi="Times New Roman" w:cs="Times New Roman"/>
          <w:sz w:val="28"/>
          <w:szCs w:val="28"/>
        </w:rPr>
        <w:t>por</w:t>
      </w:r>
      <w:r w:rsidRPr="00B86EDB">
        <w:rPr>
          <w:rFonts w:ascii="Times New Roman" w:hAnsi="Times New Roman" w:cs="Times New Roman"/>
          <w:sz w:val="28"/>
          <w:szCs w:val="28"/>
        </w:rPr>
        <w:t>que no tuvo en cuenta</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la permanencia del gravamen, </w:t>
      </w:r>
      <w:r w:rsidRPr="00B86EDB">
        <w:rPr>
          <w:rFonts w:ascii="Times New Roman" w:hAnsi="Times New Roman" w:cs="Times New Roman"/>
          <w:sz w:val="28"/>
          <w:szCs w:val="28"/>
        </w:rPr>
        <w:t xml:space="preserve">la liquidez del contribuyente y la carga fiscal asociada a otros </w:t>
      </w:r>
      <w:r w:rsidRPr="00B86EDB">
        <w:rPr>
          <w:rFonts w:ascii="Times New Roman" w:hAnsi="Times New Roman" w:cs="Times New Roman"/>
          <w:sz w:val="28"/>
          <w:szCs w:val="28"/>
        </w:rPr>
        <w:t>impuestos</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P</w:t>
      </w:r>
      <w:r w:rsidRPr="00B86EDB">
        <w:rPr>
          <w:rFonts w:ascii="Times New Roman" w:hAnsi="Times New Roman" w:cs="Times New Roman"/>
          <w:sz w:val="28"/>
          <w:szCs w:val="28"/>
        </w:rPr>
        <w:t>or lo tanto,</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no es una herramienta para </w:t>
      </w:r>
      <w:r w:rsidRPr="00B86EDB">
        <w:rPr>
          <w:rFonts w:ascii="Times New Roman" w:hAnsi="Times New Roman" w:cs="Times New Roman"/>
          <w:sz w:val="28"/>
          <w:szCs w:val="28"/>
        </w:rPr>
        <w:t>disminuir</w:t>
      </w:r>
      <w:r w:rsidRPr="00B86EDB">
        <w:rPr>
          <w:rFonts w:ascii="Times New Roman" w:hAnsi="Times New Roman" w:cs="Times New Roman"/>
          <w:sz w:val="28"/>
          <w:szCs w:val="28"/>
        </w:rPr>
        <w:t xml:space="preserve"> la desigualdad e inequidad</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Agregó</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que este impuesto </w:t>
      </w:r>
      <w:r w:rsidRPr="00B86EDB">
        <w:rPr>
          <w:rFonts w:ascii="Times New Roman" w:hAnsi="Times New Roman" w:cs="Times New Roman"/>
          <w:sz w:val="28"/>
          <w:szCs w:val="28"/>
        </w:rPr>
        <w:t xml:space="preserve">genera </w:t>
      </w:r>
      <w:r w:rsidRPr="00B86EDB">
        <w:rPr>
          <w:rFonts w:ascii="Times New Roman" w:hAnsi="Times New Roman" w:cs="Times New Roman"/>
          <w:sz w:val="28"/>
          <w:szCs w:val="28"/>
        </w:rPr>
        <w:t>un desincentivo perverso</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pues </w:t>
      </w:r>
      <w:r w:rsidRPr="00B86EDB">
        <w:rPr>
          <w:rFonts w:ascii="Times New Roman" w:hAnsi="Times New Roman" w:cs="Times New Roman"/>
          <w:sz w:val="28"/>
          <w:szCs w:val="28"/>
        </w:rPr>
        <w:t xml:space="preserve">el sujeto pasivo </w:t>
      </w:r>
      <w:r w:rsidRPr="00B86EDB">
        <w:rPr>
          <w:rFonts w:ascii="Times New Roman" w:hAnsi="Times New Roman" w:cs="Times New Roman"/>
          <w:sz w:val="28"/>
          <w:szCs w:val="28"/>
        </w:rPr>
        <w:t xml:space="preserve">al tener que disponer de parte de </w:t>
      </w:r>
      <w:r w:rsidRPr="00B86EDB">
        <w:rPr>
          <w:rFonts w:ascii="Times New Roman" w:hAnsi="Times New Roman" w:cs="Times New Roman"/>
          <w:sz w:val="28"/>
          <w:szCs w:val="28"/>
        </w:rPr>
        <w:t xml:space="preserve">un </w:t>
      </w:r>
      <w:r w:rsidRPr="00B86EDB">
        <w:rPr>
          <w:rFonts w:ascii="Times New Roman" w:hAnsi="Times New Roman" w:cs="Times New Roman"/>
          <w:sz w:val="28"/>
          <w:szCs w:val="28"/>
        </w:rPr>
        <w:t>bien</w:t>
      </w:r>
      <w:r w:rsidRPr="00B86EDB">
        <w:rPr>
          <w:rFonts w:ascii="Times New Roman" w:hAnsi="Times New Roman" w:cs="Times New Roman"/>
          <w:sz w:val="28"/>
          <w:szCs w:val="28"/>
        </w:rPr>
        <w:t>, de un activo</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o de</w:t>
      </w:r>
      <w:r w:rsidRPr="00B86EDB">
        <w:rPr>
          <w:rFonts w:ascii="Times New Roman" w:hAnsi="Times New Roman" w:cs="Times New Roman"/>
          <w:sz w:val="28"/>
          <w:szCs w:val="28"/>
        </w:rPr>
        <w:t xml:space="preserve"> un</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emprendimiento, por ej</w:t>
      </w:r>
      <w:r w:rsidRPr="00B86EDB">
        <w:rPr>
          <w:rFonts w:ascii="Times New Roman" w:hAnsi="Times New Roman" w:cs="Times New Roman"/>
          <w:sz w:val="28"/>
          <w:szCs w:val="28"/>
        </w:rPr>
        <w:t xml:space="preserve">emplo, para responder por </w:t>
      </w:r>
      <w:r w:rsidRPr="00B86EDB">
        <w:rPr>
          <w:rFonts w:ascii="Times New Roman" w:hAnsi="Times New Roman" w:cs="Times New Roman"/>
          <w:sz w:val="28"/>
          <w:szCs w:val="28"/>
        </w:rPr>
        <w:t xml:space="preserve">esa </w:t>
      </w:r>
      <w:r w:rsidRPr="00B86EDB">
        <w:rPr>
          <w:rFonts w:ascii="Times New Roman" w:hAnsi="Times New Roman" w:cs="Times New Roman"/>
          <w:sz w:val="28"/>
          <w:szCs w:val="28"/>
        </w:rPr>
        <w:t xml:space="preserve">carga tributaria, </w:t>
      </w:r>
      <w:r w:rsidRPr="00B86EDB">
        <w:rPr>
          <w:rFonts w:ascii="Times New Roman" w:hAnsi="Times New Roman" w:cs="Times New Roman"/>
          <w:sz w:val="28"/>
          <w:szCs w:val="28"/>
        </w:rPr>
        <w:t xml:space="preserve">se </w:t>
      </w:r>
      <w:r w:rsidRPr="00B86EDB">
        <w:rPr>
          <w:rFonts w:ascii="Times New Roman" w:hAnsi="Times New Roman" w:cs="Times New Roman"/>
          <w:sz w:val="28"/>
          <w:szCs w:val="28"/>
        </w:rPr>
        <w:t xml:space="preserve">le </w:t>
      </w:r>
      <w:r w:rsidRPr="00B86EDB">
        <w:rPr>
          <w:rFonts w:ascii="Times New Roman" w:hAnsi="Times New Roman" w:cs="Times New Roman"/>
          <w:sz w:val="28"/>
          <w:szCs w:val="28"/>
        </w:rPr>
        <w:t xml:space="preserve">desconoce </w:t>
      </w:r>
      <w:r w:rsidRPr="00B86EDB">
        <w:rPr>
          <w:rFonts w:ascii="Times New Roman" w:hAnsi="Times New Roman" w:cs="Times New Roman"/>
          <w:sz w:val="28"/>
          <w:szCs w:val="28"/>
        </w:rPr>
        <w:t xml:space="preserve">o afecta seriamente </w:t>
      </w:r>
      <w:r w:rsidRPr="00B86EDB">
        <w:rPr>
          <w:rFonts w:ascii="Times New Roman" w:hAnsi="Times New Roman" w:cs="Times New Roman"/>
          <w:sz w:val="28"/>
          <w:szCs w:val="28"/>
        </w:rPr>
        <w:t>la utilidad social en términos de empleo y desarrollo.</w:t>
      </w:r>
    </w:p>
    <w:p w:rsidR="0051377D" w:rsidRPr="00B86EDB" w:rsidRDefault="00B86EDB" w:rsidP="009F3F6A">
      <w:pPr>
        <w:pStyle w:val="Prrafodelista"/>
        <w:contextualSpacing w:val="0"/>
        <w:rPr>
          <w:rFonts w:ascii="Times New Roman" w:hAnsi="Times New Roman" w:cs="Times New Roman"/>
          <w:sz w:val="28"/>
          <w:szCs w:val="28"/>
        </w:rPr>
      </w:pPr>
    </w:p>
    <w:p w:rsidR="00D66E46"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La Procuradora</w:t>
      </w:r>
      <w:r w:rsidRPr="00B86EDB">
        <w:rPr>
          <w:rFonts w:ascii="Times New Roman" w:hAnsi="Times New Roman" w:cs="Times New Roman"/>
          <w:sz w:val="28"/>
          <w:szCs w:val="28"/>
        </w:rPr>
        <w:t xml:space="preserve"> afirmó que no</w:t>
      </w:r>
      <w:r w:rsidRPr="00B86EDB">
        <w:rPr>
          <w:rFonts w:ascii="Times New Roman" w:hAnsi="Times New Roman" w:cs="Times New Roman"/>
          <w:sz w:val="28"/>
          <w:szCs w:val="28"/>
        </w:rPr>
        <w:t xml:space="preserve"> puede considerarse que la relación entre riqueza y patrimonio es </w:t>
      </w:r>
      <w:r w:rsidRPr="00B86EDB">
        <w:rPr>
          <w:rFonts w:ascii="Times New Roman" w:hAnsi="Times New Roman" w:cs="Times New Roman"/>
          <w:sz w:val="28"/>
          <w:szCs w:val="28"/>
        </w:rPr>
        <w:t>equivalente</w:t>
      </w:r>
      <w:r w:rsidRPr="00B86EDB">
        <w:rPr>
          <w:rFonts w:ascii="Times New Roman" w:hAnsi="Times New Roman" w:cs="Times New Roman"/>
          <w:sz w:val="28"/>
          <w:szCs w:val="28"/>
        </w:rPr>
        <w:t xml:space="preserve">. Por el contrario, </w:t>
      </w:r>
      <w:r w:rsidRPr="00B86EDB">
        <w:rPr>
          <w:rFonts w:ascii="Times New Roman" w:hAnsi="Times New Roman" w:cs="Times New Roman"/>
          <w:sz w:val="28"/>
          <w:szCs w:val="28"/>
        </w:rPr>
        <w:t xml:space="preserve">las normas desconocen </w:t>
      </w:r>
      <w:r w:rsidRPr="00B86EDB">
        <w:rPr>
          <w:rFonts w:ascii="Times New Roman" w:hAnsi="Times New Roman" w:cs="Times New Roman"/>
          <w:sz w:val="28"/>
          <w:szCs w:val="28"/>
        </w:rPr>
        <w:t xml:space="preserve">que </w:t>
      </w:r>
      <w:r w:rsidRPr="00B86EDB">
        <w:rPr>
          <w:rFonts w:ascii="Times New Roman" w:hAnsi="Times New Roman" w:cs="Times New Roman"/>
          <w:sz w:val="28"/>
          <w:szCs w:val="28"/>
        </w:rPr>
        <w:t xml:space="preserve">los activos valiosos </w:t>
      </w:r>
      <w:r w:rsidRPr="00B86EDB">
        <w:rPr>
          <w:rFonts w:ascii="Times New Roman" w:hAnsi="Times New Roman" w:cs="Times New Roman"/>
          <w:sz w:val="28"/>
          <w:szCs w:val="28"/>
        </w:rPr>
        <w:t>tienen períodos de ingresos limitados</w:t>
      </w:r>
      <w:r w:rsidRPr="00B86EDB">
        <w:rPr>
          <w:rFonts w:ascii="Times New Roman" w:hAnsi="Times New Roman" w:cs="Times New Roman"/>
          <w:sz w:val="28"/>
          <w:szCs w:val="28"/>
        </w:rPr>
        <w:t xml:space="preserve"> o situaciones en que</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personas</w:t>
      </w:r>
      <w:r w:rsidRPr="00B86EDB">
        <w:rPr>
          <w:rFonts w:ascii="Times New Roman" w:hAnsi="Times New Roman" w:cs="Times New Roman"/>
          <w:sz w:val="28"/>
          <w:szCs w:val="28"/>
        </w:rPr>
        <w:t xml:space="preserve"> sin ingresos adicionales</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son propietarias</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de</w:t>
      </w:r>
      <w:r w:rsidRPr="00B86EDB">
        <w:rPr>
          <w:rFonts w:ascii="Times New Roman" w:hAnsi="Times New Roman" w:cs="Times New Roman"/>
          <w:sz w:val="28"/>
          <w:szCs w:val="28"/>
        </w:rPr>
        <w:t xml:space="preserve"> un bien de</w:t>
      </w:r>
      <w:r w:rsidRPr="00B86EDB">
        <w:rPr>
          <w:rFonts w:ascii="Times New Roman" w:hAnsi="Times New Roman" w:cs="Times New Roman"/>
          <w:sz w:val="28"/>
          <w:szCs w:val="28"/>
        </w:rPr>
        <w:t xml:space="preserve"> vivienda de</w:t>
      </w:r>
      <w:r w:rsidRPr="00B86EDB">
        <w:rPr>
          <w:rFonts w:ascii="Times New Roman" w:hAnsi="Times New Roman" w:cs="Times New Roman"/>
          <w:sz w:val="28"/>
          <w:szCs w:val="28"/>
        </w:rPr>
        <w:t xml:space="preserve"> valor alto</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Frente a lo anterior, </w:t>
      </w:r>
      <w:r w:rsidRPr="00B86EDB">
        <w:rPr>
          <w:rFonts w:ascii="Times New Roman" w:hAnsi="Times New Roman" w:cs="Times New Roman"/>
          <w:sz w:val="28"/>
          <w:szCs w:val="28"/>
        </w:rPr>
        <w:t>observ</w:t>
      </w:r>
      <w:r w:rsidRPr="00B86EDB">
        <w:rPr>
          <w:rFonts w:ascii="Times New Roman" w:hAnsi="Times New Roman" w:cs="Times New Roman"/>
          <w:sz w:val="28"/>
          <w:szCs w:val="28"/>
        </w:rPr>
        <w:t>ó</w:t>
      </w:r>
      <w:r w:rsidRPr="00B86EDB">
        <w:rPr>
          <w:rFonts w:ascii="Times New Roman" w:hAnsi="Times New Roman" w:cs="Times New Roman"/>
          <w:sz w:val="28"/>
          <w:szCs w:val="28"/>
        </w:rPr>
        <w:t xml:space="preserve"> que la norm</w:t>
      </w:r>
      <w:r w:rsidRPr="00B86EDB">
        <w:rPr>
          <w:rFonts w:ascii="Times New Roman" w:hAnsi="Times New Roman" w:cs="Times New Roman"/>
          <w:sz w:val="28"/>
          <w:szCs w:val="28"/>
        </w:rPr>
        <w:t>a tampoco contiene mecanismos que protejan al contribuyente para los momentos en que el bien</w:t>
      </w:r>
      <w:r w:rsidRPr="00B86EDB">
        <w:rPr>
          <w:rFonts w:ascii="Times New Roman" w:hAnsi="Times New Roman" w:cs="Times New Roman"/>
          <w:sz w:val="28"/>
          <w:szCs w:val="28"/>
        </w:rPr>
        <w:t xml:space="preserve"> no tenga ningún tipo de rendimiento</w:t>
      </w:r>
      <w:r w:rsidRPr="00B86EDB">
        <w:rPr>
          <w:rFonts w:ascii="Times New Roman" w:hAnsi="Times New Roman" w:cs="Times New Roman"/>
          <w:sz w:val="28"/>
          <w:szCs w:val="28"/>
        </w:rPr>
        <w:t>. “La falta de este mecanismo implica para el</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contribuyente tener que asumirlo con la totalidad de la rentabilidad que genera el</w:t>
      </w:r>
      <w:r w:rsidRPr="00B86EDB">
        <w:rPr>
          <w:rFonts w:ascii="Times New Roman" w:hAnsi="Times New Roman" w:cs="Times New Roman"/>
          <w:sz w:val="28"/>
          <w:szCs w:val="28"/>
        </w:rPr>
        <w:t xml:space="preserve"> capital ahorrado o, de tener un rendimiento que le genere un flujo de caja, liquidarlo hasta estar por debajo del umbral que lo obliga a ser sujeto pasivo del impuesto”.</w:t>
      </w:r>
      <w:r w:rsidRPr="00B86EDB">
        <w:rPr>
          <w:rFonts w:ascii="Times New Roman" w:hAnsi="Times New Roman" w:cs="Times New Roman"/>
          <w:sz w:val="28"/>
          <w:szCs w:val="28"/>
        </w:rPr>
        <w:t xml:space="preserve"> </w:t>
      </w:r>
    </w:p>
    <w:p w:rsidR="00D66E46" w:rsidRPr="00B86EDB" w:rsidRDefault="00B86EDB" w:rsidP="009F3F6A">
      <w:pPr>
        <w:pStyle w:val="Prrafodelista"/>
        <w:contextualSpacing w:val="0"/>
        <w:rPr>
          <w:rFonts w:ascii="Times New Roman" w:hAnsi="Times New Roman" w:cs="Times New Roman"/>
          <w:sz w:val="28"/>
          <w:szCs w:val="28"/>
        </w:rPr>
      </w:pPr>
    </w:p>
    <w:p w:rsidR="0051377D"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Afirmó que, c</w:t>
      </w:r>
      <w:r w:rsidRPr="00B86EDB">
        <w:rPr>
          <w:rFonts w:ascii="Times New Roman" w:hAnsi="Times New Roman" w:cs="Times New Roman"/>
          <w:sz w:val="28"/>
          <w:szCs w:val="28"/>
        </w:rPr>
        <w:t xml:space="preserve">onforme a la doctrina fiscal, el diseño de este impuesto </w:t>
      </w:r>
      <w:r w:rsidRPr="00B86EDB">
        <w:rPr>
          <w:rFonts w:ascii="Times New Roman" w:hAnsi="Times New Roman" w:cs="Times New Roman"/>
          <w:sz w:val="28"/>
          <w:szCs w:val="28"/>
        </w:rPr>
        <w:t>promueve fuga</w:t>
      </w:r>
      <w:r w:rsidRPr="00B86EDB">
        <w:rPr>
          <w:rFonts w:ascii="Times New Roman" w:hAnsi="Times New Roman" w:cs="Times New Roman"/>
          <w:sz w:val="28"/>
          <w:szCs w:val="28"/>
        </w:rPr>
        <w:t>s de capital hacia el exterior en aras de evadirlo</w:t>
      </w:r>
      <w:r w:rsidRPr="00B86EDB">
        <w:rPr>
          <w:rFonts w:ascii="Times New Roman" w:hAnsi="Times New Roman" w:cs="Times New Roman"/>
          <w:sz w:val="28"/>
          <w:szCs w:val="28"/>
        </w:rPr>
        <w:t xml:space="preserve"> “porque</w:t>
      </w:r>
      <w:r w:rsidRPr="00B86EDB">
        <w:rPr>
          <w:rFonts w:ascii="Times New Roman" w:hAnsi="Times New Roman" w:cs="Times New Roman"/>
          <w:sz w:val="28"/>
          <w:szCs w:val="28"/>
        </w:rPr>
        <w:t xml:space="preserve">, como se puede comprobar a partir de la </w:t>
      </w:r>
      <w:r w:rsidRPr="00B86EDB">
        <w:rPr>
          <w:rFonts w:ascii="Times New Roman" w:hAnsi="Times New Roman" w:cs="Times New Roman"/>
          <w:sz w:val="28"/>
          <w:szCs w:val="28"/>
        </w:rPr>
        <w:t>a</w:t>
      </w:r>
      <w:r w:rsidRPr="00B86EDB">
        <w:rPr>
          <w:rFonts w:ascii="Times New Roman" w:hAnsi="Times New Roman" w:cs="Times New Roman"/>
          <w:sz w:val="28"/>
          <w:szCs w:val="28"/>
        </w:rPr>
        <w:t xml:space="preserve">plicación del </w:t>
      </w:r>
      <w:r w:rsidRPr="00B86EDB">
        <w:rPr>
          <w:rFonts w:ascii="Times New Roman" w:hAnsi="Times New Roman" w:cs="Times New Roman"/>
          <w:sz w:val="28"/>
          <w:szCs w:val="28"/>
        </w:rPr>
        <w:t>‘</w:t>
      </w:r>
      <w:r w:rsidRPr="00B86EDB">
        <w:rPr>
          <w:rFonts w:ascii="Times New Roman" w:hAnsi="Times New Roman" w:cs="Times New Roman"/>
          <w:sz w:val="28"/>
          <w:szCs w:val="28"/>
        </w:rPr>
        <w:t>teorema de Roller</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genera una carga tributaria </w:t>
      </w:r>
      <w:r w:rsidRPr="00B86EDB">
        <w:rPr>
          <w:rFonts w:ascii="Times New Roman" w:hAnsi="Times New Roman" w:cs="Times New Roman"/>
          <w:sz w:val="28"/>
          <w:szCs w:val="28"/>
        </w:rPr>
        <w:t>alta que promueve estrategias de elusión y evasión fiscal”</w:t>
      </w:r>
      <w:r w:rsidRPr="00B86EDB">
        <w:rPr>
          <w:rFonts w:ascii="Times New Roman" w:hAnsi="Times New Roman" w:cs="Times New Roman"/>
          <w:i/>
          <w:iCs/>
          <w:sz w:val="28"/>
          <w:szCs w:val="28"/>
        </w:rPr>
        <w:t xml:space="preserve">, </w:t>
      </w:r>
      <w:r w:rsidRPr="00B86EDB">
        <w:rPr>
          <w:rFonts w:ascii="Times New Roman" w:hAnsi="Times New Roman" w:cs="Times New Roman"/>
          <w:sz w:val="28"/>
          <w:szCs w:val="28"/>
        </w:rPr>
        <w:t xml:space="preserve">lo cual lo hace ineficiente para </w:t>
      </w:r>
      <w:r w:rsidRPr="00B86EDB">
        <w:rPr>
          <w:rFonts w:ascii="Times New Roman" w:hAnsi="Times New Roman" w:cs="Times New Roman"/>
          <w:sz w:val="28"/>
          <w:szCs w:val="28"/>
        </w:rPr>
        <w:t>conseguir su finalidad.</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La </w:t>
      </w:r>
      <w:r w:rsidRPr="00B86EDB">
        <w:rPr>
          <w:rFonts w:ascii="Times New Roman" w:hAnsi="Times New Roman" w:cs="Times New Roman"/>
          <w:sz w:val="28"/>
          <w:szCs w:val="28"/>
        </w:rPr>
        <w:t>Procuradora</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adujo que </w:t>
      </w:r>
      <w:r w:rsidRPr="00B86EDB">
        <w:rPr>
          <w:rFonts w:ascii="Times New Roman" w:hAnsi="Times New Roman" w:cs="Times New Roman"/>
          <w:sz w:val="28"/>
          <w:szCs w:val="28"/>
        </w:rPr>
        <w:t xml:space="preserve">la doctrina también ha considerado este impuesto como </w:t>
      </w:r>
      <w:r w:rsidRPr="00B86EDB">
        <w:rPr>
          <w:rFonts w:ascii="Times New Roman" w:hAnsi="Times New Roman" w:cs="Times New Roman"/>
          <w:sz w:val="28"/>
          <w:szCs w:val="28"/>
        </w:rPr>
        <w:t xml:space="preserve">un </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tributo </w:t>
      </w:r>
      <w:r w:rsidRPr="00B86EDB">
        <w:rPr>
          <w:rFonts w:ascii="Times New Roman" w:hAnsi="Times New Roman" w:cs="Times New Roman"/>
          <w:sz w:val="28"/>
          <w:szCs w:val="28"/>
        </w:rPr>
        <w:t>vegetativo”</w:t>
      </w:r>
      <w:r w:rsidRPr="00B86EDB">
        <w:rPr>
          <w:rFonts w:ascii="Times New Roman" w:hAnsi="Times New Roman" w:cs="Times New Roman"/>
          <w:sz w:val="28"/>
          <w:szCs w:val="28"/>
        </w:rPr>
        <w:t>,</w:t>
      </w:r>
      <w:r w:rsidRPr="00B86EDB">
        <w:rPr>
          <w:rStyle w:val="Refdenotaalpie"/>
          <w:rFonts w:ascii="Times New Roman" w:hAnsi="Times New Roman" w:cs="Times New Roman"/>
          <w:sz w:val="28"/>
          <w:szCs w:val="28"/>
        </w:rPr>
        <w:footnoteReference w:id="28"/>
      </w:r>
      <w:r w:rsidRPr="00B86EDB">
        <w:rPr>
          <w:rFonts w:ascii="Times New Roman" w:hAnsi="Times New Roman" w:cs="Times New Roman"/>
          <w:sz w:val="28"/>
          <w:szCs w:val="28"/>
        </w:rPr>
        <w:t xml:space="preserve"> pues</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aunque al inicio parece aumentar el recaudo</w:t>
      </w:r>
      <w:r w:rsidRPr="00B86EDB">
        <w:rPr>
          <w:rFonts w:ascii="Times New Roman" w:hAnsi="Times New Roman" w:cs="Times New Roman"/>
          <w:sz w:val="28"/>
          <w:szCs w:val="28"/>
        </w:rPr>
        <w:t xml:space="preserve"> e</w:t>
      </w:r>
      <w:r w:rsidRPr="00B86EDB">
        <w:rPr>
          <w:rFonts w:ascii="Times New Roman" w:hAnsi="Times New Roman" w:cs="Times New Roman"/>
          <w:sz w:val="28"/>
          <w:szCs w:val="28"/>
        </w:rPr>
        <w:t xml:space="preserve"> identificar a los sujetos pasivos</w:t>
      </w:r>
      <w:r w:rsidRPr="00B86EDB">
        <w:rPr>
          <w:rFonts w:ascii="Times New Roman" w:hAnsi="Times New Roman" w:cs="Times New Roman"/>
          <w:sz w:val="28"/>
          <w:szCs w:val="28"/>
        </w:rPr>
        <w:t xml:space="preserve"> para cobrarlo, al paso de los </w:t>
      </w:r>
      <w:r w:rsidRPr="00B86EDB">
        <w:rPr>
          <w:rFonts w:ascii="Times New Roman" w:hAnsi="Times New Roman" w:cs="Times New Roman"/>
          <w:sz w:val="28"/>
          <w:szCs w:val="28"/>
        </w:rPr>
        <w:t>años</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desincentiva</w:t>
      </w:r>
      <w:r w:rsidRPr="00B86EDB">
        <w:rPr>
          <w:rFonts w:ascii="Times New Roman" w:hAnsi="Times New Roman" w:cs="Times New Roman"/>
          <w:sz w:val="28"/>
          <w:szCs w:val="28"/>
        </w:rPr>
        <w:t xml:space="preserve"> la lucha contra la evasión</w:t>
      </w:r>
      <w:r w:rsidRPr="00B86EDB">
        <w:rPr>
          <w:rFonts w:ascii="Times New Roman" w:hAnsi="Times New Roman" w:cs="Times New Roman"/>
          <w:sz w:val="28"/>
          <w:szCs w:val="28"/>
        </w:rPr>
        <w:t xml:space="preserve"> y genera la necesidad </w:t>
      </w:r>
      <w:r w:rsidRPr="00B86EDB">
        <w:rPr>
          <w:rFonts w:ascii="Times New Roman" w:hAnsi="Times New Roman" w:cs="Times New Roman"/>
          <w:sz w:val="28"/>
          <w:szCs w:val="28"/>
        </w:rPr>
        <w:t>de ampliar la imposición</w:t>
      </w:r>
      <w:r w:rsidRPr="00B86EDB">
        <w:rPr>
          <w:rFonts w:ascii="Times New Roman" w:hAnsi="Times New Roman" w:cs="Times New Roman"/>
          <w:sz w:val="28"/>
          <w:szCs w:val="28"/>
        </w:rPr>
        <w:t xml:space="preserve">, como ha pasado </w:t>
      </w:r>
      <w:r w:rsidRPr="00B86EDB">
        <w:rPr>
          <w:rFonts w:ascii="Times New Roman" w:hAnsi="Times New Roman" w:cs="Times New Roman"/>
          <w:sz w:val="28"/>
          <w:szCs w:val="28"/>
        </w:rPr>
        <w:t>en los últimos años que</w:t>
      </w:r>
      <w:r w:rsidRPr="00B86EDB">
        <w:rPr>
          <w:rFonts w:ascii="Times New Roman" w:hAnsi="Times New Roman" w:cs="Times New Roman"/>
          <w:sz w:val="28"/>
          <w:szCs w:val="28"/>
        </w:rPr>
        <w:t>,</w:t>
      </w:r>
      <w:r w:rsidRPr="00B86EDB">
        <w:rPr>
          <w:rFonts w:ascii="Times New Roman" w:hAnsi="Times New Roman" w:cs="Times New Roman"/>
          <w:sz w:val="28"/>
          <w:szCs w:val="28"/>
        </w:rPr>
        <w:t xml:space="preserve"> a pesar de su carácter temporal</w:t>
      </w:r>
      <w:r w:rsidRPr="00B86EDB">
        <w:rPr>
          <w:rFonts w:ascii="Times New Roman" w:hAnsi="Times New Roman" w:cs="Times New Roman"/>
          <w:sz w:val="28"/>
          <w:szCs w:val="28"/>
        </w:rPr>
        <w:t xml:space="preserve">, se ha prorrogado y mantenido su déficit </w:t>
      </w:r>
      <w:r w:rsidRPr="00B86EDB">
        <w:rPr>
          <w:rFonts w:ascii="Times New Roman" w:hAnsi="Times New Roman" w:cs="Times New Roman"/>
          <w:sz w:val="28"/>
          <w:szCs w:val="28"/>
        </w:rPr>
        <w:t>para luchar contra el fraude tributario.</w:t>
      </w:r>
      <w:r w:rsidRPr="00B86EDB">
        <w:rPr>
          <w:rFonts w:ascii="Times New Roman" w:hAnsi="Times New Roman" w:cs="Times New Roman"/>
          <w:sz w:val="28"/>
          <w:szCs w:val="28"/>
        </w:rPr>
        <w:t xml:space="preserve"> </w:t>
      </w:r>
    </w:p>
    <w:p w:rsidR="0051377D" w:rsidRPr="00B86EDB" w:rsidRDefault="00B86EDB" w:rsidP="009F3F6A">
      <w:pPr>
        <w:pStyle w:val="Prrafodelista"/>
        <w:contextualSpacing w:val="0"/>
        <w:rPr>
          <w:rFonts w:ascii="Times New Roman" w:hAnsi="Times New Roman" w:cs="Times New Roman"/>
          <w:sz w:val="28"/>
          <w:szCs w:val="28"/>
        </w:rPr>
      </w:pPr>
    </w:p>
    <w:p w:rsidR="007C43BA"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 xml:space="preserve">Finalmente, </w:t>
      </w:r>
      <w:r w:rsidRPr="00B86EDB">
        <w:rPr>
          <w:rFonts w:ascii="Times New Roman" w:hAnsi="Times New Roman" w:cs="Times New Roman"/>
          <w:sz w:val="28"/>
          <w:szCs w:val="28"/>
        </w:rPr>
        <w:t xml:space="preserve">respecto de la vulneración del artículo 317 de la Constitución, </w:t>
      </w:r>
      <w:r w:rsidRPr="00B86EDB">
        <w:rPr>
          <w:rFonts w:ascii="Times New Roman" w:hAnsi="Times New Roman" w:cs="Times New Roman"/>
          <w:sz w:val="28"/>
          <w:szCs w:val="28"/>
        </w:rPr>
        <w:t xml:space="preserve">la entidad aclara que si bien </w:t>
      </w:r>
      <w:r w:rsidRPr="00B86EDB">
        <w:rPr>
          <w:rFonts w:ascii="Times New Roman" w:hAnsi="Times New Roman" w:cs="Times New Roman"/>
          <w:sz w:val="28"/>
          <w:szCs w:val="28"/>
        </w:rPr>
        <w:t xml:space="preserve">el impuesto al patrimonio </w:t>
      </w:r>
      <w:r w:rsidRPr="00B86EDB">
        <w:rPr>
          <w:rFonts w:ascii="Times New Roman" w:hAnsi="Times New Roman" w:cs="Times New Roman"/>
          <w:sz w:val="28"/>
          <w:szCs w:val="28"/>
        </w:rPr>
        <w:t xml:space="preserve">no es </w:t>
      </w:r>
      <w:r w:rsidRPr="00B86EDB">
        <w:rPr>
          <w:rFonts w:ascii="Times New Roman" w:hAnsi="Times New Roman" w:cs="Times New Roman"/>
          <w:i/>
          <w:iCs/>
          <w:sz w:val="28"/>
          <w:szCs w:val="28"/>
        </w:rPr>
        <w:t>per</w:t>
      </w:r>
      <w:r w:rsidRPr="00B86EDB">
        <w:rPr>
          <w:rFonts w:ascii="Times New Roman" w:hAnsi="Times New Roman" w:cs="Times New Roman"/>
          <w:i/>
          <w:iCs/>
          <w:sz w:val="28"/>
          <w:szCs w:val="28"/>
        </w:rPr>
        <w:t xml:space="preserve"> </w:t>
      </w:r>
      <w:r w:rsidRPr="00B86EDB">
        <w:rPr>
          <w:rFonts w:ascii="Times New Roman" w:hAnsi="Times New Roman" w:cs="Times New Roman"/>
          <w:i/>
          <w:iCs/>
          <w:sz w:val="28"/>
          <w:szCs w:val="28"/>
        </w:rPr>
        <w:t>s</w:t>
      </w:r>
      <w:r w:rsidRPr="00B86EDB">
        <w:rPr>
          <w:rFonts w:ascii="Times New Roman" w:hAnsi="Times New Roman" w:cs="Times New Roman"/>
          <w:i/>
          <w:iCs/>
          <w:sz w:val="28"/>
          <w:szCs w:val="28"/>
        </w:rPr>
        <w:t>e</w:t>
      </w:r>
      <w:r w:rsidRPr="00B86EDB">
        <w:rPr>
          <w:rFonts w:ascii="Times New Roman" w:hAnsi="Times New Roman" w:cs="Times New Roman"/>
          <w:sz w:val="28"/>
          <w:szCs w:val="28"/>
        </w:rPr>
        <w:t xml:space="preserve"> inconstitucional</w:t>
      </w:r>
      <w:r w:rsidRPr="00B86EDB">
        <w:rPr>
          <w:rFonts w:ascii="Times New Roman" w:hAnsi="Times New Roman" w:cs="Times New Roman"/>
          <w:sz w:val="28"/>
          <w:szCs w:val="28"/>
        </w:rPr>
        <w:t xml:space="preserve"> en cuanto no grava la propiedad inmueble</w:t>
      </w:r>
      <w:r w:rsidRPr="00B86EDB">
        <w:rPr>
          <w:rFonts w:ascii="Times New Roman" w:hAnsi="Times New Roman" w:cs="Times New Roman"/>
          <w:sz w:val="28"/>
          <w:szCs w:val="28"/>
        </w:rPr>
        <w:t>, los efectos desfavorables de este tributo s</w:t>
      </w:r>
      <w:r w:rsidRPr="00B86EDB">
        <w:rPr>
          <w:rFonts w:ascii="Times New Roman" w:hAnsi="Times New Roman" w:cs="Times New Roman"/>
          <w:sz w:val="28"/>
          <w:szCs w:val="28"/>
        </w:rPr>
        <w:t>í</w:t>
      </w:r>
      <w:r w:rsidRPr="00B86EDB">
        <w:rPr>
          <w:rFonts w:ascii="Times New Roman" w:hAnsi="Times New Roman" w:cs="Times New Roman"/>
          <w:sz w:val="28"/>
          <w:szCs w:val="28"/>
        </w:rPr>
        <w:t xml:space="preserve"> afectan las finanzas territoriales</w:t>
      </w:r>
      <w:r w:rsidRPr="00B86EDB">
        <w:rPr>
          <w:rFonts w:ascii="Times New Roman" w:hAnsi="Times New Roman" w:cs="Times New Roman"/>
          <w:sz w:val="28"/>
          <w:szCs w:val="28"/>
        </w:rPr>
        <w:t>.</w:t>
      </w:r>
    </w:p>
    <w:p w:rsidR="00724B55" w:rsidRPr="00B86EDB" w:rsidRDefault="00B86EDB" w:rsidP="009F3F6A">
      <w:pPr>
        <w:pStyle w:val="Prrafodelista"/>
        <w:contextualSpacing w:val="0"/>
        <w:rPr>
          <w:rFonts w:ascii="Times New Roman" w:hAnsi="Times New Roman" w:cs="Times New Roman"/>
          <w:sz w:val="28"/>
          <w:szCs w:val="28"/>
        </w:rPr>
      </w:pPr>
    </w:p>
    <w:p w:rsidR="003619BD" w:rsidRPr="00B86EDB" w:rsidRDefault="00B86EDB" w:rsidP="009F3F6A">
      <w:pPr>
        <w:pStyle w:val="Prrafodelista"/>
        <w:contextualSpacing w:val="0"/>
        <w:rPr>
          <w:rFonts w:ascii="Times New Roman" w:hAnsi="Times New Roman" w:cs="Times New Roman"/>
          <w:sz w:val="28"/>
          <w:szCs w:val="28"/>
        </w:rPr>
      </w:pPr>
    </w:p>
    <w:p w:rsidR="00724B55" w:rsidRPr="00B86EDB" w:rsidRDefault="00B86EDB" w:rsidP="009F3F6A">
      <w:pPr>
        <w:pStyle w:val="Ttulo2"/>
        <w:numPr>
          <w:ilvl w:val="0"/>
          <w:numId w:val="5"/>
        </w:numPr>
        <w:spacing w:before="0"/>
        <w:ind w:left="142" w:firstLine="0"/>
        <w:jc w:val="both"/>
        <w:rPr>
          <w:rFonts w:ascii="Times New Roman" w:hAnsi="Times New Roman" w:cs="Times New Roman"/>
          <w:b/>
          <w:bCs/>
          <w:color w:val="auto"/>
          <w:sz w:val="28"/>
          <w:szCs w:val="28"/>
        </w:rPr>
      </w:pPr>
      <w:r w:rsidRPr="00B86EDB">
        <w:rPr>
          <w:rFonts w:ascii="Times New Roman" w:hAnsi="Times New Roman" w:cs="Times New Roman"/>
          <w:b/>
          <w:bCs/>
          <w:color w:val="auto"/>
          <w:sz w:val="28"/>
          <w:szCs w:val="28"/>
        </w:rPr>
        <w:t>Resumen de escritos recibidos en el término de fijación en lista y concepto del Ministerio público</w:t>
      </w:r>
    </w:p>
    <w:p w:rsidR="006F6BFC" w:rsidRPr="00B86EDB" w:rsidRDefault="00B86EDB" w:rsidP="009F3F6A">
      <w:pPr>
        <w:rPr>
          <w:rFonts w:ascii="Times New Roman" w:hAnsi="Times New Roman" w:cs="Times New Roman"/>
          <w:sz w:val="28"/>
          <w:szCs w:val="28"/>
        </w:rPr>
      </w:pPr>
    </w:p>
    <w:p w:rsidR="006F6BFC"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shd w:val="clear" w:color="auto" w:fill="FFFFFF"/>
        </w:rPr>
        <w:t>A continuación, se resumen los escritos presentados por entidades oficiales</w:t>
      </w:r>
      <w:r w:rsidRPr="00B86EDB">
        <w:rPr>
          <w:rFonts w:ascii="Times New Roman" w:hAnsi="Times New Roman" w:cs="Times New Roman"/>
          <w:sz w:val="28"/>
          <w:szCs w:val="28"/>
          <w:shd w:val="clear" w:color="auto" w:fill="FFFFFF"/>
        </w:rPr>
        <w:t>,</w:t>
      </w:r>
      <w:r w:rsidRPr="00B86EDB">
        <w:rPr>
          <w:rFonts w:ascii="Times New Roman" w:hAnsi="Times New Roman" w:cs="Times New Roman"/>
          <w:sz w:val="28"/>
          <w:szCs w:val="28"/>
          <w:shd w:val="clear" w:color="auto" w:fill="FFFFFF"/>
        </w:rPr>
        <w:t xml:space="preserve"> </w:t>
      </w:r>
      <w:r w:rsidRPr="00B86EDB">
        <w:rPr>
          <w:rFonts w:ascii="Times New Roman" w:hAnsi="Times New Roman" w:cs="Times New Roman"/>
          <w:sz w:val="28"/>
          <w:szCs w:val="28"/>
          <w:shd w:val="clear" w:color="auto" w:fill="FFFFFF"/>
        </w:rPr>
        <w:t>expertos invitados</w:t>
      </w:r>
      <w:r w:rsidRPr="00B86EDB">
        <w:rPr>
          <w:rFonts w:ascii="Times New Roman" w:hAnsi="Times New Roman" w:cs="Times New Roman"/>
          <w:sz w:val="28"/>
          <w:szCs w:val="28"/>
          <w:shd w:val="clear" w:color="auto" w:fill="FFFFFF"/>
        </w:rPr>
        <w:t xml:space="preserve"> y ciudadanos</w:t>
      </w:r>
      <w:r w:rsidRPr="00B86EDB">
        <w:rPr>
          <w:rFonts w:ascii="Times New Roman" w:hAnsi="Times New Roman" w:cs="Times New Roman"/>
          <w:sz w:val="28"/>
          <w:szCs w:val="28"/>
          <w:shd w:val="clear" w:color="auto" w:fill="FFFFFF"/>
        </w:rPr>
        <w:t xml:space="preserve"> en el término de fijación en lista del expediente </w:t>
      </w:r>
      <w:r w:rsidRPr="00B86EDB">
        <w:rPr>
          <w:rFonts w:ascii="Times New Roman" w:hAnsi="Times New Roman" w:cs="Times New Roman"/>
          <w:i/>
          <w:iCs/>
          <w:sz w:val="28"/>
          <w:szCs w:val="28"/>
          <w:shd w:val="clear" w:color="auto" w:fill="FFFFFF"/>
        </w:rPr>
        <w:t xml:space="preserve">sub examine, </w:t>
      </w:r>
      <w:r w:rsidRPr="00B86EDB">
        <w:rPr>
          <w:rFonts w:ascii="Times New Roman" w:hAnsi="Times New Roman" w:cs="Times New Roman"/>
          <w:sz w:val="28"/>
          <w:szCs w:val="28"/>
          <w:shd w:val="clear" w:color="auto" w:fill="FFFFFF"/>
        </w:rPr>
        <w:t>así como de</w:t>
      </w:r>
      <w:r w:rsidRPr="00B86EDB">
        <w:rPr>
          <w:rFonts w:ascii="Times New Roman" w:hAnsi="Times New Roman" w:cs="Times New Roman"/>
          <w:sz w:val="28"/>
          <w:szCs w:val="28"/>
          <w:shd w:val="clear" w:color="auto" w:fill="FFFFFF"/>
        </w:rPr>
        <w:t xml:space="preserve"> </w:t>
      </w:r>
      <w:r w:rsidRPr="00B86EDB">
        <w:rPr>
          <w:rFonts w:ascii="Times New Roman" w:hAnsi="Times New Roman" w:cs="Times New Roman"/>
          <w:sz w:val="28"/>
          <w:szCs w:val="28"/>
          <w:shd w:val="clear" w:color="auto" w:fill="FFFFFF"/>
        </w:rPr>
        <w:t>l</w:t>
      </w:r>
      <w:r w:rsidRPr="00B86EDB">
        <w:rPr>
          <w:rFonts w:ascii="Times New Roman" w:hAnsi="Times New Roman" w:cs="Times New Roman"/>
          <w:sz w:val="28"/>
          <w:szCs w:val="28"/>
          <w:shd w:val="clear" w:color="auto" w:fill="FFFFFF"/>
        </w:rPr>
        <w:t>a Procuradora General de la Nación:</w:t>
      </w:r>
    </w:p>
    <w:p w:rsidR="002D4470" w:rsidRPr="00B86EDB" w:rsidRDefault="00B86EDB" w:rsidP="009F3F6A">
      <w:pPr>
        <w:pStyle w:val="Prrafodelista"/>
        <w:widowControl w:val="0"/>
        <w:autoSpaceDE w:val="0"/>
        <w:autoSpaceDN w:val="0"/>
        <w:ind w:left="0"/>
        <w:contextualSpacing w:val="0"/>
        <w:jc w:val="both"/>
        <w:rPr>
          <w:rFonts w:ascii="Times New Roman" w:hAnsi="Times New Roman" w:cs="Times New Roman"/>
          <w:sz w:val="28"/>
          <w:szCs w:val="28"/>
          <w:shd w:val="clear" w:color="auto" w:fill="FFFFFF"/>
        </w:rPr>
      </w:pPr>
    </w:p>
    <w:p w:rsidR="00B732DD" w:rsidRPr="00B86EDB" w:rsidRDefault="00B86EDB" w:rsidP="009F3F6A">
      <w:pPr>
        <w:pStyle w:val="Prrafodelista"/>
        <w:widowControl w:val="0"/>
        <w:autoSpaceDE w:val="0"/>
        <w:autoSpaceDN w:val="0"/>
        <w:ind w:left="0"/>
        <w:contextualSpacing w:val="0"/>
        <w:jc w:val="center"/>
        <w:rPr>
          <w:rFonts w:ascii="Times New Roman" w:hAnsi="Times New Roman" w:cs="Times New Roman"/>
          <w:b/>
          <w:bCs/>
          <w:sz w:val="28"/>
          <w:szCs w:val="28"/>
          <w:shd w:val="clear" w:color="auto" w:fill="FFFFFF"/>
        </w:rPr>
      </w:pPr>
      <w:r w:rsidRPr="00B86EDB">
        <w:rPr>
          <w:rFonts w:ascii="Times New Roman" w:hAnsi="Times New Roman" w:cs="Times New Roman"/>
          <w:b/>
          <w:bCs/>
          <w:sz w:val="28"/>
          <w:szCs w:val="28"/>
          <w:shd w:val="clear" w:color="auto" w:fill="FFFFFF"/>
        </w:rPr>
        <w:t xml:space="preserve">Resumen </w:t>
      </w:r>
      <w:r w:rsidRPr="00B86EDB">
        <w:rPr>
          <w:rFonts w:ascii="Times New Roman" w:hAnsi="Times New Roman" w:cs="Times New Roman"/>
          <w:b/>
          <w:bCs/>
          <w:sz w:val="28"/>
          <w:szCs w:val="28"/>
          <w:shd w:val="clear" w:color="auto" w:fill="FFFFFF"/>
        </w:rPr>
        <w:t xml:space="preserve">de los </w:t>
      </w:r>
      <w:r w:rsidRPr="00B86EDB">
        <w:rPr>
          <w:rFonts w:ascii="Times New Roman" w:hAnsi="Times New Roman" w:cs="Times New Roman"/>
          <w:b/>
          <w:bCs/>
          <w:sz w:val="28"/>
          <w:szCs w:val="28"/>
          <w:shd w:val="clear" w:color="auto" w:fill="FFFFFF"/>
        </w:rPr>
        <w:t xml:space="preserve">escritos y </w:t>
      </w:r>
      <w:r w:rsidRPr="00B86EDB">
        <w:rPr>
          <w:rFonts w:ascii="Times New Roman" w:hAnsi="Times New Roman" w:cs="Times New Roman"/>
          <w:b/>
          <w:bCs/>
          <w:sz w:val="28"/>
          <w:szCs w:val="28"/>
          <w:shd w:val="clear" w:color="auto" w:fill="FFFFFF"/>
        </w:rPr>
        <w:t xml:space="preserve">del </w:t>
      </w:r>
      <w:r w:rsidRPr="00B86EDB">
        <w:rPr>
          <w:rFonts w:ascii="Times New Roman" w:hAnsi="Times New Roman" w:cs="Times New Roman"/>
          <w:b/>
          <w:bCs/>
          <w:sz w:val="28"/>
          <w:szCs w:val="28"/>
          <w:shd w:val="clear" w:color="auto" w:fill="FFFFFF"/>
        </w:rPr>
        <w:t>concepto de</w:t>
      </w:r>
      <w:r w:rsidRPr="00B86EDB">
        <w:rPr>
          <w:rFonts w:ascii="Times New Roman" w:hAnsi="Times New Roman" w:cs="Times New Roman"/>
          <w:b/>
          <w:bCs/>
          <w:sz w:val="28"/>
          <w:szCs w:val="28"/>
          <w:shd w:val="clear" w:color="auto" w:fill="FFFFFF"/>
        </w:rPr>
        <w:t xml:space="preserve"> </w:t>
      </w:r>
      <w:r w:rsidRPr="00B86EDB">
        <w:rPr>
          <w:rFonts w:ascii="Times New Roman" w:hAnsi="Times New Roman" w:cs="Times New Roman"/>
          <w:b/>
          <w:bCs/>
          <w:sz w:val="28"/>
          <w:szCs w:val="28"/>
          <w:shd w:val="clear" w:color="auto" w:fill="FFFFFF"/>
        </w:rPr>
        <w:t>l</w:t>
      </w:r>
      <w:r w:rsidRPr="00B86EDB">
        <w:rPr>
          <w:rFonts w:ascii="Times New Roman" w:hAnsi="Times New Roman" w:cs="Times New Roman"/>
          <w:b/>
          <w:bCs/>
          <w:sz w:val="28"/>
          <w:szCs w:val="28"/>
          <w:shd w:val="clear" w:color="auto" w:fill="FFFFFF"/>
        </w:rPr>
        <w:t>a</w:t>
      </w:r>
      <w:r w:rsidRPr="00B86EDB">
        <w:rPr>
          <w:rFonts w:ascii="Times New Roman" w:hAnsi="Times New Roman" w:cs="Times New Roman"/>
          <w:b/>
          <w:bCs/>
          <w:sz w:val="28"/>
          <w:szCs w:val="28"/>
          <w:shd w:val="clear" w:color="auto" w:fill="FFFFFF"/>
        </w:rPr>
        <w:t xml:space="preserve"> </w:t>
      </w:r>
      <w:r w:rsidRPr="00B86EDB">
        <w:rPr>
          <w:rFonts w:ascii="Times New Roman" w:hAnsi="Times New Roman" w:cs="Times New Roman"/>
          <w:b/>
          <w:bCs/>
          <w:sz w:val="28"/>
          <w:szCs w:val="28"/>
          <w:shd w:val="clear" w:color="auto" w:fill="FFFFFF"/>
        </w:rPr>
        <w:t>Procuradora General de la Nación</w:t>
      </w:r>
    </w:p>
    <w:p w:rsidR="00AC6B08" w:rsidRPr="00B86EDB" w:rsidRDefault="00B86EDB" w:rsidP="009F3F6A">
      <w:pPr>
        <w:pStyle w:val="Prrafodelista"/>
        <w:widowControl w:val="0"/>
        <w:autoSpaceDE w:val="0"/>
        <w:autoSpaceDN w:val="0"/>
        <w:ind w:left="0"/>
        <w:contextualSpacing w:val="0"/>
        <w:rPr>
          <w:rFonts w:ascii="Times New Roman" w:hAnsi="Times New Roman" w:cs="Times New Roman"/>
          <w:b/>
          <w:bCs/>
          <w:sz w:val="28"/>
          <w:szCs w:val="28"/>
          <w:shd w:val="clear" w:color="auto" w:fill="FFFFFF"/>
        </w:rPr>
      </w:pPr>
    </w:p>
    <w:tbl>
      <w:tblPr>
        <w:tblStyle w:val="Tablaconcuadrcula"/>
        <w:tblW w:w="9918" w:type="dxa"/>
        <w:tblLook w:val="04A0" w:firstRow="1" w:lastRow="0" w:firstColumn="1" w:lastColumn="0" w:noHBand="0" w:noVBand="1"/>
      </w:tblPr>
      <w:tblGrid>
        <w:gridCol w:w="570"/>
        <w:gridCol w:w="1835"/>
        <w:gridCol w:w="5528"/>
        <w:gridCol w:w="1985"/>
      </w:tblGrid>
      <w:tr w:rsidR="00DE26EA" w:rsidRPr="00B86EDB" w:rsidTr="00457F95">
        <w:trPr>
          <w:tblHeader/>
        </w:trPr>
        <w:tc>
          <w:tcPr>
            <w:tcW w:w="570" w:type="dxa"/>
            <w:vAlign w:val="center"/>
          </w:tcPr>
          <w:p w:rsidR="006F6BFC" w:rsidRPr="00B86EDB" w:rsidRDefault="00B86EDB" w:rsidP="009F3F6A">
            <w:pPr>
              <w:widowControl w:val="0"/>
              <w:tabs>
                <w:tab w:val="left" w:pos="567"/>
                <w:tab w:val="left" w:pos="709"/>
              </w:tabs>
              <w:jc w:val="center"/>
              <w:rPr>
                <w:rFonts w:ascii="Times New Roman" w:hAnsi="Times New Roman" w:cs="Times New Roman"/>
                <w:b/>
                <w:bCs/>
                <w:sz w:val="28"/>
              </w:rPr>
            </w:pPr>
            <w:r w:rsidRPr="00B86EDB">
              <w:rPr>
                <w:rFonts w:ascii="Times New Roman" w:hAnsi="Times New Roman" w:cs="Times New Roman"/>
                <w:b/>
                <w:bCs/>
                <w:sz w:val="28"/>
              </w:rPr>
              <w:t>No.</w:t>
            </w:r>
          </w:p>
        </w:tc>
        <w:tc>
          <w:tcPr>
            <w:tcW w:w="1835" w:type="dxa"/>
          </w:tcPr>
          <w:p w:rsidR="006F6BFC" w:rsidRPr="00B86EDB" w:rsidRDefault="00B86EDB" w:rsidP="009F3F6A">
            <w:pPr>
              <w:widowControl w:val="0"/>
              <w:tabs>
                <w:tab w:val="left" w:pos="567"/>
                <w:tab w:val="left" w:pos="709"/>
              </w:tabs>
              <w:jc w:val="center"/>
              <w:rPr>
                <w:rFonts w:ascii="Times New Roman" w:hAnsi="Times New Roman" w:cs="Times New Roman"/>
                <w:b/>
                <w:bCs/>
                <w:sz w:val="28"/>
              </w:rPr>
            </w:pPr>
            <w:r w:rsidRPr="00B86EDB">
              <w:rPr>
                <w:rFonts w:ascii="Times New Roman" w:hAnsi="Times New Roman" w:cs="Times New Roman"/>
                <w:b/>
                <w:bCs/>
                <w:sz w:val="28"/>
              </w:rPr>
              <w:t>Tipo de intervención</w:t>
            </w:r>
          </w:p>
        </w:tc>
        <w:tc>
          <w:tcPr>
            <w:tcW w:w="5528" w:type="dxa"/>
          </w:tcPr>
          <w:p w:rsidR="006F6BFC" w:rsidRPr="00B86EDB" w:rsidRDefault="00B86EDB" w:rsidP="009F3F6A">
            <w:pPr>
              <w:widowControl w:val="0"/>
              <w:tabs>
                <w:tab w:val="left" w:pos="567"/>
                <w:tab w:val="left" w:pos="709"/>
              </w:tabs>
              <w:jc w:val="center"/>
              <w:rPr>
                <w:rFonts w:ascii="Times New Roman" w:hAnsi="Times New Roman" w:cs="Times New Roman"/>
                <w:b/>
                <w:bCs/>
                <w:sz w:val="28"/>
              </w:rPr>
            </w:pPr>
            <w:r w:rsidRPr="00B86EDB">
              <w:rPr>
                <w:rFonts w:ascii="Times New Roman" w:hAnsi="Times New Roman" w:cs="Times New Roman"/>
                <w:b/>
                <w:bCs/>
                <w:sz w:val="28"/>
              </w:rPr>
              <w:t>Interviniente</w:t>
            </w:r>
          </w:p>
        </w:tc>
        <w:tc>
          <w:tcPr>
            <w:tcW w:w="1985" w:type="dxa"/>
          </w:tcPr>
          <w:p w:rsidR="006F6BFC" w:rsidRPr="00B86EDB" w:rsidRDefault="00B86EDB" w:rsidP="009F3F6A">
            <w:pPr>
              <w:widowControl w:val="0"/>
              <w:tabs>
                <w:tab w:val="left" w:pos="567"/>
                <w:tab w:val="left" w:pos="709"/>
              </w:tabs>
              <w:jc w:val="center"/>
              <w:rPr>
                <w:rFonts w:ascii="Times New Roman" w:hAnsi="Times New Roman" w:cs="Times New Roman"/>
                <w:b/>
                <w:bCs/>
                <w:sz w:val="28"/>
              </w:rPr>
            </w:pPr>
            <w:r w:rsidRPr="00B86EDB">
              <w:rPr>
                <w:rFonts w:ascii="Times New Roman" w:hAnsi="Times New Roman" w:cs="Times New Roman"/>
                <w:b/>
                <w:bCs/>
                <w:sz w:val="28"/>
              </w:rPr>
              <w:t>Solicitud</w:t>
            </w:r>
          </w:p>
        </w:tc>
      </w:tr>
      <w:tr w:rsidR="00DE26EA" w:rsidRPr="00B86EDB" w:rsidTr="00457F95">
        <w:tc>
          <w:tcPr>
            <w:tcW w:w="570" w:type="dxa"/>
            <w:vAlign w:val="center"/>
          </w:tcPr>
          <w:p w:rsidR="00195343" w:rsidRPr="00B86EDB" w:rsidRDefault="00B86EDB" w:rsidP="009F3F6A">
            <w:pPr>
              <w:widowControl w:val="0"/>
              <w:tabs>
                <w:tab w:val="left" w:pos="567"/>
                <w:tab w:val="left" w:pos="709"/>
                <w:tab w:val="left" w:pos="3686"/>
              </w:tabs>
              <w:jc w:val="center"/>
              <w:rPr>
                <w:rFonts w:ascii="Times New Roman" w:hAnsi="Times New Roman" w:cs="Times New Roman"/>
                <w:sz w:val="28"/>
              </w:rPr>
            </w:pPr>
            <w:r w:rsidRPr="00B86EDB">
              <w:rPr>
                <w:rFonts w:ascii="Times New Roman" w:hAnsi="Times New Roman" w:cs="Times New Roman"/>
                <w:sz w:val="28"/>
              </w:rPr>
              <w:t>1</w:t>
            </w:r>
          </w:p>
        </w:tc>
        <w:tc>
          <w:tcPr>
            <w:tcW w:w="1835" w:type="dxa"/>
            <w:vMerge w:val="restart"/>
            <w:vAlign w:val="center"/>
          </w:tcPr>
          <w:p w:rsidR="00457F95" w:rsidRPr="00B86EDB" w:rsidRDefault="00B86EDB" w:rsidP="009F3F6A">
            <w:pPr>
              <w:widowControl w:val="0"/>
              <w:tabs>
                <w:tab w:val="left" w:pos="567"/>
                <w:tab w:val="left" w:pos="709"/>
                <w:tab w:val="left" w:pos="3686"/>
              </w:tabs>
              <w:jc w:val="center"/>
              <w:rPr>
                <w:rFonts w:ascii="Times New Roman" w:hAnsi="Times New Roman" w:cs="Times New Roman"/>
                <w:sz w:val="28"/>
              </w:rPr>
            </w:pPr>
            <w:r w:rsidRPr="00B86EDB">
              <w:rPr>
                <w:rFonts w:ascii="Times New Roman" w:hAnsi="Times New Roman" w:cs="Times New Roman"/>
                <w:sz w:val="28"/>
              </w:rPr>
              <w:t>Intervención</w:t>
            </w:r>
          </w:p>
          <w:p w:rsidR="00195343" w:rsidRPr="00B86EDB" w:rsidRDefault="00B86EDB" w:rsidP="009F3F6A">
            <w:pPr>
              <w:widowControl w:val="0"/>
              <w:tabs>
                <w:tab w:val="left" w:pos="567"/>
                <w:tab w:val="left" w:pos="709"/>
                <w:tab w:val="left" w:pos="3686"/>
              </w:tabs>
              <w:jc w:val="center"/>
              <w:rPr>
                <w:rFonts w:ascii="Times New Roman" w:hAnsi="Times New Roman" w:cs="Times New Roman"/>
                <w:sz w:val="28"/>
              </w:rPr>
            </w:pPr>
            <w:r w:rsidRPr="00B86EDB">
              <w:rPr>
                <w:rFonts w:ascii="Times New Roman" w:hAnsi="Times New Roman" w:cs="Times New Roman"/>
                <w:sz w:val="28"/>
              </w:rPr>
              <w:t>O</w:t>
            </w:r>
            <w:r w:rsidRPr="00B86EDB">
              <w:rPr>
                <w:rFonts w:ascii="Times New Roman" w:hAnsi="Times New Roman" w:cs="Times New Roman"/>
                <w:sz w:val="28"/>
              </w:rPr>
              <w:t>ficial</w:t>
            </w:r>
          </w:p>
        </w:tc>
        <w:tc>
          <w:tcPr>
            <w:tcW w:w="5528" w:type="dxa"/>
            <w:vAlign w:val="center"/>
          </w:tcPr>
          <w:p w:rsidR="00195343" w:rsidRPr="00B86EDB" w:rsidRDefault="00B86EDB" w:rsidP="009F3F6A">
            <w:pPr>
              <w:widowControl w:val="0"/>
              <w:tabs>
                <w:tab w:val="left" w:pos="567"/>
                <w:tab w:val="left" w:pos="709"/>
                <w:tab w:val="left" w:pos="3686"/>
              </w:tabs>
              <w:rPr>
                <w:rFonts w:ascii="Times New Roman" w:hAnsi="Times New Roman" w:cs="Times New Roman"/>
                <w:sz w:val="28"/>
              </w:rPr>
            </w:pPr>
            <w:r w:rsidRPr="00B86EDB">
              <w:rPr>
                <w:rFonts w:ascii="Times New Roman" w:hAnsi="Times New Roman" w:cs="Times New Roman"/>
                <w:sz w:val="28"/>
              </w:rPr>
              <w:t>Ministerio de Hacienda y Crédito Público</w:t>
            </w:r>
          </w:p>
        </w:tc>
        <w:tc>
          <w:tcPr>
            <w:tcW w:w="1985" w:type="dxa"/>
            <w:vMerge w:val="restart"/>
            <w:vAlign w:val="center"/>
          </w:tcPr>
          <w:p w:rsidR="00195343" w:rsidRPr="00B86EDB" w:rsidRDefault="00B86EDB" w:rsidP="009F3F6A">
            <w:pPr>
              <w:widowControl w:val="0"/>
              <w:tabs>
                <w:tab w:val="left" w:pos="567"/>
                <w:tab w:val="left" w:pos="709"/>
                <w:tab w:val="left" w:pos="3686"/>
              </w:tabs>
              <w:jc w:val="center"/>
              <w:rPr>
                <w:rFonts w:ascii="Times New Roman" w:hAnsi="Times New Roman" w:cs="Times New Roman"/>
                <w:sz w:val="28"/>
              </w:rPr>
            </w:pPr>
            <w:r w:rsidRPr="00B86EDB">
              <w:rPr>
                <w:rFonts w:ascii="Times New Roman" w:hAnsi="Times New Roman" w:cs="Times New Roman"/>
                <w:sz w:val="28"/>
              </w:rPr>
              <w:t>Exequibilidad</w:t>
            </w:r>
          </w:p>
        </w:tc>
      </w:tr>
      <w:tr w:rsidR="00DE26EA" w:rsidRPr="00B86EDB" w:rsidTr="00457F95">
        <w:tc>
          <w:tcPr>
            <w:tcW w:w="570" w:type="dxa"/>
            <w:vAlign w:val="center"/>
          </w:tcPr>
          <w:p w:rsidR="00195343" w:rsidRPr="00B86EDB" w:rsidRDefault="00B86EDB" w:rsidP="009F3F6A">
            <w:pPr>
              <w:widowControl w:val="0"/>
              <w:tabs>
                <w:tab w:val="left" w:pos="567"/>
                <w:tab w:val="left" w:pos="709"/>
                <w:tab w:val="left" w:pos="3686"/>
              </w:tabs>
              <w:jc w:val="center"/>
              <w:rPr>
                <w:rFonts w:ascii="Times New Roman" w:hAnsi="Times New Roman" w:cs="Times New Roman"/>
                <w:sz w:val="28"/>
              </w:rPr>
            </w:pPr>
            <w:r w:rsidRPr="00B86EDB">
              <w:rPr>
                <w:rFonts w:ascii="Times New Roman" w:hAnsi="Times New Roman" w:cs="Times New Roman"/>
                <w:sz w:val="28"/>
              </w:rPr>
              <w:t>2</w:t>
            </w:r>
          </w:p>
        </w:tc>
        <w:tc>
          <w:tcPr>
            <w:tcW w:w="1835" w:type="dxa"/>
            <w:vMerge/>
          </w:tcPr>
          <w:p w:rsidR="00195343" w:rsidRPr="00B86EDB" w:rsidRDefault="00B86EDB" w:rsidP="009F3F6A">
            <w:pPr>
              <w:widowControl w:val="0"/>
              <w:tabs>
                <w:tab w:val="left" w:pos="567"/>
                <w:tab w:val="left" w:pos="709"/>
                <w:tab w:val="left" w:pos="3686"/>
              </w:tabs>
              <w:jc w:val="center"/>
              <w:rPr>
                <w:rFonts w:ascii="Times New Roman" w:hAnsi="Times New Roman" w:cs="Times New Roman"/>
                <w:sz w:val="28"/>
              </w:rPr>
            </w:pPr>
          </w:p>
        </w:tc>
        <w:tc>
          <w:tcPr>
            <w:tcW w:w="5528" w:type="dxa"/>
            <w:vAlign w:val="center"/>
          </w:tcPr>
          <w:p w:rsidR="00195343" w:rsidRPr="00B86EDB" w:rsidRDefault="00B86EDB" w:rsidP="009F3F6A">
            <w:pPr>
              <w:widowControl w:val="0"/>
              <w:tabs>
                <w:tab w:val="left" w:pos="567"/>
                <w:tab w:val="left" w:pos="709"/>
                <w:tab w:val="left" w:pos="3686"/>
              </w:tabs>
              <w:rPr>
                <w:rFonts w:ascii="Times New Roman" w:hAnsi="Times New Roman" w:cs="Times New Roman"/>
                <w:sz w:val="28"/>
              </w:rPr>
            </w:pPr>
            <w:r w:rsidRPr="00B86EDB">
              <w:rPr>
                <w:rFonts w:ascii="Times New Roman" w:hAnsi="Times New Roman" w:cs="Times New Roman"/>
                <w:sz w:val="28"/>
              </w:rPr>
              <w:t>Departamento Administrativo de la Presidencia de la República</w:t>
            </w:r>
            <w:r w:rsidRPr="00B86EDB">
              <w:rPr>
                <w:rFonts w:ascii="Times New Roman" w:hAnsi="Times New Roman" w:cs="Times New Roman"/>
                <w:sz w:val="28"/>
              </w:rPr>
              <w:t xml:space="preserve"> </w:t>
            </w:r>
          </w:p>
        </w:tc>
        <w:tc>
          <w:tcPr>
            <w:tcW w:w="1985" w:type="dxa"/>
            <w:vMerge/>
          </w:tcPr>
          <w:p w:rsidR="00195343" w:rsidRPr="00B86EDB" w:rsidRDefault="00B86EDB" w:rsidP="009F3F6A">
            <w:pPr>
              <w:widowControl w:val="0"/>
              <w:tabs>
                <w:tab w:val="left" w:pos="567"/>
                <w:tab w:val="left" w:pos="709"/>
                <w:tab w:val="left" w:pos="3686"/>
              </w:tabs>
              <w:rPr>
                <w:rFonts w:ascii="Times New Roman" w:hAnsi="Times New Roman" w:cs="Times New Roman"/>
                <w:sz w:val="28"/>
              </w:rPr>
            </w:pPr>
          </w:p>
        </w:tc>
      </w:tr>
      <w:tr w:rsidR="00DE26EA" w:rsidRPr="00B86EDB" w:rsidTr="00457F95">
        <w:tc>
          <w:tcPr>
            <w:tcW w:w="570" w:type="dxa"/>
            <w:vAlign w:val="center"/>
          </w:tcPr>
          <w:p w:rsidR="00195343" w:rsidRPr="00B86EDB" w:rsidRDefault="00B86EDB" w:rsidP="009F3F6A">
            <w:pPr>
              <w:widowControl w:val="0"/>
              <w:tabs>
                <w:tab w:val="left" w:pos="567"/>
                <w:tab w:val="left" w:pos="709"/>
                <w:tab w:val="left" w:pos="3686"/>
              </w:tabs>
              <w:jc w:val="center"/>
              <w:rPr>
                <w:rFonts w:ascii="Times New Roman" w:hAnsi="Times New Roman" w:cs="Times New Roman"/>
                <w:sz w:val="28"/>
              </w:rPr>
            </w:pPr>
            <w:r w:rsidRPr="00B86EDB">
              <w:rPr>
                <w:rFonts w:ascii="Times New Roman" w:hAnsi="Times New Roman" w:cs="Times New Roman"/>
                <w:sz w:val="28"/>
              </w:rPr>
              <w:t>3</w:t>
            </w:r>
          </w:p>
        </w:tc>
        <w:tc>
          <w:tcPr>
            <w:tcW w:w="1835" w:type="dxa"/>
            <w:vMerge/>
          </w:tcPr>
          <w:p w:rsidR="00195343" w:rsidRPr="00B86EDB" w:rsidRDefault="00B86EDB" w:rsidP="009F3F6A">
            <w:pPr>
              <w:widowControl w:val="0"/>
              <w:tabs>
                <w:tab w:val="left" w:pos="567"/>
                <w:tab w:val="left" w:pos="709"/>
                <w:tab w:val="left" w:pos="3686"/>
              </w:tabs>
              <w:jc w:val="center"/>
              <w:rPr>
                <w:rFonts w:ascii="Times New Roman" w:hAnsi="Times New Roman" w:cs="Times New Roman"/>
                <w:sz w:val="28"/>
              </w:rPr>
            </w:pPr>
          </w:p>
        </w:tc>
        <w:tc>
          <w:tcPr>
            <w:tcW w:w="5528" w:type="dxa"/>
            <w:vAlign w:val="center"/>
          </w:tcPr>
          <w:p w:rsidR="00195343" w:rsidRPr="00B86EDB" w:rsidRDefault="00B86EDB" w:rsidP="009F3F6A">
            <w:pPr>
              <w:widowControl w:val="0"/>
              <w:tabs>
                <w:tab w:val="left" w:pos="567"/>
                <w:tab w:val="left" w:pos="709"/>
                <w:tab w:val="left" w:pos="3686"/>
              </w:tabs>
              <w:rPr>
                <w:rFonts w:ascii="Times New Roman" w:hAnsi="Times New Roman" w:cs="Times New Roman"/>
                <w:sz w:val="28"/>
              </w:rPr>
            </w:pPr>
            <w:r w:rsidRPr="00B86EDB">
              <w:rPr>
                <w:rFonts w:ascii="Times New Roman" w:hAnsi="Times New Roman" w:cs="Times New Roman"/>
                <w:sz w:val="28"/>
              </w:rPr>
              <w:t>Dirección de Impuestos y Aduanas Nacionales DIAN</w:t>
            </w:r>
          </w:p>
        </w:tc>
        <w:tc>
          <w:tcPr>
            <w:tcW w:w="1985" w:type="dxa"/>
            <w:vMerge/>
          </w:tcPr>
          <w:p w:rsidR="00195343" w:rsidRPr="00B86EDB" w:rsidRDefault="00B86EDB" w:rsidP="009F3F6A">
            <w:pPr>
              <w:widowControl w:val="0"/>
              <w:tabs>
                <w:tab w:val="left" w:pos="567"/>
                <w:tab w:val="left" w:pos="709"/>
                <w:tab w:val="left" w:pos="3686"/>
              </w:tabs>
              <w:rPr>
                <w:rFonts w:ascii="Times New Roman" w:hAnsi="Times New Roman" w:cs="Times New Roman"/>
                <w:sz w:val="28"/>
              </w:rPr>
            </w:pPr>
          </w:p>
        </w:tc>
      </w:tr>
      <w:tr w:rsidR="00DE26EA" w:rsidRPr="00B86EDB" w:rsidTr="00457F95">
        <w:tc>
          <w:tcPr>
            <w:tcW w:w="570" w:type="dxa"/>
            <w:vAlign w:val="center"/>
          </w:tcPr>
          <w:p w:rsidR="00195343" w:rsidRPr="00B86EDB" w:rsidRDefault="00B86EDB" w:rsidP="009F3F6A">
            <w:pPr>
              <w:widowControl w:val="0"/>
              <w:tabs>
                <w:tab w:val="left" w:pos="567"/>
                <w:tab w:val="left" w:pos="709"/>
                <w:tab w:val="left" w:pos="3686"/>
              </w:tabs>
              <w:jc w:val="center"/>
              <w:rPr>
                <w:rFonts w:ascii="Times New Roman" w:hAnsi="Times New Roman" w:cs="Times New Roman"/>
                <w:sz w:val="28"/>
              </w:rPr>
            </w:pPr>
            <w:r w:rsidRPr="00B86EDB">
              <w:rPr>
                <w:rFonts w:ascii="Times New Roman" w:hAnsi="Times New Roman" w:cs="Times New Roman"/>
                <w:sz w:val="28"/>
              </w:rPr>
              <w:t>4</w:t>
            </w:r>
          </w:p>
        </w:tc>
        <w:tc>
          <w:tcPr>
            <w:tcW w:w="1835" w:type="dxa"/>
            <w:vMerge w:val="restart"/>
            <w:vAlign w:val="center"/>
          </w:tcPr>
          <w:p w:rsidR="00195343" w:rsidRPr="00B86EDB" w:rsidRDefault="00B86EDB" w:rsidP="009F3F6A">
            <w:pPr>
              <w:widowControl w:val="0"/>
              <w:tabs>
                <w:tab w:val="left" w:pos="567"/>
                <w:tab w:val="left" w:pos="709"/>
                <w:tab w:val="left" w:pos="3686"/>
              </w:tabs>
              <w:jc w:val="center"/>
              <w:rPr>
                <w:rFonts w:ascii="Times New Roman" w:hAnsi="Times New Roman" w:cs="Times New Roman"/>
                <w:sz w:val="28"/>
              </w:rPr>
            </w:pPr>
            <w:r w:rsidRPr="00B86EDB">
              <w:rPr>
                <w:rFonts w:ascii="Times New Roman" w:hAnsi="Times New Roman" w:cs="Times New Roman"/>
                <w:sz w:val="28"/>
              </w:rPr>
              <w:t>Concepto</w:t>
            </w:r>
            <w:r w:rsidRPr="00B86EDB">
              <w:rPr>
                <w:rFonts w:ascii="Times New Roman" w:hAnsi="Times New Roman" w:cs="Times New Roman"/>
                <w:sz w:val="28"/>
              </w:rPr>
              <w:t>s</w:t>
            </w:r>
            <w:r w:rsidRPr="00B86EDB">
              <w:rPr>
                <w:rFonts w:ascii="Times New Roman" w:hAnsi="Times New Roman" w:cs="Times New Roman"/>
                <w:sz w:val="28"/>
              </w:rPr>
              <w:t xml:space="preserve"> de experto</w:t>
            </w:r>
            <w:r w:rsidRPr="00B86EDB">
              <w:rPr>
                <w:rFonts w:ascii="Times New Roman" w:hAnsi="Times New Roman" w:cs="Times New Roman"/>
                <w:sz w:val="28"/>
              </w:rPr>
              <w:t>s</w:t>
            </w:r>
          </w:p>
        </w:tc>
        <w:tc>
          <w:tcPr>
            <w:tcW w:w="5528" w:type="dxa"/>
            <w:vAlign w:val="center"/>
          </w:tcPr>
          <w:p w:rsidR="00195343" w:rsidRPr="00B86EDB" w:rsidRDefault="00B86EDB" w:rsidP="009F3F6A">
            <w:pPr>
              <w:widowControl w:val="0"/>
              <w:tabs>
                <w:tab w:val="left" w:pos="567"/>
                <w:tab w:val="left" w:pos="709"/>
                <w:tab w:val="left" w:pos="3686"/>
              </w:tabs>
              <w:rPr>
                <w:rFonts w:ascii="Times New Roman" w:hAnsi="Times New Roman" w:cs="Times New Roman"/>
                <w:sz w:val="28"/>
              </w:rPr>
            </w:pPr>
            <w:r w:rsidRPr="00B86EDB">
              <w:rPr>
                <w:rFonts w:ascii="Times New Roman" w:hAnsi="Times New Roman" w:cs="Times New Roman"/>
                <w:sz w:val="28"/>
              </w:rPr>
              <w:t>Universidad Externado de Colombia</w:t>
            </w:r>
          </w:p>
        </w:tc>
        <w:tc>
          <w:tcPr>
            <w:tcW w:w="1985" w:type="dxa"/>
            <w:vMerge/>
          </w:tcPr>
          <w:p w:rsidR="00195343" w:rsidRPr="00B86EDB" w:rsidRDefault="00B86EDB" w:rsidP="009F3F6A">
            <w:pPr>
              <w:widowControl w:val="0"/>
              <w:tabs>
                <w:tab w:val="left" w:pos="567"/>
                <w:tab w:val="left" w:pos="709"/>
                <w:tab w:val="left" w:pos="3686"/>
              </w:tabs>
              <w:rPr>
                <w:rFonts w:ascii="Times New Roman" w:hAnsi="Times New Roman" w:cs="Times New Roman"/>
                <w:sz w:val="28"/>
              </w:rPr>
            </w:pPr>
          </w:p>
        </w:tc>
      </w:tr>
      <w:tr w:rsidR="00DE26EA" w:rsidRPr="00B86EDB" w:rsidTr="00457F95">
        <w:tc>
          <w:tcPr>
            <w:tcW w:w="570" w:type="dxa"/>
            <w:vAlign w:val="center"/>
          </w:tcPr>
          <w:p w:rsidR="000B2634" w:rsidRPr="00B86EDB" w:rsidRDefault="00B86EDB" w:rsidP="009F3F6A">
            <w:pPr>
              <w:widowControl w:val="0"/>
              <w:tabs>
                <w:tab w:val="left" w:pos="567"/>
                <w:tab w:val="left" w:pos="709"/>
                <w:tab w:val="left" w:pos="3686"/>
              </w:tabs>
              <w:jc w:val="center"/>
              <w:rPr>
                <w:rFonts w:ascii="Times New Roman" w:hAnsi="Times New Roman" w:cs="Times New Roman"/>
                <w:sz w:val="28"/>
              </w:rPr>
            </w:pPr>
            <w:r w:rsidRPr="00B86EDB">
              <w:rPr>
                <w:rFonts w:ascii="Times New Roman" w:hAnsi="Times New Roman" w:cs="Times New Roman"/>
                <w:sz w:val="28"/>
              </w:rPr>
              <w:t>5</w:t>
            </w:r>
          </w:p>
        </w:tc>
        <w:tc>
          <w:tcPr>
            <w:tcW w:w="1835" w:type="dxa"/>
            <w:vMerge/>
          </w:tcPr>
          <w:p w:rsidR="000B2634" w:rsidRPr="00B86EDB" w:rsidRDefault="00B86EDB" w:rsidP="009F3F6A">
            <w:pPr>
              <w:widowControl w:val="0"/>
              <w:tabs>
                <w:tab w:val="left" w:pos="567"/>
                <w:tab w:val="left" w:pos="709"/>
                <w:tab w:val="left" w:pos="3686"/>
              </w:tabs>
              <w:jc w:val="center"/>
              <w:rPr>
                <w:rFonts w:ascii="Times New Roman" w:hAnsi="Times New Roman" w:cs="Times New Roman"/>
                <w:sz w:val="28"/>
              </w:rPr>
            </w:pPr>
          </w:p>
        </w:tc>
        <w:tc>
          <w:tcPr>
            <w:tcW w:w="5528" w:type="dxa"/>
            <w:vAlign w:val="center"/>
          </w:tcPr>
          <w:p w:rsidR="000B2634" w:rsidRPr="00B86EDB" w:rsidRDefault="00B86EDB" w:rsidP="009F3F6A">
            <w:pPr>
              <w:widowControl w:val="0"/>
              <w:tabs>
                <w:tab w:val="left" w:pos="567"/>
                <w:tab w:val="left" w:pos="709"/>
                <w:tab w:val="left" w:pos="3686"/>
              </w:tabs>
              <w:rPr>
                <w:rFonts w:ascii="Times New Roman" w:hAnsi="Times New Roman" w:cs="Times New Roman"/>
                <w:sz w:val="28"/>
              </w:rPr>
            </w:pPr>
            <w:r w:rsidRPr="00B86EDB">
              <w:rPr>
                <w:rFonts w:ascii="Times New Roman" w:hAnsi="Times New Roman" w:cs="Times New Roman"/>
                <w:sz w:val="28"/>
              </w:rPr>
              <w:t>Instituto Colombiano de Derecho Tributario (ICDT)</w:t>
            </w:r>
          </w:p>
        </w:tc>
        <w:tc>
          <w:tcPr>
            <w:tcW w:w="1985" w:type="dxa"/>
            <w:vMerge w:val="restart"/>
            <w:vAlign w:val="center"/>
          </w:tcPr>
          <w:p w:rsidR="000B2634" w:rsidRPr="00B86EDB" w:rsidRDefault="00B86EDB" w:rsidP="009F3F6A">
            <w:pPr>
              <w:widowControl w:val="0"/>
              <w:tabs>
                <w:tab w:val="left" w:pos="567"/>
                <w:tab w:val="left" w:pos="709"/>
                <w:tab w:val="left" w:pos="3686"/>
              </w:tabs>
              <w:jc w:val="center"/>
              <w:rPr>
                <w:rFonts w:ascii="Times New Roman" w:hAnsi="Times New Roman" w:cs="Times New Roman"/>
                <w:sz w:val="28"/>
              </w:rPr>
            </w:pPr>
            <w:r w:rsidRPr="00B86EDB">
              <w:rPr>
                <w:rFonts w:ascii="Times New Roman" w:hAnsi="Times New Roman" w:cs="Times New Roman"/>
                <w:sz w:val="28"/>
              </w:rPr>
              <w:t>Inexequibilidad</w:t>
            </w:r>
          </w:p>
        </w:tc>
      </w:tr>
      <w:tr w:rsidR="00DE26EA" w:rsidRPr="00B86EDB" w:rsidTr="00457F95">
        <w:tc>
          <w:tcPr>
            <w:tcW w:w="570" w:type="dxa"/>
            <w:vAlign w:val="center"/>
          </w:tcPr>
          <w:p w:rsidR="000B2634" w:rsidRPr="00B86EDB" w:rsidRDefault="00B86EDB" w:rsidP="009F3F6A">
            <w:pPr>
              <w:widowControl w:val="0"/>
              <w:tabs>
                <w:tab w:val="left" w:pos="567"/>
                <w:tab w:val="left" w:pos="709"/>
                <w:tab w:val="left" w:pos="3686"/>
              </w:tabs>
              <w:jc w:val="center"/>
              <w:rPr>
                <w:rFonts w:ascii="Times New Roman" w:hAnsi="Times New Roman" w:cs="Times New Roman"/>
                <w:sz w:val="28"/>
              </w:rPr>
            </w:pPr>
            <w:r w:rsidRPr="00B86EDB">
              <w:rPr>
                <w:rFonts w:ascii="Times New Roman" w:hAnsi="Times New Roman" w:cs="Times New Roman"/>
                <w:sz w:val="28"/>
              </w:rPr>
              <w:t>6</w:t>
            </w:r>
          </w:p>
        </w:tc>
        <w:tc>
          <w:tcPr>
            <w:tcW w:w="1835" w:type="dxa"/>
            <w:vMerge/>
          </w:tcPr>
          <w:p w:rsidR="000B2634" w:rsidRPr="00B86EDB" w:rsidRDefault="00B86EDB" w:rsidP="009F3F6A">
            <w:pPr>
              <w:widowControl w:val="0"/>
              <w:tabs>
                <w:tab w:val="left" w:pos="567"/>
                <w:tab w:val="left" w:pos="709"/>
                <w:tab w:val="left" w:pos="3686"/>
              </w:tabs>
              <w:jc w:val="center"/>
              <w:rPr>
                <w:rFonts w:ascii="Times New Roman" w:hAnsi="Times New Roman" w:cs="Times New Roman"/>
                <w:sz w:val="28"/>
              </w:rPr>
            </w:pPr>
          </w:p>
        </w:tc>
        <w:tc>
          <w:tcPr>
            <w:tcW w:w="5528" w:type="dxa"/>
            <w:vAlign w:val="center"/>
          </w:tcPr>
          <w:p w:rsidR="000B2634" w:rsidRPr="00B86EDB" w:rsidRDefault="00B86EDB" w:rsidP="009F3F6A">
            <w:pPr>
              <w:widowControl w:val="0"/>
              <w:tabs>
                <w:tab w:val="left" w:pos="567"/>
                <w:tab w:val="left" w:pos="709"/>
                <w:tab w:val="left" w:pos="3686"/>
              </w:tabs>
              <w:rPr>
                <w:rFonts w:ascii="Times New Roman" w:hAnsi="Times New Roman" w:cs="Times New Roman"/>
                <w:sz w:val="28"/>
              </w:rPr>
            </w:pPr>
            <w:r w:rsidRPr="00B86EDB">
              <w:rPr>
                <w:rFonts w:ascii="Times New Roman" w:hAnsi="Times New Roman" w:cs="Times New Roman"/>
                <w:sz w:val="28"/>
              </w:rPr>
              <w:t>Asociación Nacional de Empresarios (ANDI)</w:t>
            </w:r>
          </w:p>
        </w:tc>
        <w:tc>
          <w:tcPr>
            <w:tcW w:w="1985" w:type="dxa"/>
            <w:vMerge/>
          </w:tcPr>
          <w:p w:rsidR="000B2634" w:rsidRPr="00B86EDB" w:rsidRDefault="00B86EDB" w:rsidP="009F3F6A">
            <w:pPr>
              <w:widowControl w:val="0"/>
              <w:tabs>
                <w:tab w:val="left" w:pos="567"/>
                <w:tab w:val="left" w:pos="709"/>
                <w:tab w:val="left" w:pos="3686"/>
              </w:tabs>
              <w:rPr>
                <w:rFonts w:ascii="Times New Roman" w:hAnsi="Times New Roman" w:cs="Times New Roman"/>
                <w:sz w:val="28"/>
              </w:rPr>
            </w:pPr>
          </w:p>
        </w:tc>
      </w:tr>
      <w:tr w:rsidR="00DE26EA" w:rsidRPr="00B86EDB" w:rsidTr="00457F95">
        <w:tc>
          <w:tcPr>
            <w:tcW w:w="570" w:type="dxa"/>
            <w:vAlign w:val="center"/>
          </w:tcPr>
          <w:p w:rsidR="000B2634" w:rsidRPr="00B86EDB" w:rsidRDefault="00B86EDB" w:rsidP="009F3F6A">
            <w:pPr>
              <w:widowControl w:val="0"/>
              <w:tabs>
                <w:tab w:val="left" w:pos="567"/>
                <w:tab w:val="left" w:pos="709"/>
                <w:tab w:val="left" w:pos="3686"/>
              </w:tabs>
              <w:jc w:val="center"/>
              <w:rPr>
                <w:rFonts w:ascii="Times New Roman" w:hAnsi="Times New Roman" w:cs="Times New Roman"/>
                <w:sz w:val="28"/>
              </w:rPr>
            </w:pPr>
            <w:r w:rsidRPr="00B86EDB">
              <w:rPr>
                <w:rFonts w:ascii="Times New Roman" w:hAnsi="Times New Roman" w:cs="Times New Roman"/>
                <w:sz w:val="28"/>
              </w:rPr>
              <w:t>7</w:t>
            </w:r>
          </w:p>
        </w:tc>
        <w:tc>
          <w:tcPr>
            <w:tcW w:w="1835" w:type="dxa"/>
            <w:vMerge w:val="restart"/>
            <w:vAlign w:val="center"/>
          </w:tcPr>
          <w:p w:rsidR="000B2634" w:rsidRPr="00B86EDB" w:rsidRDefault="00B86EDB" w:rsidP="009F3F6A">
            <w:pPr>
              <w:widowControl w:val="0"/>
              <w:tabs>
                <w:tab w:val="left" w:pos="567"/>
                <w:tab w:val="left" w:pos="709"/>
                <w:tab w:val="left" w:pos="3686"/>
              </w:tabs>
              <w:jc w:val="center"/>
              <w:rPr>
                <w:rFonts w:ascii="Times New Roman" w:hAnsi="Times New Roman" w:cs="Times New Roman"/>
                <w:sz w:val="28"/>
              </w:rPr>
            </w:pPr>
            <w:r w:rsidRPr="00B86EDB">
              <w:rPr>
                <w:rFonts w:ascii="Times New Roman" w:hAnsi="Times New Roman" w:cs="Times New Roman"/>
                <w:sz w:val="28"/>
              </w:rPr>
              <w:t>Intervención ciudadana</w:t>
            </w:r>
          </w:p>
        </w:tc>
        <w:tc>
          <w:tcPr>
            <w:tcW w:w="5528" w:type="dxa"/>
            <w:vAlign w:val="center"/>
          </w:tcPr>
          <w:p w:rsidR="000B2634" w:rsidRPr="00B86EDB" w:rsidRDefault="00B86EDB" w:rsidP="009F3F6A">
            <w:pPr>
              <w:widowControl w:val="0"/>
              <w:tabs>
                <w:tab w:val="left" w:pos="567"/>
                <w:tab w:val="left" w:pos="709"/>
                <w:tab w:val="left" w:pos="3686"/>
              </w:tabs>
              <w:rPr>
                <w:rFonts w:ascii="Times New Roman" w:hAnsi="Times New Roman" w:cs="Times New Roman"/>
                <w:sz w:val="28"/>
              </w:rPr>
            </w:pPr>
            <w:r w:rsidRPr="00B86EDB">
              <w:rPr>
                <w:rFonts w:ascii="Times New Roman" w:hAnsi="Times New Roman" w:cs="Times New Roman"/>
                <w:sz w:val="28"/>
              </w:rPr>
              <w:t>Mariana Durán Muñoz</w:t>
            </w:r>
          </w:p>
        </w:tc>
        <w:tc>
          <w:tcPr>
            <w:tcW w:w="1985" w:type="dxa"/>
            <w:vMerge/>
            <w:vAlign w:val="center"/>
          </w:tcPr>
          <w:p w:rsidR="000B2634" w:rsidRPr="00B86EDB" w:rsidRDefault="00B86EDB" w:rsidP="009F3F6A">
            <w:pPr>
              <w:widowControl w:val="0"/>
              <w:tabs>
                <w:tab w:val="left" w:pos="567"/>
                <w:tab w:val="left" w:pos="709"/>
                <w:tab w:val="left" w:pos="3686"/>
              </w:tabs>
              <w:jc w:val="center"/>
              <w:rPr>
                <w:rFonts w:ascii="Times New Roman" w:hAnsi="Times New Roman" w:cs="Times New Roman"/>
                <w:sz w:val="28"/>
              </w:rPr>
            </w:pPr>
          </w:p>
        </w:tc>
      </w:tr>
      <w:tr w:rsidR="00DE26EA" w:rsidRPr="00B86EDB" w:rsidTr="00457F95">
        <w:tc>
          <w:tcPr>
            <w:tcW w:w="570" w:type="dxa"/>
            <w:vAlign w:val="center"/>
          </w:tcPr>
          <w:p w:rsidR="000B2634" w:rsidRPr="00B86EDB" w:rsidRDefault="00B86EDB" w:rsidP="009F3F6A">
            <w:pPr>
              <w:widowControl w:val="0"/>
              <w:tabs>
                <w:tab w:val="left" w:pos="567"/>
                <w:tab w:val="left" w:pos="709"/>
                <w:tab w:val="left" w:pos="3686"/>
              </w:tabs>
              <w:jc w:val="center"/>
              <w:rPr>
                <w:rFonts w:ascii="Times New Roman" w:hAnsi="Times New Roman" w:cs="Times New Roman"/>
                <w:sz w:val="28"/>
              </w:rPr>
            </w:pPr>
            <w:r w:rsidRPr="00B86EDB">
              <w:rPr>
                <w:rFonts w:ascii="Times New Roman" w:hAnsi="Times New Roman" w:cs="Times New Roman"/>
                <w:sz w:val="28"/>
              </w:rPr>
              <w:t>8</w:t>
            </w:r>
          </w:p>
        </w:tc>
        <w:tc>
          <w:tcPr>
            <w:tcW w:w="1835" w:type="dxa"/>
            <w:vMerge/>
            <w:vAlign w:val="center"/>
          </w:tcPr>
          <w:p w:rsidR="000B2634" w:rsidRPr="00B86EDB" w:rsidRDefault="00B86EDB" w:rsidP="009F3F6A">
            <w:pPr>
              <w:widowControl w:val="0"/>
              <w:tabs>
                <w:tab w:val="left" w:pos="567"/>
                <w:tab w:val="left" w:pos="709"/>
                <w:tab w:val="left" w:pos="3686"/>
              </w:tabs>
              <w:jc w:val="center"/>
              <w:rPr>
                <w:rFonts w:ascii="Times New Roman" w:hAnsi="Times New Roman" w:cs="Times New Roman"/>
                <w:sz w:val="28"/>
              </w:rPr>
            </w:pPr>
          </w:p>
        </w:tc>
        <w:tc>
          <w:tcPr>
            <w:tcW w:w="5528" w:type="dxa"/>
            <w:vAlign w:val="center"/>
          </w:tcPr>
          <w:p w:rsidR="000B2634" w:rsidRPr="00B86EDB" w:rsidRDefault="00B86EDB" w:rsidP="009F3F6A">
            <w:pPr>
              <w:widowControl w:val="0"/>
              <w:tabs>
                <w:tab w:val="left" w:pos="567"/>
                <w:tab w:val="left" w:pos="709"/>
                <w:tab w:val="left" w:pos="3686"/>
              </w:tabs>
              <w:rPr>
                <w:rFonts w:ascii="Times New Roman" w:hAnsi="Times New Roman" w:cs="Times New Roman"/>
                <w:sz w:val="28"/>
              </w:rPr>
            </w:pPr>
            <w:r w:rsidRPr="00B86EDB">
              <w:rPr>
                <w:rFonts w:ascii="Times New Roman" w:hAnsi="Times New Roman" w:cs="Times New Roman"/>
                <w:sz w:val="28"/>
              </w:rPr>
              <w:t>Luisa Fernanda Bula Vergara</w:t>
            </w:r>
          </w:p>
        </w:tc>
        <w:tc>
          <w:tcPr>
            <w:tcW w:w="1985" w:type="dxa"/>
            <w:vMerge/>
            <w:vAlign w:val="center"/>
          </w:tcPr>
          <w:p w:rsidR="000B2634" w:rsidRPr="00B86EDB" w:rsidRDefault="00B86EDB" w:rsidP="009F3F6A">
            <w:pPr>
              <w:widowControl w:val="0"/>
              <w:tabs>
                <w:tab w:val="left" w:pos="567"/>
                <w:tab w:val="left" w:pos="709"/>
                <w:tab w:val="left" w:pos="3686"/>
              </w:tabs>
              <w:jc w:val="center"/>
              <w:rPr>
                <w:rFonts w:ascii="Times New Roman" w:hAnsi="Times New Roman" w:cs="Times New Roman"/>
                <w:sz w:val="28"/>
              </w:rPr>
            </w:pPr>
          </w:p>
        </w:tc>
      </w:tr>
      <w:tr w:rsidR="00DE26EA" w:rsidRPr="00B86EDB" w:rsidTr="00457F95">
        <w:tc>
          <w:tcPr>
            <w:tcW w:w="570" w:type="dxa"/>
            <w:vAlign w:val="center"/>
          </w:tcPr>
          <w:p w:rsidR="000C637B" w:rsidRPr="00B86EDB" w:rsidRDefault="00B86EDB" w:rsidP="009F3F6A">
            <w:pPr>
              <w:widowControl w:val="0"/>
              <w:tabs>
                <w:tab w:val="left" w:pos="567"/>
                <w:tab w:val="left" w:pos="709"/>
                <w:tab w:val="left" w:pos="3686"/>
              </w:tabs>
              <w:jc w:val="center"/>
              <w:rPr>
                <w:rFonts w:ascii="Times New Roman" w:hAnsi="Times New Roman" w:cs="Times New Roman"/>
                <w:sz w:val="28"/>
              </w:rPr>
            </w:pPr>
            <w:r w:rsidRPr="00B86EDB">
              <w:rPr>
                <w:rFonts w:ascii="Times New Roman" w:hAnsi="Times New Roman" w:cs="Times New Roman"/>
                <w:sz w:val="28"/>
              </w:rPr>
              <w:t>9</w:t>
            </w:r>
          </w:p>
        </w:tc>
        <w:tc>
          <w:tcPr>
            <w:tcW w:w="1835" w:type="dxa"/>
            <w:vMerge/>
            <w:vAlign w:val="center"/>
          </w:tcPr>
          <w:p w:rsidR="000C637B" w:rsidRPr="00B86EDB" w:rsidRDefault="00B86EDB" w:rsidP="009F3F6A">
            <w:pPr>
              <w:widowControl w:val="0"/>
              <w:tabs>
                <w:tab w:val="left" w:pos="567"/>
                <w:tab w:val="left" w:pos="709"/>
                <w:tab w:val="left" w:pos="3686"/>
              </w:tabs>
              <w:jc w:val="center"/>
              <w:rPr>
                <w:rFonts w:ascii="Times New Roman" w:hAnsi="Times New Roman" w:cs="Times New Roman"/>
                <w:sz w:val="28"/>
              </w:rPr>
            </w:pPr>
          </w:p>
        </w:tc>
        <w:tc>
          <w:tcPr>
            <w:tcW w:w="5528" w:type="dxa"/>
            <w:vAlign w:val="center"/>
          </w:tcPr>
          <w:p w:rsidR="000C637B" w:rsidRPr="00B86EDB" w:rsidRDefault="00B86EDB" w:rsidP="009F3F6A">
            <w:pPr>
              <w:widowControl w:val="0"/>
              <w:tabs>
                <w:tab w:val="left" w:pos="567"/>
                <w:tab w:val="left" w:pos="709"/>
                <w:tab w:val="left" w:pos="3686"/>
              </w:tabs>
              <w:rPr>
                <w:rFonts w:ascii="Times New Roman" w:hAnsi="Times New Roman" w:cs="Times New Roman"/>
                <w:sz w:val="28"/>
              </w:rPr>
            </w:pPr>
            <w:r w:rsidRPr="00B86EDB">
              <w:rPr>
                <w:rFonts w:ascii="Times New Roman" w:hAnsi="Times New Roman" w:cs="Times New Roman"/>
                <w:sz w:val="28"/>
              </w:rPr>
              <w:t>Harold Eduardo Sua Montaña</w:t>
            </w:r>
          </w:p>
        </w:tc>
        <w:tc>
          <w:tcPr>
            <w:tcW w:w="1985" w:type="dxa"/>
            <w:vAlign w:val="center"/>
          </w:tcPr>
          <w:p w:rsidR="000C637B" w:rsidRPr="00B86EDB" w:rsidRDefault="00B86EDB" w:rsidP="009F3F6A">
            <w:pPr>
              <w:widowControl w:val="0"/>
              <w:tabs>
                <w:tab w:val="left" w:pos="567"/>
                <w:tab w:val="left" w:pos="709"/>
                <w:tab w:val="left" w:pos="3686"/>
              </w:tabs>
              <w:jc w:val="center"/>
              <w:rPr>
                <w:rFonts w:ascii="Times New Roman" w:hAnsi="Times New Roman" w:cs="Times New Roman"/>
                <w:sz w:val="28"/>
              </w:rPr>
            </w:pPr>
            <w:r w:rsidRPr="00B86EDB">
              <w:rPr>
                <w:rFonts w:ascii="Times New Roman" w:hAnsi="Times New Roman" w:cs="Times New Roman"/>
                <w:sz w:val="28"/>
              </w:rPr>
              <w:t>Inhibición</w:t>
            </w:r>
          </w:p>
        </w:tc>
      </w:tr>
      <w:tr w:rsidR="00DE26EA" w:rsidRPr="00B86EDB" w:rsidTr="00457F95">
        <w:tc>
          <w:tcPr>
            <w:tcW w:w="570" w:type="dxa"/>
            <w:vAlign w:val="center"/>
          </w:tcPr>
          <w:p w:rsidR="00903AE3" w:rsidRPr="00B86EDB" w:rsidRDefault="00B86EDB" w:rsidP="009F3F6A">
            <w:pPr>
              <w:widowControl w:val="0"/>
              <w:tabs>
                <w:tab w:val="left" w:pos="567"/>
                <w:tab w:val="left" w:pos="709"/>
                <w:tab w:val="left" w:pos="3686"/>
              </w:tabs>
              <w:jc w:val="center"/>
              <w:rPr>
                <w:rFonts w:ascii="Times New Roman" w:hAnsi="Times New Roman" w:cs="Times New Roman"/>
                <w:sz w:val="28"/>
              </w:rPr>
            </w:pPr>
            <w:r w:rsidRPr="00B86EDB">
              <w:rPr>
                <w:rFonts w:ascii="Times New Roman" w:hAnsi="Times New Roman" w:cs="Times New Roman"/>
                <w:sz w:val="28"/>
              </w:rPr>
              <w:t>10</w:t>
            </w:r>
          </w:p>
        </w:tc>
        <w:tc>
          <w:tcPr>
            <w:tcW w:w="1835" w:type="dxa"/>
            <w:vAlign w:val="center"/>
          </w:tcPr>
          <w:p w:rsidR="00903AE3" w:rsidRPr="00B86EDB" w:rsidRDefault="00B86EDB" w:rsidP="009F3F6A">
            <w:pPr>
              <w:widowControl w:val="0"/>
              <w:tabs>
                <w:tab w:val="left" w:pos="567"/>
                <w:tab w:val="left" w:pos="709"/>
                <w:tab w:val="left" w:pos="3686"/>
              </w:tabs>
              <w:jc w:val="center"/>
              <w:rPr>
                <w:rFonts w:ascii="Times New Roman" w:hAnsi="Times New Roman" w:cs="Times New Roman"/>
                <w:sz w:val="28"/>
              </w:rPr>
            </w:pPr>
            <w:r w:rsidRPr="00B86EDB">
              <w:rPr>
                <w:rFonts w:ascii="Times New Roman" w:hAnsi="Times New Roman" w:cs="Times New Roman"/>
                <w:sz w:val="28"/>
              </w:rPr>
              <w:t xml:space="preserve">Concepto </w:t>
            </w:r>
            <w:r w:rsidRPr="00B86EDB">
              <w:rPr>
                <w:rFonts w:ascii="Times New Roman" w:hAnsi="Times New Roman" w:cs="Times New Roman"/>
                <w:sz w:val="28"/>
              </w:rPr>
              <w:t>Ministerio Público</w:t>
            </w:r>
          </w:p>
        </w:tc>
        <w:tc>
          <w:tcPr>
            <w:tcW w:w="5528" w:type="dxa"/>
            <w:vAlign w:val="center"/>
          </w:tcPr>
          <w:p w:rsidR="00903AE3" w:rsidRPr="00B86EDB" w:rsidRDefault="00B86EDB" w:rsidP="009F3F6A">
            <w:pPr>
              <w:widowControl w:val="0"/>
              <w:tabs>
                <w:tab w:val="left" w:pos="567"/>
                <w:tab w:val="left" w:pos="709"/>
                <w:tab w:val="left" w:pos="3686"/>
              </w:tabs>
              <w:rPr>
                <w:rFonts w:ascii="Times New Roman" w:hAnsi="Times New Roman" w:cs="Times New Roman"/>
                <w:sz w:val="28"/>
              </w:rPr>
            </w:pPr>
            <w:r w:rsidRPr="00B86EDB">
              <w:rPr>
                <w:rFonts w:ascii="Times New Roman" w:hAnsi="Times New Roman" w:cs="Times New Roman"/>
                <w:sz w:val="28"/>
              </w:rPr>
              <w:t>Procuraduría General de la Nación</w:t>
            </w:r>
          </w:p>
        </w:tc>
        <w:tc>
          <w:tcPr>
            <w:tcW w:w="1985" w:type="dxa"/>
            <w:vAlign w:val="center"/>
          </w:tcPr>
          <w:p w:rsidR="00903AE3" w:rsidRPr="00B86EDB" w:rsidRDefault="00B86EDB" w:rsidP="009F3F6A">
            <w:pPr>
              <w:widowControl w:val="0"/>
              <w:tabs>
                <w:tab w:val="left" w:pos="567"/>
                <w:tab w:val="left" w:pos="709"/>
                <w:tab w:val="left" w:pos="3686"/>
              </w:tabs>
              <w:jc w:val="center"/>
              <w:rPr>
                <w:rFonts w:ascii="Times New Roman" w:hAnsi="Times New Roman" w:cs="Times New Roman"/>
                <w:sz w:val="28"/>
              </w:rPr>
            </w:pPr>
            <w:r w:rsidRPr="00B86EDB">
              <w:rPr>
                <w:rFonts w:ascii="Times New Roman" w:hAnsi="Times New Roman" w:cs="Times New Roman"/>
                <w:sz w:val="28"/>
              </w:rPr>
              <w:t>Inexequibilidad</w:t>
            </w:r>
          </w:p>
        </w:tc>
      </w:tr>
    </w:tbl>
    <w:p w:rsidR="00650B5F" w:rsidRPr="00B86EDB" w:rsidRDefault="00B86EDB" w:rsidP="009F3F6A">
      <w:pPr>
        <w:pStyle w:val="Prrafodelista"/>
        <w:widowControl w:val="0"/>
        <w:tabs>
          <w:tab w:val="left" w:pos="567"/>
          <w:tab w:val="left" w:pos="709"/>
        </w:tabs>
        <w:ind w:left="0"/>
        <w:contextualSpacing w:val="0"/>
        <w:jc w:val="both"/>
        <w:rPr>
          <w:rFonts w:ascii="Times New Roman" w:hAnsi="Times New Roman" w:cs="Times New Roman"/>
          <w:i/>
          <w:iCs/>
          <w:sz w:val="28"/>
          <w:szCs w:val="28"/>
          <w:shd w:val="clear" w:color="auto" w:fill="FFFFFF"/>
          <w:lang w:eastAsia="es-MX"/>
        </w:rPr>
      </w:pPr>
      <w:r w:rsidRPr="00B86EDB">
        <w:rPr>
          <w:rFonts w:ascii="Times New Roman" w:hAnsi="Times New Roman" w:cs="Times New Roman"/>
          <w:i/>
          <w:iCs/>
          <w:sz w:val="28"/>
          <w:szCs w:val="28"/>
          <w:shd w:val="clear" w:color="auto" w:fill="FFFFFF"/>
          <w:lang w:eastAsia="es-MX"/>
        </w:rPr>
        <w:t xml:space="preserve"> </w:t>
      </w:r>
    </w:p>
    <w:p w:rsidR="00D9058A" w:rsidRPr="00B86EDB" w:rsidRDefault="00B86EDB" w:rsidP="009F3F6A">
      <w:pPr>
        <w:pStyle w:val="Prrafodelista"/>
        <w:ind w:left="1080"/>
        <w:contextualSpacing w:val="0"/>
        <w:jc w:val="both"/>
        <w:rPr>
          <w:rFonts w:ascii="Times New Roman" w:hAnsi="Times New Roman" w:cs="Times New Roman"/>
          <w:b/>
          <w:bCs/>
          <w:sz w:val="28"/>
          <w:szCs w:val="28"/>
        </w:rPr>
      </w:pPr>
    </w:p>
    <w:p w:rsidR="00A85C31" w:rsidRPr="00B86EDB" w:rsidRDefault="00B86EDB" w:rsidP="009F3F6A">
      <w:pPr>
        <w:pStyle w:val="Ttulo1"/>
        <w:numPr>
          <w:ilvl w:val="0"/>
          <w:numId w:val="3"/>
        </w:numPr>
        <w:spacing w:before="0"/>
        <w:ind w:left="720"/>
        <w:rPr>
          <w:rFonts w:ascii="Times New Roman" w:hAnsi="Times New Roman" w:cs="Times New Roman"/>
          <w:b/>
          <w:bCs/>
          <w:color w:val="auto"/>
          <w:sz w:val="28"/>
          <w:szCs w:val="28"/>
        </w:rPr>
      </w:pPr>
      <w:r w:rsidRPr="00B86EDB">
        <w:rPr>
          <w:rFonts w:ascii="Times New Roman" w:hAnsi="Times New Roman" w:cs="Times New Roman"/>
          <w:b/>
          <w:bCs/>
          <w:color w:val="auto"/>
          <w:sz w:val="28"/>
          <w:szCs w:val="28"/>
        </w:rPr>
        <w:t>CONSIDERACIONES</w:t>
      </w:r>
    </w:p>
    <w:p w:rsidR="00112BF6" w:rsidRPr="00B86EDB" w:rsidRDefault="00B86EDB" w:rsidP="009F3F6A">
      <w:pPr>
        <w:pStyle w:val="Prrafodelista"/>
        <w:ind w:left="1080"/>
        <w:contextualSpacing w:val="0"/>
        <w:jc w:val="both"/>
        <w:rPr>
          <w:rFonts w:ascii="Times New Roman" w:hAnsi="Times New Roman" w:cs="Times New Roman"/>
          <w:b/>
          <w:bCs/>
          <w:sz w:val="28"/>
          <w:szCs w:val="28"/>
        </w:rPr>
      </w:pPr>
    </w:p>
    <w:p w:rsidR="00E414EE" w:rsidRPr="00B86EDB" w:rsidRDefault="00B86EDB" w:rsidP="009F3F6A">
      <w:pPr>
        <w:pStyle w:val="Ttulo2"/>
        <w:numPr>
          <w:ilvl w:val="0"/>
          <w:numId w:val="13"/>
        </w:numPr>
        <w:spacing w:before="0"/>
        <w:jc w:val="both"/>
        <w:rPr>
          <w:rFonts w:ascii="Times New Roman" w:hAnsi="Times New Roman" w:cs="Times New Roman"/>
          <w:b/>
          <w:bCs/>
          <w:color w:val="auto"/>
          <w:sz w:val="28"/>
          <w:szCs w:val="28"/>
        </w:rPr>
      </w:pPr>
      <w:r w:rsidRPr="00B86EDB">
        <w:rPr>
          <w:rFonts w:ascii="Times New Roman" w:hAnsi="Times New Roman" w:cs="Times New Roman"/>
          <w:b/>
          <w:bCs/>
          <w:color w:val="auto"/>
          <w:sz w:val="28"/>
          <w:szCs w:val="28"/>
        </w:rPr>
        <w:t>Sobre la competencia</w:t>
      </w:r>
    </w:p>
    <w:p w:rsidR="00E414EE" w:rsidRPr="00B86EDB" w:rsidRDefault="00B86EDB" w:rsidP="009F3F6A">
      <w:pPr>
        <w:jc w:val="both"/>
        <w:rPr>
          <w:rFonts w:ascii="Times New Roman" w:hAnsi="Times New Roman" w:cs="Times New Roman"/>
          <w:b/>
          <w:bCs/>
          <w:sz w:val="28"/>
          <w:szCs w:val="28"/>
        </w:rPr>
      </w:pPr>
    </w:p>
    <w:p w:rsidR="006A58F1"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shd w:val="clear" w:color="auto" w:fill="FFFFFF"/>
        </w:rPr>
        <w:t>De conformidad con lo dispuesto en el artículo 241, numeral 4, de la Constitución Política, la Corte Constitucional es competente para conocer y</w:t>
      </w:r>
      <w:r w:rsidRPr="00B86EDB">
        <w:rPr>
          <w:rFonts w:ascii="Times New Roman" w:hAnsi="Times New Roman" w:cs="Times New Roman"/>
          <w:sz w:val="28"/>
          <w:szCs w:val="28"/>
          <w:shd w:val="clear" w:color="auto" w:fill="FFFFFF"/>
        </w:rPr>
        <w:t xml:space="preserve"> decidir </w:t>
      </w:r>
      <w:r w:rsidRPr="00B86EDB">
        <w:rPr>
          <w:rFonts w:ascii="Times New Roman" w:hAnsi="Times New Roman" w:cs="Times New Roman"/>
          <w:sz w:val="28"/>
          <w:szCs w:val="28"/>
          <w:bdr w:val="none" w:sz="0" w:space="0" w:color="auto" w:frame="1"/>
          <w:shd w:val="clear" w:color="auto" w:fill="FFFFFF"/>
        </w:rPr>
        <w:t xml:space="preserve">definitivamente sobre la demanda de inconstitucionalidad de la referencia, pues </w:t>
      </w:r>
      <w:r w:rsidRPr="00B86EDB">
        <w:rPr>
          <w:rFonts w:ascii="Times New Roman" w:hAnsi="Times New Roman" w:cs="Times New Roman"/>
          <w:sz w:val="28"/>
          <w:szCs w:val="28"/>
          <w:bdr w:val="none" w:sz="0" w:space="0" w:color="auto" w:frame="1"/>
          <w:shd w:val="clear" w:color="auto" w:fill="FFFFFF"/>
        </w:rPr>
        <w:t>l</w:t>
      </w:r>
      <w:r w:rsidRPr="00B86EDB">
        <w:rPr>
          <w:rFonts w:ascii="Times New Roman" w:hAnsi="Times New Roman" w:cs="Times New Roman"/>
          <w:sz w:val="28"/>
          <w:szCs w:val="28"/>
          <w:bdr w:val="none" w:sz="0" w:space="0" w:color="auto" w:frame="1"/>
          <w:shd w:val="clear" w:color="auto" w:fill="FFFFFF"/>
        </w:rPr>
        <w:t>o</w:t>
      </w:r>
      <w:r w:rsidRPr="00B86EDB">
        <w:rPr>
          <w:rFonts w:ascii="Times New Roman" w:hAnsi="Times New Roman" w:cs="Times New Roman"/>
          <w:sz w:val="28"/>
          <w:szCs w:val="28"/>
          <w:bdr w:val="none" w:sz="0" w:space="0" w:color="auto" w:frame="1"/>
          <w:shd w:val="clear" w:color="auto" w:fill="FFFFFF"/>
        </w:rPr>
        <w:t>s artículos acusad</w:t>
      </w:r>
      <w:r w:rsidRPr="00B86EDB">
        <w:rPr>
          <w:rFonts w:ascii="Times New Roman" w:hAnsi="Times New Roman" w:cs="Times New Roman"/>
          <w:sz w:val="28"/>
          <w:szCs w:val="28"/>
          <w:bdr w:val="none" w:sz="0" w:space="0" w:color="auto" w:frame="1"/>
          <w:shd w:val="clear" w:color="auto" w:fill="FFFFFF"/>
        </w:rPr>
        <w:t>o</w:t>
      </w:r>
      <w:r w:rsidRPr="00B86EDB">
        <w:rPr>
          <w:rFonts w:ascii="Times New Roman" w:hAnsi="Times New Roman" w:cs="Times New Roman"/>
          <w:sz w:val="28"/>
          <w:szCs w:val="28"/>
          <w:bdr w:val="none" w:sz="0" w:space="0" w:color="auto" w:frame="1"/>
          <w:shd w:val="clear" w:color="auto" w:fill="FFFFFF"/>
        </w:rPr>
        <w:t xml:space="preserve">s hacen parte </w:t>
      </w:r>
      <w:r w:rsidRPr="00B86EDB">
        <w:rPr>
          <w:rFonts w:ascii="Times New Roman" w:hAnsi="Times New Roman" w:cs="Times New Roman"/>
          <w:sz w:val="28"/>
          <w:szCs w:val="28"/>
          <w:bdr w:val="none" w:sz="0" w:space="0" w:color="auto" w:frame="1"/>
          <w:shd w:val="clear" w:color="auto" w:fill="FFFFFF"/>
        </w:rPr>
        <w:t>de la Ley </w:t>
      </w:r>
      <w:r w:rsidRPr="00B86EDB">
        <w:rPr>
          <w:rFonts w:ascii="Times New Roman" w:hAnsi="Times New Roman" w:cs="Times New Roman"/>
          <w:sz w:val="28"/>
          <w:szCs w:val="28"/>
          <w:bdr w:val="none" w:sz="0" w:space="0" w:color="auto" w:frame="1"/>
          <w:shd w:val="clear" w:color="auto" w:fill="FFFFFF"/>
        </w:rPr>
        <w:t>2277</w:t>
      </w:r>
      <w:r w:rsidRPr="00B86EDB">
        <w:rPr>
          <w:rFonts w:ascii="Times New Roman" w:hAnsi="Times New Roman" w:cs="Times New Roman"/>
          <w:sz w:val="28"/>
          <w:szCs w:val="28"/>
          <w:bdr w:val="none" w:sz="0" w:space="0" w:color="auto" w:frame="1"/>
          <w:shd w:val="clear" w:color="auto" w:fill="FFFFFF"/>
        </w:rPr>
        <w:t xml:space="preserve"> de 2</w:t>
      </w:r>
      <w:r w:rsidRPr="00B86EDB">
        <w:rPr>
          <w:rFonts w:ascii="Times New Roman" w:hAnsi="Times New Roman" w:cs="Times New Roman"/>
          <w:sz w:val="28"/>
          <w:szCs w:val="28"/>
          <w:bdr w:val="none" w:sz="0" w:space="0" w:color="auto" w:frame="1"/>
          <w:shd w:val="clear" w:color="auto" w:fill="FFFFFF"/>
        </w:rPr>
        <w:t>022</w:t>
      </w:r>
      <w:r w:rsidRPr="00B86EDB">
        <w:rPr>
          <w:rFonts w:ascii="Times New Roman" w:hAnsi="Times New Roman" w:cs="Times New Roman"/>
          <w:sz w:val="28"/>
          <w:szCs w:val="28"/>
          <w:bdr w:val="none" w:sz="0" w:space="0" w:color="auto" w:frame="1"/>
          <w:shd w:val="clear" w:color="auto" w:fill="FFFFFF"/>
        </w:rPr>
        <w:t>.</w:t>
      </w:r>
    </w:p>
    <w:p w:rsidR="006A58F1" w:rsidRPr="00B86EDB" w:rsidRDefault="00B86EDB" w:rsidP="009F3F6A">
      <w:pPr>
        <w:jc w:val="both"/>
        <w:rPr>
          <w:rFonts w:ascii="Times New Roman" w:hAnsi="Times New Roman" w:cs="Times New Roman"/>
          <w:b/>
          <w:bCs/>
          <w:sz w:val="28"/>
          <w:szCs w:val="28"/>
        </w:rPr>
      </w:pPr>
    </w:p>
    <w:p w:rsidR="006A58F1" w:rsidRPr="00B86EDB" w:rsidRDefault="00B86EDB" w:rsidP="009F3F6A">
      <w:pPr>
        <w:pStyle w:val="Ttulo2"/>
        <w:numPr>
          <w:ilvl w:val="0"/>
          <w:numId w:val="13"/>
        </w:numPr>
        <w:spacing w:before="0"/>
        <w:ind w:left="0" w:firstLine="0"/>
        <w:jc w:val="both"/>
        <w:rPr>
          <w:rFonts w:ascii="Times New Roman" w:hAnsi="Times New Roman" w:cs="Times New Roman"/>
          <w:b/>
          <w:bCs/>
          <w:color w:val="auto"/>
          <w:sz w:val="28"/>
          <w:szCs w:val="28"/>
        </w:rPr>
      </w:pPr>
      <w:r w:rsidRPr="00B86EDB">
        <w:rPr>
          <w:rFonts w:ascii="Times New Roman" w:hAnsi="Times New Roman" w:cs="Times New Roman"/>
          <w:b/>
          <w:bCs/>
          <w:color w:val="auto"/>
          <w:sz w:val="28"/>
          <w:szCs w:val="28"/>
        </w:rPr>
        <w:t>Cuestión previa: aptitud sustantiva de la demanda</w:t>
      </w:r>
    </w:p>
    <w:p w:rsidR="00161A62"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161A62" w:rsidRPr="00B86EDB" w:rsidRDefault="00B86EDB" w:rsidP="009F3F6A">
      <w:pPr>
        <w:pStyle w:val="Prrafodelista"/>
        <w:numPr>
          <w:ilvl w:val="0"/>
          <w:numId w:val="4"/>
        </w:numPr>
        <w:tabs>
          <w:tab w:val="left" w:pos="567"/>
        </w:tabs>
        <w:ind w:left="0" w:firstLine="0"/>
        <w:contextualSpacing w:val="0"/>
        <w:jc w:val="both"/>
        <w:rPr>
          <w:rFonts w:ascii="Times New Roman" w:hAnsi="Times New Roman" w:cs="Times New Roman"/>
          <w:color w:val="000000" w:themeColor="text1"/>
          <w:sz w:val="28"/>
          <w:szCs w:val="28"/>
        </w:rPr>
      </w:pPr>
      <w:bookmarkStart w:id="10" w:name="_Hlk190373845"/>
      <w:r w:rsidRPr="00B86EDB">
        <w:rPr>
          <w:rFonts w:ascii="Times New Roman" w:hAnsi="Times New Roman" w:cs="Times New Roman"/>
          <w:color w:val="000000" w:themeColor="text1"/>
          <w:sz w:val="28"/>
          <w:szCs w:val="28"/>
        </w:rPr>
        <w:t xml:space="preserve"> </w:t>
      </w:r>
      <w:r w:rsidRPr="00B86EDB">
        <w:rPr>
          <w:rFonts w:ascii="Times New Roman" w:hAnsi="Times New Roman" w:cs="Times New Roman"/>
          <w:color w:val="000000" w:themeColor="text1"/>
          <w:sz w:val="28"/>
          <w:szCs w:val="28"/>
        </w:rPr>
        <w:t>Esta Corte</w:t>
      </w:r>
      <w:r w:rsidRPr="00B86EDB">
        <w:rPr>
          <w:rFonts w:ascii="Times New Roman" w:hAnsi="Times New Roman" w:cs="Times New Roman"/>
          <w:color w:val="000000" w:themeColor="text1"/>
          <w:sz w:val="28"/>
          <w:szCs w:val="28"/>
          <w:vertAlign w:val="superscript"/>
        </w:rPr>
        <w:footnoteReference w:id="29"/>
      </w:r>
      <w:r w:rsidRPr="00B86EDB">
        <w:rPr>
          <w:rFonts w:ascii="Times New Roman" w:hAnsi="Times New Roman" w:cs="Times New Roman"/>
          <w:color w:val="000000" w:themeColor="text1"/>
          <w:sz w:val="28"/>
          <w:szCs w:val="28"/>
        </w:rPr>
        <w:t xml:space="preserve"> ha considerado que, aunque el escenario procesal para resolver si una acción pública de inconstitucionalidad cumple con los criterios de aptitud, en principio, es el auto admisorio de la demanda, la Sala Plena está facultada para desarrollar un nuevo anál</w:t>
      </w:r>
      <w:r w:rsidRPr="00B86EDB">
        <w:rPr>
          <w:rFonts w:ascii="Times New Roman" w:hAnsi="Times New Roman" w:cs="Times New Roman"/>
          <w:color w:val="000000" w:themeColor="text1"/>
          <w:sz w:val="28"/>
          <w:szCs w:val="28"/>
        </w:rPr>
        <w:t xml:space="preserve">isis de procedibilidad al momento de decidir definitivamente sobre la demanda de inconstitucionalidad en el que cuenta </w:t>
      </w:r>
      <w:r w:rsidRPr="00B86EDB">
        <w:rPr>
          <w:rFonts w:ascii="Times New Roman" w:hAnsi="Times New Roman" w:cs="Times New Roman"/>
          <w:i/>
          <w:iCs/>
          <w:color w:val="000000" w:themeColor="text1"/>
          <w:sz w:val="28"/>
          <w:szCs w:val="28"/>
          <w:shd w:val="clear" w:color="auto" w:fill="FFFFFF"/>
        </w:rPr>
        <w:t>“con mayores elementos de juicio para realizar un estudio completo y detallado sobre su competencia para pronunciarse de fondo.”</w:t>
      </w:r>
      <w:r w:rsidRPr="00B86EDB">
        <w:rPr>
          <w:rFonts w:ascii="Times New Roman" w:hAnsi="Times New Roman" w:cs="Times New Roman"/>
          <w:color w:val="000000" w:themeColor="text1"/>
          <w:sz w:val="28"/>
          <w:szCs w:val="28"/>
          <w:shd w:val="clear" w:color="auto" w:fill="FFFFFF"/>
          <w:vertAlign w:val="superscript"/>
        </w:rPr>
        <w:footnoteReference w:id="30"/>
      </w:r>
      <w:r w:rsidRPr="00B86EDB">
        <w:rPr>
          <w:rFonts w:ascii="Times New Roman" w:hAnsi="Times New Roman" w:cs="Times New Roman"/>
          <w:color w:val="000000" w:themeColor="text1"/>
          <w:sz w:val="28"/>
          <w:szCs w:val="28"/>
        </w:rPr>
        <w:t>. Lo ant</w:t>
      </w:r>
      <w:r w:rsidRPr="00B86EDB">
        <w:rPr>
          <w:rFonts w:ascii="Times New Roman" w:hAnsi="Times New Roman" w:cs="Times New Roman"/>
          <w:color w:val="000000" w:themeColor="text1"/>
          <w:sz w:val="28"/>
          <w:szCs w:val="28"/>
        </w:rPr>
        <w:t>erior, cobra mayor relevancia cuando los intervinientes, los expertos invitados, la Procuraduría General de la Nación y los magistrados de la Corte hubiesen advertido una eventual ineptitud de la demanda objeto de estudio.</w:t>
      </w:r>
      <w:r w:rsidRPr="00B86EDB" w:rsidDel="00584AB3">
        <w:rPr>
          <w:rFonts w:ascii="Times New Roman" w:hAnsi="Times New Roman" w:cs="Times New Roman"/>
          <w:color w:val="000000" w:themeColor="text1"/>
          <w:sz w:val="28"/>
          <w:szCs w:val="28"/>
        </w:rPr>
        <w:t xml:space="preserve"> </w:t>
      </w:r>
    </w:p>
    <w:p w:rsidR="00161A62" w:rsidRPr="00B86EDB" w:rsidRDefault="00B86EDB" w:rsidP="009F3F6A">
      <w:pPr>
        <w:tabs>
          <w:tab w:val="left" w:pos="567"/>
        </w:tabs>
        <w:jc w:val="both"/>
        <w:rPr>
          <w:rFonts w:ascii="Times New Roman" w:hAnsi="Times New Roman" w:cs="Times New Roman"/>
          <w:color w:val="000000" w:themeColor="text1"/>
          <w:sz w:val="28"/>
          <w:szCs w:val="28"/>
        </w:rPr>
      </w:pPr>
    </w:p>
    <w:p w:rsidR="00161A62" w:rsidRPr="00B86EDB" w:rsidRDefault="00B86EDB" w:rsidP="009F3F6A">
      <w:pPr>
        <w:pStyle w:val="Prrafodelista"/>
        <w:numPr>
          <w:ilvl w:val="0"/>
          <w:numId w:val="4"/>
        </w:numPr>
        <w:tabs>
          <w:tab w:val="left" w:pos="426"/>
          <w:tab w:val="left" w:pos="567"/>
        </w:tabs>
        <w:ind w:left="0" w:right="104" w:firstLine="0"/>
        <w:contextualSpacing w:val="0"/>
        <w:jc w:val="both"/>
        <w:outlineLvl w:val="1"/>
        <w:rPr>
          <w:rFonts w:ascii="Times New Roman" w:hAnsi="Times New Roman" w:cs="Times New Roman"/>
          <w:color w:val="000000" w:themeColor="text1"/>
          <w:sz w:val="28"/>
          <w:szCs w:val="28"/>
        </w:rPr>
      </w:pPr>
      <w:r w:rsidRPr="00B86EDB">
        <w:rPr>
          <w:rFonts w:ascii="Times New Roman" w:hAnsi="Times New Roman" w:cs="Times New Roman"/>
          <w:color w:val="000000" w:themeColor="text1"/>
          <w:sz w:val="28"/>
          <w:szCs w:val="28"/>
        </w:rPr>
        <w:t xml:space="preserve">Lo anterior es factible, por </w:t>
      </w:r>
      <w:r w:rsidRPr="00B86EDB">
        <w:rPr>
          <w:rFonts w:ascii="Times New Roman" w:hAnsi="Times New Roman" w:cs="Times New Roman"/>
          <w:color w:val="000000" w:themeColor="text1"/>
          <w:sz w:val="28"/>
          <w:szCs w:val="28"/>
        </w:rPr>
        <w:t>cuanto las decisiones adoptadas en los autos admisorios de las demandas de inconstitucionalidad no constituyen decisiones intangibles para la Sala Plena al momento de pronunciarse sobre el fondo del asunto. En ese sentido, la Sala bien puede considerar que</w:t>
      </w:r>
      <w:r w:rsidRPr="00B86EDB">
        <w:rPr>
          <w:rFonts w:ascii="Times New Roman" w:hAnsi="Times New Roman" w:cs="Times New Roman"/>
          <w:color w:val="000000" w:themeColor="text1"/>
          <w:sz w:val="28"/>
          <w:szCs w:val="28"/>
        </w:rPr>
        <w:t>, aun cuando la demanda haya sido admitida, la decisión final puede ser un fallo inhibitorio total o parcial;</w:t>
      </w:r>
      <w:r w:rsidRPr="00B86EDB">
        <w:rPr>
          <w:rFonts w:ascii="Times New Roman" w:hAnsi="Times New Roman" w:cs="Times New Roman"/>
          <w:color w:val="000000" w:themeColor="text1"/>
          <w:sz w:val="28"/>
          <w:szCs w:val="28"/>
          <w:vertAlign w:val="superscript"/>
        </w:rPr>
        <w:footnoteReference w:id="31"/>
      </w:r>
      <w:r w:rsidRPr="00B86EDB">
        <w:rPr>
          <w:rFonts w:ascii="Times New Roman" w:hAnsi="Times New Roman" w:cs="Times New Roman"/>
          <w:color w:val="000000" w:themeColor="text1"/>
          <w:sz w:val="28"/>
          <w:szCs w:val="28"/>
        </w:rPr>
        <w:t xml:space="preserve"> un fallo que declare la existencia de cosa juzgada constitucional;</w:t>
      </w:r>
      <w:r w:rsidRPr="00B86EDB">
        <w:rPr>
          <w:rFonts w:ascii="Times New Roman" w:hAnsi="Times New Roman" w:cs="Times New Roman"/>
          <w:color w:val="000000" w:themeColor="text1"/>
          <w:sz w:val="28"/>
          <w:szCs w:val="28"/>
          <w:vertAlign w:val="superscript"/>
        </w:rPr>
        <w:footnoteReference w:id="32"/>
      </w:r>
      <w:r w:rsidRPr="00B86EDB">
        <w:rPr>
          <w:rFonts w:ascii="Times New Roman" w:hAnsi="Times New Roman" w:cs="Times New Roman"/>
          <w:color w:val="000000" w:themeColor="text1"/>
          <w:sz w:val="28"/>
          <w:szCs w:val="28"/>
        </w:rPr>
        <w:t xml:space="preserve"> un fallo que declare la carencia actual de objeto.</w:t>
      </w:r>
      <w:r w:rsidRPr="00B86EDB">
        <w:rPr>
          <w:rFonts w:ascii="Times New Roman" w:hAnsi="Times New Roman" w:cs="Times New Roman"/>
          <w:color w:val="000000" w:themeColor="text1"/>
          <w:sz w:val="28"/>
          <w:szCs w:val="28"/>
          <w:vertAlign w:val="superscript"/>
        </w:rPr>
        <w:footnoteReference w:id="33"/>
      </w:r>
      <w:r w:rsidRPr="00B86EDB">
        <w:rPr>
          <w:rFonts w:ascii="Times New Roman" w:hAnsi="Times New Roman" w:cs="Times New Roman"/>
          <w:color w:val="000000" w:themeColor="text1"/>
          <w:sz w:val="28"/>
          <w:szCs w:val="28"/>
        </w:rPr>
        <w:t xml:space="preserve"> En suma, uno es el análisis que se hace en la fase de admisión de la demanda y otro el que debe hacerse por la Sala Plena al momento de estudiar si es posible o no proferir una decisión de mérito. </w:t>
      </w:r>
    </w:p>
    <w:p w:rsidR="00334460"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334460" w:rsidRPr="00B86EDB" w:rsidRDefault="00B86EDB" w:rsidP="009F3F6A">
      <w:pPr>
        <w:pStyle w:val="Prrafodelista"/>
        <w:numPr>
          <w:ilvl w:val="0"/>
          <w:numId w:val="4"/>
        </w:numPr>
        <w:autoSpaceDE w:val="0"/>
        <w:autoSpaceDN w:val="0"/>
        <w:ind w:left="0" w:right="49" w:firstLine="0"/>
        <w:contextualSpacing w:val="0"/>
        <w:jc w:val="both"/>
        <w:rPr>
          <w:rFonts w:ascii="Times New Roman" w:hAnsi="Times New Roman" w:cs="Times New Roman"/>
          <w:color w:val="000000" w:themeColor="text1"/>
          <w:sz w:val="28"/>
          <w:szCs w:val="28"/>
        </w:rPr>
      </w:pPr>
      <w:r w:rsidRPr="00B86EDB">
        <w:rPr>
          <w:rFonts w:ascii="Times New Roman" w:hAnsi="Times New Roman" w:cs="Times New Roman"/>
          <w:color w:val="000000" w:themeColor="text1"/>
          <w:sz w:val="28"/>
          <w:szCs w:val="28"/>
        </w:rPr>
        <w:t>Para activar la competencia del juez constitucional en e</w:t>
      </w:r>
      <w:r w:rsidRPr="00B86EDB">
        <w:rPr>
          <w:rFonts w:ascii="Times New Roman" w:hAnsi="Times New Roman" w:cs="Times New Roman"/>
          <w:color w:val="000000" w:themeColor="text1"/>
          <w:sz w:val="28"/>
          <w:szCs w:val="28"/>
        </w:rPr>
        <w:t>l control abstracto</w:t>
      </w:r>
      <w:r w:rsidRPr="00B86EDB">
        <w:rPr>
          <w:rFonts w:ascii="Times New Roman" w:hAnsi="Times New Roman" w:cs="Times New Roman"/>
          <w:color w:val="000000" w:themeColor="text1"/>
          <w:sz w:val="28"/>
          <w:szCs w:val="28"/>
        </w:rPr>
        <w:t>, la demanda</w:t>
      </w:r>
      <w:r w:rsidRPr="00B86EDB">
        <w:rPr>
          <w:rFonts w:ascii="Times New Roman" w:hAnsi="Times New Roman" w:cs="Times New Roman"/>
          <w:color w:val="000000" w:themeColor="text1"/>
          <w:sz w:val="28"/>
          <w:szCs w:val="28"/>
        </w:rPr>
        <w:t xml:space="preserve"> debe cumplir</w:t>
      </w:r>
      <w:r w:rsidRPr="00B86EDB">
        <w:rPr>
          <w:rFonts w:ascii="Times New Roman" w:hAnsi="Times New Roman" w:cs="Times New Roman"/>
          <w:color w:val="000000" w:themeColor="text1"/>
          <w:sz w:val="28"/>
          <w:szCs w:val="28"/>
        </w:rPr>
        <w:t xml:space="preserve"> </w:t>
      </w:r>
      <w:r w:rsidRPr="00B86EDB">
        <w:rPr>
          <w:rFonts w:ascii="Times New Roman" w:hAnsi="Times New Roman" w:cs="Times New Roman"/>
          <w:color w:val="000000" w:themeColor="text1"/>
          <w:sz w:val="28"/>
          <w:szCs w:val="28"/>
        </w:rPr>
        <w:t>determinados requisitos con el fin de que las cuestiones que se planteen en las acciones públicas de inconstitucionalidad recaigan sobre verdaderas controversias constitucionales.</w:t>
      </w:r>
      <w:r w:rsidRPr="00B86EDB">
        <w:rPr>
          <w:rStyle w:val="Refdenotaalpie"/>
          <w:rFonts w:ascii="Times New Roman" w:hAnsi="Times New Roman" w:cs="Times New Roman"/>
          <w:color w:val="000000" w:themeColor="text1"/>
          <w:sz w:val="28"/>
          <w:szCs w:val="28"/>
        </w:rPr>
        <w:footnoteReference w:id="34"/>
      </w:r>
      <w:r w:rsidRPr="00B86EDB">
        <w:rPr>
          <w:rFonts w:ascii="Times New Roman" w:hAnsi="Times New Roman" w:cs="Times New Roman"/>
          <w:color w:val="000000" w:themeColor="text1"/>
          <w:sz w:val="28"/>
          <w:szCs w:val="28"/>
        </w:rPr>
        <w:t xml:space="preserve"> A partir de tales exigencias, </w:t>
      </w:r>
      <w:r w:rsidRPr="00B86EDB">
        <w:rPr>
          <w:rFonts w:ascii="Times New Roman" w:hAnsi="Times New Roman" w:cs="Times New Roman"/>
          <w:color w:val="000000" w:themeColor="text1"/>
          <w:sz w:val="28"/>
          <w:szCs w:val="28"/>
        </w:rPr>
        <w:t>la Corte puede determinar sí, “con base en la acusación, existe o no una oposición objetiva entre una norma legal y la Carta Política, que es el propósito del control de constitucionalidad de las leyes.”</w:t>
      </w:r>
      <w:r w:rsidRPr="00B86EDB">
        <w:rPr>
          <w:rStyle w:val="Refdenotaalpie"/>
          <w:rFonts w:ascii="Times New Roman" w:hAnsi="Times New Roman" w:cs="Times New Roman"/>
          <w:color w:val="000000" w:themeColor="text1"/>
          <w:sz w:val="28"/>
          <w:szCs w:val="28"/>
        </w:rPr>
        <w:footnoteReference w:id="35"/>
      </w:r>
    </w:p>
    <w:p w:rsidR="00334460" w:rsidRPr="00B86EDB" w:rsidRDefault="00B86EDB" w:rsidP="009F3F6A">
      <w:pPr>
        <w:autoSpaceDE w:val="0"/>
        <w:autoSpaceDN w:val="0"/>
        <w:ind w:right="49"/>
        <w:jc w:val="both"/>
        <w:rPr>
          <w:rFonts w:ascii="Times New Roman" w:hAnsi="Times New Roman" w:cs="Times New Roman"/>
          <w:color w:val="000000" w:themeColor="text1"/>
          <w:sz w:val="28"/>
          <w:szCs w:val="28"/>
        </w:rPr>
      </w:pPr>
    </w:p>
    <w:p w:rsidR="00D66E46" w:rsidRPr="00B86EDB" w:rsidRDefault="00B86EDB" w:rsidP="009F3F6A">
      <w:pPr>
        <w:pStyle w:val="Prrafodelista"/>
        <w:numPr>
          <w:ilvl w:val="0"/>
          <w:numId w:val="4"/>
        </w:numPr>
        <w:autoSpaceDE w:val="0"/>
        <w:autoSpaceDN w:val="0"/>
        <w:ind w:left="0" w:right="49" w:firstLine="0"/>
        <w:contextualSpacing w:val="0"/>
        <w:jc w:val="both"/>
        <w:rPr>
          <w:rFonts w:ascii="Times New Roman" w:hAnsi="Times New Roman" w:cs="Times New Roman"/>
          <w:b/>
          <w:bCs/>
          <w:color w:val="000000" w:themeColor="text1"/>
          <w:sz w:val="28"/>
          <w:szCs w:val="28"/>
        </w:rPr>
      </w:pPr>
      <w:r w:rsidRPr="00B86EDB">
        <w:rPr>
          <w:rFonts w:ascii="Times New Roman" w:hAnsi="Times New Roman" w:cs="Times New Roman"/>
          <w:color w:val="000000" w:themeColor="text1"/>
          <w:sz w:val="28"/>
          <w:szCs w:val="28"/>
        </w:rPr>
        <w:t>Estos requisitos mínimos de procedibilidad están c</w:t>
      </w:r>
      <w:r w:rsidRPr="00B86EDB">
        <w:rPr>
          <w:rFonts w:ascii="Times New Roman" w:hAnsi="Times New Roman" w:cs="Times New Roman"/>
          <w:color w:val="000000" w:themeColor="text1"/>
          <w:sz w:val="28"/>
          <w:szCs w:val="28"/>
        </w:rPr>
        <w:t xml:space="preserve">ontenidos en el artículo 2 del Decreto 2067 de 1991 así: </w:t>
      </w:r>
    </w:p>
    <w:p w:rsidR="00D66E46" w:rsidRPr="00B86EDB" w:rsidRDefault="00B86EDB" w:rsidP="009F3F6A">
      <w:pPr>
        <w:pStyle w:val="Prrafodelista"/>
        <w:contextualSpacing w:val="0"/>
        <w:rPr>
          <w:rFonts w:ascii="Times New Roman" w:hAnsi="Times New Roman" w:cs="Times New Roman"/>
          <w:i/>
          <w:iCs/>
          <w:color w:val="000000" w:themeColor="text1"/>
          <w:sz w:val="28"/>
          <w:szCs w:val="28"/>
        </w:rPr>
      </w:pPr>
    </w:p>
    <w:p w:rsidR="00334460" w:rsidRPr="00B86EDB" w:rsidRDefault="00B86EDB" w:rsidP="009F3F6A">
      <w:pPr>
        <w:pStyle w:val="Prrafodelista"/>
        <w:autoSpaceDE w:val="0"/>
        <w:autoSpaceDN w:val="0"/>
        <w:ind w:left="284" w:right="284"/>
        <w:contextualSpacing w:val="0"/>
        <w:jc w:val="both"/>
        <w:rPr>
          <w:rFonts w:ascii="Times New Roman" w:hAnsi="Times New Roman" w:cs="Times New Roman"/>
          <w:b/>
          <w:bCs/>
          <w:color w:val="000000" w:themeColor="text1"/>
          <w:sz w:val="28"/>
        </w:rPr>
      </w:pPr>
      <w:r w:rsidRPr="00B86EDB">
        <w:rPr>
          <w:rFonts w:ascii="Times New Roman" w:hAnsi="Times New Roman" w:cs="Times New Roman"/>
          <w:color w:val="000000" w:themeColor="text1"/>
          <w:sz w:val="28"/>
        </w:rPr>
        <w:t xml:space="preserve">“1. El señalamiento de las normas acusadas como inconstitucionales, su transcripción literal por cualquier medio o un ejemplar de la publicación oficial de las mismas; // 2. El señalamiento de las </w:t>
      </w:r>
      <w:r w:rsidRPr="00B86EDB">
        <w:rPr>
          <w:rFonts w:ascii="Times New Roman" w:hAnsi="Times New Roman" w:cs="Times New Roman"/>
          <w:color w:val="000000" w:themeColor="text1"/>
          <w:sz w:val="28"/>
        </w:rPr>
        <w:t>normas constitucionales que se consideren infringidas; // 3. Las razones por las cuales dichos textos se estiman violados. // 4. Cuando fuere el caso, el señalamiento del trámite impuesto por la Constitución para la expedición del acto demandado y la forma</w:t>
      </w:r>
      <w:r w:rsidRPr="00B86EDB">
        <w:rPr>
          <w:rFonts w:ascii="Times New Roman" w:hAnsi="Times New Roman" w:cs="Times New Roman"/>
          <w:color w:val="000000" w:themeColor="text1"/>
          <w:sz w:val="28"/>
        </w:rPr>
        <w:t xml:space="preserve"> en que fue quebrantado; y // 5. La razón por la cual la Corte es competente para conocer de la demanda.” </w:t>
      </w:r>
    </w:p>
    <w:p w:rsidR="00334460" w:rsidRPr="00B86EDB" w:rsidRDefault="00B86EDB" w:rsidP="009F3F6A">
      <w:pPr>
        <w:pStyle w:val="Prrafodelista"/>
        <w:ind w:left="0"/>
        <w:contextualSpacing w:val="0"/>
        <w:rPr>
          <w:rFonts w:ascii="Times New Roman" w:hAnsi="Times New Roman" w:cs="Times New Roman"/>
          <w:color w:val="000000" w:themeColor="text1"/>
          <w:sz w:val="28"/>
          <w:szCs w:val="28"/>
        </w:rPr>
      </w:pPr>
    </w:p>
    <w:p w:rsidR="00334460"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lang w:eastAsia="es-ES"/>
        </w:rPr>
      </w:pPr>
      <w:r w:rsidRPr="00B86EDB">
        <w:rPr>
          <w:rFonts w:ascii="Times New Roman" w:hAnsi="Times New Roman" w:cs="Times New Roman"/>
          <w:sz w:val="28"/>
          <w:szCs w:val="28"/>
        </w:rPr>
        <w:t xml:space="preserve">En punto al tercer criterio reseñado, relativo al </w:t>
      </w:r>
      <w:r w:rsidRPr="00B86EDB">
        <w:rPr>
          <w:rFonts w:ascii="Times New Roman" w:hAnsi="Times New Roman" w:cs="Times New Roman"/>
          <w:i/>
          <w:iCs/>
          <w:sz w:val="28"/>
          <w:szCs w:val="28"/>
        </w:rPr>
        <w:t>concepto de la violación</w:t>
      </w:r>
      <w:r w:rsidRPr="00B86EDB">
        <w:rPr>
          <w:rFonts w:ascii="Times New Roman" w:hAnsi="Times New Roman" w:cs="Times New Roman"/>
          <w:sz w:val="28"/>
          <w:szCs w:val="28"/>
        </w:rPr>
        <w:t xml:space="preserve">, la Corte ha sostenido que la exposición del demandante debe dar cuenta </w:t>
      </w:r>
      <w:r w:rsidRPr="00B86EDB">
        <w:rPr>
          <w:rFonts w:ascii="Times New Roman" w:hAnsi="Times New Roman" w:cs="Times New Roman"/>
          <w:sz w:val="28"/>
          <w:szCs w:val="28"/>
        </w:rPr>
        <w:t>de la norma constitucional que se estima infringida, de su contenido normativo y de las razones por las que el precepto de rango legal se opone a las disposiciones de rango constitucional.</w:t>
      </w:r>
      <w:r w:rsidRPr="00B86EDB">
        <w:rPr>
          <w:rStyle w:val="Refdenotaalpie"/>
          <w:rFonts w:ascii="Times New Roman" w:hAnsi="Times New Roman" w:cs="Times New Roman"/>
          <w:sz w:val="28"/>
          <w:szCs w:val="28"/>
        </w:rPr>
        <w:footnoteReference w:id="36"/>
      </w:r>
      <w:r w:rsidRPr="00B86EDB">
        <w:rPr>
          <w:rFonts w:ascii="Times New Roman" w:hAnsi="Times New Roman" w:cs="Times New Roman"/>
          <w:sz w:val="28"/>
          <w:szCs w:val="28"/>
        </w:rPr>
        <w:t xml:space="preserve"> Desde luego, a fin de realizar un debido escrutinio de los aspecto</w:t>
      </w:r>
      <w:r w:rsidRPr="00B86EDB">
        <w:rPr>
          <w:rFonts w:ascii="Times New Roman" w:hAnsi="Times New Roman" w:cs="Times New Roman"/>
          <w:sz w:val="28"/>
          <w:szCs w:val="28"/>
        </w:rPr>
        <w:t xml:space="preserve">s reseñados, la jurisprudencia de la Corte ha señalado que los argumentos tendientes a sustentar el concepto de la violación deben ser </w:t>
      </w:r>
      <w:r w:rsidRPr="00B86EDB">
        <w:rPr>
          <w:rFonts w:ascii="Times New Roman" w:hAnsi="Times New Roman" w:cs="Times New Roman"/>
          <w:i/>
          <w:iCs/>
          <w:sz w:val="28"/>
          <w:szCs w:val="28"/>
        </w:rPr>
        <w:t>claros, ciertos, específicos, pertinentes y suficientes</w:t>
      </w:r>
      <w:r w:rsidRPr="00B86EDB">
        <w:rPr>
          <w:rStyle w:val="Refdenotaalpie"/>
          <w:rFonts w:ascii="Times New Roman" w:hAnsi="Times New Roman" w:cs="Times New Roman"/>
          <w:sz w:val="28"/>
          <w:szCs w:val="28"/>
        </w:rPr>
        <w:footnoteReference w:id="37"/>
      </w:r>
      <w:r w:rsidRPr="00B86EDB">
        <w:rPr>
          <w:rFonts w:ascii="Times New Roman" w:hAnsi="Times New Roman" w:cs="Times New Roman"/>
          <w:i/>
          <w:iCs/>
          <w:sz w:val="28"/>
          <w:szCs w:val="28"/>
        </w:rPr>
        <w:t xml:space="preserve">. </w:t>
      </w:r>
      <w:r w:rsidRPr="00B86EDB">
        <w:rPr>
          <w:rFonts w:ascii="Times New Roman" w:hAnsi="Times New Roman" w:cs="Times New Roman"/>
          <w:sz w:val="28"/>
          <w:szCs w:val="28"/>
        </w:rPr>
        <w:t xml:space="preserve">El alcance de estas condiciones ha sido explicado </w:t>
      </w:r>
      <w:r w:rsidRPr="00B86EDB">
        <w:rPr>
          <w:rFonts w:ascii="Times New Roman" w:hAnsi="Times New Roman" w:cs="Times New Roman"/>
          <w:color w:val="000000" w:themeColor="text1"/>
          <w:sz w:val="28"/>
          <w:szCs w:val="28"/>
        </w:rPr>
        <w:t xml:space="preserve">por la Corte </w:t>
      </w:r>
      <w:r w:rsidRPr="00B86EDB">
        <w:rPr>
          <w:rFonts w:ascii="Times New Roman" w:hAnsi="Times New Roman" w:cs="Times New Roman"/>
          <w:color w:val="000000" w:themeColor="text1"/>
          <w:sz w:val="28"/>
          <w:szCs w:val="28"/>
        </w:rPr>
        <w:t>de la siguiente forma:</w:t>
      </w:r>
    </w:p>
    <w:p w:rsidR="00334460" w:rsidRPr="00B86EDB" w:rsidRDefault="00B86EDB" w:rsidP="009F3F6A">
      <w:pPr>
        <w:pStyle w:val="Prrafodelista"/>
        <w:ind w:left="0"/>
        <w:contextualSpacing w:val="0"/>
        <w:rPr>
          <w:rFonts w:ascii="Times New Roman" w:hAnsi="Times New Roman" w:cs="Times New Roman"/>
          <w:b/>
          <w:bCs/>
          <w:color w:val="000000" w:themeColor="text1"/>
          <w:sz w:val="28"/>
        </w:rPr>
      </w:pPr>
    </w:p>
    <w:tbl>
      <w:tblPr>
        <w:tblStyle w:val="Tablaconcuadrcula"/>
        <w:tblW w:w="0" w:type="auto"/>
        <w:tblInd w:w="108" w:type="dxa"/>
        <w:tblLook w:val="04A0" w:firstRow="1" w:lastRow="0" w:firstColumn="1" w:lastColumn="0" w:noHBand="0" w:noVBand="1"/>
      </w:tblPr>
      <w:tblGrid>
        <w:gridCol w:w="1487"/>
        <w:gridCol w:w="8026"/>
      </w:tblGrid>
      <w:tr w:rsidR="00334460" w:rsidRPr="00B86EDB" w:rsidTr="00013012">
        <w:tc>
          <w:tcPr>
            <w:tcW w:w="1487" w:type="dxa"/>
          </w:tcPr>
          <w:p w:rsidR="00334460" w:rsidRPr="00B86EDB" w:rsidRDefault="00B86EDB" w:rsidP="009F3F6A">
            <w:pPr>
              <w:autoSpaceDE w:val="0"/>
              <w:autoSpaceDN w:val="0"/>
              <w:ind w:right="49"/>
              <w:jc w:val="center"/>
              <w:rPr>
                <w:rFonts w:ascii="Times New Roman" w:hAnsi="Times New Roman" w:cs="Times New Roman"/>
                <w:b/>
                <w:bCs/>
                <w:color w:val="000000" w:themeColor="text1"/>
                <w:sz w:val="28"/>
              </w:rPr>
            </w:pPr>
            <w:r w:rsidRPr="00B86EDB">
              <w:rPr>
                <w:rFonts w:ascii="Times New Roman" w:hAnsi="Times New Roman" w:cs="Times New Roman"/>
                <w:b/>
                <w:bCs/>
                <w:color w:val="000000" w:themeColor="text1"/>
                <w:sz w:val="28"/>
              </w:rPr>
              <w:t>Condición</w:t>
            </w:r>
          </w:p>
        </w:tc>
        <w:tc>
          <w:tcPr>
            <w:tcW w:w="8026" w:type="dxa"/>
          </w:tcPr>
          <w:p w:rsidR="00334460" w:rsidRPr="00B86EDB" w:rsidRDefault="00B86EDB" w:rsidP="009F3F6A">
            <w:pPr>
              <w:autoSpaceDE w:val="0"/>
              <w:autoSpaceDN w:val="0"/>
              <w:ind w:right="49"/>
              <w:jc w:val="center"/>
              <w:rPr>
                <w:rFonts w:ascii="Times New Roman" w:hAnsi="Times New Roman" w:cs="Times New Roman"/>
                <w:b/>
                <w:bCs/>
                <w:color w:val="000000" w:themeColor="text1"/>
                <w:sz w:val="28"/>
              </w:rPr>
            </w:pPr>
            <w:r w:rsidRPr="00B86EDB">
              <w:rPr>
                <w:rFonts w:ascii="Times New Roman" w:hAnsi="Times New Roman" w:cs="Times New Roman"/>
                <w:b/>
                <w:bCs/>
                <w:color w:val="000000" w:themeColor="text1"/>
                <w:sz w:val="28"/>
              </w:rPr>
              <w:t>Alcance</w:t>
            </w:r>
          </w:p>
        </w:tc>
      </w:tr>
      <w:tr w:rsidR="00334460" w:rsidRPr="00B86EDB" w:rsidTr="00013012">
        <w:tc>
          <w:tcPr>
            <w:tcW w:w="1487" w:type="dxa"/>
          </w:tcPr>
          <w:p w:rsidR="00334460" w:rsidRPr="00B86EDB" w:rsidRDefault="00B86EDB" w:rsidP="009F3F6A">
            <w:pPr>
              <w:autoSpaceDE w:val="0"/>
              <w:autoSpaceDN w:val="0"/>
              <w:ind w:right="49"/>
              <w:jc w:val="center"/>
              <w:rPr>
                <w:rFonts w:ascii="Times New Roman" w:hAnsi="Times New Roman" w:cs="Times New Roman"/>
                <w:b/>
                <w:bCs/>
                <w:i/>
                <w:iCs/>
                <w:color w:val="000000" w:themeColor="text1"/>
                <w:sz w:val="28"/>
              </w:rPr>
            </w:pPr>
            <w:r w:rsidRPr="00B86EDB">
              <w:rPr>
                <w:rFonts w:ascii="Times New Roman" w:hAnsi="Times New Roman" w:cs="Times New Roman"/>
                <w:b/>
                <w:bCs/>
                <w:i/>
                <w:iCs/>
                <w:color w:val="000000" w:themeColor="text1"/>
                <w:sz w:val="28"/>
              </w:rPr>
              <w:t>Claridad</w:t>
            </w:r>
          </w:p>
        </w:tc>
        <w:tc>
          <w:tcPr>
            <w:tcW w:w="8026" w:type="dxa"/>
          </w:tcPr>
          <w:p w:rsidR="00334460" w:rsidRPr="00B86EDB" w:rsidRDefault="00B86EDB" w:rsidP="009F3F6A">
            <w:pPr>
              <w:autoSpaceDE w:val="0"/>
              <w:autoSpaceDN w:val="0"/>
              <w:ind w:right="49"/>
              <w:jc w:val="both"/>
              <w:rPr>
                <w:rFonts w:ascii="Times New Roman" w:hAnsi="Times New Roman" w:cs="Times New Roman"/>
                <w:color w:val="000000" w:themeColor="text1"/>
                <w:sz w:val="28"/>
              </w:rPr>
            </w:pPr>
            <w:r w:rsidRPr="00B86EDB">
              <w:rPr>
                <w:rFonts w:ascii="Times New Roman" w:hAnsi="Times New Roman" w:cs="Times New Roman"/>
                <w:color w:val="000000" w:themeColor="text1"/>
                <w:sz w:val="28"/>
              </w:rPr>
              <w:t>Le impone al demandante el deber de seguir un hilo conductor argumentativo que le permita al lector comprender fácilmente el contenido de la demanda y las justificaciones inmersas en ella.</w:t>
            </w:r>
            <w:r w:rsidRPr="00B86EDB">
              <w:rPr>
                <w:rStyle w:val="Refdenotaalpie"/>
                <w:rFonts w:ascii="Times New Roman" w:hAnsi="Times New Roman" w:cs="Times New Roman"/>
                <w:color w:val="000000" w:themeColor="text1"/>
                <w:sz w:val="28"/>
              </w:rPr>
              <w:footnoteReference w:id="38"/>
            </w:r>
          </w:p>
        </w:tc>
      </w:tr>
      <w:tr w:rsidR="00334460" w:rsidRPr="00B86EDB" w:rsidTr="00013012">
        <w:tc>
          <w:tcPr>
            <w:tcW w:w="1487" w:type="dxa"/>
          </w:tcPr>
          <w:p w:rsidR="00334460" w:rsidRPr="00B86EDB" w:rsidRDefault="00B86EDB" w:rsidP="009F3F6A">
            <w:pPr>
              <w:autoSpaceDE w:val="0"/>
              <w:autoSpaceDN w:val="0"/>
              <w:ind w:right="49"/>
              <w:jc w:val="center"/>
              <w:rPr>
                <w:rFonts w:ascii="Times New Roman" w:hAnsi="Times New Roman" w:cs="Times New Roman"/>
                <w:b/>
                <w:bCs/>
                <w:i/>
                <w:iCs/>
                <w:color w:val="000000" w:themeColor="text1"/>
                <w:sz w:val="28"/>
              </w:rPr>
            </w:pPr>
            <w:r w:rsidRPr="00B86EDB">
              <w:rPr>
                <w:rFonts w:ascii="Times New Roman" w:hAnsi="Times New Roman" w:cs="Times New Roman"/>
                <w:b/>
                <w:bCs/>
                <w:i/>
                <w:iCs/>
                <w:color w:val="000000" w:themeColor="text1"/>
                <w:sz w:val="28"/>
              </w:rPr>
              <w:t>Certeza</w:t>
            </w:r>
          </w:p>
        </w:tc>
        <w:tc>
          <w:tcPr>
            <w:tcW w:w="8026" w:type="dxa"/>
          </w:tcPr>
          <w:p w:rsidR="00334460" w:rsidRPr="00B86EDB" w:rsidRDefault="00B86EDB" w:rsidP="009F3F6A">
            <w:pPr>
              <w:autoSpaceDE w:val="0"/>
              <w:autoSpaceDN w:val="0"/>
              <w:ind w:right="49"/>
              <w:jc w:val="both"/>
              <w:rPr>
                <w:rFonts w:ascii="Times New Roman" w:hAnsi="Times New Roman" w:cs="Times New Roman"/>
                <w:color w:val="000000" w:themeColor="text1"/>
                <w:sz w:val="28"/>
              </w:rPr>
            </w:pPr>
            <w:r w:rsidRPr="00B86EDB">
              <w:rPr>
                <w:rFonts w:ascii="Times New Roman" w:hAnsi="Times New Roman" w:cs="Times New Roman"/>
                <w:color w:val="000000" w:themeColor="text1"/>
                <w:sz w:val="28"/>
              </w:rPr>
              <w:t xml:space="preserve">Se refiere a la necesidad de que la demanda recaiga sobre </w:t>
            </w:r>
            <w:r w:rsidRPr="00B86EDB">
              <w:rPr>
                <w:rFonts w:ascii="Times New Roman" w:hAnsi="Times New Roman" w:cs="Times New Roman"/>
                <w:i/>
                <w:iCs/>
                <w:color w:val="000000" w:themeColor="text1"/>
                <w:sz w:val="28"/>
              </w:rPr>
              <w:t>“una proposición jurídica real y existente”</w:t>
            </w:r>
            <w:r w:rsidRPr="00B86EDB">
              <w:rPr>
                <w:rFonts w:ascii="Times New Roman" w:hAnsi="Times New Roman" w:cs="Times New Roman"/>
                <w:color w:val="000000" w:themeColor="text1"/>
                <w:sz w:val="28"/>
              </w:rPr>
              <w:t xml:space="preserve"> y no simplemente sobre una deducida por el actor, implícita o que se refiere a otras normas vigentes que no son objeto de la demanda. Igualmente, deberán </w:t>
            </w:r>
            <w:r w:rsidRPr="00B86EDB">
              <w:rPr>
                <w:rFonts w:ascii="Times New Roman" w:hAnsi="Times New Roman" w:cs="Times New Roman"/>
                <w:color w:val="000000" w:themeColor="text1"/>
                <w:sz w:val="28"/>
              </w:rPr>
              <w:t>presentarse interpretaciones que se fundamentan en un contenido verificable del mandato demandado.</w:t>
            </w:r>
            <w:r w:rsidRPr="00B86EDB">
              <w:rPr>
                <w:rStyle w:val="Refdenotaalpie"/>
                <w:rFonts w:ascii="Times New Roman" w:hAnsi="Times New Roman" w:cs="Times New Roman"/>
                <w:color w:val="000000" w:themeColor="text1"/>
                <w:sz w:val="28"/>
              </w:rPr>
              <w:footnoteReference w:id="39"/>
            </w:r>
          </w:p>
        </w:tc>
      </w:tr>
      <w:tr w:rsidR="00334460" w:rsidRPr="00B86EDB" w:rsidTr="00013012">
        <w:tc>
          <w:tcPr>
            <w:tcW w:w="1487" w:type="dxa"/>
          </w:tcPr>
          <w:p w:rsidR="00334460" w:rsidRPr="00B86EDB" w:rsidRDefault="00B86EDB" w:rsidP="009F3F6A">
            <w:pPr>
              <w:autoSpaceDE w:val="0"/>
              <w:autoSpaceDN w:val="0"/>
              <w:ind w:right="49"/>
              <w:jc w:val="center"/>
              <w:rPr>
                <w:rFonts w:ascii="Times New Roman" w:hAnsi="Times New Roman" w:cs="Times New Roman"/>
                <w:b/>
                <w:bCs/>
                <w:i/>
                <w:iCs/>
                <w:color w:val="000000" w:themeColor="text1"/>
                <w:sz w:val="28"/>
              </w:rPr>
            </w:pPr>
            <w:r w:rsidRPr="00B86EDB">
              <w:rPr>
                <w:rFonts w:ascii="Times New Roman" w:hAnsi="Times New Roman" w:cs="Times New Roman"/>
                <w:b/>
                <w:bCs/>
                <w:i/>
                <w:iCs/>
                <w:color w:val="000000" w:themeColor="text1"/>
                <w:sz w:val="28"/>
              </w:rPr>
              <w:t>Especificidad</w:t>
            </w:r>
          </w:p>
        </w:tc>
        <w:tc>
          <w:tcPr>
            <w:tcW w:w="8026" w:type="dxa"/>
          </w:tcPr>
          <w:p w:rsidR="00334460" w:rsidRPr="00B86EDB" w:rsidRDefault="00B86EDB" w:rsidP="009F3F6A">
            <w:pPr>
              <w:autoSpaceDE w:val="0"/>
              <w:autoSpaceDN w:val="0"/>
              <w:ind w:right="49"/>
              <w:jc w:val="both"/>
              <w:rPr>
                <w:rFonts w:ascii="Times New Roman" w:hAnsi="Times New Roman" w:cs="Times New Roman"/>
                <w:i/>
                <w:iCs/>
                <w:color w:val="000000" w:themeColor="text1"/>
                <w:sz w:val="28"/>
              </w:rPr>
            </w:pPr>
            <w:r w:rsidRPr="00B86EDB">
              <w:rPr>
                <w:rFonts w:ascii="Times New Roman" w:hAnsi="Times New Roman" w:cs="Times New Roman"/>
                <w:color w:val="000000" w:themeColor="text1"/>
                <w:sz w:val="28"/>
              </w:rPr>
              <w:t xml:space="preserve">Debe demostrar de forma diáfana que la disposición demandada desconoce la Constitución, </w:t>
            </w:r>
            <w:r w:rsidRPr="00B86EDB">
              <w:rPr>
                <w:rFonts w:ascii="Times New Roman" w:hAnsi="Times New Roman" w:cs="Times New Roman"/>
                <w:i/>
                <w:iCs/>
                <w:color w:val="000000" w:themeColor="text1"/>
                <w:sz w:val="28"/>
              </w:rPr>
              <w:t xml:space="preserve">“a través de la formulación de por lo menos un cargo </w:t>
            </w:r>
            <w:r w:rsidRPr="00B86EDB">
              <w:rPr>
                <w:rFonts w:ascii="Times New Roman" w:hAnsi="Times New Roman" w:cs="Times New Roman"/>
                <w:i/>
                <w:iCs/>
                <w:color w:val="000000" w:themeColor="text1"/>
                <w:sz w:val="28"/>
              </w:rPr>
              <w:t xml:space="preserve">constitucional concreto contra la demanda." </w:t>
            </w:r>
            <w:r w:rsidRPr="00B86EDB">
              <w:rPr>
                <w:rFonts w:ascii="Times New Roman" w:hAnsi="Times New Roman" w:cs="Times New Roman"/>
                <w:color w:val="000000" w:themeColor="text1"/>
                <w:sz w:val="28"/>
              </w:rPr>
              <w:t xml:space="preserve">Lo anterior conlleva la necesidad de presentar una oposición objetiva y verificable entre lo que dispone la demanda y el texto constitucional, por lo que resulta inadmisible presentar argumentos </w:t>
            </w:r>
            <w:r w:rsidRPr="00B86EDB">
              <w:rPr>
                <w:rFonts w:ascii="Times New Roman" w:hAnsi="Times New Roman" w:cs="Times New Roman"/>
                <w:i/>
                <w:iCs/>
                <w:color w:val="000000" w:themeColor="text1"/>
                <w:sz w:val="28"/>
              </w:rPr>
              <w:t>vagos, indetermin</w:t>
            </w:r>
            <w:r w:rsidRPr="00B86EDB">
              <w:rPr>
                <w:rFonts w:ascii="Times New Roman" w:hAnsi="Times New Roman" w:cs="Times New Roman"/>
                <w:i/>
                <w:iCs/>
                <w:color w:val="000000" w:themeColor="text1"/>
                <w:sz w:val="28"/>
              </w:rPr>
              <w:t>ados, indirectos, abstractos y globales.</w:t>
            </w:r>
            <w:r w:rsidRPr="00B86EDB">
              <w:rPr>
                <w:rStyle w:val="Refdenotaalpie"/>
                <w:rFonts w:ascii="Times New Roman" w:hAnsi="Times New Roman" w:cs="Times New Roman"/>
                <w:i/>
                <w:iCs/>
                <w:color w:val="000000" w:themeColor="text1"/>
                <w:sz w:val="28"/>
              </w:rPr>
              <w:t xml:space="preserve"> </w:t>
            </w:r>
            <w:r w:rsidRPr="00B86EDB">
              <w:rPr>
                <w:rStyle w:val="Refdenotaalpie"/>
                <w:rFonts w:ascii="Times New Roman" w:hAnsi="Times New Roman" w:cs="Times New Roman"/>
                <w:i/>
                <w:iCs/>
                <w:color w:val="000000" w:themeColor="text1"/>
                <w:sz w:val="28"/>
              </w:rPr>
              <w:footnoteReference w:id="40"/>
            </w:r>
          </w:p>
        </w:tc>
      </w:tr>
      <w:tr w:rsidR="00334460" w:rsidRPr="00B86EDB" w:rsidTr="00013012">
        <w:tc>
          <w:tcPr>
            <w:tcW w:w="1487" w:type="dxa"/>
          </w:tcPr>
          <w:p w:rsidR="00334460" w:rsidRPr="00B86EDB" w:rsidRDefault="00B86EDB" w:rsidP="009F3F6A">
            <w:pPr>
              <w:autoSpaceDE w:val="0"/>
              <w:autoSpaceDN w:val="0"/>
              <w:ind w:right="49"/>
              <w:jc w:val="center"/>
              <w:rPr>
                <w:rFonts w:ascii="Times New Roman" w:hAnsi="Times New Roman" w:cs="Times New Roman"/>
                <w:b/>
                <w:bCs/>
                <w:i/>
                <w:iCs/>
                <w:color w:val="000000" w:themeColor="text1"/>
                <w:sz w:val="28"/>
              </w:rPr>
            </w:pPr>
            <w:r w:rsidRPr="00B86EDB">
              <w:rPr>
                <w:rFonts w:ascii="Times New Roman" w:hAnsi="Times New Roman" w:cs="Times New Roman"/>
                <w:b/>
                <w:bCs/>
                <w:i/>
                <w:iCs/>
                <w:color w:val="000000" w:themeColor="text1"/>
                <w:sz w:val="28"/>
              </w:rPr>
              <w:t>Pertinencia</w:t>
            </w:r>
          </w:p>
        </w:tc>
        <w:tc>
          <w:tcPr>
            <w:tcW w:w="8026" w:type="dxa"/>
          </w:tcPr>
          <w:p w:rsidR="00334460" w:rsidRPr="00B86EDB" w:rsidRDefault="00B86EDB" w:rsidP="009F3F6A">
            <w:pPr>
              <w:autoSpaceDE w:val="0"/>
              <w:autoSpaceDN w:val="0"/>
              <w:ind w:right="49"/>
              <w:jc w:val="both"/>
              <w:rPr>
                <w:rFonts w:ascii="Times New Roman" w:hAnsi="Times New Roman" w:cs="Times New Roman"/>
                <w:color w:val="000000" w:themeColor="text1"/>
                <w:sz w:val="28"/>
              </w:rPr>
            </w:pPr>
            <w:r w:rsidRPr="00B86EDB">
              <w:rPr>
                <w:rFonts w:ascii="Times New Roman" w:hAnsi="Times New Roman" w:cs="Times New Roman"/>
                <w:color w:val="000000" w:themeColor="text1"/>
                <w:sz w:val="28"/>
              </w:rPr>
              <w:t>Hace referencia a la importancia de que el reproche puesto a consideración de la Corte sea de naturaleza constitucional, y no razones de orden legal, personal, doctrinal o de simple conveniencia.</w:t>
            </w:r>
            <w:r w:rsidRPr="00B86EDB">
              <w:rPr>
                <w:rStyle w:val="Refdenotaalpie"/>
                <w:rFonts w:ascii="Times New Roman" w:hAnsi="Times New Roman" w:cs="Times New Roman"/>
                <w:color w:val="000000" w:themeColor="text1"/>
                <w:sz w:val="28"/>
              </w:rPr>
              <w:footnoteReference w:id="41"/>
            </w:r>
          </w:p>
        </w:tc>
      </w:tr>
      <w:tr w:rsidR="00334460" w:rsidRPr="00B86EDB" w:rsidTr="00013012">
        <w:tc>
          <w:tcPr>
            <w:tcW w:w="1487" w:type="dxa"/>
          </w:tcPr>
          <w:p w:rsidR="00334460" w:rsidRPr="00B86EDB" w:rsidRDefault="00B86EDB" w:rsidP="009F3F6A">
            <w:pPr>
              <w:autoSpaceDE w:val="0"/>
              <w:autoSpaceDN w:val="0"/>
              <w:ind w:right="49"/>
              <w:jc w:val="center"/>
              <w:rPr>
                <w:rFonts w:ascii="Times New Roman" w:hAnsi="Times New Roman" w:cs="Times New Roman"/>
                <w:b/>
                <w:bCs/>
                <w:i/>
                <w:iCs/>
                <w:color w:val="000000" w:themeColor="text1"/>
                <w:sz w:val="28"/>
              </w:rPr>
            </w:pPr>
            <w:r w:rsidRPr="00B86EDB">
              <w:rPr>
                <w:rFonts w:ascii="Times New Roman" w:hAnsi="Times New Roman" w:cs="Times New Roman"/>
                <w:b/>
                <w:bCs/>
                <w:i/>
                <w:iCs/>
                <w:color w:val="000000" w:themeColor="text1"/>
                <w:sz w:val="28"/>
              </w:rPr>
              <w:t>Suficiencia</w:t>
            </w:r>
          </w:p>
        </w:tc>
        <w:tc>
          <w:tcPr>
            <w:tcW w:w="8026" w:type="dxa"/>
          </w:tcPr>
          <w:p w:rsidR="00334460" w:rsidRPr="00B86EDB" w:rsidRDefault="00B86EDB" w:rsidP="009F3F6A">
            <w:pPr>
              <w:autoSpaceDE w:val="0"/>
              <w:autoSpaceDN w:val="0"/>
              <w:ind w:right="49"/>
              <w:jc w:val="both"/>
              <w:rPr>
                <w:rFonts w:ascii="Times New Roman" w:hAnsi="Times New Roman" w:cs="Times New Roman"/>
                <w:color w:val="000000" w:themeColor="text1"/>
                <w:sz w:val="28"/>
              </w:rPr>
            </w:pPr>
            <w:r w:rsidRPr="00B86EDB">
              <w:rPr>
                <w:rFonts w:ascii="Times New Roman" w:hAnsi="Times New Roman" w:cs="Times New Roman"/>
                <w:color w:val="000000" w:themeColor="text1"/>
                <w:sz w:val="28"/>
              </w:rPr>
              <w:t>Se predica de la exposición de todos los elementos de juicio, tanto argumentativos como probatorios, necesarios para iniciar el juicio de constitucionalidad requerido. Asimismo, apela al alcance persuasivo de la demanda, esto es, de incoar argu</w:t>
            </w:r>
            <w:r w:rsidRPr="00B86EDB">
              <w:rPr>
                <w:rFonts w:ascii="Times New Roman" w:hAnsi="Times New Roman" w:cs="Times New Roman"/>
                <w:color w:val="000000" w:themeColor="text1"/>
                <w:sz w:val="28"/>
              </w:rPr>
              <w:t>mentos que generen una duda mínima sobre la constitucionalidad de la disposición demandada.</w:t>
            </w:r>
            <w:r w:rsidRPr="00B86EDB">
              <w:rPr>
                <w:rStyle w:val="Refdenotaalpie"/>
                <w:rFonts w:ascii="Times New Roman" w:hAnsi="Times New Roman" w:cs="Times New Roman"/>
                <w:color w:val="000000" w:themeColor="text1"/>
                <w:sz w:val="28"/>
              </w:rPr>
              <w:footnoteReference w:id="42"/>
            </w:r>
          </w:p>
        </w:tc>
      </w:tr>
    </w:tbl>
    <w:p w:rsidR="00334460" w:rsidRPr="00B86EDB" w:rsidRDefault="00B86EDB" w:rsidP="009F3F6A">
      <w:pPr>
        <w:pStyle w:val="Prrafodelista"/>
        <w:autoSpaceDE w:val="0"/>
        <w:autoSpaceDN w:val="0"/>
        <w:ind w:left="0"/>
        <w:contextualSpacing w:val="0"/>
        <w:jc w:val="both"/>
        <w:rPr>
          <w:rFonts w:ascii="Times New Roman" w:hAnsi="Times New Roman" w:cs="Times New Roman"/>
          <w:sz w:val="28"/>
        </w:rPr>
      </w:pPr>
    </w:p>
    <w:p w:rsidR="00334460"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 xml:space="preserve">Asimismo, es preciso tener presente que </w:t>
      </w:r>
      <w:r w:rsidRPr="00B86EDB">
        <w:rPr>
          <w:rFonts w:ascii="Times New Roman" w:hAnsi="Times New Roman" w:cs="Times New Roman"/>
          <w:sz w:val="28"/>
          <w:szCs w:val="28"/>
        </w:rPr>
        <w:t>c</w:t>
      </w:r>
      <w:r w:rsidRPr="00B86EDB">
        <w:rPr>
          <w:rFonts w:ascii="Times New Roman" w:hAnsi="Times New Roman" w:cs="Times New Roman"/>
          <w:sz w:val="28"/>
          <w:szCs w:val="28"/>
        </w:rPr>
        <w:t>uando el demandante tiene interés en proponer un cargo por la violación del principio de igualdad es preciso que, además</w:t>
      </w:r>
      <w:r w:rsidRPr="00B86EDB">
        <w:rPr>
          <w:rFonts w:ascii="Times New Roman" w:hAnsi="Times New Roman" w:cs="Times New Roman"/>
          <w:sz w:val="28"/>
          <w:szCs w:val="28"/>
        </w:rPr>
        <w:t xml:space="preserve"> de cumplir con los requisitos generales antes anotados, acredite la satisfacción de unos requisitos argumentativos específicos que</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buscan beneficiar la suficiencia de la acusación y salvaguardar la libertad de configuración legislativa en cabeza del Congr</w:t>
      </w:r>
      <w:r w:rsidRPr="00B86EDB">
        <w:rPr>
          <w:rFonts w:ascii="Times New Roman" w:hAnsi="Times New Roman" w:cs="Times New Roman"/>
          <w:sz w:val="28"/>
          <w:szCs w:val="28"/>
        </w:rPr>
        <w:t>eso de la República.</w:t>
      </w:r>
      <w:r w:rsidRPr="00B86EDB">
        <w:rPr>
          <w:rStyle w:val="Refdenotaalpie"/>
          <w:rFonts w:ascii="Times New Roman" w:hAnsi="Times New Roman" w:cs="Times New Roman"/>
          <w:sz w:val="28"/>
          <w:szCs w:val="28"/>
        </w:rPr>
        <w:footnoteReference w:id="43"/>
      </w:r>
      <w:r w:rsidRPr="00B86EDB">
        <w:rPr>
          <w:rFonts w:ascii="Times New Roman" w:hAnsi="Times New Roman" w:cs="Times New Roman"/>
          <w:sz w:val="28"/>
          <w:szCs w:val="28"/>
        </w:rPr>
        <w:t xml:space="preserve"> Para estos efectos, el reproche constitucional no puede limitarse a señalar que la disposición cuestionada establece un trato discriminatorio contrario al artículo 13 </w:t>
      </w:r>
      <w:r w:rsidRPr="00B86EDB">
        <w:rPr>
          <w:rFonts w:ascii="Times New Roman" w:hAnsi="Times New Roman" w:cs="Times New Roman"/>
          <w:sz w:val="28"/>
          <w:szCs w:val="28"/>
        </w:rPr>
        <w:t>de la Constitución</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L</w:t>
      </w:r>
      <w:r w:rsidRPr="00B86EDB">
        <w:rPr>
          <w:rFonts w:ascii="Times New Roman" w:hAnsi="Times New Roman" w:cs="Times New Roman"/>
          <w:sz w:val="28"/>
          <w:szCs w:val="28"/>
        </w:rPr>
        <w:t xml:space="preserve">a debida estructuración del cargo exige que se indique: </w:t>
      </w:r>
      <w:r w:rsidRPr="00B86EDB">
        <w:rPr>
          <w:rFonts w:ascii="Times New Roman" w:hAnsi="Times New Roman" w:cs="Times New Roman"/>
          <w:i/>
          <w:iCs/>
          <w:sz w:val="28"/>
          <w:szCs w:val="28"/>
        </w:rPr>
        <w:t>(i)</w:t>
      </w:r>
      <w:r w:rsidRPr="00B86EDB">
        <w:rPr>
          <w:rFonts w:ascii="Times New Roman" w:hAnsi="Times New Roman" w:cs="Times New Roman"/>
          <w:sz w:val="28"/>
          <w:szCs w:val="28"/>
        </w:rPr>
        <w:t xml:space="preserve"> la identificación de los sujetos o grupos comparables desde una perspectiva jurídica y fácticamente relevante; </w:t>
      </w:r>
      <w:r w:rsidRPr="00B86EDB">
        <w:rPr>
          <w:rFonts w:ascii="Times New Roman" w:hAnsi="Times New Roman" w:cs="Times New Roman"/>
          <w:i/>
          <w:iCs/>
          <w:sz w:val="28"/>
          <w:szCs w:val="28"/>
        </w:rPr>
        <w:t>(ii)</w:t>
      </w:r>
      <w:r w:rsidRPr="00B86EDB">
        <w:rPr>
          <w:rFonts w:ascii="Times New Roman" w:hAnsi="Times New Roman" w:cs="Times New Roman"/>
          <w:sz w:val="28"/>
          <w:szCs w:val="28"/>
        </w:rPr>
        <w:t xml:space="preserve"> la determinación del criterio de comparación (</w:t>
      </w:r>
      <w:r w:rsidRPr="00B86EDB">
        <w:rPr>
          <w:rFonts w:ascii="Times New Roman" w:hAnsi="Times New Roman" w:cs="Times New Roman"/>
          <w:i/>
          <w:iCs/>
          <w:sz w:val="28"/>
          <w:szCs w:val="28"/>
        </w:rPr>
        <w:t>tertium comparationis</w:t>
      </w:r>
      <w:r w:rsidRPr="00B86EDB">
        <w:rPr>
          <w:rFonts w:ascii="Times New Roman" w:hAnsi="Times New Roman" w:cs="Times New Roman"/>
          <w:sz w:val="28"/>
          <w:szCs w:val="28"/>
        </w:rPr>
        <w:t>), de modo qu</w:t>
      </w:r>
      <w:r w:rsidRPr="00B86EDB">
        <w:rPr>
          <w:rFonts w:ascii="Times New Roman" w:hAnsi="Times New Roman" w:cs="Times New Roman"/>
          <w:sz w:val="28"/>
          <w:szCs w:val="28"/>
        </w:rPr>
        <w:t xml:space="preserve">e la diferencia alegada sea verificable y guarde relación con la finalidad de la norma impugnada; y </w:t>
      </w:r>
      <w:r w:rsidRPr="00B86EDB">
        <w:rPr>
          <w:rFonts w:ascii="Times New Roman" w:hAnsi="Times New Roman" w:cs="Times New Roman"/>
          <w:i/>
          <w:iCs/>
          <w:sz w:val="28"/>
          <w:szCs w:val="28"/>
        </w:rPr>
        <w:t>(iii)</w:t>
      </w:r>
      <w:r w:rsidRPr="00B86EDB">
        <w:rPr>
          <w:rFonts w:ascii="Times New Roman" w:hAnsi="Times New Roman" w:cs="Times New Roman"/>
          <w:sz w:val="28"/>
          <w:szCs w:val="28"/>
        </w:rPr>
        <w:t xml:space="preserve"> la exposición de razones concretas que justifiquen por qué el trato legislativo igualitario o diferenciado es irrazonable o desproporcionado.</w:t>
      </w:r>
      <w:r w:rsidRPr="00B86EDB">
        <w:rPr>
          <w:rStyle w:val="Refdenotaalpie"/>
          <w:rFonts w:ascii="Times New Roman" w:hAnsi="Times New Roman" w:cs="Times New Roman"/>
          <w:sz w:val="28"/>
          <w:szCs w:val="28"/>
        </w:rPr>
        <w:footnoteReference w:id="44"/>
      </w:r>
    </w:p>
    <w:p w:rsidR="00334460" w:rsidRPr="00B86EDB" w:rsidRDefault="00B86EDB" w:rsidP="009F3F6A">
      <w:pPr>
        <w:pStyle w:val="Prrafodelista"/>
        <w:autoSpaceDE w:val="0"/>
        <w:autoSpaceDN w:val="0"/>
        <w:ind w:left="0" w:right="49"/>
        <w:contextualSpacing w:val="0"/>
        <w:jc w:val="both"/>
        <w:rPr>
          <w:rFonts w:ascii="Times New Roman" w:hAnsi="Times New Roman" w:cs="Times New Roman"/>
          <w:b/>
          <w:bCs/>
          <w:color w:val="000000" w:themeColor="text1"/>
          <w:sz w:val="28"/>
          <w:szCs w:val="28"/>
        </w:rPr>
      </w:pPr>
    </w:p>
    <w:p w:rsidR="00334460" w:rsidRPr="00B86EDB" w:rsidRDefault="00B86EDB" w:rsidP="009F3F6A">
      <w:pPr>
        <w:pStyle w:val="Prrafodelista"/>
        <w:numPr>
          <w:ilvl w:val="0"/>
          <w:numId w:val="4"/>
        </w:numPr>
        <w:autoSpaceDE w:val="0"/>
        <w:autoSpaceDN w:val="0"/>
        <w:ind w:left="0" w:right="49" w:firstLine="0"/>
        <w:contextualSpacing w:val="0"/>
        <w:jc w:val="both"/>
        <w:rPr>
          <w:rFonts w:ascii="Times New Roman" w:hAnsi="Times New Roman" w:cs="Times New Roman"/>
          <w:b/>
          <w:bCs/>
          <w:color w:val="000000" w:themeColor="text1"/>
          <w:sz w:val="28"/>
          <w:szCs w:val="28"/>
        </w:rPr>
      </w:pPr>
      <w:r w:rsidRPr="00B86EDB">
        <w:rPr>
          <w:rFonts w:ascii="Times New Roman" w:hAnsi="Times New Roman" w:cs="Times New Roman"/>
          <w:color w:val="000000" w:themeColor="text1"/>
          <w:sz w:val="28"/>
          <w:szCs w:val="28"/>
        </w:rPr>
        <w:t>Cuando</w:t>
      </w:r>
      <w:r w:rsidRPr="00B86EDB">
        <w:rPr>
          <w:rFonts w:ascii="Times New Roman" w:hAnsi="Times New Roman" w:cs="Times New Roman"/>
          <w:color w:val="000000" w:themeColor="text1"/>
          <w:sz w:val="28"/>
          <w:szCs w:val="28"/>
        </w:rPr>
        <w:t xml:space="preserve"> la Sala encuentra que la demanda no cumple con los mencionados requisitos, se debe declarar su ineptitud sustantiva</w:t>
      </w:r>
      <w:r w:rsidRPr="00B86EDB">
        <w:rPr>
          <w:rFonts w:ascii="Times New Roman" w:hAnsi="Times New Roman" w:cs="Times New Roman"/>
          <w:color w:val="000000" w:themeColor="text1"/>
          <w:sz w:val="28"/>
          <w:szCs w:val="28"/>
        </w:rPr>
        <w:t>, y</w:t>
      </w:r>
      <w:r w:rsidRPr="00B86EDB">
        <w:rPr>
          <w:rFonts w:ascii="Times New Roman" w:hAnsi="Times New Roman" w:cs="Times New Roman"/>
          <w:color w:val="000000" w:themeColor="text1"/>
          <w:sz w:val="28"/>
          <w:szCs w:val="28"/>
        </w:rPr>
        <w:t xml:space="preserve"> abstenerse de pronunciarse de fondo.</w:t>
      </w:r>
      <w:r w:rsidRPr="00B86EDB">
        <w:rPr>
          <w:rStyle w:val="Refdenotaalpie"/>
          <w:rFonts w:ascii="Times New Roman" w:hAnsi="Times New Roman" w:cs="Times New Roman"/>
          <w:color w:val="000000" w:themeColor="text1"/>
          <w:sz w:val="28"/>
          <w:szCs w:val="28"/>
          <w:shd w:val="clear" w:color="auto" w:fill="FFFFFF"/>
        </w:rPr>
        <w:footnoteReference w:id="45"/>
      </w:r>
      <w:r w:rsidRPr="00B86EDB">
        <w:rPr>
          <w:rFonts w:ascii="Times New Roman" w:hAnsi="Times New Roman" w:cs="Times New Roman"/>
          <w:b/>
          <w:bCs/>
          <w:color w:val="000000" w:themeColor="text1"/>
          <w:sz w:val="28"/>
          <w:szCs w:val="28"/>
        </w:rPr>
        <w:t xml:space="preserve"> </w:t>
      </w:r>
    </w:p>
    <w:p w:rsidR="00C6277E" w:rsidRPr="00B86EDB" w:rsidRDefault="00B86EDB" w:rsidP="009F3F6A">
      <w:pPr>
        <w:pStyle w:val="Prrafodelista"/>
        <w:autoSpaceDE w:val="0"/>
        <w:autoSpaceDN w:val="0"/>
        <w:ind w:left="0" w:right="49"/>
        <w:contextualSpacing w:val="0"/>
        <w:jc w:val="both"/>
        <w:rPr>
          <w:rFonts w:ascii="Times New Roman" w:hAnsi="Times New Roman" w:cs="Times New Roman"/>
          <w:color w:val="000000" w:themeColor="text1"/>
          <w:sz w:val="28"/>
          <w:szCs w:val="28"/>
        </w:rPr>
      </w:pPr>
    </w:p>
    <w:p w:rsidR="00C6277E" w:rsidRPr="00B86EDB" w:rsidRDefault="00B86EDB" w:rsidP="009F3F6A">
      <w:pPr>
        <w:pStyle w:val="Prrafodelista"/>
        <w:numPr>
          <w:ilvl w:val="0"/>
          <w:numId w:val="4"/>
        </w:numPr>
        <w:ind w:left="0" w:right="49" w:firstLine="0"/>
        <w:contextualSpacing w:val="0"/>
        <w:jc w:val="both"/>
        <w:rPr>
          <w:rFonts w:ascii="Times New Roman" w:hAnsi="Times New Roman" w:cs="Times New Roman"/>
          <w:sz w:val="28"/>
          <w:szCs w:val="28"/>
          <w:lang w:eastAsia="en-US"/>
        </w:rPr>
      </w:pPr>
      <w:r w:rsidRPr="00B86EDB">
        <w:rPr>
          <w:rFonts w:ascii="Times New Roman" w:hAnsi="Times New Roman" w:cs="Times New Roman"/>
          <w:sz w:val="28"/>
          <w:szCs w:val="28"/>
          <w:lang w:eastAsia="en-US"/>
        </w:rPr>
        <w:t xml:space="preserve">En el asunto </w:t>
      </w:r>
      <w:r w:rsidRPr="00B86EDB">
        <w:rPr>
          <w:rFonts w:ascii="Times New Roman" w:hAnsi="Times New Roman" w:cs="Times New Roman"/>
          <w:i/>
          <w:iCs/>
          <w:sz w:val="28"/>
          <w:szCs w:val="28"/>
          <w:lang w:eastAsia="en-US"/>
        </w:rPr>
        <w:t xml:space="preserve">sub examine </w:t>
      </w:r>
      <w:r w:rsidRPr="00B86EDB">
        <w:rPr>
          <w:rFonts w:ascii="Times New Roman" w:hAnsi="Times New Roman" w:cs="Times New Roman"/>
          <w:sz w:val="28"/>
          <w:szCs w:val="28"/>
          <w:lang w:eastAsia="en-US"/>
        </w:rPr>
        <w:t>el ciudadano Harold Eduardo Sua</w:t>
      </w:r>
      <w:r w:rsidRPr="00B86EDB">
        <w:rPr>
          <w:rFonts w:ascii="Times New Roman" w:hAnsi="Times New Roman" w:cs="Times New Roman"/>
          <w:sz w:val="28"/>
          <w:szCs w:val="28"/>
          <w:lang w:eastAsia="en-US"/>
        </w:rPr>
        <w:t xml:space="preserve"> solicitó a la Corte inhibirse. Indicó que la duración temporal de</w:t>
      </w:r>
      <w:r w:rsidRPr="00B86EDB">
        <w:rPr>
          <w:rFonts w:ascii="Times New Roman" w:hAnsi="Times New Roman" w:cs="Times New Roman"/>
          <w:sz w:val="28"/>
          <w:szCs w:val="28"/>
          <w:lang w:eastAsia="en-US"/>
        </w:rPr>
        <w:t>l</w:t>
      </w:r>
      <w:r w:rsidRPr="00B86EDB">
        <w:rPr>
          <w:rFonts w:ascii="Times New Roman" w:hAnsi="Times New Roman" w:cs="Times New Roman"/>
          <w:sz w:val="28"/>
          <w:szCs w:val="28"/>
          <w:lang w:eastAsia="en-US"/>
        </w:rPr>
        <w:t xml:space="preserve"> impuesto de patrimonio no es un criterio determinante para evaluar su compatibilidad con los principios de equidad y progresividad tributaria. Señaló que la motivación de la decisión de es</w:t>
      </w:r>
      <w:r w:rsidRPr="00B86EDB">
        <w:rPr>
          <w:rFonts w:ascii="Times New Roman" w:hAnsi="Times New Roman" w:cs="Times New Roman"/>
          <w:sz w:val="28"/>
          <w:szCs w:val="28"/>
          <w:lang w:eastAsia="en-US"/>
        </w:rPr>
        <w:t xml:space="preserve">ta </w:t>
      </w:r>
      <w:r w:rsidRPr="00B86EDB">
        <w:rPr>
          <w:rFonts w:ascii="Times New Roman" w:hAnsi="Times New Roman" w:cs="Times New Roman"/>
          <w:sz w:val="28"/>
          <w:szCs w:val="28"/>
          <w:lang w:eastAsia="en-US"/>
        </w:rPr>
        <w:t>Corte</w:t>
      </w:r>
      <w:r w:rsidRPr="00B86EDB">
        <w:rPr>
          <w:rFonts w:ascii="Times New Roman" w:hAnsi="Times New Roman" w:cs="Times New Roman"/>
          <w:sz w:val="28"/>
          <w:szCs w:val="28"/>
          <w:lang w:eastAsia="en-US"/>
        </w:rPr>
        <w:t xml:space="preserve"> no se </w:t>
      </w:r>
      <w:r w:rsidRPr="00B86EDB">
        <w:rPr>
          <w:rFonts w:ascii="Times New Roman" w:hAnsi="Times New Roman" w:cs="Times New Roman"/>
          <w:sz w:val="28"/>
          <w:szCs w:val="28"/>
          <w:lang w:eastAsia="en-US"/>
        </w:rPr>
        <w:t>debe basar</w:t>
      </w:r>
      <w:r w:rsidRPr="00B86EDB">
        <w:rPr>
          <w:rFonts w:ascii="Times New Roman" w:hAnsi="Times New Roman" w:cs="Times New Roman"/>
          <w:sz w:val="28"/>
          <w:szCs w:val="28"/>
          <w:lang w:eastAsia="en-US"/>
        </w:rPr>
        <w:t xml:space="preserve"> únicamente en la duración temporal, sino en una ponderación de los principios y fines constitucionales en el contexto socioeconómico y jurídico existente en el momento de la toma de decisión. Finalmente señaló que la doble tributa</w:t>
      </w:r>
      <w:r w:rsidRPr="00B86EDB">
        <w:rPr>
          <w:rFonts w:ascii="Times New Roman" w:hAnsi="Times New Roman" w:cs="Times New Roman"/>
          <w:sz w:val="28"/>
          <w:szCs w:val="28"/>
          <w:lang w:eastAsia="en-US"/>
        </w:rPr>
        <w:t>ción no torna inexequible una norma de acuerdo con los artículos 13 y 95-9 de la Constitución Política.</w:t>
      </w:r>
    </w:p>
    <w:bookmarkEnd w:id="10"/>
    <w:p w:rsidR="00334460"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334460"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A partir de estos cuestionamientos</w:t>
      </w:r>
      <w:r w:rsidRPr="00B86EDB">
        <w:rPr>
          <w:rFonts w:ascii="Times New Roman" w:hAnsi="Times New Roman" w:cs="Times New Roman"/>
          <w:color w:val="000000" w:themeColor="text1"/>
          <w:sz w:val="28"/>
          <w:szCs w:val="28"/>
        </w:rPr>
        <w:t>,</w:t>
      </w:r>
      <w:r w:rsidRPr="00B86EDB">
        <w:rPr>
          <w:rFonts w:ascii="Times New Roman" w:hAnsi="Times New Roman" w:cs="Times New Roman"/>
          <w:color w:val="000000" w:themeColor="text1"/>
          <w:sz w:val="28"/>
          <w:szCs w:val="28"/>
          <w:shd w:val="clear" w:color="auto" w:fill="FFFFFF"/>
        </w:rPr>
        <w:t xml:space="preserve"> la Corte deberá establecer si la demanda supera los supuestos de aptitud previstos en el Decreto 2067 de 1991 y la </w:t>
      </w:r>
      <w:r w:rsidRPr="00B86EDB">
        <w:rPr>
          <w:rFonts w:ascii="Times New Roman" w:hAnsi="Times New Roman" w:cs="Times New Roman"/>
          <w:color w:val="000000" w:themeColor="text1"/>
          <w:sz w:val="28"/>
          <w:szCs w:val="28"/>
          <w:shd w:val="clear" w:color="auto" w:fill="FFFFFF"/>
        </w:rPr>
        <w:t>jurisprudencia constitucional con miras a determinar si corresponde realizar un pronunciamiento de fondo.</w:t>
      </w:r>
    </w:p>
    <w:p w:rsidR="00334460"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366486"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L</w:t>
      </w:r>
      <w:r w:rsidRPr="00B86EDB">
        <w:rPr>
          <w:rFonts w:ascii="Times New Roman" w:hAnsi="Times New Roman" w:cs="Times New Roman"/>
          <w:sz w:val="28"/>
          <w:szCs w:val="28"/>
        </w:rPr>
        <w:t xml:space="preserve">a Corte encuentra que la demanda </w:t>
      </w:r>
      <w:r w:rsidRPr="00B86EDB">
        <w:rPr>
          <w:rFonts w:ascii="Times New Roman" w:hAnsi="Times New Roman" w:cs="Times New Roman"/>
          <w:i/>
          <w:iCs/>
          <w:sz w:val="28"/>
          <w:szCs w:val="28"/>
        </w:rPr>
        <w:t>sub examine</w:t>
      </w:r>
      <w:r w:rsidRPr="00B86EDB">
        <w:rPr>
          <w:rFonts w:ascii="Times New Roman" w:hAnsi="Times New Roman" w:cs="Times New Roman"/>
          <w:sz w:val="28"/>
          <w:szCs w:val="28"/>
        </w:rPr>
        <w:t xml:space="preserve"> no cumple con los requisitos previamente mencionados, por lo que deberá declarar su ineptitud sustantiv</w:t>
      </w:r>
      <w:r w:rsidRPr="00B86EDB">
        <w:rPr>
          <w:rFonts w:ascii="Times New Roman" w:hAnsi="Times New Roman" w:cs="Times New Roman"/>
          <w:sz w:val="28"/>
          <w:szCs w:val="28"/>
        </w:rPr>
        <w:t>a e inhibirse de emitir un pronunciamiento de fondo. A continuación, se exponen las razones que llevan a la Sala a adoptar esta determinación.</w:t>
      </w:r>
    </w:p>
    <w:p w:rsidR="00366486" w:rsidRPr="00B86EDB" w:rsidRDefault="00B86EDB" w:rsidP="009F3F6A">
      <w:pPr>
        <w:rPr>
          <w:rFonts w:ascii="Times New Roman" w:hAnsi="Times New Roman" w:cs="Times New Roman"/>
          <w:sz w:val="28"/>
          <w:szCs w:val="28"/>
        </w:rPr>
      </w:pPr>
    </w:p>
    <w:p w:rsidR="00A81186" w:rsidRPr="00B86EDB" w:rsidRDefault="00B86EDB" w:rsidP="009F3F6A">
      <w:pPr>
        <w:pStyle w:val="Prrafodelista"/>
        <w:numPr>
          <w:ilvl w:val="0"/>
          <w:numId w:val="14"/>
        </w:numPr>
        <w:autoSpaceDE w:val="0"/>
        <w:autoSpaceDN w:val="0"/>
        <w:contextualSpacing w:val="0"/>
        <w:jc w:val="both"/>
        <w:rPr>
          <w:rFonts w:ascii="Times New Roman" w:hAnsi="Times New Roman" w:cs="Times New Roman"/>
          <w:i/>
          <w:iCs/>
          <w:sz w:val="28"/>
          <w:szCs w:val="28"/>
        </w:rPr>
      </w:pPr>
      <w:r w:rsidRPr="00B86EDB">
        <w:rPr>
          <w:rFonts w:ascii="Times New Roman" w:hAnsi="Times New Roman" w:cs="Times New Roman"/>
          <w:b/>
          <w:bCs/>
          <w:i/>
          <w:iCs/>
          <w:sz w:val="28"/>
          <w:szCs w:val="28"/>
        </w:rPr>
        <w:t>Ineptitud sustantiva por no cumplir con la carga argumentativa especial que se exige a un ciudadano cuando alega</w:t>
      </w:r>
      <w:r w:rsidRPr="00B86EDB">
        <w:rPr>
          <w:rFonts w:ascii="Times New Roman" w:hAnsi="Times New Roman" w:cs="Times New Roman"/>
          <w:b/>
          <w:bCs/>
          <w:i/>
          <w:iCs/>
          <w:sz w:val="28"/>
          <w:szCs w:val="28"/>
        </w:rPr>
        <w:t xml:space="preserve"> la vulneración del principio de igualdad, y el principio de equidad en su dimensión horizontal </w:t>
      </w:r>
    </w:p>
    <w:p w:rsidR="00A81186"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A81186"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En la demanda D-15.273, el ciudadano Guillermo Otálora Lozano formuló un cargo por vulneración del principio de equidad horizontal y del derecho a la igualdad</w:t>
      </w:r>
      <w:r w:rsidRPr="00B86EDB">
        <w:rPr>
          <w:rFonts w:ascii="Times New Roman" w:hAnsi="Times New Roman" w:cs="Times New Roman"/>
          <w:sz w:val="28"/>
          <w:szCs w:val="28"/>
        </w:rPr>
        <w:t>, con fundamento en que el impuesto al patrimonio previsto en la Ley 2277 de 2022 no establece un trato diferenciado entre contribuyentes con y sin liquidez para pagar la obligación tributaria. A su juicio, la omisión legislativa en la consideración de est</w:t>
      </w:r>
      <w:r w:rsidRPr="00B86EDB">
        <w:rPr>
          <w:rFonts w:ascii="Times New Roman" w:hAnsi="Times New Roman" w:cs="Times New Roman"/>
          <w:sz w:val="28"/>
          <w:szCs w:val="28"/>
        </w:rPr>
        <w:t>e factor introduce un trato inequitativo que desconoce la capacidad real de pago de los contribuyentes y genera un impacto desproporcionado sobre aquellos cuyos activos no son fácilmente liquidables.</w:t>
      </w:r>
    </w:p>
    <w:p w:rsidR="00A81186"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A81186"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 xml:space="preserve">Para estructurar su argumentación, el demandante </w:t>
      </w:r>
      <w:r w:rsidRPr="00B86EDB">
        <w:rPr>
          <w:rFonts w:ascii="Times New Roman" w:hAnsi="Times New Roman" w:cs="Times New Roman"/>
          <w:sz w:val="28"/>
          <w:szCs w:val="28"/>
        </w:rPr>
        <w:t>identificó dos grupos a comparar: (i) personas naturales y sucesiones ilíquidas que, siendo contribuyentes del impuesto sobre la renta, cuentan con liquidez suficiente para pagar el impuesto al patrimonio sin necesidad de vender sus activos; y (ii) persona</w:t>
      </w:r>
      <w:r w:rsidRPr="00B86EDB">
        <w:rPr>
          <w:rFonts w:ascii="Times New Roman" w:hAnsi="Times New Roman" w:cs="Times New Roman"/>
          <w:sz w:val="28"/>
          <w:szCs w:val="28"/>
        </w:rPr>
        <w:t xml:space="preserve">s naturales y sucesiones ilíquidas contribuyentes del impuesto sobre la renta que no tienen la liquidez necesaria para asumir el gravamen, pues su patrimonio está compuesto principalmente por activos de difícil liquidación. Sobre esta base, sostuvo que la </w:t>
      </w:r>
      <w:r w:rsidRPr="00B86EDB">
        <w:rPr>
          <w:rFonts w:ascii="Times New Roman" w:hAnsi="Times New Roman" w:cs="Times New Roman"/>
          <w:sz w:val="28"/>
          <w:szCs w:val="28"/>
        </w:rPr>
        <w:t>igualdad de trato entre estos dos grupos resulta inconstitucional, pues la capacidad contributiva debe valorarse a partir de la disponibilidad efectiva de recursos y no únicamente sobre la base del valor patrimonial bruto o neto.</w:t>
      </w:r>
    </w:p>
    <w:p w:rsidR="00A81186"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A81186"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S</w:t>
      </w:r>
      <w:r w:rsidRPr="00B86EDB">
        <w:rPr>
          <w:rFonts w:ascii="Times New Roman" w:hAnsi="Times New Roman" w:cs="Times New Roman"/>
          <w:sz w:val="28"/>
          <w:szCs w:val="28"/>
        </w:rPr>
        <w:t>in embargo,</w:t>
      </w:r>
      <w:r w:rsidRPr="00B86EDB">
        <w:rPr>
          <w:rFonts w:ascii="Times New Roman" w:hAnsi="Times New Roman" w:cs="Times New Roman"/>
          <w:sz w:val="28"/>
          <w:szCs w:val="28"/>
        </w:rPr>
        <w:t xml:space="preserve"> su argumentación no cumple con la carga argumentativa especial que exige la jurisprudencia constitucional en los cargos por vulneración del principio de igualdad. </w:t>
      </w:r>
      <w:r w:rsidRPr="00B86EDB">
        <w:rPr>
          <w:rFonts w:ascii="Times New Roman" w:hAnsi="Times New Roman" w:cs="Times New Roman"/>
          <w:sz w:val="28"/>
          <w:szCs w:val="28"/>
        </w:rPr>
        <w:t>L</w:t>
      </w:r>
      <w:r w:rsidRPr="00B86EDB">
        <w:rPr>
          <w:rFonts w:ascii="Times New Roman" w:hAnsi="Times New Roman" w:cs="Times New Roman"/>
          <w:sz w:val="28"/>
          <w:szCs w:val="28"/>
        </w:rPr>
        <w:t>a Sentencia C-345 de 2019 enfatizó que la definición de los términos de comparación no pued</w:t>
      </w:r>
      <w:r w:rsidRPr="00B86EDB">
        <w:rPr>
          <w:rFonts w:ascii="Times New Roman" w:hAnsi="Times New Roman" w:cs="Times New Roman"/>
          <w:sz w:val="28"/>
          <w:szCs w:val="28"/>
        </w:rPr>
        <w:t>e ser arbitraria ni subjetiva, sino que debe derivarse del propósito normativo que persigue la disposición acusada. En el presente caso, el demandante identificó la liquidez como criterio diferenciador, pero no logró demostrar con suficiencia que este elem</w:t>
      </w:r>
      <w:r w:rsidRPr="00B86EDB">
        <w:rPr>
          <w:rFonts w:ascii="Times New Roman" w:hAnsi="Times New Roman" w:cs="Times New Roman"/>
          <w:sz w:val="28"/>
          <w:szCs w:val="28"/>
        </w:rPr>
        <w:t>ento es jurídicamente relevante dentro del diseño del impuesto al patrimonio.</w:t>
      </w:r>
    </w:p>
    <w:p w:rsidR="00A81186"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F24A82"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 xml:space="preserve">El impuesto al patrimonio tiene una finalidad expresamente definida en su exposición de motivos, la cual apunta a garantizar una mayor equidad en el sistema tributario mediante </w:t>
      </w:r>
      <w:r w:rsidRPr="00B86EDB">
        <w:rPr>
          <w:rFonts w:ascii="Times New Roman" w:hAnsi="Times New Roman" w:cs="Times New Roman"/>
          <w:sz w:val="28"/>
          <w:szCs w:val="28"/>
        </w:rPr>
        <w:t>la imposición de cargas a quienes poseen riqueza acumulada. En particular, el tributo busca: (i) aumentar el recaudo fiscal a partir de contribuyentes con mayor capacidad económica, y (ii) promover la conversión de activos improductivos en productivos, inc</w:t>
      </w:r>
      <w:r w:rsidRPr="00B86EDB">
        <w:rPr>
          <w:rFonts w:ascii="Times New Roman" w:hAnsi="Times New Roman" w:cs="Times New Roman"/>
          <w:sz w:val="28"/>
          <w:szCs w:val="28"/>
        </w:rPr>
        <w:t>entivando la dinamización de la economía.</w:t>
      </w:r>
    </w:p>
    <w:p w:rsidR="00F24A82" w:rsidRPr="00B86EDB" w:rsidRDefault="00B86EDB" w:rsidP="009F3F6A">
      <w:pPr>
        <w:pStyle w:val="Prrafodelista"/>
        <w:ind w:left="0"/>
        <w:contextualSpacing w:val="0"/>
        <w:rPr>
          <w:rFonts w:ascii="Times New Roman" w:hAnsi="Times New Roman" w:cs="Times New Roman"/>
          <w:sz w:val="28"/>
          <w:szCs w:val="28"/>
        </w:rPr>
      </w:pPr>
    </w:p>
    <w:p w:rsidR="00F24A82"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Desde esta perspectiva, el elemento determinante para la configuración del impuesto no es la liquidez inmediata del sujeto pasivo, sino la valoración global de su riqueza, sin importar si esta se encuentra materia</w:t>
      </w:r>
      <w:r w:rsidRPr="00B86EDB">
        <w:rPr>
          <w:rFonts w:ascii="Times New Roman" w:hAnsi="Times New Roman" w:cs="Times New Roman"/>
          <w:sz w:val="28"/>
          <w:szCs w:val="28"/>
        </w:rPr>
        <w:t>lizada en activos líquidos o en bienes que requieren disposición para su monetización.</w:t>
      </w:r>
    </w:p>
    <w:p w:rsidR="00F24A82" w:rsidRPr="00B86EDB" w:rsidRDefault="00B86EDB" w:rsidP="009F3F6A">
      <w:pPr>
        <w:pStyle w:val="Prrafodelista"/>
        <w:ind w:left="0"/>
        <w:contextualSpacing w:val="0"/>
        <w:rPr>
          <w:rFonts w:ascii="Times New Roman" w:hAnsi="Times New Roman" w:cs="Times New Roman"/>
          <w:sz w:val="28"/>
          <w:szCs w:val="28"/>
        </w:rPr>
      </w:pPr>
    </w:p>
    <w:p w:rsidR="00F24A82"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 xml:space="preserve">El demandante omitió demostrar cómo la falta de liquidez afecta de manera diferenciada la capacidad contributiva en el marco del impuesto al patrimonio, más allá de la </w:t>
      </w:r>
      <w:r w:rsidRPr="00B86EDB">
        <w:rPr>
          <w:rFonts w:ascii="Times New Roman" w:hAnsi="Times New Roman" w:cs="Times New Roman"/>
          <w:sz w:val="28"/>
          <w:szCs w:val="28"/>
        </w:rPr>
        <w:t>simple afirmación de que algunos contribuyentes podrían verse obligados a enajenar activos para cumplir con la obligación. Tampoco explicó de qué manera la capacidad de pago, entendida en su eventual materialización en el concepto de liquidez, constituye e</w:t>
      </w:r>
      <w:r w:rsidRPr="00B86EDB">
        <w:rPr>
          <w:rFonts w:ascii="Times New Roman" w:hAnsi="Times New Roman" w:cs="Times New Roman"/>
          <w:sz w:val="28"/>
          <w:szCs w:val="28"/>
        </w:rPr>
        <w:t>n sí misma un indicador constitucionalmente relevante de la capacidad contributiva. Esta omisión resulta particularmente significativa si se tiene en cuenta que la jurisprudencia constitucional ha señalado de manera reiterada que, en tratándose de impuesto</w:t>
      </w:r>
      <w:r w:rsidRPr="00B86EDB">
        <w:rPr>
          <w:rFonts w:ascii="Times New Roman" w:hAnsi="Times New Roman" w:cs="Times New Roman"/>
          <w:sz w:val="28"/>
          <w:szCs w:val="28"/>
        </w:rPr>
        <w:t>s directos, los indicadores por excelencia de la capacidad de tributación son la renta y el patrimonio, en tanto expresiones objetivas de riqueza. En esa medida, el actor no aportó elementos que permitieran determinar si el fenómeno descrito genera un impa</w:t>
      </w:r>
      <w:r w:rsidRPr="00B86EDB">
        <w:rPr>
          <w:rFonts w:ascii="Times New Roman" w:hAnsi="Times New Roman" w:cs="Times New Roman"/>
          <w:sz w:val="28"/>
          <w:szCs w:val="28"/>
        </w:rPr>
        <w:t>cto significativo en la equidad tributaria, ni sustentó que la ausencia de una consideración expresa de la liquidez en la normativa demandada se traduzca en una vulneración de la Constitución.</w:t>
      </w:r>
    </w:p>
    <w:p w:rsidR="00F24A82" w:rsidRPr="00B86EDB" w:rsidRDefault="00B86EDB" w:rsidP="009F3F6A">
      <w:pPr>
        <w:pStyle w:val="Prrafodelista"/>
        <w:ind w:left="0"/>
        <w:contextualSpacing w:val="0"/>
        <w:rPr>
          <w:rFonts w:ascii="Times New Roman" w:hAnsi="Times New Roman" w:cs="Times New Roman"/>
          <w:sz w:val="28"/>
          <w:szCs w:val="28"/>
        </w:rPr>
      </w:pPr>
    </w:p>
    <w:p w:rsidR="00F24A82"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Aun cuando la argumentación del demandante fuera conducente pa</w:t>
      </w:r>
      <w:r w:rsidRPr="00B86EDB">
        <w:rPr>
          <w:rFonts w:ascii="Times New Roman" w:hAnsi="Times New Roman" w:cs="Times New Roman"/>
          <w:sz w:val="28"/>
          <w:szCs w:val="28"/>
        </w:rPr>
        <w:t>ra evidenciar que la liquidez es un factor de diferenciación relevante, la Corte ha reconocido que el legislador cuenta con un margen amplio de configuración normativa en materia tributaria y que solo se configura una violación del principio de igualdad cu</w:t>
      </w:r>
      <w:r w:rsidRPr="00B86EDB">
        <w:rPr>
          <w:rFonts w:ascii="Times New Roman" w:hAnsi="Times New Roman" w:cs="Times New Roman"/>
          <w:sz w:val="28"/>
          <w:szCs w:val="28"/>
        </w:rPr>
        <w:t>ando se demuestra que una determinada omisión regulatoria introduce una discriminación injustificada.</w:t>
      </w:r>
    </w:p>
    <w:p w:rsidR="00F24A82" w:rsidRPr="00B86EDB" w:rsidRDefault="00B86EDB" w:rsidP="009F3F6A">
      <w:pPr>
        <w:pStyle w:val="Prrafodelista"/>
        <w:ind w:left="0"/>
        <w:contextualSpacing w:val="0"/>
        <w:rPr>
          <w:rFonts w:ascii="Times New Roman" w:hAnsi="Times New Roman" w:cs="Times New Roman"/>
          <w:sz w:val="28"/>
          <w:szCs w:val="28"/>
        </w:rPr>
      </w:pPr>
    </w:p>
    <w:p w:rsidR="00F24A82"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 xml:space="preserve">En el presente caso, el demandante no explicó por qué la ausencia de una diferenciación basada en la liquidez implica una arbitrariedad en el diseño del </w:t>
      </w:r>
      <w:r w:rsidRPr="00B86EDB">
        <w:rPr>
          <w:rFonts w:ascii="Times New Roman" w:hAnsi="Times New Roman" w:cs="Times New Roman"/>
          <w:sz w:val="28"/>
          <w:szCs w:val="28"/>
        </w:rPr>
        <w:t>impuesto ni sustentó que el trato uniforme a los contribuyentes del impuesto al patrimonio sea irrazonable a la luz de los principios constitucionales que rigen la tributación. Por el contrario, en el expediente constan intervenciones del Ministerio de Hac</w:t>
      </w:r>
      <w:r w:rsidRPr="00B86EDB">
        <w:rPr>
          <w:rFonts w:ascii="Times New Roman" w:hAnsi="Times New Roman" w:cs="Times New Roman"/>
          <w:sz w:val="28"/>
          <w:szCs w:val="28"/>
        </w:rPr>
        <w:t>ienda y de la DIAN que explican la lógica redistributiva del tributo y el propósito de su implementación, lo que refuerza la presunción de constitucionalidad de la medida.</w:t>
      </w:r>
      <w:r w:rsidRPr="00B86EDB">
        <w:rPr>
          <w:rFonts w:ascii="Times New Roman" w:hAnsi="Times New Roman" w:cs="Times New Roman"/>
          <w:sz w:val="28"/>
          <w:szCs w:val="28"/>
        </w:rPr>
        <w:t xml:space="preserve"> </w:t>
      </w:r>
    </w:p>
    <w:p w:rsidR="002F4315"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F24A82"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La Corte ha sido clara en que no le corresponde suplir las deficiencias argumentat</w:t>
      </w:r>
      <w:r w:rsidRPr="00B86EDB">
        <w:rPr>
          <w:rFonts w:ascii="Times New Roman" w:hAnsi="Times New Roman" w:cs="Times New Roman"/>
          <w:sz w:val="28"/>
          <w:szCs w:val="28"/>
        </w:rPr>
        <w:t>ivas de la demanda ni reconstruir un cargo que no ha sido planteado con la solidez requerida. Como se ha señalado en múltiples precedentes, la existencia de una desigualdad en el trato normativo debe ser expuesta con la debida suficiencia, identificando cl</w:t>
      </w:r>
      <w:r w:rsidRPr="00B86EDB">
        <w:rPr>
          <w:rFonts w:ascii="Times New Roman" w:hAnsi="Times New Roman" w:cs="Times New Roman"/>
          <w:sz w:val="28"/>
          <w:szCs w:val="28"/>
        </w:rPr>
        <w:t>aramente los sujetos comparables, justificando la relevancia del criterio de comparación y sustentando las razones por las cuales la omisión regulatoria resulta inconstitucional.</w:t>
      </w:r>
    </w:p>
    <w:p w:rsidR="00F24A82" w:rsidRPr="00B86EDB" w:rsidRDefault="00B86EDB" w:rsidP="009F3F6A">
      <w:pPr>
        <w:pStyle w:val="Prrafodelista"/>
        <w:ind w:left="0"/>
        <w:contextualSpacing w:val="0"/>
        <w:rPr>
          <w:rFonts w:ascii="Times New Roman" w:hAnsi="Times New Roman" w:cs="Times New Roman"/>
          <w:sz w:val="28"/>
          <w:szCs w:val="28"/>
        </w:rPr>
      </w:pPr>
    </w:p>
    <w:p w:rsidR="00F24A82"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En el presente caso, la formulación del cargo no satisface el requisito de e</w:t>
      </w:r>
      <w:r w:rsidRPr="00B86EDB">
        <w:rPr>
          <w:rFonts w:ascii="Times New Roman" w:hAnsi="Times New Roman" w:cs="Times New Roman"/>
          <w:sz w:val="28"/>
          <w:szCs w:val="28"/>
        </w:rPr>
        <w:t>specificidad por no cumplir con la carga argumentativa especial que se exige a un ciudadano cuando alega la vulneración del principio de igualdad, y el principio de equidad en su dimensión horizontal, en la medida en que: (i) no se demuestra con suficienci</w:t>
      </w:r>
      <w:r w:rsidRPr="00B86EDB">
        <w:rPr>
          <w:rFonts w:ascii="Times New Roman" w:hAnsi="Times New Roman" w:cs="Times New Roman"/>
          <w:sz w:val="28"/>
          <w:szCs w:val="28"/>
        </w:rPr>
        <w:t>a que la liquidez sea un criterio jurídicamente relevante dentro del análisis de equidad horizontal del impuesto al patrimonio; (ii) no se explica por qué la omisión de este factor por parte del legislador introduce un trato desigual injustificado; y (iii)</w:t>
      </w:r>
      <w:r w:rsidRPr="00B86EDB">
        <w:rPr>
          <w:rFonts w:ascii="Times New Roman" w:hAnsi="Times New Roman" w:cs="Times New Roman"/>
          <w:sz w:val="28"/>
          <w:szCs w:val="28"/>
        </w:rPr>
        <w:t xml:space="preserve"> no se aporta un desarrollo argumentativo suficiente que permita activar el control de constitucionalidad sobre la medida demandada.</w:t>
      </w:r>
    </w:p>
    <w:p w:rsidR="00F24A82" w:rsidRPr="00B86EDB" w:rsidRDefault="00B86EDB" w:rsidP="009F3F6A">
      <w:pPr>
        <w:pStyle w:val="Prrafodelista"/>
        <w:ind w:left="0"/>
        <w:contextualSpacing w:val="0"/>
        <w:rPr>
          <w:rFonts w:ascii="Times New Roman" w:hAnsi="Times New Roman" w:cs="Times New Roman"/>
          <w:sz w:val="28"/>
          <w:szCs w:val="28"/>
        </w:rPr>
      </w:pPr>
    </w:p>
    <w:p w:rsidR="00A81186"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En consecuencia, la Corte debe inhibirse de emitir un pronunciamiento de fondo sobre este cargo, al no contar con los elem</w:t>
      </w:r>
      <w:r w:rsidRPr="00B86EDB">
        <w:rPr>
          <w:rFonts w:ascii="Times New Roman" w:hAnsi="Times New Roman" w:cs="Times New Roman"/>
          <w:sz w:val="28"/>
          <w:szCs w:val="28"/>
        </w:rPr>
        <w:t>entos necesarios para adelantar el juicio de igualdad propuesto por el demandante.</w:t>
      </w:r>
    </w:p>
    <w:p w:rsidR="00A81186"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F24A82" w:rsidRPr="00B86EDB" w:rsidRDefault="00B86EDB" w:rsidP="009F3F6A">
      <w:pPr>
        <w:rPr>
          <w:rFonts w:ascii="Times New Roman" w:hAnsi="Times New Roman" w:cs="Times New Roman"/>
          <w:sz w:val="28"/>
          <w:szCs w:val="28"/>
        </w:rPr>
      </w:pPr>
    </w:p>
    <w:p w:rsidR="00A81186" w:rsidRPr="00B86EDB" w:rsidRDefault="00B86EDB" w:rsidP="009F3F6A">
      <w:pPr>
        <w:pStyle w:val="Prrafodelista"/>
        <w:numPr>
          <w:ilvl w:val="0"/>
          <w:numId w:val="14"/>
        </w:numPr>
        <w:autoSpaceDE w:val="0"/>
        <w:autoSpaceDN w:val="0"/>
        <w:contextualSpacing w:val="0"/>
        <w:jc w:val="both"/>
        <w:rPr>
          <w:rFonts w:ascii="Times New Roman" w:hAnsi="Times New Roman" w:cs="Times New Roman"/>
          <w:b/>
          <w:bCs/>
          <w:i/>
          <w:iCs/>
          <w:sz w:val="28"/>
          <w:szCs w:val="28"/>
        </w:rPr>
      </w:pPr>
      <w:r w:rsidRPr="00B86EDB">
        <w:rPr>
          <w:rFonts w:ascii="Times New Roman" w:hAnsi="Times New Roman" w:cs="Times New Roman"/>
          <w:b/>
          <w:bCs/>
          <w:i/>
          <w:iCs/>
          <w:sz w:val="28"/>
          <w:szCs w:val="28"/>
        </w:rPr>
        <w:t>Ineptitud sustantiva por falta de especificidad y suficiencia en la formulación del cargo de confiscatoriedad</w:t>
      </w:r>
      <w:r w:rsidRPr="00B86EDB">
        <w:rPr>
          <w:rFonts w:ascii="Times New Roman" w:hAnsi="Times New Roman" w:cs="Times New Roman"/>
          <w:b/>
          <w:bCs/>
          <w:i/>
          <w:iCs/>
          <w:sz w:val="28"/>
          <w:szCs w:val="28"/>
        </w:rPr>
        <w:t xml:space="preserve"> y doble tributación</w:t>
      </w:r>
    </w:p>
    <w:p w:rsidR="00A81186"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F954C4"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 xml:space="preserve">En los escritos de demanda y sus </w:t>
      </w:r>
      <w:r w:rsidRPr="00B86EDB">
        <w:rPr>
          <w:rFonts w:ascii="Times New Roman" w:hAnsi="Times New Roman" w:cs="Times New Roman"/>
          <w:sz w:val="28"/>
          <w:szCs w:val="28"/>
        </w:rPr>
        <w:t xml:space="preserve">correspondientes subsanaciones, los ciudadanos Guillermo Otálora Lozano y Humberto Antonio Sierra Porto formularon sendos cargos de inconstitucionalidad contra las disposiciones que regulan el impuesto al patrimonio en la Ley 2277 de 2022. A juicio de los </w:t>
      </w:r>
      <w:r w:rsidRPr="00B86EDB">
        <w:rPr>
          <w:rFonts w:ascii="Times New Roman" w:hAnsi="Times New Roman" w:cs="Times New Roman"/>
          <w:sz w:val="28"/>
          <w:szCs w:val="28"/>
        </w:rPr>
        <w:t>actores, el tributo configura una carga confiscatoria que vulnera los principios de equidad y justicia tributaria (art. 363 C.P.), así como el derecho de propiedad (art. 58 C.P.).</w:t>
      </w:r>
    </w:p>
    <w:p w:rsidR="00F954C4" w:rsidRPr="00B86EDB" w:rsidRDefault="00B86EDB" w:rsidP="009F3F6A">
      <w:pPr>
        <w:pStyle w:val="Prrafodelista"/>
        <w:ind w:left="0"/>
        <w:contextualSpacing w:val="0"/>
        <w:jc w:val="both"/>
        <w:rPr>
          <w:rFonts w:ascii="Times New Roman" w:hAnsi="Times New Roman" w:cs="Times New Roman"/>
          <w:sz w:val="28"/>
          <w:szCs w:val="28"/>
        </w:rPr>
      </w:pPr>
    </w:p>
    <w:p w:rsidR="00F954C4"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Los demandantes sostienen que el impuesto al patrimonio impone una carga ex</w:t>
      </w:r>
      <w:r w:rsidRPr="00B86EDB">
        <w:rPr>
          <w:rFonts w:ascii="Times New Roman" w:hAnsi="Times New Roman" w:cs="Times New Roman"/>
          <w:sz w:val="28"/>
          <w:szCs w:val="28"/>
        </w:rPr>
        <w:t>cesiva sobre los sujetos pasivos, pues al gravar de manera permanente y recurrente los bienes que integran su base imponible, obliga a los contribuyentes a disponer progresivamente de su capital hasta agotarlo. Este efecto, en su criterio, se deriva de var</w:t>
      </w:r>
      <w:r w:rsidRPr="00B86EDB">
        <w:rPr>
          <w:rFonts w:ascii="Times New Roman" w:hAnsi="Times New Roman" w:cs="Times New Roman"/>
          <w:sz w:val="28"/>
          <w:szCs w:val="28"/>
        </w:rPr>
        <w:t>ias deficiencias estructurales del tributo, entre las que destacan:</w:t>
      </w:r>
    </w:p>
    <w:p w:rsidR="00F954C4" w:rsidRPr="00B86EDB" w:rsidRDefault="00B86EDB" w:rsidP="009F3F6A">
      <w:pPr>
        <w:pStyle w:val="Prrafodelista"/>
        <w:ind w:left="0"/>
        <w:contextualSpacing w:val="0"/>
        <w:rPr>
          <w:rFonts w:ascii="Times New Roman" w:hAnsi="Times New Roman" w:cs="Times New Roman"/>
          <w:sz w:val="28"/>
          <w:szCs w:val="28"/>
        </w:rPr>
      </w:pPr>
    </w:p>
    <w:p w:rsidR="00F954C4" w:rsidRPr="00B86EDB" w:rsidRDefault="00B86EDB" w:rsidP="009F3F6A">
      <w:pPr>
        <w:pStyle w:val="Prrafodelista"/>
        <w:numPr>
          <w:ilvl w:val="1"/>
          <w:numId w:val="4"/>
        </w:numPr>
        <w:ind w:left="567" w:firstLine="0"/>
        <w:contextualSpacing w:val="0"/>
        <w:jc w:val="both"/>
        <w:rPr>
          <w:rFonts w:ascii="Times New Roman" w:hAnsi="Times New Roman" w:cs="Times New Roman"/>
          <w:sz w:val="28"/>
          <w:szCs w:val="28"/>
        </w:rPr>
      </w:pPr>
      <w:r w:rsidRPr="00B86EDB">
        <w:rPr>
          <w:rFonts w:ascii="Times New Roman" w:hAnsi="Times New Roman" w:cs="Times New Roman"/>
          <w:i/>
          <w:iCs/>
          <w:sz w:val="28"/>
          <w:szCs w:val="28"/>
        </w:rPr>
        <w:t>Su carácter indefinido y recurrente:</w:t>
      </w:r>
      <w:r w:rsidRPr="00B86EDB">
        <w:rPr>
          <w:rFonts w:ascii="Times New Roman" w:hAnsi="Times New Roman" w:cs="Times New Roman"/>
          <w:sz w:val="28"/>
          <w:szCs w:val="28"/>
        </w:rPr>
        <w:t xml:space="preserve"> La ausencia de un límite temporal en su aplicación genera una reducción progresiva del patrimonio de los sujetos pasivos, sin posibilidad de recuperac</w:t>
      </w:r>
      <w:r w:rsidRPr="00B86EDB">
        <w:rPr>
          <w:rFonts w:ascii="Times New Roman" w:hAnsi="Times New Roman" w:cs="Times New Roman"/>
          <w:sz w:val="28"/>
          <w:szCs w:val="28"/>
        </w:rPr>
        <w:t>ión.</w:t>
      </w:r>
    </w:p>
    <w:p w:rsidR="00F954C4" w:rsidRPr="00B86EDB" w:rsidRDefault="00B86EDB" w:rsidP="009F3F6A">
      <w:pPr>
        <w:pStyle w:val="Prrafodelista"/>
        <w:numPr>
          <w:ilvl w:val="1"/>
          <w:numId w:val="4"/>
        </w:numPr>
        <w:ind w:left="567" w:firstLine="0"/>
        <w:contextualSpacing w:val="0"/>
        <w:jc w:val="both"/>
        <w:rPr>
          <w:rFonts w:ascii="Times New Roman" w:hAnsi="Times New Roman" w:cs="Times New Roman"/>
          <w:sz w:val="28"/>
          <w:szCs w:val="28"/>
        </w:rPr>
      </w:pPr>
      <w:r w:rsidRPr="00B86EDB">
        <w:rPr>
          <w:rFonts w:ascii="Times New Roman" w:hAnsi="Times New Roman" w:cs="Times New Roman"/>
          <w:i/>
          <w:iCs/>
          <w:sz w:val="28"/>
          <w:szCs w:val="28"/>
        </w:rPr>
        <w:t xml:space="preserve">La falta de consideración de la rentabilidad de los activos gravados: </w:t>
      </w:r>
      <w:r w:rsidRPr="00B86EDB">
        <w:rPr>
          <w:rFonts w:ascii="Times New Roman" w:hAnsi="Times New Roman" w:cs="Times New Roman"/>
          <w:sz w:val="28"/>
          <w:szCs w:val="28"/>
        </w:rPr>
        <w:t xml:space="preserve">No se prevé un mecanismo que permita excluir del gravamen los bienes improductivos o de baja rentabilidad, lo que impone una carga desproporcionada a quienes poseen patrimonios con </w:t>
      </w:r>
      <w:r w:rsidRPr="00B86EDB">
        <w:rPr>
          <w:rFonts w:ascii="Times New Roman" w:hAnsi="Times New Roman" w:cs="Times New Roman"/>
          <w:sz w:val="28"/>
          <w:szCs w:val="28"/>
        </w:rPr>
        <w:t>escasa liquidez.</w:t>
      </w:r>
    </w:p>
    <w:p w:rsidR="00F954C4" w:rsidRPr="00B86EDB" w:rsidRDefault="00B86EDB" w:rsidP="009F3F6A">
      <w:pPr>
        <w:pStyle w:val="Prrafodelista"/>
        <w:numPr>
          <w:ilvl w:val="1"/>
          <w:numId w:val="4"/>
        </w:numPr>
        <w:ind w:left="567" w:firstLine="0"/>
        <w:contextualSpacing w:val="0"/>
        <w:jc w:val="both"/>
        <w:rPr>
          <w:rFonts w:ascii="Times New Roman" w:hAnsi="Times New Roman" w:cs="Times New Roman"/>
          <w:sz w:val="28"/>
          <w:szCs w:val="28"/>
        </w:rPr>
      </w:pPr>
      <w:r w:rsidRPr="00B86EDB">
        <w:rPr>
          <w:rFonts w:ascii="Times New Roman" w:hAnsi="Times New Roman" w:cs="Times New Roman"/>
          <w:i/>
          <w:iCs/>
          <w:sz w:val="28"/>
          <w:szCs w:val="28"/>
        </w:rPr>
        <w:t>El solapamiento con otros tributos:</w:t>
      </w:r>
      <w:r w:rsidRPr="00B86EDB">
        <w:rPr>
          <w:rFonts w:ascii="Times New Roman" w:hAnsi="Times New Roman" w:cs="Times New Roman"/>
          <w:sz w:val="28"/>
          <w:szCs w:val="28"/>
        </w:rPr>
        <w:t xml:space="preserve"> Se argumenta que el impuesto al patrimonio recae sobre la misma realidad económica gravada por el impuesto sobre la renta y el impuesto predial, lo que genera un escenario de múltiple tributación que afe</w:t>
      </w:r>
      <w:r w:rsidRPr="00B86EDB">
        <w:rPr>
          <w:rFonts w:ascii="Times New Roman" w:hAnsi="Times New Roman" w:cs="Times New Roman"/>
          <w:sz w:val="28"/>
          <w:szCs w:val="28"/>
        </w:rPr>
        <w:t>cta la capacidad contributiva de los obligados.</w:t>
      </w:r>
    </w:p>
    <w:p w:rsidR="00F954C4" w:rsidRPr="00B86EDB" w:rsidRDefault="00B86EDB" w:rsidP="009F3F6A">
      <w:pPr>
        <w:pStyle w:val="Prrafodelista"/>
        <w:numPr>
          <w:ilvl w:val="1"/>
          <w:numId w:val="4"/>
        </w:numPr>
        <w:ind w:left="567" w:firstLine="0"/>
        <w:contextualSpacing w:val="0"/>
        <w:jc w:val="both"/>
        <w:rPr>
          <w:rFonts w:ascii="Times New Roman" w:hAnsi="Times New Roman" w:cs="Times New Roman"/>
          <w:sz w:val="28"/>
          <w:szCs w:val="28"/>
        </w:rPr>
      </w:pPr>
      <w:r w:rsidRPr="00B86EDB">
        <w:rPr>
          <w:rFonts w:ascii="Times New Roman" w:hAnsi="Times New Roman" w:cs="Times New Roman"/>
          <w:i/>
          <w:iCs/>
          <w:sz w:val="28"/>
          <w:szCs w:val="28"/>
        </w:rPr>
        <w:t>La ausencia de un umbral que limite la erosión patrimonial:</w:t>
      </w:r>
      <w:r w:rsidRPr="00B86EDB">
        <w:rPr>
          <w:rFonts w:ascii="Times New Roman" w:hAnsi="Times New Roman" w:cs="Times New Roman"/>
          <w:sz w:val="28"/>
          <w:szCs w:val="28"/>
        </w:rPr>
        <w:t xml:space="preserve"> Los actores presentan proyecciones matemáticas en las que concluyen que, en un período de 20 a 40 años, los contribuyentes podrían perder entre el 5</w:t>
      </w:r>
      <w:r w:rsidRPr="00B86EDB">
        <w:rPr>
          <w:rFonts w:ascii="Times New Roman" w:hAnsi="Times New Roman" w:cs="Times New Roman"/>
          <w:sz w:val="28"/>
          <w:szCs w:val="28"/>
        </w:rPr>
        <w:t>0 % y el 80 % de su patrimonio a causa del tributo.</w:t>
      </w:r>
    </w:p>
    <w:p w:rsidR="00F954C4" w:rsidRPr="00B86EDB" w:rsidRDefault="00B86EDB" w:rsidP="009F3F6A">
      <w:pPr>
        <w:pStyle w:val="Prrafodelista"/>
        <w:ind w:left="0"/>
        <w:contextualSpacing w:val="0"/>
        <w:rPr>
          <w:rFonts w:ascii="Times New Roman" w:hAnsi="Times New Roman" w:cs="Times New Roman"/>
          <w:sz w:val="28"/>
          <w:szCs w:val="28"/>
        </w:rPr>
      </w:pPr>
    </w:p>
    <w:p w:rsidR="00F954C4"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Sobre la base de estas consideraciones, los demandantes concluy</w:t>
      </w:r>
      <w:r w:rsidRPr="00B86EDB">
        <w:rPr>
          <w:rFonts w:ascii="Times New Roman" w:hAnsi="Times New Roman" w:cs="Times New Roman"/>
          <w:sz w:val="28"/>
          <w:szCs w:val="28"/>
        </w:rPr>
        <w:t>eron</w:t>
      </w:r>
      <w:r w:rsidRPr="00B86EDB">
        <w:rPr>
          <w:rFonts w:ascii="Times New Roman" w:hAnsi="Times New Roman" w:cs="Times New Roman"/>
          <w:sz w:val="28"/>
          <w:szCs w:val="28"/>
        </w:rPr>
        <w:t xml:space="preserve"> que la regulación del impuesto al patrimonio no solo es desproporcionada, sino que impone un sacrificio económico que se traduce en una privación injustificada del derecho de propiedad.</w:t>
      </w:r>
    </w:p>
    <w:p w:rsidR="00F954C4" w:rsidRPr="00B86EDB" w:rsidRDefault="00B86EDB" w:rsidP="009F3F6A">
      <w:pPr>
        <w:pStyle w:val="Prrafodelista"/>
        <w:ind w:left="0"/>
        <w:contextualSpacing w:val="0"/>
        <w:jc w:val="both"/>
        <w:rPr>
          <w:rFonts w:ascii="Times New Roman" w:hAnsi="Times New Roman" w:cs="Times New Roman"/>
          <w:sz w:val="28"/>
          <w:szCs w:val="28"/>
        </w:rPr>
      </w:pPr>
    </w:p>
    <w:p w:rsidR="00F954C4"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No obstante, al examinar la formulación del cargo, la Sala encuentra</w:t>
      </w:r>
      <w:r w:rsidRPr="00B86EDB">
        <w:rPr>
          <w:rFonts w:ascii="Times New Roman" w:hAnsi="Times New Roman" w:cs="Times New Roman"/>
          <w:sz w:val="28"/>
          <w:szCs w:val="28"/>
        </w:rPr>
        <w:t xml:space="preserve"> que los argumentos expuestos por los demandantes no cumplen con los requisitos de especificidad y suficiencia exigidos por la jurisprudencia constitucional para activar el control de constitucionalidad sobre una norma tributaria.</w:t>
      </w:r>
    </w:p>
    <w:p w:rsidR="00F954C4" w:rsidRPr="00B86EDB" w:rsidRDefault="00B86EDB" w:rsidP="009F3F6A">
      <w:pPr>
        <w:pStyle w:val="Prrafodelista"/>
        <w:ind w:left="0"/>
        <w:contextualSpacing w:val="0"/>
        <w:rPr>
          <w:rFonts w:ascii="Times New Roman" w:hAnsi="Times New Roman" w:cs="Times New Roman"/>
          <w:sz w:val="28"/>
          <w:szCs w:val="28"/>
        </w:rPr>
      </w:pPr>
    </w:p>
    <w:p w:rsidR="00F954C4"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Uno de los primeros aspe</w:t>
      </w:r>
      <w:r w:rsidRPr="00B86EDB">
        <w:rPr>
          <w:rFonts w:ascii="Times New Roman" w:hAnsi="Times New Roman" w:cs="Times New Roman"/>
          <w:sz w:val="28"/>
          <w:szCs w:val="28"/>
        </w:rPr>
        <w:t>ctos que la Corte debe evaluar en este caso es si los demandantes exponen con la claridad y precisión requeridas la supuesta incompatibilidad entre las normas demandadas y los principios constitucionales que invocan.</w:t>
      </w:r>
    </w:p>
    <w:p w:rsidR="00F954C4" w:rsidRPr="00B86EDB" w:rsidRDefault="00B86EDB" w:rsidP="009F3F6A">
      <w:pPr>
        <w:pStyle w:val="Prrafodelista"/>
        <w:ind w:left="0"/>
        <w:contextualSpacing w:val="0"/>
        <w:rPr>
          <w:rFonts w:ascii="Times New Roman" w:hAnsi="Times New Roman" w:cs="Times New Roman"/>
          <w:sz w:val="28"/>
          <w:szCs w:val="28"/>
        </w:rPr>
      </w:pPr>
    </w:p>
    <w:p w:rsidR="00F954C4"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Sobre este punto, la jurisprudencia ha</w:t>
      </w:r>
      <w:r w:rsidRPr="00B86EDB">
        <w:rPr>
          <w:rFonts w:ascii="Times New Roman" w:hAnsi="Times New Roman" w:cs="Times New Roman"/>
          <w:sz w:val="28"/>
          <w:szCs w:val="28"/>
        </w:rPr>
        <w:t xml:space="preserve"> sido clara en señalar que un cargo por confiscatoriedad debe estar acompañado de una argumentación suficiente que permita evidenciar, con base en criterios objetivos, que la carga tributaria impuesta excede la capacidad contributiva de los sujetos pasivos</w:t>
      </w:r>
      <w:r w:rsidRPr="00B86EDB">
        <w:rPr>
          <w:rFonts w:ascii="Times New Roman" w:hAnsi="Times New Roman" w:cs="Times New Roman"/>
          <w:sz w:val="28"/>
          <w:szCs w:val="28"/>
        </w:rPr>
        <w:t xml:space="preserve"> y que el tributo genera una privación material del patrimonio sin justificación constitucional. </w:t>
      </w:r>
    </w:p>
    <w:p w:rsidR="00F954C4" w:rsidRPr="00B86EDB" w:rsidRDefault="00B86EDB" w:rsidP="009F3F6A">
      <w:pPr>
        <w:pStyle w:val="Prrafodelista"/>
        <w:ind w:left="0"/>
        <w:contextualSpacing w:val="0"/>
        <w:rPr>
          <w:rFonts w:ascii="Times New Roman" w:hAnsi="Times New Roman" w:cs="Times New Roman"/>
          <w:sz w:val="28"/>
          <w:szCs w:val="28"/>
        </w:rPr>
      </w:pPr>
    </w:p>
    <w:p w:rsidR="00F954C4"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 xml:space="preserve">En el presente caso, los actores sostienen que el impuesto al patrimonio es confiscatorio porque impone una carga progresiva sobre los contribuyentes a lo </w:t>
      </w:r>
      <w:r w:rsidRPr="00B86EDB">
        <w:rPr>
          <w:rFonts w:ascii="Times New Roman" w:hAnsi="Times New Roman" w:cs="Times New Roman"/>
          <w:sz w:val="28"/>
          <w:szCs w:val="28"/>
        </w:rPr>
        <w:t>largo del tiempo, sin considerar la rentabilidad de sus activos ni la existencia de otros tributos que recaen sobre la misma base. Sin embargo, el cargo no desarrolla un análisis preciso sobre los criterios constitucionales que permitirían calificar un tri</w:t>
      </w:r>
      <w:r w:rsidRPr="00B86EDB">
        <w:rPr>
          <w:rFonts w:ascii="Times New Roman" w:hAnsi="Times New Roman" w:cs="Times New Roman"/>
          <w:sz w:val="28"/>
          <w:szCs w:val="28"/>
        </w:rPr>
        <w:t>buto como confiscatorio.</w:t>
      </w:r>
    </w:p>
    <w:p w:rsidR="00F954C4" w:rsidRPr="00B86EDB" w:rsidRDefault="00B86EDB" w:rsidP="009F3F6A">
      <w:pPr>
        <w:pStyle w:val="Prrafodelista"/>
        <w:ind w:left="0"/>
        <w:contextualSpacing w:val="0"/>
        <w:rPr>
          <w:rFonts w:ascii="Times New Roman" w:hAnsi="Times New Roman" w:cs="Times New Roman"/>
          <w:sz w:val="28"/>
          <w:szCs w:val="28"/>
        </w:rPr>
      </w:pPr>
    </w:p>
    <w:p w:rsidR="00F954C4"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Si bien los demandantes presentan cálculos que proyectan el impacto del tributo a largo plazo, estos ejercicios no permiten evidenciar que la medida tenga un efecto generalizado de erosión patrimonial que supere los límites consti</w:t>
      </w:r>
      <w:r w:rsidRPr="00B86EDB">
        <w:rPr>
          <w:rFonts w:ascii="Times New Roman" w:hAnsi="Times New Roman" w:cs="Times New Roman"/>
          <w:sz w:val="28"/>
          <w:szCs w:val="28"/>
        </w:rPr>
        <w:t>tucionales. La Corte ha reiterado que la simple existencia de un impuesto sobre el patrimonio no es, por sí misma, una afectación inconstitucional del derecho de propiedad, salvo que se demuestre que el tributo genera una privación absoluta o irrazonable d</w:t>
      </w:r>
      <w:r w:rsidRPr="00B86EDB">
        <w:rPr>
          <w:rFonts w:ascii="Times New Roman" w:hAnsi="Times New Roman" w:cs="Times New Roman"/>
          <w:sz w:val="28"/>
          <w:szCs w:val="28"/>
        </w:rPr>
        <w:t>el capital del contribuyente.</w:t>
      </w:r>
    </w:p>
    <w:p w:rsidR="00F954C4" w:rsidRPr="00B86EDB" w:rsidRDefault="00B86EDB" w:rsidP="009F3F6A">
      <w:pPr>
        <w:pStyle w:val="Prrafodelista"/>
        <w:ind w:left="0"/>
        <w:contextualSpacing w:val="0"/>
        <w:rPr>
          <w:rFonts w:ascii="Times New Roman" w:hAnsi="Times New Roman" w:cs="Times New Roman"/>
          <w:sz w:val="28"/>
          <w:szCs w:val="28"/>
        </w:rPr>
      </w:pPr>
    </w:p>
    <w:p w:rsidR="00F954C4"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En ese sentido, el cargo adolece de un problema estructural: no identifica con precisión los criterios bajo los cuales el impuesto al patrimonio podría calificarse como confiscatorio, más allá de su efecto acumulativo sobre l</w:t>
      </w:r>
      <w:r w:rsidRPr="00B86EDB">
        <w:rPr>
          <w:rFonts w:ascii="Times New Roman" w:hAnsi="Times New Roman" w:cs="Times New Roman"/>
          <w:sz w:val="28"/>
          <w:szCs w:val="28"/>
        </w:rPr>
        <w:t>os sujetos pasivos.</w:t>
      </w:r>
    </w:p>
    <w:p w:rsidR="00F954C4" w:rsidRPr="00B86EDB" w:rsidRDefault="00B86EDB" w:rsidP="009F3F6A">
      <w:pPr>
        <w:pStyle w:val="Prrafodelista"/>
        <w:ind w:left="0"/>
        <w:contextualSpacing w:val="0"/>
        <w:rPr>
          <w:rFonts w:ascii="Times New Roman" w:hAnsi="Times New Roman" w:cs="Times New Roman"/>
          <w:sz w:val="28"/>
          <w:szCs w:val="28"/>
        </w:rPr>
      </w:pPr>
    </w:p>
    <w:p w:rsidR="00F954C4"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Otro aspecto que pone en entredicho la especificidad del cargo es la omisión de los demandantes en el análisis de los mecanismos de progresividad y ajuste que la Ley 2277 de 2022 establece para mitigar los efectos del tributo.</w:t>
      </w:r>
    </w:p>
    <w:p w:rsidR="00F954C4" w:rsidRPr="00B86EDB" w:rsidRDefault="00B86EDB" w:rsidP="009F3F6A">
      <w:pPr>
        <w:pStyle w:val="Prrafodelista"/>
        <w:ind w:left="0"/>
        <w:contextualSpacing w:val="0"/>
        <w:rPr>
          <w:rFonts w:ascii="Times New Roman" w:hAnsi="Times New Roman" w:cs="Times New Roman"/>
          <w:sz w:val="28"/>
          <w:szCs w:val="28"/>
        </w:rPr>
      </w:pPr>
    </w:p>
    <w:p w:rsidR="00F954C4"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La Cort</w:t>
      </w:r>
      <w:r w:rsidRPr="00B86EDB">
        <w:rPr>
          <w:rFonts w:ascii="Times New Roman" w:hAnsi="Times New Roman" w:cs="Times New Roman"/>
          <w:sz w:val="28"/>
          <w:szCs w:val="28"/>
        </w:rPr>
        <w:t>e ha señalado en múltiples oportunidades que la equidad tributaria exige que los impuestos sean diseñados de manera progresiva y proporcional a la capacidad contributiva de los ciudadanos. En el caso del impuesto al patrimonio, la normativa demandada conte</w:t>
      </w:r>
      <w:r w:rsidRPr="00B86EDB">
        <w:rPr>
          <w:rFonts w:ascii="Times New Roman" w:hAnsi="Times New Roman" w:cs="Times New Roman"/>
          <w:sz w:val="28"/>
          <w:szCs w:val="28"/>
        </w:rPr>
        <w:t xml:space="preserve">mpla diversos elementos que buscan garantizar la proporcionalidad del gravamen, entre los cuales se encuentran: (i) El umbral mínimo de 72.000 UVT: </w:t>
      </w:r>
      <w:r w:rsidRPr="00B86EDB">
        <w:rPr>
          <w:rFonts w:ascii="Times New Roman" w:hAnsi="Times New Roman" w:cs="Times New Roman"/>
          <w:sz w:val="28"/>
          <w:szCs w:val="28"/>
        </w:rPr>
        <w:t>e</w:t>
      </w:r>
      <w:r w:rsidRPr="00B86EDB">
        <w:rPr>
          <w:rFonts w:ascii="Times New Roman" w:hAnsi="Times New Roman" w:cs="Times New Roman"/>
          <w:sz w:val="28"/>
          <w:szCs w:val="28"/>
        </w:rPr>
        <w:t>l impuesto solo aplica a contribuyentes con patrimonios que superan este límite, lo que excluye a un amplio</w:t>
      </w:r>
      <w:r w:rsidRPr="00B86EDB">
        <w:rPr>
          <w:rFonts w:ascii="Times New Roman" w:hAnsi="Times New Roman" w:cs="Times New Roman"/>
          <w:sz w:val="28"/>
          <w:szCs w:val="28"/>
        </w:rPr>
        <w:t xml:space="preserve"> sector de la población; (ii) </w:t>
      </w:r>
      <w:r w:rsidRPr="00B86EDB">
        <w:rPr>
          <w:rFonts w:ascii="Times New Roman" w:hAnsi="Times New Roman" w:cs="Times New Roman"/>
          <w:sz w:val="28"/>
          <w:szCs w:val="28"/>
        </w:rPr>
        <w:t>l</w:t>
      </w:r>
      <w:r w:rsidRPr="00B86EDB">
        <w:rPr>
          <w:rFonts w:ascii="Times New Roman" w:hAnsi="Times New Roman" w:cs="Times New Roman"/>
          <w:sz w:val="28"/>
          <w:szCs w:val="28"/>
        </w:rPr>
        <w:t xml:space="preserve">a exclusión parcial del valor de la vivienda principal: </w:t>
      </w:r>
      <w:r w:rsidRPr="00B86EDB">
        <w:rPr>
          <w:rFonts w:ascii="Times New Roman" w:hAnsi="Times New Roman" w:cs="Times New Roman"/>
          <w:sz w:val="28"/>
          <w:szCs w:val="28"/>
        </w:rPr>
        <w:t>l</w:t>
      </w:r>
      <w:r w:rsidRPr="00B86EDB">
        <w:rPr>
          <w:rFonts w:ascii="Times New Roman" w:hAnsi="Times New Roman" w:cs="Times New Roman"/>
          <w:sz w:val="28"/>
          <w:szCs w:val="28"/>
        </w:rPr>
        <w:t>os primeros 12.000 UVT del valor patrimonial de la casa o apartamento de habitación del contribuyente están exentos del cálculo del tributo;</w:t>
      </w:r>
      <w:r w:rsidRPr="00B86EDB">
        <w:rPr>
          <w:rFonts w:ascii="Times New Roman" w:hAnsi="Times New Roman" w:cs="Times New Roman"/>
          <w:sz w:val="28"/>
          <w:szCs w:val="28"/>
        </w:rPr>
        <w:t xml:space="preserve"> y</w:t>
      </w:r>
      <w:r w:rsidRPr="00B86EDB">
        <w:rPr>
          <w:rFonts w:ascii="Times New Roman" w:hAnsi="Times New Roman" w:cs="Times New Roman"/>
          <w:sz w:val="28"/>
          <w:szCs w:val="28"/>
        </w:rPr>
        <w:t xml:space="preserve"> (iii) </w:t>
      </w:r>
      <w:r w:rsidRPr="00B86EDB">
        <w:rPr>
          <w:rFonts w:ascii="Times New Roman" w:hAnsi="Times New Roman" w:cs="Times New Roman"/>
          <w:sz w:val="28"/>
          <w:szCs w:val="28"/>
        </w:rPr>
        <w:t>l</w:t>
      </w:r>
      <w:r w:rsidRPr="00B86EDB">
        <w:rPr>
          <w:rFonts w:ascii="Times New Roman" w:hAnsi="Times New Roman" w:cs="Times New Roman"/>
          <w:sz w:val="28"/>
          <w:szCs w:val="28"/>
        </w:rPr>
        <w:t>a progresividad de</w:t>
      </w:r>
      <w:r w:rsidRPr="00B86EDB">
        <w:rPr>
          <w:rFonts w:ascii="Times New Roman" w:hAnsi="Times New Roman" w:cs="Times New Roman"/>
          <w:sz w:val="28"/>
          <w:szCs w:val="28"/>
        </w:rPr>
        <w:t xml:space="preserve"> las tarifas: </w:t>
      </w:r>
      <w:r w:rsidRPr="00B86EDB">
        <w:rPr>
          <w:rFonts w:ascii="Times New Roman" w:hAnsi="Times New Roman" w:cs="Times New Roman"/>
          <w:sz w:val="28"/>
          <w:szCs w:val="28"/>
        </w:rPr>
        <w:t>l</w:t>
      </w:r>
      <w:r w:rsidRPr="00B86EDB">
        <w:rPr>
          <w:rFonts w:ascii="Times New Roman" w:hAnsi="Times New Roman" w:cs="Times New Roman"/>
          <w:sz w:val="28"/>
          <w:szCs w:val="28"/>
        </w:rPr>
        <w:t>a tarifa impositiva varía entre el 0,5 % y el 1,5 %, dependiendo del monto del patrimonio neto del contribuyente.</w:t>
      </w:r>
    </w:p>
    <w:p w:rsidR="00F954C4" w:rsidRPr="00B86EDB" w:rsidRDefault="00B86EDB" w:rsidP="009F3F6A">
      <w:pPr>
        <w:pStyle w:val="Prrafodelista"/>
        <w:ind w:left="0"/>
        <w:contextualSpacing w:val="0"/>
        <w:rPr>
          <w:rFonts w:ascii="Times New Roman" w:hAnsi="Times New Roman" w:cs="Times New Roman"/>
          <w:sz w:val="28"/>
          <w:szCs w:val="28"/>
        </w:rPr>
      </w:pPr>
    </w:p>
    <w:p w:rsidR="00F954C4"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 xml:space="preserve">Estos mecanismos permiten mitigar el impacto del tributo sobre los sujetos pasivos, lo que </w:t>
      </w:r>
      <w:r w:rsidRPr="00B86EDB">
        <w:rPr>
          <w:rFonts w:ascii="Times New Roman" w:hAnsi="Times New Roman" w:cs="Times New Roman"/>
          <w:i/>
          <w:iCs/>
          <w:sz w:val="28"/>
          <w:szCs w:val="28"/>
        </w:rPr>
        <w:t xml:space="preserve">prima facie </w:t>
      </w:r>
      <w:r w:rsidRPr="00B86EDB">
        <w:rPr>
          <w:rFonts w:ascii="Times New Roman" w:hAnsi="Times New Roman" w:cs="Times New Roman"/>
          <w:sz w:val="28"/>
          <w:szCs w:val="28"/>
        </w:rPr>
        <w:t>desvirtúa la afirmación</w:t>
      </w:r>
      <w:r w:rsidRPr="00B86EDB">
        <w:rPr>
          <w:rFonts w:ascii="Times New Roman" w:hAnsi="Times New Roman" w:cs="Times New Roman"/>
          <w:sz w:val="28"/>
          <w:szCs w:val="28"/>
        </w:rPr>
        <w:t xml:space="preserve"> de que el gravamen impone una carga absoluta o irrazonable. Sin embargo, en su argumentación, los demandantes omiten cualquier referencia a estos elementos, lo que limita la solidez del cargo y compromete su viabilidad desde el punto de vista constitucion</w:t>
      </w:r>
      <w:r w:rsidRPr="00B86EDB">
        <w:rPr>
          <w:rFonts w:ascii="Times New Roman" w:hAnsi="Times New Roman" w:cs="Times New Roman"/>
          <w:sz w:val="28"/>
          <w:szCs w:val="28"/>
        </w:rPr>
        <w:t>al.</w:t>
      </w:r>
    </w:p>
    <w:p w:rsidR="00F954C4" w:rsidRPr="00B86EDB" w:rsidRDefault="00B86EDB" w:rsidP="009F3F6A">
      <w:pPr>
        <w:pStyle w:val="Prrafodelista"/>
        <w:ind w:left="0"/>
        <w:contextualSpacing w:val="0"/>
        <w:jc w:val="both"/>
        <w:rPr>
          <w:rFonts w:ascii="Times New Roman" w:hAnsi="Times New Roman" w:cs="Times New Roman"/>
          <w:sz w:val="28"/>
          <w:szCs w:val="28"/>
        </w:rPr>
      </w:pPr>
    </w:p>
    <w:p w:rsidR="00F954C4"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En ausencia de un análisis riguroso sobre estos aspectos, el cargo se estructura sobre una hipótesis meramente especulativa, lo que impide que la Corte pueda adelantar un juicio de constitucionalidad sólido y técnicamente fundado.</w:t>
      </w:r>
    </w:p>
    <w:p w:rsidR="00C6277E" w:rsidRPr="00B86EDB" w:rsidRDefault="00B86EDB" w:rsidP="009F3F6A">
      <w:pPr>
        <w:pStyle w:val="Prrafodelista"/>
        <w:ind w:left="0"/>
        <w:contextualSpacing w:val="0"/>
        <w:jc w:val="both"/>
        <w:rPr>
          <w:rFonts w:ascii="Times New Roman" w:hAnsi="Times New Roman" w:cs="Times New Roman"/>
          <w:sz w:val="28"/>
          <w:szCs w:val="28"/>
        </w:rPr>
      </w:pPr>
    </w:p>
    <w:p w:rsidR="00C6277E" w:rsidRPr="00B86EDB" w:rsidRDefault="00B86EDB" w:rsidP="009F3F6A">
      <w:pPr>
        <w:pStyle w:val="NormalWeb"/>
        <w:numPr>
          <w:ilvl w:val="0"/>
          <w:numId w:val="4"/>
        </w:numPr>
        <w:spacing w:before="0" w:beforeAutospacing="0" w:after="0" w:afterAutospacing="0"/>
        <w:ind w:left="0" w:firstLine="0"/>
        <w:jc w:val="both"/>
        <w:rPr>
          <w:rFonts w:ascii="Times New Roman" w:hAnsi="Times New Roman" w:cs="Times New Roman"/>
          <w:sz w:val="28"/>
          <w:szCs w:val="28"/>
        </w:rPr>
      </w:pPr>
      <w:r w:rsidRPr="00B86EDB">
        <w:rPr>
          <w:rFonts w:ascii="Times New Roman" w:hAnsi="Times New Roman" w:cs="Times New Roman"/>
          <w:sz w:val="28"/>
          <w:szCs w:val="28"/>
        </w:rPr>
        <w:t xml:space="preserve">Adicionalmente, en </w:t>
      </w:r>
      <w:r w:rsidRPr="00B86EDB">
        <w:rPr>
          <w:rFonts w:ascii="Times New Roman" w:hAnsi="Times New Roman" w:cs="Times New Roman"/>
          <w:sz w:val="28"/>
          <w:szCs w:val="28"/>
        </w:rPr>
        <w:t xml:space="preserve">su escrito de demanda, los actores sostienen que el </w:t>
      </w:r>
      <w:r w:rsidRPr="00B86EDB">
        <w:rPr>
          <w:rStyle w:val="Textoennegrita"/>
          <w:rFonts w:ascii="Times New Roman" w:hAnsi="Times New Roman" w:cs="Times New Roman"/>
          <w:b w:val="0"/>
          <w:bCs w:val="0"/>
          <w:sz w:val="28"/>
          <w:szCs w:val="28"/>
        </w:rPr>
        <w:t>impuesto al patrimonio</w:t>
      </w:r>
      <w:r w:rsidRPr="00B86EDB">
        <w:rPr>
          <w:rFonts w:ascii="Times New Roman" w:hAnsi="Times New Roman" w:cs="Times New Roman"/>
          <w:sz w:val="28"/>
          <w:szCs w:val="28"/>
        </w:rPr>
        <w:t xml:space="preserve">, en la forma en que fue regulado por la </w:t>
      </w:r>
      <w:r w:rsidRPr="00B86EDB">
        <w:rPr>
          <w:rStyle w:val="Textoennegrita"/>
          <w:rFonts w:ascii="Times New Roman" w:hAnsi="Times New Roman" w:cs="Times New Roman"/>
          <w:b w:val="0"/>
          <w:bCs w:val="0"/>
          <w:sz w:val="28"/>
          <w:szCs w:val="28"/>
        </w:rPr>
        <w:t>Ley 2277 de 2022</w:t>
      </w:r>
      <w:r w:rsidRPr="00B86EDB">
        <w:rPr>
          <w:rFonts w:ascii="Times New Roman" w:hAnsi="Times New Roman" w:cs="Times New Roman"/>
          <w:sz w:val="28"/>
          <w:szCs w:val="28"/>
        </w:rPr>
        <w:t xml:space="preserve">, desconoce los principios de </w:t>
      </w:r>
      <w:r w:rsidRPr="00B86EDB">
        <w:rPr>
          <w:rStyle w:val="Textoennegrita"/>
          <w:rFonts w:ascii="Times New Roman" w:hAnsi="Times New Roman" w:cs="Times New Roman"/>
          <w:b w:val="0"/>
          <w:bCs w:val="0"/>
          <w:sz w:val="28"/>
          <w:szCs w:val="28"/>
        </w:rPr>
        <w:t>equidad y progresividad tributaria</w:t>
      </w:r>
      <w:r w:rsidRPr="00B86EDB">
        <w:rPr>
          <w:rFonts w:ascii="Times New Roman" w:hAnsi="Times New Roman" w:cs="Times New Roman"/>
          <w:sz w:val="28"/>
          <w:szCs w:val="28"/>
        </w:rPr>
        <w:t xml:space="preserve"> consagrados en los artículos </w:t>
      </w:r>
      <w:r w:rsidRPr="00B86EDB">
        <w:rPr>
          <w:rStyle w:val="Textoennegrita"/>
          <w:rFonts w:ascii="Times New Roman" w:hAnsi="Times New Roman" w:cs="Times New Roman"/>
          <w:b w:val="0"/>
          <w:bCs w:val="0"/>
          <w:sz w:val="28"/>
          <w:szCs w:val="28"/>
        </w:rPr>
        <w:t>95-9 y 363 de la Constitución</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en tanto que su estructura genera un </w:t>
      </w:r>
      <w:r w:rsidRPr="00B86EDB">
        <w:rPr>
          <w:rStyle w:val="Textoennegrita"/>
          <w:rFonts w:ascii="Times New Roman" w:hAnsi="Times New Roman" w:cs="Times New Roman"/>
          <w:b w:val="0"/>
          <w:bCs w:val="0"/>
          <w:sz w:val="28"/>
          <w:szCs w:val="28"/>
        </w:rPr>
        <w:t>escenario de doble tributación</w:t>
      </w:r>
      <w:r w:rsidRPr="00B86EDB">
        <w:rPr>
          <w:rFonts w:ascii="Times New Roman" w:hAnsi="Times New Roman" w:cs="Times New Roman"/>
          <w:sz w:val="28"/>
          <w:szCs w:val="28"/>
        </w:rPr>
        <w:t xml:space="preserve">. De acuerdo con su argumentación, este gravamen recae sobre una base patrimonial que ya ha sido objeto de imposición a través del </w:t>
      </w:r>
      <w:r w:rsidRPr="00B86EDB">
        <w:rPr>
          <w:rStyle w:val="Textoennegrita"/>
          <w:rFonts w:ascii="Times New Roman" w:hAnsi="Times New Roman" w:cs="Times New Roman"/>
          <w:b w:val="0"/>
          <w:bCs w:val="0"/>
          <w:sz w:val="28"/>
          <w:szCs w:val="28"/>
        </w:rPr>
        <w:t>impuesto sobre la renta, el impuesto predial y el impuesto</w:t>
      </w:r>
      <w:r w:rsidRPr="00B86EDB">
        <w:rPr>
          <w:rStyle w:val="Textoennegrita"/>
          <w:rFonts w:ascii="Times New Roman" w:hAnsi="Times New Roman" w:cs="Times New Roman"/>
          <w:b w:val="0"/>
          <w:bCs w:val="0"/>
          <w:sz w:val="28"/>
          <w:szCs w:val="28"/>
        </w:rPr>
        <w:t xml:space="preserve"> a la ganancia ocasional</w:t>
      </w:r>
      <w:r w:rsidRPr="00B86EDB">
        <w:rPr>
          <w:rFonts w:ascii="Times New Roman" w:hAnsi="Times New Roman" w:cs="Times New Roman"/>
          <w:sz w:val="28"/>
          <w:szCs w:val="28"/>
        </w:rPr>
        <w:t>, lo que, a su juicio, conlleva una tributación múltiple contraria al ordenamiento constitucional.</w:t>
      </w:r>
    </w:p>
    <w:p w:rsidR="00C6277E" w:rsidRPr="00B86EDB" w:rsidRDefault="00B86EDB" w:rsidP="009F3F6A">
      <w:pPr>
        <w:pStyle w:val="NormalWeb"/>
        <w:spacing w:before="0" w:beforeAutospacing="0" w:after="0" w:afterAutospacing="0"/>
        <w:jc w:val="both"/>
        <w:rPr>
          <w:rFonts w:ascii="Times New Roman" w:hAnsi="Times New Roman" w:cs="Times New Roman"/>
          <w:sz w:val="28"/>
          <w:szCs w:val="28"/>
        </w:rPr>
      </w:pPr>
    </w:p>
    <w:p w:rsidR="00C6277E" w:rsidRPr="00B86EDB" w:rsidRDefault="00B86EDB" w:rsidP="009F3F6A">
      <w:pPr>
        <w:pStyle w:val="NormalWeb"/>
        <w:numPr>
          <w:ilvl w:val="0"/>
          <w:numId w:val="4"/>
        </w:numPr>
        <w:spacing w:before="0" w:beforeAutospacing="0" w:after="0" w:afterAutospacing="0"/>
        <w:ind w:left="0" w:firstLine="0"/>
        <w:jc w:val="both"/>
        <w:rPr>
          <w:rFonts w:ascii="Times New Roman" w:hAnsi="Times New Roman" w:cs="Times New Roman"/>
          <w:sz w:val="28"/>
          <w:szCs w:val="28"/>
        </w:rPr>
      </w:pPr>
      <w:r w:rsidRPr="00B86EDB">
        <w:rPr>
          <w:rFonts w:ascii="Times New Roman" w:hAnsi="Times New Roman" w:cs="Times New Roman"/>
          <w:sz w:val="28"/>
          <w:szCs w:val="28"/>
        </w:rPr>
        <w:t xml:space="preserve">Para sustentar su cargo, los demandantes acuden a la jurisprudencia del </w:t>
      </w:r>
      <w:r w:rsidRPr="00B86EDB">
        <w:rPr>
          <w:rStyle w:val="Textoennegrita"/>
          <w:rFonts w:ascii="Times New Roman" w:hAnsi="Times New Roman" w:cs="Times New Roman"/>
          <w:b w:val="0"/>
          <w:bCs w:val="0"/>
          <w:sz w:val="28"/>
          <w:szCs w:val="28"/>
        </w:rPr>
        <w:t>Consejo de Estado</w:t>
      </w:r>
      <w:r w:rsidRPr="00B86EDB">
        <w:rPr>
          <w:rFonts w:ascii="Times New Roman" w:hAnsi="Times New Roman" w:cs="Times New Roman"/>
          <w:sz w:val="28"/>
          <w:szCs w:val="28"/>
        </w:rPr>
        <w:t xml:space="preserve">, resaltando que esa </w:t>
      </w:r>
      <w:r w:rsidRPr="00B86EDB">
        <w:rPr>
          <w:rFonts w:ascii="Times New Roman" w:hAnsi="Times New Roman" w:cs="Times New Roman"/>
          <w:sz w:val="28"/>
          <w:szCs w:val="28"/>
        </w:rPr>
        <w:t>éste</w:t>
      </w:r>
      <w:r w:rsidRPr="00B86EDB">
        <w:rPr>
          <w:rFonts w:ascii="Times New Roman" w:hAnsi="Times New Roman" w:cs="Times New Roman"/>
          <w:sz w:val="28"/>
          <w:szCs w:val="28"/>
        </w:rPr>
        <w:t xml:space="preserve"> ha reconocido que</w:t>
      </w:r>
      <w:r w:rsidRPr="00B86EDB">
        <w:rPr>
          <w:rFonts w:ascii="Times New Roman" w:hAnsi="Times New Roman" w:cs="Times New Roman"/>
          <w:sz w:val="28"/>
          <w:szCs w:val="28"/>
        </w:rPr>
        <w:t xml:space="preserve"> la prohibición de la doble tributación se desprende de los principios de </w:t>
      </w:r>
      <w:r w:rsidRPr="00B86EDB">
        <w:rPr>
          <w:rStyle w:val="Textoennegrita"/>
          <w:rFonts w:ascii="Times New Roman" w:hAnsi="Times New Roman" w:cs="Times New Roman"/>
          <w:b w:val="0"/>
          <w:bCs w:val="0"/>
          <w:sz w:val="28"/>
          <w:szCs w:val="28"/>
        </w:rPr>
        <w:t>equidad y progresividad</w:t>
      </w:r>
      <w:r w:rsidRPr="00B86EDB">
        <w:rPr>
          <w:rFonts w:ascii="Times New Roman" w:hAnsi="Times New Roman" w:cs="Times New Roman"/>
          <w:sz w:val="28"/>
          <w:szCs w:val="28"/>
        </w:rPr>
        <w:t xml:space="preserve">, en tanto que la carga fiscal de los contribuyentes debe ser valorada en su dimensión global y no en función de impuestos considerados de manera aislada. Así </w:t>
      </w:r>
      <w:r w:rsidRPr="00B86EDB">
        <w:rPr>
          <w:rFonts w:ascii="Times New Roman" w:hAnsi="Times New Roman" w:cs="Times New Roman"/>
          <w:sz w:val="28"/>
          <w:szCs w:val="28"/>
        </w:rPr>
        <w:t xml:space="preserve">mismo, solicitan que la Corte </w:t>
      </w:r>
      <w:r w:rsidRPr="00B86EDB">
        <w:rPr>
          <w:rStyle w:val="Textoennegrita"/>
          <w:rFonts w:ascii="Times New Roman" w:hAnsi="Times New Roman" w:cs="Times New Roman"/>
          <w:b w:val="0"/>
          <w:bCs w:val="0"/>
          <w:sz w:val="28"/>
          <w:szCs w:val="28"/>
        </w:rPr>
        <w:t>reexamine y modifique el precedente fijado en las Sentencias C-039 de 2021 y C-876 de 2002</w:t>
      </w:r>
      <w:r w:rsidRPr="00B86EDB">
        <w:rPr>
          <w:rFonts w:ascii="Times New Roman" w:hAnsi="Times New Roman" w:cs="Times New Roman"/>
          <w:sz w:val="28"/>
          <w:szCs w:val="28"/>
        </w:rPr>
        <w:t xml:space="preserve">, decisiones en las que la Sala Plena determinó que el impuesto al patrimonio </w:t>
      </w:r>
      <w:r w:rsidRPr="00B86EDB">
        <w:rPr>
          <w:rStyle w:val="Textoennegrita"/>
          <w:rFonts w:ascii="Times New Roman" w:hAnsi="Times New Roman" w:cs="Times New Roman"/>
          <w:b w:val="0"/>
          <w:bCs w:val="0"/>
          <w:sz w:val="28"/>
          <w:szCs w:val="28"/>
        </w:rPr>
        <w:t>no grava los mismos hechos generadores del impuesto de ren</w:t>
      </w:r>
      <w:r w:rsidRPr="00B86EDB">
        <w:rPr>
          <w:rStyle w:val="Textoennegrita"/>
          <w:rFonts w:ascii="Times New Roman" w:hAnsi="Times New Roman" w:cs="Times New Roman"/>
          <w:b w:val="0"/>
          <w:bCs w:val="0"/>
          <w:sz w:val="28"/>
          <w:szCs w:val="28"/>
        </w:rPr>
        <w:t>ta y del impuesto predial</w:t>
      </w:r>
      <w:r w:rsidRPr="00B86EDB">
        <w:rPr>
          <w:rFonts w:ascii="Times New Roman" w:hAnsi="Times New Roman" w:cs="Times New Roman"/>
          <w:sz w:val="28"/>
          <w:szCs w:val="28"/>
        </w:rPr>
        <w:t xml:space="preserve">, por lo que no desconoce los principios de equidad tributaria. A su juicio, esta conclusión es </w:t>
      </w:r>
      <w:r w:rsidRPr="00B86EDB">
        <w:rPr>
          <w:rStyle w:val="Textoennegrita"/>
          <w:rFonts w:ascii="Times New Roman" w:hAnsi="Times New Roman" w:cs="Times New Roman"/>
          <w:b w:val="0"/>
          <w:bCs w:val="0"/>
          <w:sz w:val="28"/>
          <w:szCs w:val="28"/>
        </w:rPr>
        <w:t>artificial y desactualizada</w:t>
      </w:r>
      <w:r w:rsidRPr="00B86EDB">
        <w:rPr>
          <w:rFonts w:ascii="Times New Roman" w:hAnsi="Times New Roman" w:cs="Times New Roman"/>
          <w:sz w:val="28"/>
          <w:szCs w:val="28"/>
        </w:rPr>
        <w:t>, en tanto desconoce la realidad económica subyacente, en la que ambos tributos actúan de manera conjunta so</w:t>
      </w:r>
      <w:r w:rsidRPr="00B86EDB">
        <w:rPr>
          <w:rFonts w:ascii="Times New Roman" w:hAnsi="Times New Roman" w:cs="Times New Roman"/>
          <w:sz w:val="28"/>
          <w:szCs w:val="28"/>
        </w:rPr>
        <w:t>bre la misma manifestación de capacidad económica.</w:t>
      </w:r>
    </w:p>
    <w:p w:rsidR="00C6277E" w:rsidRPr="00B86EDB" w:rsidRDefault="00B86EDB" w:rsidP="009F3F6A">
      <w:pPr>
        <w:pStyle w:val="NormalWeb"/>
        <w:spacing w:before="0" w:beforeAutospacing="0" w:after="0" w:afterAutospacing="0"/>
        <w:jc w:val="both"/>
        <w:rPr>
          <w:rFonts w:ascii="Times New Roman" w:hAnsi="Times New Roman" w:cs="Times New Roman"/>
          <w:sz w:val="28"/>
          <w:szCs w:val="28"/>
        </w:rPr>
      </w:pPr>
    </w:p>
    <w:p w:rsidR="00C6277E" w:rsidRPr="00B86EDB" w:rsidRDefault="00B86EDB" w:rsidP="009F3F6A">
      <w:pPr>
        <w:pStyle w:val="NormalWeb"/>
        <w:numPr>
          <w:ilvl w:val="0"/>
          <w:numId w:val="4"/>
        </w:numPr>
        <w:spacing w:before="0" w:beforeAutospacing="0" w:after="0" w:afterAutospacing="0"/>
        <w:ind w:left="0" w:firstLine="0"/>
        <w:jc w:val="both"/>
        <w:rPr>
          <w:rFonts w:ascii="Times New Roman" w:hAnsi="Times New Roman" w:cs="Times New Roman"/>
          <w:sz w:val="28"/>
          <w:szCs w:val="28"/>
        </w:rPr>
      </w:pPr>
      <w:r w:rsidRPr="00B86EDB">
        <w:rPr>
          <w:rFonts w:ascii="Times New Roman" w:hAnsi="Times New Roman" w:cs="Times New Roman"/>
          <w:sz w:val="28"/>
          <w:szCs w:val="28"/>
        </w:rPr>
        <w:t xml:space="preserve">No obstante, al analizar la argumentación expuesta por los demandantes, la Sala encuentra que el cargo formulado </w:t>
      </w:r>
      <w:r w:rsidRPr="00B86EDB">
        <w:rPr>
          <w:rStyle w:val="Textoennegrita"/>
          <w:rFonts w:ascii="Times New Roman" w:hAnsi="Times New Roman" w:cs="Times New Roman"/>
          <w:b w:val="0"/>
          <w:bCs w:val="0"/>
          <w:sz w:val="28"/>
          <w:szCs w:val="28"/>
        </w:rPr>
        <w:t>no satisface los requisitos de especificidad y suficiencia</w:t>
      </w:r>
      <w:r w:rsidRPr="00B86EDB">
        <w:rPr>
          <w:rFonts w:ascii="Times New Roman" w:hAnsi="Times New Roman" w:cs="Times New Roman"/>
          <w:sz w:val="28"/>
          <w:szCs w:val="28"/>
        </w:rPr>
        <w:t>, pues no desarrolla con el nivel</w:t>
      </w:r>
      <w:r w:rsidRPr="00B86EDB">
        <w:rPr>
          <w:rFonts w:ascii="Times New Roman" w:hAnsi="Times New Roman" w:cs="Times New Roman"/>
          <w:sz w:val="28"/>
          <w:szCs w:val="28"/>
        </w:rPr>
        <w:t xml:space="preserve"> de claridad y precisión exigido la supuesta contradicción entre la norma acusada y la Constitución, ni aporta elementos argumentativos que permitan plantear una duda mínima sobre su constitucionalidad. En consecuencia, se impone un pronunciamiento inhibit</w:t>
      </w:r>
      <w:r w:rsidRPr="00B86EDB">
        <w:rPr>
          <w:rFonts w:ascii="Times New Roman" w:hAnsi="Times New Roman" w:cs="Times New Roman"/>
          <w:sz w:val="28"/>
          <w:szCs w:val="28"/>
        </w:rPr>
        <w:t>orio.</w:t>
      </w:r>
    </w:p>
    <w:p w:rsidR="00C6277E" w:rsidRPr="00B86EDB" w:rsidRDefault="00B86EDB" w:rsidP="009F3F6A">
      <w:pPr>
        <w:pStyle w:val="Prrafodelista"/>
        <w:ind w:left="0"/>
        <w:contextualSpacing w:val="0"/>
        <w:jc w:val="both"/>
        <w:rPr>
          <w:rFonts w:ascii="Times New Roman" w:hAnsi="Times New Roman" w:cs="Times New Roman"/>
          <w:sz w:val="28"/>
          <w:szCs w:val="28"/>
        </w:rPr>
      </w:pPr>
    </w:p>
    <w:p w:rsidR="00C6277E" w:rsidRPr="00B86EDB" w:rsidRDefault="00B86EDB" w:rsidP="009F3F6A">
      <w:pPr>
        <w:pStyle w:val="NormalWeb"/>
        <w:numPr>
          <w:ilvl w:val="0"/>
          <w:numId w:val="4"/>
        </w:numPr>
        <w:spacing w:before="0" w:beforeAutospacing="0" w:after="0" w:afterAutospacing="0"/>
        <w:ind w:left="0" w:firstLine="0"/>
        <w:jc w:val="both"/>
        <w:rPr>
          <w:rFonts w:ascii="Times New Roman" w:hAnsi="Times New Roman" w:cs="Times New Roman"/>
          <w:sz w:val="28"/>
          <w:szCs w:val="28"/>
        </w:rPr>
      </w:pPr>
      <w:r w:rsidRPr="00B86EDB">
        <w:rPr>
          <w:rFonts w:ascii="Times New Roman" w:hAnsi="Times New Roman" w:cs="Times New Roman"/>
          <w:sz w:val="28"/>
          <w:szCs w:val="28"/>
        </w:rPr>
        <w:t xml:space="preserve">Como ha sido señalado por la jurisprudencia constitucional, la carga argumentativa de quien promueve una demanda de inconstitucionalidad exige que el actor </w:t>
      </w:r>
      <w:r w:rsidRPr="00B86EDB">
        <w:rPr>
          <w:rStyle w:val="Textoennegrita"/>
          <w:rFonts w:ascii="Times New Roman" w:hAnsi="Times New Roman" w:cs="Times New Roman"/>
          <w:b w:val="0"/>
          <w:bCs w:val="0"/>
          <w:sz w:val="28"/>
          <w:szCs w:val="28"/>
        </w:rPr>
        <w:t>delimite con claridad la contradicción entre la norma demandada y el texto constitucional</w:t>
      </w:r>
      <w:r w:rsidRPr="00B86EDB">
        <w:rPr>
          <w:rFonts w:ascii="Times New Roman" w:hAnsi="Times New Roman" w:cs="Times New Roman"/>
          <w:sz w:val="28"/>
          <w:szCs w:val="28"/>
        </w:rPr>
        <w:t xml:space="preserve">, de manera que se permita evaluar, en abstracto, la existencia de una verdadera incompatibilidad normativa. En este caso, el cargo formulado </w:t>
      </w:r>
      <w:r w:rsidRPr="00B86EDB">
        <w:rPr>
          <w:rStyle w:val="Textoennegrita"/>
          <w:rFonts w:ascii="Times New Roman" w:hAnsi="Times New Roman" w:cs="Times New Roman"/>
          <w:b w:val="0"/>
          <w:bCs w:val="0"/>
          <w:sz w:val="28"/>
          <w:szCs w:val="28"/>
        </w:rPr>
        <w:t>no cumple con este requisito</w:t>
      </w:r>
      <w:r w:rsidRPr="00B86EDB">
        <w:rPr>
          <w:rFonts w:ascii="Times New Roman" w:hAnsi="Times New Roman" w:cs="Times New Roman"/>
          <w:sz w:val="28"/>
          <w:szCs w:val="28"/>
        </w:rPr>
        <w:t>, pues los demandantes no precisan con rigor en qué consiste la múltiple tributación q</w:t>
      </w:r>
      <w:r w:rsidRPr="00B86EDB">
        <w:rPr>
          <w:rFonts w:ascii="Times New Roman" w:hAnsi="Times New Roman" w:cs="Times New Roman"/>
          <w:sz w:val="28"/>
          <w:szCs w:val="28"/>
        </w:rPr>
        <w:t>ue atribuyen al impuesto al patrimonio, ni justifican en qué medida ello se traduce en una vulneración de los principios constitucionales enunciados.</w:t>
      </w:r>
    </w:p>
    <w:p w:rsidR="00C6277E" w:rsidRPr="00B86EDB" w:rsidRDefault="00B86EDB" w:rsidP="009F3F6A">
      <w:pPr>
        <w:pStyle w:val="NormalWeb"/>
        <w:spacing w:before="0" w:beforeAutospacing="0" w:after="0" w:afterAutospacing="0"/>
        <w:jc w:val="both"/>
        <w:rPr>
          <w:rFonts w:ascii="Times New Roman" w:hAnsi="Times New Roman" w:cs="Times New Roman"/>
          <w:sz w:val="28"/>
          <w:szCs w:val="28"/>
        </w:rPr>
      </w:pPr>
    </w:p>
    <w:p w:rsidR="00C6277E" w:rsidRPr="00B86EDB" w:rsidRDefault="00B86EDB" w:rsidP="009F3F6A">
      <w:pPr>
        <w:pStyle w:val="NormalWeb"/>
        <w:numPr>
          <w:ilvl w:val="0"/>
          <w:numId w:val="4"/>
        </w:numPr>
        <w:spacing w:before="0" w:beforeAutospacing="0" w:after="0" w:afterAutospacing="0"/>
        <w:ind w:left="0" w:firstLine="0"/>
        <w:jc w:val="both"/>
        <w:rPr>
          <w:rFonts w:ascii="Times New Roman" w:hAnsi="Times New Roman" w:cs="Times New Roman"/>
          <w:sz w:val="28"/>
          <w:szCs w:val="28"/>
        </w:rPr>
      </w:pPr>
      <w:r w:rsidRPr="00B86EDB">
        <w:rPr>
          <w:rFonts w:ascii="Times New Roman" w:hAnsi="Times New Roman" w:cs="Times New Roman"/>
          <w:sz w:val="28"/>
          <w:szCs w:val="28"/>
        </w:rPr>
        <w:t xml:space="preserve">Los demandantes parten de la afirmación según la cual el </w:t>
      </w:r>
      <w:r w:rsidRPr="00B86EDB">
        <w:rPr>
          <w:rStyle w:val="Textoennegrita"/>
          <w:rFonts w:ascii="Times New Roman" w:hAnsi="Times New Roman" w:cs="Times New Roman"/>
          <w:b w:val="0"/>
          <w:bCs w:val="0"/>
          <w:sz w:val="28"/>
          <w:szCs w:val="28"/>
        </w:rPr>
        <w:t>impuesto al patrimonio recae sobre la misma real</w:t>
      </w:r>
      <w:r w:rsidRPr="00B86EDB">
        <w:rPr>
          <w:rStyle w:val="Textoennegrita"/>
          <w:rFonts w:ascii="Times New Roman" w:hAnsi="Times New Roman" w:cs="Times New Roman"/>
          <w:b w:val="0"/>
          <w:bCs w:val="0"/>
          <w:sz w:val="28"/>
          <w:szCs w:val="28"/>
        </w:rPr>
        <w:t>idad económica que el impuesto de renta, el impuesto predial y el impuesto a la ganancia ocasional</w:t>
      </w:r>
      <w:r w:rsidRPr="00B86EDB">
        <w:rPr>
          <w:rFonts w:ascii="Times New Roman" w:hAnsi="Times New Roman" w:cs="Times New Roman"/>
          <w:sz w:val="28"/>
          <w:szCs w:val="28"/>
        </w:rPr>
        <w:t xml:space="preserve">, sin embargo, omiten un análisis detallado de los </w:t>
      </w:r>
      <w:r w:rsidRPr="00B86EDB">
        <w:rPr>
          <w:rStyle w:val="Textoennegrita"/>
          <w:rFonts w:ascii="Times New Roman" w:hAnsi="Times New Roman" w:cs="Times New Roman"/>
          <w:b w:val="0"/>
          <w:bCs w:val="0"/>
          <w:sz w:val="28"/>
          <w:szCs w:val="28"/>
        </w:rPr>
        <w:t>elementos estructurales de cada uno de estos tributos</w:t>
      </w:r>
      <w:r w:rsidRPr="00B86EDB">
        <w:rPr>
          <w:rFonts w:ascii="Times New Roman" w:hAnsi="Times New Roman" w:cs="Times New Roman"/>
          <w:sz w:val="28"/>
          <w:szCs w:val="28"/>
        </w:rPr>
        <w:t>. En efecto, aunque sugieren que la superposición de g</w:t>
      </w:r>
      <w:r w:rsidRPr="00B86EDB">
        <w:rPr>
          <w:rFonts w:ascii="Times New Roman" w:hAnsi="Times New Roman" w:cs="Times New Roman"/>
          <w:sz w:val="28"/>
          <w:szCs w:val="28"/>
        </w:rPr>
        <w:t>ravámenes sobre la riqueza genera una afectación inconstitucional, no explican en qué medida estos tributos comparten los mismos elementos esenciales –hecho generador, base gravable y sujeto pasivo– de forma que se configure una colisión normativa contrari</w:t>
      </w:r>
      <w:r w:rsidRPr="00B86EDB">
        <w:rPr>
          <w:rFonts w:ascii="Times New Roman" w:hAnsi="Times New Roman" w:cs="Times New Roman"/>
          <w:sz w:val="28"/>
          <w:szCs w:val="28"/>
        </w:rPr>
        <w:t>a a los principios de equidad y progresividad tributaria.</w:t>
      </w:r>
    </w:p>
    <w:p w:rsidR="00C6277E" w:rsidRPr="00B86EDB" w:rsidRDefault="00B86EDB" w:rsidP="009F3F6A">
      <w:pPr>
        <w:pStyle w:val="NormalWeb"/>
        <w:spacing w:before="0" w:beforeAutospacing="0" w:after="0" w:afterAutospacing="0"/>
        <w:jc w:val="both"/>
        <w:rPr>
          <w:rFonts w:ascii="Times New Roman" w:hAnsi="Times New Roman" w:cs="Times New Roman"/>
          <w:sz w:val="28"/>
          <w:szCs w:val="28"/>
        </w:rPr>
      </w:pPr>
    </w:p>
    <w:p w:rsidR="00C6277E" w:rsidRPr="00B86EDB" w:rsidRDefault="00B86EDB" w:rsidP="009F3F6A">
      <w:pPr>
        <w:pStyle w:val="NormalWeb"/>
        <w:numPr>
          <w:ilvl w:val="0"/>
          <w:numId w:val="4"/>
        </w:numPr>
        <w:spacing w:before="0" w:beforeAutospacing="0" w:after="0" w:afterAutospacing="0"/>
        <w:ind w:left="0" w:firstLine="0"/>
        <w:jc w:val="both"/>
        <w:rPr>
          <w:rFonts w:ascii="Times New Roman" w:hAnsi="Times New Roman" w:cs="Times New Roman"/>
          <w:sz w:val="28"/>
          <w:szCs w:val="28"/>
        </w:rPr>
      </w:pPr>
      <w:r w:rsidRPr="00B86EDB">
        <w:rPr>
          <w:rFonts w:ascii="Times New Roman" w:hAnsi="Times New Roman" w:cs="Times New Roman"/>
          <w:sz w:val="28"/>
          <w:szCs w:val="28"/>
        </w:rPr>
        <w:t xml:space="preserve">La Corte ha sido enfática en señalar que la sola existencia de distintos impuestos que recaen sobre una misma base económica </w:t>
      </w:r>
      <w:r w:rsidRPr="00B86EDB">
        <w:rPr>
          <w:rStyle w:val="Textoennegrita"/>
          <w:rFonts w:ascii="Times New Roman" w:hAnsi="Times New Roman" w:cs="Times New Roman"/>
          <w:b w:val="0"/>
          <w:bCs w:val="0"/>
          <w:sz w:val="28"/>
          <w:szCs w:val="28"/>
        </w:rPr>
        <w:t xml:space="preserve">no implica </w:t>
      </w:r>
      <w:r w:rsidRPr="00B86EDB">
        <w:rPr>
          <w:rStyle w:val="Textoennegrita"/>
          <w:rFonts w:ascii="Times New Roman" w:hAnsi="Times New Roman" w:cs="Times New Roman"/>
          <w:b w:val="0"/>
          <w:bCs w:val="0"/>
          <w:i/>
          <w:iCs/>
          <w:sz w:val="28"/>
          <w:szCs w:val="28"/>
        </w:rPr>
        <w:t>per se</w:t>
      </w:r>
      <w:r w:rsidRPr="00B86EDB">
        <w:rPr>
          <w:rStyle w:val="Textoennegrita"/>
          <w:rFonts w:ascii="Times New Roman" w:hAnsi="Times New Roman" w:cs="Times New Roman"/>
          <w:b w:val="0"/>
          <w:bCs w:val="0"/>
          <w:sz w:val="28"/>
          <w:szCs w:val="28"/>
        </w:rPr>
        <w:t xml:space="preserve"> una vulneración del principio de equidad tributaria</w:t>
      </w:r>
      <w:r w:rsidRPr="00B86EDB">
        <w:rPr>
          <w:rFonts w:ascii="Times New Roman" w:hAnsi="Times New Roman" w:cs="Times New Roman"/>
          <w:sz w:val="28"/>
          <w:szCs w:val="28"/>
        </w:rPr>
        <w:t>, s</w:t>
      </w:r>
      <w:r w:rsidRPr="00B86EDB">
        <w:rPr>
          <w:rFonts w:ascii="Times New Roman" w:hAnsi="Times New Roman" w:cs="Times New Roman"/>
          <w:sz w:val="28"/>
          <w:szCs w:val="28"/>
        </w:rPr>
        <w:t xml:space="preserve">alvo que se demuestre que el diseño del tributo en cuestión </w:t>
      </w:r>
      <w:r w:rsidRPr="00B86EDB">
        <w:rPr>
          <w:rStyle w:val="Textoennegrita"/>
          <w:rFonts w:ascii="Times New Roman" w:hAnsi="Times New Roman" w:cs="Times New Roman"/>
          <w:b w:val="0"/>
          <w:bCs w:val="0"/>
          <w:sz w:val="28"/>
          <w:szCs w:val="28"/>
        </w:rPr>
        <w:t>desconoce la capacidad contributiva de los sujetos pasivos o genera una carga irrazonable y desproporcionada</w:t>
      </w:r>
      <w:r w:rsidRPr="00B86EDB">
        <w:rPr>
          <w:rFonts w:ascii="Times New Roman" w:hAnsi="Times New Roman" w:cs="Times New Roman"/>
          <w:sz w:val="28"/>
          <w:szCs w:val="28"/>
        </w:rPr>
        <w:t xml:space="preserve">. En este sentido, el cargo formulado por los demandantes resulta insuficiente, pues no </w:t>
      </w:r>
      <w:r w:rsidRPr="00B86EDB">
        <w:rPr>
          <w:rFonts w:ascii="Times New Roman" w:hAnsi="Times New Roman" w:cs="Times New Roman"/>
          <w:sz w:val="28"/>
          <w:szCs w:val="28"/>
        </w:rPr>
        <w:t>contiene un desarrollo argumentativo que permita establecer que la acumulación de tributos en cabeza de los contribuyentes alcanza un umbral de confiscatoriedad o de exceso en la tributación que supere los límites de razonabilidad constitucionalmente admis</w:t>
      </w:r>
      <w:r w:rsidRPr="00B86EDB">
        <w:rPr>
          <w:rFonts w:ascii="Times New Roman" w:hAnsi="Times New Roman" w:cs="Times New Roman"/>
          <w:sz w:val="28"/>
          <w:szCs w:val="28"/>
        </w:rPr>
        <w:t>ibles.</w:t>
      </w:r>
    </w:p>
    <w:p w:rsidR="00C6277E" w:rsidRPr="00B86EDB" w:rsidRDefault="00B86EDB" w:rsidP="009F3F6A">
      <w:pPr>
        <w:pStyle w:val="NormalWeb"/>
        <w:spacing w:before="0" w:beforeAutospacing="0" w:after="0" w:afterAutospacing="0"/>
        <w:jc w:val="both"/>
        <w:rPr>
          <w:rFonts w:ascii="Times New Roman" w:hAnsi="Times New Roman" w:cs="Times New Roman"/>
          <w:sz w:val="28"/>
          <w:szCs w:val="28"/>
        </w:rPr>
      </w:pPr>
    </w:p>
    <w:p w:rsidR="00C6277E" w:rsidRPr="00B86EDB" w:rsidRDefault="00B86EDB" w:rsidP="009F3F6A">
      <w:pPr>
        <w:pStyle w:val="NormalWeb"/>
        <w:numPr>
          <w:ilvl w:val="0"/>
          <w:numId w:val="4"/>
        </w:numPr>
        <w:spacing w:before="0" w:beforeAutospacing="0" w:after="0" w:afterAutospacing="0"/>
        <w:ind w:left="0" w:firstLine="0"/>
        <w:jc w:val="both"/>
        <w:rPr>
          <w:rFonts w:ascii="Times New Roman" w:hAnsi="Times New Roman" w:cs="Times New Roman"/>
          <w:sz w:val="28"/>
          <w:szCs w:val="28"/>
        </w:rPr>
      </w:pPr>
      <w:r w:rsidRPr="00B86EDB">
        <w:rPr>
          <w:rFonts w:ascii="Times New Roman" w:hAnsi="Times New Roman" w:cs="Times New Roman"/>
          <w:sz w:val="28"/>
          <w:szCs w:val="28"/>
        </w:rPr>
        <w:t xml:space="preserve">Otro aspecto problemático del cargo radica en la ausencia de un </w:t>
      </w:r>
      <w:r w:rsidRPr="00B86EDB">
        <w:rPr>
          <w:rStyle w:val="Textoennegrita"/>
          <w:rFonts w:ascii="Times New Roman" w:hAnsi="Times New Roman" w:cs="Times New Roman"/>
          <w:b w:val="0"/>
          <w:bCs w:val="0"/>
          <w:sz w:val="28"/>
          <w:szCs w:val="28"/>
        </w:rPr>
        <w:t>desarrollo normativo sobre la prohibición de doble tributación en el orden constitucional colombiano</w:t>
      </w:r>
      <w:r w:rsidRPr="00B86EDB">
        <w:rPr>
          <w:rFonts w:ascii="Times New Roman" w:hAnsi="Times New Roman" w:cs="Times New Roman"/>
          <w:sz w:val="28"/>
          <w:szCs w:val="28"/>
        </w:rPr>
        <w:t xml:space="preserve">. En efecto, los demandantes parten de la premisa según la cual </w:t>
      </w:r>
      <w:r w:rsidRPr="00B86EDB">
        <w:rPr>
          <w:rStyle w:val="Textoennegrita"/>
          <w:rFonts w:ascii="Times New Roman" w:hAnsi="Times New Roman" w:cs="Times New Roman"/>
          <w:b w:val="0"/>
          <w:bCs w:val="0"/>
          <w:sz w:val="28"/>
          <w:szCs w:val="28"/>
        </w:rPr>
        <w:t>la doble tributación</w:t>
      </w:r>
      <w:r w:rsidRPr="00B86EDB">
        <w:rPr>
          <w:rStyle w:val="Textoennegrita"/>
          <w:rFonts w:ascii="Times New Roman" w:hAnsi="Times New Roman" w:cs="Times New Roman"/>
          <w:b w:val="0"/>
          <w:bCs w:val="0"/>
          <w:sz w:val="28"/>
          <w:szCs w:val="28"/>
        </w:rPr>
        <w:t xml:space="preserve"> está prohibida en el sistema jurídico colombiano</w:t>
      </w:r>
      <w:r w:rsidRPr="00B86EDB">
        <w:rPr>
          <w:rFonts w:ascii="Times New Roman" w:hAnsi="Times New Roman" w:cs="Times New Roman"/>
          <w:sz w:val="28"/>
          <w:szCs w:val="28"/>
        </w:rPr>
        <w:t xml:space="preserve">, sin embargo, omiten referirse a la jurisprudencia constitucional que ha sostenido que </w:t>
      </w:r>
      <w:r w:rsidRPr="00B86EDB">
        <w:rPr>
          <w:rStyle w:val="Textoennegrita"/>
          <w:rFonts w:ascii="Times New Roman" w:hAnsi="Times New Roman" w:cs="Times New Roman"/>
          <w:b w:val="0"/>
          <w:bCs w:val="0"/>
          <w:sz w:val="28"/>
          <w:szCs w:val="28"/>
        </w:rPr>
        <w:t>la Constitución no prohíbe la existencia de gravámenes concurrentes sobre una misma base económica</w:t>
      </w:r>
      <w:r w:rsidRPr="00B86EDB">
        <w:rPr>
          <w:rFonts w:ascii="Times New Roman" w:hAnsi="Times New Roman" w:cs="Times New Roman"/>
          <w:sz w:val="28"/>
          <w:szCs w:val="28"/>
        </w:rPr>
        <w:t>, siempre que estos r</w:t>
      </w:r>
      <w:r w:rsidRPr="00B86EDB">
        <w:rPr>
          <w:rFonts w:ascii="Times New Roman" w:hAnsi="Times New Roman" w:cs="Times New Roman"/>
          <w:sz w:val="28"/>
          <w:szCs w:val="28"/>
        </w:rPr>
        <w:t xml:space="preserve">espondan a criterios de justicia tributaria y no desconozcan la progresividad y capacidad contributiva del sujeto pasivo. Así, los actores no solo dejan de justificar su premisa, sino que omiten un análisis del alcance de los principios tributarios en los </w:t>
      </w:r>
      <w:r w:rsidRPr="00B86EDB">
        <w:rPr>
          <w:rFonts w:ascii="Times New Roman" w:hAnsi="Times New Roman" w:cs="Times New Roman"/>
          <w:sz w:val="28"/>
          <w:szCs w:val="28"/>
        </w:rPr>
        <w:t>que sustentan su cargo.</w:t>
      </w:r>
    </w:p>
    <w:p w:rsidR="00C6277E" w:rsidRPr="00B86EDB" w:rsidRDefault="00B86EDB" w:rsidP="009F3F6A">
      <w:pPr>
        <w:pStyle w:val="NormalWeb"/>
        <w:spacing w:before="0" w:beforeAutospacing="0" w:after="0" w:afterAutospacing="0"/>
        <w:jc w:val="both"/>
        <w:rPr>
          <w:rFonts w:ascii="Times New Roman" w:hAnsi="Times New Roman" w:cs="Times New Roman"/>
          <w:sz w:val="28"/>
          <w:szCs w:val="28"/>
        </w:rPr>
      </w:pPr>
    </w:p>
    <w:p w:rsidR="00C6277E" w:rsidRPr="00B86EDB" w:rsidRDefault="00B86EDB" w:rsidP="009F3F6A">
      <w:pPr>
        <w:pStyle w:val="NormalWeb"/>
        <w:numPr>
          <w:ilvl w:val="0"/>
          <w:numId w:val="4"/>
        </w:numPr>
        <w:spacing w:before="0" w:beforeAutospacing="0" w:after="0" w:afterAutospacing="0"/>
        <w:ind w:left="0" w:firstLine="0"/>
        <w:jc w:val="both"/>
        <w:rPr>
          <w:rFonts w:ascii="Times New Roman" w:hAnsi="Times New Roman" w:cs="Times New Roman"/>
          <w:sz w:val="28"/>
          <w:szCs w:val="28"/>
        </w:rPr>
      </w:pPr>
      <w:r w:rsidRPr="00B86EDB">
        <w:rPr>
          <w:rFonts w:ascii="Times New Roman" w:hAnsi="Times New Roman" w:cs="Times New Roman"/>
          <w:sz w:val="28"/>
          <w:szCs w:val="28"/>
        </w:rPr>
        <w:t xml:space="preserve">En cuanto a la solicitud de revisión del precedente sentado en las </w:t>
      </w:r>
      <w:r w:rsidRPr="00B86EDB">
        <w:rPr>
          <w:rStyle w:val="Textoennegrita"/>
          <w:rFonts w:ascii="Times New Roman" w:hAnsi="Times New Roman" w:cs="Times New Roman"/>
          <w:b w:val="0"/>
          <w:bCs w:val="0"/>
          <w:sz w:val="28"/>
          <w:szCs w:val="28"/>
        </w:rPr>
        <w:t>Sentencias C-039 de 2021 y C-876 de 2002</w:t>
      </w:r>
      <w:r w:rsidRPr="00B86EDB">
        <w:rPr>
          <w:rFonts w:ascii="Times New Roman" w:hAnsi="Times New Roman" w:cs="Times New Roman"/>
          <w:sz w:val="28"/>
          <w:szCs w:val="28"/>
        </w:rPr>
        <w:t xml:space="preserve">, la Sala observa que los demandantes </w:t>
      </w:r>
      <w:r w:rsidRPr="00B86EDB">
        <w:rPr>
          <w:rStyle w:val="Textoennegrita"/>
          <w:rFonts w:ascii="Times New Roman" w:hAnsi="Times New Roman" w:cs="Times New Roman"/>
          <w:b w:val="0"/>
          <w:bCs w:val="0"/>
          <w:sz w:val="28"/>
          <w:szCs w:val="28"/>
        </w:rPr>
        <w:t xml:space="preserve">no satisfacen la carga argumentativa exigida para justificar la </w:t>
      </w:r>
      <w:r w:rsidRPr="00B86EDB">
        <w:rPr>
          <w:rStyle w:val="Textoennegrita"/>
          <w:rFonts w:ascii="Times New Roman" w:hAnsi="Times New Roman" w:cs="Times New Roman"/>
          <w:b w:val="0"/>
          <w:bCs w:val="0"/>
          <w:sz w:val="28"/>
          <w:szCs w:val="28"/>
        </w:rPr>
        <w:t>modificación del prece</w:t>
      </w:r>
      <w:r w:rsidRPr="00B86EDB">
        <w:rPr>
          <w:rStyle w:val="Textoennegrita"/>
          <w:rFonts w:ascii="Times New Roman" w:hAnsi="Times New Roman" w:cs="Times New Roman"/>
          <w:b w:val="0"/>
          <w:bCs w:val="0"/>
          <w:sz w:val="28"/>
          <w:szCs w:val="28"/>
        </w:rPr>
        <w:t>dente constitucional</w:t>
      </w:r>
      <w:r w:rsidRPr="00B86EDB">
        <w:rPr>
          <w:rFonts w:ascii="Times New Roman" w:hAnsi="Times New Roman" w:cs="Times New Roman"/>
          <w:sz w:val="28"/>
          <w:szCs w:val="28"/>
        </w:rPr>
        <w:t xml:space="preserve">. Si bien manifiestan su desacuerdo con la interpretación previa de la Corte, </w:t>
      </w:r>
      <w:r w:rsidRPr="00B86EDB">
        <w:rPr>
          <w:rStyle w:val="Textoennegrita"/>
          <w:rFonts w:ascii="Times New Roman" w:hAnsi="Times New Roman" w:cs="Times New Roman"/>
          <w:b w:val="0"/>
          <w:bCs w:val="0"/>
          <w:sz w:val="28"/>
          <w:szCs w:val="28"/>
        </w:rPr>
        <w:t>no exponen razones de peso que evidencien la existencia de cambios normativos, sociales o económicos que justifiquen una revaluación de la</w:t>
      </w:r>
      <w:r w:rsidRPr="00B86EDB">
        <w:rPr>
          <w:rStyle w:val="Textoennegrita"/>
          <w:rFonts w:ascii="Times New Roman" w:hAnsi="Times New Roman" w:cs="Times New Roman"/>
          <w:b w:val="0"/>
          <w:bCs w:val="0"/>
          <w:sz w:val="28"/>
          <w:szCs w:val="28"/>
        </w:rPr>
        <w:t>s reglas de decisión</w:t>
      </w:r>
      <w:r w:rsidRPr="00B86EDB">
        <w:rPr>
          <w:rStyle w:val="Textoennegrita"/>
          <w:rFonts w:ascii="Times New Roman" w:hAnsi="Times New Roman" w:cs="Times New Roman"/>
          <w:b w:val="0"/>
          <w:bCs w:val="0"/>
          <w:sz w:val="28"/>
          <w:szCs w:val="28"/>
        </w:rPr>
        <w:t xml:space="preserve"> fijada</w:t>
      </w:r>
      <w:r w:rsidRPr="00B86EDB">
        <w:rPr>
          <w:rStyle w:val="Textoennegrita"/>
          <w:rFonts w:ascii="Times New Roman" w:hAnsi="Times New Roman" w:cs="Times New Roman"/>
          <w:b w:val="0"/>
          <w:bCs w:val="0"/>
          <w:sz w:val="28"/>
          <w:szCs w:val="28"/>
        </w:rPr>
        <w:t>s</w:t>
      </w:r>
      <w:r w:rsidRPr="00B86EDB">
        <w:rPr>
          <w:rStyle w:val="Textoennegrita"/>
          <w:rFonts w:ascii="Times New Roman" w:hAnsi="Times New Roman" w:cs="Times New Roman"/>
          <w:b w:val="0"/>
          <w:bCs w:val="0"/>
          <w:sz w:val="28"/>
          <w:szCs w:val="28"/>
        </w:rPr>
        <w:t xml:space="preserve"> en esos fallos</w:t>
      </w:r>
      <w:r w:rsidRPr="00B86EDB">
        <w:rPr>
          <w:rFonts w:ascii="Times New Roman" w:hAnsi="Times New Roman" w:cs="Times New Roman"/>
          <w:sz w:val="28"/>
          <w:szCs w:val="28"/>
        </w:rPr>
        <w:t xml:space="preserve">. En consecuencia, el cargo formulado no solo carece de precisión en su formulación, sino que </w:t>
      </w:r>
      <w:r w:rsidRPr="00B86EDB">
        <w:rPr>
          <w:rStyle w:val="Textoennegrita"/>
          <w:rFonts w:ascii="Times New Roman" w:hAnsi="Times New Roman" w:cs="Times New Roman"/>
          <w:b w:val="0"/>
          <w:bCs w:val="0"/>
          <w:sz w:val="28"/>
          <w:szCs w:val="28"/>
        </w:rPr>
        <w:t>omite los elementos esenciales para sostener una solicitud de revisión de precedente</w:t>
      </w:r>
      <w:r w:rsidRPr="00B86EDB">
        <w:rPr>
          <w:rFonts w:ascii="Times New Roman" w:hAnsi="Times New Roman" w:cs="Times New Roman"/>
          <w:sz w:val="28"/>
          <w:szCs w:val="28"/>
        </w:rPr>
        <w:t>, lo que refuerza su ineptitud sustantiva.</w:t>
      </w:r>
    </w:p>
    <w:p w:rsidR="00C6277E" w:rsidRPr="00B86EDB" w:rsidRDefault="00B86EDB" w:rsidP="009F3F6A">
      <w:pPr>
        <w:pStyle w:val="Prrafodelista"/>
        <w:ind w:left="0"/>
        <w:contextualSpacing w:val="0"/>
        <w:jc w:val="both"/>
        <w:rPr>
          <w:rFonts w:ascii="Times New Roman" w:hAnsi="Times New Roman" w:cs="Times New Roman"/>
          <w:sz w:val="28"/>
          <w:szCs w:val="28"/>
        </w:rPr>
      </w:pPr>
    </w:p>
    <w:p w:rsidR="00C6277E" w:rsidRPr="00B86EDB" w:rsidRDefault="00B86EDB" w:rsidP="009F3F6A">
      <w:pPr>
        <w:pStyle w:val="NormalWeb"/>
        <w:numPr>
          <w:ilvl w:val="0"/>
          <w:numId w:val="4"/>
        </w:numPr>
        <w:spacing w:before="0" w:beforeAutospacing="0" w:after="0" w:afterAutospacing="0"/>
        <w:ind w:left="0" w:firstLine="0"/>
        <w:jc w:val="both"/>
        <w:rPr>
          <w:rFonts w:ascii="Times New Roman" w:hAnsi="Times New Roman" w:cs="Times New Roman"/>
          <w:sz w:val="28"/>
          <w:szCs w:val="28"/>
        </w:rPr>
      </w:pPr>
      <w:r w:rsidRPr="00B86EDB">
        <w:rPr>
          <w:rFonts w:ascii="Times New Roman" w:hAnsi="Times New Roman" w:cs="Times New Roman"/>
          <w:sz w:val="28"/>
          <w:szCs w:val="28"/>
        </w:rPr>
        <w:t xml:space="preserve">Como lo ha </w:t>
      </w:r>
      <w:r w:rsidRPr="00B86EDB">
        <w:rPr>
          <w:rFonts w:ascii="Times New Roman" w:hAnsi="Times New Roman" w:cs="Times New Roman"/>
          <w:sz w:val="28"/>
          <w:szCs w:val="28"/>
        </w:rPr>
        <w:t xml:space="preserve">señalado esta Corte en múltiples oportunidades, el principio de suficiencia exige que los cargos de inconstitucionalidad </w:t>
      </w:r>
      <w:r w:rsidRPr="00B86EDB">
        <w:rPr>
          <w:rStyle w:val="Textoennegrita"/>
          <w:rFonts w:ascii="Times New Roman" w:hAnsi="Times New Roman" w:cs="Times New Roman"/>
          <w:b w:val="0"/>
          <w:bCs w:val="0"/>
          <w:sz w:val="28"/>
          <w:szCs w:val="28"/>
        </w:rPr>
        <w:t>contengan una argumentación que al menos genere una duda mínima sobre la constitucionalidad de la norma demandada</w:t>
      </w:r>
      <w:r w:rsidRPr="00B86EDB">
        <w:rPr>
          <w:rFonts w:ascii="Times New Roman" w:hAnsi="Times New Roman" w:cs="Times New Roman"/>
          <w:sz w:val="28"/>
          <w:szCs w:val="28"/>
        </w:rPr>
        <w:t>. En este caso, los de</w:t>
      </w:r>
      <w:r w:rsidRPr="00B86EDB">
        <w:rPr>
          <w:rFonts w:ascii="Times New Roman" w:hAnsi="Times New Roman" w:cs="Times New Roman"/>
          <w:sz w:val="28"/>
          <w:szCs w:val="28"/>
        </w:rPr>
        <w:t xml:space="preserve">mandantes </w:t>
      </w:r>
      <w:r w:rsidRPr="00B86EDB">
        <w:rPr>
          <w:rStyle w:val="Textoennegrita"/>
          <w:rFonts w:ascii="Times New Roman" w:hAnsi="Times New Roman" w:cs="Times New Roman"/>
          <w:b w:val="0"/>
          <w:bCs w:val="0"/>
          <w:sz w:val="28"/>
          <w:szCs w:val="28"/>
        </w:rPr>
        <w:t>no cumplen con este estándar</w:t>
      </w:r>
      <w:r w:rsidRPr="00B86EDB">
        <w:rPr>
          <w:rFonts w:ascii="Times New Roman" w:hAnsi="Times New Roman" w:cs="Times New Roman"/>
          <w:sz w:val="28"/>
          <w:szCs w:val="28"/>
        </w:rPr>
        <w:t>, pues su argumentación se estructura en afirmaciones generales sobre la equidad tributaria, sin que se desarrollen elementos técnicos que permitan evaluar la validez de sus conclusiones.</w:t>
      </w:r>
    </w:p>
    <w:p w:rsidR="00C6277E" w:rsidRPr="00B86EDB" w:rsidRDefault="00B86EDB" w:rsidP="009F3F6A">
      <w:pPr>
        <w:pStyle w:val="NormalWeb"/>
        <w:spacing w:before="0" w:beforeAutospacing="0" w:after="0" w:afterAutospacing="0"/>
        <w:jc w:val="both"/>
        <w:rPr>
          <w:rFonts w:ascii="Times New Roman" w:hAnsi="Times New Roman" w:cs="Times New Roman"/>
          <w:sz w:val="28"/>
          <w:szCs w:val="28"/>
        </w:rPr>
      </w:pPr>
    </w:p>
    <w:p w:rsidR="00C6277E" w:rsidRPr="00B86EDB" w:rsidRDefault="00B86EDB" w:rsidP="009F3F6A">
      <w:pPr>
        <w:pStyle w:val="NormalWeb"/>
        <w:numPr>
          <w:ilvl w:val="0"/>
          <w:numId w:val="4"/>
        </w:numPr>
        <w:spacing w:before="0" w:beforeAutospacing="0" w:after="0" w:afterAutospacing="0"/>
        <w:ind w:left="0" w:firstLine="0"/>
        <w:jc w:val="both"/>
        <w:rPr>
          <w:rFonts w:ascii="Times New Roman" w:hAnsi="Times New Roman" w:cs="Times New Roman"/>
          <w:sz w:val="28"/>
          <w:szCs w:val="28"/>
        </w:rPr>
      </w:pPr>
      <w:r w:rsidRPr="00B86EDB">
        <w:rPr>
          <w:rFonts w:ascii="Times New Roman" w:hAnsi="Times New Roman" w:cs="Times New Roman"/>
          <w:sz w:val="28"/>
          <w:szCs w:val="28"/>
        </w:rPr>
        <w:t>Los demandantes presentan esc</w:t>
      </w:r>
      <w:r w:rsidRPr="00B86EDB">
        <w:rPr>
          <w:rFonts w:ascii="Times New Roman" w:hAnsi="Times New Roman" w:cs="Times New Roman"/>
          <w:sz w:val="28"/>
          <w:szCs w:val="28"/>
        </w:rPr>
        <w:t xml:space="preserve">enarios hipotéticos en los que el impuesto al patrimonio </w:t>
      </w:r>
      <w:r w:rsidRPr="00B86EDB">
        <w:rPr>
          <w:rStyle w:val="Textoennegrita"/>
          <w:rFonts w:ascii="Times New Roman" w:hAnsi="Times New Roman" w:cs="Times New Roman"/>
          <w:b w:val="0"/>
          <w:bCs w:val="0"/>
          <w:sz w:val="28"/>
          <w:szCs w:val="28"/>
        </w:rPr>
        <w:t>podría generar una reducción significativa del acervo patrimonial en el transcurso de varias décadas, especialmente en casos de patrimonios improductivos o de baja rentabilidad</w:t>
      </w:r>
      <w:r w:rsidRPr="00B86EDB">
        <w:rPr>
          <w:rFonts w:ascii="Times New Roman" w:hAnsi="Times New Roman" w:cs="Times New Roman"/>
          <w:sz w:val="28"/>
          <w:szCs w:val="28"/>
        </w:rPr>
        <w:t xml:space="preserve">. Sin embargo, la Sala </w:t>
      </w:r>
      <w:r w:rsidRPr="00B86EDB">
        <w:rPr>
          <w:rFonts w:ascii="Times New Roman" w:hAnsi="Times New Roman" w:cs="Times New Roman"/>
          <w:sz w:val="28"/>
          <w:szCs w:val="28"/>
        </w:rPr>
        <w:t xml:space="preserve">advierte que estos cálculos </w:t>
      </w:r>
      <w:r w:rsidRPr="00B86EDB">
        <w:rPr>
          <w:rStyle w:val="Textoennegrita"/>
          <w:rFonts w:ascii="Times New Roman" w:hAnsi="Times New Roman" w:cs="Times New Roman"/>
          <w:b w:val="0"/>
          <w:bCs w:val="0"/>
          <w:sz w:val="28"/>
          <w:szCs w:val="28"/>
        </w:rPr>
        <w:t>corresponden a hipótesis extremas y no a una afectación generalizada del tributo</w:t>
      </w:r>
      <w:r w:rsidRPr="00B86EDB">
        <w:rPr>
          <w:rFonts w:ascii="Times New Roman" w:hAnsi="Times New Roman" w:cs="Times New Roman"/>
          <w:sz w:val="28"/>
          <w:szCs w:val="28"/>
        </w:rPr>
        <w:t>, lo que impide evaluar su impacto real sobre la estructura tributaria en términos constitucionales.</w:t>
      </w:r>
    </w:p>
    <w:p w:rsidR="00C6277E" w:rsidRPr="00B86EDB" w:rsidRDefault="00B86EDB" w:rsidP="009F3F6A">
      <w:pPr>
        <w:pStyle w:val="NormalWeb"/>
        <w:spacing w:before="0" w:beforeAutospacing="0" w:after="0" w:afterAutospacing="0"/>
        <w:jc w:val="both"/>
        <w:rPr>
          <w:rFonts w:ascii="Times New Roman" w:hAnsi="Times New Roman" w:cs="Times New Roman"/>
          <w:sz w:val="28"/>
          <w:szCs w:val="28"/>
        </w:rPr>
      </w:pPr>
    </w:p>
    <w:p w:rsidR="00F954C4" w:rsidRPr="00B86EDB" w:rsidRDefault="00B86EDB" w:rsidP="009F3F6A">
      <w:pPr>
        <w:pStyle w:val="NormalWeb"/>
        <w:numPr>
          <w:ilvl w:val="0"/>
          <w:numId w:val="4"/>
        </w:numPr>
        <w:spacing w:before="0" w:beforeAutospacing="0" w:after="0" w:afterAutospacing="0"/>
        <w:ind w:left="0" w:firstLine="0"/>
        <w:jc w:val="both"/>
        <w:rPr>
          <w:rFonts w:ascii="Times New Roman" w:hAnsi="Times New Roman" w:cs="Times New Roman"/>
          <w:sz w:val="28"/>
          <w:szCs w:val="28"/>
        </w:rPr>
      </w:pPr>
      <w:r w:rsidRPr="00B86EDB">
        <w:rPr>
          <w:rFonts w:ascii="Times New Roman" w:hAnsi="Times New Roman" w:cs="Times New Roman"/>
          <w:sz w:val="28"/>
          <w:szCs w:val="28"/>
        </w:rPr>
        <w:t>Por otra parte, los demandantes afirman que la</w:t>
      </w:r>
      <w:r w:rsidRPr="00B86EDB">
        <w:rPr>
          <w:rFonts w:ascii="Times New Roman" w:hAnsi="Times New Roman" w:cs="Times New Roman"/>
          <w:sz w:val="28"/>
          <w:szCs w:val="28"/>
        </w:rPr>
        <w:t xml:space="preserve"> acumulación del impuesto al patrimonio con otros tributos genera una carga fiscal excesiva, sin embargo, </w:t>
      </w:r>
      <w:r w:rsidRPr="00B86EDB">
        <w:rPr>
          <w:rStyle w:val="Textoennegrita"/>
          <w:rFonts w:ascii="Times New Roman" w:hAnsi="Times New Roman" w:cs="Times New Roman"/>
          <w:b w:val="0"/>
          <w:bCs w:val="0"/>
          <w:sz w:val="28"/>
          <w:szCs w:val="28"/>
        </w:rPr>
        <w:t>no presentan un análisis estructurado que demuestre cómo la carga tributaria global afecta la capacidad contributiva de los sujetos pasivos</w:t>
      </w:r>
      <w:r w:rsidRPr="00B86EDB">
        <w:rPr>
          <w:rFonts w:ascii="Times New Roman" w:hAnsi="Times New Roman" w:cs="Times New Roman"/>
          <w:sz w:val="28"/>
          <w:szCs w:val="28"/>
        </w:rPr>
        <w:t>. En efecto</w:t>
      </w:r>
      <w:r w:rsidRPr="00B86EDB">
        <w:rPr>
          <w:rFonts w:ascii="Times New Roman" w:hAnsi="Times New Roman" w:cs="Times New Roman"/>
          <w:sz w:val="28"/>
          <w:szCs w:val="28"/>
        </w:rPr>
        <w:t>, omiten cualquier consideración sobre los mecanismos de progresividad y exclusiones que hacen parte del diseño del tributo, lo que impide evaluar si, en su conjunto, el sistema tributario desconoce los principios constitucionales enunciados.</w:t>
      </w:r>
    </w:p>
    <w:p w:rsidR="000A2B75" w:rsidRPr="00B86EDB" w:rsidRDefault="00B86EDB" w:rsidP="009F3F6A">
      <w:pPr>
        <w:pStyle w:val="NormalWeb"/>
        <w:spacing w:before="0" w:beforeAutospacing="0" w:after="0" w:afterAutospacing="0"/>
        <w:jc w:val="both"/>
        <w:rPr>
          <w:rFonts w:ascii="Times New Roman" w:hAnsi="Times New Roman" w:cs="Times New Roman"/>
          <w:sz w:val="28"/>
          <w:szCs w:val="28"/>
        </w:rPr>
      </w:pPr>
    </w:p>
    <w:p w:rsidR="00F954C4" w:rsidRPr="00B86EDB" w:rsidRDefault="00B86EDB" w:rsidP="009F3F6A">
      <w:pPr>
        <w:pStyle w:val="Prrafodelista"/>
        <w:numPr>
          <w:ilvl w:val="0"/>
          <w:numId w:val="4"/>
        </w:numPr>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En virtud de</w:t>
      </w:r>
      <w:r w:rsidRPr="00B86EDB">
        <w:rPr>
          <w:rFonts w:ascii="Times New Roman" w:hAnsi="Times New Roman" w:cs="Times New Roman"/>
          <w:sz w:val="28"/>
          <w:szCs w:val="28"/>
        </w:rPr>
        <w:t xml:space="preserve"> lo expuesto, la Sala concluye que los cargos</w:t>
      </w:r>
      <w:r w:rsidRPr="00B86EDB">
        <w:rPr>
          <w:rFonts w:ascii="Times New Roman" w:hAnsi="Times New Roman" w:cs="Times New Roman"/>
          <w:sz w:val="28"/>
          <w:szCs w:val="28"/>
        </w:rPr>
        <w:t xml:space="preserve"> por confiscatoriedad y doble tributación</w:t>
      </w:r>
      <w:r w:rsidRPr="00B86EDB">
        <w:rPr>
          <w:rFonts w:ascii="Times New Roman" w:hAnsi="Times New Roman" w:cs="Times New Roman"/>
          <w:sz w:val="28"/>
          <w:szCs w:val="28"/>
        </w:rPr>
        <w:t xml:space="preserve"> formulados en las demandas D-15.273 y D-15.275 carecen de la especificidad y suficiencia requeridas para activar el control de constitucionalidad. Por </w:t>
      </w:r>
      <w:r w:rsidRPr="00B86EDB">
        <w:rPr>
          <w:rFonts w:ascii="Times New Roman" w:hAnsi="Times New Roman" w:cs="Times New Roman"/>
          <w:sz w:val="28"/>
          <w:szCs w:val="28"/>
        </w:rPr>
        <w:t xml:space="preserve">lo tanto, </w:t>
      </w:r>
      <w:r w:rsidRPr="00B86EDB">
        <w:rPr>
          <w:rFonts w:ascii="Times New Roman" w:hAnsi="Times New Roman" w:cs="Times New Roman"/>
          <w:sz w:val="28"/>
          <w:szCs w:val="28"/>
        </w:rPr>
        <w:t>la Corte</w:t>
      </w:r>
      <w:r w:rsidRPr="00B86EDB">
        <w:rPr>
          <w:rFonts w:ascii="Times New Roman" w:hAnsi="Times New Roman" w:cs="Times New Roman"/>
          <w:sz w:val="28"/>
          <w:szCs w:val="28"/>
        </w:rPr>
        <w:t xml:space="preserve"> debe inhibirse de emitir un pronunciamiento de fondo sobre el presente cargo, en tanto los argumentos expuestos no cumplen con los requisitos mínimos exigidos por la jurisprudencia constitucional.</w:t>
      </w:r>
    </w:p>
    <w:p w:rsidR="00B77AA6" w:rsidRPr="00B86EDB" w:rsidRDefault="00B86EDB" w:rsidP="009F3F6A">
      <w:pPr>
        <w:pStyle w:val="Prrafodelista"/>
        <w:contextualSpacing w:val="0"/>
        <w:rPr>
          <w:rFonts w:ascii="Times New Roman" w:hAnsi="Times New Roman" w:cs="Times New Roman"/>
          <w:sz w:val="28"/>
          <w:szCs w:val="28"/>
        </w:rPr>
      </w:pPr>
    </w:p>
    <w:p w:rsidR="00B77AA6" w:rsidRPr="00B86EDB" w:rsidRDefault="00B86EDB" w:rsidP="009F3F6A">
      <w:pPr>
        <w:pStyle w:val="Prrafodelista"/>
        <w:numPr>
          <w:ilvl w:val="0"/>
          <w:numId w:val="14"/>
        </w:numPr>
        <w:autoSpaceDE w:val="0"/>
        <w:autoSpaceDN w:val="0"/>
        <w:contextualSpacing w:val="0"/>
        <w:jc w:val="both"/>
        <w:rPr>
          <w:rFonts w:ascii="Times New Roman" w:hAnsi="Times New Roman" w:cs="Times New Roman"/>
          <w:b/>
          <w:bCs/>
          <w:i/>
          <w:iCs/>
          <w:sz w:val="28"/>
          <w:szCs w:val="28"/>
        </w:rPr>
      </w:pPr>
      <w:r w:rsidRPr="00B86EDB">
        <w:rPr>
          <w:rFonts w:ascii="Times New Roman" w:hAnsi="Times New Roman" w:cs="Times New Roman"/>
          <w:b/>
          <w:bCs/>
          <w:i/>
          <w:iCs/>
          <w:sz w:val="28"/>
          <w:szCs w:val="28"/>
        </w:rPr>
        <w:t>Ineptitud sustantiva por falta de una carga argumentativa</w:t>
      </w:r>
      <w:r w:rsidRPr="00B86EDB">
        <w:rPr>
          <w:rFonts w:ascii="Times New Roman" w:hAnsi="Times New Roman" w:cs="Times New Roman"/>
          <w:b/>
          <w:bCs/>
          <w:i/>
          <w:iCs/>
          <w:sz w:val="28"/>
          <w:szCs w:val="28"/>
        </w:rPr>
        <w:t xml:space="preserve"> reforzada en la controversia del precedente constitucional</w:t>
      </w:r>
    </w:p>
    <w:p w:rsidR="00B77AA6"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B77AA6"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El último cargo formulado en la demanda D-15.273</w:t>
      </w:r>
      <w:r w:rsidRPr="00B86EDB">
        <w:rPr>
          <w:rFonts w:ascii="Times New Roman" w:hAnsi="Times New Roman" w:cs="Times New Roman"/>
          <w:sz w:val="28"/>
          <w:szCs w:val="28"/>
        </w:rPr>
        <w:t xml:space="preserve"> giró alrededor de la presunta</w:t>
      </w:r>
      <w:r w:rsidRPr="00B86EDB">
        <w:rPr>
          <w:rFonts w:ascii="Times New Roman" w:hAnsi="Times New Roman" w:cs="Times New Roman"/>
          <w:sz w:val="28"/>
          <w:szCs w:val="28"/>
        </w:rPr>
        <w:t xml:space="preserve"> vulneración del artículo 317 de la Constitución Política, con fundamento en que el impuesto al patrimonio, en su ver</w:t>
      </w:r>
      <w:r w:rsidRPr="00B86EDB">
        <w:rPr>
          <w:rFonts w:ascii="Times New Roman" w:hAnsi="Times New Roman" w:cs="Times New Roman"/>
          <w:sz w:val="28"/>
          <w:szCs w:val="28"/>
        </w:rPr>
        <w:t xml:space="preserve">sión establecida por la Ley 2277 de 2022, </w:t>
      </w:r>
      <w:r w:rsidRPr="00B86EDB">
        <w:rPr>
          <w:rFonts w:ascii="Times New Roman" w:hAnsi="Times New Roman" w:cs="Times New Roman"/>
          <w:sz w:val="28"/>
          <w:szCs w:val="28"/>
        </w:rPr>
        <w:t>grava</w:t>
      </w:r>
      <w:r w:rsidRPr="00B86EDB">
        <w:rPr>
          <w:rFonts w:ascii="Times New Roman" w:hAnsi="Times New Roman" w:cs="Times New Roman"/>
          <w:sz w:val="28"/>
          <w:szCs w:val="28"/>
        </w:rPr>
        <w:t xml:space="preserve"> de manera directa la propiedad inmueble y, al ser de carácter nacional y permanente, desconoce la competencia exclusiva de los municipios para gravar la propiedad inmobiliaria.</w:t>
      </w:r>
    </w:p>
    <w:p w:rsidR="00AE1338"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B77AA6"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Para estructurar su argumentac</w:t>
      </w:r>
      <w:r w:rsidRPr="00B86EDB">
        <w:rPr>
          <w:rFonts w:ascii="Times New Roman" w:hAnsi="Times New Roman" w:cs="Times New Roman"/>
          <w:sz w:val="28"/>
          <w:szCs w:val="28"/>
        </w:rPr>
        <w:t xml:space="preserve">ión, el demandante sostuvo que la reserva establecida en el artículo 317 </w:t>
      </w:r>
      <w:r w:rsidRPr="00B86EDB">
        <w:rPr>
          <w:rFonts w:ascii="Times New Roman" w:hAnsi="Times New Roman" w:cs="Times New Roman"/>
          <w:sz w:val="28"/>
          <w:szCs w:val="28"/>
        </w:rPr>
        <w:t>de la Constitución</w:t>
      </w:r>
      <w:r w:rsidRPr="00B86EDB">
        <w:rPr>
          <w:rFonts w:ascii="Times New Roman" w:hAnsi="Times New Roman" w:cs="Times New Roman"/>
          <w:sz w:val="28"/>
          <w:szCs w:val="28"/>
        </w:rPr>
        <w:t xml:space="preserve"> no se circunscribe al impuesto predial, sino que se extiende a cualquier gravamen que recaiga sobre la propiedad inmueble, incluido </w:t>
      </w:r>
      <w:r w:rsidRPr="00B86EDB">
        <w:rPr>
          <w:rFonts w:ascii="Times New Roman" w:hAnsi="Times New Roman" w:cs="Times New Roman"/>
          <w:sz w:val="28"/>
          <w:szCs w:val="28"/>
        </w:rPr>
        <w:t>el</w:t>
      </w:r>
      <w:r w:rsidRPr="00B86EDB">
        <w:rPr>
          <w:rFonts w:ascii="Times New Roman" w:hAnsi="Times New Roman" w:cs="Times New Roman"/>
          <w:sz w:val="28"/>
          <w:szCs w:val="28"/>
        </w:rPr>
        <w:t xml:space="preserve"> impuesto al patrimonio cuando</w:t>
      </w:r>
      <w:r w:rsidRPr="00B86EDB">
        <w:rPr>
          <w:rFonts w:ascii="Times New Roman" w:hAnsi="Times New Roman" w:cs="Times New Roman"/>
          <w:sz w:val="28"/>
          <w:szCs w:val="28"/>
        </w:rPr>
        <w:t xml:space="preserve"> su base gravable incorpora estos bienes. Afirmó que la estructura del impuesto demandado implica un gravamen directo a la propiedad inmobiliaria, debido a tres factores:</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(i) el hecho generador y la base gravable remiten a reglas del Estatuto Tributario qu</w:t>
      </w:r>
      <w:r w:rsidRPr="00B86EDB">
        <w:rPr>
          <w:rFonts w:ascii="Times New Roman" w:hAnsi="Times New Roman" w:cs="Times New Roman"/>
          <w:sz w:val="28"/>
          <w:szCs w:val="28"/>
        </w:rPr>
        <w:t>e afectan la propiedad inmueble;</w:t>
      </w:r>
      <w:r w:rsidRPr="00B86EDB">
        <w:rPr>
          <w:rFonts w:ascii="Times New Roman" w:hAnsi="Times New Roman" w:cs="Times New Roman"/>
          <w:sz w:val="28"/>
          <w:szCs w:val="28"/>
        </w:rPr>
        <w:br/>
        <w:t>(ii) la exclusión parcial de la casa de habitación, prevista en la norma demandada, confirma que el impuesto incide sobre este tipo de bienes; y</w:t>
      </w:r>
      <w:r w:rsidRPr="00B86EDB">
        <w:rPr>
          <w:rFonts w:ascii="Times New Roman" w:hAnsi="Times New Roman" w:cs="Times New Roman"/>
          <w:sz w:val="28"/>
          <w:szCs w:val="28"/>
        </w:rPr>
        <w:br/>
        <w:t>(iii) al ser un tributo permanente, los propietarios de inmuebles se ven oblig</w:t>
      </w:r>
      <w:r w:rsidRPr="00B86EDB">
        <w:rPr>
          <w:rFonts w:ascii="Times New Roman" w:hAnsi="Times New Roman" w:cs="Times New Roman"/>
          <w:sz w:val="28"/>
          <w:szCs w:val="28"/>
        </w:rPr>
        <w:t>ados a generar rentas adicionales o endeudarse para cumplir con la carga tributaria.</w:t>
      </w:r>
    </w:p>
    <w:p w:rsidR="00AE1338"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B77AA6"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Además, el demandante argumentó que el impuesto genera un impacto en los mercados inmobiliarios al inducir la venta forzada de bienes por parte de contribuyentes sin liqu</w:t>
      </w:r>
      <w:r w:rsidRPr="00B86EDB">
        <w:rPr>
          <w:rFonts w:ascii="Times New Roman" w:hAnsi="Times New Roman" w:cs="Times New Roman"/>
          <w:sz w:val="28"/>
          <w:szCs w:val="28"/>
        </w:rPr>
        <w:t>idez, lo que afectaría los precios del sector. Con base en lo anterior, solicitó la declaratoria de inexequibilidad de la disposición acusada o, en su defecto, una exequibilidad condicionada en el sentido de excluir los bienes inmuebles de la base gravable</w:t>
      </w:r>
      <w:r w:rsidRPr="00B86EDB">
        <w:rPr>
          <w:rFonts w:ascii="Times New Roman" w:hAnsi="Times New Roman" w:cs="Times New Roman"/>
          <w:sz w:val="28"/>
          <w:szCs w:val="28"/>
        </w:rPr>
        <w:t xml:space="preserve"> del impuesto.</w:t>
      </w:r>
    </w:p>
    <w:p w:rsidR="00B77AA6" w:rsidRPr="00B86EDB" w:rsidRDefault="00B86EDB" w:rsidP="009F3F6A">
      <w:pPr>
        <w:pStyle w:val="Prrafodelista"/>
        <w:autoSpaceDE w:val="0"/>
        <w:autoSpaceDN w:val="0"/>
        <w:ind w:left="0"/>
        <w:contextualSpacing w:val="0"/>
        <w:jc w:val="both"/>
        <w:rPr>
          <w:rFonts w:ascii="Times New Roman" w:hAnsi="Times New Roman" w:cs="Times New Roman"/>
          <w:b/>
          <w:bCs/>
          <w:sz w:val="28"/>
          <w:szCs w:val="28"/>
        </w:rPr>
      </w:pPr>
    </w:p>
    <w:p w:rsidR="00B77AA6"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El análisis del cargo evidencia que el demandante no cumplió con la carga argumentativa especial exigida cuando se pretende controvertir un precedente constitucional vigente. En este caso, la Corte ha sostenido de manera reiterada, en sente</w:t>
      </w:r>
      <w:r w:rsidRPr="00B86EDB">
        <w:rPr>
          <w:rFonts w:ascii="Times New Roman" w:hAnsi="Times New Roman" w:cs="Times New Roman"/>
          <w:sz w:val="28"/>
          <w:szCs w:val="28"/>
        </w:rPr>
        <w:t>ncias como la C-876 de 2002, la C-990 de 2004 y la C-393 de 2023, que el impuesto al patrimonio es constitucionalmente legítimo aun cuando dentro de su base gravable se incluyan bienes inmuebles, dado que este tributo recae sobre el patrimonio en su conjun</w:t>
      </w:r>
      <w:r w:rsidRPr="00B86EDB">
        <w:rPr>
          <w:rFonts w:ascii="Times New Roman" w:hAnsi="Times New Roman" w:cs="Times New Roman"/>
          <w:sz w:val="28"/>
          <w:szCs w:val="28"/>
        </w:rPr>
        <w:t>to y no exclusivamente sobre la propiedad inmueble.</w:t>
      </w:r>
    </w:p>
    <w:p w:rsidR="00AE1338"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B77AA6"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El demandante intentó desmarcarse de este precedente al señalar que el impuesto al patrimonio regulado en la Ley 2277 de 2022 presenta diferencias estructurales respecto de los tributos analizados en dec</w:t>
      </w:r>
      <w:r w:rsidRPr="00B86EDB">
        <w:rPr>
          <w:rFonts w:ascii="Times New Roman" w:hAnsi="Times New Roman" w:cs="Times New Roman"/>
          <w:sz w:val="28"/>
          <w:szCs w:val="28"/>
        </w:rPr>
        <w:t xml:space="preserve">isiones anteriores, destacando especialmente su carácter permanente y la inexistencia de una deducción aplicable a ciertos sujetos pasivos, como las sociedades extranjeras. No obstante, la Corte ha sido clara en que las características estructurales de un </w:t>
      </w:r>
      <w:r w:rsidRPr="00B86EDB">
        <w:rPr>
          <w:rFonts w:ascii="Times New Roman" w:hAnsi="Times New Roman" w:cs="Times New Roman"/>
          <w:sz w:val="28"/>
          <w:szCs w:val="28"/>
        </w:rPr>
        <w:t xml:space="preserve">impuesto no modifican el núcleo del análisis de constitucionalidad sobre el alcance del artículo 317 </w:t>
      </w:r>
      <w:r w:rsidRPr="00B86EDB">
        <w:rPr>
          <w:rFonts w:ascii="Times New Roman" w:hAnsi="Times New Roman" w:cs="Times New Roman"/>
          <w:sz w:val="28"/>
          <w:szCs w:val="28"/>
        </w:rPr>
        <w:t>de la Constitución</w:t>
      </w:r>
      <w:r w:rsidRPr="00B86EDB">
        <w:rPr>
          <w:rFonts w:ascii="Times New Roman" w:hAnsi="Times New Roman" w:cs="Times New Roman"/>
          <w:sz w:val="28"/>
          <w:szCs w:val="28"/>
        </w:rPr>
        <w:t>, según el cual los municipios tienen competencia exclusiva sobre tributos que recaigan directa y exclusivamente sobre la propiedad inmue</w:t>
      </w:r>
      <w:r w:rsidRPr="00B86EDB">
        <w:rPr>
          <w:rFonts w:ascii="Times New Roman" w:hAnsi="Times New Roman" w:cs="Times New Roman"/>
          <w:sz w:val="28"/>
          <w:szCs w:val="28"/>
        </w:rPr>
        <w:t>ble, sin que ello implique que el Estado central esté impedido para gravar el patrimonio de los contribuyentes en su conjunto.</w:t>
      </w:r>
    </w:p>
    <w:p w:rsidR="00AE1338"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B77AA6"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El demandante no desarrolló una argumentación suficiente para demostrar que el impuesto al patrimonio cuestionado en este caso c</w:t>
      </w:r>
      <w:r w:rsidRPr="00B86EDB">
        <w:rPr>
          <w:rFonts w:ascii="Times New Roman" w:hAnsi="Times New Roman" w:cs="Times New Roman"/>
          <w:sz w:val="28"/>
          <w:szCs w:val="28"/>
        </w:rPr>
        <w:t>onfigura un gravamen directo sobre la propiedad inmueble, ni explicó por qué las diferencias que identificó en la estructura del tributo ameritan un cambio en el criterio jurisprudencial vigente. En consecuencia, su argumentación no supera los requisitos d</w:t>
      </w:r>
      <w:r w:rsidRPr="00B86EDB">
        <w:rPr>
          <w:rFonts w:ascii="Times New Roman" w:hAnsi="Times New Roman" w:cs="Times New Roman"/>
          <w:sz w:val="28"/>
          <w:szCs w:val="28"/>
        </w:rPr>
        <w:t>e especificidad, pertinencia y suficiencia, como se explicará a continuación.</w:t>
      </w:r>
    </w:p>
    <w:p w:rsidR="00AE1338"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B77AA6" w:rsidRPr="00B86EDB" w:rsidRDefault="00B86EDB" w:rsidP="009F3F6A">
      <w:pPr>
        <w:pStyle w:val="Prrafodelista"/>
        <w:autoSpaceDE w:val="0"/>
        <w:autoSpaceDN w:val="0"/>
        <w:ind w:left="0"/>
        <w:contextualSpacing w:val="0"/>
        <w:jc w:val="both"/>
        <w:rPr>
          <w:rFonts w:ascii="Times New Roman" w:hAnsi="Times New Roman" w:cs="Times New Roman"/>
          <w:i/>
          <w:iCs/>
          <w:sz w:val="28"/>
          <w:szCs w:val="28"/>
        </w:rPr>
      </w:pPr>
      <w:r w:rsidRPr="00B86EDB">
        <w:rPr>
          <w:rFonts w:ascii="Times New Roman" w:hAnsi="Times New Roman" w:cs="Times New Roman"/>
          <w:i/>
          <w:iCs/>
          <w:sz w:val="28"/>
          <w:szCs w:val="28"/>
        </w:rPr>
        <w:t>Falta de especificidad y pertinencia en la controversia del precedente constitucional</w:t>
      </w:r>
    </w:p>
    <w:p w:rsidR="00AE1338" w:rsidRPr="00B86EDB" w:rsidRDefault="00B86EDB" w:rsidP="009F3F6A">
      <w:pPr>
        <w:pStyle w:val="Prrafodelista"/>
        <w:autoSpaceDE w:val="0"/>
        <w:autoSpaceDN w:val="0"/>
        <w:ind w:left="0"/>
        <w:contextualSpacing w:val="0"/>
        <w:jc w:val="both"/>
        <w:rPr>
          <w:rFonts w:ascii="Times New Roman" w:hAnsi="Times New Roman" w:cs="Times New Roman"/>
          <w:i/>
          <w:iCs/>
          <w:sz w:val="28"/>
          <w:szCs w:val="28"/>
        </w:rPr>
      </w:pPr>
    </w:p>
    <w:p w:rsidR="00B77AA6"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Cuando un demandante pretende controvertir un precedente consolidado, debe cumplir con una</w:t>
      </w:r>
      <w:r w:rsidRPr="00B86EDB">
        <w:rPr>
          <w:rFonts w:ascii="Times New Roman" w:hAnsi="Times New Roman" w:cs="Times New Roman"/>
          <w:sz w:val="28"/>
          <w:szCs w:val="28"/>
        </w:rPr>
        <w:t xml:space="preserve"> carga argumentativa reforzada, lo que implic</w:t>
      </w:r>
      <w:r w:rsidRPr="00B86EDB">
        <w:rPr>
          <w:rFonts w:ascii="Times New Roman" w:hAnsi="Times New Roman" w:cs="Times New Roman"/>
          <w:sz w:val="28"/>
          <w:szCs w:val="28"/>
        </w:rPr>
        <w:t>a: (i) identificar claramente la existencia del precedente vigente y su regla de decisión; (ii) explicar de manera estructurada por qué el precedente debe ser revisado o modificado, sustentando que el criterio a</w:t>
      </w:r>
      <w:r w:rsidRPr="00B86EDB">
        <w:rPr>
          <w:rFonts w:ascii="Times New Roman" w:hAnsi="Times New Roman" w:cs="Times New Roman"/>
          <w:sz w:val="28"/>
          <w:szCs w:val="28"/>
        </w:rPr>
        <w:t>lternativo que propone desarrolla de mejor manera los principios constitucionales involucrados; y (iii) demostrar que existen cambios normativos, fácticos o conceptuales sustanciales que justifican la revisión del precedente.</w:t>
      </w:r>
    </w:p>
    <w:p w:rsidR="00AE1338"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B77AA6"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Sobre este punto, la Sentenci</w:t>
      </w:r>
      <w:r w:rsidRPr="00B86EDB">
        <w:rPr>
          <w:rFonts w:ascii="Times New Roman" w:hAnsi="Times New Roman" w:cs="Times New Roman"/>
          <w:sz w:val="28"/>
          <w:szCs w:val="28"/>
        </w:rPr>
        <w:t>a C-393 de 2023 enfatizó que la mera referencia a diferencias en el diseño del tributo no es suficiente para desconocer la vinculatoriedad de un precedente constitucional, sino que es necesario demostrar que el criterio vigente incurre en un error manifies</w:t>
      </w:r>
      <w:r w:rsidRPr="00B86EDB">
        <w:rPr>
          <w:rFonts w:ascii="Times New Roman" w:hAnsi="Times New Roman" w:cs="Times New Roman"/>
          <w:sz w:val="28"/>
          <w:szCs w:val="28"/>
        </w:rPr>
        <w:t>to o que existen nuevas circunstancias de relevancia constitucional que ameritan su revisión.</w:t>
      </w:r>
    </w:p>
    <w:p w:rsidR="00AE1338"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B77AA6"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En este caso, el demandante se limitó a señalar que el impuesto al patrimonio examinado en esta oportunidad es permanente y que algunos sujetos no pueden excluir</w:t>
      </w:r>
      <w:r w:rsidRPr="00B86EDB">
        <w:rPr>
          <w:rFonts w:ascii="Times New Roman" w:hAnsi="Times New Roman" w:cs="Times New Roman"/>
          <w:sz w:val="28"/>
          <w:szCs w:val="28"/>
        </w:rPr>
        <w:t xml:space="preserve"> un porcentaje del valor de sus inmuebles de la base gravable, sin demostrar que estos factores modifican sustancialmente el problema jurídico ya resuelto en las sentencias C-876 de 2002 y C-990 de 2004. Tampoco confrontó los fundamentos de dichas decision</w:t>
      </w:r>
      <w:r w:rsidRPr="00B86EDB">
        <w:rPr>
          <w:rFonts w:ascii="Times New Roman" w:hAnsi="Times New Roman" w:cs="Times New Roman"/>
          <w:sz w:val="28"/>
          <w:szCs w:val="28"/>
        </w:rPr>
        <w:t>es ni explicó por qué el criterio que propone garantizaría de mejor manera la autonomía fiscal de los municipios.</w:t>
      </w:r>
      <w:r w:rsidRPr="00B86EDB">
        <w:rPr>
          <w:rFonts w:ascii="Times New Roman" w:hAnsi="Times New Roman" w:cs="Times New Roman"/>
          <w:sz w:val="28"/>
          <w:szCs w:val="28"/>
        </w:rPr>
        <w:t xml:space="preserve"> Esta omisión resulta aún más evidente si se considera que en la Sentencia C-395 de 2024, la Sala Plena reiteró de manera expresa la carga argu</w:t>
      </w:r>
      <w:r w:rsidRPr="00B86EDB">
        <w:rPr>
          <w:rFonts w:ascii="Times New Roman" w:hAnsi="Times New Roman" w:cs="Times New Roman"/>
          <w:sz w:val="28"/>
          <w:szCs w:val="28"/>
        </w:rPr>
        <w:t>mentativa cualificada que recae sobre quien pretende propiciar un cambio de precedente en materia de impuesto al patrimonio, particularmente frente al cuestionamiento reiterado relativo a la supuesta afectación de la competencia municipal para gravar la pr</w:t>
      </w:r>
      <w:r w:rsidRPr="00B86EDB">
        <w:rPr>
          <w:rFonts w:ascii="Times New Roman" w:hAnsi="Times New Roman" w:cs="Times New Roman"/>
          <w:sz w:val="28"/>
          <w:szCs w:val="28"/>
        </w:rPr>
        <w:t>opiedad inmueble. En consecuencia, el actor tampoco satisfizo las exigencias reforzadas que la jurisprudencia reciente ha fijado para reabrir un debate ya decantado por la Corte.</w:t>
      </w:r>
    </w:p>
    <w:p w:rsidR="00AE1338"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B77AA6"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Adicionalmente, omitió considerar que el impuesto al patrimonio examinado en</w:t>
      </w:r>
      <w:r w:rsidRPr="00B86EDB">
        <w:rPr>
          <w:rFonts w:ascii="Times New Roman" w:hAnsi="Times New Roman" w:cs="Times New Roman"/>
          <w:sz w:val="28"/>
          <w:szCs w:val="28"/>
        </w:rPr>
        <w:t xml:space="preserve"> la Sentencia C-876 de 2002 no permitía la exclusión de ningún porcentaje del valor de los bienes inmuebles de la base gravable y, pese a ello, la Corte concluyó que dicho tributo no vulneraba el artículo 317 </w:t>
      </w:r>
      <w:r w:rsidRPr="00B86EDB">
        <w:rPr>
          <w:rFonts w:ascii="Times New Roman" w:hAnsi="Times New Roman" w:cs="Times New Roman"/>
          <w:sz w:val="28"/>
          <w:szCs w:val="28"/>
        </w:rPr>
        <w:t>de la Constitución</w:t>
      </w:r>
      <w:r w:rsidRPr="00B86EDB">
        <w:rPr>
          <w:rFonts w:ascii="Times New Roman" w:hAnsi="Times New Roman" w:cs="Times New Roman"/>
          <w:sz w:val="28"/>
          <w:szCs w:val="28"/>
        </w:rPr>
        <w:t xml:space="preserve">, pues gravaba el patrimonio </w:t>
      </w:r>
      <w:r w:rsidRPr="00B86EDB">
        <w:rPr>
          <w:rFonts w:ascii="Times New Roman" w:hAnsi="Times New Roman" w:cs="Times New Roman"/>
          <w:sz w:val="28"/>
          <w:szCs w:val="28"/>
        </w:rPr>
        <w:t>en su conjunto y no la propiedad inmueble de manera exclusiva. Este antecedente desvirtúa la supuesta novedad argumentativa que plantea la demanda.</w:t>
      </w:r>
    </w:p>
    <w:p w:rsidR="00AE1338" w:rsidRPr="00B86EDB" w:rsidRDefault="00B86EDB" w:rsidP="009F3F6A">
      <w:pPr>
        <w:pStyle w:val="Prrafodelista"/>
        <w:autoSpaceDE w:val="0"/>
        <w:autoSpaceDN w:val="0"/>
        <w:ind w:left="0"/>
        <w:contextualSpacing w:val="0"/>
        <w:jc w:val="both"/>
        <w:rPr>
          <w:rFonts w:ascii="Times New Roman" w:hAnsi="Times New Roman" w:cs="Times New Roman"/>
          <w:b/>
          <w:bCs/>
          <w:sz w:val="28"/>
          <w:szCs w:val="28"/>
        </w:rPr>
      </w:pPr>
    </w:p>
    <w:p w:rsidR="00B77AA6"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Adicionalmente, e</w:t>
      </w:r>
      <w:r w:rsidRPr="00B86EDB">
        <w:rPr>
          <w:rFonts w:ascii="Times New Roman" w:hAnsi="Times New Roman" w:cs="Times New Roman"/>
          <w:sz w:val="28"/>
          <w:szCs w:val="28"/>
        </w:rPr>
        <w:t xml:space="preserve">l demandante tampoco sustentó con suficiencia por qué el impuesto al patrimonio limita la </w:t>
      </w:r>
      <w:r w:rsidRPr="00B86EDB">
        <w:rPr>
          <w:rFonts w:ascii="Times New Roman" w:hAnsi="Times New Roman" w:cs="Times New Roman"/>
          <w:sz w:val="28"/>
          <w:szCs w:val="28"/>
        </w:rPr>
        <w:t xml:space="preserve">autonomía fiscal de los municipios de manera inconstitucional. Si bien mencionó que el tributo podría afectar los mercados inmobiliarios y generar una presión sobre los contribuyentes para vender sus inmuebles, no presentó evidencia o análisis técnico que </w:t>
      </w:r>
      <w:r w:rsidRPr="00B86EDB">
        <w:rPr>
          <w:rFonts w:ascii="Times New Roman" w:hAnsi="Times New Roman" w:cs="Times New Roman"/>
          <w:sz w:val="28"/>
          <w:szCs w:val="28"/>
        </w:rPr>
        <w:t>respalde esta afirmación ni explicó en qué medida dicha afectación restringe el ejercicio de la potestad tributaria de los municipios.</w:t>
      </w:r>
    </w:p>
    <w:p w:rsidR="00AE1338"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B77AA6"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 xml:space="preserve">Además, la Corte ha reiterado que la autonomía fiscal de los municipios no implica una prohibición absoluta para que la </w:t>
      </w:r>
      <w:r w:rsidRPr="00B86EDB">
        <w:rPr>
          <w:rFonts w:ascii="Times New Roman" w:hAnsi="Times New Roman" w:cs="Times New Roman"/>
          <w:sz w:val="28"/>
          <w:szCs w:val="28"/>
        </w:rPr>
        <w:t>Nación imponga tributos que incluyan bienes inmuebles dentro de su base gravable, siempre que el impuesto no recaiga de manera exclusiva sobre este tipo de bienes ni sustituya la potestad impositiva de las entidades territoriales. La ausencia de un análisi</w:t>
      </w:r>
      <w:r w:rsidRPr="00B86EDB">
        <w:rPr>
          <w:rFonts w:ascii="Times New Roman" w:hAnsi="Times New Roman" w:cs="Times New Roman"/>
          <w:sz w:val="28"/>
          <w:szCs w:val="28"/>
        </w:rPr>
        <w:t>s detallado sobre este punto refuerza la insuficiencia argumentativa del cargo.</w:t>
      </w:r>
    </w:p>
    <w:p w:rsidR="00AE1338"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B77AA6"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La Corte ha sido clara en que no le corresponde suplir las deficiencias argumentativas de los demandantes ni reconstruir un cargo que no ha sido planteado con la solidez reque</w:t>
      </w:r>
      <w:r w:rsidRPr="00B86EDB">
        <w:rPr>
          <w:rFonts w:ascii="Times New Roman" w:hAnsi="Times New Roman" w:cs="Times New Roman"/>
          <w:sz w:val="28"/>
          <w:szCs w:val="28"/>
        </w:rPr>
        <w:t>rida. Como se ha señalado en múltiples precedentes, cuando un actor cuestiona la constitucionalidad de una norma con base en la necesidad de modificar un criterio jurisprudencial vigente, debe cumplir con un estándar argumentativo elevado, el cual no se sa</w:t>
      </w:r>
      <w:r w:rsidRPr="00B86EDB">
        <w:rPr>
          <w:rFonts w:ascii="Times New Roman" w:hAnsi="Times New Roman" w:cs="Times New Roman"/>
          <w:sz w:val="28"/>
          <w:szCs w:val="28"/>
        </w:rPr>
        <w:t>tisface en este caso.</w:t>
      </w:r>
    </w:p>
    <w:p w:rsidR="00AE1338"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B77AA6"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En el presente cargo, la formulación de la demanda no satisface el requisito de aptitud, en la medida en que:</w:t>
      </w:r>
      <w:r w:rsidRPr="00B86EDB">
        <w:rPr>
          <w:rFonts w:ascii="Times New Roman" w:hAnsi="Times New Roman" w:cs="Times New Roman"/>
          <w:sz w:val="28"/>
          <w:szCs w:val="28"/>
        </w:rPr>
        <w:t xml:space="preserve"> (i) no demuestra con suficiencia que el impuesto al patrimonio configura un gravamen directo sobre la propiedad inmueble y </w:t>
      </w:r>
      <w:r w:rsidRPr="00B86EDB">
        <w:rPr>
          <w:rFonts w:ascii="Times New Roman" w:hAnsi="Times New Roman" w:cs="Times New Roman"/>
          <w:sz w:val="28"/>
          <w:szCs w:val="28"/>
        </w:rPr>
        <w:t xml:space="preserve">no sobre el patrimonio en su conjunto; (ii) no explica por qué las diferencias en el diseño del tributo justifican una revisión del precedente constitucional vigente sobre el artículo 317 </w:t>
      </w:r>
      <w:r w:rsidRPr="00B86EDB">
        <w:rPr>
          <w:rFonts w:ascii="Times New Roman" w:hAnsi="Times New Roman" w:cs="Times New Roman"/>
          <w:sz w:val="28"/>
          <w:szCs w:val="28"/>
        </w:rPr>
        <w:t>de la Constitución</w:t>
      </w:r>
      <w:r w:rsidRPr="00B86EDB">
        <w:rPr>
          <w:rFonts w:ascii="Times New Roman" w:hAnsi="Times New Roman" w:cs="Times New Roman"/>
          <w:sz w:val="28"/>
          <w:szCs w:val="28"/>
        </w:rPr>
        <w:t>; y (iii) no aporta un desarrollo argumentativo su</w:t>
      </w:r>
      <w:r w:rsidRPr="00B86EDB">
        <w:rPr>
          <w:rFonts w:ascii="Times New Roman" w:hAnsi="Times New Roman" w:cs="Times New Roman"/>
          <w:sz w:val="28"/>
          <w:szCs w:val="28"/>
        </w:rPr>
        <w:t>ficiente que permita activar el control de constitucionalidad sobre la disposición demandada.</w:t>
      </w:r>
    </w:p>
    <w:p w:rsidR="00AE1338" w:rsidRPr="00B86EDB" w:rsidRDefault="00B86EDB" w:rsidP="009F3F6A">
      <w:pPr>
        <w:pStyle w:val="Prrafodelista"/>
        <w:autoSpaceDE w:val="0"/>
        <w:autoSpaceDN w:val="0"/>
        <w:ind w:left="0"/>
        <w:contextualSpacing w:val="0"/>
        <w:jc w:val="both"/>
        <w:rPr>
          <w:rFonts w:ascii="Times New Roman" w:hAnsi="Times New Roman" w:cs="Times New Roman"/>
          <w:sz w:val="28"/>
          <w:szCs w:val="28"/>
        </w:rPr>
      </w:pPr>
    </w:p>
    <w:p w:rsidR="00BD5B8A" w:rsidRPr="00B86EDB" w:rsidRDefault="00B86EDB" w:rsidP="009F3F6A">
      <w:pPr>
        <w:pStyle w:val="Prrafodelista"/>
        <w:numPr>
          <w:ilvl w:val="0"/>
          <w:numId w:val="4"/>
        </w:numPr>
        <w:autoSpaceDE w:val="0"/>
        <w:autoSpaceDN w:val="0"/>
        <w:ind w:left="0" w:firstLine="0"/>
        <w:contextualSpacing w:val="0"/>
        <w:jc w:val="both"/>
        <w:rPr>
          <w:rFonts w:ascii="Times New Roman" w:hAnsi="Times New Roman" w:cs="Times New Roman"/>
          <w:sz w:val="28"/>
          <w:szCs w:val="28"/>
        </w:rPr>
      </w:pPr>
      <w:r w:rsidRPr="00B86EDB">
        <w:rPr>
          <w:rFonts w:ascii="Times New Roman" w:hAnsi="Times New Roman" w:cs="Times New Roman"/>
          <w:sz w:val="28"/>
          <w:szCs w:val="28"/>
        </w:rPr>
        <w:t>En consecuencia, la Corte debe inhibirse de emitir un pronunciamiento de fondo sobre este cargo, al no contar con los elementos necesarios para realizar un análi</w:t>
      </w:r>
      <w:r w:rsidRPr="00B86EDB">
        <w:rPr>
          <w:rFonts w:ascii="Times New Roman" w:hAnsi="Times New Roman" w:cs="Times New Roman"/>
          <w:sz w:val="28"/>
          <w:szCs w:val="28"/>
        </w:rPr>
        <w:t>sis sustantivo sobre la posible afectación del artículo 317 de la Constitución</w:t>
      </w:r>
      <w:r w:rsidRPr="00B86EDB">
        <w:rPr>
          <w:rFonts w:ascii="Times New Roman" w:hAnsi="Times New Roman" w:cs="Times New Roman"/>
          <w:sz w:val="28"/>
          <w:szCs w:val="28"/>
        </w:rPr>
        <w:t>.</w:t>
      </w:r>
    </w:p>
    <w:p w:rsidR="00BD5B8A" w:rsidRPr="00B86EDB" w:rsidRDefault="00B86EDB" w:rsidP="009F3F6A">
      <w:pPr>
        <w:pStyle w:val="Prrafodelista"/>
        <w:ind w:left="0"/>
        <w:contextualSpacing w:val="0"/>
        <w:jc w:val="both"/>
        <w:rPr>
          <w:rFonts w:ascii="Times New Roman" w:hAnsi="Times New Roman" w:cs="Times New Roman"/>
          <w:sz w:val="28"/>
          <w:szCs w:val="28"/>
        </w:rPr>
      </w:pPr>
    </w:p>
    <w:p w:rsidR="00BD5B8A" w:rsidRPr="00B86EDB" w:rsidRDefault="00B86EDB" w:rsidP="009F3F6A">
      <w:pPr>
        <w:pStyle w:val="Prrafodelista"/>
        <w:ind w:left="0"/>
        <w:contextualSpacing w:val="0"/>
        <w:jc w:val="both"/>
        <w:rPr>
          <w:rFonts w:ascii="Times New Roman" w:hAnsi="Times New Roman" w:cs="Times New Roman"/>
          <w:sz w:val="28"/>
          <w:szCs w:val="28"/>
        </w:rPr>
      </w:pPr>
    </w:p>
    <w:p w:rsidR="00982786" w:rsidRPr="00B86EDB" w:rsidRDefault="00B86EDB" w:rsidP="009F3F6A">
      <w:pPr>
        <w:pStyle w:val="Ttulo1"/>
        <w:numPr>
          <w:ilvl w:val="0"/>
          <w:numId w:val="3"/>
        </w:numPr>
        <w:spacing w:before="0"/>
        <w:ind w:left="720"/>
        <w:rPr>
          <w:rFonts w:ascii="Times New Roman" w:hAnsi="Times New Roman" w:cs="Times New Roman"/>
          <w:b/>
          <w:bCs/>
          <w:color w:val="auto"/>
          <w:sz w:val="28"/>
          <w:szCs w:val="28"/>
        </w:rPr>
      </w:pPr>
      <w:r w:rsidRPr="00B86EDB">
        <w:rPr>
          <w:rFonts w:ascii="Times New Roman" w:hAnsi="Times New Roman" w:cs="Times New Roman"/>
          <w:b/>
          <w:bCs/>
          <w:color w:val="auto"/>
          <w:sz w:val="28"/>
          <w:szCs w:val="28"/>
        </w:rPr>
        <w:t>DECISIÓN</w:t>
      </w:r>
    </w:p>
    <w:p w:rsidR="00982786" w:rsidRPr="00B86EDB" w:rsidRDefault="00B86EDB" w:rsidP="009F3F6A">
      <w:pPr>
        <w:pStyle w:val="Prrafodelista"/>
        <w:shd w:val="clear" w:color="auto" w:fill="FFFFFF"/>
        <w:autoSpaceDE w:val="0"/>
        <w:autoSpaceDN w:val="0"/>
        <w:ind w:right="49"/>
        <w:contextualSpacing w:val="0"/>
        <w:jc w:val="both"/>
        <w:rPr>
          <w:rFonts w:ascii="Times New Roman" w:hAnsi="Times New Roman" w:cs="Times New Roman"/>
          <w:sz w:val="28"/>
          <w:szCs w:val="28"/>
          <w:lang w:eastAsia="es-MX"/>
        </w:rPr>
      </w:pPr>
    </w:p>
    <w:p w:rsidR="00982786" w:rsidRPr="00B86EDB" w:rsidRDefault="00B86EDB" w:rsidP="009F3F6A">
      <w:pPr>
        <w:shd w:val="clear" w:color="auto" w:fill="FFFFFF"/>
        <w:autoSpaceDE w:val="0"/>
        <w:autoSpaceDN w:val="0"/>
        <w:ind w:right="49"/>
        <w:jc w:val="both"/>
        <w:rPr>
          <w:rFonts w:ascii="Times New Roman" w:hAnsi="Times New Roman" w:cs="Times New Roman"/>
          <w:sz w:val="28"/>
          <w:szCs w:val="28"/>
          <w:lang w:eastAsia="es-MX"/>
        </w:rPr>
      </w:pPr>
      <w:r w:rsidRPr="00B86EDB">
        <w:rPr>
          <w:rFonts w:ascii="Times New Roman" w:hAnsi="Times New Roman" w:cs="Times New Roman"/>
          <w:sz w:val="28"/>
          <w:szCs w:val="28"/>
          <w:lang w:eastAsia="es-MX"/>
        </w:rPr>
        <w:t>En mérito de lo expuesto, la Sala Plena de la Corte Constitucional, administrando justicia en nombre del pueblo y por mandato de la Constitución,</w:t>
      </w:r>
    </w:p>
    <w:p w:rsidR="00A22B76" w:rsidRPr="00B86EDB" w:rsidRDefault="00B86EDB" w:rsidP="009F3F6A">
      <w:pPr>
        <w:pStyle w:val="Prrafodelista"/>
        <w:shd w:val="clear" w:color="auto" w:fill="FFFFFF"/>
        <w:autoSpaceDE w:val="0"/>
        <w:autoSpaceDN w:val="0"/>
        <w:ind w:right="49"/>
        <w:contextualSpacing w:val="0"/>
        <w:jc w:val="both"/>
        <w:rPr>
          <w:rFonts w:ascii="Times New Roman" w:hAnsi="Times New Roman" w:cs="Times New Roman"/>
          <w:sz w:val="28"/>
          <w:szCs w:val="28"/>
          <w:lang w:eastAsia="es-MX"/>
        </w:rPr>
      </w:pPr>
    </w:p>
    <w:p w:rsidR="00982786" w:rsidRPr="00B86EDB" w:rsidRDefault="00B86EDB" w:rsidP="009F3F6A">
      <w:pPr>
        <w:pStyle w:val="Prrafodelista"/>
        <w:shd w:val="clear" w:color="auto" w:fill="FFFFFF"/>
        <w:autoSpaceDE w:val="0"/>
        <w:autoSpaceDN w:val="0"/>
        <w:ind w:left="0" w:right="49"/>
        <w:contextualSpacing w:val="0"/>
        <w:jc w:val="center"/>
        <w:rPr>
          <w:rFonts w:ascii="Times New Roman" w:hAnsi="Times New Roman" w:cs="Times New Roman"/>
          <w:b/>
          <w:bCs/>
          <w:sz w:val="28"/>
          <w:szCs w:val="28"/>
          <w:lang w:eastAsia="es-MX"/>
        </w:rPr>
      </w:pPr>
      <w:r w:rsidRPr="00B86EDB">
        <w:rPr>
          <w:rFonts w:ascii="Times New Roman" w:hAnsi="Times New Roman" w:cs="Times New Roman"/>
          <w:b/>
          <w:bCs/>
          <w:sz w:val="28"/>
          <w:szCs w:val="28"/>
          <w:lang w:eastAsia="es-MX"/>
        </w:rPr>
        <w:t>RESUELVE</w:t>
      </w:r>
    </w:p>
    <w:p w:rsidR="00982786" w:rsidRPr="00B86EDB" w:rsidRDefault="00B86EDB" w:rsidP="009F3F6A">
      <w:pPr>
        <w:pStyle w:val="Prrafodelista"/>
        <w:shd w:val="clear" w:color="auto" w:fill="FFFFFF"/>
        <w:autoSpaceDE w:val="0"/>
        <w:autoSpaceDN w:val="0"/>
        <w:ind w:left="0" w:right="49"/>
        <w:contextualSpacing w:val="0"/>
        <w:rPr>
          <w:rFonts w:ascii="Times New Roman" w:hAnsi="Times New Roman" w:cs="Times New Roman"/>
          <w:b/>
          <w:bCs/>
          <w:sz w:val="28"/>
          <w:szCs w:val="28"/>
          <w:lang w:eastAsia="es-MX"/>
        </w:rPr>
      </w:pPr>
    </w:p>
    <w:p w:rsidR="00A400B0" w:rsidRPr="00B86EDB" w:rsidRDefault="00B86EDB" w:rsidP="009F3F6A">
      <w:pPr>
        <w:pStyle w:val="Prrafodelista"/>
        <w:shd w:val="clear" w:color="auto" w:fill="FFFFFF"/>
        <w:autoSpaceDE w:val="0"/>
        <w:autoSpaceDN w:val="0"/>
        <w:ind w:left="0" w:right="49"/>
        <w:contextualSpacing w:val="0"/>
        <w:jc w:val="both"/>
        <w:rPr>
          <w:rFonts w:ascii="Times New Roman" w:hAnsi="Times New Roman" w:cs="Times New Roman"/>
          <w:sz w:val="28"/>
          <w:szCs w:val="28"/>
        </w:rPr>
      </w:pPr>
      <w:r w:rsidRPr="00B86EDB">
        <w:rPr>
          <w:rFonts w:ascii="Times New Roman" w:hAnsi="Times New Roman" w:cs="Times New Roman"/>
          <w:b/>
          <w:bCs/>
          <w:sz w:val="28"/>
          <w:szCs w:val="28"/>
        </w:rPr>
        <w:t>ÚNICO.</w:t>
      </w:r>
      <w:r w:rsidRPr="00B86EDB">
        <w:rPr>
          <w:rFonts w:ascii="Times New Roman" w:hAnsi="Times New Roman" w:cs="Times New Roman"/>
          <w:b/>
          <w:bCs/>
          <w:sz w:val="28"/>
          <w:szCs w:val="28"/>
        </w:rPr>
        <w:t xml:space="preserve"> </w:t>
      </w:r>
      <w:r w:rsidRPr="00B86EDB">
        <w:rPr>
          <w:rFonts w:ascii="Times New Roman" w:hAnsi="Times New Roman" w:cs="Times New Roman"/>
          <w:sz w:val="28"/>
          <w:szCs w:val="28"/>
        </w:rPr>
        <w:t>-</w:t>
      </w:r>
      <w:r w:rsidRPr="00B86EDB">
        <w:rPr>
          <w:rFonts w:ascii="Times New Roman" w:hAnsi="Times New Roman" w:cs="Times New Roman"/>
          <w:b/>
          <w:bCs/>
          <w:sz w:val="28"/>
          <w:szCs w:val="28"/>
        </w:rPr>
        <w:t xml:space="preserve"> </w:t>
      </w:r>
      <w:r w:rsidRPr="00B86EDB">
        <w:rPr>
          <w:rFonts w:ascii="Times New Roman" w:hAnsi="Times New Roman" w:cs="Times New Roman"/>
          <w:sz w:val="28"/>
          <w:szCs w:val="28"/>
        </w:rPr>
        <w:t xml:space="preserve">Declararse </w:t>
      </w:r>
      <w:r w:rsidRPr="00B86EDB">
        <w:rPr>
          <w:rFonts w:ascii="Times New Roman" w:hAnsi="Times New Roman" w:cs="Times New Roman"/>
          <w:b/>
          <w:bCs/>
          <w:sz w:val="28"/>
          <w:szCs w:val="28"/>
        </w:rPr>
        <w:t>INHIBIDA</w:t>
      </w:r>
      <w:r w:rsidRPr="00B86EDB">
        <w:rPr>
          <w:rFonts w:ascii="Times New Roman" w:hAnsi="Times New Roman" w:cs="Times New Roman"/>
          <w:sz w:val="28"/>
          <w:szCs w:val="28"/>
        </w:rPr>
        <w:t xml:space="preserve"> para </w:t>
      </w:r>
      <w:r w:rsidRPr="00B86EDB">
        <w:rPr>
          <w:rFonts w:ascii="Times New Roman" w:hAnsi="Times New Roman" w:cs="Times New Roman"/>
          <w:sz w:val="28"/>
          <w:szCs w:val="28"/>
        </w:rPr>
        <w:t>conocer</w:t>
      </w:r>
      <w:r w:rsidRPr="00B86EDB">
        <w:rPr>
          <w:rFonts w:ascii="Times New Roman" w:hAnsi="Times New Roman" w:cs="Times New Roman"/>
          <w:sz w:val="28"/>
          <w:szCs w:val="28"/>
        </w:rPr>
        <w:t xml:space="preserve"> </w:t>
      </w:r>
      <w:r w:rsidRPr="00B86EDB">
        <w:rPr>
          <w:rFonts w:ascii="Times New Roman" w:hAnsi="Times New Roman" w:cs="Times New Roman"/>
          <w:sz w:val="28"/>
          <w:szCs w:val="28"/>
        </w:rPr>
        <w:t xml:space="preserve">la demanda propuesta contra los artículos 35, 36, 37, 38 </w:t>
      </w:r>
      <w:r w:rsidRPr="00B86EDB">
        <w:rPr>
          <w:rFonts w:ascii="Times New Roman" w:hAnsi="Times New Roman" w:cs="Times New Roman"/>
          <w:sz w:val="28"/>
          <w:szCs w:val="28"/>
        </w:rPr>
        <w:t>y</w:t>
      </w:r>
      <w:r w:rsidRPr="00B86EDB">
        <w:rPr>
          <w:rFonts w:ascii="Times New Roman" w:hAnsi="Times New Roman" w:cs="Times New Roman"/>
          <w:sz w:val="28"/>
          <w:szCs w:val="28"/>
        </w:rPr>
        <w:t xml:space="preserve"> 39 de la Ley 2277 de 2022 </w:t>
      </w:r>
      <w:r w:rsidRPr="00B86EDB">
        <w:rPr>
          <w:rFonts w:ascii="Times New Roman" w:hAnsi="Times New Roman" w:cs="Times New Roman"/>
          <w:i/>
          <w:iCs/>
          <w:sz w:val="28"/>
          <w:szCs w:val="28"/>
        </w:rPr>
        <w:t>“Por medio de la cual se adopta una reforma tributaria para la igualdad y la justicia social y se dictan otras disposiciones”</w:t>
      </w:r>
      <w:r w:rsidRPr="00B86EDB">
        <w:rPr>
          <w:rFonts w:ascii="Times New Roman" w:hAnsi="Times New Roman" w:cs="Times New Roman"/>
          <w:sz w:val="28"/>
          <w:szCs w:val="28"/>
        </w:rPr>
        <w:t xml:space="preserve"> por los ca</w:t>
      </w:r>
      <w:r w:rsidRPr="00B86EDB">
        <w:rPr>
          <w:rFonts w:ascii="Times New Roman" w:hAnsi="Times New Roman" w:cs="Times New Roman"/>
          <w:sz w:val="28"/>
          <w:szCs w:val="28"/>
        </w:rPr>
        <w:t>rgos propuestos por la presunta vulneración de los artículos 95.9, 363 y 317 de la Constitución Política por ineptitud sustantiva de la demanda en los términos expuestos en la parte motiva de esta providencia.</w:t>
      </w:r>
    </w:p>
    <w:p w:rsidR="00746BBD" w:rsidRPr="00B86EDB" w:rsidRDefault="00B86EDB" w:rsidP="009F3F6A">
      <w:pPr>
        <w:pStyle w:val="Prrafodelista"/>
        <w:shd w:val="clear" w:color="auto" w:fill="FFFFFF"/>
        <w:autoSpaceDE w:val="0"/>
        <w:autoSpaceDN w:val="0"/>
        <w:ind w:left="0" w:right="49"/>
        <w:contextualSpacing w:val="0"/>
        <w:jc w:val="both"/>
        <w:rPr>
          <w:rFonts w:ascii="Times New Roman" w:hAnsi="Times New Roman" w:cs="Times New Roman"/>
          <w:sz w:val="28"/>
          <w:szCs w:val="28"/>
        </w:rPr>
      </w:pPr>
    </w:p>
    <w:p w:rsidR="00A22B76" w:rsidRPr="00B86EDB" w:rsidRDefault="00B86EDB" w:rsidP="009F3F6A">
      <w:pPr>
        <w:pStyle w:val="Prrafodelista"/>
        <w:shd w:val="clear" w:color="auto" w:fill="FFFFFF"/>
        <w:autoSpaceDE w:val="0"/>
        <w:autoSpaceDN w:val="0"/>
        <w:ind w:left="0" w:right="49"/>
        <w:contextualSpacing w:val="0"/>
        <w:jc w:val="both"/>
        <w:rPr>
          <w:rFonts w:ascii="Times New Roman" w:hAnsi="Times New Roman" w:cs="Times New Roman"/>
          <w:sz w:val="28"/>
          <w:szCs w:val="28"/>
        </w:rPr>
      </w:pPr>
    </w:p>
    <w:p w:rsidR="00A22B76" w:rsidRPr="00B86EDB" w:rsidRDefault="00B86EDB" w:rsidP="009F3F6A">
      <w:pPr>
        <w:pStyle w:val="Prrafodelista"/>
        <w:shd w:val="clear" w:color="auto" w:fill="FFFFFF"/>
        <w:autoSpaceDE w:val="0"/>
        <w:autoSpaceDN w:val="0"/>
        <w:ind w:left="0" w:right="49"/>
        <w:contextualSpacing w:val="0"/>
        <w:jc w:val="both"/>
        <w:rPr>
          <w:rFonts w:ascii="Times New Roman" w:hAnsi="Times New Roman" w:cs="Times New Roman"/>
          <w:sz w:val="28"/>
          <w:szCs w:val="28"/>
        </w:rPr>
      </w:pPr>
      <w:r w:rsidRPr="00B86EDB">
        <w:rPr>
          <w:rFonts w:ascii="Times New Roman" w:hAnsi="Times New Roman" w:cs="Times New Roman"/>
          <w:sz w:val="28"/>
          <w:szCs w:val="28"/>
        </w:rPr>
        <w:t>Notifíquese y cúmplase</w:t>
      </w:r>
    </w:p>
    <w:p w:rsidR="00FB66E6" w:rsidRPr="00B86EDB" w:rsidRDefault="00B86EDB" w:rsidP="009F3F6A">
      <w:pPr>
        <w:pStyle w:val="Prrafodelista"/>
        <w:shd w:val="clear" w:color="auto" w:fill="FFFFFF"/>
        <w:autoSpaceDE w:val="0"/>
        <w:autoSpaceDN w:val="0"/>
        <w:ind w:left="0" w:right="49"/>
        <w:contextualSpacing w:val="0"/>
        <w:jc w:val="both"/>
        <w:rPr>
          <w:rFonts w:ascii="Times New Roman" w:hAnsi="Times New Roman" w:cs="Times New Roman"/>
          <w:sz w:val="28"/>
          <w:szCs w:val="28"/>
        </w:rPr>
      </w:pPr>
    </w:p>
    <w:p w:rsidR="00FB66E6" w:rsidRPr="00B86EDB" w:rsidRDefault="00B86EDB" w:rsidP="009F3F6A">
      <w:pPr>
        <w:pStyle w:val="Prrafodelista"/>
        <w:shd w:val="clear" w:color="auto" w:fill="FFFFFF"/>
        <w:autoSpaceDE w:val="0"/>
        <w:autoSpaceDN w:val="0"/>
        <w:ind w:left="0" w:right="49"/>
        <w:contextualSpacing w:val="0"/>
        <w:jc w:val="both"/>
        <w:rPr>
          <w:rFonts w:ascii="Times New Roman" w:hAnsi="Times New Roman" w:cs="Times New Roman"/>
          <w:sz w:val="28"/>
          <w:szCs w:val="28"/>
        </w:rPr>
      </w:pPr>
    </w:p>
    <w:p w:rsidR="00FB66E6" w:rsidRPr="00B86EDB" w:rsidRDefault="00B86EDB" w:rsidP="009F3F6A">
      <w:pPr>
        <w:pStyle w:val="Prrafodelista"/>
        <w:shd w:val="clear" w:color="auto" w:fill="FFFFFF"/>
        <w:autoSpaceDE w:val="0"/>
        <w:autoSpaceDN w:val="0"/>
        <w:ind w:left="0" w:right="49"/>
        <w:contextualSpacing w:val="0"/>
        <w:jc w:val="both"/>
        <w:rPr>
          <w:rFonts w:ascii="Times New Roman" w:hAnsi="Times New Roman" w:cs="Times New Roman"/>
          <w:sz w:val="28"/>
          <w:szCs w:val="28"/>
        </w:rPr>
      </w:pPr>
    </w:p>
    <w:p w:rsidR="00F031A1"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r w:rsidRPr="00B86EDB">
        <w:rPr>
          <w:rFonts w:ascii="Times New Roman" w:hAnsi="Times New Roman" w:cs="Times New Roman"/>
          <w:sz w:val="28"/>
          <w:szCs w:val="28"/>
          <w:lang w:eastAsia="es-MX"/>
        </w:rPr>
        <w:t>JOSE FERNANDO REYE</w:t>
      </w:r>
      <w:r w:rsidRPr="00B86EDB">
        <w:rPr>
          <w:rFonts w:ascii="Times New Roman" w:hAnsi="Times New Roman" w:cs="Times New Roman"/>
          <w:sz w:val="28"/>
          <w:szCs w:val="28"/>
          <w:lang w:eastAsia="es-MX"/>
        </w:rPr>
        <w:t>S CUARTAS</w:t>
      </w:r>
    </w:p>
    <w:p w:rsidR="00F031A1"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r w:rsidRPr="00B86EDB">
        <w:rPr>
          <w:rFonts w:ascii="Times New Roman" w:hAnsi="Times New Roman" w:cs="Times New Roman"/>
          <w:sz w:val="28"/>
          <w:szCs w:val="28"/>
          <w:lang w:eastAsia="es-MX"/>
        </w:rPr>
        <w:t>Presidente</w:t>
      </w: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F031A1"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r w:rsidRPr="00B86EDB">
        <w:rPr>
          <w:rFonts w:ascii="Times New Roman" w:hAnsi="Times New Roman" w:cs="Times New Roman"/>
          <w:sz w:val="28"/>
          <w:szCs w:val="28"/>
          <w:lang w:eastAsia="es-MX"/>
        </w:rPr>
        <w:t xml:space="preserve">JORGE ENRIQUE IBÁÑEZ NAJAR </w:t>
      </w:r>
    </w:p>
    <w:p w:rsidR="00F031A1"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r w:rsidRPr="00B86EDB">
        <w:rPr>
          <w:rFonts w:ascii="Times New Roman" w:hAnsi="Times New Roman" w:cs="Times New Roman"/>
          <w:sz w:val="28"/>
          <w:szCs w:val="28"/>
          <w:lang w:eastAsia="es-MX"/>
        </w:rPr>
        <w:t>Magistrado</w:t>
      </w: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F031A1"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r w:rsidRPr="00B86EDB">
        <w:rPr>
          <w:rFonts w:ascii="Times New Roman" w:hAnsi="Times New Roman" w:cs="Times New Roman"/>
          <w:sz w:val="28"/>
          <w:szCs w:val="28"/>
          <w:lang w:eastAsia="es-MX"/>
        </w:rPr>
        <w:t>NATALIA ÁNGEL CABO</w:t>
      </w:r>
    </w:p>
    <w:p w:rsidR="00F031A1"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r w:rsidRPr="00B86EDB">
        <w:rPr>
          <w:rFonts w:ascii="Times New Roman" w:hAnsi="Times New Roman" w:cs="Times New Roman"/>
          <w:sz w:val="28"/>
          <w:szCs w:val="28"/>
          <w:lang w:eastAsia="es-MX"/>
        </w:rPr>
        <w:t>Magistrada</w:t>
      </w: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F031A1"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r w:rsidRPr="00B86EDB">
        <w:rPr>
          <w:rFonts w:ascii="Times New Roman" w:hAnsi="Times New Roman" w:cs="Times New Roman"/>
          <w:sz w:val="28"/>
          <w:szCs w:val="28"/>
          <w:lang w:eastAsia="es-MX"/>
        </w:rPr>
        <w:t>JUAN CARLOS CORTÉS GONZÁLEZ</w:t>
      </w:r>
    </w:p>
    <w:p w:rsidR="00F031A1"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r w:rsidRPr="00B86EDB">
        <w:rPr>
          <w:rFonts w:ascii="Times New Roman" w:hAnsi="Times New Roman" w:cs="Times New Roman"/>
          <w:sz w:val="28"/>
          <w:szCs w:val="28"/>
          <w:lang w:eastAsia="es-MX"/>
        </w:rPr>
        <w:t>Magistrado</w:t>
      </w: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F031A1"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r w:rsidRPr="00B86EDB">
        <w:rPr>
          <w:rFonts w:ascii="Times New Roman" w:hAnsi="Times New Roman" w:cs="Times New Roman"/>
          <w:sz w:val="28"/>
          <w:szCs w:val="28"/>
          <w:lang w:eastAsia="es-MX"/>
        </w:rPr>
        <w:t>PAOLA ANDREA MENESES MOSQUERA</w:t>
      </w:r>
    </w:p>
    <w:p w:rsidR="00F031A1"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r w:rsidRPr="00B86EDB">
        <w:rPr>
          <w:rFonts w:ascii="Times New Roman" w:hAnsi="Times New Roman" w:cs="Times New Roman"/>
          <w:sz w:val="28"/>
          <w:szCs w:val="28"/>
          <w:lang w:eastAsia="es-MX"/>
        </w:rPr>
        <w:t>Magistrada</w:t>
      </w: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F031A1"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r w:rsidRPr="00B86EDB">
        <w:rPr>
          <w:rFonts w:ascii="Times New Roman" w:hAnsi="Times New Roman" w:cs="Times New Roman"/>
          <w:sz w:val="28"/>
          <w:szCs w:val="28"/>
          <w:lang w:eastAsia="es-MX"/>
        </w:rPr>
        <w:t>ANTONIO JOSÉ LIZARAZO OCAMPO</w:t>
      </w:r>
    </w:p>
    <w:p w:rsidR="00F031A1"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r w:rsidRPr="00B86EDB">
        <w:rPr>
          <w:rFonts w:ascii="Times New Roman" w:hAnsi="Times New Roman" w:cs="Times New Roman"/>
          <w:sz w:val="28"/>
          <w:szCs w:val="28"/>
          <w:lang w:eastAsia="es-MX"/>
        </w:rPr>
        <w:t>Magistrado</w:t>
      </w:r>
    </w:p>
    <w:p w:rsidR="00F031A1"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r w:rsidRPr="00B86EDB">
        <w:rPr>
          <w:rFonts w:ascii="Times New Roman" w:hAnsi="Times New Roman" w:cs="Times New Roman"/>
          <w:sz w:val="28"/>
          <w:szCs w:val="28"/>
          <w:lang w:eastAsia="es-MX"/>
        </w:rPr>
        <w:t>Con aclaración de voto</w:t>
      </w: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F031A1"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r w:rsidRPr="00B86EDB">
        <w:rPr>
          <w:rFonts w:ascii="Times New Roman" w:hAnsi="Times New Roman" w:cs="Times New Roman"/>
          <w:sz w:val="28"/>
          <w:szCs w:val="28"/>
          <w:lang w:eastAsia="es-MX"/>
        </w:rPr>
        <w:t>CLARA</w:t>
      </w:r>
      <w:r w:rsidRPr="00B86EDB">
        <w:rPr>
          <w:rFonts w:ascii="Times New Roman" w:hAnsi="Times New Roman" w:cs="Times New Roman"/>
          <w:sz w:val="28"/>
          <w:szCs w:val="28"/>
          <w:lang w:eastAsia="es-MX"/>
        </w:rPr>
        <w:t xml:space="preserve"> CECILIA DUEÑAS QUEVEDO</w:t>
      </w:r>
    </w:p>
    <w:p w:rsidR="00F031A1"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r w:rsidRPr="00B86EDB">
        <w:rPr>
          <w:rFonts w:ascii="Times New Roman" w:hAnsi="Times New Roman" w:cs="Times New Roman"/>
          <w:sz w:val="28"/>
          <w:szCs w:val="28"/>
          <w:lang w:eastAsia="es-MX"/>
        </w:rPr>
        <w:t>Conjuez</w:t>
      </w: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F031A1"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r w:rsidRPr="00B86EDB">
        <w:rPr>
          <w:rFonts w:ascii="Times New Roman" w:hAnsi="Times New Roman" w:cs="Times New Roman"/>
          <w:sz w:val="28"/>
          <w:szCs w:val="28"/>
          <w:lang w:eastAsia="es-MX"/>
        </w:rPr>
        <w:t>CRISTINA PARDO SCHLESINGER</w:t>
      </w:r>
    </w:p>
    <w:p w:rsidR="00F031A1"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r w:rsidRPr="00B86EDB">
        <w:rPr>
          <w:rFonts w:ascii="Times New Roman" w:hAnsi="Times New Roman" w:cs="Times New Roman"/>
          <w:sz w:val="28"/>
          <w:szCs w:val="28"/>
          <w:lang w:eastAsia="es-MX"/>
        </w:rPr>
        <w:t>Magistrada</w:t>
      </w: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F031A1"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r w:rsidRPr="00B86EDB">
        <w:rPr>
          <w:rFonts w:ascii="Times New Roman" w:hAnsi="Times New Roman" w:cs="Times New Roman"/>
          <w:sz w:val="28"/>
          <w:szCs w:val="28"/>
          <w:lang w:eastAsia="es-MX"/>
        </w:rPr>
        <w:t>DIANA FAJARDO RIVERA</w:t>
      </w:r>
    </w:p>
    <w:p w:rsidR="00F031A1"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r w:rsidRPr="00B86EDB">
        <w:rPr>
          <w:rFonts w:ascii="Times New Roman" w:hAnsi="Times New Roman" w:cs="Times New Roman"/>
          <w:sz w:val="28"/>
          <w:szCs w:val="28"/>
          <w:lang w:eastAsia="es-MX"/>
        </w:rPr>
        <w:t>Magistrada</w:t>
      </w: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2E6B22"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p>
    <w:p w:rsidR="00F031A1"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r w:rsidRPr="00B86EDB">
        <w:rPr>
          <w:rFonts w:ascii="Times New Roman" w:hAnsi="Times New Roman" w:cs="Times New Roman"/>
          <w:sz w:val="28"/>
          <w:szCs w:val="28"/>
          <w:lang w:eastAsia="es-MX"/>
        </w:rPr>
        <w:t>ANDREA LILIANA ROMERO LOPEZ</w:t>
      </w:r>
    </w:p>
    <w:p w:rsidR="00F031A1" w:rsidRPr="00B86EDB" w:rsidRDefault="00B86EDB" w:rsidP="00F031A1">
      <w:pPr>
        <w:pStyle w:val="Prrafodelista"/>
        <w:shd w:val="clear" w:color="auto" w:fill="FFFFFF"/>
        <w:autoSpaceDE w:val="0"/>
        <w:autoSpaceDN w:val="0"/>
        <w:ind w:left="0" w:right="49"/>
        <w:contextualSpacing w:val="0"/>
        <w:jc w:val="center"/>
        <w:rPr>
          <w:rFonts w:ascii="Times New Roman" w:hAnsi="Times New Roman" w:cs="Times New Roman"/>
          <w:sz w:val="28"/>
          <w:szCs w:val="28"/>
          <w:lang w:eastAsia="es-MX"/>
        </w:rPr>
      </w:pPr>
      <w:r w:rsidRPr="00B86EDB">
        <w:rPr>
          <w:rFonts w:ascii="Times New Roman" w:hAnsi="Times New Roman" w:cs="Times New Roman"/>
          <w:sz w:val="28"/>
          <w:szCs w:val="28"/>
          <w:lang w:eastAsia="es-MX"/>
        </w:rPr>
        <w:t>Secretaria General</w:t>
      </w:r>
    </w:p>
    <w:sectPr w:rsidR="00F031A1" w:rsidRPr="00B86EDB">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B86EDB">
      <w:pPr>
        <w:spacing w:after="0" w:line="240" w:lineRule="auto"/>
      </w:pPr>
      <w:r>
        <w:separator/>
      </w:r>
    </w:p>
  </w:endnote>
  <w:endnote w:type="continuationSeparator" w:id="0">
    <w:p w:rsidR="00000000" w:rsidRDefault="00B86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B86EDB">
      <w:pPr>
        <w:spacing w:after="0" w:line="240" w:lineRule="auto"/>
      </w:pPr>
      <w:r>
        <w:separator/>
      </w:r>
    </w:p>
  </w:footnote>
  <w:footnote w:type="continuationSeparator" w:id="0">
    <w:p w:rsidR="00000000" w:rsidRDefault="00B86EDB">
      <w:pPr>
        <w:spacing w:after="0" w:line="240" w:lineRule="auto"/>
      </w:pPr>
      <w:r>
        <w:continuationSeparator/>
      </w:r>
    </w:p>
  </w:footnote>
  <w:footnote w:id="1">
    <w:p w:rsidR="005E6D2A" w:rsidRPr="00083428" w:rsidRDefault="00B86EDB" w:rsidP="009521C1">
      <w:pPr>
        <w:pStyle w:val="Textonotapie"/>
        <w:jc w:val="both"/>
      </w:pPr>
      <w:r w:rsidRPr="00083428">
        <w:rPr>
          <w:rStyle w:val="Refdenotaalpie"/>
        </w:rPr>
        <w:footnoteRef/>
      </w:r>
      <w:r w:rsidRPr="00083428">
        <w:t xml:space="preserve"> Inicialmente, la demanda iba dirigida contra todo el artículo 35. Sin embargo, el accionante en la corrección de la demanda aclaró que la acción de inconstitucionalidad se dirige contra el numeral 1 de la mencionada disposición.</w:t>
      </w:r>
    </w:p>
  </w:footnote>
  <w:footnote w:id="2">
    <w:p w:rsidR="00261AB2" w:rsidRPr="00083428" w:rsidRDefault="00B86EDB" w:rsidP="009521C1">
      <w:pPr>
        <w:pStyle w:val="Textonotapie"/>
        <w:jc w:val="both"/>
      </w:pPr>
      <w:r w:rsidRPr="00083428">
        <w:rPr>
          <w:rStyle w:val="Refdenotaalpie"/>
        </w:rPr>
        <w:footnoteRef/>
      </w:r>
      <w:r w:rsidRPr="00083428">
        <w:t xml:space="preserve"> Expediente Digital D0015</w:t>
      </w:r>
      <w:r w:rsidRPr="00083428">
        <w:t>273, “D0015273. Demanda ciudadana”, p. 7.</w:t>
      </w:r>
    </w:p>
  </w:footnote>
  <w:footnote w:id="3">
    <w:p w:rsidR="00040A2F" w:rsidRPr="00083428" w:rsidRDefault="00B86EDB" w:rsidP="009521C1">
      <w:pPr>
        <w:pStyle w:val="Textonotapie"/>
        <w:jc w:val="both"/>
      </w:pPr>
      <w:r w:rsidRPr="00083428">
        <w:rPr>
          <w:rStyle w:val="Refdenotaalpie"/>
        </w:rPr>
        <w:footnoteRef/>
      </w:r>
      <w:r w:rsidRPr="00083428">
        <w:t xml:space="preserve"> Expediente digital D0015273,</w:t>
      </w:r>
      <w:r w:rsidRPr="00083428">
        <w:t xml:space="preserve"> “Corrección de la demanda”, p. 5. </w:t>
      </w:r>
    </w:p>
  </w:footnote>
  <w:footnote w:id="4">
    <w:p w:rsidR="00040A2F" w:rsidRPr="00083428" w:rsidRDefault="00B86EDB" w:rsidP="009521C1">
      <w:pPr>
        <w:pStyle w:val="Textonotapie"/>
        <w:jc w:val="both"/>
      </w:pPr>
      <w:r w:rsidRPr="00083428">
        <w:rPr>
          <w:rStyle w:val="Refdenotaalpie"/>
        </w:rPr>
        <w:footnoteRef/>
      </w:r>
      <w:r w:rsidRPr="00083428">
        <w:t xml:space="preserve"> Expediente digital D0015273, “Corrección de la demanda”, p. 9. </w:t>
      </w:r>
    </w:p>
  </w:footnote>
  <w:footnote w:id="5">
    <w:p w:rsidR="009B1456" w:rsidRPr="00083428" w:rsidRDefault="00B86EDB" w:rsidP="009521C1">
      <w:pPr>
        <w:pStyle w:val="Textonotapie"/>
        <w:jc w:val="both"/>
      </w:pPr>
      <w:r w:rsidRPr="00083428">
        <w:rPr>
          <w:rStyle w:val="Refdenotaalpie"/>
        </w:rPr>
        <w:footnoteRef/>
      </w:r>
      <w:r w:rsidRPr="00083428">
        <w:t xml:space="preserve"> Expediente Digital D0015273, “D0015273. Demanda ciudadana”, p. 30.</w:t>
      </w:r>
    </w:p>
  </w:footnote>
  <w:footnote w:id="6">
    <w:p w:rsidR="009B1456" w:rsidRPr="00083428" w:rsidRDefault="00B86EDB" w:rsidP="009521C1">
      <w:pPr>
        <w:pStyle w:val="Textonotapie"/>
        <w:jc w:val="both"/>
      </w:pPr>
      <w:r w:rsidRPr="00083428">
        <w:rPr>
          <w:rStyle w:val="Refdenotaalpie"/>
        </w:rPr>
        <w:footnoteRef/>
      </w:r>
      <w:r w:rsidRPr="00083428">
        <w:t xml:space="preserve"> Expediente Digital D0015273, “D0015273. Demanda ciudadana”, p. 7.</w:t>
      </w:r>
    </w:p>
  </w:footnote>
  <w:footnote w:id="7">
    <w:p w:rsidR="009B1456" w:rsidRPr="00083428" w:rsidRDefault="00B86EDB" w:rsidP="009521C1">
      <w:pPr>
        <w:pStyle w:val="Textonotapie"/>
        <w:jc w:val="both"/>
      </w:pPr>
      <w:r w:rsidRPr="00083428">
        <w:rPr>
          <w:rStyle w:val="Refdenotaalpie"/>
        </w:rPr>
        <w:footnoteRef/>
      </w:r>
      <w:r w:rsidRPr="00083428">
        <w:t xml:space="preserve"> Expediente Digital D0015273, “D0015273. Demanda ciudadana”, p. 37.</w:t>
      </w:r>
    </w:p>
  </w:footnote>
  <w:footnote w:id="8">
    <w:p w:rsidR="009B1456" w:rsidRPr="00083428" w:rsidRDefault="00B86EDB" w:rsidP="009521C1">
      <w:pPr>
        <w:pStyle w:val="Textonotapie"/>
        <w:jc w:val="both"/>
      </w:pPr>
      <w:r w:rsidRPr="00083428">
        <w:rPr>
          <w:rStyle w:val="Refdenotaalpie"/>
        </w:rPr>
        <w:footnoteRef/>
      </w:r>
      <w:r w:rsidRPr="00083428">
        <w:t xml:space="preserve"> Expediente Digital D0015273, “D0015273. Demanda ciudadana”, p. 38. </w:t>
      </w:r>
    </w:p>
  </w:footnote>
  <w:footnote w:id="9">
    <w:p w:rsidR="000A315E" w:rsidRPr="00083428" w:rsidRDefault="00B86EDB" w:rsidP="009521C1">
      <w:pPr>
        <w:pStyle w:val="Textonotapie"/>
        <w:jc w:val="both"/>
      </w:pPr>
      <w:r w:rsidRPr="00083428">
        <w:rPr>
          <w:rStyle w:val="Refdenotaalpie"/>
        </w:rPr>
        <w:footnoteRef/>
      </w:r>
      <w:r w:rsidRPr="00083428">
        <w:t xml:space="preserve"> Expediente digital D0015275, “</w:t>
      </w:r>
      <w:r w:rsidRPr="00083428">
        <w:t>Demanda ciudadana”</w:t>
      </w:r>
      <w:r w:rsidRPr="00083428">
        <w:t xml:space="preserve">, p. 17. </w:t>
      </w:r>
    </w:p>
  </w:footnote>
  <w:footnote w:id="10">
    <w:p w:rsidR="006B1A81" w:rsidRPr="00083428" w:rsidRDefault="00B86EDB" w:rsidP="009521C1">
      <w:pPr>
        <w:pStyle w:val="Textonotapie"/>
        <w:jc w:val="both"/>
      </w:pPr>
      <w:r w:rsidRPr="00083428">
        <w:rPr>
          <w:rStyle w:val="Refdenotaalpie"/>
        </w:rPr>
        <w:footnoteRef/>
      </w:r>
      <w:r w:rsidRPr="00083428">
        <w:t xml:space="preserve"> Expediente digital D0015275, “Demanda ciudadana”, p. 19. </w:t>
      </w:r>
    </w:p>
  </w:footnote>
  <w:footnote w:id="11">
    <w:p w:rsidR="005E6D2A" w:rsidRPr="00083428" w:rsidRDefault="00B86EDB" w:rsidP="009521C1">
      <w:pPr>
        <w:pStyle w:val="NormalWeb"/>
        <w:shd w:val="clear" w:color="auto" w:fill="FFFFFF"/>
        <w:spacing w:before="0" w:beforeAutospacing="0" w:after="0" w:afterAutospacing="0"/>
        <w:jc w:val="both"/>
        <w:rPr>
          <w:i/>
          <w:iCs/>
          <w:sz w:val="20"/>
          <w:szCs w:val="20"/>
        </w:rPr>
      </w:pPr>
      <w:r w:rsidRPr="00083428">
        <w:rPr>
          <w:rStyle w:val="Refdenotaalpie"/>
          <w:sz w:val="20"/>
          <w:szCs w:val="20"/>
        </w:rPr>
        <w:footnoteRef/>
      </w:r>
      <w:r w:rsidRPr="00083428">
        <w:rPr>
          <w:sz w:val="20"/>
          <w:szCs w:val="20"/>
        </w:rPr>
        <w:t xml:space="preserve"> Sobre este punto, el acciona</w:t>
      </w:r>
      <w:r w:rsidRPr="00083428">
        <w:rPr>
          <w:sz w:val="20"/>
          <w:szCs w:val="20"/>
        </w:rPr>
        <w:t>n</w:t>
      </w:r>
      <w:r w:rsidRPr="00083428">
        <w:rPr>
          <w:sz w:val="20"/>
          <w:szCs w:val="20"/>
        </w:rPr>
        <w:t xml:space="preserve">te se refirió al salvamento de voto de la Sentencia C-039 de 2021 de los magistrados Alejandro Linares Cantillo y Alberto Rojas Ríos, así como al estudio de la OCDE titulado </w:t>
      </w:r>
      <w:r w:rsidRPr="00083428">
        <w:rPr>
          <w:i/>
          <w:iCs/>
          <w:sz w:val="20"/>
          <w:szCs w:val="20"/>
        </w:rPr>
        <w:t>“The Role and Design of Net Wealth Taxes in the OECD”</w:t>
      </w:r>
      <w:r w:rsidRPr="00083428">
        <w:rPr>
          <w:i/>
          <w:iCs/>
          <w:sz w:val="20"/>
          <w:szCs w:val="20"/>
        </w:rPr>
        <w:t>.</w:t>
      </w:r>
    </w:p>
  </w:footnote>
  <w:footnote w:id="12">
    <w:p w:rsidR="006B1A81" w:rsidRPr="00083428" w:rsidRDefault="00B86EDB" w:rsidP="009521C1">
      <w:pPr>
        <w:pStyle w:val="Textonotapie"/>
        <w:jc w:val="both"/>
      </w:pPr>
      <w:r w:rsidRPr="00083428">
        <w:rPr>
          <w:rStyle w:val="Refdenotaalpie"/>
        </w:rPr>
        <w:footnoteRef/>
      </w:r>
      <w:r w:rsidRPr="00083428">
        <w:t xml:space="preserve"> Expediente digital D00152</w:t>
      </w:r>
      <w:r w:rsidRPr="00083428">
        <w:t>75, “Demanda ciudadana”, p. 25.</w:t>
      </w:r>
    </w:p>
  </w:footnote>
  <w:footnote w:id="13">
    <w:p w:rsidR="006B1A81" w:rsidRPr="00083428" w:rsidRDefault="00B86EDB" w:rsidP="009521C1">
      <w:pPr>
        <w:pStyle w:val="Textonotapie"/>
        <w:jc w:val="both"/>
      </w:pPr>
      <w:r w:rsidRPr="00083428">
        <w:rPr>
          <w:rStyle w:val="Refdenotaalpie"/>
        </w:rPr>
        <w:footnoteRef/>
      </w:r>
      <w:r w:rsidRPr="00083428">
        <w:t xml:space="preserve"> </w:t>
      </w:r>
      <w:r w:rsidRPr="00083428">
        <w:t>Expediente digital D0015275, “Demanda ciudadana”, p. 6.</w:t>
      </w:r>
    </w:p>
  </w:footnote>
  <w:footnote w:id="14">
    <w:p w:rsidR="00D83A9B" w:rsidRPr="00083428" w:rsidRDefault="00B86EDB" w:rsidP="009521C1">
      <w:pPr>
        <w:pStyle w:val="Textonotapie"/>
        <w:jc w:val="both"/>
        <w:rPr>
          <w:color w:val="000000" w:themeColor="text1"/>
        </w:rPr>
      </w:pPr>
      <w:r w:rsidRPr="00083428">
        <w:rPr>
          <w:rStyle w:val="Refdenotaalpie"/>
          <w:color w:val="000000" w:themeColor="text1"/>
        </w:rPr>
        <w:footnoteRef/>
      </w:r>
      <w:r w:rsidRPr="00083428">
        <w:rPr>
          <w:color w:val="000000" w:themeColor="text1"/>
        </w:rPr>
        <w:t xml:space="preserve"> Expediente digital </w:t>
      </w:r>
      <w:r w:rsidRPr="00083428">
        <w:rPr>
          <w:i/>
          <w:iCs/>
          <w:color w:val="000000" w:themeColor="text1"/>
        </w:rPr>
        <w:t>“fijación en lista”</w:t>
      </w:r>
    </w:p>
  </w:footnote>
  <w:footnote w:id="15">
    <w:p w:rsidR="00F31B59" w:rsidRPr="00083428" w:rsidRDefault="00B86EDB" w:rsidP="009521C1">
      <w:pPr>
        <w:pStyle w:val="Textonotapie"/>
        <w:jc w:val="both"/>
      </w:pPr>
      <w:r w:rsidRPr="00083428">
        <w:rPr>
          <w:rStyle w:val="Refdenotaalpie"/>
        </w:rPr>
        <w:footnoteRef/>
      </w:r>
      <w:r w:rsidRPr="00083428">
        <w:t xml:space="preserve"> Intervenciones del Ministerio de Hacienda y Crédito Público, pp 2-4, Departamento Administrativo de la Presidencia de la República </w:t>
      </w:r>
      <w:r w:rsidRPr="00083428">
        <w:t>-</w:t>
      </w:r>
      <w:r w:rsidRPr="00083428">
        <w:t>DAPRE</w:t>
      </w:r>
      <w:r w:rsidRPr="00083428">
        <w:t>-,</w:t>
      </w:r>
      <w:r w:rsidRPr="00083428">
        <w:t xml:space="preserve"> pp. 14-16</w:t>
      </w:r>
      <w:r w:rsidRPr="00083428">
        <w:t xml:space="preserve">, </w:t>
      </w:r>
      <w:r w:rsidRPr="00083428">
        <w:t xml:space="preserve">y </w:t>
      </w:r>
      <w:r w:rsidRPr="00083428">
        <w:t>Dirección de Impuestos y Aduanas Nacionales, pp. 7-10</w:t>
      </w:r>
      <w:r w:rsidRPr="00083428">
        <w:t>.</w:t>
      </w:r>
    </w:p>
  </w:footnote>
  <w:footnote w:id="16">
    <w:p w:rsidR="00F31B59" w:rsidRPr="00083428" w:rsidRDefault="00B86EDB" w:rsidP="009521C1">
      <w:pPr>
        <w:pStyle w:val="Textonotapie"/>
        <w:jc w:val="both"/>
      </w:pPr>
      <w:r w:rsidRPr="00083428">
        <w:rPr>
          <w:rStyle w:val="Refdenotaalpie"/>
        </w:rPr>
        <w:footnoteRef/>
      </w:r>
      <w:r w:rsidRPr="00083428">
        <w:t xml:space="preserve"> Intervención del Departamento Administrativo </w:t>
      </w:r>
      <w:r w:rsidRPr="00083428">
        <w:t>de la Presidencia de la República. p.</w:t>
      </w:r>
      <w:r>
        <w:t xml:space="preserve"> </w:t>
      </w:r>
      <w:r w:rsidRPr="00083428">
        <w:t xml:space="preserve">14. </w:t>
      </w:r>
    </w:p>
  </w:footnote>
  <w:footnote w:id="17">
    <w:p w:rsidR="00A372A4" w:rsidRPr="00083428" w:rsidRDefault="00B86EDB" w:rsidP="009521C1">
      <w:pPr>
        <w:pStyle w:val="Textonotapie"/>
        <w:jc w:val="both"/>
      </w:pPr>
      <w:r w:rsidRPr="00083428">
        <w:rPr>
          <w:rStyle w:val="Refdenotaalpie"/>
        </w:rPr>
        <w:footnoteRef/>
      </w:r>
      <w:r w:rsidRPr="00083428">
        <w:t xml:space="preserve"> Intervención del Ministerio de Hacienda y Crédito Público, p. 32.</w:t>
      </w:r>
    </w:p>
  </w:footnote>
  <w:footnote w:id="18">
    <w:p w:rsidR="008E5220" w:rsidRPr="00083428" w:rsidRDefault="00B86EDB" w:rsidP="009521C1">
      <w:pPr>
        <w:pStyle w:val="Textonotapie"/>
        <w:jc w:val="both"/>
      </w:pPr>
      <w:r w:rsidRPr="00083428">
        <w:rPr>
          <w:rStyle w:val="Refdenotaalpie"/>
        </w:rPr>
        <w:footnoteRef/>
      </w:r>
      <w:r w:rsidRPr="00083428">
        <w:t xml:space="preserve"> </w:t>
      </w:r>
      <w:r w:rsidRPr="00083428">
        <w:rPr>
          <w:i/>
          <w:iCs/>
        </w:rPr>
        <w:t>Ibidem</w:t>
      </w:r>
      <w:r w:rsidRPr="00083428">
        <w:t>, p 31</w:t>
      </w:r>
    </w:p>
  </w:footnote>
  <w:footnote w:id="19">
    <w:p w:rsidR="003F41D5" w:rsidRPr="00083428" w:rsidRDefault="00B86EDB" w:rsidP="009521C1">
      <w:pPr>
        <w:pStyle w:val="Textonotapie"/>
        <w:jc w:val="both"/>
        <w:rPr>
          <w:i/>
          <w:iCs/>
          <w:color w:val="000000" w:themeColor="text1"/>
        </w:rPr>
      </w:pPr>
      <w:r w:rsidRPr="00083428">
        <w:rPr>
          <w:rStyle w:val="Refdenotaalpie"/>
          <w:color w:val="000000" w:themeColor="text1"/>
        </w:rPr>
        <w:footnoteRef/>
      </w:r>
      <w:r w:rsidRPr="00083428">
        <w:rPr>
          <w:color w:val="000000" w:themeColor="text1"/>
        </w:rPr>
        <w:t xml:space="preserve"> </w:t>
      </w:r>
      <w:r w:rsidRPr="00083428">
        <w:rPr>
          <w:color w:val="000000" w:themeColor="text1"/>
        </w:rPr>
        <w:t>El DAPRE y la</w:t>
      </w:r>
      <w:r w:rsidRPr="00083428">
        <w:rPr>
          <w:color w:val="000000" w:themeColor="text1"/>
        </w:rPr>
        <w:t xml:space="preserve"> </w:t>
      </w:r>
      <w:r w:rsidRPr="00083428">
        <w:rPr>
          <w:color w:val="000000" w:themeColor="text1"/>
        </w:rPr>
        <w:t xml:space="preserve">DIAN y </w:t>
      </w:r>
      <w:r w:rsidRPr="00083428">
        <w:rPr>
          <w:color w:val="000000" w:themeColor="text1"/>
        </w:rPr>
        <w:t xml:space="preserve">se </w:t>
      </w:r>
      <w:r w:rsidRPr="00083428">
        <w:rPr>
          <w:color w:val="000000" w:themeColor="text1"/>
        </w:rPr>
        <w:t>refirieron</w:t>
      </w:r>
      <w:r w:rsidRPr="00083428">
        <w:rPr>
          <w:color w:val="000000" w:themeColor="text1"/>
        </w:rPr>
        <w:t xml:space="preserve"> a cifras de un estudio del Observatorio Fiscal de la Pontificia Universidad Javeriana: </w:t>
      </w:r>
      <w:r w:rsidRPr="00083428">
        <w:rPr>
          <w:i/>
          <w:iCs/>
          <w:color w:val="000000" w:themeColor="text1"/>
        </w:rPr>
        <w:t>“...el</w:t>
      </w:r>
      <w:r w:rsidRPr="00083428">
        <w:rPr>
          <w:i/>
          <w:iCs/>
          <w:color w:val="000000" w:themeColor="text1"/>
        </w:rPr>
        <w:t xml:space="preserve"> 10% de los declarantes más ricos tiene un patrimonio líquido que es 156 veces el patrimonio del 10% de los declarantes más pobres. Asimismo, el 1% de los declarantes posee el 20% del total de los patrimonios. De esta forma, se confirma que el patrimonio s</w:t>
      </w:r>
      <w:r w:rsidRPr="00083428">
        <w:rPr>
          <w:i/>
          <w:iCs/>
          <w:color w:val="000000" w:themeColor="text1"/>
        </w:rPr>
        <w:t>e encuentra altamente concentrado.”</w:t>
      </w:r>
    </w:p>
  </w:footnote>
  <w:footnote w:id="20">
    <w:p w:rsidR="005438FC" w:rsidRPr="00083428" w:rsidRDefault="00B86EDB" w:rsidP="009521C1">
      <w:pPr>
        <w:pStyle w:val="Textonotapie"/>
        <w:jc w:val="both"/>
      </w:pPr>
      <w:r w:rsidRPr="00083428">
        <w:rPr>
          <w:rStyle w:val="Refdenotaalpie"/>
        </w:rPr>
        <w:footnoteRef/>
      </w:r>
      <w:r w:rsidRPr="00083428">
        <w:t xml:space="preserve"> En la defensa de este cargo las intervenciones tanto del DAPRE como de la DIAN son idénticas, de modo que serán referenciadas en conjunto.</w:t>
      </w:r>
    </w:p>
  </w:footnote>
  <w:footnote w:id="21">
    <w:p w:rsidR="00C106A3" w:rsidRPr="00083428" w:rsidRDefault="00B86EDB" w:rsidP="009521C1">
      <w:pPr>
        <w:pStyle w:val="Textonotapie"/>
        <w:jc w:val="both"/>
        <w:rPr>
          <w:i/>
          <w:iCs/>
          <w:color w:val="000000" w:themeColor="text1"/>
        </w:rPr>
      </w:pPr>
      <w:r w:rsidRPr="00083428">
        <w:rPr>
          <w:rStyle w:val="Refdenotaalpie"/>
          <w:color w:val="000000" w:themeColor="text1"/>
        </w:rPr>
        <w:footnoteRef/>
      </w:r>
      <w:r w:rsidRPr="00083428">
        <w:rPr>
          <w:color w:val="000000" w:themeColor="text1"/>
        </w:rPr>
        <w:t xml:space="preserve"> Para </w:t>
      </w:r>
      <w:r w:rsidRPr="00083428">
        <w:rPr>
          <w:color w:val="000000" w:themeColor="text1"/>
        </w:rPr>
        <w:t>ta</w:t>
      </w:r>
      <w:r w:rsidRPr="00083428">
        <w:rPr>
          <w:color w:val="000000" w:themeColor="text1"/>
        </w:rPr>
        <w:t>l efecto, el Ministerio trajo a colación cifras del Banco Mundial, seg</w:t>
      </w:r>
      <w:r w:rsidRPr="00083428">
        <w:rPr>
          <w:color w:val="000000" w:themeColor="text1"/>
        </w:rPr>
        <w:t>ún</w:t>
      </w:r>
      <w:r w:rsidRPr="00083428">
        <w:rPr>
          <w:color w:val="000000" w:themeColor="text1"/>
        </w:rPr>
        <w:t xml:space="preserve"> </w:t>
      </w:r>
      <w:r w:rsidRPr="00083428">
        <w:rPr>
          <w:color w:val="000000" w:themeColor="text1"/>
        </w:rPr>
        <w:t xml:space="preserve">las </w:t>
      </w:r>
      <w:r w:rsidRPr="00083428">
        <w:rPr>
          <w:i/>
          <w:iCs/>
          <w:color w:val="000000" w:themeColor="text1"/>
        </w:rPr>
        <w:t xml:space="preserve">cuales </w:t>
      </w:r>
      <w:r w:rsidRPr="00083428">
        <w:rPr>
          <w:color w:val="000000" w:themeColor="text1"/>
        </w:rPr>
        <w:t>“</w:t>
      </w:r>
      <w:r w:rsidRPr="00083428">
        <w:rPr>
          <w:color w:val="000000" w:themeColor="text1"/>
        </w:rPr>
        <w:t>para 2021, la mitad de la población latinoamericana era dueña del 1% del patrimonio de la región, de modo que</w:t>
      </w:r>
      <w:r w:rsidRPr="00083428">
        <w:rPr>
          <w:color w:val="000000" w:themeColor="text1"/>
        </w:rPr>
        <w:t xml:space="preserve"> la persona más rica de América Latina poseía el 77% de todo el patrimonio regional. Así, la riqueza del décimo decil superaba 77 ve</w:t>
      </w:r>
      <w:r w:rsidRPr="00083428">
        <w:rPr>
          <w:color w:val="000000" w:themeColor="text1"/>
        </w:rPr>
        <w:t>ces la de los cinco primeros deciles</w:t>
      </w:r>
      <w:r w:rsidRPr="00083428">
        <w:rPr>
          <w:color w:val="000000" w:themeColor="text1"/>
        </w:rPr>
        <w:t xml:space="preserve">”. También, se refirió a cifras del DANE </w:t>
      </w:r>
      <w:r w:rsidRPr="00083428">
        <w:rPr>
          <w:color w:val="000000" w:themeColor="text1"/>
        </w:rPr>
        <w:t xml:space="preserve">que afirman </w:t>
      </w:r>
      <w:r w:rsidRPr="00083428">
        <w:rPr>
          <w:color w:val="000000" w:themeColor="text1"/>
        </w:rPr>
        <w:t xml:space="preserve">que </w:t>
      </w:r>
      <w:r w:rsidRPr="00083428">
        <w:rPr>
          <w:color w:val="000000" w:themeColor="text1"/>
        </w:rPr>
        <w:t>“cerca del 1% de los terrenos agropecuarios de gran tamaño (&gt;200 ha) ocupan un poco más del 78% del área de las unidades agrícolas existentes (OXFAM, 2017), confir</w:t>
      </w:r>
      <w:r w:rsidRPr="00083428">
        <w:rPr>
          <w:color w:val="000000" w:themeColor="text1"/>
        </w:rPr>
        <w:t>mado por la información catastral una continua fragmentación de la tierra en microfundios (64,5%) y minifundios (17,4%) en contraste con la acumulación de latifundios (1,04%) en bajo porcentaje de personas propietarias.”</w:t>
      </w:r>
    </w:p>
  </w:footnote>
  <w:footnote w:id="22">
    <w:p w:rsidR="007E7255" w:rsidRPr="00083428" w:rsidRDefault="00B86EDB" w:rsidP="009521C1">
      <w:pPr>
        <w:pStyle w:val="Textonotapie"/>
        <w:jc w:val="both"/>
        <w:rPr>
          <w:color w:val="000000" w:themeColor="text1"/>
        </w:rPr>
      </w:pPr>
      <w:r w:rsidRPr="00083428">
        <w:rPr>
          <w:rStyle w:val="Refdenotaalpie"/>
          <w:color w:val="000000" w:themeColor="text1"/>
        </w:rPr>
        <w:footnoteRef/>
      </w:r>
      <w:r w:rsidRPr="00083428">
        <w:rPr>
          <w:color w:val="000000" w:themeColor="text1"/>
        </w:rPr>
        <w:t xml:space="preserve"> Para </w:t>
      </w:r>
      <w:r w:rsidRPr="00083428">
        <w:rPr>
          <w:color w:val="000000" w:themeColor="text1"/>
        </w:rPr>
        <w:t>demostrar este aserto</w:t>
      </w:r>
      <w:r w:rsidRPr="00083428">
        <w:rPr>
          <w:color w:val="000000" w:themeColor="text1"/>
        </w:rPr>
        <w:t xml:space="preserve">, tomó </w:t>
      </w:r>
      <w:r w:rsidRPr="00083428">
        <w:rPr>
          <w:color w:val="000000" w:themeColor="text1"/>
        </w:rPr>
        <w:t>nuevamente el ejemplo del demandante e hizo nuevamente el ejercicio. Así, concluyó lo siguiente: El patrimonio líquido en el año 2042 arroja en realidad un valor de $33.303.229.387, pues el demandante aumentó incorrectamente y desproporcionadamente los gas</w:t>
      </w:r>
      <w:r w:rsidRPr="00083428">
        <w:rPr>
          <w:color w:val="000000" w:themeColor="text1"/>
        </w:rPr>
        <w:t>tos corrientes, los cuales en el mismo año serían de $659.024.771. Asimismo, advirtió que el actor no depuró la base gravable del impuesto al patrimonio de conformidad con el artículo 37 y aplic</w:t>
      </w:r>
      <w:r w:rsidRPr="00083428">
        <w:rPr>
          <w:color w:val="000000" w:themeColor="text1"/>
        </w:rPr>
        <w:t>ó</w:t>
      </w:r>
      <w:r w:rsidRPr="00083428">
        <w:rPr>
          <w:color w:val="000000" w:themeColor="text1"/>
        </w:rPr>
        <w:t xml:space="preserve"> en un mismo años 3 tarifas diferentes del 0.5%, 1% y 1.5 %. </w:t>
      </w:r>
      <w:r w:rsidRPr="00083428">
        <w:rPr>
          <w:color w:val="000000" w:themeColor="text1"/>
        </w:rPr>
        <w:t xml:space="preserve">Por último, afirmó que el caso parte de un supuesto extremo en que el contribuyente no ostenta activos rentables, lo cual se aleja de la realidad porque por lo general las personas adquieren bienes y derechos para generar renta. </w:t>
      </w:r>
    </w:p>
  </w:footnote>
  <w:footnote w:id="23">
    <w:p w:rsidR="00C33E59" w:rsidRPr="00083428" w:rsidRDefault="00B86EDB" w:rsidP="009521C1">
      <w:pPr>
        <w:pStyle w:val="Textonotapie"/>
        <w:jc w:val="both"/>
      </w:pPr>
      <w:r w:rsidRPr="00083428">
        <w:rPr>
          <w:rStyle w:val="Refdenotaalpie"/>
        </w:rPr>
        <w:footnoteRef/>
      </w:r>
      <w:r w:rsidRPr="00083428">
        <w:t xml:space="preserve"> “El demandante estimó qu</w:t>
      </w:r>
      <w:r w:rsidRPr="00083428">
        <w:t>e el porcentaje de los gastos corrientes sobre los ingresos, comienza con un 60% en el año 2002, en el año 2009 del 96%, y a partir del año 2010 calcula unos porcentajes superiores al 123%, hasta llegar a un 294%, es decir, los gastos corrientes (sin consi</w:t>
      </w:r>
      <w:r w:rsidRPr="00083428">
        <w:t>derar los impuestos predial y al patrimonio), estimados por el demandante superan desproporcionadamente el valor de los ingresos, lo cual como se indicó no obedece al valor de los impuestos, pues estos están calculados separadamente. // Además, no tiene en</w:t>
      </w:r>
      <w:r w:rsidRPr="00083428">
        <w:t xml:space="preserve"> cuenta que la base del impuesto al patrimonio se debe depurar para efectos de aplicar las tarifas que correspondan anualmente. El cálculo efectuado por el demandante no realiza la depuración que señala el legislador en el artículo 37 de la Ley 2277 de 202</w:t>
      </w:r>
      <w:r w:rsidRPr="00083428">
        <w:t>2, con lo cual sobreestima el valor de dicho impuesto. Para efectos del cálculo, en este ejercicio la DIAN, no efectúa depuración alguna a la base, con lo cual, el impuesto aquí calculado debería ser menor.”</w:t>
      </w:r>
      <w:r w:rsidRPr="00083428">
        <w:rPr>
          <w:i/>
          <w:iCs/>
        </w:rPr>
        <w:t xml:space="preserve"> </w:t>
      </w:r>
      <w:r w:rsidRPr="00083428">
        <w:t>Intervención de la DIAN, p. 26.</w:t>
      </w:r>
    </w:p>
  </w:footnote>
  <w:footnote w:id="24">
    <w:p w:rsidR="00734847" w:rsidRPr="00083428" w:rsidRDefault="00B86EDB" w:rsidP="009521C1">
      <w:pPr>
        <w:pStyle w:val="Textonotapie"/>
        <w:jc w:val="both"/>
        <w:rPr>
          <w:color w:val="000000" w:themeColor="text1"/>
        </w:rPr>
      </w:pPr>
      <w:r w:rsidRPr="00083428">
        <w:rPr>
          <w:rStyle w:val="Refdenotaalpie"/>
          <w:color w:val="000000" w:themeColor="text1"/>
        </w:rPr>
        <w:footnoteRef/>
      </w:r>
      <w:r w:rsidRPr="00083428">
        <w:rPr>
          <w:color w:val="000000" w:themeColor="text1"/>
        </w:rPr>
        <w:t xml:space="preserve"> Así,</w:t>
      </w:r>
      <w:r w:rsidRPr="00083428">
        <w:rPr>
          <w:color w:val="000000" w:themeColor="text1"/>
        </w:rPr>
        <w:t xml:space="preserve"> </w:t>
      </w:r>
      <w:r w:rsidRPr="00083428">
        <w:rPr>
          <w:color w:val="000000" w:themeColor="text1"/>
        </w:rPr>
        <w:t>un tribut</w:t>
      </w:r>
      <w:r w:rsidRPr="00083428">
        <w:rPr>
          <w:color w:val="000000" w:themeColor="text1"/>
        </w:rPr>
        <w:t>o que grava la propiedad inmueble como el impuesto predial es de naturaleza real, por cuanto “el gravamen estaría definido independientemente de la persona titular del inmueble”. En contrataste, el impuesto al patrimonio ostenta la calidad de tributo perso</w:t>
      </w:r>
      <w:r w:rsidRPr="00083428">
        <w:rPr>
          <w:color w:val="000000" w:themeColor="text1"/>
        </w:rPr>
        <w:t xml:space="preserve">nal, pues “la persona es el fundamento jurídico de la atribución respecto determinadas unidades económicas (o incluso tan sólo respecto parte de estas), las que sólo a través de esta reunión o atribución a una persona determinada se convierten en unidades </w:t>
      </w:r>
      <w:r w:rsidRPr="00083428">
        <w:rPr>
          <w:color w:val="000000" w:themeColor="text1"/>
        </w:rPr>
        <w:t>jurídicas</w:t>
      </w:r>
      <w:r w:rsidRPr="00083428">
        <w:rPr>
          <w:color w:val="000000" w:themeColor="text1"/>
        </w:rPr>
        <w:t>.</w:t>
      </w:r>
      <w:r w:rsidRPr="00083428">
        <w:rPr>
          <w:color w:val="000000" w:themeColor="text1"/>
        </w:rPr>
        <w:t>”</w:t>
      </w:r>
    </w:p>
  </w:footnote>
  <w:footnote w:id="25">
    <w:p w:rsidR="00FA5AFB" w:rsidRPr="00083428" w:rsidRDefault="00B86EDB" w:rsidP="009521C1">
      <w:pPr>
        <w:pStyle w:val="Textonotapie"/>
        <w:jc w:val="both"/>
        <w:rPr>
          <w:color w:val="000000" w:themeColor="text1"/>
        </w:rPr>
      </w:pPr>
      <w:r w:rsidRPr="00083428">
        <w:rPr>
          <w:rStyle w:val="Refdenotaalpie"/>
          <w:color w:val="000000" w:themeColor="text1"/>
        </w:rPr>
        <w:footnoteRef/>
      </w:r>
      <w:r w:rsidRPr="00083428">
        <w:rPr>
          <w:color w:val="000000" w:themeColor="text1"/>
        </w:rPr>
        <w:t xml:space="preserve"> El ICDT, además se refirió a la curva de Laffer que muestra la </w:t>
      </w:r>
      <w:r w:rsidRPr="00083428">
        <w:rPr>
          <w:color w:val="000000" w:themeColor="text1"/>
        </w:rPr>
        <w:t>relación</w:t>
      </w:r>
      <w:r w:rsidRPr="00083428">
        <w:rPr>
          <w:color w:val="000000" w:themeColor="text1"/>
        </w:rPr>
        <w:t xml:space="preserve"> entre el aumento de las tasa</w:t>
      </w:r>
      <w:r w:rsidRPr="00083428">
        <w:rPr>
          <w:color w:val="000000" w:themeColor="text1"/>
        </w:rPr>
        <w:t>s</w:t>
      </w:r>
      <w:r w:rsidRPr="00083428">
        <w:rPr>
          <w:color w:val="000000" w:themeColor="text1"/>
        </w:rPr>
        <w:t xml:space="preserve"> impositivas y la </w:t>
      </w:r>
      <w:r w:rsidRPr="00083428">
        <w:rPr>
          <w:color w:val="000000" w:themeColor="text1"/>
        </w:rPr>
        <w:t>disminución</w:t>
      </w:r>
      <w:r w:rsidRPr="00083428">
        <w:rPr>
          <w:color w:val="000000" w:themeColor="text1"/>
        </w:rPr>
        <w:t xml:space="preserve"> del recaudo</w:t>
      </w:r>
      <w:r w:rsidRPr="00083428">
        <w:rPr>
          <w:color w:val="000000" w:themeColor="text1"/>
        </w:rPr>
        <w:t>, en la medida que el sujeto pasivo pierde capacidad contributiva</w:t>
      </w:r>
      <w:r w:rsidRPr="00083428">
        <w:rPr>
          <w:color w:val="000000" w:themeColor="text1"/>
        </w:rPr>
        <w:t>.</w:t>
      </w:r>
      <w:r w:rsidRPr="00083428">
        <w:rPr>
          <w:color w:val="000000" w:themeColor="text1"/>
        </w:rPr>
        <w:t xml:space="preserve"> </w:t>
      </w:r>
    </w:p>
  </w:footnote>
  <w:footnote w:id="26">
    <w:p w:rsidR="00D72D8F" w:rsidRPr="00083428" w:rsidRDefault="00B86EDB" w:rsidP="009521C1">
      <w:pPr>
        <w:pStyle w:val="Textonotapie"/>
        <w:jc w:val="both"/>
        <w:rPr>
          <w:i/>
          <w:iCs/>
          <w:color w:val="000000" w:themeColor="text1"/>
        </w:rPr>
      </w:pPr>
      <w:r w:rsidRPr="00083428">
        <w:rPr>
          <w:rStyle w:val="Refdenotaalpie"/>
          <w:color w:val="000000" w:themeColor="text1"/>
        </w:rPr>
        <w:footnoteRef/>
      </w:r>
      <w:r w:rsidRPr="00083428">
        <w:rPr>
          <w:color w:val="000000" w:themeColor="text1"/>
        </w:rPr>
        <w:t xml:space="preserve"> Esta afirmación la sostuvo con base en la exposición de motivos en donde se afirma que: </w:t>
      </w:r>
      <w:r w:rsidRPr="00083428">
        <w:rPr>
          <w:color w:val="000000" w:themeColor="text1"/>
        </w:rPr>
        <w:t>“</w:t>
      </w:r>
      <w:r w:rsidRPr="00083428">
        <w:rPr>
          <w:i/>
          <w:iCs/>
          <w:color w:val="000000" w:themeColor="text1"/>
        </w:rPr>
        <w:t>La imposición de un impuesto al patrimonio podría tener el efecto de aumentar la tenencia</w:t>
      </w:r>
      <w:r w:rsidRPr="00083428">
        <w:rPr>
          <w:i/>
          <w:iCs/>
          <w:color w:val="000000" w:themeColor="text1"/>
        </w:rPr>
        <w:t xml:space="preserve"> </w:t>
      </w:r>
      <w:r w:rsidRPr="00083428">
        <w:rPr>
          <w:i/>
          <w:iCs/>
          <w:color w:val="000000" w:themeColor="text1"/>
        </w:rPr>
        <w:t>de activos productivos, pues desincentivaría la adquisición de patrimonios i</w:t>
      </w:r>
      <w:r w:rsidRPr="00083428">
        <w:rPr>
          <w:i/>
          <w:iCs/>
          <w:color w:val="000000" w:themeColor="text1"/>
        </w:rPr>
        <w:t>nfructuosos de alto valor.</w:t>
      </w:r>
      <w:r w:rsidRPr="00083428">
        <w:rPr>
          <w:i/>
          <w:iCs/>
          <w:color w:val="000000" w:themeColor="text1"/>
        </w:rPr>
        <w:t>”</w:t>
      </w:r>
    </w:p>
  </w:footnote>
  <w:footnote w:id="27">
    <w:p w:rsidR="00D41E4A" w:rsidRPr="00083428" w:rsidRDefault="00B86EDB" w:rsidP="009521C1">
      <w:pPr>
        <w:pStyle w:val="Textonotapie"/>
        <w:jc w:val="both"/>
        <w:rPr>
          <w:color w:val="000000" w:themeColor="text1"/>
        </w:rPr>
      </w:pPr>
      <w:r w:rsidRPr="00083428">
        <w:rPr>
          <w:rStyle w:val="Refdenotaalpie"/>
          <w:color w:val="000000" w:themeColor="text1"/>
        </w:rPr>
        <w:footnoteRef/>
      </w:r>
      <w:r w:rsidRPr="00083428">
        <w:rPr>
          <w:color w:val="000000" w:themeColor="text1"/>
        </w:rPr>
        <w:t xml:space="preserve"> L</w:t>
      </w:r>
      <w:r w:rsidRPr="00083428">
        <w:rPr>
          <w:color w:val="000000" w:themeColor="text1"/>
        </w:rPr>
        <w:t>a</w:t>
      </w:r>
      <w:r w:rsidRPr="00083428">
        <w:rPr>
          <w:color w:val="000000" w:themeColor="text1"/>
        </w:rPr>
        <w:t xml:space="preserve"> ANDI sustentó esta posición en estudios de la OCDE</w:t>
      </w:r>
      <w:r w:rsidRPr="00083428">
        <w:rPr>
          <w:color w:val="000000" w:themeColor="text1"/>
        </w:rPr>
        <w:t>, el informe de la Comisión de Expertos para la Equidad y Competitividad Tributaria del 2014</w:t>
      </w:r>
      <w:r w:rsidRPr="00083428">
        <w:rPr>
          <w:color w:val="000000" w:themeColor="text1"/>
        </w:rPr>
        <w:t xml:space="preserve"> y el derecho comparado. </w:t>
      </w:r>
    </w:p>
  </w:footnote>
  <w:footnote w:id="28">
    <w:p w:rsidR="00415F26" w:rsidRPr="00083428" w:rsidRDefault="00B86EDB" w:rsidP="009521C1">
      <w:pPr>
        <w:pStyle w:val="Textonotapie"/>
        <w:jc w:val="both"/>
        <w:rPr>
          <w:color w:val="000000" w:themeColor="text1"/>
        </w:rPr>
      </w:pPr>
      <w:r w:rsidRPr="00083428">
        <w:rPr>
          <w:rStyle w:val="Refdenotaalpie"/>
          <w:color w:val="000000" w:themeColor="text1"/>
        </w:rPr>
        <w:footnoteRef/>
      </w:r>
      <w:r w:rsidRPr="00083428">
        <w:rPr>
          <w:color w:val="000000" w:themeColor="text1"/>
        </w:rPr>
        <w:t xml:space="preserve"> Para esta afirmación, la Procurad</w:t>
      </w:r>
      <w:r w:rsidRPr="00083428">
        <w:rPr>
          <w:color w:val="000000" w:themeColor="text1"/>
        </w:rPr>
        <w:t xml:space="preserve">ora </w:t>
      </w:r>
      <w:r w:rsidRPr="00083428">
        <w:rPr>
          <w:color w:val="000000" w:themeColor="text1"/>
        </w:rPr>
        <w:t>cita</w:t>
      </w:r>
      <w:r w:rsidRPr="00083428">
        <w:rPr>
          <w:color w:val="000000" w:themeColor="text1"/>
        </w:rPr>
        <w:t xml:space="preserve"> a</w:t>
      </w:r>
      <w:r w:rsidRPr="00083428">
        <w:rPr>
          <w:color w:val="000000" w:themeColor="text1"/>
        </w:rPr>
        <w:t xml:space="preserve">: </w:t>
      </w:r>
      <w:r w:rsidRPr="00083428">
        <w:rPr>
          <w:color w:val="000000" w:themeColor="text1"/>
        </w:rPr>
        <w:t xml:space="preserve">Sánchez </w:t>
      </w:r>
      <w:r w:rsidRPr="00083428">
        <w:rPr>
          <w:color w:val="000000" w:themeColor="text1"/>
        </w:rPr>
        <w:t xml:space="preserve">Espejo, Felipe. </w:t>
      </w:r>
      <w:r w:rsidRPr="00083428">
        <w:rPr>
          <w:i/>
          <w:iCs/>
          <w:color w:val="000000" w:themeColor="text1"/>
        </w:rPr>
        <w:t>El impuesto al patrimonio como mecanismo de financiación del Estado</w:t>
      </w:r>
      <w:r w:rsidRPr="00083428">
        <w:rPr>
          <w:i/>
          <w:iCs/>
          <w:color w:val="000000" w:themeColor="text1"/>
        </w:rPr>
        <w:t xml:space="preserve"> colombiano y su incidencia en la inversión y acumulación de capital</w:t>
      </w:r>
      <w:r w:rsidRPr="00083428">
        <w:rPr>
          <w:color w:val="000000" w:themeColor="text1"/>
        </w:rPr>
        <w:t>. Bogotá</w:t>
      </w:r>
      <w:r w:rsidRPr="00083428">
        <w:rPr>
          <w:color w:val="000000" w:themeColor="text1"/>
        </w:rPr>
        <w:t>,</w:t>
      </w:r>
      <w:r w:rsidRPr="00083428">
        <w:rPr>
          <w:color w:val="000000" w:themeColor="text1"/>
        </w:rPr>
        <w:t xml:space="preserve"> Universidad Católica de Colombia (2014</w:t>
      </w:r>
      <w:r w:rsidRPr="00083428">
        <w:rPr>
          <w:color w:val="000000" w:themeColor="text1"/>
        </w:rPr>
        <w:t>)</w:t>
      </w:r>
      <w:r w:rsidRPr="00083428">
        <w:rPr>
          <w:color w:val="000000" w:themeColor="text1"/>
        </w:rPr>
        <w:t>.</w:t>
      </w:r>
    </w:p>
  </w:footnote>
  <w:footnote w:id="29">
    <w:p w:rsidR="00B038A3" w:rsidRPr="00FB66E6" w:rsidRDefault="00B86EDB" w:rsidP="00B038A3">
      <w:pPr>
        <w:pStyle w:val="Textonotapie"/>
        <w:jc w:val="both"/>
      </w:pPr>
      <w:r w:rsidRPr="00083428">
        <w:rPr>
          <w:vertAlign w:val="superscript"/>
        </w:rPr>
        <w:footnoteRef/>
      </w:r>
      <w:r w:rsidRPr="00083428">
        <w:t xml:space="preserve"> </w:t>
      </w:r>
      <w:r w:rsidRPr="00083428">
        <w:rPr>
          <w:i/>
          <w:iCs/>
        </w:rPr>
        <w:t xml:space="preserve">Cfr., </w:t>
      </w:r>
      <w:r w:rsidRPr="00083428">
        <w:t xml:space="preserve">Corte Constitucional, Sentencias C-1115 de 2004, C-1300 de 2005, C-074 de 2006, C-929 de 2007, C-623 de 2008, </w:t>
      </w:r>
      <w:r w:rsidRPr="00FB66E6">
        <w:t>C-035 de 2020, C-044 de 2021, C-303 de 2021 y C-366 de 2022.</w:t>
      </w:r>
    </w:p>
  </w:footnote>
  <w:footnote w:id="30">
    <w:p w:rsidR="00B038A3" w:rsidRPr="00083428" w:rsidRDefault="00B86EDB" w:rsidP="00B038A3">
      <w:pPr>
        <w:pStyle w:val="Textonotapie"/>
        <w:jc w:val="both"/>
      </w:pPr>
      <w:r w:rsidRPr="00FB66E6">
        <w:rPr>
          <w:vertAlign w:val="superscript"/>
        </w:rPr>
        <w:footnoteRef/>
      </w:r>
      <w:r w:rsidRPr="00FB66E6">
        <w:t xml:space="preserve"> </w:t>
      </w:r>
      <w:r w:rsidRPr="00FB66E6">
        <w:rPr>
          <w:i/>
          <w:iCs/>
        </w:rPr>
        <w:t>Ídem.</w:t>
      </w:r>
    </w:p>
  </w:footnote>
  <w:footnote w:id="31">
    <w:p w:rsidR="00161A62" w:rsidRPr="00083428" w:rsidRDefault="00B86EDB" w:rsidP="009521C1">
      <w:pPr>
        <w:pStyle w:val="Textonotapie"/>
        <w:jc w:val="both"/>
      </w:pPr>
      <w:r w:rsidRPr="00083428">
        <w:rPr>
          <w:vertAlign w:val="superscript"/>
        </w:rPr>
        <w:footnoteRef/>
      </w:r>
      <w:r w:rsidRPr="00083428">
        <w:t xml:space="preserve"> En el expediente D-13719 al presentarse recurso de súplica contra la decisi</w:t>
      </w:r>
      <w:r w:rsidRPr="00083428">
        <w:t xml:space="preserve">ón que desestimó la subsanación de la demanda, por Auto 275 del 6 de agosto de 2020, la Sala Plena revocó el Auto del 30 de junio de 2020 y, en su lugar, ordeno admitir la demanda bajo la conducción del magistrado sustanciador inicial, en los términos del </w:t>
      </w:r>
      <w:r w:rsidRPr="00083428">
        <w:t>artículo 50 del Acuerdo 2 de 2015. Así, pese a que se ordenó la admisión de dicha demanda dicho proceso culminó con un fallo inhibitorio, con la Sentencia C-225 de 2021. En esta oportunidad la Corte reiteró que “A la luz de la jurisprudencia constitucional</w:t>
      </w:r>
      <w:r w:rsidRPr="00083428">
        <w:t xml:space="preserve"> referenciada, los actos de introducción en el proceso de constitucionalidad no comportan un prejuzgamiento de la cuestión sometida a trámite y, por tanto, hasta que se emita la sentencia que pone fin al proceso, la Sala Plena conserva su competencia para </w:t>
      </w:r>
      <w:r w:rsidRPr="00083428">
        <w:t>que en función de la ilustración que aporta la participación ciudadana, eventualmente varíe la valoración acerca del cumplimiento de los presupuestos de procedibilidad.”</w:t>
      </w:r>
    </w:p>
  </w:footnote>
  <w:footnote w:id="32">
    <w:p w:rsidR="00161A62" w:rsidRPr="00083428" w:rsidRDefault="00B86EDB" w:rsidP="009521C1">
      <w:pPr>
        <w:pStyle w:val="Textonotapie"/>
        <w:jc w:val="both"/>
      </w:pPr>
      <w:r w:rsidRPr="00083428">
        <w:rPr>
          <w:vertAlign w:val="superscript"/>
        </w:rPr>
        <w:footnoteRef/>
      </w:r>
      <w:r w:rsidRPr="00083428">
        <w:t xml:space="preserve"> De manera preliminar, en el expediente D-13793 se estimó que, en el escrito de subsa</w:t>
      </w:r>
      <w:r w:rsidRPr="00083428">
        <w:t>nación de la demanda, los demandantes adujeron que no se “configura el fenómeno de la cosa juzgada material, [dado que] hay un marco de control normativo y socioeconómico distinto al que dio lugar a las sentencias antes referidas. Al respecto, los demandan</w:t>
      </w:r>
      <w:r w:rsidRPr="00083428">
        <w:t>tes explicaron que “es procedente estudiar la constitucionalidad de las normas denunciadas como inconstitucionales en el año 2020 por dos razones particulares: (i) el cambio socioeconómico (…) afectado por la pandemia COVID-19- y (ii) el desarrollo jurispr</w:t>
      </w:r>
      <w:r w:rsidRPr="00083428">
        <w:t xml:space="preserve">udencial que ha ocurrido en recientes años (…) respecto de (…) la prevalencia del derecho sustancial.” Sin embargo, al concluir el proceso con la Sentencia C-106 de 2021, se encontró que existía cosa juzgada constitucional, luego de considerar que </w:t>
      </w:r>
      <w:r w:rsidRPr="00083428">
        <w:rPr>
          <w:i/>
          <w:iCs/>
        </w:rPr>
        <w:t>“</w:t>
      </w:r>
      <w:r w:rsidRPr="00083428">
        <w:t>ninguno</w:t>
      </w:r>
      <w:r w:rsidRPr="00083428">
        <w:t xml:space="preserve"> de los argumentos presentados por los demandantes configura cargo de inconstitucionalidad que enerve la cosa juzgada, conforme a lo señalado en el párr. 45. De un lado, los demandantes parten precisamente de la premisa según la cual no se han aprobado ref</w:t>
      </w:r>
      <w:r w:rsidRPr="00083428">
        <w:t>ormas constitucionales que modifiquen el parámetro de control, a saber, los artículos 29, 228 y 229 de la Constitución Política. De otro lado, si bien los demandantes mencionan los impactos socioeconómicos asociados a la pandemia causada por la COVID-19 (S</w:t>
      </w:r>
      <w:r w:rsidRPr="00083428">
        <w:t>ARS-CoV-2), no demuestran, siquiera de manera sumaria, (i) el alcance de tal variación ni (ii) la manera en que dicho cambio afecta, en un sentido constitucionalmente relevante los contenidos normativos demandados. Por último, si bien los accionantes alude</w:t>
      </w:r>
      <w:r w:rsidRPr="00083428">
        <w:t>n a desarrollos jurisprudenciales recientes que, supuestamente, “como consecuencia del estudio de las vías de hecho, han decantado la prevalencia del derecho sustancial”, no explican de manera concreta “(i) la modificación sufrida por el marco constitucion</w:t>
      </w:r>
      <w:r w:rsidRPr="00083428">
        <w:t>al, (ii) los referentes o factores que acreditan dicha modificación y (iii) la relevancia de la nueva comprensión constitucional respecto de las razones de la decisión adoptada en el pasado.”</w:t>
      </w:r>
    </w:p>
  </w:footnote>
  <w:footnote w:id="33">
    <w:p w:rsidR="00161A62" w:rsidRPr="00083428" w:rsidRDefault="00B86EDB" w:rsidP="009521C1">
      <w:pPr>
        <w:pStyle w:val="Textonotapie"/>
        <w:jc w:val="both"/>
      </w:pPr>
      <w:r w:rsidRPr="00083428">
        <w:rPr>
          <w:vertAlign w:val="superscript"/>
        </w:rPr>
        <w:footnoteRef/>
      </w:r>
      <w:r w:rsidRPr="00083428">
        <w:t xml:space="preserve"> </w:t>
      </w:r>
      <w:r w:rsidRPr="00083428">
        <w:rPr>
          <w:i/>
          <w:iCs/>
        </w:rPr>
        <w:t xml:space="preserve">Cfr. </w:t>
      </w:r>
      <w:r w:rsidRPr="00083428">
        <w:t xml:space="preserve">Corte Constitucional, Sentencia C-408 de 2019, sobre los </w:t>
      </w:r>
      <w:r w:rsidRPr="00083428">
        <w:t>efectos de la pérdida de vigencia de la norma objeto de control.</w:t>
      </w:r>
      <w:r w:rsidRPr="00083428">
        <w:rPr>
          <w:i/>
          <w:iCs/>
        </w:rPr>
        <w:t xml:space="preserve"> </w:t>
      </w:r>
      <w:r w:rsidRPr="00083428">
        <w:t xml:space="preserve">“En el juicio de constitucionalidad de una norma, es posible que la disposición objeto de control constitucional formalmente origine dudas en cuanto a su vigencia, ya sea por tratarse de una </w:t>
      </w:r>
      <w:r w:rsidRPr="00083428">
        <w:t>derogatoria o por otros eventos, como el agotamiento de su objeto o su obsolescencia. En estos supuestos, la competencia de la Corte prevista en el artículo 241 de la Constitución dependerá del fenómeno que afecte a la norma. // 16. Frente a los eventos de</w:t>
      </w:r>
      <w:r w:rsidRPr="00083428">
        <w:t xml:space="preserve"> derogatoria, la Corte ha reiterado que existen tres clases, a saber, expresa, tácita y orgánica.  La ocurrencia de cada una de estas categorías influye de manera distinta en los efectos de la norma objeto de control abstracto, y a la vez, inciden en la ha</w:t>
      </w:r>
      <w:r w:rsidRPr="00083428">
        <w:t xml:space="preserve">bilitación de la Corte para ejercer o no dicho control. // 17. Por ejemplo, en el caso de la derogatoria expresa, puede ocurrir que la nueva ley especifique el plazo para su entrada en vigencia, lapso durante el cual la Corte mantiene su competencia, o en </w:t>
      </w:r>
      <w:r w:rsidRPr="00083428">
        <w:t>cambio, la ley puede disponer que su aplicación sea inmediata, evento en el que la Corte ya no sería competente, salvo que se identifique que la norma sigue produciendo efectos. // 18. Asimismo, en la derogatoria tácita, si existen dudas respecto de la vig</w:t>
      </w:r>
      <w:r w:rsidRPr="00083428">
        <w:t>encia, ello habilita el análisis de fondo. Lo mismo ocurre en la orgánica, al ser necesario verificar si: (i) la regulación por parte de la nueva ley fue integral; (ii) si la norma posterior responde mejor al ideal de justicia de la época, por lo que resul</w:t>
      </w:r>
      <w:r w:rsidRPr="00083428">
        <w:t>ta urgente su aplicación; y (iii) debe ser evidente que con su expedición desaparecieron los supuestos de hecho regulados por el legislador en la ley anterior. // 19. A las anteriores categorías se suman otros eventos que, si bien no son denominados propia</w:t>
      </w:r>
      <w:r w:rsidRPr="00083428">
        <w:t>mente como eventos derogatorios, también conducen a la pérdida de vigencia de la ley, por obsolescencia o cumplimiento de su finalidad; entre otras, porque acorde con el principio democrático, el legislador está en libertad de determinar qué leyes se manti</w:t>
      </w:r>
      <w:r w:rsidRPr="00083428">
        <w:t>enen en vigor y cuáles no.”</w:t>
      </w:r>
    </w:p>
  </w:footnote>
  <w:footnote w:id="34">
    <w:p w:rsidR="00334460" w:rsidRPr="00083428" w:rsidRDefault="00B86EDB" w:rsidP="009521C1">
      <w:pPr>
        <w:pStyle w:val="Textonotapie"/>
        <w:jc w:val="both"/>
      </w:pPr>
      <w:r w:rsidRPr="00083428">
        <w:rPr>
          <w:rStyle w:val="Refdenotaalpie"/>
        </w:rPr>
        <w:footnoteRef/>
      </w:r>
      <w:r w:rsidRPr="00083428">
        <w:t xml:space="preserve"> </w:t>
      </w:r>
      <w:r w:rsidRPr="00083428">
        <w:rPr>
          <w:i/>
          <w:iCs/>
        </w:rPr>
        <w:t>Ídem.</w:t>
      </w:r>
    </w:p>
  </w:footnote>
  <w:footnote w:id="35">
    <w:p w:rsidR="00334460" w:rsidRPr="00083428" w:rsidRDefault="00B86EDB" w:rsidP="009521C1">
      <w:pPr>
        <w:pStyle w:val="Textonotapie"/>
        <w:jc w:val="both"/>
      </w:pPr>
      <w:r w:rsidRPr="00083428">
        <w:rPr>
          <w:rStyle w:val="Refdenotaalpie"/>
        </w:rPr>
        <w:footnoteRef/>
      </w:r>
      <w:r w:rsidRPr="00083428">
        <w:t xml:space="preserve"> </w:t>
      </w:r>
      <w:r w:rsidRPr="00083428">
        <w:rPr>
          <w:i/>
          <w:iCs/>
        </w:rPr>
        <w:t xml:space="preserve">Cfr., </w:t>
      </w:r>
      <w:r w:rsidRPr="00083428">
        <w:t>Corte Constitucional, Sentencias C-074 de 2006 y C-623 de 2008.</w:t>
      </w:r>
    </w:p>
  </w:footnote>
  <w:footnote w:id="36">
    <w:p w:rsidR="00334460" w:rsidRPr="00083428" w:rsidRDefault="00B86EDB" w:rsidP="009521C1">
      <w:pPr>
        <w:jc w:val="both"/>
        <w:rPr>
          <w:sz w:val="20"/>
          <w:szCs w:val="20"/>
        </w:rPr>
      </w:pPr>
      <w:r w:rsidRPr="00083428">
        <w:rPr>
          <w:rStyle w:val="Refdenotaalpie"/>
          <w:sz w:val="20"/>
          <w:szCs w:val="20"/>
        </w:rPr>
        <w:footnoteRef/>
      </w:r>
      <w:r w:rsidRPr="00083428">
        <w:rPr>
          <w:sz w:val="20"/>
          <w:szCs w:val="20"/>
        </w:rPr>
        <w:t xml:space="preserve"> </w:t>
      </w:r>
      <w:r w:rsidRPr="00083428">
        <w:rPr>
          <w:i/>
          <w:iCs/>
          <w:color w:val="2D2D2D"/>
          <w:sz w:val="20"/>
          <w:szCs w:val="20"/>
          <w:shd w:val="clear" w:color="auto" w:fill="FFFFFF"/>
        </w:rPr>
        <w:t>Cfr.</w:t>
      </w:r>
      <w:r w:rsidRPr="00083428">
        <w:rPr>
          <w:color w:val="2D2D2D"/>
          <w:sz w:val="20"/>
          <w:szCs w:val="20"/>
          <w:shd w:val="clear" w:color="auto" w:fill="FFFFFF"/>
        </w:rPr>
        <w:t xml:space="preserve"> Corte Constitucional. Sentencias C-1052 de 2001, C-568 de 2004, C-980 de 2005, C-122 de 2020, C-044 de 2021 y C-321 de 2022.</w:t>
      </w:r>
    </w:p>
  </w:footnote>
  <w:footnote w:id="37">
    <w:p w:rsidR="00334460" w:rsidRPr="00083428" w:rsidRDefault="00B86EDB" w:rsidP="009521C1">
      <w:pPr>
        <w:pStyle w:val="Textonotapie"/>
        <w:jc w:val="both"/>
      </w:pPr>
      <w:r w:rsidRPr="00083428">
        <w:rPr>
          <w:rStyle w:val="Refdenotaalpie"/>
        </w:rPr>
        <w:footnoteRef/>
      </w:r>
      <w:r w:rsidRPr="00083428">
        <w:t xml:space="preserve"> </w:t>
      </w:r>
      <w:r w:rsidRPr="00083428">
        <w:t>Ibid.</w:t>
      </w:r>
    </w:p>
  </w:footnote>
  <w:footnote w:id="38">
    <w:p w:rsidR="00334460" w:rsidRPr="00083428" w:rsidRDefault="00B86EDB" w:rsidP="009521C1">
      <w:pPr>
        <w:pStyle w:val="Textonotapie"/>
        <w:jc w:val="both"/>
      </w:pPr>
      <w:r w:rsidRPr="00083428">
        <w:rPr>
          <w:rStyle w:val="Refdenotaalpie"/>
        </w:rPr>
        <w:footnoteRef/>
      </w:r>
      <w:r w:rsidRPr="00083428">
        <w:t xml:space="preserve"> </w:t>
      </w:r>
      <w:r w:rsidRPr="00083428">
        <w:rPr>
          <w:i/>
          <w:iCs/>
        </w:rPr>
        <w:t xml:space="preserve">Cfr., </w:t>
      </w:r>
      <w:r w:rsidRPr="00083428">
        <w:t>Corte Constitucional, Sentencia C-623 de 2008.</w:t>
      </w:r>
    </w:p>
  </w:footnote>
  <w:footnote w:id="39">
    <w:p w:rsidR="00334460" w:rsidRPr="00083428" w:rsidRDefault="00B86EDB" w:rsidP="009521C1">
      <w:pPr>
        <w:pStyle w:val="Textonotapie"/>
        <w:jc w:val="both"/>
      </w:pPr>
      <w:r w:rsidRPr="00083428">
        <w:rPr>
          <w:rStyle w:val="Refdenotaalpie"/>
        </w:rPr>
        <w:footnoteRef/>
      </w:r>
      <w:r w:rsidRPr="00083428">
        <w:t xml:space="preserve"> </w:t>
      </w:r>
      <w:r w:rsidRPr="00083428">
        <w:rPr>
          <w:i/>
          <w:iCs/>
        </w:rPr>
        <w:t xml:space="preserve">Cfr., </w:t>
      </w:r>
      <w:r w:rsidRPr="00083428">
        <w:t>Corte Constitucional, Sentencias C-509 de 1996, C-1048 de 2000, C-011 de 2001 y C-623 de 2008.</w:t>
      </w:r>
    </w:p>
  </w:footnote>
  <w:footnote w:id="40">
    <w:p w:rsidR="00334460" w:rsidRPr="00083428" w:rsidRDefault="00B86EDB" w:rsidP="009521C1">
      <w:pPr>
        <w:pStyle w:val="Textonotapie"/>
        <w:jc w:val="both"/>
      </w:pPr>
      <w:r w:rsidRPr="00083428">
        <w:rPr>
          <w:rStyle w:val="Refdenotaalpie"/>
        </w:rPr>
        <w:footnoteRef/>
      </w:r>
      <w:r w:rsidRPr="00083428">
        <w:t xml:space="preserve"> </w:t>
      </w:r>
      <w:r w:rsidRPr="00083428">
        <w:rPr>
          <w:i/>
          <w:iCs/>
        </w:rPr>
        <w:t xml:space="preserve">Cfr., </w:t>
      </w:r>
      <w:r w:rsidRPr="00083428">
        <w:t>Corte Constitucional, Sentencia C-623 de 2008.</w:t>
      </w:r>
    </w:p>
  </w:footnote>
  <w:footnote w:id="41">
    <w:p w:rsidR="00334460" w:rsidRPr="00083428" w:rsidRDefault="00B86EDB" w:rsidP="009521C1">
      <w:pPr>
        <w:pStyle w:val="Textonotapie"/>
        <w:jc w:val="both"/>
      </w:pPr>
      <w:r w:rsidRPr="00083428">
        <w:rPr>
          <w:rStyle w:val="Refdenotaalpie"/>
        </w:rPr>
        <w:footnoteRef/>
      </w:r>
      <w:r w:rsidRPr="00083428">
        <w:t xml:space="preserve"> </w:t>
      </w:r>
      <w:r w:rsidRPr="00083428">
        <w:rPr>
          <w:i/>
          <w:iCs/>
        </w:rPr>
        <w:t>Ídem.</w:t>
      </w:r>
    </w:p>
  </w:footnote>
  <w:footnote w:id="42">
    <w:p w:rsidR="00334460" w:rsidRPr="00083428" w:rsidRDefault="00B86EDB" w:rsidP="009521C1">
      <w:pPr>
        <w:pStyle w:val="Textonotapie"/>
        <w:jc w:val="both"/>
      </w:pPr>
      <w:r w:rsidRPr="00083428">
        <w:rPr>
          <w:rStyle w:val="Refdenotaalpie"/>
        </w:rPr>
        <w:footnoteRef/>
      </w:r>
      <w:r w:rsidRPr="00083428">
        <w:t xml:space="preserve"> </w:t>
      </w:r>
      <w:r w:rsidRPr="00083428">
        <w:rPr>
          <w:i/>
          <w:iCs/>
        </w:rPr>
        <w:t>Ídem.</w:t>
      </w:r>
    </w:p>
  </w:footnote>
  <w:footnote w:id="43">
    <w:p w:rsidR="00334460" w:rsidRPr="00083428" w:rsidRDefault="00B86EDB" w:rsidP="009521C1">
      <w:pPr>
        <w:pStyle w:val="Textonotapie"/>
        <w:jc w:val="both"/>
      </w:pPr>
      <w:r w:rsidRPr="00083428">
        <w:rPr>
          <w:rStyle w:val="Refdenotaalpie"/>
        </w:rPr>
        <w:footnoteRef/>
      </w:r>
      <w:r w:rsidRPr="00083428">
        <w:t xml:space="preserve"> </w:t>
      </w:r>
      <w:r w:rsidRPr="00083428">
        <w:rPr>
          <w:i/>
          <w:iCs/>
        </w:rPr>
        <w:t>Cfr</w:t>
      </w:r>
      <w:r w:rsidRPr="00083428">
        <w:t>. Corte Constitucional. Senten</w:t>
      </w:r>
      <w:r w:rsidRPr="00083428">
        <w:t>cia C-043 de 2021.</w:t>
      </w:r>
    </w:p>
  </w:footnote>
  <w:footnote w:id="44">
    <w:p w:rsidR="00334460" w:rsidRPr="00083428" w:rsidRDefault="00B86EDB" w:rsidP="009521C1">
      <w:pPr>
        <w:pStyle w:val="Textonotapie"/>
        <w:jc w:val="both"/>
      </w:pPr>
      <w:r w:rsidRPr="00083428">
        <w:rPr>
          <w:rStyle w:val="Refdenotaalpie"/>
        </w:rPr>
        <w:footnoteRef/>
      </w:r>
      <w:r w:rsidRPr="00083428">
        <w:t xml:space="preserve"> </w:t>
      </w:r>
      <w:r w:rsidRPr="00083428">
        <w:rPr>
          <w:i/>
          <w:iCs/>
        </w:rPr>
        <w:t>Cfr</w:t>
      </w:r>
      <w:r w:rsidRPr="00083428">
        <w:t>. Corte Constitucional. Sentencia C-104 de 2016.</w:t>
      </w:r>
    </w:p>
  </w:footnote>
  <w:footnote w:id="45">
    <w:p w:rsidR="00334460" w:rsidRPr="00083428" w:rsidRDefault="00B86EDB" w:rsidP="009521C1">
      <w:pPr>
        <w:pStyle w:val="Textonotapie"/>
        <w:jc w:val="both"/>
      </w:pPr>
      <w:r w:rsidRPr="00083428">
        <w:rPr>
          <w:rStyle w:val="Refdenotaalpie"/>
        </w:rPr>
        <w:footnoteRef/>
      </w:r>
      <w:r w:rsidRPr="00083428">
        <w:t xml:space="preserve"> </w:t>
      </w:r>
      <w:r w:rsidRPr="00083428">
        <w:rPr>
          <w:i/>
          <w:iCs/>
        </w:rPr>
        <w:t>Ídem.</w:t>
      </w:r>
      <w:r w:rsidRPr="00083428">
        <w:t xml:space="preserve"> La Corte ha sostenido que se denominan providencias inhibitorias aquellas “</w:t>
      </w:r>
      <w:r w:rsidRPr="00083428">
        <w:rPr>
          <w:i/>
          <w:iCs/>
        </w:rPr>
        <w:t>en cuya virtud, por diversas causas, el juez pone fin a una etapa del proceso, pero en realidad se a</w:t>
      </w:r>
      <w:r w:rsidRPr="00083428">
        <w:rPr>
          <w:i/>
          <w:iCs/>
        </w:rPr>
        <w:t xml:space="preserve">bstiene de penetrar en la materia del asunto que se le plantea, dejando de adoptar resolución de mérito.” </w:t>
      </w:r>
      <w:r w:rsidRPr="00083428">
        <w:t>Corte Constitucional, Sentencia C-666 de 1996.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D7435"/>
    <w:multiLevelType w:val="hybridMultilevel"/>
    <w:tmpl w:val="BDE0AE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FFD6CC5"/>
    <w:multiLevelType w:val="hybridMultilevel"/>
    <w:tmpl w:val="254E91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4AA36A0"/>
    <w:multiLevelType w:val="hybridMultilevel"/>
    <w:tmpl w:val="819E1648"/>
    <w:lvl w:ilvl="0" w:tplc="1802693C">
      <w:start w:val="1"/>
      <w:numFmt w:val="decimal"/>
      <w:lvlText w:val="%1."/>
      <w:lvlJc w:val="left"/>
      <w:pPr>
        <w:ind w:left="720" w:hanging="360"/>
      </w:pPr>
      <w:rPr>
        <w:rFonts w:hint="default"/>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CA31B1"/>
    <w:multiLevelType w:val="hybridMultilevel"/>
    <w:tmpl w:val="9FFC38B6"/>
    <w:lvl w:ilvl="0" w:tplc="FF424A28">
      <w:start w:val="1"/>
      <w:numFmt w:val="decimal"/>
      <w:lvlText w:val="%1."/>
      <w:lvlJc w:val="left"/>
      <w:pPr>
        <w:ind w:left="720" w:hanging="360"/>
      </w:pPr>
      <w:rPr>
        <w:rFonts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ECB2BCF"/>
    <w:multiLevelType w:val="hybridMultilevel"/>
    <w:tmpl w:val="B3F2DC36"/>
    <w:lvl w:ilvl="0" w:tplc="C0785484">
      <w:start w:val="1"/>
      <w:numFmt w:val="decimal"/>
      <w:lvlText w:val="%1."/>
      <w:lvlJc w:val="left"/>
      <w:pPr>
        <w:ind w:left="720" w:hanging="360"/>
      </w:pPr>
      <w:rPr>
        <w:rFonts w:hint="default"/>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C5771AC"/>
    <w:multiLevelType w:val="hybridMultilevel"/>
    <w:tmpl w:val="2E5A7AD2"/>
    <w:lvl w:ilvl="0" w:tplc="6130EC9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58804CF"/>
    <w:multiLevelType w:val="hybridMultilevel"/>
    <w:tmpl w:val="111A957A"/>
    <w:lvl w:ilvl="0" w:tplc="D4240C94">
      <w:start w:val="1"/>
      <w:numFmt w:val="decimal"/>
      <w:lvlText w:val="%1."/>
      <w:lvlJc w:val="left"/>
      <w:pPr>
        <w:ind w:left="720" w:hanging="360"/>
      </w:pPr>
      <w:rPr>
        <w:rFonts w:hint="default"/>
        <w:b/>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1721486"/>
    <w:multiLevelType w:val="hybridMultilevel"/>
    <w:tmpl w:val="742AD506"/>
    <w:lvl w:ilvl="0" w:tplc="D4EAB9AC">
      <w:start w:val="1"/>
      <w:numFmt w:val="upperLetter"/>
      <w:lvlText w:val="%1."/>
      <w:lvlJc w:val="left"/>
      <w:pPr>
        <w:ind w:left="720" w:hanging="360"/>
      </w:pPr>
      <w:rPr>
        <w:rFonts w:ascii="Times New Roman" w:hAnsi="Times New Roman" w:cs="Times New Roman" w:hint="default"/>
        <w:b/>
        <w:bCs/>
        <w:sz w:val="28"/>
        <w:szCs w:val="28"/>
      </w:rPr>
    </w:lvl>
    <w:lvl w:ilvl="1" w:tplc="F96ADC14">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53E3F78"/>
    <w:multiLevelType w:val="multilevel"/>
    <w:tmpl w:val="C56E8E80"/>
    <w:styleLink w:val="Listaactual1"/>
    <w:lvl w:ilvl="0">
      <w:start w:val="1"/>
      <w:numFmt w:val="decimal"/>
      <w:lvlText w:val="%1."/>
      <w:lvlJc w:val="left"/>
      <w:pPr>
        <w:ind w:left="644" w:hanging="360"/>
      </w:pPr>
      <w:rPr>
        <w:rFonts w:ascii="Times New Roman" w:hAnsi="Times New Roman" w:cs="Times New Roman" w:hint="default"/>
        <w:b/>
        <w:bCs w:val="0"/>
        <w:i w:val="0"/>
        <w:iCs w:val="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5D154B3"/>
    <w:multiLevelType w:val="hybridMultilevel"/>
    <w:tmpl w:val="19F2AF50"/>
    <w:lvl w:ilvl="0" w:tplc="C14E5CFE">
      <w:start w:val="1"/>
      <w:numFmt w:val="decimal"/>
      <w:lvlText w:val="%1."/>
      <w:lvlJc w:val="left"/>
      <w:pPr>
        <w:ind w:left="360" w:hanging="360"/>
      </w:pPr>
      <w:rPr>
        <w:rFonts w:ascii="Times New Roman" w:hAnsi="Times New Roman" w:cs="Times New Roman" w:hint="default"/>
        <w:b/>
        <w:bCs w:val="0"/>
        <w:i w:val="0"/>
        <w:iCs w:val="0"/>
        <w:sz w:val="28"/>
        <w:szCs w:val="28"/>
        <w:lang w:val="es-CO"/>
      </w:rPr>
    </w:lvl>
    <w:lvl w:ilvl="1" w:tplc="72EE86C8">
      <w:start w:val="1"/>
      <w:numFmt w:val="lowerRoman"/>
      <w:lvlText w:val="(%2)"/>
      <w:lvlJc w:val="left"/>
      <w:pPr>
        <w:ind w:left="1440" w:hanging="360"/>
      </w:pPr>
      <w:rPr>
        <w:rFonts w:hint="default"/>
      </w:rPr>
    </w:lvl>
    <w:lvl w:ilvl="2" w:tplc="E3944DC0">
      <w:start w:val="1"/>
      <w:numFmt w:val="lowerLetter"/>
      <w:lvlText w:val="%3)"/>
      <w:lvlJc w:val="left"/>
      <w:pPr>
        <w:ind w:left="2690" w:hanging="710"/>
      </w:pPr>
      <w:rPr>
        <w:rFonts w:hint="default"/>
      </w:rPr>
    </w:lvl>
    <w:lvl w:ilvl="3" w:tplc="ECE6F21C">
      <w:start w:val="1"/>
      <w:numFmt w:val="lowerRoman"/>
      <w:lvlText w:val="(%4)"/>
      <w:lvlJc w:val="left"/>
      <w:pPr>
        <w:ind w:left="3240" w:hanging="72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9413536"/>
    <w:multiLevelType w:val="hybridMultilevel"/>
    <w:tmpl w:val="06FEA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E6B3B12"/>
    <w:multiLevelType w:val="multilevel"/>
    <w:tmpl w:val="F6221DCA"/>
    <w:lvl w:ilvl="0">
      <w:start w:val="1"/>
      <w:numFmt w:val="decimal"/>
      <w:pStyle w:val="Prrafonumerado"/>
      <w:lvlText w:val="%1."/>
      <w:lvlJc w:val="left"/>
      <w:pPr>
        <w:ind w:left="720" w:hanging="360"/>
      </w:pPr>
      <w:rPr>
        <w:rFonts w:eastAsia="Times New Roman"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6EE220C7"/>
    <w:multiLevelType w:val="multilevel"/>
    <w:tmpl w:val="3238D974"/>
    <w:lvl w:ilvl="0">
      <w:start w:val="1"/>
      <w:numFmt w:val="upperRoman"/>
      <w:lvlText w:val="%1."/>
      <w:lvlJc w:val="left"/>
      <w:pPr>
        <w:ind w:left="1080" w:hanging="720"/>
      </w:pPr>
      <w:rPr>
        <w:rFonts w:ascii="Times New Roman" w:hAnsi="Times New Roman" w:cs="Times New Roman" w:hint="default"/>
        <w:color w:val="auto"/>
        <w:sz w:val="28"/>
        <w:szCs w:val="28"/>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7217546D"/>
    <w:multiLevelType w:val="hybridMultilevel"/>
    <w:tmpl w:val="1A06DF8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1"/>
  </w:num>
  <w:num w:numId="2">
    <w:abstractNumId w:val="8"/>
  </w:num>
  <w:num w:numId="3">
    <w:abstractNumId w:val="12"/>
  </w:num>
  <w:num w:numId="4">
    <w:abstractNumId w:val="9"/>
  </w:num>
  <w:num w:numId="5">
    <w:abstractNumId w:val="5"/>
  </w:num>
  <w:num w:numId="6">
    <w:abstractNumId w:val="1"/>
  </w:num>
  <w:num w:numId="7">
    <w:abstractNumId w:val="10"/>
  </w:num>
  <w:num w:numId="8">
    <w:abstractNumId w:val="0"/>
  </w:num>
  <w:num w:numId="9">
    <w:abstractNumId w:val="3"/>
  </w:num>
  <w:num w:numId="10">
    <w:abstractNumId w:val="13"/>
  </w:num>
  <w:num w:numId="11">
    <w:abstractNumId w:val="2"/>
  </w:num>
  <w:num w:numId="12">
    <w:abstractNumId w:val="4"/>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560E3D"/>
    <w:rsid w:val="00560E3D"/>
    <w:rsid w:val="00B86EDB"/>
    <w:rsid w:val="00D170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25947244-115E-4CD1-879A-9C6DF509D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2B266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B324E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8F3EF5"/>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0663D0"/>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36247A"/>
    <w:pPr>
      <w:keepNext/>
      <w:keepLines/>
      <w:spacing w:before="40"/>
      <w:outlineLvl w:val="4"/>
    </w:pPr>
    <w:rPr>
      <w:rFonts w:asciiTheme="majorHAnsi" w:eastAsiaTheme="majorEastAsia" w:hAnsiTheme="majorHAnsi" w:cstheme="majorBidi"/>
      <w:color w:val="2F5496" w:themeColor="accent1" w:themeShade="BF"/>
    </w:rPr>
  </w:style>
  <w:style w:type="paragraph" w:styleId="Ttulo8">
    <w:name w:val="heading 8"/>
    <w:basedOn w:val="Normal"/>
    <w:next w:val="Normal"/>
    <w:link w:val="Ttulo8Car"/>
    <w:uiPriority w:val="9"/>
    <w:semiHidden/>
    <w:unhideWhenUsed/>
    <w:qFormat/>
    <w:rsid w:val="008D3B3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02DE3"/>
    <w:pPr>
      <w:tabs>
        <w:tab w:val="center" w:pos="4419"/>
        <w:tab w:val="right" w:pos="8838"/>
      </w:tabs>
    </w:pPr>
  </w:style>
  <w:style w:type="character" w:customStyle="1" w:styleId="EncabezadoCar">
    <w:name w:val="Encabezado Car"/>
    <w:basedOn w:val="Fuentedeprrafopredeter"/>
    <w:link w:val="Encabezado"/>
    <w:uiPriority w:val="99"/>
    <w:rsid w:val="00A02DE3"/>
  </w:style>
  <w:style w:type="paragraph" w:styleId="Piedepgina">
    <w:name w:val="footer"/>
    <w:basedOn w:val="Normal"/>
    <w:link w:val="PiedepginaCar"/>
    <w:uiPriority w:val="99"/>
    <w:unhideWhenUsed/>
    <w:rsid w:val="00A02DE3"/>
    <w:pPr>
      <w:tabs>
        <w:tab w:val="center" w:pos="4419"/>
        <w:tab w:val="right" w:pos="8838"/>
      </w:tabs>
    </w:pPr>
  </w:style>
  <w:style w:type="character" w:customStyle="1" w:styleId="PiedepginaCar">
    <w:name w:val="Pie de página Car"/>
    <w:basedOn w:val="Fuentedeprrafopredeter"/>
    <w:link w:val="Piedepgina"/>
    <w:uiPriority w:val="99"/>
    <w:rsid w:val="00A02DE3"/>
  </w:style>
  <w:style w:type="paragraph" w:customStyle="1" w:styleId="Style5">
    <w:name w:val="Style5"/>
    <w:basedOn w:val="Normal"/>
    <w:uiPriority w:val="99"/>
    <w:rsid w:val="003F7E3A"/>
    <w:pPr>
      <w:widowControl w:val="0"/>
      <w:autoSpaceDE w:val="0"/>
      <w:autoSpaceDN w:val="0"/>
      <w:adjustRightInd w:val="0"/>
      <w:spacing w:line="317" w:lineRule="exact"/>
      <w:jc w:val="both"/>
    </w:pPr>
  </w:style>
  <w:style w:type="character" w:customStyle="1" w:styleId="Ttulo1Car">
    <w:name w:val="Título 1 Car"/>
    <w:basedOn w:val="Fuentedeprrafopredeter"/>
    <w:link w:val="Ttulo1"/>
    <w:uiPriority w:val="9"/>
    <w:rsid w:val="002B266B"/>
    <w:rPr>
      <w:rFonts w:asciiTheme="majorHAnsi" w:eastAsiaTheme="majorEastAsia" w:hAnsiTheme="majorHAnsi" w:cstheme="majorBidi"/>
      <w:color w:val="2F5496" w:themeColor="accent1" w:themeShade="BF"/>
      <w:sz w:val="32"/>
      <w:szCs w:val="32"/>
      <w:lang w:eastAsia="es-ES_tradnl"/>
    </w:rPr>
  </w:style>
  <w:style w:type="character" w:customStyle="1" w:styleId="Ttulo2Car">
    <w:name w:val="Título 2 Car"/>
    <w:basedOn w:val="Fuentedeprrafopredeter"/>
    <w:link w:val="Ttulo2"/>
    <w:uiPriority w:val="9"/>
    <w:rsid w:val="00B324E6"/>
    <w:rPr>
      <w:rFonts w:asciiTheme="majorHAnsi" w:eastAsiaTheme="majorEastAsia" w:hAnsiTheme="majorHAnsi" w:cstheme="majorBidi"/>
      <w:color w:val="2F5496" w:themeColor="accent1" w:themeShade="BF"/>
      <w:sz w:val="26"/>
      <w:szCs w:val="26"/>
      <w:lang w:eastAsia="es-ES_tradnl"/>
    </w:rPr>
  </w:style>
  <w:style w:type="paragraph" w:styleId="Prrafodelista">
    <w:name w:val="List Paragraph"/>
    <w:aliases w:val="Colorful List - Accent 11,Ha,List Paragraph1,lp1,List Paragraph2,List1,titulo 3,Párrafo de lista1,Bullets,Párrafo de lista2,Lista vistosa - Énfasis 11,Cuadrícula clara - Énfasis 31,Dot pt,F5 List Paragraph,No Spacing1,párrafos sentencia"/>
    <w:basedOn w:val="Normal"/>
    <w:link w:val="PrrafodelistaCar"/>
    <w:uiPriority w:val="34"/>
    <w:qFormat/>
    <w:rsid w:val="008F3EF5"/>
    <w:pPr>
      <w:ind w:left="720"/>
      <w:contextualSpacing/>
    </w:pPr>
  </w:style>
  <w:style w:type="character" w:customStyle="1" w:styleId="Ttulo3Car">
    <w:name w:val="Título 3 Car"/>
    <w:basedOn w:val="Fuentedeprrafopredeter"/>
    <w:link w:val="Ttulo3"/>
    <w:uiPriority w:val="9"/>
    <w:rsid w:val="008F3EF5"/>
    <w:rPr>
      <w:rFonts w:asciiTheme="majorHAnsi" w:eastAsiaTheme="majorEastAsia" w:hAnsiTheme="majorHAnsi" w:cstheme="majorBidi"/>
      <w:color w:val="1F3763" w:themeColor="accent1" w:themeShade="7F"/>
      <w:sz w:val="24"/>
      <w:szCs w:val="24"/>
      <w:lang w:eastAsia="es-ES_tradnl"/>
    </w:rPr>
  </w:style>
  <w:style w:type="character" w:customStyle="1" w:styleId="Ttulo4Car">
    <w:name w:val="Título 4 Car"/>
    <w:basedOn w:val="Fuentedeprrafopredeter"/>
    <w:link w:val="Ttulo4"/>
    <w:uiPriority w:val="9"/>
    <w:rsid w:val="000663D0"/>
    <w:rPr>
      <w:rFonts w:asciiTheme="majorHAnsi" w:eastAsiaTheme="majorEastAsia" w:hAnsiTheme="majorHAnsi" w:cstheme="majorBidi"/>
      <w:i/>
      <w:iCs/>
      <w:color w:val="2F5496" w:themeColor="accent1" w:themeShade="BF"/>
      <w:sz w:val="24"/>
      <w:szCs w:val="24"/>
      <w:lang w:eastAsia="es-ES_tradnl"/>
    </w:r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Ref. de nota al pi"/>
    <w:basedOn w:val="Normal"/>
    <w:link w:val="TextonotapieCar"/>
    <w:uiPriority w:val="99"/>
    <w:unhideWhenUsed/>
    <w:qFormat/>
    <w:rsid w:val="003155F3"/>
    <w:rPr>
      <w:sz w:val="20"/>
      <w:szCs w:val="20"/>
    </w:rPr>
  </w:style>
  <w:style w:type="character" w:customStyle="1" w:styleId="TextonotapieCar">
    <w:name w:val="Texto nota pie Car"/>
    <w:aliases w:val="Footnote Text Char Char Char Char Char Car1,Footnote Text Char Char Char Char Car1,Footnote reference Car1,FA Fu Car1,Footnote Text Char Char Char Car1,Footnote Text Char Car1,Footnote Text Char Char Char Char Char Char Char Char Car1"/>
    <w:basedOn w:val="Fuentedeprrafopredeter"/>
    <w:link w:val="Textonotapie"/>
    <w:uiPriority w:val="99"/>
    <w:qFormat/>
    <w:rsid w:val="003155F3"/>
    <w:rPr>
      <w:rFonts w:eastAsia="Times New Roman"/>
      <w:lang w:eastAsia="es-ES_tradnl"/>
    </w:rPr>
  </w:style>
  <w:style w:type="character" w:styleId="Refdenotaalpie">
    <w:name w:val="footnote reference"/>
    <w:aliases w:val="Texto de nota al pie,Footnotes refss,Appel note de bas de page,referencia nota al pie,Footnote number,BVI fnr,f,Fago Fußnotenzeichen,Ref. de nota al pie 2,4_G,16 Point,Superscript 6 Point,Footnote symbol,Footnote,Ref,de nota al pie,R"/>
    <w:basedOn w:val="Fuentedeprrafopredeter"/>
    <w:link w:val="Piedepagina"/>
    <w:uiPriority w:val="99"/>
    <w:unhideWhenUsed/>
    <w:qFormat/>
    <w:rsid w:val="003155F3"/>
    <w:rPr>
      <w:vertAlign w:val="superscript"/>
    </w:rPr>
  </w:style>
  <w:style w:type="paragraph" w:customStyle="1" w:styleId="centrado">
    <w:name w:val="centrado"/>
    <w:basedOn w:val="Normal"/>
    <w:rsid w:val="00355438"/>
    <w:pPr>
      <w:spacing w:before="100" w:beforeAutospacing="1" w:after="100" w:afterAutospacing="1"/>
    </w:pPr>
  </w:style>
  <w:style w:type="character" w:customStyle="1" w:styleId="baj">
    <w:name w:val="b_aj"/>
    <w:basedOn w:val="Fuentedeprrafopredeter"/>
    <w:rsid w:val="00355438"/>
  </w:style>
  <w:style w:type="character" w:styleId="Hipervnculo">
    <w:name w:val="Hyperlink"/>
    <w:basedOn w:val="Fuentedeprrafopredeter"/>
    <w:uiPriority w:val="99"/>
    <w:unhideWhenUsed/>
    <w:rsid w:val="00355438"/>
    <w:rPr>
      <w:color w:val="0000FF"/>
      <w:u w:val="single"/>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w:uiPriority w:val="99"/>
    <w:locked/>
    <w:rsid w:val="00E817B1"/>
    <w:rPr>
      <w:rFonts w:ascii="Times New Roman" w:eastAsia="SimSun" w:hAnsi="Times New Roman" w:cs="Times New Roman"/>
      <w:sz w:val="20"/>
      <w:szCs w:val="20"/>
      <w:lang w:eastAsia="es-ES"/>
    </w:rPr>
  </w:style>
  <w:style w:type="paragraph" w:customStyle="1" w:styleId="Piedepagina">
    <w:name w:val="Pie de pagina"/>
    <w:aliases w:val="Ref. de nota al pie2"/>
    <w:basedOn w:val="Normal"/>
    <w:link w:val="Refdenotaalpie"/>
    <w:uiPriority w:val="99"/>
    <w:qFormat/>
    <w:rsid w:val="00E817B1"/>
    <w:pPr>
      <w:spacing w:line="240" w:lineRule="exact"/>
    </w:pPr>
    <w:rPr>
      <w:rFonts w:eastAsiaTheme="minorHAnsi"/>
      <w:sz w:val="20"/>
      <w:szCs w:val="20"/>
      <w:vertAlign w:val="superscript"/>
      <w:lang w:eastAsia="en-US"/>
    </w:rPr>
  </w:style>
  <w:style w:type="character" w:customStyle="1" w:styleId="PrrafodelistaCar">
    <w:name w:val="Párrafo de lista Car"/>
    <w:aliases w:val="Colorful List - Accent 11 Car,Ha Car,List Paragraph1 Car,lp1 Car,List Paragraph2 Car,List1 Car,titulo 3 Car,Párrafo de lista1 Car,Bullets Car,Párrafo de lista2 Car,Lista vistosa - Énfasis 11 Car,Cuadrícula clara - Énfasis 31 Car"/>
    <w:link w:val="Prrafodelista"/>
    <w:uiPriority w:val="34"/>
    <w:qFormat/>
    <w:locked/>
    <w:rsid w:val="00D851DC"/>
    <w:rPr>
      <w:rFonts w:eastAsia="Times New Roman"/>
      <w:sz w:val="24"/>
      <w:szCs w:val="24"/>
      <w:lang w:eastAsia="es-ES_tradnl"/>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D851DC"/>
    <w:pPr>
      <w:jc w:val="both"/>
    </w:pPr>
    <w:rPr>
      <w:rFonts w:eastAsiaTheme="minorHAnsi"/>
      <w:vertAlign w:val="superscript"/>
      <w:lang w:eastAsia="en-US"/>
    </w:rPr>
  </w:style>
  <w:style w:type="character" w:styleId="Refdecomentario">
    <w:name w:val="annotation reference"/>
    <w:basedOn w:val="Fuentedeprrafopredeter"/>
    <w:uiPriority w:val="99"/>
    <w:semiHidden/>
    <w:unhideWhenUsed/>
    <w:rsid w:val="00CC1A4F"/>
    <w:rPr>
      <w:sz w:val="16"/>
      <w:szCs w:val="16"/>
    </w:rPr>
  </w:style>
  <w:style w:type="paragraph" w:styleId="Textocomentario">
    <w:name w:val="annotation text"/>
    <w:basedOn w:val="Normal"/>
    <w:link w:val="TextocomentarioCar"/>
    <w:uiPriority w:val="99"/>
    <w:unhideWhenUsed/>
    <w:rsid w:val="00CC1A4F"/>
    <w:rPr>
      <w:sz w:val="20"/>
      <w:szCs w:val="20"/>
    </w:rPr>
  </w:style>
  <w:style w:type="character" w:customStyle="1" w:styleId="TextocomentarioCar">
    <w:name w:val="Texto comentario Car"/>
    <w:basedOn w:val="Fuentedeprrafopredeter"/>
    <w:link w:val="Textocomentario"/>
    <w:uiPriority w:val="99"/>
    <w:rsid w:val="00CC1A4F"/>
    <w:rPr>
      <w:rFonts w:eastAsia="Times New Roman"/>
      <w:lang w:eastAsia="es-ES_tradnl"/>
    </w:rPr>
  </w:style>
  <w:style w:type="paragraph" w:styleId="Asuntodelcomentario">
    <w:name w:val="annotation subject"/>
    <w:basedOn w:val="Textocomentario"/>
    <w:next w:val="Textocomentario"/>
    <w:link w:val="AsuntodelcomentarioCar"/>
    <w:uiPriority w:val="99"/>
    <w:semiHidden/>
    <w:unhideWhenUsed/>
    <w:rsid w:val="00CC1A4F"/>
    <w:rPr>
      <w:b/>
      <w:bCs/>
    </w:rPr>
  </w:style>
  <w:style w:type="character" w:customStyle="1" w:styleId="AsuntodelcomentarioCar">
    <w:name w:val="Asunto del comentario Car"/>
    <w:basedOn w:val="TextocomentarioCar"/>
    <w:link w:val="Asuntodelcomentario"/>
    <w:uiPriority w:val="99"/>
    <w:semiHidden/>
    <w:rsid w:val="00CC1A4F"/>
    <w:rPr>
      <w:rFonts w:eastAsia="Times New Roman"/>
      <w:b/>
      <w:bCs/>
      <w:lang w:eastAsia="es-ES_tradnl"/>
    </w:rPr>
  </w:style>
  <w:style w:type="table" w:styleId="Tablaconcuadrcula">
    <w:name w:val="Table Grid"/>
    <w:basedOn w:val="Tablanormal"/>
    <w:uiPriority w:val="39"/>
    <w:rsid w:val="006A53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63A64"/>
    <w:rPr>
      <w:rFonts w:eastAsia="Times New Roman"/>
      <w:sz w:val="24"/>
      <w:szCs w:val="24"/>
      <w:lang w:eastAsia="es-ES_tradnl"/>
    </w:rPr>
  </w:style>
  <w:style w:type="paragraph" w:styleId="NormalWeb">
    <w:name w:val="Normal (Web)"/>
    <w:basedOn w:val="Normal"/>
    <w:uiPriority w:val="99"/>
    <w:unhideWhenUsed/>
    <w:rsid w:val="00B94C4C"/>
    <w:pPr>
      <w:spacing w:before="100" w:beforeAutospacing="1" w:after="100" w:afterAutospacing="1"/>
    </w:pPr>
  </w:style>
  <w:style w:type="character" w:customStyle="1" w:styleId="user-highlighted-active">
    <w:name w:val="user-highlighted-active"/>
    <w:basedOn w:val="Fuentedeprrafopredeter"/>
    <w:rsid w:val="00B94C4C"/>
  </w:style>
  <w:style w:type="character" w:customStyle="1" w:styleId="cf01">
    <w:name w:val="cf01"/>
    <w:basedOn w:val="Fuentedeprrafopredeter"/>
    <w:rsid w:val="008B3D21"/>
    <w:rPr>
      <w:rFonts w:ascii="Segoe UI" w:hAnsi="Segoe UI" w:cs="Segoe UI" w:hint="default"/>
      <w:sz w:val="18"/>
      <w:szCs w:val="18"/>
    </w:rPr>
  </w:style>
  <w:style w:type="character" w:customStyle="1" w:styleId="FontStyle19">
    <w:name w:val="Font Style19"/>
    <w:basedOn w:val="Fuentedeprrafopredeter"/>
    <w:uiPriority w:val="99"/>
    <w:rsid w:val="00AB63FA"/>
    <w:rPr>
      <w:rFonts w:ascii="Times New Roman" w:hAnsi="Times New Roman" w:cs="Times New Roman"/>
      <w:sz w:val="26"/>
      <w:szCs w:val="26"/>
    </w:rPr>
  </w:style>
  <w:style w:type="paragraph" w:styleId="Textoindependiente">
    <w:name w:val="Body Text"/>
    <w:basedOn w:val="Normal"/>
    <w:link w:val="TextoindependienteCar"/>
    <w:uiPriority w:val="99"/>
    <w:unhideWhenUsed/>
    <w:rsid w:val="00B15A13"/>
    <w:pPr>
      <w:spacing w:after="120"/>
    </w:pPr>
  </w:style>
  <w:style w:type="character" w:customStyle="1" w:styleId="TextoindependienteCar">
    <w:name w:val="Texto independiente Car"/>
    <w:basedOn w:val="Fuentedeprrafopredeter"/>
    <w:link w:val="Textoindependiente"/>
    <w:uiPriority w:val="99"/>
    <w:rsid w:val="00B15A13"/>
    <w:rPr>
      <w:rFonts w:eastAsia="Times New Roman"/>
      <w:sz w:val="24"/>
      <w:szCs w:val="24"/>
      <w:lang w:eastAsia="es-ES_tradnl"/>
    </w:rPr>
  </w:style>
  <w:style w:type="paragraph" w:styleId="Sangradetextonormal">
    <w:name w:val="Body Text Indent"/>
    <w:basedOn w:val="Normal"/>
    <w:link w:val="SangradetextonormalCar"/>
    <w:uiPriority w:val="99"/>
    <w:semiHidden/>
    <w:unhideWhenUsed/>
    <w:rsid w:val="00B15A13"/>
    <w:pPr>
      <w:spacing w:after="120"/>
      <w:ind w:left="283"/>
    </w:pPr>
  </w:style>
  <w:style w:type="character" w:customStyle="1" w:styleId="SangradetextonormalCar">
    <w:name w:val="Sangría de texto normal Car"/>
    <w:basedOn w:val="Fuentedeprrafopredeter"/>
    <w:link w:val="Sangradetextonormal"/>
    <w:uiPriority w:val="99"/>
    <w:semiHidden/>
    <w:rsid w:val="00B15A13"/>
    <w:rPr>
      <w:rFonts w:eastAsia="Times New Roman"/>
      <w:sz w:val="24"/>
      <w:szCs w:val="24"/>
      <w:lang w:eastAsia="es-ES_tradnl"/>
    </w:rPr>
  </w:style>
  <w:style w:type="paragraph" w:styleId="Textoindependienteprimerasangra2">
    <w:name w:val="Body Text First Indent 2"/>
    <w:basedOn w:val="Sangradetextonormal"/>
    <w:link w:val="Textoindependienteprimerasangra2Car"/>
    <w:uiPriority w:val="99"/>
    <w:unhideWhenUsed/>
    <w:rsid w:val="00B15A1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B15A13"/>
    <w:rPr>
      <w:rFonts w:eastAsia="Times New Roman"/>
      <w:sz w:val="24"/>
      <w:szCs w:val="24"/>
      <w:lang w:eastAsia="es-ES_tradnl"/>
    </w:rPr>
  </w:style>
  <w:style w:type="paragraph" w:styleId="Textonotaalfinal">
    <w:name w:val="endnote text"/>
    <w:basedOn w:val="Normal"/>
    <w:link w:val="TextonotaalfinalCar"/>
    <w:uiPriority w:val="99"/>
    <w:semiHidden/>
    <w:unhideWhenUsed/>
    <w:rsid w:val="004D7241"/>
    <w:rPr>
      <w:sz w:val="20"/>
      <w:szCs w:val="20"/>
    </w:rPr>
  </w:style>
  <w:style w:type="character" w:customStyle="1" w:styleId="TextonotaalfinalCar">
    <w:name w:val="Texto nota al final Car"/>
    <w:basedOn w:val="Fuentedeprrafopredeter"/>
    <w:link w:val="Textonotaalfinal"/>
    <w:uiPriority w:val="99"/>
    <w:semiHidden/>
    <w:rsid w:val="004D7241"/>
    <w:rPr>
      <w:rFonts w:eastAsia="Times New Roman"/>
      <w:lang w:eastAsia="es-ES_tradnl"/>
    </w:rPr>
  </w:style>
  <w:style w:type="character" w:styleId="Refdenotaalfinal">
    <w:name w:val="endnote reference"/>
    <w:basedOn w:val="Fuentedeprrafopredeter"/>
    <w:uiPriority w:val="99"/>
    <w:semiHidden/>
    <w:unhideWhenUsed/>
    <w:rsid w:val="004D7241"/>
    <w:rPr>
      <w:vertAlign w:val="superscript"/>
    </w:rPr>
  </w:style>
  <w:style w:type="paragraph" w:customStyle="1" w:styleId="Prrafonumerado">
    <w:name w:val="Párrafo numerado"/>
    <w:basedOn w:val="Prrafodelista"/>
    <w:link w:val="PrrafonumeradoChar1"/>
    <w:qFormat/>
    <w:rsid w:val="00AD348F"/>
    <w:pPr>
      <w:numPr>
        <w:numId w:val="1"/>
      </w:numPr>
      <w:tabs>
        <w:tab w:val="left" w:pos="426"/>
      </w:tabs>
      <w:ind w:left="0" w:firstLine="0"/>
      <w:jc w:val="both"/>
    </w:pPr>
    <w:rPr>
      <w:bCs/>
      <w:color w:val="000000" w:themeColor="text1"/>
      <w:sz w:val="28"/>
      <w:szCs w:val="28"/>
      <w:lang w:val="es-ES" w:eastAsia="es-ES"/>
    </w:rPr>
  </w:style>
  <w:style w:type="character" w:customStyle="1" w:styleId="PrrafonumeradoChar1">
    <w:name w:val="Párrafo numerado Char1"/>
    <w:basedOn w:val="Fuentedeprrafopredeter"/>
    <w:link w:val="Prrafonumerado"/>
    <w:rsid w:val="00AD348F"/>
    <w:rPr>
      <w:rFonts w:eastAsia="Times New Roman"/>
      <w:bCs/>
      <w:color w:val="000000" w:themeColor="text1"/>
      <w:sz w:val="28"/>
      <w:szCs w:val="28"/>
      <w:lang w:val="es-ES" w:eastAsia="es-ES"/>
    </w:rPr>
  </w:style>
  <w:style w:type="character" w:customStyle="1" w:styleId="iaj">
    <w:name w:val="iaj"/>
    <w:basedOn w:val="Fuentedeprrafopredeter"/>
    <w:rsid w:val="00D1457F"/>
  </w:style>
  <w:style w:type="character" w:styleId="Hipervnculovisitado">
    <w:name w:val="FollowedHyperlink"/>
    <w:basedOn w:val="Fuentedeprrafopredeter"/>
    <w:uiPriority w:val="99"/>
    <w:semiHidden/>
    <w:unhideWhenUsed/>
    <w:rsid w:val="0075771F"/>
    <w:rPr>
      <w:color w:val="954F72" w:themeColor="followedHyperlink"/>
      <w:u w:val="single"/>
    </w:rPr>
  </w:style>
  <w:style w:type="paragraph" w:customStyle="1" w:styleId="Piedepaginabsico">
    <w:name w:val="Pie de pagina básico"/>
    <w:basedOn w:val="Normal"/>
    <w:uiPriority w:val="99"/>
    <w:qFormat/>
    <w:rsid w:val="00FD4243"/>
    <w:pPr>
      <w:jc w:val="both"/>
    </w:pPr>
    <w:rPr>
      <w:vertAlign w:val="superscript"/>
      <w:lang w:eastAsia="en-US"/>
    </w:rPr>
  </w:style>
  <w:style w:type="character" w:customStyle="1" w:styleId="Ttulo5Car">
    <w:name w:val="Título 5 Car"/>
    <w:basedOn w:val="Fuentedeprrafopredeter"/>
    <w:link w:val="Ttulo5"/>
    <w:uiPriority w:val="9"/>
    <w:rsid w:val="0036247A"/>
    <w:rPr>
      <w:rFonts w:asciiTheme="majorHAnsi" w:eastAsiaTheme="majorEastAsia" w:hAnsiTheme="majorHAnsi" w:cstheme="majorBidi"/>
      <w:color w:val="2F5496" w:themeColor="accent1" w:themeShade="BF"/>
      <w:sz w:val="24"/>
      <w:szCs w:val="24"/>
      <w:lang w:eastAsia="es-ES_tradnl"/>
    </w:rPr>
  </w:style>
  <w:style w:type="character" w:customStyle="1" w:styleId="ttulo1car0">
    <w:name w:val="ttulo1car"/>
    <w:basedOn w:val="Fuentedeprrafopredeter"/>
    <w:rsid w:val="00A95355"/>
  </w:style>
  <w:style w:type="paragraph" w:customStyle="1" w:styleId="Style7">
    <w:name w:val="Style7"/>
    <w:basedOn w:val="Normal"/>
    <w:uiPriority w:val="99"/>
    <w:rsid w:val="00013143"/>
    <w:pPr>
      <w:widowControl w:val="0"/>
      <w:autoSpaceDE w:val="0"/>
      <w:autoSpaceDN w:val="0"/>
      <w:adjustRightInd w:val="0"/>
      <w:spacing w:line="324" w:lineRule="exact"/>
      <w:jc w:val="both"/>
    </w:pPr>
  </w:style>
  <w:style w:type="paragraph" w:customStyle="1" w:styleId="Default">
    <w:name w:val="Default"/>
    <w:rsid w:val="002E5DB9"/>
    <w:pPr>
      <w:autoSpaceDE w:val="0"/>
      <w:autoSpaceDN w:val="0"/>
      <w:adjustRightInd w:val="0"/>
    </w:pPr>
    <w:rPr>
      <w:rFonts w:ascii="Calibri" w:hAnsi="Calibri" w:cs="Calibri"/>
      <w:color w:val="000000"/>
      <w:sz w:val="24"/>
      <w:szCs w:val="24"/>
    </w:rPr>
  </w:style>
  <w:style w:type="character" w:styleId="Textodelmarcadordeposicin">
    <w:name w:val="Placeholder Text"/>
    <w:basedOn w:val="Fuentedeprrafopredeter"/>
    <w:uiPriority w:val="99"/>
    <w:semiHidden/>
    <w:rsid w:val="00681144"/>
    <w:rPr>
      <w:color w:val="666666"/>
    </w:rPr>
  </w:style>
  <w:style w:type="numbering" w:customStyle="1" w:styleId="Listaactual1">
    <w:name w:val="Lista actual1"/>
    <w:uiPriority w:val="99"/>
    <w:rsid w:val="00A53B6F"/>
    <w:pPr>
      <w:numPr>
        <w:numId w:val="2"/>
      </w:numPr>
    </w:pPr>
  </w:style>
  <w:style w:type="character" w:styleId="Mencinsinresolver">
    <w:name w:val="Unresolved Mention"/>
    <w:basedOn w:val="Fuentedeprrafopredeter"/>
    <w:uiPriority w:val="99"/>
    <w:semiHidden/>
    <w:unhideWhenUsed/>
    <w:rsid w:val="00A95077"/>
    <w:rPr>
      <w:color w:val="605E5C"/>
      <w:shd w:val="clear" w:color="auto" w:fill="E1DFDD"/>
    </w:rPr>
  </w:style>
  <w:style w:type="table" w:customStyle="1" w:styleId="Tablaconcuadrcula2">
    <w:name w:val="Tabla con cuadrícula2"/>
    <w:basedOn w:val="Tablanormal"/>
    <w:next w:val="Tablaconcuadrcula"/>
    <w:uiPriority w:val="39"/>
    <w:rsid w:val="004D7E8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semiHidden/>
    <w:unhideWhenUsed/>
    <w:rsid w:val="00C409E9"/>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409E9"/>
    <w:rPr>
      <w:rFonts w:eastAsia="Times New Roman"/>
      <w:sz w:val="16"/>
      <w:szCs w:val="16"/>
      <w:lang w:eastAsia="es-ES_tradnl"/>
    </w:rPr>
  </w:style>
  <w:style w:type="character" w:customStyle="1" w:styleId="apple-converted-space">
    <w:name w:val="apple-converted-space"/>
    <w:basedOn w:val="Fuentedeprrafopredeter"/>
    <w:rsid w:val="00391197"/>
  </w:style>
  <w:style w:type="paragraph" w:styleId="Textosinformato">
    <w:name w:val="Plain Text"/>
    <w:basedOn w:val="Normal"/>
    <w:link w:val="TextosinformatoCar"/>
    <w:uiPriority w:val="99"/>
    <w:semiHidden/>
    <w:unhideWhenUsed/>
    <w:rsid w:val="00484EA5"/>
    <w:pPr>
      <w:spacing w:before="100" w:beforeAutospacing="1" w:after="100" w:afterAutospacing="1"/>
    </w:pPr>
    <w:rPr>
      <w:lang w:val="es-MX" w:eastAsia="es-MX"/>
    </w:rPr>
  </w:style>
  <w:style w:type="character" w:customStyle="1" w:styleId="TextosinformatoCar">
    <w:name w:val="Texto sin formato Car"/>
    <w:basedOn w:val="Fuentedeprrafopredeter"/>
    <w:link w:val="Textosinformato"/>
    <w:uiPriority w:val="99"/>
    <w:semiHidden/>
    <w:rsid w:val="00484EA5"/>
    <w:rPr>
      <w:rFonts w:eastAsia="Times New Roman"/>
      <w:sz w:val="24"/>
      <w:szCs w:val="24"/>
      <w:lang w:val="es-MX" w:eastAsia="es-MX"/>
    </w:rPr>
  </w:style>
  <w:style w:type="character" w:customStyle="1" w:styleId="s2">
    <w:name w:val="s2"/>
    <w:basedOn w:val="Fuentedeprrafopredeter"/>
    <w:rsid w:val="001B7618"/>
  </w:style>
  <w:style w:type="character" w:customStyle="1" w:styleId="s3">
    <w:name w:val="s3"/>
    <w:basedOn w:val="Fuentedeprrafopredeter"/>
    <w:rsid w:val="001B7618"/>
  </w:style>
  <w:style w:type="character" w:customStyle="1" w:styleId="Ttulo8Car">
    <w:name w:val="Título 8 Car"/>
    <w:basedOn w:val="Fuentedeprrafopredeter"/>
    <w:link w:val="Ttulo8"/>
    <w:uiPriority w:val="9"/>
    <w:semiHidden/>
    <w:rsid w:val="008D3B3C"/>
    <w:rPr>
      <w:rFonts w:asciiTheme="majorHAnsi" w:eastAsiaTheme="majorEastAsia" w:hAnsiTheme="majorHAnsi" w:cstheme="majorBidi"/>
      <w:color w:val="272727" w:themeColor="text1" w:themeTint="D8"/>
      <w:sz w:val="21"/>
      <w:szCs w:val="21"/>
      <w:lang w:eastAsia="es-ES_tradnl"/>
    </w:rPr>
  </w:style>
  <w:style w:type="paragraph" w:styleId="Lista">
    <w:name w:val="List"/>
    <w:basedOn w:val="Normal"/>
    <w:uiPriority w:val="99"/>
    <w:semiHidden/>
    <w:unhideWhenUsed/>
    <w:rsid w:val="00A63831"/>
    <w:pPr>
      <w:spacing w:before="100" w:beforeAutospacing="1" w:after="100" w:afterAutospacing="1"/>
    </w:pPr>
    <w:rPr>
      <w:lang w:val="es-MX" w:eastAsia="es-MX"/>
    </w:rPr>
  </w:style>
  <w:style w:type="paragraph" w:styleId="Subttulo">
    <w:name w:val="Subtitle"/>
    <w:basedOn w:val="Normal"/>
    <w:next w:val="Normal"/>
    <w:link w:val="SubttuloCar"/>
    <w:uiPriority w:val="11"/>
    <w:qFormat/>
    <w:rsid w:val="00153432"/>
    <w:pPr>
      <w:numPr>
        <w:ilvl w:val="1"/>
      </w:numPr>
    </w:pPr>
    <w:rPr>
      <w:color w:val="5A5A5A" w:themeColor="text1" w:themeTint="A5"/>
      <w:spacing w:val="15"/>
    </w:rPr>
  </w:style>
  <w:style w:type="character" w:customStyle="1" w:styleId="SubttuloCar">
    <w:name w:val="Subtítulo Car"/>
    <w:basedOn w:val="Fuentedeprrafopredeter"/>
    <w:link w:val="Subttulo"/>
    <w:uiPriority w:val="11"/>
    <w:rsid w:val="00153432"/>
    <w:rPr>
      <w:rFonts w:asciiTheme="minorHAnsi" w:eastAsiaTheme="minorEastAsia" w:hAnsiTheme="minorHAnsi" w:cstheme="minorBidi"/>
      <w:color w:val="5A5A5A" w:themeColor="text1" w:themeTint="A5"/>
      <w:spacing w:val="15"/>
      <w:sz w:val="22"/>
      <w:szCs w:val="22"/>
      <w:lang w:eastAsia="es-ES_tradnl"/>
    </w:rPr>
  </w:style>
  <w:style w:type="character" w:customStyle="1" w:styleId="FootnoteReference1Char">
    <w:name w:val="Footnote Reference1 Char"/>
    <w:aliases w:val="Texto de nota al pie Char,referencia nota al pie Char,Footnotes refss Char,Ref. de nota al pie 2 Char,Fago Fußnotenzeichen Char,Texto nota pie Car2 Char,f Char"/>
    <w:basedOn w:val="Fuentedeprrafopredeter"/>
    <w:uiPriority w:val="99"/>
    <w:qFormat/>
    <w:rsid w:val="00161A62"/>
    <w:rPr>
      <w:sz w:val="20"/>
      <w:szCs w:val="20"/>
      <w:lang w:eastAsia="es-MX"/>
    </w:rPr>
  </w:style>
  <w:style w:type="character" w:styleId="Textoennegrita">
    <w:name w:val="Strong"/>
    <w:basedOn w:val="Fuentedeprrafopredeter"/>
    <w:uiPriority w:val="22"/>
    <w:qFormat/>
    <w:rsid w:val="00C627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bin"/><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16785</Words>
  <Characters>92320</Characters>
  <Application>Microsoft Office Word</Application>
  <DocSecurity>0</DocSecurity>
  <Lines>769</Lines>
  <Paragraphs>217</Paragraphs>
  <ScaleCrop>false</ScaleCrop>
  <Company/>
  <LinksUpToDate>false</LinksUpToDate>
  <CharactersWithSpaces>108888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2026-04-13T20:11:00Z</dcterms:created>
  <dcterms:modified xsi:type="dcterms:W3CDTF">2026-04-13T20:11:00Z</dcterms:modified>
</cp:coreProperties>
</file>